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61392">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auto"/>
          <w:kern w:val="2"/>
          <w:sz w:val="48"/>
          <w:szCs w:val="48"/>
          <w:highlight w:val="none"/>
          <w:lang w:val="en-US" w:eastAsia="zh-CN" w:bidi="ar"/>
        </w:rPr>
      </w:pPr>
      <w:bookmarkStart w:id="0" w:name="_Toc186513134"/>
      <w:bookmarkStart w:id="1" w:name="_Toc310082508"/>
      <w:bookmarkStart w:id="2" w:name="_Toc292780370"/>
      <w:bookmarkStart w:id="415" w:name="_GoBack"/>
      <w:bookmarkEnd w:id="415"/>
    </w:p>
    <w:p w14:paraId="7FAE1E9B">
      <w:pPr>
        <w:spacing w:after="120" w:afterLines="50" w:line="700" w:lineRule="exact"/>
        <w:jc w:val="center"/>
        <w:rPr>
          <w:rFonts w:hint="eastAsia" w:ascii="仿宋" w:hAnsi="仿宋" w:eastAsia="仿宋" w:cs="宋体"/>
          <w:b/>
          <w:color w:val="auto"/>
          <w:spacing w:val="-20"/>
          <w:sz w:val="48"/>
          <w:szCs w:val="48"/>
          <w:highlight w:val="none"/>
        </w:rPr>
      </w:pPr>
      <w:bookmarkStart w:id="3" w:name="_Toc14869"/>
      <w:r>
        <w:rPr>
          <w:rFonts w:hint="eastAsia" w:ascii="仿宋" w:hAnsi="仿宋" w:eastAsia="仿宋" w:cs="仿宋"/>
          <w:b/>
          <w:bCs/>
          <w:color w:val="auto"/>
          <w:kern w:val="2"/>
          <w:sz w:val="48"/>
          <w:szCs w:val="48"/>
          <w:highlight w:val="none"/>
          <w:lang w:val="en-US" w:eastAsia="zh-CN" w:bidi="ar"/>
        </w:rPr>
        <w:t xml:space="preserve"> </w:t>
      </w:r>
      <w:r>
        <w:rPr>
          <w:rFonts w:hint="eastAsia" w:ascii="仿宋" w:hAnsi="仿宋" w:eastAsia="仿宋" w:cs="宋体"/>
          <w:b/>
          <w:color w:val="auto"/>
          <w:spacing w:val="-20"/>
          <w:sz w:val="48"/>
          <w:szCs w:val="48"/>
          <w:highlight w:val="none"/>
        </w:rPr>
        <w:t>普洱市农业农村局第三次全国土壤普查市级</w:t>
      </w:r>
    </w:p>
    <w:p w14:paraId="53E0D075">
      <w:pPr>
        <w:spacing w:after="120" w:afterLines="50" w:line="700" w:lineRule="exact"/>
        <w:jc w:val="center"/>
        <w:rPr>
          <w:rFonts w:hint="eastAsia" w:ascii="仿宋" w:hAnsi="仿宋" w:eastAsia="仿宋" w:cs="宋体"/>
          <w:b/>
          <w:color w:val="auto"/>
          <w:spacing w:val="-20"/>
          <w:sz w:val="36"/>
          <w:szCs w:val="36"/>
          <w:highlight w:val="none"/>
          <w:lang w:eastAsia="zh-CN"/>
        </w:rPr>
      </w:pPr>
      <w:r>
        <w:rPr>
          <w:rFonts w:hint="eastAsia" w:ascii="仿宋" w:hAnsi="仿宋" w:eastAsia="仿宋" w:cs="宋体"/>
          <w:b/>
          <w:color w:val="auto"/>
          <w:spacing w:val="-20"/>
          <w:sz w:val="48"/>
          <w:szCs w:val="48"/>
          <w:highlight w:val="none"/>
        </w:rPr>
        <w:t>成果汇编项目</w:t>
      </w:r>
    </w:p>
    <w:bookmarkEnd w:id="3"/>
    <w:p w14:paraId="135C989A">
      <w:pPr>
        <w:pStyle w:val="71"/>
        <w:rPr>
          <w:color w:val="auto"/>
          <w:highlight w:val="none"/>
        </w:rPr>
      </w:pPr>
    </w:p>
    <w:p w14:paraId="1BFE4180">
      <w:pPr>
        <w:spacing w:line="360" w:lineRule="auto"/>
        <w:ind w:right="-57" w:rightChars="-27"/>
        <w:jc w:val="center"/>
        <w:rPr>
          <w:rFonts w:ascii="仿宋" w:hAnsi="仿宋" w:eastAsia="仿宋"/>
          <w:b/>
          <w:bCs/>
          <w:color w:val="auto"/>
          <w:sz w:val="72"/>
          <w:szCs w:val="72"/>
          <w:highlight w:val="none"/>
        </w:rPr>
      </w:pPr>
      <w:r>
        <w:rPr>
          <w:rFonts w:hint="eastAsia" w:ascii="仿宋" w:hAnsi="仿宋" w:eastAsia="仿宋"/>
          <w:b/>
          <w:bCs/>
          <w:color w:val="auto"/>
          <w:sz w:val="72"/>
          <w:szCs w:val="72"/>
          <w:highlight w:val="none"/>
        </w:rPr>
        <w:t>招标文件</w:t>
      </w:r>
    </w:p>
    <w:p w14:paraId="443BF0DB">
      <w:pPr>
        <w:pStyle w:val="23"/>
        <w:rPr>
          <w:rFonts w:ascii="仿宋" w:hAnsi="仿宋" w:eastAsia="仿宋"/>
          <w:color w:val="auto"/>
          <w:highlight w:val="none"/>
        </w:rPr>
      </w:pPr>
    </w:p>
    <w:p w14:paraId="1B19E6C8">
      <w:pPr>
        <w:jc w:val="center"/>
        <w:rPr>
          <w:rFonts w:ascii="仿宋" w:hAnsi="仿宋" w:eastAsia="仿宋"/>
          <w:b/>
          <w:color w:val="auto"/>
          <w:sz w:val="32"/>
          <w:szCs w:val="32"/>
          <w:highlight w:val="none"/>
        </w:rPr>
      </w:pPr>
      <w:r>
        <w:rPr>
          <w:rFonts w:hint="eastAsia" w:ascii="仿宋" w:hAnsi="仿宋" w:eastAsia="仿宋"/>
          <w:b/>
          <w:color w:val="auto"/>
          <w:kern w:val="0"/>
          <w:sz w:val="32"/>
          <w:szCs w:val="32"/>
          <w:highlight w:val="none"/>
        </w:rPr>
        <w:t>招标编号：</w:t>
      </w:r>
      <w:r>
        <w:rPr>
          <w:rFonts w:ascii="仿宋" w:hAnsi="仿宋" w:eastAsia="仿宋"/>
          <w:b/>
          <w:color w:val="auto"/>
          <w:kern w:val="0"/>
          <w:sz w:val="32"/>
          <w:szCs w:val="32"/>
          <w:highlight w:val="none"/>
        </w:rPr>
        <w:t>YNSF【202</w:t>
      </w:r>
      <w:r>
        <w:rPr>
          <w:rFonts w:hint="eastAsia" w:ascii="仿宋" w:hAnsi="仿宋" w:eastAsia="仿宋"/>
          <w:b/>
          <w:color w:val="auto"/>
          <w:kern w:val="0"/>
          <w:sz w:val="32"/>
          <w:szCs w:val="32"/>
          <w:highlight w:val="none"/>
          <w:lang w:val="en-US" w:eastAsia="zh-CN"/>
        </w:rPr>
        <w:t>5</w:t>
      </w:r>
      <w:r>
        <w:rPr>
          <w:rFonts w:ascii="仿宋" w:hAnsi="仿宋" w:eastAsia="仿宋"/>
          <w:b/>
          <w:color w:val="auto"/>
          <w:kern w:val="0"/>
          <w:sz w:val="32"/>
          <w:szCs w:val="32"/>
          <w:highlight w:val="none"/>
        </w:rPr>
        <w:t>ZB</w:t>
      </w:r>
      <w:r>
        <w:rPr>
          <w:rFonts w:hint="eastAsia" w:ascii="仿宋" w:hAnsi="仿宋" w:eastAsia="仿宋"/>
          <w:b/>
          <w:color w:val="auto"/>
          <w:kern w:val="0"/>
          <w:sz w:val="32"/>
          <w:szCs w:val="32"/>
          <w:highlight w:val="none"/>
          <w:lang w:val="en-US" w:eastAsia="zh-CN"/>
        </w:rPr>
        <w:t>001</w:t>
      </w:r>
      <w:r>
        <w:rPr>
          <w:rFonts w:ascii="仿宋" w:hAnsi="仿宋" w:eastAsia="仿宋"/>
          <w:b/>
          <w:color w:val="auto"/>
          <w:kern w:val="0"/>
          <w:sz w:val="32"/>
          <w:szCs w:val="32"/>
          <w:highlight w:val="none"/>
        </w:rPr>
        <w:t>】</w:t>
      </w:r>
    </w:p>
    <w:p w14:paraId="7DB277F8">
      <w:pPr>
        <w:rPr>
          <w:rFonts w:ascii="仿宋" w:hAnsi="仿宋" w:eastAsia="仿宋"/>
          <w:b/>
          <w:color w:val="auto"/>
          <w:sz w:val="28"/>
          <w:szCs w:val="28"/>
          <w:highlight w:val="none"/>
        </w:rPr>
      </w:pPr>
      <w:r>
        <w:rPr>
          <w:rFonts w:hint="eastAsia" w:ascii="仿宋" w:hAnsi="仿宋" w:eastAsia="仿宋"/>
          <w:color w:val="auto"/>
          <w:highlight w:val="none"/>
        </w:rPr>
        <w:drawing>
          <wp:anchor distT="0" distB="0" distL="114300" distR="114300" simplePos="0" relativeHeight="251659264" behindDoc="0" locked="0" layoutInCell="1" allowOverlap="1">
            <wp:simplePos x="0" y="0"/>
            <wp:positionH relativeFrom="column">
              <wp:posOffset>1503680</wp:posOffset>
            </wp:positionH>
            <wp:positionV relativeFrom="paragraph">
              <wp:posOffset>29210</wp:posOffset>
            </wp:positionV>
            <wp:extent cx="3220720" cy="3333750"/>
            <wp:effectExtent l="0" t="0" r="17780" b="0"/>
            <wp:wrapNone/>
            <wp:docPr id="6" name="图片 7" descr="9b032ec18b49d3221c571ee025790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9b032ec18b49d3221c571ee025790b8"/>
                    <pic:cNvPicPr>
                      <a:picLocks noChangeAspect="1" noChangeArrowheads="1"/>
                    </pic:cNvPicPr>
                  </pic:nvPicPr>
                  <pic:blipFill>
                    <a:blip r:embed="rId11"/>
                    <a:srcRect/>
                    <a:stretch>
                      <a:fillRect/>
                    </a:stretch>
                  </pic:blipFill>
                  <pic:spPr>
                    <a:xfrm>
                      <a:off x="0" y="0"/>
                      <a:ext cx="3220720" cy="3333750"/>
                    </a:xfrm>
                    <a:prstGeom prst="rect">
                      <a:avLst/>
                    </a:prstGeom>
                    <a:noFill/>
                    <a:ln w="9525">
                      <a:noFill/>
                      <a:miter lim="800000"/>
                      <a:headEnd/>
                      <a:tailEnd/>
                    </a:ln>
                  </pic:spPr>
                </pic:pic>
              </a:graphicData>
            </a:graphic>
          </wp:anchor>
        </w:drawing>
      </w:r>
    </w:p>
    <w:p w14:paraId="6DCB8909">
      <w:pPr>
        <w:pStyle w:val="23"/>
        <w:rPr>
          <w:rFonts w:ascii="仿宋" w:hAnsi="仿宋" w:eastAsia="仿宋"/>
          <w:color w:val="auto"/>
          <w:highlight w:val="none"/>
        </w:rPr>
      </w:pPr>
    </w:p>
    <w:p w14:paraId="17525AED">
      <w:pPr>
        <w:pStyle w:val="23"/>
        <w:rPr>
          <w:rFonts w:ascii="仿宋" w:hAnsi="仿宋" w:eastAsia="仿宋"/>
          <w:color w:val="auto"/>
          <w:highlight w:val="none"/>
        </w:rPr>
      </w:pPr>
    </w:p>
    <w:p w14:paraId="22AEDE2F">
      <w:pPr>
        <w:pStyle w:val="23"/>
        <w:rPr>
          <w:rFonts w:ascii="仿宋" w:hAnsi="仿宋" w:eastAsia="仿宋"/>
          <w:color w:val="auto"/>
          <w:highlight w:val="none"/>
        </w:rPr>
      </w:pPr>
    </w:p>
    <w:p w14:paraId="61070A6A">
      <w:pPr>
        <w:pStyle w:val="23"/>
        <w:rPr>
          <w:rFonts w:ascii="仿宋" w:hAnsi="仿宋" w:eastAsia="仿宋"/>
          <w:color w:val="auto"/>
          <w:highlight w:val="none"/>
        </w:rPr>
      </w:pPr>
    </w:p>
    <w:p w14:paraId="10B173C7">
      <w:pPr>
        <w:pStyle w:val="23"/>
        <w:rPr>
          <w:rFonts w:ascii="仿宋" w:hAnsi="仿宋" w:eastAsia="仿宋"/>
          <w:color w:val="auto"/>
          <w:highlight w:val="none"/>
        </w:rPr>
      </w:pPr>
    </w:p>
    <w:p w14:paraId="7AA3C8A8">
      <w:pPr>
        <w:pStyle w:val="23"/>
        <w:rPr>
          <w:rFonts w:ascii="仿宋" w:hAnsi="仿宋" w:eastAsia="仿宋"/>
          <w:color w:val="auto"/>
          <w:highlight w:val="none"/>
        </w:rPr>
      </w:pPr>
    </w:p>
    <w:p w14:paraId="1B9E7D87">
      <w:pPr>
        <w:pStyle w:val="23"/>
        <w:rPr>
          <w:rFonts w:ascii="仿宋" w:hAnsi="仿宋" w:eastAsia="仿宋"/>
          <w:color w:val="auto"/>
          <w:highlight w:val="none"/>
        </w:rPr>
      </w:pPr>
    </w:p>
    <w:p w14:paraId="375AF813">
      <w:pPr>
        <w:pStyle w:val="23"/>
        <w:rPr>
          <w:rFonts w:ascii="仿宋" w:hAnsi="仿宋" w:eastAsia="仿宋"/>
          <w:color w:val="auto"/>
          <w:highlight w:val="none"/>
        </w:rPr>
      </w:pPr>
    </w:p>
    <w:p w14:paraId="40A3D7BC">
      <w:pPr>
        <w:pStyle w:val="23"/>
        <w:rPr>
          <w:rFonts w:ascii="仿宋" w:hAnsi="仿宋" w:eastAsia="仿宋"/>
          <w:color w:val="auto"/>
          <w:highlight w:val="none"/>
        </w:rPr>
      </w:pPr>
    </w:p>
    <w:p w14:paraId="2306CFA9">
      <w:pPr>
        <w:pStyle w:val="23"/>
        <w:rPr>
          <w:rFonts w:ascii="仿宋" w:hAnsi="仿宋" w:eastAsia="仿宋"/>
          <w:color w:val="auto"/>
          <w:highlight w:val="none"/>
        </w:rPr>
      </w:pPr>
    </w:p>
    <w:p w14:paraId="1862C778">
      <w:pPr>
        <w:pStyle w:val="23"/>
        <w:rPr>
          <w:rFonts w:ascii="仿宋" w:hAnsi="仿宋" w:eastAsia="仿宋"/>
          <w:color w:val="auto"/>
          <w:highlight w:val="none"/>
        </w:rPr>
      </w:pPr>
    </w:p>
    <w:p w14:paraId="7BF750CE">
      <w:pPr>
        <w:keepNext w:val="0"/>
        <w:keepLines w:val="0"/>
        <w:pageBreakBefore w:val="0"/>
        <w:widowControl w:val="0"/>
        <w:kinsoku/>
        <w:wordWrap/>
        <w:overflowPunct/>
        <w:topLinePunct w:val="0"/>
        <w:autoSpaceDE/>
        <w:autoSpaceDN/>
        <w:bidi w:val="0"/>
        <w:adjustRightInd/>
        <w:snapToGrid/>
        <w:spacing w:line="680" w:lineRule="exact"/>
        <w:textAlignment w:val="auto"/>
        <w:rPr>
          <w:color w:val="auto"/>
          <w:highlight w:val="none"/>
        </w:rPr>
      </w:pPr>
    </w:p>
    <w:p w14:paraId="7CD69811">
      <w:pPr>
        <w:pStyle w:val="4"/>
        <w:rPr>
          <w:color w:val="auto"/>
          <w:highlight w:val="none"/>
        </w:rPr>
      </w:pPr>
    </w:p>
    <w:p w14:paraId="55A5C46C">
      <w:pPr>
        <w:keepNext w:val="0"/>
        <w:keepLines w:val="0"/>
        <w:pageBreakBefore w:val="0"/>
        <w:widowControl w:val="0"/>
        <w:kinsoku/>
        <w:wordWrap/>
        <w:overflowPunct/>
        <w:topLinePunct w:val="0"/>
        <w:autoSpaceDE/>
        <w:autoSpaceDN/>
        <w:bidi w:val="0"/>
        <w:adjustRightInd/>
        <w:snapToGrid/>
        <w:spacing w:line="600" w:lineRule="auto"/>
        <w:jc w:val="center"/>
        <w:textAlignment w:val="auto"/>
        <w:rPr>
          <w:rFonts w:hint="eastAsia" w:ascii="仿宋" w:hAnsi="仿宋" w:eastAsia="仿宋" w:cs="仿宋"/>
          <w:b/>
          <w:color w:val="auto"/>
          <w:sz w:val="32"/>
          <w:szCs w:val="32"/>
          <w:highlight w:val="none"/>
          <w:lang w:val="en-US" w:eastAsia="zh-CN"/>
        </w:rPr>
      </w:pPr>
      <w:r>
        <w:rPr>
          <w:rFonts w:hint="eastAsia" w:ascii="仿宋" w:hAnsi="仿宋" w:eastAsia="仿宋"/>
          <w:b/>
          <w:color w:val="auto"/>
          <w:sz w:val="32"/>
          <w:szCs w:val="32"/>
          <w:highlight w:val="none"/>
        </w:rPr>
        <w:t>招标人（盖公章）：</w:t>
      </w:r>
      <w:r>
        <w:rPr>
          <w:rFonts w:hint="eastAsia" w:ascii="仿宋" w:hAnsi="仿宋" w:eastAsia="仿宋"/>
          <w:b/>
          <w:color w:val="auto"/>
          <w:sz w:val="32"/>
          <w:szCs w:val="32"/>
          <w:highlight w:val="none"/>
          <w:lang w:eastAsia="zh-CN"/>
        </w:rPr>
        <w:t>普洱市农业农村局</w:t>
      </w:r>
    </w:p>
    <w:p w14:paraId="24E6B917">
      <w:pPr>
        <w:keepNext w:val="0"/>
        <w:keepLines w:val="0"/>
        <w:pageBreakBefore w:val="0"/>
        <w:widowControl w:val="0"/>
        <w:kinsoku/>
        <w:wordWrap/>
        <w:overflowPunct/>
        <w:topLinePunct w:val="0"/>
        <w:autoSpaceDE/>
        <w:autoSpaceDN/>
        <w:bidi w:val="0"/>
        <w:adjustRightInd/>
        <w:snapToGrid/>
        <w:spacing w:line="600" w:lineRule="auto"/>
        <w:jc w:val="center"/>
        <w:textAlignment w:val="auto"/>
        <w:rPr>
          <w:rFonts w:hint="eastAsia" w:ascii="仿宋" w:hAnsi="仿宋" w:eastAsia="仿宋" w:cs="Times New Roman"/>
          <w:b/>
          <w:color w:val="auto"/>
          <w:sz w:val="32"/>
          <w:szCs w:val="32"/>
          <w:highlight w:val="none"/>
        </w:rPr>
      </w:pPr>
      <w:r>
        <w:rPr>
          <w:rFonts w:hint="eastAsia" w:ascii="仿宋" w:hAnsi="仿宋" w:eastAsia="仿宋" w:cs="Times New Roman"/>
          <w:b/>
          <w:color w:val="auto"/>
          <w:sz w:val="32"/>
          <w:szCs w:val="32"/>
          <w:highlight w:val="none"/>
        </w:rPr>
        <w:t>招标代理机构（盖公章）：云南算方咨询有限公司</w:t>
      </w:r>
    </w:p>
    <w:p w14:paraId="066C06AC">
      <w:pPr>
        <w:keepNext w:val="0"/>
        <w:keepLines w:val="0"/>
        <w:pageBreakBefore w:val="0"/>
        <w:widowControl w:val="0"/>
        <w:kinsoku/>
        <w:wordWrap/>
        <w:overflowPunct/>
        <w:topLinePunct w:val="0"/>
        <w:autoSpaceDE/>
        <w:autoSpaceDN/>
        <w:bidi w:val="0"/>
        <w:adjustRightInd/>
        <w:snapToGrid/>
        <w:spacing w:afterLines="100" w:line="600" w:lineRule="auto"/>
        <w:jc w:val="center"/>
        <w:textAlignment w:val="auto"/>
        <w:rPr>
          <w:color w:val="auto"/>
          <w:highlight w:val="none"/>
        </w:rPr>
      </w:pPr>
      <w:r>
        <w:rPr>
          <w:rFonts w:hint="eastAsia" w:ascii="仿宋" w:hAnsi="仿宋" w:eastAsia="仿宋"/>
          <w:b/>
          <w:color w:val="auto"/>
          <w:sz w:val="32"/>
          <w:szCs w:val="32"/>
          <w:highlight w:val="none"/>
        </w:rPr>
        <w:t>日期：</w:t>
      </w:r>
      <w:r>
        <w:rPr>
          <w:rFonts w:ascii="仿宋" w:hAnsi="仿宋" w:eastAsia="仿宋"/>
          <w:b/>
          <w:color w:val="auto"/>
          <w:kern w:val="0"/>
          <w:sz w:val="32"/>
          <w:szCs w:val="32"/>
          <w:highlight w:val="none"/>
        </w:rPr>
        <w:t>20</w:t>
      </w:r>
      <w:r>
        <w:rPr>
          <w:rFonts w:hint="eastAsia" w:ascii="仿宋" w:hAnsi="仿宋" w:eastAsia="仿宋"/>
          <w:b/>
          <w:color w:val="auto"/>
          <w:kern w:val="0"/>
          <w:sz w:val="32"/>
          <w:szCs w:val="32"/>
          <w:highlight w:val="none"/>
          <w:lang w:val="en-US" w:eastAsia="zh-CN"/>
        </w:rPr>
        <w:t>25</w:t>
      </w:r>
      <w:r>
        <w:rPr>
          <w:rFonts w:hint="eastAsia" w:ascii="仿宋" w:hAnsi="仿宋" w:eastAsia="仿宋"/>
          <w:b/>
          <w:color w:val="auto"/>
          <w:sz w:val="32"/>
          <w:szCs w:val="32"/>
          <w:highlight w:val="none"/>
        </w:rPr>
        <w:t>年</w:t>
      </w:r>
      <w:r>
        <w:rPr>
          <w:rFonts w:hint="eastAsia" w:ascii="仿宋" w:hAnsi="仿宋" w:eastAsia="仿宋"/>
          <w:b/>
          <w:color w:val="auto"/>
          <w:sz w:val="32"/>
          <w:szCs w:val="32"/>
          <w:highlight w:val="none"/>
          <w:lang w:val="en-US" w:eastAsia="zh-CN"/>
        </w:rPr>
        <w:t>03</w:t>
      </w:r>
      <w:r>
        <w:rPr>
          <w:rFonts w:hint="eastAsia" w:ascii="仿宋" w:hAnsi="仿宋" w:eastAsia="仿宋"/>
          <w:b/>
          <w:color w:val="auto"/>
          <w:sz w:val="32"/>
          <w:szCs w:val="32"/>
          <w:highlight w:val="none"/>
        </w:rPr>
        <w:t>月</w:t>
      </w:r>
      <w:r>
        <w:rPr>
          <w:rFonts w:hint="eastAsia" w:ascii="仿宋" w:hAnsi="仿宋" w:eastAsia="仿宋"/>
          <w:b/>
          <w:color w:val="auto"/>
          <w:sz w:val="32"/>
          <w:szCs w:val="32"/>
          <w:highlight w:val="none"/>
          <w:lang w:val="en-US" w:eastAsia="zh-CN"/>
        </w:rPr>
        <w:t>10</w:t>
      </w:r>
      <w:r>
        <w:rPr>
          <w:rFonts w:hint="eastAsia" w:ascii="仿宋" w:hAnsi="仿宋" w:eastAsia="仿宋"/>
          <w:b/>
          <w:color w:val="auto"/>
          <w:sz w:val="32"/>
          <w:szCs w:val="32"/>
          <w:highlight w:val="none"/>
        </w:rPr>
        <w:t>日</w:t>
      </w:r>
      <w:bookmarkStart w:id="4" w:name="_Toc302769213"/>
      <w:bookmarkStart w:id="5" w:name="_Toc241825064"/>
    </w:p>
    <w:sdt>
      <w:sdtPr>
        <w:rPr>
          <w:rFonts w:ascii="宋体" w:hAnsi="宋体" w:eastAsia="宋体" w:cs="Times New Roman"/>
          <w:color w:val="auto"/>
          <w:kern w:val="2"/>
          <w:sz w:val="21"/>
          <w:szCs w:val="24"/>
          <w:highlight w:val="none"/>
          <w:lang w:val="en-US" w:eastAsia="zh-CN" w:bidi="ar-SA"/>
        </w:rPr>
        <w:id w:val="147482981"/>
        <w15:color w:val="DBDBDB"/>
        <w:docPartObj>
          <w:docPartGallery w:val="Table of Contents"/>
          <w:docPartUnique/>
        </w:docPartObj>
      </w:sdtPr>
      <w:sdtEndPr>
        <w:rPr>
          <w:rFonts w:ascii="仿宋" w:hAnsi="仿宋" w:eastAsia="仿宋" w:cs="Times New Roman"/>
          <w:bCs/>
          <w:color w:val="auto"/>
          <w:kern w:val="0"/>
          <w:sz w:val="24"/>
          <w:szCs w:val="28"/>
          <w:highlight w:val="none"/>
          <w:lang w:val="en-US" w:eastAsia="zh-CN" w:bidi="ar-SA"/>
        </w:rPr>
      </w:sdtEndPr>
      <w:sdtContent>
        <w:p w14:paraId="7BB2EDCC">
          <w:pPr>
            <w:keepNext w:val="0"/>
            <w:keepLines w:val="0"/>
            <w:pageBreakBefore w:val="0"/>
            <w:widowControl w:val="0"/>
            <w:kinsoku/>
            <w:wordWrap/>
            <w:overflowPunct/>
            <w:topLinePunct w:val="0"/>
            <w:autoSpaceDE/>
            <w:autoSpaceDN/>
            <w:bidi w:val="0"/>
            <w:adjustRightInd/>
            <w:snapToGrid/>
            <w:spacing w:afterLines="100" w:line="680" w:lineRule="exact"/>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32"/>
              <w:szCs w:val="32"/>
              <w:highlight w:val="none"/>
            </w:rPr>
            <w:t>目录</w:t>
          </w: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TOC \o "1-1" \h \u </w:instrText>
          </w:r>
          <w:r>
            <w:rPr>
              <w:rFonts w:hint="eastAsia" w:ascii="仿宋" w:hAnsi="仿宋" w:eastAsia="仿宋" w:cs="仿宋"/>
              <w:b/>
              <w:bCs/>
              <w:color w:val="auto"/>
              <w:sz w:val="28"/>
              <w:szCs w:val="28"/>
              <w:highlight w:val="none"/>
            </w:rPr>
            <w:fldChar w:fldCharType="separate"/>
          </w:r>
        </w:p>
        <w:p w14:paraId="032EB6D5">
          <w:pPr>
            <w:pStyle w:val="653"/>
            <w:tabs>
              <w:tab w:val="right" w:leader="dot" w:pos="9746"/>
            </w:tabs>
            <w:spacing w:line="60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HYPERLINK \l _Toc16822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第一章 招标公告</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PAGEREF _Toc16822 \h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1</w:t>
          </w:r>
          <w:r>
            <w:rPr>
              <w:rFonts w:hint="eastAsia" w:ascii="仿宋" w:hAnsi="仿宋" w:eastAsia="仿宋" w:cs="仿宋"/>
              <w:b/>
              <w:bCs/>
              <w:color w:val="auto"/>
              <w:sz w:val="28"/>
              <w:szCs w:val="28"/>
              <w:highlight w:val="none"/>
            </w:rPr>
            <w:fldChar w:fldCharType="end"/>
          </w:r>
          <w:r>
            <w:rPr>
              <w:rFonts w:hint="eastAsia" w:ascii="仿宋" w:hAnsi="仿宋" w:eastAsia="仿宋" w:cs="仿宋"/>
              <w:b/>
              <w:bCs/>
              <w:color w:val="auto"/>
              <w:sz w:val="28"/>
              <w:szCs w:val="28"/>
              <w:highlight w:val="none"/>
            </w:rPr>
            <w:fldChar w:fldCharType="end"/>
          </w:r>
        </w:p>
        <w:p w14:paraId="26B611FA">
          <w:pPr>
            <w:pStyle w:val="653"/>
            <w:tabs>
              <w:tab w:val="right" w:leader="dot" w:pos="9746"/>
            </w:tabs>
            <w:spacing w:line="60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HYPERLINK \l _Toc17844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第二章</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投标人须知</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PAGEREF _Toc17844 \h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6</w:t>
          </w:r>
          <w:r>
            <w:rPr>
              <w:rFonts w:hint="eastAsia" w:ascii="仿宋" w:hAnsi="仿宋" w:eastAsia="仿宋" w:cs="仿宋"/>
              <w:b/>
              <w:bCs/>
              <w:color w:val="auto"/>
              <w:sz w:val="28"/>
              <w:szCs w:val="28"/>
              <w:highlight w:val="none"/>
            </w:rPr>
            <w:fldChar w:fldCharType="end"/>
          </w:r>
          <w:r>
            <w:rPr>
              <w:rFonts w:hint="eastAsia" w:ascii="仿宋" w:hAnsi="仿宋" w:eastAsia="仿宋" w:cs="仿宋"/>
              <w:b/>
              <w:bCs/>
              <w:color w:val="auto"/>
              <w:sz w:val="28"/>
              <w:szCs w:val="28"/>
              <w:highlight w:val="none"/>
            </w:rPr>
            <w:fldChar w:fldCharType="end"/>
          </w:r>
        </w:p>
        <w:p w14:paraId="605F473E">
          <w:pPr>
            <w:pStyle w:val="653"/>
            <w:tabs>
              <w:tab w:val="right" w:leader="dot" w:pos="9746"/>
            </w:tabs>
            <w:spacing w:line="60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HYPERLINK \l _Toc21660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第三章</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评标办法（综合评分法）</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PAGEREF _Toc21660 \h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11</w:t>
          </w:r>
          <w:r>
            <w:rPr>
              <w:rFonts w:hint="eastAsia" w:ascii="仿宋" w:hAnsi="仿宋" w:eastAsia="仿宋" w:cs="仿宋"/>
              <w:b/>
              <w:bCs/>
              <w:color w:val="auto"/>
              <w:sz w:val="28"/>
              <w:szCs w:val="28"/>
              <w:highlight w:val="none"/>
            </w:rPr>
            <w:fldChar w:fldCharType="end"/>
          </w:r>
          <w:r>
            <w:rPr>
              <w:rFonts w:hint="eastAsia" w:ascii="仿宋" w:hAnsi="仿宋" w:eastAsia="仿宋" w:cs="仿宋"/>
              <w:b/>
              <w:bCs/>
              <w:color w:val="auto"/>
              <w:sz w:val="28"/>
              <w:szCs w:val="28"/>
              <w:highlight w:val="none"/>
            </w:rPr>
            <w:fldChar w:fldCharType="end"/>
          </w:r>
        </w:p>
        <w:p w14:paraId="23559BC7">
          <w:pPr>
            <w:pStyle w:val="653"/>
            <w:tabs>
              <w:tab w:val="right" w:leader="dot" w:pos="9746"/>
            </w:tabs>
            <w:spacing w:line="60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HYPERLINK \l _Toc12352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第四章</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合同文件条款</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PAGEREF _Toc12352 \h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30</w:t>
          </w:r>
          <w:r>
            <w:rPr>
              <w:rFonts w:hint="eastAsia" w:ascii="仿宋" w:hAnsi="仿宋" w:eastAsia="仿宋" w:cs="仿宋"/>
              <w:b/>
              <w:bCs/>
              <w:color w:val="auto"/>
              <w:sz w:val="28"/>
              <w:szCs w:val="28"/>
              <w:highlight w:val="none"/>
            </w:rPr>
            <w:fldChar w:fldCharType="end"/>
          </w:r>
          <w:r>
            <w:rPr>
              <w:rFonts w:hint="eastAsia" w:ascii="仿宋" w:hAnsi="仿宋" w:eastAsia="仿宋" w:cs="仿宋"/>
              <w:b/>
              <w:bCs/>
              <w:color w:val="auto"/>
              <w:sz w:val="28"/>
              <w:szCs w:val="28"/>
              <w:highlight w:val="none"/>
            </w:rPr>
            <w:fldChar w:fldCharType="end"/>
          </w:r>
        </w:p>
        <w:p w14:paraId="0D7831CF">
          <w:pPr>
            <w:pStyle w:val="653"/>
            <w:tabs>
              <w:tab w:val="right" w:leader="dot" w:pos="9746"/>
            </w:tabs>
            <w:spacing w:line="60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HYPERLINK \l _Toc14049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第五章 招标内容及</w:t>
          </w:r>
          <w:r>
            <w:rPr>
              <w:rFonts w:hint="eastAsia" w:ascii="仿宋" w:hAnsi="仿宋" w:eastAsia="仿宋" w:cs="仿宋"/>
              <w:b/>
              <w:bCs/>
              <w:color w:val="auto"/>
              <w:sz w:val="28"/>
              <w:szCs w:val="28"/>
              <w:highlight w:val="none"/>
              <w:lang w:eastAsia="zh-CN"/>
            </w:rPr>
            <w:t>技术</w:t>
          </w:r>
          <w:r>
            <w:rPr>
              <w:rFonts w:hint="eastAsia" w:ascii="仿宋" w:hAnsi="仿宋" w:eastAsia="仿宋" w:cs="仿宋"/>
              <w:b/>
              <w:bCs/>
              <w:color w:val="auto"/>
              <w:sz w:val="28"/>
              <w:szCs w:val="28"/>
              <w:highlight w:val="none"/>
            </w:rPr>
            <w:t>要求</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PAGEREF _Toc14049 \h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40</w:t>
          </w:r>
          <w:r>
            <w:rPr>
              <w:rFonts w:hint="eastAsia" w:ascii="仿宋" w:hAnsi="仿宋" w:eastAsia="仿宋" w:cs="仿宋"/>
              <w:b/>
              <w:bCs/>
              <w:color w:val="auto"/>
              <w:sz w:val="28"/>
              <w:szCs w:val="28"/>
              <w:highlight w:val="none"/>
            </w:rPr>
            <w:fldChar w:fldCharType="end"/>
          </w:r>
          <w:r>
            <w:rPr>
              <w:rFonts w:hint="eastAsia" w:ascii="仿宋" w:hAnsi="仿宋" w:eastAsia="仿宋" w:cs="仿宋"/>
              <w:b/>
              <w:bCs/>
              <w:color w:val="auto"/>
              <w:sz w:val="28"/>
              <w:szCs w:val="28"/>
              <w:highlight w:val="none"/>
            </w:rPr>
            <w:fldChar w:fldCharType="end"/>
          </w:r>
        </w:p>
        <w:p w14:paraId="01C4D9AC">
          <w:pPr>
            <w:pStyle w:val="653"/>
            <w:tabs>
              <w:tab w:val="right" w:leader="dot" w:pos="9746"/>
            </w:tabs>
            <w:spacing w:line="60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 HYPERLINK \l _Toc4322 </w:instrText>
          </w:r>
          <w:r>
            <w:rPr>
              <w:rFonts w:hint="eastAsia" w:ascii="仿宋" w:hAnsi="仿宋" w:eastAsia="仿宋" w:cs="仿宋"/>
              <w:b/>
              <w:bCs/>
              <w:color w:val="auto"/>
              <w:sz w:val="28"/>
              <w:szCs w:val="28"/>
              <w:highlight w:val="none"/>
            </w:rPr>
            <w:fldChar w:fldCharType="separate"/>
          </w:r>
          <w:r>
            <w:rPr>
              <w:rFonts w:hint="eastAsia" w:ascii="仿宋" w:hAnsi="仿宋" w:eastAsia="仿宋" w:cs="仿宋"/>
              <w:b/>
              <w:bCs/>
              <w:color w:val="auto"/>
              <w:sz w:val="28"/>
              <w:szCs w:val="28"/>
              <w:highlight w:val="none"/>
            </w:rPr>
            <w:t>第六章</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投标文件格式</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lang w:val="en-US" w:eastAsia="zh-CN"/>
            </w:rPr>
            <w:t>4</w:t>
          </w:r>
          <w:r>
            <w:rPr>
              <w:rFonts w:hint="eastAsia" w:ascii="仿宋" w:hAnsi="仿宋" w:eastAsia="仿宋" w:cs="仿宋"/>
              <w:b/>
              <w:bCs/>
              <w:color w:val="auto"/>
              <w:sz w:val="28"/>
              <w:szCs w:val="28"/>
              <w:highlight w:val="none"/>
            </w:rPr>
            <w:fldChar w:fldCharType="end"/>
          </w:r>
          <w:r>
            <w:rPr>
              <w:rFonts w:hint="eastAsia" w:ascii="仿宋" w:hAnsi="仿宋" w:eastAsia="仿宋" w:cs="仿宋"/>
              <w:b/>
              <w:bCs/>
              <w:color w:val="auto"/>
              <w:sz w:val="28"/>
              <w:szCs w:val="28"/>
              <w:highlight w:val="none"/>
              <w:lang w:val="en-US" w:eastAsia="zh-CN"/>
            </w:rPr>
            <w:t>1</w:t>
          </w:r>
        </w:p>
        <w:p w14:paraId="0CC6940E">
          <w:pPr>
            <w:pStyle w:val="51"/>
            <w:spacing w:before="0" w:beforeAutospacing="0" w:after="0" w:afterAutospacing="0" w:line="360" w:lineRule="auto"/>
            <w:jc w:val="center"/>
            <w:rPr>
              <w:rFonts w:ascii="仿宋" w:hAnsi="仿宋" w:eastAsia="仿宋"/>
              <w:b/>
              <w:bCs/>
              <w:color w:val="auto"/>
              <w:sz w:val="28"/>
              <w:szCs w:val="28"/>
              <w:highlight w:val="none"/>
            </w:rPr>
          </w:pPr>
          <w:r>
            <w:rPr>
              <w:rFonts w:hint="eastAsia" w:ascii="仿宋" w:hAnsi="仿宋" w:eastAsia="仿宋" w:cs="仿宋"/>
              <w:b/>
              <w:bCs/>
              <w:color w:val="auto"/>
              <w:sz w:val="28"/>
              <w:szCs w:val="28"/>
              <w:highlight w:val="none"/>
            </w:rPr>
            <w:fldChar w:fldCharType="end"/>
          </w:r>
        </w:p>
      </w:sdtContent>
    </w:sdt>
    <w:bookmarkEnd w:id="0"/>
    <w:bookmarkEnd w:id="4"/>
    <w:bookmarkEnd w:id="5"/>
    <w:p w14:paraId="5E5C1D38">
      <w:pPr>
        <w:pStyle w:val="53"/>
        <w:spacing w:before="0" w:after="0" w:line="360" w:lineRule="auto"/>
        <w:outlineLvl w:val="9"/>
        <w:rPr>
          <w:rFonts w:ascii="仿宋" w:hAnsi="仿宋" w:eastAsia="仿宋"/>
          <w:bCs w:val="0"/>
          <w:color w:val="auto"/>
          <w:kern w:val="2"/>
          <w:sz w:val="30"/>
          <w:szCs w:val="30"/>
          <w:highlight w:val="none"/>
        </w:rPr>
      </w:pPr>
      <w:bookmarkStart w:id="6" w:name="_Toc448328625"/>
      <w:bookmarkStart w:id="7" w:name="_Toc24730459"/>
      <w:bookmarkStart w:id="8" w:name="_Toc448328556"/>
      <w:bookmarkStart w:id="9" w:name="_Toc186513135"/>
      <w:bookmarkStart w:id="10" w:name="_Toc302769214"/>
      <w:bookmarkStart w:id="11" w:name="_Toc241825065"/>
    </w:p>
    <w:p w14:paraId="2A4AB0B9">
      <w:pPr>
        <w:pStyle w:val="53"/>
        <w:spacing w:before="0" w:after="0" w:line="360" w:lineRule="auto"/>
        <w:outlineLvl w:val="9"/>
        <w:rPr>
          <w:rFonts w:ascii="仿宋" w:hAnsi="仿宋" w:eastAsia="仿宋"/>
          <w:bCs w:val="0"/>
          <w:color w:val="auto"/>
          <w:kern w:val="2"/>
          <w:sz w:val="30"/>
          <w:szCs w:val="30"/>
          <w:highlight w:val="none"/>
        </w:rPr>
      </w:pPr>
    </w:p>
    <w:p w14:paraId="48AE0E47">
      <w:pPr>
        <w:pStyle w:val="53"/>
        <w:spacing w:before="0" w:after="0" w:line="360" w:lineRule="auto"/>
        <w:outlineLvl w:val="9"/>
        <w:rPr>
          <w:rFonts w:ascii="仿宋" w:hAnsi="仿宋" w:eastAsia="仿宋"/>
          <w:bCs w:val="0"/>
          <w:color w:val="auto"/>
          <w:kern w:val="2"/>
          <w:sz w:val="30"/>
          <w:szCs w:val="30"/>
          <w:highlight w:val="none"/>
        </w:rPr>
      </w:pPr>
    </w:p>
    <w:p w14:paraId="749A12D7">
      <w:pPr>
        <w:pStyle w:val="53"/>
        <w:spacing w:before="0" w:after="0" w:line="360" w:lineRule="auto"/>
        <w:outlineLvl w:val="9"/>
        <w:rPr>
          <w:rFonts w:ascii="仿宋" w:hAnsi="仿宋" w:eastAsia="仿宋"/>
          <w:bCs w:val="0"/>
          <w:color w:val="auto"/>
          <w:kern w:val="2"/>
          <w:sz w:val="30"/>
          <w:szCs w:val="30"/>
          <w:highlight w:val="none"/>
        </w:rPr>
      </w:pPr>
    </w:p>
    <w:p w14:paraId="2C9849A0">
      <w:pPr>
        <w:pStyle w:val="53"/>
        <w:spacing w:before="0" w:after="0" w:line="360" w:lineRule="auto"/>
        <w:outlineLvl w:val="9"/>
        <w:rPr>
          <w:rFonts w:ascii="仿宋" w:hAnsi="仿宋" w:eastAsia="仿宋"/>
          <w:bCs w:val="0"/>
          <w:color w:val="auto"/>
          <w:kern w:val="2"/>
          <w:sz w:val="30"/>
          <w:szCs w:val="30"/>
          <w:highlight w:val="none"/>
        </w:rPr>
      </w:pPr>
    </w:p>
    <w:p w14:paraId="02F9EE03">
      <w:pPr>
        <w:pStyle w:val="53"/>
        <w:spacing w:before="0" w:after="0" w:line="360" w:lineRule="auto"/>
        <w:outlineLvl w:val="9"/>
        <w:rPr>
          <w:rFonts w:ascii="仿宋" w:hAnsi="仿宋" w:eastAsia="仿宋"/>
          <w:bCs w:val="0"/>
          <w:color w:val="auto"/>
          <w:kern w:val="2"/>
          <w:sz w:val="30"/>
          <w:szCs w:val="30"/>
          <w:highlight w:val="none"/>
        </w:rPr>
      </w:pPr>
    </w:p>
    <w:p w14:paraId="47B99407">
      <w:pPr>
        <w:pStyle w:val="53"/>
        <w:spacing w:before="0" w:after="0" w:line="360" w:lineRule="auto"/>
        <w:outlineLvl w:val="9"/>
        <w:rPr>
          <w:rFonts w:ascii="仿宋" w:hAnsi="仿宋" w:eastAsia="仿宋"/>
          <w:bCs w:val="0"/>
          <w:color w:val="auto"/>
          <w:kern w:val="2"/>
          <w:sz w:val="30"/>
          <w:szCs w:val="30"/>
          <w:highlight w:val="none"/>
        </w:rPr>
      </w:pPr>
    </w:p>
    <w:p w14:paraId="1EBA9993">
      <w:pPr>
        <w:pStyle w:val="53"/>
        <w:spacing w:before="0" w:after="0" w:line="360" w:lineRule="auto"/>
        <w:outlineLvl w:val="9"/>
        <w:rPr>
          <w:rFonts w:ascii="仿宋" w:hAnsi="仿宋" w:eastAsia="仿宋"/>
          <w:bCs w:val="0"/>
          <w:color w:val="auto"/>
          <w:kern w:val="2"/>
          <w:sz w:val="30"/>
          <w:szCs w:val="30"/>
          <w:highlight w:val="none"/>
        </w:rPr>
      </w:pPr>
    </w:p>
    <w:p w14:paraId="1794D952">
      <w:pPr>
        <w:pStyle w:val="53"/>
        <w:spacing w:before="0" w:after="0" w:line="360" w:lineRule="auto"/>
        <w:outlineLvl w:val="9"/>
        <w:rPr>
          <w:rFonts w:ascii="仿宋" w:hAnsi="仿宋" w:eastAsia="仿宋"/>
          <w:bCs w:val="0"/>
          <w:color w:val="auto"/>
          <w:kern w:val="2"/>
          <w:sz w:val="30"/>
          <w:szCs w:val="30"/>
          <w:highlight w:val="none"/>
        </w:rPr>
      </w:pPr>
    </w:p>
    <w:p w14:paraId="2FBCFEF1">
      <w:pPr>
        <w:pStyle w:val="53"/>
        <w:spacing w:before="0" w:after="0" w:line="360" w:lineRule="auto"/>
        <w:outlineLvl w:val="9"/>
        <w:rPr>
          <w:rFonts w:ascii="仿宋" w:hAnsi="仿宋" w:eastAsia="仿宋"/>
          <w:bCs w:val="0"/>
          <w:color w:val="auto"/>
          <w:kern w:val="2"/>
          <w:sz w:val="30"/>
          <w:szCs w:val="30"/>
          <w:highlight w:val="none"/>
        </w:rPr>
      </w:pPr>
    </w:p>
    <w:p w14:paraId="51D39337">
      <w:pPr>
        <w:pStyle w:val="53"/>
        <w:spacing w:before="0" w:after="0" w:line="360" w:lineRule="auto"/>
        <w:outlineLvl w:val="9"/>
        <w:rPr>
          <w:rFonts w:ascii="仿宋" w:hAnsi="仿宋" w:eastAsia="仿宋"/>
          <w:bCs w:val="0"/>
          <w:color w:val="auto"/>
          <w:kern w:val="2"/>
          <w:sz w:val="30"/>
          <w:szCs w:val="30"/>
          <w:highlight w:val="none"/>
        </w:rPr>
      </w:pPr>
    </w:p>
    <w:p w14:paraId="1CFC3225">
      <w:pPr>
        <w:pStyle w:val="53"/>
        <w:spacing w:before="0" w:after="0" w:line="360" w:lineRule="auto"/>
        <w:jc w:val="both"/>
        <w:outlineLvl w:val="9"/>
        <w:rPr>
          <w:rFonts w:ascii="仿宋" w:hAnsi="仿宋" w:eastAsia="仿宋"/>
          <w:bCs w:val="0"/>
          <w:color w:val="auto"/>
          <w:kern w:val="2"/>
          <w:sz w:val="30"/>
          <w:szCs w:val="30"/>
          <w:highlight w:val="none"/>
        </w:rPr>
      </w:pPr>
    </w:p>
    <w:p w14:paraId="510DBD21">
      <w:pPr>
        <w:pStyle w:val="53"/>
        <w:pageBreakBefore w:val="0"/>
        <w:kinsoku/>
        <w:wordWrap/>
        <w:overflowPunct/>
        <w:topLinePunct w:val="0"/>
        <w:bidi w:val="0"/>
        <w:spacing w:before="0" w:after="0" w:line="560" w:lineRule="exact"/>
        <w:outlineLvl w:val="9"/>
        <w:rPr>
          <w:rFonts w:hint="eastAsia" w:ascii="仿宋" w:hAnsi="仿宋" w:eastAsia="仿宋"/>
          <w:color w:val="auto"/>
          <w:highlight w:val="none"/>
        </w:rPr>
        <w:sectPr>
          <w:headerReference r:id="rId4" w:type="first"/>
          <w:footerReference r:id="rId7" w:type="first"/>
          <w:headerReference r:id="rId3" w:type="default"/>
          <w:footerReference r:id="rId5" w:type="default"/>
          <w:footerReference r:id="rId6" w:type="even"/>
          <w:pgSz w:w="11906" w:h="16838"/>
          <w:pgMar w:top="1440" w:right="1080" w:bottom="1440" w:left="1080" w:header="709" w:footer="709" w:gutter="0"/>
          <w:pgNumType w:start="0"/>
          <w:cols w:space="720" w:num="1"/>
          <w:titlePg/>
          <w:docGrid w:type="lines" w:linePitch="312" w:charSpace="0"/>
        </w:sectPr>
      </w:pPr>
    </w:p>
    <w:p w14:paraId="0AB337EE">
      <w:pPr>
        <w:pStyle w:val="53"/>
        <w:pageBreakBefore w:val="0"/>
        <w:kinsoku/>
        <w:wordWrap/>
        <w:overflowPunct/>
        <w:topLinePunct w:val="0"/>
        <w:bidi w:val="0"/>
        <w:spacing w:before="0" w:after="0" w:line="560" w:lineRule="exact"/>
        <w:rPr>
          <w:rFonts w:ascii="仿宋" w:hAnsi="仿宋" w:eastAsia="仿宋"/>
          <w:color w:val="auto"/>
          <w:highlight w:val="none"/>
        </w:rPr>
      </w:pPr>
      <w:bookmarkStart w:id="12" w:name="_Toc14521"/>
      <w:bookmarkStart w:id="13" w:name="_Toc16822"/>
      <w:r>
        <w:rPr>
          <w:rFonts w:hint="eastAsia" w:ascii="仿宋" w:hAnsi="仿宋" w:eastAsia="仿宋"/>
          <w:color w:val="auto"/>
          <w:highlight w:val="none"/>
        </w:rPr>
        <w:t>第一章</w:t>
      </w:r>
      <w:bookmarkStart w:id="14" w:name="_Hlk67572301"/>
      <w:bookmarkStart w:id="15" w:name="_Hlk41036186"/>
      <w:bookmarkStart w:id="16" w:name="_Hlk24637679"/>
      <w:r>
        <w:rPr>
          <w:rFonts w:hint="eastAsia" w:ascii="仿宋" w:hAnsi="仿宋" w:eastAsia="仿宋"/>
          <w:color w:val="auto"/>
          <w:highlight w:val="none"/>
        </w:rPr>
        <w:t xml:space="preserve"> 招</w:t>
      </w:r>
      <w:bookmarkStart w:id="17" w:name="_Hlk24714518"/>
      <w:r>
        <w:rPr>
          <w:rFonts w:hint="eastAsia" w:ascii="仿宋" w:hAnsi="仿宋" w:eastAsia="仿宋"/>
          <w:color w:val="auto"/>
          <w:highlight w:val="none"/>
        </w:rPr>
        <w:t>标公告</w:t>
      </w:r>
      <w:bookmarkEnd w:id="6"/>
      <w:bookmarkEnd w:id="7"/>
      <w:bookmarkEnd w:id="8"/>
      <w:bookmarkEnd w:id="12"/>
      <w:bookmarkEnd w:id="13"/>
      <w:bookmarkEnd w:id="14"/>
      <w:bookmarkEnd w:id="15"/>
      <w:bookmarkEnd w:id="16"/>
      <w:bookmarkEnd w:id="17"/>
      <w:bookmarkStart w:id="18" w:name="_Toc448328558"/>
      <w:bookmarkEnd w:id="18"/>
      <w:bookmarkStart w:id="19" w:name="_Toc303341772"/>
      <w:bookmarkEnd w:id="19"/>
      <w:bookmarkStart w:id="20" w:name="_Toc186366507"/>
      <w:bookmarkEnd w:id="20"/>
      <w:bookmarkStart w:id="21" w:name="_Toc314036810"/>
      <w:bookmarkEnd w:id="21"/>
      <w:bookmarkStart w:id="22" w:name="_Toc448328627"/>
      <w:bookmarkEnd w:id="22"/>
      <w:bookmarkStart w:id="23" w:name="_Toc448328633"/>
      <w:bookmarkStart w:id="24" w:name="_Toc24730467"/>
      <w:bookmarkStart w:id="25" w:name="_Toc448328564"/>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1580C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tcPr>
          <w:p w14:paraId="46B3031F">
            <w:pPr>
              <w:keepNext w:val="0"/>
              <w:keepLines w:val="0"/>
              <w:pageBreakBefore w:val="0"/>
              <w:suppressLineNumbers w:val="0"/>
              <w:pBdr>
                <w:top w:val="none" w:color="auto" w:sz="0" w:space="1"/>
                <w:left w:val="none" w:color="auto" w:sz="0" w:space="4"/>
                <w:bottom w:val="none" w:color="auto" w:sz="0" w:space="1"/>
                <w:right w:val="none" w:color="auto" w:sz="0" w:space="4"/>
                <w:between w:val="none" w:color="auto" w:sz="0" w:space="0"/>
              </w:pBdr>
              <w:kinsoku/>
              <w:wordWrap/>
              <w:overflowPunct/>
              <w:topLinePunct w:val="0"/>
              <w:bidi w:val="0"/>
              <w:spacing w:before="0" w:beforeAutospacing="0" w:after="0" w:afterAutospacing="0" w:line="460" w:lineRule="exact"/>
              <w:ind w:left="0" w:right="0"/>
              <w:rPr>
                <w:rFonts w:hint="eastAsia" w:ascii="仿宋" w:hAnsi="仿宋" w:eastAsia="仿宋" w:cs="仿宋"/>
                <w:b/>
                <w:color w:val="auto"/>
                <w:sz w:val="24"/>
                <w:szCs w:val="24"/>
                <w:highlight w:val="none"/>
                <w:shd w:val="clear" w:color="auto" w:fill="auto"/>
                <w:lang w:eastAsia="zh-CN"/>
              </w:rPr>
            </w:pPr>
            <w:bookmarkStart w:id="26" w:name="_Hlk66742264"/>
            <w:bookmarkEnd w:id="26"/>
            <w:r>
              <w:rPr>
                <w:rFonts w:hint="eastAsia" w:ascii="仿宋" w:hAnsi="仿宋" w:eastAsia="仿宋" w:cs="仿宋"/>
                <w:b/>
                <w:color w:val="auto"/>
                <w:sz w:val="24"/>
                <w:szCs w:val="24"/>
                <w:highlight w:val="none"/>
                <w:shd w:val="clear" w:color="auto" w:fill="auto"/>
                <w:lang w:eastAsia="zh-CN"/>
              </w:rPr>
              <w:t>项目概况</w:t>
            </w:r>
          </w:p>
          <w:p w14:paraId="18C05512">
            <w:pPr>
              <w:keepNext w:val="0"/>
              <w:keepLines w:val="0"/>
              <w:pageBreakBefore w:val="0"/>
              <w:suppressLineNumbers w:val="0"/>
              <w:kinsoku/>
              <w:wordWrap/>
              <w:overflowPunct/>
              <w:topLinePunct w:val="0"/>
              <w:bidi w:val="0"/>
              <w:spacing w:before="0" w:beforeAutospacing="0" w:after="0" w:afterAutospacing="0" w:line="460" w:lineRule="exact"/>
              <w:ind w:left="0" w:right="0" w:firstLine="480" w:firstLineChars="200"/>
              <w:rPr>
                <w:rFonts w:hint="eastAsia" w:ascii="仿宋" w:hAnsi="仿宋" w:eastAsia="仿宋" w:cs="仿宋"/>
                <w:b/>
                <w:color w:val="auto"/>
                <w:sz w:val="24"/>
                <w:szCs w:val="24"/>
                <w:highlight w:val="none"/>
                <w:shd w:val="clear" w:color="auto" w:fill="auto"/>
                <w:vertAlign w:val="baseline"/>
                <w:lang w:eastAsia="zh-CN"/>
              </w:rPr>
            </w:pPr>
            <w:bookmarkStart w:id="27" w:name="_Toc54111615"/>
            <w:bookmarkEnd w:id="27"/>
            <w:bookmarkStart w:id="28" w:name="_Toc41046517"/>
            <w:bookmarkEnd w:id="28"/>
            <w:r>
              <w:rPr>
                <w:rFonts w:hint="eastAsia" w:ascii="仿宋" w:hAnsi="仿宋" w:eastAsia="仿宋" w:cs="黑体"/>
                <w:color w:val="auto"/>
                <w:kern w:val="2"/>
                <w:sz w:val="24"/>
                <w:szCs w:val="24"/>
                <w:highlight w:val="none"/>
                <w:u w:val="single"/>
              </w:rPr>
              <w:t>普洱市农业农村局第三次全国土壤普查市级成果汇编项目</w:t>
            </w:r>
            <w:r>
              <w:rPr>
                <w:rFonts w:hint="eastAsia" w:ascii="仿宋" w:hAnsi="仿宋" w:eastAsia="仿宋" w:cs="黑体"/>
                <w:color w:val="auto"/>
                <w:kern w:val="2"/>
                <w:sz w:val="24"/>
                <w:szCs w:val="24"/>
                <w:highlight w:val="none"/>
              </w:rPr>
              <w:t>的潜在</w:t>
            </w:r>
            <w:r>
              <w:rPr>
                <w:rFonts w:hint="eastAsia" w:ascii="仿宋" w:hAnsi="仿宋" w:eastAsia="仿宋" w:cs="黑体"/>
                <w:color w:val="auto"/>
                <w:kern w:val="2"/>
                <w:sz w:val="24"/>
                <w:szCs w:val="24"/>
                <w:highlight w:val="none"/>
                <w:lang w:eastAsia="zh-CN"/>
              </w:rPr>
              <w:t>投标人</w:t>
            </w:r>
            <w:r>
              <w:rPr>
                <w:rFonts w:hint="eastAsia" w:ascii="仿宋" w:hAnsi="仿宋" w:eastAsia="仿宋" w:cs="黑体"/>
                <w:color w:val="auto"/>
                <w:kern w:val="2"/>
                <w:sz w:val="24"/>
                <w:szCs w:val="24"/>
                <w:highlight w:val="none"/>
              </w:rPr>
              <w:t>应在</w:t>
            </w:r>
            <w:r>
              <w:rPr>
                <w:rFonts w:hint="default"/>
                <w:color w:val="auto"/>
                <w:kern w:val="2"/>
                <w:sz w:val="21"/>
                <w:szCs w:val="22"/>
                <w:highlight w:val="none"/>
              </w:rPr>
              <w:fldChar w:fldCharType="begin"/>
            </w:r>
            <w:r>
              <w:rPr>
                <w:rFonts w:hint="default"/>
                <w:color w:val="auto"/>
                <w:kern w:val="2"/>
                <w:sz w:val="21"/>
                <w:szCs w:val="22"/>
                <w:highlight w:val="none"/>
              </w:rPr>
              <w:instrText xml:space="preserve"> HYPERLINK "https://www.ynggzy.com/zfcg-tb）获取招标文件，并于2021年" </w:instrText>
            </w:r>
            <w:r>
              <w:rPr>
                <w:rFonts w:hint="default"/>
                <w:color w:val="auto"/>
                <w:kern w:val="2"/>
                <w:sz w:val="21"/>
                <w:szCs w:val="22"/>
                <w:highlight w:val="none"/>
              </w:rPr>
              <w:fldChar w:fldCharType="separate"/>
            </w:r>
            <w:r>
              <w:rPr>
                <w:rFonts w:hint="eastAsia" w:ascii="仿宋" w:hAnsi="仿宋" w:eastAsia="仿宋" w:cs="仿宋"/>
                <w:color w:val="auto"/>
                <w:spacing w:val="8"/>
                <w:kern w:val="2"/>
                <w:sz w:val="24"/>
                <w:szCs w:val="24"/>
                <w:highlight w:val="none"/>
                <w:u w:val="single"/>
              </w:rPr>
              <w:t>“政采云”平台（http：//www.zcygov.cn）（操作路径：登录“政采云”平台-项目采购-获取采购文件-找到本项目-点击“申请获取采购文件”）</w:t>
            </w:r>
            <w:r>
              <w:rPr>
                <w:rFonts w:hint="eastAsia" w:ascii="仿宋" w:hAnsi="仿宋" w:eastAsia="仿宋" w:cs="黑体"/>
                <w:color w:val="auto"/>
                <w:kern w:val="2"/>
                <w:sz w:val="24"/>
                <w:szCs w:val="24"/>
                <w:highlight w:val="none"/>
              </w:rPr>
              <w:t>网上</w:t>
            </w:r>
            <w:r>
              <w:rPr>
                <w:rStyle w:val="66"/>
                <w:rFonts w:hint="eastAsia" w:ascii="仿宋" w:hAnsi="仿宋" w:eastAsia="仿宋" w:cs="黑体"/>
                <w:color w:val="auto"/>
                <w:kern w:val="2"/>
                <w:sz w:val="24"/>
                <w:szCs w:val="24"/>
                <w:highlight w:val="none"/>
              </w:rPr>
              <w:t>获取</w:t>
            </w:r>
            <w:r>
              <w:rPr>
                <w:rStyle w:val="66"/>
                <w:rFonts w:hint="eastAsia" w:ascii="仿宋" w:hAnsi="仿宋" w:eastAsia="仿宋" w:cs="黑体"/>
                <w:color w:val="auto"/>
                <w:kern w:val="2"/>
                <w:sz w:val="24"/>
                <w:szCs w:val="24"/>
                <w:highlight w:val="none"/>
                <w:lang w:eastAsia="zh-CN"/>
              </w:rPr>
              <w:t>招标</w:t>
            </w:r>
            <w:r>
              <w:rPr>
                <w:rStyle w:val="66"/>
                <w:rFonts w:hint="eastAsia" w:ascii="仿宋" w:hAnsi="仿宋" w:eastAsia="仿宋" w:cs="黑体"/>
                <w:color w:val="auto"/>
                <w:kern w:val="2"/>
                <w:sz w:val="24"/>
                <w:szCs w:val="24"/>
                <w:highlight w:val="none"/>
              </w:rPr>
              <w:t>文件，并于</w:t>
            </w:r>
            <w:r>
              <w:rPr>
                <w:rStyle w:val="66"/>
                <w:rFonts w:hint="eastAsia" w:ascii="仿宋" w:hAnsi="仿宋" w:eastAsia="仿宋" w:cs="黑体"/>
                <w:color w:val="auto"/>
                <w:kern w:val="2"/>
                <w:sz w:val="24"/>
                <w:szCs w:val="24"/>
                <w:highlight w:val="none"/>
                <w:u w:val="single"/>
              </w:rPr>
              <w:fldChar w:fldCharType="end"/>
            </w:r>
            <w:r>
              <w:rPr>
                <w:rFonts w:hint="eastAsia" w:ascii="仿宋" w:hAnsi="仿宋" w:eastAsia="仿宋" w:cs="黑体"/>
                <w:b/>
                <w:bCs/>
                <w:color w:val="auto"/>
                <w:kern w:val="2"/>
                <w:sz w:val="24"/>
                <w:szCs w:val="24"/>
                <w:highlight w:val="none"/>
                <w:u w:val="single"/>
              </w:rPr>
              <w:t>202</w:t>
            </w:r>
            <w:r>
              <w:rPr>
                <w:rFonts w:hint="eastAsia" w:ascii="仿宋" w:hAnsi="仿宋" w:eastAsia="仿宋" w:cs="黑体"/>
                <w:b/>
                <w:bCs/>
                <w:color w:val="auto"/>
                <w:kern w:val="2"/>
                <w:sz w:val="24"/>
                <w:szCs w:val="24"/>
                <w:highlight w:val="none"/>
                <w:u w:val="single"/>
                <w:lang w:val="en-US" w:eastAsia="zh-CN"/>
              </w:rPr>
              <w:t>5</w:t>
            </w:r>
            <w:r>
              <w:rPr>
                <w:rFonts w:hint="eastAsia" w:ascii="仿宋" w:hAnsi="仿宋" w:eastAsia="仿宋" w:cs="黑体"/>
                <w:b/>
                <w:bCs/>
                <w:color w:val="auto"/>
                <w:kern w:val="2"/>
                <w:sz w:val="24"/>
                <w:szCs w:val="24"/>
                <w:highlight w:val="none"/>
                <w:u w:val="single"/>
              </w:rPr>
              <w:t>年</w:t>
            </w:r>
            <w:r>
              <w:rPr>
                <w:rFonts w:hint="eastAsia" w:ascii="仿宋" w:hAnsi="仿宋" w:eastAsia="仿宋" w:cs="黑体"/>
                <w:b/>
                <w:bCs/>
                <w:color w:val="auto"/>
                <w:kern w:val="2"/>
                <w:sz w:val="24"/>
                <w:szCs w:val="24"/>
                <w:highlight w:val="none"/>
                <w:u w:val="single"/>
                <w:lang w:val="en-US" w:eastAsia="zh-CN"/>
              </w:rPr>
              <w:t>04</w:t>
            </w:r>
            <w:r>
              <w:rPr>
                <w:rFonts w:hint="eastAsia" w:ascii="仿宋" w:hAnsi="仿宋" w:eastAsia="仿宋" w:cs="黑体"/>
                <w:b/>
                <w:bCs/>
                <w:color w:val="auto"/>
                <w:kern w:val="2"/>
                <w:sz w:val="24"/>
                <w:szCs w:val="24"/>
                <w:highlight w:val="none"/>
                <w:u w:val="single"/>
              </w:rPr>
              <w:t>月</w:t>
            </w:r>
            <w:r>
              <w:rPr>
                <w:rFonts w:hint="eastAsia" w:ascii="仿宋" w:hAnsi="仿宋" w:eastAsia="仿宋" w:cs="黑体"/>
                <w:b/>
                <w:bCs/>
                <w:color w:val="auto"/>
                <w:kern w:val="2"/>
                <w:sz w:val="24"/>
                <w:szCs w:val="24"/>
                <w:highlight w:val="none"/>
                <w:u w:val="single"/>
                <w:lang w:val="en-US" w:eastAsia="zh-CN"/>
              </w:rPr>
              <w:t>08</w:t>
            </w:r>
            <w:r>
              <w:rPr>
                <w:rFonts w:hint="eastAsia" w:ascii="仿宋" w:hAnsi="仿宋" w:eastAsia="仿宋" w:cs="黑体"/>
                <w:b/>
                <w:bCs/>
                <w:color w:val="auto"/>
                <w:kern w:val="2"/>
                <w:sz w:val="24"/>
                <w:szCs w:val="24"/>
                <w:highlight w:val="none"/>
                <w:u w:val="single"/>
              </w:rPr>
              <w:t>日</w:t>
            </w:r>
            <w:r>
              <w:rPr>
                <w:rFonts w:hint="eastAsia" w:ascii="仿宋" w:hAnsi="仿宋" w:eastAsia="仿宋" w:cs="黑体"/>
                <w:b/>
                <w:bCs/>
                <w:color w:val="auto"/>
                <w:kern w:val="2"/>
                <w:sz w:val="24"/>
                <w:szCs w:val="24"/>
                <w:highlight w:val="none"/>
                <w:u w:val="single"/>
                <w:lang w:val="en-US" w:eastAsia="zh-CN"/>
              </w:rPr>
              <w:t>09</w:t>
            </w:r>
            <w:r>
              <w:rPr>
                <w:rFonts w:hint="eastAsia" w:ascii="仿宋" w:hAnsi="仿宋" w:eastAsia="仿宋" w:cs="黑体"/>
                <w:b/>
                <w:bCs/>
                <w:color w:val="auto"/>
                <w:kern w:val="2"/>
                <w:sz w:val="24"/>
                <w:szCs w:val="24"/>
                <w:highlight w:val="none"/>
                <w:u w:val="single"/>
              </w:rPr>
              <w:t>时</w:t>
            </w:r>
            <w:r>
              <w:rPr>
                <w:rFonts w:hint="eastAsia" w:ascii="仿宋" w:hAnsi="仿宋" w:eastAsia="仿宋" w:cs="黑体"/>
                <w:b/>
                <w:bCs/>
                <w:color w:val="auto"/>
                <w:kern w:val="2"/>
                <w:sz w:val="24"/>
                <w:szCs w:val="24"/>
                <w:highlight w:val="none"/>
                <w:u w:val="single"/>
                <w:lang w:val="en-US" w:eastAsia="zh-CN"/>
              </w:rPr>
              <w:t>00</w:t>
            </w:r>
            <w:r>
              <w:rPr>
                <w:rFonts w:hint="eastAsia" w:ascii="仿宋" w:hAnsi="仿宋" w:eastAsia="仿宋" w:cs="黑体"/>
                <w:b/>
                <w:bCs/>
                <w:color w:val="auto"/>
                <w:kern w:val="2"/>
                <w:sz w:val="24"/>
                <w:szCs w:val="24"/>
                <w:highlight w:val="none"/>
                <w:u w:val="single"/>
              </w:rPr>
              <w:t>分</w:t>
            </w:r>
            <w:r>
              <w:rPr>
                <w:rFonts w:hint="eastAsia" w:ascii="仿宋" w:hAnsi="仿宋" w:eastAsia="仿宋" w:cs="黑体"/>
                <w:color w:val="auto"/>
                <w:kern w:val="2"/>
                <w:sz w:val="24"/>
                <w:szCs w:val="24"/>
                <w:highlight w:val="none"/>
                <w:u w:val="single"/>
              </w:rPr>
              <w:t>（北京时间）</w:t>
            </w:r>
            <w:r>
              <w:rPr>
                <w:rFonts w:hint="eastAsia" w:ascii="仿宋" w:hAnsi="仿宋" w:eastAsia="仿宋" w:cs="黑体"/>
                <w:color w:val="auto"/>
                <w:kern w:val="2"/>
                <w:sz w:val="24"/>
                <w:szCs w:val="24"/>
                <w:highlight w:val="none"/>
              </w:rPr>
              <w:t>前递交投标文件。</w:t>
            </w:r>
          </w:p>
        </w:tc>
      </w:tr>
    </w:tbl>
    <w:p w14:paraId="4D7803FB">
      <w:pPr>
        <w:pStyle w:val="51"/>
        <w:keepNext w:val="0"/>
        <w:pageBreakBefore w:val="0"/>
        <w:kinsoku/>
        <w:wordWrap/>
        <w:overflowPunct/>
        <w:topLinePunct w:val="0"/>
        <w:bidi w:val="0"/>
        <w:spacing w:before="0" w:beforeAutospacing="0" w:after="0" w:afterAutospacing="0" w:line="460" w:lineRule="exact"/>
        <w:ind w:firstLine="482" w:firstLineChars="200"/>
        <w:outlineLvl w:val="0"/>
        <w:rPr>
          <w:rFonts w:hint="eastAsia" w:ascii="仿宋" w:hAnsi="仿宋" w:eastAsia="仿宋" w:cs="仿宋"/>
          <w:b/>
          <w:color w:val="auto"/>
          <w:sz w:val="24"/>
          <w:szCs w:val="24"/>
          <w:highlight w:val="none"/>
        </w:rPr>
      </w:pPr>
      <w:bookmarkStart w:id="29" w:name="_Toc10881"/>
      <w:bookmarkStart w:id="30" w:name="_Toc24730461"/>
      <w:bookmarkStart w:id="31" w:name="_Toc9618"/>
      <w:r>
        <w:rPr>
          <w:rFonts w:hint="eastAsia" w:ascii="仿宋" w:hAnsi="仿宋" w:eastAsia="仿宋" w:cs="仿宋"/>
          <w:b/>
          <w:color w:val="auto"/>
          <w:sz w:val="24"/>
          <w:szCs w:val="24"/>
          <w:highlight w:val="none"/>
        </w:rPr>
        <w:t>一、项目概况与招标范围</w:t>
      </w:r>
      <w:bookmarkEnd w:id="29"/>
      <w:bookmarkEnd w:id="30"/>
      <w:bookmarkEnd w:id="31"/>
    </w:p>
    <w:p w14:paraId="211E15EC">
      <w:pPr>
        <w:keepNext w:val="0"/>
        <w:pageBreakBefore w:val="0"/>
        <w:kinsoku/>
        <w:overflowPunct/>
        <w:topLinePunct w:val="0"/>
        <w:bidi w:val="0"/>
        <w:spacing w:line="460" w:lineRule="exact"/>
        <w:ind w:firstLine="480" w:firstLineChars="200"/>
        <w:rPr>
          <w:rFonts w:ascii="仿宋" w:hAnsi="仿宋" w:eastAsia="仿宋" w:cs="黑体"/>
          <w:color w:val="auto"/>
          <w:sz w:val="24"/>
          <w:szCs w:val="24"/>
          <w:highlight w:val="none"/>
        </w:rPr>
      </w:pPr>
      <w:r>
        <w:rPr>
          <w:rFonts w:hint="eastAsia" w:ascii="仿宋" w:hAnsi="仿宋" w:eastAsia="仿宋" w:cs="黑体"/>
          <w:color w:val="auto"/>
          <w:sz w:val="24"/>
          <w:szCs w:val="24"/>
          <w:highlight w:val="none"/>
        </w:rPr>
        <w:t>1.项目编号：</w:t>
      </w:r>
      <w:r>
        <w:rPr>
          <w:rFonts w:hint="eastAsia" w:ascii="仿宋" w:hAnsi="仿宋" w:eastAsia="仿宋"/>
          <w:color w:val="auto"/>
          <w:sz w:val="24"/>
          <w:szCs w:val="24"/>
          <w:highlight w:val="none"/>
        </w:rPr>
        <w:t>YNSF【202</w:t>
      </w:r>
      <w:r>
        <w:rPr>
          <w:rFonts w:hint="eastAsia" w:ascii="仿宋" w:hAnsi="仿宋" w:eastAsia="仿宋"/>
          <w:color w:val="auto"/>
          <w:sz w:val="24"/>
          <w:szCs w:val="24"/>
          <w:highlight w:val="none"/>
          <w:lang w:val="en-US" w:eastAsia="zh-CN"/>
        </w:rPr>
        <w:t>5ZB001</w:t>
      </w:r>
      <w:r>
        <w:rPr>
          <w:rFonts w:hint="eastAsia" w:ascii="仿宋" w:hAnsi="仿宋" w:eastAsia="仿宋"/>
          <w:color w:val="auto"/>
          <w:sz w:val="24"/>
          <w:szCs w:val="24"/>
          <w:highlight w:val="none"/>
        </w:rPr>
        <w:t>】</w:t>
      </w:r>
      <w:r>
        <w:rPr>
          <w:rFonts w:hint="eastAsia" w:ascii="仿宋" w:hAnsi="仿宋" w:eastAsia="仿宋" w:cs="黑体"/>
          <w:color w:val="auto"/>
          <w:sz w:val="24"/>
          <w:szCs w:val="24"/>
          <w:highlight w:val="none"/>
        </w:rPr>
        <w:t>；</w:t>
      </w:r>
    </w:p>
    <w:p w14:paraId="63A7885D">
      <w:pPr>
        <w:keepNext w:val="0"/>
        <w:pageBreakBefore w:val="0"/>
        <w:kinsoku/>
        <w:overflowPunct/>
        <w:topLinePunct w:val="0"/>
        <w:bidi w:val="0"/>
        <w:spacing w:line="460" w:lineRule="exact"/>
        <w:ind w:firstLine="480" w:firstLineChars="200"/>
        <w:rPr>
          <w:rFonts w:ascii="仿宋" w:hAnsi="仿宋" w:eastAsia="仿宋" w:cs="黑体"/>
          <w:color w:val="auto"/>
          <w:sz w:val="24"/>
          <w:szCs w:val="24"/>
          <w:highlight w:val="none"/>
          <w:u w:val="none"/>
        </w:rPr>
      </w:pPr>
      <w:r>
        <w:rPr>
          <w:rFonts w:hint="eastAsia" w:ascii="仿宋" w:hAnsi="仿宋" w:eastAsia="仿宋" w:cs="黑体"/>
          <w:color w:val="auto"/>
          <w:sz w:val="24"/>
          <w:szCs w:val="24"/>
          <w:highlight w:val="none"/>
        </w:rPr>
        <w:t>2.项目名称：</w:t>
      </w:r>
      <w:r>
        <w:rPr>
          <w:rFonts w:hint="eastAsia" w:ascii="仿宋" w:hAnsi="仿宋" w:eastAsia="仿宋" w:cs="黑体"/>
          <w:color w:val="auto"/>
          <w:sz w:val="24"/>
          <w:szCs w:val="24"/>
          <w:highlight w:val="none"/>
          <w:u w:val="none"/>
        </w:rPr>
        <w:t>普洱市农业农村局第三次全国土壤普查市级成果汇编项目；</w:t>
      </w:r>
    </w:p>
    <w:p w14:paraId="4CD36DFB">
      <w:pPr>
        <w:keepNext w:val="0"/>
        <w:pageBreakBefore w:val="0"/>
        <w:kinsoku/>
        <w:overflowPunct/>
        <w:topLinePunct w:val="0"/>
        <w:bidi w:val="0"/>
        <w:spacing w:line="460" w:lineRule="exact"/>
        <w:ind w:firstLine="480" w:firstLineChars="200"/>
        <w:rPr>
          <w:rFonts w:ascii="仿宋" w:hAnsi="仿宋" w:eastAsia="仿宋" w:cs="黑体"/>
          <w:color w:val="auto"/>
          <w:sz w:val="24"/>
          <w:szCs w:val="24"/>
          <w:highlight w:val="none"/>
        </w:rPr>
      </w:pPr>
      <w:r>
        <w:rPr>
          <w:rFonts w:hint="eastAsia" w:ascii="仿宋" w:hAnsi="仿宋" w:eastAsia="仿宋" w:cs="黑体"/>
          <w:color w:val="auto"/>
          <w:sz w:val="24"/>
          <w:szCs w:val="24"/>
          <w:highlight w:val="none"/>
        </w:rPr>
        <w:t>3.预算金额：</w:t>
      </w:r>
      <w:r>
        <w:rPr>
          <w:rFonts w:hint="eastAsia" w:ascii="仿宋" w:hAnsi="仿宋" w:eastAsia="仿宋" w:cs="黑体"/>
          <w:color w:val="auto"/>
          <w:sz w:val="24"/>
          <w:szCs w:val="24"/>
          <w:highlight w:val="none"/>
          <w:lang w:val="en-US" w:eastAsia="zh-CN"/>
        </w:rPr>
        <w:t>239</w:t>
      </w:r>
      <w:r>
        <w:rPr>
          <w:rFonts w:hint="eastAsia" w:ascii="仿宋" w:hAnsi="仿宋" w:eastAsia="仿宋" w:cs="黑体"/>
          <w:color w:val="auto"/>
          <w:sz w:val="24"/>
          <w:szCs w:val="24"/>
          <w:highlight w:val="none"/>
        </w:rPr>
        <w:t>万元;</w:t>
      </w:r>
    </w:p>
    <w:p w14:paraId="71DE1992">
      <w:pPr>
        <w:keepNext w:val="0"/>
        <w:pageBreakBefore w:val="0"/>
        <w:kinsoku/>
        <w:overflowPunct/>
        <w:topLinePunct w:val="0"/>
        <w:bidi w:val="0"/>
        <w:spacing w:line="460" w:lineRule="exact"/>
        <w:ind w:firstLine="480" w:firstLineChars="200"/>
        <w:rPr>
          <w:rFonts w:ascii="仿宋" w:hAnsi="仿宋" w:eastAsia="仿宋" w:cs="黑体"/>
          <w:bCs/>
          <w:color w:val="auto"/>
          <w:sz w:val="24"/>
          <w:szCs w:val="24"/>
          <w:highlight w:val="none"/>
        </w:rPr>
      </w:pPr>
      <w:r>
        <w:rPr>
          <w:rFonts w:hint="eastAsia" w:ascii="仿宋" w:hAnsi="仿宋" w:eastAsia="仿宋" w:cs="黑体"/>
          <w:color w:val="auto"/>
          <w:sz w:val="24"/>
          <w:szCs w:val="24"/>
          <w:highlight w:val="none"/>
        </w:rPr>
        <w:t>4.最高限价：</w:t>
      </w:r>
      <w:r>
        <w:rPr>
          <w:rFonts w:hint="eastAsia" w:ascii="仿宋" w:hAnsi="仿宋" w:eastAsia="仿宋" w:cs="黑体"/>
          <w:color w:val="auto"/>
          <w:sz w:val="24"/>
          <w:szCs w:val="24"/>
          <w:highlight w:val="none"/>
          <w:lang w:val="en-US" w:eastAsia="zh-CN"/>
        </w:rPr>
        <w:t>239</w:t>
      </w:r>
      <w:r>
        <w:rPr>
          <w:rFonts w:hint="eastAsia" w:ascii="仿宋" w:hAnsi="仿宋" w:eastAsia="仿宋" w:cs="黑体"/>
          <w:color w:val="auto"/>
          <w:sz w:val="24"/>
          <w:szCs w:val="24"/>
          <w:highlight w:val="none"/>
        </w:rPr>
        <w:t>万元;</w:t>
      </w:r>
    </w:p>
    <w:p w14:paraId="1FCD378B">
      <w:pPr>
        <w:keepNext w:val="0"/>
        <w:pageBreakBefore w:val="0"/>
        <w:kinsoku/>
        <w:overflowPunct/>
        <w:topLinePunct w:val="0"/>
        <w:bidi w:val="0"/>
        <w:spacing w:line="460" w:lineRule="exact"/>
        <w:ind w:firstLine="480" w:firstLineChars="200"/>
        <w:rPr>
          <w:rFonts w:ascii="仿宋" w:hAnsi="仿宋" w:eastAsia="仿宋" w:cs="宋体"/>
          <w:color w:val="auto"/>
          <w:sz w:val="24"/>
          <w:szCs w:val="24"/>
          <w:highlight w:val="none"/>
        </w:rPr>
      </w:pPr>
      <w:r>
        <w:rPr>
          <w:rFonts w:hint="eastAsia" w:ascii="仿宋" w:hAnsi="仿宋" w:eastAsia="仿宋" w:cs="黑体"/>
          <w:color w:val="auto"/>
          <w:sz w:val="24"/>
          <w:szCs w:val="24"/>
          <w:highlight w:val="none"/>
        </w:rPr>
        <w:t>5.采购需求：</w:t>
      </w:r>
      <w:r>
        <w:rPr>
          <w:rFonts w:hint="eastAsia" w:ascii="仿宋" w:hAnsi="仿宋" w:eastAsia="仿宋" w:cs="黑体"/>
          <w:color w:val="auto"/>
          <w:sz w:val="24"/>
          <w:szCs w:val="24"/>
          <w:highlight w:val="none"/>
          <w:lang w:eastAsia="zh-CN"/>
        </w:rPr>
        <w:t>按照第三次全国土壤普查技术规范、导引等要求，完成市本级文本报告和图件编制，完成数据、数据库及样品库建设，具体内容详见第五章“招标内容及技术要求”。</w:t>
      </w:r>
    </w:p>
    <w:p w14:paraId="6D1FA8C4">
      <w:pPr>
        <w:keepNext w:val="0"/>
        <w:pageBreakBefore w:val="0"/>
        <w:kinsoku/>
        <w:overflowPunct/>
        <w:topLinePunct w:val="0"/>
        <w:bidi w:val="0"/>
        <w:spacing w:line="460" w:lineRule="exact"/>
        <w:ind w:firstLine="480" w:firstLineChars="200"/>
        <w:rPr>
          <w:rFonts w:hint="eastAsia" w:ascii="仿宋" w:hAnsi="仿宋" w:eastAsia="仿宋" w:cs="黑体"/>
          <w:color w:val="auto"/>
          <w:sz w:val="24"/>
          <w:szCs w:val="24"/>
          <w:highlight w:val="none"/>
          <w:lang w:eastAsia="zh-CN"/>
        </w:rPr>
      </w:pPr>
      <w:r>
        <w:rPr>
          <w:rFonts w:hint="eastAsia" w:ascii="仿宋" w:hAnsi="仿宋" w:eastAsia="仿宋" w:cs="宋体"/>
          <w:color w:val="auto"/>
          <w:sz w:val="24"/>
          <w:szCs w:val="24"/>
          <w:highlight w:val="none"/>
        </w:rPr>
        <w:t>6.合同履行期限：</w:t>
      </w:r>
      <w:r>
        <w:rPr>
          <w:rFonts w:hint="eastAsia" w:ascii="仿宋" w:hAnsi="仿宋" w:eastAsia="仿宋" w:cs="黑体"/>
          <w:color w:val="auto"/>
          <w:sz w:val="24"/>
          <w:szCs w:val="24"/>
          <w:highlight w:val="none"/>
          <w:lang w:val="en-US" w:eastAsia="zh-CN"/>
        </w:rPr>
        <w:t>自合同签订后至通过国家级验收为止（具体完成时间根据全国、省级、州级成果验收进度进行调整，</w:t>
      </w:r>
      <w:r>
        <w:rPr>
          <w:rFonts w:hint="eastAsia" w:ascii="仿宋" w:hAnsi="仿宋" w:eastAsia="仿宋" w:cs="黑体"/>
          <w:color w:val="auto"/>
          <w:sz w:val="24"/>
          <w:szCs w:val="24"/>
          <w:highlight w:val="none"/>
          <w:lang w:eastAsia="zh-CN"/>
        </w:rPr>
        <w:t>具体以</w:t>
      </w:r>
      <w:r>
        <w:rPr>
          <w:rFonts w:hint="eastAsia" w:ascii="仿宋" w:hAnsi="仿宋" w:eastAsia="仿宋" w:cs="黑体"/>
          <w:color w:val="auto"/>
          <w:sz w:val="24"/>
          <w:szCs w:val="24"/>
          <w:highlight w:val="none"/>
          <w:lang w:val="en-US" w:eastAsia="zh-CN"/>
        </w:rPr>
        <w:t>招标人</w:t>
      </w:r>
      <w:r>
        <w:rPr>
          <w:rFonts w:hint="eastAsia" w:ascii="仿宋" w:hAnsi="仿宋" w:eastAsia="仿宋" w:cs="黑体"/>
          <w:color w:val="auto"/>
          <w:sz w:val="24"/>
          <w:szCs w:val="24"/>
          <w:highlight w:val="none"/>
          <w:lang w:eastAsia="zh-CN"/>
        </w:rPr>
        <w:t>要求为准</w:t>
      </w:r>
      <w:r>
        <w:rPr>
          <w:rFonts w:hint="eastAsia" w:ascii="仿宋" w:hAnsi="仿宋" w:eastAsia="仿宋" w:cs="黑体"/>
          <w:color w:val="auto"/>
          <w:sz w:val="24"/>
          <w:szCs w:val="24"/>
          <w:highlight w:val="none"/>
          <w:lang w:val="en-US" w:eastAsia="zh-CN"/>
        </w:rPr>
        <w:t>）</w:t>
      </w:r>
      <w:r>
        <w:rPr>
          <w:rFonts w:hint="eastAsia" w:ascii="仿宋" w:hAnsi="仿宋" w:eastAsia="仿宋" w:cs="黑体"/>
          <w:color w:val="auto"/>
          <w:sz w:val="24"/>
          <w:szCs w:val="24"/>
          <w:highlight w:val="none"/>
          <w:lang w:eastAsia="zh-CN"/>
        </w:rPr>
        <w:t>。</w:t>
      </w:r>
    </w:p>
    <w:p w14:paraId="64E21E90">
      <w:pPr>
        <w:keepNext w:val="0"/>
        <w:pageBreakBefore w:val="0"/>
        <w:kinsoku/>
        <w:overflowPunct/>
        <w:topLinePunct w:val="0"/>
        <w:bidi w:val="0"/>
        <w:spacing w:line="460" w:lineRule="exact"/>
        <w:ind w:firstLine="480" w:firstLineChars="200"/>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7.</w:t>
      </w:r>
      <w:r>
        <w:rPr>
          <w:rFonts w:hint="eastAsia" w:ascii="仿宋" w:hAnsi="仿宋" w:eastAsia="仿宋" w:cs="宋体"/>
          <w:color w:val="auto"/>
          <w:sz w:val="24"/>
          <w:szCs w:val="24"/>
          <w:highlight w:val="none"/>
          <w:lang w:eastAsia="zh-CN"/>
        </w:rPr>
        <w:t>服务地点：招标人指定地点；</w:t>
      </w:r>
    </w:p>
    <w:p w14:paraId="241CE6F6">
      <w:pPr>
        <w:keepNext w:val="0"/>
        <w:pageBreakBefore w:val="0"/>
        <w:kinsoku/>
        <w:overflowPunct/>
        <w:topLinePunct w:val="0"/>
        <w:bidi w:val="0"/>
        <w:spacing w:line="460" w:lineRule="exact"/>
        <w:ind w:firstLine="480" w:firstLineChars="200"/>
        <w:rPr>
          <w:rFonts w:hint="eastAsia" w:ascii="仿宋" w:hAnsi="仿宋" w:eastAsia="仿宋" w:cs="黑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szCs w:val="24"/>
          <w:highlight w:val="none"/>
        </w:rPr>
        <w:t>质量要求：</w:t>
      </w:r>
      <w:r>
        <w:rPr>
          <w:rFonts w:hint="eastAsia" w:ascii="仿宋" w:hAnsi="仿宋" w:eastAsia="仿宋" w:cs="黑体"/>
          <w:color w:val="auto"/>
          <w:sz w:val="24"/>
          <w:szCs w:val="24"/>
          <w:highlight w:val="none"/>
          <w:lang w:val="en-US" w:eastAsia="zh-CN"/>
        </w:rPr>
        <w:t>符合国家及行业现行相关标准和规范，按照第三次全国土壤普查成果编制相关政策和要求执行，服务内容满足招标人要求。</w:t>
      </w:r>
    </w:p>
    <w:p w14:paraId="609520C0">
      <w:pPr>
        <w:keepNext w:val="0"/>
        <w:pageBreakBefore w:val="0"/>
        <w:kinsoku/>
        <w:overflowPunct/>
        <w:topLinePunct w:val="0"/>
        <w:bidi w:val="0"/>
        <w:spacing w:line="46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9</w:t>
      </w:r>
      <w:r>
        <w:rPr>
          <w:rFonts w:hint="eastAsia" w:ascii="仿宋" w:hAnsi="仿宋" w:eastAsia="仿宋" w:cs="宋体"/>
          <w:color w:val="auto"/>
          <w:sz w:val="24"/>
          <w:szCs w:val="24"/>
          <w:highlight w:val="none"/>
        </w:rPr>
        <w:t>.本项目接受联合体。</w:t>
      </w:r>
    </w:p>
    <w:p w14:paraId="59C8A9B9">
      <w:pPr>
        <w:pStyle w:val="5"/>
        <w:keepNext w:val="0"/>
        <w:pageBreakBefore w:val="0"/>
        <w:kinsoku/>
        <w:wordWrap/>
        <w:overflowPunct/>
        <w:topLinePunct w:val="0"/>
        <w:bidi w:val="0"/>
        <w:spacing w:before="0" w:after="0" w:line="460" w:lineRule="exact"/>
        <w:ind w:left="428" w:leftChars="20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二、投标人的资格要求：</w:t>
      </w:r>
    </w:p>
    <w:p w14:paraId="1CE17648">
      <w:pPr>
        <w:keepNext w:val="0"/>
        <w:keepLines w:val="0"/>
        <w:pageBreakBefore w:val="0"/>
        <w:kinsoku/>
        <w:wordWrap/>
        <w:overflowPunct/>
        <w:topLinePunct w:val="0"/>
        <w:autoSpaceDE/>
        <w:autoSpaceDN/>
        <w:bidi w:val="0"/>
        <w:snapToGrid/>
        <w:spacing w:line="46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1.满足《中华人民共和国政府采购法》第二十二条规定的条件并提供下列材料：</w:t>
      </w:r>
    </w:p>
    <w:p w14:paraId="2B9A579E">
      <w:pPr>
        <w:keepNext w:val="0"/>
        <w:keepLines w:val="0"/>
        <w:pageBreakBefore w:val="0"/>
        <w:kinsoku/>
        <w:wordWrap/>
        <w:overflowPunct/>
        <w:topLinePunct w:val="0"/>
        <w:autoSpaceDE/>
        <w:autoSpaceDN/>
        <w:bidi w:val="0"/>
        <w:snapToGrid/>
        <w:spacing w:line="460" w:lineRule="exact"/>
        <w:ind w:firstLine="480" w:firstLineChars="200"/>
        <w:rPr>
          <w:rFonts w:hint="eastAsia" w:ascii="仿宋" w:hAnsi="仿宋" w:eastAsia="仿宋" w:cs="宋体"/>
          <w:color w:val="auto"/>
          <w:sz w:val="24"/>
          <w:szCs w:val="24"/>
          <w:highlight w:val="none"/>
          <w:lang w:val="en-US" w:eastAsia="zh-CN"/>
        </w:rPr>
      </w:pPr>
      <w:r>
        <w:rPr>
          <w:rFonts w:hint="eastAsia" w:ascii="仿宋" w:hAnsi="仿宋" w:eastAsia="仿宋" w:cs="仿宋"/>
          <w:b w:val="0"/>
          <w:bCs w:val="0"/>
          <w:color w:val="auto"/>
          <w:sz w:val="24"/>
          <w:szCs w:val="24"/>
          <w:highlight w:val="none"/>
        </w:rPr>
        <w:t>1.1具有独立承担民事责任的能</w:t>
      </w:r>
      <w:r>
        <w:rPr>
          <w:rFonts w:hint="eastAsia" w:ascii="仿宋" w:hAnsi="仿宋" w:eastAsia="仿宋" w:cs="仿宋"/>
          <w:b w:val="0"/>
          <w:bCs w:val="0"/>
          <w:color w:val="auto"/>
          <w:sz w:val="24"/>
          <w:szCs w:val="24"/>
          <w:highlight w:val="none"/>
          <w:lang w:val="en-US" w:eastAsia="zh-CN"/>
        </w:rPr>
        <w:t>力（投标人须在中华人民共和国境内注册，提供真实有效的法人或者其他组织的营业执照等证明文件，</w:t>
      </w:r>
      <w:r>
        <w:rPr>
          <w:rFonts w:hint="eastAsia" w:ascii="仿宋" w:hAnsi="仿宋" w:eastAsia="仿宋" w:cs="宋体"/>
          <w:color w:val="auto"/>
          <w:sz w:val="24"/>
          <w:szCs w:val="24"/>
          <w:highlight w:val="none"/>
          <w:lang w:val="en-US" w:eastAsia="zh-CN"/>
        </w:rPr>
        <w:t>以联合体形式参加投标的，联合体各方均提供）；</w:t>
      </w:r>
    </w:p>
    <w:p w14:paraId="226D00B3">
      <w:pPr>
        <w:keepNext w:val="0"/>
        <w:keepLines w:val="0"/>
        <w:pageBreakBefore w:val="0"/>
        <w:kinsoku/>
        <w:wordWrap/>
        <w:overflowPunct/>
        <w:topLinePunct w:val="0"/>
        <w:autoSpaceDE/>
        <w:autoSpaceDN/>
        <w:bidi w:val="0"/>
        <w:snapToGrid/>
        <w:spacing w:line="460" w:lineRule="exact"/>
        <w:ind w:firstLine="480" w:firstLineChars="200"/>
        <w:rPr>
          <w:rFonts w:hint="eastAsia" w:ascii="仿宋" w:hAnsi="仿宋" w:eastAsia="仿宋" w:cs="宋体"/>
          <w:color w:val="auto"/>
          <w:sz w:val="24"/>
          <w:szCs w:val="24"/>
          <w:highlight w:val="none"/>
          <w:lang w:val="en-US" w:eastAsia="zh-CN"/>
        </w:rPr>
      </w:pPr>
      <w:r>
        <w:rPr>
          <w:rFonts w:hint="eastAsia" w:ascii="仿宋" w:hAnsi="仿宋" w:eastAsia="仿宋" w:cs="仿宋"/>
          <w:b w:val="0"/>
          <w:bCs w:val="0"/>
          <w:color w:val="auto"/>
          <w:sz w:val="24"/>
          <w:szCs w:val="24"/>
          <w:highlight w:val="none"/>
        </w:rPr>
        <w:t>1.2</w:t>
      </w:r>
      <w:r>
        <w:rPr>
          <w:rFonts w:hint="eastAsia" w:ascii="仿宋" w:hAnsi="仿宋" w:eastAsia="仿宋" w:cs="仿宋"/>
          <w:b w:val="0"/>
          <w:bCs w:val="0"/>
          <w:color w:val="auto"/>
          <w:sz w:val="24"/>
          <w:szCs w:val="24"/>
          <w:highlight w:val="none"/>
          <w:lang w:eastAsia="zh-CN"/>
        </w:rPr>
        <w:t>有良好的商业信誉和健全的财务会计制度。</w:t>
      </w:r>
      <w:r>
        <w:rPr>
          <w:rFonts w:hint="eastAsia" w:ascii="仿宋" w:hAnsi="仿宋" w:eastAsia="仿宋" w:cs="仿宋"/>
          <w:b w:val="0"/>
          <w:bCs w:val="0"/>
          <w:color w:val="auto"/>
          <w:sz w:val="24"/>
          <w:szCs w:val="24"/>
          <w:highlight w:val="none"/>
        </w:rPr>
        <w:t>提供</w:t>
      </w:r>
      <w:r>
        <w:rPr>
          <w:rFonts w:hint="eastAsia" w:ascii="仿宋" w:hAnsi="仿宋" w:eastAsia="仿宋" w:cs="仿宋"/>
          <w:b w:val="0"/>
          <w:bCs w:val="0"/>
          <w:color w:val="auto"/>
          <w:sz w:val="24"/>
          <w:szCs w:val="24"/>
          <w:highlight w:val="none"/>
          <w:lang w:val="en-US" w:eastAsia="zh-CN"/>
        </w:rPr>
        <w:t>2021年至今任意一年度</w:t>
      </w:r>
      <w:r>
        <w:rPr>
          <w:rFonts w:hint="eastAsia" w:ascii="仿宋" w:hAnsi="仿宋" w:eastAsia="仿宋" w:cs="仿宋"/>
          <w:b w:val="0"/>
          <w:bCs w:val="0"/>
          <w:color w:val="auto"/>
          <w:sz w:val="24"/>
          <w:szCs w:val="24"/>
          <w:highlight w:val="none"/>
        </w:rPr>
        <w:t>的财务报表，</w:t>
      </w:r>
      <w:r>
        <w:rPr>
          <w:rFonts w:hint="eastAsia" w:ascii="仿宋" w:hAnsi="仿宋" w:eastAsia="仿宋" w:cs="仿宋"/>
          <w:b w:val="0"/>
          <w:bCs w:val="0"/>
          <w:color w:val="auto"/>
          <w:kern w:val="0"/>
          <w:sz w:val="24"/>
          <w:szCs w:val="24"/>
          <w:highlight w:val="none"/>
        </w:rPr>
        <w:t>包括资产负债表、现金流量表、利润表等</w:t>
      </w:r>
      <w:r>
        <w:rPr>
          <w:rFonts w:hint="eastAsia" w:ascii="仿宋" w:hAnsi="仿宋" w:eastAsia="仿宋" w:cs="仿宋"/>
          <w:b w:val="0"/>
          <w:bCs w:val="0"/>
          <w:color w:val="auto"/>
          <w:sz w:val="24"/>
          <w:szCs w:val="24"/>
          <w:highlight w:val="none"/>
        </w:rPr>
        <w:t>。新成立不足一年的公司，</w:t>
      </w:r>
      <w:r>
        <w:rPr>
          <w:rFonts w:hint="eastAsia" w:ascii="仿宋" w:hAnsi="仿宋" w:eastAsia="仿宋" w:cs="仿宋"/>
          <w:color w:val="auto"/>
          <w:sz w:val="24"/>
          <w:szCs w:val="24"/>
          <w:highlight w:val="none"/>
          <w:lang w:eastAsia="zh-CN"/>
        </w:rPr>
        <w:t>提供书面承诺</w:t>
      </w:r>
      <w:r>
        <w:rPr>
          <w:rFonts w:hint="eastAsia" w:ascii="仿宋" w:hAnsi="仿宋" w:eastAsia="仿宋" w:cs="宋体"/>
          <w:color w:val="auto"/>
          <w:sz w:val="24"/>
          <w:szCs w:val="24"/>
          <w:highlight w:val="none"/>
          <w:lang w:val="en-US" w:eastAsia="zh-CN"/>
        </w:rPr>
        <w:t>（以联合体形式参加投标的，联合体牵头人须满足）；</w:t>
      </w:r>
      <w:bookmarkStart w:id="32" w:name="_Toc35393624"/>
      <w:bookmarkEnd w:id="32"/>
      <w:bookmarkStart w:id="33" w:name="_Toc35393793"/>
      <w:bookmarkEnd w:id="33"/>
      <w:bookmarkStart w:id="34" w:name="_Toc28359005"/>
      <w:bookmarkEnd w:id="34"/>
      <w:bookmarkStart w:id="35" w:name="_Toc28359082"/>
      <w:bookmarkEnd w:id="35"/>
    </w:p>
    <w:p w14:paraId="074D200D">
      <w:pPr>
        <w:keepNext w:val="0"/>
        <w:keepLines w:val="0"/>
        <w:pageBreakBefore w:val="0"/>
        <w:kinsoku/>
        <w:wordWrap/>
        <w:overflowPunct/>
        <w:topLinePunct w:val="0"/>
        <w:autoSpaceDE/>
        <w:autoSpaceDN/>
        <w:bidi w:val="0"/>
        <w:snapToGrid/>
        <w:spacing w:line="460" w:lineRule="exact"/>
        <w:ind w:firstLine="480" w:firstLineChars="200"/>
        <w:rPr>
          <w:rFonts w:hint="eastAsia" w:ascii="仿宋" w:hAnsi="仿宋" w:eastAsia="仿宋" w:cs="宋体"/>
          <w:color w:val="auto"/>
          <w:kern w:val="2"/>
          <w:sz w:val="24"/>
          <w:szCs w:val="24"/>
          <w:highlight w:val="none"/>
          <w:lang w:val="en-US" w:eastAsia="zh-CN" w:bidi="ar-SA"/>
        </w:rPr>
      </w:pPr>
      <w:r>
        <w:rPr>
          <w:rFonts w:hint="eastAsia" w:ascii="仿宋" w:hAnsi="仿宋" w:eastAsia="仿宋" w:cs="仿宋"/>
          <w:bCs w:val="0"/>
          <w:iCs w:val="0"/>
          <w:color w:val="auto"/>
          <w:kern w:val="2"/>
          <w:sz w:val="24"/>
          <w:szCs w:val="24"/>
          <w:highlight w:val="none"/>
        </w:rPr>
        <w:t>1.3具有履行合同所需的设备和专业技术能力</w:t>
      </w:r>
      <w:r>
        <w:rPr>
          <w:rFonts w:hint="eastAsia" w:ascii="仿宋" w:hAnsi="仿宋" w:eastAsia="仿宋" w:cs="宋体"/>
          <w:color w:val="auto"/>
          <w:kern w:val="2"/>
          <w:sz w:val="24"/>
          <w:szCs w:val="24"/>
          <w:highlight w:val="none"/>
          <w:lang w:val="en-US" w:eastAsia="zh-CN" w:bidi="ar-SA"/>
        </w:rPr>
        <w:t>（以联合体形式参加投标的，联合体各方均应满足，提供书面承诺）；</w:t>
      </w:r>
    </w:p>
    <w:p w14:paraId="696AFB72">
      <w:pPr>
        <w:keepNext w:val="0"/>
        <w:keepLines w:val="0"/>
        <w:pageBreakBefore w:val="0"/>
        <w:kinsoku/>
        <w:wordWrap/>
        <w:overflowPunct/>
        <w:topLinePunct w:val="0"/>
        <w:autoSpaceDE/>
        <w:autoSpaceDN/>
        <w:bidi w:val="0"/>
        <w:spacing w:line="460" w:lineRule="exact"/>
        <w:ind w:firstLine="480" w:firstLineChars="200"/>
        <w:rPr>
          <w:rFonts w:hint="eastAsia" w:ascii="仿宋" w:hAnsi="仿宋" w:eastAsia="仿宋" w:cs="宋体"/>
          <w:color w:val="auto"/>
          <w:kern w:val="2"/>
          <w:sz w:val="24"/>
          <w:szCs w:val="24"/>
          <w:highlight w:val="none"/>
          <w:lang w:val="en-US" w:eastAsia="zh-CN" w:bidi="ar-SA"/>
        </w:rPr>
      </w:pPr>
      <w:r>
        <w:rPr>
          <w:rFonts w:hint="eastAsia" w:ascii="仿宋" w:hAnsi="仿宋" w:eastAsia="仿宋" w:cs="仿宋"/>
          <w:color w:val="auto"/>
          <w:sz w:val="24"/>
          <w:szCs w:val="24"/>
          <w:highlight w:val="none"/>
        </w:rPr>
        <w:t>1.4有依法缴纳税收和社会保障资金的良好记录。提供202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年至今任意3个月的缴纳税收和缴纳社会保险的凭证。（依法免税和不需要缴纳社会保障资金的，应提供相应文件证明其依法免税和不需要缴纳社会保障资金；新成立的公司不足3个月的应提供书面承诺</w:t>
      </w:r>
      <w:r>
        <w:rPr>
          <w:rFonts w:hint="eastAsia" w:ascii="仿宋" w:hAnsi="仿宋" w:eastAsia="仿宋" w:cs="仿宋"/>
          <w:color w:val="auto"/>
          <w:sz w:val="24"/>
          <w:szCs w:val="24"/>
          <w:highlight w:val="none"/>
          <w:lang w:eastAsia="zh-CN"/>
        </w:rPr>
        <w:t>，</w:t>
      </w:r>
      <w:r>
        <w:rPr>
          <w:rFonts w:hint="eastAsia" w:ascii="仿宋" w:hAnsi="仿宋" w:eastAsia="仿宋" w:cs="宋体"/>
          <w:color w:val="auto"/>
          <w:kern w:val="2"/>
          <w:sz w:val="24"/>
          <w:szCs w:val="24"/>
          <w:highlight w:val="none"/>
          <w:lang w:val="en-US" w:eastAsia="zh-CN" w:bidi="ar-SA"/>
        </w:rPr>
        <w:t>以联合体形式参加投标的，联合体牵头人须满足）；</w:t>
      </w:r>
    </w:p>
    <w:p w14:paraId="01216493">
      <w:pPr>
        <w:keepNext w:val="0"/>
        <w:pageBreakBefore w:val="0"/>
        <w:kinsoku/>
        <w:wordWrap/>
        <w:overflowPunct/>
        <w:topLinePunct w:val="0"/>
        <w:autoSpaceDN/>
        <w:bidi w:val="0"/>
        <w:snapToGrid/>
        <w:spacing w:line="460" w:lineRule="exact"/>
        <w:ind w:firstLine="480" w:firstLineChars="200"/>
        <w:rPr>
          <w:rFonts w:hint="eastAsia" w:ascii="仿宋" w:hAnsi="仿宋" w:eastAsia="仿宋" w:cs="宋体"/>
          <w:color w:val="auto"/>
          <w:kern w:val="2"/>
          <w:sz w:val="24"/>
          <w:szCs w:val="24"/>
          <w:highlight w:val="none"/>
          <w:lang w:val="en-US" w:eastAsia="zh-CN" w:bidi="ar-SA"/>
        </w:rPr>
      </w:pPr>
      <w:r>
        <w:rPr>
          <w:rFonts w:hint="eastAsia" w:ascii="仿宋" w:hAnsi="仿宋" w:eastAsia="仿宋" w:cs="仿宋"/>
          <w:color w:val="auto"/>
          <w:sz w:val="24"/>
          <w:szCs w:val="24"/>
          <w:highlight w:val="none"/>
        </w:rPr>
        <w:t>1.5参加政府采购活动前三年内，在经营活动中没有重大违法记录（重大违法记录是指：因违法经营受到刑事处罚或者责令停产停业、吊销许可证或者执照、较大数额罚款等行政处罚），提供书面承诺或声明</w:t>
      </w:r>
      <w:r>
        <w:rPr>
          <w:rFonts w:hint="eastAsia" w:ascii="仿宋" w:hAnsi="仿宋" w:eastAsia="仿宋" w:cs="宋体"/>
          <w:color w:val="auto"/>
          <w:kern w:val="2"/>
          <w:sz w:val="24"/>
          <w:szCs w:val="24"/>
          <w:highlight w:val="none"/>
          <w:lang w:val="en-US" w:eastAsia="zh-CN" w:bidi="ar-SA"/>
        </w:rPr>
        <w:t>（以联合体形式参加投标的，联合体各方均提供）；</w:t>
      </w:r>
    </w:p>
    <w:p w14:paraId="015F782F">
      <w:pPr>
        <w:keepNext w:val="0"/>
        <w:pageBreakBefore w:val="0"/>
        <w:kinsoku/>
        <w:wordWrap/>
        <w:overflowPunct/>
        <w:topLinePunct w:val="0"/>
        <w:autoSpaceDN/>
        <w:bidi w:val="0"/>
        <w:snapToGrid/>
        <w:spacing w:line="460" w:lineRule="exact"/>
        <w:ind w:firstLine="480" w:firstLineChars="200"/>
        <w:rPr>
          <w:color w:val="auto"/>
          <w:sz w:val="24"/>
          <w:szCs w:val="24"/>
          <w:highlight w:val="none"/>
        </w:rPr>
      </w:pPr>
      <w:r>
        <w:rPr>
          <w:rFonts w:hint="eastAsia" w:ascii="仿宋" w:hAnsi="仿宋" w:eastAsia="仿宋" w:cs="仿宋"/>
          <w:color w:val="auto"/>
          <w:sz w:val="24"/>
          <w:szCs w:val="24"/>
          <w:highlight w:val="none"/>
        </w:rPr>
        <w:t>1.6法律、行政法规规定的其他条件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单位负责人为同一人或者存在直接控股、管理关系的不同供应商，不得参加同一合同项下的政府采购活动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提供书面承诺或声明</w:t>
      </w:r>
      <w:r>
        <w:rPr>
          <w:rFonts w:hint="eastAsia" w:ascii="仿宋" w:hAnsi="仿宋" w:eastAsia="仿宋" w:cs="宋体"/>
          <w:color w:val="auto"/>
          <w:kern w:val="2"/>
          <w:sz w:val="24"/>
          <w:szCs w:val="24"/>
          <w:highlight w:val="none"/>
          <w:lang w:val="en-US" w:eastAsia="zh-CN" w:bidi="ar-SA"/>
        </w:rPr>
        <w:t>（以联合体形式参加投标的，联合体各方均提供）；</w:t>
      </w:r>
    </w:p>
    <w:p w14:paraId="44CC546A">
      <w:pPr>
        <w:keepNext w:val="0"/>
        <w:pageBreakBefore w:val="0"/>
        <w:kinsoku/>
        <w:overflowPunct/>
        <w:topLinePunct w:val="0"/>
        <w:bidi w:val="0"/>
        <w:snapToGrid w:val="0"/>
        <w:spacing w:line="460" w:lineRule="exact"/>
        <w:ind w:firstLine="602" w:firstLineChars="250"/>
        <w:rPr>
          <w:rFonts w:hint="eastAsia" w:ascii="仿宋" w:hAnsi="仿宋" w:eastAsia="仿宋" w:cs="仿宋"/>
          <w:b/>
          <w:bCs/>
          <w:color w:val="auto"/>
          <w:kern w:val="2"/>
          <w:sz w:val="24"/>
          <w:szCs w:val="24"/>
          <w:highlight w:val="none"/>
          <w:lang w:val="en-US" w:eastAsia="zh-CN" w:bidi="ar"/>
        </w:rPr>
      </w:pPr>
      <w:r>
        <w:rPr>
          <w:rFonts w:hint="eastAsia" w:ascii="仿宋" w:hAnsi="仿宋" w:eastAsia="仿宋" w:cs="仿宋"/>
          <w:b/>
          <w:bCs/>
          <w:color w:val="auto"/>
          <w:kern w:val="2"/>
          <w:sz w:val="24"/>
          <w:szCs w:val="24"/>
          <w:highlight w:val="none"/>
          <w:lang w:val="en-US" w:eastAsia="zh-CN" w:bidi="ar"/>
        </w:rPr>
        <w:t>2.落实政府采购政策需满足的资格要求：</w:t>
      </w:r>
      <w:r>
        <w:rPr>
          <w:rFonts w:hint="eastAsia" w:ascii="仿宋" w:hAnsi="仿宋" w:eastAsia="仿宋"/>
          <w:color w:val="auto"/>
          <w:sz w:val="24"/>
          <w:szCs w:val="24"/>
          <w:highlight w:val="none"/>
        </w:rPr>
        <w:t>本项目不属于专门面向中小企业采购的项目</w:t>
      </w:r>
      <w:r>
        <w:rPr>
          <w:rFonts w:hint="eastAsia" w:ascii="仿宋" w:hAnsi="仿宋" w:eastAsia="仿宋"/>
          <w:color w:val="auto"/>
          <w:sz w:val="24"/>
          <w:szCs w:val="24"/>
          <w:highlight w:val="none"/>
        </w:rPr>
        <w:t>，按财政部、工业和信息化部关于印发《政府采购促进中小企业发展管理办法》的通知（财库〔</w:t>
      </w:r>
      <w:r>
        <w:rPr>
          <w:rFonts w:ascii="仿宋" w:hAnsi="仿宋" w:eastAsia="仿宋"/>
          <w:color w:val="auto"/>
          <w:sz w:val="24"/>
          <w:szCs w:val="24"/>
          <w:highlight w:val="none"/>
        </w:rPr>
        <w:t>2020〕46号）、《财政部司法部关于政府采购支持监狱企业发展有关问题的通知》(财库〔2014〕68号)、《三部门联合发布关于促进残疾人就业政府采购政策的通知》（财库〔2017〕141号）、《关于进一步加大政府采购支持中小企业力度的通知》（财库〔2022〕19号）、《云南省财政厅、云南省工业与信息化厅关于落实政府采购促进中小企业发展政策意见的通知》（云财规〔2022〕13号）等相关文件规定：</w:t>
      </w:r>
      <w:r>
        <w:rPr>
          <w:rFonts w:ascii="仿宋" w:hAnsi="仿宋" w:eastAsia="仿宋"/>
          <w:color w:val="auto"/>
          <w:sz w:val="24"/>
          <w:szCs w:val="24"/>
          <w:highlight w:val="none"/>
        </w:rPr>
        <w:t>小微企业价格评审享受10%</w:t>
      </w:r>
      <w:r>
        <w:rPr>
          <w:rFonts w:hint="eastAsia" w:ascii="仿宋" w:hAnsi="仿宋" w:eastAsia="仿宋"/>
          <w:color w:val="auto"/>
          <w:sz w:val="24"/>
          <w:szCs w:val="24"/>
          <w:highlight w:val="none"/>
        </w:rPr>
        <w:t>的价格扣除优惠政策</w:t>
      </w:r>
      <w:r>
        <w:rPr>
          <w:rFonts w:hint="eastAsia" w:ascii="仿宋" w:hAnsi="仿宋" w:eastAsia="仿宋"/>
          <w:color w:val="auto"/>
          <w:sz w:val="24"/>
          <w:szCs w:val="24"/>
          <w:highlight w:val="none"/>
        </w:rPr>
        <w:t>，监狱企业和残疾人福利性单位视同小型、微型企业。</w:t>
      </w:r>
      <w:r>
        <w:rPr>
          <w:rFonts w:hint="eastAsia" w:ascii="仿宋" w:hAnsi="仿宋" w:eastAsia="仿宋"/>
          <w:color w:val="auto"/>
          <w:sz w:val="24"/>
          <w:szCs w:val="24"/>
          <w:highlight w:val="none"/>
        </w:rPr>
        <w:t>接受大中型企业与小微企业组成联合体，对于联合</w:t>
      </w:r>
      <w:r>
        <w:rPr>
          <w:rFonts w:hint="eastAsia" w:ascii="仿宋" w:hAnsi="仿宋" w:eastAsia="仿宋"/>
          <w:color w:val="auto"/>
          <w:sz w:val="24"/>
          <w:szCs w:val="24"/>
          <w:highlight w:val="none"/>
          <w:lang w:eastAsia="zh-CN"/>
        </w:rPr>
        <w:t>体</w:t>
      </w:r>
      <w:r>
        <w:rPr>
          <w:rFonts w:hint="eastAsia" w:ascii="仿宋" w:hAnsi="仿宋" w:eastAsia="仿宋"/>
          <w:color w:val="auto"/>
          <w:sz w:val="24"/>
          <w:szCs w:val="24"/>
          <w:highlight w:val="none"/>
        </w:rPr>
        <w:t>协议约定小微企业的合同份额</w:t>
      </w:r>
      <w:r>
        <w:rPr>
          <w:rFonts w:hint="eastAsia" w:ascii="仿宋" w:hAnsi="仿宋" w:eastAsia="仿宋"/>
          <w:color w:val="auto"/>
          <w:sz w:val="24"/>
          <w:szCs w:val="24"/>
          <w:highlight w:val="none"/>
        </w:rPr>
        <w:t>占到合同总金额30%以上</w:t>
      </w:r>
      <w:r>
        <w:rPr>
          <w:rFonts w:hint="eastAsia" w:ascii="仿宋" w:hAnsi="仿宋" w:eastAsia="仿宋"/>
          <w:color w:val="auto"/>
          <w:sz w:val="24"/>
          <w:szCs w:val="24"/>
          <w:highlight w:val="none"/>
        </w:rPr>
        <w:t>的，</w:t>
      </w:r>
      <w:r>
        <w:rPr>
          <w:rFonts w:hint="eastAsia" w:ascii="仿宋" w:hAnsi="仿宋" w:eastAsia="仿宋"/>
          <w:color w:val="auto"/>
          <w:sz w:val="24"/>
          <w:szCs w:val="24"/>
          <w:highlight w:val="none"/>
        </w:rPr>
        <w:t>给予6%的价格扣除优惠政策</w:t>
      </w:r>
      <w:r>
        <w:rPr>
          <w:rFonts w:hint="eastAsia" w:ascii="仿宋" w:hAnsi="仿宋" w:eastAsia="仿宋"/>
          <w:color w:val="auto"/>
          <w:sz w:val="24"/>
          <w:szCs w:val="24"/>
          <w:highlight w:val="none"/>
        </w:rPr>
        <w:t>（本项目所属行业为</w:t>
      </w:r>
      <w:r>
        <w:rPr>
          <w:rFonts w:hint="eastAsia" w:ascii="仿宋" w:hAnsi="仿宋" w:eastAsia="仿宋"/>
          <w:color w:val="auto"/>
          <w:sz w:val="24"/>
          <w:szCs w:val="24"/>
          <w:highlight w:val="none"/>
        </w:rPr>
        <w:t>其他未列明行业</w:t>
      </w:r>
      <w:r>
        <w:rPr>
          <w:rFonts w:hint="eastAsia" w:ascii="仿宋" w:hAnsi="仿宋" w:eastAsia="仿宋"/>
          <w:color w:val="auto"/>
          <w:sz w:val="24"/>
          <w:szCs w:val="24"/>
          <w:highlight w:val="none"/>
        </w:rPr>
        <w:t>）</w:t>
      </w:r>
      <w:r>
        <w:rPr>
          <w:rFonts w:hint="eastAsia" w:ascii="仿宋" w:hAnsi="仿宋" w:eastAsia="仿宋"/>
          <w:color w:val="auto"/>
          <w:sz w:val="24"/>
          <w:szCs w:val="24"/>
          <w:highlight w:val="none"/>
          <w:lang w:eastAsia="zh-CN"/>
        </w:rPr>
        <w:t>；</w:t>
      </w:r>
    </w:p>
    <w:p w14:paraId="34775C36">
      <w:pPr>
        <w:keepNext w:val="0"/>
        <w:pageBreakBefore w:val="0"/>
        <w:widowControl w:val="0"/>
        <w:kinsoku/>
        <w:overflowPunct/>
        <w:topLinePunct w:val="0"/>
        <w:bidi w:val="0"/>
        <w:spacing w:line="460" w:lineRule="exact"/>
        <w:ind w:firstLine="480" w:firstLineChars="200"/>
        <w:rPr>
          <w:rFonts w:hint="eastAsia" w:ascii="仿宋" w:hAnsi="仿宋" w:eastAsia="仿宋" w:cs="黑体"/>
          <w:color w:val="auto"/>
          <w:sz w:val="24"/>
          <w:szCs w:val="24"/>
          <w:highlight w:val="none"/>
          <w:lang w:val="en-US" w:eastAsia="zh-CN"/>
        </w:rPr>
      </w:pPr>
      <w:r>
        <w:rPr>
          <w:rFonts w:hint="eastAsia" w:ascii="仿宋" w:hAnsi="仿宋" w:eastAsia="仿宋" w:cs="黑体"/>
          <w:color w:val="auto"/>
          <w:sz w:val="24"/>
          <w:szCs w:val="24"/>
          <w:highlight w:val="none"/>
          <w:lang w:val="en-US" w:eastAsia="zh-CN"/>
        </w:rPr>
        <w:t>注：①中小企业以投标人填写的《中小企业声明函》为判定标准。②残疾人企业以投标人填写的《残疾人福利性单位声明函》为判定标准。③监狱企业应提供由省级以上监狱管理局、戒毒管理局(含新疆生产建设兵团)出具的属于监狱企业的证明文件，否则不予认定。</w:t>
      </w:r>
    </w:p>
    <w:p w14:paraId="677F8F1B">
      <w:pPr>
        <w:keepNext w:val="0"/>
        <w:keepLines w:val="0"/>
        <w:pageBreakBefore w:val="0"/>
        <w:widowControl w:val="0"/>
        <w:numPr>
          <w:ilvl w:val="0"/>
          <w:numId w:val="0"/>
        </w:numPr>
        <w:suppressLineNumbers w:val="0"/>
        <w:kinsoku/>
        <w:wordWrap/>
        <w:overflowPunct/>
        <w:topLinePunct w:val="0"/>
        <w:autoSpaceDE/>
        <w:autoSpaceDN/>
        <w:bidi w:val="0"/>
        <w:snapToGrid/>
        <w:spacing w:before="0" w:beforeAutospacing="0" w:after="0" w:afterAutospacing="0" w:line="460" w:lineRule="exact"/>
        <w:ind w:left="0" w:leftChars="0" w:right="0" w:rightChars="0" w:firstLine="482" w:firstLineChars="200"/>
        <w:jc w:val="both"/>
        <w:rPr>
          <w:rFonts w:hint="eastAsia" w:ascii="仿宋" w:hAnsi="仿宋" w:eastAsia="仿宋" w:cs="仿宋"/>
          <w:b/>
          <w:bCs/>
          <w:color w:val="auto"/>
          <w:kern w:val="2"/>
          <w:sz w:val="24"/>
          <w:szCs w:val="24"/>
          <w:highlight w:val="none"/>
          <w:lang w:val="en-US" w:eastAsia="zh-CN" w:bidi="ar"/>
        </w:rPr>
      </w:pPr>
      <w:r>
        <w:rPr>
          <w:rFonts w:hint="eastAsia" w:ascii="仿宋" w:hAnsi="仿宋" w:eastAsia="仿宋" w:cs="仿宋"/>
          <w:b/>
          <w:bCs/>
          <w:color w:val="auto"/>
          <w:kern w:val="2"/>
          <w:sz w:val="24"/>
          <w:szCs w:val="24"/>
          <w:highlight w:val="none"/>
          <w:lang w:val="en-US" w:eastAsia="zh-CN" w:bidi="ar"/>
        </w:rPr>
        <w:t>3.</w:t>
      </w:r>
      <w:r>
        <w:rPr>
          <w:rFonts w:hint="eastAsia" w:ascii="仿宋" w:hAnsi="仿宋" w:eastAsia="仿宋" w:cs="仿宋"/>
          <w:b/>
          <w:bCs/>
          <w:color w:val="auto"/>
          <w:kern w:val="2"/>
          <w:sz w:val="24"/>
          <w:szCs w:val="24"/>
          <w:highlight w:val="none"/>
          <w:lang w:val="en-US" w:eastAsia="zh-CN" w:bidi="ar"/>
        </w:rPr>
        <w:t>本项目的特定资格要求：</w:t>
      </w:r>
    </w:p>
    <w:p w14:paraId="38812EEA">
      <w:pPr>
        <w:keepNext w:val="0"/>
        <w:pageBreakBefore w:val="0"/>
        <w:kinsoku/>
        <w:wordWrap/>
        <w:overflowPunct/>
        <w:topLinePunct w:val="0"/>
        <w:autoSpaceDN/>
        <w:bidi w:val="0"/>
        <w:snapToGrid/>
        <w:spacing w:line="460" w:lineRule="exact"/>
        <w:ind w:firstLine="480" w:firstLineChars="200"/>
        <w:rPr>
          <w:rFonts w:hint="eastAsia" w:ascii="仿宋" w:hAnsi="仿宋" w:eastAsia="仿宋" w:cs="Times New Roman"/>
          <w:color w:val="auto"/>
          <w:sz w:val="24"/>
          <w:szCs w:val="24"/>
          <w:highlight w:val="none"/>
          <w:lang w:eastAsia="zh-CN"/>
        </w:rPr>
      </w:pPr>
      <w:r>
        <w:rPr>
          <w:rFonts w:hint="eastAsia" w:ascii="仿宋" w:hAnsi="仿宋" w:eastAsia="仿宋" w:cs="黑体"/>
          <w:color w:val="auto"/>
          <w:sz w:val="24"/>
          <w:szCs w:val="24"/>
          <w:highlight w:val="none"/>
        </w:rPr>
        <w:t>3.1信誉要求：</w:t>
      </w:r>
      <w:r>
        <w:rPr>
          <w:rFonts w:hint="eastAsia" w:ascii="仿宋" w:hAnsi="仿宋" w:eastAsia="仿宋" w:cs="黑体"/>
          <w:color w:val="auto"/>
          <w:sz w:val="24"/>
          <w:szCs w:val="24"/>
          <w:highlight w:val="none"/>
          <w:lang w:eastAsia="zh-CN"/>
        </w:rPr>
        <w:t>投标人</w:t>
      </w:r>
      <w:r>
        <w:rPr>
          <w:rFonts w:hint="eastAsia" w:ascii="仿宋" w:hAnsi="仿宋" w:eastAsia="仿宋" w:cs="黑体"/>
          <w:color w:val="auto"/>
          <w:sz w:val="24"/>
          <w:szCs w:val="24"/>
          <w:highlight w:val="none"/>
        </w:rPr>
        <w:t>开标前未被列入失信被执行人、重大税收违法失信主体（以在“信用中国”网站（www</w:t>
      </w:r>
      <w:r>
        <w:rPr>
          <w:rFonts w:hint="eastAsia" w:ascii="仿宋" w:hAnsi="仿宋" w:eastAsia="仿宋" w:cs="黑体"/>
          <w:color w:val="auto"/>
          <w:sz w:val="24"/>
          <w:szCs w:val="24"/>
          <w:highlight w:val="none"/>
        </w:rPr>
        <w:t>.creditchina.gov.cn）查询的信用记录为准）；未被列入政府采购严重违法失信行为记录名单（以在中国政府采购网（www.cc</w:t>
      </w:r>
      <w:r>
        <w:rPr>
          <w:rFonts w:hint="eastAsia" w:ascii="仿宋" w:hAnsi="仿宋" w:eastAsia="仿宋" w:cs="黑体"/>
          <w:color w:val="auto"/>
          <w:sz w:val="24"/>
          <w:szCs w:val="24"/>
          <w:highlight w:val="none"/>
        </w:rPr>
        <w:t>gp.gov.cn）查询的信用记录为准）</w:t>
      </w:r>
      <w:r>
        <w:rPr>
          <w:rFonts w:hint="eastAsia" w:ascii="仿宋" w:hAnsi="仿宋" w:eastAsia="仿宋" w:cs="Times New Roman"/>
          <w:color w:val="auto"/>
          <w:sz w:val="24"/>
          <w:szCs w:val="24"/>
          <w:highlight w:val="none"/>
          <w:lang w:eastAsia="zh-CN"/>
        </w:rPr>
        <w:t>，</w:t>
      </w:r>
      <w:r>
        <w:rPr>
          <w:rFonts w:hint="eastAsia" w:ascii="仿宋" w:hAnsi="仿宋" w:eastAsia="仿宋" w:cs="Times New Roman"/>
          <w:color w:val="auto"/>
          <w:sz w:val="24"/>
          <w:szCs w:val="24"/>
          <w:highlight w:val="none"/>
        </w:rPr>
        <w:t>以联合体形式参加投标的，联合体各方均应满足，提供书面承诺</w:t>
      </w:r>
      <w:r>
        <w:rPr>
          <w:rFonts w:hint="eastAsia" w:ascii="仿宋" w:hAnsi="仿宋" w:eastAsia="仿宋" w:cs="Times New Roman"/>
          <w:color w:val="auto"/>
          <w:sz w:val="24"/>
          <w:szCs w:val="24"/>
          <w:highlight w:val="none"/>
          <w:lang w:eastAsia="zh-CN"/>
        </w:rPr>
        <w:t>。</w:t>
      </w:r>
    </w:p>
    <w:p w14:paraId="108FBAA6">
      <w:pPr>
        <w:keepNext w:val="0"/>
        <w:pageBreakBefore w:val="0"/>
        <w:kinsoku/>
        <w:overflowPunct/>
        <w:topLinePunct w:val="0"/>
        <w:bidi w:val="0"/>
        <w:snapToGrid w:val="0"/>
        <w:spacing w:line="460" w:lineRule="exact"/>
        <w:ind w:firstLine="600" w:firstLineChars="250"/>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3.2资质要求：投标人须具备</w:t>
      </w:r>
      <w:r>
        <w:rPr>
          <w:rFonts w:hint="eastAsia" w:ascii="仿宋" w:hAnsi="仿宋" w:eastAsia="仿宋" w:cs="Times New Roman"/>
          <w:color w:val="auto"/>
          <w:sz w:val="24"/>
          <w:szCs w:val="24"/>
          <w:highlight w:val="none"/>
        </w:rPr>
        <w:t>乙级及以上测绘资质证书（专业类别须包含地理信息系统工程）；须在全国投资项目在线审批监管平台备案（服务范围包含项目咨询，咨询专业须包含</w:t>
      </w:r>
      <w:r>
        <w:rPr>
          <w:rFonts w:hint="eastAsia" w:ascii="仿宋" w:hAnsi="仿宋" w:eastAsia="仿宋" w:cs="Times New Roman"/>
          <w:color w:val="auto"/>
          <w:sz w:val="24"/>
          <w:szCs w:val="24"/>
          <w:highlight w:val="none"/>
          <w:lang w:eastAsia="zh-CN"/>
        </w:rPr>
        <w:t>农学</w:t>
      </w:r>
      <w:r>
        <w:rPr>
          <w:rFonts w:hint="eastAsia" w:ascii="仿宋" w:hAnsi="仿宋" w:eastAsia="仿宋" w:cs="Times New Roman"/>
          <w:color w:val="auto"/>
          <w:sz w:val="24"/>
          <w:szCs w:val="24"/>
          <w:highlight w:val="none"/>
        </w:rPr>
        <w:t>相关专业）</w:t>
      </w:r>
      <w:r>
        <w:rPr>
          <w:rFonts w:hint="eastAsia" w:ascii="仿宋" w:hAnsi="仿宋" w:eastAsia="仿宋" w:cs="Times New Roman"/>
          <w:color w:val="auto"/>
          <w:sz w:val="24"/>
          <w:szCs w:val="24"/>
          <w:highlight w:val="none"/>
          <w:lang w:eastAsia="zh-CN"/>
        </w:rPr>
        <w:t>。</w:t>
      </w:r>
    </w:p>
    <w:p w14:paraId="019A3C95">
      <w:pPr>
        <w:keepNext w:val="0"/>
        <w:pageBreakBefore w:val="0"/>
        <w:kinsoku/>
        <w:overflowPunct/>
        <w:topLinePunct w:val="0"/>
        <w:bidi w:val="0"/>
        <w:snapToGrid w:val="0"/>
        <w:spacing w:line="460" w:lineRule="exact"/>
        <w:ind w:firstLine="600" w:firstLineChars="250"/>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3.3</w:t>
      </w:r>
      <w:r>
        <w:rPr>
          <w:rFonts w:hint="eastAsia" w:ascii="仿宋" w:hAnsi="仿宋" w:eastAsia="仿宋" w:cs="Times New Roman"/>
          <w:color w:val="auto"/>
          <w:sz w:val="24"/>
          <w:szCs w:val="24"/>
          <w:highlight w:val="none"/>
        </w:rPr>
        <w:t>本项目</w:t>
      </w:r>
      <w:r>
        <w:rPr>
          <w:rFonts w:hint="eastAsia" w:ascii="仿宋" w:hAnsi="仿宋" w:eastAsia="仿宋" w:cs="Times New Roman"/>
          <w:color w:val="auto"/>
          <w:sz w:val="24"/>
          <w:szCs w:val="24"/>
          <w:highlight w:val="none"/>
          <w:lang w:val="zh-CN"/>
        </w:rPr>
        <w:t>【</w:t>
      </w:r>
      <w:r>
        <w:rPr>
          <w:rFonts w:hint="eastAsia" w:ascii="仿宋" w:hAnsi="仿宋" w:eastAsia="仿宋" w:cs="Times New Roman"/>
          <w:color w:val="auto"/>
          <w:sz w:val="24"/>
          <w:szCs w:val="24"/>
          <w:highlight w:val="none"/>
        </w:rPr>
        <w:t>接受</w:t>
      </w:r>
      <w:r>
        <w:rPr>
          <w:rFonts w:hint="eastAsia" w:ascii="仿宋" w:hAnsi="仿宋" w:eastAsia="仿宋" w:cs="Times New Roman"/>
          <w:color w:val="auto"/>
          <w:sz w:val="24"/>
          <w:szCs w:val="24"/>
          <w:highlight w:val="none"/>
          <w:lang w:val="zh-CN"/>
        </w:rPr>
        <w:t>】</w:t>
      </w:r>
      <w:r>
        <w:rPr>
          <w:rFonts w:hint="eastAsia" w:ascii="仿宋" w:hAnsi="仿宋" w:eastAsia="仿宋" w:cs="Times New Roman"/>
          <w:color w:val="auto"/>
          <w:sz w:val="24"/>
          <w:szCs w:val="24"/>
          <w:highlight w:val="none"/>
        </w:rPr>
        <w:t>联合体。以联合体形式参加投标的，须在联合体协议中载明联合体成员单位的责任和权利。</w:t>
      </w:r>
      <w:r>
        <w:rPr>
          <w:rFonts w:hint="eastAsia" w:ascii="仿宋" w:hAnsi="仿宋" w:eastAsia="仿宋" w:cs="Times New Roman"/>
          <w:color w:val="auto"/>
          <w:sz w:val="24"/>
          <w:szCs w:val="24"/>
          <w:highlight w:val="none"/>
        </w:rPr>
        <w:t>联合体单位不得超过</w:t>
      </w:r>
      <w:r>
        <w:rPr>
          <w:rFonts w:hint="eastAsia" w:ascii="仿宋" w:hAnsi="仿宋" w:eastAsia="仿宋" w:cs="Times New Roman"/>
          <w:color w:val="auto"/>
          <w:sz w:val="24"/>
          <w:szCs w:val="24"/>
          <w:highlight w:val="none"/>
          <w:lang w:val="en-US" w:eastAsia="zh-CN"/>
        </w:rPr>
        <w:t>3</w:t>
      </w:r>
      <w:r>
        <w:rPr>
          <w:rFonts w:hint="eastAsia" w:ascii="仿宋" w:hAnsi="仿宋" w:eastAsia="仿宋" w:cs="Times New Roman"/>
          <w:color w:val="auto"/>
          <w:sz w:val="24"/>
          <w:szCs w:val="24"/>
          <w:highlight w:val="none"/>
        </w:rPr>
        <w:t>家。</w:t>
      </w:r>
    </w:p>
    <w:p w14:paraId="090CE10C">
      <w:pPr>
        <w:keepNext w:val="0"/>
        <w:pageBreakBefore w:val="0"/>
        <w:kinsoku/>
        <w:wordWrap/>
        <w:overflowPunct/>
        <w:topLinePunct w:val="0"/>
        <w:bidi w:val="0"/>
        <w:spacing w:line="460" w:lineRule="exact"/>
        <w:ind w:firstLine="472" w:firstLineChars="196"/>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三、获取招标文件</w:t>
      </w:r>
    </w:p>
    <w:p w14:paraId="77B01C55">
      <w:pPr>
        <w:keepNext w:val="0"/>
        <w:pageBreakBefore w:val="0"/>
        <w:kinsoku/>
        <w:overflowPunct/>
        <w:topLinePunct w:val="0"/>
        <w:bidi w:val="0"/>
        <w:adjustRightInd w:val="0"/>
        <w:spacing w:line="46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时间：</w:t>
      </w:r>
      <w:r>
        <w:rPr>
          <w:rFonts w:hint="eastAsia" w:ascii="仿宋" w:hAnsi="仿宋" w:eastAsia="仿宋" w:cs="仿宋"/>
          <w:b/>
          <w:color w:val="auto"/>
          <w:sz w:val="24"/>
          <w:szCs w:val="24"/>
          <w:highlight w:val="none"/>
          <w:u w:val="single"/>
        </w:rPr>
        <w:t>202</w:t>
      </w:r>
      <w:r>
        <w:rPr>
          <w:rFonts w:hint="eastAsia" w:ascii="仿宋" w:hAnsi="仿宋" w:eastAsia="仿宋" w:cs="仿宋"/>
          <w:b/>
          <w:color w:val="auto"/>
          <w:sz w:val="24"/>
          <w:szCs w:val="24"/>
          <w:highlight w:val="none"/>
          <w:u w:val="single"/>
          <w:lang w:val="en-US" w:eastAsia="zh-CN"/>
        </w:rPr>
        <w:t>5</w:t>
      </w:r>
      <w:r>
        <w:rPr>
          <w:rFonts w:hint="eastAsia" w:ascii="仿宋" w:hAnsi="仿宋" w:eastAsia="仿宋" w:cs="仿宋"/>
          <w:b/>
          <w:color w:val="auto"/>
          <w:sz w:val="24"/>
          <w:szCs w:val="24"/>
          <w:highlight w:val="none"/>
          <w:u w:val="single"/>
        </w:rPr>
        <w:t>年0</w:t>
      </w:r>
      <w:r>
        <w:rPr>
          <w:rFonts w:hint="eastAsia" w:ascii="仿宋" w:hAnsi="仿宋" w:eastAsia="仿宋" w:cs="仿宋"/>
          <w:b/>
          <w:color w:val="auto"/>
          <w:sz w:val="24"/>
          <w:szCs w:val="24"/>
          <w:highlight w:val="none"/>
          <w:u w:val="single"/>
          <w:lang w:val="en-US" w:eastAsia="zh-CN"/>
        </w:rPr>
        <w:t>3</w:t>
      </w:r>
      <w:r>
        <w:rPr>
          <w:rFonts w:hint="eastAsia" w:ascii="仿宋" w:hAnsi="仿宋" w:eastAsia="仿宋" w:cs="仿宋"/>
          <w:b/>
          <w:color w:val="auto"/>
          <w:sz w:val="24"/>
          <w:szCs w:val="24"/>
          <w:highlight w:val="none"/>
          <w:u w:val="single"/>
        </w:rPr>
        <w:t>月</w:t>
      </w:r>
      <w:r>
        <w:rPr>
          <w:rFonts w:hint="eastAsia" w:ascii="仿宋" w:hAnsi="仿宋" w:eastAsia="仿宋" w:cs="仿宋"/>
          <w:b/>
          <w:color w:val="auto"/>
          <w:sz w:val="24"/>
          <w:szCs w:val="24"/>
          <w:highlight w:val="none"/>
          <w:u w:val="single"/>
          <w:lang w:val="en-US" w:eastAsia="zh-CN"/>
        </w:rPr>
        <w:t>14</w:t>
      </w:r>
      <w:r>
        <w:rPr>
          <w:rFonts w:hint="eastAsia" w:ascii="仿宋" w:hAnsi="仿宋" w:eastAsia="仿宋" w:cs="仿宋"/>
          <w:b/>
          <w:color w:val="auto"/>
          <w:sz w:val="24"/>
          <w:szCs w:val="24"/>
          <w:highlight w:val="none"/>
          <w:u w:val="single"/>
        </w:rPr>
        <w:t>日至202</w:t>
      </w:r>
      <w:r>
        <w:rPr>
          <w:rFonts w:hint="eastAsia" w:ascii="仿宋" w:hAnsi="仿宋" w:eastAsia="仿宋" w:cs="仿宋"/>
          <w:b/>
          <w:color w:val="auto"/>
          <w:sz w:val="24"/>
          <w:szCs w:val="24"/>
          <w:highlight w:val="none"/>
          <w:u w:val="single"/>
          <w:lang w:val="en-US" w:eastAsia="zh-CN"/>
        </w:rPr>
        <w:t>5</w:t>
      </w:r>
      <w:r>
        <w:rPr>
          <w:rFonts w:hint="eastAsia" w:ascii="仿宋" w:hAnsi="仿宋" w:eastAsia="仿宋" w:cs="仿宋"/>
          <w:b/>
          <w:color w:val="auto"/>
          <w:sz w:val="24"/>
          <w:szCs w:val="24"/>
          <w:highlight w:val="none"/>
          <w:u w:val="single"/>
        </w:rPr>
        <w:t>年0</w:t>
      </w:r>
      <w:r>
        <w:rPr>
          <w:rFonts w:hint="eastAsia" w:ascii="仿宋" w:hAnsi="仿宋" w:eastAsia="仿宋" w:cs="仿宋"/>
          <w:b/>
          <w:color w:val="auto"/>
          <w:sz w:val="24"/>
          <w:szCs w:val="24"/>
          <w:highlight w:val="none"/>
          <w:u w:val="single"/>
          <w:lang w:val="en-US" w:eastAsia="zh-CN"/>
        </w:rPr>
        <w:t>3</w:t>
      </w:r>
      <w:r>
        <w:rPr>
          <w:rFonts w:hint="eastAsia" w:ascii="仿宋" w:hAnsi="仿宋" w:eastAsia="仿宋" w:cs="仿宋"/>
          <w:b/>
          <w:color w:val="auto"/>
          <w:sz w:val="24"/>
          <w:szCs w:val="24"/>
          <w:highlight w:val="none"/>
          <w:u w:val="single"/>
        </w:rPr>
        <w:t>月</w:t>
      </w:r>
      <w:r>
        <w:rPr>
          <w:rFonts w:hint="eastAsia" w:ascii="仿宋" w:hAnsi="仿宋" w:eastAsia="仿宋" w:cs="仿宋"/>
          <w:b/>
          <w:color w:val="auto"/>
          <w:sz w:val="24"/>
          <w:szCs w:val="24"/>
          <w:highlight w:val="none"/>
          <w:u w:val="single"/>
          <w:lang w:val="en-US" w:eastAsia="zh-CN"/>
        </w:rPr>
        <w:t>21</w:t>
      </w:r>
      <w:r>
        <w:rPr>
          <w:rFonts w:hint="eastAsia" w:ascii="仿宋" w:hAnsi="仿宋" w:eastAsia="仿宋" w:cs="仿宋"/>
          <w:b/>
          <w:color w:val="auto"/>
          <w:sz w:val="24"/>
          <w:szCs w:val="24"/>
          <w:highlight w:val="none"/>
          <w:u w:val="single"/>
        </w:rPr>
        <w:t>日</w:t>
      </w:r>
      <w:r>
        <w:rPr>
          <w:rFonts w:hint="eastAsia" w:ascii="仿宋" w:hAnsi="仿宋" w:eastAsia="仿宋" w:cs="仿宋"/>
          <w:b/>
          <w:color w:val="auto"/>
          <w:sz w:val="24"/>
          <w:szCs w:val="24"/>
          <w:highlight w:val="none"/>
          <w:u w:val="single"/>
          <w:lang w:eastAsia="zh-CN"/>
        </w:rPr>
        <w:t>，每天上午</w:t>
      </w:r>
      <w:r>
        <w:rPr>
          <w:rFonts w:hint="eastAsia" w:ascii="仿宋" w:hAnsi="仿宋" w:eastAsia="仿宋" w:cs="仿宋"/>
          <w:b/>
          <w:color w:val="auto"/>
          <w:sz w:val="24"/>
          <w:szCs w:val="24"/>
          <w:highlight w:val="none"/>
          <w:u w:val="single"/>
          <w:lang w:val="en-US" w:eastAsia="zh-CN"/>
        </w:rPr>
        <w:t>06:00至12:00，下午12:00至23:59</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t>北京时间）。</w:t>
      </w:r>
    </w:p>
    <w:p w14:paraId="19CB3EF3">
      <w:pPr>
        <w:keepNext w:val="0"/>
        <w:pageBreakBefore w:val="0"/>
        <w:widowControl/>
        <w:kinsoku/>
        <w:overflowPunct/>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2.地点：“政采云”平台（http：//www.zcygov.cn）（操作路径：登录“政采云”平台-项目采购-获取采购文件-找到本项目-点击“申请获取采购文件”）。</w:t>
      </w:r>
    </w:p>
    <w:p w14:paraId="6D25C766">
      <w:pPr>
        <w:keepNext w:val="0"/>
        <w:pageBreakBefore w:val="0"/>
        <w:widowControl/>
        <w:kinsoku/>
        <w:overflowPunct/>
        <w:topLinePunct w:val="0"/>
        <w:bidi w:val="0"/>
        <w:spacing w:line="460" w:lineRule="exact"/>
        <w:ind w:firstLine="480" w:firstLineChars="20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3.方式：凡有意参加投标者，须在政采云平台办理数字证书（CA），并在政采云绑定数字证书（CA）后</w:t>
      </w:r>
      <w:r>
        <w:rPr>
          <w:rFonts w:hint="eastAsia" w:ascii="仿宋" w:hAnsi="仿宋" w:eastAsia="仿宋" w:cs="仿宋"/>
          <w:b w:val="0"/>
          <w:bCs w:val="0"/>
          <w:color w:val="auto"/>
          <w:sz w:val="24"/>
          <w:szCs w:val="24"/>
          <w:highlight w:val="none"/>
          <w:lang w:val="en-US" w:eastAsia="zh-CN"/>
        </w:rPr>
        <w:t>线上</w:t>
      </w:r>
      <w:r>
        <w:rPr>
          <w:rFonts w:hint="eastAsia" w:ascii="仿宋" w:hAnsi="仿宋" w:eastAsia="仿宋" w:cs="仿宋"/>
          <w:b w:val="0"/>
          <w:bCs w:val="0"/>
          <w:color w:val="auto"/>
          <w:sz w:val="24"/>
          <w:szCs w:val="24"/>
          <w:highlight w:val="none"/>
        </w:rPr>
        <w:t>获取</w:t>
      </w:r>
      <w:r>
        <w:rPr>
          <w:rFonts w:hint="eastAsia" w:ascii="仿宋" w:hAnsi="仿宋" w:eastAsia="仿宋" w:cs="仿宋"/>
          <w:b w:val="0"/>
          <w:bCs w:val="0"/>
          <w:color w:val="auto"/>
          <w:sz w:val="24"/>
          <w:szCs w:val="24"/>
          <w:highlight w:val="none"/>
          <w:lang w:val="en-US" w:eastAsia="zh-CN"/>
        </w:rPr>
        <w:t>采购</w:t>
      </w:r>
      <w:r>
        <w:rPr>
          <w:rFonts w:hint="eastAsia" w:ascii="仿宋" w:hAnsi="仿宋" w:eastAsia="仿宋" w:cs="仿宋"/>
          <w:b w:val="0"/>
          <w:bCs w:val="0"/>
          <w:color w:val="auto"/>
          <w:sz w:val="24"/>
          <w:szCs w:val="24"/>
          <w:highlight w:val="none"/>
        </w:rPr>
        <w:t>文件及其它采购资料</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如有</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（操作路径：登录“政采云”平台-项目采购-获取</w:t>
      </w:r>
      <w:r>
        <w:rPr>
          <w:rFonts w:hint="eastAsia" w:ascii="仿宋" w:hAnsi="仿宋" w:eastAsia="仿宋" w:cs="仿宋"/>
          <w:b w:val="0"/>
          <w:bCs w:val="0"/>
          <w:color w:val="auto"/>
          <w:sz w:val="24"/>
          <w:szCs w:val="24"/>
          <w:highlight w:val="none"/>
          <w:lang w:val="en-US" w:eastAsia="zh-CN"/>
        </w:rPr>
        <w:t>采购</w:t>
      </w:r>
      <w:r>
        <w:rPr>
          <w:rFonts w:hint="eastAsia" w:ascii="仿宋" w:hAnsi="仿宋" w:eastAsia="仿宋" w:cs="仿宋"/>
          <w:b w:val="0"/>
          <w:bCs w:val="0"/>
          <w:color w:val="auto"/>
          <w:sz w:val="24"/>
          <w:szCs w:val="24"/>
          <w:highlight w:val="none"/>
        </w:rPr>
        <w:t>文件-找到本项目-点击“申请获取</w:t>
      </w:r>
      <w:r>
        <w:rPr>
          <w:rFonts w:hint="eastAsia" w:ascii="仿宋" w:hAnsi="仿宋" w:eastAsia="仿宋" w:cs="仿宋"/>
          <w:b w:val="0"/>
          <w:bCs w:val="0"/>
          <w:color w:val="auto"/>
          <w:sz w:val="24"/>
          <w:szCs w:val="24"/>
          <w:highlight w:val="none"/>
          <w:lang w:val="en-US" w:eastAsia="zh-CN"/>
        </w:rPr>
        <w:t>采购</w:t>
      </w:r>
      <w:r>
        <w:rPr>
          <w:rFonts w:hint="eastAsia" w:ascii="仿宋" w:hAnsi="仿宋" w:eastAsia="仿宋" w:cs="仿宋"/>
          <w:b w:val="0"/>
          <w:bCs w:val="0"/>
          <w:color w:val="auto"/>
          <w:sz w:val="24"/>
          <w:szCs w:val="24"/>
          <w:highlight w:val="none"/>
        </w:rPr>
        <w:t>文件”）</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电子</w:t>
      </w:r>
      <w:r>
        <w:rPr>
          <w:rFonts w:hint="eastAsia" w:ascii="仿宋" w:hAnsi="仿宋" w:eastAsia="仿宋" w:cs="仿宋"/>
          <w:b w:val="0"/>
          <w:bCs w:val="0"/>
          <w:color w:val="auto"/>
          <w:sz w:val="24"/>
          <w:szCs w:val="24"/>
          <w:highlight w:val="none"/>
          <w:lang w:val="en-US" w:eastAsia="zh-CN"/>
        </w:rPr>
        <w:t>投标</w:t>
      </w:r>
      <w:r>
        <w:rPr>
          <w:rFonts w:hint="eastAsia" w:ascii="仿宋" w:hAnsi="仿宋" w:eastAsia="仿宋" w:cs="仿宋"/>
          <w:b w:val="0"/>
          <w:bCs w:val="0"/>
          <w:color w:val="auto"/>
          <w:sz w:val="24"/>
          <w:szCs w:val="24"/>
          <w:highlight w:val="none"/>
          <w:lang w:eastAsia="zh-CN"/>
        </w:rPr>
        <w:t>文件</w:t>
      </w:r>
      <w:r>
        <w:rPr>
          <w:rFonts w:hint="eastAsia" w:ascii="仿宋" w:hAnsi="仿宋" w:eastAsia="仿宋" w:cs="仿宋"/>
          <w:b w:val="0"/>
          <w:bCs w:val="0"/>
          <w:color w:val="auto"/>
          <w:sz w:val="24"/>
          <w:szCs w:val="24"/>
          <w:highlight w:val="none"/>
        </w:rPr>
        <w:t>制作需要基</w:t>
      </w:r>
      <w:r>
        <w:rPr>
          <w:rFonts w:hint="eastAsia" w:ascii="仿宋" w:hAnsi="仿宋" w:eastAsia="仿宋" w:cs="仿宋"/>
          <w:b w:val="0"/>
          <w:bCs w:val="0"/>
          <w:color w:val="auto"/>
          <w:sz w:val="24"/>
          <w:szCs w:val="24"/>
          <w:highlight w:val="none"/>
          <w:lang w:eastAsia="zh-CN"/>
        </w:rPr>
        <w:t>于政府采购云平台</w:t>
      </w:r>
      <w:r>
        <w:rPr>
          <w:rFonts w:hint="eastAsia" w:ascii="仿宋" w:hAnsi="仿宋" w:eastAsia="仿宋" w:cs="仿宋"/>
          <w:b w:val="0"/>
          <w:bCs w:val="0"/>
          <w:color w:val="auto"/>
          <w:sz w:val="24"/>
          <w:szCs w:val="24"/>
          <w:highlight w:val="none"/>
          <w:lang w:val="en-US" w:eastAsia="zh-CN"/>
        </w:rPr>
        <w:t>（https://www.zcygov.cn/）</w:t>
      </w:r>
      <w:r>
        <w:rPr>
          <w:rFonts w:hint="eastAsia" w:ascii="仿宋" w:hAnsi="仿宋" w:eastAsia="仿宋" w:cs="仿宋"/>
          <w:b w:val="0"/>
          <w:bCs w:val="0"/>
          <w:color w:val="auto"/>
          <w:sz w:val="24"/>
          <w:szCs w:val="24"/>
          <w:highlight w:val="none"/>
          <w:lang w:eastAsia="zh-CN"/>
        </w:rPr>
        <w:t>获取的招标文件编制。CA申领链接：</w:t>
      </w:r>
      <w:r>
        <w:rPr>
          <w:rFonts w:hint="eastAsia" w:ascii="仿宋" w:hAnsi="仿宋" w:eastAsia="仿宋" w:cs="仿宋"/>
          <w:b w:val="0"/>
          <w:bCs w:val="0"/>
          <w:color w:val="auto"/>
          <w:sz w:val="24"/>
          <w:szCs w:val="24"/>
          <w:highlight w:val="none"/>
          <w:lang w:eastAsia="zh-CN"/>
        </w:rPr>
        <w:fldChar w:fldCharType="begin"/>
      </w:r>
      <w:r>
        <w:rPr>
          <w:rFonts w:hint="eastAsia" w:ascii="仿宋" w:hAnsi="仿宋" w:eastAsia="仿宋" w:cs="仿宋"/>
          <w:b w:val="0"/>
          <w:bCs w:val="0"/>
          <w:color w:val="auto"/>
          <w:sz w:val="24"/>
          <w:szCs w:val="24"/>
          <w:highlight w:val="none"/>
          <w:lang w:eastAsia="zh-CN"/>
        </w:rPr>
        <w:instrText xml:space="preserve"> HYPERLINK "https://middle.zcygov.cn/ca/apply/list?_app_=zcy.sys，CA申领后需登陆政采云平台完成数字证书(CA)绑定才可以使，数字证书（CA）详见其办理流程。按上述要求获取文件的供应商视为合法获取了本项目采购文件，具备本项目的投标资格。此为获取采购文件的唯一途径。" </w:instrText>
      </w:r>
      <w:r>
        <w:rPr>
          <w:rFonts w:hint="eastAsia" w:ascii="仿宋" w:hAnsi="仿宋" w:eastAsia="仿宋" w:cs="仿宋"/>
          <w:b w:val="0"/>
          <w:bCs w:val="0"/>
          <w:color w:val="auto"/>
          <w:sz w:val="24"/>
          <w:szCs w:val="24"/>
          <w:highlight w:val="none"/>
          <w:lang w:eastAsia="zh-CN"/>
        </w:rPr>
        <w:fldChar w:fldCharType="separate"/>
      </w:r>
      <w:r>
        <w:rPr>
          <w:rFonts w:hint="eastAsia" w:ascii="仿宋" w:hAnsi="仿宋" w:eastAsia="仿宋" w:cs="仿宋"/>
          <w:b w:val="0"/>
          <w:bCs w:val="0"/>
          <w:color w:val="auto"/>
          <w:sz w:val="24"/>
          <w:szCs w:val="24"/>
          <w:highlight w:val="none"/>
          <w:lang w:eastAsia="zh-CN"/>
        </w:rPr>
        <w:t>https://middle.zcygov.cn/ca/apply/list?_app_=zcy.sys，CA申领后需登陆政采云平台完成数字证书(CA)绑定才可以使，数字证书（CA）详见其办理流程。</w:t>
      </w:r>
      <w:r>
        <w:rPr>
          <w:rFonts w:hint="eastAsia" w:ascii="仿宋" w:hAnsi="仿宋" w:eastAsia="仿宋" w:cs="仿宋"/>
          <w:b w:val="0"/>
          <w:bCs w:val="0"/>
          <w:color w:val="auto"/>
          <w:sz w:val="24"/>
          <w:szCs w:val="24"/>
          <w:highlight w:val="none"/>
          <w:lang w:val="en-US" w:eastAsia="zh-CN"/>
        </w:rPr>
        <w:t>如果</w:t>
      </w:r>
      <w:r>
        <w:rPr>
          <w:rFonts w:hint="eastAsia" w:ascii="仿宋" w:hAnsi="仿宋" w:eastAsia="仿宋" w:cs="仿宋"/>
          <w:b w:val="0"/>
          <w:bCs w:val="0"/>
          <w:color w:val="auto"/>
          <w:sz w:val="24"/>
          <w:szCs w:val="24"/>
          <w:highlight w:val="none"/>
          <w:lang w:eastAsia="zh-CN"/>
        </w:rPr>
        <w:t>投标人</w:t>
      </w:r>
      <w:r>
        <w:rPr>
          <w:rFonts w:hint="eastAsia" w:ascii="仿宋" w:hAnsi="仿宋" w:eastAsia="仿宋" w:cs="仿宋"/>
          <w:b w:val="0"/>
          <w:bCs w:val="0"/>
          <w:color w:val="auto"/>
          <w:sz w:val="24"/>
          <w:szCs w:val="24"/>
          <w:highlight w:val="none"/>
          <w:lang w:val="en-US" w:eastAsia="zh-CN"/>
        </w:rPr>
        <w:t>已在云南CA在线数字证书办理网进行过注册并办理过企业数字证书CA，直接绑定即可，无需重复办理。此外，</w:t>
      </w:r>
      <w:r>
        <w:rPr>
          <w:rFonts w:hint="eastAsia" w:ascii="仿宋" w:hAnsi="仿宋" w:eastAsia="仿宋" w:cs="仿宋"/>
          <w:b w:val="0"/>
          <w:bCs w:val="0"/>
          <w:color w:val="auto"/>
          <w:sz w:val="24"/>
          <w:szCs w:val="24"/>
          <w:highlight w:val="none"/>
          <w:lang w:eastAsia="zh-CN"/>
        </w:rPr>
        <w:t>投标人</w:t>
      </w:r>
      <w:r>
        <w:rPr>
          <w:rFonts w:hint="eastAsia" w:ascii="仿宋" w:hAnsi="仿宋" w:eastAsia="仿宋" w:cs="仿宋"/>
          <w:b w:val="0"/>
          <w:bCs w:val="0"/>
          <w:color w:val="auto"/>
          <w:sz w:val="24"/>
          <w:szCs w:val="24"/>
          <w:highlight w:val="none"/>
          <w:lang w:val="en-US" w:eastAsia="zh-CN"/>
        </w:rPr>
        <w:t>在政采云平台办理的其他CA也可以直接使用，无需重复办理。</w:t>
      </w:r>
      <w:r>
        <w:rPr>
          <w:rFonts w:hint="eastAsia" w:ascii="仿宋" w:hAnsi="仿宋" w:eastAsia="仿宋" w:cs="仿宋"/>
          <w:b w:val="0"/>
          <w:bCs w:val="0"/>
          <w:color w:val="auto"/>
          <w:sz w:val="24"/>
          <w:szCs w:val="24"/>
          <w:highlight w:val="none"/>
          <w:lang w:eastAsia="zh-CN"/>
        </w:rPr>
        <w:t>按上述要求获取文件的投标人视为合法获取了本项目招标文件，具备本项目的投标资格。此为获取招标文件的唯一途径。</w:t>
      </w:r>
      <w:r>
        <w:rPr>
          <w:rFonts w:hint="eastAsia" w:ascii="仿宋" w:hAnsi="仿宋" w:eastAsia="仿宋" w:cs="仿宋"/>
          <w:b w:val="0"/>
          <w:bCs w:val="0"/>
          <w:color w:val="auto"/>
          <w:sz w:val="24"/>
          <w:szCs w:val="24"/>
          <w:highlight w:val="none"/>
          <w:lang w:eastAsia="zh-CN"/>
        </w:rPr>
        <w:fldChar w:fldCharType="end"/>
      </w:r>
    </w:p>
    <w:p w14:paraId="23A30E11">
      <w:pPr>
        <w:pStyle w:val="5"/>
        <w:keepNext w:val="0"/>
        <w:pageBreakBefore w:val="0"/>
        <w:numPr>
          <w:ilvl w:val="0"/>
          <w:numId w:val="0"/>
        </w:numPr>
        <w:kinsoku/>
        <w:wordWrap/>
        <w:overflowPunct/>
        <w:topLinePunct w:val="0"/>
        <w:bidi w:val="0"/>
        <w:spacing w:before="0" w:after="0" w:line="460" w:lineRule="exact"/>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四、提交投标文件截止时间、开标时间和地点</w:t>
      </w:r>
    </w:p>
    <w:p w14:paraId="7BC93A29">
      <w:pPr>
        <w:keepNext w:val="0"/>
        <w:pageBreakBefore w:val="0"/>
        <w:kinsoku/>
        <w:wordWrap/>
        <w:overflowPunct/>
        <w:topLinePunct w:val="0"/>
        <w:bidi w:val="0"/>
        <w:spacing w:line="460" w:lineRule="exact"/>
        <w:ind w:firstLine="480" w:firstLineChars="200"/>
        <w:jc w:val="lef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提交投标文件截止时间：</w:t>
      </w:r>
      <w:r>
        <w:rPr>
          <w:rFonts w:hint="eastAsia" w:ascii="仿宋" w:hAnsi="仿宋" w:eastAsia="仿宋" w:cs="仿宋"/>
          <w:b/>
          <w:bCs/>
          <w:color w:val="auto"/>
          <w:kern w:val="2"/>
          <w:sz w:val="24"/>
          <w:szCs w:val="24"/>
          <w:highlight w:val="none"/>
          <w:u w:val="single"/>
          <w:lang w:val="en-US" w:eastAsia="zh-CN" w:bidi="ar"/>
        </w:rPr>
        <w:t>2025年04月08日09时00分</w:t>
      </w:r>
      <w:r>
        <w:rPr>
          <w:rFonts w:hint="eastAsia" w:ascii="仿宋" w:hAnsi="仿宋" w:eastAsia="仿宋" w:cs="仿宋"/>
          <w:bCs/>
          <w:color w:val="auto"/>
          <w:sz w:val="24"/>
          <w:szCs w:val="24"/>
          <w:highlight w:val="none"/>
        </w:rPr>
        <w:t>（北京时间）</w:t>
      </w:r>
      <w:r>
        <w:rPr>
          <w:rFonts w:hint="eastAsia" w:ascii="仿宋" w:hAnsi="仿宋" w:eastAsia="仿宋" w:cs="仿宋"/>
          <w:bCs/>
          <w:color w:val="auto"/>
          <w:sz w:val="24"/>
          <w:szCs w:val="24"/>
          <w:highlight w:val="none"/>
          <w:lang w:eastAsia="zh-CN"/>
        </w:rPr>
        <w:t>。</w:t>
      </w:r>
    </w:p>
    <w:p w14:paraId="1916AF30">
      <w:pPr>
        <w:keepNext w:val="0"/>
        <w:pageBreakBefore w:val="0"/>
        <w:kinsoku/>
        <w:wordWrap/>
        <w:overflowPunct/>
        <w:topLinePunct w:val="0"/>
        <w:bidi w:val="0"/>
        <w:spacing w:line="460" w:lineRule="exact"/>
        <w:ind w:firstLine="480" w:firstLineChars="200"/>
        <w:jc w:val="left"/>
        <w:rPr>
          <w:rFonts w:hint="eastAsia" w:ascii="仿宋" w:hAnsi="仿宋" w:eastAsia="仿宋" w:cs="仿宋"/>
          <w:bCs/>
          <w:color w:val="auto"/>
          <w:sz w:val="24"/>
          <w:szCs w:val="24"/>
          <w:highlight w:val="none"/>
          <w:u w:val="single"/>
          <w:lang w:eastAsia="zh-CN"/>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开标时间：</w:t>
      </w:r>
      <w:r>
        <w:rPr>
          <w:rFonts w:hint="eastAsia" w:ascii="仿宋" w:hAnsi="仿宋" w:eastAsia="仿宋" w:cs="仿宋"/>
          <w:b/>
          <w:bCs/>
          <w:color w:val="auto"/>
          <w:kern w:val="2"/>
          <w:sz w:val="24"/>
          <w:szCs w:val="24"/>
          <w:highlight w:val="none"/>
          <w:u w:val="single"/>
          <w:lang w:val="en-US" w:eastAsia="zh-CN" w:bidi="ar"/>
        </w:rPr>
        <w:t>2025年04月08日09时00分</w:t>
      </w:r>
      <w:r>
        <w:rPr>
          <w:rFonts w:hint="eastAsia" w:ascii="仿宋" w:hAnsi="仿宋" w:eastAsia="仿宋" w:cs="仿宋"/>
          <w:bCs/>
          <w:color w:val="auto"/>
          <w:sz w:val="24"/>
          <w:szCs w:val="24"/>
          <w:highlight w:val="none"/>
        </w:rPr>
        <w:t>（北京时间）</w:t>
      </w:r>
      <w:r>
        <w:rPr>
          <w:rFonts w:hint="eastAsia" w:ascii="仿宋" w:hAnsi="仿宋" w:eastAsia="仿宋" w:cs="仿宋"/>
          <w:bCs/>
          <w:color w:val="auto"/>
          <w:sz w:val="24"/>
          <w:szCs w:val="24"/>
          <w:highlight w:val="none"/>
          <w:lang w:eastAsia="zh-CN"/>
        </w:rPr>
        <w:t>。</w:t>
      </w:r>
    </w:p>
    <w:p w14:paraId="0E6A5D17">
      <w:pPr>
        <w:keepNext w:val="0"/>
        <w:pageBreakBefore w:val="0"/>
        <w:kinsoku/>
        <w:wordWrap w:val="0"/>
        <w:overflowPunct/>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开标地点：</w:t>
      </w:r>
      <w:r>
        <w:rPr>
          <w:rFonts w:hint="eastAsia" w:ascii="仿宋" w:hAnsi="仿宋" w:eastAsia="仿宋" w:cs="黑体"/>
          <w:color w:val="auto"/>
          <w:sz w:val="24"/>
          <w:szCs w:val="24"/>
          <w:highlight w:val="none"/>
          <w:lang w:val="en-US" w:eastAsia="zh-CN"/>
        </w:rPr>
        <w:t>投标人应按照本项目招标文件和"政采云"平台的要求编制、加密后在提交投标文件截止时间前上传至"政采云"平台，投标文件提交截止时间前未完成投标文件上传的，视为撤回投标文件。投标人在"政采云"平台提交电子版投标文件时，请填写参加远程采购活动经办人联系方式。</w:t>
      </w:r>
    </w:p>
    <w:p w14:paraId="1D8BB505">
      <w:pPr>
        <w:keepNext w:val="0"/>
        <w:pageBreakBefore w:val="0"/>
        <w:kinsoku/>
        <w:wordWrap/>
        <w:overflowPunct/>
        <w:topLinePunct w:val="0"/>
        <w:bidi w:val="0"/>
        <w:adjustRightInd w:val="0"/>
        <w:spacing w:line="460" w:lineRule="exact"/>
        <w:ind w:firstLine="472" w:firstLineChars="196"/>
        <w:jc w:val="left"/>
        <w:textAlignment w:val="baseline"/>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w:t>
      </w:r>
      <w:r>
        <w:rPr>
          <w:rFonts w:hint="eastAsia" w:ascii="仿宋" w:hAnsi="仿宋" w:eastAsia="仿宋" w:cs="仿宋"/>
          <w:color w:val="auto"/>
          <w:sz w:val="24"/>
          <w:szCs w:val="24"/>
          <w:highlight w:val="none"/>
        </w:rPr>
        <w:t>、</w:t>
      </w:r>
      <w:r>
        <w:rPr>
          <w:rFonts w:hint="eastAsia" w:ascii="仿宋" w:hAnsi="仿宋" w:eastAsia="仿宋" w:cs="仿宋"/>
          <w:b/>
          <w:color w:val="auto"/>
          <w:sz w:val="24"/>
          <w:szCs w:val="24"/>
          <w:highlight w:val="none"/>
        </w:rPr>
        <w:t>公告发布媒介和期限</w:t>
      </w:r>
    </w:p>
    <w:p w14:paraId="1675DB67">
      <w:pPr>
        <w:keepNext w:val="0"/>
        <w:keepLines w:val="0"/>
        <w:pageBreakBefore w:val="0"/>
        <w:suppressLineNumbers w:val="0"/>
        <w:kinsoku/>
        <w:wordWrap/>
        <w:overflowPunct/>
        <w:topLinePunct w:val="0"/>
        <w:autoSpaceDN/>
        <w:bidi w:val="0"/>
        <w:snapToGrid/>
        <w:spacing w:before="0" w:beforeAutospacing="0" w:after="0" w:afterAutospacing="0" w:line="460" w:lineRule="exact"/>
        <w:ind w:left="0" w:right="0" w:firstLine="480" w:firstLineChars="200"/>
        <w:textAlignment w:val="auto"/>
        <w:rPr>
          <w:rFonts w:hint="eastAsia" w:ascii="仿宋" w:hAnsi="仿宋" w:eastAsia="仿宋" w:cs="仿宋"/>
          <w:bCs/>
          <w:color w:val="auto"/>
          <w:sz w:val="24"/>
          <w:szCs w:val="24"/>
          <w:highlight w:val="none"/>
          <w:u w:val="none"/>
        </w:rPr>
      </w:pPr>
      <w:r>
        <w:rPr>
          <w:rFonts w:hint="eastAsia" w:ascii="仿宋" w:hAnsi="仿宋" w:eastAsia="仿宋" w:cs="仿宋"/>
          <w:bCs/>
          <w:color w:val="auto"/>
          <w:sz w:val="24"/>
          <w:szCs w:val="24"/>
          <w:highlight w:val="none"/>
        </w:rPr>
        <w:t>本公告在</w:t>
      </w:r>
      <w:r>
        <w:rPr>
          <w:rFonts w:hint="eastAsia" w:ascii="仿宋" w:hAnsi="仿宋" w:eastAsia="仿宋" w:cs="黑体"/>
          <w:color w:val="auto"/>
          <w:sz w:val="24"/>
          <w:szCs w:val="24"/>
          <w:highlight w:val="none"/>
        </w:rPr>
        <w:t>云南省政府采购网（</w:t>
      </w:r>
      <w:r>
        <w:rPr>
          <w:rFonts w:hint="eastAsia" w:ascii="仿宋" w:hAnsi="仿宋" w:eastAsia="仿宋" w:cs="宋体"/>
          <w:color w:val="auto"/>
          <w:sz w:val="24"/>
          <w:szCs w:val="24"/>
          <w:highlight w:val="none"/>
        </w:rPr>
        <w:t>网址：</w:t>
      </w:r>
      <w:r>
        <w:rPr>
          <w:rFonts w:ascii="仿宋" w:hAnsi="仿宋" w:eastAsia="仿宋" w:cs="宋体"/>
          <w:color w:val="auto"/>
          <w:sz w:val="24"/>
          <w:szCs w:val="24"/>
          <w:highlight w:val="none"/>
        </w:rPr>
        <w:t>http://www.yngp.com</w:t>
      </w:r>
      <w:r>
        <w:rPr>
          <w:rFonts w:hint="eastAsia" w:ascii="仿宋" w:hAnsi="仿宋" w:eastAsia="仿宋" w:cs="黑体"/>
          <w:color w:val="auto"/>
          <w:sz w:val="24"/>
          <w:szCs w:val="24"/>
          <w:highlight w:val="none"/>
        </w:rPr>
        <w:t>）</w:t>
      </w:r>
      <w:r>
        <w:rPr>
          <w:rFonts w:hint="eastAsia" w:ascii="仿宋" w:hAnsi="仿宋" w:eastAsia="仿宋" w:cs="仿宋"/>
          <w:color w:val="auto"/>
          <w:sz w:val="24"/>
          <w:szCs w:val="24"/>
          <w:highlight w:val="none"/>
          <w:u w:val="none"/>
          <w:lang w:eastAsia="zh-CN" w:bidi="ar"/>
        </w:rPr>
        <w:t>上</w:t>
      </w:r>
      <w:r>
        <w:rPr>
          <w:rStyle w:val="661"/>
          <w:rFonts w:hint="eastAsia" w:ascii="仿宋" w:hAnsi="仿宋" w:eastAsia="仿宋" w:cs="仿宋"/>
          <w:bCs/>
          <w:color w:val="auto"/>
          <w:kern w:val="0"/>
          <w:sz w:val="24"/>
          <w:szCs w:val="24"/>
          <w:highlight w:val="none"/>
          <w:u w:val="none"/>
        </w:rPr>
        <w:t>发布</w:t>
      </w:r>
      <w:r>
        <w:rPr>
          <w:rFonts w:hint="eastAsia" w:ascii="仿宋" w:hAnsi="仿宋" w:eastAsia="仿宋" w:cs="仿宋"/>
          <w:color w:val="auto"/>
          <w:sz w:val="24"/>
          <w:szCs w:val="24"/>
          <w:highlight w:val="none"/>
          <w:u w:val="none"/>
        </w:rPr>
        <w:t>，</w:t>
      </w:r>
      <w:r>
        <w:rPr>
          <w:rFonts w:hint="eastAsia" w:ascii="仿宋" w:hAnsi="仿宋" w:eastAsia="仿宋" w:cs="仿宋"/>
          <w:bCs/>
          <w:color w:val="auto"/>
          <w:sz w:val="24"/>
          <w:szCs w:val="24"/>
          <w:highlight w:val="none"/>
          <w:u w:val="none"/>
        </w:rPr>
        <w:t>发布期限为自发布之日起5个工作日。</w:t>
      </w:r>
    </w:p>
    <w:p w14:paraId="6EBE09F8">
      <w:pPr>
        <w:keepNext w:val="0"/>
        <w:pageBreakBefore w:val="0"/>
        <w:kinsoku/>
        <w:wordWrap/>
        <w:overflowPunct/>
        <w:topLinePunct w:val="0"/>
        <w:bidi w:val="0"/>
        <w:adjustRightInd w:val="0"/>
        <w:spacing w:line="460" w:lineRule="exact"/>
        <w:ind w:firstLine="482" w:firstLineChars="200"/>
        <w:jc w:val="left"/>
        <w:textAlignment w:val="baseline"/>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六</w:t>
      </w:r>
      <w:r>
        <w:rPr>
          <w:rFonts w:hint="eastAsia" w:ascii="仿宋" w:hAnsi="仿宋" w:eastAsia="仿宋" w:cs="仿宋"/>
          <w:color w:val="auto"/>
          <w:sz w:val="24"/>
          <w:szCs w:val="24"/>
          <w:highlight w:val="none"/>
        </w:rPr>
        <w:t>、</w:t>
      </w:r>
      <w:r>
        <w:rPr>
          <w:rFonts w:hint="eastAsia" w:ascii="仿宋" w:hAnsi="仿宋" w:eastAsia="仿宋" w:cs="仿宋"/>
          <w:b/>
          <w:color w:val="auto"/>
          <w:sz w:val="24"/>
          <w:szCs w:val="24"/>
          <w:highlight w:val="none"/>
        </w:rPr>
        <w:t>其他补充事宜</w:t>
      </w:r>
    </w:p>
    <w:p w14:paraId="70E88A1F">
      <w:pPr>
        <w:keepNext w:val="0"/>
        <w:pageBreakBefore w:val="0"/>
        <w:kinsoku/>
        <w:overflowPunct/>
        <w:topLinePunct w:val="0"/>
        <w:bidi w:val="0"/>
        <w:spacing w:line="460" w:lineRule="exact"/>
        <w:ind w:firstLine="480" w:firstLineChars="200"/>
        <w:rPr>
          <w:rFonts w:hint="eastAsia" w:ascii="仿宋" w:hAnsi="仿宋" w:eastAsia="仿宋" w:cs="黑体"/>
          <w:color w:val="auto"/>
          <w:sz w:val="24"/>
          <w:szCs w:val="24"/>
          <w:highlight w:val="none"/>
          <w:u w:val="single"/>
          <w:lang w:val="en-US" w:eastAsia="zh-CN"/>
        </w:rPr>
      </w:pPr>
      <w:r>
        <w:rPr>
          <w:rFonts w:hint="eastAsia" w:ascii="仿宋" w:hAnsi="仿宋" w:eastAsia="仿宋" w:cs="黑体"/>
          <w:color w:val="auto"/>
          <w:sz w:val="24"/>
          <w:szCs w:val="24"/>
          <w:highlight w:val="none"/>
          <w:lang w:val="en-US" w:eastAsia="zh-CN"/>
        </w:rPr>
        <w:t>1.开标方式：</w:t>
      </w:r>
      <w:r>
        <w:rPr>
          <w:rFonts w:hint="eastAsia" w:ascii="仿宋" w:hAnsi="仿宋" w:eastAsia="仿宋" w:cs="黑体"/>
          <w:color w:val="auto"/>
          <w:sz w:val="24"/>
          <w:szCs w:val="24"/>
          <w:highlight w:val="none"/>
          <w:u w:val="single"/>
          <w:lang w:val="en-US" w:eastAsia="zh-CN"/>
        </w:rPr>
        <w:t>网上开标</w:t>
      </w:r>
    </w:p>
    <w:p w14:paraId="3207DA94">
      <w:pPr>
        <w:keepNext w:val="0"/>
        <w:pageBreakBefore w:val="0"/>
        <w:kinsoku/>
        <w:overflowPunct/>
        <w:topLinePunct w:val="0"/>
        <w:bidi w:val="0"/>
        <w:spacing w:line="460" w:lineRule="exact"/>
        <w:ind w:firstLine="480" w:firstLineChars="200"/>
        <w:rPr>
          <w:rFonts w:hint="eastAsia" w:ascii="仿宋" w:hAnsi="仿宋" w:eastAsia="仿宋" w:cs="黑体"/>
          <w:color w:val="auto"/>
          <w:sz w:val="24"/>
          <w:szCs w:val="24"/>
          <w:highlight w:val="none"/>
          <w:lang w:val="en-US" w:eastAsia="zh-CN"/>
        </w:rPr>
      </w:pPr>
      <w:r>
        <w:rPr>
          <w:rFonts w:hint="eastAsia" w:ascii="仿宋" w:hAnsi="仿宋" w:eastAsia="仿宋" w:cs="黑体"/>
          <w:color w:val="auto"/>
          <w:sz w:val="24"/>
          <w:szCs w:val="24"/>
          <w:highlight w:val="none"/>
          <w:lang w:val="en-US" w:eastAsia="zh-CN"/>
        </w:rPr>
        <w:t>（1）本项目实行网上投标，采用电子投标文件；</w:t>
      </w:r>
    </w:p>
    <w:p w14:paraId="331E39EE">
      <w:pPr>
        <w:keepNext w:val="0"/>
        <w:pageBreakBefore w:val="0"/>
        <w:kinsoku/>
        <w:overflowPunct/>
        <w:topLinePunct w:val="0"/>
        <w:bidi w:val="0"/>
        <w:spacing w:line="460" w:lineRule="exact"/>
        <w:ind w:firstLine="480" w:firstLineChars="200"/>
        <w:rPr>
          <w:rFonts w:hint="eastAsia" w:ascii="仿宋" w:hAnsi="仿宋" w:eastAsia="仿宋" w:cs="黑体"/>
          <w:color w:val="auto"/>
          <w:sz w:val="24"/>
          <w:szCs w:val="24"/>
          <w:highlight w:val="none"/>
          <w:lang w:val="en-US" w:eastAsia="zh-CN"/>
        </w:rPr>
      </w:pPr>
      <w:r>
        <w:rPr>
          <w:rFonts w:hint="eastAsia" w:ascii="仿宋" w:hAnsi="仿宋" w:eastAsia="仿宋" w:cs="黑体"/>
          <w:color w:val="auto"/>
          <w:sz w:val="24"/>
          <w:szCs w:val="24"/>
          <w:highlight w:val="none"/>
          <w:lang w:val="en-US" w:eastAsia="zh-CN"/>
        </w:rPr>
        <w:t>（2）各投标人应在开标前应确保成为政采云平台投标人，并完成CA数字证书申领。因未注册入库、未办理CA数字证书等原因造成无法投标或投标失败等后果由投标人自行承担。</w:t>
      </w:r>
    </w:p>
    <w:p w14:paraId="479D67BD">
      <w:pPr>
        <w:keepNext w:val="0"/>
        <w:pageBreakBefore w:val="0"/>
        <w:kinsoku/>
        <w:overflowPunct/>
        <w:topLinePunct w:val="0"/>
        <w:bidi w:val="0"/>
        <w:spacing w:line="460" w:lineRule="exact"/>
        <w:ind w:firstLine="480" w:firstLineChars="200"/>
        <w:rPr>
          <w:rFonts w:hint="eastAsia" w:ascii="仿宋" w:hAnsi="仿宋" w:eastAsia="仿宋" w:cs="仿宋"/>
          <w:b/>
          <w:color w:val="auto"/>
          <w:sz w:val="24"/>
          <w:szCs w:val="24"/>
          <w:highlight w:val="none"/>
        </w:rPr>
      </w:pPr>
      <w:r>
        <w:rPr>
          <w:rFonts w:hint="eastAsia" w:ascii="仿宋" w:hAnsi="仿宋" w:eastAsia="仿宋" w:cs="黑体"/>
          <w:color w:val="auto"/>
          <w:sz w:val="24"/>
          <w:szCs w:val="24"/>
          <w:highlight w:val="none"/>
          <w:lang w:val="en-US" w:eastAsia="zh-CN"/>
        </w:rPr>
        <w:t>（3）投标人将政采云电子交易客户端下载、安装完成后，可通过账号密码或CA登录客户端进行投标文件的制作。客户端请至政采云公司网站进行查看下载，如有问题可拨打政采云客户服务热线400-881-7190进行咨询。如因投标人自身原因导致在规定时间内无法正常解密的（如：浏览器故障、未安装相关驱动、网络故障、加密CA与解密CA不一致等），代理机构不予异常处理，视为投标人自动弃标。</w:t>
      </w:r>
    </w:p>
    <w:p w14:paraId="03885FB0">
      <w:pPr>
        <w:pStyle w:val="262"/>
        <w:keepNext w:val="0"/>
        <w:pageBreakBefore w:val="0"/>
        <w:kinsoku/>
        <w:overflowPunct/>
        <w:topLinePunct w:val="0"/>
        <w:bidi w:val="0"/>
        <w:spacing w:line="460" w:lineRule="exact"/>
        <w:ind w:left="0" w:firstLine="480" w:firstLineChars="200"/>
        <w:rPr>
          <w:rFonts w:hint="eastAsia" w:ascii="仿宋" w:hAnsi="仿宋" w:eastAsia="仿宋" w:cs="仿宋"/>
          <w:b/>
          <w:color w:val="auto"/>
          <w:sz w:val="24"/>
          <w:szCs w:val="24"/>
          <w:highlight w:val="none"/>
        </w:rPr>
      </w:pPr>
      <w:r>
        <w:rPr>
          <w:rFonts w:hint="eastAsia" w:ascii="仿宋" w:hAnsi="仿宋" w:eastAsia="仿宋" w:cs="黑体"/>
          <w:color w:val="auto"/>
          <w:sz w:val="24"/>
          <w:szCs w:val="24"/>
          <w:highlight w:val="none"/>
          <w:lang w:val="en-US" w:eastAsia="zh-CN"/>
        </w:rPr>
        <w:t>2.</w:t>
      </w:r>
      <w:r>
        <w:rPr>
          <w:rFonts w:hint="eastAsia" w:ascii="仿宋" w:hAnsi="仿宋" w:eastAsia="仿宋" w:cs="黑体"/>
          <w:color w:val="auto"/>
          <w:sz w:val="24"/>
          <w:szCs w:val="24"/>
          <w:highlight w:val="none"/>
        </w:rPr>
        <w:t>无论招标结果如何，</w:t>
      </w:r>
      <w:r>
        <w:rPr>
          <w:rFonts w:hint="eastAsia" w:ascii="仿宋" w:hAnsi="仿宋" w:eastAsia="仿宋" w:cs="黑体"/>
          <w:color w:val="auto"/>
          <w:sz w:val="24"/>
          <w:szCs w:val="24"/>
          <w:highlight w:val="none"/>
          <w:lang w:eastAsia="zh-CN"/>
        </w:rPr>
        <w:t>招标</w:t>
      </w:r>
      <w:r>
        <w:rPr>
          <w:rFonts w:hint="eastAsia" w:ascii="仿宋" w:hAnsi="仿宋" w:eastAsia="仿宋" w:cs="黑体"/>
          <w:color w:val="auto"/>
          <w:sz w:val="24"/>
          <w:szCs w:val="24"/>
          <w:highlight w:val="none"/>
        </w:rPr>
        <w:t>人和</w:t>
      </w:r>
      <w:r>
        <w:rPr>
          <w:rFonts w:hint="eastAsia" w:ascii="仿宋" w:hAnsi="仿宋" w:eastAsia="仿宋" w:cs="黑体"/>
          <w:color w:val="auto"/>
          <w:sz w:val="24"/>
          <w:szCs w:val="24"/>
          <w:highlight w:val="none"/>
          <w:lang w:eastAsia="zh-CN"/>
        </w:rPr>
        <w:t>招标</w:t>
      </w:r>
      <w:r>
        <w:rPr>
          <w:rFonts w:hint="eastAsia" w:ascii="仿宋" w:hAnsi="仿宋" w:eastAsia="仿宋" w:cs="黑体"/>
          <w:color w:val="auto"/>
          <w:sz w:val="24"/>
          <w:szCs w:val="24"/>
          <w:highlight w:val="none"/>
        </w:rPr>
        <w:t>代理机构不承担</w:t>
      </w:r>
      <w:r>
        <w:rPr>
          <w:rFonts w:hint="eastAsia" w:ascii="仿宋" w:hAnsi="仿宋" w:eastAsia="仿宋" w:cs="黑体"/>
          <w:color w:val="auto"/>
          <w:sz w:val="24"/>
          <w:szCs w:val="24"/>
          <w:highlight w:val="none"/>
          <w:lang w:eastAsia="zh-CN"/>
        </w:rPr>
        <w:t>投标人</w:t>
      </w:r>
      <w:r>
        <w:rPr>
          <w:rFonts w:hint="eastAsia" w:ascii="仿宋" w:hAnsi="仿宋" w:eastAsia="仿宋" w:cs="黑体"/>
          <w:color w:val="auto"/>
          <w:sz w:val="24"/>
          <w:szCs w:val="24"/>
          <w:highlight w:val="none"/>
        </w:rPr>
        <w:t>准备投标文件和递交投标文件以及参加本次招标活动所发生的任何成本或费用。</w:t>
      </w:r>
    </w:p>
    <w:p w14:paraId="44B146C5">
      <w:pPr>
        <w:keepNext w:val="0"/>
        <w:pageBreakBefore w:val="0"/>
        <w:kinsoku/>
        <w:wordWrap/>
        <w:overflowPunct/>
        <w:topLinePunct w:val="0"/>
        <w:bidi w:val="0"/>
        <w:spacing w:line="460" w:lineRule="exact"/>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七、凡对本次</w:t>
      </w:r>
      <w:r>
        <w:rPr>
          <w:rFonts w:hint="eastAsia" w:ascii="仿宋" w:hAnsi="仿宋" w:eastAsia="仿宋" w:cs="仿宋"/>
          <w:b/>
          <w:color w:val="auto"/>
          <w:sz w:val="24"/>
          <w:szCs w:val="24"/>
          <w:highlight w:val="none"/>
          <w:lang w:eastAsia="zh-CN"/>
        </w:rPr>
        <w:t>招标</w:t>
      </w:r>
      <w:r>
        <w:rPr>
          <w:rFonts w:hint="eastAsia" w:ascii="仿宋" w:hAnsi="仿宋" w:eastAsia="仿宋" w:cs="仿宋"/>
          <w:b/>
          <w:color w:val="auto"/>
          <w:sz w:val="24"/>
          <w:szCs w:val="24"/>
          <w:highlight w:val="none"/>
        </w:rPr>
        <w:t>提出询问，请按以下方式联系。</w:t>
      </w:r>
    </w:p>
    <w:p w14:paraId="00FF2730">
      <w:pPr>
        <w:keepNext w:val="0"/>
        <w:pageBreakBefore w:val="0"/>
        <w:widowControl/>
        <w:kinsoku/>
        <w:wordWrap/>
        <w:overflowPunct/>
        <w:topLinePunct w:val="0"/>
        <w:bidi w:val="0"/>
        <w:snapToGrid w:val="0"/>
        <w:spacing w:line="460" w:lineRule="exact"/>
        <w:ind w:firstLine="480" w:firstLineChars="200"/>
        <w:textAlignment w:val="baseline"/>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招标人</w:t>
      </w:r>
      <w:r>
        <w:rPr>
          <w:rFonts w:hint="eastAsia" w:ascii="仿宋" w:hAnsi="仿宋" w:eastAsia="仿宋" w:cs="仿宋"/>
          <w:color w:val="auto"/>
          <w:kern w:val="0"/>
          <w:sz w:val="24"/>
          <w:szCs w:val="24"/>
          <w:highlight w:val="none"/>
          <w:lang w:eastAsia="zh-CN"/>
        </w:rPr>
        <w:t>信息</w:t>
      </w:r>
    </w:p>
    <w:p w14:paraId="4CE74CFD">
      <w:pPr>
        <w:keepNext w:val="0"/>
        <w:pageBreakBefore w:val="0"/>
        <w:kinsoku/>
        <w:overflowPunct/>
        <w:topLinePunct w:val="0"/>
        <w:bidi w:val="0"/>
        <w:spacing w:line="460" w:lineRule="exact"/>
        <w:ind w:firstLine="480" w:firstLineChars="200"/>
        <w:rPr>
          <w:rFonts w:hint="eastAsia" w:ascii="仿宋" w:hAnsi="仿宋" w:eastAsia="仿宋" w:cs="黑体"/>
          <w:color w:val="auto"/>
          <w:sz w:val="24"/>
          <w:szCs w:val="24"/>
          <w:highlight w:val="none"/>
          <w:lang w:eastAsia="zh-CN"/>
        </w:rPr>
      </w:pPr>
      <w:r>
        <w:rPr>
          <w:rFonts w:hint="eastAsia" w:ascii="仿宋" w:hAnsi="仿宋" w:eastAsia="仿宋" w:cs="黑体"/>
          <w:color w:val="auto"/>
          <w:sz w:val="24"/>
          <w:szCs w:val="24"/>
          <w:highlight w:val="none"/>
        </w:rPr>
        <w:t>名</w:t>
      </w:r>
      <w:r>
        <w:rPr>
          <w:rFonts w:hint="eastAsia" w:ascii="仿宋" w:hAnsi="仿宋" w:eastAsia="仿宋" w:cs="黑体"/>
          <w:color w:val="auto"/>
          <w:sz w:val="24"/>
          <w:szCs w:val="24"/>
          <w:highlight w:val="none"/>
          <w:lang w:val="en-US" w:eastAsia="zh-CN"/>
        </w:rPr>
        <w:t xml:space="preserve">    </w:t>
      </w:r>
      <w:r>
        <w:rPr>
          <w:rFonts w:hint="eastAsia" w:ascii="仿宋" w:hAnsi="仿宋" w:eastAsia="仿宋" w:cs="黑体"/>
          <w:color w:val="auto"/>
          <w:sz w:val="24"/>
          <w:szCs w:val="24"/>
          <w:highlight w:val="none"/>
        </w:rPr>
        <w:t>称：普洱市</w:t>
      </w:r>
      <w:r>
        <w:rPr>
          <w:rFonts w:hint="eastAsia" w:ascii="仿宋" w:hAnsi="仿宋" w:eastAsia="仿宋" w:cs="黑体"/>
          <w:color w:val="auto"/>
          <w:sz w:val="24"/>
          <w:szCs w:val="24"/>
          <w:highlight w:val="none"/>
          <w:lang w:eastAsia="zh-CN"/>
        </w:rPr>
        <w:t>农业农村局</w:t>
      </w:r>
    </w:p>
    <w:p w14:paraId="0BBFA841">
      <w:pPr>
        <w:keepNext w:val="0"/>
        <w:pageBreakBefore w:val="0"/>
        <w:kinsoku/>
        <w:overflowPunct/>
        <w:topLinePunct w:val="0"/>
        <w:bidi w:val="0"/>
        <w:spacing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黑体"/>
          <w:color w:val="auto"/>
          <w:sz w:val="24"/>
          <w:szCs w:val="24"/>
          <w:highlight w:val="none"/>
        </w:rPr>
        <w:t>地</w:t>
      </w:r>
      <w:r>
        <w:rPr>
          <w:rFonts w:hint="eastAsia" w:ascii="仿宋" w:hAnsi="仿宋" w:eastAsia="仿宋" w:cs="黑体"/>
          <w:color w:val="auto"/>
          <w:sz w:val="24"/>
          <w:szCs w:val="24"/>
          <w:highlight w:val="none"/>
          <w:lang w:val="en-US" w:eastAsia="zh-CN"/>
        </w:rPr>
        <w:t xml:space="preserve">    </w:t>
      </w:r>
      <w:r>
        <w:rPr>
          <w:rFonts w:hint="eastAsia" w:ascii="仿宋" w:hAnsi="仿宋" w:eastAsia="仿宋" w:cs="黑体"/>
          <w:color w:val="auto"/>
          <w:sz w:val="24"/>
          <w:szCs w:val="24"/>
          <w:highlight w:val="none"/>
        </w:rPr>
        <w:t>址：</w:t>
      </w:r>
      <w:r>
        <w:rPr>
          <w:rFonts w:hint="eastAsia" w:ascii="仿宋" w:hAnsi="仿宋" w:eastAsia="仿宋" w:cs="黑体"/>
          <w:color w:val="auto"/>
          <w:sz w:val="24"/>
          <w:szCs w:val="24"/>
          <w:highlight w:val="none"/>
          <w:lang w:eastAsia="zh-CN"/>
        </w:rPr>
        <w:t>云</w:t>
      </w:r>
      <w:r>
        <w:rPr>
          <w:rFonts w:hint="eastAsia" w:ascii="仿宋" w:hAnsi="仿宋" w:eastAsia="仿宋" w:cs="仿宋"/>
          <w:color w:val="auto"/>
          <w:sz w:val="24"/>
          <w:szCs w:val="24"/>
          <w:highlight w:val="none"/>
        </w:rPr>
        <w:t>南省普洱市思茅区普洱人家西北侧</w:t>
      </w:r>
    </w:p>
    <w:p w14:paraId="02F0A49C">
      <w:pPr>
        <w:keepNext w:val="0"/>
        <w:pageBreakBefore w:val="0"/>
        <w:kinsoku/>
        <w:overflowPunct/>
        <w:topLinePunct w:val="0"/>
        <w:bidi w:val="0"/>
        <w:spacing w:line="46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联</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系</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人：王老师</w:t>
      </w:r>
    </w:p>
    <w:p w14:paraId="5933F3A2">
      <w:pPr>
        <w:keepNext w:val="0"/>
        <w:pageBreakBefore w:val="0"/>
        <w:kinsoku/>
        <w:overflowPunct/>
        <w:topLinePunct w:val="0"/>
        <w:bidi w:val="0"/>
        <w:spacing w:line="460" w:lineRule="exact"/>
        <w:ind w:firstLine="480" w:firstLineChars="200"/>
        <w:rPr>
          <w:rFonts w:hint="default" w:ascii="仿宋" w:hAnsi="仿宋" w:eastAsia="仿宋" w:cs="仿宋"/>
          <w:color w:val="auto"/>
          <w:sz w:val="36"/>
          <w:szCs w:val="36"/>
          <w:highlight w:val="none"/>
          <w:lang w:val="en-US" w:eastAsia="zh-CN"/>
        </w:rPr>
      </w:pPr>
      <w:r>
        <w:rPr>
          <w:rFonts w:hint="eastAsia" w:ascii="仿宋" w:hAnsi="仿宋" w:eastAsia="仿宋" w:cs="黑体"/>
          <w:color w:val="auto"/>
          <w:sz w:val="24"/>
          <w:szCs w:val="24"/>
          <w:highlight w:val="none"/>
        </w:rPr>
        <w:t>联系方式：</w:t>
      </w:r>
      <w:r>
        <w:rPr>
          <w:rFonts w:hint="eastAsia" w:ascii="仿宋" w:hAnsi="仿宋" w:eastAsia="仿宋"/>
          <w:color w:val="auto"/>
          <w:sz w:val="24"/>
          <w:szCs w:val="24"/>
          <w:highlight w:val="none"/>
        </w:rPr>
        <w:t xml:space="preserve"> </w:t>
      </w:r>
      <w:r>
        <w:rPr>
          <w:rFonts w:hint="eastAsia" w:ascii="仿宋" w:hAnsi="仿宋" w:eastAsia="仿宋" w:cs="仿宋"/>
          <w:color w:val="auto"/>
          <w:sz w:val="24"/>
          <w:szCs w:val="24"/>
          <w:highlight w:val="none"/>
        </w:rPr>
        <w:t>15394940342</w:t>
      </w:r>
    </w:p>
    <w:p w14:paraId="2D9006F8">
      <w:pPr>
        <w:pStyle w:val="23"/>
        <w:keepNext w:val="0"/>
        <w:keepLines w:val="0"/>
        <w:pageBreakBefore w:val="0"/>
        <w:widowControl/>
        <w:kinsoku/>
        <w:wordWrap/>
        <w:overflowPunct/>
        <w:topLinePunct w:val="0"/>
        <w:autoSpaceDE w:val="0"/>
        <w:autoSpaceDN w:val="0"/>
        <w:bidi w:val="0"/>
        <w:adjustRightInd w:val="0"/>
        <w:snapToGrid/>
        <w:spacing w:line="460" w:lineRule="exact"/>
        <w:textAlignment w:val="bottom"/>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Cs/>
          <w:color w:val="auto"/>
          <w:sz w:val="24"/>
          <w:szCs w:val="24"/>
          <w:highlight w:val="none"/>
        </w:rPr>
        <w:t xml:space="preserve"> </w:t>
      </w:r>
    </w:p>
    <w:p w14:paraId="3C435D53">
      <w:pPr>
        <w:keepNext w:val="0"/>
        <w:pageBreakBefore w:val="0"/>
        <w:widowControl/>
        <w:numPr>
          <w:ilvl w:val="0"/>
          <w:numId w:val="0"/>
        </w:numPr>
        <w:kinsoku/>
        <w:wordWrap/>
        <w:overflowPunct/>
        <w:topLinePunct w:val="0"/>
        <w:bidi w:val="0"/>
        <w:snapToGrid w:val="0"/>
        <w:spacing w:line="460" w:lineRule="exact"/>
        <w:ind w:left="0" w:leftChars="0" w:firstLine="480" w:firstLineChars="200"/>
        <w:textAlignment w:val="baseline"/>
        <w:rPr>
          <w:rFonts w:hint="eastAsia" w:ascii="仿宋" w:hAnsi="仿宋" w:eastAsia="仿宋" w:cs="仿宋"/>
          <w:bCs/>
          <w:color w:val="auto"/>
          <w:kern w:val="0"/>
          <w:sz w:val="24"/>
          <w:szCs w:val="24"/>
          <w:highlight w:val="none"/>
          <w:lang w:eastAsia="zh-CN"/>
        </w:rPr>
      </w:pPr>
      <w:r>
        <w:rPr>
          <w:rFonts w:hint="eastAsia" w:ascii="仿宋" w:hAnsi="仿宋" w:eastAsia="仿宋" w:cs="仿宋"/>
          <w:bCs/>
          <w:color w:val="auto"/>
          <w:kern w:val="0"/>
          <w:sz w:val="24"/>
          <w:szCs w:val="24"/>
          <w:highlight w:val="none"/>
          <w:lang w:val="en-US" w:eastAsia="zh-CN" w:bidi="ar-SA"/>
        </w:rPr>
        <w:t>2.</w:t>
      </w:r>
      <w:r>
        <w:rPr>
          <w:rFonts w:hint="eastAsia" w:ascii="仿宋" w:hAnsi="仿宋" w:eastAsia="仿宋" w:cs="仿宋"/>
          <w:bCs/>
          <w:color w:val="auto"/>
          <w:kern w:val="0"/>
          <w:sz w:val="24"/>
          <w:szCs w:val="24"/>
          <w:highlight w:val="none"/>
        </w:rPr>
        <w:t>招标代理机构</w:t>
      </w:r>
      <w:r>
        <w:rPr>
          <w:rFonts w:hint="eastAsia" w:ascii="仿宋" w:hAnsi="仿宋" w:eastAsia="仿宋" w:cs="仿宋"/>
          <w:bCs/>
          <w:color w:val="auto"/>
          <w:kern w:val="0"/>
          <w:sz w:val="24"/>
          <w:szCs w:val="24"/>
          <w:highlight w:val="none"/>
          <w:lang w:eastAsia="zh-CN"/>
        </w:rPr>
        <w:t>信息</w:t>
      </w:r>
    </w:p>
    <w:p w14:paraId="58814B99">
      <w:pPr>
        <w:keepNext w:val="0"/>
        <w:pageBreakBefore w:val="0"/>
        <w:widowControl/>
        <w:numPr>
          <w:ilvl w:val="0"/>
          <w:numId w:val="0"/>
        </w:numPr>
        <w:kinsoku/>
        <w:wordWrap/>
        <w:overflowPunct/>
        <w:topLinePunct w:val="0"/>
        <w:bidi w:val="0"/>
        <w:snapToGrid w:val="0"/>
        <w:spacing w:line="460" w:lineRule="exact"/>
        <w:ind w:firstLine="480" w:firstLineChars="200"/>
        <w:textAlignment w:val="baseline"/>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lang w:eastAsia="zh-CN"/>
        </w:rPr>
        <w:t>名</w:t>
      </w:r>
      <w:r>
        <w:rPr>
          <w:rFonts w:hint="eastAsia" w:ascii="仿宋" w:hAnsi="仿宋" w:eastAsia="仿宋" w:cs="仿宋"/>
          <w:bCs/>
          <w:color w:val="auto"/>
          <w:kern w:val="0"/>
          <w:sz w:val="24"/>
          <w:szCs w:val="24"/>
          <w:highlight w:val="none"/>
          <w:lang w:val="en-US" w:eastAsia="zh-CN"/>
        </w:rPr>
        <w:t xml:space="preserve">    </w:t>
      </w:r>
      <w:r>
        <w:rPr>
          <w:rFonts w:hint="eastAsia" w:ascii="仿宋" w:hAnsi="仿宋" w:eastAsia="仿宋" w:cs="仿宋"/>
          <w:bCs/>
          <w:color w:val="auto"/>
          <w:kern w:val="0"/>
          <w:sz w:val="24"/>
          <w:szCs w:val="24"/>
          <w:highlight w:val="none"/>
          <w:lang w:eastAsia="zh-CN"/>
        </w:rPr>
        <w:t>称</w:t>
      </w:r>
      <w:r>
        <w:rPr>
          <w:rFonts w:hint="eastAsia" w:ascii="仿宋" w:hAnsi="仿宋" w:eastAsia="仿宋" w:cs="仿宋"/>
          <w:bCs/>
          <w:color w:val="auto"/>
          <w:kern w:val="0"/>
          <w:sz w:val="24"/>
          <w:szCs w:val="24"/>
          <w:highlight w:val="none"/>
        </w:rPr>
        <w:t>：云南算方咨询有限公司</w:t>
      </w:r>
    </w:p>
    <w:p w14:paraId="51A3AFB7">
      <w:pPr>
        <w:keepNext w:val="0"/>
        <w:pageBreakBefore w:val="0"/>
        <w:widowControl/>
        <w:kinsoku/>
        <w:wordWrap/>
        <w:overflowPunct/>
        <w:topLinePunct w:val="0"/>
        <w:bidi w:val="0"/>
        <w:snapToGrid w:val="0"/>
        <w:spacing w:line="460" w:lineRule="exact"/>
        <w:ind w:firstLine="480" w:firstLineChars="200"/>
        <w:textAlignment w:val="baseline"/>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地    址：普洱市普洱大道盛景园二期3栋2单元203室</w:t>
      </w:r>
    </w:p>
    <w:p w14:paraId="13FDFE39">
      <w:pPr>
        <w:keepNext w:val="0"/>
        <w:pageBreakBefore w:val="0"/>
        <w:widowControl/>
        <w:kinsoku/>
        <w:wordWrap/>
        <w:overflowPunct/>
        <w:topLinePunct w:val="0"/>
        <w:bidi w:val="0"/>
        <w:snapToGrid w:val="0"/>
        <w:spacing w:line="460" w:lineRule="exact"/>
        <w:ind w:firstLine="480" w:firstLineChars="200"/>
        <w:textAlignment w:val="baseline"/>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联 系 人：</w:t>
      </w:r>
      <w:r>
        <w:rPr>
          <w:rFonts w:hint="eastAsia" w:ascii="仿宋" w:hAnsi="仿宋" w:eastAsia="仿宋" w:cs="仿宋"/>
          <w:bCs/>
          <w:color w:val="auto"/>
          <w:kern w:val="0"/>
          <w:sz w:val="24"/>
          <w:szCs w:val="24"/>
          <w:highlight w:val="none"/>
          <w:lang w:eastAsia="zh-CN"/>
        </w:rPr>
        <w:t>应</w:t>
      </w:r>
      <w:r>
        <w:rPr>
          <w:rFonts w:hint="eastAsia" w:ascii="仿宋" w:hAnsi="仿宋" w:eastAsia="仿宋" w:cs="仿宋"/>
          <w:bCs/>
          <w:color w:val="auto"/>
          <w:kern w:val="0"/>
          <w:sz w:val="24"/>
          <w:szCs w:val="24"/>
          <w:highlight w:val="none"/>
        </w:rPr>
        <w:t>工</w:t>
      </w:r>
    </w:p>
    <w:p w14:paraId="55FC8F83">
      <w:pPr>
        <w:keepNext w:val="0"/>
        <w:pageBreakBefore w:val="0"/>
        <w:widowControl/>
        <w:kinsoku/>
        <w:wordWrap/>
        <w:overflowPunct/>
        <w:topLinePunct w:val="0"/>
        <w:bidi w:val="0"/>
        <w:snapToGrid w:val="0"/>
        <w:spacing w:line="460" w:lineRule="exact"/>
        <w:ind w:firstLine="480" w:firstLineChars="200"/>
        <w:textAlignment w:val="baseline"/>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联系电话：0879-2158006</w:t>
      </w:r>
    </w:p>
    <w:p w14:paraId="646BEB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color w:val="auto"/>
          <w:kern w:val="2"/>
          <w:sz w:val="24"/>
          <w:szCs w:val="24"/>
          <w:highlight w:val="none"/>
          <w:lang w:val="en-US" w:eastAsia="zh-CN" w:bidi="ar"/>
        </w:rPr>
      </w:pPr>
    </w:p>
    <w:p w14:paraId="0042FF50">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3.项目联系方式</w:t>
      </w:r>
    </w:p>
    <w:p w14:paraId="0DD7DD8E">
      <w:pPr>
        <w:keepNext w:val="0"/>
        <w:pageBreakBefore w:val="0"/>
        <w:kinsoku/>
        <w:overflowPunct/>
        <w:topLinePunct w:val="0"/>
        <w:bidi w:val="0"/>
        <w:spacing w:line="460" w:lineRule="exact"/>
        <w:ind w:firstLine="480" w:firstLineChars="200"/>
        <w:rPr>
          <w:rFonts w:hint="eastAsia" w:ascii="仿宋" w:hAnsi="仿宋" w:eastAsia="仿宋" w:cs="黑体"/>
          <w:color w:val="auto"/>
          <w:sz w:val="24"/>
          <w:szCs w:val="24"/>
          <w:highlight w:val="none"/>
          <w:lang w:eastAsia="zh-CN"/>
        </w:rPr>
      </w:pPr>
      <w:r>
        <w:rPr>
          <w:rFonts w:hint="eastAsia" w:ascii="仿宋" w:hAnsi="仿宋" w:eastAsia="仿宋" w:cs="黑体"/>
          <w:color w:val="auto"/>
          <w:sz w:val="24"/>
          <w:szCs w:val="24"/>
          <w:highlight w:val="none"/>
        </w:rPr>
        <w:t>项目联系人：</w:t>
      </w:r>
      <w:r>
        <w:rPr>
          <w:rFonts w:hint="eastAsia" w:ascii="仿宋" w:hAnsi="仿宋" w:eastAsia="仿宋" w:cs="仿宋"/>
          <w:color w:val="auto"/>
          <w:sz w:val="24"/>
          <w:szCs w:val="24"/>
          <w:highlight w:val="none"/>
          <w:lang w:eastAsia="zh-CN"/>
        </w:rPr>
        <w:t>王</w:t>
      </w:r>
      <w:r>
        <w:rPr>
          <w:rFonts w:hint="eastAsia" w:ascii="仿宋" w:hAnsi="仿宋" w:eastAsia="仿宋" w:cs="黑体"/>
          <w:color w:val="auto"/>
          <w:sz w:val="24"/>
          <w:szCs w:val="24"/>
          <w:highlight w:val="none"/>
          <w:lang w:eastAsia="zh-CN"/>
        </w:rPr>
        <w:t>老师</w:t>
      </w:r>
    </w:p>
    <w:p w14:paraId="2E2B9661">
      <w:pPr>
        <w:keepNext w:val="0"/>
        <w:pageBreakBefore w:val="0"/>
        <w:kinsoku/>
        <w:wordWrap/>
        <w:overflowPunct/>
        <w:topLinePunct w:val="0"/>
        <w:bidi w:val="0"/>
        <w:spacing w:line="460" w:lineRule="exact"/>
        <w:ind w:firstLine="480" w:firstLineChars="200"/>
        <w:rPr>
          <w:rFonts w:hint="eastAsia" w:ascii="仿宋" w:hAnsi="仿宋" w:eastAsia="仿宋"/>
          <w:color w:val="auto"/>
          <w:highlight w:val="none"/>
        </w:rPr>
      </w:pPr>
      <w:r>
        <w:rPr>
          <w:rFonts w:hint="eastAsia" w:ascii="仿宋" w:hAnsi="仿宋" w:eastAsia="仿宋" w:cs="黑体"/>
          <w:color w:val="auto"/>
          <w:sz w:val="24"/>
          <w:szCs w:val="24"/>
          <w:highlight w:val="none"/>
        </w:rPr>
        <w:t>联系电话：</w:t>
      </w:r>
      <w:r>
        <w:rPr>
          <w:rFonts w:hint="eastAsia" w:ascii="仿宋" w:hAnsi="仿宋" w:eastAsia="仿宋" w:cs="仿宋"/>
          <w:color w:val="auto"/>
          <w:sz w:val="24"/>
          <w:szCs w:val="24"/>
          <w:highlight w:val="none"/>
        </w:rPr>
        <w:t>15394940342</w:t>
      </w:r>
      <w:bookmarkStart w:id="36" w:name="_Toc17844"/>
      <w:bookmarkStart w:id="37" w:name="_Toc18095"/>
    </w:p>
    <w:p w14:paraId="1AEC2389">
      <w:pPr>
        <w:pStyle w:val="53"/>
        <w:spacing w:before="0" w:after="0" w:line="360" w:lineRule="auto"/>
        <w:jc w:val="both"/>
        <w:rPr>
          <w:rFonts w:hint="eastAsia" w:ascii="仿宋" w:hAnsi="仿宋" w:eastAsia="仿宋"/>
          <w:color w:val="auto"/>
          <w:highlight w:val="none"/>
        </w:rPr>
      </w:pPr>
    </w:p>
    <w:p w14:paraId="7164B785">
      <w:pPr>
        <w:pStyle w:val="53"/>
        <w:spacing w:before="0" w:after="0" w:line="360" w:lineRule="auto"/>
        <w:rPr>
          <w:rFonts w:hint="eastAsia" w:ascii="仿宋" w:hAnsi="仿宋" w:eastAsia="仿宋"/>
          <w:color w:val="auto"/>
          <w:highlight w:val="none"/>
        </w:rPr>
      </w:pPr>
    </w:p>
    <w:p w14:paraId="429B3CD0">
      <w:pPr>
        <w:pStyle w:val="53"/>
        <w:spacing w:before="0" w:after="0" w:line="360" w:lineRule="auto"/>
        <w:rPr>
          <w:rFonts w:ascii="仿宋" w:hAnsi="仿宋" w:eastAsia="仿宋"/>
          <w:color w:val="auto"/>
          <w:highlight w:val="none"/>
        </w:rPr>
      </w:pPr>
      <w:r>
        <w:rPr>
          <w:rFonts w:hint="eastAsia" w:ascii="仿宋" w:hAnsi="仿宋" w:eastAsia="仿宋"/>
          <w:color w:val="auto"/>
          <w:highlight w:val="none"/>
        </w:rPr>
        <w:t>第二章</w:t>
      </w:r>
      <w:r>
        <w:rPr>
          <w:rFonts w:hint="eastAsia" w:ascii="仿宋" w:hAnsi="仿宋" w:eastAsia="仿宋"/>
          <w:color w:val="auto"/>
          <w:highlight w:val="none"/>
          <w:lang w:val="en-US" w:eastAsia="zh-CN"/>
        </w:rPr>
        <w:t xml:space="preserve"> </w:t>
      </w:r>
      <w:r>
        <w:rPr>
          <w:rFonts w:hint="eastAsia" w:ascii="仿宋" w:hAnsi="仿宋" w:eastAsia="仿宋"/>
          <w:color w:val="auto"/>
          <w:highlight w:val="none"/>
        </w:rPr>
        <w:t>投标人须知</w:t>
      </w:r>
      <w:bookmarkEnd w:id="9"/>
      <w:bookmarkEnd w:id="10"/>
      <w:bookmarkEnd w:id="11"/>
      <w:bookmarkEnd w:id="23"/>
      <w:bookmarkEnd w:id="24"/>
      <w:bookmarkEnd w:id="25"/>
      <w:bookmarkEnd w:id="36"/>
      <w:bookmarkEnd w:id="37"/>
    </w:p>
    <w:p w14:paraId="449FA059">
      <w:pPr>
        <w:spacing w:line="360" w:lineRule="auto"/>
        <w:jc w:val="center"/>
        <w:outlineLvl w:val="1"/>
        <w:rPr>
          <w:rFonts w:ascii="仿宋" w:hAnsi="仿宋" w:eastAsia="仿宋"/>
          <w:b/>
          <w:color w:val="auto"/>
          <w:kern w:val="0"/>
          <w:sz w:val="30"/>
          <w:szCs w:val="30"/>
          <w:highlight w:val="none"/>
        </w:rPr>
      </w:pPr>
      <w:r>
        <w:rPr>
          <w:rFonts w:hint="eastAsia" w:ascii="仿宋" w:hAnsi="仿宋" w:eastAsia="仿宋"/>
          <w:b/>
          <w:color w:val="auto"/>
          <w:kern w:val="0"/>
          <w:sz w:val="30"/>
          <w:szCs w:val="30"/>
          <w:highlight w:val="none"/>
        </w:rPr>
        <w:t>投标人须知前附表</w:t>
      </w:r>
    </w:p>
    <w:tbl>
      <w:tblPr>
        <w:tblStyle w:val="56"/>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1786"/>
        <w:gridCol w:w="6631"/>
      </w:tblGrid>
      <w:tr w14:paraId="19345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4045B97C">
            <w:pPr>
              <w:keepNext w:val="0"/>
              <w:keepLines w:val="0"/>
              <w:pageBreakBefore w:val="0"/>
              <w:suppressLineNumbers w:val="0"/>
              <w:kinsoku/>
              <w:wordWrap/>
              <w:overflowPunct/>
              <w:topLinePunct w:val="0"/>
              <w:autoSpaceDN/>
              <w:bidi w:val="0"/>
              <w:adjustRightIn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bookmarkStart w:id="38" w:name="_Hlk66743506"/>
            <w:r>
              <w:rPr>
                <w:rFonts w:hint="eastAsia" w:ascii="仿宋" w:hAnsi="仿宋" w:eastAsia="仿宋" w:cs="仿宋"/>
                <w:color w:val="auto"/>
                <w:sz w:val="24"/>
                <w:szCs w:val="24"/>
                <w:highlight w:val="none"/>
              </w:rPr>
              <w:t>条款号</w:t>
            </w:r>
          </w:p>
        </w:tc>
        <w:tc>
          <w:tcPr>
            <w:tcW w:w="1786" w:type="dxa"/>
            <w:tcBorders>
              <w:top w:val="outset" w:color="auto" w:sz="6" w:space="0"/>
              <w:left w:val="outset" w:color="auto" w:sz="6" w:space="0"/>
              <w:bottom w:val="outset" w:color="auto" w:sz="6" w:space="0"/>
              <w:right w:val="outset" w:color="auto" w:sz="6" w:space="0"/>
            </w:tcBorders>
            <w:noWrap/>
            <w:vAlign w:val="center"/>
          </w:tcPr>
          <w:p w14:paraId="59078C02">
            <w:pPr>
              <w:keepNext w:val="0"/>
              <w:keepLines w:val="0"/>
              <w:pageBreakBefore w:val="0"/>
              <w:suppressLineNumbers w:val="0"/>
              <w:kinsoku/>
              <w:wordWrap/>
              <w:overflowPunct/>
              <w:topLinePunct w:val="0"/>
              <w:autoSpaceDN/>
              <w:bidi w:val="0"/>
              <w:adjustRightIn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条款名称</w:t>
            </w:r>
          </w:p>
        </w:tc>
        <w:tc>
          <w:tcPr>
            <w:tcW w:w="6631" w:type="dxa"/>
            <w:tcBorders>
              <w:top w:val="outset" w:color="auto" w:sz="6" w:space="0"/>
              <w:left w:val="outset" w:color="auto" w:sz="6" w:space="0"/>
              <w:bottom w:val="outset" w:color="auto" w:sz="6" w:space="0"/>
              <w:right w:val="outset" w:color="auto" w:sz="6" w:space="0"/>
            </w:tcBorders>
            <w:noWrap/>
            <w:vAlign w:val="center"/>
          </w:tcPr>
          <w:p w14:paraId="4D9B5758">
            <w:pPr>
              <w:keepNext w:val="0"/>
              <w:keepLines w:val="0"/>
              <w:pageBreakBefore w:val="0"/>
              <w:suppressLineNumbers w:val="0"/>
              <w:kinsoku/>
              <w:wordWrap/>
              <w:overflowPunct/>
              <w:topLinePunct w:val="0"/>
              <w:autoSpaceDN/>
              <w:bidi w:val="0"/>
              <w:adjustRightIn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编列内容</w:t>
            </w:r>
          </w:p>
        </w:tc>
      </w:tr>
      <w:tr w14:paraId="65D46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5CAA7020">
            <w:pPr>
              <w:keepNext w:val="0"/>
              <w:keepLines w:val="0"/>
              <w:pageBreakBefore w:val="0"/>
              <w:suppressLineNumbers w:val="0"/>
              <w:kinsoku/>
              <w:wordWrap/>
              <w:overflowPunct/>
              <w:topLinePunct w:val="0"/>
              <w:autoSpaceDN/>
              <w:bidi w:val="0"/>
              <w:adjustRightIn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w:t>
            </w:r>
          </w:p>
        </w:tc>
        <w:tc>
          <w:tcPr>
            <w:tcW w:w="1786" w:type="dxa"/>
            <w:tcBorders>
              <w:top w:val="outset" w:color="auto" w:sz="6" w:space="0"/>
              <w:left w:val="outset" w:color="auto" w:sz="6" w:space="0"/>
              <w:bottom w:val="outset" w:color="auto" w:sz="6" w:space="0"/>
              <w:right w:val="outset" w:color="auto" w:sz="6" w:space="0"/>
            </w:tcBorders>
            <w:noWrap/>
            <w:vAlign w:val="center"/>
          </w:tcPr>
          <w:p w14:paraId="34E1CB46">
            <w:pPr>
              <w:keepNext w:val="0"/>
              <w:keepLines w:val="0"/>
              <w:pageBreakBefore w:val="0"/>
              <w:suppressLineNumbers w:val="0"/>
              <w:kinsoku/>
              <w:wordWrap/>
              <w:overflowPunct/>
              <w:topLinePunct w:val="0"/>
              <w:autoSpaceDN/>
              <w:bidi w:val="0"/>
              <w:adjustRightIn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招标人</w:t>
            </w:r>
          </w:p>
        </w:tc>
        <w:tc>
          <w:tcPr>
            <w:tcW w:w="6631" w:type="dxa"/>
            <w:tcBorders>
              <w:top w:val="outset" w:color="auto" w:sz="6" w:space="0"/>
              <w:left w:val="outset" w:color="auto" w:sz="6" w:space="0"/>
              <w:bottom w:val="outset" w:color="auto" w:sz="6" w:space="0"/>
              <w:right w:val="outset" w:color="auto" w:sz="6" w:space="0"/>
            </w:tcBorders>
            <w:noWrap/>
            <w:vAlign w:val="center"/>
          </w:tcPr>
          <w:p w14:paraId="20F90C9B">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right="0"/>
              <w:textAlignment w:val="auto"/>
              <w:rPr>
                <w:rFonts w:hint="eastAsia" w:ascii="仿宋" w:hAnsi="仿宋" w:eastAsia="仿宋" w:cs="黑体"/>
                <w:color w:val="auto"/>
                <w:kern w:val="2"/>
                <w:sz w:val="24"/>
                <w:szCs w:val="24"/>
                <w:highlight w:val="none"/>
                <w:lang w:eastAsia="zh-CN"/>
              </w:rPr>
            </w:pPr>
            <w:r>
              <w:rPr>
                <w:rFonts w:hint="eastAsia" w:ascii="仿宋" w:hAnsi="仿宋" w:eastAsia="仿宋" w:cs="黑体"/>
                <w:color w:val="auto"/>
                <w:kern w:val="2"/>
                <w:sz w:val="24"/>
                <w:szCs w:val="24"/>
                <w:highlight w:val="none"/>
              </w:rPr>
              <w:t>名</w:t>
            </w:r>
            <w:r>
              <w:rPr>
                <w:rFonts w:hint="eastAsia" w:ascii="仿宋" w:hAnsi="仿宋" w:eastAsia="仿宋" w:cs="黑体"/>
                <w:color w:val="auto"/>
                <w:kern w:val="2"/>
                <w:sz w:val="24"/>
                <w:szCs w:val="24"/>
                <w:highlight w:val="none"/>
                <w:lang w:val="en-US" w:eastAsia="zh-CN"/>
              </w:rPr>
              <w:t xml:space="preserve">    </w:t>
            </w:r>
            <w:r>
              <w:rPr>
                <w:rFonts w:hint="eastAsia" w:ascii="仿宋" w:hAnsi="仿宋" w:eastAsia="仿宋" w:cs="黑体"/>
                <w:color w:val="auto"/>
                <w:kern w:val="2"/>
                <w:sz w:val="24"/>
                <w:szCs w:val="24"/>
                <w:highlight w:val="none"/>
              </w:rPr>
              <w:t>称：普洱市</w:t>
            </w:r>
            <w:r>
              <w:rPr>
                <w:rFonts w:hint="eastAsia" w:ascii="仿宋" w:hAnsi="仿宋" w:eastAsia="仿宋" w:cs="黑体"/>
                <w:color w:val="auto"/>
                <w:kern w:val="2"/>
                <w:sz w:val="24"/>
                <w:szCs w:val="24"/>
                <w:highlight w:val="none"/>
                <w:lang w:eastAsia="zh-CN"/>
              </w:rPr>
              <w:t>农业农村局</w:t>
            </w:r>
          </w:p>
          <w:p w14:paraId="39840151">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right="0"/>
              <w:textAlignment w:val="auto"/>
              <w:rPr>
                <w:rFonts w:hint="eastAsia" w:ascii="仿宋" w:hAnsi="仿宋" w:eastAsia="仿宋" w:cs="仿宋"/>
                <w:color w:val="auto"/>
                <w:kern w:val="2"/>
                <w:sz w:val="24"/>
                <w:szCs w:val="24"/>
                <w:highlight w:val="none"/>
              </w:rPr>
            </w:pPr>
            <w:r>
              <w:rPr>
                <w:rFonts w:hint="eastAsia" w:ascii="仿宋" w:hAnsi="仿宋" w:eastAsia="仿宋" w:cs="黑体"/>
                <w:color w:val="auto"/>
                <w:kern w:val="2"/>
                <w:sz w:val="24"/>
                <w:szCs w:val="24"/>
                <w:highlight w:val="none"/>
              </w:rPr>
              <w:t>地</w:t>
            </w:r>
            <w:r>
              <w:rPr>
                <w:rFonts w:hint="eastAsia" w:ascii="仿宋" w:hAnsi="仿宋" w:eastAsia="仿宋" w:cs="黑体"/>
                <w:color w:val="auto"/>
                <w:kern w:val="2"/>
                <w:sz w:val="24"/>
                <w:szCs w:val="24"/>
                <w:highlight w:val="none"/>
                <w:lang w:val="en-US" w:eastAsia="zh-CN"/>
              </w:rPr>
              <w:t xml:space="preserve">    </w:t>
            </w:r>
            <w:r>
              <w:rPr>
                <w:rFonts w:hint="eastAsia" w:ascii="仿宋" w:hAnsi="仿宋" w:eastAsia="仿宋" w:cs="黑体"/>
                <w:color w:val="auto"/>
                <w:kern w:val="2"/>
                <w:sz w:val="24"/>
                <w:szCs w:val="24"/>
                <w:highlight w:val="none"/>
              </w:rPr>
              <w:t>址：</w:t>
            </w:r>
            <w:r>
              <w:rPr>
                <w:rFonts w:hint="eastAsia" w:ascii="仿宋" w:hAnsi="仿宋" w:eastAsia="仿宋" w:cs="黑体"/>
                <w:color w:val="auto"/>
                <w:kern w:val="2"/>
                <w:sz w:val="24"/>
                <w:szCs w:val="24"/>
                <w:highlight w:val="none"/>
                <w:lang w:eastAsia="zh-CN"/>
              </w:rPr>
              <w:t>云</w:t>
            </w:r>
            <w:r>
              <w:rPr>
                <w:rFonts w:hint="eastAsia" w:ascii="仿宋" w:hAnsi="仿宋" w:eastAsia="仿宋" w:cs="仿宋"/>
                <w:color w:val="auto"/>
                <w:kern w:val="2"/>
                <w:sz w:val="24"/>
                <w:szCs w:val="24"/>
                <w:highlight w:val="none"/>
              </w:rPr>
              <w:t>南省普洱市思茅区普洱人家西北侧</w:t>
            </w:r>
          </w:p>
          <w:p w14:paraId="29BC880F">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right="0"/>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联</w:t>
            </w: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lang w:eastAsia="zh-CN"/>
              </w:rPr>
              <w:t>系</w:t>
            </w: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lang w:eastAsia="zh-CN"/>
              </w:rPr>
              <w:t>人：</w:t>
            </w:r>
            <w:r>
              <w:rPr>
                <w:rFonts w:hint="eastAsia" w:ascii="仿宋" w:hAnsi="仿宋" w:eastAsia="仿宋" w:cs="仿宋"/>
                <w:color w:val="auto"/>
                <w:sz w:val="24"/>
                <w:szCs w:val="24"/>
                <w:highlight w:val="none"/>
                <w:lang w:eastAsia="zh-CN"/>
              </w:rPr>
              <w:t>王</w:t>
            </w:r>
            <w:r>
              <w:rPr>
                <w:rFonts w:hint="eastAsia" w:ascii="仿宋" w:hAnsi="仿宋" w:eastAsia="仿宋" w:cs="仿宋"/>
                <w:color w:val="auto"/>
                <w:kern w:val="2"/>
                <w:sz w:val="24"/>
                <w:szCs w:val="24"/>
                <w:highlight w:val="none"/>
                <w:lang w:eastAsia="zh-CN"/>
              </w:rPr>
              <w:t>老师</w:t>
            </w:r>
          </w:p>
          <w:p w14:paraId="1C4FE580">
            <w:pPr>
              <w:keepNext w:val="0"/>
              <w:keepLines w:val="0"/>
              <w:pageBreakBefore w:val="0"/>
              <w:widowControl/>
              <w:suppressLineNumbers w:val="0"/>
              <w:kinsoku/>
              <w:wordWrap/>
              <w:overflowPunct/>
              <w:topLinePunct w:val="0"/>
              <w:autoSpaceDN/>
              <w:bidi w:val="0"/>
              <w:adjustRightInd/>
              <w:spacing w:before="0" w:beforeAutospacing="0" w:after="0" w:afterAutospacing="0" w:line="480" w:lineRule="exact"/>
              <w:ind w:left="0" w:right="0"/>
              <w:jc w:val="both"/>
              <w:textAlignment w:val="auto"/>
              <w:rPr>
                <w:rFonts w:hint="eastAsia" w:ascii="仿宋" w:hAnsi="仿宋" w:eastAsia="仿宋" w:cs="仿宋"/>
                <w:color w:val="auto"/>
                <w:sz w:val="24"/>
                <w:szCs w:val="24"/>
                <w:highlight w:val="none"/>
              </w:rPr>
            </w:pPr>
            <w:r>
              <w:rPr>
                <w:rFonts w:hint="eastAsia" w:ascii="仿宋" w:hAnsi="仿宋" w:eastAsia="仿宋" w:cs="黑体"/>
                <w:color w:val="auto"/>
                <w:kern w:val="2"/>
                <w:sz w:val="24"/>
                <w:szCs w:val="24"/>
                <w:highlight w:val="none"/>
              </w:rPr>
              <w:t>联系方式：</w:t>
            </w:r>
            <w:r>
              <w:rPr>
                <w:rFonts w:hint="eastAsia" w:ascii="仿宋" w:hAnsi="仿宋" w:eastAsia="仿宋"/>
                <w:color w:val="auto"/>
                <w:kern w:val="2"/>
                <w:sz w:val="24"/>
                <w:szCs w:val="24"/>
                <w:highlight w:val="none"/>
              </w:rPr>
              <w:t xml:space="preserve"> </w:t>
            </w:r>
            <w:r>
              <w:rPr>
                <w:rFonts w:hint="eastAsia" w:ascii="仿宋" w:hAnsi="仿宋" w:eastAsia="仿宋" w:cs="仿宋"/>
                <w:color w:val="auto"/>
                <w:kern w:val="2"/>
                <w:sz w:val="24"/>
                <w:szCs w:val="24"/>
                <w:highlight w:val="none"/>
              </w:rPr>
              <w:t>15394940342</w:t>
            </w:r>
          </w:p>
        </w:tc>
      </w:tr>
      <w:tr w14:paraId="0A4D4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43CA1085">
            <w:pPr>
              <w:keepNext w:val="0"/>
              <w:keepLines w:val="0"/>
              <w:pageBreakBefore w:val="0"/>
              <w:suppressLineNumbers w:val="0"/>
              <w:kinsoku/>
              <w:wordWrap/>
              <w:overflowPunct/>
              <w:topLinePunct w:val="0"/>
              <w:autoSpaceDN/>
              <w:bidi w:val="0"/>
              <w:adjustRightIn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p>
        </w:tc>
        <w:tc>
          <w:tcPr>
            <w:tcW w:w="1786" w:type="dxa"/>
            <w:tcBorders>
              <w:top w:val="outset" w:color="auto" w:sz="6" w:space="0"/>
              <w:left w:val="outset" w:color="auto" w:sz="6" w:space="0"/>
              <w:bottom w:val="outset" w:color="auto" w:sz="6" w:space="0"/>
              <w:right w:val="outset" w:color="auto" w:sz="6" w:space="0"/>
            </w:tcBorders>
            <w:noWrap/>
            <w:vAlign w:val="center"/>
          </w:tcPr>
          <w:p w14:paraId="02DE5FF5">
            <w:pPr>
              <w:keepNext w:val="0"/>
              <w:keepLines w:val="0"/>
              <w:pageBreakBefore w:val="0"/>
              <w:suppressLineNumbers w:val="0"/>
              <w:kinsoku/>
              <w:wordWrap/>
              <w:overflowPunct/>
              <w:topLinePunct w:val="0"/>
              <w:autoSpaceDN/>
              <w:bidi w:val="0"/>
              <w:adjustRightIn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招标代理机构</w:t>
            </w:r>
          </w:p>
        </w:tc>
        <w:tc>
          <w:tcPr>
            <w:tcW w:w="6631" w:type="dxa"/>
            <w:tcBorders>
              <w:top w:val="outset" w:color="auto" w:sz="6" w:space="0"/>
              <w:left w:val="outset" w:color="auto" w:sz="6" w:space="0"/>
              <w:bottom w:val="outset" w:color="auto" w:sz="6" w:space="0"/>
              <w:right w:val="outset" w:color="auto" w:sz="6" w:space="0"/>
            </w:tcBorders>
            <w:noWrap/>
            <w:vAlign w:val="center"/>
          </w:tcPr>
          <w:p w14:paraId="44F831F9">
            <w:pPr>
              <w:keepNext w:val="0"/>
              <w:keepLines w:val="0"/>
              <w:pageBreakBefore w:val="0"/>
              <w:suppressLineNumbers w:val="0"/>
              <w:kinsoku/>
              <w:wordWrap/>
              <w:overflowPunct/>
              <w:topLinePunct w:val="0"/>
              <w:autoSpaceDN/>
              <w:bidi w:val="0"/>
              <w:adjustRightInd/>
              <w:spacing w:before="0" w:beforeAutospacing="0" w:after="0" w:afterAutospacing="0" w:line="480" w:lineRule="exact"/>
              <w:ind w:left="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招标代理机构：云南算方咨询有限公司</w:t>
            </w:r>
          </w:p>
          <w:p w14:paraId="286E2BD0">
            <w:pPr>
              <w:keepNext w:val="0"/>
              <w:keepLines w:val="0"/>
              <w:pageBreakBefore w:val="0"/>
              <w:suppressLineNumbers w:val="0"/>
              <w:kinsoku/>
              <w:wordWrap/>
              <w:overflowPunct/>
              <w:topLinePunct w:val="0"/>
              <w:autoSpaceDN/>
              <w:bidi w:val="0"/>
              <w:adjustRightInd/>
              <w:spacing w:before="0" w:beforeAutospacing="0" w:after="0" w:afterAutospacing="0" w:line="480" w:lineRule="exact"/>
              <w:ind w:left="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址：普洱市普洱大道盛景园二期3栋2单元203室</w:t>
            </w:r>
          </w:p>
          <w:p w14:paraId="05B85900">
            <w:pPr>
              <w:keepNext w:val="0"/>
              <w:keepLines w:val="0"/>
              <w:pageBreakBefore w:val="0"/>
              <w:suppressLineNumbers w:val="0"/>
              <w:kinsoku/>
              <w:wordWrap/>
              <w:overflowPunct/>
              <w:topLinePunct w:val="0"/>
              <w:autoSpaceDN/>
              <w:bidi w:val="0"/>
              <w:adjustRightInd/>
              <w:spacing w:before="0" w:beforeAutospacing="0" w:after="0" w:afterAutospacing="0" w:line="480" w:lineRule="exact"/>
              <w:ind w:left="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eastAsia="zh-CN"/>
              </w:rPr>
              <w:t>应</w:t>
            </w:r>
            <w:r>
              <w:rPr>
                <w:rFonts w:hint="eastAsia" w:ascii="仿宋" w:hAnsi="仿宋" w:eastAsia="仿宋" w:cs="仿宋"/>
                <w:color w:val="auto"/>
                <w:sz w:val="24"/>
                <w:szCs w:val="24"/>
                <w:highlight w:val="none"/>
              </w:rPr>
              <w:t>工</w:t>
            </w:r>
          </w:p>
          <w:p w14:paraId="5BCDC39A">
            <w:pPr>
              <w:keepNext w:val="0"/>
              <w:keepLines w:val="0"/>
              <w:pageBreakBefore w:val="0"/>
              <w:suppressLineNumbers w:val="0"/>
              <w:kinsoku/>
              <w:wordWrap/>
              <w:overflowPunct/>
              <w:topLinePunct w:val="0"/>
              <w:autoSpaceDN/>
              <w:bidi w:val="0"/>
              <w:adjustRightInd/>
              <w:spacing w:before="0" w:beforeAutospacing="0" w:after="0" w:afterAutospacing="0" w:line="480" w:lineRule="exact"/>
              <w:ind w:left="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联系电话：0879-2158006</w:t>
            </w:r>
          </w:p>
        </w:tc>
      </w:tr>
      <w:tr w14:paraId="10F23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35855C6E">
            <w:pPr>
              <w:keepNext w:val="0"/>
              <w:keepLines w:val="0"/>
              <w:pageBreakBefore w:val="0"/>
              <w:suppressLineNumbers w:val="0"/>
              <w:kinsoku/>
              <w:wordWrap/>
              <w:overflowPunct/>
              <w:topLinePunct w:val="0"/>
              <w:autoSpaceDN/>
              <w:bidi w:val="0"/>
              <w:adjustRightIn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w:t>
            </w:r>
          </w:p>
        </w:tc>
        <w:tc>
          <w:tcPr>
            <w:tcW w:w="1786" w:type="dxa"/>
            <w:tcBorders>
              <w:top w:val="outset" w:color="auto" w:sz="6" w:space="0"/>
              <w:left w:val="outset" w:color="auto" w:sz="6" w:space="0"/>
              <w:bottom w:val="outset" w:color="auto" w:sz="6" w:space="0"/>
              <w:right w:val="outset" w:color="auto" w:sz="6" w:space="0"/>
            </w:tcBorders>
            <w:noWrap/>
            <w:vAlign w:val="center"/>
          </w:tcPr>
          <w:p w14:paraId="7B091453">
            <w:pPr>
              <w:keepNext w:val="0"/>
              <w:keepLines w:val="0"/>
              <w:pageBreakBefore w:val="0"/>
              <w:suppressLineNumbers w:val="0"/>
              <w:kinsoku/>
              <w:wordWrap/>
              <w:overflowPunct/>
              <w:topLinePunct w:val="0"/>
              <w:autoSpaceDN/>
              <w:bidi w:val="0"/>
              <w:adjustRightIn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631" w:type="dxa"/>
            <w:tcBorders>
              <w:top w:val="outset" w:color="auto" w:sz="6" w:space="0"/>
              <w:left w:val="outset" w:color="auto" w:sz="6" w:space="0"/>
              <w:bottom w:val="outset" w:color="auto" w:sz="6" w:space="0"/>
              <w:right w:val="outset" w:color="auto" w:sz="6" w:space="0"/>
            </w:tcBorders>
            <w:noWrap/>
            <w:vAlign w:val="center"/>
          </w:tcPr>
          <w:p w14:paraId="22AD0597">
            <w:pPr>
              <w:keepNext w:val="0"/>
              <w:keepLines w:val="0"/>
              <w:pageBreakBefore w:val="0"/>
              <w:suppressLineNumbers w:val="0"/>
              <w:kinsoku/>
              <w:wordWrap/>
              <w:overflowPunct/>
              <w:topLinePunct w:val="0"/>
              <w:autoSpaceDN/>
              <w:bidi w:val="0"/>
              <w:adjustRightInd/>
              <w:spacing w:before="0" w:beforeAutospacing="0" w:after="0" w:afterAutospacing="0" w:line="480" w:lineRule="exact"/>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黑体"/>
                <w:color w:val="auto"/>
                <w:kern w:val="2"/>
                <w:sz w:val="24"/>
                <w:szCs w:val="24"/>
                <w:highlight w:val="none"/>
                <w:lang w:val="en-US" w:eastAsia="zh-CN" w:bidi="ar"/>
              </w:rPr>
              <w:t>普洱市农业农村局第三次全国土壤普查市级成果汇编项目</w:t>
            </w:r>
          </w:p>
        </w:tc>
      </w:tr>
      <w:tr w14:paraId="18ECD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76D481F5">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1.2.1</w:t>
            </w:r>
          </w:p>
        </w:tc>
        <w:tc>
          <w:tcPr>
            <w:tcW w:w="1786" w:type="dxa"/>
            <w:tcBorders>
              <w:top w:val="outset" w:color="auto" w:sz="6" w:space="0"/>
              <w:left w:val="outset" w:color="auto" w:sz="6" w:space="0"/>
              <w:bottom w:val="outset" w:color="auto" w:sz="6" w:space="0"/>
              <w:right w:val="outset" w:color="auto" w:sz="6" w:space="0"/>
            </w:tcBorders>
            <w:noWrap/>
            <w:vAlign w:val="center"/>
          </w:tcPr>
          <w:p w14:paraId="3124F8AB">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资金来源</w:t>
            </w:r>
          </w:p>
        </w:tc>
        <w:tc>
          <w:tcPr>
            <w:tcW w:w="6631" w:type="dxa"/>
            <w:tcBorders>
              <w:top w:val="outset" w:color="auto" w:sz="6" w:space="0"/>
              <w:left w:val="outset" w:color="auto" w:sz="6" w:space="0"/>
              <w:bottom w:val="outset" w:color="auto" w:sz="6" w:space="0"/>
              <w:right w:val="outset" w:color="auto" w:sz="6" w:space="0"/>
            </w:tcBorders>
            <w:noWrap/>
            <w:vAlign w:val="center"/>
          </w:tcPr>
          <w:p w14:paraId="6C496E68">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黑体"/>
                <w:color w:val="auto"/>
                <w:kern w:val="2"/>
                <w:sz w:val="24"/>
                <w:szCs w:val="24"/>
                <w:highlight w:val="none"/>
                <w:lang w:val="en-US" w:eastAsia="zh-CN" w:bidi="ar"/>
              </w:rPr>
            </w:pPr>
            <w:r>
              <w:rPr>
                <w:rFonts w:hint="eastAsia" w:ascii="仿宋" w:hAnsi="仿宋" w:eastAsia="仿宋" w:cs="宋体"/>
                <w:color w:val="auto"/>
                <w:kern w:val="2"/>
                <w:sz w:val="24"/>
                <w:szCs w:val="24"/>
                <w:highlight w:val="none"/>
              </w:rPr>
              <w:t>财政拨款。</w:t>
            </w:r>
          </w:p>
        </w:tc>
      </w:tr>
      <w:tr w14:paraId="66910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248A5B0E">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1.2.2</w:t>
            </w:r>
          </w:p>
        </w:tc>
        <w:tc>
          <w:tcPr>
            <w:tcW w:w="1786" w:type="dxa"/>
            <w:tcBorders>
              <w:top w:val="outset" w:color="auto" w:sz="6" w:space="0"/>
              <w:left w:val="outset" w:color="auto" w:sz="6" w:space="0"/>
              <w:bottom w:val="outset" w:color="auto" w:sz="6" w:space="0"/>
              <w:right w:val="outset" w:color="auto" w:sz="6" w:space="0"/>
            </w:tcBorders>
            <w:noWrap/>
            <w:vAlign w:val="center"/>
          </w:tcPr>
          <w:p w14:paraId="2DAB38F7">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资金落实情况</w:t>
            </w:r>
          </w:p>
        </w:tc>
        <w:tc>
          <w:tcPr>
            <w:tcW w:w="6631" w:type="dxa"/>
            <w:tcBorders>
              <w:top w:val="outset" w:color="auto" w:sz="6" w:space="0"/>
              <w:left w:val="outset" w:color="auto" w:sz="6" w:space="0"/>
              <w:bottom w:val="outset" w:color="auto" w:sz="6" w:space="0"/>
              <w:right w:val="outset" w:color="auto" w:sz="6" w:space="0"/>
            </w:tcBorders>
            <w:noWrap/>
            <w:vAlign w:val="center"/>
          </w:tcPr>
          <w:p w14:paraId="793DF433">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黑体"/>
                <w:color w:val="auto"/>
                <w:kern w:val="2"/>
                <w:sz w:val="24"/>
                <w:szCs w:val="24"/>
                <w:highlight w:val="none"/>
                <w:lang w:val="en-US" w:eastAsia="zh-CN" w:bidi="ar"/>
              </w:rPr>
            </w:pPr>
            <w:r>
              <w:rPr>
                <w:rFonts w:hint="eastAsia" w:ascii="仿宋" w:hAnsi="仿宋" w:eastAsia="仿宋" w:cs="宋体"/>
                <w:color w:val="auto"/>
                <w:kern w:val="2"/>
                <w:sz w:val="24"/>
                <w:szCs w:val="24"/>
                <w:highlight w:val="none"/>
              </w:rPr>
              <w:t>已落实。</w:t>
            </w:r>
          </w:p>
        </w:tc>
      </w:tr>
      <w:tr w14:paraId="0C27C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79532AE8">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1.3.1</w:t>
            </w:r>
          </w:p>
        </w:tc>
        <w:tc>
          <w:tcPr>
            <w:tcW w:w="1786" w:type="dxa"/>
            <w:tcBorders>
              <w:top w:val="outset" w:color="auto" w:sz="6" w:space="0"/>
              <w:left w:val="outset" w:color="auto" w:sz="6" w:space="0"/>
              <w:bottom w:val="outset" w:color="auto" w:sz="6" w:space="0"/>
              <w:right w:val="outset" w:color="auto" w:sz="6" w:space="0"/>
            </w:tcBorders>
            <w:noWrap/>
            <w:vAlign w:val="center"/>
          </w:tcPr>
          <w:p w14:paraId="3017A76F">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采购内容</w:t>
            </w:r>
          </w:p>
        </w:tc>
        <w:tc>
          <w:tcPr>
            <w:tcW w:w="6631" w:type="dxa"/>
            <w:tcBorders>
              <w:top w:val="outset" w:color="auto" w:sz="6" w:space="0"/>
              <w:left w:val="outset" w:color="auto" w:sz="6" w:space="0"/>
              <w:bottom w:val="outset" w:color="auto" w:sz="6" w:space="0"/>
              <w:right w:val="outset" w:color="auto" w:sz="6" w:space="0"/>
            </w:tcBorders>
            <w:noWrap/>
            <w:vAlign w:val="center"/>
          </w:tcPr>
          <w:p w14:paraId="5DFB14F9">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黑体"/>
                <w:color w:val="auto"/>
                <w:kern w:val="2"/>
                <w:sz w:val="24"/>
                <w:szCs w:val="24"/>
                <w:highlight w:val="none"/>
                <w:lang w:val="en-US" w:eastAsia="zh-CN" w:bidi="ar"/>
              </w:rPr>
            </w:pPr>
            <w:r>
              <w:rPr>
                <w:rFonts w:hint="eastAsia" w:ascii="仿宋" w:hAnsi="仿宋" w:eastAsia="仿宋" w:cs="宋体"/>
                <w:color w:val="auto"/>
                <w:kern w:val="2"/>
                <w:sz w:val="24"/>
                <w:szCs w:val="24"/>
                <w:highlight w:val="none"/>
              </w:rPr>
              <w:t xml:space="preserve">详见第五章 </w:t>
            </w:r>
            <w:r>
              <w:rPr>
                <w:rFonts w:hint="eastAsia" w:ascii="仿宋" w:hAnsi="仿宋" w:eastAsia="仿宋" w:cs="宋体"/>
                <w:color w:val="auto"/>
                <w:kern w:val="2"/>
                <w:sz w:val="24"/>
                <w:szCs w:val="24"/>
                <w:highlight w:val="none"/>
                <w:lang w:eastAsia="zh-CN"/>
              </w:rPr>
              <w:t>招标内容及技术要求</w:t>
            </w:r>
          </w:p>
        </w:tc>
      </w:tr>
      <w:tr w14:paraId="0CAD1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00B0D6F0">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1.3.2</w:t>
            </w:r>
          </w:p>
        </w:tc>
        <w:tc>
          <w:tcPr>
            <w:tcW w:w="1786" w:type="dxa"/>
            <w:tcBorders>
              <w:top w:val="outset" w:color="auto" w:sz="6" w:space="0"/>
              <w:left w:val="outset" w:color="auto" w:sz="6" w:space="0"/>
              <w:bottom w:val="outset" w:color="auto" w:sz="6" w:space="0"/>
              <w:right w:val="outset" w:color="auto" w:sz="6" w:space="0"/>
            </w:tcBorders>
            <w:noWrap/>
            <w:vAlign w:val="center"/>
          </w:tcPr>
          <w:p w14:paraId="0C402B4D">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宋体"/>
                <w:color w:val="auto"/>
                <w:kern w:val="2"/>
                <w:sz w:val="24"/>
                <w:szCs w:val="24"/>
                <w:highlight w:val="none"/>
                <w:lang w:eastAsia="zh-CN"/>
              </w:rPr>
              <w:t>合同履行</w:t>
            </w:r>
            <w:r>
              <w:rPr>
                <w:rFonts w:hint="eastAsia" w:ascii="仿宋" w:hAnsi="仿宋" w:eastAsia="仿宋" w:cs="宋体"/>
                <w:color w:val="auto"/>
                <w:kern w:val="2"/>
                <w:sz w:val="24"/>
                <w:szCs w:val="24"/>
                <w:highlight w:val="none"/>
              </w:rPr>
              <w:t>期限</w:t>
            </w:r>
          </w:p>
        </w:tc>
        <w:tc>
          <w:tcPr>
            <w:tcW w:w="6631" w:type="dxa"/>
            <w:tcBorders>
              <w:top w:val="outset" w:color="auto" w:sz="6" w:space="0"/>
              <w:left w:val="outset" w:color="auto" w:sz="6" w:space="0"/>
              <w:bottom w:val="outset" w:color="auto" w:sz="6" w:space="0"/>
              <w:right w:val="outset" w:color="auto" w:sz="6" w:space="0"/>
            </w:tcBorders>
            <w:noWrap/>
            <w:vAlign w:val="center"/>
          </w:tcPr>
          <w:p w14:paraId="7D447681">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left"/>
              <w:textAlignment w:val="auto"/>
              <w:rPr>
                <w:rFonts w:hint="eastAsia" w:ascii="仿宋" w:hAnsi="仿宋" w:eastAsia="仿宋" w:cs="仿宋"/>
                <w:color w:val="auto"/>
                <w:sz w:val="24"/>
                <w:szCs w:val="24"/>
                <w:highlight w:val="none"/>
              </w:rPr>
            </w:pPr>
            <w:r>
              <w:rPr>
                <w:rFonts w:hint="eastAsia" w:ascii="仿宋" w:hAnsi="仿宋" w:eastAsia="仿宋" w:cs="黑体"/>
                <w:color w:val="auto"/>
                <w:kern w:val="0"/>
                <w:sz w:val="24"/>
                <w:szCs w:val="24"/>
                <w:highlight w:val="none"/>
                <w:lang w:val="en-US" w:eastAsia="zh-CN" w:bidi="ar"/>
              </w:rPr>
              <w:t>自合同签订后至通过国家级验收为止（具体完成时间根据全国、省级、州级成果验收进度进行调整，具体以招标人要求为准）。</w:t>
            </w:r>
          </w:p>
        </w:tc>
      </w:tr>
      <w:tr w14:paraId="1D3E8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746770C1">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1.3.3</w:t>
            </w:r>
          </w:p>
        </w:tc>
        <w:tc>
          <w:tcPr>
            <w:tcW w:w="1786" w:type="dxa"/>
            <w:tcBorders>
              <w:top w:val="outset" w:color="auto" w:sz="6" w:space="0"/>
              <w:left w:val="outset" w:color="auto" w:sz="6" w:space="0"/>
              <w:bottom w:val="outset" w:color="auto" w:sz="6" w:space="0"/>
              <w:right w:val="outset" w:color="auto" w:sz="6" w:space="0"/>
            </w:tcBorders>
            <w:noWrap/>
            <w:vAlign w:val="center"/>
          </w:tcPr>
          <w:p w14:paraId="4D9DB0FA">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质量要求</w:t>
            </w:r>
          </w:p>
        </w:tc>
        <w:tc>
          <w:tcPr>
            <w:tcW w:w="6631" w:type="dxa"/>
            <w:tcBorders>
              <w:top w:val="outset" w:color="auto" w:sz="6" w:space="0"/>
              <w:left w:val="outset" w:color="auto" w:sz="6" w:space="0"/>
              <w:bottom w:val="outset" w:color="auto" w:sz="6" w:space="0"/>
              <w:right w:val="outset" w:color="auto" w:sz="6" w:space="0"/>
            </w:tcBorders>
            <w:noWrap/>
            <w:vAlign w:val="center"/>
          </w:tcPr>
          <w:p w14:paraId="4FB5CA05">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黑体"/>
                <w:color w:val="auto"/>
                <w:kern w:val="0"/>
                <w:sz w:val="24"/>
                <w:szCs w:val="24"/>
                <w:highlight w:val="none"/>
                <w:lang w:val="en-US" w:eastAsia="zh-CN" w:bidi="ar"/>
              </w:rPr>
              <w:t>符合国家及行业现行相关标准和规范，按照第三次全国土壤普查成果编制相关政策和要求执行，服务内容满足招标人要求。</w:t>
            </w:r>
          </w:p>
        </w:tc>
      </w:tr>
      <w:tr w14:paraId="3CFC6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14A49595">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1.4.1</w:t>
            </w:r>
          </w:p>
        </w:tc>
        <w:tc>
          <w:tcPr>
            <w:tcW w:w="1786" w:type="dxa"/>
            <w:tcBorders>
              <w:top w:val="outset" w:color="auto" w:sz="6" w:space="0"/>
              <w:left w:val="outset" w:color="auto" w:sz="6" w:space="0"/>
              <w:bottom w:val="outset" w:color="auto" w:sz="6" w:space="0"/>
              <w:right w:val="outset" w:color="auto" w:sz="6" w:space="0"/>
            </w:tcBorders>
            <w:noWrap/>
            <w:vAlign w:val="center"/>
          </w:tcPr>
          <w:p w14:paraId="046BE4B1">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2"/>
                <w:sz w:val="24"/>
                <w:szCs w:val="24"/>
                <w:highlight w:val="none"/>
              </w:rPr>
            </w:pPr>
            <w:r>
              <w:rPr>
                <w:rFonts w:hint="eastAsia" w:ascii="仿宋" w:hAnsi="仿宋" w:eastAsia="仿宋" w:cs="宋体"/>
                <w:color w:val="auto"/>
                <w:kern w:val="2"/>
                <w:sz w:val="24"/>
                <w:szCs w:val="24"/>
                <w:highlight w:val="none"/>
              </w:rPr>
              <w:t>资格要求</w:t>
            </w:r>
          </w:p>
        </w:tc>
        <w:tc>
          <w:tcPr>
            <w:tcW w:w="6631" w:type="dxa"/>
            <w:tcBorders>
              <w:top w:val="outset" w:color="auto" w:sz="6" w:space="0"/>
              <w:left w:val="outset" w:color="auto" w:sz="6" w:space="0"/>
              <w:bottom w:val="outset" w:color="auto" w:sz="6" w:space="0"/>
              <w:right w:val="outset" w:color="auto" w:sz="6" w:space="0"/>
            </w:tcBorders>
            <w:noWrap/>
            <w:vAlign w:val="center"/>
          </w:tcPr>
          <w:p w14:paraId="5693767C">
            <w:pPr>
              <w:keepNext w:val="0"/>
              <w:keepLines w:val="0"/>
              <w:pageBreakBefore w:val="0"/>
              <w:widowControl w:val="0"/>
              <w:suppressLineNumbers w:val="0"/>
              <w:kinsoku/>
              <w:overflowPunct/>
              <w:topLinePunct w:val="0"/>
              <w:autoSpaceDN/>
              <w:bidi w:val="0"/>
              <w:adjustRightInd/>
              <w:spacing w:before="0" w:beforeAutospacing="0" w:after="0" w:afterAutospacing="0" w:line="480" w:lineRule="exact"/>
              <w:ind w:left="0" w:right="0" w:firstLine="480" w:firstLineChars="200"/>
              <w:jc w:val="both"/>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1.满足《中华人民共和国政府采购法》第二十二条规定的条件并提供下列材料：</w:t>
            </w:r>
          </w:p>
          <w:p w14:paraId="5DB6DDD8">
            <w:pPr>
              <w:keepNext w:val="0"/>
              <w:keepLines w:val="0"/>
              <w:pageBreakBefore w:val="0"/>
              <w:widowControl w:val="0"/>
              <w:suppressLineNumbers w:val="0"/>
              <w:kinsoku/>
              <w:overflowPunct/>
              <w:topLinePunct w:val="0"/>
              <w:autoSpaceDN/>
              <w:bidi w:val="0"/>
              <w:adjustRightInd/>
              <w:spacing w:before="0" w:beforeAutospacing="0" w:after="0" w:afterAutospacing="0" w:line="480" w:lineRule="exact"/>
              <w:ind w:left="0" w:right="0" w:firstLine="480" w:firstLineChars="200"/>
              <w:jc w:val="both"/>
              <w:textAlignment w:val="auto"/>
              <w:rPr>
                <w:rFonts w:hint="eastAsia" w:ascii="仿宋" w:hAnsi="仿宋" w:eastAsia="仿宋" w:cs="宋体"/>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1.1具有独立承担民事责任的能力（投标人须在中华人民共和国境内注册，提供真实有效的法人或者其他组织的营业执照等证明文件，</w:t>
            </w:r>
            <w:r>
              <w:rPr>
                <w:rFonts w:hint="eastAsia" w:ascii="仿宋" w:hAnsi="仿宋" w:eastAsia="仿宋" w:cs="宋体"/>
                <w:color w:val="auto"/>
                <w:kern w:val="2"/>
                <w:sz w:val="24"/>
                <w:szCs w:val="24"/>
                <w:highlight w:val="none"/>
                <w:lang w:val="en-US" w:eastAsia="zh-CN" w:bidi="ar"/>
              </w:rPr>
              <w:t>以联合体形式参加投标的，联合体各方均提供）；</w:t>
            </w:r>
          </w:p>
          <w:p w14:paraId="3DD439C7">
            <w:pPr>
              <w:keepNext w:val="0"/>
              <w:keepLines w:val="0"/>
              <w:pageBreakBefore w:val="0"/>
              <w:widowControl w:val="0"/>
              <w:suppressLineNumbers w:val="0"/>
              <w:kinsoku/>
              <w:overflowPunct/>
              <w:topLinePunct w:val="0"/>
              <w:autoSpaceDN/>
              <w:bidi w:val="0"/>
              <w:adjustRightInd/>
              <w:spacing w:before="0" w:beforeAutospacing="0" w:after="0" w:afterAutospacing="0" w:line="480" w:lineRule="exact"/>
              <w:ind w:left="0" w:right="0" w:firstLine="480" w:firstLineChars="200"/>
              <w:jc w:val="both"/>
              <w:textAlignment w:val="auto"/>
              <w:rPr>
                <w:rFonts w:hint="eastAsia" w:ascii="仿宋" w:hAnsi="仿宋" w:eastAsia="仿宋" w:cs="宋体"/>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1.2有良好的商业信誉和健全的财务会计制度。提供2021年至今任意一年度的财务报表，</w:t>
            </w:r>
            <w:r>
              <w:rPr>
                <w:rFonts w:hint="eastAsia" w:ascii="仿宋" w:hAnsi="仿宋" w:eastAsia="仿宋" w:cs="仿宋"/>
                <w:color w:val="auto"/>
                <w:kern w:val="0"/>
                <w:sz w:val="24"/>
                <w:szCs w:val="24"/>
                <w:highlight w:val="none"/>
                <w:lang w:val="en-US" w:eastAsia="zh-CN" w:bidi="ar"/>
              </w:rPr>
              <w:t>包括资产负债表、现金流量表、利润表等</w:t>
            </w:r>
            <w:r>
              <w:rPr>
                <w:rFonts w:hint="eastAsia" w:ascii="仿宋" w:hAnsi="仿宋" w:eastAsia="仿宋" w:cs="仿宋"/>
                <w:color w:val="auto"/>
                <w:kern w:val="2"/>
                <w:sz w:val="24"/>
                <w:szCs w:val="24"/>
                <w:highlight w:val="none"/>
                <w:lang w:val="en-US" w:eastAsia="zh-CN" w:bidi="ar"/>
              </w:rPr>
              <w:t>。新成立不足一年的公司，提供书面承诺</w:t>
            </w:r>
            <w:r>
              <w:rPr>
                <w:rFonts w:hint="eastAsia" w:ascii="仿宋" w:hAnsi="仿宋" w:eastAsia="仿宋" w:cs="宋体"/>
                <w:color w:val="auto"/>
                <w:kern w:val="2"/>
                <w:sz w:val="24"/>
                <w:szCs w:val="24"/>
                <w:highlight w:val="none"/>
                <w:lang w:val="en-US" w:eastAsia="zh-CN" w:bidi="ar"/>
              </w:rPr>
              <w:t>（以联合体形式参加投标的，联合体牵头人须满足）；</w:t>
            </w:r>
          </w:p>
          <w:p w14:paraId="15369FEA">
            <w:pPr>
              <w:keepNext w:val="0"/>
              <w:keepLines w:val="0"/>
              <w:pageBreakBefore w:val="0"/>
              <w:widowControl w:val="0"/>
              <w:suppressLineNumbers w:val="0"/>
              <w:kinsoku/>
              <w:overflowPunct/>
              <w:topLinePunct w:val="0"/>
              <w:autoSpaceDN/>
              <w:bidi w:val="0"/>
              <w:adjustRightInd/>
              <w:spacing w:before="0" w:beforeAutospacing="0" w:after="0" w:afterAutospacing="0" w:line="480" w:lineRule="exact"/>
              <w:ind w:left="0" w:right="0" w:firstLine="480" w:firstLineChars="200"/>
              <w:jc w:val="both"/>
              <w:textAlignment w:val="auto"/>
              <w:rPr>
                <w:rFonts w:hint="eastAsia" w:ascii="仿宋" w:hAnsi="仿宋" w:eastAsia="仿宋" w:cs="宋体"/>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1.3具有履行合同所需的设备和专业技术能力</w:t>
            </w:r>
            <w:r>
              <w:rPr>
                <w:rFonts w:hint="eastAsia" w:ascii="仿宋" w:hAnsi="仿宋" w:eastAsia="仿宋" w:cs="宋体"/>
                <w:color w:val="auto"/>
                <w:kern w:val="2"/>
                <w:sz w:val="24"/>
                <w:szCs w:val="24"/>
                <w:highlight w:val="none"/>
                <w:lang w:val="en-US" w:eastAsia="zh-CN" w:bidi="ar"/>
              </w:rPr>
              <w:t>（以联合体形式参加投标的，联合体各方均应满足，提供书面承诺）；</w:t>
            </w:r>
          </w:p>
          <w:p w14:paraId="074940FC">
            <w:pPr>
              <w:keepNext w:val="0"/>
              <w:keepLines w:val="0"/>
              <w:pageBreakBefore w:val="0"/>
              <w:widowControl w:val="0"/>
              <w:suppressLineNumbers w:val="0"/>
              <w:kinsoku/>
              <w:overflowPunct/>
              <w:topLinePunct w:val="0"/>
              <w:autoSpaceDN/>
              <w:bidi w:val="0"/>
              <w:adjustRightInd/>
              <w:spacing w:before="0" w:beforeAutospacing="0" w:after="0" w:afterAutospacing="0" w:line="480" w:lineRule="exact"/>
              <w:ind w:left="0" w:right="0" w:firstLine="480" w:firstLineChars="200"/>
              <w:jc w:val="both"/>
              <w:textAlignment w:val="auto"/>
              <w:rPr>
                <w:rFonts w:hint="eastAsia" w:ascii="仿宋" w:hAnsi="仿宋" w:eastAsia="仿宋" w:cs="宋体"/>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1.4有依法缴纳税收和社会保障资金的良好记录。提供2024年至今任意3个月的缴纳税收和缴纳社会保险的凭证。（依法免税和不需要缴纳社会保障资金的，应提供相应文件证明其依法免税和不需要缴纳社会保障资金；新成立的公司不足3个月的应提供书面承诺</w:t>
            </w: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宋体"/>
                <w:color w:val="auto"/>
                <w:kern w:val="2"/>
                <w:sz w:val="24"/>
                <w:szCs w:val="24"/>
                <w:highlight w:val="none"/>
                <w:lang w:val="en-US" w:eastAsia="zh-CN" w:bidi="ar"/>
              </w:rPr>
              <w:t>以联合体形式参加投标的，联合体牵头人须满足）；</w:t>
            </w:r>
          </w:p>
          <w:p w14:paraId="1A538BE1">
            <w:pPr>
              <w:keepNext w:val="0"/>
              <w:keepLines w:val="0"/>
              <w:pageBreakBefore w:val="0"/>
              <w:widowControl w:val="0"/>
              <w:suppressLineNumbers w:val="0"/>
              <w:kinsoku/>
              <w:overflowPunct/>
              <w:topLinePunct w:val="0"/>
              <w:autoSpaceDN/>
              <w:bidi w:val="0"/>
              <w:adjustRightInd/>
              <w:spacing w:before="0" w:beforeAutospacing="0" w:after="0" w:afterAutospacing="0" w:line="480" w:lineRule="exact"/>
              <w:ind w:left="0" w:right="0" w:firstLine="480" w:firstLineChars="200"/>
              <w:jc w:val="both"/>
              <w:textAlignment w:val="auto"/>
              <w:rPr>
                <w:rFonts w:hint="eastAsia" w:ascii="仿宋" w:hAnsi="仿宋" w:eastAsia="仿宋" w:cs="宋体"/>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1.5参加政府采购活动前三年内，在经营活动中没有重大违法记录（重大违法记录是指：因违法经营受到刑事处罚或者责令停产停业、吊销许可证或者执照、较大数额罚款等行政处罚），提供书面承诺或声明</w:t>
            </w:r>
            <w:r>
              <w:rPr>
                <w:rFonts w:hint="eastAsia" w:ascii="仿宋" w:hAnsi="仿宋" w:eastAsia="仿宋" w:cs="宋体"/>
                <w:color w:val="auto"/>
                <w:kern w:val="2"/>
                <w:sz w:val="24"/>
                <w:szCs w:val="24"/>
                <w:highlight w:val="none"/>
                <w:lang w:val="en-US" w:eastAsia="zh-CN" w:bidi="ar"/>
              </w:rPr>
              <w:t>（以联合体形式参加投标的，联合体各方均提供）；</w:t>
            </w:r>
          </w:p>
          <w:p w14:paraId="5D863A9A">
            <w:pPr>
              <w:keepNext w:val="0"/>
              <w:keepLines w:val="0"/>
              <w:pageBreakBefore w:val="0"/>
              <w:widowControl w:val="0"/>
              <w:suppressLineNumbers w:val="0"/>
              <w:kinsoku/>
              <w:overflowPunct/>
              <w:topLinePunct w:val="0"/>
              <w:autoSpaceDN/>
              <w:bidi w:val="0"/>
              <w:adjustRightInd/>
              <w:spacing w:before="0" w:beforeAutospacing="0" w:after="0" w:afterAutospacing="0" w:line="480" w:lineRule="exact"/>
              <w:ind w:left="0" w:right="0" w:firstLine="480" w:firstLineChars="200"/>
              <w:jc w:val="both"/>
              <w:textAlignment w:val="auto"/>
              <w:rPr>
                <w:rFonts w:hint="default"/>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1.6法律、行政法规规定的其他条件（单位负责人为同一人或者存在直接控股、管理关系的不同供应商，不得参加同一合同项下的政府采购活动），提供书面承诺或声明</w:t>
            </w:r>
            <w:r>
              <w:rPr>
                <w:rFonts w:hint="eastAsia" w:ascii="仿宋" w:hAnsi="仿宋" w:eastAsia="仿宋" w:cs="宋体"/>
                <w:color w:val="auto"/>
                <w:kern w:val="2"/>
                <w:sz w:val="24"/>
                <w:szCs w:val="24"/>
                <w:highlight w:val="none"/>
                <w:lang w:val="en-US" w:eastAsia="zh-CN" w:bidi="ar"/>
              </w:rPr>
              <w:t>（以联合体形式参加投标的，联合体各方均提供）；</w:t>
            </w:r>
          </w:p>
          <w:p w14:paraId="32630C3F">
            <w:pPr>
              <w:keepNext w:val="0"/>
              <w:keepLines w:val="0"/>
              <w:pageBreakBefore w:val="0"/>
              <w:widowControl w:val="0"/>
              <w:suppressLineNumbers w:val="0"/>
              <w:kinsoku/>
              <w:overflowPunct/>
              <w:topLinePunct w:val="0"/>
              <w:autoSpaceDN/>
              <w:bidi w:val="0"/>
              <w:adjustRightInd/>
              <w:snapToGrid w:val="0"/>
              <w:spacing w:before="0" w:beforeAutospacing="0" w:after="0" w:afterAutospacing="0" w:line="480" w:lineRule="exact"/>
              <w:ind w:left="0" w:right="0" w:firstLine="602" w:firstLineChars="250"/>
              <w:jc w:val="both"/>
              <w:textAlignment w:val="auto"/>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kern w:val="2"/>
                <w:sz w:val="24"/>
                <w:szCs w:val="24"/>
                <w:highlight w:val="none"/>
                <w:lang w:val="en-US" w:eastAsia="zh-CN" w:bidi="ar"/>
              </w:rPr>
              <w:t>2.落实政府采购政策需满足的资格要求：</w:t>
            </w:r>
            <w:r>
              <w:rPr>
                <w:rFonts w:hint="eastAsia" w:ascii="仿宋" w:hAnsi="仿宋" w:eastAsia="仿宋" w:cs="仿宋"/>
                <w:color w:val="auto"/>
                <w:kern w:val="2"/>
                <w:sz w:val="24"/>
                <w:szCs w:val="24"/>
                <w:highlight w:val="none"/>
                <w:lang w:val="en-US" w:eastAsia="zh-CN" w:bidi="ar"/>
              </w:rPr>
              <w:t>本项目不属于专门面向中小企业采购的项目</w:t>
            </w:r>
            <w:r>
              <w:rPr>
                <w:rFonts w:hint="eastAsia" w:ascii="仿宋" w:hAnsi="仿宋" w:eastAsia="仿宋" w:cs="仿宋"/>
                <w:color w:val="auto"/>
                <w:kern w:val="2"/>
                <w:sz w:val="24"/>
                <w:szCs w:val="24"/>
                <w:highlight w:val="none"/>
                <w:lang w:val="en-US" w:eastAsia="zh-CN" w:bidi="ar"/>
              </w:rPr>
              <w:t>，按财政部、工业和信息化部关于印发《政府采购促进中小企业发展管理办法》的通知（财库〔2020〕46号）、《财政部司法部关于政府采购支持监狱企业发展有关问题的通知》(财库〔2014〕68号)、《三部门联合发布关于促进残疾人就业政府采购政策的通知》（财库〔2017〕141号）、《关于进一步加大政府采购支持中小企业力度的通知》（财库〔2022〕19号）、《云南省财政厅、云南省工业与信息化厅关于落实政府采购促进中小企业发展政策意见的通知》（云财规〔2022〕13号）等相关文件规定：</w:t>
            </w:r>
            <w:r>
              <w:rPr>
                <w:rFonts w:hint="eastAsia" w:ascii="仿宋" w:hAnsi="仿宋" w:eastAsia="仿宋" w:cs="仿宋"/>
                <w:color w:val="auto"/>
                <w:kern w:val="2"/>
                <w:sz w:val="24"/>
                <w:szCs w:val="24"/>
                <w:highlight w:val="none"/>
                <w:lang w:val="en-US" w:eastAsia="zh-CN" w:bidi="ar"/>
              </w:rPr>
              <w:t>小微企业价格评审享受10%的价格扣除优惠政策</w:t>
            </w:r>
            <w:r>
              <w:rPr>
                <w:rFonts w:hint="eastAsia" w:ascii="仿宋" w:hAnsi="仿宋" w:eastAsia="仿宋" w:cs="仿宋"/>
                <w:color w:val="auto"/>
                <w:kern w:val="2"/>
                <w:sz w:val="24"/>
                <w:szCs w:val="24"/>
                <w:highlight w:val="none"/>
                <w:lang w:val="en-US" w:eastAsia="zh-CN" w:bidi="ar"/>
              </w:rPr>
              <w:t>，监狱企业和残疾人福利性单位视同小型、微型企业。</w:t>
            </w:r>
            <w:r>
              <w:rPr>
                <w:rFonts w:hint="eastAsia" w:ascii="仿宋" w:hAnsi="仿宋" w:eastAsia="仿宋" w:cs="仿宋"/>
                <w:color w:val="auto"/>
                <w:kern w:val="2"/>
                <w:sz w:val="24"/>
                <w:szCs w:val="24"/>
                <w:highlight w:val="none"/>
                <w:lang w:val="en-US" w:eastAsia="zh-CN" w:bidi="ar"/>
              </w:rPr>
              <w:t>接受大中型企业与小微企业组成联合体，对于联合体协议约定小微企业的合同份额</w:t>
            </w:r>
            <w:r>
              <w:rPr>
                <w:rFonts w:hint="eastAsia" w:ascii="仿宋" w:hAnsi="仿宋" w:eastAsia="仿宋" w:cs="仿宋"/>
                <w:color w:val="auto"/>
                <w:kern w:val="2"/>
                <w:sz w:val="24"/>
                <w:szCs w:val="24"/>
                <w:highlight w:val="none"/>
                <w:lang w:val="en-US" w:eastAsia="zh-CN" w:bidi="ar"/>
              </w:rPr>
              <w:t>占到合同总金额30%以上</w:t>
            </w:r>
            <w:r>
              <w:rPr>
                <w:rFonts w:hint="eastAsia" w:ascii="仿宋" w:hAnsi="仿宋" w:eastAsia="仿宋" w:cs="仿宋"/>
                <w:color w:val="auto"/>
                <w:kern w:val="2"/>
                <w:sz w:val="24"/>
                <w:szCs w:val="24"/>
                <w:highlight w:val="none"/>
                <w:lang w:val="en-US" w:eastAsia="zh-CN" w:bidi="ar"/>
              </w:rPr>
              <w:t>的，</w:t>
            </w:r>
            <w:r>
              <w:rPr>
                <w:rFonts w:hint="eastAsia" w:ascii="仿宋" w:hAnsi="仿宋" w:eastAsia="仿宋" w:cs="仿宋"/>
                <w:color w:val="auto"/>
                <w:kern w:val="2"/>
                <w:sz w:val="24"/>
                <w:szCs w:val="24"/>
                <w:highlight w:val="none"/>
                <w:lang w:val="en-US" w:eastAsia="zh-CN" w:bidi="ar"/>
              </w:rPr>
              <w:t>给予6%的价格扣除优惠政策</w:t>
            </w:r>
            <w:r>
              <w:rPr>
                <w:rFonts w:hint="eastAsia" w:ascii="仿宋" w:hAnsi="仿宋" w:eastAsia="仿宋" w:cs="仿宋"/>
                <w:color w:val="auto"/>
                <w:kern w:val="2"/>
                <w:sz w:val="24"/>
                <w:szCs w:val="24"/>
                <w:highlight w:val="none"/>
                <w:lang w:val="en-US" w:eastAsia="zh-CN" w:bidi="ar"/>
              </w:rPr>
              <w:t>（本项目所属行业为</w:t>
            </w:r>
            <w:r>
              <w:rPr>
                <w:rFonts w:hint="eastAsia" w:ascii="仿宋" w:hAnsi="仿宋" w:eastAsia="仿宋" w:cs="仿宋"/>
                <w:color w:val="auto"/>
                <w:kern w:val="2"/>
                <w:sz w:val="24"/>
                <w:szCs w:val="24"/>
                <w:highlight w:val="none"/>
                <w:lang w:val="en-US" w:eastAsia="zh-CN" w:bidi="ar"/>
              </w:rPr>
              <w:t>其他未列明行业</w:t>
            </w:r>
            <w:r>
              <w:rPr>
                <w:rFonts w:hint="eastAsia" w:ascii="仿宋" w:hAnsi="仿宋" w:eastAsia="仿宋" w:cs="仿宋"/>
                <w:color w:val="auto"/>
                <w:kern w:val="2"/>
                <w:sz w:val="24"/>
                <w:szCs w:val="24"/>
                <w:highlight w:val="none"/>
                <w:lang w:val="en-US" w:eastAsia="zh-CN" w:bidi="ar"/>
              </w:rPr>
              <w:t>）；</w:t>
            </w:r>
          </w:p>
          <w:p w14:paraId="3409D982">
            <w:pPr>
              <w:keepNext w:val="0"/>
              <w:keepLines w:val="0"/>
              <w:pageBreakBefore w:val="0"/>
              <w:widowControl w:val="0"/>
              <w:suppressLineNumbers w:val="0"/>
              <w:kinsoku/>
              <w:overflowPunct/>
              <w:topLinePunct w:val="0"/>
              <w:autoSpaceDN/>
              <w:bidi w:val="0"/>
              <w:adjustRightInd/>
              <w:spacing w:before="0" w:beforeAutospacing="0" w:after="0" w:afterAutospacing="0" w:line="480" w:lineRule="exact"/>
              <w:ind w:left="0" w:right="0" w:firstLine="480" w:firstLineChars="200"/>
              <w:jc w:val="both"/>
              <w:textAlignment w:val="auto"/>
              <w:rPr>
                <w:rFonts w:hint="eastAsia" w:ascii="仿宋" w:hAnsi="仿宋" w:eastAsia="仿宋" w:cs="黑体"/>
                <w:color w:val="auto"/>
                <w:sz w:val="24"/>
                <w:szCs w:val="24"/>
                <w:highlight w:val="none"/>
                <w:lang w:val="en-US"/>
              </w:rPr>
            </w:pPr>
            <w:r>
              <w:rPr>
                <w:rFonts w:hint="eastAsia" w:ascii="仿宋" w:hAnsi="仿宋" w:eastAsia="仿宋" w:cs="黑体"/>
                <w:color w:val="auto"/>
                <w:kern w:val="2"/>
                <w:sz w:val="24"/>
                <w:szCs w:val="24"/>
                <w:highlight w:val="none"/>
                <w:lang w:val="en-US" w:eastAsia="zh-CN" w:bidi="ar"/>
              </w:rPr>
              <w:t>注：①中小企业以投标人填写的《中小企业声明函》为判定标准。②残疾人企业以投标人填写的《残疾人福利性单位声明函》为判定标准。③监狱企业应提供由省级以上监狱管理局、戒毒管理局(含新疆生产建设兵团)出具的属于监狱企业的证明文件，否则不予认定。</w:t>
            </w:r>
          </w:p>
          <w:p w14:paraId="1740C38A">
            <w:pPr>
              <w:keepNext w:val="0"/>
              <w:keepLines w:val="0"/>
              <w:pageBreakBefore w:val="0"/>
              <w:widowControl w:val="0"/>
              <w:suppressLineNumbers w:val="0"/>
              <w:kinsoku/>
              <w:overflowPunct/>
              <w:topLinePunct w:val="0"/>
              <w:autoSpaceDN/>
              <w:bidi w:val="0"/>
              <w:adjustRightInd/>
              <w:spacing w:before="0" w:beforeAutospacing="0" w:after="0" w:afterAutospacing="0" w:line="480" w:lineRule="exact"/>
              <w:ind w:left="0" w:right="0" w:firstLine="482" w:firstLineChars="200"/>
              <w:jc w:val="both"/>
              <w:textAlignment w:val="auto"/>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kern w:val="2"/>
                <w:sz w:val="24"/>
                <w:szCs w:val="24"/>
                <w:highlight w:val="none"/>
                <w:lang w:val="en-US" w:eastAsia="zh-CN" w:bidi="ar"/>
              </w:rPr>
              <w:t>3.本项目的特定资格要求：</w:t>
            </w:r>
          </w:p>
          <w:p w14:paraId="0F6EB36C">
            <w:pPr>
              <w:keepNext w:val="0"/>
              <w:keepLines w:val="0"/>
              <w:pageBreakBefore w:val="0"/>
              <w:widowControl w:val="0"/>
              <w:suppressLineNumbers w:val="0"/>
              <w:kinsoku/>
              <w:overflowPunct/>
              <w:topLinePunct w:val="0"/>
              <w:autoSpaceDN/>
              <w:bidi w:val="0"/>
              <w:adjustRightInd/>
              <w:spacing w:before="0" w:beforeAutospacing="0" w:after="0" w:afterAutospacing="0" w:line="480" w:lineRule="exact"/>
              <w:ind w:left="0" w:right="0" w:firstLine="480" w:firstLineChars="200"/>
              <w:jc w:val="both"/>
              <w:textAlignment w:val="auto"/>
              <w:rPr>
                <w:rFonts w:hint="eastAsia" w:ascii="仿宋" w:hAnsi="仿宋" w:eastAsia="仿宋" w:cs="仿宋"/>
                <w:color w:val="auto"/>
                <w:sz w:val="24"/>
                <w:szCs w:val="24"/>
                <w:highlight w:val="none"/>
                <w:lang w:val="en-US"/>
              </w:rPr>
            </w:pPr>
            <w:r>
              <w:rPr>
                <w:rFonts w:hint="eastAsia" w:ascii="仿宋" w:hAnsi="仿宋" w:eastAsia="仿宋" w:cs="黑体"/>
                <w:color w:val="auto"/>
                <w:kern w:val="2"/>
                <w:sz w:val="24"/>
                <w:szCs w:val="24"/>
                <w:highlight w:val="none"/>
                <w:lang w:val="en-US" w:eastAsia="zh-CN" w:bidi="ar"/>
              </w:rPr>
              <w:t>3.1信誉要求：投标人开标前未被列入失信被执行人、重大税收违法失信主体（以在“信用中国”网站（www.creditchina.gov.cn）查询的信用记录为准）；未被列入政府采购严重违法失信行为记录名单（以在中国政府采购网（www.ccgp.gov.cn）查询的信用记录为准）</w:t>
            </w:r>
            <w:r>
              <w:rPr>
                <w:rFonts w:hint="eastAsia" w:ascii="仿宋" w:hAnsi="仿宋" w:eastAsia="仿宋" w:cs="仿宋"/>
                <w:color w:val="auto"/>
                <w:kern w:val="2"/>
                <w:sz w:val="24"/>
                <w:szCs w:val="24"/>
                <w:highlight w:val="none"/>
                <w:lang w:val="en-US" w:eastAsia="zh-CN" w:bidi="ar"/>
              </w:rPr>
              <w:t>，以联合体形式参加投标的，联合体各方均应满足，提供书面承诺。</w:t>
            </w:r>
          </w:p>
          <w:p w14:paraId="5AC45FC0">
            <w:pPr>
              <w:keepNext w:val="0"/>
              <w:keepLines w:val="0"/>
              <w:pageBreakBefore w:val="0"/>
              <w:suppressLineNumbers w:val="0"/>
              <w:kinsoku/>
              <w:overflowPunct/>
              <w:topLinePunct w:val="0"/>
              <w:bidi w:val="0"/>
              <w:snapToGrid w:val="0"/>
              <w:spacing w:before="0" w:beforeAutospacing="0" w:after="0" w:afterAutospacing="0" w:line="460" w:lineRule="exact"/>
              <w:ind w:left="0" w:right="0" w:firstLine="600" w:firstLineChars="250"/>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3.2资质要求：</w:t>
            </w:r>
            <w:r>
              <w:rPr>
                <w:rFonts w:hint="eastAsia" w:ascii="仿宋" w:hAnsi="仿宋" w:eastAsia="仿宋" w:cs="Times New Roman"/>
                <w:color w:val="auto"/>
                <w:sz w:val="24"/>
                <w:szCs w:val="24"/>
                <w:highlight w:val="none"/>
                <w:lang w:val="en-US" w:eastAsia="zh-CN"/>
              </w:rPr>
              <w:t>投标人须具备</w:t>
            </w:r>
            <w:r>
              <w:rPr>
                <w:rFonts w:hint="eastAsia" w:ascii="仿宋" w:hAnsi="仿宋" w:eastAsia="仿宋" w:cs="Times New Roman"/>
                <w:color w:val="auto"/>
                <w:sz w:val="24"/>
                <w:szCs w:val="24"/>
                <w:highlight w:val="none"/>
              </w:rPr>
              <w:t>乙级及以上测绘资质证书（专业类别须包含地理信息系统工程）；须在全国投资项目在线审批监管平台备案（服务范围包含项目咨询，咨询专业须包含</w:t>
            </w:r>
            <w:r>
              <w:rPr>
                <w:rFonts w:hint="eastAsia" w:ascii="仿宋" w:hAnsi="仿宋" w:eastAsia="仿宋" w:cs="Times New Roman"/>
                <w:color w:val="auto"/>
                <w:sz w:val="24"/>
                <w:szCs w:val="24"/>
                <w:highlight w:val="none"/>
                <w:lang w:eastAsia="zh-CN"/>
              </w:rPr>
              <w:t>农学</w:t>
            </w:r>
            <w:r>
              <w:rPr>
                <w:rFonts w:hint="eastAsia" w:ascii="仿宋" w:hAnsi="仿宋" w:eastAsia="仿宋" w:cs="Times New Roman"/>
                <w:color w:val="auto"/>
                <w:sz w:val="24"/>
                <w:szCs w:val="24"/>
                <w:highlight w:val="none"/>
              </w:rPr>
              <w:t>相关专业）</w:t>
            </w:r>
            <w:r>
              <w:rPr>
                <w:rFonts w:hint="eastAsia" w:ascii="仿宋" w:hAnsi="仿宋" w:eastAsia="仿宋" w:cs="Times New Roman"/>
                <w:color w:val="auto"/>
                <w:sz w:val="24"/>
                <w:szCs w:val="24"/>
                <w:highlight w:val="none"/>
                <w:lang w:eastAsia="zh-CN"/>
              </w:rPr>
              <w:t>。</w:t>
            </w:r>
          </w:p>
          <w:p w14:paraId="172AB6DB">
            <w:pPr>
              <w:keepNext w:val="0"/>
              <w:keepLines w:val="0"/>
              <w:pageBreakBefore w:val="0"/>
              <w:widowControl w:val="0"/>
              <w:suppressLineNumbers w:val="0"/>
              <w:kinsoku/>
              <w:overflowPunct/>
              <w:topLinePunct w:val="0"/>
              <w:autoSpaceDN/>
              <w:bidi w:val="0"/>
              <w:adjustRightInd/>
              <w:snapToGrid w:val="0"/>
              <w:spacing w:before="0" w:beforeAutospacing="0" w:after="0" w:afterAutospacing="0" w:line="480" w:lineRule="exact"/>
              <w:ind w:left="0" w:right="0" w:firstLine="600" w:firstLineChars="25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
              </w:rPr>
              <w:t>3.3本项目</w:t>
            </w:r>
            <w:r>
              <w:rPr>
                <w:rFonts w:hint="eastAsia" w:ascii="仿宋" w:hAnsi="仿宋" w:eastAsia="仿宋" w:cs="仿宋"/>
                <w:color w:val="auto"/>
                <w:kern w:val="2"/>
                <w:sz w:val="24"/>
                <w:szCs w:val="24"/>
                <w:highlight w:val="none"/>
                <w:lang w:val="zh-CN" w:eastAsia="zh-CN" w:bidi="ar"/>
              </w:rPr>
              <w:t>【</w:t>
            </w:r>
            <w:r>
              <w:rPr>
                <w:rFonts w:hint="eastAsia" w:ascii="仿宋" w:hAnsi="仿宋" w:eastAsia="仿宋" w:cs="仿宋"/>
                <w:color w:val="auto"/>
                <w:kern w:val="2"/>
                <w:sz w:val="24"/>
                <w:szCs w:val="24"/>
                <w:highlight w:val="none"/>
                <w:lang w:val="en-US" w:eastAsia="zh-CN" w:bidi="ar"/>
              </w:rPr>
              <w:t>接受</w:t>
            </w:r>
            <w:r>
              <w:rPr>
                <w:rFonts w:hint="eastAsia" w:ascii="仿宋" w:hAnsi="仿宋" w:eastAsia="仿宋" w:cs="仿宋"/>
                <w:color w:val="auto"/>
                <w:kern w:val="2"/>
                <w:sz w:val="24"/>
                <w:szCs w:val="24"/>
                <w:highlight w:val="none"/>
                <w:lang w:val="zh-CN" w:eastAsia="zh-CN" w:bidi="ar"/>
              </w:rPr>
              <w:t>】</w:t>
            </w:r>
            <w:r>
              <w:rPr>
                <w:rFonts w:hint="eastAsia" w:ascii="仿宋" w:hAnsi="仿宋" w:eastAsia="仿宋" w:cs="仿宋"/>
                <w:color w:val="auto"/>
                <w:kern w:val="2"/>
                <w:sz w:val="24"/>
                <w:szCs w:val="24"/>
                <w:highlight w:val="none"/>
                <w:lang w:val="en-US" w:eastAsia="zh-CN" w:bidi="ar"/>
              </w:rPr>
              <w:t>联合体。以联合体形式参加投标的，须在联合体协议中载明联合体成员单位的责任和权利。</w:t>
            </w:r>
            <w:r>
              <w:rPr>
                <w:rFonts w:hint="eastAsia" w:ascii="仿宋" w:hAnsi="仿宋" w:eastAsia="仿宋" w:cs="仿宋"/>
                <w:color w:val="auto"/>
                <w:kern w:val="2"/>
                <w:sz w:val="24"/>
                <w:szCs w:val="24"/>
                <w:highlight w:val="none"/>
                <w:lang w:val="en-US" w:eastAsia="zh-CN" w:bidi="ar"/>
              </w:rPr>
              <w:t>联合体单位不得超过3家。</w:t>
            </w:r>
          </w:p>
        </w:tc>
      </w:tr>
      <w:tr w14:paraId="6AE8C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7FCBDDF6">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1.4.4</w:t>
            </w:r>
          </w:p>
        </w:tc>
        <w:tc>
          <w:tcPr>
            <w:tcW w:w="1786" w:type="dxa"/>
            <w:tcBorders>
              <w:top w:val="outset" w:color="auto" w:sz="6" w:space="0"/>
              <w:left w:val="outset" w:color="auto" w:sz="6" w:space="0"/>
              <w:bottom w:val="outset" w:color="auto" w:sz="6" w:space="0"/>
              <w:right w:val="outset" w:color="auto" w:sz="6" w:space="0"/>
            </w:tcBorders>
            <w:noWrap/>
            <w:vAlign w:val="center"/>
          </w:tcPr>
          <w:p w14:paraId="0691C0CA">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b/>
                <w:color w:val="auto"/>
                <w:sz w:val="24"/>
                <w:szCs w:val="24"/>
                <w:highlight w:val="none"/>
              </w:rPr>
            </w:pPr>
            <w:r>
              <w:rPr>
                <w:rFonts w:hint="eastAsia" w:ascii="仿宋" w:hAnsi="仿宋" w:eastAsia="仿宋" w:cs="宋体"/>
                <w:color w:val="auto"/>
                <w:kern w:val="2"/>
                <w:sz w:val="24"/>
                <w:szCs w:val="24"/>
                <w:highlight w:val="none"/>
              </w:rPr>
              <w:t>是否接受联合体投标</w:t>
            </w:r>
          </w:p>
        </w:tc>
        <w:tc>
          <w:tcPr>
            <w:tcW w:w="6631" w:type="dxa"/>
            <w:tcBorders>
              <w:top w:val="outset" w:color="auto" w:sz="6" w:space="0"/>
              <w:left w:val="outset" w:color="auto" w:sz="6" w:space="0"/>
              <w:bottom w:val="outset" w:color="auto" w:sz="6" w:space="0"/>
              <w:right w:val="outset" w:color="auto" w:sz="6" w:space="0"/>
            </w:tcBorders>
            <w:noWrap/>
            <w:vAlign w:val="center"/>
          </w:tcPr>
          <w:p w14:paraId="26730E8A">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b/>
                <w:color w:val="auto"/>
                <w:sz w:val="24"/>
                <w:szCs w:val="24"/>
                <w:highlight w:val="none"/>
              </w:rPr>
            </w:pPr>
            <w:r>
              <w:rPr>
                <w:rFonts w:hint="eastAsia" w:ascii="仿宋" w:hAnsi="仿宋" w:eastAsia="仿宋" w:cs="宋体"/>
                <w:color w:val="auto"/>
                <w:kern w:val="2"/>
                <w:sz w:val="24"/>
                <w:szCs w:val="24"/>
                <w:highlight w:val="none"/>
              </w:rPr>
              <w:t>接受</w:t>
            </w:r>
            <w:r>
              <w:rPr>
                <w:rFonts w:hint="eastAsia" w:ascii="仿宋" w:hAnsi="仿宋" w:eastAsia="仿宋" w:cs="仿宋"/>
                <w:color w:val="auto"/>
                <w:kern w:val="2"/>
                <w:sz w:val="24"/>
                <w:szCs w:val="24"/>
                <w:highlight w:val="none"/>
                <w:lang w:val="en-US" w:eastAsia="zh-CN" w:bidi="ar"/>
              </w:rPr>
              <w:t>。以联合体形式参加投标的，须在联合体协议中载明联合体成员单位的责任和权利。联合体单位不得超过3家。</w:t>
            </w:r>
          </w:p>
        </w:tc>
      </w:tr>
      <w:tr w14:paraId="0612F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23" w:type="dxa"/>
            <w:tcBorders>
              <w:top w:val="outset" w:color="auto" w:sz="6" w:space="0"/>
              <w:left w:val="outset" w:color="auto" w:sz="6" w:space="0"/>
              <w:right w:val="outset" w:color="auto" w:sz="6" w:space="0"/>
            </w:tcBorders>
            <w:noWrap/>
            <w:vAlign w:val="center"/>
          </w:tcPr>
          <w:p w14:paraId="48209625">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1.9</w:t>
            </w:r>
          </w:p>
        </w:tc>
        <w:tc>
          <w:tcPr>
            <w:tcW w:w="1786" w:type="dxa"/>
            <w:tcBorders>
              <w:top w:val="outset" w:color="auto" w:sz="6" w:space="0"/>
              <w:left w:val="outset" w:color="auto" w:sz="6" w:space="0"/>
              <w:right w:val="outset" w:color="auto" w:sz="6" w:space="0"/>
            </w:tcBorders>
            <w:noWrap/>
            <w:vAlign w:val="center"/>
          </w:tcPr>
          <w:p w14:paraId="247D1D09">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宋体"/>
                <w:color w:val="auto"/>
                <w:kern w:val="2"/>
                <w:sz w:val="24"/>
                <w:szCs w:val="24"/>
                <w:highlight w:val="none"/>
              </w:rPr>
              <w:t>现场踏勘</w:t>
            </w:r>
          </w:p>
        </w:tc>
        <w:tc>
          <w:tcPr>
            <w:tcW w:w="6631" w:type="dxa"/>
            <w:tcBorders>
              <w:top w:val="outset" w:color="auto" w:sz="6" w:space="0"/>
              <w:left w:val="outset" w:color="auto" w:sz="6" w:space="0"/>
              <w:bottom w:val="single" w:color="auto" w:sz="4" w:space="0"/>
              <w:right w:val="outset" w:color="auto" w:sz="6" w:space="0"/>
            </w:tcBorders>
            <w:noWrap/>
            <w:vAlign w:val="center"/>
          </w:tcPr>
          <w:p w14:paraId="3C69AB22">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不组织</w:t>
            </w:r>
          </w:p>
        </w:tc>
      </w:tr>
      <w:tr w14:paraId="44510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31726E0B">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1.10.1</w:t>
            </w:r>
          </w:p>
        </w:tc>
        <w:tc>
          <w:tcPr>
            <w:tcW w:w="1786" w:type="dxa"/>
            <w:tcBorders>
              <w:top w:val="outset" w:color="auto" w:sz="6" w:space="0"/>
              <w:left w:val="outset" w:color="auto" w:sz="6" w:space="0"/>
              <w:bottom w:val="outset" w:color="auto" w:sz="6" w:space="0"/>
              <w:right w:val="outset" w:color="auto" w:sz="6" w:space="0"/>
            </w:tcBorders>
            <w:noWrap/>
            <w:vAlign w:val="center"/>
          </w:tcPr>
          <w:p w14:paraId="05C1C215">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宋体"/>
                <w:color w:val="auto"/>
                <w:kern w:val="2"/>
                <w:sz w:val="24"/>
                <w:szCs w:val="24"/>
                <w:highlight w:val="none"/>
              </w:rPr>
              <w:t>投标预备会</w:t>
            </w:r>
          </w:p>
        </w:tc>
        <w:tc>
          <w:tcPr>
            <w:tcW w:w="6631" w:type="dxa"/>
            <w:tcBorders>
              <w:top w:val="outset" w:color="auto" w:sz="6" w:space="0"/>
              <w:left w:val="outset" w:color="auto" w:sz="6" w:space="0"/>
              <w:bottom w:val="outset" w:color="auto" w:sz="6" w:space="0"/>
              <w:right w:val="outset" w:color="auto" w:sz="6" w:space="0"/>
            </w:tcBorders>
            <w:noWrap/>
            <w:vAlign w:val="center"/>
          </w:tcPr>
          <w:p w14:paraId="4D49FFDC">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kern w:val="2"/>
                <w:sz w:val="24"/>
                <w:szCs w:val="24"/>
                <w:highlight w:val="none"/>
              </w:rPr>
            </w:pPr>
            <w:r>
              <w:rPr>
                <w:rFonts w:hint="eastAsia" w:ascii="仿宋" w:hAnsi="仿宋" w:eastAsia="仿宋" w:cs="宋体"/>
                <w:color w:val="auto"/>
                <w:kern w:val="2"/>
                <w:sz w:val="24"/>
                <w:szCs w:val="24"/>
                <w:highlight w:val="none"/>
              </w:rPr>
              <w:t>不组织</w:t>
            </w:r>
          </w:p>
        </w:tc>
      </w:tr>
      <w:tr w14:paraId="70E4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58DFC210">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1.10.2</w:t>
            </w:r>
          </w:p>
        </w:tc>
        <w:tc>
          <w:tcPr>
            <w:tcW w:w="1786" w:type="dxa"/>
            <w:tcBorders>
              <w:top w:val="outset" w:color="auto" w:sz="6" w:space="0"/>
              <w:left w:val="outset" w:color="auto" w:sz="6" w:space="0"/>
              <w:bottom w:val="outset" w:color="auto" w:sz="6" w:space="0"/>
              <w:right w:val="outset" w:color="auto" w:sz="6" w:space="0"/>
            </w:tcBorders>
            <w:noWrap/>
            <w:vAlign w:val="center"/>
          </w:tcPr>
          <w:p w14:paraId="49ADC0A6">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bCs/>
                <w:color w:val="auto"/>
                <w:sz w:val="24"/>
                <w:szCs w:val="24"/>
                <w:highlight w:val="none"/>
              </w:rPr>
            </w:pP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提出问题的截止时间</w:t>
            </w:r>
          </w:p>
        </w:tc>
        <w:tc>
          <w:tcPr>
            <w:tcW w:w="6631" w:type="dxa"/>
            <w:tcBorders>
              <w:top w:val="outset" w:color="auto" w:sz="6" w:space="0"/>
              <w:left w:val="outset" w:color="auto" w:sz="6" w:space="0"/>
              <w:bottom w:val="outset" w:color="auto" w:sz="6" w:space="0"/>
              <w:right w:val="outset" w:color="auto" w:sz="6" w:space="0"/>
            </w:tcBorders>
            <w:noWrap/>
            <w:vAlign w:val="center"/>
          </w:tcPr>
          <w:p w14:paraId="53298E21">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bCs/>
                <w:color w:val="auto"/>
                <w:sz w:val="24"/>
                <w:szCs w:val="24"/>
                <w:highlight w:val="none"/>
              </w:rPr>
            </w:pPr>
            <w:r>
              <w:rPr>
                <w:rFonts w:hint="eastAsia" w:ascii="仿宋" w:hAnsi="仿宋" w:eastAsia="仿宋" w:cs="宋体"/>
                <w:color w:val="auto"/>
                <w:kern w:val="2"/>
                <w:sz w:val="24"/>
                <w:szCs w:val="24"/>
                <w:highlight w:val="none"/>
              </w:rPr>
              <w:t>投标截止时间10日以前</w:t>
            </w:r>
          </w:p>
        </w:tc>
      </w:tr>
      <w:tr w14:paraId="33B90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09FA0B6D">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1.10.3</w:t>
            </w:r>
          </w:p>
        </w:tc>
        <w:tc>
          <w:tcPr>
            <w:tcW w:w="1786" w:type="dxa"/>
            <w:tcBorders>
              <w:top w:val="outset" w:color="auto" w:sz="6" w:space="0"/>
              <w:left w:val="outset" w:color="auto" w:sz="6" w:space="0"/>
              <w:bottom w:val="outset" w:color="auto" w:sz="6" w:space="0"/>
              <w:right w:val="outset" w:color="auto" w:sz="6" w:space="0"/>
            </w:tcBorders>
            <w:noWrap/>
            <w:vAlign w:val="center"/>
          </w:tcPr>
          <w:p w14:paraId="4B19F6C5">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人书面澄清的</w:t>
            </w:r>
            <w:r>
              <w:rPr>
                <w:rFonts w:hint="eastAsia" w:ascii="仿宋" w:hAnsi="仿宋" w:eastAsia="仿宋" w:cs="宋体"/>
                <w:color w:val="auto"/>
                <w:kern w:val="2"/>
                <w:sz w:val="24"/>
                <w:szCs w:val="24"/>
                <w:highlight w:val="none"/>
                <w:lang w:eastAsia="zh-CN"/>
              </w:rPr>
              <w:t>截止</w:t>
            </w:r>
            <w:r>
              <w:rPr>
                <w:rFonts w:hint="eastAsia" w:ascii="仿宋" w:hAnsi="仿宋" w:eastAsia="仿宋" w:cs="宋体"/>
                <w:color w:val="auto"/>
                <w:kern w:val="2"/>
                <w:sz w:val="24"/>
                <w:szCs w:val="24"/>
                <w:highlight w:val="none"/>
              </w:rPr>
              <w:t>时间</w:t>
            </w:r>
          </w:p>
        </w:tc>
        <w:tc>
          <w:tcPr>
            <w:tcW w:w="6631" w:type="dxa"/>
            <w:tcBorders>
              <w:top w:val="outset" w:color="auto" w:sz="6" w:space="0"/>
              <w:left w:val="outset" w:color="auto" w:sz="6" w:space="0"/>
              <w:bottom w:val="outset" w:color="auto" w:sz="6" w:space="0"/>
              <w:right w:val="outset" w:color="auto" w:sz="6" w:space="0"/>
            </w:tcBorders>
            <w:noWrap/>
            <w:vAlign w:val="center"/>
          </w:tcPr>
          <w:p w14:paraId="494F0299">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宋体"/>
                <w:color w:val="auto"/>
                <w:kern w:val="2"/>
                <w:sz w:val="24"/>
                <w:szCs w:val="24"/>
                <w:highlight w:val="none"/>
              </w:rPr>
              <w:t>投标截止时间</w:t>
            </w:r>
            <w:r>
              <w:rPr>
                <w:rFonts w:hint="default" w:ascii="仿宋" w:hAnsi="仿宋" w:eastAsia="仿宋" w:cs="宋体"/>
                <w:color w:val="auto"/>
                <w:kern w:val="2"/>
                <w:sz w:val="24"/>
                <w:szCs w:val="24"/>
                <w:highlight w:val="none"/>
              </w:rPr>
              <w:t>15</w:t>
            </w:r>
            <w:r>
              <w:rPr>
                <w:rFonts w:hint="eastAsia" w:ascii="仿宋" w:hAnsi="仿宋" w:eastAsia="仿宋" w:cs="宋体"/>
                <w:color w:val="auto"/>
                <w:kern w:val="2"/>
                <w:sz w:val="24"/>
                <w:szCs w:val="24"/>
                <w:highlight w:val="none"/>
                <w:lang w:eastAsia="zh-CN"/>
              </w:rPr>
              <w:t>日以</w:t>
            </w:r>
            <w:r>
              <w:rPr>
                <w:rFonts w:hint="eastAsia" w:ascii="仿宋" w:hAnsi="仿宋" w:eastAsia="仿宋" w:cs="宋体"/>
                <w:color w:val="auto"/>
                <w:kern w:val="2"/>
                <w:sz w:val="24"/>
                <w:szCs w:val="24"/>
                <w:highlight w:val="none"/>
              </w:rPr>
              <w:t>前</w:t>
            </w:r>
          </w:p>
        </w:tc>
      </w:tr>
      <w:tr w14:paraId="2A878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5E71FED2">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default" w:ascii="仿宋" w:hAnsi="仿宋" w:eastAsia="仿宋" w:cs="宋体"/>
                <w:color w:val="auto"/>
                <w:kern w:val="2"/>
                <w:sz w:val="24"/>
                <w:szCs w:val="24"/>
                <w:highlight w:val="none"/>
              </w:rPr>
              <w:t>1.11</w:t>
            </w:r>
          </w:p>
        </w:tc>
        <w:tc>
          <w:tcPr>
            <w:tcW w:w="1786" w:type="dxa"/>
            <w:tcBorders>
              <w:top w:val="outset" w:color="auto" w:sz="6" w:space="0"/>
              <w:left w:val="outset" w:color="auto" w:sz="6" w:space="0"/>
              <w:bottom w:val="outset" w:color="auto" w:sz="6" w:space="0"/>
              <w:right w:val="outset" w:color="auto" w:sz="6" w:space="0"/>
            </w:tcBorders>
            <w:noWrap/>
            <w:vAlign w:val="center"/>
          </w:tcPr>
          <w:p w14:paraId="6C0ED03E">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分包</w:t>
            </w:r>
          </w:p>
        </w:tc>
        <w:tc>
          <w:tcPr>
            <w:tcW w:w="6631" w:type="dxa"/>
            <w:tcBorders>
              <w:top w:val="outset" w:color="auto" w:sz="6" w:space="0"/>
              <w:left w:val="outset" w:color="auto" w:sz="6" w:space="0"/>
              <w:bottom w:val="outset" w:color="auto" w:sz="6" w:space="0"/>
              <w:right w:val="outset" w:color="auto" w:sz="6" w:space="0"/>
            </w:tcBorders>
            <w:noWrap/>
            <w:vAlign w:val="center"/>
          </w:tcPr>
          <w:p w14:paraId="5ABEEAF2">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除落实政府采购政策的分包外</w:t>
            </w:r>
            <w:r>
              <w:rPr>
                <w:rFonts w:hint="eastAsia" w:ascii="仿宋" w:hAnsi="仿宋" w:eastAsia="仿宋" w:cs="宋体"/>
                <w:color w:val="auto"/>
                <w:kern w:val="2"/>
                <w:sz w:val="24"/>
                <w:szCs w:val="24"/>
                <w:highlight w:val="none"/>
                <w:lang w:eastAsia="zh-CN"/>
              </w:rPr>
              <w:t>，</w:t>
            </w:r>
            <w:r>
              <w:rPr>
                <w:rFonts w:hint="eastAsia" w:ascii="仿宋" w:hAnsi="仿宋" w:eastAsia="仿宋" w:cs="宋体"/>
                <w:color w:val="auto"/>
                <w:kern w:val="2"/>
                <w:sz w:val="24"/>
                <w:szCs w:val="24"/>
                <w:highlight w:val="none"/>
              </w:rPr>
              <w:t>其它不允许</w:t>
            </w:r>
            <w:r>
              <w:rPr>
                <w:rFonts w:hint="eastAsia" w:ascii="仿宋" w:hAnsi="仿宋" w:eastAsia="仿宋" w:cs="宋体"/>
                <w:color w:val="auto"/>
                <w:kern w:val="2"/>
                <w:sz w:val="24"/>
                <w:szCs w:val="24"/>
                <w:highlight w:val="none"/>
                <w:lang w:eastAsia="zh-CN"/>
              </w:rPr>
              <w:t>分包</w:t>
            </w:r>
            <w:r>
              <w:rPr>
                <w:rFonts w:hint="eastAsia" w:ascii="仿宋" w:hAnsi="仿宋" w:eastAsia="仿宋" w:cs="宋体"/>
                <w:color w:val="auto"/>
                <w:kern w:val="2"/>
                <w:sz w:val="24"/>
                <w:szCs w:val="24"/>
                <w:highlight w:val="none"/>
              </w:rPr>
              <w:t>。</w:t>
            </w:r>
          </w:p>
        </w:tc>
      </w:tr>
      <w:tr w14:paraId="476CC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509AE60C">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1.12</w:t>
            </w:r>
          </w:p>
        </w:tc>
        <w:tc>
          <w:tcPr>
            <w:tcW w:w="1786" w:type="dxa"/>
            <w:tcBorders>
              <w:top w:val="outset" w:color="auto" w:sz="6" w:space="0"/>
              <w:left w:val="outset" w:color="auto" w:sz="6" w:space="0"/>
              <w:bottom w:val="outset" w:color="auto" w:sz="6" w:space="0"/>
              <w:right w:val="outset" w:color="auto" w:sz="6" w:space="0"/>
            </w:tcBorders>
            <w:noWrap/>
            <w:vAlign w:val="center"/>
          </w:tcPr>
          <w:p w14:paraId="4475B08B">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重大偏差</w:t>
            </w:r>
          </w:p>
        </w:tc>
        <w:tc>
          <w:tcPr>
            <w:tcW w:w="6631" w:type="dxa"/>
            <w:tcBorders>
              <w:top w:val="outset" w:color="auto" w:sz="6" w:space="0"/>
              <w:left w:val="outset" w:color="auto" w:sz="6" w:space="0"/>
              <w:bottom w:val="outset" w:color="auto" w:sz="6" w:space="0"/>
              <w:right w:val="outset" w:color="auto" w:sz="6" w:space="0"/>
            </w:tcBorders>
            <w:noWrap/>
            <w:vAlign w:val="center"/>
          </w:tcPr>
          <w:p w14:paraId="3125FF3C">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不允许。</w:t>
            </w:r>
          </w:p>
        </w:tc>
      </w:tr>
      <w:tr w14:paraId="612B6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75C37E96">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2.1</w:t>
            </w:r>
          </w:p>
        </w:tc>
        <w:tc>
          <w:tcPr>
            <w:tcW w:w="1786" w:type="dxa"/>
            <w:tcBorders>
              <w:top w:val="outset" w:color="auto" w:sz="6" w:space="0"/>
              <w:left w:val="outset" w:color="auto" w:sz="6" w:space="0"/>
              <w:bottom w:val="outset" w:color="auto" w:sz="6" w:space="0"/>
              <w:right w:val="outset" w:color="auto" w:sz="6" w:space="0"/>
            </w:tcBorders>
            <w:noWrap/>
            <w:vAlign w:val="center"/>
          </w:tcPr>
          <w:p w14:paraId="5C2B9169">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构成</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文件的其他文件</w:t>
            </w:r>
          </w:p>
        </w:tc>
        <w:tc>
          <w:tcPr>
            <w:tcW w:w="6631" w:type="dxa"/>
            <w:tcBorders>
              <w:top w:val="outset" w:color="auto" w:sz="6" w:space="0"/>
              <w:left w:val="outset" w:color="auto" w:sz="6" w:space="0"/>
              <w:bottom w:val="outset" w:color="auto" w:sz="6" w:space="0"/>
              <w:right w:val="outset" w:color="auto" w:sz="6" w:space="0"/>
            </w:tcBorders>
            <w:noWrap/>
            <w:vAlign w:val="center"/>
          </w:tcPr>
          <w:p w14:paraId="1286239B">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根据本章第</w:t>
            </w:r>
            <w:r>
              <w:rPr>
                <w:rFonts w:hint="default" w:ascii="仿宋" w:hAnsi="仿宋" w:eastAsia="仿宋" w:cs="宋体"/>
                <w:color w:val="auto"/>
                <w:kern w:val="2"/>
                <w:sz w:val="24"/>
                <w:szCs w:val="24"/>
                <w:highlight w:val="none"/>
              </w:rPr>
              <w:t>2.2</w:t>
            </w:r>
            <w:r>
              <w:rPr>
                <w:rFonts w:hint="eastAsia" w:ascii="仿宋" w:hAnsi="仿宋" w:eastAsia="仿宋" w:cs="宋体"/>
                <w:color w:val="auto"/>
                <w:kern w:val="2"/>
                <w:sz w:val="24"/>
                <w:szCs w:val="24"/>
                <w:highlight w:val="none"/>
              </w:rPr>
              <w:t>款和第</w:t>
            </w:r>
            <w:r>
              <w:rPr>
                <w:rFonts w:hint="default" w:ascii="仿宋" w:hAnsi="仿宋" w:eastAsia="仿宋" w:cs="宋体"/>
                <w:color w:val="auto"/>
                <w:kern w:val="2"/>
                <w:sz w:val="24"/>
                <w:szCs w:val="24"/>
                <w:highlight w:val="none"/>
              </w:rPr>
              <w:t>2.3</w:t>
            </w:r>
            <w:r>
              <w:rPr>
                <w:rFonts w:hint="eastAsia" w:ascii="仿宋" w:hAnsi="仿宋" w:eastAsia="仿宋" w:cs="宋体"/>
                <w:color w:val="auto"/>
                <w:kern w:val="2"/>
                <w:sz w:val="24"/>
                <w:szCs w:val="24"/>
                <w:highlight w:val="none"/>
              </w:rPr>
              <w:t>款对</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文件所作的澄清、修改，构成</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文件的组成部分。</w:t>
            </w:r>
          </w:p>
        </w:tc>
      </w:tr>
      <w:tr w14:paraId="387B5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1438B7BD">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2.2.1</w:t>
            </w:r>
          </w:p>
        </w:tc>
        <w:tc>
          <w:tcPr>
            <w:tcW w:w="1786" w:type="dxa"/>
            <w:tcBorders>
              <w:top w:val="outset" w:color="auto" w:sz="6" w:space="0"/>
              <w:left w:val="outset" w:color="auto" w:sz="6" w:space="0"/>
              <w:bottom w:val="outset" w:color="auto" w:sz="6" w:space="0"/>
              <w:right w:val="outset" w:color="auto" w:sz="6" w:space="0"/>
            </w:tcBorders>
            <w:noWrap/>
            <w:vAlign w:val="center"/>
          </w:tcPr>
          <w:p w14:paraId="1F3FD321">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要求澄清</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文件的截止时间</w:t>
            </w:r>
          </w:p>
        </w:tc>
        <w:tc>
          <w:tcPr>
            <w:tcW w:w="6631" w:type="dxa"/>
            <w:tcBorders>
              <w:top w:val="outset" w:color="auto" w:sz="6" w:space="0"/>
              <w:left w:val="outset" w:color="auto" w:sz="6" w:space="0"/>
              <w:bottom w:val="outset" w:color="auto" w:sz="6" w:space="0"/>
              <w:right w:val="outset" w:color="auto" w:sz="6" w:space="0"/>
            </w:tcBorders>
            <w:noWrap/>
            <w:vAlign w:val="center"/>
          </w:tcPr>
          <w:p w14:paraId="33EA0568">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投标截止时间10日以前</w:t>
            </w:r>
          </w:p>
        </w:tc>
      </w:tr>
      <w:tr w14:paraId="191F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361BFF51">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2.2.2</w:t>
            </w:r>
          </w:p>
        </w:tc>
        <w:tc>
          <w:tcPr>
            <w:tcW w:w="1786" w:type="dxa"/>
            <w:tcBorders>
              <w:top w:val="outset" w:color="auto" w:sz="6" w:space="0"/>
              <w:left w:val="outset" w:color="auto" w:sz="6" w:space="0"/>
              <w:bottom w:val="outset" w:color="auto" w:sz="6" w:space="0"/>
              <w:right w:val="outset" w:color="auto" w:sz="6" w:space="0"/>
            </w:tcBorders>
            <w:noWrap/>
            <w:vAlign w:val="center"/>
          </w:tcPr>
          <w:p w14:paraId="42CDC078">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投标文件提交截止时间</w:t>
            </w:r>
          </w:p>
        </w:tc>
        <w:tc>
          <w:tcPr>
            <w:tcW w:w="6631" w:type="dxa"/>
            <w:tcBorders>
              <w:top w:val="outset" w:color="auto" w:sz="6" w:space="0"/>
              <w:left w:val="outset" w:color="auto" w:sz="6" w:space="0"/>
              <w:bottom w:val="outset" w:color="auto" w:sz="6" w:space="0"/>
              <w:right w:val="outset" w:color="auto" w:sz="6" w:space="0"/>
            </w:tcBorders>
            <w:noWrap/>
            <w:vAlign w:val="center"/>
          </w:tcPr>
          <w:p w14:paraId="49C42DB7">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sz w:val="24"/>
                <w:szCs w:val="24"/>
                <w:highlight w:val="none"/>
              </w:rPr>
            </w:pPr>
            <w:r>
              <w:rPr>
                <w:rFonts w:hint="eastAsia" w:ascii="仿宋" w:hAnsi="仿宋" w:eastAsia="仿宋" w:cs="Times New Roman"/>
                <w:b/>
                <w:bCs/>
                <w:color w:val="auto"/>
                <w:kern w:val="0"/>
                <w:sz w:val="24"/>
                <w:szCs w:val="24"/>
                <w:highlight w:val="none"/>
                <w:u w:val="single"/>
                <w:lang w:val="en-US" w:eastAsia="zh-CN" w:bidi="ar-SA"/>
              </w:rPr>
              <w:t>2025年04月08日09时00分（北京时间）</w:t>
            </w:r>
          </w:p>
        </w:tc>
      </w:tr>
      <w:tr w14:paraId="0D0E6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6EFE9500">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bCs/>
                <w:color w:val="auto"/>
                <w:sz w:val="24"/>
                <w:szCs w:val="24"/>
                <w:highlight w:val="none"/>
              </w:rPr>
            </w:pPr>
            <w:r>
              <w:rPr>
                <w:rFonts w:hint="default" w:ascii="仿宋" w:hAnsi="仿宋" w:eastAsia="仿宋" w:cs="宋体"/>
                <w:color w:val="auto"/>
                <w:kern w:val="2"/>
                <w:sz w:val="24"/>
                <w:szCs w:val="24"/>
                <w:highlight w:val="none"/>
              </w:rPr>
              <w:t>2.2.3</w:t>
            </w:r>
          </w:p>
        </w:tc>
        <w:tc>
          <w:tcPr>
            <w:tcW w:w="1786" w:type="dxa"/>
            <w:tcBorders>
              <w:top w:val="outset" w:color="auto" w:sz="6" w:space="0"/>
              <w:left w:val="outset" w:color="auto" w:sz="6" w:space="0"/>
              <w:bottom w:val="outset" w:color="auto" w:sz="6" w:space="0"/>
              <w:right w:val="outset" w:color="auto" w:sz="6" w:space="0"/>
            </w:tcBorders>
            <w:noWrap/>
            <w:vAlign w:val="center"/>
          </w:tcPr>
          <w:p w14:paraId="370D730F">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bCs/>
                <w:color w:val="auto"/>
                <w:kern w:val="0"/>
                <w:sz w:val="24"/>
                <w:szCs w:val="24"/>
                <w:highlight w:val="none"/>
              </w:rPr>
            </w:pP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确认收到</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文件澄清的时间</w:t>
            </w:r>
          </w:p>
        </w:tc>
        <w:tc>
          <w:tcPr>
            <w:tcW w:w="6631" w:type="dxa"/>
            <w:tcBorders>
              <w:top w:val="outset" w:color="auto" w:sz="6" w:space="0"/>
              <w:left w:val="outset" w:color="auto" w:sz="6" w:space="0"/>
              <w:bottom w:val="outset" w:color="auto" w:sz="6" w:space="0"/>
              <w:right w:val="outset" w:color="auto" w:sz="6" w:space="0"/>
            </w:tcBorders>
            <w:noWrap/>
            <w:vAlign w:val="center"/>
          </w:tcPr>
          <w:p w14:paraId="062F6C27">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sz w:val="24"/>
                <w:szCs w:val="24"/>
                <w:highlight w:val="none"/>
              </w:rPr>
            </w:pPr>
            <w:r>
              <w:rPr>
                <w:rFonts w:hint="eastAsia" w:ascii="仿宋" w:hAnsi="仿宋" w:eastAsia="仿宋" w:cs="黑体"/>
                <w:color w:val="auto"/>
                <w:kern w:val="2"/>
                <w:sz w:val="24"/>
                <w:szCs w:val="24"/>
                <w:highlight w:val="none"/>
                <w:lang w:val="en-US" w:eastAsia="zh-CN"/>
              </w:rPr>
              <w:t>投标人自行查阅招标文件澄清内容，无须回复确认已收到该澄清。</w:t>
            </w:r>
          </w:p>
        </w:tc>
      </w:tr>
      <w:tr w14:paraId="2E99D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27D2211F">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bCs/>
                <w:color w:val="auto"/>
                <w:sz w:val="24"/>
                <w:szCs w:val="24"/>
                <w:highlight w:val="none"/>
              </w:rPr>
            </w:pPr>
            <w:r>
              <w:rPr>
                <w:rFonts w:hint="default" w:ascii="仿宋" w:hAnsi="仿宋" w:eastAsia="仿宋" w:cs="宋体"/>
                <w:color w:val="auto"/>
                <w:kern w:val="2"/>
                <w:sz w:val="24"/>
                <w:szCs w:val="24"/>
                <w:highlight w:val="none"/>
              </w:rPr>
              <w:t>2.3.2</w:t>
            </w:r>
          </w:p>
        </w:tc>
        <w:tc>
          <w:tcPr>
            <w:tcW w:w="1786" w:type="dxa"/>
            <w:tcBorders>
              <w:top w:val="outset" w:color="auto" w:sz="6" w:space="0"/>
              <w:left w:val="outset" w:color="auto" w:sz="6" w:space="0"/>
              <w:bottom w:val="outset" w:color="auto" w:sz="6" w:space="0"/>
              <w:right w:val="outset" w:color="auto" w:sz="6" w:space="0"/>
            </w:tcBorders>
            <w:noWrap/>
            <w:vAlign w:val="center"/>
          </w:tcPr>
          <w:p w14:paraId="3D47B473">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bCs/>
                <w:color w:val="auto"/>
                <w:kern w:val="0"/>
                <w:sz w:val="24"/>
                <w:szCs w:val="24"/>
                <w:highlight w:val="none"/>
              </w:rPr>
            </w:pP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确认收到</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文件修改的时间</w:t>
            </w:r>
          </w:p>
        </w:tc>
        <w:tc>
          <w:tcPr>
            <w:tcW w:w="6631" w:type="dxa"/>
            <w:tcBorders>
              <w:top w:val="outset" w:color="auto" w:sz="6" w:space="0"/>
              <w:left w:val="outset" w:color="auto" w:sz="6" w:space="0"/>
              <w:bottom w:val="outset" w:color="auto" w:sz="6" w:space="0"/>
              <w:right w:val="outset" w:color="auto" w:sz="6" w:space="0"/>
            </w:tcBorders>
            <w:noWrap/>
            <w:vAlign w:val="center"/>
          </w:tcPr>
          <w:p w14:paraId="371569A9">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b/>
                <w:color w:val="auto"/>
                <w:sz w:val="24"/>
                <w:szCs w:val="24"/>
                <w:highlight w:val="none"/>
              </w:rPr>
            </w:pPr>
            <w:r>
              <w:rPr>
                <w:rFonts w:hint="eastAsia" w:ascii="仿宋" w:hAnsi="仿宋" w:eastAsia="仿宋" w:cs="黑体"/>
                <w:color w:val="auto"/>
                <w:kern w:val="2"/>
                <w:sz w:val="24"/>
                <w:szCs w:val="24"/>
                <w:highlight w:val="none"/>
                <w:lang w:val="en-US" w:eastAsia="zh-CN"/>
              </w:rPr>
              <w:t>投标人自行查阅招标文件澄清内容，无须回复确认已收到该澄清。</w:t>
            </w:r>
          </w:p>
        </w:tc>
      </w:tr>
      <w:tr w14:paraId="7DED9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32226302">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bCs/>
                <w:color w:val="auto"/>
                <w:sz w:val="24"/>
                <w:szCs w:val="24"/>
                <w:highlight w:val="none"/>
              </w:rPr>
            </w:pPr>
            <w:r>
              <w:rPr>
                <w:rFonts w:hint="default" w:ascii="仿宋" w:hAnsi="仿宋" w:eastAsia="仿宋" w:cs="宋体"/>
                <w:color w:val="auto"/>
                <w:kern w:val="2"/>
                <w:sz w:val="24"/>
                <w:szCs w:val="24"/>
                <w:highlight w:val="none"/>
              </w:rPr>
              <w:t>3.2.1</w:t>
            </w:r>
          </w:p>
        </w:tc>
        <w:tc>
          <w:tcPr>
            <w:tcW w:w="1786" w:type="dxa"/>
            <w:tcBorders>
              <w:top w:val="outset" w:color="auto" w:sz="6" w:space="0"/>
              <w:left w:val="outset" w:color="auto" w:sz="6" w:space="0"/>
              <w:bottom w:val="outset" w:color="auto" w:sz="6" w:space="0"/>
              <w:right w:val="outset" w:color="auto" w:sz="6" w:space="0"/>
            </w:tcBorders>
            <w:noWrap/>
            <w:vAlign w:val="center"/>
          </w:tcPr>
          <w:p w14:paraId="76F24554">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bCs/>
                <w:color w:val="auto"/>
                <w:kern w:val="0"/>
                <w:sz w:val="24"/>
                <w:szCs w:val="24"/>
                <w:highlight w:val="none"/>
              </w:rPr>
            </w:pPr>
            <w:r>
              <w:rPr>
                <w:rFonts w:hint="eastAsia" w:ascii="仿宋" w:hAnsi="仿宋" w:eastAsia="仿宋" w:cs="宋体"/>
                <w:color w:val="auto"/>
                <w:kern w:val="2"/>
                <w:sz w:val="24"/>
                <w:szCs w:val="24"/>
                <w:highlight w:val="none"/>
              </w:rPr>
              <w:t>投标报价方式</w:t>
            </w:r>
          </w:p>
        </w:tc>
        <w:tc>
          <w:tcPr>
            <w:tcW w:w="6631" w:type="dxa"/>
            <w:tcBorders>
              <w:top w:val="outset" w:color="auto" w:sz="6" w:space="0"/>
              <w:left w:val="outset" w:color="auto" w:sz="6" w:space="0"/>
              <w:bottom w:val="outset" w:color="auto" w:sz="6" w:space="0"/>
              <w:right w:val="outset" w:color="auto" w:sz="6" w:space="0"/>
            </w:tcBorders>
            <w:noWrap/>
            <w:vAlign w:val="center"/>
          </w:tcPr>
          <w:p w14:paraId="75D447A3">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采用</w:t>
            </w:r>
            <w:r>
              <w:rPr>
                <w:rFonts w:hint="eastAsia" w:ascii="仿宋" w:hAnsi="仿宋" w:eastAsia="仿宋" w:cs="宋体"/>
                <w:color w:val="auto"/>
                <w:kern w:val="2"/>
                <w:sz w:val="24"/>
                <w:szCs w:val="24"/>
                <w:highlight w:val="none"/>
              </w:rPr>
              <w:t>总价报价的方式，应包括</w:t>
            </w: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完成本项目招标范围工作的全部费用（包括但不限于管理费用、规费、税费</w:t>
            </w:r>
            <w:r>
              <w:rPr>
                <w:rFonts w:hint="eastAsia" w:ascii="仿宋" w:hAnsi="仿宋" w:eastAsia="仿宋" w:cs="宋体"/>
                <w:color w:val="auto"/>
                <w:kern w:val="2"/>
                <w:sz w:val="24"/>
                <w:szCs w:val="24"/>
                <w:highlight w:val="none"/>
                <w:lang w:eastAsia="zh-CN"/>
              </w:rPr>
              <w:t>等</w:t>
            </w:r>
            <w:r>
              <w:rPr>
                <w:rFonts w:hint="eastAsia" w:ascii="仿宋" w:hAnsi="仿宋" w:eastAsia="仿宋" w:cs="宋体"/>
                <w:color w:val="auto"/>
                <w:kern w:val="2"/>
                <w:sz w:val="24"/>
                <w:szCs w:val="24"/>
                <w:highlight w:val="none"/>
              </w:rPr>
              <w:t>）</w:t>
            </w:r>
            <w:r>
              <w:rPr>
                <w:rFonts w:hint="eastAsia" w:ascii="仿宋" w:hAnsi="仿宋" w:eastAsia="仿宋" w:cs="宋体"/>
                <w:color w:val="auto"/>
                <w:kern w:val="2"/>
                <w:sz w:val="24"/>
                <w:szCs w:val="24"/>
                <w:highlight w:val="none"/>
                <w:lang w:eastAsia="zh-CN"/>
              </w:rPr>
              <w:t>，包括</w:t>
            </w:r>
            <w:r>
              <w:rPr>
                <w:rFonts w:hint="eastAsia" w:ascii="仿宋" w:hAnsi="仿宋" w:eastAsia="仿宋" w:cs="仿宋"/>
                <w:color w:val="auto"/>
                <w:sz w:val="24"/>
                <w:szCs w:val="24"/>
                <w:highlight w:val="none"/>
                <w:lang w:val="en-US" w:eastAsia="zh-CN"/>
              </w:rPr>
              <w:t>成果清单及土壤图野外踏勘校核接边和成果验收费用。</w:t>
            </w:r>
            <w:r>
              <w:rPr>
                <w:rFonts w:hint="eastAsia" w:ascii="仿宋" w:hAnsi="仿宋" w:eastAsia="仿宋" w:cs="宋体"/>
                <w:color w:val="auto"/>
                <w:kern w:val="2"/>
                <w:sz w:val="24"/>
                <w:szCs w:val="24"/>
                <w:highlight w:val="none"/>
                <w:lang w:val="en-US"/>
              </w:rPr>
              <w:t>合同一旦签订，此价格在合同实施期间将不因市场价格等的变化而调整</w:t>
            </w:r>
            <w:r>
              <w:rPr>
                <w:rFonts w:hint="eastAsia" w:ascii="仿宋" w:hAnsi="仿宋" w:eastAsia="仿宋" w:cs="宋体"/>
                <w:color w:val="auto"/>
                <w:kern w:val="2"/>
                <w:sz w:val="24"/>
                <w:szCs w:val="24"/>
                <w:highlight w:val="none"/>
                <w:lang w:val="en-US" w:eastAsia="zh-CN"/>
              </w:rPr>
              <w:t>，</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人不再</w:t>
            </w:r>
            <w:r>
              <w:rPr>
                <w:rFonts w:hint="eastAsia" w:ascii="仿宋" w:hAnsi="仿宋" w:eastAsia="仿宋" w:cs="宋体"/>
                <w:color w:val="auto"/>
                <w:kern w:val="2"/>
                <w:sz w:val="24"/>
                <w:szCs w:val="24"/>
                <w:highlight w:val="none"/>
              </w:rPr>
              <w:t>单独支付任何其他费用。</w:t>
            </w:r>
          </w:p>
        </w:tc>
      </w:tr>
      <w:tr w14:paraId="18EFE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0C90DD44">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3.3.1</w:t>
            </w:r>
          </w:p>
        </w:tc>
        <w:tc>
          <w:tcPr>
            <w:tcW w:w="1786" w:type="dxa"/>
            <w:tcBorders>
              <w:top w:val="outset" w:color="auto" w:sz="6" w:space="0"/>
              <w:left w:val="outset" w:color="auto" w:sz="6" w:space="0"/>
              <w:bottom w:val="outset" w:color="auto" w:sz="6" w:space="0"/>
              <w:right w:val="outset" w:color="auto" w:sz="6" w:space="0"/>
            </w:tcBorders>
            <w:noWrap/>
            <w:vAlign w:val="center"/>
          </w:tcPr>
          <w:p w14:paraId="34D3C46F">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投标有效期</w:t>
            </w:r>
          </w:p>
        </w:tc>
        <w:tc>
          <w:tcPr>
            <w:tcW w:w="6631" w:type="dxa"/>
            <w:tcBorders>
              <w:top w:val="outset" w:color="auto" w:sz="6" w:space="0"/>
              <w:left w:val="outset" w:color="auto" w:sz="6" w:space="0"/>
              <w:bottom w:val="outset" w:color="auto" w:sz="6" w:space="0"/>
              <w:right w:val="outset" w:color="auto" w:sz="6" w:space="0"/>
            </w:tcBorders>
            <w:noWrap/>
            <w:vAlign w:val="center"/>
          </w:tcPr>
          <w:p w14:paraId="34921B0C">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90</w:t>
            </w:r>
            <w:r>
              <w:rPr>
                <w:rFonts w:hint="eastAsia" w:ascii="仿宋" w:hAnsi="仿宋" w:eastAsia="仿宋" w:cs="宋体"/>
                <w:color w:val="auto"/>
                <w:kern w:val="2"/>
                <w:sz w:val="24"/>
                <w:szCs w:val="24"/>
                <w:highlight w:val="none"/>
              </w:rPr>
              <w:t>日历天，从投标截止之日算起。</w:t>
            </w:r>
          </w:p>
        </w:tc>
      </w:tr>
      <w:tr w14:paraId="5C27F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533FF5A3">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3.4.1</w:t>
            </w:r>
          </w:p>
        </w:tc>
        <w:tc>
          <w:tcPr>
            <w:tcW w:w="1786" w:type="dxa"/>
            <w:tcBorders>
              <w:top w:val="outset" w:color="auto" w:sz="6" w:space="0"/>
              <w:left w:val="outset" w:color="auto" w:sz="6" w:space="0"/>
              <w:bottom w:val="outset" w:color="auto" w:sz="6" w:space="0"/>
              <w:right w:val="outset" w:color="auto" w:sz="6" w:space="0"/>
            </w:tcBorders>
            <w:noWrap/>
            <w:vAlign w:val="center"/>
          </w:tcPr>
          <w:p w14:paraId="37B73969">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投标保证金</w:t>
            </w:r>
          </w:p>
        </w:tc>
        <w:tc>
          <w:tcPr>
            <w:tcW w:w="6631" w:type="dxa"/>
            <w:tcBorders>
              <w:top w:val="outset" w:color="auto" w:sz="6" w:space="0"/>
              <w:left w:val="outset" w:color="auto" w:sz="6" w:space="0"/>
              <w:bottom w:val="outset" w:color="auto" w:sz="6" w:space="0"/>
              <w:right w:val="outset" w:color="auto" w:sz="6" w:space="0"/>
            </w:tcBorders>
            <w:noWrap/>
            <w:vAlign w:val="center"/>
          </w:tcPr>
          <w:p w14:paraId="23B37E07">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right="0"/>
              <w:jc w:val="both"/>
              <w:textAlignment w:val="auto"/>
              <w:rPr>
                <w:rFonts w:hint="eastAsia" w:ascii="仿宋" w:hAnsi="仿宋" w:eastAsia="仿宋" w:cs="宋体"/>
                <w:color w:val="auto"/>
                <w:kern w:val="2"/>
                <w:sz w:val="24"/>
                <w:szCs w:val="24"/>
                <w:highlight w:val="none"/>
                <w:lang w:eastAsia="zh-CN"/>
              </w:rPr>
            </w:pPr>
            <w:r>
              <w:rPr>
                <w:rFonts w:hint="eastAsia" w:ascii="仿宋" w:hAnsi="仿宋" w:eastAsia="仿宋" w:cs="宋体"/>
                <w:color w:val="auto"/>
                <w:kern w:val="2"/>
                <w:sz w:val="24"/>
                <w:szCs w:val="24"/>
                <w:highlight w:val="none"/>
                <w:lang w:eastAsia="zh-CN"/>
              </w:rPr>
              <w:t>是否要求投标人递交投标保证金：</w:t>
            </w:r>
          </w:p>
          <w:p w14:paraId="629B28F5">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lang w:eastAsia="zh-CN"/>
              </w:rPr>
              <w:t>■不要求</w:t>
            </w:r>
          </w:p>
        </w:tc>
      </w:tr>
      <w:tr w14:paraId="3EAAC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2D31E03A">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3.4.3</w:t>
            </w:r>
          </w:p>
        </w:tc>
        <w:tc>
          <w:tcPr>
            <w:tcW w:w="1786" w:type="dxa"/>
            <w:tcBorders>
              <w:top w:val="outset" w:color="auto" w:sz="6" w:space="0"/>
              <w:left w:val="outset" w:color="auto" w:sz="6" w:space="0"/>
              <w:bottom w:val="outset" w:color="auto" w:sz="6" w:space="0"/>
              <w:right w:val="outset" w:color="auto" w:sz="6" w:space="0"/>
            </w:tcBorders>
            <w:noWrap/>
            <w:vAlign w:val="center"/>
          </w:tcPr>
          <w:p w14:paraId="04C32F0D">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投标保证金的退还</w:t>
            </w:r>
          </w:p>
        </w:tc>
        <w:tc>
          <w:tcPr>
            <w:tcW w:w="6631" w:type="dxa"/>
            <w:tcBorders>
              <w:top w:val="outset" w:color="auto" w:sz="6" w:space="0"/>
              <w:left w:val="outset" w:color="auto" w:sz="6" w:space="0"/>
              <w:bottom w:val="outset" w:color="auto" w:sz="6" w:space="0"/>
              <w:right w:val="outset" w:color="auto" w:sz="6" w:space="0"/>
            </w:tcBorders>
            <w:noWrap/>
            <w:vAlign w:val="center"/>
          </w:tcPr>
          <w:p w14:paraId="23472EC2">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textAlignment w:val="auto"/>
              <w:rPr>
                <w:rFonts w:hint="eastAsia" w:ascii="仿宋" w:hAnsi="仿宋" w:eastAsia="仿宋" w:cs="仿宋"/>
                <w:bCs/>
                <w:color w:val="auto"/>
                <w:sz w:val="24"/>
                <w:szCs w:val="24"/>
                <w:highlight w:val="none"/>
              </w:rPr>
            </w:pPr>
            <w:r>
              <w:rPr>
                <w:rFonts w:hint="eastAsia" w:ascii="仿宋" w:hAnsi="仿宋" w:eastAsia="仿宋" w:cs="宋体"/>
                <w:color w:val="auto"/>
                <w:kern w:val="2"/>
                <w:sz w:val="24"/>
                <w:szCs w:val="24"/>
                <w:highlight w:val="none"/>
                <w:lang w:val="en-US" w:eastAsia="zh-CN"/>
              </w:rPr>
              <w:t>/</w:t>
            </w:r>
          </w:p>
        </w:tc>
      </w:tr>
      <w:tr w14:paraId="1DC7A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79B8DD2F">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3.6</w:t>
            </w:r>
          </w:p>
        </w:tc>
        <w:tc>
          <w:tcPr>
            <w:tcW w:w="1786" w:type="dxa"/>
            <w:tcBorders>
              <w:top w:val="outset" w:color="auto" w:sz="6" w:space="0"/>
              <w:left w:val="outset" w:color="auto" w:sz="6" w:space="0"/>
              <w:bottom w:val="outset" w:color="auto" w:sz="6" w:space="0"/>
              <w:right w:val="outset" w:color="auto" w:sz="6" w:space="0"/>
            </w:tcBorders>
            <w:noWrap/>
            <w:vAlign w:val="center"/>
          </w:tcPr>
          <w:p w14:paraId="595221D7">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是否允许递交备选投标方案</w:t>
            </w:r>
          </w:p>
        </w:tc>
        <w:tc>
          <w:tcPr>
            <w:tcW w:w="6631" w:type="dxa"/>
            <w:tcBorders>
              <w:top w:val="outset" w:color="auto" w:sz="6" w:space="0"/>
              <w:left w:val="outset" w:color="auto" w:sz="6" w:space="0"/>
              <w:bottom w:val="outset" w:color="auto" w:sz="6" w:space="0"/>
              <w:right w:val="outset" w:color="auto" w:sz="6" w:space="0"/>
            </w:tcBorders>
            <w:noWrap/>
            <w:vAlign w:val="center"/>
          </w:tcPr>
          <w:p w14:paraId="15062040">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textAlignment w:val="auto"/>
              <w:rPr>
                <w:rFonts w:hint="default" w:ascii="仿宋" w:hAnsi="仿宋" w:eastAsia="仿宋" w:cs="仿宋"/>
                <w:color w:val="auto"/>
                <w:sz w:val="24"/>
                <w:szCs w:val="24"/>
                <w:highlight w:val="none"/>
                <w:lang w:val="en-US" w:eastAsia="zh-CN"/>
              </w:rPr>
            </w:pPr>
            <w:r>
              <w:rPr>
                <w:rFonts w:hint="eastAsia" w:ascii="仿宋" w:hAnsi="仿宋" w:eastAsia="仿宋" w:cs="宋体"/>
                <w:color w:val="auto"/>
                <w:kern w:val="2"/>
                <w:sz w:val="24"/>
                <w:szCs w:val="24"/>
                <w:highlight w:val="none"/>
              </w:rPr>
              <w:t>不允许</w:t>
            </w:r>
          </w:p>
        </w:tc>
      </w:tr>
      <w:tr w14:paraId="0E296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0493B209">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3.7.1</w:t>
            </w:r>
          </w:p>
        </w:tc>
        <w:tc>
          <w:tcPr>
            <w:tcW w:w="1786" w:type="dxa"/>
            <w:tcBorders>
              <w:top w:val="outset" w:color="auto" w:sz="6" w:space="0"/>
              <w:left w:val="outset" w:color="auto" w:sz="6" w:space="0"/>
              <w:bottom w:val="outset" w:color="auto" w:sz="6" w:space="0"/>
              <w:right w:val="outset" w:color="auto" w:sz="6" w:space="0"/>
            </w:tcBorders>
            <w:noWrap/>
            <w:vAlign w:val="center"/>
          </w:tcPr>
          <w:p w14:paraId="01187FC0">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投标文件格式</w:t>
            </w:r>
          </w:p>
        </w:tc>
        <w:tc>
          <w:tcPr>
            <w:tcW w:w="6631" w:type="dxa"/>
            <w:tcBorders>
              <w:top w:val="outset" w:color="auto" w:sz="6" w:space="0"/>
              <w:left w:val="outset" w:color="auto" w:sz="6" w:space="0"/>
              <w:bottom w:val="outset" w:color="auto" w:sz="6" w:space="0"/>
              <w:right w:val="outset" w:color="auto" w:sz="6" w:space="0"/>
            </w:tcBorders>
            <w:noWrap/>
            <w:vAlign w:val="center"/>
          </w:tcPr>
          <w:p w14:paraId="41B041D8">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right="0"/>
              <w:jc w:val="both"/>
              <w:textAlignment w:val="auto"/>
              <w:rPr>
                <w:rFonts w:hint="eastAsia" w:ascii="仿宋" w:hAnsi="仿宋" w:eastAsia="仿宋" w:cs="宋体"/>
                <w:color w:val="auto"/>
                <w:kern w:val="2"/>
                <w:sz w:val="24"/>
                <w:szCs w:val="24"/>
                <w:highlight w:val="none"/>
                <w:lang w:eastAsia="zh-CN"/>
              </w:rPr>
            </w:pPr>
            <w:r>
              <w:rPr>
                <w:rFonts w:hint="eastAsia" w:ascii="仿宋" w:hAnsi="仿宋" w:eastAsia="仿宋" w:cs="宋体"/>
                <w:color w:val="auto"/>
                <w:kern w:val="2"/>
                <w:sz w:val="24"/>
                <w:szCs w:val="24"/>
                <w:highlight w:val="none"/>
                <w:lang w:eastAsia="zh-CN"/>
              </w:rPr>
              <w:t>（</w:t>
            </w:r>
            <w:r>
              <w:rPr>
                <w:rFonts w:hint="eastAsia" w:ascii="仿宋" w:hAnsi="仿宋" w:eastAsia="仿宋" w:cs="宋体"/>
                <w:color w:val="auto"/>
                <w:kern w:val="2"/>
                <w:sz w:val="24"/>
                <w:szCs w:val="24"/>
                <w:highlight w:val="none"/>
                <w:lang w:val="en-US" w:eastAsia="zh-CN"/>
              </w:rPr>
              <w:t>1</w:t>
            </w:r>
            <w:r>
              <w:rPr>
                <w:rFonts w:hint="eastAsia" w:ascii="仿宋" w:hAnsi="仿宋" w:eastAsia="仿宋" w:cs="宋体"/>
                <w:color w:val="auto"/>
                <w:kern w:val="2"/>
                <w:sz w:val="24"/>
                <w:szCs w:val="24"/>
                <w:highlight w:val="none"/>
                <w:lang w:eastAsia="zh-CN"/>
              </w:rPr>
              <w:t>）电子投标文件必须使用政采云电子交易客户端制作，并生成电子签名的投标文件（必须对投标文件进行加密）。</w:t>
            </w:r>
          </w:p>
          <w:p w14:paraId="675F7D75">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lang w:eastAsia="zh-CN"/>
              </w:rPr>
              <w:t>（</w:t>
            </w:r>
            <w:r>
              <w:rPr>
                <w:rFonts w:hint="eastAsia" w:ascii="仿宋" w:hAnsi="仿宋" w:eastAsia="仿宋" w:cs="宋体"/>
                <w:color w:val="auto"/>
                <w:kern w:val="2"/>
                <w:sz w:val="24"/>
                <w:szCs w:val="24"/>
                <w:highlight w:val="none"/>
                <w:lang w:val="en-US" w:eastAsia="zh-CN"/>
              </w:rPr>
              <w:t>2</w:t>
            </w:r>
            <w:r>
              <w:rPr>
                <w:rFonts w:hint="eastAsia" w:ascii="仿宋" w:hAnsi="仿宋" w:eastAsia="仿宋" w:cs="宋体"/>
                <w:color w:val="auto"/>
                <w:kern w:val="2"/>
                <w:sz w:val="24"/>
                <w:szCs w:val="24"/>
                <w:highlight w:val="none"/>
                <w:lang w:eastAsia="zh-CN"/>
              </w:rPr>
              <w:t>）</w:t>
            </w:r>
            <w:r>
              <w:rPr>
                <w:rFonts w:hint="eastAsia" w:ascii="仿宋" w:hAnsi="仿宋" w:eastAsia="仿宋" w:cs="宋体"/>
                <w:color w:val="auto"/>
                <w:kern w:val="2"/>
                <w:sz w:val="24"/>
                <w:szCs w:val="24"/>
                <w:highlight w:val="none"/>
              </w:rPr>
              <w:t>投标人必须对电子投标文件进行加密并成功上传至</w:t>
            </w:r>
            <w:r>
              <w:rPr>
                <w:rFonts w:hint="eastAsia" w:ascii="仿宋" w:hAnsi="仿宋" w:eastAsia="仿宋" w:cs="宋体"/>
                <w:color w:val="auto"/>
                <w:kern w:val="2"/>
                <w:sz w:val="24"/>
                <w:szCs w:val="24"/>
                <w:highlight w:val="none"/>
                <w:lang w:val="en-US" w:eastAsia="zh-CN"/>
              </w:rPr>
              <w:t>政采云平台</w:t>
            </w:r>
            <w:r>
              <w:rPr>
                <w:rFonts w:hint="eastAsia" w:ascii="仿宋" w:hAnsi="仿宋" w:eastAsia="仿宋" w:cs="宋体"/>
                <w:color w:val="auto"/>
                <w:kern w:val="2"/>
                <w:sz w:val="24"/>
                <w:szCs w:val="24"/>
                <w:highlight w:val="none"/>
              </w:rPr>
              <w:t>。</w:t>
            </w:r>
          </w:p>
        </w:tc>
      </w:tr>
      <w:tr w14:paraId="0558D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14CFDC3A">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3.7.3</w:t>
            </w:r>
          </w:p>
        </w:tc>
        <w:tc>
          <w:tcPr>
            <w:tcW w:w="1786" w:type="dxa"/>
            <w:tcBorders>
              <w:top w:val="outset" w:color="auto" w:sz="6" w:space="0"/>
              <w:left w:val="outset" w:color="auto" w:sz="6" w:space="0"/>
              <w:bottom w:val="outset" w:color="auto" w:sz="6" w:space="0"/>
              <w:right w:val="outset" w:color="auto" w:sz="6" w:space="0"/>
            </w:tcBorders>
            <w:noWrap/>
            <w:vAlign w:val="center"/>
          </w:tcPr>
          <w:p w14:paraId="06FE0A5F">
            <w:pPr>
              <w:keepNext w:val="0"/>
              <w:keepLines w:val="0"/>
              <w:pageBreakBefore w:val="0"/>
              <w:widowControl w:val="0"/>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投标文件的签署</w:t>
            </w:r>
          </w:p>
        </w:tc>
        <w:tc>
          <w:tcPr>
            <w:tcW w:w="6631" w:type="dxa"/>
            <w:tcBorders>
              <w:top w:val="outset" w:color="auto" w:sz="6" w:space="0"/>
              <w:left w:val="outset" w:color="auto" w:sz="6" w:space="0"/>
              <w:bottom w:val="outset" w:color="auto" w:sz="6" w:space="0"/>
              <w:right w:val="outset" w:color="auto" w:sz="6" w:space="0"/>
            </w:tcBorders>
            <w:noWrap/>
            <w:vAlign w:val="center"/>
          </w:tcPr>
          <w:p w14:paraId="47AF160E">
            <w:pPr>
              <w:keepNext w:val="0"/>
              <w:keepLines w:val="0"/>
              <w:pageBreakBefore w:val="0"/>
              <w:widowControl w:val="0"/>
              <w:suppressLineNumbers w:val="0"/>
              <w:kinsoku/>
              <w:overflowPunct/>
              <w:topLinePunct w:val="0"/>
              <w:autoSpaceDN/>
              <w:bidi w:val="0"/>
              <w:adjustRightInd/>
              <w:spacing w:before="0" w:beforeAutospacing="0" w:after="0" w:afterAutospacing="0" w:line="480" w:lineRule="exact"/>
              <w:ind w:left="0" w:right="0"/>
              <w:jc w:val="both"/>
              <w:textAlignment w:val="auto"/>
              <w:rPr>
                <w:rFonts w:hint="default"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应按照投标文件格式，在需要电子签章的地方采用单位数字证书（CA）、法定代表人（或委托代理人）的个人数字证书（CA）进行电子签章。</w:t>
            </w:r>
          </w:p>
          <w:p w14:paraId="124694C3">
            <w:pPr>
              <w:keepNext w:val="0"/>
              <w:keepLines w:val="0"/>
              <w:pageBreakBefore w:val="0"/>
              <w:widowControl w:val="0"/>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注：投标文件中法定代表人及委托代理人的签字笔迹应尽量保持一致（包括授权委托书），若因签字笔迹差异过大，经评标委员评审后认为投标文件由未经授权的人员签署，存在投标文件未按规定签字盖章的情形判定投标文件无效时，其后果由</w:t>
            </w: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自行承担。</w:t>
            </w:r>
          </w:p>
        </w:tc>
      </w:tr>
      <w:tr w14:paraId="56049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73E1ABEF">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3.7.4</w:t>
            </w:r>
          </w:p>
        </w:tc>
        <w:tc>
          <w:tcPr>
            <w:tcW w:w="1786" w:type="dxa"/>
            <w:tcBorders>
              <w:top w:val="outset" w:color="auto" w:sz="6" w:space="0"/>
              <w:left w:val="outset" w:color="auto" w:sz="6" w:space="0"/>
              <w:bottom w:val="outset" w:color="auto" w:sz="6" w:space="0"/>
              <w:right w:val="outset" w:color="auto" w:sz="6" w:space="0"/>
            </w:tcBorders>
            <w:noWrap/>
            <w:vAlign w:val="center"/>
          </w:tcPr>
          <w:p w14:paraId="11960FB1">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投标文件递交及有关内容</w:t>
            </w:r>
          </w:p>
        </w:tc>
        <w:tc>
          <w:tcPr>
            <w:tcW w:w="6631" w:type="dxa"/>
            <w:tcBorders>
              <w:top w:val="outset" w:color="auto" w:sz="6" w:space="0"/>
              <w:left w:val="outset" w:color="auto" w:sz="6" w:space="0"/>
              <w:bottom w:val="outset" w:color="auto" w:sz="6" w:space="0"/>
              <w:right w:val="outset" w:color="auto" w:sz="6" w:space="0"/>
            </w:tcBorders>
            <w:noWrap/>
            <w:vAlign w:val="center"/>
          </w:tcPr>
          <w:p w14:paraId="4942DFE6">
            <w:pPr>
              <w:pStyle w:val="656"/>
              <w:keepNext w:val="0"/>
              <w:keepLines w:val="0"/>
              <w:pageBreakBefore w:val="0"/>
              <w:widowControl/>
              <w:suppressLineNumbers w:val="0"/>
              <w:kinsoku/>
              <w:overflowPunct/>
              <w:topLinePunct w:val="0"/>
              <w:autoSpaceDE w:val="0"/>
              <w:autoSpaceDN/>
              <w:bidi w:val="0"/>
              <w:adjustRightInd/>
              <w:spacing w:before="0" w:beforeAutospacing="0" w:after="0" w:afterAutospacing="0" w:line="480" w:lineRule="exact"/>
              <w:ind w:left="0" w:right="0" w:firstLine="0" w:firstLineChars="0"/>
              <w:textAlignment w:val="auto"/>
              <w:rPr>
                <w:rFonts w:hint="default" w:ascii="仿宋" w:hAnsi="仿宋" w:eastAsia="仿宋"/>
                <w:color w:val="auto"/>
                <w:kern w:val="0"/>
                <w:sz w:val="24"/>
                <w:szCs w:val="24"/>
                <w:highlight w:val="none"/>
                <w:u w:val="single"/>
              </w:rPr>
            </w:pPr>
            <w:r>
              <w:rPr>
                <w:rFonts w:hint="eastAsia" w:ascii="仿宋" w:hAnsi="仿宋" w:eastAsia="仿宋"/>
                <w:color w:val="auto"/>
                <w:kern w:val="0"/>
                <w:sz w:val="24"/>
                <w:szCs w:val="24"/>
                <w:highlight w:val="none"/>
              </w:rPr>
              <w:t>截止时间：</w:t>
            </w:r>
            <w:r>
              <w:rPr>
                <w:rFonts w:hint="eastAsia" w:ascii="仿宋" w:hAnsi="仿宋" w:eastAsia="仿宋"/>
                <w:b/>
                <w:bCs/>
                <w:color w:val="auto"/>
                <w:kern w:val="0"/>
                <w:sz w:val="24"/>
                <w:szCs w:val="24"/>
                <w:highlight w:val="none"/>
                <w:u w:val="single"/>
              </w:rPr>
              <w:t>202</w:t>
            </w:r>
            <w:r>
              <w:rPr>
                <w:rFonts w:hint="eastAsia" w:ascii="仿宋" w:hAnsi="仿宋" w:eastAsia="仿宋"/>
                <w:b/>
                <w:bCs/>
                <w:color w:val="auto"/>
                <w:kern w:val="0"/>
                <w:sz w:val="24"/>
                <w:szCs w:val="24"/>
                <w:highlight w:val="none"/>
                <w:u w:val="single"/>
                <w:lang w:val="en-US" w:eastAsia="zh-CN"/>
              </w:rPr>
              <w:t>5</w:t>
            </w:r>
            <w:r>
              <w:rPr>
                <w:rFonts w:hint="eastAsia" w:ascii="仿宋" w:hAnsi="仿宋" w:eastAsia="仿宋"/>
                <w:b/>
                <w:bCs/>
                <w:color w:val="auto"/>
                <w:kern w:val="0"/>
                <w:sz w:val="24"/>
                <w:szCs w:val="24"/>
                <w:highlight w:val="none"/>
                <w:u w:val="single"/>
              </w:rPr>
              <w:t>年0</w:t>
            </w:r>
            <w:r>
              <w:rPr>
                <w:rFonts w:hint="eastAsia" w:ascii="仿宋" w:hAnsi="仿宋" w:eastAsia="仿宋"/>
                <w:b/>
                <w:bCs/>
                <w:color w:val="auto"/>
                <w:kern w:val="0"/>
                <w:sz w:val="24"/>
                <w:szCs w:val="24"/>
                <w:highlight w:val="none"/>
                <w:u w:val="single"/>
                <w:lang w:val="en-US" w:eastAsia="zh-CN"/>
              </w:rPr>
              <w:t>4</w:t>
            </w:r>
            <w:r>
              <w:rPr>
                <w:rFonts w:hint="eastAsia" w:ascii="仿宋" w:hAnsi="仿宋" w:eastAsia="仿宋"/>
                <w:b/>
                <w:bCs/>
                <w:color w:val="auto"/>
                <w:kern w:val="0"/>
                <w:sz w:val="24"/>
                <w:szCs w:val="24"/>
                <w:highlight w:val="none"/>
                <w:u w:val="single"/>
              </w:rPr>
              <w:t>月</w:t>
            </w:r>
            <w:r>
              <w:rPr>
                <w:rFonts w:hint="eastAsia" w:ascii="仿宋" w:hAnsi="仿宋" w:eastAsia="仿宋"/>
                <w:b/>
                <w:bCs/>
                <w:color w:val="auto"/>
                <w:kern w:val="0"/>
                <w:sz w:val="24"/>
                <w:szCs w:val="24"/>
                <w:highlight w:val="none"/>
                <w:u w:val="single"/>
                <w:lang w:val="en-US" w:eastAsia="zh-CN"/>
              </w:rPr>
              <w:t>08</w:t>
            </w:r>
            <w:r>
              <w:rPr>
                <w:rFonts w:hint="eastAsia" w:ascii="仿宋" w:hAnsi="仿宋" w:eastAsia="仿宋"/>
                <w:b/>
                <w:bCs/>
                <w:color w:val="auto"/>
                <w:kern w:val="0"/>
                <w:sz w:val="24"/>
                <w:szCs w:val="24"/>
                <w:highlight w:val="none"/>
                <w:u w:val="single"/>
              </w:rPr>
              <w:t>日</w:t>
            </w:r>
            <w:r>
              <w:rPr>
                <w:rFonts w:hint="eastAsia" w:ascii="仿宋" w:hAnsi="仿宋" w:eastAsia="仿宋"/>
                <w:b/>
                <w:bCs/>
                <w:color w:val="auto"/>
                <w:kern w:val="0"/>
                <w:sz w:val="24"/>
                <w:szCs w:val="24"/>
                <w:highlight w:val="none"/>
                <w:u w:val="single"/>
                <w:lang w:val="en-US" w:eastAsia="zh-CN"/>
              </w:rPr>
              <w:t>09</w:t>
            </w:r>
            <w:r>
              <w:rPr>
                <w:rFonts w:hint="eastAsia" w:ascii="仿宋" w:hAnsi="仿宋" w:eastAsia="仿宋"/>
                <w:b/>
                <w:bCs/>
                <w:color w:val="auto"/>
                <w:kern w:val="0"/>
                <w:sz w:val="24"/>
                <w:szCs w:val="24"/>
                <w:highlight w:val="none"/>
                <w:u w:val="single"/>
              </w:rPr>
              <w:t>时00分</w:t>
            </w:r>
          </w:p>
          <w:p w14:paraId="6373A564">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olor w:val="auto"/>
                <w:kern w:val="0"/>
                <w:sz w:val="24"/>
                <w:szCs w:val="24"/>
                <w:highlight w:val="none"/>
              </w:rPr>
              <w:t>递交</w:t>
            </w:r>
            <w:r>
              <w:rPr>
                <w:rFonts w:hint="eastAsia" w:ascii="仿宋" w:hAnsi="仿宋" w:eastAsia="仿宋"/>
                <w:color w:val="auto"/>
                <w:kern w:val="0"/>
                <w:sz w:val="24"/>
                <w:szCs w:val="24"/>
                <w:highlight w:val="none"/>
                <w:lang w:eastAsia="zh-CN"/>
              </w:rPr>
              <w:t>投标</w:t>
            </w:r>
            <w:r>
              <w:rPr>
                <w:rFonts w:hint="eastAsia" w:ascii="仿宋" w:hAnsi="仿宋" w:eastAsia="仿宋"/>
                <w:color w:val="auto"/>
                <w:kern w:val="0"/>
                <w:sz w:val="24"/>
                <w:szCs w:val="24"/>
                <w:highlight w:val="none"/>
              </w:rPr>
              <w:t>文件的地点：</w:t>
            </w:r>
            <w:r>
              <w:rPr>
                <w:rFonts w:hint="eastAsia" w:ascii="仿宋" w:hAnsi="仿宋" w:eastAsia="仿宋"/>
                <w:color w:val="auto"/>
                <w:kern w:val="0"/>
                <w:sz w:val="24"/>
                <w:szCs w:val="24"/>
                <w:highlight w:val="none"/>
                <w:lang w:eastAsia="zh-CN"/>
              </w:rPr>
              <w:t>投标</w:t>
            </w:r>
            <w:r>
              <w:rPr>
                <w:rFonts w:hint="eastAsia" w:ascii="仿宋" w:hAnsi="仿宋" w:eastAsia="仿宋" w:cs="仿宋"/>
                <w:color w:val="auto"/>
                <w:kern w:val="2"/>
                <w:sz w:val="24"/>
                <w:szCs w:val="24"/>
                <w:highlight w:val="none"/>
              </w:rPr>
              <w:t>文件应在“政采云”平台（http：//www.zcygov.cn）网上递交，</w:t>
            </w:r>
            <w:r>
              <w:rPr>
                <w:rFonts w:hint="eastAsia" w:ascii="仿宋" w:hAnsi="仿宋" w:eastAsia="仿宋" w:cs="仿宋"/>
                <w:color w:val="auto"/>
                <w:kern w:val="2"/>
                <w:sz w:val="24"/>
                <w:szCs w:val="24"/>
                <w:highlight w:val="none"/>
                <w:lang w:eastAsia="zh-CN"/>
              </w:rPr>
              <w:t>投标人</w:t>
            </w:r>
            <w:r>
              <w:rPr>
                <w:rFonts w:hint="eastAsia" w:ascii="仿宋" w:hAnsi="仿宋" w:eastAsia="仿宋" w:cs="仿宋"/>
                <w:color w:val="auto"/>
                <w:kern w:val="2"/>
                <w:sz w:val="24"/>
                <w:szCs w:val="24"/>
                <w:highlight w:val="none"/>
              </w:rPr>
              <w:t>须在递交</w:t>
            </w:r>
            <w:r>
              <w:rPr>
                <w:rFonts w:hint="eastAsia" w:ascii="仿宋" w:hAnsi="仿宋" w:eastAsia="仿宋" w:cs="仿宋"/>
                <w:color w:val="auto"/>
                <w:kern w:val="2"/>
                <w:sz w:val="24"/>
                <w:szCs w:val="24"/>
                <w:highlight w:val="none"/>
                <w:lang w:eastAsia="zh-CN"/>
              </w:rPr>
              <w:t>投标</w:t>
            </w:r>
            <w:r>
              <w:rPr>
                <w:rFonts w:hint="eastAsia" w:ascii="仿宋" w:hAnsi="仿宋" w:eastAsia="仿宋" w:cs="仿宋"/>
                <w:color w:val="auto"/>
                <w:kern w:val="2"/>
                <w:sz w:val="24"/>
                <w:szCs w:val="24"/>
                <w:highlight w:val="none"/>
              </w:rPr>
              <w:t>文件截止时间前完成</w:t>
            </w:r>
            <w:r>
              <w:rPr>
                <w:rFonts w:hint="eastAsia" w:ascii="仿宋" w:hAnsi="仿宋" w:eastAsia="仿宋" w:cs="仿宋"/>
                <w:color w:val="auto"/>
                <w:kern w:val="2"/>
                <w:sz w:val="24"/>
                <w:szCs w:val="24"/>
                <w:highlight w:val="none"/>
                <w:lang w:eastAsia="zh-CN"/>
              </w:rPr>
              <w:t>投标</w:t>
            </w:r>
            <w:r>
              <w:rPr>
                <w:rFonts w:hint="eastAsia" w:ascii="仿宋" w:hAnsi="仿宋" w:eastAsia="仿宋" w:cs="仿宋"/>
                <w:color w:val="auto"/>
                <w:kern w:val="2"/>
                <w:sz w:val="24"/>
                <w:szCs w:val="24"/>
                <w:highlight w:val="none"/>
              </w:rPr>
              <w:t>文件的上传。</w:t>
            </w:r>
          </w:p>
        </w:tc>
      </w:tr>
      <w:tr w14:paraId="3BF13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3EBA1F1C">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3.7.5</w:t>
            </w:r>
          </w:p>
        </w:tc>
        <w:tc>
          <w:tcPr>
            <w:tcW w:w="1786" w:type="dxa"/>
            <w:tcBorders>
              <w:top w:val="outset" w:color="auto" w:sz="6" w:space="0"/>
              <w:left w:val="outset" w:color="auto" w:sz="6" w:space="0"/>
              <w:bottom w:val="outset" w:color="auto" w:sz="6" w:space="0"/>
              <w:right w:val="outset" w:color="auto" w:sz="6" w:space="0"/>
            </w:tcBorders>
            <w:noWrap/>
            <w:vAlign w:val="center"/>
          </w:tcPr>
          <w:p w14:paraId="6606555A">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投标文件的密封</w:t>
            </w:r>
          </w:p>
        </w:tc>
        <w:tc>
          <w:tcPr>
            <w:tcW w:w="6631" w:type="dxa"/>
            <w:tcBorders>
              <w:top w:val="outset" w:color="auto" w:sz="6" w:space="0"/>
              <w:left w:val="outset" w:color="auto" w:sz="6" w:space="0"/>
              <w:bottom w:val="outset" w:color="auto" w:sz="6" w:space="0"/>
              <w:right w:val="outset" w:color="auto" w:sz="6" w:space="0"/>
            </w:tcBorders>
            <w:noWrap/>
            <w:vAlign w:val="center"/>
          </w:tcPr>
          <w:p w14:paraId="53DD57BF">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网上递交的投标文件应使用数字证书进行加密；</w:t>
            </w:r>
          </w:p>
        </w:tc>
      </w:tr>
      <w:tr w14:paraId="2B9C0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0"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6E258286">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5.1</w:t>
            </w:r>
          </w:p>
        </w:tc>
        <w:tc>
          <w:tcPr>
            <w:tcW w:w="1786" w:type="dxa"/>
            <w:tcBorders>
              <w:top w:val="outset" w:color="auto" w:sz="6" w:space="0"/>
              <w:left w:val="outset" w:color="auto" w:sz="6" w:space="0"/>
              <w:bottom w:val="outset" w:color="auto" w:sz="6" w:space="0"/>
              <w:right w:val="outset" w:color="auto" w:sz="6" w:space="0"/>
            </w:tcBorders>
            <w:noWrap/>
            <w:vAlign w:val="center"/>
          </w:tcPr>
          <w:p w14:paraId="59E1B448">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开标时间和地点</w:t>
            </w:r>
          </w:p>
        </w:tc>
        <w:tc>
          <w:tcPr>
            <w:tcW w:w="6631" w:type="dxa"/>
            <w:tcBorders>
              <w:top w:val="outset" w:color="auto" w:sz="6" w:space="0"/>
              <w:left w:val="outset" w:color="auto" w:sz="6" w:space="0"/>
              <w:bottom w:val="outset" w:color="auto" w:sz="6" w:space="0"/>
              <w:right w:val="outset" w:color="auto" w:sz="6" w:space="0"/>
            </w:tcBorders>
            <w:noWrap/>
            <w:vAlign w:val="center"/>
          </w:tcPr>
          <w:p w14:paraId="5F7C406F">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开标时间：同投标截止时间</w:t>
            </w:r>
          </w:p>
          <w:p w14:paraId="2F0AAF8D">
            <w:pPr>
              <w:keepNext w:val="0"/>
              <w:keepLines w:val="0"/>
              <w:pageBreakBefore w:val="0"/>
              <w:widowControl/>
              <w:suppressLineNumbers w:val="0"/>
              <w:kinsoku/>
              <w:wordWrap w:val="0"/>
              <w:overflowPunct/>
              <w:topLinePunct w:val="0"/>
              <w:autoSpaceDN/>
              <w:bidi w:val="0"/>
              <w:adjustRightInd/>
              <w:spacing w:before="0" w:beforeAutospacing="0" w:after="0" w:afterAutospacing="0" w:line="480" w:lineRule="exact"/>
              <w:ind w:left="0" w:right="0"/>
              <w:jc w:val="left"/>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开标地点：</w:t>
            </w:r>
            <w:r>
              <w:rPr>
                <w:rFonts w:hint="eastAsia" w:ascii="仿宋" w:hAnsi="仿宋" w:eastAsia="仿宋" w:cs="黑体"/>
                <w:color w:val="auto"/>
                <w:kern w:val="0"/>
                <w:sz w:val="24"/>
                <w:szCs w:val="24"/>
                <w:highlight w:val="none"/>
                <w:lang w:val="en-US" w:eastAsia="zh-CN" w:bidi="ar"/>
              </w:rPr>
              <w:t>投标人应按照本项目招标文件和"政采云"平台的要求编制、加密后在提交投标文件截止时间前上传至"政采云"平台，投标文件提交截止时间前未完成投标文件上传的，视为撤回投标文件。投标人在"政采云"平台提交电子版投标文件时，请填写参加远程采购活动经办人联系方式。</w:t>
            </w:r>
          </w:p>
          <w:p w14:paraId="4DB3FDBD">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textAlignment w:val="auto"/>
              <w:rPr>
                <w:rFonts w:hint="eastAsia" w:ascii="仿宋" w:hAnsi="仿宋" w:eastAsia="仿宋" w:cs="仿宋"/>
                <w:b/>
                <w:bCs/>
                <w:color w:val="auto"/>
                <w:sz w:val="24"/>
                <w:szCs w:val="24"/>
                <w:highlight w:val="none"/>
              </w:rPr>
            </w:pPr>
            <w:r>
              <w:rPr>
                <w:rFonts w:hint="eastAsia" w:ascii="仿宋" w:hAnsi="仿宋" w:eastAsia="仿宋" w:cs="宋体"/>
                <w:color w:val="auto"/>
                <w:kern w:val="2"/>
                <w:sz w:val="24"/>
                <w:szCs w:val="24"/>
                <w:highlight w:val="none"/>
                <w:lang w:val="en-US" w:eastAsia="zh-CN"/>
              </w:rPr>
              <w:t>注：本项目采用网上智能开标远程解密方式，招标人不接受现场解密投标文件方式</w:t>
            </w:r>
          </w:p>
        </w:tc>
      </w:tr>
      <w:tr w14:paraId="1DA13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29E17075">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6.1.1</w:t>
            </w:r>
          </w:p>
        </w:tc>
        <w:tc>
          <w:tcPr>
            <w:tcW w:w="1786" w:type="dxa"/>
            <w:tcBorders>
              <w:top w:val="outset" w:color="auto" w:sz="6" w:space="0"/>
              <w:left w:val="outset" w:color="auto" w:sz="6" w:space="0"/>
              <w:bottom w:val="outset" w:color="auto" w:sz="6" w:space="0"/>
              <w:right w:val="outset" w:color="auto" w:sz="6" w:space="0"/>
            </w:tcBorders>
            <w:noWrap/>
            <w:vAlign w:val="center"/>
          </w:tcPr>
          <w:p w14:paraId="6E065797">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评标委员会的组建</w:t>
            </w:r>
          </w:p>
        </w:tc>
        <w:tc>
          <w:tcPr>
            <w:tcW w:w="6631" w:type="dxa"/>
            <w:tcBorders>
              <w:top w:val="outset" w:color="auto" w:sz="6" w:space="0"/>
              <w:left w:val="outset" w:color="auto" w:sz="6" w:space="0"/>
              <w:bottom w:val="outset" w:color="auto" w:sz="6" w:space="0"/>
              <w:right w:val="outset" w:color="auto" w:sz="6" w:space="0"/>
            </w:tcBorders>
            <w:noWrap/>
            <w:vAlign w:val="center"/>
          </w:tcPr>
          <w:p w14:paraId="238AFC82">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评标委员会构成：由</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人</w:t>
            </w:r>
            <w:r>
              <w:rPr>
                <w:rFonts w:hint="default" w:ascii="仿宋" w:hAnsi="仿宋" w:eastAsia="仿宋" w:cs="宋体"/>
                <w:color w:val="auto"/>
                <w:kern w:val="2"/>
                <w:sz w:val="24"/>
                <w:szCs w:val="24"/>
                <w:highlight w:val="none"/>
              </w:rPr>
              <w:t>代表</w:t>
            </w:r>
            <w:r>
              <w:rPr>
                <w:rFonts w:hint="eastAsia" w:ascii="仿宋" w:hAnsi="仿宋" w:eastAsia="仿宋" w:cs="宋体"/>
                <w:color w:val="auto"/>
                <w:kern w:val="2"/>
                <w:sz w:val="24"/>
                <w:szCs w:val="24"/>
                <w:highlight w:val="none"/>
                <w:lang w:val="en-US" w:eastAsia="zh-CN"/>
              </w:rPr>
              <w:t>1</w:t>
            </w:r>
            <w:r>
              <w:rPr>
                <w:rFonts w:hint="eastAsia" w:ascii="仿宋" w:hAnsi="仿宋" w:eastAsia="仿宋" w:cs="宋体"/>
                <w:color w:val="auto"/>
                <w:kern w:val="2"/>
                <w:sz w:val="24"/>
                <w:szCs w:val="24"/>
                <w:highlight w:val="none"/>
              </w:rPr>
              <w:t>人和</w:t>
            </w:r>
            <w:r>
              <w:rPr>
                <w:rFonts w:hint="eastAsia" w:ascii="仿宋" w:hAnsi="仿宋" w:eastAsia="仿宋" w:cs="宋体"/>
                <w:color w:val="auto"/>
                <w:kern w:val="2"/>
                <w:sz w:val="24"/>
                <w:szCs w:val="24"/>
                <w:highlight w:val="none"/>
                <w:lang w:val="en-US" w:eastAsia="zh-CN"/>
              </w:rPr>
              <w:t>4</w:t>
            </w:r>
            <w:r>
              <w:rPr>
                <w:rFonts w:hint="eastAsia" w:ascii="仿宋" w:hAnsi="仿宋" w:eastAsia="仿宋" w:cs="宋体"/>
                <w:color w:val="auto"/>
                <w:kern w:val="2"/>
                <w:sz w:val="24"/>
                <w:szCs w:val="24"/>
                <w:highlight w:val="none"/>
              </w:rPr>
              <w:t>名评审专家共</w:t>
            </w:r>
            <w:r>
              <w:rPr>
                <w:rFonts w:hint="eastAsia" w:ascii="仿宋" w:hAnsi="仿宋" w:eastAsia="仿宋" w:cs="宋体"/>
                <w:color w:val="auto"/>
                <w:kern w:val="2"/>
                <w:sz w:val="24"/>
                <w:szCs w:val="24"/>
                <w:highlight w:val="none"/>
                <w:lang w:val="en-US" w:eastAsia="zh-CN"/>
              </w:rPr>
              <w:t>5</w:t>
            </w:r>
            <w:r>
              <w:rPr>
                <w:rFonts w:hint="eastAsia" w:ascii="仿宋" w:hAnsi="仿宋" w:eastAsia="仿宋" w:cs="宋体"/>
                <w:color w:val="auto"/>
                <w:kern w:val="2"/>
                <w:sz w:val="24"/>
                <w:szCs w:val="24"/>
                <w:highlight w:val="none"/>
              </w:rPr>
              <w:t>人组成。</w:t>
            </w:r>
          </w:p>
        </w:tc>
      </w:tr>
      <w:tr w14:paraId="7B072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2450A95C">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6.3</w:t>
            </w:r>
          </w:p>
        </w:tc>
        <w:tc>
          <w:tcPr>
            <w:tcW w:w="1786" w:type="dxa"/>
            <w:tcBorders>
              <w:top w:val="outset" w:color="auto" w:sz="6" w:space="0"/>
              <w:left w:val="outset" w:color="auto" w:sz="6" w:space="0"/>
              <w:bottom w:val="outset" w:color="auto" w:sz="6" w:space="0"/>
              <w:right w:val="outset" w:color="auto" w:sz="6" w:space="0"/>
            </w:tcBorders>
            <w:noWrap/>
            <w:vAlign w:val="center"/>
          </w:tcPr>
          <w:p w14:paraId="12B97E8D">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评审办法</w:t>
            </w:r>
          </w:p>
        </w:tc>
        <w:tc>
          <w:tcPr>
            <w:tcW w:w="6631" w:type="dxa"/>
            <w:tcBorders>
              <w:top w:val="outset" w:color="auto" w:sz="6" w:space="0"/>
              <w:left w:val="outset" w:color="auto" w:sz="6" w:space="0"/>
              <w:bottom w:val="outset" w:color="auto" w:sz="6" w:space="0"/>
              <w:right w:val="outset" w:color="auto" w:sz="6" w:space="0"/>
            </w:tcBorders>
            <w:noWrap/>
            <w:vAlign w:val="center"/>
          </w:tcPr>
          <w:p w14:paraId="7C6CE126">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textAlignment w:val="auto"/>
              <w:rPr>
                <w:rFonts w:hint="eastAsia" w:ascii="仿宋" w:hAnsi="仿宋" w:eastAsia="仿宋" w:cs="仿宋"/>
                <w:b/>
                <w:color w:val="auto"/>
                <w:sz w:val="24"/>
                <w:szCs w:val="24"/>
                <w:highlight w:val="none"/>
              </w:rPr>
            </w:pPr>
            <w:r>
              <w:rPr>
                <w:rFonts w:hint="eastAsia" w:ascii="仿宋" w:hAnsi="仿宋" w:eastAsia="仿宋" w:cs="宋体"/>
                <w:color w:val="auto"/>
                <w:kern w:val="2"/>
                <w:sz w:val="24"/>
                <w:szCs w:val="24"/>
                <w:highlight w:val="none"/>
              </w:rPr>
              <w:t>综合评分法，详见</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文件第三章“评标办法”</w:t>
            </w:r>
          </w:p>
        </w:tc>
      </w:tr>
      <w:tr w14:paraId="6D1C4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6B3948E1">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7.1</w:t>
            </w:r>
          </w:p>
        </w:tc>
        <w:tc>
          <w:tcPr>
            <w:tcW w:w="1786" w:type="dxa"/>
            <w:tcBorders>
              <w:top w:val="outset" w:color="auto" w:sz="6" w:space="0"/>
              <w:left w:val="outset" w:color="auto" w:sz="6" w:space="0"/>
              <w:bottom w:val="outset" w:color="auto" w:sz="6" w:space="0"/>
              <w:right w:val="outset" w:color="auto" w:sz="6" w:space="0"/>
            </w:tcBorders>
            <w:noWrap/>
            <w:vAlign w:val="center"/>
          </w:tcPr>
          <w:p w14:paraId="7D91641F">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是否授权评标委员会确定中标人</w:t>
            </w:r>
          </w:p>
        </w:tc>
        <w:tc>
          <w:tcPr>
            <w:tcW w:w="6631" w:type="dxa"/>
            <w:tcBorders>
              <w:top w:val="outset" w:color="auto" w:sz="6" w:space="0"/>
              <w:left w:val="outset" w:color="auto" w:sz="6" w:space="0"/>
              <w:bottom w:val="outset" w:color="auto" w:sz="6" w:space="0"/>
              <w:right w:val="outset" w:color="auto" w:sz="6" w:space="0"/>
            </w:tcBorders>
            <w:noWrap/>
            <w:vAlign w:val="center"/>
          </w:tcPr>
          <w:p w14:paraId="74A89A09">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right="0"/>
              <w:jc w:val="both"/>
              <w:textAlignment w:val="auto"/>
              <w:rPr>
                <w:rFonts w:hint="default" w:ascii="仿宋" w:hAnsi="仿宋" w:eastAsia="仿宋"/>
                <w:color w:val="auto"/>
                <w:kern w:val="2"/>
                <w:sz w:val="24"/>
                <w:szCs w:val="24"/>
                <w:highlight w:val="none"/>
              </w:rPr>
            </w:pPr>
            <w:r>
              <w:rPr>
                <w:rFonts w:hint="eastAsia" w:ascii="仿宋" w:hAnsi="仿宋" w:eastAsia="仿宋" w:cs="宋体"/>
                <w:color w:val="auto"/>
                <w:kern w:val="2"/>
                <w:sz w:val="24"/>
                <w:szCs w:val="24"/>
                <w:highlight w:val="none"/>
              </w:rPr>
              <w:t>□是</w:t>
            </w:r>
          </w:p>
          <w:p w14:paraId="09C2F508">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both"/>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■否，推荐的中标候选人数：三名。</w:t>
            </w:r>
          </w:p>
        </w:tc>
      </w:tr>
      <w:tr w14:paraId="5E8D3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37A6AEE1">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bCs/>
                <w:color w:val="auto"/>
                <w:sz w:val="24"/>
                <w:szCs w:val="24"/>
                <w:highlight w:val="none"/>
              </w:rPr>
            </w:pPr>
            <w:r>
              <w:rPr>
                <w:rFonts w:hint="default" w:ascii="仿宋" w:hAnsi="仿宋" w:eastAsia="仿宋" w:cs="宋体"/>
                <w:color w:val="auto"/>
                <w:kern w:val="2"/>
                <w:sz w:val="24"/>
                <w:szCs w:val="24"/>
                <w:highlight w:val="none"/>
              </w:rPr>
              <w:t>7.3</w:t>
            </w:r>
          </w:p>
        </w:tc>
        <w:tc>
          <w:tcPr>
            <w:tcW w:w="1786" w:type="dxa"/>
            <w:tcBorders>
              <w:top w:val="outset" w:color="auto" w:sz="6" w:space="0"/>
              <w:left w:val="outset" w:color="auto" w:sz="6" w:space="0"/>
              <w:bottom w:val="outset" w:color="auto" w:sz="6" w:space="0"/>
              <w:right w:val="outset" w:color="auto" w:sz="6" w:space="0"/>
            </w:tcBorders>
            <w:noWrap/>
            <w:vAlign w:val="center"/>
          </w:tcPr>
          <w:p w14:paraId="4A1557FD">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bCs/>
                <w:color w:val="auto"/>
                <w:sz w:val="24"/>
                <w:szCs w:val="24"/>
                <w:highlight w:val="none"/>
              </w:rPr>
            </w:pPr>
            <w:r>
              <w:rPr>
                <w:rFonts w:hint="eastAsia" w:ascii="仿宋" w:hAnsi="仿宋" w:eastAsia="仿宋" w:cs="宋体"/>
                <w:color w:val="auto"/>
                <w:kern w:val="2"/>
                <w:sz w:val="24"/>
                <w:szCs w:val="24"/>
                <w:highlight w:val="none"/>
              </w:rPr>
              <w:t>履约</w:t>
            </w:r>
            <w:r>
              <w:rPr>
                <w:rFonts w:hint="eastAsia" w:ascii="仿宋" w:hAnsi="仿宋" w:eastAsia="仿宋" w:cs="宋体"/>
                <w:color w:val="auto"/>
                <w:kern w:val="2"/>
                <w:sz w:val="24"/>
                <w:szCs w:val="24"/>
                <w:highlight w:val="none"/>
                <w:lang w:eastAsia="zh-CN"/>
              </w:rPr>
              <w:t>保证金</w:t>
            </w:r>
          </w:p>
        </w:tc>
        <w:tc>
          <w:tcPr>
            <w:tcW w:w="6631" w:type="dxa"/>
            <w:tcBorders>
              <w:top w:val="outset" w:color="auto" w:sz="6" w:space="0"/>
              <w:left w:val="outset" w:color="auto" w:sz="6" w:space="0"/>
              <w:bottom w:val="outset" w:color="auto" w:sz="6" w:space="0"/>
              <w:right w:val="outset" w:color="auto" w:sz="6" w:space="0"/>
            </w:tcBorders>
            <w:noWrap/>
            <w:vAlign w:val="center"/>
          </w:tcPr>
          <w:p w14:paraId="77F75A8B">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right="0"/>
              <w:jc w:val="both"/>
              <w:textAlignment w:val="auto"/>
              <w:rPr>
                <w:rFonts w:hint="eastAsia" w:ascii="仿宋" w:hAnsi="仿宋" w:eastAsia="仿宋" w:cs="宋体"/>
                <w:color w:val="auto"/>
                <w:kern w:val="2"/>
                <w:sz w:val="24"/>
                <w:szCs w:val="24"/>
                <w:highlight w:val="none"/>
                <w:lang w:eastAsia="zh-CN"/>
              </w:rPr>
            </w:pPr>
            <w:r>
              <w:rPr>
                <w:rFonts w:hint="eastAsia" w:ascii="仿宋" w:hAnsi="仿宋" w:eastAsia="仿宋" w:cs="宋体"/>
                <w:color w:val="auto"/>
                <w:kern w:val="2"/>
                <w:sz w:val="24"/>
                <w:szCs w:val="24"/>
                <w:highlight w:val="none"/>
                <w:lang w:val="en-US" w:eastAsia="zh-CN"/>
              </w:rPr>
              <w:t>■</w:t>
            </w:r>
            <w:r>
              <w:rPr>
                <w:rFonts w:hint="eastAsia" w:ascii="仿宋" w:hAnsi="仿宋" w:eastAsia="仿宋" w:cs="宋体"/>
                <w:color w:val="auto"/>
                <w:kern w:val="2"/>
                <w:sz w:val="24"/>
                <w:szCs w:val="24"/>
                <w:highlight w:val="none"/>
                <w:lang w:eastAsia="zh-CN"/>
              </w:rPr>
              <w:t>不要求</w:t>
            </w:r>
          </w:p>
          <w:p w14:paraId="239D54D2">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textAlignment w:val="auto"/>
              <w:rPr>
                <w:rFonts w:hint="eastAsia" w:ascii="仿宋" w:hAnsi="仿宋" w:eastAsia="仿宋" w:cs="仿宋"/>
                <w:bCs/>
                <w:color w:val="auto"/>
                <w:sz w:val="24"/>
                <w:szCs w:val="24"/>
                <w:highlight w:val="none"/>
              </w:rPr>
            </w:pPr>
            <w:r>
              <w:rPr>
                <w:rFonts w:hint="eastAsia" w:ascii="仿宋" w:hAnsi="仿宋" w:eastAsia="仿宋" w:cs="宋体"/>
                <w:color w:val="auto"/>
                <w:kern w:val="2"/>
                <w:sz w:val="24"/>
                <w:szCs w:val="24"/>
                <w:highlight w:val="none"/>
                <w:lang w:eastAsia="zh-CN"/>
              </w:rPr>
              <w:t>□</w:t>
            </w:r>
            <w:r>
              <w:rPr>
                <w:rFonts w:hint="eastAsia" w:ascii="仿宋" w:hAnsi="仿宋" w:eastAsia="仿宋" w:cs="宋体"/>
                <w:color w:val="auto"/>
                <w:kern w:val="2"/>
                <w:sz w:val="24"/>
                <w:szCs w:val="24"/>
                <w:highlight w:val="none"/>
                <w:lang w:val="en-US" w:eastAsia="zh-CN"/>
              </w:rPr>
              <w:t>要求，履约保证金的形式：/</w:t>
            </w:r>
          </w:p>
        </w:tc>
      </w:tr>
      <w:tr w14:paraId="4FAF5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23" w:type="dxa"/>
            <w:tcBorders>
              <w:top w:val="outset" w:color="auto" w:sz="6" w:space="0"/>
              <w:left w:val="outset" w:color="auto" w:sz="6" w:space="0"/>
              <w:bottom w:val="outset" w:color="auto" w:sz="6" w:space="0"/>
              <w:right w:val="outset" w:color="auto" w:sz="6" w:space="0"/>
            </w:tcBorders>
            <w:noWrap/>
            <w:vAlign w:val="center"/>
          </w:tcPr>
          <w:p w14:paraId="695F5138">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default" w:ascii="仿宋" w:hAnsi="仿宋" w:eastAsia="仿宋" w:cs="宋体"/>
                <w:color w:val="auto"/>
                <w:kern w:val="2"/>
                <w:sz w:val="24"/>
                <w:szCs w:val="24"/>
                <w:highlight w:val="none"/>
              </w:rPr>
              <w:t>9</w:t>
            </w:r>
          </w:p>
        </w:tc>
        <w:tc>
          <w:tcPr>
            <w:tcW w:w="1786" w:type="dxa"/>
            <w:tcBorders>
              <w:top w:val="outset" w:color="auto" w:sz="6" w:space="0"/>
              <w:left w:val="outset" w:color="auto" w:sz="6" w:space="0"/>
              <w:bottom w:val="outset" w:color="auto" w:sz="6" w:space="0"/>
              <w:right w:val="outset" w:color="auto" w:sz="6" w:space="0"/>
            </w:tcBorders>
            <w:noWrap/>
            <w:vAlign w:val="center"/>
          </w:tcPr>
          <w:p w14:paraId="7A5CA20C">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宋体"/>
                <w:color w:val="auto"/>
                <w:kern w:val="2"/>
                <w:sz w:val="24"/>
                <w:szCs w:val="24"/>
                <w:highlight w:val="none"/>
              </w:rPr>
              <w:t>需要补充的其他内容</w:t>
            </w:r>
          </w:p>
        </w:tc>
        <w:tc>
          <w:tcPr>
            <w:tcW w:w="6631" w:type="dxa"/>
            <w:tcBorders>
              <w:top w:val="outset" w:color="auto" w:sz="6" w:space="0"/>
              <w:left w:val="outset" w:color="auto" w:sz="6" w:space="0"/>
              <w:bottom w:val="outset" w:color="auto" w:sz="6" w:space="0"/>
              <w:right w:val="outset" w:color="auto" w:sz="6" w:space="0"/>
            </w:tcBorders>
            <w:noWrap/>
            <w:vAlign w:val="center"/>
          </w:tcPr>
          <w:p w14:paraId="39DA8772">
            <w:pPr>
              <w:keepNext w:val="0"/>
              <w:keepLines w:val="0"/>
              <w:pageBreakBefore w:val="0"/>
              <w:widowControl/>
              <w:suppressLineNumbers w:val="0"/>
              <w:kinsoku/>
              <w:overflowPunct/>
              <w:topLinePunct w:val="0"/>
              <w:autoSpaceDN/>
              <w:bidi w:val="0"/>
              <w:adjustRightInd/>
              <w:spacing w:before="0" w:beforeAutospacing="0" w:after="0" w:afterAutospacing="0" w:line="48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Arial"/>
                <w:color w:val="auto"/>
                <w:kern w:val="2"/>
                <w:sz w:val="24"/>
                <w:szCs w:val="24"/>
                <w:highlight w:val="none"/>
              </w:rPr>
              <w:t>补充内容</w:t>
            </w:r>
            <w:r>
              <w:rPr>
                <w:rFonts w:hint="default" w:ascii="仿宋" w:hAnsi="仿宋" w:eastAsia="仿宋" w:cs="Arial"/>
                <w:color w:val="auto"/>
                <w:kern w:val="2"/>
                <w:sz w:val="24"/>
                <w:szCs w:val="24"/>
                <w:highlight w:val="none"/>
              </w:rPr>
              <w:t>1</w:t>
            </w:r>
            <w:r>
              <w:rPr>
                <w:rFonts w:hint="eastAsia" w:ascii="仿宋" w:hAnsi="仿宋" w:eastAsia="仿宋" w:cs="Arial"/>
                <w:color w:val="auto"/>
                <w:kern w:val="2"/>
                <w:sz w:val="24"/>
                <w:szCs w:val="24"/>
                <w:highlight w:val="none"/>
              </w:rPr>
              <w:t>：评标结果按评审后得分由高到低顺序排列。得分相同的，按投标报价由低到高顺序排列。得分且投标报价相同的并列。投标文件满足</w:t>
            </w:r>
            <w:r>
              <w:rPr>
                <w:rFonts w:hint="eastAsia" w:ascii="仿宋" w:hAnsi="仿宋" w:eastAsia="仿宋" w:cs="宋体"/>
                <w:color w:val="auto"/>
                <w:kern w:val="2"/>
                <w:sz w:val="24"/>
                <w:szCs w:val="24"/>
                <w:highlight w:val="none"/>
                <w:lang w:eastAsia="zh-CN"/>
              </w:rPr>
              <w:t>招标</w:t>
            </w:r>
            <w:r>
              <w:rPr>
                <w:rFonts w:hint="eastAsia" w:ascii="仿宋" w:hAnsi="仿宋" w:eastAsia="仿宋" w:cs="Arial"/>
                <w:color w:val="auto"/>
                <w:kern w:val="2"/>
                <w:sz w:val="24"/>
                <w:szCs w:val="24"/>
                <w:highlight w:val="none"/>
              </w:rPr>
              <w:t>文件全部实质性要求，且按照评审因素的量化指标评审得分最高的</w:t>
            </w:r>
            <w:r>
              <w:rPr>
                <w:rFonts w:hint="eastAsia" w:ascii="仿宋" w:hAnsi="仿宋" w:eastAsia="仿宋" w:cs="Arial"/>
                <w:color w:val="auto"/>
                <w:kern w:val="2"/>
                <w:sz w:val="24"/>
                <w:szCs w:val="24"/>
                <w:highlight w:val="none"/>
                <w:lang w:eastAsia="zh-CN"/>
              </w:rPr>
              <w:t>投标人</w:t>
            </w:r>
            <w:r>
              <w:rPr>
                <w:rFonts w:hint="eastAsia" w:ascii="仿宋" w:hAnsi="仿宋" w:eastAsia="仿宋" w:cs="Arial"/>
                <w:color w:val="auto"/>
                <w:kern w:val="2"/>
                <w:sz w:val="24"/>
                <w:szCs w:val="24"/>
                <w:highlight w:val="none"/>
              </w:rPr>
              <w:t>为排名第一的中标候选人。</w:t>
            </w:r>
          </w:p>
        </w:tc>
      </w:tr>
      <w:bookmarkEnd w:id="38"/>
    </w:tbl>
    <w:p w14:paraId="6EBCBC81">
      <w:pPr>
        <w:jc w:val="both"/>
        <w:rPr>
          <w:rFonts w:hint="eastAsia" w:ascii="仿宋" w:hAnsi="仿宋" w:eastAsia="仿宋"/>
          <w:b/>
          <w:color w:val="auto"/>
          <w:kern w:val="0"/>
          <w:sz w:val="30"/>
          <w:szCs w:val="30"/>
          <w:highlight w:val="none"/>
        </w:rPr>
      </w:pPr>
    </w:p>
    <w:p w14:paraId="776F993F">
      <w:pPr>
        <w:pageBreakBefore w:val="0"/>
        <w:kinsoku/>
        <w:wordWrap/>
        <w:overflowPunct/>
        <w:topLinePunct w:val="0"/>
        <w:autoSpaceDE/>
        <w:autoSpaceDN/>
        <w:bidi w:val="0"/>
        <w:adjustRightInd/>
        <w:snapToGrid/>
        <w:spacing w:line="480" w:lineRule="exact"/>
        <w:jc w:val="center"/>
        <w:textAlignment w:val="auto"/>
        <w:rPr>
          <w:rFonts w:ascii="仿宋" w:hAnsi="仿宋" w:eastAsia="仿宋"/>
          <w:b/>
          <w:color w:val="auto"/>
          <w:kern w:val="0"/>
          <w:sz w:val="30"/>
          <w:szCs w:val="30"/>
          <w:highlight w:val="none"/>
        </w:rPr>
      </w:pPr>
      <w:r>
        <w:rPr>
          <w:rFonts w:hint="eastAsia" w:ascii="仿宋" w:hAnsi="仿宋" w:eastAsia="仿宋"/>
          <w:b/>
          <w:color w:val="auto"/>
          <w:kern w:val="0"/>
          <w:sz w:val="30"/>
          <w:szCs w:val="30"/>
          <w:highlight w:val="none"/>
        </w:rPr>
        <w:t>投标人须知正文部分</w:t>
      </w:r>
      <w:bookmarkEnd w:id="1"/>
    </w:p>
    <w:bookmarkEnd w:id="2"/>
    <w:p w14:paraId="415BA4DF">
      <w:pPr>
        <w:pStyle w:val="6"/>
        <w:pageBreakBefore w:val="0"/>
        <w:numPr>
          <w:ilvl w:val="2"/>
          <w:numId w:val="0"/>
        </w:numPr>
        <w:kinsoku/>
        <w:wordWrap/>
        <w:overflowPunct/>
        <w:topLinePunct w:val="0"/>
        <w:autoSpaceDE/>
        <w:autoSpaceDN/>
        <w:bidi w:val="0"/>
        <w:adjustRightInd/>
        <w:snapToGrid/>
        <w:spacing w:before="0" w:after="0" w:line="480" w:lineRule="exact"/>
        <w:ind w:leftChars="0"/>
        <w:jc w:val="center"/>
        <w:textAlignment w:val="auto"/>
        <w:rPr>
          <w:rFonts w:ascii="仿宋" w:hAnsi="仿宋" w:eastAsia="仿宋"/>
          <w:color w:val="auto"/>
          <w:sz w:val="24"/>
          <w:szCs w:val="24"/>
          <w:highlight w:val="none"/>
        </w:rPr>
      </w:pPr>
      <w:bookmarkStart w:id="39" w:name="_Toc8568312"/>
      <w:bookmarkStart w:id="40" w:name="_Toc5788078"/>
      <w:bookmarkStart w:id="41" w:name="_Toc451275953"/>
      <w:bookmarkStart w:id="42" w:name="_Toc432697153"/>
      <w:bookmarkStart w:id="43" w:name="_Toc13057"/>
      <w:bookmarkStart w:id="44" w:name="_Toc21660"/>
      <w:bookmarkStart w:id="45" w:name="_Toc448328634"/>
      <w:bookmarkStart w:id="46" w:name="_Toc448328565"/>
      <w:bookmarkStart w:id="47" w:name="_Toc24730468"/>
      <w:bookmarkStart w:id="48" w:name="_Toc302769230"/>
      <w:bookmarkStart w:id="49" w:name="_Toc186513218"/>
      <w:r>
        <w:rPr>
          <w:rFonts w:hint="eastAsia" w:ascii="仿宋" w:hAnsi="仿宋" w:eastAsia="仿宋" w:cs="宋体"/>
          <w:color w:val="auto"/>
          <w:sz w:val="24"/>
          <w:szCs w:val="24"/>
          <w:highlight w:val="none"/>
        </w:rPr>
        <w:t>（一）总则</w:t>
      </w:r>
      <w:bookmarkEnd w:id="39"/>
      <w:bookmarkEnd w:id="40"/>
      <w:bookmarkEnd w:id="41"/>
      <w:bookmarkEnd w:id="42"/>
    </w:p>
    <w:p w14:paraId="5400068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color w:val="auto"/>
          <w:sz w:val="24"/>
          <w:szCs w:val="24"/>
          <w:highlight w:val="none"/>
        </w:rPr>
      </w:pPr>
      <w:bookmarkStart w:id="50" w:name="_Toc8568219"/>
      <w:bookmarkStart w:id="51" w:name="_Toc8568313"/>
      <w:bookmarkStart w:id="52" w:name="_Toc432697154"/>
      <w:bookmarkStart w:id="53" w:name="_Toc451275954"/>
      <w:bookmarkStart w:id="54" w:name="_Toc5788079"/>
      <w:r>
        <w:rPr>
          <w:rFonts w:ascii="仿宋" w:hAnsi="仿宋" w:eastAsia="仿宋" w:cs="宋体"/>
          <w:b/>
          <w:bCs/>
          <w:color w:val="auto"/>
          <w:sz w:val="24"/>
          <w:szCs w:val="24"/>
          <w:highlight w:val="none"/>
        </w:rPr>
        <w:t xml:space="preserve">1.1 </w:t>
      </w:r>
      <w:r>
        <w:rPr>
          <w:rFonts w:hint="eastAsia" w:ascii="仿宋" w:hAnsi="仿宋" w:eastAsia="仿宋" w:cs="宋体"/>
          <w:b/>
          <w:bCs/>
          <w:color w:val="auto"/>
          <w:sz w:val="24"/>
          <w:szCs w:val="24"/>
          <w:highlight w:val="none"/>
        </w:rPr>
        <w:t>项目概况</w:t>
      </w:r>
      <w:bookmarkEnd w:id="50"/>
      <w:bookmarkEnd w:id="51"/>
      <w:bookmarkEnd w:id="52"/>
      <w:bookmarkEnd w:id="53"/>
      <w:bookmarkEnd w:id="54"/>
    </w:p>
    <w:p w14:paraId="52329AE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1.1.1</w:t>
      </w:r>
      <w:r>
        <w:rPr>
          <w:rFonts w:hint="eastAsia" w:ascii="仿宋" w:hAnsi="仿宋" w:eastAsia="仿宋" w:cs="宋体"/>
          <w:color w:val="auto"/>
          <w:sz w:val="24"/>
          <w:szCs w:val="24"/>
          <w:highlight w:val="none"/>
        </w:rPr>
        <w:t>根据《中华人民共和国政府采购法》等有关法律、法规和规章的规定，本招标项目已具备招标条件，现对本项目</w:t>
      </w:r>
      <w:r>
        <w:rPr>
          <w:rFonts w:hint="eastAsia" w:ascii="仿宋" w:hAnsi="仿宋" w:eastAsia="仿宋" w:cs="宋体"/>
          <w:color w:val="auto"/>
          <w:sz w:val="24"/>
          <w:szCs w:val="24"/>
          <w:highlight w:val="none"/>
          <w:lang w:eastAsia="zh-CN"/>
        </w:rPr>
        <w:t>进</w:t>
      </w:r>
      <w:r>
        <w:rPr>
          <w:rFonts w:hint="eastAsia" w:ascii="仿宋" w:hAnsi="仿宋" w:eastAsia="仿宋" w:cs="宋体"/>
          <w:color w:val="auto"/>
          <w:sz w:val="24"/>
          <w:szCs w:val="24"/>
          <w:highlight w:val="none"/>
        </w:rPr>
        <w:t>行招标。</w:t>
      </w:r>
    </w:p>
    <w:p w14:paraId="636974F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1.1.2 </w:t>
      </w:r>
      <w:r>
        <w:rPr>
          <w:rFonts w:hint="eastAsia" w:ascii="仿宋" w:hAnsi="仿宋" w:eastAsia="仿宋" w:cs="宋体"/>
          <w:color w:val="auto"/>
          <w:sz w:val="24"/>
          <w:szCs w:val="24"/>
          <w:highlight w:val="none"/>
        </w:rPr>
        <w:t>本项目</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人：见投标须知前附表。</w:t>
      </w:r>
    </w:p>
    <w:p w14:paraId="065BF5E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1.1.3 </w:t>
      </w:r>
      <w:r>
        <w:rPr>
          <w:rFonts w:hint="eastAsia" w:ascii="仿宋" w:hAnsi="仿宋" w:eastAsia="仿宋" w:cs="宋体"/>
          <w:color w:val="auto"/>
          <w:sz w:val="24"/>
          <w:szCs w:val="24"/>
          <w:highlight w:val="none"/>
        </w:rPr>
        <w:t>本项目</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代理机构：见投标须知前附表。</w:t>
      </w:r>
    </w:p>
    <w:p w14:paraId="221734E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1.1.4 </w:t>
      </w:r>
      <w:r>
        <w:rPr>
          <w:rFonts w:hint="eastAsia" w:ascii="仿宋" w:hAnsi="仿宋" w:eastAsia="仿宋" w:cs="宋体"/>
          <w:color w:val="auto"/>
          <w:sz w:val="24"/>
          <w:szCs w:val="24"/>
          <w:highlight w:val="none"/>
        </w:rPr>
        <w:t>本招标项目名称及内容：见投标须知前附表。</w:t>
      </w:r>
    </w:p>
    <w:p w14:paraId="3B6305E4">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55" w:name="_Toc8568314"/>
      <w:bookmarkStart w:id="56" w:name="_Toc8568220"/>
      <w:bookmarkStart w:id="57" w:name="_Toc451275955"/>
      <w:bookmarkStart w:id="58" w:name="_Toc432697155"/>
      <w:bookmarkStart w:id="59" w:name="_Toc5788080"/>
      <w:r>
        <w:rPr>
          <w:rFonts w:ascii="仿宋" w:hAnsi="仿宋" w:eastAsia="仿宋" w:cs="宋体"/>
          <w:b/>
          <w:bCs/>
          <w:color w:val="auto"/>
          <w:sz w:val="24"/>
          <w:szCs w:val="24"/>
          <w:highlight w:val="none"/>
        </w:rPr>
        <w:t xml:space="preserve">1.2 </w:t>
      </w:r>
      <w:r>
        <w:rPr>
          <w:rFonts w:hint="eastAsia" w:ascii="仿宋" w:hAnsi="仿宋" w:eastAsia="仿宋" w:cs="宋体"/>
          <w:b/>
          <w:bCs/>
          <w:color w:val="auto"/>
          <w:sz w:val="24"/>
          <w:szCs w:val="24"/>
          <w:highlight w:val="none"/>
        </w:rPr>
        <w:t>资金来源和落实情况</w:t>
      </w:r>
      <w:bookmarkEnd w:id="55"/>
      <w:bookmarkEnd w:id="56"/>
      <w:bookmarkEnd w:id="57"/>
      <w:bookmarkEnd w:id="58"/>
      <w:bookmarkEnd w:id="59"/>
    </w:p>
    <w:p w14:paraId="037C156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1.2.1 </w:t>
      </w:r>
      <w:r>
        <w:rPr>
          <w:rFonts w:hint="eastAsia" w:ascii="仿宋" w:hAnsi="仿宋" w:eastAsia="仿宋" w:cs="宋体"/>
          <w:color w:val="auto"/>
          <w:sz w:val="24"/>
          <w:szCs w:val="24"/>
          <w:highlight w:val="none"/>
        </w:rPr>
        <w:t>本招标项目的资金来源：见投标须知前附表。</w:t>
      </w:r>
    </w:p>
    <w:p w14:paraId="6A427B6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1.2.</w:t>
      </w:r>
      <w:r>
        <w:rPr>
          <w:rFonts w:hint="eastAsia" w:ascii="仿宋" w:hAnsi="仿宋" w:eastAsia="仿宋" w:cs="宋体"/>
          <w:color w:val="auto"/>
          <w:sz w:val="24"/>
          <w:szCs w:val="24"/>
          <w:highlight w:val="none"/>
        </w:rPr>
        <w:t>2本招标项目的资金落实情况：见投标须知前附表。</w:t>
      </w:r>
    </w:p>
    <w:p w14:paraId="397097F2">
      <w:pPr>
        <w:keepNext w:val="0"/>
        <w:keepLines w:val="0"/>
        <w:pageBreakBefore w:val="0"/>
        <w:widowControl w:val="0"/>
        <w:kinsoku/>
        <w:wordWrap/>
        <w:overflowPunct/>
        <w:topLinePunct w:val="0"/>
        <w:autoSpaceDE/>
        <w:autoSpaceDN/>
        <w:bidi w:val="0"/>
        <w:adjustRightInd/>
        <w:snapToGrid/>
        <w:spacing w:line="480" w:lineRule="exact"/>
        <w:ind w:left="420" w:firstLine="60" w:firstLineChars="25"/>
        <w:textAlignment w:val="auto"/>
        <w:outlineLvl w:val="0"/>
        <w:rPr>
          <w:rFonts w:ascii="仿宋" w:hAnsi="仿宋" w:eastAsia="仿宋"/>
          <w:b/>
          <w:bCs/>
          <w:color w:val="auto"/>
          <w:sz w:val="24"/>
          <w:szCs w:val="24"/>
          <w:highlight w:val="none"/>
        </w:rPr>
      </w:pPr>
      <w:bookmarkStart w:id="60" w:name="_Toc432697156"/>
      <w:bookmarkStart w:id="61" w:name="_Toc451275956"/>
      <w:bookmarkStart w:id="62" w:name="_Toc5788081"/>
      <w:bookmarkStart w:id="63" w:name="_Toc8568221"/>
      <w:bookmarkStart w:id="64" w:name="_Toc8568315"/>
      <w:r>
        <w:rPr>
          <w:rFonts w:ascii="仿宋" w:hAnsi="仿宋" w:eastAsia="仿宋" w:cs="宋体"/>
          <w:b/>
          <w:bCs/>
          <w:color w:val="auto"/>
          <w:sz w:val="24"/>
          <w:szCs w:val="24"/>
          <w:highlight w:val="none"/>
        </w:rPr>
        <w:t xml:space="preserve">1.3 </w:t>
      </w:r>
      <w:r>
        <w:rPr>
          <w:rFonts w:hint="eastAsia" w:ascii="仿宋" w:hAnsi="仿宋" w:eastAsia="仿宋" w:cs="宋体"/>
          <w:b/>
          <w:bCs/>
          <w:color w:val="auto"/>
          <w:sz w:val="24"/>
          <w:szCs w:val="24"/>
          <w:highlight w:val="none"/>
        </w:rPr>
        <w:t>采购内容、</w:t>
      </w:r>
      <w:bookmarkEnd w:id="60"/>
      <w:r>
        <w:rPr>
          <w:rFonts w:hint="eastAsia" w:ascii="仿宋" w:hAnsi="仿宋" w:eastAsia="仿宋" w:cs="宋体"/>
          <w:b/>
          <w:bCs/>
          <w:color w:val="auto"/>
          <w:sz w:val="24"/>
          <w:szCs w:val="24"/>
          <w:highlight w:val="none"/>
          <w:lang w:eastAsia="zh-CN"/>
        </w:rPr>
        <w:t>合同履行</w:t>
      </w:r>
      <w:r>
        <w:rPr>
          <w:rFonts w:hint="eastAsia" w:ascii="仿宋" w:hAnsi="仿宋" w:eastAsia="仿宋" w:cs="宋体"/>
          <w:b/>
          <w:bCs/>
          <w:color w:val="auto"/>
          <w:sz w:val="24"/>
          <w:szCs w:val="24"/>
          <w:highlight w:val="none"/>
        </w:rPr>
        <w:t>期限、质量要求</w:t>
      </w:r>
      <w:bookmarkEnd w:id="61"/>
      <w:bookmarkEnd w:id="62"/>
      <w:bookmarkEnd w:id="63"/>
      <w:bookmarkEnd w:id="64"/>
    </w:p>
    <w:p w14:paraId="03ADC69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1.3.1 </w:t>
      </w:r>
      <w:r>
        <w:rPr>
          <w:rFonts w:hint="eastAsia" w:ascii="仿宋" w:hAnsi="仿宋" w:eastAsia="仿宋" w:cs="宋体"/>
          <w:color w:val="auto"/>
          <w:sz w:val="24"/>
          <w:szCs w:val="24"/>
          <w:highlight w:val="none"/>
        </w:rPr>
        <w:t>本招标项目的采购范围：见投标须知前附表。</w:t>
      </w:r>
    </w:p>
    <w:p w14:paraId="2153066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宋体"/>
          <w:color w:val="auto"/>
          <w:sz w:val="24"/>
          <w:szCs w:val="24"/>
          <w:highlight w:val="none"/>
        </w:rPr>
      </w:pPr>
      <w:r>
        <w:rPr>
          <w:rFonts w:ascii="仿宋" w:hAnsi="仿宋" w:eastAsia="仿宋" w:cs="宋体"/>
          <w:color w:val="auto"/>
          <w:sz w:val="24"/>
          <w:szCs w:val="24"/>
          <w:highlight w:val="none"/>
        </w:rPr>
        <w:t>1.3.2</w:t>
      </w:r>
      <w:r>
        <w:rPr>
          <w:rFonts w:hint="eastAsia" w:ascii="仿宋" w:hAnsi="仿宋" w:eastAsia="仿宋" w:cs="宋体"/>
          <w:color w:val="auto"/>
          <w:sz w:val="24"/>
          <w:szCs w:val="24"/>
          <w:highlight w:val="none"/>
        </w:rPr>
        <w:t>本招标项目的</w:t>
      </w:r>
      <w:r>
        <w:rPr>
          <w:rFonts w:hint="eastAsia" w:ascii="仿宋" w:hAnsi="仿宋" w:eastAsia="仿宋" w:cs="宋体"/>
          <w:color w:val="auto"/>
          <w:sz w:val="24"/>
          <w:szCs w:val="24"/>
          <w:highlight w:val="none"/>
          <w:lang w:eastAsia="zh-CN"/>
        </w:rPr>
        <w:t>合同履行</w:t>
      </w:r>
      <w:r>
        <w:rPr>
          <w:rFonts w:hint="eastAsia" w:ascii="仿宋" w:hAnsi="仿宋" w:eastAsia="仿宋" w:cs="宋体"/>
          <w:color w:val="auto"/>
          <w:sz w:val="24"/>
          <w:szCs w:val="24"/>
          <w:highlight w:val="none"/>
        </w:rPr>
        <w:t>期限：见投标须知前附表。</w:t>
      </w:r>
    </w:p>
    <w:p w14:paraId="1D33B76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1.3.</w:t>
      </w:r>
      <w:r>
        <w:rPr>
          <w:rFonts w:hint="eastAsia" w:ascii="仿宋" w:hAnsi="仿宋" w:eastAsia="仿宋" w:cs="宋体"/>
          <w:color w:val="auto"/>
          <w:sz w:val="24"/>
          <w:szCs w:val="24"/>
          <w:highlight w:val="none"/>
        </w:rPr>
        <w:t>3本招标项目的质量要求：见投标须知前附表。</w:t>
      </w:r>
    </w:p>
    <w:p w14:paraId="3068132F">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65" w:name="_Toc8568222"/>
      <w:bookmarkStart w:id="66" w:name="_Toc451275957"/>
      <w:bookmarkStart w:id="67" w:name="_Toc432697157"/>
      <w:bookmarkStart w:id="68" w:name="_Toc8568316"/>
      <w:bookmarkStart w:id="69" w:name="_Toc5788082"/>
      <w:r>
        <w:rPr>
          <w:rFonts w:ascii="仿宋" w:hAnsi="仿宋" w:eastAsia="仿宋" w:cs="宋体"/>
          <w:b/>
          <w:bCs/>
          <w:color w:val="auto"/>
          <w:sz w:val="24"/>
          <w:szCs w:val="24"/>
          <w:highlight w:val="none"/>
        </w:rPr>
        <w:t xml:space="preserve">1.4 </w:t>
      </w:r>
      <w:r>
        <w:rPr>
          <w:rFonts w:hint="eastAsia" w:ascii="仿宋" w:hAnsi="仿宋" w:eastAsia="仿宋" w:cs="宋体"/>
          <w:b/>
          <w:bCs/>
          <w:color w:val="auto"/>
          <w:sz w:val="24"/>
          <w:szCs w:val="24"/>
          <w:highlight w:val="none"/>
          <w:lang w:eastAsia="zh-CN"/>
        </w:rPr>
        <w:t>投标人</w:t>
      </w:r>
      <w:r>
        <w:rPr>
          <w:rFonts w:hint="eastAsia" w:ascii="仿宋" w:hAnsi="仿宋" w:eastAsia="仿宋" w:cs="宋体"/>
          <w:b/>
          <w:bCs/>
          <w:color w:val="auto"/>
          <w:sz w:val="24"/>
          <w:szCs w:val="24"/>
          <w:highlight w:val="none"/>
        </w:rPr>
        <w:t>资格要求</w:t>
      </w:r>
      <w:bookmarkEnd w:id="65"/>
      <w:bookmarkEnd w:id="66"/>
      <w:bookmarkEnd w:id="67"/>
      <w:bookmarkEnd w:id="68"/>
      <w:bookmarkEnd w:id="69"/>
    </w:p>
    <w:p w14:paraId="43BBF15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1.4.1 </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资格及要求：见投标须知前附表。</w:t>
      </w:r>
    </w:p>
    <w:p w14:paraId="1DF72E7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1.4.2 </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不得存在下列情形之一：</w:t>
      </w:r>
    </w:p>
    <w:p w14:paraId="3D49CCF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1</w:t>
      </w:r>
      <w:r>
        <w:rPr>
          <w:rFonts w:hint="eastAsia" w:ascii="仿宋" w:hAnsi="仿宋" w:eastAsia="仿宋" w:cs="宋体"/>
          <w:color w:val="auto"/>
          <w:sz w:val="24"/>
          <w:szCs w:val="24"/>
          <w:highlight w:val="none"/>
        </w:rPr>
        <w:t>）为</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不具有独立法人资格的附属机构（单位）；</w:t>
      </w:r>
    </w:p>
    <w:p w14:paraId="5ECCCE1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2</w:t>
      </w:r>
      <w:r>
        <w:rPr>
          <w:rFonts w:hint="eastAsia" w:ascii="仿宋" w:hAnsi="仿宋" w:eastAsia="仿宋" w:cs="宋体"/>
          <w:color w:val="auto"/>
          <w:sz w:val="24"/>
          <w:szCs w:val="24"/>
          <w:highlight w:val="none"/>
        </w:rPr>
        <w:t>）为本项目的</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w:t>
      </w:r>
    </w:p>
    <w:p w14:paraId="39646D5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3</w:t>
      </w:r>
      <w:r>
        <w:rPr>
          <w:rFonts w:hint="eastAsia" w:ascii="仿宋" w:hAnsi="仿宋" w:eastAsia="仿宋" w:cs="宋体"/>
          <w:color w:val="auto"/>
          <w:sz w:val="24"/>
          <w:szCs w:val="24"/>
          <w:highlight w:val="none"/>
        </w:rPr>
        <w:t>）为本项目提供</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代理服务的；</w:t>
      </w:r>
    </w:p>
    <w:p w14:paraId="7ACBAF4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4</w:t>
      </w:r>
      <w:r>
        <w:rPr>
          <w:rFonts w:hint="eastAsia" w:ascii="仿宋" w:hAnsi="仿宋" w:eastAsia="仿宋" w:cs="宋体"/>
          <w:color w:val="auto"/>
          <w:sz w:val="24"/>
          <w:szCs w:val="24"/>
          <w:highlight w:val="none"/>
        </w:rPr>
        <w:t>）与本项目的</w:t>
      </w:r>
      <w:bookmarkStart w:id="70" w:name="OLE_LINK1"/>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人或</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代理机构或</w:t>
      </w:r>
      <w:bookmarkEnd w:id="70"/>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同为一个法定代表人的；</w:t>
      </w:r>
    </w:p>
    <w:p w14:paraId="296E41B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5</w:t>
      </w:r>
      <w:r>
        <w:rPr>
          <w:rFonts w:hint="eastAsia" w:ascii="仿宋" w:hAnsi="仿宋" w:eastAsia="仿宋" w:cs="宋体"/>
          <w:color w:val="auto"/>
          <w:sz w:val="24"/>
          <w:szCs w:val="24"/>
          <w:highlight w:val="none"/>
        </w:rPr>
        <w:t>）与本项目的</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人或</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代理机构或</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相互控股或参股的；</w:t>
      </w:r>
    </w:p>
    <w:p w14:paraId="6110B15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6</w:t>
      </w:r>
      <w:r>
        <w:rPr>
          <w:rFonts w:hint="eastAsia" w:ascii="仿宋" w:hAnsi="仿宋" w:eastAsia="仿宋" w:cs="宋体"/>
          <w:color w:val="auto"/>
          <w:sz w:val="24"/>
          <w:szCs w:val="24"/>
          <w:highlight w:val="none"/>
        </w:rPr>
        <w:t>）与本项目的</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人或</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代理机构或</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相互任职或工作的；</w:t>
      </w:r>
    </w:p>
    <w:p w14:paraId="49031CB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7</w:t>
      </w:r>
      <w:r>
        <w:rPr>
          <w:rFonts w:hint="eastAsia" w:ascii="仿宋" w:hAnsi="仿宋" w:eastAsia="仿宋" w:cs="宋体"/>
          <w:color w:val="auto"/>
          <w:sz w:val="24"/>
          <w:szCs w:val="24"/>
          <w:highlight w:val="none"/>
        </w:rPr>
        <w:t>）被责令停业的；</w:t>
      </w:r>
    </w:p>
    <w:p w14:paraId="10A95BB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8</w:t>
      </w:r>
      <w:r>
        <w:rPr>
          <w:rFonts w:hint="eastAsia" w:ascii="仿宋" w:hAnsi="仿宋" w:eastAsia="仿宋" w:cs="宋体"/>
          <w:color w:val="auto"/>
          <w:sz w:val="24"/>
          <w:szCs w:val="24"/>
          <w:highlight w:val="none"/>
        </w:rPr>
        <w:t>）被暂停或取消投标资格的；</w:t>
      </w:r>
    </w:p>
    <w:p w14:paraId="1B932B6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9</w:t>
      </w:r>
      <w:r>
        <w:rPr>
          <w:rFonts w:hint="eastAsia" w:ascii="仿宋" w:hAnsi="仿宋" w:eastAsia="仿宋" w:cs="宋体"/>
          <w:color w:val="auto"/>
          <w:sz w:val="24"/>
          <w:szCs w:val="24"/>
          <w:highlight w:val="none"/>
        </w:rPr>
        <w:t>）财产被接受或取消投标资格的；</w:t>
      </w:r>
    </w:p>
    <w:p w14:paraId="13F33CB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10</w:t>
      </w:r>
      <w:r>
        <w:rPr>
          <w:rFonts w:hint="eastAsia" w:ascii="仿宋" w:hAnsi="仿宋" w:eastAsia="仿宋" w:cs="宋体"/>
          <w:color w:val="auto"/>
          <w:sz w:val="24"/>
          <w:szCs w:val="24"/>
          <w:highlight w:val="none"/>
        </w:rPr>
        <w:t>）在最近三年内有骗取中标或严重违约的。</w:t>
      </w:r>
    </w:p>
    <w:p w14:paraId="4E74BB1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1.4.3 </w:t>
      </w:r>
      <w:r>
        <w:rPr>
          <w:rFonts w:hint="eastAsia" w:ascii="仿宋" w:hAnsi="仿宋" w:eastAsia="仿宋" w:cs="宋体"/>
          <w:color w:val="auto"/>
          <w:sz w:val="24"/>
          <w:szCs w:val="24"/>
          <w:highlight w:val="none"/>
        </w:rPr>
        <w:t>本项目招标的资格审查方式：资格后审。</w:t>
      </w:r>
    </w:p>
    <w:p w14:paraId="3339922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1.4.4 </w:t>
      </w:r>
      <w:r>
        <w:rPr>
          <w:rFonts w:hint="eastAsia" w:ascii="仿宋" w:hAnsi="仿宋" w:eastAsia="仿宋" w:cs="宋体"/>
          <w:color w:val="auto"/>
          <w:sz w:val="24"/>
          <w:szCs w:val="24"/>
          <w:highlight w:val="none"/>
        </w:rPr>
        <w:t>本项目招标是否接受联合体投标：接受。</w:t>
      </w:r>
    </w:p>
    <w:p w14:paraId="5AC3D719">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71" w:name="_Toc432697158"/>
      <w:bookmarkStart w:id="72" w:name="_Toc5788083"/>
      <w:bookmarkStart w:id="73" w:name="_Toc451275958"/>
      <w:bookmarkStart w:id="74" w:name="_Toc8568317"/>
      <w:bookmarkStart w:id="75" w:name="_Toc8568223"/>
      <w:bookmarkStart w:id="76" w:name="_Toc320473366"/>
      <w:r>
        <w:rPr>
          <w:rFonts w:ascii="仿宋" w:hAnsi="仿宋" w:eastAsia="仿宋" w:cs="宋体"/>
          <w:b/>
          <w:bCs/>
          <w:color w:val="auto"/>
          <w:sz w:val="24"/>
          <w:szCs w:val="24"/>
          <w:highlight w:val="none"/>
        </w:rPr>
        <w:t xml:space="preserve">1.5 </w:t>
      </w:r>
      <w:r>
        <w:rPr>
          <w:rFonts w:hint="eastAsia" w:ascii="仿宋" w:hAnsi="仿宋" w:eastAsia="仿宋" w:cs="宋体"/>
          <w:b/>
          <w:bCs/>
          <w:color w:val="auto"/>
          <w:sz w:val="24"/>
          <w:szCs w:val="24"/>
          <w:highlight w:val="none"/>
        </w:rPr>
        <w:t>费用承担</w:t>
      </w:r>
      <w:bookmarkEnd w:id="71"/>
      <w:bookmarkEnd w:id="72"/>
      <w:bookmarkEnd w:id="73"/>
      <w:bookmarkEnd w:id="74"/>
      <w:bookmarkEnd w:id="75"/>
      <w:bookmarkEnd w:id="76"/>
    </w:p>
    <w:p w14:paraId="43F706C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1.5.1 </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准备和参加投标活动发生的费用自理。</w:t>
      </w:r>
    </w:p>
    <w:p w14:paraId="29AAC31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default" w:ascii="仿宋" w:hAnsi="仿宋" w:eastAsia="仿宋"/>
          <w:color w:val="auto"/>
          <w:kern w:val="0"/>
          <w:sz w:val="24"/>
          <w:szCs w:val="24"/>
          <w:highlight w:val="none"/>
          <w:u w:val="none"/>
        </w:rPr>
      </w:pPr>
      <w:r>
        <w:rPr>
          <w:rFonts w:ascii="仿宋" w:hAnsi="仿宋" w:eastAsia="仿宋" w:cs="宋体"/>
          <w:color w:val="auto"/>
          <w:sz w:val="24"/>
          <w:szCs w:val="24"/>
          <w:highlight w:val="none"/>
        </w:rPr>
        <w:t>1.5.</w:t>
      </w:r>
      <w:r>
        <w:rPr>
          <w:rFonts w:hint="eastAsia" w:ascii="仿宋" w:hAnsi="仿宋" w:eastAsia="仿宋" w:cs="宋体"/>
          <w:color w:val="auto"/>
          <w:sz w:val="24"/>
          <w:szCs w:val="24"/>
          <w:highlight w:val="none"/>
        </w:rPr>
        <w:t>2中标人须承担招标代理服</w:t>
      </w:r>
      <w:r>
        <w:rPr>
          <w:rFonts w:hint="eastAsia" w:ascii="仿宋" w:hAnsi="仿宋" w:eastAsia="仿宋" w:cs="宋体"/>
          <w:color w:val="auto"/>
          <w:sz w:val="24"/>
          <w:szCs w:val="24"/>
          <w:highlight w:val="none"/>
        </w:rPr>
        <w:t>务费</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招标代理服务费：中标人须在领取中标通知书时一次性向</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代理机构支付</w:t>
      </w:r>
      <w:r>
        <w:rPr>
          <w:rFonts w:hint="eastAsia" w:ascii="仿宋" w:hAnsi="仿宋" w:eastAsia="仿宋" w:cs="宋体"/>
          <w:color w:val="auto"/>
          <w:sz w:val="24"/>
          <w:szCs w:val="24"/>
          <w:highlight w:val="none"/>
          <w:lang w:eastAsia="zh-CN"/>
        </w:rPr>
        <w:t>代理</w:t>
      </w:r>
      <w:r>
        <w:rPr>
          <w:rFonts w:hint="eastAsia" w:ascii="仿宋" w:hAnsi="仿宋" w:eastAsia="仿宋" w:cs="宋体"/>
          <w:color w:val="auto"/>
          <w:sz w:val="24"/>
          <w:szCs w:val="24"/>
          <w:highlight w:val="none"/>
        </w:rPr>
        <w:t>服务费</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eastAsia="zh-CN"/>
        </w:rPr>
        <w:t>计费标准为</w:t>
      </w:r>
      <w:r>
        <w:rPr>
          <w:rFonts w:hint="eastAsia" w:ascii="仿宋" w:hAnsi="仿宋" w:eastAsia="仿宋" w:cs="宋体"/>
          <w:color w:val="auto"/>
          <w:sz w:val="24"/>
          <w:szCs w:val="24"/>
          <w:highlight w:val="none"/>
          <w:lang w:val="en-US" w:eastAsia="zh-CN"/>
        </w:rPr>
        <w:t>:</w:t>
      </w:r>
      <w:r>
        <w:rPr>
          <w:rFonts w:hint="eastAsia" w:ascii="仿宋" w:hAnsi="仿宋" w:eastAsia="仿宋"/>
          <w:color w:val="auto"/>
          <w:sz w:val="24"/>
          <w:szCs w:val="24"/>
          <w:highlight w:val="none"/>
          <w:u w:val="none"/>
          <w:lang w:val="en-US" w:eastAsia="zh-CN"/>
        </w:rPr>
        <w:t>以成交价为计费基数，</w:t>
      </w:r>
      <w:r>
        <w:rPr>
          <w:rFonts w:hint="eastAsia" w:ascii="仿宋" w:hAnsi="仿宋" w:eastAsia="仿宋"/>
          <w:color w:val="auto"/>
          <w:kern w:val="0"/>
          <w:sz w:val="24"/>
          <w:szCs w:val="24"/>
          <w:highlight w:val="none"/>
          <w:u w:val="none"/>
          <w:lang w:eastAsia="zh-CN"/>
        </w:rPr>
        <w:t>按照云南省建设工程招投标行业协会关于印发《云南省建设工程招标代理服务收费参考意见》（云建招协【</w:t>
      </w:r>
      <w:r>
        <w:rPr>
          <w:rFonts w:hint="eastAsia" w:ascii="仿宋" w:hAnsi="仿宋" w:eastAsia="仿宋"/>
          <w:color w:val="auto"/>
          <w:kern w:val="0"/>
          <w:sz w:val="24"/>
          <w:szCs w:val="24"/>
          <w:highlight w:val="none"/>
          <w:u w:val="none"/>
          <w:lang w:val="en-US" w:eastAsia="zh-CN"/>
        </w:rPr>
        <w:t>2024</w:t>
      </w:r>
      <w:r>
        <w:rPr>
          <w:rFonts w:hint="eastAsia" w:ascii="仿宋" w:hAnsi="仿宋" w:eastAsia="仿宋"/>
          <w:color w:val="auto"/>
          <w:kern w:val="0"/>
          <w:sz w:val="24"/>
          <w:szCs w:val="24"/>
          <w:highlight w:val="none"/>
          <w:u w:val="none"/>
          <w:lang w:eastAsia="zh-CN"/>
        </w:rPr>
        <w:t>】</w:t>
      </w:r>
      <w:r>
        <w:rPr>
          <w:rFonts w:hint="eastAsia" w:ascii="仿宋" w:hAnsi="仿宋" w:eastAsia="仿宋"/>
          <w:color w:val="auto"/>
          <w:kern w:val="0"/>
          <w:sz w:val="24"/>
          <w:szCs w:val="24"/>
          <w:highlight w:val="none"/>
          <w:u w:val="none"/>
          <w:lang w:val="en-US" w:eastAsia="zh-CN"/>
        </w:rPr>
        <w:t>58号文</w:t>
      </w:r>
      <w:r>
        <w:rPr>
          <w:rFonts w:hint="eastAsia" w:ascii="仿宋" w:hAnsi="仿宋" w:eastAsia="仿宋"/>
          <w:color w:val="auto"/>
          <w:kern w:val="0"/>
          <w:sz w:val="24"/>
          <w:szCs w:val="24"/>
          <w:highlight w:val="none"/>
          <w:u w:val="none"/>
          <w:lang w:eastAsia="zh-CN"/>
        </w:rPr>
        <w:t>）收费标准下浮</w:t>
      </w:r>
      <w:r>
        <w:rPr>
          <w:rFonts w:hint="eastAsia" w:ascii="仿宋" w:hAnsi="仿宋" w:eastAsia="仿宋"/>
          <w:color w:val="auto"/>
          <w:kern w:val="0"/>
          <w:sz w:val="24"/>
          <w:szCs w:val="24"/>
          <w:highlight w:val="none"/>
          <w:u w:val="none"/>
          <w:lang w:val="en-US" w:eastAsia="zh-CN"/>
        </w:rPr>
        <w:t>20%</w:t>
      </w:r>
      <w:r>
        <w:rPr>
          <w:rFonts w:hint="eastAsia" w:ascii="仿宋" w:hAnsi="仿宋" w:eastAsia="仿宋"/>
          <w:color w:val="auto"/>
          <w:kern w:val="0"/>
          <w:sz w:val="24"/>
          <w:szCs w:val="24"/>
          <w:highlight w:val="none"/>
          <w:u w:val="none"/>
          <w:lang w:eastAsia="zh-CN"/>
        </w:rPr>
        <w:t>计取</w:t>
      </w:r>
      <w:r>
        <w:rPr>
          <w:rFonts w:hint="eastAsia" w:ascii="仿宋" w:hAnsi="仿宋" w:eastAsia="仿宋" w:cs="Times New Roman"/>
          <w:color w:val="auto"/>
          <w:kern w:val="2"/>
          <w:sz w:val="24"/>
          <w:szCs w:val="24"/>
          <w:highlight w:val="none"/>
          <w:u w:val="none"/>
          <w:lang w:val="en-US" w:eastAsia="zh-CN" w:bidi="ar"/>
        </w:rPr>
        <w:t>。</w:t>
      </w:r>
    </w:p>
    <w:p w14:paraId="27D1E9AB">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77" w:name="_Toc432697159"/>
      <w:bookmarkStart w:id="78" w:name="_Toc320473367"/>
      <w:bookmarkStart w:id="79" w:name="_Toc5788084"/>
      <w:bookmarkStart w:id="80" w:name="_Toc8568318"/>
      <w:bookmarkStart w:id="81" w:name="_Toc8568224"/>
      <w:bookmarkStart w:id="82" w:name="_Toc451275959"/>
      <w:r>
        <w:rPr>
          <w:rFonts w:ascii="仿宋" w:hAnsi="仿宋" w:eastAsia="仿宋" w:cs="宋体"/>
          <w:b/>
          <w:bCs/>
          <w:color w:val="auto"/>
          <w:sz w:val="24"/>
          <w:szCs w:val="24"/>
          <w:highlight w:val="none"/>
        </w:rPr>
        <w:t xml:space="preserve">1.6 </w:t>
      </w:r>
      <w:r>
        <w:rPr>
          <w:rFonts w:hint="eastAsia" w:ascii="仿宋" w:hAnsi="仿宋" w:eastAsia="仿宋" w:cs="宋体"/>
          <w:b/>
          <w:bCs/>
          <w:color w:val="auto"/>
          <w:sz w:val="24"/>
          <w:szCs w:val="24"/>
          <w:highlight w:val="none"/>
        </w:rPr>
        <w:t>保密</w:t>
      </w:r>
      <w:bookmarkEnd w:id="77"/>
      <w:bookmarkEnd w:id="78"/>
      <w:bookmarkEnd w:id="79"/>
      <w:bookmarkEnd w:id="80"/>
      <w:bookmarkEnd w:id="81"/>
      <w:bookmarkEnd w:id="82"/>
    </w:p>
    <w:p w14:paraId="5F0C9C6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参与招标投标活动的各方应对</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文件和投标文件中的商业和技术等秘密保密，违者应对由此造成的后果承担法律责任。</w:t>
      </w:r>
    </w:p>
    <w:p w14:paraId="78477D4D">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83" w:name="_Toc320473368"/>
      <w:bookmarkStart w:id="84" w:name="_Toc8568225"/>
      <w:bookmarkStart w:id="85" w:name="_Toc432697160"/>
      <w:bookmarkStart w:id="86" w:name="_Toc451275960"/>
      <w:bookmarkStart w:id="87" w:name="_Toc8568319"/>
      <w:bookmarkStart w:id="88" w:name="_Toc5788085"/>
      <w:r>
        <w:rPr>
          <w:rFonts w:ascii="仿宋" w:hAnsi="仿宋" w:eastAsia="仿宋" w:cs="宋体"/>
          <w:b/>
          <w:bCs/>
          <w:color w:val="auto"/>
          <w:sz w:val="24"/>
          <w:szCs w:val="24"/>
          <w:highlight w:val="none"/>
        </w:rPr>
        <w:t xml:space="preserve">1.7 </w:t>
      </w:r>
      <w:r>
        <w:rPr>
          <w:rFonts w:hint="eastAsia" w:ascii="仿宋" w:hAnsi="仿宋" w:eastAsia="仿宋" w:cs="宋体"/>
          <w:b/>
          <w:bCs/>
          <w:color w:val="auto"/>
          <w:sz w:val="24"/>
          <w:szCs w:val="24"/>
          <w:highlight w:val="none"/>
        </w:rPr>
        <w:t>语言文字</w:t>
      </w:r>
      <w:bookmarkEnd w:id="83"/>
      <w:bookmarkEnd w:id="84"/>
      <w:bookmarkEnd w:id="85"/>
      <w:bookmarkEnd w:id="86"/>
      <w:bookmarkEnd w:id="87"/>
      <w:bookmarkEnd w:id="88"/>
    </w:p>
    <w:p w14:paraId="41FD617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除专用术语外，与招标投标有关的语言均使用中文。必要时专用术语应附中文注释。</w:t>
      </w:r>
    </w:p>
    <w:p w14:paraId="722F8626">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89" w:name="_Toc320473369"/>
      <w:bookmarkStart w:id="90" w:name="_Toc8568226"/>
      <w:bookmarkStart w:id="91" w:name="_Toc5788086"/>
      <w:bookmarkStart w:id="92" w:name="_Toc8568320"/>
      <w:bookmarkStart w:id="93" w:name="_Toc451275961"/>
      <w:bookmarkStart w:id="94" w:name="_Toc432697161"/>
      <w:r>
        <w:rPr>
          <w:rFonts w:ascii="仿宋" w:hAnsi="仿宋" w:eastAsia="仿宋" w:cs="宋体"/>
          <w:b/>
          <w:bCs/>
          <w:color w:val="auto"/>
          <w:sz w:val="24"/>
          <w:szCs w:val="24"/>
          <w:highlight w:val="none"/>
        </w:rPr>
        <w:t xml:space="preserve">1.8 </w:t>
      </w:r>
      <w:r>
        <w:rPr>
          <w:rFonts w:hint="eastAsia" w:ascii="仿宋" w:hAnsi="仿宋" w:eastAsia="仿宋" w:cs="宋体"/>
          <w:b/>
          <w:bCs/>
          <w:color w:val="auto"/>
          <w:sz w:val="24"/>
          <w:szCs w:val="24"/>
          <w:highlight w:val="none"/>
        </w:rPr>
        <w:t>计量单位</w:t>
      </w:r>
      <w:bookmarkEnd w:id="89"/>
      <w:bookmarkEnd w:id="90"/>
      <w:bookmarkEnd w:id="91"/>
      <w:bookmarkEnd w:id="92"/>
      <w:bookmarkEnd w:id="93"/>
      <w:bookmarkEnd w:id="94"/>
    </w:p>
    <w:p w14:paraId="08194BF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所有计量均采用中华人民共和国法定计量单位。</w:t>
      </w:r>
    </w:p>
    <w:p w14:paraId="39C98B51">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95" w:name="_Toc5788087"/>
      <w:bookmarkStart w:id="96" w:name="_Toc8568227"/>
      <w:bookmarkStart w:id="97" w:name="_Toc320473370"/>
      <w:bookmarkStart w:id="98" w:name="_Toc8568321"/>
      <w:bookmarkStart w:id="99" w:name="_Toc432697162"/>
      <w:bookmarkStart w:id="100" w:name="_Toc451275962"/>
      <w:r>
        <w:rPr>
          <w:rFonts w:ascii="仿宋" w:hAnsi="仿宋" w:eastAsia="仿宋" w:cs="宋体"/>
          <w:b/>
          <w:bCs/>
          <w:color w:val="auto"/>
          <w:sz w:val="24"/>
          <w:szCs w:val="24"/>
          <w:highlight w:val="none"/>
        </w:rPr>
        <w:t xml:space="preserve">1.9 </w:t>
      </w:r>
      <w:r>
        <w:rPr>
          <w:rFonts w:hint="eastAsia" w:ascii="仿宋" w:hAnsi="仿宋" w:eastAsia="仿宋" w:cs="宋体"/>
          <w:b/>
          <w:bCs/>
          <w:color w:val="auto"/>
          <w:sz w:val="24"/>
          <w:szCs w:val="24"/>
          <w:highlight w:val="none"/>
        </w:rPr>
        <w:t>踏勘现场</w:t>
      </w:r>
      <w:bookmarkEnd w:id="95"/>
      <w:bookmarkEnd w:id="96"/>
      <w:bookmarkEnd w:id="97"/>
      <w:bookmarkEnd w:id="98"/>
      <w:bookmarkEnd w:id="99"/>
      <w:bookmarkEnd w:id="100"/>
    </w:p>
    <w:p w14:paraId="46BB8B0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1.9.1 </w:t>
      </w:r>
      <w:r>
        <w:rPr>
          <w:rFonts w:hint="eastAsia" w:ascii="仿宋" w:hAnsi="仿宋" w:eastAsia="仿宋" w:cs="宋体"/>
          <w:color w:val="auto"/>
          <w:sz w:val="24"/>
          <w:szCs w:val="24"/>
          <w:highlight w:val="none"/>
        </w:rPr>
        <w:t>投标须知前附表规定组织踏勘现场的，</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人按投标须知前附表规定的时间、地点组织</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踏勘项目现场。</w:t>
      </w:r>
    </w:p>
    <w:p w14:paraId="39C2696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1.9.2 </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踏勘现场发生的费用自理。</w:t>
      </w:r>
    </w:p>
    <w:p w14:paraId="3C60A78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1.9.3 </w:t>
      </w:r>
      <w:r>
        <w:rPr>
          <w:rFonts w:hint="eastAsia" w:ascii="仿宋" w:hAnsi="仿宋" w:eastAsia="仿宋" w:cs="宋体"/>
          <w:color w:val="auto"/>
          <w:sz w:val="24"/>
          <w:szCs w:val="24"/>
          <w:highlight w:val="none"/>
        </w:rPr>
        <w:t>除</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人的原因外，</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自行负责在踏勘现场中所发生的人员伤亡和财产损失。</w:t>
      </w:r>
    </w:p>
    <w:p w14:paraId="40FEFCB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1.9.4 </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人在踏勘现场中介绍的场地和相关的周边环境情况，仅供</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在编制投标文件时参考，</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人不对</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据此作出的判断和决策负责。</w:t>
      </w:r>
    </w:p>
    <w:p w14:paraId="24ED1CA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101" w:name="_Toc451275963"/>
      <w:bookmarkStart w:id="102" w:name="_Toc5788088"/>
      <w:bookmarkStart w:id="103" w:name="_Toc320473371"/>
      <w:bookmarkStart w:id="104" w:name="_Toc8568322"/>
      <w:bookmarkStart w:id="105" w:name="_Toc8568228"/>
      <w:bookmarkStart w:id="106" w:name="_Toc432697163"/>
      <w:r>
        <w:rPr>
          <w:rFonts w:ascii="仿宋" w:hAnsi="仿宋" w:eastAsia="仿宋" w:cs="宋体"/>
          <w:b/>
          <w:bCs/>
          <w:color w:val="auto"/>
          <w:sz w:val="24"/>
          <w:szCs w:val="24"/>
          <w:highlight w:val="none"/>
        </w:rPr>
        <w:t xml:space="preserve">1.10 </w:t>
      </w:r>
      <w:r>
        <w:rPr>
          <w:rFonts w:hint="eastAsia" w:ascii="仿宋" w:hAnsi="仿宋" w:eastAsia="仿宋" w:cs="宋体"/>
          <w:b/>
          <w:bCs/>
          <w:color w:val="auto"/>
          <w:sz w:val="24"/>
          <w:szCs w:val="24"/>
          <w:highlight w:val="none"/>
        </w:rPr>
        <w:t>投标预备会</w:t>
      </w:r>
      <w:bookmarkEnd w:id="101"/>
      <w:bookmarkEnd w:id="102"/>
      <w:bookmarkEnd w:id="103"/>
      <w:bookmarkEnd w:id="104"/>
      <w:bookmarkEnd w:id="105"/>
      <w:bookmarkEnd w:id="106"/>
    </w:p>
    <w:p w14:paraId="089EBB9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1.10.1 </w:t>
      </w:r>
      <w:r>
        <w:rPr>
          <w:rFonts w:hint="eastAsia" w:ascii="仿宋" w:hAnsi="仿宋" w:eastAsia="仿宋" w:cs="宋体"/>
          <w:color w:val="auto"/>
          <w:sz w:val="24"/>
          <w:szCs w:val="24"/>
          <w:highlight w:val="none"/>
        </w:rPr>
        <w:t>投标须知前附表规定召开投标预备会的，</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人按投标须知前附表规定的时间和地点召开投标预备会，澄清</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提出的问题。</w:t>
      </w:r>
    </w:p>
    <w:p w14:paraId="7D80E03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1.10.2 </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应在投标须知前附表规定的时间前，以书面形式将提出的问题送达</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人，以便</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人在会议期间澄清。</w:t>
      </w:r>
    </w:p>
    <w:p w14:paraId="02E0AD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1.10.3 </w:t>
      </w:r>
      <w:r>
        <w:rPr>
          <w:rFonts w:hint="eastAsia" w:ascii="仿宋" w:hAnsi="仿宋" w:eastAsia="仿宋" w:cs="宋体"/>
          <w:color w:val="auto"/>
          <w:sz w:val="24"/>
          <w:szCs w:val="24"/>
          <w:highlight w:val="none"/>
        </w:rPr>
        <w:t>投标预备会后，</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人在投标须知前附表规定的时间内，将对</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所提问题的澄清，以书面方式通知所有获取</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文件的</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。该澄清内容为</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文件的组成部分。</w:t>
      </w:r>
    </w:p>
    <w:p w14:paraId="6C3989FA">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107" w:name="_Toc451275964"/>
      <w:bookmarkStart w:id="108" w:name="_Toc5788089"/>
      <w:bookmarkStart w:id="109" w:name="_Toc8568229"/>
      <w:bookmarkStart w:id="110" w:name="_Toc432697164"/>
      <w:bookmarkStart w:id="111" w:name="_Toc320473372"/>
      <w:bookmarkStart w:id="112" w:name="_Toc8568323"/>
      <w:r>
        <w:rPr>
          <w:rFonts w:ascii="仿宋" w:hAnsi="仿宋" w:eastAsia="仿宋" w:cs="宋体"/>
          <w:b/>
          <w:bCs/>
          <w:color w:val="auto"/>
          <w:sz w:val="24"/>
          <w:szCs w:val="24"/>
          <w:highlight w:val="none"/>
        </w:rPr>
        <w:t xml:space="preserve">1.11 </w:t>
      </w:r>
      <w:r>
        <w:rPr>
          <w:rFonts w:hint="eastAsia" w:ascii="仿宋" w:hAnsi="仿宋" w:eastAsia="仿宋" w:cs="宋体"/>
          <w:b/>
          <w:bCs/>
          <w:color w:val="auto"/>
          <w:sz w:val="24"/>
          <w:szCs w:val="24"/>
          <w:highlight w:val="none"/>
        </w:rPr>
        <w:t>分包</w:t>
      </w:r>
      <w:bookmarkEnd w:id="107"/>
      <w:bookmarkEnd w:id="108"/>
      <w:bookmarkEnd w:id="109"/>
      <w:bookmarkEnd w:id="110"/>
      <w:bookmarkEnd w:id="111"/>
      <w:bookmarkEnd w:id="112"/>
    </w:p>
    <w:p w14:paraId="1545D3E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本招标项目是否允许分包：见投标须知前附表。</w:t>
      </w:r>
    </w:p>
    <w:p w14:paraId="358FE0B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113" w:name="_Toc451275965"/>
      <w:bookmarkStart w:id="114" w:name="_Toc8568324"/>
      <w:bookmarkStart w:id="115" w:name="_Toc8568230"/>
      <w:bookmarkStart w:id="116" w:name="_Toc5788090"/>
      <w:bookmarkStart w:id="117" w:name="_Toc320473373"/>
      <w:bookmarkStart w:id="118" w:name="_Toc432697165"/>
      <w:r>
        <w:rPr>
          <w:rFonts w:ascii="仿宋" w:hAnsi="仿宋" w:eastAsia="仿宋" w:cs="宋体"/>
          <w:b/>
          <w:bCs/>
          <w:color w:val="auto"/>
          <w:sz w:val="24"/>
          <w:szCs w:val="24"/>
          <w:highlight w:val="none"/>
        </w:rPr>
        <w:t xml:space="preserve">1.12 </w:t>
      </w:r>
      <w:r>
        <w:rPr>
          <w:rFonts w:hint="eastAsia" w:ascii="仿宋" w:hAnsi="仿宋" w:eastAsia="仿宋" w:cs="宋体"/>
          <w:b/>
          <w:bCs/>
          <w:color w:val="auto"/>
          <w:sz w:val="24"/>
          <w:szCs w:val="24"/>
          <w:highlight w:val="none"/>
        </w:rPr>
        <w:t>偏离</w:t>
      </w:r>
      <w:bookmarkEnd w:id="113"/>
      <w:bookmarkEnd w:id="114"/>
      <w:bookmarkEnd w:id="115"/>
      <w:bookmarkEnd w:id="116"/>
      <w:bookmarkEnd w:id="117"/>
      <w:bookmarkEnd w:id="118"/>
    </w:p>
    <w:p w14:paraId="6D10E24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投标须知前附表允许</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偏离</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文件某些要求的，偏离应当符合</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文件规定的偏离范围和幅度。</w:t>
      </w:r>
    </w:p>
    <w:p w14:paraId="468A134C">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0"/>
        <w:rPr>
          <w:rFonts w:ascii="仿宋" w:hAnsi="仿宋" w:eastAsia="仿宋"/>
          <w:b/>
          <w:bCs/>
          <w:color w:val="auto"/>
          <w:sz w:val="28"/>
          <w:szCs w:val="28"/>
          <w:highlight w:val="none"/>
        </w:rPr>
      </w:pPr>
      <w:bookmarkStart w:id="119" w:name="_Toc451275966"/>
      <w:bookmarkStart w:id="120" w:name="_Toc432697166"/>
      <w:bookmarkStart w:id="121" w:name="_Toc8568325"/>
      <w:bookmarkStart w:id="122" w:name="_Toc5788091"/>
      <w:bookmarkStart w:id="123" w:name="_Toc320473374"/>
      <w:r>
        <w:rPr>
          <w:rFonts w:hint="eastAsia" w:ascii="仿宋" w:hAnsi="仿宋" w:eastAsia="仿宋" w:cs="宋体"/>
          <w:b/>
          <w:bCs/>
          <w:color w:val="auto"/>
          <w:sz w:val="28"/>
          <w:szCs w:val="28"/>
          <w:highlight w:val="none"/>
        </w:rPr>
        <w:t>（二）</w:t>
      </w:r>
      <w:bookmarkEnd w:id="119"/>
      <w:bookmarkEnd w:id="120"/>
      <w:bookmarkEnd w:id="121"/>
      <w:bookmarkEnd w:id="122"/>
      <w:bookmarkEnd w:id="123"/>
      <w:r>
        <w:rPr>
          <w:rFonts w:hint="eastAsia" w:ascii="仿宋" w:hAnsi="仿宋" w:eastAsia="仿宋" w:cs="宋体"/>
          <w:b/>
          <w:bCs/>
          <w:color w:val="auto"/>
          <w:kern w:val="2"/>
          <w:sz w:val="28"/>
          <w:szCs w:val="28"/>
          <w:highlight w:val="none"/>
          <w:lang w:eastAsia="zh-CN"/>
        </w:rPr>
        <w:t>招标</w:t>
      </w:r>
      <w:r>
        <w:rPr>
          <w:rFonts w:hint="eastAsia" w:ascii="仿宋" w:hAnsi="仿宋" w:eastAsia="仿宋" w:cs="宋体"/>
          <w:b/>
          <w:bCs/>
          <w:color w:val="auto"/>
          <w:sz w:val="28"/>
          <w:szCs w:val="28"/>
          <w:highlight w:val="none"/>
        </w:rPr>
        <w:t>文件</w:t>
      </w:r>
    </w:p>
    <w:p w14:paraId="77FE38D5">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124" w:name="_Toc5788092"/>
      <w:bookmarkStart w:id="125" w:name="_Toc451275967"/>
      <w:bookmarkStart w:id="126" w:name="_Toc8568232"/>
      <w:bookmarkStart w:id="127" w:name="_Toc432697167"/>
      <w:bookmarkStart w:id="128" w:name="_Toc8568326"/>
      <w:bookmarkStart w:id="129" w:name="_Toc320473375"/>
      <w:r>
        <w:rPr>
          <w:rFonts w:ascii="仿宋" w:hAnsi="仿宋" w:eastAsia="仿宋" w:cs="宋体"/>
          <w:b/>
          <w:bCs/>
          <w:color w:val="auto"/>
          <w:sz w:val="24"/>
          <w:szCs w:val="24"/>
          <w:highlight w:val="none"/>
        </w:rPr>
        <w:t xml:space="preserve">2.1 </w:t>
      </w:r>
      <w:r>
        <w:rPr>
          <w:rFonts w:hint="eastAsia" w:ascii="仿宋" w:hAnsi="仿宋" w:eastAsia="仿宋" w:cs="宋体"/>
          <w:b/>
          <w:bCs/>
          <w:color w:val="auto"/>
          <w:kern w:val="2"/>
          <w:sz w:val="24"/>
          <w:szCs w:val="24"/>
          <w:highlight w:val="none"/>
          <w:lang w:eastAsia="zh-CN"/>
        </w:rPr>
        <w:t>招标</w:t>
      </w:r>
      <w:r>
        <w:rPr>
          <w:rFonts w:hint="eastAsia" w:ascii="仿宋" w:hAnsi="仿宋" w:eastAsia="仿宋" w:cs="宋体"/>
          <w:b/>
          <w:bCs/>
          <w:color w:val="auto"/>
          <w:sz w:val="24"/>
          <w:szCs w:val="24"/>
          <w:highlight w:val="none"/>
        </w:rPr>
        <w:t>文件的组成</w:t>
      </w:r>
      <w:bookmarkEnd w:id="124"/>
      <w:bookmarkEnd w:id="125"/>
      <w:bookmarkEnd w:id="126"/>
      <w:bookmarkEnd w:id="127"/>
      <w:bookmarkEnd w:id="128"/>
      <w:bookmarkEnd w:id="129"/>
    </w:p>
    <w:p w14:paraId="65F2320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r>
        <w:rPr>
          <w:rFonts w:hint="eastAsia" w:ascii="仿宋" w:hAnsi="仿宋" w:eastAsia="仿宋" w:cs="黑体"/>
          <w:color w:val="auto"/>
          <w:sz w:val="24"/>
          <w:szCs w:val="24"/>
          <w:highlight w:val="none"/>
          <w:lang w:val="en-US" w:eastAsia="zh-CN"/>
        </w:rPr>
        <w:t>本招标文件包括：</w:t>
      </w:r>
    </w:p>
    <w:p w14:paraId="27C3DEE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r>
        <w:rPr>
          <w:rFonts w:hint="eastAsia" w:ascii="仿宋" w:hAnsi="仿宋" w:eastAsia="仿宋" w:cs="黑体"/>
          <w:color w:val="auto"/>
          <w:sz w:val="24"/>
          <w:szCs w:val="24"/>
          <w:highlight w:val="none"/>
          <w:lang w:val="en-US" w:eastAsia="zh-CN"/>
        </w:rPr>
        <w:t>第一章 招标公告</w:t>
      </w:r>
    </w:p>
    <w:p w14:paraId="6CF8D87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r>
        <w:rPr>
          <w:rFonts w:hint="eastAsia" w:ascii="仿宋" w:hAnsi="仿宋" w:eastAsia="仿宋" w:cs="黑体"/>
          <w:color w:val="auto"/>
          <w:sz w:val="24"/>
          <w:szCs w:val="24"/>
          <w:highlight w:val="none"/>
          <w:lang w:val="en-US" w:eastAsia="zh-CN"/>
        </w:rPr>
        <w:t>第二章 投标人须知</w:t>
      </w:r>
    </w:p>
    <w:p w14:paraId="7851F7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r>
        <w:rPr>
          <w:rFonts w:hint="eastAsia" w:ascii="仿宋" w:hAnsi="仿宋" w:eastAsia="仿宋" w:cs="黑体"/>
          <w:color w:val="auto"/>
          <w:sz w:val="24"/>
          <w:szCs w:val="24"/>
          <w:highlight w:val="none"/>
          <w:lang w:val="en-US" w:eastAsia="zh-CN"/>
        </w:rPr>
        <w:t>第三章 评标办法（综合评分法）</w:t>
      </w:r>
    </w:p>
    <w:p w14:paraId="1C0AFE8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r>
        <w:rPr>
          <w:rFonts w:hint="eastAsia" w:ascii="仿宋" w:hAnsi="仿宋" w:eastAsia="仿宋" w:cs="黑体"/>
          <w:color w:val="auto"/>
          <w:sz w:val="24"/>
          <w:szCs w:val="24"/>
          <w:highlight w:val="none"/>
          <w:lang w:val="en-US" w:eastAsia="zh-CN"/>
        </w:rPr>
        <w:t>第四章 合同文件条款</w:t>
      </w:r>
    </w:p>
    <w:p w14:paraId="66AAB91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r>
        <w:rPr>
          <w:rFonts w:hint="eastAsia" w:ascii="仿宋" w:hAnsi="仿宋" w:eastAsia="仿宋" w:cs="黑体"/>
          <w:color w:val="auto"/>
          <w:sz w:val="24"/>
          <w:szCs w:val="24"/>
          <w:highlight w:val="none"/>
          <w:lang w:val="en-US" w:eastAsia="zh-CN"/>
        </w:rPr>
        <w:t>第五章 招标内容及技术要求</w:t>
      </w:r>
    </w:p>
    <w:p w14:paraId="38D9709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r>
        <w:rPr>
          <w:rFonts w:hint="eastAsia" w:ascii="仿宋" w:hAnsi="仿宋" w:eastAsia="仿宋" w:cs="黑体"/>
          <w:color w:val="auto"/>
          <w:sz w:val="24"/>
          <w:szCs w:val="24"/>
          <w:highlight w:val="none"/>
          <w:lang w:val="en-US" w:eastAsia="zh-CN"/>
        </w:rPr>
        <w:t>第六章 投标文件格式</w:t>
      </w:r>
    </w:p>
    <w:p w14:paraId="1D476E9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根据本章第</w:t>
      </w:r>
      <w:r>
        <w:rPr>
          <w:rFonts w:ascii="仿宋" w:hAnsi="仿宋" w:eastAsia="仿宋" w:cs="宋体"/>
          <w:color w:val="auto"/>
          <w:sz w:val="24"/>
          <w:szCs w:val="24"/>
          <w:highlight w:val="none"/>
        </w:rPr>
        <w:t>1.10</w:t>
      </w:r>
      <w:r>
        <w:rPr>
          <w:rFonts w:hint="eastAsia" w:ascii="仿宋" w:hAnsi="仿宋" w:eastAsia="仿宋" w:cs="宋体"/>
          <w:color w:val="auto"/>
          <w:sz w:val="24"/>
          <w:szCs w:val="24"/>
          <w:highlight w:val="none"/>
        </w:rPr>
        <w:t>款、第</w:t>
      </w:r>
      <w:r>
        <w:rPr>
          <w:rFonts w:ascii="仿宋" w:hAnsi="仿宋" w:eastAsia="仿宋" w:cs="宋体"/>
          <w:color w:val="auto"/>
          <w:sz w:val="24"/>
          <w:szCs w:val="24"/>
          <w:highlight w:val="none"/>
        </w:rPr>
        <w:t>2.2</w:t>
      </w:r>
      <w:r>
        <w:rPr>
          <w:rFonts w:hint="eastAsia" w:ascii="仿宋" w:hAnsi="仿宋" w:eastAsia="仿宋" w:cs="宋体"/>
          <w:color w:val="auto"/>
          <w:sz w:val="24"/>
          <w:szCs w:val="24"/>
          <w:highlight w:val="none"/>
        </w:rPr>
        <w:t>款和第</w:t>
      </w:r>
      <w:r>
        <w:rPr>
          <w:rFonts w:ascii="仿宋" w:hAnsi="仿宋" w:eastAsia="仿宋" w:cs="宋体"/>
          <w:color w:val="auto"/>
          <w:sz w:val="24"/>
          <w:szCs w:val="24"/>
          <w:highlight w:val="none"/>
        </w:rPr>
        <w:t>2.3</w:t>
      </w:r>
      <w:r>
        <w:rPr>
          <w:rFonts w:hint="eastAsia" w:ascii="仿宋" w:hAnsi="仿宋" w:eastAsia="仿宋" w:cs="宋体"/>
          <w:color w:val="auto"/>
          <w:sz w:val="24"/>
          <w:szCs w:val="24"/>
          <w:highlight w:val="none"/>
        </w:rPr>
        <w:t>款对</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文件所作的澄清、修改，构成</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文件的组成部分。</w:t>
      </w:r>
    </w:p>
    <w:p w14:paraId="313521DE">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130" w:name="_Toc8568233"/>
      <w:bookmarkStart w:id="131" w:name="_Toc432697168"/>
      <w:bookmarkStart w:id="132" w:name="_Toc8568327"/>
      <w:bookmarkStart w:id="133" w:name="_Toc320473376"/>
      <w:bookmarkStart w:id="134" w:name="_Toc451275968"/>
      <w:bookmarkStart w:id="135" w:name="_Toc5788093"/>
      <w:r>
        <w:rPr>
          <w:rFonts w:ascii="仿宋" w:hAnsi="仿宋" w:eastAsia="仿宋" w:cs="宋体"/>
          <w:b/>
          <w:bCs/>
          <w:color w:val="auto"/>
          <w:sz w:val="24"/>
          <w:szCs w:val="24"/>
          <w:highlight w:val="none"/>
        </w:rPr>
        <w:t xml:space="preserve">2.2 </w:t>
      </w:r>
      <w:r>
        <w:rPr>
          <w:rFonts w:hint="eastAsia" w:ascii="仿宋" w:hAnsi="仿宋" w:eastAsia="仿宋" w:cs="宋体"/>
          <w:b/>
          <w:bCs/>
          <w:color w:val="auto"/>
          <w:kern w:val="2"/>
          <w:sz w:val="24"/>
          <w:szCs w:val="24"/>
          <w:highlight w:val="none"/>
          <w:lang w:eastAsia="zh-CN"/>
        </w:rPr>
        <w:t>招标</w:t>
      </w:r>
      <w:r>
        <w:rPr>
          <w:rFonts w:hint="eastAsia" w:ascii="仿宋" w:hAnsi="仿宋" w:eastAsia="仿宋" w:cs="宋体"/>
          <w:b/>
          <w:bCs/>
          <w:color w:val="auto"/>
          <w:sz w:val="24"/>
          <w:szCs w:val="24"/>
          <w:highlight w:val="none"/>
        </w:rPr>
        <w:t>文件的澄清</w:t>
      </w:r>
      <w:bookmarkEnd w:id="130"/>
      <w:bookmarkEnd w:id="131"/>
      <w:bookmarkEnd w:id="132"/>
      <w:bookmarkEnd w:id="133"/>
      <w:bookmarkEnd w:id="134"/>
      <w:bookmarkEnd w:id="135"/>
    </w:p>
    <w:p w14:paraId="7B5865CB">
      <w:pPr>
        <w:pStyle w:val="16"/>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黑体"/>
          <w:color w:val="auto"/>
          <w:sz w:val="24"/>
          <w:szCs w:val="24"/>
          <w:highlight w:val="none"/>
          <w:lang w:val="en-US" w:eastAsia="zh-CN" w:bidi="ar-SA"/>
        </w:rPr>
      </w:pPr>
      <w:r>
        <w:rPr>
          <w:rFonts w:hint="eastAsia" w:ascii="仿宋" w:hAnsi="仿宋" w:eastAsia="仿宋" w:cs="黑体"/>
          <w:color w:val="auto"/>
          <w:sz w:val="24"/>
          <w:szCs w:val="24"/>
          <w:highlight w:val="none"/>
          <w:lang w:val="en-US" w:eastAsia="zh-CN" w:bidi="ar-SA"/>
        </w:rPr>
        <w:t>2.2.1招标人或者招标代理机构可以对已发出的招标文件进行必要的澄清，澄清的时间和形式见投标人须知前附表，澄清内容为招标文件的组成部分。</w:t>
      </w:r>
    </w:p>
    <w:p w14:paraId="1AD7A456">
      <w:pPr>
        <w:pStyle w:val="16"/>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黑体"/>
          <w:color w:val="auto"/>
          <w:sz w:val="24"/>
          <w:szCs w:val="24"/>
          <w:highlight w:val="none"/>
          <w:lang w:val="en-US" w:eastAsia="zh-CN" w:bidi="ar-SA"/>
        </w:rPr>
      </w:pPr>
      <w:r>
        <w:rPr>
          <w:rFonts w:hint="eastAsia" w:ascii="仿宋" w:hAnsi="仿宋" w:eastAsia="仿宋" w:cs="黑体"/>
          <w:color w:val="auto"/>
          <w:sz w:val="24"/>
          <w:szCs w:val="24"/>
          <w:highlight w:val="none"/>
          <w:lang w:val="en-US" w:eastAsia="zh-CN" w:bidi="ar-SA"/>
        </w:rPr>
        <w:t>2.2.2投标截止时间：见投标须知前附表。</w:t>
      </w:r>
    </w:p>
    <w:p w14:paraId="336D4968">
      <w:pPr>
        <w:pStyle w:val="16"/>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黑体"/>
          <w:color w:val="auto"/>
          <w:sz w:val="24"/>
          <w:szCs w:val="24"/>
          <w:highlight w:val="none"/>
          <w:lang w:val="en-US" w:eastAsia="zh-CN" w:bidi="ar-SA"/>
        </w:rPr>
      </w:pPr>
      <w:r>
        <w:rPr>
          <w:rFonts w:hint="eastAsia" w:ascii="仿宋" w:hAnsi="仿宋" w:eastAsia="仿宋" w:cs="黑体"/>
          <w:color w:val="auto"/>
          <w:sz w:val="24"/>
          <w:szCs w:val="24"/>
          <w:highlight w:val="none"/>
          <w:lang w:val="en-US" w:eastAsia="zh-CN" w:bidi="ar-SA"/>
        </w:rPr>
        <w:t>2.2.3澄清和补遗全部通过网络送达，请投标人在开标截止前，务必查询云南省政府采购网（网址：http://www.yngp.com），投标人自行登录云南省政府采购网获取澄清，无须回复确认已收到该澄清，招标人不再另行通知。</w:t>
      </w:r>
    </w:p>
    <w:p w14:paraId="39903D45">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136" w:name="_Toc451275969"/>
      <w:bookmarkStart w:id="137" w:name="_Toc320473377"/>
      <w:bookmarkStart w:id="138" w:name="_Toc8568328"/>
      <w:bookmarkStart w:id="139" w:name="_Toc8568234"/>
      <w:bookmarkStart w:id="140" w:name="_Toc5788094"/>
      <w:bookmarkStart w:id="141" w:name="_Toc432697169"/>
      <w:r>
        <w:rPr>
          <w:rFonts w:ascii="仿宋" w:hAnsi="仿宋" w:eastAsia="仿宋" w:cs="宋体"/>
          <w:b/>
          <w:bCs/>
          <w:color w:val="auto"/>
          <w:sz w:val="24"/>
          <w:szCs w:val="24"/>
          <w:highlight w:val="none"/>
        </w:rPr>
        <w:t xml:space="preserve">2.3 </w:t>
      </w:r>
      <w:r>
        <w:rPr>
          <w:rFonts w:hint="eastAsia" w:ascii="仿宋" w:hAnsi="仿宋" w:eastAsia="仿宋" w:cs="宋体"/>
          <w:b/>
          <w:bCs/>
          <w:color w:val="auto"/>
          <w:sz w:val="24"/>
          <w:szCs w:val="24"/>
          <w:highlight w:val="none"/>
          <w:lang w:eastAsia="zh-CN"/>
        </w:rPr>
        <w:t>招标</w:t>
      </w:r>
      <w:r>
        <w:rPr>
          <w:rFonts w:hint="eastAsia" w:ascii="仿宋" w:hAnsi="仿宋" w:eastAsia="仿宋" w:cs="宋体"/>
          <w:b/>
          <w:bCs/>
          <w:color w:val="auto"/>
          <w:sz w:val="24"/>
          <w:szCs w:val="24"/>
          <w:highlight w:val="none"/>
        </w:rPr>
        <w:t>文件的修改</w:t>
      </w:r>
      <w:bookmarkEnd w:id="136"/>
      <w:bookmarkEnd w:id="137"/>
      <w:bookmarkEnd w:id="138"/>
      <w:bookmarkEnd w:id="139"/>
      <w:bookmarkEnd w:id="140"/>
      <w:bookmarkEnd w:id="141"/>
    </w:p>
    <w:p w14:paraId="7F5B1A8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 xml:space="preserve">2.3.1 </w:t>
      </w:r>
      <w:r>
        <w:rPr>
          <w:rFonts w:hint="eastAsia" w:ascii="仿宋" w:hAnsi="仿宋" w:eastAsia="仿宋" w:cs="宋体"/>
          <w:color w:val="auto"/>
          <w:sz w:val="24"/>
          <w:szCs w:val="24"/>
          <w:highlight w:val="none"/>
          <w:lang w:val="en-US" w:eastAsia="zh-CN"/>
        </w:rPr>
        <w:t>招标人或者招标代理机构可以对已发出的招标文件进行必要的修改，修改的时间和形式见投标人须知前附表，修改内容为招标文件的组成部分。</w:t>
      </w:r>
    </w:p>
    <w:p w14:paraId="1AAAC15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2.3.2</w:t>
      </w:r>
      <w:r>
        <w:rPr>
          <w:rFonts w:hint="eastAsia" w:ascii="仿宋" w:hAnsi="仿宋" w:eastAsia="仿宋" w:cs="宋体"/>
          <w:color w:val="auto"/>
          <w:sz w:val="24"/>
          <w:szCs w:val="24"/>
          <w:highlight w:val="none"/>
          <w:lang w:val="en-US" w:eastAsia="zh-CN"/>
        </w:rPr>
        <w:t>修改的内容可能影响投标文件编制的，招标人或者招标代理机构应当在投标截止时间至少15日前，以投标人须知前附表规定的形式通知所有获取招标文件的潜在投标人；不足15日的，招标人或者招标代理机构应当顺延提交投标文件的截止时间</w:t>
      </w:r>
      <w:r>
        <w:rPr>
          <w:rFonts w:hint="eastAsia" w:ascii="宋体" w:hAnsi="宋体" w:eastAsia="宋体" w:cs="宋体"/>
          <w:color w:val="auto"/>
          <w:sz w:val="24"/>
          <w:szCs w:val="24"/>
          <w:highlight w:val="none"/>
          <w:lang w:val="en-US" w:eastAsia="zh-CN"/>
        </w:rPr>
        <w:t>。</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自行登录云南省</w:t>
      </w:r>
      <w:r>
        <w:rPr>
          <w:rFonts w:hint="eastAsia" w:ascii="仿宋" w:hAnsi="仿宋" w:eastAsia="仿宋" w:cs="宋体"/>
          <w:color w:val="auto"/>
          <w:sz w:val="24"/>
          <w:szCs w:val="24"/>
          <w:highlight w:val="none"/>
          <w:lang w:eastAsia="zh-CN"/>
        </w:rPr>
        <w:t>政府采购</w:t>
      </w:r>
      <w:r>
        <w:rPr>
          <w:rFonts w:hint="eastAsia" w:ascii="仿宋" w:hAnsi="仿宋" w:eastAsia="仿宋" w:cs="宋体"/>
          <w:color w:val="auto"/>
          <w:sz w:val="24"/>
          <w:szCs w:val="24"/>
          <w:highlight w:val="none"/>
        </w:rPr>
        <w:t>网收取修改内容，无须回复确认已收到该修改。</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应在截标时间前随时查看“</w:t>
      </w:r>
      <w:r>
        <w:rPr>
          <w:rFonts w:hint="eastAsia" w:ascii="仿宋" w:hAnsi="仿宋" w:eastAsia="仿宋" w:cs="宋体"/>
          <w:color w:val="auto"/>
          <w:kern w:val="2"/>
          <w:sz w:val="24"/>
          <w:szCs w:val="24"/>
          <w:highlight w:val="none"/>
        </w:rPr>
        <w:t>云南省政府采购网、</w:t>
      </w:r>
      <w:r>
        <w:rPr>
          <w:rFonts w:hint="eastAsia" w:ascii="仿宋" w:hAnsi="仿宋" w:eastAsia="仿宋" w:cs="宋体"/>
          <w:color w:val="auto"/>
          <w:kern w:val="2"/>
          <w:sz w:val="24"/>
          <w:szCs w:val="24"/>
          <w:highlight w:val="none"/>
          <w:lang w:eastAsia="zh-CN"/>
        </w:rPr>
        <w:t>政府采购云平台</w:t>
      </w:r>
      <w:r>
        <w:rPr>
          <w:rFonts w:hint="eastAsia" w:ascii="仿宋" w:hAnsi="仿宋" w:eastAsia="仿宋" w:cs="宋体"/>
          <w:color w:val="auto"/>
          <w:sz w:val="24"/>
          <w:szCs w:val="24"/>
          <w:highlight w:val="none"/>
        </w:rPr>
        <w:t>”中有关该</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文件的答疑、补遗内容。否则，由此引起的投标损失自负。</w:t>
      </w:r>
    </w:p>
    <w:p w14:paraId="32508C1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2.3.3</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文件、</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文件澄清、</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文件修改内容均以网上发布的为准，当</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文件、</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文件澄清、</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文件修改内容相互矛盾时，以最后发出的为准。</w:t>
      </w:r>
    </w:p>
    <w:p w14:paraId="42EA884E">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0"/>
        <w:rPr>
          <w:rFonts w:ascii="仿宋" w:hAnsi="仿宋" w:eastAsia="仿宋"/>
          <w:b/>
          <w:bCs/>
          <w:color w:val="auto"/>
          <w:sz w:val="28"/>
          <w:szCs w:val="28"/>
          <w:highlight w:val="none"/>
        </w:rPr>
      </w:pPr>
      <w:bookmarkStart w:id="142" w:name="_Toc8568329"/>
      <w:bookmarkStart w:id="143" w:name="_Toc5788095"/>
      <w:bookmarkStart w:id="144" w:name="_Toc451275970"/>
      <w:bookmarkStart w:id="145" w:name="_Toc432697170"/>
      <w:bookmarkStart w:id="146" w:name="_Toc229583203"/>
      <w:r>
        <w:rPr>
          <w:rFonts w:hint="eastAsia" w:ascii="仿宋" w:hAnsi="仿宋" w:eastAsia="仿宋" w:cs="宋体"/>
          <w:b/>
          <w:bCs/>
          <w:color w:val="auto"/>
          <w:sz w:val="28"/>
          <w:szCs w:val="28"/>
          <w:highlight w:val="none"/>
        </w:rPr>
        <w:t>（三）投标文件的编制</w:t>
      </w:r>
      <w:bookmarkEnd w:id="142"/>
      <w:bookmarkEnd w:id="143"/>
      <w:bookmarkEnd w:id="144"/>
      <w:bookmarkEnd w:id="145"/>
      <w:bookmarkEnd w:id="146"/>
    </w:p>
    <w:p w14:paraId="3EF7B312">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cs="黑体"/>
          <w:b/>
          <w:bCs/>
          <w:color w:val="auto"/>
          <w:sz w:val="24"/>
          <w:szCs w:val="24"/>
          <w:highlight w:val="none"/>
        </w:rPr>
      </w:pPr>
      <w:bookmarkStart w:id="147" w:name="_Toc5788096"/>
      <w:bookmarkStart w:id="148" w:name="_Toc8568236"/>
      <w:bookmarkStart w:id="149" w:name="_Toc432697171"/>
      <w:bookmarkStart w:id="150" w:name="_Toc8568330"/>
      <w:bookmarkStart w:id="151" w:name="_Toc451275971"/>
      <w:r>
        <w:rPr>
          <w:rFonts w:hint="eastAsia" w:ascii="仿宋" w:hAnsi="仿宋" w:eastAsia="仿宋" w:cs="黑体"/>
          <w:b/>
          <w:bCs/>
          <w:color w:val="auto"/>
          <w:sz w:val="24"/>
          <w:szCs w:val="24"/>
          <w:highlight w:val="none"/>
        </w:rPr>
        <w:t>3.1 投标文件的组成</w:t>
      </w:r>
      <w:bookmarkEnd w:id="147"/>
      <w:bookmarkEnd w:id="148"/>
      <w:bookmarkEnd w:id="149"/>
      <w:bookmarkEnd w:id="150"/>
      <w:bookmarkEnd w:id="151"/>
    </w:p>
    <w:p w14:paraId="27860A4E">
      <w:pPr>
        <w:keepNext w:val="0"/>
        <w:keepLines w:val="0"/>
        <w:pageBreakBefore w:val="0"/>
        <w:widowControl w:val="0"/>
        <w:kinsoku/>
        <w:wordWrap/>
        <w:overflowPunct/>
        <w:topLinePunct w:val="0"/>
        <w:autoSpaceDE/>
        <w:autoSpaceDN/>
        <w:bidi w:val="0"/>
        <w:adjustRightInd/>
        <w:snapToGrid/>
        <w:spacing w:line="480" w:lineRule="exact"/>
        <w:ind w:firstLine="566" w:firstLineChars="236"/>
        <w:textAlignment w:val="auto"/>
        <w:rPr>
          <w:rFonts w:ascii="仿宋" w:hAnsi="仿宋" w:eastAsia="仿宋" w:cs="黑体"/>
          <w:b w:val="0"/>
          <w:bCs w:val="0"/>
          <w:color w:val="auto"/>
          <w:sz w:val="24"/>
          <w:szCs w:val="24"/>
          <w:highlight w:val="none"/>
        </w:rPr>
      </w:pPr>
      <w:r>
        <w:rPr>
          <w:rFonts w:hint="eastAsia" w:ascii="仿宋" w:hAnsi="仿宋" w:eastAsia="仿宋" w:cs="黑体"/>
          <w:b w:val="0"/>
          <w:bCs w:val="0"/>
          <w:color w:val="auto"/>
          <w:sz w:val="24"/>
          <w:szCs w:val="24"/>
          <w:highlight w:val="none"/>
        </w:rPr>
        <w:t>3.1.1</w:t>
      </w:r>
      <w:r>
        <w:rPr>
          <w:rFonts w:hint="eastAsia" w:ascii="仿宋" w:hAnsi="仿宋" w:eastAsia="仿宋" w:cs="黑体"/>
          <w:b w:val="0"/>
          <w:bCs w:val="0"/>
          <w:color w:val="auto"/>
          <w:sz w:val="24"/>
          <w:szCs w:val="24"/>
          <w:highlight w:val="none"/>
        </w:rPr>
        <w:t xml:space="preserve"> 投标文件应包括投标函部分、</w:t>
      </w:r>
      <w:r>
        <w:rPr>
          <w:rFonts w:hint="eastAsia" w:ascii="仿宋" w:hAnsi="仿宋" w:eastAsia="仿宋" w:cs="黑体"/>
          <w:b w:val="0"/>
          <w:bCs w:val="0"/>
          <w:color w:val="auto"/>
          <w:sz w:val="24"/>
          <w:szCs w:val="24"/>
          <w:highlight w:val="none"/>
          <w:lang w:eastAsia="zh-CN"/>
        </w:rPr>
        <w:t>商务部分、</w:t>
      </w:r>
      <w:r>
        <w:rPr>
          <w:rFonts w:hint="eastAsia" w:ascii="仿宋" w:hAnsi="仿宋" w:eastAsia="仿宋" w:cs="黑体"/>
          <w:b w:val="0"/>
          <w:bCs w:val="0"/>
          <w:color w:val="auto"/>
          <w:sz w:val="24"/>
          <w:szCs w:val="24"/>
          <w:highlight w:val="none"/>
        </w:rPr>
        <w:t>技术部分和资格审查部分</w:t>
      </w:r>
      <w:r>
        <w:rPr>
          <w:rFonts w:hint="eastAsia" w:ascii="仿宋" w:hAnsi="仿宋" w:eastAsia="仿宋" w:cs="黑体"/>
          <w:b w:val="0"/>
          <w:bCs w:val="0"/>
          <w:color w:val="auto"/>
          <w:sz w:val="24"/>
          <w:szCs w:val="24"/>
          <w:highlight w:val="none"/>
          <w:lang w:eastAsia="zh-CN"/>
        </w:rPr>
        <w:t>四</w:t>
      </w:r>
      <w:r>
        <w:rPr>
          <w:rFonts w:hint="eastAsia" w:ascii="仿宋" w:hAnsi="仿宋" w:eastAsia="仿宋" w:cs="黑体"/>
          <w:b w:val="0"/>
          <w:bCs w:val="0"/>
          <w:color w:val="auto"/>
          <w:sz w:val="24"/>
          <w:szCs w:val="24"/>
          <w:highlight w:val="none"/>
        </w:rPr>
        <w:t>部分组成，格式详见第六章“</w:t>
      </w:r>
      <w:r>
        <w:rPr>
          <w:rFonts w:hint="eastAsia" w:ascii="仿宋" w:hAnsi="仿宋" w:eastAsia="仿宋" w:cs="黑体"/>
          <w:b w:val="0"/>
          <w:bCs w:val="0"/>
          <w:color w:val="auto"/>
          <w:sz w:val="24"/>
          <w:szCs w:val="24"/>
          <w:highlight w:val="none"/>
        </w:rPr>
        <w:t>投标文件格式”。</w:t>
      </w:r>
    </w:p>
    <w:p w14:paraId="328C7A7C">
      <w:pPr>
        <w:keepNext w:val="0"/>
        <w:keepLines w:val="0"/>
        <w:pageBreakBefore w:val="0"/>
        <w:widowControl w:val="0"/>
        <w:kinsoku/>
        <w:wordWrap/>
        <w:overflowPunct/>
        <w:topLinePunct w:val="0"/>
        <w:autoSpaceDE/>
        <w:autoSpaceDN/>
        <w:bidi w:val="0"/>
        <w:adjustRightInd/>
        <w:snapToGrid/>
        <w:spacing w:line="480" w:lineRule="exact"/>
        <w:ind w:firstLine="566" w:firstLineChars="236"/>
        <w:textAlignment w:val="auto"/>
        <w:rPr>
          <w:rFonts w:ascii="仿宋" w:hAnsi="仿宋" w:eastAsia="仿宋"/>
          <w:b/>
          <w:bCs/>
          <w:color w:val="auto"/>
          <w:sz w:val="24"/>
          <w:szCs w:val="24"/>
          <w:highlight w:val="none"/>
          <w:u w:val="single"/>
        </w:rPr>
      </w:pPr>
      <w:r>
        <w:rPr>
          <w:rFonts w:hint="eastAsia" w:ascii="仿宋" w:hAnsi="仿宋" w:eastAsia="仿宋" w:cs="黑体"/>
          <w:color w:val="auto"/>
          <w:sz w:val="24"/>
          <w:szCs w:val="24"/>
          <w:highlight w:val="none"/>
        </w:rPr>
        <w:t>3.1.2 投标文件包括本须知第3.1.1条中规定的内容，投标提交的投标文件应当使用</w:t>
      </w:r>
      <w:r>
        <w:rPr>
          <w:rFonts w:hint="eastAsia" w:ascii="仿宋" w:hAnsi="仿宋" w:eastAsia="仿宋" w:cs="黑体"/>
          <w:color w:val="auto"/>
          <w:sz w:val="24"/>
          <w:szCs w:val="24"/>
          <w:highlight w:val="none"/>
          <w:lang w:eastAsia="zh-CN"/>
        </w:rPr>
        <w:t>招标</w:t>
      </w:r>
      <w:r>
        <w:rPr>
          <w:rFonts w:hint="eastAsia" w:ascii="仿宋" w:hAnsi="仿宋" w:eastAsia="仿宋" w:cs="黑体"/>
          <w:color w:val="auto"/>
          <w:sz w:val="24"/>
          <w:szCs w:val="24"/>
          <w:highlight w:val="none"/>
        </w:rPr>
        <w:t>文件所提供的投标文件全部格式（表格可以按同样格式扩展）。</w:t>
      </w:r>
    </w:p>
    <w:p w14:paraId="136A2585">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cs="宋体"/>
          <w:b/>
          <w:bCs/>
          <w:color w:val="auto"/>
          <w:sz w:val="24"/>
          <w:szCs w:val="24"/>
          <w:highlight w:val="none"/>
        </w:rPr>
      </w:pPr>
      <w:bookmarkStart w:id="152" w:name="_Toc8568331"/>
      <w:bookmarkStart w:id="153" w:name="_Toc451275972"/>
      <w:bookmarkStart w:id="154" w:name="_Toc432697172"/>
      <w:bookmarkStart w:id="155" w:name="_Toc8568237"/>
      <w:bookmarkStart w:id="156" w:name="_Toc5788097"/>
      <w:r>
        <w:rPr>
          <w:rFonts w:ascii="仿宋" w:hAnsi="仿宋" w:eastAsia="仿宋" w:cs="宋体"/>
          <w:b/>
          <w:bCs/>
          <w:color w:val="auto"/>
          <w:sz w:val="24"/>
          <w:szCs w:val="24"/>
          <w:highlight w:val="none"/>
        </w:rPr>
        <w:t xml:space="preserve">3.2 </w:t>
      </w:r>
      <w:r>
        <w:rPr>
          <w:rFonts w:hint="eastAsia" w:ascii="仿宋" w:hAnsi="仿宋" w:eastAsia="仿宋" w:cs="宋体"/>
          <w:b/>
          <w:bCs/>
          <w:color w:val="auto"/>
          <w:sz w:val="24"/>
          <w:szCs w:val="24"/>
          <w:highlight w:val="none"/>
        </w:rPr>
        <w:t>投标报价</w:t>
      </w:r>
      <w:bookmarkEnd w:id="152"/>
      <w:bookmarkEnd w:id="153"/>
      <w:bookmarkEnd w:id="154"/>
      <w:bookmarkEnd w:id="155"/>
      <w:bookmarkEnd w:id="156"/>
    </w:p>
    <w:p w14:paraId="4D60E5D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3.2.1</w:t>
      </w:r>
      <w:r>
        <w:rPr>
          <w:rFonts w:hint="eastAsia" w:ascii="仿宋" w:hAnsi="仿宋" w:eastAsia="仿宋" w:cs="宋体"/>
          <w:color w:val="auto"/>
          <w:sz w:val="24"/>
          <w:szCs w:val="24"/>
          <w:highlight w:val="none"/>
        </w:rPr>
        <w:t>投标报价完成本项目所涉及的全部服务所需的各种费用及必要的费用和各项税金等所有费用的总和。</w:t>
      </w:r>
    </w:p>
    <w:p w14:paraId="3E6CB4F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3.2.2投标人应依据招标文件的要求及有关资料，按国家或行业现行技术经济标准、定额及规范，自行测算出满足招标要求的投标竞争性报价。投标报价包括但不仅限于</w:t>
      </w:r>
      <w:r>
        <w:rPr>
          <w:rFonts w:hint="eastAsia" w:ascii="仿宋" w:hAnsi="仿宋" w:eastAsia="仿宋" w:cs="宋体"/>
          <w:color w:val="auto"/>
          <w:kern w:val="2"/>
          <w:sz w:val="24"/>
          <w:szCs w:val="24"/>
          <w:highlight w:val="none"/>
          <w:lang w:val="en-US" w:eastAsia="zh-CN"/>
        </w:rPr>
        <w:t>完成本项目所有服务内容</w:t>
      </w:r>
      <w:r>
        <w:rPr>
          <w:rFonts w:hint="eastAsia" w:ascii="仿宋" w:hAnsi="仿宋" w:eastAsia="仿宋" w:cs="宋体"/>
          <w:color w:val="auto"/>
          <w:kern w:val="2"/>
          <w:sz w:val="24"/>
          <w:szCs w:val="24"/>
          <w:highlight w:val="none"/>
        </w:rPr>
        <w:t>费用的总和，该报价应考虑市场风险、政策性风险、汇率风险等因素，并能保证投标人完成履行合同所需的全部工作，此价格在合同签订后将不作调整。</w:t>
      </w:r>
    </w:p>
    <w:p w14:paraId="5D8BC42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0"/>
        <w:rPr>
          <w:rFonts w:ascii="仿宋" w:hAnsi="仿宋" w:eastAsia="仿宋" w:cs="宋体"/>
          <w:color w:val="auto"/>
          <w:sz w:val="24"/>
          <w:szCs w:val="24"/>
          <w:highlight w:val="none"/>
        </w:rPr>
      </w:pPr>
      <w:bookmarkStart w:id="157" w:name="_Toc8568332"/>
      <w:bookmarkStart w:id="158" w:name="_Toc8568238"/>
      <w:bookmarkStart w:id="159" w:name="_Toc451275973"/>
      <w:bookmarkStart w:id="160" w:name="_Toc432697173"/>
      <w:bookmarkStart w:id="161" w:name="_Toc5788098"/>
      <w:r>
        <w:rPr>
          <w:rFonts w:hint="eastAsia" w:ascii="仿宋" w:hAnsi="仿宋" w:eastAsia="仿宋" w:cs="宋体"/>
          <w:color w:val="auto"/>
          <w:sz w:val="24"/>
          <w:szCs w:val="24"/>
          <w:highlight w:val="none"/>
        </w:rPr>
        <w:t>3.2.</w:t>
      </w:r>
      <w:r>
        <w:rPr>
          <w:rFonts w:hint="eastAsia" w:ascii="仿宋" w:hAnsi="仿宋" w:eastAsia="仿宋" w:cs="宋体"/>
          <w:color w:val="auto"/>
          <w:sz w:val="24"/>
          <w:szCs w:val="24"/>
          <w:highlight w:val="none"/>
          <w:lang w:val="en-US" w:eastAsia="zh-CN"/>
        </w:rPr>
        <w:t>3</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投标报价应为人民币报价。</w:t>
      </w:r>
      <w:bookmarkEnd w:id="157"/>
      <w:bookmarkEnd w:id="158"/>
    </w:p>
    <w:p w14:paraId="577DF0F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162" w:name="_Toc8568239"/>
      <w:bookmarkStart w:id="163" w:name="_Toc8568333"/>
      <w:r>
        <w:rPr>
          <w:rFonts w:ascii="仿宋" w:hAnsi="仿宋" w:eastAsia="仿宋" w:cs="宋体"/>
          <w:b/>
          <w:bCs/>
          <w:color w:val="auto"/>
          <w:sz w:val="24"/>
          <w:szCs w:val="24"/>
          <w:highlight w:val="none"/>
        </w:rPr>
        <w:t xml:space="preserve">3.3 </w:t>
      </w:r>
      <w:r>
        <w:rPr>
          <w:rFonts w:hint="eastAsia" w:ascii="仿宋" w:hAnsi="仿宋" w:eastAsia="仿宋" w:cs="宋体"/>
          <w:b/>
          <w:bCs/>
          <w:color w:val="auto"/>
          <w:sz w:val="24"/>
          <w:szCs w:val="24"/>
          <w:highlight w:val="none"/>
        </w:rPr>
        <w:t>投标有效期</w:t>
      </w:r>
      <w:bookmarkEnd w:id="159"/>
      <w:bookmarkEnd w:id="160"/>
      <w:bookmarkEnd w:id="161"/>
      <w:bookmarkEnd w:id="162"/>
      <w:bookmarkEnd w:id="163"/>
    </w:p>
    <w:p w14:paraId="6760A4B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3.3.1 </w:t>
      </w:r>
      <w:r>
        <w:rPr>
          <w:rFonts w:hint="eastAsia" w:ascii="仿宋" w:hAnsi="仿宋" w:eastAsia="仿宋" w:cs="宋体"/>
          <w:color w:val="auto"/>
          <w:sz w:val="24"/>
          <w:szCs w:val="24"/>
          <w:highlight w:val="none"/>
        </w:rPr>
        <w:t>在投标须知前附表规定的投标有效期内，</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不得要求撤销或修改其投标文件。</w:t>
      </w:r>
    </w:p>
    <w:p w14:paraId="49B917D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3.3.2 </w:t>
      </w:r>
      <w:r>
        <w:rPr>
          <w:rFonts w:hint="eastAsia" w:ascii="仿宋" w:hAnsi="仿宋" w:eastAsia="仿宋" w:cs="宋体"/>
          <w:color w:val="auto"/>
          <w:sz w:val="24"/>
          <w:szCs w:val="24"/>
          <w:highlight w:val="none"/>
        </w:rPr>
        <w:t>出现特殊情况需要延长投标有效期的，</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人以书面形式通知所有</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延长投标有效期。</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同意延长的，应相应延长其投标保证金的有效期，但不得要求或被允许修改或撤销其投标文件；</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拒绝延长的，其投标失效，但</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有权收回其投标保证金。</w:t>
      </w:r>
    </w:p>
    <w:p w14:paraId="1F2746E5">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hint="eastAsia" w:ascii="仿宋" w:hAnsi="仿宋" w:eastAsia="仿宋"/>
          <w:b/>
          <w:bCs/>
          <w:color w:val="auto"/>
          <w:sz w:val="24"/>
          <w:szCs w:val="24"/>
          <w:highlight w:val="none"/>
          <w:lang w:eastAsia="zh-CN"/>
        </w:rPr>
      </w:pPr>
      <w:bookmarkStart w:id="164" w:name="_Toc5788099"/>
      <w:bookmarkStart w:id="165" w:name="_Toc8568334"/>
      <w:bookmarkStart w:id="166" w:name="_Toc8568240"/>
      <w:bookmarkStart w:id="167" w:name="_Toc432697174"/>
      <w:bookmarkStart w:id="168" w:name="_Toc451275974"/>
      <w:r>
        <w:rPr>
          <w:rFonts w:ascii="仿宋" w:hAnsi="仿宋" w:eastAsia="仿宋" w:cs="宋体"/>
          <w:b/>
          <w:bCs/>
          <w:color w:val="auto"/>
          <w:sz w:val="24"/>
          <w:szCs w:val="24"/>
          <w:highlight w:val="none"/>
        </w:rPr>
        <w:t>3.4</w:t>
      </w:r>
      <w:r>
        <w:rPr>
          <w:rFonts w:hint="eastAsia" w:ascii="仿宋" w:hAnsi="仿宋" w:eastAsia="仿宋" w:cs="宋体"/>
          <w:b/>
          <w:bCs/>
          <w:color w:val="auto"/>
          <w:sz w:val="24"/>
          <w:szCs w:val="24"/>
          <w:highlight w:val="none"/>
        </w:rPr>
        <w:t>投标保证金</w:t>
      </w:r>
      <w:bookmarkEnd w:id="164"/>
      <w:bookmarkEnd w:id="165"/>
      <w:bookmarkEnd w:id="166"/>
      <w:bookmarkEnd w:id="167"/>
      <w:bookmarkEnd w:id="168"/>
      <w:r>
        <w:rPr>
          <w:rFonts w:hint="eastAsia" w:ascii="仿宋" w:hAnsi="仿宋" w:eastAsia="仿宋" w:cs="宋体"/>
          <w:b/>
          <w:bCs/>
          <w:color w:val="auto"/>
          <w:sz w:val="24"/>
          <w:szCs w:val="24"/>
          <w:highlight w:val="none"/>
          <w:lang w:eastAsia="zh-CN"/>
        </w:rPr>
        <w:t>（如有）</w:t>
      </w:r>
    </w:p>
    <w:p w14:paraId="77325F89">
      <w:pPr>
        <w:keepNext w:val="0"/>
        <w:keepLines w:val="0"/>
        <w:pageBreakBefore w:val="0"/>
        <w:widowControl w:val="0"/>
        <w:kinsoku/>
        <w:wordWrap/>
        <w:overflowPunct/>
        <w:topLinePunct w:val="0"/>
        <w:autoSpaceDE/>
        <w:autoSpaceDN/>
        <w:bidi w:val="0"/>
        <w:adjustRightInd/>
        <w:snapToGrid/>
        <w:spacing w:line="480" w:lineRule="exact"/>
        <w:ind w:left="504" w:leftChars="240" w:firstLine="0" w:firstLineChars="0"/>
        <w:textAlignment w:val="auto"/>
        <w:rPr>
          <w:rFonts w:ascii="仿宋" w:hAnsi="仿宋" w:eastAsia="仿宋"/>
          <w:color w:val="auto"/>
          <w:sz w:val="24"/>
          <w:szCs w:val="24"/>
          <w:highlight w:val="none"/>
        </w:rPr>
      </w:pPr>
      <w:bookmarkStart w:id="169" w:name="_Toc451275975"/>
      <w:bookmarkStart w:id="170" w:name="_Toc432697175"/>
      <w:bookmarkStart w:id="171" w:name="_Toc320473383"/>
      <w:r>
        <w:rPr>
          <w:rFonts w:ascii="仿宋" w:hAnsi="仿宋" w:eastAsia="仿宋" w:cs="宋体"/>
          <w:color w:val="auto"/>
          <w:sz w:val="24"/>
          <w:szCs w:val="24"/>
          <w:highlight w:val="none"/>
        </w:rPr>
        <w:t>3.4.1</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在递交投标文件的同时，应按投标须知前附表的规定递交投标保证金。</w:t>
      </w:r>
      <w:r>
        <w:rPr>
          <w:rFonts w:ascii="仿宋" w:hAnsi="仿宋" w:eastAsia="仿宋" w:cs="宋体"/>
          <w:color w:val="auto"/>
          <w:sz w:val="24"/>
          <w:szCs w:val="24"/>
          <w:highlight w:val="none"/>
        </w:rPr>
        <w:t>3.4.2</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不按本章第</w:t>
      </w:r>
      <w:r>
        <w:rPr>
          <w:rFonts w:ascii="仿宋" w:hAnsi="仿宋" w:eastAsia="仿宋" w:cs="宋体"/>
          <w:color w:val="auto"/>
          <w:sz w:val="24"/>
          <w:szCs w:val="24"/>
          <w:highlight w:val="none"/>
        </w:rPr>
        <w:t>3.4.1</w:t>
      </w:r>
      <w:r>
        <w:rPr>
          <w:rFonts w:hint="eastAsia" w:ascii="仿宋" w:hAnsi="仿宋" w:eastAsia="仿宋" w:cs="宋体"/>
          <w:color w:val="auto"/>
          <w:sz w:val="24"/>
          <w:szCs w:val="24"/>
          <w:highlight w:val="none"/>
        </w:rPr>
        <w:t>项要求提交投标保证金的，其投标文件作废标处理。</w:t>
      </w:r>
    </w:p>
    <w:p w14:paraId="4DBA9986">
      <w:pPr>
        <w:pStyle w:val="16"/>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宋体"/>
          <w:color w:val="auto"/>
          <w:sz w:val="24"/>
          <w:szCs w:val="24"/>
          <w:highlight w:val="none"/>
          <w:lang w:val="en-US" w:eastAsia="zh-CN" w:bidi="ar-SA"/>
        </w:rPr>
      </w:pPr>
      <w:r>
        <w:rPr>
          <w:rFonts w:ascii="仿宋" w:hAnsi="仿宋" w:eastAsia="仿宋" w:cs="宋体"/>
          <w:color w:val="auto"/>
          <w:sz w:val="24"/>
          <w:szCs w:val="24"/>
          <w:highlight w:val="none"/>
          <w:lang w:val="en-US" w:eastAsia="zh-CN" w:bidi="ar-SA"/>
        </w:rPr>
        <w:t>3.4.3</w:t>
      </w:r>
      <w:r>
        <w:rPr>
          <w:rFonts w:hint="eastAsia" w:ascii="仿宋" w:hAnsi="仿宋" w:eastAsia="仿宋" w:cs="宋体"/>
          <w:color w:val="auto"/>
          <w:sz w:val="24"/>
          <w:szCs w:val="24"/>
          <w:highlight w:val="none"/>
          <w:lang w:val="en-US" w:eastAsia="zh-CN" w:bidi="ar-SA"/>
        </w:rPr>
        <w:t>投标人在投标截止时间前撤回已提交的投标文件的，招标人或者招标代理机构应当自收到投标人书面撤回通知之日起５个工作日内，退还已收取的投标保证金，但因投标人自身原因导致无法及时退还的除外。</w:t>
      </w:r>
    </w:p>
    <w:p w14:paraId="36769FD7">
      <w:pPr>
        <w:pStyle w:val="16"/>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color w:val="auto"/>
          <w:highlight w:val="none"/>
          <w:lang w:val="en-US" w:eastAsia="zh-CN"/>
        </w:rPr>
      </w:pPr>
      <w:r>
        <w:rPr>
          <w:rFonts w:hint="eastAsia" w:ascii="仿宋" w:hAnsi="仿宋" w:eastAsia="仿宋" w:cs="宋体"/>
          <w:color w:val="auto"/>
          <w:sz w:val="24"/>
          <w:szCs w:val="24"/>
          <w:highlight w:val="none"/>
          <w:lang w:val="en-US" w:eastAsia="zh-CN" w:bidi="ar-SA"/>
        </w:rPr>
        <w:t>招标人或者招标代理机构应当自中标通知书发出之日起5个工作日内退还未中标人的投标保证金，自采购合同签订之日起5个工作日内退还中标人的投标保证金。</w:t>
      </w:r>
    </w:p>
    <w:p w14:paraId="2F9888F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3.4.4</w:t>
      </w:r>
      <w:r>
        <w:rPr>
          <w:rFonts w:hint="eastAsia" w:ascii="仿宋" w:hAnsi="仿宋" w:eastAsia="仿宋" w:cs="宋体"/>
          <w:color w:val="auto"/>
          <w:sz w:val="24"/>
          <w:szCs w:val="24"/>
          <w:highlight w:val="none"/>
        </w:rPr>
        <w:t>有下列情况之一的，保证金不予退还：</w:t>
      </w:r>
    </w:p>
    <w:p w14:paraId="70FD8FD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1</w:t>
      </w:r>
      <w:r>
        <w:rPr>
          <w:rFonts w:hint="eastAsia" w:ascii="仿宋" w:hAnsi="仿宋" w:eastAsia="仿宋" w:cs="宋体"/>
          <w:color w:val="auto"/>
          <w:sz w:val="24"/>
          <w:szCs w:val="24"/>
          <w:highlight w:val="none"/>
        </w:rPr>
        <w:t>）已缴纳保证金，无故不参加投标或者出现不廉洁行为的投标</w:t>
      </w:r>
      <w:r>
        <w:rPr>
          <w:rFonts w:hint="eastAsia" w:ascii="仿宋" w:hAnsi="仿宋" w:eastAsia="仿宋" w:cs="宋体"/>
          <w:color w:val="auto"/>
          <w:sz w:val="24"/>
          <w:szCs w:val="24"/>
          <w:highlight w:val="none"/>
          <w:lang w:eastAsia="zh-CN"/>
        </w:rPr>
        <w:t>人</w:t>
      </w:r>
      <w:r>
        <w:rPr>
          <w:rFonts w:hint="eastAsia" w:ascii="仿宋" w:hAnsi="仿宋" w:eastAsia="仿宋" w:cs="宋体"/>
          <w:color w:val="auto"/>
          <w:sz w:val="24"/>
          <w:szCs w:val="24"/>
          <w:highlight w:val="none"/>
        </w:rPr>
        <w:t>；</w:t>
      </w:r>
    </w:p>
    <w:p w14:paraId="10E8BE6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2</w:t>
      </w:r>
      <w:r>
        <w:rPr>
          <w:rFonts w:hint="eastAsia" w:ascii="仿宋" w:hAnsi="仿宋" w:eastAsia="仿宋" w:cs="宋体"/>
          <w:color w:val="auto"/>
          <w:sz w:val="24"/>
          <w:szCs w:val="24"/>
          <w:highlight w:val="none"/>
        </w:rPr>
        <w:t>）在提交投标文件截止时间后到</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文件规定的投标有效期终止之前，投标</w:t>
      </w:r>
      <w:r>
        <w:rPr>
          <w:rFonts w:hint="eastAsia" w:ascii="仿宋" w:hAnsi="仿宋" w:eastAsia="仿宋" w:cs="宋体"/>
          <w:color w:val="auto"/>
          <w:sz w:val="24"/>
          <w:szCs w:val="24"/>
          <w:highlight w:val="none"/>
          <w:lang w:eastAsia="zh-CN"/>
        </w:rPr>
        <w:t>人</w:t>
      </w:r>
      <w:r>
        <w:rPr>
          <w:rFonts w:hint="eastAsia" w:ascii="仿宋" w:hAnsi="仿宋" w:eastAsia="仿宋" w:cs="宋体"/>
          <w:color w:val="auto"/>
          <w:sz w:val="24"/>
          <w:szCs w:val="24"/>
          <w:highlight w:val="none"/>
        </w:rPr>
        <w:t>撤回投标文件的；</w:t>
      </w:r>
    </w:p>
    <w:p w14:paraId="07B565B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3</w:t>
      </w:r>
      <w:r>
        <w:rPr>
          <w:rFonts w:hint="eastAsia" w:ascii="仿宋" w:hAnsi="仿宋" w:eastAsia="仿宋" w:cs="宋体"/>
          <w:color w:val="auto"/>
          <w:sz w:val="24"/>
          <w:szCs w:val="24"/>
          <w:highlight w:val="none"/>
        </w:rPr>
        <w:t>）中标通知书发出后，中标（成交）</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无故放弃中标（成交）项目的或无正当理由不与</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单位签订合同的，或者拒不缴纳所要求的履约保证金的；</w:t>
      </w:r>
    </w:p>
    <w:p w14:paraId="3B0CC23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4</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提供虚假投标文件或虚假补充文件的，或者投标文件中提供虚假或无效的证明材料的；</w:t>
      </w:r>
    </w:p>
    <w:p w14:paraId="4BEA561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b/>
          <w:bCs/>
          <w:color w:val="auto"/>
          <w:sz w:val="24"/>
          <w:szCs w:val="24"/>
          <w:highlight w:val="none"/>
          <w:u w:val="singl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5</w:t>
      </w:r>
      <w:r>
        <w:rPr>
          <w:rFonts w:hint="eastAsia" w:ascii="仿宋" w:hAnsi="仿宋" w:eastAsia="仿宋" w:cs="宋体"/>
          <w:color w:val="auto"/>
          <w:sz w:val="24"/>
          <w:szCs w:val="24"/>
          <w:highlight w:val="none"/>
        </w:rPr>
        <w:t>）法律法规或</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文件规定的其他情形的。</w:t>
      </w:r>
    </w:p>
    <w:p w14:paraId="4684FA3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172" w:name="_Toc8568335"/>
      <w:bookmarkStart w:id="173" w:name="_Toc5788100"/>
      <w:bookmarkStart w:id="174" w:name="_Toc8568241"/>
      <w:r>
        <w:rPr>
          <w:rFonts w:ascii="仿宋" w:hAnsi="仿宋" w:eastAsia="仿宋" w:cs="宋体"/>
          <w:b/>
          <w:bCs/>
          <w:color w:val="auto"/>
          <w:sz w:val="24"/>
          <w:szCs w:val="24"/>
          <w:highlight w:val="none"/>
        </w:rPr>
        <w:t xml:space="preserve">3.5 </w:t>
      </w:r>
      <w:r>
        <w:rPr>
          <w:rFonts w:hint="eastAsia" w:ascii="仿宋" w:hAnsi="仿宋" w:eastAsia="仿宋" w:cs="宋体"/>
          <w:b/>
          <w:bCs/>
          <w:color w:val="auto"/>
          <w:sz w:val="24"/>
          <w:szCs w:val="24"/>
          <w:highlight w:val="none"/>
        </w:rPr>
        <w:t>资格审查资料</w:t>
      </w:r>
      <w:bookmarkEnd w:id="169"/>
      <w:bookmarkEnd w:id="170"/>
      <w:bookmarkEnd w:id="171"/>
      <w:bookmarkEnd w:id="172"/>
      <w:bookmarkEnd w:id="173"/>
      <w:bookmarkEnd w:id="174"/>
    </w:p>
    <w:p w14:paraId="2678E59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详见</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文件第一章 招标公告“二、</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的资格要求”。</w:t>
      </w:r>
    </w:p>
    <w:p w14:paraId="0BD106B4">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175" w:name="_Toc320473384"/>
      <w:bookmarkStart w:id="176" w:name="_Toc432697176"/>
      <w:bookmarkStart w:id="177" w:name="_Toc8568336"/>
      <w:bookmarkStart w:id="178" w:name="_Toc451275976"/>
      <w:bookmarkStart w:id="179" w:name="_Toc8568242"/>
      <w:bookmarkStart w:id="180" w:name="_Toc5788101"/>
      <w:r>
        <w:rPr>
          <w:rFonts w:ascii="仿宋" w:hAnsi="仿宋" w:eastAsia="仿宋" w:cs="宋体"/>
          <w:b/>
          <w:bCs/>
          <w:color w:val="auto"/>
          <w:sz w:val="24"/>
          <w:szCs w:val="24"/>
          <w:highlight w:val="none"/>
        </w:rPr>
        <w:t xml:space="preserve">3.6 </w:t>
      </w:r>
      <w:r>
        <w:rPr>
          <w:rFonts w:hint="eastAsia" w:ascii="仿宋" w:hAnsi="仿宋" w:eastAsia="仿宋" w:cs="宋体"/>
          <w:b/>
          <w:bCs/>
          <w:color w:val="auto"/>
          <w:sz w:val="24"/>
          <w:szCs w:val="24"/>
          <w:highlight w:val="none"/>
        </w:rPr>
        <w:t>备选投标方案</w:t>
      </w:r>
      <w:bookmarkEnd w:id="175"/>
      <w:bookmarkEnd w:id="176"/>
      <w:bookmarkEnd w:id="177"/>
      <w:bookmarkEnd w:id="178"/>
      <w:bookmarkEnd w:id="179"/>
      <w:bookmarkEnd w:id="180"/>
    </w:p>
    <w:p w14:paraId="74B4FD5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除投标须知前附表另有规定外，</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不得递交备选投标方案。允许</w:t>
      </w:r>
      <w:r>
        <w:rPr>
          <w:rFonts w:hint="eastAsia" w:ascii="仿宋" w:hAnsi="仿宋" w:eastAsia="仿宋" w:cs="宋体"/>
          <w:color w:val="auto"/>
          <w:sz w:val="24"/>
          <w:szCs w:val="24"/>
          <w:highlight w:val="none"/>
          <w:lang w:eastAsia="zh-CN"/>
        </w:rPr>
        <w:t>投标人递</w:t>
      </w:r>
      <w:r>
        <w:rPr>
          <w:rFonts w:hint="eastAsia" w:ascii="仿宋" w:hAnsi="仿宋" w:eastAsia="仿宋" w:cs="宋体"/>
          <w:color w:val="auto"/>
          <w:sz w:val="24"/>
          <w:szCs w:val="24"/>
          <w:highlight w:val="none"/>
        </w:rPr>
        <w:t>交备选投标方案的，只有中标人所递交的备选投标方案方可予以考虑。评标委员会认为中标人的备选投标方案优于其按照</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文件要求编制的投标方案的，</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人可以接受该备选投标方案。</w:t>
      </w:r>
    </w:p>
    <w:p w14:paraId="7AE74971">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181" w:name="_Toc320473385"/>
      <w:bookmarkStart w:id="182" w:name="_Toc5788102"/>
      <w:bookmarkStart w:id="183" w:name="_Toc8568337"/>
      <w:bookmarkStart w:id="184" w:name="_Toc432697177"/>
      <w:bookmarkStart w:id="185" w:name="_Toc451275977"/>
      <w:bookmarkStart w:id="186" w:name="_Toc8568243"/>
      <w:r>
        <w:rPr>
          <w:rFonts w:ascii="仿宋" w:hAnsi="仿宋" w:eastAsia="仿宋" w:cs="宋体"/>
          <w:b/>
          <w:bCs/>
          <w:color w:val="auto"/>
          <w:sz w:val="24"/>
          <w:szCs w:val="24"/>
          <w:highlight w:val="none"/>
        </w:rPr>
        <w:t xml:space="preserve">3.7 </w:t>
      </w:r>
      <w:r>
        <w:rPr>
          <w:rFonts w:hint="eastAsia" w:ascii="仿宋" w:hAnsi="仿宋" w:eastAsia="仿宋" w:cs="宋体"/>
          <w:b/>
          <w:bCs/>
          <w:color w:val="auto"/>
          <w:sz w:val="24"/>
          <w:szCs w:val="24"/>
          <w:highlight w:val="none"/>
        </w:rPr>
        <w:t>投标文件的编制</w:t>
      </w:r>
      <w:bookmarkEnd w:id="181"/>
      <w:bookmarkEnd w:id="182"/>
      <w:bookmarkEnd w:id="183"/>
      <w:bookmarkEnd w:id="184"/>
      <w:bookmarkEnd w:id="185"/>
      <w:bookmarkEnd w:id="186"/>
    </w:p>
    <w:p w14:paraId="0EC171C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3.7.1</w:t>
      </w:r>
      <w:r>
        <w:rPr>
          <w:rFonts w:hint="eastAsia" w:ascii="仿宋" w:hAnsi="仿宋" w:eastAsia="仿宋" w:cs="宋体"/>
          <w:color w:val="auto"/>
          <w:sz w:val="24"/>
          <w:szCs w:val="24"/>
          <w:highlight w:val="none"/>
        </w:rPr>
        <w:t>投标文件格式：见投标须知前附表。</w:t>
      </w:r>
    </w:p>
    <w:p w14:paraId="51B5148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3.7.2</w:t>
      </w:r>
      <w:r>
        <w:rPr>
          <w:rFonts w:hint="eastAsia" w:ascii="仿宋" w:hAnsi="仿宋" w:eastAsia="仿宋" w:cs="宋体"/>
          <w:color w:val="auto"/>
          <w:sz w:val="24"/>
          <w:szCs w:val="24"/>
          <w:highlight w:val="none"/>
        </w:rPr>
        <w:t>投标文件应当对</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文件有关合同履行期限、投标有效期、质量要求、技术标准和要求、招标范围等实质性内容作出响应。</w:t>
      </w:r>
    </w:p>
    <w:p w14:paraId="61D204C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3.7.3</w:t>
      </w:r>
      <w:r>
        <w:rPr>
          <w:rFonts w:hint="eastAsia" w:ascii="仿宋" w:hAnsi="仿宋" w:eastAsia="仿宋" w:cs="宋体"/>
          <w:color w:val="auto"/>
          <w:sz w:val="24"/>
          <w:szCs w:val="24"/>
          <w:highlight w:val="none"/>
        </w:rPr>
        <w:t>投标文件的签署：见投标须知前附表。</w:t>
      </w:r>
    </w:p>
    <w:p w14:paraId="55CD001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3.7.4</w:t>
      </w:r>
      <w:r>
        <w:rPr>
          <w:rFonts w:hint="eastAsia" w:ascii="仿宋" w:hAnsi="仿宋" w:eastAsia="仿宋" w:cs="宋体"/>
          <w:color w:val="auto"/>
          <w:sz w:val="24"/>
          <w:szCs w:val="24"/>
          <w:highlight w:val="none"/>
        </w:rPr>
        <w:t>投标文件递交及有关内容：见投标须知前附表。</w:t>
      </w:r>
    </w:p>
    <w:p w14:paraId="49EC76C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3.7.5</w:t>
      </w:r>
      <w:r>
        <w:rPr>
          <w:rFonts w:hint="eastAsia" w:ascii="仿宋" w:hAnsi="仿宋" w:eastAsia="仿宋" w:cs="宋体"/>
          <w:color w:val="auto"/>
          <w:sz w:val="24"/>
          <w:szCs w:val="24"/>
          <w:highlight w:val="none"/>
        </w:rPr>
        <w:t>投标文件的密封：见投标须知前附表。</w:t>
      </w:r>
    </w:p>
    <w:p w14:paraId="33A31A9E">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0"/>
        <w:rPr>
          <w:rFonts w:ascii="仿宋" w:hAnsi="仿宋" w:eastAsia="仿宋"/>
          <w:b/>
          <w:bCs/>
          <w:color w:val="auto"/>
          <w:sz w:val="28"/>
          <w:szCs w:val="28"/>
          <w:highlight w:val="none"/>
        </w:rPr>
      </w:pPr>
      <w:bookmarkStart w:id="187" w:name="_Toc5788103"/>
      <w:bookmarkStart w:id="188" w:name="_Toc320473386"/>
      <w:bookmarkStart w:id="189" w:name="_Toc432697178"/>
      <w:bookmarkStart w:id="190" w:name="_Toc451275978"/>
      <w:bookmarkStart w:id="191" w:name="_Toc8568338"/>
      <w:bookmarkStart w:id="192" w:name="_Toc229583204"/>
      <w:r>
        <w:rPr>
          <w:rFonts w:hint="eastAsia" w:ascii="仿宋" w:hAnsi="仿宋" w:eastAsia="仿宋" w:cs="宋体"/>
          <w:b/>
          <w:bCs/>
          <w:color w:val="auto"/>
          <w:sz w:val="28"/>
          <w:szCs w:val="28"/>
          <w:highlight w:val="none"/>
        </w:rPr>
        <w:t>（四）投标</w:t>
      </w:r>
      <w:bookmarkEnd w:id="187"/>
      <w:bookmarkEnd w:id="188"/>
      <w:bookmarkEnd w:id="189"/>
      <w:bookmarkEnd w:id="190"/>
      <w:bookmarkEnd w:id="191"/>
      <w:bookmarkEnd w:id="192"/>
    </w:p>
    <w:p w14:paraId="0DC0A79C">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both"/>
        <w:textAlignment w:val="auto"/>
        <w:rPr>
          <w:rFonts w:ascii="仿宋" w:hAnsi="仿宋" w:eastAsia="仿宋" w:cs="宋体"/>
          <w:color w:val="auto"/>
          <w:sz w:val="24"/>
          <w:szCs w:val="24"/>
          <w:highlight w:val="none"/>
        </w:rPr>
      </w:pPr>
      <w:bookmarkStart w:id="193" w:name="_Toc144974524"/>
      <w:bookmarkStart w:id="194" w:name="_Toc10260"/>
      <w:bookmarkStart w:id="195" w:name="_Toc247513980"/>
      <w:bookmarkStart w:id="196" w:name="_Toc152042332"/>
      <w:bookmarkStart w:id="197" w:name="_Toc17328"/>
      <w:bookmarkStart w:id="198" w:name="_Toc247527581"/>
      <w:bookmarkStart w:id="199" w:name="_Toc18301"/>
      <w:bookmarkStart w:id="200" w:name="_Toc152045556"/>
      <w:bookmarkStart w:id="201" w:name="_Toc432697179"/>
      <w:bookmarkStart w:id="202" w:name="_Toc5788104"/>
      <w:bookmarkStart w:id="203" w:name="_Toc320473387"/>
      <w:bookmarkStart w:id="204" w:name="_Toc8568245"/>
      <w:bookmarkStart w:id="205" w:name="_Toc451275979"/>
      <w:bookmarkStart w:id="206" w:name="_Toc8568339"/>
      <w:r>
        <w:rPr>
          <w:rFonts w:hint="eastAsia" w:ascii="仿宋" w:hAnsi="仿宋" w:eastAsia="仿宋" w:cs="宋体"/>
          <w:b/>
          <w:bCs/>
          <w:color w:val="auto"/>
          <w:kern w:val="2"/>
          <w:sz w:val="24"/>
          <w:szCs w:val="24"/>
          <w:highlight w:val="none"/>
        </w:rPr>
        <w:t xml:space="preserve">4.1 </w:t>
      </w:r>
      <w:bookmarkEnd w:id="193"/>
      <w:bookmarkEnd w:id="194"/>
      <w:bookmarkEnd w:id="195"/>
      <w:bookmarkEnd w:id="196"/>
      <w:bookmarkEnd w:id="197"/>
      <w:bookmarkEnd w:id="198"/>
      <w:bookmarkEnd w:id="199"/>
      <w:bookmarkEnd w:id="200"/>
      <w:r>
        <w:rPr>
          <w:rFonts w:hint="eastAsia" w:ascii="仿宋" w:hAnsi="仿宋" w:eastAsia="仿宋" w:cs="宋体"/>
          <w:b/>
          <w:color w:val="auto"/>
          <w:kern w:val="2"/>
          <w:sz w:val="24"/>
          <w:szCs w:val="24"/>
          <w:highlight w:val="none"/>
        </w:rPr>
        <w:t>投标文件的上传及加密</w:t>
      </w:r>
    </w:p>
    <w:p w14:paraId="71BCEFE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ascii="仿宋" w:hAnsi="仿宋" w:eastAsia="仿宋" w:cs="宋体"/>
          <w:color w:val="auto"/>
          <w:sz w:val="24"/>
          <w:szCs w:val="24"/>
          <w:highlight w:val="none"/>
        </w:rPr>
      </w:pPr>
      <w:r>
        <w:rPr>
          <w:rFonts w:hint="eastAsia" w:ascii="仿宋" w:hAnsi="仿宋" w:eastAsia="仿宋" w:cs="宋体"/>
          <w:color w:val="auto"/>
          <w:kern w:val="2"/>
          <w:sz w:val="24"/>
          <w:szCs w:val="24"/>
          <w:highlight w:val="none"/>
        </w:rPr>
        <w:t>4.1.1本项目采用电子开评标，</w:t>
      </w: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应按“投标须知前附表”中规定的时间及要求上传电子投标文件，并对电子投标文件进行加密。</w:t>
      </w:r>
    </w:p>
    <w:p w14:paraId="7F6DCD7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ascii="仿宋" w:hAnsi="仿宋" w:eastAsia="仿宋" w:cs="宋体"/>
          <w:color w:val="auto"/>
          <w:sz w:val="24"/>
          <w:szCs w:val="24"/>
          <w:highlight w:val="none"/>
        </w:rPr>
      </w:pPr>
      <w:r>
        <w:rPr>
          <w:rFonts w:hint="eastAsia" w:ascii="仿宋" w:hAnsi="仿宋" w:eastAsia="仿宋" w:cs="宋体"/>
          <w:color w:val="auto"/>
          <w:kern w:val="2"/>
          <w:sz w:val="24"/>
          <w:szCs w:val="24"/>
          <w:highlight w:val="none"/>
        </w:rPr>
        <w:t>4.1.2 未按4.1.1项要求加密的</w:t>
      </w:r>
      <w:r>
        <w:rPr>
          <w:rFonts w:hint="eastAsia" w:ascii="仿宋" w:hAnsi="仿宋" w:eastAsia="仿宋" w:cs="宋体"/>
          <w:color w:val="auto"/>
          <w:kern w:val="2"/>
          <w:sz w:val="24"/>
          <w:szCs w:val="24"/>
          <w:highlight w:val="none"/>
        </w:rPr>
        <w:t>电子投标文件</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kern w:val="2"/>
          <w:sz w:val="24"/>
          <w:szCs w:val="24"/>
          <w:highlight w:val="none"/>
        </w:rPr>
        <w:t>人不予受理。</w:t>
      </w:r>
    </w:p>
    <w:bookmarkEnd w:id="201"/>
    <w:bookmarkEnd w:id="202"/>
    <w:bookmarkEnd w:id="203"/>
    <w:bookmarkEnd w:id="204"/>
    <w:bookmarkEnd w:id="205"/>
    <w:bookmarkEnd w:id="206"/>
    <w:p w14:paraId="1D59B919">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207" w:name="_Toc451275980"/>
      <w:bookmarkStart w:id="208" w:name="_Toc432697180"/>
      <w:bookmarkStart w:id="209" w:name="_Toc320473388"/>
      <w:bookmarkStart w:id="210" w:name="_Toc8568340"/>
      <w:bookmarkStart w:id="211" w:name="_Toc5788105"/>
      <w:bookmarkStart w:id="212" w:name="_Toc8568246"/>
      <w:r>
        <w:rPr>
          <w:rFonts w:ascii="仿宋" w:hAnsi="仿宋" w:eastAsia="仿宋" w:cs="宋体"/>
          <w:b/>
          <w:bCs/>
          <w:color w:val="auto"/>
          <w:sz w:val="24"/>
          <w:szCs w:val="24"/>
          <w:highlight w:val="none"/>
        </w:rPr>
        <w:t xml:space="preserve">4.2 </w:t>
      </w:r>
      <w:r>
        <w:rPr>
          <w:rFonts w:hint="eastAsia" w:ascii="仿宋" w:hAnsi="仿宋" w:eastAsia="仿宋" w:cs="宋体"/>
          <w:b/>
          <w:bCs/>
          <w:color w:val="auto"/>
          <w:sz w:val="24"/>
          <w:szCs w:val="24"/>
          <w:highlight w:val="none"/>
        </w:rPr>
        <w:t>投标文件的递交</w:t>
      </w:r>
      <w:bookmarkEnd w:id="207"/>
      <w:bookmarkEnd w:id="208"/>
      <w:bookmarkEnd w:id="209"/>
      <w:bookmarkEnd w:id="210"/>
      <w:bookmarkEnd w:id="211"/>
      <w:bookmarkEnd w:id="212"/>
    </w:p>
    <w:p w14:paraId="219F40D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宋体"/>
          <w:color w:val="auto"/>
          <w:sz w:val="24"/>
          <w:szCs w:val="24"/>
          <w:highlight w:val="none"/>
        </w:rPr>
      </w:pPr>
      <w:r>
        <w:rPr>
          <w:rFonts w:ascii="仿宋" w:hAnsi="仿宋" w:eastAsia="仿宋" w:cs="宋体"/>
          <w:color w:val="auto"/>
          <w:sz w:val="24"/>
          <w:szCs w:val="24"/>
          <w:highlight w:val="none"/>
        </w:rPr>
        <w:t>4.2.1</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在投标须知前附表第2.2.2 项规定的截止时间前递交投标文件。</w:t>
      </w:r>
    </w:p>
    <w:p w14:paraId="2DD9982D">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4.2.3 网上上传：</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登录</w:t>
      </w:r>
      <w:r>
        <w:rPr>
          <w:rFonts w:hint="eastAsia" w:ascii="仿宋" w:hAnsi="仿宋" w:eastAsia="仿宋" w:cs="宋体"/>
          <w:color w:val="auto"/>
          <w:sz w:val="24"/>
          <w:szCs w:val="24"/>
          <w:highlight w:val="none"/>
          <w:lang w:val="en-US" w:eastAsia="zh-CN"/>
        </w:rPr>
        <w:t>“政采云”平台（https://www.zcygov.cn）</w:t>
      </w:r>
      <w:r>
        <w:rPr>
          <w:rFonts w:hint="eastAsia" w:ascii="仿宋" w:hAnsi="仿宋" w:eastAsia="仿宋" w:cs="宋体"/>
          <w:color w:val="auto"/>
          <w:sz w:val="24"/>
          <w:szCs w:val="24"/>
          <w:highlight w:val="none"/>
        </w:rPr>
        <w:t>，根据拟要投标的项目，上传投标文件，</w:t>
      </w:r>
      <w:r>
        <w:rPr>
          <w:rFonts w:hint="eastAsia" w:ascii="仿宋" w:hAnsi="仿宋" w:eastAsia="仿宋" w:cs="宋体"/>
          <w:color w:val="auto"/>
          <w:sz w:val="24"/>
          <w:szCs w:val="24"/>
          <w:highlight w:val="none"/>
          <w:lang w:val="en-US" w:eastAsia="zh-CN"/>
        </w:rPr>
        <w:t>未按规定在投标截止时间前上传投标文件的，视为撤回其投标文件。</w:t>
      </w:r>
    </w:p>
    <w:p w14:paraId="24E3951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4.2.4 </w:t>
      </w:r>
      <w:r>
        <w:rPr>
          <w:rFonts w:hint="eastAsia" w:ascii="仿宋" w:hAnsi="仿宋" w:eastAsia="仿宋" w:cs="宋体"/>
          <w:color w:val="auto"/>
          <w:sz w:val="24"/>
          <w:szCs w:val="24"/>
          <w:highlight w:val="none"/>
        </w:rPr>
        <w:t>除投标须知前附表另有规定外，</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所递交的投标文件不予退还。</w:t>
      </w:r>
    </w:p>
    <w:p w14:paraId="211F74E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黑体"/>
          <w:color w:val="auto"/>
          <w:sz w:val="24"/>
          <w:szCs w:val="24"/>
          <w:highlight w:val="none"/>
        </w:rPr>
      </w:pPr>
      <w:r>
        <w:rPr>
          <w:rFonts w:ascii="仿宋" w:hAnsi="仿宋" w:eastAsia="仿宋" w:cs="宋体"/>
          <w:color w:val="auto"/>
          <w:sz w:val="24"/>
          <w:szCs w:val="24"/>
          <w:highlight w:val="none"/>
        </w:rPr>
        <w:t>4.2.5</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在提交投标文件截止时间前，应将电子投标文件上传到</w:t>
      </w:r>
      <w:r>
        <w:rPr>
          <w:rFonts w:hint="eastAsia" w:ascii="仿宋" w:hAnsi="仿宋" w:eastAsia="仿宋" w:cs="宋体"/>
          <w:color w:val="auto"/>
          <w:sz w:val="24"/>
          <w:szCs w:val="24"/>
          <w:highlight w:val="none"/>
          <w:lang w:val="en-US" w:eastAsia="zh-CN"/>
        </w:rPr>
        <w:t>“政采云”平台（https://www.zcygov.cn）。</w:t>
      </w:r>
    </w:p>
    <w:p w14:paraId="283917A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213" w:name="_Toc298756601"/>
      <w:bookmarkStart w:id="214" w:name="_Toc286926313"/>
      <w:bookmarkStart w:id="215" w:name="_Toc319673076"/>
      <w:bookmarkStart w:id="216" w:name="_Toc432697181"/>
      <w:bookmarkStart w:id="217" w:name="_Toc297588090"/>
      <w:bookmarkStart w:id="218" w:name="_Toc319440076"/>
      <w:bookmarkStart w:id="219" w:name="_Toc276263731"/>
      <w:bookmarkStart w:id="220" w:name="_Toc451275981"/>
      <w:bookmarkStart w:id="221" w:name="_Toc5788106"/>
      <w:bookmarkStart w:id="222" w:name="_Toc8568247"/>
      <w:bookmarkStart w:id="223" w:name="_Toc8568341"/>
      <w:bookmarkStart w:id="224" w:name="_Toc320473389"/>
      <w:r>
        <w:rPr>
          <w:rFonts w:ascii="仿宋" w:hAnsi="仿宋" w:eastAsia="仿宋" w:cs="宋体"/>
          <w:b/>
          <w:bCs/>
          <w:color w:val="auto"/>
          <w:sz w:val="24"/>
          <w:szCs w:val="24"/>
          <w:highlight w:val="none"/>
        </w:rPr>
        <w:t xml:space="preserve">4.3 </w:t>
      </w:r>
      <w:r>
        <w:rPr>
          <w:rFonts w:hint="eastAsia" w:ascii="仿宋" w:hAnsi="仿宋" w:eastAsia="仿宋" w:cs="宋体"/>
          <w:b/>
          <w:bCs/>
          <w:color w:val="auto"/>
          <w:sz w:val="24"/>
          <w:szCs w:val="24"/>
          <w:highlight w:val="none"/>
        </w:rPr>
        <w:t>投标文件的修改</w:t>
      </w:r>
      <w:bookmarkEnd w:id="213"/>
      <w:bookmarkEnd w:id="214"/>
      <w:bookmarkEnd w:id="215"/>
      <w:bookmarkEnd w:id="216"/>
      <w:bookmarkEnd w:id="217"/>
      <w:bookmarkEnd w:id="218"/>
      <w:bookmarkEnd w:id="219"/>
      <w:bookmarkEnd w:id="220"/>
      <w:bookmarkEnd w:id="221"/>
      <w:bookmarkEnd w:id="222"/>
      <w:bookmarkEnd w:id="223"/>
      <w:bookmarkEnd w:id="224"/>
      <w:r>
        <w:rPr>
          <w:rFonts w:hint="eastAsia" w:ascii="仿宋" w:hAnsi="仿宋" w:eastAsia="仿宋" w:cs="宋体"/>
          <w:b/>
          <w:bCs/>
          <w:color w:val="auto"/>
          <w:sz w:val="24"/>
          <w:szCs w:val="24"/>
          <w:highlight w:val="none"/>
        </w:rPr>
        <w:t>与撤回</w:t>
      </w:r>
    </w:p>
    <w:p w14:paraId="6812E60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ascii="仿宋" w:hAnsi="仿宋" w:eastAsia="仿宋" w:cs="宋体"/>
          <w:color w:val="auto"/>
          <w:sz w:val="24"/>
          <w:szCs w:val="24"/>
          <w:highlight w:val="none"/>
        </w:rPr>
      </w:pPr>
      <w:r>
        <w:rPr>
          <w:rFonts w:hint="eastAsia" w:ascii="仿宋" w:hAnsi="仿宋" w:eastAsia="仿宋" w:cs="宋体"/>
          <w:color w:val="auto"/>
          <w:kern w:val="2"/>
          <w:sz w:val="24"/>
          <w:szCs w:val="24"/>
          <w:highlight w:val="none"/>
        </w:rPr>
        <w:t>4.3.1在投标截止时间前，</w:t>
      </w: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lang w:val="en-US" w:eastAsia="zh-CN"/>
        </w:rPr>
        <w:t xml:space="preserve"> </w:t>
      </w:r>
      <w:r>
        <w:rPr>
          <w:rFonts w:hint="eastAsia" w:ascii="仿宋" w:hAnsi="仿宋" w:eastAsia="仿宋" w:cs="宋体"/>
          <w:color w:val="auto"/>
          <w:kern w:val="2"/>
          <w:sz w:val="24"/>
          <w:szCs w:val="24"/>
          <w:highlight w:val="none"/>
        </w:rPr>
        <w:t>可以修改或撤回已在网上递交的投标文件。</w:t>
      </w:r>
    </w:p>
    <w:p w14:paraId="1F7C5AD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ascii="仿宋" w:hAnsi="仿宋" w:eastAsia="仿宋" w:cs="宋体"/>
          <w:color w:val="auto"/>
          <w:sz w:val="24"/>
          <w:szCs w:val="24"/>
          <w:highlight w:val="none"/>
        </w:rPr>
      </w:pPr>
      <w:r>
        <w:rPr>
          <w:rFonts w:hint="eastAsia" w:ascii="仿宋" w:hAnsi="仿宋" w:eastAsia="仿宋" w:cs="宋体"/>
          <w:color w:val="auto"/>
          <w:kern w:val="2"/>
          <w:sz w:val="24"/>
          <w:szCs w:val="24"/>
          <w:highlight w:val="none"/>
        </w:rPr>
        <w:t>4.3.2修改的投标文件应按照</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文件规定</w:t>
      </w:r>
      <w:r>
        <w:rPr>
          <w:rFonts w:hint="eastAsia" w:ascii="仿宋" w:hAnsi="仿宋" w:eastAsia="仿宋" w:cs="宋体"/>
          <w:color w:val="auto"/>
          <w:kern w:val="2"/>
          <w:sz w:val="24"/>
          <w:szCs w:val="24"/>
          <w:highlight w:val="none"/>
        </w:rPr>
        <w:t>进行编制、加密和递交。</w:t>
      </w:r>
    </w:p>
    <w:p w14:paraId="4B96353D">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0"/>
        <w:rPr>
          <w:rFonts w:ascii="仿宋" w:hAnsi="仿宋" w:eastAsia="仿宋"/>
          <w:b/>
          <w:bCs/>
          <w:color w:val="auto"/>
          <w:sz w:val="28"/>
          <w:szCs w:val="28"/>
          <w:highlight w:val="none"/>
        </w:rPr>
      </w:pPr>
      <w:bookmarkStart w:id="225" w:name="_Toc320473390"/>
      <w:bookmarkStart w:id="226" w:name="_Toc5788107"/>
      <w:bookmarkStart w:id="227" w:name="_Toc8568342"/>
      <w:bookmarkStart w:id="228" w:name="_Toc432697182"/>
      <w:bookmarkStart w:id="229" w:name="_Toc229583205"/>
      <w:bookmarkStart w:id="230" w:name="_Toc451275982"/>
      <w:r>
        <w:rPr>
          <w:rFonts w:hint="eastAsia" w:ascii="仿宋" w:hAnsi="仿宋" w:eastAsia="仿宋" w:cs="宋体"/>
          <w:b/>
          <w:bCs/>
          <w:color w:val="auto"/>
          <w:sz w:val="28"/>
          <w:szCs w:val="28"/>
          <w:highlight w:val="none"/>
        </w:rPr>
        <w:t>（五）开标</w:t>
      </w:r>
      <w:bookmarkEnd w:id="225"/>
      <w:bookmarkEnd w:id="226"/>
      <w:bookmarkEnd w:id="227"/>
      <w:bookmarkEnd w:id="228"/>
      <w:bookmarkEnd w:id="229"/>
      <w:bookmarkEnd w:id="230"/>
    </w:p>
    <w:p w14:paraId="7803F67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仿宋" w:hAnsi="仿宋" w:eastAsia="仿宋"/>
          <w:b/>
          <w:bCs/>
          <w:color w:val="auto"/>
          <w:sz w:val="24"/>
          <w:szCs w:val="24"/>
          <w:highlight w:val="none"/>
        </w:rPr>
      </w:pPr>
      <w:bookmarkStart w:id="231" w:name="_Toc451275983"/>
      <w:bookmarkStart w:id="232" w:name="_Toc8568343"/>
      <w:bookmarkStart w:id="233" w:name="_Toc320473391"/>
      <w:bookmarkStart w:id="234" w:name="_Toc8568249"/>
      <w:bookmarkStart w:id="235" w:name="_Toc5788108"/>
      <w:bookmarkStart w:id="236" w:name="_Toc432697183"/>
      <w:r>
        <w:rPr>
          <w:rFonts w:ascii="仿宋" w:hAnsi="仿宋" w:eastAsia="仿宋" w:cs="宋体"/>
          <w:b/>
          <w:bCs/>
          <w:color w:val="auto"/>
          <w:sz w:val="24"/>
          <w:szCs w:val="24"/>
          <w:highlight w:val="none"/>
        </w:rPr>
        <w:t xml:space="preserve">5.1 </w:t>
      </w:r>
      <w:r>
        <w:rPr>
          <w:rFonts w:hint="eastAsia" w:ascii="仿宋" w:hAnsi="仿宋" w:eastAsia="仿宋" w:cs="宋体"/>
          <w:b/>
          <w:bCs/>
          <w:color w:val="auto"/>
          <w:sz w:val="24"/>
          <w:szCs w:val="24"/>
          <w:highlight w:val="none"/>
        </w:rPr>
        <w:t>开标时间和地点</w:t>
      </w:r>
      <w:bookmarkEnd w:id="231"/>
      <w:bookmarkEnd w:id="232"/>
      <w:bookmarkEnd w:id="233"/>
      <w:bookmarkEnd w:id="234"/>
      <w:bookmarkEnd w:id="235"/>
      <w:bookmarkEnd w:id="236"/>
    </w:p>
    <w:p w14:paraId="541A92C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5.1.1 </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人在本章第2.2.2项规定的投标截止时间（开标时间）和投标须知前附表规定的地点公开进行评标，</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kern w:val="2"/>
          <w:sz w:val="24"/>
          <w:szCs w:val="24"/>
          <w:highlight w:val="none"/>
        </w:rPr>
        <w:t>的法定代表人或其委托代理人应参加网上开标会，如</w:t>
      </w: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未出席网上开标会，视为其默认唱标结果，由此产生的后果由</w:t>
      </w: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自行负责</w:t>
      </w:r>
      <w:r>
        <w:rPr>
          <w:rFonts w:hint="eastAsia" w:ascii="仿宋" w:hAnsi="仿宋" w:eastAsia="仿宋" w:cs="宋体"/>
          <w:color w:val="auto"/>
          <w:sz w:val="24"/>
          <w:szCs w:val="24"/>
          <w:highlight w:val="none"/>
        </w:rPr>
        <w:t>。</w:t>
      </w:r>
    </w:p>
    <w:p w14:paraId="159165DB">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仿宋" w:hAnsi="仿宋" w:eastAsia="仿宋"/>
          <w:b/>
          <w:bCs/>
          <w:color w:val="auto"/>
          <w:sz w:val="24"/>
          <w:szCs w:val="24"/>
          <w:highlight w:val="none"/>
        </w:rPr>
      </w:pPr>
      <w:bookmarkStart w:id="237" w:name="_Toc432697184"/>
      <w:bookmarkStart w:id="238" w:name="_Toc8568344"/>
      <w:bookmarkStart w:id="239" w:name="_Toc298756604"/>
      <w:bookmarkStart w:id="240" w:name="_Toc320473392"/>
      <w:bookmarkStart w:id="241" w:name="_Toc451275984"/>
      <w:bookmarkStart w:id="242" w:name="_Toc8568250"/>
      <w:bookmarkStart w:id="243" w:name="_Toc319673079"/>
      <w:bookmarkStart w:id="244" w:name="_Toc319440079"/>
      <w:bookmarkStart w:id="245" w:name="_Toc5788109"/>
      <w:r>
        <w:rPr>
          <w:rFonts w:ascii="仿宋" w:hAnsi="仿宋" w:eastAsia="仿宋" w:cs="宋体"/>
          <w:b/>
          <w:bCs/>
          <w:color w:val="auto"/>
          <w:sz w:val="24"/>
          <w:szCs w:val="24"/>
          <w:highlight w:val="none"/>
        </w:rPr>
        <w:t xml:space="preserve">5.2 </w:t>
      </w:r>
      <w:r>
        <w:rPr>
          <w:rFonts w:hint="eastAsia" w:ascii="仿宋" w:hAnsi="仿宋" w:eastAsia="仿宋" w:cs="宋体"/>
          <w:b/>
          <w:bCs/>
          <w:color w:val="auto"/>
          <w:sz w:val="24"/>
          <w:szCs w:val="24"/>
          <w:highlight w:val="none"/>
        </w:rPr>
        <w:t>开标程序</w:t>
      </w:r>
      <w:bookmarkEnd w:id="237"/>
      <w:bookmarkEnd w:id="238"/>
      <w:bookmarkEnd w:id="239"/>
      <w:bookmarkEnd w:id="240"/>
      <w:bookmarkEnd w:id="241"/>
      <w:bookmarkEnd w:id="242"/>
      <w:bookmarkEnd w:id="243"/>
      <w:bookmarkEnd w:id="244"/>
      <w:bookmarkEnd w:id="245"/>
    </w:p>
    <w:p w14:paraId="00CA492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ascii="仿宋" w:hAnsi="仿宋" w:eastAsia="仿宋" w:cs="宋体"/>
          <w:color w:val="auto"/>
          <w:sz w:val="24"/>
          <w:szCs w:val="24"/>
          <w:highlight w:val="none"/>
        </w:rPr>
      </w:pPr>
      <w:r>
        <w:rPr>
          <w:rFonts w:hint="eastAsia" w:ascii="仿宋" w:hAnsi="仿宋" w:eastAsia="仿宋" w:cs="宋体"/>
          <w:color w:val="auto"/>
          <w:kern w:val="2"/>
          <w:sz w:val="24"/>
          <w:szCs w:val="24"/>
          <w:highlight w:val="none"/>
        </w:rPr>
        <w:t>主持人按下列程序进行开标：</w:t>
      </w:r>
    </w:p>
    <w:p w14:paraId="1BE9E437">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rPr>
          <w:rFonts w:hint="eastAsia" w:ascii="仿宋" w:hAnsi="仿宋" w:eastAsia="仿宋" w:cs="宋体"/>
          <w:color w:val="auto"/>
          <w:sz w:val="24"/>
          <w:szCs w:val="24"/>
          <w:highlight w:val="none"/>
          <w:lang w:val="en-US" w:eastAsia="zh-CN"/>
        </w:rPr>
      </w:pPr>
      <w:bookmarkStart w:id="246" w:name="_Toc229583206"/>
      <w:bookmarkStart w:id="247" w:name="_Toc432697186"/>
      <w:bookmarkStart w:id="248" w:name="_Toc5788111"/>
      <w:bookmarkStart w:id="249" w:name="_Toc451275986"/>
      <w:bookmarkStart w:id="250" w:name="_Toc320473394"/>
      <w:bookmarkStart w:id="251" w:name="_Toc8568346"/>
      <w:r>
        <w:rPr>
          <w:rFonts w:hint="eastAsia" w:ascii="仿宋" w:hAnsi="仿宋" w:eastAsia="仿宋" w:cs="宋体"/>
          <w:color w:val="auto"/>
          <w:sz w:val="24"/>
          <w:szCs w:val="24"/>
          <w:highlight w:val="none"/>
          <w:lang w:val="en-US" w:eastAsia="zh-CN"/>
        </w:rPr>
        <w:t xml:space="preserve">（1）招标代理机构依托电子交易平台发起开始解密指令，投标人须使用加密时所用的 CA 锁按平台提示和招标文件的规定登录到“政采云”平台电子开标大厅签到，并在发起解密指令之时起 </w:t>
      </w:r>
      <w:r>
        <w:rPr>
          <w:rFonts w:hint="eastAsia" w:ascii="仿宋" w:hAnsi="仿宋" w:eastAsia="仿宋" w:cs="宋体"/>
          <w:color w:val="auto"/>
          <w:sz w:val="24"/>
          <w:szCs w:val="24"/>
          <w:highlight w:val="none"/>
          <w:lang w:val="en-US" w:eastAsia="zh-CN"/>
        </w:rPr>
        <w:t>30 分钟</w:t>
      </w:r>
      <w:r>
        <w:rPr>
          <w:rFonts w:hint="eastAsia" w:ascii="仿宋" w:hAnsi="仿宋" w:eastAsia="仿宋" w:cs="宋体"/>
          <w:color w:val="auto"/>
          <w:sz w:val="24"/>
          <w:szCs w:val="24"/>
          <w:highlight w:val="none"/>
          <w:lang w:val="en-US" w:eastAsia="zh-CN"/>
        </w:rPr>
        <w:t>内完成对电子投标文件在线解密。</w:t>
      </w:r>
    </w:p>
    <w:p w14:paraId="44850C76">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（2）发起解密指令之时起</w:t>
      </w:r>
      <w:r>
        <w:rPr>
          <w:rFonts w:hint="eastAsia" w:ascii="仿宋" w:hAnsi="仿宋" w:eastAsia="仿宋" w:cs="宋体"/>
          <w:color w:val="auto"/>
          <w:sz w:val="24"/>
          <w:szCs w:val="24"/>
          <w:highlight w:val="none"/>
          <w:lang w:val="en-US" w:eastAsia="zh-CN"/>
        </w:rPr>
        <w:t>5分钟</w:t>
      </w:r>
      <w:r>
        <w:rPr>
          <w:rFonts w:hint="eastAsia" w:ascii="仿宋" w:hAnsi="仿宋" w:eastAsia="仿宋" w:cs="宋体"/>
          <w:color w:val="auto"/>
          <w:sz w:val="24"/>
          <w:szCs w:val="24"/>
          <w:highlight w:val="none"/>
          <w:lang w:val="en-US" w:eastAsia="zh-CN"/>
        </w:rPr>
        <w:t>内投标人还未进行解密的，代理机构可通知投标人，投标人未预留联系方式或预留联系方式无效，导致代理机构无法联系到投标人进行解密的，视为撤回投标文件。如投标人成功解密投标文件，但未在“政采云”电子开标大厅参加开标的，视同认可开标过程和结果，由此产生的后果由投标人自行负责。</w:t>
      </w:r>
    </w:p>
    <w:p w14:paraId="1B3D8ECB">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0"/>
        <w:rPr>
          <w:rFonts w:ascii="仿宋" w:hAnsi="仿宋" w:eastAsia="仿宋"/>
          <w:b/>
          <w:bCs/>
          <w:color w:val="auto"/>
          <w:sz w:val="28"/>
          <w:szCs w:val="28"/>
          <w:highlight w:val="none"/>
        </w:rPr>
      </w:pPr>
      <w:r>
        <w:rPr>
          <w:rFonts w:hint="eastAsia" w:ascii="仿宋" w:hAnsi="仿宋" w:eastAsia="仿宋" w:cs="宋体"/>
          <w:b/>
          <w:bCs/>
          <w:color w:val="auto"/>
          <w:sz w:val="28"/>
          <w:szCs w:val="28"/>
          <w:highlight w:val="none"/>
        </w:rPr>
        <w:t>（六）评标</w:t>
      </w:r>
      <w:bookmarkEnd w:id="246"/>
      <w:bookmarkEnd w:id="247"/>
      <w:bookmarkEnd w:id="248"/>
      <w:bookmarkEnd w:id="249"/>
      <w:bookmarkEnd w:id="250"/>
      <w:bookmarkEnd w:id="251"/>
    </w:p>
    <w:p w14:paraId="34E4289D">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252" w:name="_Toc320473395"/>
      <w:bookmarkStart w:id="253" w:name="_Toc8568347"/>
      <w:bookmarkStart w:id="254" w:name="_Toc451275987"/>
      <w:bookmarkStart w:id="255" w:name="_Toc8568253"/>
      <w:bookmarkStart w:id="256" w:name="_Toc432697187"/>
      <w:bookmarkStart w:id="257" w:name="_Toc5788112"/>
      <w:r>
        <w:rPr>
          <w:rFonts w:ascii="仿宋" w:hAnsi="仿宋" w:eastAsia="仿宋" w:cs="宋体"/>
          <w:b/>
          <w:bCs/>
          <w:color w:val="auto"/>
          <w:sz w:val="24"/>
          <w:szCs w:val="24"/>
          <w:highlight w:val="none"/>
        </w:rPr>
        <w:t xml:space="preserve">6.1 </w:t>
      </w:r>
      <w:r>
        <w:rPr>
          <w:rFonts w:hint="eastAsia" w:ascii="仿宋" w:hAnsi="仿宋" w:eastAsia="仿宋" w:cs="宋体"/>
          <w:b/>
          <w:bCs/>
          <w:color w:val="auto"/>
          <w:sz w:val="24"/>
          <w:szCs w:val="24"/>
          <w:highlight w:val="none"/>
        </w:rPr>
        <w:t>评标委员会</w:t>
      </w:r>
      <w:bookmarkEnd w:id="252"/>
      <w:bookmarkEnd w:id="253"/>
      <w:bookmarkEnd w:id="254"/>
      <w:bookmarkEnd w:id="255"/>
      <w:bookmarkEnd w:id="256"/>
      <w:bookmarkEnd w:id="257"/>
    </w:p>
    <w:p w14:paraId="7EE9BF0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6.1.1 </w:t>
      </w:r>
      <w:r>
        <w:rPr>
          <w:rFonts w:hint="eastAsia" w:ascii="仿宋" w:hAnsi="仿宋" w:eastAsia="仿宋" w:cs="宋体"/>
          <w:color w:val="auto"/>
          <w:sz w:val="24"/>
          <w:szCs w:val="24"/>
          <w:highlight w:val="none"/>
        </w:rPr>
        <w:t>评标由</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人依法组建的评标委员会负责。评标委员会由</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人或其委托的</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sz w:val="24"/>
          <w:szCs w:val="24"/>
          <w:highlight w:val="none"/>
        </w:rPr>
        <w:t>代理机构熟悉相关业务的代表，以及有关技术、经济等方面的专家组成。评标委员会成员人数以及技术、经济等方面专家的确定方式见投标须知前附表。</w:t>
      </w:r>
    </w:p>
    <w:p w14:paraId="1388043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6.1.2 </w:t>
      </w:r>
      <w:r>
        <w:rPr>
          <w:rFonts w:hint="eastAsia" w:ascii="仿宋" w:hAnsi="仿宋" w:eastAsia="仿宋" w:cs="宋体"/>
          <w:color w:val="auto"/>
          <w:sz w:val="24"/>
          <w:szCs w:val="24"/>
          <w:highlight w:val="none"/>
        </w:rPr>
        <w:t>评标委员会成员有下列情形之一的，应当回避：</w:t>
      </w:r>
    </w:p>
    <w:p w14:paraId="75A01C5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1</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人或</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的主要负责人的近亲属。</w:t>
      </w:r>
    </w:p>
    <w:p w14:paraId="54172C1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2</w:t>
      </w:r>
      <w:r>
        <w:rPr>
          <w:rFonts w:hint="eastAsia" w:ascii="仿宋" w:hAnsi="仿宋" w:eastAsia="仿宋" w:cs="宋体"/>
          <w:color w:val="auto"/>
          <w:sz w:val="24"/>
          <w:szCs w:val="24"/>
          <w:highlight w:val="none"/>
        </w:rPr>
        <w:t>）项目主管部门或者行政监督部门的人员。</w:t>
      </w:r>
    </w:p>
    <w:p w14:paraId="3C6BECA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3</w:t>
      </w:r>
      <w:r>
        <w:rPr>
          <w:rFonts w:hint="eastAsia" w:ascii="仿宋" w:hAnsi="仿宋" w:eastAsia="仿宋" w:cs="宋体"/>
          <w:color w:val="auto"/>
          <w:sz w:val="24"/>
          <w:szCs w:val="24"/>
          <w:highlight w:val="none"/>
        </w:rPr>
        <w:t>）与</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有经济利益关系，可能影响对投标公正评审的；</w:t>
      </w:r>
    </w:p>
    <w:p w14:paraId="7E5038D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（4）曾因在招标、评标以及其他与招标投标有关活动中从事违法行为而受过行政处罚或刑事处罚的。</w:t>
      </w:r>
    </w:p>
    <w:p w14:paraId="1625D10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（5）与</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有其他利害关系。</w:t>
      </w:r>
    </w:p>
    <w:p w14:paraId="169E9B6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258" w:name="_Toc8568254"/>
      <w:bookmarkStart w:id="259" w:name="_Toc8568348"/>
      <w:bookmarkStart w:id="260" w:name="_Toc451275988"/>
      <w:bookmarkStart w:id="261" w:name="_Toc5788113"/>
      <w:bookmarkStart w:id="262" w:name="_Toc432697188"/>
      <w:bookmarkStart w:id="263" w:name="_Toc320473396"/>
      <w:r>
        <w:rPr>
          <w:rFonts w:ascii="仿宋" w:hAnsi="仿宋" w:eastAsia="仿宋" w:cs="宋体"/>
          <w:b/>
          <w:bCs/>
          <w:color w:val="auto"/>
          <w:sz w:val="24"/>
          <w:szCs w:val="24"/>
          <w:highlight w:val="none"/>
        </w:rPr>
        <w:t xml:space="preserve">6.2 </w:t>
      </w:r>
      <w:r>
        <w:rPr>
          <w:rFonts w:hint="eastAsia" w:ascii="仿宋" w:hAnsi="仿宋" w:eastAsia="仿宋" w:cs="宋体"/>
          <w:b/>
          <w:bCs/>
          <w:color w:val="auto"/>
          <w:sz w:val="24"/>
          <w:szCs w:val="24"/>
          <w:highlight w:val="none"/>
        </w:rPr>
        <w:t>评标原则</w:t>
      </w:r>
      <w:bookmarkEnd w:id="258"/>
      <w:bookmarkEnd w:id="259"/>
      <w:bookmarkEnd w:id="260"/>
      <w:bookmarkEnd w:id="261"/>
      <w:bookmarkEnd w:id="262"/>
      <w:bookmarkEnd w:id="263"/>
    </w:p>
    <w:p w14:paraId="43CA19F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评标活动应遵循公平、公正、科学、择优的原则，任何单位或个人不得非法干预或者影响评标过程和结果。</w:t>
      </w:r>
    </w:p>
    <w:p w14:paraId="68518C0A">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264" w:name="_Toc320473397"/>
      <w:bookmarkStart w:id="265" w:name="_Toc8568255"/>
      <w:bookmarkStart w:id="266" w:name="_Toc8568349"/>
      <w:bookmarkStart w:id="267" w:name="_Toc451275989"/>
      <w:bookmarkStart w:id="268" w:name="_Toc5788114"/>
      <w:bookmarkStart w:id="269" w:name="_Toc432697189"/>
      <w:r>
        <w:rPr>
          <w:rFonts w:ascii="仿宋" w:hAnsi="仿宋" w:eastAsia="仿宋" w:cs="宋体"/>
          <w:b/>
          <w:bCs/>
          <w:color w:val="auto"/>
          <w:sz w:val="24"/>
          <w:szCs w:val="24"/>
          <w:highlight w:val="none"/>
        </w:rPr>
        <w:t xml:space="preserve">6.3 </w:t>
      </w:r>
      <w:r>
        <w:rPr>
          <w:rFonts w:hint="eastAsia" w:ascii="仿宋" w:hAnsi="仿宋" w:eastAsia="仿宋" w:cs="宋体"/>
          <w:b/>
          <w:bCs/>
          <w:color w:val="auto"/>
          <w:sz w:val="24"/>
          <w:szCs w:val="24"/>
          <w:highlight w:val="none"/>
        </w:rPr>
        <w:t>评标</w:t>
      </w:r>
      <w:bookmarkEnd w:id="264"/>
      <w:bookmarkEnd w:id="265"/>
      <w:bookmarkEnd w:id="266"/>
      <w:bookmarkEnd w:id="267"/>
      <w:bookmarkEnd w:id="268"/>
      <w:bookmarkEnd w:id="269"/>
    </w:p>
    <w:p w14:paraId="5E272F1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评标委员会按照第三章“评标办法”规定的方法、评审因素、标准和程序对投标文件进行评审。第三章“评标办法”没有规定的方法、评审因素和标准，不作为评标依据。</w:t>
      </w:r>
    </w:p>
    <w:p w14:paraId="72AC8CDE">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0"/>
        <w:rPr>
          <w:rFonts w:ascii="仿宋" w:hAnsi="仿宋" w:eastAsia="仿宋"/>
          <w:b/>
          <w:bCs/>
          <w:color w:val="auto"/>
          <w:sz w:val="28"/>
          <w:szCs w:val="28"/>
          <w:highlight w:val="none"/>
        </w:rPr>
      </w:pPr>
      <w:bookmarkStart w:id="270" w:name="_Toc451275990"/>
      <w:bookmarkStart w:id="271" w:name="_Toc432697190"/>
      <w:bookmarkStart w:id="272" w:name="_Toc229583207"/>
      <w:bookmarkStart w:id="273" w:name="_Toc320473398"/>
      <w:bookmarkStart w:id="274" w:name="_Toc5788115"/>
      <w:bookmarkStart w:id="275" w:name="_Toc8568350"/>
      <w:r>
        <w:rPr>
          <w:rFonts w:hint="eastAsia" w:ascii="仿宋" w:hAnsi="仿宋" w:eastAsia="仿宋" w:cs="宋体"/>
          <w:b/>
          <w:bCs/>
          <w:color w:val="auto"/>
          <w:sz w:val="28"/>
          <w:szCs w:val="28"/>
          <w:highlight w:val="none"/>
        </w:rPr>
        <w:t>（七）合同授予</w:t>
      </w:r>
      <w:bookmarkEnd w:id="270"/>
      <w:bookmarkEnd w:id="271"/>
      <w:bookmarkEnd w:id="272"/>
      <w:bookmarkEnd w:id="273"/>
      <w:bookmarkEnd w:id="274"/>
      <w:bookmarkEnd w:id="275"/>
    </w:p>
    <w:p w14:paraId="1D04AE02">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276" w:name="_Toc8568257"/>
      <w:bookmarkStart w:id="277" w:name="_Toc320473399"/>
      <w:bookmarkStart w:id="278" w:name="_Toc432697191"/>
      <w:bookmarkStart w:id="279" w:name="_Toc451275991"/>
      <w:bookmarkStart w:id="280" w:name="_Toc8568351"/>
      <w:bookmarkStart w:id="281" w:name="_Toc5788116"/>
      <w:r>
        <w:rPr>
          <w:rFonts w:ascii="仿宋" w:hAnsi="仿宋" w:eastAsia="仿宋" w:cs="宋体"/>
          <w:b/>
          <w:bCs/>
          <w:color w:val="auto"/>
          <w:sz w:val="24"/>
          <w:szCs w:val="24"/>
          <w:highlight w:val="none"/>
        </w:rPr>
        <w:t xml:space="preserve">7.1 </w:t>
      </w:r>
      <w:r>
        <w:rPr>
          <w:rFonts w:hint="eastAsia" w:ascii="仿宋" w:hAnsi="仿宋" w:eastAsia="仿宋" w:cs="宋体"/>
          <w:b/>
          <w:bCs/>
          <w:color w:val="auto"/>
          <w:sz w:val="24"/>
          <w:szCs w:val="24"/>
          <w:highlight w:val="none"/>
        </w:rPr>
        <w:t>定标方式</w:t>
      </w:r>
      <w:bookmarkEnd w:id="276"/>
      <w:bookmarkEnd w:id="277"/>
      <w:bookmarkEnd w:id="278"/>
      <w:bookmarkEnd w:id="279"/>
      <w:bookmarkEnd w:id="280"/>
      <w:bookmarkEnd w:id="281"/>
    </w:p>
    <w:p w14:paraId="063F1B9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人依据评标委员会推荐的中标候选人确定中标人，评标委员会推荐中标候选人的人数见投标须</w:t>
      </w:r>
      <w:r>
        <w:rPr>
          <w:rFonts w:hint="eastAsia" w:ascii="仿宋" w:hAnsi="仿宋" w:eastAsia="仿宋" w:cs="宋体"/>
          <w:color w:val="auto"/>
          <w:sz w:val="24"/>
          <w:szCs w:val="24"/>
          <w:highlight w:val="none"/>
        </w:rPr>
        <w:t>知前附表。</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人保留接受和拒绝任何或所有投标的权力。</w:t>
      </w:r>
    </w:p>
    <w:p w14:paraId="33AC097A">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282" w:name="_Toc8568258"/>
      <w:bookmarkStart w:id="283" w:name="_Toc451275992"/>
      <w:bookmarkStart w:id="284" w:name="_Toc432697192"/>
      <w:bookmarkStart w:id="285" w:name="_Toc320473400"/>
      <w:bookmarkStart w:id="286" w:name="_Toc8568352"/>
      <w:bookmarkStart w:id="287" w:name="_Toc5788117"/>
      <w:r>
        <w:rPr>
          <w:rFonts w:ascii="仿宋" w:hAnsi="仿宋" w:eastAsia="仿宋" w:cs="宋体"/>
          <w:b/>
          <w:bCs/>
          <w:color w:val="auto"/>
          <w:sz w:val="24"/>
          <w:szCs w:val="24"/>
          <w:highlight w:val="none"/>
        </w:rPr>
        <w:t xml:space="preserve">7.2 </w:t>
      </w:r>
      <w:r>
        <w:rPr>
          <w:rFonts w:hint="eastAsia" w:ascii="仿宋" w:hAnsi="仿宋" w:eastAsia="仿宋" w:cs="宋体"/>
          <w:b/>
          <w:bCs/>
          <w:color w:val="auto"/>
          <w:sz w:val="24"/>
          <w:szCs w:val="24"/>
          <w:highlight w:val="none"/>
        </w:rPr>
        <w:t>中标通知</w:t>
      </w:r>
      <w:bookmarkEnd w:id="282"/>
      <w:bookmarkEnd w:id="283"/>
      <w:bookmarkEnd w:id="284"/>
      <w:bookmarkEnd w:id="285"/>
      <w:bookmarkEnd w:id="286"/>
      <w:bookmarkEnd w:id="287"/>
    </w:p>
    <w:p w14:paraId="1849433E">
      <w:pPr>
        <w:keepNext w:val="0"/>
        <w:keepLines w:val="0"/>
        <w:pageBreakBefore w:val="0"/>
        <w:widowControl w:val="0"/>
        <w:kinsoku/>
        <w:wordWrap/>
        <w:overflowPunct/>
        <w:topLinePunct w:val="0"/>
        <w:autoSpaceDE/>
        <w:autoSpaceDN/>
        <w:bidi w:val="0"/>
        <w:adjustRightInd/>
        <w:snapToGrid/>
        <w:spacing w:line="480" w:lineRule="exact"/>
        <w:ind w:right="-254" w:rightChars="-121" w:firstLine="480" w:firstLineChars="200"/>
        <w:textAlignment w:val="auto"/>
        <w:rPr>
          <w:rFonts w:ascii="仿宋" w:hAnsi="仿宋" w:eastAsia="仿宋"/>
          <w:color w:val="auto"/>
          <w:sz w:val="24"/>
          <w:szCs w:val="24"/>
          <w:highlight w:val="none"/>
        </w:rPr>
      </w:pPr>
      <w:bookmarkStart w:id="288" w:name="_Toc451275993"/>
      <w:bookmarkStart w:id="289" w:name="_Toc320473401"/>
      <w:r>
        <w:rPr>
          <w:rFonts w:ascii="仿宋" w:hAnsi="仿宋" w:eastAsia="仿宋" w:cs="宋体"/>
          <w:color w:val="auto"/>
          <w:sz w:val="24"/>
          <w:szCs w:val="24"/>
          <w:highlight w:val="none"/>
        </w:rPr>
        <w:t>7.2.1</w:t>
      </w:r>
      <w:r>
        <w:rPr>
          <w:rFonts w:hint="eastAsia" w:ascii="仿宋" w:hAnsi="仿宋" w:eastAsia="仿宋" w:cs="宋体"/>
          <w:color w:val="auto"/>
          <w:sz w:val="24"/>
          <w:szCs w:val="24"/>
          <w:highlight w:val="none"/>
        </w:rPr>
        <w:t>评标结果在云南省政府采购网公示，公示期1个工作日，若无异议。在</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文件规定的投标有效期内，发放中标（中选、成交）通知书。</w:t>
      </w:r>
    </w:p>
    <w:p w14:paraId="47376DD7">
      <w:pPr>
        <w:keepNext w:val="0"/>
        <w:keepLines w:val="0"/>
        <w:pageBreakBefore w:val="0"/>
        <w:widowControl w:val="0"/>
        <w:kinsoku/>
        <w:wordWrap/>
        <w:overflowPunct/>
        <w:topLinePunct w:val="0"/>
        <w:autoSpaceDE/>
        <w:autoSpaceDN/>
        <w:bidi w:val="0"/>
        <w:adjustRightInd/>
        <w:snapToGrid/>
        <w:spacing w:line="480" w:lineRule="exact"/>
        <w:ind w:right="-254" w:rightChars="-121" w:firstLine="482" w:firstLineChars="200"/>
        <w:textAlignment w:val="auto"/>
        <w:outlineLvl w:val="0"/>
        <w:rPr>
          <w:rFonts w:hint="eastAsia" w:ascii="仿宋" w:hAnsi="仿宋" w:eastAsia="仿宋"/>
          <w:b/>
          <w:bCs/>
          <w:color w:val="auto"/>
          <w:sz w:val="24"/>
          <w:szCs w:val="24"/>
          <w:highlight w:val="none"/>
          <w:lang w:eastAsia="zh-CN"/>
        </w:rPr>
      </w:pPr>
      <w:bookmarkStart w:id="290" w:name="_Toc5788118"/>
      <w:bookmarkStart w:id="291" w:name="_Toc8568353"/>
      <w:bookmarkStart w:id="292" w:name="_Toc8568259"/>
      <w:r>
        <w:rPr>
          <w:rFonts w:ascii="仿宋" w:hAnsi="仿宋" w:eastAsia="仿宋" w:cs="宋体"/>
          <w:b/>
          <w:bCs/>
          <w:color w:val="auto"/>
          <w:sz w:val="24"/>
          <w:szCs w:val="24"/>
          <w:highlight w:val="none"/>
        </w:rPr>
        <w:t xml:space="preserve">7.3 </w:t>
      </w:r>
      <w:r>
        <w:rPr>
          <w:rFonts w:hint="eastAsia" w:ascii="仿宋" w:hAnsi="仿宋" w:eastAsia="仿宋" w:cs="宋体"/>
          <w:b/>
          <w:bCs/>
          <w:color w:val="auto"/>
          <w:sz w:val="24"/>
          <w:szCs w:val="24"/>
          <w:highlight w:val="none"/>
        </w:rPr>
        <w:t>履约</w:t>
      </w:r>
      <w:bookmarkEnd w:id="288"/>
      <w:bookmarkEnd w:id="289"/>
      <w:bookmarkEnd w:id="290"/>
      <w:bookmarkEnd w:id="291"/>
      <w:bookmarkEnd w:id="292"/>
      <w:r>
        <w:rPr>
          <w:rFonts w:hint="eastAsia" w:ascii="仿宋" w:hAnsi="仿宋" w:eastAsia="仿宋" w:cs="宋体"/>
          <w:b/>
          <w:bCs/>
          <w:color w:val="auto"/>
          <w:sz w:val="24"/>
          <w:szCs w:val="24"/>
          <w:highlight w:val="none"/>
          <w:lang w:eastAsia="zh-CN"/>
        </w:rPr>
        <w:t>保证金（如有）</w:t>
      </w:r>
    </w:p>
    <w:p w14:paraId="52E5EA2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7.3.1</w:t>
      </w:r>
      <w:r>
        <w:rPr>
          <w:rFonts w:hint="eastAsia" w:ascii="仿宋" w:hAnsi="仿宋" w:eastAsia="仿宋" w:cs="宋体"/>
          <w:color w:val="auto"/>
          <w:sz w:val="24"/>
          <w:szCs w:val="24"/>
          <w:highlight w:val="none"/>
        </w:rPr>
        <w:t>履约保证金金额和提交形式：履约担保方式：支票、汇票、本票或者金融机构、担保机构出具的保函、保证保险等非现金形式提交。</w:t>
      </w:r>
    </w:p>
    <w:p w14:paraId="71AF7F6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7.3.2</w:t>
      </w:r>
      <w:r>
        <w:rPr>
          <w:rFonts w:hint="eastAsia" w:ascii="仿宋" w:hAnsi="仿宋" w:eastAsia="仿宋" w:cs="宋体"/>
          <w:color w:val="auto"/>
          <w:sz w:val="24"/>
          <w:szCs w:val="24"/>
          <w:highlight w:val="none"/>
        </w:rPr>
        <w:t>履约保证金金额：</w:t>
      </w:r>
      <w:r>
        <w:rPr>
          <w:rFonts w:hint="eastAsia" w:ascii="仿宋" w:hAnsi="仿宋" w:eastAsia="仿宋" w:cs="宋体"/>
          <w:color w:val="auto"/>
          <w:sz w:val="24"/>
          <w:szCs w:val="24"/>
          <w:highlight w:val="none"/>
          <w:lang w:val="en-US" w:eastAsia="zh-CN"/>
        </w:rPr>
        <w:t>/</w:t>
      </w:r>
      <w:r>
        <w:rPr>
          <w:rFonts w:hint="eastAsia" w:ascii="仿宋" w:hAnsi="仿宋" w:eastAsia="仿宋" w:cs="宋体"/>
          <w:color w:val="auto"/>
          <w:sz w:val="24"/>
          <w:szCs w:val="24"/>
          <w:highlight w:val="none"/>
        </w:rPr>
        <w:t>。</w:t>
      </w:r>
    </w:p>
    <w:p w14:paraId="6850CC7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履约保证金提交时间</w:t>
      </w:r>
      <w:r>
        <w:rPr>
          <w:rFonts w:hint="eastAsia" w:ascii="仿宋" w:hAnsi="仿宋" w:eastAsia="仿宋"/>
          <w:color w:val="auto"/>
          <w:sz w:val="24"/>
          <w:szCs w:val="24"/>
          <w:highlight w:val="none"/>
        </w:rPr>
        <w:t>：中标方应当在合同签订后提交履约保证金。</w:t>
      </w:r>
    </w:p>
    <w:p w14:paraId="0DDD894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履约保证金的退还时间：履约结束后双方无履约纠纷的30日内退还（如涉及利息的缴纳方式则按照银行同期存款利息计算后退还）。</w:t>
      </w:r>
    </w:p>
    <w:p w14:paraId="3F894977">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0"/>
        <w:rPr>
          <w:rFonts w:ascii="仿宋" w:hAnsi="仿宋" w:eastAsia="仿宋"/>
          <w:b/>
          <w:bCs/>
          <w:color w:val="auto"/>
          <w:sz w:val="28"/>
          <w:szCs w:val="28"/>
          <w:highlight w:val="none"/>
        </w:rPr>
      </w:pPr>
      <w:bookmarkStart w:id="293" w:name="_Toc320473406"/>
      <w:bookmarkStart w:id="294" w:name="_Toc432697193"/>
      <w:bookmarkStart w:id="295" w:name="_Toc5788119"/>
      <w:bookmarkStart w:id="296" w:name="_Toc451275994"/>
      <w:bookmarkStart w:id="297" w:name="_Toc184635079"/>
      <w:bookmarkStart w:id="298" w:name="_Toc8568354"/>
      <w:r>
        <w:rPr>
          <w:rFonts w:hint="eastAsia" w:ascii="仿宋" w:hAnsi="仿宋" w:eastAsia="仿宋" w:cs="宋体"/>
          <w:b/>
          <w:bCs/>
          <w:color w:val="auto"/>
          <w:sz w:val="28"/>
          <w:szCs w:val="28"/>
          <w:highlight w:val="none"/>
        </w:rPr>
        <w:t>（八）纪律和监督</w:t>
      </w:r>
      <w:bookmarkEnd w:id="293"/>
      <w:bookmarkEnd w:id="294"/>
      <w:bookmarkEnd w:id="295"/>
      <w:bookmarkEnd w:id="296"/>
      <w:bookmarkEnd w:id="297"/>
      <w:bookmarkEnd w:id="298"/>
    </w:p>
    <w:p w14:paraId="20C64C29">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299" w:name="_Toc5788120"/>
      <w:bookmarkStart w:id="300" w:name="_Toc432697194"/>
      <w:bookmarkStart w:id="301" w:name="_Toc8568355"/>
      <w:bookmarkStart w:id="302" w:name="_Toc320473407"/>
      <w:bookmarkStart w:id="303" w:name="_Toc451275995"/>
      <w:bookmarkStart w:id="304" w:name="_Toc8568261"/>
      <w:r>
        <w:rPr>
          <w:rFonts w:ascii="仿宋" w:hAnsi="仿宋" w:eastAsia="仿宋" w:cs="宋体"/>
          <w:b/>
          <w:bCs/>
          <w:color w:val="auto"/>
          <w:sz w:val="24"/>
          <w:szCs w:val="24"/>
          <w:highlight w:val="none"/>
        </w:rPr>
        <w:t xml:space="preserve">8.1 </w:t>
      </w:r>
      <w:r>
        <w:rPr>
          <w:rFonts w:hint="eastAsia" w:ascii="仿宋" w:hAnsi="仿宋" w:eastAsia="仿宋" w:cs="宋体"/>
          <w:b/>
          <w:bCs/>
          <w:color w:val="auto"/>
          <w:sz w:val="24"/>
          <w:szCs w:val="24"/>
          <w:highlight w:val="none"/>
        </w:rPr>
        <w:t>对</w:t>
      </w:r>
      <w:r>
        <w:rPr>
          <w:rFonts w:hint="eastAsia" w:ascii="仿宋" w:hAnsi="仿宋" w:eastAsia="仿宋" w:cs="宋体"/>
          <w:b/>
          <w:bCs/>
          <w:color w:val="auto"/>
          <w:sz w:val="24"/>
          <w:szCs w:val="24"/>
          <w:highlight w:val="none"/>
          <w:lang w:eastAsia="zh-CN"/>
        </w:rPr>
        <w:t>招标</w:t>
      </w:r>
      <w:r>
        <w:rPr>
          <w:rFonts w:hint="eastAsia" w:ascii="仿宋" w:hAnsi="仿宋" w:eastAsia="仿宋" w:cs="宋体"/>
          <w:b/>
          <w:bCs/>
          <w:color w:val="auto"/>
          <w:sz w:val="24"/>
          <w:szCs w:val="24"/>
          <w:highlight w:val="none"/>
        </w:rPr>
        <w:t>人的纪律要求</w:t>
      </w:r>
      <w:bookmarkEnd w:id="299"/>
      <w:bookmarkEnd w:id="300"/>
      <w:bookmarkEnd w:id="301"/>
      <w:bookmarkEnd w:id="302"/>
      <w:bookmarkEnd w:id="303"/>
      <w:bookmarkEnd w:id="304"/>
    </w:p>
    <w:p w14:paraId="4DFB52E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人不得泄漏招标投标活动中应当保密的情况和资料，不得与</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串通损害国家利益、社会公共利益或者他人合法权益。</w:t>
      </w:r>
    </w:p>
    <w:p w14:paraId="291FFC24">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仿宋" w:hAnsi="仿宋" w:eastAsia="仿宋"/>
          <w:b/>
          <w:bCs/>
          <w:color w:val="auto"/>
          <w:sz w:val="24"/>
          <w:szCs w:val="24"/>
          <w:highlight w:val="none"/>
        </w:rPr>
      </w:pPr>
      <w:bookmarkStart w:id="305" w:name="_Toc5788121"/>
      <w:bookmarkStart w:id="306" w:name="_Toc320473408"/>
      <w:bookmarkStart w:id="307" w:name="_Toc432697195"/>
      <w:bookmarkStart w:id="308" w:name="_Toc8568356"/>
      <w:bookmarkStart w:id="309" w:name="_Toc451275996"/>
      <w:bookmarkStart w:id="310" w:name="_Toc8568262"/>
      <w:r>
        <w:rPr>
          <w:rFonts w:ascii="仿宋" w:hAnsi="仿宋" w:eastAsia="仿宋" w:cs="宋体"/>
          <w:b/>
          <w:bCs/>
          <w:color w:val="auto"/>
          <w:sz w:val="24"/>
          <w:szCs w:val="24"/>
          <w:highlight w:val="none"/>
        </w:rPr>
        <w:t xml:space="preserve">8.2 </w:t>
      </w:r>
      <w:r>
        <w:rPr>
          <w:rFonts w:hint="eastAsia" w:ascii="仿宋" w:hAnsi="仿宋" w:eastAsia="仿宋" w:cs="宋体"/>
          <w:b/>
          <w:bCs/>
          <w:color w:val="auto"/>
          <w:sz w:val="24"/>
          <w:szCs w:val="24"/>
          <w:highlight w:val="none"/>
        </w:rPr>
        <w:t>对</w:t>
      </w:r>
      <w:r>
        <w:rPr>
          <w:rFonts w:hint="eastAsia" w:ascii="仿宋" w:hAnsi="仿宋" w:eastAsia="仿宋" w:cs="宋体"/>
          <w:b/>
          <w:bCs/>
          <w:color w:val="auto"/>
          <w:sz w:val="24"/>
          <w:szCs w:val="24"/>
          <w:highlight w:val="none"/>
          <w:lang w:eastAsia="zh-CN"/>
        </w:rPr>
        <w:t>投标人</w:t>
      </w:r>
      <w:r>
        <w:rPr>
          <w:rFonts w:hint="eastAsia" w:ascii="仿宋" w:hAnsi="仿宋" w:eastAsia="仿宋" w:cs="宋体"/>
          <w:b/>
          <w:bCs/>
          <w:color w:val="auto"/>
          <w:sz w:val="24"/>
          <w:szCs w:val="24"/>
          <w:highlight w:val="none"/>
        </w:rPr>
        <w:t>的纪律要求</w:t>
      </w:r>
      <w:bookmarkEnd w:id="305"/>
      <w:bookmarkEnd w:id="306"/>
      <w:bookmarkEnd w:id="307"/>
      <w:bookmarkEnd w:id="308"/>
      <w:bookmarkEnd w:id="309"/>
      <w:bookmarkEnd w:id="310"/>
    </w:p>
    <w:p w14:paraId="123FA9F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不得相互串通投标或者与</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人串通投标，不得向</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人或者评标委员会成员行贿谋取中标，不得以他人名义投标或者以其他方式弄虚作假骗取中标；</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不得以任何方式干扰、影响评标工作。</w:t>
      </w:r>
    </w:p>
    <w:p w14:paraId="160CE20E">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311" w:name="_Toc451275997"/>
      <w:bookmarkStart w:id="312" w:name="_Toc8568357"/>
      <w:bookmarkStart w:id="313" w:name="_Toc8568263"/>
      <w:bookmarkStart w:id="314" w:name="_Toc320473409"/>
      <w:bookmarkStart w:id="315" w:name="_Toc432697196"/>
      <w:bookmarkStart w:id="316" w:name="_Toc5788122"/>
      <w:r>
        <w:rPr>
          <w:rFonts w:ascii="仿宋" w:hAnsi="仿宋" w:eastAsia="仿宋" w:cs="宋体"/>
          <w:b/>
          <w:bCs/>
          <w:color w:val="auto"/>
          <w:sz w:val="24"/>
          <w:szCs w:val="24"/>
          <w:highlight w:val="none"/>
        </w:rPr>
        <w:t xml:space="preserve">8.3 </w:t>
      </w:r>
      <w:r>
        <w:rPr>
          <w:rFonts w:hint="eastAsia" w:ascii="仿宋" w:hAnsi="仿宋" w:eastAsia="仿宋" w:cs="宋体"/>
          <w:b/>
          <w:bCs/>
          <w:color w:val="auto"/>
          <w:sz w:val="24"/>
          <w:szCs w:val="24"/>
          <w:highlight w:val="none"/>
        </w:rPr>
        <w:t>对评标委员会成员的纪律要求</w:t>
      </w:r>
      <w:bookmarkEnd w:id="311"/>
      <w:bookmarkEnd w:id="312"/>
      <w:bookmarkEnd w:id="313"/>
      <w:bookmarkEnd w:id="314"/>
      <w:bookmarkEnd w:id="315"/>
      <w:bookmarkEnd w:id="316"/>
    </w:p>
    <w:p w14:paraId="619190E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09F0B504">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仿宋" w:hAnsi="仿宋" w:eastAsia="仿宋"/>
          <w:b/>
          <w:bCs/>
          <w:color w:val="auto"/>
          <w:sz w:val="24"/>
          <w:szCs w:val="24"/>
          <w:highlight w:val="none"/>
        </w:rPr>
      </w:pPr>
      <w:bookmarkStart w:id="317" w:name="_Toc451275998"/>
      <w:bookmarkStart w:id="318" w:name="_Toc8568358"/>
      <w:bookmarkStart w:id="319" w:name="_Toc432697197"/>
      <w:bookmarkStart w:id="320" w:name="_Toc5788123"/>
      <w:bookmarkStart w:id="321" w:name="_Toc8568264"/>
      <w:r>
        <w:rPr>
          <w:rFonts w:ascii="仿宋" w:hAnsi="仿宋" w:eastAsia="仿宋" w:cs="宋体"/>
          <w:b/>
          <w:bCs/>
          <w:color w:val="auto"/>
          <w:sz w:val="24"/>
          <w:szCs w:val="24"/>
          <w:highlight w:val="none"/>
        </w:rPr>
        <w:t xml:space="preserve">8.4 </w:t>
      </w:r>
      <w:r>
        <w:rPr>
          <w:rFonts w:hint="eastAsia" w:ascii="仿宋" w:hAnsi="仿宋" w:eastAsia="仿宋" w:cs="宋体"/>
          <w:b/>
          <w:bCs/>
          <w:color w:val="auto"/>
          <w:sz w:val="24"/>
          <w:szCs w:val="24"/>
          <w:highlight w:val="none"/>
        </w:rPr>
        <w:t>对与评标活动有关的工作人员的纪律要求</w:t>
      </w:r>
      <w:bookmarkEnd w:id="317"/>
      <w:bookmarkEnd w:id="318"/>
      <w:bookmarkEnd w:id="319"/>
      <w:bookmarkEnd w:id="320"/>
      <w:bookmarkEnd w:id="321"/>
    </w:p>
    <w:p w14:paraId="18F8148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02A3ABA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322" w:name="_Toc451275999"/>
      <w:bookmarkStart w:id="323" w:name="_Toc5788124"/>
      <w:bookmarkStart w:id="324" w:name="_Toc8568359"/>
      <w:bookmarkStart w:id="325" w:name="_Toc320473411"/>
      <w:bookmarkStart w:id="326" w:name="_Toc432697198"/>
      <w:bookmarkStart w:id="327" w:name="_Toc8568265"/>
      <w:r>
        <w:rPr>
          <w:rFonts w:ascii="仿宋" w:hAnsi="仿宋" w:eastAsia="仿宋" w:cs="宋体"/>
          <w:b/>
          <w:bCs/>
          <w:color w:val="auto"/>
          <w:sz w:val="24"/>
          <w:szCs w:val="24"/>
          <w:highlight w:val="none"/>
        </w:rPr>
        <w:t xml:space="preserve">8.5 </w:t>
      </w:r>
      <w:r>
        <w:rPr>
          <w:rFonts w:hint="eastAsia" w:ascii="仿宋" w:hAnsi="仿宋" w:eastAsia="仿宋" w:cs="宋体"/>
          <w:b/>
          <w:bCs/>
          <w:color w:val="auto"/>
          <w:sz w:val="24"/>
          <w:szCs w:val="24"/>
          <w:highlight w:val="none"/>
        </w:rPr>
        <w:t>投诉</w:t>
      </w:r>
      <w:bookmarkEnd w:id="322"/>
      <w:bookmarkEnd w:id="323"/>
      <w:bookmarkEnd w:id="324"/>
      <w:bookmarkEnd w:id="325"/>
      <w:bookmarkEnd w:id="326"/>
      <w:bookmarkEnd w:id="327"/>
    </w:p>
    <w:p w14:paraId="52FC181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和其他利害关系人认为本次招标活动违反法律、法规和规章规定的，有权向有关行政监督部门投诉。</w:t>
      </w:r>
    </w:p>
    <w:p w14:paraId="3EC4FDC8">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0"/>
        <w:rPr>
          <w:rFonts w:ascii="仿宋" w:hAnsi="仿宋" w:eastAsia="仿宋"/>
          <w:b/>
          <w:bCs/>
          <w:color w:val="auto"/>
          <w:sz w:val="28"/>
          <w:szCs w:val="28"/>
          <w:highlight w:val="none"/>
        </w:rPr>
      </w:pPr>
      <w:bookmarkStart w:id="328" w:name="_Toc5788125"/>
      <w:bookmarkStart w:id="329" w:name="_Toc451276000"/>
      <w:bookmarkStart w:id="330" w:name="_Toc320473412"/>
      <w:bookmarkStart w:id="331" w:name="_Toc184635080"/>
      <w:bookmarkStart w:id="332" w:name="_Toc432697199"/>
      <w:bookmarkStart w:id="333" w:name="_Toc8568360"/>
      <w:r>
        <w:rPr>
          <w:rFonts w:hint="eastAsia" w:ascii="仿宋" w:hAnsi="仿宋" w:eastAsia="仿宋" w:cs="宋体"/>
          <w:b/>
          <w:bCs/>
          <w:color w:val="auto"/>
          <w:sz w:val="28"/>
          <w:szCs w:val="28"/>
          <w:highlight w:val="none"/>
        </w:rPr>
        <w:t>（九）需要补充的其它内容</w:t>
      </w:r>
      <w:bookmarkEnd w:id="328"/>
      <w:bookmarkEnd w:id="329"/>
      <w:bookmarkEnd w:id="330"/>
      <w:bookmarkEnd w:id="331"/>
      <w:bookmarkEnd w:id="332"/>
      <w:bookmarkEnd w:id="333"/>
    </w:p>
    <w:p w14:paraId="4E4C2D9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0"/>
        <w:rPr>
          <w:rFonts w:hint="eastAsia"/>
          <w:color w:val="auto"/>
          <w:highlight w:val="none"/>
        </w:rPr>
      </w:pPr>
      <w:r>
        <w:rPr>
          <w:rFonts w:hint="eastAsia" w:ascii="仿宋" w:hAnsi="仿宋" w:eastAsia="仿宋" w:cs="宋体"/>
          <w:color w:val="auto"/>
          <w:sz w:val="24"/>
          <w:szCs w:val="24"/>
          <w:highlight w:val="none"/>
        </w:rPr>
        <w:t>9.1见投标须知前附表。</w:t>
      </w:r>
    </w:p>
    <w:p w14:paraId="1FC35703">
      <w:pPr>
        <w:pStyle w:val="53"/>
        <w:pageBreakBefore w:val="0"/>
        <w:kinsoku/>
        <w:wordWrap/>
        <w:overflowPunct/>
        <w:topLinePunct w:val="0"/>
        <w:autoSpaceDE/>
        <w:autoSpaceDN/>
        <w:bidi w:val="0"/>
        <w:adjustRightInd/>
        <w:snapToGrid/>
        <w:spacing w:before="0" w:after="0" w:line="480" w:lineRule="exact"/>
        <w:textAlignment w:val="auto"/>
        <w:rPr>
          <w:rFonts w:hint="eastAsia" w:ascii="仿宋" w:hAnsi="仿宋" w:eastAsia="仿宋"/>
          <w:color w:val="auto"/>
          <w:highlight w:val="none"/>
        </w:rPr>
      </w:pPr>
    </w:p>
    <w:p w14:paraId="239B6E05">
      <w:pPr>
        <w:pStyle w:val="53"/>
        <w:spacing w:before="0" w:after="0" w:line="360" w:lineRule="auto"/>
        <w:rPr>
          <w:rFonts w:hint="eastAsia" w:ascii="仿宋" w:hAnsi="仿宋" w:eastAsia="仿宋"/>
          <w:color w:val="auto"/>
          <w:highlight w:val="none"/>
        </w:rPr>
      </w:pPr>
    </w:p>
    <w:p w14:paraId="4C299702">
      <w:pPr>
        <w:pStyle w:val="53"/>
        <w:spacing w:before="0" w:after="0" w:line="360" w:lineRule="auto"/>
        <w:rPr>
          <w:rFonts w:hint="eastAsia" w:ascii="仿宋" w:hAnsi="仿宋" w:eastAsia="仿宋"/>
          <w:color w:val="auto"/>
          <w:highlight w:val="none"/>
        </w:rPr>
      </w:pPr>
    </w:p>
    <w:p w14:paraId="4FF1C6CF">
      <w:pPr>
        <w:pStyle w:val="53"/>
        <w:spacing w:before="0" w:after="0" w:line="360" w:lineRule="auto"/>
        <w:rPr>
          <w:rFonts w:hint="eastAsia" w:ascii="仿宋" w:hAnsi="仿宋" w:eastAsia="仿宋"/>
          <w:color w:val="auto"/>
          <w:highlight w:val="none"/>
        </w:rPr>
      </w:pPr>
    </w:p>
    <w:p w14:paraId="16CEAB7B">
      <w:pPr>
        <w:pStyle w:val="53"/>
        <w:spacing w:before="0" w:after="0" w:line="360" w:lineRule="auto"/>
        <w:rPr>
          <w:rFonts w:hint="eastAsia" w:ascii="仿宋" w:hAnsi="仿宋" w:eastAsia="仿宋"/>
          <w:color w:val="auto"/>
          <w:highlight w:val="none"/>
        </w:rPr>
      </w:pPr>
    </w:p>
    <w:p w14:paraId="065E51AA">
      <w:pPr>
        <w:pStyle w:val="53"/>
        <w:spacing w:before="0" w:after="0" w:line="360" w:lineRule="auto"/>
        <w:rPr>
          <w:rFonts w:hint="eastAsia" w:ascii="仿宋" w:hAnsi="仿宋" w:eastAsia="仿宋"/>
          <w:color w:val="auto"/>
          <w:highlight w:val="none"/>
        </w:rPr>
      </w:pPr>
    </w:p>
    <w:p w14:paraId="417441CC">
      <w:pPr>
        <w:pStyle w:val="53"/>
        <w:spacing w:before="0" w:after="0" w:line="360" w:lineRule="auto"/>
        <w:jc w:val="both"/>
        <w:rPr>
          <w:rFonts w:hint="eastAsia" w:ascii="仿宋" w:hAnsi="仿宋" w:eastAsia="仿宋"/>
          <w:color w:val="auto"/>
          <w:highlight w:val="none"/>
        </w:rPr>
      </w:pPr>
    </w:p>
    <w:p w14:paraId="782CF069">
      <w:pPr>
        <w:pStyle w:val="53"/>
        <w:spacing w:before="0" w:after="0" w:line="360" w:lineRule="auto"/>
        <w:rPr>
          <w:rFonts w:ascii="仿宋" w:hAnsi="仿宋" w:eastAsia="仿宋"/>
          <w:color w:val="auto"/>
          <w:sz w:val="24"/>
          <w:szCs w:val="24"/>
          <w:highlight w:val="none"/>
        </w:rPr>
      </w:pPr>
      <w:r>
        <w:rPr>
          <w:rFonts w:hint="eastAsia" w:ascii="仿宋" w:hAnsi="仿宋" w:eastAsia="仿宋"/>
          <w:color w:val="auto"/>
          <w:highlight w:val="none"/>
        </w:rPr>
        <w:t>第三章评标办法（综合评分法）</w:t>
      </w:r>
      <w:bookmarkEnd w:id="43"/>
      <w:bookmarkEnd w:id="44"/>
      <w:bookmarkEnd w:id="45"/>
      <w:bookmarkEnd w:id="46"/>
      <w:bookmarkEnd w:id="47"/>
      <w:bookmarkEnd w:id="48"/>
      <w:bookmarkStart w:id="334" w:name="_Toc241825079"/>
    </w:p>
    <w:p w14:paraId="669B2E94">
      <w:pPr>
        <w:pStyle w:val="51"/>
        <w:spacing w:before="0" w:beforeAutospacing="0" w:after="0" w:afterAutospacing="0" w:line="360" w:lineRule="auto"/>
        <w:jc w:val="center"/>
        <w:outlineLvl w:val="1"/>
        <w:rPr>
          <w:rFonts w:ascii="仿宋" w:hAnsi="仿宋" w:eastAsia="仿宋"/>
          <w:b/>
          <w:color w:val="auto"/>
          <w:sz w:val="30"/>
          <w:szCs w:val="30"/>
          <w:highlight w:val="none"/>
        </w:rPr>
      </w:pPr>
      <w:bookmarkStart w:id="335" w:name="_Toc448328635"/>
      <w:bookmarkStart w:id="336" w:name="_Toc302769231"/>
      <w:bookmarkStart w:id="337" w:name="_Toc448328566"/>
      <w:r>
        <w:rPr>
          <w:rFonts w:hint="eastAsia" w:ascii="仿宋" w:hAnsi="仿宋" w:eastAsia="仿宋"/>
          <w:b/>
          <w:color w:val="auto"/>
          <w:sz w:val="30"/>
          <w:szCs w:val="30"/>
          <w:highlight w:val="none"/>
        </w:rPr>
        <w:t>一、评标办法前附表</w:t>
      </w:r>
      <w:bookmarkEnd w:id="335"/>
      <w:bookmarkEnd w:id="336"/>
      <w:bookmarkEnd w:id="337"/>
    </w:p>
    <w:tbl>
      <w:tblPr>
        <w:tblStyle w:val="56"/>
        <w:tblW w:w="10112"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932"/>
        <w:gridCol w:w="4"/>
        <w:gridCol w:w="1516"/>
        <w:gridCol w:w="2055"/>
        <w:gridCol w:w="5605"/>
      </w:tblGrid>
      <w:tr w14:paraId="4F972B0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94" w:hRule="atLeast"/>
          <w:jc w:val="center"/>
        </w:trPr>
        <w:tc>
          <w:tcPr>
            <w:tcW w:w="2452" w:type="dxa"/>
            <w:gridSpan w:val="3"/>
            <w:vAlign w:val="center"/>
          </w:tcPr>
          <w:p w14:paraId="055D97F9">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bookmarkStart w:id="338" w:name="_Toc302769232"/>
            <w:r>
              <w:rPr>
                <w:rFonts w:hint="eastAsia" w:ascii="仿宋" w:hAnsi="仿宋" w:eastAsia="仿宋" w:cs="仿宋"/>
                <w:b/>
                <w:color w:val="auto"/>
                <w:sz w:val="24"/>
                <w:szCs w:val="24"/>
                <w:highlight w:val="none"/>
              </w:rPr>
              <w:t>条款号</w:t>
            </w:r>
          </w:p>
        </w:tc>
        <w:tc>
          <w:tcPr>
            <w:tcW w:w="2055" w:type="dxa"/>
            <w:vAlign w:val="center"/>
          </w:tcPr>
          <w:p w14:paraId="167AA38D">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评审因素</w:t>
            </w:r>
          </w:p>
        </w:tc>
        <w:tc>
          <w:tcPr>
            <w:tcW w:w="5605" w:type="dxa"/>
            <w:vAlign w:val="center"/>
          </w:tcPr>
          <w:p w14:paraId="207041E4">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评审标准</w:t>
            </w:r>
          </w:p>
        </w:tc>
      </w:tr>
      <w:tr w14:paraId="0F7F1E9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restart"/>
            <w:tcBorders>
              <w:top w:val="single" w:color="auto" w:sz="4" w:space="0"/>
            </w:tcBorders>
            <w:vAlign w:val="center"/>
          </w:tcPr>
          <w:p w14:paraId="14A6A4E0">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2.1.1</w:t>
            </w:r>
          </w:p>
        </w:tc>
        <w:tc>
          <w:tcPr>
            <w:tcW w:w="1520" w:type="dxa"/>
            <w:gridSpan w:val="2"/>
            <w:vMerge w:val="restart"/>
            <w:tcBorders>
              <w:top w:val="single" w:color="auto" w:sz="4" w:space="0"/>
            </w:tcBorders>
            <w:vAlign w:val="center"/>
          </w:tcPr>
          <w:p w14:paraId="0403149D">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资格评审</w:t>
            </w:r>
          </w:p>
          <w:p w14:paraId="34A78278">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标准</w:t>
            </w:r>
          </w:p>
        </w:tc>
        <w:tc>
          <w:tcPr>
            <w:tcW w:w="2055" w:type="dxa"/>
            <w:vAlign w:val="center"/>
          </w:tcPr>
          <w:p w14:paraId="4A3526A5">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sz w:val="24"/>
                <w:szCs w:val="24"/>
                <w:highlight w:val="none"/>
              </w:rPr>
              <w:t>依法成立</w:t>
            </w:r>
          </w:p>
        </w:tc>
        <w:tc>
          <w:tcPr>
            <w:tcW w:w="5605" w:type="dxa"/>
            <w:vAlign w:val="center"/>
          </w:tcPr>
          <w:p w14:paraId="29195DB0">
            <w:pPr>
              <w:keepNext w:val="0"/>
              <w:keepLines w:val="0"/>
              <w:pageBreakBefore w:val="0"/>
              <w:widowControl w:val="0"/>
              <w:suppressLineNumbers w:val="0"/>
              <w:kinsoku/>
              <w:wordWrap/>
              <w:overflowPunct/>
              <w:topLinePunct w:val="0"/>
              <w:bidi w:val="0"/>
              <w:spacing w:before="0" w:beforeAutospacing="0" w:after="0" w:afterAutospacing="0" w:line="480" w:lineRule="exact"/>
              <w:ind w:left="0" w:right="0"/>
              <w:jc w:val="both"/>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bidi="ar"/>
              </w:rPr>
              <w:t>具有独立承担民事责任的能力（投标人须在中华人民共和国境内注册，提供真实有效的法人或者其他组织的营业执照等证明文件</w:t>
            </w: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宋体"/>
                <w:color w:val="auto"/>
                <w:kern w:val="2"/>
                <w:sz w:val="24"/>
                <w:szCs w:val="24"/>
                <w:highlight w:val="none"/>
                <w:lang w:val="en-US" w:eastAsia="zh-CN" w:bidi="ar"/>
              </w:rPr>
              <w:t>以联合体形式参加投标的，联合体各方均提供）；</w:t>
            </w:r>
          </w:p>
        </w:tc>
      </w:tr>
      <w:tr w14:paraId="768AEF5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249292AE">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1520" w:type="dxa"/>
            <w:gridSpan w:val="2"/>
            <w:vMerge w:val="continue"/>
            <w:vAlign w:val="center"/>
          </w:tcPr>
          <w:p w14:paraId="0DE29015">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2055" w:type="dxa"/>
            <w:vAlign w:val="center"/>
          </w:tcPr>
          <w:p w14:paraId="650ECB83">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0"/>
                <w:sz w:val="24"/>
                <w:szCs w:val="24"/>
                <w:highlight w:val="none"/>
              </w:rPr>
              <w:t>财务要求</w:t>
            </w:r>
          </w:p>
        </w:tc>
        <w:tc>
          <w:tcPr>
            <w:tcW w:w="5605" w:type="dxa"/>
            <w:vAlign w:val="center"/>
          </w:tcPr>
          <w:p w14:paraId="53745078">
            <w:pPr>
              <w:keepNext w:val="0"/>
              <w:keepLines w:val="0"/>
              <w:pageBreakBefore w:val="0"/>
              <w:widowControl w:val="0"/>
              <w:suppressLineNumbers w:val="0"/>
              <w:kinsoku/>
              <w:wordWrap/>
              <w:overflowPunct/>
              <w:topLinePunct w:val="0"/>
              <w:bidi w:val="0"/>
              <w:spacing w:before="0" w:beforeAutospacing="0" w:after="0" w:afterAutospacing="0" w:line="480" w:lineRule="exact"/>
              <w:ind w:left="0" w:right="0"/>
              <w:jc w:val="both"/>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bidi="ar"/>
              </w:rPr>
              <w:t>有良好的商业信誉和健全的财务会计制度。提供2021年至今任意一年度的财务报表，</w:t>
            </w:r>
            <w:r>
              <w:rPr>
                <w:rFonts w:hint="eastAsia" w:ascii="仿宋" w:hAnsi="仿宋" w:eastAsia="仿宋" w:cs="仿宋"/>
                <w:color w:val="auto"/>
                <w:kern w:val="0"/>
                <w:sz w:val="24"/>
                <w:szCs w:val="24"/>
                <w:highlight w:val="none"/>
                <w:lang w:val="en-US" w:eastAsia="zh-CN" w:bidi="ar"/>
              </w:rPr>
              <w:t>包括资产负债表、现金流量表、利润表等</w:t>
            </w:r>
            <w:r>
              <w:rPr>
                <w:rFonts w:hint="eastAsia" w:ascii="仿宋" w:hAnsi="仿宋" w:eastAsia="仿宋" w:cs="仿宋"/>
                <w:color w:val="auto"/>
                <w:kern w:val="2"/>
                <w:sz w:val="24"/>
                <w:szCs w:val="24"/>
                <w:highlight w:val="none"/>
                <w:lang w:val="en-US" w:eastAsia="zh-CN" w:bidi="ar"/>
              </w:rPr>
              <w:t>。新成立不足一年的公司，提供书面承诺</w:t>
            </w:r>
            <w:r>
              <w:rPr>
                <w:rFonts w:hint="eastAsia" w:ascii="仿宋" w:hAnsi="仿宋" w:eastAsia="仿宋" w:cs="宋体"/>
                <w:color w:val="auto"/>
                <w:kern w:val="2"/>
                <w:sz w:val="24"/>
                <w:szCs w:val="24"/>
                <w:highlight w:val="none"/>
                <w:lang w:val="en-US" w:eastAsia="zh-CN" w:bidi="ar"/>
              </w:rPr>
              <w:t>（以联合体形式参加投标的，联合体牵头人须满足）；</w:t>
            </w:r>
          </w:p>
        </w:tc>
      </w:tr>
      <w:tr w14:paraId="7F01E3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58EC82A8">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1520" w:type="dxa"/>
            <w:gridSpan w:val="2"/>
            <w:vMerge w:val="continue"/>
            <w:vAlign w:val="center"/>
          </w:tcPr>
          <w:p w14:paraId="5A3E7BD7">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2055" w:type="dxa"/>
            <w:vAlign w:val="center"/>
          </w:tcPr>
          <w:p w14:paraId="5EB9B0B3">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履约能力</w:t>
            </w:r>
          </w:p>
        </w:tc>
        <w:tc>
          <w:tcPr>
            <w:tcW w:w="5605" w:type="dxa"/>
            <w:vAlign w:val="center"/>
          </w:tcPr>
          <w:p w14:paraId="3738BC44">
            <w:pPr>
              <w:keepNext w:val="0"/>
              <w:keepLines w:val="0"/>
              <w:pageBreakBefore w:val="0"/>
              <w:widowControl w:val="0"/>
              <w:suppressLineNumbers w:val="0"/>
              <w:kinsoku/>
              <w:wordWrap/>
              <w:overflowPunct/>
              <w:topLinePunct w:val="0"/>
              <w:bidi w:val="0"/>
              <w:spacing w:before="0" w:beforeAutospacing="0" w:after="0" w:afterAutospacing="0" w:line="480" w:lineRule="exact"/>
              <w:ind w:left="0" w:right="0"/>
              <w:jc w:val="both"/>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具有履行合同所需的设备和专业技术能力</w:t>
            </w:r>
            <w:r>
              <w:rPr>
                <w:rFonts w:hint="eastAsia" w:ascii="仿宋" w:hAnsi="仿宋" w:eastAsia="仿宋" w:cs="宋体"/>
                <w:color w:val="auto"/>
                <w:kern w:val="2"/>
                <w:sz w:val="24"/>
                <w:szCs w:val="24"/>
                <w:highlight w:val="none"/>
                <w:lang w:val="en-US" w:eastAsia="zh-CN" w:bidi="ar"/>
              </w:rPr>
              <w:t>（以联合体形式参加投标的，联合体各方均应满足，提供书面承诺）；</w:t>
            </w:r>
          </w:p>
        </w:tc>
      </w:tr>
      <w:tr w14:paraId="461DCA8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3D12D7D4">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1520" w:type="dxa"/>
            <w:gridSpan w:val="2"/>
            <w:vMerge w:val="continue"/>
            <w:vAlign w:val="center"/>
          </w:tcPr>
          <w:p w14:paraId="54317FC0">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2055" w:type="dxa"/>
            <w:vAlign w:val="center"/>
          </w:tcPr>
          <w:p w14:paraId="54C12366">
            <w:pPr>
              <w:pStyle w:val="51"/>
              <w:keepNext w:val="0"/>
              <w:keepLines w:val="0"/>
              <w:pageBreakBefore w:val="0"/>
              <w:suppressLineNumbers w:val="0"/>
              <w:kinsoku/>
              <w:wordWrap/>
              <w:overflowPunct/>
              <w:topLinePunct w:val="0"/>
              <w:bidi w:val="0"/>
              <w:snapToGrid/>
              <w:spacing w:beforeAutospacing="0" w:afterAutospacing="0" w:line="480" w:lineRule="exact"/>
              <w:ind w:left="0" w:leftChars="0" w:right="0" w:rightChars="0"/>
              <w:jc w:val="center"/>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0"/>
                <w:sz w:val="24"/>
                <w:szCs w:val="24"/>
                <w:highlight w:val="none"/>
                <w:lang w:eastAsia="zh-CN"/>
              </w:rPr>
              <w:t>缴纳税收和社会保障资金</w:t>
            </w:r>
          </w:p>
        </w:tc>
        <w:tc>
          <w:tcPr>
            <w:tcW w:w="5605" w:type="dxa"/>
            <w:vAlign w:val="center"/>
          </w:tcPr>
          <w:p w14:paraId="7F09D4E4">
            <w:pPr>
              <w:keepNext w:val="0"/>
              <w:keepLines w:val="0"/>
              <w:pageBreakBefore w:val="0"/>
              <w:widowControl w:val="0"/>
              <w:suppressLineNumbers w:val="0"/>
              <w:kinsoku/>
              <w:wordWrap/>
              <w:overflowPunct/>
              <w:topLinePunct w:val="0"/>
              <w:bidi w:val="0"/>
              <w:spacing w:before="0" w:beforeAutospacing="0" w:after="0" w:afterAutospacing="0" w:line="480" w:lineRule="exact"/>
              <w:ind w:left="0" w:right="0"/>
              <w:jc w:val="both"/>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bidi="ar"/>
              </w:rPr>
              <w:t>提供2024年至今任意3个月的缴纳税收和缴纳社会保险的凭证。（依法免税和不需要缴纳社会保障资金的，应提供相应文件证明其依法免税和不需要缴纳社会保障资金；新成立的公司不足3个月的应提供书面承诺</w:t>
            </w: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宋体"/>
                <w:color w:val="auto"/>
                <w:kern w:val="2"/>
                <w:sz w:val="24"/>
                <w:szCs w:val="24"/>
                <w:highlight w:val="none"/>
                <w:lang w:val="en-US" w:eastAsia="zh-CN" w:bidi="ar"/>
              </w:rPr>
              <w:t>以联合体形式参加投标的，联合体牵头人须满足）；</w:t>
            </w:r>
          </w:p>
        </w:tc>
      </w:tr>
      <w:tr w14:paraId="5D378C0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14CAE187">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1520" w:type="dxa"/>
            <w:gridSpan w:val="2"/>
            <w:vMerge w:val="continue"/>
            <w:vAlign w:val="center"/>
          </w:tcPr>
          <w:p w14:paraId="39D5C6BC">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2055" w:type="dxa"/>
            <w:vAlign w:val="center"/>
          </w:tcPr>
          <w:p w14:paraId="45EBB6B3">
            <w:pPr>
              <w:pStyle w:val="51"/>
              <w:keepNext w:val="0"/>
              <w:keepLines w:val="0"/>
              <w:pageBreakBefore w:val="0"/>
              <w:suppressLineNumbers w:val="0"/>
              <w:kinsoku/>
              <w:wordWrap/>
              <w:overflowPunct/>
              <w:topLinePunct w:val="0"/>
              <w:bidi w:val="0"/>
              <w:snapToGrid/>
              <w:spacing w:beforeAutospacing="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无重大违法记录</w:t>
            </w:r>
          </w:p>
        </w:tc>
        <w:tc>
          <w:tcPr>
            <w:tcW w:w="5605" w:type="dxa"/>
            <w:vAlign w:val="center"/>
          </w:tcPr>
          <w:p w14:paraId="17FD6AF2">
            <w:pPr>
              <w:keepNext w:val="0"/>
              <w:keepLines w:val="0"/>
              <w:pageBreakBefore w:val="0"/>
              <w:widowControl w:val="0"/>
              <w:suppressLineNumbers w:val="0"/>
              <w:kinsoku/>
              <w:wordWrap/>
              <w:overflowPunct/>
              <w:topLinePunct w:val="0"/>
              <w:bidi w:val="0"/>
              <w:spacing w:before="0" w:beforeAutospacing="0" w:after="0" w:afterAutospacing="0" w:line="480" w:lineRule="exact"/>
              <w:ind w:left="0" w:right="0"/>
              <w:jc w:val="both"/>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参加政府采购活动前三年内，在经营活动中没有重大违法记录（重大违法记录是指：因违法经营受到刑事处罚或者责令停产停业、吊销许可证或者执照、较大数额罚款等行政处罚），提供书面承诺或声明</w:t>
            </w:r>
            <w:r>
              <w:rPr>
                <w:rFonts w:hint="eastAsia" w:ascii="仿宋" w:hAnsi="仿宋" w:eastAsia="仿宋" w:cs="宋体"/>
                <w:color w:val="auto"/>
                <w:kern w:val="2"/>
                <w:sz w:val="24"/>
                <w:szCs w:val="24"/>
                <w:highlight w:val="none"/>
                <w:lang w:val="en-US" w:eastAsia="zh-CN" w:bidi="ar"/>
              </w:rPr>
              <w:t>（以联合体形式参加投标的，联合体各方均提供）；</w:t>
            </w:r>
          </w:p>
        </w:tc>
      </w:tr>
      <w:tr w14:paraId="1B86676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50A3FBA0">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1520" w:type="dxa"/>
            <w:gridSpan w:val="2"/>
            <w:vMerge w:val="continue"/>
            <w:vAlign w:val="center"/>
          </w:tcPr>
          <w:p w14:paraId="33A71A1F">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2055" w:type="dxa"/>
            <w:vAlign w:val="center"/>
          </w:tcPr>
          <w:p w14:paraId="7AEF3AC4">
            <w:pPr>
              <w:pStyle w:val="51"/>
              <w:keepNext w:val="0"/>
              <w:keepLines w:val="0"/>
              <w:pageBreakBefore w:val="0"/>
              <w:suppressLineNumbers w:val="0"/>
              <w:kinsoku/>
              <w:wordWrap/>
              <w:overflowPunct/>
              <w:topLinePunct w:val="0"/>
              <w:bidi w:val="0"/>
              <w:snapToGrid/>
              <w:spacing w:beforeAutospacing="0" w:afterAutospacing="0" w:line="480" w:lineRule="exact"/>
              <w:ind w:left="0" w:leftChars="0" w:right="0" w:right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法律、行政法规规定的其他条件</w:t>
            </w:r>
          </w:p>
        </w:tc>
        <w:tc>
          <w:tcPr>
            <w:tcW w:w="5605" w:type="dxa"/>
            <w:vAlign w:val="center"/>
          </w:tcPr>
          <w:p w14:paraId="32956FC0">
            <w:pPr>
              <w:keepNext w:val="0"/>
              <w:keepLines w:val="0"/>
              <w:pageBreakBefore w:val="0"/>
              <w:widowControl w:val="0"/>
              <w:suppressLineNumbers w:val="0"/>
              <w:kinsoku/>
              <w:wordWrap/>
              <w:overflowPunct/>
              <w:topLinePunct w:val="0"/>
              <w:bidi w:val="0"/>
              <w:spacing w:before="0" w:beforeAutospacing="0" w:after="0" w:afterAutospacing="0" w:line="480" w:lineRule="exact"/>
              <w:ind w:left="0" w:right="0"/>
              <w:jc w:val="both"/>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单位负责人为同一人或者存在直接控股、管理关系的不同投标人，不得参加同一合同项下的政府采购活动，提供书面承诺或声明</w:t>
            </w:r>
            <w:r>
              <w:rPr>
                <w:rFonts w:hint="eastAsia" w:ascii="仿宋" w:hAnsi="仿宋" w:eastAsia="仿宋" w:cs="宋体"/>
                <w:color w:val="auto"/>
                <w:kern w:val="2"/>
                <w:sz w:val="24"/>
                <w:szCs w:val="24"/>
                <w:highlight w:val="none"/>
                <w:lang w:val="en-US" w:eastAsia="zh-CN" w:bidi="ar"/>
              </w:rPr>
              <w:t>（以联合体形式参加投标的，联合体各方均提供）；</w:t>
            </w:r>
          </w:p>
        </w:tc>
      </w:tr>
      <w:tr w14:paraId="018254B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3D8FFBEA">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1520" w:type="dxa"/>
            <w:gridSpan w:val="2"/>
            <w:vMerge w:val="continue"/>
            <w:vAlign w:val="center"/>
          </w:tcPr>
          <w:p w14:paraId="12055B7A">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2055" w:type="dxa"/>
            <w:vAlign w:val="center"/>
          </w:tcPr>
          <w:p w14:paraId="64D41F3C">
            <w:pPr>
              <w:pStyle w:val="51"/>
              <w:keepNext w:val="0"/>
              <w:keepLines w:val="0"/>
              <w:pageBreakBefore w:val="0"/>
              <w:suppressLineNumbers w:val="0"/>
              <w:kinsoku/>
              <w:wordWrap/>
              <w:overflowPunct/>
              <w:topLinePunct w:val="0"/>
              <w:bidi w:val="0"/>
              <w:snapToGrid/>
              <w:spacing w:beforeAutospacing="0" w:afterAutospacing="0" w:line="480" w:lineRule="exact"/>
              <w:ind w:left="0" w:leftChars="0" w:right="0" w:rightChars="0"/>
              <w:jc w:val="center"/>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信誉要求</w:t>
            </w:r>
          </w:p>
        </w:tc>
        <w:tc>
          <w:tcPr>
            <w:tcW w:w="5605" w:type="dxa"/>
            <w:vAlign w:val="center"/>
          </w:tcPr>
          <w:p w14:paraId="4B64C84E">
            <w:pPr>
              <w:keepNext w:val="0"/>
              <w:keepLines w:val="0"/>
              <w:pageBreakBefore w:val="0"/>
              <w:widowControl w:val="0"/>
              <w:suppressLineNumbers w:val="0"/>
              <w:kinsoku/>
              <w:wordWrap/>
              <w:overflowPunct/>
              <w:topLinePunct w:val="0"/>
              <w:bidi w:val="0"/>
              <w:spacing w:before="0" w:beforeAutospacing="0" w:after="0" w:afterAutospacing="0" w:line="480" w:lineRule="exact"/>
              <w:ind w:left="0" w:right="0"/>
              <w:jc w:val="both"/>
              <w:textAlignment w:val="auto"/>
              <w:rPr>
                <w:rFonts w:hint="eastAsia" w:ascii="仿宋" w:hAnsi="仿宋" w:eastAsia="仿宋" w:cs="仿宋"/>
                <w:color w:val="auto"/>
                <w:kern w:val="2"/>
                <w:sz w:val="24"/>
                <w:szCs w:val="24"/>
                <w:highlight w:val="none"/>
              </w:rPr>
            </w:pPr>
            <w:r>
              <w:rPr>
                <w:rFonts w:hint="eastAsia" w:ascii="仿宋" w:hAnsi="仿宋" w:eastAsia="仿宋" w:cs="黑体"/>
                <w:color w:val="auto"/>
                <w:kern w:val="2"/>
                <w:sz w:val="24"/>
                <w:szCs w:val="24"/>
                <w:highlight w:val="none"/>
                <w:lang w:val="en-US" w:eastAsia="zh-CN" w:bidi="ar"/>
              </w:rPr>
              <w:t>投标人开标前未被列入失信被执行人、重大税收违法失信主体（以在“信用中国”网站（www.creditchina.gov.cn）查询的信用记录为准）；未被列入政府采购严重违法失信行为记录名单（以在中国政府采购网（www.ccgp.gov.cn）查询的信用记录为准）</w:t>
            </w:r>
            <w:r>
              <w:rPr>
                <w:rFonts w:hint="eastAsia" w:ascii="仿宋" w:hAnsi="仿宋" w:eastAsia="仿宋" w:cs="仿宋"/>
                <w:color w:val="auto"/>
                <w:kern w:val="2"/>
                <w:sz w:val="24"/>
                <w:szCs w:val="24"/>
                <w:highlight w:val="none"/>
                <w:lang w:val="en-US" w:eastAsia="zh-CN" w:bidi="ar"/>
              </w:rPr>
              <w:t>，以联合体形式参加投标的，联合体各方均应满足，提供书面承诺。</w:t>
            </w:r>
          </w:p>
        </w:tc>
      </w:tr>
      <w:tr w14:paraId="5E09993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3D6B87EC">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1520" w:type="dxa"/>
            <w:gridSpan w:val="2"/>
            <w:vMerge w:val="continue"/>
            <w:vAlign w:val="center"/>
          </w:tcPr>
          <w:p w14:paraId="5C7BA996">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2055" w:type="dxa"/>
            <w:vAlign w:val="center"/>
          </w:tcPr>
          <w:p w14:paraId="6F0F46D7">
            <w:pPr>
              <w:pStyle w:val="51"/>
              <w:keepNext w:val="0"/>
              <w:keepLines w:val="0"/>
              <w:pageBreakBefore w:val="0"/>
              <w:suppressLineNumbers w:val="0"/>
              <w:kinsoku/>
              <w:wordWrap/>
              <w:overflowPunct/>
              <w:topLinePunct w:val="0"/>
              <w:bidi w:val="0"/>
              <w:snapToGrid/>
              <w:spacing w:beforeAutospacing="0" w:afterAutospacing="0" w:line="480" w:lineRule="exact"/>
              <w:ind w:left="0" w:leftChars="0" w:right="0" w:rightChars="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资质要求</w:t>
            </w:r>
          </w:p>
        </w:tc>
        <w:tc>
          <w:tcPr>
            <w:tcW w:w="5605" w:type="dxa"/>
            <w:vAlign w:val="center"/>
          </w:tcPr>
          <w:p w14:paraId="163D8E86">
            <w:pPr>
              <w:keepNext w:val="0"/>
              <w:keepLines w:val="0"/>
              <w:pageBreakBefore w:val="0"/>
              <w:suppressLineNumbers w:val="0"/>
              <w:kinsoku/>
              <w:overflowPunct/>
              <w:topLinePunct w:val="0"/>
              <w:bidi w:val="0"/>
              <w:snapToGrid w:val="0"/>
              <w:spacing w:before="0" w:beforeAutospacing="0" w:after="0" w:afterAutospacing="0" w:line="460" w:lineRule="exact"/>
              <w:ind w:left="0" w:right="0"/>
              <w:rPr>
                <w:rFonts w:hint="eastAsia" w:ascii="仿宋" w:hAnsi="仿宋" w:eastAsia="仿宋" w:cs="仿宋"/>
                <w:color w:val="auto"/>
                <w:sz w:val="24"/>
                <w:szCs w:val="24"/>
                <w:highlight w:val="none"/>
              </w:rPr>
            </w:pPr>
            <w:r>
              <w:rPr>
                <w:rFonts w:hint="eastAsia" w:ascii="仿宋" w:hAnsi="仿宋" w:eastAsia="仿宋" w:cs="Times New Roman"/>
                <w:color w:val="auto"/>
                <w:sz w:val="24"/>
                <w:szCs w:val="24"/>
                <w:highlight w:val="none"/>
                <w:lang w:val="en-US" w:eastAsia="zh-CN"/>
              </w:rPr>
              <w:t>投标人须具备</w:t>
            </w:r>
            <w:r>
              <w:rPr>
                <w:rFonts w:hint="eastAsia" w:ascii="仿宋" w:hAnsi="仿宋" w:eastAsia="仿宋" w:cs="Times New Roman"/>
                <w:color w:val="auto"/>
                <w:sz w:val="24"/>
                <w:szCs w:val="24"/>
                <w:highlight w:val="none"/>
              </w:rPr>
              <w:t>乙级及以上测绘资质证书（专业类别须包含地理信息系统工程）；须在全国投资项目在线审批监管平台备案（服务范围包含项目咨询，咨询专业须包含</w:t>
            </w:r>
            <w:r>
              <w:rPr>
                <w:rFonts w:hint="eastAsia" w:ascii="仿宋" w:hAnsi="仿宋" w:eastAsia="仿宋" w:cs="Times New Roman"/>
                <w:color w:val="auto"/>
                <w:sz w:val="24"/>
                <w:szCs w:val="24"/>
                <w:highlight w:val="none"/>
                <w:lang w:eastAsia="zh-CN"/>
              </w:rPr>
              <w:t>农学</w:t>
            </w:r>
            <w:r>
              <w:rPr>
                <w:rFonts w:hint="eastAsia" w:ascii="仿宋" w:hAnsi="仿宋" w:eastAsia="仿宋" w:cs="Times New Roman"/>
                <w:color w:val="auto"/>
                <w:sz w:val="24"/>
                <w:szCs w:val="24"/>
                <w:highlight w:val="none"/>
              </w:rPr>
              <w:t>相关专业）</w:t>
            </w:r>
            <w:r>
              <w:rPr>
                <w:rFonts w:hint="eastAsia" w:ascii="仿宋" w:hAnsi="仿宋" w:eastAsia="仿宋" w:cs="Times New Roman"/>
                <w:color w:val="auto"/>
                <w:sz w:val="24"/>
                <w:szCs w:val="24"/>
                <w:highlight w:val="none"/>
                <w:lang w:eastAsia="zh-CN"/>
              </w:rPr>
              <w:t>。</w:t>
            </w:r>
          </w:p>
        </w:tc>
      </w:tr>
      <w:tr w14:paraId="4D6256C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67F70BBD">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1520" w:type="dxa"/>
            <w:gridSpan w:val="2"/>
            <w:vMerge w:val="continue"/>
            <w:vAlign w:val="center"/>
          </w:tcPr>
          <w:p w14:paraId="5F58103E">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2055" w:type="dxa"/>
            <w:vAlign w:val="center"/>
          </w:tcPr>
          <w:p w14:paraId="5B9739DB">
            <w:pPr>
              <w:pStyle w:val="51"/>
              <w:keepNext w:val="0"/>
              <w:keepLines w:val="0"/>
              <w:pageBreakBefore w:val="0"/>
              <w:suppressLineNumbers w:val="0"/>
              <w:kinsoku/>
              <w:wordWrap/>
              <w:overflowPunct/>
              <w:topLinePunct w:val="0"/>
              <w:bidi w:val="0"/>
              <w:snapToGrid/>
              <w:spacing w:beforeAutospacing="0" w:afterAutospacing="0" w:line="480" w:lineRule="exact"/>
              <w:ind w:left="0" w:leftChars="0" w:right="0" w:rightChars="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联合体要求</w:t>
            </w:r>
          </w:p>
        </w:tc>
        <w:tc>
          <w:tcPr>
            <w:tcW w:w="5605" w:type="dxa"/>
            <w:vAlign w:val="center"/>
          </w:tcPr>
          <w:p w14:paraId="6645D04B">
            <w:pPr>
              <w:keepNext w:val="0"/>
              <w:keepLines w:val="0"/>
              <w:pageBreakBefore w:val="0"/>
              <w:widowControl w:val="0"/>
              <w:suppressLineNumbers w:val="0"/>
              <w:kinsoku/>
              <w:wordWrap/>
              <w:overflowPunct/>
              <w:topLinePunct w:val="0"/>
              <w:bidi w:val="0"/>
              <w:snapToGrid w:val="0"/>
              <w:spacing w:before="0" w:beforeAutospacing="0" w:after="0" w:afterAutospacing="0" w:line="480" w:lineRule="exact"/>
              <w:ind w:left="0" w:right="0"/>
              <w:jc w:val="both"/>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以联合体形式参加投标的，须在联合体协议中载明联合体成员单位的责任和权利。联合体单位不得超过3家。</w:t>
            </w:r>
          </w:p>
        </w:tc>
      </w:tr>
      <w:tr w14:paraId="0C533E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restart"/>
            <w:vAlign w:val="center"/>
          </w:tcPr>
          <w:p w14:paraId="6AA49819">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p>
          <w:p w14:paraId="27ABDEE6">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2.1.</w:t>
            </w:r>
            <w:r>
              <w:rPr>
                <w:rFonts w:hint="eastAsia" w:ascii="仿宋" w:hAnsi="仿宋" w:eastAsia="仿宋" w:cs="仿宋"/>
                <w:color w:val="auto"/>
                <w:sz w:val="24"/>
                <w:szCs w:val="24"/>
                <w:highlight w:val="none"/>
                <w:lang w:val="en-US" w:eastAsia="zh-CN"/>
              </w:rPr>
              <w:t>2</w:t>
            </w:r>
          </w:p>
        </w:tc>
        <w:tc>
          <w:tcPr>
            <w:tcW w:w="1520" w:type="dxa"/>
            <w:gridSpan w:val="2"/>
            <w:vMerge w:val="restart"/>
            <w:vAlign w:val="center"/>
          </w:tcPr>
          <w:p w14:paraId="3E083D1F">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p>
          <w:p w14:paraId="18920BDE">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符合</w:t>
            </w:r>
            <w:r>
              <w:rPr>
                <w:rFonts w:hint="eastAsia" w:ascii="仿宋" w:hAnsi="仿宋" w:eastAsia="仿宋" w:cs="仿宋"/>
                <w:color w:val="auto"/>
                <w:sz w:val="24"/>
                <w:szCs w:val="24"/>
                <w:highlight w:val="none"/>
              </w:rPr>
              <w:t>性评审标准</w:t>
            </w:r>
          </w:p>
        </w:tc>
        <w:tc>
          <w:tcPr>
            <w:tcW w:w="2055" w:type="dxa"/>
            <w:vAlign w:val="center"/>
          </w:tcPr>
          <w:p w14:paraId="47ABBDEE">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名称</w:t>
            </w:r>
          </w:p>
        </w:tc>
        <w:tc>
          <w:tcPr>
            <w:tcW w:w="5605" w:type="dxa"/>
            <w:vAlign w:val="center"/>
          </w:tcPr>
          <w:p w14:paraId="79BA3749">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both"/>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宋体"/>
                <w:color w:val="auto"/>
                <w:kern w:val="2"/>
                <w:sz w:val="24"/>
                <w:szCs w:val="24"/>
                <w:highlight w:val="none"/>
              </w:rPr>
              <w:t>与营业执照及相关证书一致</w:t>
            </w:r>
          </w:p>
        </w:tc>
      </w:tr>
      <w:tr w14:paraId="1C720B4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1FC13C86">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lang w:val="en-US" w:eastAsia="zh-CN"/>
              </w:rPr>
            </w:pPr>
          </w:p>
        </w:tc>
        <w:tc>
          <w:tcPr>
            <w:tcW w:w="1520" w:type="dxa"/>
            <w:gridSpan w:val="2"/>
            <w:vMerge w:val="continue"/>
            <w:vAlign w:val="center"/>
          </w:tcPr>
          <w:p w14:paraId="5F7BC17D">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p>
        </w:tc>
        <w:tc>
          <w:tcPr>
            <w:tcW w:w="2055" w:type="dxa"/>
            <w:vAlign w:val="center"/>
          </w:tcPr>
          <w:p w14:paraId="5D4BB715">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宋体"/>
                <w:color w:val="auto"/>
                <w:kern w:val="2"/>
                <w:sz w:val="24"/>
                <w:szCs w:val="24"/>
                <w:highlight w:val="none"/>
              </w:rPr>
              <w:t>投标文件格式</w:t>
            </w:r>
          </w:p>
        </w:tc>
        <w:tc>
          <w:tcPr>
            <w:tcW w:w="5605" w:type="dxa"/>
            <w:vAlign w:val="center"/>
          </w:tcPr>
          <w:p w14:paraId="45425BAE">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符合第二章“投标须知”第3.1项规定；</w:t>
            </w:r>
          </w:p>
        </w:tc>
      </w:tr>
      <w:tr w14:paraId="6D11F9B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72C7A050">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1520" w:type="dxa"/>
            <w:gridSpan w:val="2"/>
            <w:vMerge w:val="continue"/>
            <w:vAlign w:val="center"/>
          </w:tcPr>
          <w:p w14:paraId="1147CEC0">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2055" w:type="dxa"/>
            <w:vAlign w:val="center"/>
          </w:tcPr>
          <w:p w14:paraId="666B57D9">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宋体"/>
                <w:color w:val="auto"/>
                <w:kern w:val="2"/>
                <w:sz w:val="24"/>
                <w:szCs w:val="24"/>
                <w:highlight w:val="none"/>
              </w:rPr>
              <w:t>投标文件签署、签章</w:t>
            </w:r>
          </w:p>
        </w:tc>
        <w:tc>
          <w:tcPr>
            <w:tcW w:w="5605" w:type="dxa"/>
            <w:vAlign w:val="center"/>
          </w:tcPr>
          <w:p w14:paraId="05305804">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符合第二章“投标须知前附表”第3.7.3项规定；</w:t>
            </w:r>
          </w:p>
        </w:tc>
      </w:tr>
      <w:tr w14:paraId="6A73BDB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67E6D2FE">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1520" w:type="dxa"/>
            <w:gridSpan w:val="2"/>
            <w:vMerge w:val="continue"/>
            <w:vAlign w:val="center"/>
          </w:tcPr>
          <w:p w14:paraId="520D103F">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2055" w:type="dxa"/>
            <w:vAlign w:val="center"/>
          </w:tcPr>
          <w:p w14:paraId="587D0EFD">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宋体"/>
                <w:color w:val="auto"/>
                <w:kern w:val="2"/>
                <w:sz w:val="24"/>
                <w:szCs w:val="24"/>
                <w:highlight w:val="none"/>
              </w:rPr>
              <w:t>投标</w:t>
            </w:r>
            <w:r>
              <w:rPr>
                <w:rFonts w:hint="default" w:ascii="仿宋" w:hAnsi="仿宋" w:eastAsia="仿宋" w:cs="宋体"/>
                <w:color w:val="auto"/>
                <w:kern w:val="2"/>
                <w:sz w:val="24"/>
                <w:szCs w:val="24"/>
                <w:highlight w:val="none"/>
              </w:rPr>
              <w:t>报价</w:t>
            </w:r>
          </w:p>
        </w:tc>
        <w:tc>
          <w:tcPr>
            <w:tcW w:w="5605" w:type="dxa"/>
            <w:vAlign w:val="center"/>
          </w:tcPr>
          <w:p w14:paraId="2643EEBE">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符合第二章“投标须知”第3.2项规定，对同一报价内容只能有一个有效报价；</w:t>
            </w:r>
          </w:p>
        </w:tc>
      </w:tr>
      <w:tr w14:paraId="7BDED7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33B21EE3">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1520" w:type="dxa"/>
            <w:gridSpan w:val="2"/>
            <w:vMerge w:val="continue"/>
            <w:vAlign w:val="center"/>
          </w:tcPr>
          <w:p w14:paraId="42CDAB1E">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2055" w:type="dxa"/>
            <w:vAlign w:val="center"/>
          </w:tcPr>
          <w:p w14:paraId="73D0ED41">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宋体"/>
                <w:color w:val="auto"/>
                <w:kern w:val="2"/>
                <w:sz w:val="24"/>
                <w:szCs w:val="24"/>
                <w:highlight w:val="none"/>
              </w:rPr>
              <w:t>合同履行期限</w:t>
            </w:r>
          </w:p>
        </w:tc>
        <w:tc>
          <w:tcPr>
            <w:tcW w:w="5605" w:type="dxa"/>
            <w:vAlign w:val="center"/>
          </w:tcPr>
          <w:p w14:paraId="56BDE1A5">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符合</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文件规定；</w:t>
            </w:r>
          </w:p>
        </w:tc>
      </w:tr>
      <w:tr w14:paraId="6B074EC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3D2BAD4F">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lang w:val="en-US" w:eastAsia="zh-CN"/>
              </w:rPr>
            </w:pPr>
          </w:p>
        </w:tc>
        <w:tc>
          <w:tcPr>
            <w:tcW w:w="1520" w:type="dxa"/>
            <w:gridSpan w:val="2"/>
            <w:vMerge w:val="continue"/>
            <w:vAlign w:val="center"/>
          </w:tcPr>
          <w:p w14:paraId="5DE38F05">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p>
        </w:tc>
        <w:tc>
          <w:tcPr>
            <w:tcW w:w="2055" w:type="dxa"/>
            <w:vAlign w:val="center"/>
          </w:tcPr>
          <w:p w14:paraId="2E1C3CC4">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default" w:ascii="仿宋" w:hAnsi="仿宋" w:eastAsia="仿宋" w:cs="仿宋"/>
                <w:color w:val="auto"/>
                <w:kern w:val="2"/>
                <w:sz w:val="24"/>
                <w:szCs w:val="24"/>
                <w:highlight w:val="none"/>
              </w:rPr>
            </w:pPr>
            <w:r>
              <w:rPr>
                <w:rFonts w:hint="eastAsia" w:ascii="仿宋" w:hAnsi="仿宋" w:eastAsia="仿宋" w:cs="宋体"/>
                <w:color w:val="auto"/>
                <w:kern w:val="2"/>
                <w:sz w:val="24"/>
                <w:szCs w:val="24"/>
                <w:highlight w:val="none"/>
              </w:rPr>
              <w:t>质量承诺</w:t>
            </w:r>
          </w:p>
        </w:tc>
        <w:tc>
          <w:tcPr>
            <w:tcW w:w="5605" w:type="dxa"/>
            <w:vAlign w:val="center"/>
          </w:tcPr>
          <w:p w14:paraId="645FE630">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default" w:ascii="仿宋" w:hAnsi="仿宋" w:eastAsia="仿宋" w:cs="仿宋"/>
                <w:color w:val="auto"/>
                <w:kern w:val="2"/>
                <w:sz w:val="24"/>
                <w:szCs w:val="24"/>
                <w:highlight w:val="none"/>
              </w:rPr>
            </w:pPr>
            <w:r>
              <w:rPr>
                <w:rFonts w:hint="eastAsia" w:ascii="仿宋" w:hAnsi="仿宋" w:eastAsia="仿宋" w:cs="宋体"/>
                <w:color w:val="auto"/>
                <w:kern w:val="2"/>
                <w:sz w:val="24"/>
                <w:szCs w:val="24"/>
                <w:highlight w:val="none"/>
              </w:rPr>
              <w:t>符合</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文件规定；</w:t>
            </w:r>
          </w:p>
        </w:tc>
      </w:tr>
      <w:tr w14:paraId="5247039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47C5AC53">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p>
        </w:tc>
        <w:tc>
          <w:tcPr>
            <w:tcW w:w="1520" w:type="dxa"/>
            <w:gridSpan w:val="2"/>
            <w:vMerge w:val="continue"/>
            <w:vAlign w:val="center"/>
          </w:tcPr>
          <w:p w14:paraId="429A9425">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p>
        </w:tc>
        <w:tc>
          <w:tcPr>
            <w:tcW w:w="2055" w:type="dxa"/>
            <w:vAlign w:val="center"/>
          </w:tcPr>
          <w:p w14:paraId="05C18DDC">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宋体"/>
                <w:color w:val="auto"/>
                <w:kern w:val="2"/>
                <w:sz w:val="24"/>
                <w:szCs w:val="24"/>
                <w:highlight w:val="none"/>
              </w:rPr>
              <w:t>投标有效期</w:t>
            </w:r>
          </w:p>
        </w:tc>
        <w:tc>
          <w:tcPr>
            <w:tcW w:w="5605" w:type="dxa"/>
            <w:vAlign w:val="center"/>
          </w:tcPr>
          <w:p w14:paraId="2529D6A2">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default" w:ascii="仿宋" w:hAnsi="仿宋" w:eastAsia="仿宋" w:cs="仿宋"/>
                <w:color w:val="auto"/>
                <w:kern w:val="2"/>
                <w:sz w:val="24"/>
                <w:szCs w:val="24"/>
                <w:highlight w:val="none"/>
              </w:rPr>
            </w:pPr>
            <w:r>
              <w:rPr>
                <w:rFonts w:hint="eastAsia" w:ascii="仿宋" w:hAnsi="仿宋" w:eastAsia="仿宋" w:cs="宋体"/>
                <w:color w:val="auto"/>
                <w:kern w:val="2"/>
                <w:sz w:val="24"/>
                <w:szCs w:val="24"/>
                <w:highlight w:val="none"/>
              </w:rPr>
              <w:t>符合第二章“投标须知”第3.3项规定；</w:t>
            </w:r>
          </w:p>
        </w:tc>
      </w:tr>
      <w:tr w14:paraId="3F423EC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7CEB9621">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p>
        </w:tc>
        <w:tc>
          <w:tcPr>
            <w:tcW w:w="1520" w:type="dxa"/>
            <w:gridSpan w:val="2"/>
            <w:vMerge w:val="continue"/>
            <w:vAlign w:val="center"/>
          </w:tcPr>
          <w:p w14:paraId="7719BA42">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p>
        </w:tc>
        <w:tc>
          <w:tcPr>
            <w:tcW w:w="2055" w:type="dxa"/>
            <w:vAlign w:val="center"/>
          </w:tcPr>
          <w:p w14:paraId="589FD39C">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宋体"/>
                <w:color w:val="auto"/>
                <w:kern w:val="2"/>
                <w:sz w:val="24"/>
                <w:szCs w:val="24"/>
                <w:highlight w:val="none"/>
              </w:rPr>
              <w:t>串通投标的情形</w:t>
            </w:r>
          </w:p>
        </w:tc>
        <w:tc>
          <w:tcPr>
            <w:tcW w:w="5605" w:type="dxa"/>
            <w:vAlign w:val="center"/>
          </w:tcPr>
          <w:p w14:paraId="3750D23F">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default"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1.不同</w:t>
            </w: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的投标文件由同一单位或者个人编制；</w:t>
            </w:r>
          </w:p>
          <w:p w14:paraId="4247C387">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default"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2.不同</w:t>
            </w: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委托同一单位或者个人办理投标事宜；</w:t>
            </w:r>
          </w:p>
          <w:p w14:paraId="1C048BC0">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default"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3.不同</w:t>
            </w: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的投标文件载明的项目管理成员或者联系人员为同一人；</w:t>
            </w:r>
          </w:p>
          <w:p w14:paraId="7A533F5D">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default"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4.不同</w:t>
            </w: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的投标文件异常一致或者投标报价呈规律性差异；</w:t>
            </w:r>
          </w:p>
          <w:p w14:paraId="7D4ACAB3">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default" w:ascii="仿宋" w:hAnsi="仿宋" w:eastAsia="仿宋" w:cs="仿宋"/>
                <w:color w:val="auto"/>
                <w:kern w:val="2"/>
                <w:sz w:val="24"/>
                <w:szCs w:val="24"/>
                <w:highlight w:val="none"/>
              </w:rPr>
            </w:pPr>
            <w:r>
              <w:rPr>
                <w:rFonts w:hint="eastAsia" w:ascii="仿宋" w:hAnsi="仿宋" w:eastAsia="仿宋" w:cs="宋体"/>
                <w:color w:val="auto"/>
                <w:kern w:val="2"/>
                <w:sz w:val="24"/>
                <w:szCs w:val="24"/>
                <w:highlight w:val="none"/>
                <w:lang w:val="en-US" w:eastAsia="zh-CN"/>
              </w:rPr>
              <w:t>5</w:t>
            </w:r>
            <w:r>
              <w:rPr>
                <w:rFonts w:hint="eastAsia" w:ascii="仿宋" w:hAnsi="仿宋" w:eastAsia="仿宋" w:cs="宋体"/>
                <w:color w:val="auto"/>
                <w:kern w:val="2"/>
                <w:sz w:val="24"/>
                <w:szCs w:val="24"/>
                <w:highlight w:val="none"/>
              </w:rPr>
              <w:t>.不同</w:t>
            </w:r>
            <w:r>
              <w:rPr>
                <w:rFonts w:hint="eastAsia" w:ascii="仿宋" w:hAnsi="仿宋" w:eastAsia="仿宋" w:cs="宋体"/>
                <w:color w:val="auto"/>
                <w:kern w:val="2"/>
                <w:sz w:val="24"/>
                <w:szCs w:val="24"/>
                <w:highlight w:val="none"/>
                <w:lang w:eastAsia="zh-CN"/>
              </w:rPr>
              <w:t>投标人</w:t>
            </w:r>
            <w:r>
              <w:rPr>
                <w:rFonts w:hint="eastAsia" w:ascii="仿宋" w:hAnsi="仿宋" w:eastAsia="仿宋" w:cs="宋体"/>
                <w:color w:val="auto"/>
                <w:kern w:val="2"/>
                <w:sz w:val="24"/>
                <w:szCs w:val="24"/>
                <w:highlight w:val="none"/>
              </w:rPr>
              <w:t>的投标保证金从同一单位或者个人的账户转出。</w:t>
            </w:r>
          </w:p>
        </w:tc>
      </w:tr>
      <w:tr w14:paraId="56D1A8A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jc w:val="center"/>
        </w:trPr>
        <w:tc>
          <w:tcPr>
            <w:tcW w:w="932" w:type="dxa"/>
            <w:vMerge w:val="continue"/>
            <w:vAlign w:val="center"/>
          </w:tcPr>
          <w:p w14:paraId="035ED1F3">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p>
        </w:tc>
        <w:tc>
          <w:tcPr>
            <w:tcW w:w="1520" w:type="dxa"/>
            <w:gridSpan w:val="2"/>
            <w:vMerge w:val="continue"/>
            <w:vAlign w:val="center"/>
          </w:tcPr>
          <w:p w14:paraId="1A4939B4">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p>
        </w:tc>
        <w:tc>
          <w:tcPr>
            <w:tcW w:w="2055" w:type="dxa"/>
            <w:vAlign w:val="center"/>
          </w:tcPr>
          <w:p w14:paraId="05296D62">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default" w:ascii="仿宋" w:hAnsi="仿宋" w:eastAsia="仿宋" w:cs="仿宋"/>
                <w:color w:val="auto"/>
                <w:kern w:val="2"/>
                <w:sz w:val="24"/>
                <w:szCs w:val="24"/>
                <w:highlight w:val="none"/>
              </w:rPr>
            </w:pPr>
            <w:r>
              <w:rPr>
                <w:rFonts w:hint="eastAsia" w:ascii="仿宋" w:hAnsi="仿宋" w:eastAsia="仿宋" w:cs="宋体"/>
                <w:color w:val="auto"/>
                <w:kern w:val="2"/>
                <w:sz w:val="24"/>
                <w:szCs w:val="24"/>
                <w:highlight w:val="none"/>
              </w:rPr>
              <w:t>其他</w:t>
            </w:r>
          </w:p>
        </w:tc>
        <w:tc>
          <w:tcPr>
            <w:tcW w:w="5605" w:type="dxa"/>
            <w:vAlign w:val="center"/>
          </w:tcPr>
          <w:p w14:paraId="072A09FE">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default"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1.</w:t>
            </w:r>
            <w:r>
              <w:rPr>
                <w:rFonts w:hint="default" w:ascii="仿宋" w:hAnsi="仿宋" w:eastAsia="仿宋" w:cs="宋体"/>
                <w:color w:val="auto"/>
                <w:kern w:val="2"/>
                <w:sz w:val="24"/>
                <w:szCs w:val="24"/>
                <w:highlight w:val="none"/>
              </w:rPr>
              <w:t>投标文件含有</w:t>
            </w:r>
            <w:r>
              <w:rPr>
                <w:rFonts w:hint="eastAsia" w:ascii="仿宋" w:hAnsi="仿宋" w:eastAsia="仿宋" w:cs="宋体"/>
                <w:color w:val="auto"/>
                <w:kern w:val="2"/>
                <w:sz w:val="24"/>
                <w:szCs w:val="24"/>
                <w:highlight w:val="none"/>
              </w:rPr>
              <w:t>采</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人</w:t>
            </w:r>
            <w:r>
              <w:rPr>
                <w:rFonts w:hint="default" w:ascii="仿宋" w:hAnsi="仿宋" w:eastAsia="仿宋" w:cs="宋体"/>
                <w:color w:val="auto"/>
                <w:kern w:val="2"/>
                <w:sz w:val="24"/>
                <w:szCs w:val="24"/>
                <w:highlight w:val="none"/>
              </w:rPr>
              <w:t>不能接受的附加条件的</w:t>
            </w:r>
            <w:r>
              <w:rPr>
                <w:rFonts w:hint="eastAsia" w:ascii="仿宋" w:hAnsi="仿宋" w:eastAsia="仿宋" w:cs="宋体"/>
                <w:color w:val="auto"/>
                <w:kern w:val="2"/>
                <w:sz w:val="24"/>
                <w:szCs w:val="24"/>
                <w:highlight w:val="none"/>
              </w:rPr>
              <w:t>；</w:t>
            </w:r>
          </w:p>
          <w:p w14:paraId="46FC0646">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default"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2.不存在“投标须知”第1.4.2项规定的情形；</w:t>
            </w:r>
          </w:p>
          <w:p w14:paraId="6ED37EFE">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default" w:ascii="仿宋" w:hAnsi="仿宋" w:eastAsia="仿宋" w:cs="仿宋"/>
                <w:color w:val="auto"/>
                <w:kern w:val="2"/>
                <w:sz w:val="24"/>
                <w:szCs w:val="24"/>
                <w:highlight w:val="none"/>
              </w:rPr>
            </w:pPr>
            <w:r>
              <w:rPr>
                <w:rFonts w:hint="eastAsia" w:ascii="仿宋" w:hAnsi="仿宋" w:eastAsia="仿宋" w:cs="宋体"/>
                <w:color w:val="auto"/>
                <w:kern w:val="2"/>
                <w:sz w:val="24"/>
                <w:szCs w:val="24"/>
                <w:highlight w:val="none"/>
              </w:rPr>
              <w:t>3.</w:t>
            </w:r>
            <w:r>
              <w:rPr>
                <w:rFonts w:hint="default" w:ascii="仿宋" w:hAnsi="仿宋" w:eastAsia="仿宋" w:cs="宋体"/>
                <w:color w:val="auto"/>
                <w:kern w:val="2"/>
                <w:sz w:val="24"/>
                <w:szCs w:val="24"/>
                <w:highlight w:val="none"/>
              </w:rPr>
              <w:t>法律、法规和</w:t>
            </w:r>
            <w:r>
              <w:rPr>
                <w:rFonts w:hint="eastAsia" w:ascii="仿宋" w:hAnsi="仿宋" w:eastAsia="仿宋" w:cs="宋体"/>
                <w:color w:val="auto"/>
                <w:kern w:val="2"/>
                <w:sz w:val="24"/>
                <w:szCs w:val="24"/>
                <w:highlight w:val="none"/>
                <w:lang w:eastAsia="zh-CN"/>
              </w:rPr>
              <w:t>招标</w:t>
            </w:r>
            <w:r>
              <w:rPr>
                <w:rFonts w:hint="eastAsia" w:ascii="仿宋" w:hAnsi="仿宋" w:eastAsia="仿宋" w:cs="宋体"/>
                <w:color w:val="auto"/>
                <w:kern w:val="2"/>
                <w:sz w:val="24"/>
                <w:szCs w:val="24"/>
                <w:highlight w:val="none"/>
              </w:rPr>
              <w:t>文件</w:t>
            </w:r>
            <w:r>
              <w:rPr>
                <w:rFonts w:hint="default" w:ascii="仿宋" w:hAnsi="仿宋" w:eastAsia="仿宋" w:cs="宋体"/>
                <w:color w:val="auto"/>
                <w:kern w:val="2"/>
                <w:sz w:val="24"/>
                <w:szCs w:val="24"/>
                <w:highlight w:val="none"/>
              </w:rPr>
              <w:t>规定的其他无效情形</w:t>
            </w:r>
            <w:r>
              <w:rPr>
                <w:rFonts w:hint="eastAsia" w:ascii="仿宋" w:hAnsi="仿宋" w:eastAsia="仿宋" w:cs="宋体"/>
                <w:color w:val="auto"/>
                <w:kern w:val="2"/>
                <w:sz w:val="24"/>
                <w:szCs w:val="24"/>
                <w:highlight w:val="none"/>
              </w:rPr>
              <w:t>。</w:t>
            </w:r>
          </w:p>
        </w:tc>
      </w:tr>
      <w:tr w14:paraId="342B57F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01" w:hRule="atLeast"/>
          <w:jc w:val="center"/>
        </w:trPr>
        <w:tc>
          <w:tcPr>
            <w:tcW w:w="2452" w:type="dxa"/>
            <w:gridSpan w:val="3"/>
            <w:vAlign w:val="center"/>
          </w:tcPr>
          <w:p w14:paraId="29846C38">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2055" w:type="dxa"/>
            <w:vAlign w:val="center"/>
          </w:tcPr>
          <w:p w14:paraId="1485F7AA">
            <w:pPr>
              <w:pStyle w:val="51"/>
              <w:keepNext w:val="0"/>
              <w:keepLines w:val="0"/>
              <w:pageBreakBefore w:val="0"/>
              <w:suppressLineNumbers w:val="0"/>
              <w:kinsoku/>
              <w:wordWrap/>
              <w:overflowPunct/>
              <w:topLinePunct w:val="0"/>
              <w:bidi w:val="0"/>
              <w:snapToGrid/>
              <w:spacing w:beforeAutospacing="0" w:afterAutospacing="0" w:line="480" w:lineRule="exact"/>
              <w:ind w:left="0" w:right="0" w:firstLine="422"/>
              <w:jc w:val="center"/>
              <w:textAlignment w:val="auto"/>
              <w:rPr>
                <w:rFonts w:hint="default"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rPr>
              <w:t>条款内容</w:t>
            </w:r>
          </w:p>
        </w:tc>
        <w:tc>
          <w:tcPr>
            <w:tcW w:w="5605" w:type="dxa"/>
            <w:vAlign w:val="center"/>
          </w:tcPr>
          <w:p w14:paraId="521F0367">
            <w:pPr>
              <w:pStyle w:val="51"/>
              <w:keepNext w:val="0"/>
              <w:keepLines w:val="0"/>
              <w:pageBreakBefore w:val="0"/>
              <w:suppressLineNumbers w:val="0"/>
              <w:kinsoku/>
              <w:wordWrap/>
              <w:overflowPunct/>
              <w:topLinePunct w:val="0"/>
              <w:bidi w:val="0"/>
              <w:snapToGrid/>
              <w:spacing w:beforeAutospacing="0" w:afterAutospacing="0" w:line="480" w:lineRule="exact"/>
              <w:ind w:left="0" w:right="0" w:firstLine="422"/>
              <w:jc w:val="center"/>
              <w:textAlignment w:val="auto"/>
              <w:rPr>
                <w:rFonts w:hint="default"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rPr>
              <w:t>编列内容</w:t>
            </w:r>
          </w:p>
        </w:tc>
      </w:tr>
      <w:tr w14:paraId="33AB512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2452" w:type="dxa"/>
            <w:gridSpan w:val="3"/>
            <w:vAlign w:val="center"/>
          </w:tcPr>
          <w:p w14:paraId="74E1BE73">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2.2.1</w:t>
            </w:r>
          </w:p>
        </w:tc>
        <w:tc>
          <w:tcPr>
            <w:tcW w:w="2055" w:type="dxa"/>
            <w:vAlign w:val="center"/>
          </w:tcPr>
          <w:p w14:paraId="4EEF2E43">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分值构成</w:t>
            </w:r>
          </w:p>
          <w:p w14:paraId="3C0571A0">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（总分100分）</w:t>
            </w:r>
          </w:p>
        </w:tc>
        <w:tc>
          <w:tcPr>
            <w:tcW w:w="5605" w:type="dxa"/>
            <w:vAlign w:val="center"/>
          </w:tcPr>
          <w:p w14:paraId="762255C0">
            <w:pPr>
              <w:keepNext w:val="0"/>
              <w:keepLines w:val="0"/>
              <w:pageBreakBefore w:val="0"/>
              <w:suppressLineNumbers w:val="0"/>
              <w:kinsoku/>
              <w:wordWrap/>
              <w:overflowPunct/>
              <w:topLinePunct w:val="0"/>
              <w:bidi w:val="0"/>
              <w:snapToGrid/>
              <w:spacing w:before="0" w:beforeAutospacing="0" w:after="0" w:afterAutospacing="0" w:line="480" w:lineRule="exact"/>
              <w:ind w:left="0" w:right="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报价部分评审：</w:t>
            </w:r>
            <w:r>
              <w:rPr>
                <w:rFonts w:hint="eastAsia" w:ascii="仿宋" w:hAnsi="仿宋" w:eastAsia="仿宋" w:cs="仿宋"/>
                <w:color w:val="auto"/>
                <w:sz w:val="24"/>
                <w:szCs w:val="24"/>
                <w:highlight w:val="none"/>
                <w:u w:val="single"/>
                <w:lang w:val="en-US" w:eastAsia="zh-CN"/>
              </w:rPr>
              <w:t>20</w:t>
            </w:r>
            <w:r>
              <w:rPr>
                <w:rFonts w:hint="eastAsia" w:ascii="仿宋" w:hAnsi="仿宋" w:eastAsia="仿宋" w:cs="仿宋"/>
                <w:color w:val="auto"/>
                <w:sz w:val="24"/>
                <w:szCs w:val="24"/>
                <w:highlight w:val="none"/>
                <w:lang w:val="en-US" w:eastAsia="zh-CN"/>
              </w:rPr>
              <w:t>分；</w:t>
            </w:r>
          </w:p>
          <w:p w14:paraId="14FC239E">
            <w:pPr>
              <w:keepNext w:val="0"/>
              <w:keepLines w:val="0"/>
              <w:pageBreakBefore w:val="0"/>
              <w:suppressLineNumbers w:val="0"/>
              <w:kinsoku/>
              <w:wordWrap/>
              <w:overflowPunct/>
              <w:topLinePunct w:val="0"/>
              <w:bidi w:val="0"/>
              <w:snapToGrid/>
              <w:spacing w:before="0" w:beforeAutospacing="0" w:after="0" w:afterAutospacing="0" w:line="480" w:lineRule="exact"/>
              <w:ind w:left="0" w:right="0"/>
              <w:textAlignment w:val="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技术</w:t>
            </w:r>
            <w:r>
              <w:rPr>
                <w:rFonts w:hint="eastAsia" w:ascii="仿宋" w:hAnsi="仿宋" w:eastAsia="仿宋" w:cs="仿宋"/>
                <w:color w:val="auto"/>
                <w:sz w:val="24"/>
                <w:szCs w:val="24"/>
                <w:highlight w:val="none"/>
              </w:rPr>
              <w:t>部分评审：</w:t>
            </w:r>
            <w:r>
              <w:rPr>
                <w:rFonts w:hint="eastAsia" w:ascii="仿宋" w:hAnsi="仿宋" w:eastAsia="仿宋" w:cs="仿宋"/>
                <w:color w:val="auto"/>
                <w:sz w:val="24"/>
                <w:szCs w:val="24"/>
                <w:highlight w:val="none"/>
                <w:u w:val="single"/>
                <w:lang w:val="en-US" w:eastAsia="zh-CN"/>
              </w:rPr>
              <w:t>7</w:t>
            </w:r>
            <w:r>
              <w:rPr>
                <w:rFonts w:hint="eastAsia" w:ascii="仿宋" w:hAnsi="仿宋" w:eastAsia="仿宋" w:cs="仿宋"/>
                <w:b w:val="0"/>
                <w:bCs w:val="0"/>
                <w:color w:val="auto"/>
                <w:sz w:val="24"/>
                <w:szCs w:val="24"/>
                <w:highlight w:val="none"/>
                <w:u w:val="single"/>
                <w:lang w:val="en-US" w:eastAsia="zh-CN"/>
              </w:rPr>
              <w:t>0</w:t>
            </w:r>
            <w:r>
              <w:rPr>
                <w:rFonts w:hint="eastAsia" w:ascii="仿宋" w:hAnsi="仿宋" w:eastAsia="仿宋" w:cs="仿宋"/>
                <w:color w:val="auto"/>
                <w:sz w:val="24"/>
                <w:szCs w:val="24"/>
                <w:highlight w:val="none"/>
              </w:rPr>
              <w:t>分；</w:t>
            </w:r>
          </w:p>
          <w:p w14:paraId="28A01B84">
            <w:pPr>
              <w:keepNext w:val="0"/>
              <w:keepLines w:val="0"/>
              <w:pageBreakBefore w:val="0"/>
              <w:suppressLineNumbers w:val="0"/>
              <w:kinsoku/>
              <w:wordWrap/>
              <w:overflowPunct/>
              <w:topLinePunct w:val="0"/>
              <w:bidi w:val="0"/>
              <w:snapToGrid/>
              <w:spacing w:before="0" w:beforeAutospacing="0" w:after="0" w:afterAutospacing="0" w:line="480" w:lineRule="exact"/>
              <w:ind w:left="0" w:right="0"/>
              <w:textAlignment w:val="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商务</w:t>
            </w:r>
            <w:r>
              <w:rPr>
                <w:rFonts w:hint="eastAsia" w:ascii="仿宋" w:hAnsi="仿宋" w:eastAsia="仿宋" w:cs="仿宋"/>
                <w:color w:val="auto"/>
                <w:sz w:val="24"/>
                <w:szCs w:val="24"/>
                <w:highlight w:val="none"/>
              </w:rPr>
              <w:t>部分评审：</w:t>
            </w:r>
            <w:r>
              <w:rPr>
                <w:rFonts w:hint="eastAsia" w:ascii="仿宋" w:hAnsi="仿宋" w:eastAsia="仿宋" w:cs="仿宋"/>
                <w:b w:val="0"/>
                <w:bCs w:val="0"/>
                <w:color w:val="auto"/>
                <w:sz w:val="24"/>
                <w:szCs w:val="24"/>
                <w:highlight w:val="none"/>
                <w:u w:val="single"/>
                <w:lang w:val="en-US" w:eastAsia="zh-CN"/>
              </w:rPr>
              <w:t>10</w:t>
            </w:r>
            <w:r>
              <w:rPr>
                <w:rFonts w:hint="eastAsia" w:ascii="仿宋" w:hAnsi="仿宋" w:eastAsia="仿宋" w:cs="仿宋"/>
                <w:color w:val="auto"/>
                <w:sz w:val="24"/>
                <w:szCs w:val="24"/>
                <w:highlight w:val="none"/>
              </w:rPr>
              <w:t>分；</w:t>
            </w:r>
          </w:p>
        </w:tc>
      </w:tr>
      <w:tr w14:paraId="73820E5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2452" w:type="dxa"/>
            <w:gridSpan w:val="3"/>
            <w:vAlign w:val="center"/>
          </w:tcPr>
          <w:p w14:paraId="5AD32858">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2.2.2</w:t>
            </w:r>
          </w:p>
        </w:tc>
        <w:tc>
          <w:tcPr>
            <w:tcW w:w="2055" w:type="dxa"/>
            <w:vAlign w:val="center"/>
          </w:tcPr>
          <w:p w14:paraId="31DDFD4C">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评标办法</w:t>
            </w:r>
          </w:p>
        </w:tc>
        <w:tc>
          <w:tcPr>
            <w:tcW w:w="5605" w:type="dxa"/>
            <w:vAlign w:val="center"/>
          </w:tcPr>
          <w:p w14:paraId="60622A01">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本项目采用综合评估法：投标人最终得分=投标人</w:t>
            </w:r>
            <w:r>
              <w:rPr>
                <w:rFonts w:hint="eastAsia" w:ascii="仿宋" w:hAnsi="仿宋" w:eastAsia="仿宋" w:cs="仿宋"/>
                <w:color w:val="auto"/>
                <w:sz w:val="24"/>
                <w:szCs w:val="24"/>
                <w:highlight w:val="none"/>
                <w:lang w:eastAsia="zh-CN"/>
              </w:rPr>
              <w:t>报价</w:t>
            </w:r>
            <w:r>
              <w:rPr>
                <w:rFonts w:hint="eastAsia" w:ascii="仿宋" w:hAnsi="仿宋" w:eastAsia="仿宋" w:cs="仿宋"/>
                <w:color w:val="auto"/>
                <w:sz w:val="24"/>
                <w:szCs w:val="24"/>
                <w:highlight w:val="none"/>
              </w:rPr>
              <w:t>部分得分+投标人技术部分得分</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lang w:eastAsia="zh-CN"/>
              </w:rPr>
              <w:t>商务</w:t>
            </w:r>
            <w:r>
              <w:rPr>
                <w:rFonts w:hint="eastAsia" w:ascii="仿宋" w:hAnsi="仿宋" w:eastAsia="仿宋" w:cs="仿宋"/>
                <w:color w:val="auto"/>
                <w:sz w:val="24"/>
                <w:szCs w:val="24"/>
                <w:highlight w:val="none"/>
              </w:rPr>
              <w:t>部分得分</w:t>
            </w:r>
          </w:p>
        </w:tc>
      </w:tr>
      <w:tr w14:paraId="4DF572E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452" w:type="dxa"/>
            <w:gridSpan w:val="3"/>
            <w:tcBorders>
              <w:right w:val="single" w:color="auto" w:sz="4" w:space="0"/>
            </w:tcBorders>
            <w:vAlign w:val="center"/>
          </w:tcPr>
          <w:p w14:paraId="0FF35646">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2055" w:type="dxa"/>
            <w:tcBorders>
              <w:left w:val="single" w:color="auto" w:sz="4" w:space="0"/>
            </w:tcBorders>
            <w:vAlign w:val="center"/>
          </w:tcPr>
          <w:p w14:paraId="0A7861A7">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评分因素</w:t>
            </w:r>
          </w:p>
        </w:tc>
        <w:tc>
          <w:tcPr>
            <w:tcW w:w="5605" w:type="dxa"/>
            <w:vAlign w:val="center"/>
          </w:tcPr>
          <w:p w14:paraId="18BF538E">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评分标准</w:t>
            </w:r>
          </w:p>
        </w:tc>
      </w:tr>
      <w:tr w14:paraId="2F3B63B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936" w:type="dxa"/>
            <w:gridSpan w:val="2"/>
            <w:tcBorders>
              <w:right w:val="single" w:color="auto" w:sz="4" w:space="0"/>
            </w:tcBorders>
            <w:vAlign w:val="center"/>
          </w:tcPr>
          <w:p w14:paraId="46FC4D90">
            <w:pPr>
              <w:keepNext w:val="0"/>
              <w:keepLines w:val="0"/>
              <w:pageBreakBefore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2.2.3（1）</w:t>
            </w:r>
          </w:p>
        </w:tc>
        <w:tc>
          <w:tcPr>
            <w:tcW w:w="1516" w:type="dxa"/>
            <w:tcBorders>
              <w:left w:val="single" w:color="auto" w:sz="4" w:space="0"/>
              <w:right w:val="single" w:color="auto" w:sz="4" w:space="0"/>
            </w:tcBorders>
            <w:vAlign w:val="center"/>
          </w:tcPr>
          <w:p w14:paraId="7A569BC6">
            <w:pPr>
              <w:keepNext w:val="0"/>
              <w:keepLines w:val="0"/>
              <w:pageBreakBefore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报价部分评审评分（满分</w:t>
            </w:r>
            <w:r>
              <w:rPr>
                <w:rFonts w:hint="eastAsia" w:ascii="仿宋" w:hAnsi="仿宋" w:eastAsia="仿宋" w:cs="仿宋"/>
                <w:b w:val="0"/>
                <w:bCs/>
                <w:color w:val="auto"/>
                <w:sz w:val="24"/>
                <w:szCs w:val="24"/>
                <w:highlight w:val="none"/>
                <w:lang w:val="en-US" w:eastAsia="zh-CN"/>
              </w:rPr>
              <w:t>20分</w:t>
            </w:r>
            <w:r>
              <w:rPr>
                <w:rFonts w:hint="eastAsia" w:ascii="仿宋" w:hAnsi="仿宋" w:eastAsia="仿宋" w:cs="仿宋"/>
                <w:b w:val="0"/>
                <w:bCs/>
                <w:color w:val="auto"/>
                <w:sz w:val="24"/>
                <w:szCs w:val="24"/>
                <w:highlight w:val="none"/>
                <w:lang w:eastAsia="zh-CN"/>
              </w:rPr>
              <w:t>）</w:t>
            </w:r>
          </w:p>
        </w:tc>
        <w:tc>
          <w:tcPr>
            <w:tcW w:w="2055" w:type="dxa"/>
            <w:tcBorders>
              <w:left w:val="single" w:color="auto" w:sz="4" w:space="0"/>
            </w:tcBorders>
            <w:vAlign w:val="center"/>
          </w:tcPr>
          <w:p w14:paraId="1FD3E2B8">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投标报价评审</w:t>
            </w:r>
          </w:p>
          <w:p w14:paraId="0C8F79E8">
            <w:pPr>
              <w:keepNext w:val="0"/>
              <w:keepLines w:val="0"/>
              <w:pageBreakBefore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仿宋"/>
                <w:b/>
                <w:color w:val="auto"/>
                <w:sz w:val="24"/>
                <w:szCs w:val="24"/>
                <w:highlight w:val="none"/>
              </w:rPr>
            </w:pPr>
            <w:r>
              <w:rPr>
                <w:rFonts w:hint="eastAsia" w:ascii="仿宋" w:hAnsi="仿宋" w:eastAsia="仿宋" w:cs="宋体"/>
                <w:color w:val="auto"/>
                <w:sz w:val="24"/>
                <w:szCs w:val="24"/>
                <w:highlight w:val="none"/>
              </w:rPr>
              <w:t>（总分</w:t>
            </w:r>
            <w:r>
              <w:rPr>
                <w:rFonts w:hint="eastAsia" w:ascii="仿宋" w:hAnsi="仿宋" w:eastAsia="仿宋" w:cs="宋体"/>
                <w:color w:val="auto"/>
                <w:sz w:val="24"/>
                <w:szCs w:val="24"/>
                <w:highlight w:val="none"/>
                <w:lang w:val="en-US" w:eastAsia="zh-CN"/>
              </w:rPr>
              <w:t>20</w:t>
            </w:r>
            <w:r>
              <w:rPr>
                <w:rFonts w:hint="eastAsia" w:ascii="仿宋" w:hAnsi="仿宋" w:eastAsia="仿宋" w:cs="宋体"/>
                <w:color w:val="auto"/>
                <w:sz w:val="24"/>
                <w:szCs w:val="24"/>
                <w:highlight w:val="none"/>
              </w:rPr>
              <w:t>分）</w:t>
            </w:r>
          </w:p>
        </w:tc>
        <w:tc>
          <w:tcPr>
            <w:tcW w:w="5605" w:type="dxa"/>
            <w:vAlign w:val="center"/>
          </w:tcPr>
          <w:p w14:paraId="4B39DA50">
            <w:pPr>
              <w:pStyle w:val="5"/>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以有效投标人的投标报价最低值为评标基准价，投标报价等于基准价的得满分20分。其他投标人报价得分=评标基准价/投标报价×20</w:t>
            </w:r>
          </w:p>
          <w:p w14:paraId="04654677">
            <w:pPr>
              <w:keepNext w:val="0"/>
              <w:keepLines w:val="0"/>
              <w:pageBreakBefore w:val="0"/>
              <w:suppressLineNumbers w:val="0"/>
              <w:kinsoku/>
              <w:wordWrap/>
              <w:overflowPunct/>
              <w:topLinePunct w:val="0"/>
              <w:bidi w:val="0"/>
              <w:spacing w:before="0" w:beforeAutospacing="0" w:after="0" w:afterAutospacing="0" w:line="480" w:lineRule="exact"/>
              <w:ind w:left="0" w:right="0"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注：①中小企业以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填写的《中小企业声明函》为判定标准。②残疾人企业以供应商填写的《残疾人福利性单位声明函》为判定标准。③监狱企业应提供由省级以上监狱管理局、戒毒管理局(含新疆生产建设兵团)出具的属于监狱企业的证明文件，否则不予认定。</w:t>
            </w:r>
          </w:p>
          <w:p w14:paraId="0F870C27">
            <w:pPr>
              <w:keepNext w:val="0"/>
              <w:keepLines w:val="0"/>
              <w:pageBreakBefore w:val="0"/>
              <w:suppressLineNumbers w:val="0"/>
              <w:kinsoku/>
              <w:wordWrap/>
              <w:overflowPunct/>
              <w:topLinePunct w:val="0"/>
              <w:bidi w:val="0"/>
              <w:spacing w:before="0" w:beforeAutospacing="0" w:after="0" w:afterAutospacing="0" w:line="480" w:lineRule="exact"/>
              <w:ind w:left="0" w:right="0"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小微企业参与本项目享受10%价格评审优惠，用扣除后的价格参加评审。残疾人企业、监狱企业视同于小微企业。</w:t>
            </w:r>
          </w:p>
          <w:p w14:paraId="49A58F9A">
            <w:pPr>
              <w:keepNext w:val="0"/>
              <w:keepLines w:val="0"/>
              <w:pageBreakBefore w:val="0"/>
              <w:suppressLineNumbers w:val="0"/>
              <w:kinsoku/>
              <w:wordWrap/>
              <w:overflowPunct/>
              <w:topLinePunct w:val="0"/>
              <w:bidi w:val="0"/>
              <w:spacing w:before="0" w:beforeAutospacing="0" w:after="0" w:afterAutospacing="0" w:line="480" w:lineRule="exact"/>
              <w:ind w:left="0" w:right="0" w:firstLine="0" w:firstLineChars="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2.大中型企业与小微企业组成联合体，对于联合体协议约定小微企业的合同份额占到合同总金额30%以上的，给予6%的价格评审优惠。</w:t>
            </w:r>
          </w:p>
          <w:p w14:paraId="49728F80">
            <w:pPr>
              <w:keepNext w:val="0"/>
              <w:keepLines w:val="0"/>
              <w:pageBreakBefore w:val="0"/>
              <w:suppressLineNumbers w:val="0"/>
              <w:kinsoku/>
              <w:wordWrap/>
              <w:overflowPunct/>
              <w:topLinePunct w:val="0"/>
              <w:bidi w:val="0"/>
              <w:spacing w:before="0" w:beforeAutospacing="0" w:after="0" w:afterAutospacing="0" w:line="480" w:lineRule="exact"/>
              <w:ind w:left="0" w:right="0" w:firstLine="0" w:firstLineChars="0"/>
              <w:textAlignment w:val="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.评审价格仅因落实政府采购政策进行的价格计算调整，仅做为计算报价得分的依据。</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价以及合同价仍然以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报价为准。</w:t>
            </w:r>
          </w:p>
          <w:p w14:paraId="0F817A10">
            <w:pPr>
              <w:keepNext w:val="0"/>
              <w:keepLines w:val="0"/>
              <w:pageBreakBefore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eastAsia" w:ascii="仿宋" w:hAnsi="仿宋" w:eastAsia="仿宋" w:cs="仿宋"/>
                <w:b/>
                <w:color w:val="auto"/>
                <w:sz w:val="24"/>
                <w:szCs w:val="24"/>
                <w:highlight w:val="none"/>
              </w:rPr>
            </w:pPr>
            <w:r>
              <w:rPr>
                <w:rFonts w:hint="eastAsia" w:ascii="仿宋" w:hAnsi="仿宋" w:eastAsia="仿宋" w:cs="宋体"/>
                <w:b/>
                <w:color w:val="auto"/>
                <w:sz w:val="24"/>
                <w:szCs w:val="24"/>
                <w:highlight w:val="none"/>
              </w:rPr>
              <w:t>评标委员会认定投标人以低于成本报价竞标的，其投标文件作废标处理。</w:t>
            </w:r>
          </w:p>
        </w:tc>
      </w:tr>
      <w:tr w14:paraId="1379A8A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932" w:type="dxa"/>
            <w:vMerge w:val="restart"/>
            <w:tcBorders>
              <w:right w:val="single" w:color="auto" w:sz="4" w:space="0"/>
            </w:tcBorders>
            <w:vAlign w:val="center"/>
          </w:tcPr>
          <w:p w14:paraId="1BC6B0CA">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2.2.3（2）</w:t>
            </w:r>
          </w:p>
        </w:tc>
        <w:tc>
          <w:tcPr>
            <w:tcW w:w="1520" w:type="dxa"/>
            <w:gridSpan w:val="2"/>
            <w:vMerge w:val="restart"/>
            <w:tcBorders>
              <w:left w:val="single" w:color="auto" w:sz="4" w:space="0"/>
              <w:right w:val="single" w:color="auto" w:sz="4" w:space="0"/>
            </w:tcBorders>
            <w:vAlign w:val="center"/>
          </w:tcPr>
          <w:p w14:paraId="597EA465">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技术部分评审评分（满分</w:t>
            </w:r>
            <w:r>
              <w:rPr>
                <w:rFonts w:hint="eastAsia" w:ascii="仿宋" w:hAnsi="仿宋" w:eastAsia="仿宋" w:cs="仿宋"/>
                <w:b w:val="0"/>
                <w:bCs/>
                <w:color w:val="auto"/>
                <w:sz w:val="24"/>
                <w:szCs w:val="24"/>
                <w:highlight w:val="none"/>
                <w:lang w:val="en-US" w:eastAsia="zh-CN"/>
              </w:rPr>
              <w:t>70分</w:t>
            </w:r>
            <w:r>
              <w:rPr>
                <w:rFonts w:hint="eastAsia" w:ascii="仿宋" w:hAnsi="仿宋" w:eastAsia="仿宋" w:cs="仿宋"/>
                <w:b w:val="0"/>
                <w:bCs/>
                <w:color w:val="auto"/>
                <w:sz w:val="24"/>
                <w:szCs w:val="24"/>
                <w:highlight w:val="none"/>
                <w:lang w:eastAsia="zh-CN"/>
              </w:rPr>
              <w:t>）</w:t>
            </w:r>
          </w:p>
        </w:tc>
        <w:tc>
          <w:tcPr>
            <w:tcW w:w="2055" w:type="dxa"/>
            <w:tcBorders>
              <w:left w:val="single" w:color="auto" w:sz="4" w:space="0"/>
            </w:tcBorders>
            <w:vAlign w:val="center"/>
          </w:tcPr>
          <w:p w14:paraId="565DEE83">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lang w:eastAsia="zh-CN"/>
              </w:rPr>
            </w:pPr>
            <w:r>
              <w:rPr>
                <w:rFonts w:hint="eastAsia" w:ascii="仿宋" w:hAnsi="仿宋" w:eastAsia="仿宋" w:cs="宋体"/>
                <w:color w:val="auto"/>
                <w:kern w:val="2"/>
                <w:sz w:val="24"/>
                <w:szCs w:val="24"/>
                <w:highlight w:val="none"/>
              </w:rPr>
              <w:t>土壤普查成果编制与汇总</w:t>
            </w:r>
            <w:r>
              <w:rPr>
                <w:rFonts w:hint="eastAsia" w:ascii="仿宋" w:hAnsi="仿宋" w:eastAsia="仿宋" w:cs="宋体"/>
                <w:color w:val="auto"/>
                <w:kern w:val="2"/>
                <w:sz w:val="24"/>
                <w:szCs w:val="24"/>
                <w:highlight w:val="none"/>
                <w:lang w:eastAsia="zh-CN"/>
              </w:rPr>
              <w:t>实施方案评审评分</w:t>
            </w:r>
          </w:p>
          <w:p w14:paraId="04DABADC">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lang w:eastAsia="zh-CN"/>
              </w:rPr>
              <w:t>（满分</w:t>
            </w:r>
            <w:r>
              <w:rPr>
                <w:rFonts w:hint="eastAsia" w:ascii="仿宋" w:hAnsi="仿宋" w:eastAsia="仿宋" w:cs="宋体"/>
                <w:color w:val="auto"/>
                <w:kern w:val="2"/>
                <w:sz w:val="24"/>
                <w:szCs w:val="24"/>
                <w:highlight w:val="none"/>
                <w:lang w:val="en-US" w:eastAsia="zh-CN"/>
              </w:rPr>
              <w:t>10</w:t>
            </w:r>
            <w:r>
              <w:rPr>
                <w:rFonts w:hint="eastAsia" w:ascii="仿宋" w:hAnsi="仿宋" w:eastAsia="仿宋" w:cs="宋体"/>
                <w:color w:val="auto"/>
                <w:kern w:val="2"/>
                <w:sz w:val="24"/>
                <w:szCs w:val="24"/>
                <w:highlight w:val="none"/>
                <w:lang w:eastAsia="zh-CN"/>
              </w:rPr>
              <w:t>分）</w:t>
            </w:r>
          </w:p>
        </w:tc>
        <w:tc>
          <w:tcPr>
            <w:tcW w:w="5605" w:type="dxa"/>
            <w:vAlign w:val="center"/>
          </w:tcPr>
          <w:p w14:paraId="7A7B3CF1">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第一档次（</w:t>
            </w:r>
            <w:r>
              <w:rPr>
                <w:rFonts w:hint="eastAsia" w:ascii="仿宋" w:hAnsi="仿宋" w:eastAsia="仿宋" w:cs="宋体"/>
                <w:color w:val="auto"/>
                <w:kern w:val="2"/>
                <w:sz w:val="24"/>
                <w:szCs w:val="24"/>
                <w:highlight w:val="none"/>
                <w:lang w:val="en-US" w:eastAsia="zh-CN"/>
              </w:rPr>
              <w:t>10</w:t>
            </w:r>
            <w:r>
              <w:rPr>
                <w:rFonts w:hint="eastAsia" w:ascii="仿宋" w:hAnsi="仿宋" w:eastAsia="仿宋" w:cs="宋体"/>
                <w:color w:val="auto"/>
                <w:kern w:val="2"/>
                <w:sz w:val="24"/>
                <w:szCs w:val="24"/>
                <w:highlight w:val="none"/>
              </w:rPr>
              <w:t>分）：实施方案满足招标文件服务要求，描述较完整，内容较合理，针对性较强，重点突出、考虑全面。</w:t>
            </w:r>
          </w:p>
          <w:p w14:paraId="3E993780">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第二档次（</w:t>
            </w:r>
            <w:r>
              <w:rPr>
                <w:rFonts w:hint="eastAsia" w:ascii="仿宋" w:hAnsi="仿宋" w:eastAsia="仿宋" w:cs="宋体"/>
                <w:color w:val="auto"/>
                <w:kern w:val="2"/>
                <w:sz w:val="24"/>
                <w:szCs w:val="24"/>
                <w:highlight w:val="none"/>
                <w:lang w:val="en-US" w:eastAsia="zh-CN"/>
              </w:rPr>
              <w:t>8</w:t>
            </w:r>
            <w:r>
              <w:rPr>
                <w:rFonts w:hint="eastAsia" w:ascii="仿宋" w:hAnsi="仿宋" w:eastAsia="仿宋" w:cs="宋体"/>
                <w:color w:val="auto"/>
                <w:kern w:val="2"/>
                <w:sz w:val="24"/>
                <w:szCs w:val="24"/>
                <w:highlight w:val="none"/>
              </w:rPr>
              <w:t>分）：实施方案基本满足招标文件服务要求，描述基本完整，内容基本合理，有一定针对性。</w:t>
            </w:r>
          </w:p>
          <w:p w14:paraId="3FB67733">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第三档次（</w:t>
            </w:r>
            <w:r>
              <w:rPr>
                <w:rFonts w:hint="eastAsia" w:ascii="仿宋" w:hAnsi="仿宋" w:eastAsia="仿宋" w:cs="宋体"/>
                <w:color w:val="auto"/>
                <w:kern w:val="2"/>
                <w:sz w:val="24"/>
                <w:szCs w:val="24"/>
                <w:highlight w:val="none"/>
                <w:lang w:val="en-US" w:eastAsia="zh-CN"/>
              </w:rPr>
              <w:t>6</w:t>
            </w:r>
            <w:r>
              <w:rPr>
                <w:rFonts w:hint="eastAsia" w:ascii="仿宋" w:hAnsi="仿宋" w:eastAsia="仿宋" w:cs="宋体"/>
                <w:color w:val="auto"/>
                <w:kern w:val="2"/>
                <w:sz w:val="24"/>
                <w:szCs w:val="24"/>
                <w:highlight w:val="none"/>
              </w:rPr>
              <w:t>分）：实施方案不满足招标文件服务要求，描述内容杂乱，内容不合理。</w:t>
            </w:r>
          </w:p>
          <w:p w14:paraId="7E18F2B1">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rPr>
              <w:t>第四档次（0分）：无实施方案的。</w:t>
            </w:r>
          </w:p>
        </w:tc>
      </w:tr>
      <w:tr w14:paraId="308E342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932" w:type="dxa"/>
            <w:vMerge w:val="continue"/>
            <w:tcBorders>
              <w:bottom w:val="nil"/>
              <w:right w:val="single" w:color="auto" w:sz="4" w:space="0"/>
            </w:tcBorders>
            <w:vAlign w:val="center"/>
          </w:tcPr>
          <w:p w14:paraId="2D6325FE">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eastAsia" w:ascii="仿宋" w:hAnsi="仿宋" w:eastAsia="仿宋" w:cs="仿宋"/>
                <w:bCs/>
                <w:color w:val="auto"/>
                <w:sz w:val="24"/>
                <w:szCs w:val="24"/>
                <w:highlight w:val="none"/>
              </w:rPr>
            </w:pPr>
          </w:p>
        </w:tc>
        <w:tc>
          <w:tcPr>
            <w:tcW w:w="1520" w:type="dxa"/>
            <w:gridSpan w:val="2"/>
            <w:vMerge w:val="continue"/>
            <w:tcBorders>
              <w:left w:val="single" w:color="auto" w:sz="4" w:space="0"/>
              <w:right w:val="single" w:color="auto" w:sz="4" w:space="0"/>
            </w:tcBorders>
            <w:vAlign w:val="center"/>
          </w:tcPr>
          <w:p w14:paraId="60CF112F">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highlight w:val="none"/>
              </w:rPr>
            </w:pPr>
          </w:p>
        </w:tc>
        <w:tc>
          <w:tcPr>
            <w:tcW w:w="2055" w:type="dxa"/>
            <w:tcBorders>
              <w:left w:val="single" w:color="auto" w:sz="4" w:space="0"/>
            </w:tcBorders>
            <w:vAlign w:val="center"/>
          </w:tcPr>
          <w:p w14:paraId="063FB720">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jc w:val="center"/>
              <w:textAlignment w:val="auto"/>
              <w:rPr>
                <w:rFonts w:hint="eastAsia" w:ascii="仿宋" w:hAnsi="仿宋" w:eastAsia="仿宋" w:cs="宋体"/>
                <w:color w:val="auto"/>
                <w:kern w:val="2"/>
                <w:sz w:val="24"/>
                <w:szCs w:val="24"/>
                <w:highlight w:val="none"/>
                <w:lang w:eastAsia="zh-CN"/>
              </w:rPr>
            </w:pPr>
            <w:r>
              <w:rPr>
                <w:rFonts w:hint="eastAsia" w:ascii="仿宋" w:hAnsi="仿宋" w:eastAsia="仿宋" w:cs="宋体"/>
                <w:color w:val="auto"/>
                <w:kern w:val="2"/>
                <w:sz w:val="24"/>
                <w:szCs w:val="24"/>
                <w:highlight w:val="none"/>
                <w:lang w:eastAsia="zh-CN"/>
              </w:rPr>
              <w:t>人员配备</w:t>
            </w:r>
          </w:p>
          <w:p w14:paraId="279CBD91">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宋体"/>
                <w:color w:val="auto"/>
                <w:kern w:val="2"/>
                <w:sz w:val="24"/>
                <w:szCs w:val="24"/>
                <w:highlight w:val="none"/>
                <w:lang w:eastAsia="zh-CN"/>
              </w:rPr>
              <w:t>（满分20分）</w:t>
            </w:r>
          </w:p>
        </w:tc>
        <w:tc>
          <w:tcPr>
            <w:tcW w:w="5605" w:type="dxa"/>
            <w:vAlign w:val="center"/>
          </w:tcPr>
          <w:p w14:paraId="0F715D5C">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（1）项目负责人配置（2分）</w:t>
            </w:r>
          </w:p>
          <w:p w14:paraId="430C4821">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拟派本项目的负责人：</w:t>
            </w:r>
            <w:r>
              <w:rPr>
                <w:rFonts w:hint="eastAsia" w:ascii="仿宋" w:hAnsi="仿宋" w:eastAsia="仿宋" w:cs="宋体"/>
                <w:color w:val="auto"/>
                <w:kern w:val="2"/>
                <w:sz w:val="24"/>
                <w:szCs w:val="24"/>
                <w:highlight w:val="none"/>
              </w:rPr>
              <w:t>具备</w:t>
            </w:r>
            <w:r>
              <w:rPr>
                <w:rFonts w:hint="eastAsia" w:ascii="仿宋" w:hAnsi="仿宋" w:eastAsia="仿宋" w:cs="宋体"/>
                <w:color w:val="auto"/>
                <w:kern w:val="2"/>
                <w:sz w:val="24"/>
                <w:szCs w:val="24"/>
                <w:highlight w:val="none"/>
              </w:rPr>
              <w:t>土壤学背景（含土壤农化、农业资源与环境、土地调查、地球化学、环境地质等专业）</w:t>
            </w:r>
            <w:r>
              <w:rPr>
                <w:rFonts w:hint="eastAsia" w:ascii="仿宋" w:hAnsi="仿宋" w:eastAsia="仿宋" w:cs="宋体"/>
                <w:color w:val="auto"/>
                <w:kern w:val="2"/>
                <w:sz w:val="24"/>
                <w:szCs w:val="24"/>
                <w:highlight w:val="none"/>
              </w:rPr>
              <w:t>或测绘类相关专业的高级职称证得2分。</w:t>
            </w:r>
          </w:p>
          <w:p w14:paraId="34069FF6">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w:t>
            </w:r>
            <w:r>
              <w:rPr>
                <w:rFonts w:hint="eastAsia" w:ascii="仿宋" w:hAnsi="仿宋" w:eastAsia="仿宋" w:cs="宋体"/>
                <w:color w:val="auto"/>
                <w:kern w:val="2"/>
                <w:sz w:val="24"/>
                <w:szCs w:val="24"/>
                <w:highlight w:val="none"/>
                <w:lang w:val="en-US" w:eastAsia="zh-CN"/>
              </w:rPr>
              <w:t>2</w:t>
            </w:r>
            <w:r>
              <w:rPr>
                <w:rFonts w:hint="eastAsia" w:ascii="仿宋" w:hAnsi="仿宋" w:eastAsia="仿宋" w:cs="宋体"/>
                <w:color w:val="auto"/>
                <w:kern w:val="2"/>
                <w:sz w:val="24"/>
                <w:szCs w:val="24"/>
                <w:highlight w:val="none"/>
              </w:rPr>
              <w:t>）技术人员（不含项目负责人）配置（9分）</w:t>
            </w:r>
          </w:p>
          <w:p w14:paraId="687F3A10">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第一档次（9分）：服务技术力量、人员组成数量及专业结构科学合理，</w:t>
            </w:r>
            <w:r>
              <w:rPr>
                <w:rFonts w:hint="eastAsia" w:ascii="仿宋" w:hAnsi="仿宋" w:eastAsia="仿宋" w:cs="宋体"/>
                <w:color w:val="auto"/>
                <w:kern w:val="2"/>
                <w:sz w:val="24"/>
                <w:szCs w:val="24"/>
                <w:highlight w:val="none"/>
              </w:rPr>
              <w:t>须包含</w:t>
            </w:r>
            <w:r>
              <w:rPr>
                <w:rFonts w:hint="eastAsia" w:ascii="仿宋" w:hAnsi="仿宋" w:eastAsia="仿宋" w:cs="宋体"/>
                <w:color w:val="auto"/>
                <w:kern w:val="2"/>
                <w:sz w:val="24"/>
                <w:szCs w:val="24"/>
                <w:highlight w:val="none"/>
              </w:rPr>
              <w:t>土壤学背景（含土壤农化、农业资源与环境、土地调查、地球化学、环境地质等专业）或测绘类相关专业</w:t>
            </w:r>
            <w:r>
              <w:rPr>
                <w:rFonts w:hint="eastAsia" w:ascii="仿宋" w:hAnsi="仿宋" w:eastAsia="仿宋" w:cs="宋体"/>
                <w:color w:val="auto"/>
                <w:kern w:val="2"/>
                <w:sz w:val="24"/>
                <w:szCs w:val="24"/>
                <w:highlight w:val="none"/>
              </w:rPr>
              <w:t>的服务人员</w:t>
            </w:r>
            <w:r>
              <w:rPr>
                <w:rFonts w:hint="eastAsia" w:ascii="仿宋" w:hAnsi="仿宋" w:eastAsia="仿宋" w:cs="宋体"/>
                <w:color w:val="auto"/>
                <w:kern w:val="2"/>
                <w:sz w:val="24"/>
                <w:szCs w:val="24"/>
                <w:highlight w:val="none"/>
              </w:rPr>
              <w:t>，职责分工细化、明确、有针对本项目不同工作具体的人员分组，完全满足项目需求。</w:t>
            </w:r>
          </w:p>
          <w:p w14:paraId="56498EC1">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第二档次（6分）：服务技术力量、人员组成数量及专业结构基本合理，须包含</w:t>
            </w:r>
            <w:r>
              <w:rPr>
                <w:rFonts w:hint="eastAsia" w:ascii="仿宋" w:hAnsi="仿宋" w:eastAsia="仿宋" w:cs="宋体"/>
                <w:color w:val="auto"/>
                <w:kern w:val="2"/>
                <w:sz w:val="24"/>
                <w:szCs w:val="24"/>
                <w:highlight w:val="none"/>
              </w:rPr>
              <w:t>土壤学背景（含土壤农化、农业资源与环境、土地调查、地球化学、环境地质等专业）或测绘类相关专业</w:t>
            </w:r>
            <w:r>
              <w:rPr>
                <w:rFonts w:hint="eastAsia" w:ascii="仿宋" w:hAnsi="仿宋" w:eastAsia="仿宋" w:cs="宋体"/>
                <w:color w:val="auto"/>
                <w:kern w:val="2"/>
                <w:sz w:val="24"/>
                <w:szCs w:val="24"/>
                <w:highlight w:val="none"/>
              </w:rPr>
              <w:t>的服务人员，但职责分工简单，人员情况、分组情况不明确，针对性一般。</w:t>
            </w:r>
          </w:p>
          <w:p w14:paraId="61057CDB">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第三档次（3分）：服务技术力量、人员组成数量及专业结构合理性一般，人员情况不明确，缺乏针对性。</w:t>
            </w:r>
          </w:p>
          <w:p w14:paraId="2334EEA2">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第四档次（0分）：服务技术力量及人员组成专业结构差，人员情况不明确的。</w:t>
            </w:r>
          </w:p>
          <w:p w14:paraId="55DD7DCB">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（3）成果编制人员（9分）</w:t>
            </w:r>
          </w:p>
          <w:p w14:paraId="28602388">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第一档次（9分）：</w:t>
            </w:r>
            <w:r>
              <w:rPr>
                <w:rFonts w:hint="eastAsia" w:ascii="仿宋" w:hAnsi="仿宋" w:eastAsia="仿宋" w:cs="宋体"/>
                <w:color w:val="auto"/>
                <w:kern w:val="2"/>
                <w:sz w:val="24"/>
                <w:szCs w:val="24"/>
                <w:highlight w:val="none"/>
              </w:rPr>
              <w:t>成果编制人员须包含</w:t>
            </w:r>
            <w:r>
              <w:rPr>
                <w:rFonts w:hint="eastAsia" w:ascii="仿宋" w:hAnsi="仿宋" w:eastAsia="仿宋" w:cs="宋体"/>
                <w:color w:val="auto"/>
                <w:kern w:val="2"/>
                <w:sz w:val="24"/>
                <w:szCs w:val="24"/>
                <w:highlight w:val="none"/>
              </w:rPr>
              <w:t>土壤学背景（含土壤农化、农业资源与环境、土地调查、地球化学、环境地质等专业）</w:t>
            </w:r>
            <w:r>
              <w:rPr>
                <w:rFonts w:hint="eastAsia" w:ascii="仿宋" w:hAnsi="仿宋" w:eastAsia="仿宋" w:cs="宋体"/>
                <w:color w:val="auto"/>
                <w:kern w:val="2"/>
                <w:sz w:val="24"/>
                <w:szCs w:val="24"/>
                <w:highlight w:val="none"/>
                <w:lang w:eastAsia="zh-CN"/>
              </w:rPr>
              <w:t>或</w:t>
            </w:r>
            <w:r>
              <w:rPr>
                <w:rFonts w:hint="eastAsia" w:ascii="仿宋" w:hAnsi="仿宋" w:eastAsia="仿宋" w:cs="宋体"/>
                <w:color w:val="auto"/>
                <w:kern w:val="2"/>
                <w:sz w:val="24"/>
                <w:szCs w:val="24"/>
                <w:highlight w:val="none"/>
              </w:rPr>
              <w:t>测绘类或信息技术等相关专业</w:t>
            </w:r>
            <w:r>
              <w:rPr>
                <w:rFonts w:hint="eastAsia" w:ascii="仿宋" w:hAnsi="仿宋" w:eastAsia="仿宋" w:cs="宋体"/>
                <w:color w:val="auto"/>
                <w:kern w:val="2"/>
                <w:sz w:val="24"/>
                <w:szCs w:val="24"/>
                <w:highlight w:val="none"/>
              </w:rPr>
              <w:t>，职责分工细化，人员专业、数量配备合理，完全满足项目需求。</w:t>
            </w:r>
          </w:p>
          <w:p w14:paraId="224F0C82">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第二档次（6分）：成果编制人员组成须包含</w:t>
            </w:r>
            <w:r>
              <w:rPr>
                <w:rFonts w:hint="eastAsia" w:ascii="仿宋" w:hAnsi="仿宋" w:eastAsia="仿宋" w:cs="宋体"/>
                <w:color w:val="auto"/>
                <w:kern w:val="2"/>
                <w:sz w:val="24"/>
                <w:szCs w:val="24"/>
                <w:highlight w:val="none"/>
              </w:rPr>
              <w:t>土壤学背景（含土壤农化、农业资源与环境、土地调查、地球化学、环境地质等专业）</w:t>
            </w:r>
            <w:r>
              <w:rPr>
                <w:rFonts w:hint="eastAsia" w:ascii="仿宋" w:hAnsi="仿宋" w:eastAsia="仿宋" w:cs="宋体"/>
                <w:color w:val="auto"/>
                <w:kern w:val="2"/>
                <w:sz w:val="24"/>
                <w:szCs w:val="24"/>
                <w:highlight w:val="none"/>
                <w:lang w:eastAsia="zh-CN"/>
              </w:rPr>
              <w:t>或</w:t>
            </w:r>
            <w:r>
              <w:rPr>
                <w:rFonts w:hint="eastAsia" w:ascii="仿宋" w:hAnsi="仿宋" w:eastAsia="仿宋" w:cs="宋体"/>
                <w:color w:val="auto"/>
                <w:kern w:val="2"/>
                <w:sz w:val="24"/>
                <w:szCs w:val="24"/>
                <w:highlight w:val="none"/>
              </w:rPr>
              <w:t>测绘类或信息技术等相关专业，但职责分工简单，人员专业、数量配备合理，针对性一般。</w:t>
            </w:r>
          </w:p>
          <w:p w14:paraId="0AADBD9F">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第三档次（3分）：成果编制人员组成专业结构合理性一般，人员数量配备合理，缺乏针对性。</w:t>
            </w:r>
          </w:p>
          <w:p w14:paraId="6E811856">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第四档次（0分）：成果编制人员组成专业结构差，人员数量配备不合理。</w:t>
            </w:r>
          </w:p>
          <w:p w14:paraId="0B368C64">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宋体"/>
                <w:color w:val="auto"/>
                <w:kern w:val="2"/>
                <w:sz w:val="24"/>
                <w:szCs w:val="24"/>
                <w:highlight w:val="none"/>
              </w:rPr>
              <w:t>注：需按要求提</w:t>
            </w:r>
            <w:r>
              <w:rPr>
                <w:rFonts w:hint="eastAsia" w:ascii="仿宋" w:hAnsi="仿宋" w:eastAsia="仿宋" w:cs="宋体"/>
                <w:color w:val="auto"/>
                <w:kern w:val="2"/>
                <w:sz w:val="24"/>
                <w:szCs w:val="24"/>
                <w:highlight w:val="none"/>
              </w:rPr>
              <w:t>供</w:t>
            </w:r>
            <w:r>
              <w:rPr>
                <w:rFonts w:hint="eastAsia" w:ascii="仿宋" w:hAnsi="仿宋" w:eastAsia="仿宋" w:cs="宋体"/>
                <w:color w:val="auto"/>
                <w:kern w:val="2"/>
                <w:sz w:val="24"/>
                <w:szCs w:val="24"/>
                <w:highlight w:val="none"/>
                <w:lang w:eastAsia="zh-CN"/>
              </w:rPr>
              <w:t>相关</w:t>
            </w:r>
            <w:r>
              <w:rPr>
                <w:rFonts w:hint="eastAsia" w:ascii="仿宋" w:hAnsi="仿宋" w:eastAsia="仿宋" w:cs="宋体"/>
                <w:color w:val="auto"/>
                <w:kern w:val="2"/>
                <w:sz w:val="24"/>
                <w:szCs w:val="24"/>
                <w:highlight w:val="none"/>
              </w:rPr>
              <w:t>证书，同时上述人员必须为投标单位员工，附相应的劳动合同或社保证明，未提供证明材料或相关证明材料不齐全的不予认</w:t>
            </w:r>
            <w:r>
              <w:rPr>
                <w:rFonts w:hint="eastAsia" w:ascii="仿宋" w:hAnsi="仿宋" w:eastAsia="仿宋" w:cs="宋体"/>
                <w:color w:val="auto"/>
                <w:kern w:val="2"/>
                <w:sz w:val="24"/>
                <w:szCs w:val="24"/>
                <w:highlight w:val="none"/>
              </w:rPr>
              <w:t>可。</w:t>
            </w:r>
          </w:p>
        </w:tc>
      </w:tr>
      <w:tr w14:paraId="2B36E5F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932" w:type="dxa"/>
            <w:vMerge w:val="restart"/>
            <w:tcBorders>
              <w:top w:val="nil"/>
              <w:right w:val="single" w:color="auto" w:sz="4" w:space="0"/>
            </w:tcBorders>
            <w:vAlign w:val="center"/>
          </w:tcPr>
          <w:p w14:paraId="022DF2D4">
            <w:pPr>
              <w:keepNext w:val="0"/>
              <w:keepLines w:val="0"/>
              <w:pageBreakBefore w:val="0"/>
              <w:suppressLineNumbers w:val="0"/>
              <w:kinsoku/>
              <w:wordWrap/>
              <w:overflowPunct/>
              <w:topLinePunct w:val="0"/>
              <w:bidi w:val="0"/>
              <w:snapToGrid/>
              <w:spacing w:before="0" w:beforeAutospacing="0" w:after="0" w:afterAutospacing="0" w:line="480" w:lineRule="exact"/>
              <w:ind w:left="0" w:leftChars="0" w:right="0" w:rightChars="0"/>
              <w:jc w:val="both"/>
              <w:textAlignment w:val="auto"/>
              <w:rPr>
                <w:rFonts w:hint="eastAsia" w:ascii="仿宋" w:hAnsi="仿宋" w:eastAsia="仿宋" w:cs="仿宋"/>
                <w:b/>
                <w:color w:val="auto"/>
                <w:kern w:val="2"/>
                <w:sz w:val="24"/>
                <w:szCs w:val="24"/>
                <w:highlight w:val="none"/>
                <w:lang w:val="en-US" w:eastAsia="zh-CN" w:bidi="ar-SA"/>
              </w:rPr>
            </w:pPr>
          </w:p>
        </w:tc>
        <w:tc>
          <w:tcPr>
            <w:tcW w:w="1520" w:type="dxa"/>
            <w:gridSpan w:val="2"/>
            <w:vMerge w:val="continue"/>
            <w:tcBorders>
              <w:left w:val="single" w:color="auto" w:sz="4" w:space="0"/>
              <w:right w:val="single" w:color="auto" w:sz="4" w:space="0"/>
            </w:tcBorders>
            <w:vAlign w:val="center"/>
          </w:tcPr>
          <w:p w14:paraId="1BF4773F">
            <w:pPr>
              <w:keepNext w:val="0"/>
              <w:keepLines w:val="0"/>
              <w:pageBreakBefore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default" w:ascii="仿宋" w:hAnsi="仿宋" w:eastAsia="仿宋" w:cs="仿宋"/>
                <w:b/>
                <w:color w:val="auto"/>
                <w:kern w:val="2"/>
                <w:sz w:val="24"/>
                <w:szCs w:val="24"/>
                <w:highlight w:val="none"/>
                <w:lang w:val="en-US" w:eastAsia="zh-CN" w:bidi="ar-SA"/>
              </w:rPr>
            </w:pPr>
          </w:p>
        </w:tc>
        <w:tc>
          <w:tcPr>
            <w:tcW w:w="2055" w:type="dxa"/>
            <w:tcBorders>
              <w:left w:val="single" w:color="auto" w:sz="4" w:space="0"/>
            </w:tcBorders>
            <w:vAlign w:val="center"/>
          </w:tcPr>
          <w:p w14:paraId="03D58AB7">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jc w:val="center"/>
              <w:textAlignment w:val="auto"/>
              <w:rPr>
                <w:rFonts w:hint="eastAsia" w:ascii="仿宋" w:hAnsi="仿宋" w:eastAsia="仿宋" w:cs="宋体"/>
                <w:color w:val="auto"/>
                <w:kern w:val="2"/>
                <w:sz w:val="24"/>
                <w:szCs w:val="24"/>
                <w:highlight w:val="none"/>
                <w:lang w:eastAsia="zh-CN"/>
              </w:rPr>
            </w:pPr>
            <w:r>
              <w:rPr>
                <w:rFonts w:hint="eastAsia" w:ascii="仿宋" w:hAnsi="仿宋" w:eastAsia="仿宋" w:cs="宋体"/>
                <w:color w:val="auto"/>
                <w:kern w:val="2"/>
                <w:sz w:val="24"/>
                <w:szCs w:val="24"/>
                <w:highlight w:val="none"/>
                <w:lang w:eastAsia="zh-CN"/>
              </w:rPr>
              <w:t>服务质量、进度计划承诺及保障措施</w:t>
            </w:r>
          </w:p>
          <w:p w14:paraId="65411E43">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jc w:val="center"/>
              <w:textAlignment w:val="auto"/>
              <w:rPr>
                <w:rFonts w:hint="eastAsia" w:ascii="仿宋" w:hAnsi="仿宋" w:eastAsia="仿宋" w:cs="宋体"/>
                <w:color w:val="auto"/>
                <w:kern w:val="2"/>
                <w:sz w:val="24"/>
                <w:szCs w:val="24"/>
                <w:highlight w:val="none"/>
                <w:lang w:eastAsia="zh-CN"/>
              </w:rPr>
            </w:pPr>
            <w:r>
              <w:rPr>
                <w:rFonts w:hint="eastAsia" w:ascii="仿宋" w:hAnsi="仿宋" w:eastAsia="仿宋" w:cs="宋体"/>
                <w:color w:val="auto"/>
                <w:kern w:val="2"/>
                <w:sz w:val="24"/>
                <w:szCs w:val="24"/>
                <w:highlight w:val="none"/>
                <w:lang w:eastAsia="zh-CN"/>
              </w:rPr>
              <w:t>（满分10分）</w:t>
            </w:r>
          </w:p>
          <w:p w14:paraId="2A7D57BF">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lang w:val="en-US" w:eastAsia="zh-CN"/>
              </w:rPr>
            </w:pPr>
          </w:p>
        </w:tc>
        <w:tc>
          <w:tcPr>
            <w:tcW w:w="5605" w:type="dxa"/>
            <w:vAlign w:val="center"/>
          </w:tcPr>
          <w:p w14:paraId="61E92FAD">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一档次（10分）：针对本项目实际情况制定服务质量、进度计划承诺和保障措施，且明确项目实施过程中各阶段的工作内容及工作周期，并对突发状况留有预案，内容详尽、针对性强，保证措施合理、惩罚措施明确合理、操作性强；</w:t>
            </w:r>
          </w:p>
          <w:p w14:paraId="7C6381DF">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第二档次（</w:t>
            </w:r>
            <w:r>
              <w:rPr>
                <w:rFonts w:hint="eastAsia" w:ascii="仿宋" w:hAnsi="仿宋" w:eastAsia="仿宋" w:cs="宋体"/>
                <w:color w:val="auto"/>
                <w:kern w:val="2"/>
                <w:sz w:val="24"/>
                <w:szCs w:val="24"/>
                <w:highlight w:val="none"/>
                <w:lang w:val="en-US" w:eastAsia="zh-CN"/>
              </w:rPr>
              <w:t>8</w:t>
            </w:r>
            <w:r>
              <w:rPr>
                <w:rFonts w:hint="eastAsia" w:ascii="仿宋" w:hAnsi="仿宋" w:eastAsia="仿宋" w:cs="宋体"/>
                <w:color w:val="auto"/>
                <w:kern w:val="2"/>
                <w:sz w:val="24"/>
                <w:szCs w:val="24"/>
                <w:highlight w:val="none"/>
              </w:rPr>
              <w:t>分）：服务质量、进度计划承诺和保障措施一般，有项目实施过程中各阶段的工作内容及工作周期，并对突发状况留有预案，内容基本完整、针对性一般，保证措施、惩罚措施一般、操作性一般；</w:t>
            </w:r>
          </w:p>
          <w:p w14:paraId="4853AF31">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第三档次（</w:t>
            </w:r>
            <w:r>
              <w:rPr>
                <w:rFonts w:hint="eastAsia" w:ascii="仿宋" w:hAnsi="仿宋" w:eastAsia="仿宋" w:cs="宋体"/>
                <w:color w:val="auto"/>
                <w:kern w:val="2"/>
                <w:sz w:val="24"/>
                <w:szCs w:val="24"/>
                <w:highlight w:val="none"/>
                <w:lang w:val="en-US" w:eastAsia="zh-CN"/>
              </w:rPr>
              <w:t>6</w:t>
            </w:r>
            <w:r>
              <w:rPr>
                <w:rFonts w:hint="eastAsia" w:ascii="仿宋" w:hAnsi="仿宋" w:eastAsia="仿宋" w:cs="宋体"/>
                <w:color w:val="auto"/>
                <w:kern w:val="2"/>
                <w:sz w:val="24"/>
                <w:szCs w:val="24"/>
                <w:highlight w:val="none"/>
              </w:rPr>
              <w:t>分）：服务质量、进度计划承诺和保障措施较差，项目实施过程中各阶段的工作内容及工作周期，并对突发状况留有预案，内容基本完整、内容宽泛，保证措施、惩罚措施较差、操作性较弱；</w:t>
            </w:r>
          </w:p>
          <w:p w14:paraId="59DCA902">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宋体"/>
                <w:color w:val="auto"/>
                <w:kern w:val="2"/>
                <w:sz w:val="24"/>
                <w:szCs w:val="24"/>
                <w:highlight w:val="none"/>
              </w:rPr>
              <w:t>第四档次（0分）：无服务质量、服务进度计划保证承诺及措施。</w:t>
            </w:r>
          </w:p>
        </w:tc>
      </w:tr>
      <w:tr w14:paraId="18BA723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932" w:type="dxa"/>
            <w:vMerge w:val="continue"/>
            <w:tcBorders>
              <w:right w:val="single" w:color="auto" w:sz="4" w:space="0"/>
            </w:tcBorders>
            <w:vAlign w:val="center"/>
          </w:tcPr>
          <w:p w14:paraId="35E7581D">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p>
        </w:tc>
        <w:tc>
          <w:tcPr>
            <w:tcW w:w="1520" w:type="dxa"/>
            <w:gridSpan w:val="2"/>
            <w:vMerge w:val="continue"/>
            <w:tcBorders>
              <w:left w:val="single" w:color="auto" w:sz="4" w:space="0"/>
              <w:right w:val="single" w:color="auto" w:sz="4" w:space="0"/>
            </w:tcBorders>
            <w:vAlign w:val="center"/>
          </w:tcPr>
          <w:p w14:paraId="5FD822F3">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p>
        </w:tc>
        <w:tc>
          <w:tcPr>
            <w:tcW w:w="2055" w:type="dxa"/>
            <w:tcBorders>
              <w:left w:val="single" w:color="auto" w:sz="4" w:space="0"/>
              <w:bottom w:val="single" w:color="auto" w:sz="4" w:space="0"/>
            </w:tcBorders>
            <w:vAlign w:val="center"/>
          </w:tcPr>
          <w:p w14:paraId="0F2BFF30">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jc w:val="center"/>
              <w:textAlignment w:val="auto"/>
              <w:rPr>
                <w:rFonts w:hint="eastAsia" w:ascii="仿宋" w:hAnsi="仿宋" w:eastAsia="仿宋" w:cs="宋体"/>
                <w:color w:val="auto"/>
                <w:kern w:val="2"/>
                <w:sz w:val="24"/>
                <w:szCs w:val="24"/>
                <w:highlight w:val="none"/>
                <w:lang w:eastAsia="zh-CN"/>
              </w:rPr>
            </w:pPr>
            <w:r>
              <w:rPr>
                <w:rFonts w:hint="eastAsia" w:ascii="仿宋" w:hAnsi="仿宋" w:eastAsia="仿宋" w:cs="宋体"/>
                <w:color w:val="auto"/>
                <w:kern w:val="2"/>
                <w:sz w:val="24"/>
                <w:szCs w:val="24"/>
                <w:highlight w:val="none"/>
                <w:lang w:eastAsia="zh-CN"/>
              </w:rPr>
              <w:t>保密措施及承诺</w:t>
            </w:r>
          </w:p>
          <w:p w14:paraId="18E20587">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宋体"/>
                <w:color w:val="auto"/>
                <w:kern w:val="2"/>
                <w:sz w:val="24"/>
                <w:szCs w:val="24"/>
                <w:highlight w:val="none"/>
                <w:lang w:eastAsia="zh-CN"/>
              </w:rPr>
              <w:t>（满分</w:t>
            </w:r>
            <w:r>
              <w:rPr>
                <w:rFonts w:hint="eastAsia" w:ascii="仿宋" w:hAnsi="仿宋" w:eastAsia="仿宋" w:cs="宋体"/>
                <w:color w:val="auto"/>
                <w:kern w:val="2"/>
                <w:sz w:val="24"/>
                <w:szCs w:val="24"/>
                <w:highlight w:val="none"/>
                <w:lang w:val="en-US" w:eastAsia="zh-CN"/>
              </w:rPr>
              <w:t>10</w:t>
            </w:r>
            <w:r>
              <w:rPr>
                <w:rFonts w:hint="eastAsia" w:ascii="仿宋" w:hAnsi="仿宋" w:eastAsia="仿宋" w:cs="宋体"/>
                <w:color w:val="auto"/>
                <w:kern w:val="2"/>
                <w:sz w:val="24"/>
                <w:szCs w:val="24"/>
                <w:highlight w:val="none"/>
                <w:lang w:eastAsia="zh-CN"/>
              </w:rPr>
              <w:t>分）</w:t>
            </w:r>
          </w:p>
        </w:tc>
        <w:tc>
          <w:tcPr>
            <w:tcW w:w="5605" w:type="dxa"/>
            <w:vAlign w:val="center"/>
          </w:tcPr>
          <w:p w14:paraId="3E04C84A">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第一档次（</w:t>
            </w:r>
            <w:r>
              <w:rPr>
                <w:rFonts w:hint="eastAsia" w:ascii="仿宋" w:hAnsi="仿宋" w:eastAsia="仿宋" w:cs="宋体"/>
                <w:color w:val="auto"/>
                <w:kern w:val="2"/>
                <w:sz w:val="24"/>
                <w:szCs w:val="24"/>
                <w:highlight w:val="none"/>
                <w:lang w:val="en-US" w:eastAsia="zh-CN"/>
              </w:rPr>
              <w:t>10</w:t>
            </w:r>
            <w:r>
              <w:rPr>
                <w:rFonts w:hint="eastAsia" w:ascii="仿宋" w:hAnsi="仿宋" w:eastAsia="仿宋" w:cs="宋体"/>
                <w:color w:val="auto"/>
                <w:kern w:val="2"/>
                <w:sz w:val="24"/>
                <w:szCs w:val="24"/>
                <w:highlight w:val="none"/>
              </w:rPr>
              <w:t>分）：保密承诺内容明确、全面、清晰，贴合实际，措施详尽、针对性强的，完全满足项目需求。</w:t>
            </w:r>
          </w:p>
          <w:p w14:paraId="5DF0D5E7">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第二档次（</w:t>
            </w:r>
            <w:r>
              <w:rPr>
                <w:rFonts w:hint="eastAsia" w:ascii="仿宋" w:hAnsi="仿宋" w:eastAsia="仿宋" w:cs="宋体"/>
                <w:color w:val="auto"/>
                <w:kern w:val="2"/>
                <w:sz w:val="24"/>
                <w:szCs w:val="24"/>
                <w:highlight w:val="none"/>
                <w:lang w:val="en-US" w:eastAsia="zh-CN"/>
              </w:rPr>
              <w:t>8</w:t>
            </w:r>
            <w:r>
              <w:rPr>
                <w:rFonts w:hint="eastAsia" w:ascii="仿宋" w:hAnsi="仿宋" w:eastAsia="仿宋" w:cs="宋体"/>
                <w:color w:val="auto"/>
                <w:kern w:val="2"/>
                <w:sz w:val="24"/>
                <w:szCs w:val="24"/>
                <w:highlight w:val="none"/>
              </w:rPr>
              <w:t>分）：保密承诺内容全面，贴合实际，措施具体、针对性一般，能较好满足项目需求。</w:t>
            </w:r>
          </w:p>
          <w:p w14:paraId="47D89693">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第三档次（</w:t>
            </w:r>
            <w:r>
              <w:rPr>
                <w:rFonts w:hint="eastAsia" w:ascii="仿宋" w:hAnsi="仿宋" w:eastAsia="仿宋" w:cs="宋体"/>
                <w:color w:val="auto"/>
                <w:kern w:val="2"/>
                <w:sz w:val="24"/>
                <w:szCs w:val="24"/>
                <w:highlight w:val="none"/>
                <w:lang w:val="en-US" w:eastAsia="zh-CN"/>
              </w:rPr>
              <w:t>6</w:t>
            </w:r>
            <w:r>
              <w:rPr>
                <w:rFonts w:hint="eastAsia" w:ascii="仿宋" w:hAnsi="仿宋" w:eastAsia="仿宋" w:cs="宋体"/>
                <w:color w:val="auto"/>
                <w:kern w:val="2"/>
                <w:sz w:val="24"/>
                <w:szCs w:val="24"/>
                <w:highlight w:val="none"/>
              </w:rPr>
              <w:t>分）：保密承诺相对较弱，措施简单、针对性较差。</w:t>
            </w:r>
          </w:p>
          <w:p w14:paraId="65C8196D">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宋体"/>
                <w:color w:val="auto"/>
                <w:kern w:val="2"/>
                <w:sz w:val="24"/>
                <w:szCs w:val="24"/>
                <w:highlight w:val="none"/>
              </w:rPr>
              <w:t>第四档次（0分）：无保密措施或保密措施及承诺不能满足项目需求。</w:t>
            </w:r>
          </w:p>
        </w:tc>
      </w:tr>
      <w:tr w14:paraId="539E19E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932" w:type="dxa"/>
            <w:vMerge w:val="continue"/>
            <w:tcBorders>
              <w:bottom w:val="nil"/>
              <w:right w:val="single" w:color="auto" w:sz="4" w:space="0"/>
            </w:tcBorders>
            <w:vAlign w:val="center"/>
          </w:tcPr>
          <w:p w14:paraId="54BB9CCE">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p>
        </w:tc>
        <w:tc>
          <w:tcPr>
            <w:tcW w:w="1520" w:type="dxa"/>
            <w:gridSpan w:val="2"/>
            <w:vMerge w:val="continue"/>
            <w:tcBorders>
              <w:left w:val="single" w:color="auto" w:sz="4" w:space="0"/>
              <w:bottom w:val="nil"/>
              <w:right w:val="single" w:color="auto" w:sz="4" w:space="0"/>
            </w:tcBorders>
            <w:vAlign w:val="center"/>
          </w:tcPr>
          <w:p w14:paraId="17EE8AEA">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p>
        </w:tc>
        <w:tc>
          <w:tcPr>
            <w:tcW w:w="2055" w:type="dxa"/>
            <w:tcBorders>
              <w:top w:val="single" w:color="auto" w:sz="4" w:space="0"/>
              <w:left w:val="single" w:color="auto" w:sz="4" w:space="0"/>
              <w:bottom w:val="single" w:color="auto" w:sz="4" w:space="0"/>
            </w:tcBorders>
            <w:vAlign w:val="center"/>
          </w:tcPr>
          <w:p w14:paraId="4F4A25B5">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jc w:val="center"/>
              <w:textAlignment w:val="auto"/>
              <w:rPr>
                <w:rFonts w:hint="eastAsia" w:ascii="仿宋" w:hAnsi="仿宋" w:eastAsia="仿宋" w:cs="宋体"/>
                <w:color w:val="auto"/>
                <w:kern w:val="2"/>
                <w:sz w:val="24"/>
                <w:szCs w:val="24"/>
                <w:highlight w:val="none"/>
                <w:lang w:eastAsia="zh-CN"/>
              </w:rPr>
            </w:pPr>
            <w:r>
              <w:rPr>
                <w:rFonts w:hint="eastAsia" w:ascii="仿宋" w:hAnsi="仿宋" w:eastAsia="仿宋" w:cs="宋体"/>
                <w:color w:val="auto"/>
                <w:kern w:val="2"/>
                <w:sz w:val="24"/>
                <w:szCs w:val="24"/>
                <w:highlight w:val="none"/>
                <w:lang w:eastAsia="zh-CN"/>
              </w:rPr>
              <w:t>安全防护措施与应急处置预案</w:t>
            </w:r>
          </w:p>
          <w:p w14:paraId="27714C3D">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宋体"/>
                <w:color w:val="auto"/>
                <w:kern w:val="2"/>
                <w:sz w:val="24"/>
                <w:szCs w:val="24"/>
                <w:highlight w:val="none"/>
                <w:lang w:eastAsia="zh-CN"/>
              </w:rPr>
              <w:t>（满分</w:t>
            </w:r>
            <w:r>
              <w:rPr>
                <w:rFonts w:hint="eastAsia" w:ascii="仿宋" w:hAnsi="仿宋" w:eastAsia="仿宋" w:cs="宋体"/>
                <w:color w:val="auto"/>
                <w:kern w:val="2"/>
                <w:sz w:val="24"/>
                <w:szCs w:val="24"/>
                <w:highlight w:val="none"/>
                <w:lang w:val="en-US" w:eastAsia="zh-CN"/>
              </w:rPr>
              <w:t>10</w:t>
            </w:r>
            <w:r>
              <w:rPr>
                <w:rFonts w:hint="eastAsia" w:ascii="仿宋" w:hAnsi="仿宋" w:eastAsia="仿宋" w:cs="宋体"/>
                <w:color w:val="auto"/>
                <w:kern w:val="2"/>
                <w:sz w:val="24"/>
                <w:szCs w:val="24"/>
                <w:highlight w:val="none"/>
                <w:lang w:eastAsia="zh-CN"/>
              </w:rPr>
              <w:t>分）</w:t>
            </w:r>
          </w:p>
        </w:tc>
        <w:tc>
          <w:tcPr>
            <w:tcW w:w="5605" w:type="dxa"/>
            <w:vAlign w:val="center"/>
          </w:tcPr>
          <w:p w14:paraId="339BA8F8">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第一档次（</w:t>
            </w:r>
            <w:r>
              <w:rPr>
                <w:rFonts w:hint="eastAsia" w:ascii="仿宋" w:hAnsi="仿宋" w:eastAsia="仿宋" w:cs="宋体"/>
                <w:color w:val="auto"/>
                <w:kern w:val="2"/>
                <w:sz w:val="24"/>
                <w:szCs w:val="24"/>
                <w:highlight w:val="none"/>
                <w:lang w:val="en-US" w:eastAsia="zh-CN"/>
              </w:rPr>
              <w:t>10</w:t>
            </w:r>
            <w:r>
              <w:rPr>
                <w:rFonts w:hint="eastAsia" w:ascii="仿宋" w:hAnsi="仿宋" w:eastAsia="仿宋" w:cs="宋体"/>
                <w:color w:val="auto"/>
                <w:kern w:val="2"/>
                <w:sz w:val="24"/>
                <w:szCs w:val="24"/>
                <w:highlight w:val="none"/>
              </w:rPr>
              <w:t>分）：安全生产管理制度及保障措施完善，应急预案合理的。</w:t>
            </w:r>
          </w:p>
          <w:p w14:paraId="4F3D2FCD">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第二档次（</w:t>
            </w:r>
            <w:r>
              <w:rPr>
                <w:rFonts w:hint="eastAsia" w:ascii="仿宋" w:hAnsi="仿宋" w:eastAsia="仿宋" w:cs="宋体"/>
                <w:color w:val="auto"/>
                <w:kern w:val="2"/>
                <w:sz w:val="24"/>
                <w:szCs w:val="24"/>
                <w:highlight w:val="none"/>
                <w:lang w:val="en-US" w:eastAsia="zh-CN"/>
              </w:rPr>
              <w:t>8</w:t>
            </w:r>
            <w:r>
              <w:rPr>
                <w:rFonts w:hint="eastAsia" w:ascii="仿宋" w:hAnsi="仿宋" w:eastAsia="仿宋" w:cs="宋体"/>
                <w:color w:val="auto"/>
                <w:kern w:val="2"/>
                <w:sz w:val="24"/>
                <w:szCs w:val="24"/>
                <w:highlight w:val="none"/>
              </w:rPr>
              <w:t>分）：安全生产管理制度及保障措施合理，应急预案预案一般的。</w:t>
            </w:r>
          </w:p>
          <w:p w14:paraId="392382C2">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rPr>
              <w:t>第三档次（</w:t>
            </w:r>
            <w:r>
              <w:rPr>
                <w:rFonts w:hint="eastAsia" w:ascii="仿宋" w:hAnsi="仿宋" w:eastAsia="仿宋" w:cs="宋体"/>
                <w:color w:val="auto"/>
                <w:kern w:val="2"/>
                <w:sz w:val="24"/>
                <w:szCs w:val="24"/>
                <w:highlight w:val="none"/>
                <w:lang w:val="en-US" w:eastAsia="zh-CN"/>
              </w:rPr>
              <w:t>6</w:t>
            </w:r>
            <w:r>
              <w:rPr>
                <w:rFonts w:hint="eastAsia" w:ascii="仿宋" w:hAnsi="仿宋" w:eastAsia="仿宋" w:cs="宋体"/>
                <w:color w:val="auto"/>
                <w:kern w:val="2"/>
                <w:sz w:val="24"/>
                <w:szCs w:val="24"/>
                <w:highlight w:val="none"/>
              </w:rPr>
              <w:t>分）：安全生产管理制度及保障措施较差，应急预案不合理的。</w:t>
            </w:r>
          </w:p>
          <w:p w14:paraId="332619ED">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宋体"/>
                <w:color w:val="auto"/>
                <w:kern w:val="2"/>
                <w:sz w:val="24"/>
                <w:szCs w:val="24"/>
                <w:highlight w:val="none"/>
              </w:rPr>
              <w:t>第四档次（0分）：无安全防护措施与应急处置预案。</w:t>
            </w:r>
          </w:p>
        </w:tc>
      </w:tr>
      <w:tr w14:paraId="20F7F4C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932" w:type="dxa"/>
            <w:tcBorders>
              <w:top w:val="nil"/>
              <w:right w:val="single" w:color="auto" w:sz="4" w:space="0"/>
            </w:tcBorders>
            <w:vAlign w:val="center"/>
          </w:tcPr>
          <w:p w14:paraId="54A99B88">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p>
        </w:tc>
        <w:tc>
          <w:tcPr>
            <w:tcW w:w="1520" w:type="dxa"/>
            <w:gridSpan w:val="2"/>
            <w:tcBorders>
              <w:top w:val="nil"/>
              <w:left w:val="single" w:color="auto" w:sz="4" w:space="0"/>
              <w:right w:val="single" w:color="auto" w:sz="4" w:space="0"/>
            </w:tcBorders>
            <w:vAlign w:val="center"/>
          </w:tcPr>
          <w:p w14:paraId="41684FDE">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p>
        </w:tc>
        <w:tc>
          <w:tcPr>
            <w:tcW w:w="2055" w:type="dxa"/>
            <w:tcBorders>
              <w:top w:val="single" w:color="auto" w:sz="4" w:space="0"/>
              <w:left w:val="single" w:color="auto" w:sz="4" w:space="0"/>
              <w:bottom w:val="single" w:color="auto" w:sz="4" w:space="0"/>
            </w:tcBorders>
            <w:vAlign w:val="center"/>
          </w:tcPr>
          <w:p w14:paraId="019F0B28">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jc w:val="center"/>
              <w:textAlignment w:val="auto"/>
              <w:rPr>
                <w:rFonts w:hint="eastAsia" w:ascii="仿宋" w:hAnsi="仿宋" w:eastAsia="仿宋" w:cs="宋体"/>
                <w:color w:val="auto"/>
                <w:kern w:val="2"/>
                <w:sz w:val="24"/>
                <w:szCs w:val="24"/>
                <w:highlight w:val="none"/>
                <w:lang w:eastAsia="zh-CN"/>
              </w:rPr>
            </w:pPr>
            <w:r>
              <w:rPr>
                <w:rFonts w:hint="eastAsia" w:ascii="仿宋" w:hAnsi="仿宋" w:eastAsia="仿宋" w:cs="宋体"/>
                <w:color w:val="auto"/>
                <w:kern w:val="2"/>
                <w:sz w:val="24"/>
                <w:szCs w:val="24"/>
                <w:highlight w:val="none"/>
                <w:lang w:val="en-US" w:eastAsia="zh-CN"/>
              </w:rPr>
              <w:t>后续服务方案及措施（满分10分）</w:t>
            </w:r>
          </w:p>
        </w:tc>
        <w:tc>
          <w:tcPr>
            <w:tcW w:w="5605" w:type="dxa"/>
            <w:vAlign w:val="center"/>
          </w:tcPr>
          <w:p w14:paraId="3312E4D9">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lang w:val="en-US" w:eastAsia="zh-CN"/>
              </w:rPr>
            </w:pPr>
            <w:r>
              <w:rPr>
                <w:rFonts w:hint="eastAsia" w:ascii="仿宋" w:hAnsi="仿宋" w:eastAsia="仿宋" w:cs="宋体"/>
                <w:color w:val="auto"/>
                <w:kern w:val="2"/>
                <w:sz w:val="24"/>
                <w:szCs w:val="24"/>
                <w:highlight w:val="none"/>
                <w:lang w:val="en-US" w:eastAsia="zh-CN"/>
              </w:rPr>
              <w:t>根据投标人提供的后续服务方案及措施（包含服务能力、应急预案、服务承诺、服务响应时间、违约责任等方面）进行评审。</w:t>
            </w:r>
          </w:p>
          <w:p w14:paraId="6BC7F9F7">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lang w:val="zh-CN" w:eastAsia="zh-CN"/>
              </w:rPr>
            </w:pPr>
            <w:r>
              <w:rPr>
                <w:rFonts w:hint="eastAsia" w:ascii="仿宋" w:hAnsi="仿宋" w:eastAsia="仿宋" w:cs="宋体"/>
                <w:color w:val="auto"/>
                <w:kern w:val="2"/>
                <w:sz w:val="24"/>
                <w:szCs w:val="24"/>
                <w:highlight w:val="none"/>
                <w:lang w:val="zh-CN" w:eastAsia="zh-CN"/>
              </w:rPr>
              <w:t>第一档次（</w:t>
            </w:r>
            <w:r>
              <w:rPr>
                <w:rFonts w:hint="eastAsia" w:ascii="仿宋" w:hAnsi="仿宋" w:eastAsia="仿宋" w:cs="宋体"/>
                <w:color w:val="auto"/>
                <w:kern w:val="2"/>
                <w:sz w:val="24"/>
                <w:szCs w:val="24"/>
                <w:highlight w:val="none"/>
                <w:lang w:val="en-US" w:eastAsia="zh-CN"/>
              </w:rPr>
              <w:t>10</w:t>
            </w:r>
            <w:r>
              <w:rPr>
                <w:rFonts w:hint="eastAsia" w:ascii="仿宋" w:hAnsi="仿宋" w:eastAsia="仿宋" w:cs="宋体"/>
                <w:color w:val="auto"/>
                <w:kern w:val="2"/>
                <w:sz w:val="24"/>
                <w:szCs w:val="24"/>
                <w:highlight w:val="none"/>
                <w:lang w:val="zh-CN" w:eastAsia="zh-CN"/>
              </w:rPr>
              <w:t>分）：</w:t>
            </w:r>
            <w:r>
              <w:rPr>
                <w:rFonts w:hint="eastAsia" w:ascii="仿宋" w:hAnsi="仿宋" w:eastAsia="仿宋" w:cs="宋体"/>
                <w:color w:val="auto"/>
                <w:kern w:val="2"/>
                <w:sz w:val="24"/>
                <w:szCs w:val="24"/>
                <w:highlight w:val="none"/>
                <w:lang w:val="en-US" w:eastAsia="zh-CN"/>
              </w:rPr>
              <w:t>后续服务方案及措施全面。</w:t>
            </w:r>
          </w:p>
          <w:p w14:paraId="60DF64E5">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lang w:val="zh-CN" w:eastAsia="zh-CN"/>
              </w:rPr>
            </w:pPr>
            <w:r>
              <w:rPr>
                <w:rFonts w:hint="eastAsia" w:ascii="仿宋" w:hAnsi="仿宋" w:eastAsia="仿宋" w:cs="宋体"/>
                <w:color w:val="auto"/>
                <w:kern w:val="2"/>
                <w:sz w:val="24"/>
                <w:szCs w:val="24"/>
                <w:highlight w:val="none"/>
                <w:lang w:val="zh-CN" w:eastAsia="zh-CN"/>
              </w:rPr>
              <w:t>第二</w:t>
            </w:r>
            <w:r>
              <w:rPr>
                <w:rFonts w:hint="eastAsia" w:ascii="仿宋" w:hAnsi="仿宋" w:eastAsia="仿宋" w:cs="宋体"/>
                <w:color w:val="auto"/>
                <w:kern w:val="2"/>
                <w:sz w:val="24"/>
                <w:szCs w:val="24"/>
                <w:highlight w:val="none"/>
                <w:lang w:val="en-US" w:eastAsia="zh-CN"/>
              </w:rPr>
              <w:t>档次</w:t>
            </w:r>
            <w:r>
              <w:rPr>
                <w:rFonts w:hint="eastAsia" w:ascii="仿宋" w:hAnsi="仿宋" w:eastAsia="仿宋" w:cs="宋体"/>
                <w:color w:val="auto"/>
                <w:kern w:val="2"/>
                <w:sz w:val="24"/>
                <w:szCs w:val="24"/>
                <w:highlight w:val="none"/>
                <w:lang w:val="zh-CN" w:eastAsia="zh-CN"/>
              </w:rPr>
              <w:t>（</w:t>
            </w:r>
            <w:r>
              <w:rPr>
                <w:rFonts w:hint="eastAsia" w:ascii="仿宋" w:hAnsi="仿宋" w:eastAsia="仿宋" w:cs="宋体"/>
                <w:color w:val="auto"/>
                <w:kern w:val="2"/>
                <w:sz w:val="24"/>
                <w:szCs w:val="24"/>
                <w:highlight w:val="none"/>
                <w:lang w:val="en-US" w:eastAsia="zh-CN"/>
              </w:rPr>
              <w:t>8</w:t>
            </w:r>
            <w:r>
              <w:rPr>
                <w:rFonts w:hint="eastAsia" w:ascii="仿宋" w:hAnsi="仿宋" w:eastAsia="仿宋" w:cs="宋体"/>
                <w:color w:val="auto"/>
                <w:kern w:val="2"/>
                <w:sz w:val="24"/>
                <w:szCs w:val="24"/>
                <w:highlight w:val="none"/>
                <w:lang w:val="zh-CN" w:eastAsia="zh-CN"/>
              </w:rPr>
              <w:t>分）：</w:t>
            </w:r>
            <w:r>
              <w:rPr>
                <w:rFonts w:hint="eastAsia" w:ascii="仿宋" w:hAnsi="仿宋" w:eastAsia="仿宋" w:cs="宋体"/>
                <w:color w:val="auto"/>
                <w:kern w:val="2"/>
                <w:sz w:val="24"/>
                <w:szCs w:val="24"/>
                <w:highlight w:val="none"/>
                <w:lang w:val="en-US" w:eastAsia="zh-CN"/>
              </w:rPr>
              <w:t>后续服务方案及措施较全面。</w:t>
            </w:r>
          </w:p>
          <w:p w14:paraId="7ACA4ABE">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lang w:val="en-US" w:eastAsia="zh-CN"/>
              </w:rPr>
            </w:pPr>
            <w:r>
              <w:rPr>
                <w:rFonts w:hint="eastAsia" w:ascii="仿宋" w:hAnsi="仿宋" w:eastAsia="仿宋" w:cs="宋体"/>
                <w:color w:val="auto"/>
                <w:kern w:val="2"/>
                <w:sz w:val="24"/>
                <w:szCs w:val="24"/>
                <w:highlight w:val="none"/>
                <w:lang w:val="zh-CN" w:eastAsia="zh-CN"/>
              </w:rPr>
              <w:t>第三</w:t>
            </w:r>
            <w:r>
              <w:rPr>
                <w:rFonts w:hint="eastAsia" w:ascii="仿宋" w:hAnsi="仿宋" w:eastAsia="仿宋" w:cs="宋体"/>
                <w:color w:val="auto"/>
                <w:kern w:val="2"/>
                <w:sz w:val="24"/>
                <w:szCs w:val="24"/>
                <w:highlight w:val="none"/>
                <w:lang w:val="en-US" w:eastAsia="zh-CN"/>
              </w:rPr>
              <w:t>档次</w:t>
            </w:r>
            <w:r>
              <w:rPr>
                <w:rFonts w:hint="eastAsia" w:ascii="仿宋" w:hAnsi="仿宋" w:eastAsia="仿宋" w:cs="宋体"/>
                <w:color w:val="auto"/>
                <w:kern w:val="2"/>
                <w:sz w:val="24"/>
                <w:szCs w:val="24"/>
                <w:highlight w:val="none"/>
                <w:lang w:val="zh-CN" w:eastAsia="zh-CN"/>
              </w:rPr>
              <w:t>（</w:t>
            </w:r>
            <w:r>
              <w:rPr>
                <w:rFonts w:hint="eastAsia" w:ascii="仿宋" w:hAnsi="仿宋" w:eastAsia="仿宋" w:cs="宋体"/>
                <w:color w:val="auto"/>
                <w:kern w:val="2"/>
                <w:sz w:val="24"/>
                <w:szCs w:val="24"/>
                <w:highlight w:val="none"/>
                <w:lang w:val="en-US" w:eastAsia="zh-CN"/>
              </w:rPr>
              <w:t>6</w:t>
            </w:r>
            <w:r>
              <w:rPr>
                <w:rFonts w:hint="eastAsia" w:ascii="仿宋" w:hAnsi="仿宋" w:eastAsia="仿宋" w:cs="宋体"/>
                <w:color w:val="auto"/>
                <w:kern w:val="2"/>
                <w:sz w:val="24"/>
                <w:szCs w:val="24"/>
                <w:highlight w:val="none"/>
                <w:lang w:val="zh-CN" w:eastAsia="zh-CN"/>
              </w:rPr>
              <w:t>分）：</w:t>
            </w:r>
            <w:r>
              <w:rPr>
                <w:rFonts w:hint="eastAsia" w:ascii="仿宋" w:hAnsi="仿宋" w:eastAsia="仿宋" w:cs="宋体"/>
                <w:color w:val="auto"/>
                <w:kern w:val="2"/>
                <w:sz w:val="24"/>
                <w:szCs w:val="24"/>
                <w:highlight w:val="none"/>
                <w:lang w:val="en-US" w:eastAsia="zh-CN"/>
              </w:rPr>
              <w:t>后续服务方案及措施欠佳。</w:t>
            </w:r>
          </w:p>
          <w:p w14:paraId="12B50D5D">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textAlignment w:val="auto"/>
              <w:rPr>
                <w:rFonts w:hint="eastAsia" w:ascii="仿宋" w:hAnsi="仿宋" w:eastAsia="仿宋" w:cs="宋体"/>
                <w:color w:val="auto"/>
                <w:kern w:val="2"/>
                <w:sz w:val="24"/>
                <w:szCs w:val="24"/>
                <w:highlight w:val="none"/>
              </w:rPr>
            </w:pPr>
            <w:r>
              <w:rPr>
                <w:rFonts w:hint="eastAsia" w:ascii="仿宋" w:hAnsi="仿宋" w:eastAsia="仿宋" w:cs="宋体"/>
                <w:color w:val="auto"/>
                <w:kern w:val="2"/>
                <w:sz w:val="24"/>
                <w:szCs w:val="24"/>
                <w:highlight w:val="none"/>
                <w:lang w:val="zh-CN" w:eastAsia="zh-CN"/>
              </w:rPr>
              <w:t>第四档次（0分）：未提供不得分。</w:t>
            </w:r>
          </w:p>
        </w:tc>
      </w:tr>
      <w:tr w14:paraId="52E9E9C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932" w:type="dxa"/>
            <w:tcBorders>
              <w:right w:val="single" w:color="auto" w:sz="4" w:space="0"/>
            </w:tcBorders>
            <w:vAlign w:val="center"/>
          </w:tcPr>
          <w:p w14:paraId="11E84870">
            <w:pPr>
              <w:keepNext w:val="0"/>
              <w:keepLines w:val="0"/>
              <w:pageBreakBefore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default"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2.2.3（3）</w:t>
            </w:r>
          </w:p>
        </w:tc>
        <w:tc>
          <w:tcPr>
            <w:tcW w:w="1520" w:type="dxa"/>
            <w:gridSpan w:val="2"/>
            <w:tcBorders>
              <w:left w:val="single" w:color="auto" w:sz="4" w:space="0"/>
              <w:right w:val="single" w:color="auto" w:sz="4" w:space="0"/>
            </w:tcBorders>
            <w:vAlign w:val="center"/>
          </w:tcPr>
          <w:p w14:paraId="1413D2F4">
            <w:pPr>
              <w:keepNext w:val="0"/>
              <w:keepLines w:val="0"/>
              <w:pageBreakBefore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default"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商务部分评审评分（满分</w:t>
            </w:r>
            <w:r>
              <w:rPr>
                <w:rFonts w:hint="eastAsia" w:ascii="仿宋" w:hAnsi="仿宋" w:eastAsia="仿宋" w:cs="仿宋"/>
                <w:b w:val="0"/>
                <w:bCs/>
                <w:color w:val="auto"/>
                <w:sz w:val="24"/>
                <w:szCs w:val="24"/>
                <w:highlight w:val="none"/>
                <w:lang w:val="en-US" w:eastAsia="zh-CN"/>
              </w:rPr>
              <w:t>10分</w:t>
            </w:r>
            <w:r>
              <w:rPr>
                <w:rFonts w:hint="eastAsia" w:ascii="仿宋" w:hAnsi="仿宋" w:eastAsia="仿宋" w:cs="仿宋"/>
                <w:b w:val="0"/>
                <w:bCs/>
                <w:color w:val="auto"/>
                <w:sz w:val="24"/>
                <w:szCs w:val="24"/>
                <w:highlight w:val="none"/>
                <w:lang w:eastAsia="zh-CN"/>
              </w:rPr>
              <w:t>）</w:t>
            </w:r>
          </w:p>
        </w:tc>
        <w:tc>
          <w:tcPr>
            <w:tcW w:w="2055" w:type="dxa"/>
            <w:tcBorders>
              <w:top w:val="single" w:color="auto" w:sz="4" w:space="0"/>
              <w:left w:val="single" w:color="auto" w:sz="4" w:space="0"/>
              <w:bottom w:val="single" w:color="auto" w:sz="4" w:space="0"/>
            </w:tcBorders>
            <w:vAlign w:val="center"/>
          </w:tcPr>
          <w:p w14:paraId="2FC2C95D">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right="0"/>
              <w:jc w:val="center"/>
              <w:textAlignment w:val="auto"/>
              <w:rPr>
                <w:rFonts w:hint="eastAsia" w:ascii="仿宋" w:hAnsi="仿宋" w:eastAsia="仿宋" w:cs="宋体"/>
                <w:color w:val="auto"/>
                <w:kern w:val="2"/>
                <w:sz w:val="24"/>
                <w:szCs w:val="24"/>
                <w:highlight w:val="none"/>
                <w:lang w:eastAsia="zh-CN"/>
              </w:rPr>
            </w:pPr>
            <w:r>
              <w:rPr>
                <w:rFonts w:hint="eastAsia" w:ascii="仿宋" w:hAnsi="仿宋" w:eastAsia="仿宋" w:cs="宋体"/>
                <w:color w:val="auto"/>
                <w:kern w:val="2"/>
                <w:sz w:val="24"/>
                <w:szCs w:val="24"/>
                <w:highlight w:val="none"/>
                <w:lang w:eastAsia="zh-CN"/>
              </w:rPr>
              <w:t>类似业绩</w:t>
            </w:r>
          </w:p>
          <w:p w14:paraId="13BCA3BA">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jc w:val="center"/>
              <w:textAlignment w:val="auto"/>
              <w:rPr>
                <w:rFonts w:hint="eastAsia" w:ascii="仿宋" w:hAnsi="仿宋" w:eastAsia="仿宋" w:cs="宋体"/>
                <w:color w:val="auto"/>
                <w:kern w:val="2"/>
                <w:sz w:val="24"/>
                <w:szCs w:val="24"/>
                <w:highlight w:val="none"/>
                <w:lang w:eastAsia="zh-CN"/>
              </w:rPr>
            </w:pPr>
            <w:r>
              <w:rPr>
                <w:rFonts w:hint="eastAsia" w:ascii="仿宋" w:hAnsi="仿宋" w:eastAsia="仿宋" w:cs="宋体"/>
                <w:color w:val="auto"/>
                <w:kern w:val="2"/>
                <w:sz w:val="24"/>
                <w:szCs w:val="24"/>
                <w:highlight w:val="none"/>
                <w:lang w:eastAsia="zh-CN"/>
              </w:rPr>
              <w:t>（满分</w:t>
            </w:r>
            <w:r>
              <w:rPr>
                <w:rFonts w:hint="eastAsia" w:ascii="仿宋" w:hAnsi="仿宋" w:eastAsia="仿宋" w:cs="宋体"/>
                <w:color w:val="auto"/>
                <w:kern w:val="2"/>
                <w:sz w:val="24"/>
                <w:szCs w:val="24"/>
                <w:highlight w:val="none"/>
                <w:lang w:val="en-US" w:eastAsia="zh-CN"/>
              </w:rPr>
              <w:t>10</w:t>
            </w:r>
            <w:r>
              <w:rPr>
                <w:rFonts w:hint="eastAsia" w:ascii="仿宋" w:hAnsi="仿宋" w:eastAsia="仿宋" w:cs="宋体"/>
                <w:color w:val="auto"/>
                <w:kern w:val="2"/>
                <w:sz w:val="24"/>
                <w:szCs w:val="24"/>
                <w:highlight w:val="none"/>
                <w:lang w:eastAsia="zh-CN"/>
              </w:rPr>
              <w:t>分）</w:t>
            </w:r>
          </w:p>
        </w:tc>
        <w:tc>
          <w:tcPr>
            <w:tcW w:w="5605" w:type="dxa"/>
            <w:vAlign w:val="center"/>
          </w:tcPr>
          <w:p w14:paraId="66DDA56C">
            <w:pPr>
              <w:keepNext w:val="0"/>
              <w:keepLines w:val="0"/>
              <w:pageBreakBefore w:val="0"/>
              <w:suppressLineNumbers w:val="0"/>
              <w:kinsoku/>
              <w:wordWrap/>
              <w:overflowPunct/>
              <w:topLinePunct w:val="0"/>
              <w:bidi w:val="0"/>
              <w:snapToGrid/>
              <w:spacing w:before="0" w:beforeAutospacing="0" w:after="0" w:afterAutospacing="0" w:line="480" w:lineRule="exact"/>
              <w:ind w:left="0" w:right="0"/>
              <w:jc w:val="left"/>
              <w:textAlignment w:val="auto"/>
              <w:rPr>
                <w:rFonts w:hint="eastAsia" w:ascii="仿宋" w:hAnsi="仿宋" w:eastAsia="仿宋"/>
                <w:color w:val="auto"/>
                <w:kern w:val="0"/>
                <w:sz w:val="24"/>
                <w:szCs w:val="24"/>
                <w:highlight w:val="none"/>
              </w:rPr>
            </w:pPr>
            <w:r>
              <w:rPr>
                <w:rFonts w:hint="eastAsia" w:ascii="仿宋" w:hAnsi="仿宋" w:eastAsia="仿宋"/>
                <w:color w:val="auto"/>
                <w:kern w:val="0"/>
                <w:sz w:val="24"/>
                <w:szCs w:val="24"/>
                <w:highlight w:val="none"/>
                <w:lang w:eastAsia="zh-CN"/>
              </w:rPr>
              <w:t>投标人</w:t>
            </w:r>
            <w:r>
              <w:rPr>
                <w:rFonts w:hint="eastAsia" w:ascii="仿宋" w:hAnsi="仿宋" w:eastAsia="仿宋"/>
                <w:color w:val="auto"/>
                <w:kern w:val="0"/>
                <w:sz w:val="24"/>
                <w:szCs w:val="24"/>
                <w:highlight w:val="none"/>
              </w:rPr>
              <w:t>近</w:t>
            </w:r>
            <w:r>
              <w:rPr>
                <w:rFonts w:hint="eastAsia" w:ascii="仿宋" w:hAnsi="仿宋" w:eastAsia="仿宋"/>
                <w:color w:val="auto"/>
                <w:kern w:val="0"/>
                <w:sz w:val="24"/>
                <w:szCs w:val="24"/>
                <w:highlight w:val="none"/>
                <w:lang w:eastAsia="zh-CN"/>
              </w:rPr>
              <w:t>三</w:t>
            </w:r>
            <w:r>
              <w:rPr>
                <w:rFonts w:hint="eastAsia" w:ascii="仿宋" w:hAnsi="仿宋" w:eastAsia="仿宋"/>
                <w:color w:val="auto"/>
                <w:kern w:val="0"/>
                <w:sz w:val="24"/>
                <w:szCs w:val="24"/>
                <w:highlight w:val="none"/>
              </w:rPr>
              <w:t>年</w:t>
            </w:r>
            <w:r>
              <w:rPr>
                <w:rFonts w:hint="eastAsia" w:ascii="仿宋" w:hAnsi="仿宋" w:eastAsia="仿宋"/>
                <w:color w:val="auto"/>
                <w:kern w:val="0"/>
                <w:sz w:val="24"/>
                <w:szCs w:val="24"/>
                <w:highlight w:val="none"/>
                <w:lang w:eastAsia="zh-CN"/>
              </w:rPr>
              <w:t>（</w:t>
            </w:r>
            <w:r>
              <w:rPr>
                <w:rFonts w:hint="eastAsia" w:ascii="仿宋" w:hAnsi="仿宋" w:eastAsia="仿宋"/>
                <w:color w:val="auto"/>
                <w:kern w:val="0"/>
                <w:sz w:val="24"/>
                <w:szCs w:val="24"/>
                <w:highlight w:val="none"/>
                <w:lang w:val="en-US" w:eastAsia="zh-CN"/>
              </w:rPr>
              <w:t>2021</w:t>
            </w:r>
            <w:r>
              <w:rPr>
                <w:rFonts w:hint="eastAsia" w:ascii="仿宋" w:hAnsi="仿宋" w:eastAsia="仿宋" w:cs="Times New Roman"/>
                <w:color w:val="auto"/>
                <w:kern w:val="0"/>
                <w:sz w:val="24"/>
                <w:szCs w:val="24"/>
                <w:highlight w:val="none"/>
                <w:lang w:val="en-US" w:eastAsia="zh-CN"/>
              </w:rPr>
              <w:t>年至今，以合同签订时间为准）</w:t>
            </w:r>
            <w:r>
              <w:rPr>
                <w:rFonts w:hint="eastAsia" w:ascii="仿宋" w:hAnsi="仿宋" w:eastAsia="仿宋"/>
                <w:color w:val="auto"/>
                <w:kern w:val="0"/>
                <w:sz w:val="24"/>
                <w:szCs w:val="24"/>
                <w:highlight w:val="none"/>
                <w:lang w:eastAsia="zh-CN"/>
              </w:rPr>
              <w:t>提供一个类似业绩的，得</w:t>
            </w:r>
            <w:r>
              <w:rPr>
                <w:rFonts w:hint="eastAsia" w:ascii="仿宋" w:hAnsi="仿宋" w:eastAsia="仿宋"/>
                <w:color w:val="auto"/>
                <w:kern w:val="0"/>
                <w:sz w:val="24"/>
                <w:szCs w:val="24"/>
                <w:highlight w:val="none"/>
                <w:lang w:val="en-US" w:eastAsia="zh-CN"/>
              </w:rPr>
              <w:t>4分，每增加一个业绩加2分，本项最多得10分，无类似业绩的不得分。</w:t>
            </w:r>
          </w:p>
          <w:p w14:paraId="79D2EE94">
            <w:pPr>
              <w:keepNext/>
              <w:keepLines w:val="0"/>
              <w:pageBreakBefore w:val="0"/>
              <w:widowControl w:val="0"/>
              <w:suppressLineNumbers w:val="0"/>
              <w:kinsoku/>
              <w:wordWrap/>
              <w:overflowPunct/>
              <w:topLinePunct w:val="0"/>
              <w:bidi w:val="0"/>
              <w:snapToGrid/>
              <w:spacing w:before="0" w:beforeAutospacing="0" w:after="0" w:afterAutospacing="0" w:line="480" w:lineRule="exact"/>
              <w:ind w:left="0" w:leftChars="0" w:right="0" w:rightChars="0"/>
              <w:textAlignment w:val="auto"/>
              <w:rPr>
                <w:rFonts w:hint="eastAsia" w:ascii="仿宋" w:hAnsi="仿宋" w:eastAsia="仿宋" w:cs="宋体"/>
                <w:color w:val="auto"/>
                <w:kern w:val="2"/>
                <w:sz w:val="24"/>
                <w:szCs w:val="24"/>
                <w:highlight w:val="none"/>
              </w:rPr>
            </w:pPr>
            <w:r>
              <w:rPr>
                <w:rFonts w:hint="eastAsia" w:ascii="仿宋" w:hAnsi="仿宋" w:eastAsia="仿宋" w:cs="Times New Roman"/>
                <w:color w:val="auto"/>
                <w:kern w:val="0"/>
                <w:sz w:val="24"/>
                <w:szCs w:val="24"/>
                <w:highlight w:val="none"/>
                <w:lang w:eastAsia="zh-CN"/>
              </w:rPr>
              <w:t>提供</w:t>
            </w:r>
            <w:r>
              <w:rPr>
                <w:rFonts w:hint="eastAsia" w:ascii="仿宋" w:hAnsi="仿宋" w:eastAsia="仿宋" w:cs="Times New Roman"/>
                <w:color w:val="auto"/>
                <w:kern w:val="0"/>
                <w:sz w:val="24"/>
                <w:szCs w:val="24"/>
                <w:highlight w:val="none"/>
                <w:lang w:val="en-US" w:eastAsia="zh-CN"/>
              </w:rPr>
              <w:t>合同/订单、中标通知书/成交通知书</w:t>
            </w:r>
            <w:r>
              <w:rPr>
                <w:rFonts w:hint="eastAsia" w:ascii="仿宋" w:hAnsi="仿宋" w:eastAsia="仿宋" w:cs="Times New Roman"/>
                <w:color w:val="auto"/>
                <w:kern w:val="0"/>
                <w:sz w:val="24"/>
                <w:szCs w:val="24"/>
                <w:highlight w:val="none"/>
                <w:lang w:eastAsia="zh-CN"/>
              </w:rPr>
              <w:t>上述任一项证明材料。如投标人未提供相关证明材料或相关证明材料的信息无法证实投标人满足招标文件规定的业绩要求，则对应项目的业绩不予认可。</w:t>
            </w:r>
          </w:p>
        </w:tc>
      </w:tr>
      <w:tr w14:paraId="2EB4813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4507" w:type="dxa"/>
            <w:gridSpan w:val="4"/>
            <w:vAlign w:val="center"/>
          </w:tcPr>
          <w:p w14:paraId="6EFA14DF">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5605" w:type="dxa"/>
            <w:vAlign w:val="center"/>
          </w:tcPr>
          <w:p w14:paraId="19670A66">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条款内容</w:t>
            </w:r>
          </w:p>
        </w:tc>
      </w:tr>
      <w:tr w14:paraId="4196AED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932" w:type="dxa"/>
            <w:vAlign w:val="center"/>
          </w:tcPr>
          <w:p w14:paraId="44181733">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3575" w:type="dxa"/>
            <w:gridSpan w:val="3"/>
            <w:vAlign w:val="center"/>
          </w:tcPr>
          <w:p w14:paraId="6CC539D1">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评标程序</w:t>
            </w:r>
          </w:p>
        </w:tc>
        <w:tc>
          <w:tcPr>
            <w:tcW w:w="5605" w:type="dxa"/>
            <w:vAlign w:val="center"/>
          </w:tcPr>
          <w:p w14:paraId="7596ABE4">
            <w:pPr>
              <w:pStyle w:val="51"/>
              <w:keepNext w:val="0"/>
              <w:keepLines w:val="0"/>
              <w:pageBreakBefore w:val="0"/>
              <w:suppressLineNumbers w:val="0"/>
              <w:kinsoku/>
              <w:wordWrap/>
              <w:overflowPunct/>
              <w:topLinePunct w:val="0"/>
              <w:bidi w:val="0"/>
              <w:snapToGrid/>
              <w:spacing w:before="0" w:beforeAutospacing="0" w:after="0" w:afterAutospacing="0" w:line="480" w:lineRule="exact"/>
              <w:ind w:left="0" w:right="0" w:firstLine="420"/>
              <w:jc w:val="center"/>
              <w:textAlignment w:val="auto"/>
              <w:rPr>
                <w:rFonts w:hint="default"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详见本章附件A：评标详细程序</w:t>
            </w:r>
          </w:p>
        </w:tc>
      </w:tr>
      <w:tr w14:paraId="63F4D4C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932" w:type="dxa"/>
            <w:vAlign w:val="center"/>
          </w:tcPr>
          <w:p w14:paraId="22223C47">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3.1.2</w:t>
            </w:r>
          </w:p>
        </w:tc>
        <w:tc>
          <w:tcPr>
            <w:tcW w:w="3575" w:type="dxa"/>
            <w:gridSpan w:val="3"/>
            <w:vAlign w:val="center"/>
          </w:tcPr>
          <w:p w14:paraId="2B10AF55">
            <w:pPr>
              <w:keepNext w:val="0"/>
              <w:keepLines w:val="0"/>
              <w:pageBreakBefore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否决投标条款</w:t>
            </w:r>
          </w:p>
        </w:tc>
        <w:tc>
          <w:tcPr>
            <w:tcW w:w="5605" w:type="dxa"/>
            <w:vAlign w:val="center"/>
          </w:tcPr>
          <w:p w14:paraId="796300C0">
            <w:pPr>
              <w:pStyle w:val="51"/>
              <w:keepNext w:val="0"/>
              <w:keepLines w:val="0"/>
              <w:pageBreakBefore w:val="0"/>
              <w:suppressLineNumbers w:val="0"/>
              <w:kinsoku/>
              <w:wordWrap/>
              <w:overflowPunct/>
              <w:topLinePunct w:val="0"/>
              <w:bidi w:val="0"/>
              <w:snapToGrid/>
              <w:spacing w:before="0" w:beforeAutospacing="0" w:after="0" w:afterAutospacing="0" w:line="480" w:lineRule="exact"/>
              <w:ind w:left="0" w:right="0" w:firstLine="420"/>
              <w:jc w:val="center"/>
              <w:textAlignment w:val="auto"/>
              <w:rPr>
                <w:rFonts w:hint="default"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详见本章附件B：否决投标条件</w:t>
            </w:r>
          </w:p>
        </w:tc>
      </w:tr>
      <w:bookmarkEnd w:id="49"/>
      <w:bookmarkEnd w:id="334"/>
      <w:bookmarkEnd w:id="338"/>
    </w:tbl>
    <w:p w14:paraId="45D574E5">
      <w:pPr>
        <w:pStyle w:val="5"/>
        <w:spacing w:before="0" w:after="0" w:line="360" w:lineRule="auto"/>
        <w:jc w:val="both"/>
        <w:rPr>
          <w:rFonts w:hint="eastAsia" w:ascii="仿宋" w:hAnsi="仿宋" w:eastAsia="仿宋" w:cs="宋体"/>
          <w:color w:val="auto"/>
          <w:sz w:val="28"/>
          <w:szCs w:val="28"/>
          <w:highlight w:val="none"/>
        </w:rPr>
      </w:pPr>
      <w:bookmarkStart w:id="339" w:name="_Toc302769438"/>
      <w:bookmarkStart w:id="340" w:name="_Toc241825123"/>
      <w:bookmarkStart w:id="341" w:name="_Toc225224696"/>
      <w:bookmarkStart w:id="342" w:name="_Toc448328636"/>
      <w:bookmarkStart w:id="343" w:name="_Toc448328567"/>
    </w:p>
    <w:p w14:paraId="6C17B689">
      <w:pPr>
        <w:pStyle w:val="5"/>
        <w:pageBreakBefore w:val="0"/>
        <w:kinsoku/>
        <w:wordWrap/>
        <w:overflowPunct/>
        <w:topLinePunct w:val="0"/>
        <w:autoSpaceDE/>
        <w:autoSpaceDN/>
        <w:bidi w:val="0"/>
        <w:adjustRightInd/>
        <w:snapToGrid/>
        <w:spacing w:before="0" w:after="0" w:line="480" w:lineRule="exact"/>
        <w:jc w:val="center"/>
        <w:textAlignment w:val="auto"/>
        <w:rPr>
          <w:rFonts w:ascii="仿宋" w:hAnsi="仿宋" w:eastAsia="仿宋" w:cs="宋体"/>
          <w:color w:val="auto"/>
          <w:sz w:val="24"/>
          <w:szCs w:val="24"/>
          <w:highlight w:val="none"/>
        </w:rPr>
      </w:pPr>
      <w:r>
        <w:rPr>
          <w:rFonts w:hint="eastAsia" w:ascii="仿宋" w:hAnsi="仿宋" w:eastAsia="仿宋" w:cs="宋体"/>
          <w:color w:val="auto"/>
          <w:sz w:val="28"/>
          <w:szCs w:val="28"/>
          <w:highlight w:val="none"/>
        </w:rPr>
        <w:t>一、总则</w:t>
      </w:r>
    </w:p>
    <w:p w14:paraId="06F29006">
      <w:pPr>
        <w:pageBreakBefore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r>
        <w:rPr>
          <w:rFonts w:ascii="仿宋" w:hAnsi="仿宋" w:eastAsia="仿宋" w:cs="宋体"/>
          <w:b/>
          <w:bCs/>
          <w:color w:val="auto"/>
          <w:sz w:val="24"/>
          <w:szCs w:val="24"/>
          <w:highlight w:val="none"/>
        </w:rPr>
        <w:t xml:space="preserve">1.1 </w:t>
      </w:r>
      <w:r>
        <w:rPr>
          <w:rFonts w:hint="eastAsia" w:ascii="仿宋" w:hAnsi="仿宋" w:eastAsia="仿宋" w:cs="宋体"/>
          <w:b/>
          <w:bCs/>
          <w:color w:val="auto"/>
          <w:sz w:val="24"/>
          <w:szCs w:val="24"/>
          <w:highlight w:val="none"/>
        </w:rPr>
        <w:t>评标依据</w:t>
      </w:r>
    </w:p>
    <w:p w14:paraId="15C39417">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1.1.1 </w:t>
      </w:r>
      <w:r>
        <w:rPr>
          <w:rFonts w:hint="eastAsia" w:ascii="仿宋" w:hAnsi="仿宋" w:eastAsia="仿宋" w:cs="宋体"/>
          <w:color w:val="auto"/>
          <w:sz w:val="24"/>
          <w:szCs w:val="24"/>
          <w:highlight w:val="none"/>
        </w:rPr>
        <w:t>本评标办法参照《中华人民共和国政府采购法》等有关法律规定及本项目实际情况制定。</w:t>
      </w:r>
    </w:p>
    <w:p w14:paraId="7BB5CBB4">
      <w:pPr>
        <w:pageBreakBefore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344" w:name="_Toc320473417"/>
      <w:bookmarkStart w:id="345" w:name="_Toc432697204"/>
      <w:bookmarkStart w:id="346" w:name="_Toc5788130"/>
      <w:bookmarkStart w:id="347" w:name="_Toc451276005"/>
      <w:bookmarkStart w:id="348" w:name="_Toc8568365"/>
      <w:r>
        <w:rPr>
          <w:rFonts w:ascii="仿宋" w:hAnsi="仿宋" w:eastAsia="仿宋" w:cs="宋体"/>
          <w:b/>
          <w:bCs/>
          <w:color w:val="auto"/>
          <w:sz w:val="24"/>
          <w:szCs w:val="24"/>
          <w:highlight w:val="none"/>
        </w:rPr>
        <w:t xml:space="preserve">1.2 </w:t>
      </w:r>
      <w:r>
        <w:rPr>
          <w:rFonts w:hint="eastAsia" w:ascii="仿宋" w:hAnsi="仿宋" w:eastAsia="仿宋" w:cs="宋体"/>
          <w:b/>
          <w:bCs/>
          <w:color w:val="auto"/>
          <w:sz w:val="24"/>
          <w:szCs w:val="24"/>
          <w:highlight w:val="none"/>
        </w:rPr>
        <w:t>评标原则</w:t>
      </w:r>
      <w:bookmarkEnd w:id="344"/>
      <w:bookmarkEnd w:id="345"/>
      <w:bookmarkEnd w:id="346"/>
      <w:bookmarkEnd w:id="347"/>
      <w:bookmarkEnd w:id="348"/>
    </w:p>
    <w:p w14:paraId="42728135">
      <w:pPr>
        <w:pageBreakBefore w:val="0"/>
        <w:kinsoku/>
        <w:wordWrap/>
        <w:overflowPunct/>
        <w:topLinePunct w:val="0"/>
        <w:autoSpaceDE/>
        <w:autoSpaceDN/>
        <w:bidi w:val="0"/>
        <w:adjustRightInd/>
        <w:snapToGrid/>
        <w:spacing w:line="480" w:lineRule="exact"/>
        <w:ind w:firstLine="460" w:firstLineChars="192"/>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1.2.1 </w:t>
      </w:r>
      <w:r>
        <w:rPr>
          <w:rFonts w:hint="eastAsia" w:ascii="仿宋" w:hAnsi="仿宋" w:eastAsia="仿宋" w:cs="宋体"/>
          <w:color w:val="auto"/>
          <w:sz w:val="24"/>
          <w:szCs w:val="24"/>
          <w:highlight w:val="none"/>
        </w:rPr>
        <w:t>评标遵循“客观、公正、科学、择优”的原则。</w:t>
      </w:r>
    </w:p>
    <w:p w14:paraId="70CEF615">
      <w:pPr>
        <w:pageBreakBefore w:val="0"/>
        <w:kinsoku/>
        <w:wordWrap/>
        <w:overflowPunct/>
        <w:topLinePunct w:val="0"/>
        <w:autoSpaceDE/>
        <w:autoSpaceDN/>
        <w:bidi w:val="0"/>
        <w:adjustRightInd/>
        <w:snapToGrid/>
        <w:spacing w:line="480" w:lineRule="exact"/>
        <w:ind w:firstLine="460" w:firstLineChars="192"/>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1.2.2 </w:t>
      </w:r>
      <w:r>
        <w:rPr>
          <w:rFonts w:hint="eastAsia" w:ascii="仿宋" w:hAnsi="仿宋" w:eastAsia="仿宋" w:cs="宋体"/>
          <w:color w:val="auto"/>
          <w:sz w:val="24"/>
          <w:szCs w:val="24"/>
          <w:highlight w:val="none"/>
        </w:rPr>
        <w:t>只对有效投标文件进行评审，投标文件以外的资料信息不作为评标的依据和参考。</w:t>
      </w:r>
    </w:p>
    <w:p w14:paraId="6D9BB902">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1.2.3 </w:t>
      </w:r>
      <w:r>
        <w:rPr>
          <w:rFonts w:hint="eastAsia" w:ascii="仿宋" w:hAnsi="仿宋" w:eastAsia="仿宋" w:cs="宋体"/>
          <w:color w:val="auto"/>
          <w:sz w:val="24"/>
          <w:szCs w:val="24"/>
          <w:highlight w:val="none"/>
        </w:rPr>
        <w:t>询标只针对投标文件中的疑问和问题，</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澄清问题不允许超出</w:t>
      </w:r>
      <w:r>
        <w:rPr>
          <w:rFonts w:hint="eastAsia" w:ascii="仿宋" w:hAnsi="仿宋" w:eastAsia="仿宋" w:cs="宋体"/>
          <w:color w:val="auto"/>
          <w:sz w:val="24"/>
          <w:szCs w:val="24"/>
          <w:highlight w:val="none"/>
          <w:lang w:eastAsia="zh-CN"/>
        </w:rPr>
        <w:t>招标</w:t>
      </w:r>
      <w:r>
        <w:rPr>
          <w:rFonts w:hint="eastAsia" w:ascii="仿宋" w:hAnsi="仿宋" w:eastAsia="仿宋" w:cs="宋体"/>
          <w:color w:val="auto"/>
          <w:sz w:val="24"/>
          <w:szCs w:val="24"/>
          <w:highlight w:val="none"/>
        </w:rPr>
        <w:t>文件要求的范围或修改投标文件的实质性内容。</w:t>
      </w:r>
    </w:p>
    <w:p w14:paraId="0616FA55">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1.2.4 </w:t>
      </w:r>
      <w:r>
        <w:rPr>
          <w:rFonts w:hint="eastAsia" w:ascii="仿宋" w:hAnsi="仿宋" w:eastAsia="仿宋" w:cs="宋体"/>
          <w:color w:val="auto"/>
          <w:sz w:val="24"/>
          <w:szCs w:val="24"/>
          <w:highlight w:val="none"/>
        </w:rPr>
        <w:t>评标过程中如遇特殊问题，由评标委员会根据有关法律、法规研究决定。</w:t>
      </w:r>
    </w:p>
    <w:p w14:paraId="48FBCCE3">
      <w:pPr>
        <w:pageBreakBefore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349" w:name="_Toc320473418"/>
      <w:bookmarkStart w:id="350" w:name="_Toc5788131"/>
      <w:bookmarkStart w:id="351" w:name="_Toc8568366"/>
      <w:bookmarkStart w:id="352" w:name="_Toc451276006"/>
      <w:bookmarkStart w:id="353" w:name="_Toc432697205"/>
      <w:r>
        <w:rPr>
          <w:rFonts w:ascii="仿宋" w:hAnsi="仿宋" w:eastAsia="仿宋" w:cs="宋体"/>
          <w:b/>
          <w:bCs/>
          <w:color w:val="auto"/>
          <w:sz w:val="24"/>
          <w:szCs w:val="24"/>
          <w:highlight w:val="none"/>
        </w:rPr>
        <w:t xml:space="preserve">1.3 </w:t>
      </w:r>
      <w:r>
        <w:rPr>
          <w:rFonts w:hint="eastAsia" w:ascii="仿宋" w:hAnsi="仿宋" w:eastAsia="仿宋" w:cs="宋体"/>
          <w:b/>
          <w:bCs/>
          <w:color w:val="auto"/>
          <w:sz w:val="24"/>
          <w:szCs w:val="24"/>
          <w:highlight w:val="none"/>
        </w:rPr>
        <w:t>评标纪律</w:t>
      </w:r>
      <w:bookmarkEnd w:id="349"/>
      <w:bookmarkEnd w:id="350"/>
      <w:bookmarkEnd w:id="351"/>
      <w:bookmarkEnd w:id="352"/>
      <w:bookmarkEnd w:id="353"/>
    </w:p>
    <w:p w14:paraId="6A096AA0">
      <w:pPr>
        <w:pageBreakBefore w:val="0"/>
        <w:kinsoku/>
        <w:wordWrap/>
        <w:overflowPunct/>
        <w:topLinePunct w:val="0"/>
        <w:autoSpaceDE/>
        <w:autoSpaceDN/>
        <w:bidi w:val="0"/>
        <w:adjustRightInd/>
        <w:snapToGrid/>
        <w:spacing w:line="480" w:lineRule="exact"/>
        <w:ind w:firstLine="460" w:firstLineChars="192"/>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1.3.1 </w:t>
      </w:r>
      <w:r>
        <w:rPr>
          <w:rFonts w:hint="eastAsia" w:ascii="仿宋" w:hAnsi="仿宋" w:eastAsia="仿宋" w:cs="宋体"/>
          <w:color w:val="auto"/>
          <w:sz w:val="24"/>
          <w:szCs w:val="24"/>
          <w:highlight w:val="none"/>
        </w:rPr>
        <w:t>评标委员会的成员应严格自律，自觉接受有关部门的监督。</w:t>
      </w:r>
    </w:p>
    <w:p w14:paraId="4E6E20DB">
      <w:pPr>
        <w:pageBreakBefore w:val="0"/>
        <w:kinsoku/>
        <w:wordWrap/>
        <w:overflowPunct/>
        <w:topLinePunct w:val="0"/>
        <w:autoSpaceDE/>
        <w:autoSpaceDN/>
        <w:bidi w:val="0"/>
        <w:adjustRightInd/>
        <w:snapToGrid/>
        <w:spacing w:line="480" w:lineRule="exact"/>
        <w:ind w:firstLine="460" w:firstLineChars="192"/>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1.3.2 </w:t>
      </w:r>
      <w:r>
        <w:rPr>
          <w:rFonts w:hint="eastAsia" w:ascii="仿宋" w:hAnsi="仿宋" w:eastAsia="仿宋" w:cs="宋体"/>
          <w:color w:val="auto"/>
          <w:sz w:val="24"/>
          <w:szCs w:val="24"/>
          <w:highlight w:val="none"/>
        </w:rPr>
        <w:t>评标过程中，评标委员会成员不得擅离职守，影响评标程序正常进行。</w:t>
      </w:r>
    </w:p>
    <w:p w14:paraId="7F53E64F">
      <w:pPr>
        <w:pageBreakBefore w:val="0"/>
        <w:kinsoku/>
        <w:wordWrap/>
        <w:overflowPunct/>
        <w:topLinePunct w:val="0"/>
        <w:autoSpaceDE/>
        <w:autoSpaceDN/>
        <w:bidi w:val="0"/>
        <w:adjustRightInd/>
        <w:snapToGrid/>
        <w:spacing w:line="480" w:lineRule="exact"/>
        <w:ind w:firstLine="460" w:firstLineChars="192"/>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1.3.3 </w:t>
      </w:r>
      <w:r>
        <w:rPr>
          <w:rFonts w:hint="eastAsia" w:ascii="仿宋" w:hAnsi="仿宋" w:eastAsia="仿宋" w:cs="宋体"/>
          <w:color w:val="auto"/>
          <w:sz w:val="24"/>
          <w:szCs w:val="24"/>
          <w:highlight w:val="none"/>
        </w:rPr>
        <w:t>评标委员会的成员不得与</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、其他利害关系人私下接触，不得向</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、其他利害关系人泄露对投标文件的评审、比较、中标候选人的推荐以及与评标有关的其它情况。</w:t>
      </w:r>
    </w:p>
    <w:p w14:paraId="3D064714">
      <w:pPr>
        <w:pageBreakBefore w:val="0"/>
        <w:kinsoku/>
        <w:wordWrap/>
        <w:overflowPunct/>
        <w:topLinePunct w:val="0"/>
        <w:autoSpaceDE/>
        <w:autoSpaceDN/>
        <w:bidi w:val="0"/>
        <w:adjustRightInd/>
        <w:snapToGrid/>
        <w:spacing w:line="480" w:lineRule="exact"/>
        <w:ind w:firstLine="460" w:firstLineChars="192"/>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1.3.4 </w:t>
      </w:r>
      <w:r>
        <w:rPr>
          <w:rFonts w:hint="eastAsia" w:ascii="仿宋" w:hAnsi="仿宋" w:eastAsia="仿宋" w:cs="宋体"/>
          <w:color w:val="auto"/>
          <w:sz w:val="24"/>
          <w:szCs w:val="24"/>
          <w:highlight w:val="none"/>
        </w:rPr>
        <w:t>评标委员会如有需询问、澄清的问题由专职联络员负责联系转告。</w:t>
      </w:r>
    </w:p>
    <w:p w14:paraId="4A1B7C10">
      <w:pPr>
        <w:pageBreakBefore w:val="0"/>
        <w:kinsoku/>
        <w:wordWrap/>
        <w:overflowPunct/>
        <w:topLinePunct w:val="0"/>
        <w:autoSpaceDE/>
        <w:autoSpaceDN/>
        <w:bidi w:val="0"/>
        <w:adjustRightInd/>
        <w:snapToGrid/>
        <w:spacing w:line="480" w:lineRule="exact"/>
        <w:ind w:firstLine="460" w:firstLineChars="192"/>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1.3.5 </w:t>
      </w:r>
      <w:r>
        <w:rPr>
          <w:rFonts w:hint="eastAsia" w:ascii="仿宋" w:hAnsi="仿宋" w:eastAsia="仿宋" w:cs="宋体"/>
          <w:color w:val="auto"/>
          <w:sz w:val="24"/>
          <w:szCs w:val="24"/>
          <w:highlight w:val="none"/>
        </w:rPr>
        <w:t>不允许任何人把投标文件及其汇总材料带出评标会场（已经公开的价格等资料除外），所有资料不得复制，完成评标后所有材料如数交还。</w:t>
      </w:r>
    </w:p>
    <w:p w14:paraId="373E3B3E">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s="宋体"/>
          <w:color w:val="auto"/>
          <w:sz w:val="24"/>
          <w:szCs w:val="24"/>
          <w:highlight w:val="none"/>
        </w:rPr>
        <w:t xml:space="preserve">1.3.6 </w:t>
      </w:r>
      <w:r>
        <w:rPr>
          <w:rFonts w:hint="eastAsia" w:ascii="仿宋" w:hAnsi="仿宋" w:eastAsia="仿宋" w:cs="宋体"/>
          <w:color w:val="auto"/>
          <w:sz w:val="24"/>
          <w:szCs w:val="24"/>
          <w:highlight w:val="none"/>
        </w:rPr>
        <w:t>违反上述规定对评标造成不良影响的，后果由责任者承担。</w:t>
      </w:r>
    </w:p>
    <w:p w14:paraId="03877299">
      <w:pPr>
        <w:pageBreakBefore w:val="0"/>
        <w:kinsoku/>
        <w:wordWrap/>
        <w:overflowPunct/>
        <w:topLinePunct w:val="0"/>
        <w:autoSpaceDE/>
        <w:autoSpaceDN/>
        <w:bidi w:val="0"/>
        <w:adjustRightInd/>
        <w:snapToGrid/>
        <w:spacing w:line="480" w:lineRule="exact"/>
        <w:ind w:firstLine="482" w:firstLineChars="200"/>
        <w:textAlignment w:val="auto"/>
        <w:outlineLvl w:val="0"/>
        <w:rPr>
          <w:rFonts w:ascii="仿宋" w:hAnsi="仿宋" w:eastAsia="仿宋"/>
          <w:b/>
          <w:bCs/>
          <w:color w:val="auto"/>
          <w:sz w:val="24"/>
          <w:szCs w:val="24"/>
          <w:highlight w:val="none"/>
        </w:rPr>
      </w:pPr>
      <w:bookmarkStart w:id="354" w:name="_Toc432697206"/>
      <w:bookmarkStart w:id="355" w:name="_Toc320473419"/>
      <w:bookmarkStart w:id="356" w:name="_Toc8568367"/>
      <w:bookmarkStart w:id="357" w:name="_Toc5788132"/>
      <w:bookmarkStart w:id="358" w:name="_Toc451276007"/>
      <w:r>
        <w:rPr>
          <w:rFonts w:ascii="仿宋" w:hAnsi="仿宋" w:eastAsia="仿宋" w:cs="宋体"/>
          <w:b/>
          <w:bCs/>
          <w:color w:val="auto"/>
          <w:sz w:val="24"/>
          <w:szCs w:val="24"/>
          <w:highlight w:val="none"/>
        </w:rPr>
        <w:t xml:space="preserve">1.4 </w:t>
      </w:r>
      <w:r>
        <w:rPr>
          <w:rFonts w:hint="eastAsia" w:ascii="仿宋" w:hAnsi="仿宋" w:eastAsia="仿宋" w:cs="宋体"/>
          <w:b/>
          <w:bCs/>
          <w:color w:val="auto"/>
          <w:sz w:val="24"/>
          <w:szCs w:val="24"/>
          <w:highlight w:val="none"/>
        </w:rPr>
        <w:t>评标程序</w:t>
      </w:r>
      <w:bookmarkEnd w:id="354"/>
      <w:bookmarkEnd w:id="355"/>
      <w:bookmarkEnd w:id="356"/>
      <w:bookmarkEnd w:id="357"/>
      <w:bookmarkEnd w:id="358"/>
    </w:p>
    <w:p w14:paraId="61C9AD5C">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bookmarkStart w:id="359" w:name="_Toc432697207"/>
      <w:bookmarkStart w:id="360" w:name="_Toc451276008"/>
      <w:r>
        <w:rPr>
          <w:rFonts w:ascii="仿宋" w:hAnsi="仿宋" w:eastAsia="仿宋"/>
          <w:color w:val="auto"/>
          <w:sz w:val="24"/>
          <w:szCs w:val="24"/>
          <w:highlight w:val="none"/>
        </w:rPr>
        <w:t>1.4.1</w:t>
      </w:r>
      <w:bookmarkStart w:id="361" w:name="_Hlk525717443"/>
      <w:r>
        <w:rPr>
          <w:rFonts w:hint="eastAsia" w:ascii="仿宋" w:hAnsi="仿宋" w:eastAsia="仿宋"/>
          <w:color w:val="auto"/>
          <w:sz w:val="24"/>
          <w:szCs w:val="24"/>
          <w:highlight w:val="none"/>
        </w:rPr>
        <w:t>在开标会结束后，由</w:t>
      </w:r>
      <w:r>
        <w:rPr>
          <w:rFonts w:hint="eastAsia" w:ascii="仿宋" w:hAnsi="仿宋" w:eastAsia="仿宋"/>
          <w:color w:val="auto"/>
          <w:sz w:val="24"/>
          <w:szCs w:val="24"/>
          <w:highlight w:val="none"/>
          <w:lang w:eastAsia="zh-CN"/>
        </w:rPr>
        <w:t>评标委员会</w:t>
      </w:r>
      <w:r>
        <w:rPr>
          <w:rFonts w:ascii="仿宋" w:hAnsi="仿宋" w:eastAsia="仿宋"/>
          <w:color w:val="auto"/>
          <w:sz w:val="24"/>
          <w:szCs w:val="24"/>
          <w:highlight w:val="none"/>
        </w:rPr>
        <w:t>对投标文件进行资格审查</w:t>
      </w:r>
      <w:bookmarkEnd w:id="361"/>
      <w:r>
        <w:rPr>
          <w:rFonts w:ascii="仿宋" w:hAnsi="仿宋" w:eastAsia="仿宋"/>
          <w:color w:val="auto"/>
          <w:sz w:val="24"/>
          <w:szCs w:val="24"/>
          <w:highlight w:val="none"/>
        </w:rPr>
        <w:t>，</w:t>
      </w:r>
      <w:r>
        <w:rPr>
          <w:rFonts w:hint="eastAsia" w:ascii="仿宋" w:hAnsi="仿宋" w:eastAsia="仿宋"/>
          <w:color w:val="auto"/>
          <w:sz w:val="24"/>
          <w:szCs w:val="24"/>
          <w:highlight w:val="none"/>
          <w:lang w:eastAsia="zh-CN"/>
        </w:rPr>
        <w:t>投标人</w:t>
      </w:r>
      <w:r>
        <w:rPr>
          <w:rFonts w:ascii="仿宋" w:hAnsi="仿宋" w:eastAsia="仿宋"/>
          <w:color w:val="auto"/>
          <w:sz w:val="24"/>
          <w:szCs w:val="24"/>
          <w:highlight w:val="none"/>
        </w:rPr>
        <w:t>只有全部满足评标办法前附表中的资格审查评审标准才能通过资格审查。</w:t>
      </w:r>
    </w:p>
    <w:p w14:paraId="5BAFA1A0">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olor w:val="auto"/>
          <w:sz w:val="24"/>
          <w:szCs w:val="24"/>
          <w:highlight w:val="none"/>
        </w:rPr>
        <w:t>1.4.2评标委员会对通过资格审查的投标文件进行初步评审。</w:t>
      </w:r>
    </w:p>
    <w:p w14:paraId="47483014">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olor w:val="auto"/>
          <w:sz w:val="24"/>
          <w:szCs w:val="24"/>
          <w:highlight w:val="none"/>
        </w:rPr>
        <w:t>1.4.3评标委员会对通过初步评审的投标文件进行详细评审。</w:t>
      </w:r>
    </w:p>
    <w:p w14:paraId="3A70DA7E">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olor w:val="auto"/>
          <w:sz w:val="24"/>
          <w:szCs w:val="24"/>
          <w:highlight w:val="none"/>
        </w:rPr>
        <w:t>1.4.4评标委员会根据规定的详细评审标准对</w:t>
      </w:r>
      <w:r>
        <w:rPr>
          <w:rFonts w:hint="eastAsia" w:ascii="仿宋" w:hAnsi="仿宋" w:eastAsia="仿宋"/>
          <w:color w:val="auto"/>
          <w:sz w:val="24"/>
          <w:szCs w:val="24"/>
          <w:highlight w:val="none"/>
          <w:lang w:eastAsia="zh-CN"/>
        </w:rPr>
        <w:t>投标人</w:t>
      </w:r>
      <w:r>
        <w:rPr>
          <w:rFonts w:ascii="仿宋" w:hAnsi="仿宋" w:eastAsia="仿宋"/>
          <w:color w:val="auto"/>
          <w:sz w:val="24"/>
          <w:szCs w:val="24"/>
          <w:highlight w:val="none"/>
        </w:rPr>
        <w:t>的进行打分，然后按</w:t>
      </w:r>
      <w:r>
        <w:rPr>
          <w:rFonts w:hint="eastAsia" w:ascii="仿宋" w:hAnsi="仿宋" w:eastAsia="仿宋"/>
          <w:color w:val="auto"/>
          <w:sz w:val="24"/>
          <w:szCs w:val="24"/>
          <w:highlight w:val="none"/>
          <w:lang w:eastAsia="zh-CN"/>
        </w:rPr>
        <w:t>投标人</w:t>
      </w:r>
      <w:r>
        <w:rPr>
          <w:rFonts w:ascii="仿宋" w:hAnsi="仿宋" w:eastAsia="仿宋"/>
          <w:color w:val="auto"/>
          <w:sz w:val="24"/>
          <w:szCs w:val="24"/>
          <w:highlight w:val="none"/>
        </w:rPr>
        <w:t>最终得分由高到低进行排序，推荐排名前三位中标候选人。</w:t>
      </w:r>
    </w:p>
    <w:p w14:paraId="0DCE6DE1">
      <w:pPr>
        <w:pStyle w:val="5"/>
        <w:pageBreakBefore w:val="0"/>
        <w:kinsoku/>
        <w:wordWrap/>
        <w:overflowPunct/>
        <w:topLinePunct w:val="0"/>
        <w:autoSpaceDE/>
        <w:autoSpaceDN/>
        <w:bidi w:val="0"/>
        <w:adjustRightInd/>
        <w:snapToGrid/>
        <w:spacing w:before="0" w:after="0" w:line="480" w:lineRule="exact"/>
        <w:jc w:val="center"/>
        <w:textAlignment w:val="auto"/>
        <w:rPr>
          <w:rFonts w:ascii="仿宋" w:hAnsi="仿宋" w:eastAsia="仿宋"/>
          <w:color w:val="auto"/>
          <w:sz w:val="28"/>
          <w:szCs w:val="28"/>
          <w:highlight w:val="none"/>
        </w:rPr>
      </w:pPr>
      <w:bookmarkStart w:id="362" w:name="_Toc5788133"/>
      <w:bookmarkStart w:id="363" w:name="_Toc8568368"/>
      <w:r>
        <w:rPr>
          <w:rFonts w:hint="eastAsia" w:ascii="仿宋" w:hAnsi="仿宋" w:eastAsia="仿宋" w:cs="宋体"/>
          <w:color w:val="auto"/>
          <w:sz w:val="28"/>
          <w:szCs w:val="28"/>
          <w:highlight w:val="none"/>
        </w:rPr>
        <w:t>二、评标程序及标准</w:t>
      </w:r>
      <w:bookmarkEnd w:id="359"/>
      <w:bookmarkEnd w:id="360"/>
      <w:bookmarkEnd w:id="362"/>
      <w:bookmarkEnd w:id="363"/>
    </w:p>
    <w:p w14:paraId="3C16DEBD">
      <w:pPr>
        <w:pStyle w:val="6"/>
        <w:pageBreakBefore w:val="0"/>
        <w:numPr>
          <w:ilvl w:val="2"/>
          <w:numId w:val="0"/>
        </w:numPr>
        <w:kinsoku/>
        <w:wordWrap/>
        <w:overflowPunct/>
        <w:topLinePunct w:val="0"/>
        <w:autoSpaceDE/>
        <w:autoSpaceDN/>
        <w:bidi w:val="0"/>
        <w:adjustRightInd/>
        <w:snapToGrid/>
        <w:spacing w:before="0" w:after="0" w:line="480" w:lineRule="exact"/>
        <w:ind w:leftChars="196"/>
        <w:jc w:val="both"/>
        <w:textAlignment w:val="auto"/>
        <w:rPr>
          <w:rFonts w:ascii="仿宋" w:hAnsi="仿宋" w:eastAsia="仿宋"/>
          <w:color w:val="auto"/>
          <w:sz w:val="24"/>
          <w:szCs w:val="24"/>
          <w:highlight w:val="none"/>
        </w:rPr>
      </w:pPr>
      <w:bookmarkStart w:id="364" w:name="_Toc5788134"/>
      <w:bookmarkStart w:id="365" w:name="_Toc8568369"/>
      <w:bookmarkStart w:id="366" w:name="_Toc432697208"/>
      <w:bookmarkStart w:id="367" w:name="_Toc451276009"/>
      <w:r>
        <w:rPr>
          <w:rFonts w:ascii="仿宋" w:hAnsi="仿宋" w:eastAsia="仿宋" w:cs="宋体"/>
          <w:color w:val="auto"/>
          <w:sz w:val="24"/>
          <w:szCs w:val="24"/>
          <w:highlight w:val="none"/>
        </w:rPr>
        <w:t>2.1</w:t>
      </w:r>
      <w:r>
        <w:rPr>
          <w:rFonts w:hint="eastAsia" w:ascii="仿宋" w:hAnsi="仿宋" w:eastAsia="仿宋" w:cs="宋体"/>
          <w:color w:val="auto"/>
          <w:sz w:val="24"/>
          <w:szCs w:val="24"/>
          <w:highlight w:val="none"/>
        </w:rPr>
        <w:t>资格性评审</w:t>
      </w:r>
      <w:bookmarkEnd w:id="364"/>
      <w:bookmarkEnd w:id="365"/>
      <w:bookmarkEnd w:id="366"/>
      <w:bookmarkEnd w:id="367"/>
    </w:p>
    <w:p w14:paraId="61D3B241">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b/>
          <w:color w:val="auto"/>
          <w:sz w:val="24"/>
          <w:szCs w:val="24"/>
          <w:highlight w:val="none"/>
        </w:rPr>
      </w:pPr>
      <w:bookmarkStart w:id="368" w:name="_Toc451276011"/>
      <w:bookmarkStart w:id="369" w:name="_Toc432697209"/>
      <w:r>
        <w:rPr>
          <w:rFonts w:ascii="仿宋" w:hAnsi="仿宋" w:eastAsia="仿宋"/>
          <w:color w:val="auto"/>
          <w:sz w:val="24"/>
          <w:szCs w:val="24"/>
          <w:highlight w:val="none"/>
        </w:rPr>
        <w:t xml:space="preserve">2.1.1 </w:t>
      </w:r>
      <w:r>
        <w:rPr>
          <w:rFonts w:hint="eastAsia" w:ascii="仿宋" w:hAnsi="仿宋" w:eastAsia="仿宋"/>
          <w:color w:val="auto"/>
          <w:sz w:val="24"/>
          <w:szCs w:val="24"/>
          <w:highlight w:val="none"/>
        </w:rPr>
        <w:t>在开标会结束后，由</w:t>
      </w:r>
      <w:r>
        <w:rPr>
          <w:rFonts w:hint="eastAsia" w:ascii="仿宋" w:hAnsi="仿宋" w:eastAsia="仿宋"/>
          <w:color w:val="auto"/>
          <w:sz w:val="24"/>
          <w:szCs w:val="24"/>
          <w:highlight w:val="none"/>
          <w:lang w:eastAsia="zh-CN"/>
        </w:rPr>
        <w:t>评标委员会</w:t>
      </w:r>
      <w:r>
        <w:rPr>
          <w:rFonts w:hint="eastAsia" w:ascii="仿宋" w:hAnsi="仿宋" w:eastAsia="仿宋"/>
          <w:color w:val="auto"/>
          <w:sz w:val="24"/>
          <w:szCs w:val="24"/>
          <w:highlight w:val="none"/>
        </w:rPr>
        <w:t>对投标文件进行资格审查</w:t>
      </w:r>
      <w:r>
        <w:rPr>
          <w:rFonts w:ascii="仿宋" w:hAnsi="仿宋" w:eastAsia="仿宋"/>
          <w:color w:val="auto"/>
          <w:sz w:val="24"/>
          <w:szCs w:val="24"/>
          <w:highlight w:val="none"/>
        </w:rPr>
        <w:t>。</w:t>
      </w:r>
    </w:p>
    <w:p w14:paraId="45542955">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b/>
          <w:color w:val="auto"/>
          <w:sz w:val="24"/>
          <w:szCs w:val="24"/>
          <w:highlight w:val="none"/>
        </w:rPr>
      </w:pPr>
      <w:r>
        <w:rPr>
          <w:rFonts w:ascii="仿宋" w:hAnsi="仿宋" w:eastAsia="仿宋"/>
          <w:color w:val="auto"/>
          <w:sz w:val="24"/>
          <w:szCs w:val="24"/>
          <w:highlight w:val="none"/>
        </w:rPr>
        <w:t>2.1.2</w:t>
      </w:r>
      <w:r>
        <w:rPr>
          <w:rFonts w:hint="eastAsia" w:ascii="仿宋" w:hAnsi="仿宋" w:eastAsia="仿宋"/>
          <w:color w:val="auto"/>
          <w:sz w:val="24"/>
          <w:szCs w:val="24"/>
          <w:highlight w:val="none"/>
          <w:lang w:eastAsia="zh-CN"/>
        </w:rPr>
        <w:t>投标人</w:t>
      </w:r>
      <w:r>
        <w:rPr>
          <w:rFonts w:ascii="仿宋" w:hAnsi="仿宋" w:eastAsia="仿宋"/>
          <w:color w:val="auto"/>
          <w:sz w:val="24"/>
          <w:szCs w:val="24"/>
          <w:highlight w:val="none"/>
        </w:rPr>
        <w:t>只有全部满足评标办法前附表中的资格审查评审标准才能通过资格审查。</w:t>
      </w:r>
    </w:p>
    <w:p w14:paraId="75195880">
      <w:pPr>
        <w:pStyle w:val="6"/>
        <w:pageBreakBefore w:val="0"/>
        <w:numPr>
          <w:ilvl w:val="2"/>
          <w:numId w:val="0"/>
        </w:numPr>
        <w:kinsoku/>
        <w:wordWrap/>
        <w:overflowPunct/>
        <w:topLinePunct w:val="0"/>
        <w:autoSpaceDE/>
        <w:autoSpaceDN/>
        <w:bidi w:val="0"/>
        <w:adjustRightInd/>
        <w:snapToGrid/>
        <w:spacing w:before="0" w:after="0" w:line="480" w:lineRule="exact"/>
        <w:ind w:leftChars="196"/>
        <w:jc w:val="both"/>
        <w:textAlignment w:val="auto"/>
        <w:rPr>
          <w:rFonts w:ascii="仿宋" w:hAnsi="仿宋" w:eastAsia="仿宋"/>
          <w:color w:val="auto"/>
          <w:sz w:val="24"/>
          <w:szCs w:val="24"/>
          <w:highlight w:val="none"/>
        </w:rPr>
      </w:pPr>
      <w:bookmarkStart w:id="370" w:name="_Toc5788135"/>
      <w:bookmarkStart w:id="371" w:name="_Toc8568370"/>
      <w:r>
        <w:rPr>
          <w:rFonts w:ascii="仿宋" w:hAnsi="仿宋" w:eastAsia="仿宋" w:cs="宋体"/>
          <w:color w:val="auto"/>
          <w:sz w:val="24"/>
          <w:szCs w:val="24"/>
          <w:highlight w:val="none"/>
        </w:rPr>
        <w:t>2.2</w:t>
      </w:r>
      <w:r>
        <w:rPr>
          <w:rFonts w:hint="eastAsia" w:ascii="仿宋" w:hAnsi="仿宋" w:eastAsia="仿宋" w:cs="宋体"/>
          <w:color w:val="auto"/>
          <w:sz w:val="24"/>
          <w:szCs w:val="24"/>
          <w:highlight w:val="none"/>
        </w:rPr>
        <w:t>符合性评审</w:t>
      </w:r>
      <w:bookmarkEnd w:id="368"/>
      <w:bookmarkEnd w:id="369"/>
      <w:bookmarkEnd w:id="370"/>
      <w:bookmarkEnd w:id="371"/>
    </w:p>
    <w:p w14:paraId="26608D56">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bookmarkStart w:id="372" w:name="_Toc432697210"/>
      <w:bookmarkStart w:id="373" w:name="_Toc451276012"/>
      <w:r>
        <w:rPr>
          <w:rFonts w:ascii="仿宋" w:hAnsi="仿宋" w:eastAsia="仿宋"/>
          <w:color w:val="auto"/>
          <w:sz w:val="24"/>
          <w:szCs w:val="24"/>
          <w:highlight w:val="none"/>
        </w:rPr>
        <w:t>2.2.1开标后，经资格审查并通过的投标文件才能提交评审委员会进行</w:t>
      </w:r>
      <w:bookmarkStart w:id="374" w:name="_Hlk5787535"/>
      <w:r>
        <w:rPr>
          <w:rFonts w:hint="eastAsia" w:ascii="仿宋" w:hAnsi="仿宋" w:eastAsia="仿宋"/>
          <w:color w:val="auto"/>
          <w:sz w:val="24"/>
          <w:szCs w:val="24"/>
          <w:highlight w:val="none"/>
        </w:rPr>
        <w:t>符合性审查</w:t>
      </w:r>
      <w:bookmarkEnd w:id="374"/>
      <w:r>
        <w:rPr>
          <w:rFonts w:ascii="仿宋" w:hAnsi="仿宋" w:eastAsia="仿宋"/>
          <w:color w:val="auto"/>
          <w:sz w:val="24"/>
          <w:szCs w:val="24"/>
          <w:highlight w:val="none"/>
        </w:rPr>
        <w:t>。</w:t>
      </w:r>
    </w:p>
    <w:p w14:paraId="125C139C">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olor w:val="auto"/>
          <w:sz w:val="24"/>
          <w:szCs w:val="24"/>
          <w:highlight w:val="none"/>
        </w:rPr>
        <w:t>2.2.2</w:t>
      </w:r>
      <w:r>
        <w:rPr>
          <w:rFonts w:hint="eastAsia" w:ascii="仿宋" w:hAnsi="仿宋" w:eastAsia="仿宋"/>
          <w:color w:val="auto"/>
          <w:sz w:val="24"/>
          <w:szCs w:val="24"/>
          <w:highlight w:val="none"/>
        </w:rPr>
        <w:t>符合性审查</w:t>
      </w:r>
      <w:r>
        <w:rPr>
          <w:rFonts w:ascii="仿宋" w:hAnsi="仿宋" w:eastAsia="仿宋"/>
          <w:color w:val="auto"/>
          <w:sz w:val="24"/>
          <w:szCs w:val="24"/>
          <w:highlight w:val="none"/>
        </w:rPr>
        <w:t>中，</w:t>
      </w:r>
      <w:r>
        <w:rPr>
          <w:rFonts w:hint="eastAsia" w:ascii="仿宋" w:hAnsi="仿宋" w:eastAsia="仿宋"/>
          <w:color w:val="auto"/>
          <w:sz w:val="24"/>
          <w:szCs w:val="24"/>
          <w:highlight w:val="none"/>
        </w:rPr>
        <w:t>不符合</w:t>
      </w:r>
      <w:r>
        <w:rPr>
          <w:rFonts w:ascii="仿宋" w:hAnsi="仿宋" w:eastAsia="仿宋"/>
          <w:color w:val="auto"/>
          <w:sz w:val="24"/>
          <w:szCs w:val="24"/>
          <w:highlight w:val="none"/>
        </w:rPr>
        <w:t>评审办法前附表第2.</w:t>
      </w:r>
      <w:r>
        <w:rPr>
          <w:rFonts w:hint="eastAsia" w:ascii="仿宋" w:hAnsi="仿宋" w:eastAsia="仿宋"/>
          <w:color w:val="auto"/>
          <w:sz w:val="24"/>
          <w:szCs w:val="24"/>
          <w:highlight w:val="none"/>
          <w:lang w:val="en-US" w:eastAsia="zh-CN"/>
        </w:rPr>
        <w:t>1.</w:t>
      </w:r>
      <w:r>
        <w:rPr>
          <w:rFonts w:ascii="仿宋" w:hAnsi="仿宋" w:eastAsia="仿宋"/>
          <w:color w:val="auto"/>
          <w:sz w:val="24"/>
          <w:szCs w:val="24"/>
          <w:highlight w:val="none"/>
        </w:rPr>
        <w:t>2规定情形之一的，投标文件按作废标处理。</w:t>
      </w:r>
    </w:p>
    <w:p w14:paraId="411ED8C9">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olor w:val="auto"/>
          <w:sz w:val="24"/>
          <w:szCs w:val="24"/>
          <w:highlight w:val="none"/>
        </w:rPr>
        <w:t>2.2.3评标时，</w:t>
      </w:r>
      <w:r>
        <w:rPr>
          <w:rFonts w:hint="eastAsia" w:ascii="仿宋" w:hAnsi="仿宋" w:eastAsia="仿宋"/>
          <w:color w:val="auto"/>
          <w:sz w:val="24"/>
          <w:szCs w:val="24"/>
          <w:highlight w:val="none"/>
        </w:rPr>
        <w:t>对于投标文件中含义不明确、同类问题表述不一致或者有明显文字和计算错误的内容，评标委员会应当以书面形式要求</w:t>
      </w:r>
      <w:r>
        <w:rPr>
          <w:rFonts w:hint="eastAsia" w:ascii="仿宋" w:hAnsi="仿宋" w:eastAsia="仿宋"/>
          <w:color w:val="auto"/>
          <w:sz w:val="24"/>
          <w:szCs w:val="24"/>
          <w:highlight w:val="none"/>
          <w:lang w:eastAsia="zh-CN"/>
        </w:rPr>
        <w:t>投标人</w:t>
      </w:r>
      <w:r>
        <w:rPr>
          <w:rFonts w:hint="eastAsia" w:ascii="仿宋" w:hAnsi="仿宋" w:eastAsia="仿宋"/>
          <w:color w:val="auto"/>
          <w:sz w:val="24"/>
          <w:szCs w:val="24"/>
          <w:highlight w:val="none"/>
        </w:rPr>
        <w:t>作出必要的澄清、说明或者补正。</w:t>
      </w:r>
    </w:p>
    <w:p w14:paraId="4FEF34E3">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olor w:val="auto"/>
          <w:sz w:val="24"/>
          <w:szCs w:val="24"/>
          <w:highlight w:val="none"/>
        </w:rPr>
        <w:t>2.2.</w:t>
      </w:r>
      <w:r>
        <w:rPr>
          <w:rFonts w:hint="eastAsia" w:ascii="仿宋" w:hAnsi="仿宋" w:eastAsia="仿宋"/>
          <w:color w:val="auto"/>
          <w:sz w:val="24"/>
          <w:szCs w:val="24"/>
          <w:highlight w:val="none"/>
        </w:rPr>
        <w:t>4</w:t>
      </w:r>
      <w:r>
        <w:rPr>
          <w:rFonts w:hint="eastAsia" w:ascii="仿宋" w:hAnsi="仿宋" w:eastAsia="仿宋"/>
          <w:color w:val="auto"/>
          <w:sz w:val="24"/>
          <w:szCs w:val="24"/>
          <w:highlight w:val="none"/>
          <w:lang w:eastAsia="zh-CN"/>
        </w:rPr>
        <w:t>投标人</w:t>
      </w:r>
      <w:r>
        <w:rPr>
          <w:rFonts w:hint="eastAsia" w:ascii="仿宋" w:hAnsi="仿宋" w:eastAsia="仿宋"/>
          <w:color w:val="auto"/>
          <w:sz w:val="24"/>
          <w:szCs w:val="24"/>
          <w:highlight w:val="none"/>
        </w:rPr>
        <w:t>的澄清、说明或者补正应当采用书面形式，并加盖公章，或者由法定代表人或其授权的代表签字。</w:t>
      </w:r>
      <w:r>
        <w:rPr>
          <w:rFonts w:hint="eastAsia" w:ascii="仿宋" w:hAnsi="仿宋" w:eastAsia="仿宋"/>
          <w:color w:val="auto"/>
          <w:sz w:val="24"/>
          <w:szCs w:val="24"/>
          <w:highlight w:val="none"/>
          <w:lang w:eastAsia="zh-CN"/>
        </w:rPr>
        <w:t>投标人</w:t>
      </w:r>
      <w:r>
        <w:rPr>
          <w:rFonts w:hint="eastAsia" w:ascii="仿宋" w:hAnsi="仿宋" w:eastAsia="仿宋"/>
          <w:color w:val="auto"/>
          <w:sz w:val="24"/>
          <w:szCs w:val="24"/>
          <w:highlight w:val="none"/>
        </w:rPr>
        <w:t>的澄清、说明或者补正不得超出投标文件的范围或者改变投标文件的实质性内容。</w:t>
      </w:r>
    </w:p>
    <w:p w14:paraId="2AE82F78">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b/>
          <w:color w:val="auto"/>
          <w:sz w:val="24"/>
          <w:szCs w:val="24"/>
          <w:highlight w:val="none"/>
        </w:rPr>
      </w:pPr>
      <w:r>
        <w:rPr>
          <w:rFonts w:ascii="仿宋" w:hAnsi="仿宋" w:eastAsia="仿宋"/>
          <w:color w:val="auto"/>
          <w:sz w:val="24"/>
          <w:szCs w:val="24"/>
          <w:highlight w:val="none"/>
        </w:rPr>
        <w:t>2.2.</w:t>
      </w:r>
      <w:r>
        <w:rPr>
          <w:rFonts w:hint="eastAsia" w:ascii="仿宋" w:hAnsi="仿宋" w:eastAsia="仿宋"/>
          <w:color w:val="auto"/>
          <w:sz w:val="24"/>
          <w:szCs w:val="24"/>
          <w:highlight w:val="none"/>
        </w:rPr>
        <w:t>5</w:t>
      </w:r>
      <w:r>
        <w:rPr>
          <w:rFonts w:ascii="仿宋" w:hAnsi="仿宋" w:eastAsia="仿宋"/>
          <w:color w:val="auto"/>
          <w:sz w:val="24"/>
          <w:szCs w:val="24"/>
          <w:highlight w:val="none"/>
        </w:rPr>
        <w:t>如果投标文件实质上不响应</w:t>
      </w:r>
      <w:r>
        <w:rPr>
          <w:rFonts w:hint="eastAsia" w:ascii="仿宋" w:hAnsi="仿宋" w:eastAsia="仿宋" w:cs="宋体"/>
          <w:color w:val="auto"/>
          <w:kern w:val="2"/>
          <w:sz w:val="24"/>
          <w:szCs w:val="24"/>
          <w:highlight w:val="none"/>
          <w:lang w:eastAsia="zh-CN"/>
        </w:rPr>
        <w:t>招标</w:t>
      </w:r>
      <w:r>
        <w:rPr>
          <w:rFonts w:hint="eastAsia" w:ascii="仿宋" w:hAnsi="仿宋" w:eastAsia="仿宋"/>
          <w:color w:val="auto"/>
          <w:sz w:val="24"/>
          <w:szCs w:val="24"/>
          <w:highlight w:val="none"/>
        </w:rPr>
        <w:t>文件</w:t>
      </w:r>
      <w:r>
        <w:rPr>
          <w:rFonts w:ascii="仿宋" w:hAnsi="仿宋" w:eastAsia="仿宋"/>
          <w:color w:val="auto"/>
          <w:sz w:val="24"/>
          <w:szCs w:val="24"/>
          <w:highlight w:val="none"/>
        </w:rPr>
        <w:t>的各项要求，评审委员会将予以拒绝，并且不允许</w:t>
      </w:r>
      <w:r>
        <w:rPr>
          <w:rFonts w:hint="eastAsia" w:ascii="仿宋" w:hAnsi="仿宋" w:eastAsia="仿宋"/>
          <w:color w:val="auto"/>
          <w:sz w:val="24"/>
          <w:szCs w:val="24"/>
          <w:highlight w:val="none"/>
          <w:lang w:eastAsia="zh-CN"/>
        </w:rPr>
        <w:t>投标人</w:t>
      </w:r>
      <w:r>
        <w:rPr>
          <w:rFonts w:ascii="仿宋" w:hAnsi="仿宋" w:eastAsia="仿宋"/>
          <w:color w:val="auto"/>
          <w:sz w:val="24"/>
          <w:szCs w:val="24"/>
          <w:highlight w:val="none"/>
        </w:rPr>
        <w:t>通过修改或撤销其不符合要求的差异或保留，使之成为具有响应性的投标。</w:t>
      </w:r>
    </w:p>
    <w:p w14:paraId="75B6E440">
      <w:pPr>
        <w:pageBreakBefore w:val="0"/>
        <w:kinsoku/>
        <w:wordWrap/>
        <w:overflowPunct/>
        <w:topLinePunct w:val="0"/>
        <w:autoSpaceDE/>
        <w:autoSpaceDN/>
        <w:bidi w:val="0"/>
        <w:adjustRightInd/>
        <w:snapToGrid/>
        <w:spacing w:line="480" w:lineRule="exact"/>
        <w:ind w:firstLine="460" w:firstLineChars="192"/>
        <w:textAlignment w:val="auto"/>
        <w:rPr>
          <w:rFonts w:ascii="仿宋" w:hAnsi="仿宋" w:eastAsia="仿宋"/>
          <w:color w:val="auto"/>
          <w:sz w:val="24"/>
          <w:szCs w:val="24"/>
          <w:highlight w:val="none"/>
        </w:rPr>
      </w:pPr>
      <w:r>
        <w:rPr>
          <w:rFonts w:ascii="仿宋" w:hAnsi="仿宋" w:eastAsia="仿宋"/>
          <w:color w:val="auto"/>
          <w:sz w:val="24"/>
          <w:szCs w:val="24"/>
          <w:highlight w:val="none"/>
        </w:rPr>
        <w:t>2.2.</w:t>
      </w:r>
      <w:r>
        <w:rPr>
          <w:rFonts w:hint="eastAsia" w:ascii="仿宋" w:hAnsi="仿宋" w:eastAsia="仿宋"/>
          <w:color w:val="auto"/>
          <w:sz w:val="24"/>
          <w:szCs w:val="24"/>
          <w:highlight w:val="none"/>
        </w:rPr>
        <w:t>6</w:t>
      </w:r>
      <w:r>
        <w:rPr>
          <w:rFonts w:ascii="仿宋" w:hAnsi="仿宋" w:eastAsia="仿宋"/>
          <w:color w:val="auto"/>
          <w:sz w:val="24"/>
          <w:szCs w:val="24"/>
          <w:highlight w:val="none"/>
        </w:rPr>
        <w:t>计算错误的修正原则</w:t>
      </w:r>
    </w:p>
    <w:p w14:paraId="1EEDB14A">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（1）投标文件中开标一览表（报价表）内容与投标文件中相应内容不一致的，以开标一览表（报价表）为准；</w:t>
      </w:r>
    </w:p>
    <w:p w14:paraId="38951460">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（2）大写金额和小写金额不一致的，以大写金额为准；</w:t>
      </w:r>
    </w:p>
    <w:p w14:paraId="5E874090">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（3）单价金额小数点或者百分比有明显错位的，以开标一览表的总价为准，并修改单价；</w:t>
      </w:r>
    </w:p>
    <w:p w14:paraId="6A510AE9">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（4）总价金额与按单价汇总金额不一致的，以单价金额计算结果为准。</w:t>
      </w:r>
    </w:p>
    <w:p w14:paraId="773FE520">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同时出现两种以上不一致的，按照上述规定的顺序修正，修正后的报价经</w:t>
      </w:r>
      <w:r>
        <w:rPr>
          <w:rFonts w:hint="eastAsia" w:ascii="仿宋" w:hAnsi="仿宋" w:eastAsia="仿宋"/>
          <w:color w:val="auto"/>
          <w:sz w:val="24"/>
          <w:szCs w:val="24"/>
          <w:highlight w:val="none"/>
          <w:lang w:eastAsia="zh-CN"/>
        </w:rPr>
        <w:t>投标人</w:t>
      </w:r>
      <w:r>
        <w:rPr>
          <w:rFonts w:hint="eastAsia" w:ascii="仿宋" w:hAnsi="仿宋" w:eastAsia="仿宋"/>
          <w:color w:val="auto"/>
          <w:sz w:val="24"/>
          <w:szCs w:val="24"/>
          <w:highlight w:val="none"/>
        </w:rPr>
        <w:t>确认后产生约束力，</w:t>
      </w:r>
      <w:r>
        <w:rPr>
          <w:rFonts w:hint="eastAsia" w:ascii="仿宋" w:hAnsi="仿宋" w:eastAsia="仿宋"/>
          <w:color w:val="auto"/>
          <w:sz w:val="24"/>
          <w:szCs w:val="24"/>
          <w:highlight w:val="none"/>
          <w:lang w:eastAsia="zh-CN"/>
        </w:rPr>
        <w:t>投标人</w:t>
      </w:r>
      <w:r>
        <w:rPr>
          <w:rFonts w:hint="eastAsia" w:ascii="仿宋" w:hAnsi="仿宋" w:eastAsia="仿宋"/>
          <w:color w:val="auto"/>
          <w:sz w:val="24"/>
          <w:szCs w:val="24"/>
          <w:highlight w:val="none"/>
        </w:rPr>
        <w:t>不确认的，其投标无效。</w:t>
      </w:r>
    </w:p>
    <w:p w14:paraId="43DAA9DE">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olor w:val="auto"/>
          <w:sz w:val="24"/>
          <w:szCs w:val="24"/>
          <w:highlight w:val="none"/>
        </w:rPr>
        <w:t>2.2.</w:t>
      </w:r>
      <w:r>
        <w:rPr>
          <w:rFonts w:hint="eastAsia" w:ascii="仿宋" w:hAnsi="仿宋" w:eastAsia="仿宋"/>
          <w:color w:val="auto"/>
          <w:sz w:val="24"/>
          <w:szCs w:val="24"/>
          <w:highlight w:val="none"/>
        </w:rPr>
        <w:t>7评标委员会认为</w:t>
      </w:r>
      <w:r>
        <w:rPr>
          <w:rFonts w:hint="eastAsia" w:ascii="仿宋" w:hAnsi="仿宋" w:eastAsia="仿宋"/>
          <w:color w:val="auto"/>
          <w:sz w:val="24"/>
          <w:szCs w:val="24"/>
          <w:highlight w:val="none"/>
          <w:lang w:eastAsia="zh-CN"/>
        </w:rPr>
        <w:t>投标人</w:t>
      </w:r>
      <w:r>
        <w:rPr>
          <w:rFonts w:hint="eastAsia" w:ascii="仿宋" w:hAnsi="仿宋" w:eastAsia="仿宋"/>
          <w:color w:val="auto"/>
          <w:sz w:val="24"/>
          <w:szCs w:val="24"/>
          <w:highlight w:val="none"/>
        </w:rPr>
        <w:t>的报价明显低于其他通过符合性审查</w:t>
      </w:r>
      <w:r>
        <w:rPr>
          <w:rFonts w:hint="eastAsia" w:ascii="仿宋" w:hAnsi="仿宋" w:eastAsia="仿宋"/>
          <w:color w:val="auto"/>
          <w:sz w:val="24"/>
          <w:szCs w:val="24"/>
          <w:highlight w:val="none"/>
          <w:lang w:eastAsia="zh-CN"/>
        </w:rPr>
        <w:t>投标人</w:t>
      </w:r>
      <w:r>
        <w:rPr>
          <w:rFonts w:hint="eastAsia" w:ascii="仿宋" w:hAnsi="仿宋" w:eastAsia="仿宋"/>
          <w:color w:val="auto"/>
          <w:sz w:val="24"/>
          <w:szCs w:val="24"/>
          <w:highlight w:val="none"/>
        </w:rPr>
        <w:t>的报价，有可能影响产品质量或者不能诚信履约的，应当要求其在评标现场合理的时间内提供书面说明，必要时提交相关证明材料；</w:t>
      </w:r>
      <w:r>
        <w:rPr>
          <w:rFonts w:hint="eastAsia" w:ascii="仿宋" w:hAnsi="仿宋" w:eastAsia="仿宋"/>
          <w:color w:val="auto"/>
          <w:sz w:val="24"/>
          <w:szCs w:val="24"/>
          <w:highlight w:val="none"/>
          <w:lang w:eastAsia="zh-CN"/>
        </w:rPr>
        <w:t>投标人</w:t>
      </w:r>
      <w:r>
        <w:rPr>
          <w:rFonts w:hint="eastAsia" w:ascii="仿宋" w:hAnsi="仿宋" w:eastAsia="仿宋"/>
          <w:color w:val="auto"/>
          <w:sz w:val="24"/>
          <w:szCs w:val="24"/>
          <w:highlight w:val="none"/>
        </w:rPr>
        <w:t>不能证明其报价合理性的，评标委员会应当将其作为无效投标处理。</w:t>
      </w:r>
    </w:p>
    <w:p w14:paraId="75FAFF2B">
      <w:pPr>
        <w:pStyle w:val="6"/>
        <w:pageBreakBefore w:val="0"/>
        <w:numPr>
          <w:ilvl w:val="2"/>
          <w:numId w:val="0"/>
        </w:numPr>
        <w:kinsoku/>
        <w:wordWrap/>
        <w:overflowPunct/>
        <w:topLinePunct w:val="0"/>
        <w:autoSpaceDE/>
        <w:autoSpaceDN/>
        <w:bidi w:val="0"/>
        <w:adjustRightInd/>
        <w:snapToGrid/>
        <w:spacing w:before="0" w:after="0" w:line="480" w:lineRule="exact"/>
        <w:ind w:firstLine="482" w:firstLineChars="200"/>
        <w:jc w:val="both"/>
        <w:textAlignment w:val="auto"/>
        <w:rPr>
          <w:rFonts w:ascii="仿宋" w:hAnsi="仿宋" w:eastAsia="仿宋" w:cs="宋体"/>
          <w:color w:val="auto"/>
          <w:sz w:val="24"/>
          <w:szCs w:val="24"/>
          <w:highlight w:val="none"/>
        </w:rPr>
      </w:pPr>
      <w:bookmarkStart w:id="375" w:name="_Toc8568371"/>
      <w:bookmarkStart w:id="376" w:name="_Toc5788136"/>
      <w:r>
        <w:rPr>
          <w:rFonts w:ascii="仿宋" w:hAnsi="仿宋" w:eastAsia="仿宋" w:cs="宋体"/>
          <w:color w:val="auto"/>
          <w:sz w:val="24"/>
          <w:szCs w:val="24"/>
          <w:highlight w:val="none"/>
        </w:rPr>
        <w:t xml:space="preserve">2.3 </w:t>
      </w:r>
      <w:r>
        <w:rPr>
          <w:rFonts w:hint="eastAsia" w:ascii="仿宋" w:hAnsi="仿宋" w:eastAsia="仿宋" w:cs="宋体"/>
          <w:color w:val="auto"/>
          <w:sz w:val="24"/>
          <w:szCs w:val="24"/>
          <w:highlight w:val="none"/>
        </w:rPr>
        <w:t>详细评审</w:t>
      </w:r>
      <w:bookmarkEnd w:id="372"/>
      <w:bookmarkEnd w:id="373"/>
      <w:bookmarkEnd w:id="375"/>
      <w:bookmarkEnd w:id="376"/>
    </w:p>
    <w:p w14:paraId="35EA6D9D">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color w:val="auto"/>
          <w:sz w:val="24"/>
          <w:szCs w:val="24"/>
          <w:highlight w:val="none"/>
        </w:rPr>
      </w:pPr>
      <w:r>
        <w:rPr>
          <w:rFonts w:hint="eastAsia" w:ascii="仿宋" w:hAnsi="仿宋" w:eastAsia="仿宋"/>
          <w:color w:val="auto"/>
          <w:sz w:val="24"/>
          <w:szCs w:val="24"/>
          <w:highlight w:val="none"/>
        </w:rPr>
        <w:t>2.3.1</w:t>
      </w:r>
      <w:r>
        <w:rPr>
          <w:rFonts w:hint="eastAsia" w:ascii="仿宋" w:hAnsi="仿宋" w:eastAsia="仿宋" w:cs="仿宋"/>
          <w:color w:val="auto"/>
          <w:sz w:val="24"/>
          <w:szCs w:val="24"/>
          <w:highlight w:val="none"/>
        </w:rPr>
        <w:t>本项目的评标方法为综合评分法。综合评分法，是指投标文件满足招标文件全部实质性要求，且按照评审因素的量化指标评审得分最高的投标人为中标候选人的评标方法。</w:t>
      </w:r>
    </w:p>
    <w:p w14:paraId="6C2DC645">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2.3.2评审标准</w:t>
      </w:r>
    </w:p>
    <w:p w14:paraId="22315328">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评标委员会对通过资格评审和符合性评审的</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的商分和技术部分进得评审和比较，并量化进行打分。</w:t>
      </w:r>
    </w:p>
    <w:p w14:paraId="3303F104">
      <w:pPr>
        <w:pageBreakBefore w:val="0"/>
        <w:kinsoku/>
        <w:wordWrap/>
        <w:overflowPunct/>
        <w:topLinePunct w:val="0"/>
        <w:autoSpaceDE/>
        <w:autoSpaceDN/>
        <w:bidi w:val="0"/>
        <w:adjustRightInd/>
        <w:snapToGrid/>
        <w:spacing w:line="480" w:lineRule="exact"/>
        <w:ind w:firstLine="482" w:firstLineChars="200"/>
        <w:textAlignment w:val="auto"/>
        <w:rPr>
          <w:rFonts w:ascii="仿宋" w:hAnsi="仿宋" w:eastAsia="仿宋"/>
          <w:b/>
          <w:bCs/>
          <w:color w:val="auto"/>
          <w:sz w:val="24"/>
          <w:szCs w:val="24"/>
          <w:highlight w:val="none"/>
        </w:rPr>
      </w:pPr>
      <w:r>
        <w:rPr>
          <w:rFonts w:hint="eastAsia" w:ascii="仿宋" w:hAnsi="仿宋" w:eastAsia="仿宋" w:cs="宋体"/>
          <w:b/>
          <w:bCs/>
          <w:color w:val="auto"/>
          <w:sz w:val="24"/>
          <w:szCs w:val="24"/>
          <w:highlight w:val="none"/>
        </w:rPr>
        <w:t>三、评分要求和统计分数原则：</w:t>
      </w:r>
    </w:p>
    <w:p w14:paraId="26C6D74D">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olor w:val="auto"/>
          <w:sz w:val="24"/>
          <w:szCs w:val="24"/>
          <w:highlight w:val="none"/>
          <w:lang w:bidi="en-US"/>
        </w:rPr>
        <w:t>（1）</w:t>
      </w:r>
      <w:r>
        <w:rPr>
          <w:rFonts w:hint="eastAsia" w:ascii="仿宋" w:hAnsi="仿宋" w:eastAsia="仿宋" w:cs="宋体"/>
          <w:color w:val="auto"/>
          <w:sz w:val="24"/>
          <w:szCs w:val="24"/>
          <w:highlight w:val="none"/>
        </w:rPr>
        <w:t>评标委员会评委应首先对</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投标书进行评审，并按</w:t>
      </w:r>
      <w:r>
        <w:rPr>
          <w:rFonts w:hint="eastAsia" w:ascii="仿宋" w:hAnsi="仿宋" w:eastAsia="仿宋"/>
          <w:color w:val="auto"/>
          <w:sz w:val="24"/>
          <w:szCs w:val="24"/>
          <w:highlight w:val="none"/>
          <w:lang w:eastAsia="zh-CN"/>
        </w:rPr>
        <w:t>招标</w:t>
      </w:r>
      <w:r>
        <w:rPr>
          <w:rFonts w:hint="eastAsia" w:ascii="仿宋" w:hAnsi="仿宋" w:eastAsia="仿宋" w:cs="宋体"/>
          <w:color w:val="auto"/>
          <w:sz w:val="24"/>
          <w:szCs w:val="24"/>
          <w:highlight w:val="none"/>
        </w:rPr>
        <w:t>文件规定分值评分。</w:t>
      </w:r>
    </w:p>
    <w:p w14:paraId="2B3681B4">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宋体"/>
          <w:color w:val="auto"/>
          <w:sz w:val="24"/>
          <w:szCs w:val="24"/>
          <w:highlight w:val="none"/>
        </w:rPr>
      </w:pPr>
      <w:r>
        <w:rPr>
          <w:rFonts w:ascii="仿宋" w:hAnsi="仿宋" w:eastAsia="仿宋"/>
          <w:color w:val="auto"/>
          <w:sz w:val="24"/>
          <w:szCs w:val="24"/>
          <w:highlight w:val="none"/>
          <w:lang w:bidi="en-US"/>
        </w:rPr>
        <w:t>（</w:t>
      </w:r>
      <w:r>
        <w:rPr>
          <w:rFonts w:hint="eastAsia" w:ascii="仿宋" w:hAnsi="仿宋" w:eastAsia="仿宋"/>
          <w:color w:val="auto"/>
          <w:sz w:val="24"/>
          <w:szCs w:val="24"/>
          <w:highlight w:val="none"/>
          <w:lang w:bidi="en-US"/>
        </w:rPr>
        <w:t>2</w:t>
      </w:r>
      <w:r>
        <w:rPr>
          <w:rFonts w:ascii="仿宋" w:hAnsi="仿宋" w:eastAsia="仿宋"/>
          <w:color w:val="auto"/>
          <w:sz w:val="24"/>
          <w:szCs w:val="24"/>
          <w:highlight w:val="none"/>
          <w:lang w:bidi="en-US"/>
        </w:rPr>
        <w:t>）</w:t>
      </w:r>
      <w:r>
        <w:rPr>
          <w:rFonts w:hint="eastAsia" w:ascii="仿宋" w:hAnsi="仿宋" w:eastAsia="仿宋" w:cs="宋体"/>
          <w:color w:val="auto"/>
          <w:sz w:val="24"/>
          <w:szCs w:val="24"/>
          <w:highlight w:val="none"/>
        </w:rPr>
        <w:t>统计分数原则：计算算术平均值为</w:t>
      </w: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评标得分（保留小数点后两位）。</w:t>
      </w:r>
    </w:p>
    <w:p w14:paraId="487D6A0F">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（3）</w:t>
      </w:r>
      <w:r>
        <w:rPr>
          <w:rFonts w:hint="eastAsia" w:ascii="仿宋" w:hAnsi="仿宋" w:eastAsia="仿宋" w:cs="Arial"/>
          <w:bCs/>
          <w:color w:val="auto"/>
          <w:sz w:val="24"/>
          <w:szCs w:val="24"/>
          <w:highlight w:val="none"/>
        </w:rPr>
        <w:t>评标结果按评审后得分由高到低顺序排列。得分相同的，按投标报价由低到高顺序排列。得分且投标报价相同的并列。投标文件满足</w:t>
      </w:r>
      <w:r>
        <w:rPr>
          <w:rFonts w:hint="eastAsia" w:ascii="仿宋" w:hAnsi="仿宋" w:eastAsia="仿宋"/>
          <w:color w:val="auto"/>
          <w:sz w:val="24"/>
          <w:szCs w:val="24"/>
          <w:highlight w:val="none"/>
          <w:lang w:eastAsia="zh-CN"/>
        </w:rPr>
        <w:t>招标</w:t>
      </w:r>
      <w:r>
        <w:rPr>
          <w:rFonts w:hint="eastAsia" w:ascii="仿宋" w:hAnsi="仿宋" w:eastAsia="仿宋" w:cs="Arial"/>
          <w:bCs/>
          <w:color w:val="auto"/>
          <w:sz w:val="24"/>
          <w:szCs w:val="24"/>
          <w:highlight w:val="none"/>
        </w:rPr>
        <w:t>文件全部实质性要求，且按照评审因素的量化指标评审得分最高的</w:t>
      </w:r>
      <w:r>
        <w:rPr>
          <w:rFonts w:hint="eastAsia" w:ascii="仿宋" w:hAnsi="仿宋" w:eastAsia="仿宋" w:cs="Arial"/>
          <w:bCs/>
          <w:color w:val="auto"/>
          <w:sz w:val="24"/>
          <w:szCs w:val="24"/>
          <w:highlight w:val="none"/>
          <w:lang w:eastAsia="zh-CN"/>
        </w:rPr>
        <w:t>投标人</w:t>
      </w:r>
      <w:r>
        <w:rPr>
          <w:rFonts w:hint="eastAsia" w:ascii="仿宋" w:hAnsi="仿宋" w:eastAsia="仿宋" w:cs="Arial"/>
          <w:bCs/>
          <w:color w:val="auto"/>
          <w:sz w:val="24"/>
          <w:szCs w:val="24"/>
          <w:highlight w:val="none"/>
        </w:rPr>
        <w:t>为排名第一的中标候选人。</w:t>
      </w:r>
    </w:p>
    <w:p w14:paraId="2CCB5EDB">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（4）</w:t>
      </w:r>
      <w:r>
        <w:rPr>
          <w:rFonts w:hint="eastAsia" w:ascii="仿宋" w:hAnsi="仿宋" w:eastAsia="仿宋"/>
          <w:color w:val="auto"/>
          <w:sz w:val="24"/>
          <w:szCs w:val="24"/>
          <w:highlight w:val="none"/>
          <w:lang w:eastAsia="zh-CN"/>
        </w:rPr>
        <w:t>招标</w:t>
      </w:r>
      <w:r>
        <w:rPr>
          <w:rFonts w:hint="eastAsia" w:ascii="仿宋" w:hAnsi="仿宋" w:eastAsia="仿宋"/>
          <w:color w:val="auto"/>
          <w:sz w:val="24"/>
          <w:szCs w:val="24"/>
          <w:highlight w:val="none"/>
          <w:lang w:bidi="en-US"/>
        </w:rPr>
        <w:t>人根据评标委员会提出的书面评标报告和推荐的中标候选人名单，确定中标人。</w:t>
      </w:r>
    </w:p>
    <w:p w14:paraId="5401A7B7">
      <w:pPr>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（5）评审委员会发现</w:t>
      </w:r>
      <w:r>
        <w:rPr>
          <w:rFonts w:hint="eastAsia" w:ascii="仿宋" w:hAnsi="仿宋" w:eastAsia="仿宋" w:cs="宋体"/>
          <w:color w:val="auto"/>
          <w:kern w:val="2"/>
          <w:sz w:val="24"/>
          <w:szCs w:val="24"/>
          <w:highlight w:val="none"/>
          <w:lang w:eastAsia="zh-CN"/>
        </w:rPr>
        <w:t>招标</w:t>
      </w:r>
      <w:r>
        <w:rPr>
          <w:rFonts w:hint="eastAsia" w:ascii="仿宋" w:hAnsi="仿宋" w:eastAsia="仿宋"/>
          <w:color w:val="auto"/>
          <w:sz w:val="24"/>
          <w:szCs w:val="24"/>
          <w:highlight w:val="none"/>
          <w:lang w:bidi="en-US"/>
        </w:rPr>
        <w:t>文件存在歧义、重大缺陷导致评审工作无法进行，或者</w:t>
      </w:r>
      <w:r>
        <w:rPr>
          <w:rFonts w:hint="eastAsia" w:ascii="仿宋" w:hAnsi="仿宋" w:eastAsia="仿宋"/>
          <w:color w:val="auto"/>
          <w:sz w:val="24"/>
          <w:szCs w:val="24"/>
          <w:highlight w:val="none"/>
          <w:lang w:eastAsia="zh-CN" w:bidi="en-US"/>
        </w:rPr>
        <w:t>招标</w:t>
      </w:r>
      <w:r>
        <w:rPr>
          <w:rFonts w:hint="eastAsia" w:ascii="仿宋" w:hAnsi="仿宋" w:eastAsia="仿宋"/>
          <w:color w:val="auto"/>
          <w:sz w:val="24"/>
          <w:szCs w:val="24"/>
          <w:highlight w:val="none"/>
          <w:lang w:bidi="en-US"/>
        </w:rPr>
        <w:t>文件内容违反国家有关规定的，要停止评审工作并向</w:t>
      </w:r>
      <w:r>
        <w:rPr>
          <w:rFonts w:hint="eastAsia" w:ascii="仿宋" w:hAnsi="仿宋" w:eastAsia="仿宋"/>
          <w:color w:val="auto"/>
          <w:sz w:val="24"/>
          <w:szCs w:val="24"/>
          <w:highlight w:val="none"/>
          <w:lang w:eastAsia="zh-CN"/>
        </w:rPr>
        <w:t>招标</w:t>
      </w:r>
      <w:r>
        <w:rPr>
          <w:rFonts w:hint="eastAsia" w:ascii="仿宋" w:hAnsi="仿宋" w:eastAsia="仿宋"/>
          <w:color w:val="auto"/>
          <w:sz w:val="24"/>
          <w:szCs w:val="24"/>
          <w:highlight w:val="none"/>
          <w:lang w:bidi="en-US"/>
        </w:rPr>
        <w:t>人或</w:t>
      </w:r>
      <w:r>
        <w:rPr>
          <w:rFonts w:hint="eastAsia" w:ascii="仿宋" w:hAnsi="仿宋" w:eastAsia="仿宋"/>
          <w:color w:val="auto"/>
          <w:sz w:val="24"/>
          <w:szCs w:val="24"/>
          <w:highlight w:val="none"/>
          <w:lang w:eastAsia="zh-CN" w:bidi="en-US"/>
        </w:rPr>
        <w:t>招标</w:t>
      </w:r>
      <w:r>
        <w:rPr>
          <w:rFonts w:hint="eastAsia" w:ascii="仿宋" w:hAnsi="仿宋" w:eastAsia="仿宋"/>
          <w:color w:val="auto"/>
          <w:sz w:val="24"/>
          <w:szCs w:val="24"/>
          <w:highlight w:val="none"/>
          <w:lang w:bidi="en-US"/>
        </w:rPr>
        <w:t>代理机构书面说明情况，</w:t>
      </w:r>
      <w:r>
        <w:rPr>
          <w:rFonts w:hint="eastAsia" w:ascii="仿宋" w:hAnsi="仿宋" w:eastAsia="仿宋"/>
          <w:color w:val="auto"/>
          <w:sz w:val="24"/>
          <w:szCs w:val="24"/>
          <w:highlight w:val="none"/>
          <w:lang w:eastAsia="zh-CN"/>
        </w:rPr>
        <w:t>招标</w:t>
      </w:r>
      <w:r>
        <w:rPr>
          <w:rFonts w:hint="eastAsia" w:ascii="仿宋" w:hAnsi="仿宋" w:eastAsia="仿宋"/>
          <w:color w:val="auto"/>
          <w:sz w:val="24"/>
          <w:szCs w:val="24"/>
          <w:highlight w:val="none"/>
          <w:lang w:bidi="en-US"/>
        </w:rPr>
        <w:t>人或</w:t>
      </w:r>
      <w:r>
        <w:rPr>
          <w:rFonts w:hint="eastAsia" w:ascii="仿宋" w:hAnsi="仿宋" w:eastAsia="仿宋"/>
          <w:color w:val="auto"/>
          <w:sz w:val="24"/>
          <w:szCs w:val="24"/>
          <w:highlight w:val="none"/>
          <w:lang w:eastAsia="zh-CN" w:bidi="en-US"/>
        </w:rPr>
        <w:t>招标</w:t>
      </w:r>
      <w:r>
        <w:rPr>
          <w:rFonts w:hint="eastAsia" w:ascii="仿宋" w:hAnsi="仿宋" w:eastAsia="仿宋"/>
          <w:color w:val="auto"/>
          <w:sz w:val="24"/>
          <w:szCs w:val="24"/>
          <w:highlight w:val="none"/>
          <w:lang w:bidi="en-US"/>
        </w:rPr>
        <w:t>代理机构应当修改</w:t>
      </w:r>
      <w:r>
        <w:rPr>
          <w:rFonts w:hint="eastAsia" w:ascii="仿宋" w:hAnsi="仿宋" w:eastAsia="仿宋" w:cs="宋体"/>
          <w:color w:val="auto"/>
          <w:kern w:val="2"/>
          <w:sz w:val="24"/>
          <w:szCs w:val="24"/>
          <w:highlight w:val="none"/>
          <w:lang w:eastAsia="zh-CN"/>
        </w:rPr>
        <w:t>招标</w:t>
      </w:r>
      <w:r>
        <w:rPr>
          <w:rFonts w:hint="eastAsia" w:ascii="仿宋" w:hAnsi="仿宋" w:eastAsia="仿宋"/>
          <w:color w:val="auto"/>
          <w:sz w:val="24"/>
          <w:szCs w:val="24"/>
          <w:highlight w:val="none"/>
          <w:lang w:bidi="en-US"/>
        </w:rPr>
        <w:t>文件后重新组织</w:t>
      </w:r>
      <w:r>
        <w:rPr>
          <w:rFonts w:hint="eastAsia" w:ascii="仿宋" w:hAnsi="仿宋" w:eastAsia="仿宋"/>
          <w:color w:val="auto"/>
          <w:sz w:val="24"/>
          <w:szCs w:val="24"/>
          <w:highlight w:val="none"/>
          <w:lang w:eastAsia="zh-CN" w:bidi="en-US"/>
        </w:rPr>
        <w:t>招标</w:t>
      </w:r>
      <w:r>
        <w:rPr>
          <w:rFonts w:hint="eastAsia" w:ascii="仿宋" w:hAnsi="仿宋" w:eastAsia="仿宋"/>
          <w:color w:val="auto"/>
          <w:sz w:val="24"/>
          <w:szCs w:val="24"/>
          <w:highlight w:val="none"/>
          <w:lang w:bidi="en-US"/>
        </w:rPr>
        <w:t>活动；发现</w:t>
      </w:r>
      <w:r>
        <w:rPr>
          <w:rFonts w:hint="eastAsia" w:ascii="仿宋" w:hAnsi="仿宋" w:eastAsia="仿宋"/>
          <w:color w:val="auto"/>
          <w:sz w:val="24"/>
          <w:szCs w:val="24"/>
          <w:highlight w:val="none"/>
          <w:lang w:eastAsia="zh-CN" w:bidi="en-US"/>
        </w:rPr>
        <w:t>投标人</w:t>
      </w:r>
      <w:r>
        <w:rPr>
          <w:rFonts w:hint="eastAsia" w:ascii="仿宋" w:hAnsi="仿宋" w:eastAsia="仿宋"/>
          <w:color w:val="auto"/>
          <w:sz w:val="24"/>
          <w:szCs w:val="24"/>
          <w:highlight w:val="none"/>
          <w:lang w:bidi="en-US"/>
        </w:rPr>
        <w:t>提供虚假材料、串通等违法违规行为的，要及时向</w:t>
      </w:r>
      <w:r>
        <w:rPr>
          <w:rFonts w:hint="eastAsia" w:ascii="仿宋" w:hAnsi="仿宋" w:eastAsia="仿宋"/>
          <w:color w:val="auto"/>
          <w:sz w:val="24"/>
          <w:szCs w:val="24"/>
          <w:highlight w:val="none"/>
          <w:lang w:eastAsia="zh-CN"/>
        </w:rPr>
        <w:t>招标</w:t>
      </w:r>
      <w:r>
        <w:rPr>
          <w:rFonts w:hint="eastAsia" w:ascii="仿宋" w:hAnsi="仿宋" w:eastAsia="仿宋"/>
          <w:color w:val="auto"/>
          <w:sz w:val="24"/>
          <w:szCs w:val="24"/>
          <w:highlight w:val="none"/>
          <w:lang w:bidi="en-US"/>
        </w:rPr>
        <w:t>人或</w:t>
      </w:r>
      <w:r>
        <w:rPr>
          <w:rFonts w:hint="eastAsia" w:ascii="仿宋" w:hAnsi="仿宋" w:eastAsia="仿宋"/>
          <w:color w:val="auto"/>
          <w:sz w:val="24"/>
          <w:szCs w:val="24"/>
          <w:highlight w:val="none"/>
          <w:lang w:eastAsia="zh-CN" w:bidi="en-US"/>
        </w:rPr>
        <w:t>招标</w:t>
      </w:r>
      <w:r>
        <w:rPr>
          <w:rFonts w:hint="eastAsia" w:ascii="仿宋" w:hAnsi="仿宋" w:eastAsia="仿宋"/>
          <w:color w:val="auto"/>
          <w:sz w:val="24"/>
          <w:szCs w:val="24"/>
          <w:highlight w:val="none"/>
          <w:lang w:bidi="en-US"/>
        </w:rPr>
        <w:t>代理机构报告。</w:t>
      </w:r>
      <w:r>
        <w:rPr>
          <w:rFonts w:ascii="仿宋" w:hAnsi="仿宋" w:eastAsia="仿宋"/>
          <w:color w:val="auto"/>
          <w:sz w:val="24"/>
          <w:szCs w:val="24"/>
          <w:highlight w:val="none"/>
          <w:lang w:bidi="en-US"/>
        </w:rPr>
        <w:fldChar w:fldCharType="begin"/>
      </w:r>
      <w:r>
        <w:rPr>
          <w:rFonts w:ascii="仿宋" w:hAnsi="仿宋" w:eastAsia="仿宋"/>
          <w:color w:val="auto"/>
          <w:sz w:val="24"/>
          <w:szCs w:val="24"/>
          <w:highlight w:val="none"/>
          <w:lang w:bidi="en-US"/>
        </w:rPr>
        <w:instrText xml:space="preserve"> AUTOTEXT  input1 \* MERGEFORMAT </w:instrText>
      </w:r>
      <w:r>
        <w:rPr>
          <w:rFonts w:ascii="仿宋" w:hAnsi="仿宋" w:eastAsia="仿宋"/>
          <w:color w:val="auto"/>
          <w:sz w:val="24"/>
          <w:szCs w:val="24"/>
          <w:highlight w:val="none"/>
          <w:lang w:bidi="en-US"/>
        </w:rPr>
        <w:fldChar w:fldCharType="separate"/>
      </w:r>
      <w:r>
        <w:rPr>
          <w:rFonts w:ascii="仿宋" w:hAnsi="仿宋" w:eastAsia="仿宋"/>
          <w:color w:val="auto"/>
          <w:sz w:val="24"/>
          <w:szCs w:val="24"/>
          <w:highlight w:val="none"/>
          <w:lang w:bidi="en-US"/>
        </w:rPr>
        <w:fldChar w:fldCharType="end"/>
      </w:r>
    </w:p>
    <w:p w14:paraId="15684EB4">
      <w:pPr>
        <w:spacing w:line="360" w:lineRule="auto"/>
        <w:jc w:val="center"/>
        <w:rPr>
          <w:rFonts w:ascii="仿宋" w:hAnsi="仿宋" w:eastAsia="仿宋"/>
          <w:b/>
          <w:bCs/>
          <w:color w:val="auto"/>
          <w:sz w:val="32"/>
          <w:szCs w:val="32"/>
          <w:highlight w:val="none"/>
        </w:rPr>
      </w:pPr>
    </w:p>
    <w:p w14:paraId="21D0C99D">
      <w:pPr>
        <w:spacing w:line="360" w:lineRule="auto"/>
        <w:jc w:val="center"/>
        <w:rPr>
          <w:rFonts w:ascii="仿宋" w:hAnsi="仿宋" w:eastAsia="仿宋"/>
          <w:b/>
          <w:bCs/>
          <w:color w:val="auto"/>
          <w:sz w:val="32"/>
          <w:szCs w:val="32"/>
          <w:highlight w:val="none"/>
        </w:rPr>
      </w:pPr>
    </w:p>
    <w:p w14:paraId="183846F7">
      <w:pPr>
        <w:spacing w:line="360" w:lineRule="auto"/>
        <w:jc w:val="center"/>
        <w:rPr>
          <w:rFonts w:ascii="仿宋" w:hAnsi="仿宋" w:eastAsia="仿宋"/>
          <w:b/>
          <w:bCs/>
          <w:color w:val="auto"/>
          <w:sz w:val="32"/>
          <w:szCs w:val="32"/>
          <w:highlight w:val="none"/>
        </w:rPr>
      </w:pPr>
    </w:p>
    <w:p w14:paraId="6E9CE853">
      <w:pPr>
        <w:spacing w:line="360" w:lineRule="auto"/>
        <w:jc w:val="center"/>
        <w:rPr>
          <w:rFonts w:ascii="仿宋" w:hAnsi="仿宋" w:eastAsia="仿宋"/>
          <w:b/>
          <w:bCs/>
          <w:color w:val="auto"/>
          <w:sz w:val="32"/>
          <w:szCs w:val="32"/>
          <w:highlight w:val="none"/>
        </w:rPr>
      </w:pPr>
    </w:p>
    <w:p w14:paraId="3CC34B0D">
      <w:pPr>
        <w:spacing w:line="360" w:lineRule="auto"/>
        <w:jc w:val="center"/>
        <w:rPr>
          <w:rFonts w:ascii="仿宋" w:hAnsi="仿宋" w:eastAsia="仿宋"/>
          <w:b/>
          <w:bCs/>
          <w:color w:val="auto"/>
          <w:sz w:val="32"/>
          <w:szCs w:val="32"/>
          <w:highlight w:val="none"/>
        </w:rPr>
      </w:pPr>
    </w:p>
    <w:p w14:paraId="2C2D8804">
      <w:pPr>
        <w:pStyle w:val="23"/>
        <w:rPr>
          <w:color w:val="auto"/>
          <w:highlight w:val="none"/>
        </w:rPr>
      </w:pPr>
    </w:p>
    <w:p w14:paraId="6C279380">
      <w:pPr>
        <w:rPr>
          <w:color w:val="auto"/>
          <w:highlight w:val="none"/>
        </w:rPr>
      </w:pPr>
    </w:p>
    <w:p w14:paraId="7A3C9962">
      <w:pPr>
        <w:pStyle w:val="23"/>
        <w:rPr>
          <w:color w:val="auto"/>
          <w:highlight w:val="none"/>
        </w:rPr>
      </w:pPr>
    </w:p>
    <w:p w14:paraId="23C4C9B1">
      <w:pPr>
        <w:pStyle w:val="4"/>
        <w:numPr>
          <w:ilvl w:val="0"/>
          <w:numId w:val="0"/>
        </w:numPr>
        <w:ind w:leftChars="0"/>
        <w:jc w:val="both"/>
        <w:rPr>
          <w:color w:val="auto"/>
          <w:highlight w:val="none"/>
        </w:rPr>
      </w:pPr>
    </w:p>
    <w:p w14:paraId="1A3FFDCC">
      <w:pPr>
        <w:rPr>
          <w:color w:val="auto"/>
          <w:highlight w:val="none"/>
        </w:rPr>
      </w:pPr>
    </w:p>
    <w:p w14:paraId="3974175C">
      <w:pPr>
        <w:pStyle w:val="2"/>
        <w:rPr>
          <w:color w:val="auto"/>
          <w:highlight w:val="none"/>
        </w:rPr>
      </w:pPr>
    </w:p>
    <w:p w14:paraId="1877D184">
      <w:pPr>
        <w:rPr>
          <w:color w:val="auto"/>
          <w:highlight w:val="none"/>
        </w:rPr>
      </w:pPr>
    </w:p>
    <w:p w14:paraId="4EA13D9B">
      <w:pPr>
        <w:pStyle w:val="2"/>
        <w:rPr>
          <w:color w:val="auto"/>
          <w:highlight w:val="none"/>
        </w:rPr>
      </w:pPr>
    </w:p>
    <w:p w14:paraId="1D7A2F81">
      <w:pPr>
        <w:rPr>
          <w:color w:val="auto"/>
          <w:highlight w:val="none"/>
        </w:rPr>
      </w:pPr>
    </w:p>
    <w:p w14:paraId="60636819">
      <w:pPr>
        <w:pStyle w:val="2"/>
        <w:rPr>
          <w:color w:val="auto"/>
          <w:highlight w:val="none"/>
        </w:rPr>
      </w:pPr>
    </w:p>
    <w:p w14:paraId="78131712">
      <w:pPr>
        <w:rPr>
          <w:color w:val="auto"/>
          <w:highlight w:val="none"/>
        </w:rPr>
      </w:pPr>
    </w:p>
    <w:p w14:paraId="4F3DF575">
      <w:pPr>
        <w:pStyle w:val="2"/>
        <w:rPr>
          <w:color w:val="auto"/>
          <w:highlight w:val="none"/>
        </w:rPr>
      </w:pPr>
    </w:p>
    <w:p w14:paraId="2FA1BCFD">
      <w:pPr>
        <w:rPr>
          <w:color w:val="auto"/>
          <w:highlight w:val="none"/>
        </w:rPr>
      </w:pPr>
    </w:p>
    <w:p w14:paraId="0583D979">
      <w:pPr>
        <w:pStyle w:val="2"/>
        <w:rPr>
          <w:color w:val="auto"/>
          <w:highlight w:val="none"/>
        </w:rPr>
      </w:pPr>
    </w:p>
    <w:p w14:paraId="4F2ACACA">
      <w:pPr>
        <w:rPr>
          <w:color w:val="auto"/>
          <w:highlight w:val="none"/>
        </w:rPr>
      </w:pPr>
    </w:p>
    <w:p w14:paraId="4ED9E080">
      <w:pPr>
        <w:pStyle w:val="2"/>
        <w:rPr>
          <w:color w:val="auto"/>
          <w:highlight w:val="none"/>
        </w:rPr>
      </w:pPr>
    </w:p>
    <w:p w14:paraId="17AE49F4">
      <w:pPr>
        <w:rPr>
          <w:color w:val="auto"/>
          <w:highlight w:val="none"/>
        </w:rPr>
      </w:pPr>
    </w:p>
    <w:p w14:paraId="412E5776">
      <w:pPr>
        <w:pStyle w:val="2"/>
        <w:rPr>
          <w:color w:val="auto"/>
          <w:highlight w:val="none"/>
        </w:rPr>
      </w:pPr>
    </w:p>
    <w:p w14:paraId="1CE805A4">
      <w:pPr>
        <w:rPr>
          <w:color w:val="auto"/>
          <w:highlight w:val="none"/>
        </w:rPr>
      </w:pPr>
    </w:p>
    <w:p w14:paraId="791A9CD9">
      <w:pPr>
        <w:pStyle w:val="2"/>
        <w:rPr>
          <w:color w:val="auto"/>
          <w:highlight w:val="none"/>
        </w:rPr>
      </w:pPr>
    </w:p>
    <w:p w14:paraId="58CC44A8">
      <w:pPr>
        <w:rPr>
          <w:color w:val="auto"/>
          <w:highlight w:val="none"/>
        </w:rPr>
      </w:pPr>
    </w:p>
    <w:p w14:paraId="139EA2E9">
      <w:pPr>
        <w:pStyle w:val="2"/>
        <w:rPr>
          <w:color w:val="auto"/>
          <w:highlight w:val="none"/>
        </w:rPr>
      </w:pPr>
    </w:p>
    <w:p w14:paraId="7F8822D5">
      <w:pPr>
        <w:rPr>
          <w:color w:val="auto"/>
          <w:highlight w:val="none"/>
        </w:rPr>
      </w:pPr>
    </w:p>
    <w:p w14:paraId="41D81EED">
      <w:pPr>
        <w:pStyle w:val="2"/>
        <w:rPr>
          <w:color w:val="auto"/>
          <w:highlight w:val="none"/>
        </w:rPr>
      </w:pPr>
    </w:p>
    <w:p w14:paraId="17CDA59E">
      <w:pPr>
        <w:rPr>
          <w:color w:val="auto"/>
          <w:highlight w:val="none"/>
        </w:rPr>
      </w:pPr>
    </w:p>
    <w:p w14:paraId="768E3601">
      <w:pPr>
        <w:rPr>
          <w:color w:val="auto"/>
          <w:highlight w:val="none"/>
        </w:rPr>
      </w:pPr>
    </w:p>
    <w:p w14:paraId="3A481D9B">
      <w:pPr>
        <w:rPr>
          <w:color w:val="auto"/>
          <w:highlight w:val="none"/>
        </w:rPr>
      </w:pPr>
    </w:p>
    <w:p w14:paraId="217AD58A">
      <w:pPr>
        <w:rPr>
          <w:color w:val="auto"/>
          <w:highlight w:val="none"/>
        </w:rPr>
      </w:pPr>
    </w:p>
    <w:p w14:paraId="47847719">
      <w:pPr>
        <w:rPr>
          <w:color w:val="auto"/>
          <w:highlight w:val="none"/>
        </w:rPr>
      </w:pPr>
    </w:p>
    <w:p w14:paraId="7B055435">
      <w:pPr>
        <w:rPr>
          <w:color w:val="auto"/>
          <w:highlight w:val="none"/>
        </w:rPr>
      </w:pPr>
    </w:p>
    <w:p w14:paraId="6B84817F">
      <w:pPr>
        <w:pStyle w:val="4"/>
        <w:rPr>
          <w:color w:val="auto"/>
          <w:highlight w:val="none"/>
        </w:rPr>
      </w:pPr>
    </w:p>
    <w:p w14:paraId="155A97D7">
      <w:pPr>
        <w:spacing w:line="360" w:lineRule="auto"/>
        <w:jc w:val="center"/>
        <w:outlineLvl w:val="0"/>
        <w:rPr>
          <w:rFonts w:ascii="仿宋" w:hAnsi="仿宋" w:eastAsia="仿宋"/>
          <w:b/>
          <w:bCs/>
          <w:color w:val="auto"/>
          <w:sz w:val="32"/>
          <w:szCs w:val="32"/>
          <w:highlight w:val="none"/>
        </w:rPr>
      </w:pPr>
      <w:bookmarkStart w:id="377" w:name="_Toc12352"/>
      <w:r>
        <w:rPr>
          <w:rFonts w:hint="eastAsia" w:ascii="仿宋" w:hAnsi="仿宋" w:eastAsia="仿宋"/>
          <w:b/>
          <w:bCs/>
          <w:color w:val="auto"/>
          <w:sz w:val="32"/>
          <w:szCs w:val="32"/>
          <w:highlight w:val="none"/>
        </w:rPr>
        <w:t>第四章合同文件条款</w:t>
      </w:r>
      <w:bookmarkEnd w:id="377"/>
    </w:p>
    <w:p w14:paraId="3E96B083">
      <w:pPr>
        <w:spacing w:line="360" w:lineRule="auto"/>
        <w:jc w:val="center"/>
        <w:rPr>
          <w:rFonts w:ascii="仿宋" w:hAnsi="仿宋" w:eastAsia="仿宋"/>
          <w:b/>
          <w:color w:val="auto"/>
          <w:sz w:val="32"/>
          <w:szCs w:val="32"/>
          <w:highlight w:val="none"/>
        </w:rPr>
      </w:pPr>
      <w:r>
        <w:rPr>
          <w:rFonts w:ascii="仿宋" w:hAnsi="仿宋" w:eastAsia="仿宋"/>
          <w:b/>
          <w:color w:val="auto"/>
          <w:sz w:val="32"/>
          <w:szCs w:val="32"/>
          <w:highlight w:val="none"/>
        </w:rPr>
        <w:t>（仅供参考，具体以</w:t>
      </w:r>
      <w:r>
        <w:rPr>
          <w:rFonts w:hint="eastAsia" w:ascii="仿宋" w:hAnsi="仿宋" w:eastAsia="仿宋"/>
          <w:b/>
          <w:color w:val="auto"/>
          <w:sz w:val="32"/>
          <w:szCs w:val="32"/>
          <w:highlight w:val="none"/>
        </w:rPr>
        <w:t>实际签订合同为准</w:t>
      </w:r>
      <w:r>
        <w:rPr>
          <w:rFonts w:ascii="仿宋" w:hAnsi="仿宋" w:eastAsia="仿宋"/>
          <w:b/>
          <w:color w:val="auto"/>
          <w:sz w:val="32"/>
          <w:szCs w:val="32"/>
          <w:highlight w:val="none"/>
        </w:rPr>
        <w:t>）</w:t>
      </w:r>
    </w:p>
    <w:p w14:paraId="2525A289">
      <w:pPr>
        <w:pStyle w:val="23"/>
        <w:rPr>
          <w:color w:val="auto"/>
          <w:highlight w:val="none"/>
        </w:rPr>
      </w:pPr>
    </w:p>
    <w:p w14:paraId="5A385B8C">
      <w:pPr>
        <w:rPr>
          <w:color w:val="auto"/>
          <w:highlight w:val="none"/>
        </w:rPr>
      </w:pPr>
    </w:p>
    <w:p w14:paraId="035CCFAD">
      <w:pPr>
        <w:pStyle w:val="23"/>
        <w:rPr>
          <w:color w:val="auto"/>
          <w:highlight w:val="none"/>
        </w:rPr>
      </w:pPr>
    </w:p>
    <w:p w14:paraId="04A6A6C8">
      <w:pPr>
        <w:rPr>
          <w:color w:val="auto"/>
          <w:highlight w:val="none"/>
        </w:rPr>
      </w:pPr>
    </w:p>
    <w:p w14:paraId="09328317">
      <w:pPr>
        <w:widowControl/>
        <w:jc w:val="left"/>
        <w:rPr>
          <w:rFonts w:ascii="仿宋" w:hAnsi="仿宋" w:eastAsia="仿宋"/>
          <w:b/>
          <w:color w:val="auto"/>
          <w:sz w:val="32"/>
          <w:szCs w:val="32"/>
          <w:highlight w:val="none"/>
        </w:rPr>
      </w:pPr>
      <w:r>
        <w:rPr>
          <w:rFonts w:ascii="仿宋" w:hAnsi="仿宋" w:eastAsia="仿宋"/>
          <w:b/>
          <w:color w:val="auto"/>
          <w:sz w:val="32"/>
          <w:szCs w:val="32"/>
          <w:highlight w:val="none"/>
        </w:rPr>
        <w:br w:type="page"/>
      </w:r>
    </w:p>
    <w:p w14:paraId="33EB712F">
      <w:pPr>
        <w:widowControl/>
        <w:jc w:val="left"/>
        <w:rPr>
          <w:rFonts w:hint="eastAsia" w:ascii="仿宋" w:hAnsi="仿宋" w:eastAsia="仿宋" w:cs="仿宋"/>
          <w:color w:val="auto"/>
          <w:sz w:val="28"/>
          <w:szCs w:val="28"/>
          <w:highlight w:val="none"/>
        </w:rPr>
      </w:pPr>
    </w:p>
    <w:p w14:paraId="7CB9D01B">
      <w:pPr>
        <w:widowControl/>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合同编号：</w:t>
      </w:r>
      <w:r>
        <w:rPr>
          <w:rFonts w:hint="eastAsia" w:ascii="仿宋" w:hAnsi="仿宋" w:eastAsia="仿宋" w:cs="仿宋"/>
          <w:color w:val="auto"/>
          <w:sz w:val="28"/>
          <w:szCs w:val="28"/>
          <w:highlight w:val="none"/>
          <w:lang w:val="en-US" w:eastAsia="zh-CN"/>
        </w:rPr>
        <w:t xml:space="preserve">                               项目</w:t>
      </w:r>
      <w:r>
        <w:rPr>
          <w:rFonts w:hint="eastAsia" w:ascii="仿宋" w:hAnsi="仿宋" w:eastAsia="仿宋" w:cs="仿宋"/>
          <w:color w:val="auto"/>
          <w:sz w:val="28"/>
          <w:szCs w:val="28"/>
          <w:highlight w:val="none"/>
        </w:rPr>
        <w:t>编号：</w:t>
      </w:r>
    </w:p>
    <w:p w14:paraId="4875B9EF">
      <w:pPr>
        <w:widowControl/>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●本合同须加盖甲乙双方骑缝章有效</w:t>
      </w:r>
    </w:p>
    <w:p w14:paraId="3708ECCC">
      <w:pPr>
        <w:widowControl/>
        <w:spacing w:line="240" w:lineRule="auto"/>
        <w:jc w:val="center"/>
        <w:rPr>
          <w:rFonts w:hint="eastAsia" w:ascii="仿宋" w:hAnsi="仿宋" w:eastAsia="仿宋" w:cs="仿宋"/>
          <w:color w:val="auto"/>
          <w:sz w:val="48"/>
          <w:szCs w:val="48"/>
          <w:highlight w:val="none"/>
        </w:rPr>
      </w:pPr>
    </w:p>
    <w:p w14:paraId="18F11080">
      <w:pPr>
        <w:pStyle w:val="2"/>
        <w:tabs>
          <w:tab w:val="left" w:pos="0"/>
        </w:tabs>
        <w:rPr>
          <w:rFonts w:hint="eastAsia" w:ascii="仿宋" w:hAnsi="仿宋" w:eastAsia="仿宋" w:cs="仿宋"/>
          <w:color w:val="auto"/>
          <w:highlight w:val="none"/>
        </w:rPr>
      </w:pPr>
    </w:p>
    <w:p w14:paraId="5F8BD47D">
      <w:pPr>
        <w:widowControl/>
        <w:spacing w:line="240" w:lineRule="auto"/>
        <w:jc w:val="center"/>
        <w:rPr>
          <w:rFonts w:hint="eastAsia" w:ascii="仿宋" w:hAnsi="仿宋" w:eastAsia="仿宋" w:cs="仿宋"/>
          <w:color w:val="auto"/>
          <w:sz w:val="36"/>
          <w:szCs w:val="36"/>
          <w:highlight w:val="none"/>
        </w:rPr>
      </w:pPr>
    </w:p>
    <w:p w14:paraId="4F0D4EF9">
      <w:pPr>
        <w:widowControl/>
        <w:spacing w:line="240" w:lineRule="auto"/>
        <w:jc w:val="center"/>
        <w:rPr>
          <w:rFonts w:hint="eastAsia" w:ascii="仿宋" w:hAnsi="仿宋" w:eastAsia="仿宋" w:cs="仿宋"/>
          <w:color w:val="auto"/>
          <w:sz w:val="36"/>
          <w:szCs w:val="36"/>
          <w:highlight w:val="none"/>
        </w:rPr>
      </w:pPr>
    </w:p>
    <w:p w14:paraId="0E7B54FB">
      <w:pPr>
        <w:widowControl/>
        <w:spacing w:line="240" w:lineRule="auto"/>
        <w:jc w:val="center"/>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rPr>
        <w:t>政府采购</w:t>
      </w:r>
    </w:p>
    <w:p w14:paraId="24DEF89F">
      <w:pPr>
        <w:widowControl/>
        <w:spacing w:line="240" w:lineRule="auto"/>
        <w:jc w:val="center"/>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（委托采购）</w:t>
      </w:r>
    </w:p>
    <w:p w14:paraId="5D82C07D">
      <w:pPr>
        <w:widowControl/>
        <w:jc w:val="center"/>
        <w:rPr>
          <w:rFonts w:hint="eastAsia" w:ascii="仿宋" w:hAnsi="仿宋" w:eastAsia="仿宋" w:cs="仿宋"/>
          <w:color w:val="auto"/>
          <w:sz w:val="21"/>
          <w:szCs w:val="21"/>
          <w:highlight w:val="none"/>
          <w:lang w:eastAsia="zh-CN"/>
        </w:rPr>
      </w:pPr>
    </w:p>
    <w:p w14:paraId="63FADC1A">
      <w:pPr>
        <w:pStyle w:val="23"/>
        <w:rPr>
          <w:rFonts w:hint="eastAsia" w:ascii="仿宋" w:hAnsi="仿宋" w:eastAsia="仿宋" w:cs="仿宋"/>
          <w:color w:val="auto"/>
          <w:sz w:val="20"/>
          <w:szCs w:val="20"/>
          <w:highlight w:val="none"/>
          <w:lang w:eastAsia="zh-CN"/>
        </w:rPr>
      </w:pPr>
    </w:p>
    <w:p w14:paraId="21627E24">
      <w:pPr>
        <w:widowControl/>
        <w:jc w:val="center"/>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rPr>
        <w:t>合</w:t>
      </w:r>
    </w:p>
    <w:p w14:paraId="5B99D072">
      <w:pPr>
        <w:pStyle w:val="23"/>
        <w:rPr>
          <w:rFonts w:hint="eastAsia" w:ascii="仿宋" w:hAnsi="仿宋" w:eastAsia="仿宋" w:cs="仿宋"/>
          <w:color w:val="auto"/>
          <w:sz w:val="44"/>
          <w:szCs w:val="44"/>
          <w:highlight w:val="none"/>
          <w:lang w:eastAsia="zh-CN"/>
        </w:rPr>
      </w:pPr>
    </w:p>
    <w:p w14:paraId="68C00080">
      <w:pPr>
        <w:widowControl/>
        <w:jc w:val="center"/>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rPr>
        <w:t>同</w:t>
      </w:r>
    </w:p>
    <w:p w14:paraId="00FE425E">
      <w:pPr>
        <w:pStyle w:val="23"/>
        <w:rPr>
          <w:rFonts w:hint="eastAsia" w:ascii="仿宋" w:hAnsi="仿宋" w:eastAsia="仿宋" w:cs="仿宋"/>
          <w:color w:val="auto"/>
          <w:sz w:val="44"/>
          <w:szCs w:val="44"/>
          <w:highlight w:val="none"/>
          <w:lang w:eastAsia="zh-CN"/>
        </w:rPr>
      </w:pPr>
    </w:p>
    <w:p w14:paraId="4B0E2BD5">
      <w:pPr>
        <w:widowControl/>
        <w:jc w:val="center"/>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rPr>
        <w:t>书</w:t>
      </w:r>
    </w:p>
    <w:p w14:paraId="7BDFACBF">
      <w:pPr>
        <w:pStyle w:val="23"/>
        <w:rPr>
          <w:rFonts w:hint="eastAsia" w:ascii="仿宋" w:hAnsi="仿宋" w:eastAsia="仿宋" w:cs="仿宋"/>
          <w:color w:val="auto"/>
          <w:sz w:val="28"/>
          <w:szCs w:val="28"/>
          <w:highlight w:val="none"/>
          <w:lang w:eastAsia="zh-CN"/>
        </w:rPr>
      </w:pPr>
    </w:p>
    <w:p w14:paraId="54DD5CC7">
      <w:pPr>
        <w:widowControl/>
        <w:jc w:val="center"/>
        <w:rPr>
          <w:rFonts w:hint="eastAsia" w:ascii="仿宋" w:hAnsi="仿宋" w:eastAsia="仿宋" w:cs="仿宋"/>
          <w:color w:val="auto"/>
          <w:sz w:val="22"/>
          <w:szCs w:val="28"/>
          <w:highlight w:val="none"/>
        </w:rPr>
      </w:pPr>
    </w:p>
    <w:p w14:paraId="77CDA6F1">
      <w:pPr>
        <w:pStyle w:val="4"/>
        <w:rPr>
          <w:rFonts w:hint="eastAsia"/>
          <w:color w:val="auto"/>
          <w:highlight w:val="none"/>
        </w:rPr>
      </w:pPr>
    </w:p>
    <w:p w14:paraId="5D0688D0">
      <w:pPr>
        <w:rPr>
          <w:rFonts w:hint="eastAsia" w:ascii="仿宋" w:hAnsi="仿宋" w:eastAsia="仿宋" w:cs="仿宋"/>
          <w:color w:val="auto"/>
          <w:sz w:val="22"/>
          <w:szCs w:val="28"/>
          <w:highlight w:val="none"/>
        </w:rPr>
      </w:pPr>
    </w:p>
    <w:p w14:paraId="3778F5E6">
      <w:pPr>
        <w:pStyle w:val="4"/>
        <w:rPr>
          <w:rFonts w:hint="eastAsia"/>
          <w:color w:val="auto"/>
          <w:highlight w:val="none"/>
        </w:rPr>
      </w:pPr>
    </w:p>
    <w:p w14:paraId="59F2C07B">
      <w:pPr>
        <w:rPr>
          <w:rFonts w:hint="eastAsia"/>
          <w:color w:val="auto"/>
          <w:highlight w:val="none"/>
        </w:rPr>
      </w:pPr>
    </w:p>
    <w:p w14:paraId="0594B964">
      <w:pPr>
        <w:widowControl/>
        <w:jc w:val="center"/>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签订地点：</w:t>
      </w:r>
    </w:p>
    <w:p w14:paraId="7CECE855">
      <w:pPr>
        <w:widowControl/>
        <w:jc w:val="center"/>
        <w:rPr>
          <w:rFonts w:hint="eastAsia" w:ascii="仿宋" w:hAnsi="仿宋" w:eastAsia="仿宋" w:cs="仿宋"/>
          <w:color w:val="auto"/>
          <w:sz w:val="24"/>
          <w:szCs w:val="24"/>
          <w:highlight w:val="none"/>
        </w:rPr>
      </w:pPr>
      <w:r>
        <w:rPr>
          <w:rFonts w:hint="eastAsia" w:ascii="仿宋" w:hAnsi="仿宋" w:eastAsia="仿宋" w:cs="仿宋"/>
          <w:b/>
          <w:bCs/>
          <w:color w:val="auto"/>
          <w:sz w:val="32"/>
          <w:szCs w:val="32"/>
          <w:highlight w:val="none"/>
          <w:lang w:val="en-US" w:eastAsia="zh-CN"/>
        </w:rPr>
        <w:t>签订日期：</w:t>
      </w:r>
      <w:r>
        <w:rPr>
          <w:rFonts w:hint="eastAsia" w:ascii="仿宋" w:hAnsi="仿宋" w:eastAsia="仿宋" w:cs="仿宋"/>
          <w:color w:val="auto"/>
          <w:sz w:val="32"/>
          <w:szCs w:val="32"/>
          <w:highlight w:val="none"/>
        </w:rPr>
        <w:br w:type="page"/>
      </w:r>
    </w:p>
    <w:p w14:paraId="327128C3">
      <w:pPr>
        <w:keepNext w:val="0"/>
        <w:keepLines w:val="0"/>
        <w:pageBreakBefore w:val="0"/>
        <w:widowControl/>
        <w:kinsoku/>
        <w:wordWrap/>
        <w:overflowPunct/>
        <w:topLinePunct w:val="0"/>
        <w:bidi w:val="0"/>
        <w:snapToGrid/>
        <w:spacing w:line="48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人公章）名 称：</w:t>
      </w:r>
    </w:p>
    <w:p w14:paraId="12AB44BF">
      <w:pPr>
        <w:keepNext w:val="0"/>
        <w:keepLines w:val="0"/>
        <w:pageBreakBefore w:val="0"/>
        <w:widowControl/>
        <w:kinsoku/>
        <w:wordWrap/>
        <w:overflowPunct/>
        <w:topLinePunct w:val="0"/>
        <w:bidi w:val="0"/>
        <w:snapToGrid/>
        <w:spacing w:line="48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址：</w:t>
      </w:r>
    </w:p>
    <w:p w14:paraId="107A380A">
      <w:pPr>
        <w:keepNext w:val="0"/>
        <w:keepLines w:val="0"/>
        <w:pageBreakBefore w:val="0"/>
        <w:widowControl/>
        <w:kinsoku/>
        <w:wordWrap/>
        <w:overflowPunct/>
        <w:topLinePunct w:val="0"/>
        <w:bidi w:val="0"/>
        <w:snapToGrid/>
        <w:spacing w:line="48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编：</w:t>
      </w:r>
    </w:p>
    <w:p w14:paraId="7C3019A5">
      <w:pPr>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法定代表人或委托代理人：</w:t>
      </w:r>
    </w:p>
    <w:p w14:paraId="20BBE560">
      <w:pPr>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项目（技术）负责人：</w:t>
      </w:r>
    </w:p>
    <w:p w14:paraId="614F9637">
      <w:pPr>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电</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话：</w:t>
      </w:r>
    </w:p>
    <w:p w14:paraId="4FEF67BD">
      <w:pPr>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签订日期：</w:t>
      </w:r>
    </w:p>
    <w:p w14:paraId="5319BCFF">
      <w:pPr>
        <w:pStyle w:val="23"/>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p>
    <w:p w14:paraId="46777133">
      <w:pPr>
        <w:pStyle w:val="23"/>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p>
    <w:p w14:paraId="44C33113">
      <w:pPr>
        <w:pStyle w:val="23"/>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p>
    <w:p w14:paraId="6300C192">
      <w:pPr>
        <w:pStyle w:val="23"/>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p>
    <w:p w14:paraId="735BE5D3">
      <w:pPr>
        <w:pStyle w:val="23"/>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p>
    <w:p w14:paraId="089D58C9">
      <w:pPr>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eastAsia="zh-CN"/>
        </w:rPr>
        <w:t>中标人</w:t>
      </w:r>
      <w:r>
        <w:rPr>
          <w:rFonts w:hint="eastAsia" w:ascii="仿宋" w:hAnsi="仿宋" w:eastAsia="仿宋" w:cs="仿宋"/>
          <w:color w:val="auto"/>
          <w:sz w:val="24"/>
          <w:szCs w:val="24"/>
          <w:highlight w:val="none"/>
        </w:rPr>
        <w:t>公章）名 称：</w:t>
      </w:r>
    </w:p>
    <w:p w14:paraId="6E8C4044">
      <w:pPr>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址：</w:t>
      </w:r>
    </w:p>
    <w:p w14:paraId="062CC739">
      <w:pPr>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邮</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编：</w:t>
      </w:r>
    </w:p>
    <w:p w14:paraId="5C04502A">
      <w:pPr>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法定代表人或委托代理人：</w:t>
      </w:r>
    </w:p>
    <w:p w14:paraId="2C88C534">
      <w:pPr>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经办人：</w:t>
      </w:r>
    </w:p>
    <w:p w14:paraId="3E2FD24E">
      <w:pPr>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电</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话：</w:t>
      </w:r>
    </w:p>
    <w:p w14:paraId="3D846274">
      <w:pPr>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签订日期：</w:t>
      </w:r>
    </w:p>
    <w:p w14:paraId="7250CC4C">
      <w:pPr>
        <w:spacing w:line="240" w:lineRule="auto"/>
        <w:rPr>
          <w:rFonts w:hint="eastAsia" w:ascii="仿宋" w:hAnsi="仿宋" w:eastAsia="仿宋" w:cs="仿宋"/>
          <w:color w:val="auto"/>
          <w:sz w:val="24"/>
          <w:szCs w:val="24"/>
          <w:highlight w:val="none"/>
        </w:rPr>
      </w:pPr>
    </w:p>
    <w:p w14:paraId="5DB0956F">
      <w:pPr>
        <w:widowControl/>
        <w:spacing w:line="360" w:lineRule="auto"/>
        <w:ind w:firstLine="480" w:firstLineChars="200"/>
        <w:rPr>
          <w:rFonts w:hint="eastAsia" w:ascii="仿宋" w:hAnsi="仿宋" w:eastAsia="仿宋" w:cs="仿宋"/>
          <w:color w:val="auto"/>
          <w:kern w:val="0"/>
          <w:sz w:val="24"/>
          <w:szCs w:val="24"/>
          <w:highlight w:val="none"/>
        </w:rPr>
      </w:pPr>
    </w:p>
    <w:p w14:paraId="07320C0A">
      <w:pPr>
        <w:widowControl/>
        <w:spacing w:line="360" w:lineRule="auto"/>
        <w:ind w:firstLine="480" w:firstLineChars="200"/>
        <w:rPr>
          <w:rFonts w:hint="eastAsia" w:ascii="仿宋" w:hAnsi="仿宋" w:eastAsia="仿宋" w:cs="仿宋"/>
          <w:color w:val="auto"/>
          <w:kern w:val="0"/>
          <w:sz w:val="24"/>
          <w:szCs w:val="24"/>
          <w:highlight w:val="none"/>
        </w:rPr>
      </w:pPr>
    </w:p>
    <w:p w14:paraId="0BD7B2B3">
      <w:pPr>
        <w:widowControl/>
        <w:spacing w:line="360" w:lineRule="auto"/>
        <w:rPr>
          <w:rFonts w:hint="eastAsia" w:ascii="仿宋" w:hAnsi="仿宋" w:eastAsia="仿宋" w:cs="仿宋"/>
          <w:color w:val="auto"/>
          <w:kern w:val="0"/>
          <w:sz w:val="24"/>
          <w:szCs w:val="24"/>
          <w:highlight w:val="none"/>
        </w:rPr>
      </w:pPr>
    </w:p>
    <w:p w14:paraId="4C8865E5">
      <w:pPr>
        <w:widowControl/>
        <w:spacing w:line="360" w:lineRule="auto"/>
        <w:ind w:firstLine="480" w:firstLineChars="200"/>
        <w:rPr>
          <w:rFonts w:hint="eastAsia" w:ascii="仿宋" w:hAnsi="仿宋" w:eastAsia="仿宋" w:cs="仿宋"/>
          <w:color w:val="auto"/>
          <w:kern w:val="0"/>
          <w:sz w:val="24"/>
          <w:szCs w:val="24"/>
          <w:highlight w:val="none"/>
        </w:rPr>
      </w:pPr>
    </w:p>
    <w:p w14:paraId="10E8F884">
      <w:pPr>
        <w:widowControl/>
        <w:spacing w:line="360" w:lineRule="auto"/>
        <w:ind w:firstLine="480" w:firstLineChars="200"/>
        <w:rPr>
          <w:rFonts w:hint="eastAsia" w:ascii="仿宋" w:hAnsi="仿宋" w:eastAsia="仿宋" w:cs="仿宋"/>
          <w:color w:val="auto"/>
          <w:kern w:val="0"/>
          <w:sz w:val="24"/>
          <w:szCs w:val="24"/>
          <w:highlight w:val="none"/>
        </w:rPr>
      </w:pPr>
    </w:p>
    <w:p w14:paraId="28185AE5">
      <w:pPr>
        <w:widowControl/>
        <w:spacing w:line="360" w:lineRule="auto"/>
        <w:ind w:firstLine="480" w:firstLineChars="200"/>
        <w:rPr>
          <w:rFonts w:hint="eastAsia" w:ascii="仿宋" w:hAnsi="仿宋" w:eastAsia="仿宋" w:cs="仿宋"/>
          <w:color w:val="auto"/>
          <w:kern w:val="0"/>
          <w:sz w:val="24"/>
          <w:szCs w:val="24"/>
          <w:highlight w:val="none"/>
        </w:rPr>
      </w:pPr>
    </w:p>
    <w:p w14:paraId="70B70981">
      <w:pPr>
        <w:widowControl/>
        <w:spacing w:line="360" w:lineRule="auto"/>
        <w:ind w:firstLine="480" w:firstLineChars="200"/>
        <w:rPr>
          <w:rFonts w:hint="eastAsia" w:ascii="仿宋" w:hAnsi="仿宋" w:eastAsia="仿宋" w:cs="仿宋"/>
          <w:color w:val="auto"/>
          <w:kern w:val="0"/>
          <w:sz w:val="24"/>
          <w:szCs w:val="24"/>
          <w:highlight w:val="none"/>
        </w:rPr>
      </w:pPr>
    </w:p>
    <w:p w14:paraId="1CF5545E">
      <w:pPr>
        <w:widowControl/>
        <w:spacing w:line="360" w:lineRule="auto"/>
        <w:ind w:firstLine="480" w:firstLineChars="200"/>
        <w:rPr>
          <w:rFonts w:hint="eastAsia" w:ascii="仿宋" w:hAnsi="仿宋" w:eastAsia="仿宋" w:cs="仿宋"/>
          <w:color w:val="auto"/>
          <w:kern w:val="0"/>
          <w:sz w:val="24"/>
          <w:szCs w:val="24"/>
          <w:highlight w:val="none"/>
        </w:rPr>
      </w:pPr>
    </w:p>
    <w:p w14:paraId="6EE749DA">
      <w:pPr>
        <w:widowControl/>
        <w:spacing w:line="360" w:lineRule="auto"/>
        <w:ind w:firstLine="480" w:firstLineChars="200"/>
        <w:rPr>
          <w:rFonts w:hint="eastAsia" w:ascii="仿宋" w:hAnsi="仿宋" w:eastAsia="仿宋" w:cs="仿宋"/>
          <w:color w:val="auto"/>
          <w:kern w:val="0"/>
          <w:sz w:val="24"/>
          <w:szCs w:val="24"/>
          <w:highlight w:val="none"/>
        </w:rPr>
      </w:pPr>
    </w:p>
    <w:p w14:paraId="05DC3638">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根据《中华人民共和国民法典》等有关法律法规和规章的规定，甲</w:t>
      </w:r>
      <w:r>
        <w:rPr>
          <w:rFonts w:hint="eastAsia" w:ascii="仿宋" w:hAnsi="仿宋" w:eastAsia="仿宋" w:cs="仿宋"/>
          <w:color w:val="auto"/>
          <w:kern w:val="0"/>
          <w:sz w:val="24"/>
          <w:szCs w:val="24"/>
          <w:highlight w:val="none"/>
        </w:rPr>
        <w:t>乙双方根据</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黑体"/>
          <w:color w:val="auto"/>
          <w:kern w:val="2"/>
          <w:sz w:val="24"/>
          <w:szCs w:val="24"/>
          <w:highlight w:val="none"/>
          <w:lang w:val="en-US" w:eastAsia="zh-CN" w:bidi="ar"/>
        </w:rPr>
        <w:t>普洱市农业农村局第三次全国土壤普查市级成果汇编项目</w:t>
      </w:r>
      <w:r>
        <w:rPr>
          <w:rFonts w:hint="eastAsia" w:ascii="仿宋" w:hAnsi="仿宋" w:eastAsia="仿宋" w:cs="仿宋"/>
          <w:color w:val="auto"/>
          <w:kern w:val="0"/>
          <w:sz w:val="24"/>
          <w:szCs w:val="24"/>
          <w:highlight w:val="none"/>
        </w:rPr>
        <w:t>采购结果，</w:t>
      </w:r>
      <w:r>
        <w:rPr>
          <w:rFonts w:hint="eastAsia" w:ascii="仿宋" w:hAnsi="仿宋" w:eastAsia="仿宋" w:cs="仿宋"/>
          <w:color w:val="auto"/>
          <w:sz w:val="24"/>
          <w:szCs w:val="24"/>
          <w:highlight w:val="none"/>
        </w:rPr>
        <w:t>甲乙双方经过友好协商，本着平等互利、优势互补、共同推进的合作原则，就</w:t>
      </w:r>
      <w:bookmarkStart w:id="378" w:name="_Hlk143956572"/>
      <w:r>
        <w:rPr>
          <w:rFonts w:hint="eastAsia" w:ascii="仿宋" w:hAnsi="仿宋" w:eastAsia="仿宋" w:cs="仿宋"/>
          <w:color w:val="auto"/>
          <w:sz w:val="24"/>
          <w:szCs w:val="24"/>
          <w:highlight w:val="none"/>
        </w:rPr>
        <w:t>甲方委托乙方开展“</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黑体"/>
          <w:color w:val="auto"/>
          <w:kern w:val="2"/>
          <w:sz w:val="24"/>
          <w:szCs w:val="24"/>
          <w:highlight w:val="none"/>
          <w:lang w:val="en-US" w:eastAsia="zh-CN" w:bidi="ar"/>
        </w:rPr>
        <w:t>普洱市农业农村局第三次全国土壤普查市级成果汇编项目</w:t>
      </w:r>
      <w:r>
        <w:rPr>
          <w:rFonts w:hint="eastAsia" w:ascii="仿宋" w:hAnsi="仿宋" w:eastAsia="仿宋" w:cs="仿宋"/>
          <w:color w:val="auto"/>
          <w:sz w:val="24"/>
          <w:szCs w:val="24"/>
          <w:highlight w:val="none"/>
        </w:rPr>
        <w:t>”的相关事宜</w:t>
      </w:r>
      <w:bookmarkEnd w:id="378"/>
      <w:r>
        <w:rPr>
          <w:rFonts w:hint="eastAsia" w:ascii="仿宋" w:hAnsi="仿宋" w:eastAsia="仿宋" w:cs="仿宋"/>
          <w:color w:val="auto"/>
          <w:sz w:val="24"/>
          <w:szCs w:val="24"/>
          <w:highlight w:val="none"/>
        </w:rPr>
        <w:t>达成如下协议，以资共同遵守。</w:t>
      </w:r>
    </w:p>
    <w:p w14:paraId="551B42F7">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一、</w:t>
      </w:r>
      <w:r>
        <w:rPr>
          <w:rFonts w:hint="eastAsia" w:ascii="仿宋" w:hAnsi="仿宋" w:eastAsia="仿宋" w:cs="仿宋"/>
          <w:b/>
          <w:bCs/>
          <w:color w:val="auto"/>
          <w:sz w:val="24"/>
          <w:szCs w:val="24"/>
          <w:highlight w:val="none"/>
          <w:lang w:val="en-US" w:eastAsia="zh-CN"/>
        </w:rPr>
        <w:t>工作内容及范围</w:t>
      </w:r>
    </w:p>
    <w:p w14:paraId="433D72A4">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按照国家及云南省下发的第三次全国土壤普查成果汇总汇交最新版规程的要求和规定，</w:t>
      </w:r>
      <w:r>
        <w:rPr>
          <w:rFonts w:hint="eastAsia" w:ascii="仿宋" w:hAnsi="仿宋" w:eastAsia="仿宋" w:cs="仿宋"/>
          <w:color w:val="auto"/>
          <w:sz w:val="24"/>
          <w:szCs w:val="24"/>
          <w:highlight w:val="none"/>
          <w:lang w:val="en-US" w:eastAsia="zh-CN" w:bidi="ar-SA"/>
        </w:rPr>
        <w:t>开展</w:t>
      </w:r>
      <w:r>
        <w:rPr>
          <w:rFonts w:hint="eastAsia" w:ascii="仿宋" w:hAnsi="仿宋" w:eastAsia="仿宋" w:cs="黑体"/>
          <w:color w:val="auto"/>
          <w:kern w:val="2"/>
          <w:sz w:val="24"/>
          <w:szCs w:val="24"/>
          <w:highlight w:val="none"/>
          <w:lang w:val="en-US" w:eastAsia="zh-CN" w:bidi="ar"/>
        </w:rPr>
        <w:t>普洱市农业农村局第三次全国土壤普查市级成果汇编项目</w:t>
      </w:r>
      <w:r>
        <w:rPr>
          <w:rFonts w:hint="eastAsia" w:ascii="仿宋" w:hAnsi="仿宋" w:eastAsia="仿宋" w:cs="仿宋"/>
          <w:color w:val="auto"/>
          <w:sz w:val="24"/>
          <w:szCs w:val="24"/>
          <w:highlight w:val="none"/>
        </w:rPr>
        <w:t>，配合完成成果验收和成果上</w:t>
      </w:r>
      <w:r>
        <w:rPr>
          <w:rFonts w:hint="eastAsia" w:ascii="仿宋" w:hAnsi="仿宋" w:eastAsia="仿宋" w:cs="仿宋"/>
          <w:color w:val="auto"/>
          <w:sz w:val="24"/>
          <w:szCs w:val="24"/>
          <w:highlight w:val="none"/>
          <w:lang w:val="en-US" w:eastAsia="zh-CN" w:bidi="ar-SA"/>
        </w:rPr>
        <w:t>报。主要成果包括以下内容：</w:t>
      </w:r>
    </w:p>
    <w:p w14:paraId="22E50410">
      <w:pPr>
        <w:pStyle w:val="150"/>
        <w:keepNext w:val="0"/>
        <w:keepLines w:val="0"/>
        <w:pageBreakBefore w:val="0"/>
        <w:numPr>
          <w:ilvl w:val="0"/>
          <w:numId w:val="0"/>
        </w:numPr>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u w:val="none"/>
          <w:lang w:val="en-US" w:eastAsia="zh-CN"/>
        </w:rPr>
        <w:t>1.</w:t>
      </w:r>
      <w:r>
        <w:rPr>
          <w:rFonts w:hint="eastAsia" w:ascii="仿宋" w:hAnsi="仿宋" w:eastAsia="仿宋" w:cs="仿宋"/>
          <w:b/>
          <w:bCs/>
          <w:color w:val="auto"/>
          <w:sz w:val="24"/>
          <w:szCs w:val="24"/>
          <w:highlight w:val="none"/>
          <w:u w:val="single"/>
          <w:lang w:val="en-US" w:eastAsia="zh-CN"/>
        </w:rPr>
        <w:t xml:space="preserve"> 数据成果。</w:t>
      </w:r>
      <w:r>
        <w:rPr>
          <w:rFonts w:hint="eastAsia" w:ascii="仿宋" w:hAnsi="仿宋" w:eastAsia="仿宋" w:cs="仿宋"/>
          <w:color w:val="auto"/>
          <w:sz w:val="24"/>
          <w:szCs w:val="24"/>
          <w:highlight w:val="none"/>
          <w:u w:val="single"/>
          <w:lang w:val="en-US" w:eastAsia="zh-CN"/>
        </w:rPr>
        <w:t>按照</w:t>
      </w:r>
      <w:r>
        <w:rPr>
          <w:rFonts w:hint="eastAsia" w:ascii="仿宋" w:hAnsi="仿宋" w:eastAsia="仿宋" w:cs="仿宋"/>
          <w:color w:val="auto"/>
          <w:sz w:val="24"/>
          <w:szCs w:val="24"/>
          <w:highlight w:val="none"/>
          <w:u w:val="single"/>
        </w:rPr>
        <w:t>《第三次全国土壤普查</w:t>
      </w:r>
      <w:r>
        <w:rPr>
          <w:rFonts w:hint="eastAsia" w:ascii="仿宋" w:hAnsi="仿宋" w:eastAsia="仿宋" w:cs="仿宋"/>
          <w:color w:val="auto"/>
          <w:sz w:val="24"/>
          <w:szCs w:val="24"/>
          <w:highlight w:val="none"/>
          <w:u w:val="single"/>
          <w:lang w:eastAsia="zh-CN"/>
        </w:rPr>
        <w:t>技术</w:t>
      </w:r>
      <w:r>
        <w:rPr>
          <w:rFonts w:hint="eastAsia" w:ascii="仿宋" w:hAnsi="仿宋" w:eastAsia="仿宋" w:cs="仿宋"/>
          <w:color w:val="auto"/>
          <w:sz w:val="24"/>
          <w:szCs w:val="24"/>
          <w:highlight w:val="none"/>
          <w:u w:val="single"/>
          <w:lang w:val="en-US" w:eastAsia="zh-CN" w:bidi="ar-SA"/>
        </w:rPr>
        <w:t>规范规程</w:t>
      </w:r>
      <w:r>
        <w:rPr>
          <w:rFonts w:hint="eastAsia" w:ascii="仿宋" w:hAnsi="仿宋" w:eastAsia="仿宋" w:cs="仿宋"/>
          <w:color w:val="auto"/>
          <w:sz w:val="24"/>
          <w:szCs w:val="24"/>
          <w:highlight w:val="none"/>
          <w:u w:val="single"/>
        </w:rPr>
        <w:t>(修订版)》</w:t>
      </w:r>
      <w:r>
        <w:rPr>
          <w:rFonts w:hint="eastAsia" w:ascii="仿宋" w:hAnsi="仿宋" w:eastAsia="仿宋" w:cs="仿宋"/>
          <w:color w:val="auto"/>
          <w:sz w:val="24"/>
          <w:szCs w:val="24"/>
          <w:highlight w:val="none"/>
          <w:u w:val="single"/>
          <w:lang w:val="en-US" w:eastAsia="zh-CN"/>
        </w:rPr>
        <w:t>及土壤三普有关要求，</w:t>
      </w:r>
      <w:r>
        <w:rPr>
          <w:rFonts w:hint="eastAsia" w:ascii="仿宋" w:hAnsi="仿宋" w:eastAsia="仿宋" w:cs="仿宋"/>
          <w:color w:val="auto"/>
          <w:sz w:val="24"/>
          <w:szCs w:val="24"/>
          <w:highlight w:val="none"/>
          <w:u w:val="single"/>
        </w:rPr>
        <w:t>组织</w:t>
      </w:r>
      <w:r>
        <w:rPr>
          <w:rFonts w:hint="eastAsia" w:ascii="仿宋" w:hAnsi="仿宋" w:eastAsia="仿宋" w:cs="仿宋"/>
          <w:color w:val="auto"/>
          <w:sz w:val="24"/>
          <w:szCs w:val="24"/>
          <w:highlight w:val="none"/>
          <w:u w:val="single"/>
          <w:lang w:val="en-US" w:eastAsia="zh-CN"/>
        </w:rPr>
        <w:t>完成普洱市土壤三普</w:t>
      </w:r>
      <w:r>
        <w:rPr>
          <w:rFonts w:hint="eastAsia" w:ascii="仿宋" w:hAnsi="仿宋" w:eastAsia="仿宋" w:cs="仿宋"/>
          <w:color w:val="auto"/>
          <w:sz w:val="24"/>
          <w:szCs w:val="24"/>
          <w:highlight w:val="none"/>
          <w:u w:val="single"/>
        </w:rPr>
        <w:t>基础数据、过程数据</w:t>
      </w:r>
      <w:r>
        <w:rPr>
          <w:rFonts w:hint="eastAsia" w:ascii="仿宋" w:hAnsi="仿宋" w:eastAsia="仿宋" w:cs="仿宋"/>
          <w:color w:val="auto"/>
          <w:sz w:val="24"/>
          <w:szCs w:val="24"/>
          <w:highlight w:val="none"/>
          <w:u w:val="single"/>
          <w:lang w:val="en-US" w:eastAsia="zh-CN"/>
        </w:rPr>
        <w:t>的收集、采集、检查、整理、管理、存储和提交，最终形成普洱市第三次全国土壤普查基础数据、过程数据和</w:t>
      </w:r>
      <w:r>
        <w:rPr>
          <w:rFonts w:hint="eastAsia" w:ascii="仿宋" w:hAnsi="仿宋" w:eastAsia="仿宋" w:cs="仿宋"/>
          <w:color w:val="auto"/>
          <w:sz w:val="24"/>
          <w:szCs w:val="24"/>
          <w:highlight w:val="none"/>
          <w:u w:val="single"/>
        </w:rPr>
        <w:t>成果数据</w:t>
      </w:r>
      <w:r>
        <w:rPr>
          <w:rFonts w:hint="eastAsia" w:ascii="仿宋" w:hAnsi="仿宋" w:eastAsia="仿宋" w:cs="仿宋"/>
          <w:color w:val="auto"/>
          <w:sz w:val="24"/>
          <w:szCs w:val="24"/>
          <w:highlight w:val="none"/>
          <w:u w:val="single"/>
          <w:lang w:val="en-US" w:eastAsia="zh-CN"/>
        </w:rPr>
        <w:t>，并通过国家、省级和州土壤普查办的验收。</w:t>
      </w:r>
    </w:p>
    <w:p w14:paraId="2483021D">
      <w:pPr>
        <w:widowControl/>
        <w:spacing w:line="480" w:lineRule="exact"/>
        <w:ind w:firstLine="482" w:firstLineChars="200"/>
        <w:rPr>
          <w:rFonts w:hint="eastAsia" w:ascii="仿宋" w:hAnsi="仿宋" w:eastAsia="仿宋" w:cs="宋体"/>
          <w:color w:val="auto"/>
          <w:kern w:val="2"/>
          <w:sz w:val="24"/>
          <w:szCs w:val="24"/>
          <w:highlight w:val="none"/>
          <w:u w:val="single"/>
        </w:rPr>
      </w:pPr>
      <w:r>
        <w:rPr>
          <w:rFonts w:hint="eastAsia" w:ascii="仿宋" w:hAnsi="仿宋" w:eastAsia="仿宋" w:cs="仿宋"/>
          <w:b/>
          <w:bCs/>
          <w:color w:val="auto"/>
          <w:sz w:val="24"/>
          <w:szCs w:val="24"/>
          <w:highlight w:val="none"/>
          <w:u w:val="single"/>
        </w:rPr>
        <w:t>2</w:t>
      </w:r>
      <w:r>
        <w:rPr>
          <w:rFonts w:hint="eastAsia" w:ascii="仿宋" w:hAnsi="仿宋" w:eastAsia="仿宋" w:cs="仿宋"/>
          <w:b/>
          <w:bCs/>
          <w:color w:val="auto"/>
          <w:sz w:val="24"/>
          <w:szCs w:val="24"/>
          <w:highlight w:val="none"/>
          <w:u w:val="single"/>
          <w:lang w:val="en-US" w:eastAsia="zh-CN"/>
        </w:rPr>
        <w:t>.图件成果。</w:t>
      </w:r>
      <w:r>
        <w:rPr>
          <w:rFonts w:hint="eastAsia" w:ascii="仿宋" w:hAnsi="仿宋" w:eastAsia="仿宋" w:cs="宋体"/>
          <w:color w:val="auto"/>
          <w:kern w:val="2"/>
          <w:sz w:val="24"/>
          <w:szCs w:val="24"/>
          <w:highlight w:val="none"/>
          <w:u w:val="single"/>
        </w:rPr>
        <w:t>按照《第三次全国土壤普查技术规范规程(修订版)》、《国务院第三次全国土壤普查领导小组办公室关于印发〈第三次全国土壤普查县级成果编制及验收导引〉的通知》（国土壤普查办发〔2024〕19号）》、《云南省第三次全国土壤普查领导小组办公室关于认真做好第三次全国土壤普查成果编制工作的通知》（云土壤普查办〔2024〕8号）及土壤三普有关要求，组织完成普洱市第三次全国土壤普查土壤类型图、土壤属性图、样点分布图、退化与障碍土壤分布图、土壤农业利用适宜性评价图、耕地质量等级评价图、土特产品区域分布图（茶叶、咖啡）、土特产品土壤优势区与适宜区布局图（茶叶、咖啡）、土壤酸化分布图、土壤侵蚀图、土壤碳中和评价结果图、土壤有机质丰度评价结果图及其它图件成果的编制，提交通过国家、省级和州土壤普查办的验收。</w:t>
      </w:r>
    </w:p>
    <w:p w14:paraId="39322D43">
      <w:pPr>
        <w:pStyle w:val="150"/>
        <w:spacing w:line="480" w:lineRule="exact"/>
        <w:ind w:firstLine="482" w:firstLineChars="200"/>
        <w:outlineLvl w:val="2"/>
        <w:rPr>
          <w:rFonts w:hint="eastAsia" w:ascii="仿宋" w:hAnsi="仿宋" w:eastAsia="仿宋" w:cs="宋体"/>
          <w:color w:val="auto"/>
          <w:kern w:val="2"/>
          <w:sz w:val="24"/>
          <w:szCs w:val="24"/>
          <w:highlight w:val="none"/>
          <w:u w:val="single"/>
          <w:lang w:val="en-US" w:eastAsia="zh-CN" w:bidi="ar-SA"/>
        </w:rPr>
      </w:pPr>
      <w:r>
        <w:rPr>
          <w:rFonts w:hint="eastAsia" w:ascii="仿宋" w:hAnsi="仿宋" w:eastAsia="仿宋" w:cs="仿宋"/>
          <w:b/>
          <w:bCs/>
          <w:color w:val="auto"/>
          <w:sz w:val="24"/>
          <w:szCs w:val="24"/>
          <w:highlight w:val="none"/>
          <w:u w:val="single"/>
          <w:lang w:val="en-US" w:eastAsia="zh-CN" w:bidi="ar-SA"/>
        </w:rPr>
        <w:t>3.文字成果。</w:t>
      </w:r>
      <w:r>
        <w:rPr>
          <w:rFonts w:hint="eastAsia" w:ascii="仿宋" w:hAnsi="仿宋" w:eastAsia="仿宋" w:cs="宋体"/>
          <w:color w:val="auto"/>
          <w:kern w:val="2"/>
          <w:sz w:val="24"/>
          <w:szCs w:val="24"/>
          <w:highlight w:val="none"/>
          <w:u w:val="single"/>
          <w:lang w:val="en-US" w:eastAsia="zh-CN" w:bidi="ar-SA"/>
        </w:rPr>
        <w:t>按照第三次全国土壤普查有关技术规程规范要求，组织完成普洱市土壤三普总体报告、土壤三普工作报告、土壤资源评价与利用（包括土壤类型制图报告、土壤属性制图报告、土壤退化与障碍分析、土壤农业利用适宜性评价、耕地质量等级评价、土特产品土壤适宜性评价（茶叶、咖啡）、土壤酸化评价、土壤侵蚀评价、土壤碳中和评价、土壤有机质丰度评价专题分析报告或其它成果）、普洱市土壤志、普洱市土种志及国家和省级有关土壤三普补充要求的其它文字成果的编写和印制，提交并通过国家、省级和州土壤普查办的验收。</w:t>
      </w:r>
    </w:p>
    <w:p w14:paraId="466A2BC9">
      <w:pPr>
        <w:widowControl/>
        <w:spacing w:line="480" w:lineRule="exact"/>
        <w:ind w:firstLine="482" w:firstLineChars="200"/>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b/>
          <w:bCs/>
          <w:color w:val="auto"/>
          <w:sz w:val="24"/>
          <w:szCs w:val="24"/>
          <w:highlight w:val="none"/>
          <w:u w:val="single"/>
        </w:rPr>
        <w:t>4</w:t>
      </w:r>
      <w:r>
        <w:rPr>
          <w:rFonts w:hint="eastAsia" w:ascii="仿宋" w:hAnsi="仿宋" w:eastAsia="仿宋" w:cs="仿宋"/>
          <w:b/>
          <w:bCs/>
          <w:color w:val="auto"/>
          <w:sz w:val="24"/>
          <w:szCs w:val="24"/>
          <w:highlight w:val="none"/>
          <w:u w:val="single"/>
          <w:lang w:val="en-US" w:eastAsia="zh-CN"/>
        </w:rPr>
        <w:t>.出版及印刷。</w:t>
      </w:r>
      <w:r>
        <w:rPr>
          <w:rFonts w:hint="eastAsia" w:ascii="仿宋" w:hAnsi="仿宋" w:eastAsia="仿宋" w:cs="仿宋"/>
          <w:color w:val="auto"/>
          <w:sz w:val="24"/>
          <w:highlight w:val="none"/>
          <w:u w:val="single"/>
        </w:rPr>
        <w:t>根据上级要求及普洱市土壤三普成果应用研讨、交流需求，出版《普洱市土壤志》、《普洱市土种志》，并印刷分别不少于500本，其他文字成果50份、图件成果50份，以上材料印刷数量均不含验收过程中打印资料。</w:t>
      </w:r>
    </w:p>
    <w:p w14:paraId="35B741D9">
      <w:pPr>
        <w:pStyle w:val="2"/>
        <w:tabs>
          <w:tab w:val="left" w:pos="0"/>
        </w:tabs>
        <w:spacing w:line="480" w:lineRule="exact"/>
        <w:ind w:left="0" w:leftChars="0" w:firstLine="482"/>
        <w:rPr>
          <w:rFonts w:hint="eastAsia" w:ascii="仿宋" w:hAnsi="仿宋" w:eastAsia="仿宋" w:cs="仿宋"/>
          <w:color w:val="auto"/>
          <w:highlight w:val="none"/>
          <w:lang w:val="en-US" w:eastAsia="zh-CN"/>
        </w:rPr>
      </w:pPr>
      <w:r>
        <w:rPr>
          <w:rFonts w:hint="eastAsia" w:ascii="仿宋" w:hAnsi="仿宋" w:eastAsia="仿宋" w:cs="仿宋"/>
          <w:b/>
          <w:bCs/>
          <w:color w:val="auto"/>
          <w:sz w:val="24"/>
          <w:szCs w:val="24"/>
          <w:highlight w:val="none"/>
          <w:u w:val="single"/>
          <w:lang w:val="en-US" w:eastAsia="zh-CN"/>
        </w:rPr>
        <w:t>5.其它。</w:t>
      </w:r>
      <w:r>
        <w:rPr>
          <w:rFonts w:hint="eastAsia" w:ascii="仿宋" w:hAnsi="仿宋" w:eastAsia="仿宋" w:cs="宋体"/>
          <w:color w:val="auto"/>
          <w:kern w:val="2"/>
          <w:sz w:val="24"/>
          <w:szCs w:val="24"/>
          <w:highlight w:val="none"/>
          <w:u w:val="single"/>
          <w:lang w:val="en-US" w:eastAsia="zh-CN" w:bidi="ar-SA"/>
        </w:rPr>
        <w:t>土壤图野外踏勘校核接边（含土壤图接边、论证等相关的专题会）；数据库（3年各类文本、图件数据等资料的查询、咨询、使用服务）；样品库（剖面纸盒样品、土壤图册）；通过国家、省级和州土壤普查办的验收；</w:t>
      </w:r>
      <w:r>
        <w:rPr>
          <w:rFonts w:hint="eastAsia" w:ascii="仿宋" w:hAnsi="仿宋" w:eastAsia="仿宋" w:cs="仿宋"/>
          <w:color w:val="auto"/>
          <w:sz w:val="24"/>
          <w:szCs w:val="24"/>
          <w:highlight w:val="none"/>
          <w:u w:val="single"/>
          <w:lang w:eastAsia="zh-CN"/>
        </w:rPr>
        <w:t>满足</w:t>
      </w:r>
      <w:r>
        <w:rPr>
          <w:rFonts w:hint="eastAsia" w:ascii="仿宋" w:hAnsi="仿宋" w:eastAsia="仿宋" w:cs="仿宋"/>
          <w:color w:val="auto"/>
          <w:sz w:val="24"/>
          <w:szCs w:val="24"/>
          <w:highlight w:val="none"/>
          <w:u w:val="single"/>
        </w:rPr>
        <w:t>国家及省级有关土壤普查成果的其他要求</w:t>
      </w:r>
      <w:r>
        <w:rPr>
          <w:rFonts w:hint="eastAsia" w:ascii="仿宋" w:hAnsi="仿宋" w:eastAsia="仿宋" w:cs="仿宋"/>
          <w:color w:val="auto"/>
          <w:sz w:val="24"/>
          <w:szCs w:val="24"/>
          <w:highlight w:val="none"/>
          <w:u w:val="single"/>
          <w:lang w:eastAsia="zh-CN"/>
        </w:rPr>
        <w:t>。</w:t>
      </w:r>
    </w:p>
    <w:p w14:paraId="6847C00C">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二、标准规范</w:t>
      </w:r>
    </w:p>
    <w:p w14:paraId="4490563B">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根据《国务院关于开展第三次全国土壤普查</w:t>
      </w:r>
      <w:r>
        <w:rPr>
          <w:rFonts w:hint="eastAsia" w:ascii="仿宋" w:hAnsi="仿宋" w:eastAsia="仿宋" w:cs="仿宋"/>
          <w:color w:val="auto"/>
          <w:sz w:val="24"/>
          <w:szCs w:val="24"/>
          <w:highlight w:val="none"/>
          <w:lang w:val="en-US" w:eastAsia="zh-CN"/>
        </w:rPr>
        <w:t>的通知》（国发〔2022〕4号）、《国务院第三次全国土壤普查领导小组办公室关于印发〈第三次全国土壤普查县级成果编制及验收导引〉的通知》（国土壤普查办发〔2024〕19号）》、《云南省第三次全国土壤普查领导小组办公室关于认真做好第三次全国土壤普查成果编制工作的通知》（云土壤普查办</w:t>
      </w:r>
      <w:r>
        <w:rPr>
          <w:rFonts w:hint="eastAsia" w:ascii="仿宋" w:hAnsi="仿宋" w:eastAsia="仿宋" w:cs="仿宋"/>
          <w:color w:val="auto"/>
          <w:spacing w:val="0"/>
          <w:w w:val="100"/>
          <w:kern w:val="0"/>
          <w:position w:val="0"/>
          <w:sz w:val="24"/>
          <w:szCs w:val="24"/>
          <w:highlight w:val="none"/>
          <w:lang w:val="en-US" w:eastAsia="zh-CN"/>
        </w:rPr>
        <w:t>〔2024〕8</w:t>
      </w:r>
      <w:r>
        <w:rPr>
          <w:rFonts w:hint="eastAsia" w:ascii="仿宋" w:hAnsi="仿宋" w:eastAsia="仿宋" w:cs="仿宋"/>
          <w:color w:val="auto"/>
          <w:sz w:val="24"/>
          <w:szCs w:val="24"/>
          <w:highlight w:val="none"/>
        </w:rPr>
        <w:t>号</w:t>
      </w:r>
      <w:r>
        <w:rPr>
          <w:rFonts w:hint="eastAsia" w:ascii="仿宋" w:hAnsi="仿宋" w:eastAsia="仿宋" w:cs="仿宋"/>
          <w:color w:val="auto"/>
          <w:sz w:val="24"/>
          <w:szCs w:val="24"/>
          <w:highlight w:val="none"/>
          <w:lang w:val="en-US" w:eastAsia="zh-CN"/>
        </w:rPr>
        <w:t>）、《第三次全国土壤普查技术规程规范（修订版）》、《国务院第三次全国土壤普查领导小组办公室关于印发〈第三次全国土壤普查试点县成果清单及形成方法〉的通知</w:t>
      </w:r>
      <w:r>
        <w:rPr>
          <w:rFonts w:hint="eastAsia" w:ascii="仿宋" w:hAnsi="仿宋" w:eastAsia="仿宋" w:cs="仿宋"/>
          <w:color w:val="auto"/>
          <w:sz w:val="24"/>
          <w:szCs w:val="24"/>
          <w:highlight w:val="none"/>
          <w:lang w:val="en-US" w:eastAsia="zh-CN"/>
        </w:rPr>
        <w:t xml:space="preserve">》、《第三次全国土壤普查试点县成果形成方法及验收标准》（以最新文件为准）等相关文件及技术标准执行。数据成果、数字化图件成果、文字成果等普查成果通过国家、省级和州土壤普查办验收。  </w:t>
      </w:r>
    </w:p>
    <w:p w14:paraId="6CE567E6">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《第三次全国土壤普查技术规程</w:t>
      </w:r>
      <w:r>
        <w:rPr>
          <w:rFonts w:hint="eastAsia" w:ascii="仿宋" w:hAnsi="仿宋" w:eastAsia="仿宋" w:cs="仿宋"/>
          <w:b w:val="0"/>
          <w:bCs w:val="0"/>
          <w:color w:val="auto"/>
          <w:sz w:val="24"/>
          <w:szCs w:val="24"/>
          <w:highlight w:val="none"/>
          <w:lang w:eastAsia="zh-CN"/>
        </w:rPr>
        <w:t>规范</w:t>
      </w:r>
      <w:r>
        <w:rPr>
          <w:rFonts w:hint="eastAsia" w:ascii="仿宋" w:hAnsi="仿宋" w:eastAsia="仿宋" w:cs="仿宋"/>
          <w:b w:val="0"/>
          <w:bCs w:val="0"/>
          <w:color w:val="auto"/>
          <w:sz w:val="24"/>
          <w:szCs w:val="24"/>
          <w:highlight w:val="none"/>
        </w:rPr>
        <w:t>》（修订版）</w:t>
      </w:r>
      <w:r>
        <w:rPr>
          <w:rFonts w:hint="eastAsia" w:ascii="仿宋" w:hAnsi="仿宋" w:eastAsia="仿宋" w:cs="仿宋"/>
          <w:b w:val="0"/>
          <w:bCs w:val="0"/>
          <w:color w:val="auto"/>
          <w:sz w:val="24"/>
          <w:szCs w:val="24"/>
          <w:highlight w:val="none"/>
          <w:lang w:eastAsia="zh-CN"/>
        </w:rPr>
        <w:t>；</w:t>
      </w:r>
    </w:p>
    <w:p w14:paraId="62EAC229">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《第三次全国土壤普查县成果</w:t>
      </w:r>
      <w:r>
        <w:rPr>
          <w:rFonts w:hint="eastAsia" w:ascii="仿宋" w:hAnsi="仿宋" w:eastAsia="仿宋" w:cs="仿宋"/>
          <w:b w:val="0"/>
          <w:bCs w:val="0"/>
          <w:color w:val="auto"/>
          <w:sz w:val="24"/>
          <w:szCs w:val="24"/>
          <w:highlight w:val="none"/>
          <w:lang w:eastAsia="zh-CN"/>
        </w:rPr>
        <w:t>编制及验收导引</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w:t>
      </w:r>
    </w:p>
    <w:p w14:paraId="5C0F059E">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《第三次全国土壤普查试点县数据与成果汇交实施细则》</w:t>
      </w:r>
      <w:r>
        <w:rPr>
          <w:rFonts w:hint="eastAsia" w:ascii="仿宋" w:hAnsi="仿宋" w:eastAsia="仿宋" w:cs="仿宋"/>
          <w:b w:val="0"/>
          <w:bCs w:val="0"/>
          <w:color w:val="auto"/>
          <w:sz w:val="24"/>
          <w:szCs w:val="24"/>
          <w:highlight w:val="none"/>
          <w:lang w:eastAsia="zh-CN"/>
        </w:rPr>
        <w:t>；</w:t>
      </w:r>
    </w:p>
    <w:p w14:paraId="072E39A5">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《云南省第三次全国土壤普查土壤类型暂行分类系统》</w:t>
      </w:r>
      <w:r>
        <w:rPr>
          <w:rFonts w:hint="eastAsia" w:ascii="仿宋" w:hAnsi="仿宋" w:eastAsia="仿宋" w:cs="仿宋"/>
          <w:b w:val="0"/>
          <w:bCs w:val="0"/>
          <w:color w:val="auto"/>
          <w:sz w:val="24"/>
          <w:szCs w:val="24"/>
          <w:highlight w:val="none"/>
          <w:lang w:eastAsia="zh-CN"/>
        </w:rPr>
        <w:t>；</w:t>
      </w:r>
    </w:p>
    <w:p w14:paraId="40E4D152">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《2024年云南省第三次全国土壤普查实施方案》；</w:t>
      </w:r>
    </w:p>
    <w:p w14:paraId="12E0D9BF">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《第三次全国土壤普查外业调查采样验收方案》；</w:t>
      </w:r>
    </w:p>
    <w:p w14:paraId="2EA14742">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《中国土壤分类与代码》</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GB/T17296—2009</w:t>
      </w:r>
      <w:r>
        <w:rPr>
          <w:rFonts w:hint="eastAsia" w:ascii="仿宋" w:hAnsi="仿宋" w:eastAsia="仿宋" w:cs="仿宋"/>
          <w:b w:val="0"/>
          <w:bCs w:val="0"/>
          <w:color w:val="auto"/>
          <w:sz w:val="24"/>
          <w:szCs w:val="24"/>
          <w:highlight w:val="none"/>
          <w:lang w:eastAsia="zh-CN"/>
        </w:rPr>
        <w:t>）；</w:t>
      </w:r>
    </w:p>
    <w:p w14:paraId="060B6CCC">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《土地利用现状分类》</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GB/T21010—2017</w:t>
      </w:r>
      <w:r>
        <w:rPr>
          <w:rFonts w:hint="eastAsia" w:ascii="仿宋" w:hAnsi="仿宋" w:eastAsia="仿宋" w:cs="仿宋"/>
          <w:b w:val="0"/>
          <w:bCs w:val="0"/>
          <w:color w:val="auto"/>
          <w:sz w:val="24"/>
          <w:szCs w:val="24"/>
          <w:highlight w:val="none"/>
          <w:lang w:eastAsia="zh-CN"/>
        </w:rPr>
        <w:t>）；</w:t>
      </w:r>
    </w:p>
    <w:p w14:paraId="6296E9D9">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《耕地质量等级》</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GB/T33469—2016</w:t>
      </w:r>
      <w:r>
        <w:rPr>
          <w:rFonts w:hint="eastAsia" w:ascii="仿宋" w:hAnsi="仿宋" w:eastAsia="仿宋" w:cs="仿宋"/>
          <w:b w:val="0"/>
          <w:bCs w:val="0"/>
          <w:color w:val="auto"/>
          <w:sz w:val="24"/>
          <w:szCs w:val="24"/>
          <w:highlight w:val="none"/>
          <w:lang w:eastAsia="zh-CN"/>
        </w:rPr>
        <w:t>）；</w:t>
      </w:r>
    </w:p>
    <w:p w14:paraId="62658048">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《土壤质量自然、近自然及耕作土壤调查程序指南》</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GB/T36393—2018</w:t>
      </w:r>
      <w:r>
        <w:rPr>
          <w:rFonts w:hint="eastAsia" w:ascii="仿宋" w:hAnsi="仿宋" w:eastAsia="仿宋" w:cs="仿宋"/>
          <w:b w:val="0"/>
          <w:bCs w:val="0"/>
          <w:color w:val="auto"/>
          <w:sz w:val="24"/>
          <w:szCs w:val="24"/>
          <w:highlight w:val="none"/>
          <w:lang w:eastAsia="zh-CN"/>
        </w:rPr>
        <w:t>）；</w:t>
      </w:r>
    </w:p>
    <w:p w14:paraId="4DA61357">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11.</w:t>
      </w:r>
      <w:r>
        <w:rPr>
          <w:rFonts w:hint="eastAsia" w:ascii="仿宋" w:hAnsi="仿宋" w:eastAsia="仿宋" w:cs="仿宋"/>
          <w:b w:val="0"/>
          <w:bCs w:val="0"/>
          <w:color w:val="auto"/>
          <w:sz w:val="24"/>
          <w:szCs w:val="24"/>
          <w:highlight w:val="none"/>
        </w:rPr>
        <w:t>《土壤制图1:250001:500001:100000中国土壤图用色和图例规范》</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GB/T36501—2018</w:t>
      </w:r>
      <w:r>
        <w:rPr>
          <w:rFonts w:hint="eastAsia" w:ascii="仿宋" w:hAnsi="仿宋" w:eastAsia="仿宋" w:cs="仿宋"/>
          <w:b w:val="0"/>
          <w:bCs w:val="0"/>
          <w:color w:val="auto"/>
          <w:sz w:val="24"/>
          <w:szCs w:val="24"/>
          <w:highlight w:val="none"/>
          <w:lang w:eastAsia="zh-CN"/>
        </w:rPr>
        <w:t>）；</w:t>
      </w:r>
    </w:p>
    <w:p w14:paraId="053BF781">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12.</w:t>
      </w:r>
      <w:r>
        <w:rPr>
          <w:rFonts w:hint="eastAsia" w:ascii="仿宋" w:hAnsi="仿宋" w:eastAsia="仿宋" w:cs="仿宋"/>
          <w:b w:val="0"/>
          <w:bCs w:val="0"/>
          <w:color w:val="auto"/>
          <w:sz w:val="24"/>
          <w:szCs w:val="24"/>
          <w:highlight w:val="none"/>
        </w:rPr>
        <w:t>《土壤质量野外土壤描述》</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GB/T32726—2016</w:t>
      </w:r>
      <w:r>
        <w:rPr>
          <w:rFonts w:hint="eastAsia" w:ascii="仿宋" w:hAnsi="仿宋" w:eastAsia="仿宋" w:cs="仿宋"/>
          <w:b w:val="0"/>
          <w:bCs w:val="0"/>
          <w:color w:val="auto"/>
          <w:sz w:val="24"/>
          <w:szCs w:val="24"/>
          <w:highlight w:val="none"/>
          <w:lang w:eastAsia="zh-CN"/>
        </w:rPr>
        <w:t>）；</w:t>
      </w:r>
    </w:p>
    <w:p w14:paraId="796916C0">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13.</w:t>
      </w:r>
      <w:r>
        <w:rPr>
          <w:rFonts w:hint="eastAsia" w:ascii="仿宋" w:hAnsi="仿宋" w:eastAsia="仿宋" w:cs="仿宋"/>
          <w:b w:val="0"/>
          <w:bCs w:val="0"/>
          <w:color w:val="auto"/>
          <w:sz w:val="24"/>
          <w:szCs w:val="24"/>
          <w:highlight w:val="none"/>
        </w:rPr>
        <w:t>《自然生态系统土壤长期监测指南》</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GB/T32740—2016</w:t>
      </w:r>
      <w:r>
        <w:rPr>
          <w:rFonts w:hint="eastAsia" w:ascii="仿宋" w:hAnsi="仿宋" w:eastAsia="仿宋" w:cs="仿宋"/>
          <w:b w:val="0"/>
          <w:bCs w:val="0"/>
          <w:color w:val="auto"/>
          <w:sz w:val="24"/>
          <w:szCs w:val="24"/>
          <w:highlight w:val="none"/>
          <w:lang w:eastAsia="zh-CN"/>
        </w:rPr>
        <w:t>）；</w:t>
      </w:r>
    </w:p>
    <w:p w14:paraId="23F8C676">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14.</w:t>
      </w:r>
      <w:r>
        <w:rPr>
          <w:rFonts w:hint="eastAsia" w:ascii="仿宋" w:hAnsi="仿宋" w:eastAsia="仿宋" w:cs="仿宋"/>
          <w:b w:val="0"/>
          <w:bCs w:val="0"/>
          <w:color w:val="auto"/>
          <w:sz w:val="24"/>
          <w:szCs w:val="24"/>
          <w:highlight w:val="none"/>
        </w:rPr>
        <w:t>《耕地质量监测技术规程》</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NY/T1119—2019</w:t>
      </w:r>
      <w:r>
        <w:rPr>
          <w:rFonts w:hint="eastAsia" w:ascii="仿宋" w:hAnsi="仿宋" w:eastAsia="仿宋" w:cs="仿宋"/>
          <w:b w:val="0"/>
          <w:bCs w:val="0"/>
          <w:color w:val="auto"/>
          <w:sz w:val="24"/>
          <w:szCs w:val="24"/>
          <w:highlight w:val="none"/>
          <w:lang w:eastAsia="zh-CN"/>
        </w:rPr>
        <w:t>）；</w:t>
      </w:r>
    </w:p>
    <w:p w14:paraId="68AC3E54">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15.</w:t>
      </w:r>
      <w:r>
        <w:rPr>
          <w:rFonts w:hint="eastAsia" w:ascii="仿宋" w:hAnsi="仿宋" w:eastAsia="仿宋" w:cs="仿宋"/>
          <w:b w:val="0"/>
          <w:bCs w:val="0"/>
          <w:color w:val="auto"/>
          <w:sz w:val="24"/>
          <w:szCs w:val="24"/>
          <w:highlight w:val="none"/>
        </w:rPr>
        <w:t>《耕地地力调查与质量评价技术规程》</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NY/T1634—2008</w:t>
      </w:r>
      <w:r>
        <w:rPr>
          <w:rFonts w:hint="eastAsia" w:ascii="仿宋" w:hAnsi="仿宋" w:eastAsia="仿宋" w:cs="仿宋"/>
          <w:b w:val="0"/>
          <w:bCs w:val="0"/>
          <w:color w:val="auto"/>
          <w:sz w:val="24"/>
          <w:szCs w:val="24"/>
          <w:highlight w:val="none"/>
          <w:lang w:eastAsia="zh-CN"/>
        </w:rPr>
        <w:t>）；</w:t>
      </w:r>
    </w:p>
    <w:p w14:paraId="1B8CF216">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以上</w:t>
      </w:r>
      <w:r>
        <w:rPr>
          <w:rFonts w:hint="eastAsia" w:ascii="仿宋" w:hAnsi="仿宋" w:eastAsia="仿宋" w:cs="仿宋"/>
          <w:color w:val="auto"/>
          <w:sz w:val="24"/>
          <w:szCs w:val="24"/>
          <w:highlight w:val="none"/>
        </w:rPr>
        <w:t>文件未尽事宜，按国家现行</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及云南省</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及</w:t>
      </w:r>
      <w:r>
        <w:rPr>
          <w:rFonts w:hint="eastAsia" w:ascii="仿宋" w:hAnsi="仿宋" w:eastAsia="仿宋" w:cs="仿宋"/>
          <w:color w:val="auto"/>
          <w:sz w:val="24"/>
          <w:szCs w:val="24"/>
          <w:highlight w:val="none"/>
          <w:lang w:val="en-US" w:eastAsia="zh-CN"/>
        </w:rPr>
        <w:t>相关</w:t>
      </w:r>
      <w:r>
        <w:rPr>
          <w:rFonts w:hint="eastAsia" w:ascii="仿宋" w:hAnsi="仿宋" w:eastAsia="仿宋" w:cs="仿宋"/>
          <w:color w:val="auto"/>
          <w:sz w:val="24"/>
          <w:szCs w:val="24"/>
          <w:highlight w:val="none"/>
        </w:rPr>
        <w:t>规范</w:t>
      </w:r>
      <w:r>
        <w:rPr>
          <w:rFonts w:hint="eastAsia" w:ascii="仿宋" w:hAnsi="仿宋" w:eastAsia="仿宋" w:cs="仿宋"/>
          <w:color w:val="auto"/>
          <w:sz w:val="24"/>
          <w:szCs w:val="24"/>
          <w:highlight w:val="none"/>
        </w:rPr>
        <w:t>性文件执行。</w:t>
      </w:r>
    </w:p>
    <w:p w14:paraId="683AFD37">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三、完成时间</w:t>
      </w:r>
    </w:p>
    <w:p w14:paraId="5F13A6EF">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b/>
          <w:bCs/>
          <w:color w:val="auto"/>
          <w:sz w:val="24"/>
          <w:szCs w:val="24"/>
          <w:highlight w:val="none"/>
          <w:lang w:val="en-US" w:eastAsia="zh-CN"/>
        </w:rPr>
        <w:t>合同履行期限：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5ECA05F7">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、权利与义务</w:t>
      </w:r>
    </w:p>
    <w:p w14:paraId="2D129D73">
      <w:pPr>
        <w:keepNext w:val="0"/>
        <w:keepLines w:val="0"/>
        <w:pageBreakBefore w:val="0"/>
        <w:widowControl/>
        <w:kinsoku/>
        <w:wordWrap/>
        <w:overflowPunct/>
        <w:topLinePunct w:val="0"/>
        <w:autoSpaceDE/>
        <w:autoSpaceDN/>
        <w:bidi w:val="0"/>
        <w:adjustRightInd/>
        <w:snapToGrid/>
        <w:spacing w:line="480" w:lineRule="exact"/>
        <w:ind w:firstLine="241" w:firstLineChars="1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（一）甲方的权利和义务</w:t>
      </w:r>
    </w:p>
    <w:p w14:paraId="3FA78694">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经协商一致，甲方委托乙方协助完成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工作；</w:t>
      </w:r>
    </w:p>
    <w:p w14:paraId="09A2D088">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甲方对整个服务过程拥有指导的权利，应对项目的整体工作进行统一的规划、部署和协调。同时，本着优势互补的原则，甲方应对乙方针对项目的具体执行方案进行切实的研究和讨论，并提供确认意见；</w:t>
      </w:r>
    </w:p>
    <w:p w14:paraId="2804F88B">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甲方有义务对乙方参与此项工作的具体工作人员进行全面、规范的业务能力培训，并配备适量的业务指导人员指导乙方工作人员开展执行工作；</w:t>
      </w:r>
    </w:p>
    <w:p w14:paraId="363323C0">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甲方应根据项目的实际需求，向乙方提供诸如工作手册、相关政府文件、工作证照、介绍信等指导乙方工作的必要材料和证明乙方工作人员身份的必要凭证，作为乙方参与和开展具体工作的基础；</w:t>
      </w:r>
    </w:p>
    <w:p w14:paraId="5A8D2890">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甲方应充分运用自身的优势资源，积极协调相关部门和机构，为乙方开展成果</w:t>
      </w:r>
      <w:r>
        <w:rPr>
          <w:rFonts w:hint="eastAsia" w:ascii="仿宋" w:hAnsi="仿宋" w:eastAsia="仿宋" w:cs="仿宋"/>
          <w:color w:val="auto"/>
          <w:sz w:val="24"/>
          <w:szCs w:val="24"/>
          <w:highlight w:val="none"/>
          <w:lang w:val="en-US" w:eastAsia="zh-CN"/>
        </w:rPr>
        <w:t>汇交</w:t>
      </w:r>
      <w:r>
        <w:rPr>
          <w:rFonts w:hint="eastAsia" w:ascii="仿宋" w:hAnsi="仿宋" w:eastAsia="仿宋" w:cs="仿宋"/>
          <w:color w:val="auto"/>
          <w:sz w:val="24"/>
          <w:szCs w:val="24"/>
          <w:highlight w:val="none"/>
        </w:rPr>
        <w:t>工作提供必要的支撑。同时，甲方应在乙方即将开展服务的区域内进行相关工作的宣传和告知，为乙方开展具体工作营造良好的舆论氛围；</w:t>
      </w:r>
    </w:p>
    <w:p w14:paraId="55DDE3FD">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根据平等互利的原则，甲方应在</w:t>
      </w:r>
      <w:r>
        <w:rPr>
          <w:rFonts w:hint="eastAsia" w:ascii="仿宋" w:hAnsi="仿宋" w:eastAsia="仿宋" w:cs="仿宋"/>
          <w:color w:val="auto"/>
          <w:sz w:val="24"/>
          <w:szCs w:val="24"/>
          <w:highlight w:val="none"/>
          <w:lang w:eastAsia="zh-CN"/>
        </w:rPr>
        <w:t>项目执行期间，按照合同约定，按时支付</w:t>
      </w:r>
      <w:r>
        <w:rPr>
          <w:rFonts w:hint="eastAsia" w:ascii="仿宋" w:hAnsi="仿宋" w:eastAsia="仿宋" w:cs="仿宋"/>
          <w:color w:val="auto"/>
          <w:sz w:val="24"/>
          <w:szCs w:val="24"/>
          <w:highlight w:val="none"/>
          <w:lang w:val="en-US" w:eastAsia="zh-CN"/>
        </w:rPr>
        <w:t>乙</w:t>
      </w:r>
      <w:r>
        <w:rPr>
          <w:rFonts w:hint="eastAsia" w:ascii="仿宋" w:hAnsi="仿宋" w:eastAsia="仿宋" w:cs="仿宋"/>
          <w:color w:val="auto"/>
          <w:sz w:val="24"/>
          <w:szCs w:val="24"/>
          <w:highlight w:val="none"/>
        </w:rPr>
        <w:t>方</w:t>
      </w:r>
      <w:r>
        <w:rPr>
          <w:rFonts w:hint="eastAsia" w:ascii="仿宋" w:hAnsi="仿宋" w:eastAsia="仿宋" w:cs="仿宋"/>
          <w:color w:val="auto"/>
          <w:sz w:val="24"/>
          <w:szCs w:val="24"/>
          <w:highlight w:val="none"/>
          <w:lang w:eastAsia="zh-CN"/>
        </w:rPr>
        <w:t>成果编制</w:t>
      </w:r>
      <w:r>
        <w:rPr>
          <w:rFonts w:hint="eastAsia" w:ascii="仿宋" w:hAnsi="仿宋" w:eastAsia="仿宋" w:cs="仿宋"/>
          <w:color w:val="auto"/>
          <w:sz w:val="24"/>
          <w:szCs w:val="24"/>
          <w:highlight w:val="none"/>
        </w:rPr>
        <w:t>相关费用，甲方有权且应当对乙方参与该委托项目进行有效性评估</w:t>
      </w:r>
      <w:r>
        <w:rPr>
          <w:rFonts w:hint="eastAsia" w:ascii="仿宋" w:hAnsi="仿宋" w:eastAsia="仿宋" w:cs="仿宋"/>
          <w:color w:val="auto"/>
          <w:sz w:val="24"/>
          <w:szCs w:val="24"/>
          <w:highlight w:val="none"/>
          <w:lang w:eastAsia="zh-CN"/>
        </w:rPr>
        <w:t>；</w:t>
      </w:r>
    </w:p>
    <w:p w14:paraId="3D88C56A">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甲方指定的项目负责人对项目过程中所有的问题进行沟通协调，并负责项目各阶段成果的接收、确认及验收等工作。如果甲方项目负责人发生变更，须提前书面通知乙方，否则在此之前的通知视为送达</w:t>
      </w:r>
      <w:r>
        <w:rPr>
          <w:rFonts w:hint="eastAsia" w:ascii="仿宋" w:hAnsi="仿宋" w:eastAsia="仿宋" w:cs="仿宋"/>
          <w:color w:val="auto"/>
          <w:sz w:val="24"/>
          <w:szCs w:val="24"/>
          <w:highlight w:val="none"/>
          <w:lang w:eastAsia="zh-CN"/>
        </w:rPr>
        <w:t>；</w:t>
      </w:r>
    </w:p>
    <w:p w14:paraId="6A524A15">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甲方承诺，其已就签署本协议，并将本协议项下的相关工作委托给乙方完成，取得必要的审批、同意或备案，并已依法履行必要的程序</w:t>
      </w:r>
      <w:r>
        <w:rPr>
          <w:rFonts w:hint="eastAsia" w:ascii="仿宋" w:hAnsi="仿宋" w:eastAsia="仿宋" w:cs="仿宋"/>
          <w:color w:val="auto"/>
          <w:sz w:val="24"/>
          <w:szCs w:val="24"/>
          <w:highlight w:val="none"/>
          <w:lang w:eastAsia="zh-CN"/>
        </w:rPr>
        <w:t>；</w:t>
      </w:r>
    </w:p>
    <w:p w14:paraId="198FDCC6">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9.形成的数据成果、图件成果、文字成果所有权属甲方。</w:t>
      </w:r>
    </w:p>
    <w:p w14:paraId="0DC506CC">
      <w:pPr>
        <w:keepNext w:val="0"/>
        <w:keepLines w:val="0"/>
        <w:pageBreakBefore w:val="0"/>
        <w:widowControl/>
        <w:kinsoku/>
        <w:wordWrap/>
        <w:overflowPunct/>
        <w:topLinePunct w:val="0"/>
        <w:autoSpaceDE/>
        <w:autoSpaceDN/>
        <w:bidi w:val="0"/>
        <w:adjustRightInd/>
        <w:snapToGrid/>
        <w:spacing w:line="480" w:lineRule="exact"/>
        <w:ind w:firstLine="241" w:firstLineChars="1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 乙方的权利和义务</w:t>
      </w:r>
    </w:p>
    <w:p w14:paraId="617CE4F1">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经协商一致，乙方受甲方委托，协助完成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工作；</w:t>
      </w:r>
    </w:p>
    <w:p w14:paraId="2E50ACE7">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为保证委托事宜按计划有序进行，经双方协商一致，乙方应向甲方承诺提供切实可行的项目执行方案、足够数量的人员配备和具体的工作日程安排</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highlight w:val="none"/>
        </w:rPr>
        <w:t>建立和完善履行合同的内部质量保证体系</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落实</w:t>
      </w:r>
      <w:r>
        <w:rPr>
          <w:rFonts w:hint="eastAsia" w:ascii="仿宋" w:hAnsi="仿宋" w:eastAsia="仿宋" w:cs="仿宋"/>
          <w:color w:val="auto"/>
          <w:sz w:val="24"/>
          <w:highlight w:val="none"/>
        </w:rPr>
        <w:t>履行合同的人员数量和素质、软件和硬件设备的配置、场地、环境和设施等满足全面履行合同的要求，并应接受甲方的监督检查</w:t>
      </w:r>
      <w:r>
        <w:rPr>
          <w:rFonts w:hint="eastAsia" w:ascii="仿宋" w:hAnsi="仿宋" w:eastAsia="仿宋" w:cs="仿宋"/>
          <w:color w:val="auto"/>
          <w:sz w:val="24"/>
          <w:highlight w:val="none"/>
          <w:lang w:eastAsia="zh-CN"/>
        </w:rPr>
        <w:t>。</w:t>
      </w:r>
    </w:p>
    <w:p w14:paraId="3375549F">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根据双方协商一致要求，乙方应在甲方的指导下，自觉严格按照双方约定的工作内容、时间节点和质量标准完成所有委托工作，并配合甲方完成该委托项目的有效性之评估；</w:t>
      </w:r>
    </w:p>
    <w:p w14:paraId="5B0AEF6B">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乙方在具体的项目执行过程中，应当自觉接受甲方的指导和监督，应积极组织人员参与甲方组织的业务技能培训和考核工作，应积极配合甲方对项目的统一组织和安排，有责任按时保质保量完成甲方委托工作内容；</w:t>
      </w:r>
    </w:p>
    <w:p w14:paraId="7F392B03">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乙方在具体项目执行过程中，对一切项目涉及到的文件、资料和数据承担保密义务，不得在未经甲方许可的情况下将任何文件、资料和数据挪作他用或主动外泄；</w:t>
      </w:r>
      <w:r>
        <w:rPr>
          <w:rFonts w:hint="eastAsia" w:ascii="仿宋" w:hAnsi="仿宋" w:eastAsia="仿宋" w:cs="仿宋"/>
          <w:color w:val="auto"/>
          <w:sz w:val="24"/>
          <w:szCs w:val="24"/>
          <w:highlight w:val="none"/>
          <w:lang w:eastAsia="zh-CN"/>
        </w:rPr>
        <w:t>形成的</w:t>
      </w:r>
      <w:r>
        <w:rPr>
          <w:rFonts w:hint="eastAsia" w:ascii="仿宋" w:hAnsi="仿宋" w:eastAsia="仿宋" w:cs="仿宋"/>
          <w:color w:val="auto"/>
          <w:sz w:val="24"/>
          <w:szCs w:val="24"/>
          <w:highlight w:val="none"/>
          <w:lang w:val="en-US" w:eastAsia="zh-CN"/>
        </w:rPr>
        <w:t>数据成果、图件成果、文字成果，</w:t>
      </w:r>
      <w:r>
        <w:rPr>
          <w:rFonts w:hint="eastAsia" w:ascii="仿宋" w:hAnsi="仿宋" w:eastAsia="仿宋" w:cs="仿宋"/>
          <w:color w:val="auto"/>
          <w:sz w:val="24"/>
          <w:szCs w:val="24"/>
          <w:highlight w:val="none"/>
        </w:rPr>
        <w:t>未经甲方书面同意,乙方不得泄露、告知、公布、发表、出版、传授、转让或者以其他任何方式使第三方</w:t>
      </w:r>
      <w:r>
        <w:rPr>
          <w:rFonts w:hint="eastAsia" w:ascii="仿宋" w:hAnsi="仿宋" w:eastAsia="仿宋" w:cs="仿宋"/>
          <w:color w:val="auto"/>
          <w:sz w:val="24"/>
          <w:szCs w:val="24"/>
          <w:highlight w:val="none"/>
          <w:lang w:eastAsia="zh-CN"/>
        </w:rPr>
        <w:t>知悉。</w:t>
      </w:r>
    </w:p>
    <w:p w14:paraId="6F8309B9">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经双方协商一致，乙方有权依据实际工作情况，要求甲方在官方资源协调、项目宣传等方面积极提供必要的支持</w:t>
      </w:r>
      <w:r>
        <w:rPr>
          <w:rFonts w:hint="eastAsia" w:ascii="仿宋" w:hAnsi="仿宋" w:eastAsia="仿宋" w:cs="仿宋"/>
          <w:color w:val="auto"/>
          <w:sz w:val="24"/>
          <w:szCs w:val="24"/>
          <w:highlight w:val="none"/>
          <w:lang w:eastAsia="zh-CN"/>
        </w:rPr>
        <w:t>。</w:t>
      </w:r>
    </w:p>
    <w:p w14:paraId="635D2C78">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乙方指定的项目负责人</w:t>
      </w:r>
      <w:bookmarkStart w:id="379" w:name="_Hlk132014544"/>
      <w:r>
        <w:rPr>
          <w:rFonts w:hint="eastAsia" w:ascii="仿宋" w:hAnsi="仿宋" w:eastAsia="仿宋" w:cs="仿宋"/>
          <w:color w:val="auto"/>
          <w:sz w:val="24"/>
          <w:szCs w:val="24"/>
          <w:highlight w:val="none"/>
        </w:rPr>
        <w:t>对项目过程中所有的问题进行沟通协调，并负责项目各阶段成果的提交、异议答复及提请验收等工作。如果乙方项目负责人发生变更，须提前书面通知甲方，否则在此之前的通知视为送达。</w:t>
      </w:r>
      <w:bookmarkEnd w:id="379"/>
    </w:p>
    <w:p w14:paraId="57F916A6">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仿宋" w:hAnsi="仿宋" w:eastAsia="仿宋" w:cs="仿宋"/>
          <w:color w:val="auto"/>
          <w:sz w:val="24"/>
          <w:szCs w:val="24"/>
          <w:highlight w:val="none"/>
          <w:lang w:eastAsia="zh-CN"/>
        </w:rPr>
        <w:t>。</w:t>
      </w:r>
    </w:p>
    <w:p w14:paraId="41A7F8C9">
      <w:pPr>
        <w:pStyle w:val="2"/>
        <w:keepNext w:val="0"/>
        <w:keepLines w:val="0"/>
        <w:pageBreakBefore w:val="0"/>
        <w:tabs>
          <w:tab w:val="left" w:pos="0"/>
        </w:tabs>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合同执行</w:t>
      </w:r>
      <w:r>
        <w:rPr>
          <w:rFonts w:hint="eastAsia" w:ascii="仿宋" w:hAnsi="仿宋" w:eastAsia="仿宋" w:cs="仿宋"/>
          <w:color w:val="auto"/>
          <w:sz w:val="24"/>
          <w:szCs w:val="24"/>
          <w:highlight w:val="none"/>
        </w:rPr>
        <w:t>进行过程中，</w:t>
      </w:r>
      <w:r>
        <w:rPr>
          <w:rFonts w:hint="eastAsia" w:ascii="仿宋" w:hAnsi="仿宋" w:eastAsia="仿宋" w:cs="仿宋"/>
          <w:color w:val="auto"/>
          <w:sz w:val="24"/>
          <w:szCs w:val="24"/>
          <w:highlight w:val="none"/>
          <w:lang w:eastAsia="zh-CN"/>
        </w:rPr>
        <w:t>若国家、省级土壤普查办对成果编制要求发生变化，且按照新要求完成产生费用不超过</w:t>
      </w:r>
      <w:r>
        <w:rPr>
          <w:rFonts w:hint="eastAsia" w:ascii="仿宋" w:hAnsi="仿宋" w:eastAsia="仿宋" w:cs="仿宋"/>
          <w:color w:val="auto"/>
          <w:sz w:val="24"/>
          <w:highlight w:val="none"/>
        </w:rPr>
        <w:t>原合同价的</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，乙方须无条件继续完成该合同。</w:t>
      </w:r>
    </w:p>
    <w:p w14:paraId="427C176C">
      <w:pPr>
        <w:keepNext w:val="0"/>
        <w:keepLines w:val="0"/>
        <w:pageBreakBefore w:val="0"/>
        <w:widowControl/>
        <w:kinsoku/>
        <w:wordWrap/>
        <w:overflowPunct/>
        <w:topLinePunct w:val="0"/>
        <w:autoSpaceDE/>
        <w:autoSpaceDN/>
        <w:bidi w:val="0"/>
        <w:adjustRightInd/>
        <w:snapToGrid/>
        <w:spacing w:line="48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合同金额                                                   </w:t>
      </w:r>
    </w:p>
    <w:p w14:paraId="065CB938">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甲方向乙方提供组织协调资源和必要的配合，同时支付技术服务报酬。本合同技术服务报酬包括</w:t>
      </w:r>
      <w:r>
        <w:rPr>
          <w:rFonts w:hint="eastAsia" w:ascii="仿宋" w:hAnsi="仿宋" w:eastAsia="仿宋" w:cs="仿宋"/>
          <w:color w:val="auto"/>
          <w:sz w:val="24"/>
          <w:szCs w:val="24"/>
          <w:highlight w:val="none"/>
          <w:lang w:val="en-US" w:eastAsia="zh-Hans"/>
        </w:rPr>
        <w:t>乙方</w:t>
      </w:r>
      <w:r>
        <w:rPr>
          <w:rFonts w:hint="eastAsia" w:ascii="仿宋" w:hAnsi="仿宋" w:eastAsia="仿宋" w:cs="仿宋"/>
          <w:color w:val="auto"/>
          <w:sz w:val="24"/>
          <w:szCs w:val="24"/>
          <w:highlight w:val="none"/>
        </w:rPr>
        <w:t>完成本合同项下</w:t>
      </w:r>
      <w:r>
        <w:rPr>
          <w:rFonts w:hint="eastAsia" w:ascii="仿宋" w:hAnsi="仿宋" w:eastAsia="仿宋" w:cs="仿宋"/>
          <w:color w:val="auto"/>
          <w:sz w:val="24"/>
          <w:szCs w:val="24"/>
          <w:highlight w:val="none"/>
          <w:lang w:val="en-US" w:eastAsia="zh-Hans"/>
        </w:rPr>
        <w:t>全部</w:t>
      </w:r>
      <w:r>
        <w:rPr>
          <w:rFonts w:hint="eastAsia" w:ascii="仿宋" w:hAnsi="仿宋" w:eastAsia="仿宋" w:cs="仿宋"/>
          <w:color w:val="auto"/>
          <w:sz w:val="24"/>
          <w:szCs w:val="24"/>
          <w:highlight w:val="none"/>
        </w:rPr>
        <w:t>工作所产生的一切费用，合同金额总计¥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元。</w:t>
      </w:r>
    </w:p>
    <w:p w14:paraId="4AC503E3">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rPr>
        <w:t>、付款方式及付款条件</w:t>
      </w:r>
    </w:p>
    <w:p w14:paraId="4A9E8400">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甲方</w:t>
      </w:r>
      <w:r>
        <w:rPr>
          <w:rFonts w:hint="eastAsia" w:ascii="仿宋" w:hAnsi="仿宋" w:eastAsia="仿宋" w:cs="仿宋"/>
          <w:b/>
          <w:bCs/>
          <w:color w:val="auto"/>
          <w:sz w:val="24"/>
          <w:szCs w:val="24"/>
          <w:highlight w:val="none"/>
          <w:lang w:val="en-US" w:eastAsia="zh-CN"/>
        </w:rPr>
        <w:t>根据资金到位情况及乙方工作进度逐笔拨付。</w:t>
      </w:r>
    </w:p>
    <w:p w14:paraId="3587BC47">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）甲方应将上述款项汇入乙方指定银行账户。</w:t>
      </w:r>
    </w:p>
    <w:p w14:paraId="484A85D2">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单位户名：</w:t>
      </w:r>
      <w:r>
        <w:rPr>
          <w:rFonts w:hint="eastAsia" w:ascii="仿宋" w:hAnsi="仿宋" w:eastAsia="仿宋" w:cs="仿宋"/>
          <w:b w:val="0"/>
          <w:bCs w:val="0"/>
          <w:color w:val="auto"/>
          <w:sz w:val="24"/>
          <w:szCs w:val="24"/>
          <w:highlight w:val="none"/>
          <w:u w:val="single"/>
          <w:lang w:val="en-US" w:eastAsia="zh-CN"/>
        </w:rPr>
        <w:t xml:space="preserve">                          </w:t>
      </w:r>
    </w:p>
    <w:p w14:paraId="2B1D3D64">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纳税人识别号：</w:t>
      </w:r>
      <w:r>
        <w:rPr>
          <w:rFonts w:hint="eastAsia" w:ascii="仿宋" w:hAnsi="仿宋" w:eastAsia="仿宋" w:cs="仿宋"/>
          <w:b w:val="0"/>
          <w:bCs w:val="0"/>
          <w:color w:val="auto"/>
          <w:sz w:val="24"/>
          <w:szCs w:val="24"/>
          <w:highlight w:val="none"/>
          <w:u w:val="single"/>
          <w:lang w:val="en-US" w:eastAsia="zh-CN"/>
        </w:rPr>
        <w:t xml:space="preserve">                      </w:t>
      </w:r>
    </w:p>
    <w:p w14:paraId="368439C6">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账    号：</w:t>
      </w:r>
      <w:r>
        <w:rPr>
          <w:rFonts w:hint="eastAsia" w:ascii="仿宋" w:hAnsi="仿宋" w:eastAsia="仿宋" w:cs="仿宋"/>
          <w:b w:val="0"/>
          <w:bCs w:val="0"/>
          <w:color w:val="auto"/>
          <w:sz w:val="24"/>
          <w:szCs w:val="24"/>
          <w:highlight w:val="none"/>
          <w:u w:val="single"/>
          <w:lang w:val="en-US" w:eastAsia="zh-CN"/>
        </w:rPr>
        <w:t xml:space="preserve">                          </w:t>
      </w:r>
    </w:p>
    <w:p w14:paraId="6B9BC55F">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开 户 行：</w:t>
      </w:r>
      <w:r>
        <w:rPr>
          <w:rFonts w:hint="eastAsia" w:ascii="仿宋" w:hAnsi="仿宋" w:eastAsia="仿宋" w:cs="仿宋"/>
          <w:b w:val="0"/>
          <w:bCs w:val="0"/>
          <w:color w:val="auto"/>
          <w:sz w:val="24"/>
          <w:szCs w:val="24"/>
          <w:highlight w:val="none"/>
          <w:u w:val="single"/>
          <w:lang w:val="en-US" w:eastAsia="zh-CN"/>
        </w:rPr>
        <w:t xml:space="preserve">                          </w:t>
      </w:r>
    </w:p>
    <w:p w14:paraId="1101CC59">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rPr>
        <w:t>）发票要求</w:t>
      </w:r>
    </w:p>
    <w:p w14:paraId="3636E825">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甲方付款前需事先向乙方提供以下开票信息，乙方应向甲方出具合法有效的全面数字化电子发票：</w:t>
      </w:r>
    </w:p>
    <w:tbl>
      <w:tblPr>
        <w:tblStyle w:val="56"/>
        <w:tblW w:w="8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7"/>
        <w:gridCol w:w="6349"/>
      </w:tblGrid>
      <w:tr w14:paraId="05513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2547" w:type="dxa"/>
            <w:noWrap w:val="0"/>
            <w:vAlign w:val="center"/>
          </w:tcPr>
          <w:p w14:paraId="5AC990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开票信息</w:t>
            </w:r>
          </w:p>
        </w:tc>
        <w:tc>
          <w:tcPr>
            <w:tcW w:w="6349" w:type="dxa"/>
            <w:noWrap w:val="0"/>
            <w:vAlign w:val="top"/>
          </w:tcPr>
          <w:p w14:paraId="3C2D08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1）单位名称：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7EE69B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2）纳税人识别号：</w:t>
            </w:r>
            <w:r>
              <w:rPr>
                <w:rFonts w:hint="eastAsia" w:ascii="仿宋" w:hAnsi="仿宋" w:eastAsia="仿宋" w:cs="仿宋"/>
                <w:color w:val="auto"/>
                <w:sz w:val="24"/>
                <w:szCs w:val="24"/>
                <w:highlight w:val="none"/>
                <w:u w:val="single"/>
              </w:rPr>
              <w:t xml:space="preserve">                 </w:t>
            </w:r>
          </w:p>
          <w:p w14:paraId="09F06C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 地址、电话：</w:t>
            </w:r>
            <w:r>
              <w:rPr>
                <w:rFonts w:hint="eastAsia" w:ascii="仿宋" w:hAnsi="仿宋" w:eastAsia="仿宋" w:cs="仿宋"/>
                <w:color w:val="auto"/>
                <w:sz w:val="24"/>
                <w:szCs w:val="24"/>
                <w:highlight w:val="none"/>
                <w:u w:val="single"/>
                <w:lang w:val="en-US" w:eastAsia="zh-CN"/>
              </w:rPr>
              <w:t xml:space="preserve">                    </w:t>
            </w:r>
          </w:p>
          <w:p w14:paraId="2D7D64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4） </w:t>
            </w:r>
            <w:r>
              <w:rPr>
                <w:rFonts w:hint="eastAsia" w:ascii="仿宋" w:hAnsi="仿宋" w:eastAsia="仿宋" w:cs="仿宋"/>
                <w:color w:val="auto"/>
                <w:sz w:val="24"/>
                <w:szCs w:val="24"/>
                <w:highlight w:val="none"/>
                <w:lang w:val="en-US" w:eastAsia="zh-CN"/>
              </w:rPr>
              <w:t>收款</w:t>
            </w: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1A7573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u w:val="none"/>
              </w:rPr>
              <w:t>开户行</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single"/>
                <w:lang w:val="en-US" w:eastAsia="zh-CN"/>
              </w:rPr>
              <w:t xml:space="preserve">                     </w:t>
            </w:r>
          </w:p>
          <w:p w14:paraId="376F2E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发票内容：</w:t>
            </w:r>
            <w:r>
              <w:rPr>
                <w:rFonts w:hint="eastAsia" w:ascii="仿宋" w:hAnsi="仿宋" w:eastAsia="仿宋" w:cs="仿宋"/>
                <w:color w:val="auto"/>
                <w:sz w:val="24"/>
                <w:szCs w:val="24"/>
                <w:highlight w:val="none"/>
                <w:u w:val="single"/>
                <w:lang w:val="en-US" w:eastAsia="zh-CN"/>
              </w:rPr>
              <w:t xml:space="preserve">                     </w:t>
            </w:r>
          </w:p>
        </w:tc>
      </w:tr>
    </w:tbl>
    <w:p w14:paraId="4E906CAA">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lang w:val="en-US" w:eastAsia="zh-CN"/>
        </w:rPr>
      </w:pPr>
    </w:p>
    <w:p w14:paraId="2523272B">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、成果验收</w:t>
      </w:r>
    </w:p>
    <w:p w14:paraId="1BAB81D4">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甲方对于乙方工作成果的验收标准依照双方确定的工作标准进行。</w:t>
      </w:r>
    </w:p>
    <w:p w14:paraId="13EE2E4B">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乙方组织完成的土壤普查成果</w:t>
      </w:r>
      <w:r>
        <w:rPr>
          <w:rFonts w:hint="eastAsia" w:ascii="仿宋" w:hAnsi="仿宋" w:eastAsia="仿宋" w:cs="仿宋"/>
          <w:color w:val="auto"/>
          <w:sz w:val="24"/>
          <w:szCs w:val="24"/>
          <w:highlight w:val="none"/>
          <w:lang w:val="en-US" w:eastAsia="zh-CN"/>
        </w:rPr>
        <w:t>通过国家、省级和州土壤普查办的验收</w:t>
      </w:r>
      <w:r>
        <w:rPr>
          <w:rFonts w:hint="eastAsia" w:ascii="仿宋" w:hAnsi="仿宋" w:eastAsia="仿宋" w:cs="仿宋"/>
          <w:color w:val="auto"/>
          <w:sz w:val="24"/>
          <w:szCs w:val="24"/>
          <w:highlight w:val="none"/>
          <w:lang w:eastAsia="zh-CN"/>
        </w:rPr>
        <w:t>，并按照要求完成整改，相关成果印刷或出版后，才能视为成果验收合格。</w:t>
      </w:r>
    </w:p>
    <w:p w14:paraId="5B99B770">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八</w:t>
      </w:r>
      <w:r>
        <w:rPr>
          <w:rFonts w:hint="eastAsia" w:ascii="仿宋" w:hAnsi="仿宋" w:eastAsia="仿宋" w:cs="仿宋"/>
          <w:b/>
          <w:bCs/>
          <w:color w:val="auto"/>
          <w:sz w:val="24"/>
          <w:szCs w:val="24"/>
          <w:highlight w:val="none"/>
        </w:rPr>
        <w:t>、违约责任</w:t>
      </w:r>
    </w:p>
    <w:p w14:paraId="1C8EF062">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（一）工作延期责任</w:t>
      </w:r>
    </w:p>
    <w:p w14:paraId="0E2A37F5">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1</w:t>
      </w:r>
      <w:bookmarkStart w:id="380" w:name="_Hlk132012044"/>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除非有甲方可谅解情形或基于不可抗力，</w:t>
      </w:r>
      <w:bookmarkEnd w:id="380"/>
      <w:r>
        <w:rPr>
          <w:rFonts w:hint="eastAsia" w:ascii="仿宋" w:hAnsi="仿宋" w:eastAsia="仿宋" w:cs="仿宋"/>
          <w:color w:val="auto"/>
          <w:sz w:val="24"/>
          <w:szCs w:val="24"/>
          <w:highlight w:val="none"/>
        </w:rPr>
        <w:t>乙方</w:t>
      </w:r>
      <w:r>
        <w:rPr>
          <w:rFonts w:hint="eastAsia" w:ascii="仿宋" w:hAnsi="仿宋" w:eastAsia="仿宋" w:cs="仿宋"/>
          <w:strike w:val="0"/>
          <w:dstrike w:val="0"/>
          <w:color w:val="auto"/>
          <w:sz w:val="24"/>
          <w:szCs w:val="24"/>
          <w:highlight w:val="none"/>
        </w:rPr>
        <w:t>因可归责于</w:t>
      </w:r>
      <w:r>
        <w:rPr>
          <w:rFonts w:hint="eastAsia" w:ascii="仿宋" w:hAnsi="仿宋" w:eastAsia="仿宋" w:cs="仿宋"/>
          <w:strike w:val="0"/>
          <w:dstrike w:val="0"/>
          <w:color w:val="auto"/>
          <w:sz w:val="24"/>
          <w:szCs w:val="24"/>
          <w:highlight w:val="none"/>
          <w:lang w:val="en-US" w:eastAsia="zh-CN"/>
        </w:rPr>
        <w:t>已</w:t>
      </w:r>
      <w:r>
        <w:rPr>
          <w:rFonts w:hint="eastAsia" w:ascii="仿宋" w:hAnsi="仿宋" w:eastAsia="仿宋" w:cs="仿宋"/>
          <w:strike w:val="0"/>
          <w:dstrike w:val="0"/>
          <w:color w:val="auto"/>
          <w:sz w:val="24"/>
          <w:szCs w:val="24"/>
          <w:highlight w:val="none"/>
        </w:rPr>
        <w:t>方的原因</w:t>
      </w:r>
      <w:r>
        <w:rPr>
          <w:rFonts w:hint="eastAsia" w:ascii="仿宋" w:hAnsi="仿宋" w:eastAsia="仿宋" w:cs="仿宋"/>
          <w:color w:val="auto"/>
          <w:sz w:val="24"/>
          <w:szCs w:val="24"/>
          <w:highlight w:val="none"/>
        </w:rPr>
        <w:t>，致使调查项目未能按时按质完成，乙方应给予甲方补偿，补偿标准和方式由</w:t>
      </w:r>
      <w:r>
        <w:rPr>
          <w:rFonts w:hint="eastAsia" w:ascii="仿宋" w:hAnsi="仿宋" w:eastAsia="仿宋" w:cs="仿宋"/>
          <w:b/>
          <w:bCs/>
          <w:color w:val="auto"/>
          <w:sz w:val="24"/>
          <w:szCs w:val="24"/>
          <w:highlight w:val="none"/>
        </w:rPr>
        <w:t>双方协商决定。</w:t>
      </w:r>
    </w:p>
    <w:p w14:paraId="4E6B6820">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因调查时间延后、执行标准和要求更改、经费延迟支付等可归责于甲方的原因，而造成的工作迟延进而导致乙方损失的，甲方应给予乙方补偿，补偿标准和方式由双方协商决定。</w:t>
      </w:r>
    </w:p>
    <w:p w14:paraId="695318BC">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除非有乙方可谅解情形，或基于不可抗力，甲方因可归责于己方的原因，未能按时支付乙方服务费，</w:t>
      </w:r>
      <w:r>
        <w:rPr>
          <w:rFonts w:hint="eastAsia" w:ascii="仿宋" w:hAnsi="仿宋" w:eastAsia="仿宋" w:cs="仿宋"/>
          <w:color w:val="auto"/>
          <w:sz w:val="24"/>
          <w:szCs w:val="24"/>
          <w:highlight w:val="none"/>
          <w:lang w:eastAsia="zh-CN"/>
        </w:rPr>
        <w:t>甲方</w:t>
      </w:r>
      <w:r>
        <w:rPr>
          <w:rFonts w:hint="eastAsia" w:ascii="仿宋" w:hAnsi="仿宋" w:eastAsia="仿宋" w:cs="仿宋"/>
          <w:color w:val="auto"/>
          <w:sz w:val="24"/>
          <w:szCs w:val="24"/>
          <w:highlight w:val="none"/>
        </w:rPr>
        <w:t>应向乙方支付违约金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补偿标准和方式由</w:t>
      </w:r>
      <w:r>
        <w:rPr>
          <w:rFonts w:hint="eastAsia" w:ascii="仿宋" w:hAnsi="仿宋" w:eastAsia="仿宋" w:cs="仿宋"/>
          <w:b/>
          <w:bCs/>
          <w:color w:val="auto"/>
          <w:sz w:val="24"/>
          <w:szCs w:val="24"/>
          <w:highlight w:val="none"/>
        </w:rPr>
        <w:t>双方协商决定</w:t>
      </w:r>
      <w:r>
        <w:rPr>
          <w:rFonts w:hint="eastAsia" w:ascii="仿宋" w:hAnsi="仿宋" w:eastAsia="仿宋" w:cs="仿宋"/>
          <w:b/>
          <w:bCs/>
          <w:color w:val="auto"/>
          <w:sz w:val="24"/>
          <w:szCs w:val="24"/>
          <w:highlight w:val="none"/>
          <w:lang w:eastAsia="zh-CN"/>
        </w:rPr>
        <w:t>。</w:t>
      </w:r>
    </w:p>
    <w:p w14:paraId="63284356">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（二）违反工作方法责任</w:t>
      </w:r>
    </w:p>
    <w:p w14:paraId="3E0FD369">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未使用双方约定的方法执行调查，或因自身原因，而形成明显不准确的调查结果时，乙方应部分或全部退回委托费用。偏差程度则依据问题实际发生原因及严重情况及其所占实际完成工作量的比例由双方协商确定。</w:t>
      </w:r>
    </w:p>
    <w:p w14:paraId="0A3F6C6B">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（三）保密责任</w:t>
      </w:r>
    </w:p>
    <w:p w14:paraId="40802635">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rPr>
          <w:rFonts w:hint="eastAsia" w:ascii="仿宋" w:hAnsi="仿宋" w:eastAsia="仿宋" w:cs="仿宋"/>
          <w:color w:val="auto"/>
          <w:sz w:val="24"/>
          <w:szCs w:val="24"/>
          <w:highlight w:val="none"/>
          <w:lang w:eastAsia="zh-CN"/>
        </w:rPr>
        <w:t>。</w:t>
      </w:r>
    </w:p>
    <w:p w14:paraId="2602972D">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乙方仅得为履行本合同之目的对保密资料进行复制。乙方不得以任何方式（如软硬盘、图纸、彩样、照片、胶卷、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7ABCA227">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九</w:t>
      </w:r>
      <w:r>
        <w:rPr>
          <w:rFonts w:hint="eastAsia" w:ascii="仿宋" w:hAnsi="仿宋" w:eastAsia="仿宋" w:cs="仿宋"/>
          <w:b/>
          <w:bCs/>
          <w:color w:val="auto"/>
          <w:sz w:val="24"/>
          <w:szCs w:val="24"/>
          <w:highlight w:val="none"/>
        </w:rPr>
        <w:t>、其他事项</w:t>
      </w:r>
    </w:p>
    <w:p w14:paraId="1E7A6AB5">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（一）委托内容变更</w:t>
      </w:r>
    </w:p>
    <w:p w14:paraId="371F3653">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合同执行</w:t>
      </w:r>
      <w:r>
        <w:rPr>
          <w:rFonts w:hint="eastAsia" w:ascii="仿宋" w:hAnsi="仿宋" w:eastAsia="仿宋" w:cs="仿宋"/>
          <w:color w:val="auto"/>
          <w:sz w:val="24"/>
          <w:szCs w:val="24"/>
          <w:highlight w:val="none"/>
        </w:rPr>
        <w:t>进行过程中，</w:t>
      </w:r>
      <w:r>
        <w:rPr>
          <w:rFonts w:hint="eastAsia" w:ascii="仿宋" w:hAnsi="仿宋" w:eastAsia="仿宋" w:cs="仿宋"/>
          <w:color w:val="auto"/>
          <w:sz w:val="24"/>
          <w:szCs w:val="24"/>
          <w:highlight w:val="none"/>
          <w:lang w:eastAsia="zh-CN"/>
        </w:rPr>
        <w:t>若国家、省级土壤普查办对成果编制要求发生变更，且</w:t>
      </w:r>
      <w:r>
        <w:rPr>
          <w:rFonts w:hint="eastAsia" w:ascii="仿宋" w:hAnsi="仿宋" w:eastAsia="仿宋" w:cs="仿宋"/>
          <w:color w:val="auto"/>
          <w:sz w:val="24"/>
          <w:highlight w:val="none"/>
          <w:lang w:eastAsia="zh-CN"/>
        </w:rPr>
        <w:t>新</w:t>
      </w:r>
      <w:r>
        <w:rPr>
          <w:rFonts w:hint="eastAsia" w:ascii="仿宋" w:hAnsi="仿宋" w:eastAsia="仿宋" w:cs="仿宋"/>
          <w:color w:val="auto"/>
          <w:sz w:val="24"/>
          <w:szCs w:val="24"/>
          <w:highlight w:val="none"/>
        </w:rPr>
        <w:t>增工作</w:t>
      </w:r>
      <w:r>
        <w:rPr>
          <w:rFonts w:hint="eastAsia" w:ascii="仿宋" w:hAnsi="仿宋" w:eastAsia="仿宋" w:cs="仿宋"/>
          <w:color w:val="auto"/>
          <w:sz w:val="24"/>
          <w:szCs w:val="24"/>
          <w:highlight w:val="none"/>
          <w:lang w:eastAsia="zh-CN"/>
        </w:rPr>
        <w:t>内容</w:t>
      </w:r>
      <w:r>
        <w:rPr>
          <w:rFonts w:hint="eastAsia" w:ascii="仿宋" w:hAnsi="仿宋" w:eastAsia="仿宋" w:cs="仿宋"/>
          <w:color w:val="auto"/>
          <w:sz w:val="24"/>
          <w:highlight w:val="none"/>
          <w:lang w:eastAsia="zh-CN"/>
        </w:rPr>
        <w:t>采购价格超过</w:t>
      </w:r>
      <w:r>
        <w:rPr>
          <w:rFonts w:hint="eastAsia" w:ascii="仿宋" w:hAnsi="仿宋" w:eastAsia="仿宋" w:cs="仿宋"/>
          <w:color w:val="auto"/>
          <w:sz w:val="24"/>
          <w:highlight w:val="none"/>
        </w:rPr>
        <w:t>原合同价的</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时</w:t>
      </w:r>
      <w:r>
        <w:rPr>
          <w:rFonts w:hint="eastAsia" w:ascii="仿宋" w:hAnsi="仿宋" w:eastAsia="仿宋" w:cs="仿宋"/>
          <w:color w:val="auto"/>
          <w:sz w:val="24"/>
          <w:highlight w:val="none"/>
          <w:lang w:eastAsia="zh-CN"/>
        </w:rPr>
        <w:t>，</w:t>
      </w:r>
      <w:r>
        <w:rPr>
          <w:rFonts w:hint="eastAsia" w:ascii="仿宋" w:hAnsi="仿宋" w:eastAsia="仿宋" w:cs="仿宋"/>
          <w:color w:val="auto"/>
          <w:sz w:val="24"/>
          <w:szCs w:val="24"/>
          <w:highlight w:val="none"/>
        </w:rPr>
        <w:t>双方应另行协商，并以书面形式确定其范围及费用。</w:t>
      </w:r>
    </w:p>
    <w:p w14:paraId="763356F9">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（二）文件效力</w:t>
      </w:r>
    </w:p>
    <w:p w14:paraId="515E2CFB">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经双方代表人签字确认的各种文件均为本合同之附件，具有与合同正式条款同等之效力。根据项目进展而在后续工作中商定的内容与协议中同项条款有所冲突或抵触时，其效力优于原先的约定。</w:t>
      </w:r>
    </w:p>
    <w:p w14:paraId="2E317D54">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（三）损失的计算</w:t>
      </w:r>
    </w:p>
    <w:p w14:paraId="12DAE8E4">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本项目及本合同所称之违约损失及所涉及之相关损害后果是指可计量的、有客观证据（有双方认定及来自独立之第三者）支持之直接经济损失。</w:t>
      </w:r>
    </w:p>
    <w:p w14:paraId="1695DDD0">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（四）合约终止</w:t>
      </w:r>
    </w:p>
    <w:p w14:paraId="20E86830">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因自然灾害、政策因素或法律认定的不可抗力或双方书面同意提前终止而导致不能完全执行时应予终止。除本合同另有约定外，合同终止后，双方针对已支付项目费用及实际已支出的工作费用进行结算，多退少补。</w:t>
      </w:r>
    </w:p>
    <w:p w14:paraId="21E074AA">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（五）争议的解决</w:t>
      </w:r>
    </w:p>
    <w:p w14:paraId="0666588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因本合同之订立、执行、解释等发生争议的，双方应协商解决；</w:t>
      </w:r>
      <w:r>
        <w:rPr>
          <w:rFonts w:hint="eastAsia" w:ascii="仿宋" w:hAnsi="仿宋" w:eastAsia="仿宋" w:cs="仿宋"/>
          <w:color w:val="auto"/>
          <w:sz w:val="24"/>
          <w:highlight w:val="none"/>
        </w:rPr>
        <w:t>不愿和解、调解或者和解、调解不成的，可以向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甲方</w:t>
      </w:r>
      <w:r>
        <w:rPr>
          <w:rFonts w:hint="eastAsia" w:ascii="仿宋" w:hAnsi="仿宋" w:eastAsia="仿宋" w:cs="仿宋"/>
          <w:color w:val="auto"/>
          <w:sz w:val="24"/>
          <w:highlight w:val="none"/>
          <w:u w:val="single"/>
        </w:rPr>
        <w:t xml:space="preserve">所在地  </w:t>
      </w:r>
      <w:r>
        <w:rPr>
          <w:rFonts w:hint="eastAsia" w:ascii="仿宋" w:hAnsi="仿宋" w:eastAsia="仿宋" w:cs="仿宋"/>
          <w:color w:val="auto"/>
          <w:sz w:val="24"/>
          <w:highlight w:val="none"/>
        </w:rPr>
        <w:t>人民法院起诉。</w:t>
      </w:r>
    </w:p>
    <w:p w14:paraId="50BAE4D1">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（六）本合同的签订与修改</w:t>
      </w:r>
    </w:p>
    <w:p w14:paraId="28EA8440">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本合同的签约地为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，本合同自双方或双方法定代表人或其授权代表人签字并加盖公章之日起生效。本协议壹式肆份，甲乙双方各执贰份。本协议非经双方商议并以书面形式确认，不得改变或终止。</w:t>
      </w:r>
    </w:p>
    <w:p w14:paraId="4DDC77B1">
      <w:pPr>
        <w:pStyle w:val="700"/>
        <w:spacing w:line="738" w:lineRule="exact"/>
        <w:ind w:left="0" w:leftChars="0" w:right="3" w:firstLine="2650" w:firstLineChars="600"/>
        <w:jc w:val="both"/>
        <w:rPr>
          <w:rFonts w:hint="eastAsia" w:ascii="仿宋" w:hAnsi="仿宋" w:eastAsia="仿宋" w:cs="仿宋"/>
          <w:color w:val="auto"/>
          <w:highlight w:val="none"/>
          <w:lang w:eastAsia="zh-CN"/>
        </w:rPr>
      </w:pPr>
    </w:p>
    <w:p w14:paraId="48AF4B62">
      <w:pPr>
        <w:pStyle w:val="23"/>
        <w:rPr>
          <w:color w:val="auto"/>
          <w:highlight w:val="none"/>
        </w:rPr>
      </w:pPr>
    </w:p>
    <w:p w14:paraId="418FAF99">
      <w:pPr>
        <w:rPr>
          <w:color w:val="auto"/>
          <w:highlight w:val="none"/>
        </w:rPr>
      </w:pPr>
    </w:p>
    <w:p w14:paraId="4C4EE4FE">
      <w:pPr>
        <w:pStyle w:val="23"/>
        <w:rPr>
          <w:color w:val="auto"/>
          <w:highlight w:val="none"/>
        </w:rPr>
      </w:pPr>
    </w:p>
    <w:p w14:paraId="7FB38D87">
      <w:pPr>
        <w:rPr>
          <w:color w:val="auto"/>
          <w:highlight w:val="none"/>
        </w:rPr>
      </w:pPr>
    </w:p>
    <w:p w14:paraId="5D8F0137">
      <w:pPr>
        <w:pStyle w:val="23"/>
        <w:rPr>
          <w:color w:val="auto"/>
          <w:highlight w:val="none"/>
        </w:rPr>
      </w:pPr>
    </w:p>
    <w:p w14:paraId="2D8C4EE5">
      <w:pPr>
        <w:rPr>
          <w:color w:val="auto"/>
          <w:highlight w:val="none"/>
        </w:rPr>
      </w:pPr>
    </w:p>
    <w:p w14:paraId="21B57128">
      <w:pPr>
        <w:pStyle w:val="23"/>
        <w:rPr>
          <w:color w:val="auto"/>
          <w:highlight w:val="none"/>
        </w:rPr>
      </w:pPr>
    </w:p>
    <w:p w14:paraId="747E1F53">
      <w:pPr>
        <w:rPr>
          <w:color w:val="auto"/>
          <w:highlight w:val="none"/>
        </w:rPr>
      </w:pPr>
    </w:p>
    <w:p w14:paraId="4E9A8B32">
      <w:pPr>
        <w:pStyle w:val="23"/>
        <w:rPr>
          <w:color w:val="auto"/>
          <w:highlight w:val="none"/>
        </w:rPr>
      </w:pPr>
    </w:p>
    <w:p w14:paraId="78753CD6">
      <w:pPr>
        <w:rPr>
          <w:color w:val="auto"/>
          <w:highlight w:val="none"/>
        </w:rPr>
      </w:pPr>
    </w:p>
    <w:p w14:paraId="565A3E54">
      <w:pPr>
        <w:jc w:val="both"/>
        <w:rPr>
          <w:rFonts w:hint="eastAsia" w:ascii="仿宋" w:hAnsi="仿宋" w:eastAsia="仿宋"/>
          <w:b/>
          <w:bCs/>
          <w:color w:val="auto"/>
          <w:sz w:val="30"/>
          <w:szCs w:val="30"/>
          <w:highlight w:val="none"/>
        </w:rPr>
      </w:pPr>
    </w:p>
    <w:p w14:paraId="53BD8FFD">
      <w:pPr>
        <w:widowControl/>
        <w:jc w:val="center"/>
        <w:outlineLvl w:val="0"/>
        <w:rPr>
          <w:rFonts w:hint="eastAsia" w:ascii="仿宋" w:hAnsi="仿宋" w:eastAsia="仿宋"/>
          <w:b/>
          <w:color w:val="auto"/>
          <w:sz w:val="32"/>
          <w:szCs w:val="32"/>
          <w:highlight w:val="none"/>
        </w:rPr>
      </w:pPr>
      <w:bookmarkStart w:id="381" w:name="_Toc54111624"/>
      <w:bookmarkStart w:id="382" w:name="_Toc24730470"/>
      <w:bookmarkStart w:id="383" w:name="_Toc14049"/>
    </w:p>
    <w:p w14:paraId="3638A28E">
      <w:pPr>
        <w:widowControl/>
        <w:jc w:val="both"/>
        <w:outlineLvl w:val="0"/>
        <w:rPr>
          <w:rFonts w:hint="eastAsia" w:ascii="仿宋" w:hAnsi="仿宋" w:eastAsia="仿宋"/>
          <w:b/>
          <w:color w:val="auto"/>
          <w:sz w:val="32"/>
          <w:szCs w:val="32"/>
          <w:highlight w:val="none"/>
        </w:rPr>
      </w:pPr>
    </w:p>
    <w:p w14:paraId="2A1CEDE5">
      <w:pPr>
        <w:widowControl/>
        <w:jc w:val="center"/>
        <w:outlineLvl w:val="0"/>
        <w:rPr>
          <w:rFonts w:ascii="仿宋" w:hAnsi="仿宋" w:eastAsia="仿宋"/>
          <w:b/>
          <w:bCs/>
          <w:color w:val="auto"/>
          <w:kern w:val="0"/>
          <w:sz w:val="32"/>
          <w:szCs w:val="32"/>
          <w:highlight w:val="none"/>
        </w:rPr>
      </w:pPr>
      <w:r>
        <w:rPr>
          <w:rFonts w:hint="eastAsia" w:ascii="仿宋" w:hAnsi="仿宋" w:eastAsia="仿宋"/>
          <w:b/>
          <w:color w:val="auto"/>
          <w:sz w:val="32"/>
          <w:szCs w:val="32"/>
          <w:highlight w:val="none"/>
        </w:rPr>
        <w:t>第五章</w:t>
      </w:r>
      <w:bookmarkEnd w:id="339"/>
      <w:bookmarkEnd w:id="340"/>
      <w:bookmarkEnd w:id="341"/>
      <w:bookmarkEnd w:id="342"/>
      <w:bookmarkEnd w:id="343"/>
      <w:bookmarkEnd w:id="381"/>
      <w:bookmarkEnd w:id="382"/>
      <w:bookmarkStart w:id="384" w:name="_Toc241825124"/>
      <w:bookmarkStart w:id="385" w:name="_Toc448328637"/>
      <w:bookmarkStart w:id="386" w:name="_Toc448328568"/>
      <w:bookmarkStart w:id="387" w:name="_Toc225224697"/>
      <w:bookmarkStart w:id="388" w:name="_Toc302769439"/>
      <w:r>
        <w:rPr>
          <w:rFonts w:hint="eastAsia" w:ascii="仿宋" w:hAnsi="仿宋" w:eastAsia="仿宋"/>
          <w:b/>
          <w:color w:val="auto"/>
          <w:sz w:val="32"/>
          <w:szCs w:val="32"/>
          <w:highlight w:val="none"/>
        </w:rPr>
        <w:t xml:space="preserve"> 招标内容及</w:t>
      </w:r>
      <w:r>
        <w:rPr>
          <w:rFonts w:hint="eastAsia" w:ascii="仿宋" w:hAnsi="仿宋" w:eastAsia="仿宋"/>
          <w:b/>
          <w:color w:val="auto"/>
          <w:sz w:val="32"/>
          <w:szCs w:val="32"/>
          <w:highlight w:val="none"/>
          <w:lang w:eastAsia="zh-CN"/>
        </w:rPr>
        <w:t>技术</w:t>
      </w:r>
      <w:r>
        <w:rPr>
          <w:rFonts w:hint="eastAsia" w:ascii="仿宋" w:hAnsi="仿宋" w:eastAsia="仿宋"/>
          <w:b/>
          <w:color w:val="auto"/>
          <w:sz w:val="32"/>
          <w:szCs w:val="32"/>
          <w:highlight w:val="none"/>
        </w:rPr>
        <w:t>要求</w:t>
      </w:r>
      <w:bookmarkEnd w:id="383"/>
    </w:p>
    <w:p w14:paraId="4E4F312E">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黑体"/>
          <w:color w:val="auto"/>
          <w:sz w:val="24"/>
          <w:szCs w:val="24"/>
          <w:highlight w:val="none"/>
          <w:lang w:val="en-US" w:eastAsia="zh-CN"/>
        </w:rPr>
      </w:pPr>
      <w:bookmarkStart w:id="389" w:name="_bookmark153"/>
      <w:bookmarkEnd w:id="389"/>
      <w:bookmarkStart w:id="390" w:name="_bookmark148"/>
      <w:bookmarkEnd w:id="390"/>
      <w:bookmarkStart w:id="391" w:name="_bookmark149"/>
      <w:bookmarkEnd w:id="391"/>
      <w:bookmarkStart w:id="392" w:name="_Toc437508527"/>
      <w:bookmarkStart w:id="393" w:name="_Toc466217275"/>
      <w:bookmarkStart w:id="394" w:name="_Toc24730471"/>
      <w:bookmarkStart w:id="395" w:name="_Toc41046527"/>
      <w:r>
        <w:rPr>
          <w:rFonts w:hint="eastAsia" w:ascii="仿宋" w:hAnsi="仿宋" w:eastAsia="仿宋" w:cs="黑体"/>
          <w:color w:val="auto"/>
          <w:sz w:val="24"/>
          <w:szCs w:val="24"/>
          <w:highlight w:val="none"/>
          <w:lang w:val="en-US" w:eastAsia="zh-CN"/>
        </w:rPr>
        <w:t>一、项目概况</w:t>
      </w:r>
    </w:p>
    <w:p w14:paraId="0F38FB4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黑体"/>
          <w:color w:val="auto"/>
          <w:sz w:val="24"/>
          <w:szCs w:val="24"/>
          <w:highlight w:val="none"/>
        </w:rPr>
      </w:pPr>
      <w:r>
        <w:rPr>
          <w:rFonts w:hint="eastAsia" w:ascii="仿宋" w:hAnsi="仿宋" w:eastAsia="仿宋" w:cs="黑体"/>
          <w:color w:val="auto"/>
          <w:sz w:val="24"/>
          <w:szCs w:val="24"/>
          <w:highlight w:val="none"/>
        </w:rPr>
        <w:t>1.项目编号：</w:t>
      </w:r>
      <w:r>
        <w:rPr>
          <w:rFonts w:hint="eastAsia" w:ascii="仿宋" w:hAnsi="仿宋" w:eastAsia="仿宋"/>
          <w:color w:val="auto"/>
          <w:sz w:val="24"/>
          <w:szCs w:val="24"/>
          <w:highlight w:val="none"/>
        </w:rPr>
        <w:t>YNSF【202</w:t>
      </w:r>
      <w:r>
        <w:rPr>
          <w:rFonts w:hint="eastAsia" w:ascii="仿宋" w:hAnsi="仿宋" w:eastAsia="仿宋"/>
          <w:color w:val="auto"/>
          <w:sz w:val="24"/>
          <w:szCs w:val="24"/>
          <w:highlight w:val="none"/>
          <w:lang w:val="en-US" w:eastAsia="zh-CN"/>
        </w:rPr>
        <w:t>5ZB001</w:t>
      </w:r>
      <w:r>
        <w:rPr>
          <w:rFonts w:hint="eastAsia" w:ascii="仿宋" w:hAnsi="仿宋" w:eastAsia="仿宋"/>
          <w:color w:val="auto"/>
          <w:sz w:val="24"/>
          <w:szCs w:val="24"/>
          <w:highlight w:val="none"/>
        </w:rPr>
        <w:t>】</w:t>
      </w:r>
      <w:r>
        <w:rPr>
          <w:rFonts w:hint="eastAsia" w:ascii="仿宋" w:hAnsi="仿宋" w:eastAsia="仿宋" w:cs="黑体"/>
          <w:color w:val="auto"/>
          <w:sz w:val="24"/>
          <w:szCs w:val="24"/>
          <w:highlight w:val="none"/>
        </w:rPr>
        <w:t>；</w:t>
      </w:r>
    </w:p>
    <w:p w14:paraId="52EC9B2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黑体"/>
          <w:color w:val="auto"/>
          <w:sz w:val="24"/>
          <w:szCs w:val="24"/>
          <w:highlight w:val="none"/>
          <w:u w:val="none"/>
        </w:rPr>
      </w:pPr>
      <w:r>
        <w:rPr>
          <w:rFonts w:hint="eastAsia" w:ascii="仿宋" w:hAnsi="仿宋" w:eastAsia="仿宋" w:cs="黑体"/>
          <w:color w:val="auto"/>
          <w:sz w:val="24"/>
          <w:szCs w:val="24"/>
          <w:highlight w:val="none"/>
        </w:rPr>
        <w:t>2.项目名称：</w:t>
      </w:r>
      <w:r>
        <w:rPr>
          <w:rFonts w:hint="eastAsia" w:ascii="仿宋" w:hAnsi="仿宋" w:eastAsia="仿宋" w:cs="黑体"/>
          <w:color w:val="auto"/>
          <w:sz w:val="24"/>
          <w:szCs w:val="24"/>
          <w:highlight w:val="none"/>
          <w:u w:val="none"/>
        </w:rPr>
        <w:t>普洱市农业农村局第三次全国土壤普查市级成果汇编项目；</w:t>
      </w:r>
    </w:p>
    <w:p w14:paraId="35441ED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eastAsia="zh-CN"/>
        </w:rPr>
      </w:pPr>
      <w:r>
        <w:rPr>
          <w:rFonts w:hint="eastAsia" w:ascii="仿宋" w:hAnsi="仿宋" w:eastAsia="仿宋" w:cs="宋体"/>
          <w:color w:val="auto"/>
          <w:sz w:val="24"/>
          <w:szCs w:val="24"/>
          <w:highlight w:val="none"/>
          <w:lang w:val="en-US" w:eastAsia="zh-CN"/>
        </w:rPr>
        <w:t>3</w:t>
      </w:r>
      <w:r>
        <w:rPr>
          <w:rFonts w:hint="eastAsia" w:ascii="仿宋" w:hAnsi="仿宋" w:eastAsia="仿宋" w:cs="宋体"/>
          <w:color w:val="auto"/>
          <w:sz w:val="24"/>
          <w:szCs w:val="24"/>
          <w:highlight w:val="none"/>
        </w:rPr>
        <w:t>.合同履行期限：</w:t>
      </w:r>
      <w:r>
        <w:rPr>
          <w:rFonts w:hint="eastAsia" w:ascii="仿宋" w:hAnsi="仿宋" w:eastAsia="仿宋" w:cs="黑体"/>
          <w:color w:val="auto"/>
          <w:sz w:val="24"/>
          <w:szCs w:val="24"/>
          <w:highlight w:val="none"/>
          <w:lang w:val="en-US" w:eastAsia="zh-CN"/>
        </w:rPr>
        <w:t>自合同签订后至通过国家级验收为止（具体完成时间根据全国、省级、州级成果验收进度进行调整，</w:t>
      </w:r>
      <w:r>
        <w:rPr>
          <w:rFonts w:hint="eastAsia" w:ascii="仿宋" w:hAnsi="仿宋" w:eastAsia="仿宋" w:cs="黑体"/>
          <w:color w:val="auto"/>
          <w:sz w:val="24"/>
          <w:szCs w:val="24"/>
          <w:highlight w:val="none"/>
          <w:lang w:eastAsia="zh-CN"/>
        </w:rPr>
        <w:t>具体以</w:t>
      </w:r>
      <w:r>
        <w:rPr>
          <w:rFonts w:hint="eastAsia" w:ascii="仿宋" w:hAnsi="仿宋" w:eastAsia="仿宋" w:cs="黑体"/>
          <w:color w:val="auto"/>
          <w:sz w:val="24"/>
          <w:szCs w:val="24"/>
          <w:highlight w:val="none"/>
          <w:lang w:val="en-US" w:eastAsia="zh-CN"/>
        </w:rPr>
        <w:t>招标人</w:t>
      </w:r>
      <w:r>
        <w:rPr>
          <w:rFonts w:hint="eastAsia" w:ascii="仿宋" w:hAnsi="仿宋" w:eastAsia="仿宋" w:cs="黑体"/>
          <w:color w:val="auto"/>
          <w:sz w:val="24"/>
          <w:szCs w:val="24"/>
          <w:highlight w:val="none"/>
          <w:lang w:eastAsia="zh-CN"/>
        </w:rPr>
        <w:t>要求为准</w:t>
      </w:r>
      <w:r>
        <w:rPr>
          <w:rFonts w:hint="eastAsia" w:ascii="仿宋" w:hAnsi="仿宋" w:eastAsia="仿宋" w:cs="黑体"/>
          <w:color w:val="auto"/>
          <w:sz w:val="24"/>
          <w:szCs w:val="24"/>
          <w:highlight w:val="none"/>
          <w:lang w:val="en-US" w:eastAsia="zh-CN"/>
        </w:rPr>
        <w:t>）</w:t>
      </w:r>
      <w:r>
        <w:rPr>
          <w:rFonts w:hint="eastAsia" w:ascii="仿宋" w:hAnsi="仿宋" w:eastAsia="仿宋" w:cs="黑体"/>
          <w:color w:val="auto"/>
          <w:sz w:val="24"/>
          <w:szCs w:val="24"/>
          <w:highlight w:val="none"/>
          <w:lang w:eastAsia="zh-CN"/>
        </w:rPr>
        <w:t>。</w:t>
      </w:r>
    </w:p>
    <w:p w14:paraId="32FFAACF">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eastAsia="zh-CN"/>
        </w:rPr>
        <w:t>服务地点：招标人指定地点；</w:t>
      </w:r>
    </w:p>
    <w:p w14:paraId="4F1A291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质量要求：</w:t>
      </w:r>
      <w:r>
        <w:rPr>
          <w:rFonts w:hint="eastAsia" w:ascii="仿宋" w:hAnsi="仿宋" w:eastAsia="仿宋" w:cs="黑体"/>
          <w:color w:val="auto"/>
          <w:sz w:val="24"/>
          <w:szCs w:val="24"/>
          <w:highlight w:val="none"/>
          <w:lang w:val="en-US" w:eastAsia="zh-CN"/>
        </w:rPr>
        <w:t>符合国家及行业现行相关标准和规范，按照第三次全国土壤普查成果编制相关政策和要求执行，服务内容满足招标人要求。</w:t>
      </w:r>
    </w:p>
    <w:bookmarkEnd w:id="392"/>
    <w:bookmarkEnd w:id="393"/>
    <w:p w14:paraId="00990841">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黑体"/>
          <w:color w:val="auto"/>
          <w:sz w:val="24"/>
          <w:szCs w:val="24"/>
          <w:highlight w:val="none"/>
          <w:lang w:val="en-US" w:eastAsia="zh-CN"/>
        </w:rPr>
      </w:pPr>
      <w:bookmarkStart w:id="396" w:name="_Toc4322"/>
      <w:bookmarkStart w:id="397" w:name="_Toc11048"/>
      <w:r>
        <w:rPr>
          <w:rFonts w:hint="eastAsia" w:ascii="仿宋" w:hAnsi="仿宋" w:eastAsia="仿宋" w:cs="黑体"/>
          <w:color w:val="auto"/>
          <w:sz w:val="24"/>
          <w:szCs w:val="24"/>
          <w:highlight w:val="none"/>
          <w:lang w:val="en-US" w:eastAsia="zh-CN"/>
        </w:rPr>
        <w:t>二、付款结算方式</w:t>
      </w:r>
    </w:p>
    <w:p w14:paraId="561D895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r>
        <w:rPr>
          <w:rFonts w:hint="eastAsia" w:ascii="仿宋" w:hAnsi="仿宋" w:eastAsia="仿宋" w:cs="黑体"/>
          <w:color w:val="auto"/>
          <w:sz w:val="24"/>
          <w:szCs w:val="24"/>
          <w:highlight w:val="none"/>
          <w:lang w:val="en-US" w:eastAsia="zh-CN"/>
        </w:rPr>
        <w:t>项目完成后，经组织终验合格，中标人开具正式发票，招标人按要求支付费用，若因特殊原因不能按期支付相关款项时，经双方商定期限后再行支付。</w:t>
      </w:r>
    </w:p>
    <w:p w14:paraId="29DC91A0">
      <w:pPr>
        <w:keepNext w:val="0"/>
        <w:keepLines w:val="0"/>
        <w:pageBreakBefore w:val="0"/>
        <w:numPr>
          <w:ilvl w:val="0"/>
          <w:numId w:val="14"/>
        </w:numPr>
        <w:kinsoku/>
        <w:wordWrap/>
        <w:overflowPunct/>
        <w:topLinePunct w:val="0"/>
        <w:autoSpaceDE/>
        <w:autoSpaceDN/>
        <w:bidi w:val="0"/>
        <w:adjustRightInd/>
        <w:snapToGrid/>
        <w:spacing w:line="480" w:lineRule="exact"/>
        <w:textAlignment w:val="auto"/>
        <w:rPr>
          <w:rFonts w:hint="eastAsia" w:ascii="仿宋" w:hAnsi="仿宋" w:eastAsia="仿宋" w:cs="黑体"/>
          <w:color w:val="auto"/>
          <w:sz w:val="24"/>
          <w:szCs w:val="24"/>
          <w:highlight w:val="none"/>
          <w:lang w:val="en-US" w:eastAsia="zh-CN"/>
        </w:rPr>
      </w:pPr>
      <w:r>
        <w:rPr>
          <w:rFonts w:hint="eastAsia" w:ascii="仿宋" w:hAnsi="仿宋" w:eastAsia="仿宋" w:cs="黑体"/>
          <w:color w:val="auto"/>
          <w:sz w:val="24"/>
          <w:szCs w:val="24"/>
          <w:highlight w:val="none"/>
          <w:lang w:val="en-US" w:eastAsia="zh-CN"/>
        </w:rPr>
        <w:t>成果清单</w:t>
      </w:r>
    </w:p>
    <w:p w14:paraId="40038274">
      <w:pPr>
        <w:keepNext w:val="0"/>
        <w:keepLines w:val="0"/>
        <w:pageBreakBefore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r>
        <w:rPr>
          <w:rFonts w:hint="eastAsia" w:ascii="仿宋" w:hAnsi="仿宋" w:eastAsia="仿宋" w:cs="黑体"/>
          <w:color w:val="auto"/>
          <w:sz w:val="24"/>
          <w:szCs w:val="24"/>
          <w:highlight w:val="none"/>
          <w:lang w:val="en-US" w:eastAsia="zh-CN"/>
        </w:rPr>
        <w:t>成果清单符合《第三次全国土壤普查技术规范规程(修订版)》、《国务院第三次全国土壤普查领导小组办公室关于印发〈第三次全国土壤普查县级成果编制及验收导引〉的通知》（国土壤普查办发〔2024〕19号）》、《云南省第三次全国土壤普查领导小组办公室关于认真做好第三次全国土壤普查成果编制工作的通知》（云土壤普查办〔2024〕8号）等相关规定及要求。</w:t>
      </w:r>
    </w:p>
    <w:p w14:paraId="148087B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p>
    <w:p w14:paraId="3FEE5D6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p>
    <w:p w14:paraId="2C300A5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p>
    <w:p w14:paraId="26E9803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p>
    <w:p w14:paraId="3D6E5C4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黑体"/>
          <w:color w:val="auto"/>
          <w:sz w:val="24"/>
          <w:szCs w:val="24"/>
          <w:highlight w:val="none"/>
          <w:lang w:val="en-US" w:eastAsia="zh-CN"/>
        </w:rPr>
      </w:pPr>
    </w:p>
    <w:p w14:paraId="088A0FF8">
      <w:pPr>
        <w:rPr>
          <w:rFonts w:hint="eastAsia" w:ascii="仿宋" w:hAnsi="仿宋" w:eastAsia="仿宋"/>
          <w:color w:val="auto"/>
          <w:highlight w:val="none"/>
        </w:rPr>
      </w:pPr>
    </w:p>
    <w:p w14:paraId="7EF943D1">
      <w:pPr>
        <w:pStyle w:val="23"/>
        <w:rPr>
          <w:rFonts w:hint="eastAsia" w:ascii="仿宋" w:hAnsi="仿宋" w:eastAsia="仿宋"/>
          <w:color w:val="auto"/>
          <w:highlight w:val="none"/>
        </w:rPr>
      </w:pPr>
    </w:p>
    <w:p w14:paraId="585F0268">
      <w:pPr>
        <w:rPr>
          <w:rFonts w:hint="eastAsia"/>
          <w:color w:val="auto"/>
          <w:highlight w:val="none"/>
        </w:rPr>
      </w:pPr>
    </w:p>
    <w:p w14:paraId="6D40DCC2">
      <w:pPr>
        <w:pStyle w:val="4"/>
        <w:rPr>
          <w:rFonts w:hint="eastAsia"/>
          <w:color w:val="auto"/>
          <w:highlight w:val="none"/>
        </w:rPr>
      </w:pPr>
    </w:p>
    <w:p w14:paraId="4A0D8D5D">
      <w:pPr>
        <w:rPr>
          <w:rFonts w:hint="eastAsia"/>
          <w:color w:val="auto"/>
          <w:highlight w:val="none"/>
        </w:rPr>
      </w:pPr>
    </w:p>
    <w:p w14:paraId="3D21C723">
      <w:pPr>
        <w:rPr>
          <w:rFonts w:hint="eastAsia"/>
          <w:color w:val="auto"/>
          <w:highlight w:val="none"/>
        </w:rPr>
      </w:pPr>
    </w:p>
    <w:p w14:paraId="13DCC339">
      <w:pPr>
        <w:pStyle w:val="53"/>
        <w:tabs>
          <w:tab w:val="left" w:pos="350"/>
        </w:tabs>
        <w:spacing w:before="0" w:after="0" w:line="360" w:lineRule="auto"/>
        <w:jc w:val="center"/>
        <w:rPr>
          <w:rFonts w:ascii="仿宋" w:hAnsi="仿宋" w:eastAsia="仿宋"/>
          <w:bCs w:val="0"/>
          <w:color w:val="auto"/>
          <w:sz w:val="36"/>
          <w:szCs w:val="36"/>
          <w:highlight w:val="none"/>
        </w:rPr>
      </w:pPr>
      <w:r>
        <w:rPr>
          <w:rFonts w:hint="eastAsia" w:ascii="仿宋" w:hAnsi="仿宋" w:eastAsia="仿宋"/>
          <w:color w:val="auto"/>
          <w:highlight w:val="none"/>
        </w:rPr>
        <w:t>第六章投标文件格式</w:t>
      </w:r>
      <w:bookmarkEnd w:id="384"/>
      <w:bookmarkEnd w:id="385"/>
      <w:bookmarkEnd w:id="386"/>
      <w:bookmarkEnd w:id="387"/>
      <w:bookmarkEnd w:id="388"/>
      <w:bookmarkEnd w:id="394"/>
      <w:bookmarkEnd w:id="395"/>
      <w:bookmarkEnd w:id="396"/>
      <w:bookmarkEnd w:id="397"/>
      <w:bookmarkStart w:id="398" w:name="_Toc314036889"/>
    </w:p>
    <w:p w14:paraId="2C43DAE7">
      <w:pPr>
        <w:spacing w:line="360" w:lineRule="auto"/>
        <w:rPr>
          <w:rFonts w:ascii="仿宋" w:hAnsi="仿宋" w:eastAsia="仿宋"/>
          <w:b/>
          <w:color w:val="auto"/>
          <w:kern w:val="0"/>
          <w:sz w:val="30"/>
          <w:szCs w:val="30"/>
          <w:highlight w:val="none"/>
        </w:rPr>
      </w:pPr>
      <w:r>
        <w:rPr>
          <w:rFonts w:hint="eastAsia" w:ascii="仿宋" w:hAnsi="仿宋" w:eastAsia="仿宋"/>
          <w:b/>
          <w:color w:val="auto"/>
          <w:kern w:val="0"/>
          <w:sz w:val="30"/>
          <w:szCs w:val="30"/>
          <w:highlight w:val="none"/>
        </w:rPr>
        <w:t>投标文件封面格式</w:t>
      </w:r>
      <w:bookmarkEnd w:id="398"/>
    </w:p>
    <w:p w14:paraId="64596F41">
      <w:pPr>
        <w:rPr>
          <w:rFonts w:ascii="仿宋" w:hAnsi="仿宋" w:eastAsia="仿宋"/>
          <w:color w:val="auto"/>
          <w:highlight w:val="none"/>
        </w:rPr>
      </w:pPr>
    </w:p>
    <w:p w14:paraId="1A8DB6E8">
      <w:pPr>
        <w:pStyle w:val="23"/>
        <w:rPr>
          <w:rFonts w:ascii="仿宋" w:hAnsi="仿宋" w:eastAsia="仿宋"/>
          <w:color w:val="auto"/>
          <w:highlight w:val="none"/>
        </w:rPr>
      </w:pPr>
    </w:p>
    <w:p w14:paraId="2BE8D6D5">
      <w:pPr>
        <w:spacing w:line="360" w:lineRule="auto"/>
        <w:jc w:val="center"/>
        <w:rPr>
          <w:rFonts w:hint="eastAsia" w:ascii="仿宋" w:hAnsi="仿宋" w:eastAsia="仿宋" w:cs="Times New Roman"/>
          <w:b/>
          <w:bCs/>
          <w:color w:val="auto"/>
          <w:sz w:val="44"/>
          <w:szCs w:val="44"/>
          <w:highlight w:val="none"/>
          <w:u w:val="none"/>
          <w:lang w:val="en-US" w:eastAsia="zh-CN"/>
        </w:rPr>
      </w:pPr>
      <w:r>
        <w:rPr>
          <w:rFonts w:hint="eastAsia" w:ascii="仿宋" w:hAnsi="仿宋" w:eastAsia="仿宋" w:cs="Times New Roman"/>
          <w:b/>
          <w:bCs/>
          <w:color w:val="auto"/>
          <w:sz w:val="44"/>
          <w:szCs w:val="44"/>
          <w:highlight w:val="none"/>
          <w:u w:val="none"/>
          <w:lang w:val="en-US" w:eastAsia="zh-CN"/>
        </w:rPr>
        <w:t>普洱市农业农村局第三次全国土壤普查市级</w:t>
      </w:r>
    </w:p>
    <w:p w14:paraId="3EF10C06">
      <w:pPr>
        <w:spacing w:line="360" w:lineRule="auto"/>
        <w:jc w:val="center"/>
        <w:rPr>
          <w:rFonts w:ascii="仿宋" w:hAnsi="仿宋" w:eastAsia="仿宋"/>
          <w:color w:val="auto"/>
          <w:sz w:val="28"/>
          <w:szCs w:val="28"/>
          <w:highlight w:val="none"/>
        </w:rPr>
      </w:pPr>
      <w:r>
        <w:rPr>
          <w:rFonts w:hint="eastAsia" w:ascii="仿宋" w:hAnsi="仿宋" w:eastAsia="仿宋" w:cs="Times New Roman"/>
          <w:b/>
          <w:bCs/>
          <w:color w:val="auto"/>
          <w:sz w:val="44"/>
          <w:szCs w:val="44"/>
          <w:highlight w:val="none"/>
          <w:u w:val="none"/>
          <w:lang w:val="en-US" w:eastAsia="zh-CN"/>
        </w:rPr>
        <w:t>成果汇编项目</w:t>
      </w:r>
    </w:p>
    <w:p w14:paraId="0622011F">
      <w:pPr>
        <w:pStyle w:val="23"/>
        <w:rPr>
          <w:color w:val="auto"/>
          <w:highlight w:val="none"/>
        </w:rPr>
      </w:pPr>
    </w:p>
    <w:p w14:paraId="30E6FE49">
      <w:pPr>
        <w:spacing w:line="360" w:lineRule="auto"/>
        <w:jc w:val="center"/>
        <w:rPr>
          <w:rFonts w:ascii="仿宋" w:hAnsi="仿宋" w:eastAsia="仿宋"/>
          <w:color w:val="auto"/>
          <w:sz w:val="28"/>
          <w:szCs w:val="28"/>
          <w:highlight w:val="none"/>
        </w:rPr>
      </w:pPr>
    </w:p>
    <w:p w14:paraId="620F0CAF">
      <w:pPr>
        <w:pStyle w:val="4"/>
        <w:rPr>
          <w:color w:val="auto"/>
          <w:highlight w:val="none"/>
        </w:rPr>
      </w:pPr>
    </w:p>
    <w:p w14:paraId="0717C541">
      <w:pPr>
        <w:pStyle w:val="23"/>
        <w:rPr>
          <w:rFonts w:ascii="仿宋" w:hAnsi="仿宋" w:eastAsia="仿宋"/>
          <w:color w:val="auto"/>
          <w:highlight w:val="none"/>
        </w:rPr>
      </w:pPr>
    </w:p>
    <w:p w14:paraId="13FCFD33">
      <w:pPr>
        <w:spacing w:line="360" w:lineRule="auto"/>
        <w:jc w:val="center"/>
        <w:rPr>
          <w:color w:val="auto"/>
          <w:sz w:val="24"/>
          <w:szCs w:val="32"/>
          <w:highlight w:val="none"/>
        </w:rPr>
      </w:pPr>
      <w:r>
        <w:rPr>
          <w:rFonts w:hint="eastAsia" w:ascii="仿宋" w:hAnsi="仿宋" w:eastAsia="仿宋"/>
          <w:b/>
          <w:bCs/>
          <w:color w:val="auto"/>
          <w:sz w:val="72"/>
          <w:szCs w:val="72"/>
          <w:highlight w:val="none"/>
        </w:rPr>
        <w:t>投标文件</w:t>
      </w:r>
    </w:p>
    <w:p w14:paraId="2DC33D08">
      <w:pPr>
        <w:rPr>
          <w:color w:val="auto"/>
          <w:highlight w:val="none"/>
        </w:rPr>
      </w:pPr>
    </w:p>
    <w:p w14:paraId="48D67B26">
      <w:pPr>
        <w:pStyle w:val="23"/>
        <w:rPr>
          <w:color w:val="auto"/>
          <w:highlight w:val="none"/>
        </w:rPr>
      </w:pPr>
    </w:p>
    <w:p w14:paraId="044EECBE">
      <w:pPr>
        <w:spacing w:line="360" w:lineRule="auto"/>
        <w:ind w:firstLine="2400" w:firstLineChars="800"/>
        <w:rPr>
          <w:rFonts w:ascii="仿宋" w:hAnsi="仿宋" w:eastAsia="仿宋"/>
          <w:color w:val="auto"/>
          <w:sz w:val="30"/>
          <w:szCs w:val="30"/>
          <w:highlight w:val="none"/>
          <w:u w:val="single"/>
        </w:rPr>
      </w:pPr>
      <w:r>
        <w:rPr>
          <w:rFonts w:hint="eastAsia" w:ascii="仿宋" w:hAnsi="仿宋" w:eastAsia="仿宋"/>
          <w:color w:val="auto"/>
          <w:sz w:val="30"/>
          <w:szCs w:val="30"/>
          <w:highlight w:val="none"/>
        </w:rPr>
        <w:t>招标编号：</w:t>
      </w:r>
    </w:p>
    <w:p w14:paraId="18F43494">
      <w:pPr>
        <w:spacing w:line="360" w:lineRule="auto"/>
        <w:rPr>
          <w:rFonts w:ascii="仿宋" w:hAnsi="仿宋" w:eastAsia="仿宋"/>
          <w:color w:val="auto"/>
          <w:sz w:val="28"/>
          <w:szCs w:val="28"/>
          <w:highlight w:val="none"/>
        </w:rPr>
      </w:pPr>
    </w:p>
    <w:p w14:paraId="4429B0CB">
      <w:pPr>
        <w:spacing w:line="360" w:lineRule="auto"/>
        <w:rPr>
          <w:rFonts w:ascii="仿宋" w:hAnsi="仿宋" w:eastAsia="仿宋"/>
          <w:color w:val="auto"/>
          <w:sz w:val="28"/>
          <w:szCs w:val="28"/>
          <w:highlight w:val="none"/>
        </w:rPr>
      </w:pPr>
    </w:p>
    <w:p w14:paraId="1EFFEDF3">
      <w:pPr>
        <w:pStyle w:val="23"/>
        <w:rPr>
          <w:rFonts w:ascii="仿宋" w:hAnsi="仿宋" w:eastAsia="仿宋"/>
          <w:color w:val="auto"/>
          <w:sz w:val="28"/>
          <w:szCs w:val="28"/>
          <w:highlight w:val="none"/>
        </w:rPr>
      </w:pPr>
    </w:p>
    <w:p w14:paraId="762FB56C">
      <w:pPr>
        <w:rPr>
          <w:rFonts w:ascii="仿宋" w:hAnsi="仿宋" w:eastAsia="仿宋"/>
          <w:color w:val="auto"/>
          <w:sz w:val="28"/>
          <w:szCs w:val="28"/>
          <w:highlight w:val="none"/>
        </w:rPr>
      </w:pPr>
    </w:p>
    <w:p w14:paraId="2B887765">
      <w:pPr>
        <w:pStyle w:val="23"/>
        <w:rPr>
          <w:rFonts w:ascii="仿宋" w:hAnsi="仿宋" w:eastAsia="仿宋"/>
          <w:color w:val="auto"/>
          <w:sz w:val="28"/>
          <w:szCs w:val="28"/>
          <w:highlight w:val="none"/>
        </w:rPr>
      </w:pPr>
    </w:p>
    <w:p w14:paraId="56B6DE80">
      <w:pPr>
        <w:rPr>
          <w:color w:val="auto"/>
          <w:highlight w:val="none"/>
        </w:rPr>
      </w:pPr>
    </w:p>
    <w:p w14:paraId="71B89EAE">
      <w:pPr>
        <w:rPr>
          <w:color w:val="auto"/>
          <w:highlight w:val="none"/>
        </w:rPr>
      </w:pPr>
    </w:p>
    <w:p w14:paraId="715B8F85">
      <w:pPr>
        <w:spacing w:line="360" w:lineRule="auto"/>
        <w:rPr>
          <w:rFonts w:ascii="仿宋" w:hAnsi="仿宋" w:eastAsia="仿宋"/>
          <w:color w:val="auto"/>
          <w:sz w:val="28"/>
          <w:szCs w:val="28"/>
          <w:highlight w:val="none"/>
        </w:rPr>
      </w:pPr>
    </w:p>
    <w:p w14:paraId="21B78CD4">
      <w:pPr>
        <w:spacing w:line="360" w:lineRule="auto"/>
        <w:ind w:firstLine="1540" w:firstLineChars="55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投标人</w:t>
      </w:r>
      <w:r>
        <w:rPr>
          <w:rFonts w:hint="eastAsia" w:ascii="仿宋" w:hAnsi="仿宋" w:eastAsia="仿宋"/>
          <w:color w:val="auto"/>
          <w:sz w:val="28"/>
          <w:szCs w:val="28"/>
          <w:highlight w:val="none"/>
          <w:lang w:eastAsia="zh-CN"/>
        </w:rPr>
        <w:t>（或联合体牵头人）</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rPr>
        <w:t>（</w:t>
      </w:r>
      <w:r>
        <w:rPr>
          <w:rFonts w:hint="eastAsia" w:ascii="仿宋" w:hAnsi="仿宋" w:eastAsia="仿宋"/>
          <w:color w:val="auto"/>
          <w:sz w:val="28"/>
          <w:szCs w:val="28"/>
          <w:highlight w:val="none"/>
          <w:u w:val="single"/>
          <w:lang w:eastAsia="zh-CN"/>
        </w:rPr>
        <w:t>电子签章</w:t>
      </w:r>
      <w:r>
        <w:rPr>
          <w:rFonts w:hint="eastAsia" w:ascii="仿宋" w:hAnsi="仿宋" w:eastAsia="仿宋"/>
          <w:color w:val="auto"/>
          <w:sz w:val="28"/>
          <w:szCs w:val="28"/>
          <w:highlight w:val="none"/>
          <w:u w:val="single"/>
        </w:rPr>
        <w:t>）</w:t>
      </w:r>
    </w:p>
    <w:p w14:paraId="789E82CE">
      <w:pPr>
        <w:spacing w:line="360" w:lineRule="auto"/>
        <w:ind w:firstLine="1540" w:firstLineChars="550"/>
        <w:rPr>
          <w:rFonts w:ascii="仿宋" w:hAnsi="仿宋" w:eastAsia="仿宋"/>
          <w:color w:val="auto"/>
          <w:sz w:val="28"/>
          <w:szCs w:val="28"/>
          <w:highlight w:val="none"/>
        </w:rPr>
      </w:pPr>
      <w:r>
        <w:rPr>
          <w:rFonts w:hint="eastAsia" w:ascii="仿宋" w:hAnsi="仿宋" w:eastAsia="仿宋"/>
          <w:color w:val="auto"/>
          <w:sz w:val="28"/>
          <w:szCs w:val="28"/>
          <w:highlight w:val="none"/>
        </w:rPr>
        <w:t>法定代表人或其委托代理人：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电子签章</w:t>
      </w:r>
      <w:r>
        <w:rPr>
          <w:rFonts w:hint="eastAsia" w:ascii="仿宋" w:hAnsi="仿宋" w:eastAsia="仿宋"/>
          <w:color w:val="auto"/>
          <w:sz w:val="28"/>
          <w:szCs w:val="28"/>
          <w:highlight w:val="none"/>
          <w:u w:val="single"/>
        </w:rPr>
        <w:t>）</w:t>
      </w:r>
    </w:p>
    <w:p w14:paraId="4D419920">
      <w:pPr>
        <w:spacing w:line="360" w:lineRule="auto"/>
        <w:ind w:firstLine="1540" w:firstLineChars="550"/>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日期：年月日</w:t>
      </w:r>
      <w:r>
        <w:rPr>
          <w:rFonts w:ascii="仿宋" w:hAnsi="仿宋" w:eastAsia="仿宋"/>
          <w:color w:val="auto"/>
          <w:sz w:val="28"/>
          <w:szCs w:val="28"/>
          <w:highlight w:val="none"/>
        </w:rPr>
        <w:br w:type="page"/>
      </w:r>
    </w:p>
    <w:p w14:paraId="3ECCCA7A">
      <w:pPr>
        <w:keepNext w:val="0"/>
        <w:keepLines w:val="0"/>
        <w:widowControl w:val="0"/>
        <w:suppressLineNumbers w:val="0"/>
        <w:spacing w:before="0" w:beforeAutospacing="0" w:after="0" w:afterAutospacing="0" w:line="240" w:lineRule="auto"/>
        <w:ind w:left="0" w:right="0" w:firstLine="723" w:firstLineChars="200"/>
        <w:jc w:val="center"/>
        <w:rPr>
          <w:rFonts w:hint="eastAsia" w:ascii="仿宋" w:hAnsi="仿宋" w:eastAsia="仿宋" w:cs="仿宋"/>
          <w:b/>
          <w:bCs w:val="0"/>
          <w:color w:val="auto"/>
          <w:sz w:val="36"/>
          <w:szCs w:val="36"/>
          <w:highlight w:val="none"/>
          <w:lang w:val="en-US"/>
        </w:rPr>
      </w:pPr>
      <w:r>
        <w:rPr>
          <w:rFonts w:hint="eastAsia" w:ascii="仿宋" w:hAnsi="仿宋" w:eastAsia="仿宋" w:cs="仿宋"/>
          <w:b/>
          <w:bCs w:val="0"/>
          <w:color w:val="auto"/>
          <w:kern w:val="2"/>
          <w:sz w:val="36"/>
          <w:szCs w:val="36"/>
          <w:highlight w:val="none"/>
          <w:lang w:val="en-US" w:eastAsia="zh-CN" w:bidi="ar"/>
        </w:rPr>
        <w:t>目  录</w:t>
      </w:r>
    </w:p>
    <w:p w14:paraId="55D922E7">
      <w:pPr>
        <w:keepNext w:val="0"/>
        <w:keepLines w:val="0"/>
        <w:widowControl w:val="0"/>
        <w:suppressLineNumbers w:val="0"/>
        <w:spacing w:before="0" w:beforeAutospacing="0" w:after="0" w:afterAutospacing="0" w:line="240" w:lineRule="auto"/>
        <w:ind w:left="0" w:right="0" w:firstLine="560" w:firstLineChars="200"/>
        <w:jc w:val="both"/>
        <w:rPr>
          <w:rFonts w:hint="eastAsia" w:ascii="仿宋" w:hAnsi="仿宋" w:eastAsia="仿宋" w:cs="仿宋"/>
          <w:color w:val="auto"/>
          <w:kern w:val="2"/>
          <w:sz w:val="28"/>
          <w:szCs w:val="28"/>
          <w:highlight w:val="none"/>
          <w:lang w:val="en-US" w:eastAsia="zh-CN" w:bidi="ar"/>
        </w:rPr>
      </w:pPr>
      <w:r>
        <w:rPr>
          <w:rFonts w:hint="eastAsia" w:ascii="仿宋" w:hAnsi="仿宋" w:eastAsia="仿宋" w:cs="仿宋"/>
          <w:color w:val="auto"/>
          <w:kern w:val="2"/>
          <w:sz w:val="28"/>
          <w:szCs w:val="28"/>
          <w:highlight w:val="none"/>
          <w:lang w:val="en-US" w:eastAsia="zh-CN" w:bidi="ar"/>
        </w:rPr>
        <w:t>一、投标函</w:t>
      </w:r>
    </w:p>
    <w:p w14:paraId="7A1C9306">
      <w:pPr>
        <w:keepNext w:val="0"/>
        <w:keepLines w:val="0"/>
        <w:widowControl w:val="0"/>
        <w:suppressLineNumbers w:val="0"/>
        <w:spacing w:before="0" w:beforeAutospacing="0" w:after="0" w:afterAutospacing="0" w:line="240" w:lineRule="auto"/>
        <w:ind w:left="0" w:right="0" w:firstLine="560" w:firstLineChars="200"/>
        <w:jc w:val="both"/>
        <w:rPr>
          <w:rFonts w:hint="eastAsia" w:ascii="仿宋" w:hAnsi="仿宋" w:eastAsia="仿宋" w:cs="仿宋"/>
          <w:color w:val="auto"/>
          <w:kern w:val="2"/>
          <w:sz w:val="28"/>
          <w:szCs w:val="28"/>
          <w:highlight w:val="none"/>
          <w:lang w:val="en-US" w:eastAsia="zh-CN" w:bidi="ar"/>
        </w:rPr>
      </w:pPr>
      <w:r>
        <w:rPr>
          <w:rFonts w:hint="eastAsia" w:ascii="仿宋" w:hAnsi="仿宋" w:eastAsia="仿宋" w:cs="仿宋"/>
          <w:color w:val="auto"/>
          <w:kern w:val="2"/>
          <w:sz w:val="28"/>
          <w:szCs w:val="28"/>
          <w:highlight w:val="none"/>
          <w:lang w:val="en-US" w:eastAsia="zh-CN" w:bidi="ar"/>
        </w:rPr>
        <w:t>二、法定代表人身份证明书</w:t>
      </w:r>
    </w:p>
    <w:p w14:paraId="7285A972">
      <w:pPr>
        <w:keepNext w:val="0"/>
        <w:keepLines w:val="0"/>
        <w:widowControl w:val="0"/>
        <w:suppressLineNumbers w:val="0"/>
        <w:spacing w:before="0" w:beforeAutospacing="0" w:after="0" w:afterAutospacing="0" w:line="240" w:lineRule="auto"/>
        <w:ind w:left="0" w:right="0" w:firstLine="560" w:firstLineChars="200"/>
        <w:jc w:val="both"/>
        <w:rPr>
          <w:rFonts w:hint="eastAsia" w:ascii="仿宋" w:hAnsi="仿宋" w:eastAsia="仿宋" w:cs="仿宋"/>
          <w:color w:val="auto"/>
          <w:kern w:val="2"/>
          <w:sz w:val="28"/>
          <w:szCs w:val="28"/>
          <w:highlight w:val="none"/>
          <w:lang w:val="en-US" w:eastAsia="zh-CN" w:bidi="ar"/>
        </w:rPr>
      </w:pPr>
      <w:r>
        <w:rPr>
          <w:rFonts w:hint="eastAsia" w:ascii="仿宋" w:hAnsi="仿宋" w:eastAsia="仿宋" w:cs="仿宋"/>
          <w:color w:val="auto"/>
          <w:kern w:val="2"/>
          <w:sz w:val="28"/>
          <w:szCs w:val="28"/>
          <w:highlight w:val="none"/>
          <w:lang w:val="en-US" w:eastAsia="zh-CN" w:bidi="ar"/>
        </w:rPr>
        <w:t>三、授权委托书（如有）</w:t>
      </w:r>
    </w:p>
    <w:p w14:paraId="0935F14D">
      <w:pPr>
        <w:keepNext w:val="0"/>
        <w:keepLines w:val="0"/>
        <w:widowControl w:val="0"/>
        <w:suppressLineNumbers w:val="0"/>
        <w:spacing w:before="0" w:beforeAutospacing="0" w:after="0" w:afterAutospacing="0" w:line="240" w:lineRule="auto"/>
        <w:ind w:left="0" w:right="0" w:firstLine="560" w:firstLineChars="200"/>
        <w:jc w:val="both"/>
        <w:rPr>
          <w:rFonts w:hint="eastAsia" w:ascii="仿宋" w:hAnsi="仿宋" w:eastAsia="仿宋" w:cs="仿宋"/>
          <w:color w:val="auto"/>
          <w:kern w:val="2"/>
          <w:sz w:val="28"/>
          <w:szCs w:val="28"/>
          <w:highlight w:val="none"/>
          <w:lang w:val="en-US" w:eastAsia="zh-CN" w:bidi="ar"/>
        </w:rPr>
      </w:pPr>
      <w:r>
        <w:rPr>
          <w:rFonts w:hint="eastAsia" w:ascii="仿宋" w:hAnsi="仿宋" w:eastAsia="仿宋" w:cs="仿宋"/>
          <w:color w:val="auto"/>
          <w:kern w:val="2"/>
          <w:sz w:val="28"/>
          <w:szCs w:val="28"/>
          <w:highlight w:val="none"/>
          <w:lang w:val="en-US" w:eastAsia="zh-CN" w:bidi="ar"/>
        </w:rPr>
        <w:t>四、商务、技术条款偏离表</w:t>
      </w:r>
    </w:p>
    <w:p w14:paraId="14BBF36F">
      <w:pPr>
        <w:keepNext w:val="0"/>
        <w:keepLines w:val="0"/>
        <w:widowControl w:val="0"/>
        <w:suppressLineNumbers w:val="0"/>
        <w:spacing w:before="0" w:beforeAutospacing="0" w:after="0" w:afterAutospacing="0" w:line="240" w:lineRule="auto"/>
        <w:ind w:left="0" w:right="0" w:firstLine="560" w:firstLineChars="200"/>
        <w:jc w:val="both"/>
        <w:rPr>
          <w:rFonts w:hint="eastAsia" w:ascii="仿宋" w:hAnsi="仿宋" w:eastAsia="仿宋" w:cs="仿宋"/>
          <w:color w:val="auto"/>
          <w:kern w:val="2"/>
          <w:sz w:val="28"/>
          <w:szCs w:val="28"/>
          <w:highlight w:val="none"/>
          <w:lang w:val="en-US" w:eastAsia="zh-CN" w:bidi="ar"/>
        </w:rPr>
      </w:pPr>
      <w:r>
        <w:rPr>
          <w:rFonts w:hint="eastAsia" w:ascii="仿宋" w:hAnsi="仿宋" w:eastAsia="仿宋" w:cs="仿宋"/>
          <w:color w:val="auto"/>
          <w:kern w:val="2"/>
          <w:sz w:val="28"/>
          <w:szCs w:val="28"/>
          <w:highlight w:val="none"/>
          <w:lang w:val="en-US" w:eastAsia="zh-CN" w:bidi="ar"/>
        </w:rPr>
        <w:t>五、联合体协议书</w:t>
      </w:r>
    </w:p>
    <w:p w14:paraId="14084BB4">
      <w:pPr>
        <w:keepNext w:val="0"/>
        <w:keepLines w:val="0"/>
        <w:widowControl w:val="0"/>
        <w:suppressLineNumbers w:val="0"/>
        <w:spacing w:before="0" w:beforeAutospacing="0" w:after="0" w:afterAutospacing="0" w:line="240" w:lineRule="auto"/>
        <w:ind w:left="0" w:right="0" w:firstLine="560" w:firstLineChars="200"/>
        <w:jc w:val="both"/>
        <w:rPr>
          <w:rFonts w:hint="eastAsia" w:ascii="仿宋" w:hAnsi="仿宋" w:eastAsia="仿宋" w:cs="仿宋"/>
          <w:color w:val="auto"/>
          <w:kern w:val="2"/>
          <w:sz w:val="28"/>
          <w:szCs w:val="28"/>
          <w:highlight w:val="none"/>
          <w:lang w:val="en-US" w:eastAsia="zh-CN" w:bidi="ar"/>
        </w:rPr>
      </w:pPr>
      <w:r>
        <w:rPr>
          <w:rFonts w:hint="eastAsia" w:ascii="仿宋" w:hAnsi="仿宋" w:eastAsia="仿宋" w:cs="仿宋"/>
          <w:color w:val="auto"/>
          <w:kern w:val="2"/>
          <w:sz w:val="28"/>
          <w:szCs w:val="28"/>
          <w:highlight w:val="none"/>
          <w:lang w:val="en-US" w:eastAsia="zh-CN" w:bidi="ar"/>
        </w:rPr>
        <w:t>六、资格审查资料</w:t>
      </w:r>
    </w:p>
    <w:p w14:paraId="66D9730A">
      <w:pPr>
        <w:keepNext w:val="0"/>
        <w:keepLines w:val="0"/>
        <w:widowControl w:val="0"/>
        <w:suppressLineNumbers w:val="0"/>
        <w:spacing w:before="0" w:beforeAutospacing="0" w:after="0" w:afterAutospacing="0" w:line="240" w:lineRule="auto"/>
        <w:ind w:left="0" w:right="0" w:firstLine="560" w:firstLineChars="200"/>
        <w:jc w:val="both"/>
        <w:rPr>
          <w:rFonts w:hint="eastAsia" w:ascii="仿宋" w:hAnsi="仿宋" w:eastAsia="仿宋" w:cs="仿宋"/>
          <w:color w:val="auto"/>
          <w:kern w:val="2"/>
          <w:sz w:val="28"/>
          <w:szCs w:val="28"/>
          <w:highlight w:val="none"/>
          <w:lang w:val="en-US" w:eastAsia="zh-CN" w:bidi="ar"/>
        </w:rPr>
      </w:pPr>
      <w:r>
        <w:rPr>
          <w:rFonts w:hint="eastAsia" w:ascii="仿宋" w:hAnsi="仿宋" w:eastAsia="仿宋" w:cs="仿宋"/>
          <w:color w:val="auto"/>
          <w:kern w:val="2"/>
          <w:sz w:val="28"/>
          <w:szCs w:val="28"/>
          <w:highlight w:val="none"/>
          <w:lang w:val="en-US" w:eastAsia="zh-CN" w:bidi="ar"/>
        </w:rPr>
        <w:t>七、技术部分</w:t>
      </w:r>
    </w:p>
    <w:p w14:paraId="18C2B393">
      <w:pPr>
        <w:keepNext w:val="0"/>
        <w:keepLines w:val="0"/>
        <w:widowControl w:val="0"/>
        <w:suppressLineNumbers w:val="0"/>
        <w:spacing w:before="0" w:beforeAutospacing="0" w:after="0" w:afterAutospacing="0" w:line="240" w:lineRule="auto"/>
        <w:ind w:left="0" w:right="0" w:firstLine="560" w:firstLineChars="200"/>
        <w:jc w:val="both"/>
        <w:rPr>
          <w:rFonts w:hint="eastAsia" w:ascii="仿宋" w:hAnsi="仿宋" w:eastAsia="仿宋" w:cs="仿宋"/>
          <w:color w:val="auto"/>
          <w:kern w:val="2"/>
          <w:sz w:val="28"/>
          <w:szCs w:val="28"/>
          <w:highlight w:val="none"/>
          <w:lang w:val="en-US" w:eastAsia="zh-CN" w:bidi="ar"/>
        </w:rPr>
      </w:pPr>
      <w:r>
        <w:rPr>
          <w:rFonts w:hint="eastAsia" w:ascii="仿宋" w:hAnsi="仿宋" w:eastAsia="仿宋" w:cs="仿宋"/>
          <w:color w:val="auto"/>
          <w:kern w:val="2"/>
          <w:sz w:val="28"/>
          <w:szCs w:val="28"/>
          <w:highlight w:val="none"/>
          <w:lang w:val="en-US" w:eastAsia="zh-CN" w:bidi="ar"/>
        </w:rPr>
        <w:t>八、商务部分</w:t>
      </w:r>
    </w:p>
    <w:p w14:paraId="46521009">
      <w:pPr>
        <w:keepNext w:val="0"/>
        <w:keepLines w:val="0"/>
        <w:widowControl w:val="0"/>
        <w:suppressLineNumbers w:val="0"/>
        <w:spacing w:before="0" w:beforeAutospacing="0" w:after="0" w:afterAutospacing="0" w:line="240" w:lineRule="auto"/>
        <w:ind w:left="0" w:right="0" w:firstLine="560" w:firstLineChars="200"/>
        <w:jc w:val="both"/>
        <w:rPr>
          <w:rFonts w:hint="eastAsia" w:ascii="仿宋" w:hAnsi="仿宋" w:eastAsia="仿宋" w:cs="仿宋"/>
          <w:color w:val="auto"/>
          <w:kern w:val="2"/>
          <w:sz w:val="28"/>
          <w:szCs w:val="28"/>
          <w:highlight w:val="none"/>
          <w:lang w:val="en-US" w:eastAsia="zh-CN" w:bidi="ar"/>
        </w:rPr>
      </w:pPr>
      <w:r>
        <w:rPr>
          <w:rFonts w:hint="eastAsia" w:ascii="仿宋" w:hAnsi="仿宋" w:eastAsia="仿宋" w:cs="仿宋"/>
          <w:color w:val="auto"/>
          <w:kern w:val="2"/>
          <w:sz w:val="28"/>
          <w:szCs w:val="28"/>
          <w:highlight w:val="none"/>
          <w:lang w:val="en-US" w:eastAsia="zh-CN" w:bidi="ar"/>
        </w:rPr>
        <w:t>九、承诺书</w:t>
      </w:r>
    </w:p>
    <w:p w14:paraId="5DD0CA76">
      <w:pPr>
        <w:keepNext w:val="0"/>
        <w:keepLines w:val="0"/>
        <w:widowControl w:val="0"/>
        <w:suppressLineNumbers w:val="0"/>
        <w:spacing w:before="0" w:beforeAutospacing="0" w:after="0" w:afterAutospacing="0" w:line="240" w:lineRule="auto"/>
        <w:ind w:left="0" w:right="0" w:firstLine="560" w:firstLineChars="200"/>
        <w:jc w:val="both"/>
        <w:rPr>
          <w:rFonts w:hint="eastAsia" w:ascii="仿宋" w:hAnsi="仿宋" w:eastAsia="仿宋" w:cs="仿宋"/>
          <w:color w:val="auto"/>
          <w:kern w:val="2"/>
          <w:sz w:val="28"/>
          <w:szCs w:val="28"/>
          <w:highlight w:val="none"/>
          <w:lang w:val="en-US" w:eastAsia="zh-CN" w:bidi="ar"/>
        </w:rPr>
      </w:pPr>
      <w:r>
        <w:rPr>
          <w:rFonts w:hint="eastAsia" w:ascii="仿宋" w:hAnsi="仿宋" w:eastAsia="仿宋" w:cs="仿宋"/>
          <w:color w:val="auto"/>
          <w:kern w:val="2"/>
          <w:sz w:val="28"/>
          <w:szCs w:val="28"/>
          <w:highlight w:val="none"/>
          <w:lang w:val="en-US" w:eastAsia="zh-CN" w:bidi="ar"/>
        </w:rPr>
        <w:t>十、落实政府采购相关政策部分</w:t>
      </w:r>
    </w:p>
    <w:p w14:paraId="207BA9AC">
      <w:pPr>
        <w:keepNext w:val="0"/>
        <w:keepLines w:val="0"/>
        <w:widowControl w:val="0"/>
        <w:suppressLineNumbers w:val="0"/>
        <w:spacing w:before="0" w:beforeAutospacing="0" w:after="0" w:afterAutospacing="0" w:line="240" w:lineRule="auto"/>
        <w:ind w:left="0" w:right="0" w:firstLine="560" w:firstLineChars="200"/>
        <w:jc w:val="both"/>
        <w:rPr>
          <w:rFonts w:hint="eastAsia" w:ascii="仿宋" w:hAnsi="仿宋" w:eastAsia="仿宋" w:cs="仿宋"/>
          <w:color w:val="auto"/>
          <w:kern w:val="2"/>
          <w:sz w:val="28"/>
          <w:szCs w:val="28"/>
          <w:highlight w:val="none"/>
          <w:lang w:val="en-US" w:eastAsia="zh-CN" w:bidi="ar"/>
        </w:rPr>
      </w:pPr>
      <w:r>
        <w:rPr>
          <w:rFonts w:hint="eastAsia" w:ascii="仿宋" w:hAnsi="仿宋" w:eastAsia="仿宋" w:cs="仿宋"/>
          <w:color w:val="auto"/>
          <w:kern w:val="2"/>
          <w:sz w:val="28"/>
          <w:szCs w:val="28"/>
          <w:highlight w:val="none"/>
          <w:lang w:val="en-US" w:eastAsia="zh-CN" w:bidi="ar"/>
        </w:rPr>
        <w:t>十一、其他资料</w:t>
      </w:r>
    </w:p>
    <w:p w14:paraId="0A085B35">
      <w:pPr>
        <w:pStyle w:val="5"/>
        <w:widowControl/>
        <w:spacing w:before="20" w:beforeAutospacing="0" w:after="20" w:afterAutospacing="0" w:line="360" w:lineRule="auto"/>
        <w:ind w:left="0" w:right="0"/>
        <w:jc w:val="center"/>
        <w:outlineLvl w:val="9"/>
        <w:rPr>
          <w:rFonts w:hint="eastAsia" w:ascii="仿宋" w:hAnsi="仿宋" w:eastAsia="仿宋" w:cs="仿宋"/>
          <w:color w:val="auto"/>
          <w:sz w:val="28"/>
          <w:szCs w:val="32"/>
          <w:highlight w:val="none"/>
          <w:lang w:val="en-US"/>
        </w:rPr>
      </w:pPr>
    </w:p>
    <w:p w14:paraId="65724A0F">
      <w:pPr>
        <w:pStyle w:val="5"/>
        <w:widowControl/>
        <w:spacing w:before="20" w:beforeAutospacing="0" w:after="20" w:afterAutospacing="0" w:line="360" w:lineRule="auto"/>
        <w:ind w:left="0" w:right="0" w:firstLine="562" w:firstLineChars="200"/>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eastAsia="zh-CN"/>
        </w:rPr>
        <w:t>注：投标人可参照以上内容编制目录，也可自行编制目录。</w:t>
      </w:r>
    </w:p>
    <w:p w14:paraId="750C4F7A">
      <w:pPr>
        <w:spacing w:line="440" w:lineRule="exact"/>
        <w:ind w:left="-29" w:leftChars="-14" w:firstLine="33" w:firstLineChars="12"/>
        <w:jc w:val="center"/>
        <w:rPr>
          <w:rFonts w:hint="eastAsia" w:ascii="仿宋" w:hAnsi="仿宋" w:eastAsia="仿宋"/>
          <w:b w:val="0"/>
          <w:bCs w:val="0"/>
          <w:color w:val="auto"/>
          <w:sz w:val="28"/>
          <w:szCs w:val="28"/>
          <w:highlight w:val="none"/>
        </w:rPr>
      </w:pPr>
    </w:p>
    <w:p w14:paraId="4D7FE375">
      <w:pPr>
        <w:spacing w:line="440" w:lineRule="exact"/>
        <w:ind w:left="-29" w:leftChars="-14" w:firstLine="34" w:firstLineChars="12"/>
        <w:jc w:val="center"/>
        <w:rPr>
          <w:rFonts w:hint="eastAsia" w:ascii="仿宋" w:hAnsi="仿宋" w:eastAsia="仿宋"/>
          <w:b/>
          <w:bCs/>
          <w:color w:val="auto"/>
          <w:sz w:val="28"/>
          <w:szCs w:val="28"/>
          <w:highlight w:val="none"/>
        </w:rPr>
      </w:pPr>
    </w:p>
    <w:p w14:paraId="53B4F2A8">
      <w:pPr>
        <w:spacing w:line="440" w:lineRule="exact"/>
        <w:ind w:left="-29" w:leftChars="-14" w:firstLine="34" w:firstLineChars="12"/>
        <w:jc w:val="center"/>
        <w:rPr>
          <w:rFonts w:hint="eastAsia" w:ascii="仿宋" w:hAnsi="仿宋" w:eastAsia="仿宋"/>
          <w:b/>
          <w:bCs/>
          <w:color w:val="auto"/>
          <w:sz w:val="28"/>
          <w:szCs w:val="28"/>
          <w:highlight w:val="none"/>
        </w:rPr>
      </w:pPr>
    </w:p>
    <w:p w14:paraId="14BB0D6F">
      <w:pPr>
        <w:spacing w:line="440" w:lineRule="exact"/>
        <w:ind w:left="-29" w:leftChars="-14" w:firstLine="34" w:firstLineChars="12"/>
        <w:jc w:val="center"/>
        <w:rPr>
          <w:rFonts w:hint="eastAsia" w:ascii="仿宋" w:hAnsi="仿宋" w:eastAsia="仿宋"/>
          <w:b/>
          <w:bCs/>
          <w:color w:val="auto"/>
          <w:sz w:val="28"/>
          <w:szCs w:val="28"/>
          <w:highlight w:val="none"/>
        </w:rPr>
      </w:pPr>
    </w:p>
    <w:p w14:paraId="3E6A7C20">
      <w:pPr>
        <w:spacing w:line="440" w:lineRule="exact"/>
        <w:ind w:left="-29" w:leftChars="-14" w:firstLine="34" w:firstLineChars="12"/>
        <w:jc w:val="center"/>
        <w:rPr>
          <w:rFonts w:hint="eastAsia" w:ascii="仿宋" w:hAnsi="仿宋" w:eastAsia="仿宋"/>
          <w:b/>
          <w:bCs/>
          <w:color w:val="auto"/>
          <w:sz w:val="28"/>
          <w:szCs w:val="28"/>
          <w:highlight w:val="none"/>
        </w:rPr>
      </w:pPr>
    </w:p>
    <w:p w14:paraId="74CB030A">
      <w:pPr>
        <w:spacing w:line="440" w:lineRule="exact"/>
        <w:ind w:left="-29" w:leftChars="-14" w:firstLine="34" w:firstLineChars="12"/>
        <w:jc w:val="center"/>
        <w:rPr>
          <w:rFonts w:hint="eastAsia" w:ascii="仿宋" w:hAnsi="仿宋" w:eastAsia="仿宋"/>
          <w:b/>
          <w:bCs/>
          <w:color w:val="auto"/>
          <w:sz w:val="28"/>
          <w:szCs w:val="28"/>
          <w:highlight w:val="none"/>
        </w:rPr>
      </w:pPr>
    </w:p>
    <w:p w14:paraId="4768C8F5">
      <w:pPr>
        <w:spacing w:line="440" w:lineRule="exact"/>
        <w:ind w:left="-29" w:leftChars="-14" w:firstLine="34" w:firstLineChars="12"/>
        <w:jc w:val="center"/>
        <w:rPr>
          <w:rFonts w:hint="eastAsia" w:ascii="仿宋" w:hAnsi="仿宋" w:eastAsia="仿宋"/>
          <w:b/>
          <w:bCs/>
          <w:color w:val="auto"/>
          <w:sz w:val="28"/>
          <w:szCs w:val="28"/>
          <w:highlight w:val="none"/>
        </w:rPr>
      </w:pPr>
    </w:p>
    <w:p w14:paraId="12DA8508">
      <w:pPr>
        <w:spacing w:line="440" w:lineRule="exact"/>
        <w:ind w:left="-29" w:leftChars="-14" w:firstLine="34" w:firstLineChars="12"/>
        <w:jc w:val="center"/>
        <w:rPr>
          <w:rFonts w:hint="eastAsia" w:ascii="仿宋" w:hAnsi="仿宋" w:eastAsia="仿宋"/>
          <w:b/>
          <w:bCs/>
          <w:color w:val="auto"/>
          <w:sz w:val="28"/>
          <w:szCs w:val="28"/>
          <w:highlight w:val="none"/>
        </w:rPr>
      </w:pPr>
    </w:p>
    <w:p w14:paraId="29DFD22C">
      <w:pPr>
        <w:spacing w:line="440" w:lineRule="exact"/>
        <w:jc w:val="both"/>
        <w:rPr>
          <w:rFonts w:hint="eastAsia" w:ascii="仿宋" w:hAnsi="仿宋" w:eastAsia="仿宋"/>
          <w:b/>
          <w:bCs/>
          <w:color w:val="auto"/>
          <w:sz w:val="28"/>
          <w:szCs w:val="28"/>
          <w:highlight w:val="none"/>
        </w:rPr>
      </w:pPr>
    </w:p>
    <w:p w14:paraId="694EBA20">
      <w:pPr>
        <w:spacing w:line="440" w:lineRule="exact"/>
        <w:ind w:left="-29" w:leftChars="-14" w:firstLine="34" w:firstLineChars="12"/>
        <w:jc w:val="center"/>
        <w:rPr>
          <w:rFonts w:hint="eastAsia" w:ascii="仿宋" w:hAnsi="仿宋" w:eastAsia="仿宋"/>
          <w:b/>
          <w:bCs/>
          <w:color w:val="auto"/>
          <w:sz w:val="28"/>
          <w:szCs w:val="28"/>
          <w:highlight w:val="none"/>
        </w:rPr>
      </w:pPr>
    </w:p>
    <w:p w14:paraId="2E08162B">
      <w:pPr>
        <w:spacing w:line="440" w:lineRule="exact"/>
        <w:ind w:left="-29" w:leftChars="-14" w:firstLine="34" w:firstLineChars="12"/>
        <w:jc w:val="center"/>
        <w:rPr>
          <w:rFonts w:hint="eastAsia" w:ascii="仿宋" w:hAnsi="仿宋" w:eastAsia="仿宋"/>
          <w:b/>
          <w:bCs/>
          <w:color w:val="auto"/>
          <w:sz w:val="28"/>
          <w:szCs w:val="28"/>
          <w:highlight w:val="none"/>
        </w:rPr>
      </w:pPr>
    </w:p>
    <w:p w14:paraId="1BA9DEB1">
      <w:pPr>
        <w:spacing w:line="440" w:lineRule="exact"/>
        <w:ind w:left="-29" w:leftChars="-14" w:firstLine="34" w:firstLineChars="12"/>
        <w:jc w:val="center"/>
        <w:rPr>
          <w:rFonts w:hint="eastAsia" w:ascii="仿宋" w:hAnsi="仿宋" w:eastAsia="仿宋"/>
          <w:b/>
          <w:bCs/>
          <w:color w:val="auto"/>
          <w:sz w:val="28"/>
          <w:szCs w:val="28"/>
          <w:highlight w:val="none"/>
        </w:rPr>
      </w:pPr>
    </w:p>
    <w:p w14:paraId="1A8CB6EE">
      <w:pPr>
        <w:spacing w:line="440" w:lineRule="exact"/>
        <w:ind w:left="-29" w:leftChars="-14" w:firstLine="34" w:firstLineChars="12"/>
        <w:jc w:val="center"/>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开标一览表</w:t>
      </w:r>
    </w:p>
    <w:p w14:paraId="4F44BD34">
      <w:pPr>
        <w:keepNext w:val="0"/>
        <w:keepLines w:val="0"/>
        <w:pageBreakBefore w:val="0"/>
        <w:widowControl w:val="0"/>
        <w:kinsoku/>
        <w:wordWrap/>
        <w:overflowPunct/>
        <w:topLinePunct w:val="0"/>
        <w:autoSpaceDE/>
        <w:autoSpaceDN/>
        <w:bidi w:val="0"/>
        <w:adjustRightInd/>
        <w:spacing w:line="480" w:lineRule="exact"/>
        <w:ind w:left="-29" w:leftChars="-14" w:firstLine="28" w:firstLineChars="12"/>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项目</w:t>
      </w:r>
      <w:r>
        <w:rPr>
          <w:rFonts w:ascii="仿宋" w:hAnsi="仿宋" w:eastAsia="仿宋"/>
          <w:color w:val="auto"/>
          <w:sz w:val="24"/>
          <w:szCs w:val="24"/>
          <w:highlight w:val="none"/>
        </w:rPr>
        <w:t>名称：</w:t>
      </w:r>
    </w:p>
    <w:p w14:paraId="6D13C39E">
      <w:pPr>
        <w:keepNext w:val="0"/>
        <w:keepLines w:val="0"/>
        <w:pageBreakBefore w:val="0"/>
        <w:widowControl w:val="0"/>
        <w:kinsoku/>
        <w:wordWrap/>
        <w:overflowPunct/>
        <w:topLinePunct w:val="0"/>
        <w:autoSpaceDE/>
        <w:autoSpaceDN/>
        <w:bidi w:val="0"/>
        <w:adjustRightInd/>
        <w:spacing w:line="480" w:lineRule="exact"/>
        <w:ind w:left="-29" w:leftChars="-14" w:firstLine="28" w:firstLineChars="12"/>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项目编号：</w:t>
      </w:r>
    </w:p>
    <w:tbl>
      <w:tblPr>
        <w:tblStyle w:val="56"/>
        <w:tblpPr w:leftFromText="180" w:rightFromText="180" w:vertAnchor="text" w:horzAnchor="page" w:tblpXSpec="center" w:tblpY="72"/>
        <w:tblOverlap w:val="never"/>
        <w:tblW w:w="9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2017"/>
        <w:gridCol w:w="6437"/>
      </w:tblGrid>
      <w:tr w14:paraId="1A580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68" w:type="dxa"/>
            <w:vAlign w:val="center"/>
          </w:tcPr>
          <w:p w14:paraId="1145151F">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jc w:val="center"/>
              <w:textAlignment w:val="auto"/>
              <w:rPr>
                <w:rFonts w:hint="default"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2017" w:type="dxa"/>
            <w:vAlign w:val="center"/>
          </w:tcPr>
          <w:p w14:paraId="3BE0088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jc w:val="center"/>
              <w:textAlignment w:val="auto"/>
              <w:rPr>
                <w:rFonts w:hint="default" w:ascii="仿宋" w:hAnsi="仿宋" w:eastAsia="仿宋"/>
                <w:color w:val="auto"/>
                <w:sz w:val="24"/>
                <w:szCs w:val="24"/>
                <w:highlight w:val="none"/>
              </w:rPr>
            </w:pPr>
            <w:r>
              <w:rPr>
                <w:rFonts w:hint="eastAsia" w:ascii="仿宋" w:hAnsi="仿宋" w:eastAsia="仿宋"/>
                <w:color w:val="auto"/>
                <w:sz w:val="24"/>
                <w:szCs w:val="24"/>
                <w:highlight w:val="none"/>
              </w:rPr>
              <w:t>项目名称</w:t>
            </w:r>
          </w:p>
        </w:tc>
        <w:tc>
          <w:tcPr>
            <w:tcW w:w="6437" w:type="dxa"/>
            <w:vAlign w:val="center"/>
          </w:tcPr>
          <w:p w14:paraId="0E93C28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firstLine="240" w:firstLineChars="100"/>
              <w:jc w:val="center"/>
              <w:textAlignment w:val="auto"/>
              <w:rPr>
                <w:rFonts w:hint="default" w:ascii="仿宋" w:hAnsi="仿宋" w:eastAsia="仿宋"/>
                <w:color w:val="auto"/>
                <w:sz w:val="24"/>
                <w:szCs w:val="24"/>
                <w:highlight w:val="none"/>
              </w:rPr>
            </w:pPr>
            <w:r>
              <w:rPr>
                <w:rFonts w:hint="eastAsia" w:ascii="仿宋" w:hAnsi="仿宋" w:eastAsia="仿宋"/>
                <w:color w:val="auto"/>
                <w:sz w:val="24"/>
                <w:szCs w:val="24"/>
                <w:highlight w:val="none"/>
              </w:rPr>
              <w:t>内         容</w:t>
            </w:r>
          </w:p>
        </w:tc>
      </w:tr>
      <w:tr w14:paraId="60C6B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3" w:hRule="atLeast"/>
          <w:jc w:val="center"/>
        </w:trPr>
        <w:tc>
          <w:tcPr>
            <w:tcW w:w="768" w:type="dxa"/>
            <w:vAlign w:val="center"/>
          </w:tcPr>
          <w:p w14:paraId="454DC8E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jc w:val="center"/>
              <w:textAlignment w:val="auto"/>
              <w:rPr>
                <w:rFonts w:hint="default" w:ascii="仿宋" w:hAnsi="仿宋" w:eastAsia="仿宋"/>
                <w:bCs/>
                <w:color w:val="auto"/>
                <w:sz w:val="24"/>
                <w:szCs w:val="24"/>
                <w:highlight w:val="none"/>
              </w:rPr>
            </w:pPr>
            <w:r>
              <w:rPr>
                <w:rFonts w:hint="eastAsia" w:ascii="仿宋" w:hAnsi="仿宋" w:eastAsia="仿宋"/>
                <w:bCs/>
                <w:color w:val="auto"/>
                <w:sz w:val="24"/>
                <w:szCs w:val="24"/>
                <w:highlight w:val="none"/>
              </w:rPr>
              <w:t>1</w:t>
            </w:r>
          </w:p>
        </w:tc>
        <w:tc>
          <w:tcPr>
            <w:tcW w:w="2017" w:type="dxa"/>
            <w:vAlign w:val="center"/>
          </w:tcPr>
          <w:p w14:paraId="6012F08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jc w:val="center"/>
              <w:textAlignment w:val="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投标报价</w:t>
            </w:r>
          </w:p>
          <w:p w14:paraId="744214CE">
            <w:pPr>
              <w:pStyle w:val="23"/>
              <w:keepNext w:val="0"/>
              <w:keepLines w:val="0"/>
              <w:suppressLineNumbers w:val="0"/>
              <w:spacing w:before="0" w:beforeAutospacing="0" w:after="0" w:afterAutospacing="0"/>
              <w:ind w:left="0" w:right="0"/>
              <w:jc w:val="center"/>
              <w:rPr>
                <w:rFonts w:hint="eastAsia"/>
                <w:color w:val="auto"/>
                <w:highlight w:val="none"/>
                <w:lang w:eastAsia="zh-CN"/>
              </w:rPr>
            </w:pPr>
            <w:r>
              <w:rPr>
                <w:rFonts w:hint="eastAsia" w:ascii="仿宋" w:hAnsi="仿宋" w:eastAsia="仿宋"/>
                <w:color w:val="auto"/>
                <w:sz w:val="24"/>
                <w:szCs w:val="24"/>
                <w:highlight w:val="none"/>
                <w:lang w:eastAsia="zh-CN"/>
              </w:rPr>
              <w:t>（含税）</w:t>
            </w:r>
          </w:p>
        </w:tc>
        <w:tc>
          <w:tcPr>
            <w:tcW w:w="6437" w:type="dxa"/>
            <w:vAlign w:val="center"/>
          </w:tcPr>
          <w:p w14:paraId="416874B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80" w:lineRule="exact"/>
              <w:ind w:left="0" w:right="0"/>
              <w:jc w:val="left"/>
              <w:textAlignment w:val="auto"/>
              <w:rPr>
                <w:rFonts w:hint="eastAsia" w:ascii="仿宋" w:hAnsi="仿宋" w:eastAsia="仿宋" w:cs="宋体"/>
                <w:b w:val="0"/>
                <w:bCs w:val="0"/>
                <w:color w:val="auto"/>
                <w:kern w:val="0"/>
                <w:sz w:val="24"/>
                <w:szCs w:val="24"/>
                <w:highlight w:val="none"/>
                <w:lang w:val="en-US" w:eastAsia="zh-CN"/>
              </w:rPr>
            </w:pPr>
            <w:r>
              <w:rPr>
                <w:rFonts w:hint="eastAsia" w:ascii="仿宋" w:hAnsi="仿宋" w:eastAsia="仿宋" w:cs="宋体"/>
                <w:b w:val="0"/>
                <w:bCs w:val="0"/>
                <w:color w:val="auto"/>
                <w:kern w:val="0"/>
                <w:sz w:val="24"/>
                <w:szCs w:val="24"/>
                <w:highlight w:val="none"/>
                <w:lang w:eastAsia="zh-CN"/>
              </w:rPr>
              <w:t>大写：人民币</w:t>
            </w:r>
            <w:r>
              <w:rPr>
                <w:rFonts w:hint="eastAsia" w:ascii="仿宋" w:hAnsi="仿宋" w:eastAsia="仿宋" w:cs="宋体"/>
                <w:b w:val="0"/>
                <w:bCs w:val="0"/>
                <w:color w:val="auto"/>
                <w:kern w:val="0"/>
                <w:sz w:val="24"/>
                <w:szCs w:val="24"/>
                <w:highlight w:val="none"/>
                <w:u w:val="single"/>
                <w:lang w:val="en-US" w:eastAsia="zh-CN"/>
              </w:rPr>
              <w:t xml:space="preserve">                    </w:t>
            </w:r>
            <w:r>
              <w:rPr>
                <w:rFonts w:hint="eastAsia" w:ascii="仿宋" w:hAnsi="仿宋" w:eastAsia="仿宋" w:cs="宋体"/>
                <w:b w:val="0"/>
                <w:bCs w:val="0"/>
                <w:color w:val="auto"/>
                <w:kern w:val="0"/>
                <w:sz w:val="24"/>
                <w:szCs w:val="24"/>
                <w:highlight w:val="none"/>
                <w:lang w:val="en-US" w:eastAsia="zh-CN"/>
              </w:rPr>
              <w:t xml:space="preserve"> </w:t>
            </w:r>
          </w:p>
          <w:p w14:paraId="7750EA4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80" w:lineRule="exact"/>
              <w:ind w:left="0" w:right="0"/>
              <w:jc w:val="left"/>
              <w:textAlignment w:val="auto"/>
              <w:rPr>
                <w:rFonts w:hint="default" w:ascii="仿宋" w:hAnsi="仿宋" w:eastAsia="仿宋"/>
                <w:color w:val="auto"/>
                <w:sz w:val="24"/>
                <w:szCs w:val="24"/>
                <w:highlight w:val="none"/>
                <w:u w:val="single"/>
                <w:lang w:val="en-US" w:eastAsia="zh-CN"/>
              </w:rPr>
            </w:pPr>
            <w:r>
              <w:rPr>
                <w:rFonts w:hint="eastAsia" w:ascii="仿宋" w:hAnsi="仿宋" w:eastAsia="仿宋" w:cs="宋体"/>
                <w:b w:val="0"/>
                <w:bCs w:val="0"/>
                <w:color w:val="auto"/>
                <w:kern w:val="0"/>
                <w:sz w:val="24"/>
                <w:szCs w:val="24"/>
                <w:highlight w:val="none"/>
                <w:lang w:val="en-US" w:eastAsia="zh-CN"/>
              </w:rPr>
              <w:t xml:space="preserve">小写：¥ </w:t>
            </w:r>
            <w:r>
              <w:rPr>
                <w:rFonts w:hint="eastAsia" w:ascii="仿宋" w:hAnsi="仿宋" w:eastAsia="仿宋" w:cs="宋体"/>
                <w:b w:val="0"/>
                <w:bCs w:val="0"/>
                <w:color w:val="auto"/>
                <w:kern w:val="0"/>
                <w:sz w:val="24"/>
                <w:szCs w:val="24"/>
                <w:highlight w:val="none"/>
                <w:u w:val="single"/>
                <w:lang w:val="en-US" w:eastAsia="zh-CN"/>
              </w:rPr>
              <w:t xml:space="preserve">                        </w:t>
            </w:r>
            <w:r>
              <w:rPr>
                <w:rFonts w:hint="eastAsia" w:ascii="仿宋" w:hAnsi="仿宋" w:eastAsia="仿宋" w:cs="宋体"/>
                <w:b w:val="0"/>
                <w:bCs w:val="0"/>
                <w:color w:val="auto"/>
                <w:kern w:val="0"/>
                <w:sz w:val="24"/>
                <w:szCs w:val="24"/>
                <w:highlight w:val="none"/>
                <w:lang w:val="en-US" w:eastAsia="zh-CN"/>
              </w:rPr>
              <w:t xml:space="preserve"> </w:t>
            </w:r>
          </w:p>
        </w:tc>
      </w:tr>
      <w:tr w14:paraId="09E5E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68" w:type="dxa"/>
            <w:vAlign w:val="center"/>
          </w:tcPr>
          <w:p w14:paraId="3FBAC18F">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jc w:val="center"/>
              <w:textAlignment w:val="auto"/>
              <w:rPr>
                <w:rFonts w:hint="default" w:ascii="仿宋" w:hAnsi="仿宋" w:eastAsia="仿宋"/>
                <w:bCs/>
                <w:color w:val="auto"/>
                <w:sz w:val="24"/>
                <w:szCs w:val="24"/>
                <w:highlight w:val="none"/>
              </w:rPr>
            </w:pPr>
            <w:r>
              <w:rPr>
                <w:rFonts w:hint="eastAsia" w:ascii="仿宋" w:hAnsi="仿宋" w:eastAsia="仿宋"/>
                <w:bCs/>
                <w:color w:val="auto"/>
                <w:sz w:val="24"/>
                <w:szCs w:val="24"/>
                <w:highlight w:val="none"/>
              </w:rPr>
              <w:t>2</w:t>
            </w:r>
          </w:p>
        </w:tc>
        <w:tc>
          <w:tcPr>
            <w:tcW w:w="2017" w:type="dxa"/>
            <w:vAlign w:val="center"/>
          </w:tcPr>
          <w:p w14:paraId="0607BCB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jc w:val="center"/>
              <w:textAlignment w:val="auto"/>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eastAsia="zh-CN"/>
              </w:rPr>
              <w:t>合同履行期限</w:t>
            </w:r>
          </w:p>
        </w:tc>
        <w:tc>
          <w:tcPr>
            <w:tcW w:w="6437" w:type="dxa"/>
            <w:vAlign w:val="center"/>
          </w:tcPr>
          <w:p w14:paraId="4C71069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textAlignment w:val="auto"/>
              <w:rPr>
                <w:rFonts w:hint="default" w:ascii="仿宋" w:hAnsi="仿宋" w:eastAsia="仿宋"/>
                <w:bCs/>
                <w:color w:val="auto"/>
                <w:sz w:val="24"/>
                <w:szCs w:val="24"/>
                <w:highlight w:val="none"/>
              </w:rPr>
            </w:pPr>
          </w:p>
        </w:tc>
      </w:tr>
      <w:tr w14:paraId="7F883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68" w:type="dxa"/>
            <w:vAlign w:val="center"/>
          </w:tcPr>
          <w:p w14:paraId="10326D8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jc w:val="center"/>
              <w:textAlignment w:val="auto"/>
              <w:rPr>
                <w:rFonts w:hint="eastAsia" w:ascii="仿宋" w:hAnsi="仿宋" w:eastAsia="仿宋"/>
                <w:bCs/>
                <w:color w:val="auto"/>
                <w:sz w:val="24"/>
                <w:szCs w:val="24"/>
                <w:highlight w:val="none"/>
                <w:lang w:val="en-US" w:eastAsia="zh-CN"/>
              </w:rPr>
            </w:pPr>
            <w:r>
              <w:rPr>
                <w:rFonts w:hint="eastAsia" w:ascii="仿宋" w:hAnsi="仿宋" w:eastAsia="仿宋"/>
                <w:bCs/>
                <w:color w:val="auto"/>
                <w:sz w:val="24"/>
                <w:szCs w:val="24"/>
                <w:highlight w:val="none"/>
                <w:lang w:val="en-US" w:eastAsia="zh-CN"/>
              </w:rPr>
              <w:t>3</w:t>
            </w:r>
          </w:p>
        </w:tc>
        <w:tc>
          <w:tcPr>
            <w:tcW w:w="2017" w:type="dxa"/>
            <w:vAlign w:val="center"/>
          </w:tcPr>
          <w:p w14:paraId="4004730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leftChars="0" w:right="0" w:rightChars="0"/>
              <w:jc w:val="center"/>
              <w:textAlignment w:val="auto"/>
              <w:rPr>
                <w:rFonts w:hint="eastAsia" w:ascii="仿宋" w:hAnsi="仿宋" w:eastAsia="仿宋"/>
                <w:color w:val="auto"/>
                <w:sz w:val="24"/>
                <w:szCs w:val="24"/>
                <w:highlight w:val="none"/>
                <w:lang w:eastAsia="zh-CN"/>
              </w:rPr>
            </w:pPr>
            <w:r>
              <w:rPr>
                <w:rFonts w:hint="eastAsia" w:ascii="仿宋" w:hAnsi="仿宋" w:eastAsia="仿宋" w:cs="仿宋"/>
                <w:color w:val="auto"/>
                <w:sz w:val="24"/>
                <w:szCs w:val="24"/>
                <w:highlight w:val="none"/>
                <w:lang w:eastAsia="zh-CN"/>
              </w:rPr>
              <w:t>质量</w:t>
            </w:r>
            <w:r>
              <w:rPr>
                <w:rFonts w:hint="eastAsia" w:ascii="仿宋" w:hAnsi="仿宋" w:eastAsia="仿宋" w:cs="仿宋"/>
                <w:color w:val="auto"/>
                <w:sz w:val="24"/>
                <w:szCs w:val="24"/>
                <w:highlight w:val="none"/>
              </w:rPr>
              <w:t>承诺</w:t>
            </w:r>
          </w:p>
        </w:tc>
        <w:tc>
          <w:tcPr>
            <w:tcW w:w="6437" w:type="dxa"/>
            <w:vAlign w:val="center"/>
          </w:tcPr>
          <w:p w14:paraId="166467E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textAlignment w:val="auto"/>
              <w:rPr>
                <w:rFonts w:hint="default" w:ascii="仿宋" w:hAnsi="仿宋" w:eastAsia="仿宋"/>
                <w:bCs/>
                <w:color w:val="auto"/>
                <w:sz w:val="24"/>
                <w:szCs w:val="24"/>
                <w:highlight w:val="none"/>
              </w:rPr>
            </w:pPr>
          </w:p>
        </w:tc>
      </w:tr>
      <w:tr w14:paraId="76C29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68" w:type="dxa"/>
            <w:tcBorders>
              <w:bottom w:val="single" w:color="auto" w:sz="4" w:space="0"/>
            </w:tcBorders>
            <w:vAlign w:val="center"/>
          </w:tcPr>
          <w:p w14:paraId="21EC557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jc w:val="center"/>
              <w:textAlignment w:val="auto"/>
              <w:rPr>
                <w:rFonts w:hint="default" w:ascii="仿宋" w:hAnsi="仿宋" w:eastAsia="仿宋"/>
                <w:bCs/>
                <w:color w:val="auto"/>
                <w:sz w:val="24"/>
                <w:szCs w:val="24"/>
                <w:highlight w:val="none"/>
                <w:lang w:val="en-US" w:eastAsia="zh-CN"/>
              </w:rPr>
            </w:pPr>
            <w:r>
              <w:rPr>
                <w:rFonts w:hint="eastAsia" w:ascii="仿宋" w:hAnsi="仿宋" w:eastAsia="仿宋"/>
                <w:bCs/>
                <w:color w:val="auto"/>
                <w:sz w:val="24"/>
                <w:szCs w:val="24"/>
                <w:highlight w:val="none"/>
                <w:lang w:val="en-US" w:eastAsia="zh-CN"/>
              </w:rPr>
              <w:t>4</w:t>
            </w:r>
          </w:p>
        </w:tc>
        <w:tc>
          <w:tcPr>
            <w:tcW w:w="2017" w:type="dxa"/>
            <w:tcBorders>
              <w:bottom w:val="single" w:color="auto" w:sz="4" w:space="0"/>
            </w:tcBorders>
            <w:vAlign w:val="center"/>
          </w:tcPr>
          <w:p w14:paraId="73F8E62A">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jc w:val="center"/>
              <w:textAlignment w:val="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说明</w:t>
            </w:r>
          </w:p>
        </w:tc>
        <w:tc>
          <w:tcPr>
            <w:tcW w:w="6437" w:type="dxa"/>
            <w:tcBorders>
              <w:bottom w:val="single" w:color="auto" w:sz="4" w:space="0"/>
            </w:tcBorders>
            <w:vAlign w:val="center"/>
          </w:tcPr>
          <w:p w14:paraId="7331074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jc w:val="center"/>
              <w:textAlignment w:val="auto"/>
              <w:rPr>
                <w:rFonts w:hint="default" w:ascii="仿宋" w:hAnsi="仿宋" w:eastAsia="仿宋"/>
                <w:b/>
                <w:color w:val="auto"/>
                <w:sz w:val="24"/>
                <w:szCs w:val="24"/>
                <w:highlight w:val="none"/>
              </w:rPr>
            </w:pPr>
          </w:p>
        </w:tc>
      </w:tr>
    </w:tbl>
    <w:p w14:paraId="4F1500F6">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仿宋" w:hAnsi="仿宋" w:eastAsia="仿宋" w:cs="仿宋"/>
          <w:color w:val="auto"/>
          <w:kern w:val="2"/>
          <w:sz w:val="24"/>
          <w:szCs w:val="24"/>
          <w:highlight w:val="none"/>
          <w:lang w:val="en-US" w:eastAsia="zh-CN" w:bidi="ar"/>
        </w:rPr>
      </w:pPr>
    </w:p>
    <w:p w14:paraId="3CAEFC39">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仿宋" w:hAnsi="仿宋" w:eastAsia="仿宋" w:cs="仿宋"/>
          <w:color w:val="auto"/>
          <w:spacing w:val="-9"/>
          <w:sz w:val="24"/>
          <w:szCs w:val="24"/>
          <w:highlight w:val="none"/>
          <w:lang w:eastAsia="zh-CN" w:bidi="ar"/>
        </w:rPr>
      </w:pPr>
      <w:r>
        <w:rPr>
          <w:rFonts w:hint="eastAsia" w:ascii="仿宋" w:hAnsi="仿宋" w:eastAsia="仿宋" w:cs="仿宋"/>
          <w:color w:val="auto"/>
          <w:kern w:val="2"/>
          <w:sz w:val="24"/>
          <w:szCs w:val="24"/>
          <w:highlight w:val="none"/>
          <w:lang w:val="en-US" w:eastAsia="zh-CN" w:bidi="ar"/>
        </w:rPr>
        <w:t>注：</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须按要求填写信息，不得随意更改此表格式，</w:t>
      </w:r>
      <w:r>
        <w:rPr>
          <w:rFonts w:hint="eastAsia" w:ascii="仿宋" w:hAnsi="仿宋" w:eastAsia="仿宋" w:cs="仿宋"/>
          <w:color w:val="auto"/>
          <w:spacing w:val="-9"/>
          <w:sz w:val="24"/>
          <w:szCs w:val="24"/>
          <w:highlight w:val="none"/>
          <w:lang w:bidi="ar"/>
        </w:rPr>
        <w:t>此表应放于</w:t>
      </w:r>
      <w:r>
        <w:rPr>
          <w:rFonts w:hint="eastAsia" w:ascii="仿宋" w:hAnsi="仿宋" w:eastAsia="仿宋" w:cs="仿宋"/>
          <w:color w:val="auto"/>
          <w:spacing w:val="-9"/>
          <w:sz w:val="24"/>
          <w:szCs w:val="24"/>
          <w:highlight w:val="none"/>
          <w:lang w:eastAsia="zh-CN" w:bidi="ar"/>
        </w:rPr>
        <w:t>投标</w:t>
      </w:r>
      <w:r>
        <w:rPr>
          <w:rFonts w:hint="eastAsia" w:ascii="仿宋" w:hAnsi="仿宋" w:eastAsia="仿宋" w:cs="仿宋"/>
          <w:color w:val="auto"/>
          <w:spacing w:val="-9"/>
          <w:sz w:val="24"/>
          <w:szCs w:val="24"/>
          <w:highlight w:val="none"/>
          <w:lang w:bidi="ar"/>
        </w:rPr>
        <w:t>文件封面后第一页</w:t>
      </w:r>
      <w:r>
        <w:rPr>
          <w:rFonts w:hint="eastAsia" w:ascii="仿宋" w:hAnsi="仿宋" w:eastAsia="仿宋" w:cs="仿宋"/>
          <w:color w:val="auto"/>
          <w:spacing w:val="-9"/>
          <w:sz w:val="24"/>
          <w:szCs w:val="24"/>
          <w:highlight w:val="none"/>
          <w:lang w:eastAsia="zh-CN" w:bidi="ar"/>
        </w:rPr>
        <w:t>。</w:t>
      </w:r>
    </w:p>
    <w:p w14:paraId="22211CF8">
      <w:pPr>
        <w:keepNext w:val="0"/>
        <w:keepLines w:val="0"/>
        <w:pageBreakBefore w:val="0"/>
        <w:widowControl w:val="0"/>
        <w:kinsoku/>
        <w:wordWrap/>
        <w:overflowPunct/>
        <w:topLinePunct w:val="0"/>
        <w:autoSpaceDE/>
        <w:autoSpaceDN/>
        <w:bidi w:val="0"/>
        <w:adjustRightInd/>
        <w:spacing w:line="480" w:lineRule="exact"/>
        <w:ind w:firstLine="2" w:firstLineChars="1"/>
        <w:jc w:val="right"/>
        <w:textAlignment w:val="auto"/>
        <w:rPr>
          <w:rFonts w:hint="eastAsia" w:ascii="仿宋" w:hAnsi="仿宋" w:eastAsia="仿宋" w:cs="仿宋"/>
          <w:color w:val="auto"/>
          <w:sz w:val="24"/>
          <w:szCs w:val="24"/>
          <w:highlight w:val="none"/>
          <w:lang w:eastAsia="zh-CN"/>
        </w:rPr>
      </w:pPr>
    </w:p>
    <w:p w14:paraId="2C1DB52A">
      <w:pPr>
        <w:keepNext w:val="0"/>
        <w:keepLines w:val="0"/>
        <w:pageBreakBefore w:val="0"/>
        <w:widowControl w:val="0"/>
        <w:kinsoku/>
        <w:wordWrap/>
        <w:overflowPunct/>
        <w:topLinePunct w:val="0"/>
        <w:autoSpaceDE/>
        <w:autoSpaceDN/>
        <w:bidi w:val="0"/>
        <w:adjustRightInd/>
        <w:spacing w:line="480" w:lineRule="exact"/>
        <w:ind w:firstLine="2" w:firstLineChars="1"/>
        <w:jc w:val="right"/>
        <w:textAlignment w:val="auto"/>
        <w:rPr>
          <w:rFonts w:hint="eastAsia" w:ascii="仿宋" w:hAnsi="仿宋" w:eastAsia="仿宋" w:cs="仿宋"/>
          <w:color w:val="auto"/>
          <w:sz w:val="24"/>
          <w:szCs w:val="24"/>
          <w:highlight w:val="none"/>
          <w:lang w:eastAsia="zh-CN"/>
        </w:rPr>
      </w:pPr>
    </w:p>
    <w:p w14:paraId="24780059">
      <w:pPr>
        <w:keepNext w:val="0"/>
        <w:keepLines w:val="0"/>
        <w:pageBreakBefore w:val="0"/>
        <w:widowControl w:val="0"/>
        <w:kinsoku/>
        <w:wordWrap/>
        <w:overflowPunct/>
        <w:topLinePunct w:val="0"/>
        <w:autoSpaceDE/>
        <w:autoSpaceDN/>
        <w:bidi w:val="0"/>
        <w:adjustRightInd/>
        <w:spacing w:line="480" w:lineRule="exact"/>
        <w:ind w:firstLine="2" w:firstLineChars="1"/>
        <w:jc w:val="right"/>
        <w:textAlignment w:val="auto"/>
        <w:rPr>
          <w:rFonts w:hint="eastAsia" w:ascii="仿宋" w:hAnsi="仿宋" w:eastAsia="仿宋" w:cs="仿宋"/>
          <w:color w:val="auto"/>
          <w:sz w:val="24"/>
          <w:szCs w:val="24"/>
          <w:highlight w:val="none"/>
          <w:lang w:eastAsia="zh-CN"/>
        </w:rPr>
      </w:pPr>
    </w:p>
    <w:p w14:paraId="5A25A45A">
      <w:pPr>
        <w:keepNext w:val="0"/>
        <w:keepLines w:val="0"/>
        <w:pageBreakBefore w:val="0"/>
        <w:widowControl w:val="0"/>
        <w:kinsoku/>
        <w:wordWrap/>
        <w:overflowPunct/>
        <w:topLinePunct w:val="0"/>
        <w:autoSpaceDE/>
        <w:autoSpaceDN/>
        <w:bidi w:val="0"/>
        <w:adjustRightInd/>
        <w:spacing w:line="480" w:lineRule="exact"/>
        <w:ind w:firstLine="2" w:firstLineChars="1"/>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eastAsia="zh-CN"/>
        </w:rPr>
        <w:t>（或联合体牵头人）</w:t>
      </w:r>
      <w:r>
        <w:rPr>
          <w:rFonts w:hint="eastAsia" w:ascii="仿宋" w:hAnsi="仿宋" w:eastAsia="仿宋" w:cs="仿宋"/>
          <w:color w:val="auto"/>
          <w:sz w:val="24"/>
          <w:szCs w:val="24"/>
          <w:highlight w:val="none"/>
        </w:rPr>
        <w:t>：</w:t>
      </w:r>
      <w:r>
        <w:rPr>
          <w:rFonts w:hint="eastAsia" w:ascii="仿宋" w:hAnsi="仿宋" w:eastAsia="仿宋" w:cs="仿宋"/>
          <w:color w:val="auto"/>
          <w:sz w:val="22"/>
          <w:szCs w:val="22"/>
          <w:highlight w:val="none"/>
        </w:rPr>
        <w:t>（</w:t>
      </w:r>
      <w:r>
        <w:rPr>
          <w:rFonts w:hint="eastAsia" w:ascii="仿宋" w:hAnsi="仿宋" w:eastAsia="仿宋"/>
          <w:color w:val="auto"/>
          <w:sz w:val="24"/>
          <w:szCs w:val="24"/>
          <w:highlight w:val="none"/>
          <w:u w:val="none"/>
          <w:lang w:eastAsia="zh-CN"/>
        </w:rPr>
        <w:t>电子签章</w:t>
      </w:r>
      <w:r>
        <w:rPr>
          <w:rFonts w:hint="eastAsia" w:ascii="仿宋" w:hAnsi="仿宋" w:eastAsia="仿宋" w:cs="仿宋"/>
          <w:color w:val="auto"/>
          <w:sz w:val="22"/>
          <w:szCs w:val="22"/>
          <w:highlight w:val="none"/>
        </w:rPr>
        <w:t>）</w:t>
      </w:r>
    </w:p>
    <w:p w14:paraId="63489B07">
      <w:pPr>
        <w:keepNext w:val="0"/>
        <w:keepLines w:val="0"/>
        <w:pageBreakBefore w:val="0"/>
        <w:widowControl w:val="0"/>
        <w:kinsoku/>
        <w:wordWrap/>
        <w:overflowPunct/>
        <w:topLinePunct w:val="0"/>
        <w:autoSpaceDE/>
        <w:autoSpaceDN/>
        <w:bidi w:val="0"/>
        <w:adjustRightInd/>
        <w:spacing w:line="480" w:lineRule="exact"/>
        <w:ind w:firstLine="2" w:firstLineChars="1"/>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2"/>
          <w:szCs w:val="22"/>
          <w:highlight w:val="none"/>
        </w:rPr>
        <w:t>（</w:t>
      </w:r>
      <w:r>
        <w:rPr>
          <w:rFonts w:hint="eastAsia" w:ascii="仿宋" w:hAnsi="仿宋" w:eastAsia="仿宋"/>
          <w:color w:val="auto"/>
          <w:sz w:val="24"/>
          <w:szCs w:val="24"/>
          <w:highlight w:val="none"/>
          <w:u w:val="none"/>
          <w:lang w:eastAsia="zh-CN"/>
        </w:rPr>
        <w:t>电子签章</w:t>
      </w:r>
      <w:r>
        <w:rPr>
          <w:rFonts w:hint="eastAsia" w:ascii="仿宋" w:hAnsi="仿宋" w:eastAsia="仿宋" w:cs="仿宋"/>
          <w:color w:val="auto"/>
          <w:sz w:val="22"/>
          <w:szCs w:val="22"/>
          <w:highlight w:val="none"/>
        </w:rPr>
        <w:t>）</w:t>
      </w:r>
    </w:p>
    <w:p w14:paraId="333682F2">
      <w:pPr>
        <w:keepNext w:val="0"/>
        <w:keepLines w:val="0"/>
        <w:pageBreakBefore w:val="0"/>
        <w:widowControl w:val="0"/>
        <w:kinsoku/>
        <w:wordWrap/>
        <w:overflowPunct/>
        <w:topLinePunct w:val="0"/>
        <w:autoSpaceDE/>
        <w:autoSpaceDN/>
        <w:bidi w:val="0"/>
        <w:adjustRightInd/>
        <w:spacing w:line="480" w:lineRule="exact"/>
        <w:ind w:firstLine="6600" w:firstLineChars="27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14:paraId="24014727">
      <w:pPr>
        <w:spacing w:line="440" w:lineRule="exact"/>
        <w:jc w:val="both"/>
        <w:rPr>
          <w:rFonts w:hint="eastAsia" w:ascii="仿宋" w:hAnsi="仿宋" w:eastAsia="仿宋"/>
          <w:b/>
          <w:color w:val="auto"/>
          <w:sz w:val="28"/>
          <w:highlight w:val="none"/>
          <w:u w:val="none"/>
        </w:rPr>
      </w:pPr>
      <w:bookmarkStart w:id="399" w:name="_Toc281317202"/>
    </w:p>
    <w:p w14:paraId="2BF8B575">
      <w:pPr>
        <w:spacing w:line="440" w:lineRule="exact"/>
        <w:jc w:val="center"/>
        <w:rPr>
          <w:rFonts w:hint="eastAsia" w:ascii="仿宋" w:hAnsi="仿宋" w:eastAsia="仿宋"/>
          <w:b/>
          <w:color w:val="auto"/>
          <w:sz w:val="28"/>
          <w:highlight w:val="none"/>
          <w:u w:val="none"/>
        </w:rPr>
      </w:pPr>
    </w:p>
    <w:p w14:paraId="51A6E96F">
      <w:pPr>
        <w:spacing w:line="440" w:lineRule="exact"/>
        <w:jc w:val="both"/>
        <w:rPr>
          <w:rFonts w:hint="eastAsia" w:ascii="仿宋" w:hAnsi="仿宋" w:eastAsia="仿宋"/>
          <w:b/>
          <w:color w:val="auto"/>
          <w:sz w:val="28"/>
          <w:highlight w:val="none"/>
          <w:u w:val="none"/>
        </w:rPr>
      </w:pPr>
    </w:p>
    <w:p w14:paraId="6F19BA8E">
      <w:pPr>
        <w:spacing w:line="440" w:lineRule="exact"/>
        <w:jc w:val="center"/>
        <w:rPr>
          <w:rFonts w:hint="eastAsia" w:ascii="仿宋" w:hAnsi="仿宋" w:eastAsia="仿宋"/>
          <w:b/>
          <w:color w:val="auto"/>
          <w:sz w:val="28"/>
          <w:highlight w:val="none"/>
          <w:u w:val="none"/>
        </w:rPr>
      </w:pPr>
    </w:p>
    <w:p w14:paraId="547A3FB4">
      <w:pPr>
        <w:spacing w:line="440" w:lineRule="exact"/>
        <w:jc w:val="center"/>
        <w:rPr>
          <w:rFonts w:hint="eastAsia" w:ascii="仿宋" w:hAnsi="仿宋" w:eastAsia="仿宋"/>
          <w:b/>
          <w:color w:val="auto"/>
          <w:sz w:val="28"/>
          <w:highlight w:val="none"/>
          <w:u w:val="none"/>
        </w:rPr>
      </w:pPr>
    </w:p>
    <w:p w14:paraId="0C8F8896">
      <w:pPr>
        <w:spacing w:line="440" w:lineRule="exact"/>
        <w:jc w:val="center"/>
        <w:rPr>
          <w:rFonts w:hint="eastAsia" w:ascii="仿宋" w:hAnsi="仿宋" w:eastAsia="仿宋"/>
          <w:b/>
          <w:color w:val="auto"/>
          <w:sz w:val="28"/>
          <w:highlight w:val="none"/>
          <w:u w:val="none"/>
        </w:rPr>
      </w:pPr>
    </w:p>
    <w:p w14:paraId="2FE16ABD">
      <w:pPr>
        <w:spacing w:line="440" w:lineRule="exact"/>
        <w:jc w:val="center"/>
        <w:rPr>
          <w:rFonts w:hint="eastAsia" w:ascii="仿宋" w:hAnsi="仿宋" w:eastAsia="仿宋"/>
          <w:b/>
          <w:color w:val="auto"/>
          <w:sz w:val="28"/>
          <w:highlight w:val="none"/>
          <w:u w:val="none"/>
        </w:rPr>
      </w:pPr>
    </w:p>
    <w:p w14:paraId="7F78E961">
      <w:pPr>
        <w:spacing w:line="440" w:lineRule="exact"/>
        <w:jc w:val="center"/>
        <w:rPr>
          <w:rFonts w:hint="eastAsia" w:ascii="仿宋" w:hAnsi="仿宋" w:eastAsia="仿宋"/>
          <w:b/>
          <w:color w:val="auto"/>
          <w:sz w:val="28"/>
          <w:highlight w:val="none"/>
          <w:u w:val="none"/>
        </w:rPr>
      </w:pPr>
    </w:p>
    <w:p w14:paraId="4BAACCA5">
      <w:pPr>
        <w:spacing w:line="440" w:lineRule="exact"/>
        <w:jc w:val="center"/>
        <w:rPr>
          <w:rFonts w:ascii="仿宋" w:hAnsi="仿宋" w:eastAsia="仿宋"/>
          <w:b/>
          <w:color w:val="auto"/>
          <w:sz w:val="28"/>
          <w:highlight w:val="none"/>
          <w:u w:val="none"/>
        </w:rPr>
      </w:pPr>
      <w:r>
        <w:rPr>
          <w:rFonts w:hint="eastAsia" w:ascii="仿宋" w:hAnsi="仿宋" w:eastAsia="仿宋"/>
          <w:b/>
          <w:color w:val="auto"/>
          <w:sz w:val="28"/>
          <w:highlight w:val="none"/>
          <w:u w:val="none"/>
        </w:rPr>
        <w:t>一</w:t>
      </w:r>
      <w:r>
        <w:rPr>
          <w:rFonts w:hint="eastAsia" w:ascii="仿宋" w:hAnsi="仿宋" w:eastAsia="仿宋"/>
          <w:b/>
          <w:color w:val="auto"/>
          <w:sz w:val="28"/>
          <w:highlight w:val="none"/>
          <w:u w:val="none"/>
          <w:lang w:eastAsia="zh-CN"/>
        </w:rPr>
        <w:t>、</w:t>
      </w:r>
      <w:r>
        <w:rPr>
          <w:rFonts w:ascii="仿宋" w:hAnsi="仿宋" w:eastAsia="仿宋"/>
          <w:b/>
          <w:color w:val="auto"/>
          <w:sz w:val="28"/>
          <w:highlight w:val="none"/>
          <w:u w:val="none"/>
        </w:rPr>
        <w:t>投标函</w:t>
      </w:r>
      <w:bookmarkEnd w:id="399"/>
    </w:p>
    <w:p w14:paraId="65DB90D3">
      <w:pPr>
        <w:keepNext w:val="0"/>
        <w:keepLines w:val="0"/>
        <w:pageBreakBefore w:val="0"/>
        <w:widowControl w:val="0"/>
        <w:kinsoku/>
        <w:wordWrap/>
        <w:overflowPunct/>
        <w:topLinePunct w:val="0"/>
        <w:autoSpaceDE/>
        <w:autoSpaceDN/>
        <w:bidi w:val="0"/>
        <w:adjustRightInd/>
        <w:snapToGrid/>
        <w:spacing w:line="480" w:lineRule="exact"/>
        <w:textAlignment w:val="auto"/>
        <w:rPr>
          <w:rFonts w:ascii="仿宋" w:hAnsi="仿宋" w:eastAsia="仿宋"/>
          <w:color w:val="auto"/>
          <w:sz w:val="24"/>
          <w:szCs w:val="24"/>
          <w:highlight w:val="none"/>
        </w:rPr>
      </w:pPr>
      <w:r>
        <w:rPr>
          <w:rFonts w:ascii="仿宋" w:hAnsi="仿宋" w:eastAsia="仿宋"/>
          <w:color w:val="auto"/>
          <w:sz w:val="24"/>
          <w:szCs w:val="24"/>
          <w:highlight w:val="none"/>
          <w:u w:val="single"/>
        </w:rPr>
        <w:t>（</w:t>
      </w:r>
      <w:r>
        <w:rPr>
          <w:rFonts w:hint="eastAsia" w:ascii="仿宋" w:hAnsi="仿宋" w:eastAsia="仿宋"/>
          <w:color w:val="auto"/>
          <w:sz w:val="24"/>
          <w:szCs w:val="24"/>
          <w:highlight w:val="none"/>
          <w:u w:val="single"/>
        </w:rPr>
        <w:t>招标</w:t>
      </w:r>
      <w:r>
        <w:rPr>
          <w:rFonts w:ascii="仿宋" w:hAnsi="仿宋" w:eastAsia="仿宋"/>
          <w:color w:val="auto"/>
          <w:sz w:val="24"/>
          <w:szCs w:val="24"/>
          <w:highlight w:val="none"/>
          <w:u w:val="single"/>
        </w:rPr>
        <w:t>人名称）</w:t>
      </w:r>
      <w:r>
        <w:rPr>
          <w:rFonts w:ascii="仿宋" w:hAnsi="仿宋" w:eastAsia="仿宋"/>
          <w:color w:val="auto"/>
          <w:sz w:val="24"/>
          <w:szCs w:val="24"/>
          <w:highlight w:val="none"/>
        </w:rPr>
        <w:t xml:space="preserve">： </w:t>
      </w:r>
    </w:p>
    <w:p w14:paraId="2EE743EA">
      <w:pPr>
        <w:keepNext w:val="0"/>
        <w:keepLines w:val="0"/>
        <w:pageBreakBefore w:val="0"/>
        <w:widowControl w:val="0"/>
        <w:numPr>
          <w:ilvl w:val="0"/>
          <w:numId w:val="15"/>
        </w:numPr>
        <w:kinsoku/>
        <w:wordWrap/>
        <w:overflowPunct/>
        <w:topLinePunct w:val="0"/>
        <w:autoSpaceDE/>
        <w:autoSpaceDN/>
        <w:bidi w:val="0"/>
        <w:adjustRightInd/>
        <w:snapToGrid/>
        <w:spacing w:line="480" w:lineRule="exact"/>
        <w:ind w:right="85" w:firstLine="480" w:firstLineChars="200"/>
        <w:jc w:val="left"/>
        <w:textAlignment w:val="auto"/>
        <w:rPr>
          <w:rFonts w:hint="eastAsia" w:ascii="仿宋" w:hAnsi="仿宋" w:eastAsia="仿宋"/>
          <w:color w:val="auto"/>
          <w:sz w:val="24"/>
          <w:szCs w:val="24"/>
          <w:highlight w:val="none"/>
        </w:rPr>
      </w:pPr>
      <w:r>
        <w:rPr>
          <w:rFonts w:ascii="仿宋" w:hAnsi="仿宋" w:eastAsia="仿宋"/>
          <w:color w:val="auto"/>
          <w:sz w:val="24"/>
          <w:szCs w:val="24"/>
          <w:highlight w:val="none"/>
        </w:rPr>
        <w:t>我方己仔细研究了</w:t>
      </w:r>
      <w:r>
        <w:rPr>
          <w:rFonts w:ascii="仿宋" w:hAnsi="仿宋" w:eastAsia="仿宋"/>
          <w:color w:val="auto"/>
          <w:sz w:val="24"/>
          <w:szCs w:val="24"/>
          <w:highlight w:val="none"/>
          <w:u w:val="single"/>
        </w:rPr>
        <w:t xml:space="preserve">        （项目名称）  </w:t>
      </w:r>
      <w:r>
        <w:rPr>
          <w:rFonts w:ascii="仿宋" w:hAnsi="仿宋" w:eastAsia="仿宋"/>
          <w:color w:val="auto"/>
          <w:sz w:val="24"/>
          <w:szCs w:val="24"/>
          <w:highlight w:val="none"/>
        </w:rPr>
        <w:t>招标文件的全</w:t>
      </w:r>
      <w:r>
        <w:rPr>
          <w:rFonts w:hint="eastAsia" w:ascii="仿宋" w:hAnsi="仿宋" w:eastAsia="仿宋" w:cs="仿宋"/>
          <w:color w:val="auto"/>
          <w:kern w:val="2"/>
          <w:sz w:val="24"/>
          <w:szCs w:val="24"/>
          <w:highlight w:val="none"/>
          <w:lang w:val="en-US" w:eastAsia="zh-CN" w:bidi="ar"/>
        </w:rPr>
        <w:t>部内容，愿意以人民币（大写：    ）（¥    元）的投标总报价</w:t>
      </w:r>
      <w:r>
        <w:rPr>
          <w:rFonts w:hint="eastAsia" w:ascii="仿宋" w:hAnsi="仿宋" w:eastAsia="仿宋"/>
          <w:color w:val="auto"/>
          <w:sz w:val="24"/>
          <w:szCs w:val="24"/>
          <w:highlight w:val="none"/>
        </w:rPr>
        <w:t>提供本项目</w:t>
      </w:r>
      <w:r>
        <w:rPr>
          <w:rFonts w:hint="eastAsia" w:ascii="仿宋" w:hAnsi="仿宋" w:eastAsia="仿宋"/>
          <w:color w:val="auto"/>
          <w:sz w:val="24"/>
          <w:szCs w:val="24"/>
          <w:highlight w:val="none"/>
          <w:lang w:eastAsia="zh-CN"/>
        </w:rPr>
        <w:t>服务</w:t>
      </w:r>
      <w:r>
        <w:rPr>
          <w:rFonts w:hint="eastAsia" w:ascii="仿宋" w:hAnsi="仿宋" w:eastAsia="仿宋"/>
          <w:color w:val="auto"/>
          <w:sz w:val="24"/>
          <w:szCs w:val="24"/>
          <w:highlight w:val="none"/>
        </w:rPr>
        <w:t>，并按合同约定履行义务。</w:t>
      </w:r>
    </w:p>
    <w:p w14:paraId="18E50F76">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80" w:firstLineChars="200"/>
        <w:jc w:val="left"/>
        <w:textAlignment w:val="auto"/>
        <w:rPr>
          <w:rFonts w:ascii="仿宋" w:hAnsi="仿宋" w:eastAsia="仿宋" w:cs="宋体"/>
          <w:b w:val="0"/>
          <w:bCs w:val="0"/>
          <w:color w:val="auto"/>
          <w:sz w:val="24"/>
          <w:szCs w:val="24"/>
          <w:highlight w:val="none"/>
        </w:rPr>
      </w:pPr>
      <w:r>
        <w:rPr>
          <w:rFonts w:hint="eastAsia" w:ascii="仿宋" w:hAnsi="仿宋" w:eastAsia="仿宋" w:cs="宋体"/>
          <w:b w:val="0"/>
          <w:bCs w:val="0"/>
          <w:color w:val="auto"/>
          <w:sz w:val="24"/>
          <w:szCs w:val="24"/>
          <w:highlight w:val="none"/>
          <w:lang w:val="en-US" w:eastAsia="zh-CN"/>
        </w:rPr>
        <w:t>2</w:t>
      </w:r>
      <w:r>
        <w:rPr>
          <w:rFonts w:hint="eastAsia" w:ascii="仿宋" w:hAnsi="仿宋" w:eastAsia="仿宋" w:cs="宋体"/>
          <w:b w:val="0"/>
          <w:bCs w:val="0"/>
          <w:color w:val="auto"/>
          <w:sz w:val="24"/>
          <w:szCs w:val="24"/>
          <w:highlight w:val="none"/>
        </w:rPr>
        <w:t>.质量承诺：</w:t>
      </w:r>
      <w:r>
        <w:rPr>
          <w:rFonts w:hint="eastAsia" w:ascii="仿宋" w:hAnsi="仿宋" w:eastAsia="仿宋" w:cs="宋体"/>
          <w:b w:val="0"/>
          <w:bCs w:val="0"/>
          <w:color w:val="auto"/>
          <w:sz w:val="24"/>
          <w:szCs w:val="24"/>
          <w:highlight w:val="none"/>
          <w:u w:val="single"/>
          <w:lang w:val="en-US" w:eastAsia="zh-CN"/>
        </w:rPr>
        <w:t xml:space="preserve">          </w:t>
      </w:r>
      <w:r>
        <w:rPr>
          <w:rFonts w:hint="eastAsia" w:ascii="仿宋" w:hAnsi="仿宋" w:eastAsia="仿宋" w:cs="宋体"/>
          <w:b w:val="0"/>
          <w:bCs w:val="0"/>
          <w:color w:val="auto"/>
          <w:sz w:val="24"/>
          <w:szCs w:val="24"/>
          <w:highlight w:val="none"/>
        </w:rPr>
        <w:t>。</w:t>
      </w:r>
    </w:p>
    <w:p w14:paraId="32AF2D81">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ascii="仿宋" w:hAnsi="仿宋" w:eastAsia="仿宋" w:cs="宋体"/>
          <w:color w:val="auto"/>
          <w:sz w:val="24"/>
          <w:szCs w:val="24"/>
          <w:highlight w:val="none"/>
        </w:rPr>
      </w:pPr>
      <w:r>
        <w:rPr>
          <w:rFonts w:hint="eastAsia" w:ascii="仿宋" w:hAnsi="仿宋" w:eastAsia="仿宋" w:cs="宋体"/>
          <w:color w:val="auto"/>
          <w:kern w:val="0"/>
          <w:sz w:val="24"/>
          <w:szCs w:val="24"/>
          <w:highlight w:val="none"/>
          <w:lang w:val="en-US" w:eastAsia="zh-CN"/>
        </w:rPr>
        <w:t>3</w:t>
      </w:r>
      <w:r>
        <w:rPr>
          <w:rFonts w:hint="eastAsia" w:ascii="仿宋" w:hAnsi="仿宋" w:eastAsia="仿宋" w:cs="宋体"/>
          <w:color w:val="auto"/>
          <w:kern w:val="0"/>
          <w:sz w:val="24"/>
          <w:szCs w:val="24"/>
          <w:highlight w:val="none"/>
        </w:rPr>
        <w:t>.</w:t>
      </w:r>
      <w:r>
        <w:rPr>
          <w:rFonts w:hint="eastAsia" w:ascii="仿宋" w:hAnsi="仿宋" w:eastAsia="仿宋" w:cs="宋体"/>
          <w:color w:val="auto"/>
          <w:kern w:val="0"/>
          <w:sz w:val="24"/>
          <w:szCs w:val="24"/>
          <w:highlight w:val="none"/>
          <w:lang w:eastAsia="zh-CN"/>
        </w:rPr>
        <w:t>合同履行期限</w:t>
      </w:r>
      <w:r>
        <w:rPr>
          <w:rFonts w:hint="eastAsia" w:ascii="仿宋" w:hAnsi="仿宋" w:eastAsia="仿宋" w:cs="宋体"/>
          <w:color w:val="auto"/>
          <w:sz w:val="24"/>
          <w:szCs w:val="24"/>
          <w:highlight w:val="none"/>
        </w:rPr>
        <w:t>：</w:t>
      </w:r>
      <w:r>
        <w:rPr>
          <w:rFonts w:hint="eastAsia" w:ascii="仿宋" w:hAnsi="仿宋" w:eastAsia="仿宋" w:cs="宋体"/>
          <w:b w:val="0"/>
          <w:bCs w:val="0"/>
          <w:color w:val="auto"/>
          <w:sz w:val="24"/>
          <w:szCs w:val="24"/>
          <w:highlight w:val="none"/>
          <w:u w:val="single"/>
          <w:lang w:val="en-US" w:eastAsia="zh-CN"/>
        </w:rPr>
        <w:t xml:space="preserve">          </w:t>
      </w:r>
      <w:r>
        <w:rPr>
          <w:rFonts w:hint="eastAsia" w:ascii="仿宋" w:hAnsi="仿宋" w:eastAsia="仿宋" w:cs="宋体"/>
          <w:b w:val="0"/>
          <w:bCs w:val="0"/>
          <w:color w:val="auto"/>
          <w:sz w:val="24"/>
          <w:szCs w:val="24"/>
          <w:highlight w:val="none"/>
        </w:rPr>
        <w:t>。</w:t>
      </w:r>
    </w:p>
    <w:p w14:paraId="1C2C9E72">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color w:val="auto"/>
          <w:sz w:val="24"/>
          <w:szCs w:val="24"/>
          <w:highlight w:val="none"/>
        </w:rPr>
      </w:pP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.我方承诺在招标文件规定的投标有效期内不修改、撤销投标文件。</w:t>
      </w:r>
    </w:p>
    <w:p w14:paraId="2483C48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5</w:t>
      </w:r>
      <w:r>
        <w:rPr>
          <w:rFonts w:ascii="仿宋" w:hAnsi="仿宋" w:eastAsia="仿宋"/>
          <w:color w:val="auto"/>
          <w:sz w:val="24"/>
          <w:szCs w:val="24"/>
          <w:highlight w:val="none"/>
        </w:rPr>
        <w:t>．如我方中标：</w:t>
      </w:r>
    </w:p>
    <w:p w14:paraId="6F821A7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olor w:val="auto"/>
          <w:sz w:val="24"/>
          <w:szCs w:val="24"/>
          <w:highlight w:val="none"/>
        </w:rPr>
        <w:t>（l）我方承诺在收到中标通知书后，在中标通知书规定的期限内与你方签订合同。</w:t>
      </w:r>
    </w:p>
    <w:p w14:paraId="5F2490D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olor w:val="auto"/>
          <w:sz w:val="24"/>
          <w:szCs w:val="24"/>
          <w:highlight w:val="none"/>
        </w:rPr>
        <w:t>（2）随同本投标函递交的投标函附录属于合同文件的组成部分。</w:t>
      </w:r>
    </w:p>
    <w:p w14:paraId="21C27AE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olor w:val="auto"/>
          <w:sz w:val="24"/>
          <w:szCs w:val="24"/>
          <w:highlight w:val="none"/>
        </w:rPr>
        <w:t>（3）我方承诺按照招标文件规定向你方递交</w:t>
      </w:r>
      <w:r>
        <w:rPr>
          <w:rFonts w:hint="eastAsia" w:ascii="仿宋" w:hAnsi="仿宋" w:eastAsia="仿宋"/>
          <w:color w:val="auto"/>
          <w:sz w:val="24"/>
          <w:szCs w:val="24"/>
          <w:highlight w:val="none"/>
        </w:rPr>
        <w:t>相关资料</w:t>
      </w:r>
      <w:r>
        <w:rPr>
          <w:rFonts w:ascii="仿宋" w:hAnsi="仿宋" w:eastAsia="仿宋"/>
          <w:color w:val="auto"/>
          <w:sz w:val="24"/>
          <w:szCs w:val="24"/>
          <w:highlight w:val="none"/>
        </w:rPr>
        <w:t>。</w:t>
      </w:r>
    </w:p>
    <w:p w14:paraId="7DF24BF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ascii="仿宋" w:hAnsi="仿宋" w:eastAsia="仿宋"/>
          <w:color w:val="auto"/>
          <w:sz w:val="24"/>
          <w:szCs w:val="24"/>
          <w:highlight w:val="none"/>
        </w:rPr>
        <w:t>（4）我方承诺在合同约定的期限内完成并移交全部合同</w:t>
      </w:r>
      <w:r>
        <w:rPr>
          <w:rFonts w:hint="eastAsia" w:ascii="仿宋" w:hAnsi="仿宋" w:eastAsia="仿宋"/>
          <w:color w:val="auto"/>
          <w:sz w:val="24"/>
          <w:szCs w:val="24"/>
          <w:highlight w:val="none"/>
        </w:rPr>
        <w:t>服务</w:t>
      </w:r>
      <w:r>
        <w:rPr>
          <w:rFonts w:ascii="仿宋" w:hAnsi="仿宋" w:eastAsia="仿宋"/>
          <w:color w:val="auto"/>
          <w:sz w:val="24"/>
          <w:szCs w:val="24"/>
          <w:highlight w:val="none"/>
        </w:rPr>
        <w:t>。</w:t>
      </w:r>
    </w:p>
    <w:p w14:paraId="61F27F4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6</w:t>
      </w:r>
      <w:r>
        <w:rPr>
          <w:rFonts w:ascii="仿宋" w:hAnsi="仿宋" w:eastAsia="仿宋"/>
          <w:color w:val="auto"/>
          <w:sz w:val="24"/>
          <w:szCs w:val="24"/>
          <w:highlight w:val="none"/>
        </w:rPr>
        <w:t>．我方在此声明，所递交的投标文件及有关资料内容完整、真实和准确，且不存在第二章“投标人须知”第</w:t>
      </w:r>
      <w:r>
        <w:rPr>
          <w:rFonts w:hint="eastAsia" w:ascii="仿宋" w:hAnsi="仿宋" w:eastAsia="仿宋"/>
          <w:color w:val="auto"/>
          <w:sz w:val="24"/>
          <w:szCs w:val="24"/>
          <w:highlight w:val="none"/>
          <w:lang w:val="en-US" w:eastAsia="zh-CN"/>
        </w:rPr>
        <w:t>1.4.2</w:t>
      </w:r>
      <w:r>
        <w:rPr>
          <w:rFonts w:ascii="仿宋" w:hAnsi="仿宋" w:eastAsia="仿宋"/>
          <w:color w:val="auto"/>
          <w:sz w:val="24"/>
          <w:szCs w:val="24"/>
          <w:highlight w:val="none"/>
        </w:rPr>
        <w:t>规定的任何一种情形。</w:t>
      </w:r>
    </w:p>
    <w:p w14:paraId="4D1C9F8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7</w:t>
      </w:r>
      <w:r>
        <w:rPr>
          <w:rFonts w:ascii="仿宋" w:hAnsi="仿宋" w:eastAsia="仿宋"/>
          <w:color w:val="auto"/>
          <w:sz w:val="24"/>
          <w:szCs w:val="24"/>
          <w:highlight w:val="none"/>
        </w:rPr>
        <w:t>．我方理解，你方不一定接受你方可能收到的最低投标或任何投标。如我方未中标，你方有权不作任何解释。</w:t>
      </w:r>
    </w:p>
    <w:p w14:paraId="50F3917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8</w:t>
      </w:r>
      <w:r>
        <w:rPr>
          <w:rFonts w:ascii="仿宋" w:hAnsi="仿宋" w:eastAsia="仿宋"/>
          <w:color w:val="auto"/>
          <w:sz w:val="24"/>
          <w:szCs w:val="24"/>
          <w:highlight w:val="none"/>
        </w:rPr>
        <w:t>．除非另外达成协议并生效，你方的中标通知书和我方所递交的投标文件将构成约束我们双方的合同组成部分。</w:t>
      </w:r>
    </w:p>
    <w:p w14:paraId="758E013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9</w:t>
      </w:r>
      <w:r>
        <w:rPr>
          <w:rFonts w:ascii="仿宋" w:hAnsi="仿宋" w:eastAsia="仿宋"/>
          <w:color w:val="auto"/>
          <w:sz w:val="24"/>
          <w:szCs w:val="24"/>
          <w:highlight w:val="none"/>
        </w:rPr>
        <w:t xml:space="preserve">. </w:t>
      </w:r>
      <w:r>
        <w:rPr>
          <w:rFonts w:ascii="仿宋" w:hAnsi="仿宋" w:eastAsia="仿宋"/>
          <w:color w:val="auto"/>
          <w:sz w:val="24"/>
          <w:szCs w:val="24"/>
          <w:highlight w:val="none"/>
          <w:u w:val="single"/>
        </w:rPr>
        <w:t>（其他补充说明）</w:t>
      </w:r>
      <w:r>
        <w:rPr>
          <w:rFonts w:ascii="仿宋" w:hAnsi="仿宋" w:eastAsia="仿宋"/>
          <w:color w:val="auto"/>
          <w:sz w:val="24"/>
          <w:szCs w:val="24"/>
          <w:highlight w:val="none"/>
        </w:rPr>
        <w:t>。</w:t>
      </w:r>
    </w:p>
    <w:p w14:paraId="5A4DC99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投标人</w:t>
      </w:r>
      <w:r>
        <w:rPr>
          <w:rFonts w:hint="eastAsia" w:ascii="仿宋" w:hAnsi="仿宋" w:eastAsia="仿宋" w:cs="仿宋"/>
          <w:color w:val="auto"/>
          <w:sz w:val="24"/>
          <w:szCs w:val="24"/>
          <w:highlight w:val="none"/>
          <w:lang w:eastAsia="zh-CN"/>
        </w:rPr>
        <w:t>（或联合体牵头人）</w:t>
      </w:r>
      <w:r>
        <w:rPr>
          <w:rFonts w:hint="eastAsia" w:ascii="仿宋" w:hAnsi="仿宋" w:eastAsia="仿宋"/>
          <w:color w:val="auto"/>
          <w:sz w:val="24"/>
          <w:szCs w:val="24"/>
          <w:highlight w:val="none"/>
        </w:rPr>
        <w:t>：</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val="en-US" w:eastAsia="zh-CN"/>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eastAsia="zh-CN"/>
        </w:rPr>
        <w:t>电子签章</w:t>
      </w:r>
      <w:r>
        <w:rPr>
          <w:rFonts w:hint="eastAsia" w:ascii="仿宋" w:hAnsi="仿宋" w:eastAsia="仿宋"/>
          <w:color w:val="auto"/>
          <w:sz w:val="24"/>
          <w:szCs w:val="24"/>
          <w:highlight w:val="none"/>
          <w:u w:val="single"/>
        </w:rPr>
        <w:t>）</w:t>
      </w:r>
      <w:r>
        <w:rPr>
          <w:rFonts w:hint="eastAsia" w:ascii="仿宋" w:hAnsi="仿宋" w:eastAsia="仿宋"/>
          <w:color w:val="auto"/>
          <w:sz w:val="24"/>
          <w:szCs w:val="24"/>
          <w:highlight w:val="none"/>
        </w:rPr>
        <w:t xml:space="preserve">   </w:t>
      </w:r>
    </w:p>
    <w:p w14:paraId="040B3D8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rPr>
      </w:pPr>
      <w:r>
        <w:rPr>
          <w:rFonts w:hint="eastAsia" w:ascii="仿宋" w:hAnsi="仿宋" w:eastAsia="仿宋"/>
          <w:color w:val="auto"/>
          <w:sz w:val="24"/>
          <w:szCs w:val="24"/>
          <w:highlight w:val="none"/>
        </w:rPr>
        <w:t>法定代表人或其委托代理人：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eastAsia="zh-CN"/>
        </w:rPr>
        <w:t>电子签章</w:t>
      </w:r>
      <w:r>
        <w:rPr>
          <w:rFonts w:hint="eastAsia" w:ascii="仿宋" w:hAnsi="仿宋" w:eastAsia="仿宋"/>
          <w:color w:val="auto"/>
          <w:sz w:val="24"/>
          <w:szCs w:val="24"/>
          <w:highlight w:val="none"/>
        </w:rPr>
        <w:t>）</w:t>
      </w:r>
    </w:p>
    <w:p w14:paraId="61E78F2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u w:val="single"/>
        </w:rPr>
      </w:pPr>
      <w:r>
        <w:rPr>
          <w:rFonts w:ascii="仿宋" w:hAnsi="仿宋" w:eastAsia="仿宋"/>
          <w:color w:val="auto"/>
          <w:sz w:val="24"/>
          <w:szCs w:val="24"/>
          <w:highlight w:val="none"/>
        </w:rPr>
        <w:t>地址：</w:t>
      </w:r>
    </w:p>
    <w:p w14:paraId="16ECEE9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u w:val="single"/>
        </w:rPr>
      </w:pPr>
      <w:r>
        <w:rPr>
          <w:rFonts w:ascii="仿宋" w:hAnsi="仿宋" w:eastAsia="仿宋"/>
          <w:color w:val="auto"/>
          <w:sz w:val="24"/>
          <w:szCs w:val="24"/>
          <w:highlight w:val="none"/>
        </w:rPr>
        <w:t>网址：</w:t>
      </w:r>
    </w:p>
    <w:p w14:paraId="7A81FF7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u w:val="single"/>
        </w:rPr>
      </w:pPr>
      <w:r>
        <w:rPr>
          <w:rFonts w:ascii="仿宋" w:hAnsi="仿宋" w:eastAsia="仿宋"/>
          <w:color w:val="auto"/>
          <w:sz w:val="24"/>
          <w:szCs w:val="24"/>
          <w:highlight w:val="none"/>
        </w:rPr>
        <w:t>电话：</w:t>
      </w:r>
    </w:p>
    <w:p w14:paraId="546FFFF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u w:val="single"/>
        </w:rPr>
      </w:pPr>
      <w:r>
        <w:rPr>
          <w:rFonts w:ascii="仿宋" w:hAnsi="仿宋" w:eastAsia="仿宋"/>
          <w:color w:val="auto"/>
          <w:sz w:val="24"/>
          <w:szCs w:val="24"/>
          <w:highlight w:val="none"/>
        </w:rPr>
        <w:t>传真：</w:t>
      </w:r>
    </w:p>
    <w:p w14:paraId="161464A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olor w:val="auto"/>
          <w:sz w:val="24"/>
          <w:szCs w:val="24"/>
          <w:highlight w:val="none"/>
          <w:u w:val="single"/>
        </w:rPr>
      </w:pPr>
      <w:r>
        <w:rPr>
          <w:rFonts w:ascii="仿宋" w:hAnsi="仿宋" w:eastAsia="仿宋"/>
          <w:color w:val="auto"/>
          <w:sz w:val="24"/>
          <w:szCs w:val="24"/>
          <w:highlight w:val="none"/>
        </w:rPr>
        <w:t>邮政编码：</w:t>
      </w:r>
    </w:p>
    <w:p w14:paraId="642BE6FD">
      <w:pPr>
        <w:keepNext w:val="0"/>
        <w:keepLines w:val="0"/>
        <w:pageBreakBefore w:val="0"/>
        <w:widowControl w:val="0"/>
        <w:kinsoku/>
        <w:wordWrap/>
        <w:overflowPunct/>
        <w:topLinePunct w:val="0"/>
        <w:autoSpaceDE/>
        <w:autoSpaceDN/>
        <w:bidi w:val="0"/>
        <w:adjustRightInd/>
        <w:snapToGrid/>
        <w:spacing w:line="480" w:lineRule="exact"/>
        <w:ind w:firstLine="1440" w:firstLineChars="600"/>
        <w:textAlignment w:val="auto"/>
        <w:rPr>
          <w:rFonts w:ascii="仿宋" w:hAnsi="仿宋" w:eastAsia="仿宋" w:cs="仿宋"/>
          <w:color w:val="auto"/>
          <w:sz w:val="24"/>
          <w:highlight w:val="none"/>
        </w:rPr>
      </w:pPr>
      <w:r>
        <w:rPr>
          <w:rFonts w:ascii="仿宋" w:hAnsi="仿宋" w:eastAsia="仿宋"/>
          <w:color w:val="auto"/>
          <w:sz w:val="24"/>
          <w:szCs w:val="24"/>
          <w:highlight w:val="none"/>
        </w:rPr>
        <w:t>年月日</w:t>
      </w:r>
      <w:bookmarkStart w:id="400" w:name="_Toc281317203"/>
    </w:p>
    <w:p w14:paraId="286302C5">
      <w:pPr>
        <w:pStyle w:val="6"/>
        <w:numPr>
          <w:ilvl w:val="0"/>
          <w:numId w:val="0"/>
        </w:numPr>
        <w:spacing w:line="460" w:lineRule="exact"/>
        <w:outlineLvl w:val="9"/>
        <w:rPr>
          <w:rFonts w:ascii="仿宋" w:hAnsi="仿宋" w:eastAsia="仿宋"/>
          <w:color w:val="auto"/>
          <w:sz w:val="24"/>
          <w:szCs w:val="24"/>
          <w:highlight w:val="none"/>
        </w:rPr>
      </w:pPr>
      <w:r>
        <w:rPr>
          <w:rFonts w:ascii="仿宋" w:hAnsi="仿宋" w:eastAsia="仿宋"/>
          <w:color w:val="auto"/>
          <w:sz w:val="24"/>
          <w:szCs w:val="24"/>
          <w:highlight w:val="none"/>
        </w:rPr>
        <w:br w:type="page"/>
      </w:r>
      <w:bookmarkEnd w:id="400"/>
    </w:p>
    <w:p w14:paraId="57A2EBDB">
      <w:pPr>
        <w:pStyle w:val="6"/>
        <w:numPr>
          <w:ilvl w:val="0"/>
          <w:numId w:val="0"/>
        </w:numPr>
        <w:spacing w:line="460" w:lineRule="exact"/>
        <w:ind w:left="432" w:leftChars="0" w:hanging="432" w:firstLineChars="0"/>
        <w:jc w:val="center"/>
        <w:rPr>
          <w:rFonts w:hint="eastAsia" w:ascii="仿宋" w:hAnsi="仿宋" w:eastAsia="仿宋"/>
          <w:bCs/>
          <w:color w:val="auto"/>
          <w:sz w:val="28"/>
          <w:szCs w:val="28"/>
          <w:highlight w:val="none"/>
        </w:rPr>
      </w:pPr>
      <w:r>
        <w:rPr>
          <w:rFonts w:hint="eastAsia" w:ascii="仿宋" w:hAnsi="仿宋" w:eastAsia="仿宋" w:cs="Times New Roman"/>
          <w:b/>
          <w:bCs/>
          <w:color w:val="auto"/>
          <w:kern w:val="0"/>
          <w:sz w:val="28"/>
          <w:szCs w:val="28"/>
          <w:highlight w:val="none"/>
          <w:lang w:val="en-US" w:eastAsia="zh-CN" w:bidi="ar-SA"/>
        </w:rPr>
        <w:t>二、</w:t>
      </w:r>
      <w:r>
        <w:rPr>
          <w:rFonts w:hint="eastAsia" w:ascii="仿宋" w:hAnsi="仿宋" w:eastAsia="仿宋"/>
          <w:bCs/>
          <w:color w:val="auto"/>
          <w:sz w:val="28"/>
          <w:szCs w:val="28"/>
          <w:highlight w:val="none"/>
        </w:rPr>
        <w:t>法定代表人</w:t>
      </w:r>
      <w:r>
        <w:rPr>
          <w:rFonts w:hint="eastAsia" w:ascii="仿宋" w:hAnsi="仿宋" w:eastAsia="仿宋"/>
          <w:bCs/>
          <w:color w:val="auto"/>
          <w:sz w:val="28"/>
          <w:szCs w:val="28"/>
          <w:highlight w:val="none"/>
          <w:lang w:eastAsia="zh-CN"/>
        </w:rPr>
        <w:t>（或单位负责人）</w:t>
      </w:r>
      <w:r>
        <w:rPr>
          <w:rFonts w:hint="eastAsia" w:ascii="仿宋" w:hAnsi="仿宋" w:eastAsia="仿宋"/>
          <w:bCs/>
          <w:color w:val="auto"/>
          <w:sz w:val="28"/>
          <w:szCs w:val="28"/>
          <w:highlight w:val="none"/>
        </w:rPr>
        <w:t>身份证明书</w:t>
      </w:r>
    </w:p>
    <w:p w14:paraId="054F2633">
      <w:pPr>
        <w:keepNext w:val="0"/>
        <w:keepLines w:val="0"/>
        <w:pageBreakBefore w:val="0"/>
        <w:widowControl w:val="0"/>
        <w:kinsoku/>
        <w:wordWrap/>
        <w:overflowPunct/>
        <w:topLinePunct w:val="0"/>
        <w:autoSpaceDE/>
        <w:autoSpaceDN/>
        <w:bidi w:val="0"/>
        <w:adjustRightInd/>
        <w:snapToGrid/>
        <w:spacing w:line="480" w:lineRule="atLeast"/>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w:t>
      </w:r>
      <w:r>
        <w:rPr>
          <w:rFonts w:hint="eastAsia" w:ascii="仿宋" w:hAnsi="仿宋" w:eastAsia="仿宋" w:cs="仿宋"/>
          <w:color w:val="auto"/>
          <w:sz w:val="24"/>
          <w:szCs w:val="24"/>
          <w:highlight w:val="none"/>
        </w:rPr>
        <w:t>（或联合体牵头人、或联合体成员）</w:t>
      </w:r>
      <w:r>
        <w:rPr>
          <w:rFonts w:hint="eastAsia" w:ascii="仿宋" w:hAnsi="仿宋" w:eastAsia="仿宋" w:cs="宋体"/>
          <w:color w:val="auto"/>
          <w:sz w:val="24"/>
          <w:szCs w:val="24"/>
          <w:highlight w:val="none"/>
        </w:rPr>
        <w:t>名称：</w:t>
      </w:r>
    </w:p>
    <w:p w14:paraId="1F5FA4FF">
      <w:pPr>
        <w:keepNext w:val="0"/>
        <w:keepLines w:val="0"/>
        <w:pageBreakBefore w:val="0"/>
        <w:widowControl w:val="0"/>
        <w:kinsoku/>
        <w:wordWrap/>
        <w:overflowPunct/>
        <w:topLinePunct w:val="0"/>
        <w:autoSpaceDE/>
        <w:autoSpaceDN/>
        <w:bidi w:val="0"/>
        <w:adjustRightInd/>
        <w:snapToGrid/>
        <w:spacing w:line="480" w:lineRule="atLeast"/>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单位性质：</w:t>
      </w:r>
    </w:p>
    <w:p w14:paraId="540D791F">
      <w:pPr>
        <w:keepNext w:val="0"/>
        <w:keepLines w:val="0"/>
        <w:pageBreakBefore w:val="0"/>
        <w:widowControl w:val="0"/>
        <w:kinsoku/>
        <w:wordWrap/>
        <w:overflowPunct/>
        <w:topLinePunct w:val="0"/>
        <w:autoSpaceDE/>
        <w:autoSpaceDN/>
        <w:bidi w:val="0"/>
        <w:adjustRightInd/>
        <w:snapToGrid/>
        <w:spacing w:line="480" w:lineRule="atLeast"/>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地址：</w:t>
      </w:r>
    </w:p>
    <w:p w14:paraId="3F2907AD">
      <w:pPr>
        <w:keepNext w:val="0"/>
        <w:keepLines w:val="0"/>
        <w:pageBreakBefore w:val="0"/>
        <w:widowControl w:val="0"/>
        <w:kinsoku/>
        <w:wordWrap/>
        <w:overflowPunct/>
        <w:topLinePunct w:val="0"/>
        <w:autoSpaceDE/>
        <w:autoSpaceDN/>
        <w:bidi w:val="0"/>
        <w:adjustRightInd/>
        <w:snapToGrid/>
        <w:spacing w:line="480" w:lineRule="atLeast"/>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成立时间：年月日</w:t>
      </w:r>
    </w:p>
    <w:p w14:paraId="62FE90D2">
      <w:pPr>
        <w:keepNext w:val="0"/>
        <w:keepLines w:val="0"/>
        <w:pageBreakBefore w:val="0"/>
        <w:widowControl w:val="0"/>
        <w:kinsoku/>
        <w:wordWrap/>
        <w:overflowPunct/>
        <w:topLinePunct w:val="0"/>
        <w:autoSpaceDE/>
        <w:autoSpaceDN/>
        <w:bidi w:val="0"/>
        <w:adjustRightInd/>
        <w:snapToGrid/>
        <w:spacing w:line="480" w:lineRule="atLeast"/>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经营期限：</w:t>
      </w:r>
    </w:p>
    <w:p w14:paraId="39E4CE97">
      <w:pPr>
        <w:keepNext w:val="0"/>
        <w:keepLines w:val="0"/>
        <w:pageBreakBefore w:val="0"/>
        <w:widowControl w:val="0"/>
        <w:kinsoku/>
        <w:wordWrap/>
        <w:overflowPunct/>
        <w:topLinePunct w:val="0"/>
        <w:autoSpaceDE/>
        <w:autoSpaceDN/>
        <w:bidi w:val="0"/>
        <w:adjustRightInd/>
        <w:snapToGrid/>
        <w:spacing w:line="480" w:lineRule="atLeast"/>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姓名： 性别： 年龄：职务：</w:t>
      </w:r>
    </w:p>
    <w:p w14:paraId="586AB4EE">
      <w:pPr>
        <w:keepNext w:val="0"/>
        <w:keepLines w:val="0"/>
        <w:pageBreakBefore w:val="0"/>
        <w:widowControl w:val="0"/>
        <w:kinsoku/>
        <w:wordWrap/>
        <w:overflowPunct/>
        <w:topLinePunct w:val="0"/>
        <w:autoSpaceDE/>
        <w:autoSpaceDN/>
        <w:bidi w:val="0"/>
        <w:adjustRightInd/>
        <w:snapToGrid/>
        <w:spacing w:line="480" w:lineRule="atLeast"/>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系 （投标人名称）的法定代表人</w:t>
      </w:r>
      <w:r>
        <w:rPr>
          <w:rFonts w:hint="eastAsia" w:ascii="仿宋" w:hAnsi="仿宋" w:eastAsia="仿宋" w:cs="宋体"/>
          <w:color w:val="auto"/>
          <w:sz w:val="24"/>
          <w:szCs w:val="24"/>
          <w:highlight w:val="none"/>
          <w:lang w:eastAsia="zh-CN"/>
        </w:rPr>
        <w:t>（或单位负责人）</w:t>
      </w:r>
      <w:r>
        <w:rPr>
          <w:rFonts w:hint="eastAsia" w:ascii="仿宋" w:hAnsi="仿宋" w:eastAsia="仿宋" w:cs="宋体"/>
          <w:color w:val="auto"/>
          <w:sz w:val="24"/>
          <w:szCs w:val="24"/>
          <w:highlight w:val="none"/>
        </w:rPr>
        <w:t>。</w:t>
      </w:r>
    </w:p>
    <w:p w14:paraId="2D8BEBD4">
      <w:pPr>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特此证明。</w:t>
      </w:r>
    </w:p>
    <w:p w14:paraId="1BEC0709">
      <w:pPr>
        <w:keepNext w:val="0"/>
        <w:keepLines w:val="0"/>
        <w:pageBreakBefore w:val="0"/>
        <w:widowControl w:val="0"/>
        <w:kinsoku/>
        <w:wordWrap/>
        <w:overflowPunct/>
        <w:topLinePunct w:val="0"/>
        <w:autoSpaceDE/>
        <w:autoSpaceDN/>
        <w:bidi w:val="0"/>
        <w:adjustRightInd/>
        <w:snapToGrid/>
        <w:spacing w:line="480" w:lineRule="atLeast"/>
        <w:textAlignment w:val="auto"/>
        <w:rPr>
          <w:rFonts w:ascii="仿宋" w:hAnsi="仿宋" w:eastAsia="仿宋" w:cs="宋体"/>
          <w:color w:val="auto"/>
          <w:sz w:val="24"/>
          <w:szCs w:val="24"/>
          <w:highlight w:val="none"/>
        </w:rPr>
      </w:pPr>
    </w:p>
    <w:p w14:paraId="2F46DD35">
      <w:pPr>
        <w:keepNext w:val="0"/>
        <w:keepLines w:val="0"/>
        <w:pageBreakBefore w:val="0"/>
        <w:widowControl w:val="0"/>
        <w:kinsoku/>
        <w:wordWrap/>
        <w:overflowPunct/>
        <w:topLinePunct w:val="0"/>
        <w:autoSpaceDE/>
        <w:autoSpaceDN/>
        <w:bidi w:val="0"/>
        <w:adjustRightInd/>
        <w:snapToGrid/>
        <w:spacing w:line="480" w:lineRule="atLeast"/>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附：法定代表人二代身份证原件扫描件。</w:t>
      </w:r>
    </w:p>
    <w:p w14:paraId="7E1FFD5E">
      <w:pPr>
        <w:keepNext w:val="0"/>
        <w:keepLines w:val="0"/>
        <w:pageBreakBefore w:val="0"/>
        <w:widowControl w:val="0"/>
        <w:kinsoku/>
        <w:wordWrap/>
        <w:overflowPunct/>
        <w:topLinePunct w:val="0"/>
        <w:autoSpaceDE/>
        <w:autoSpaceDN/>
        <w:bidi w:val="0"/>
        <w:adjustRightInd/>
        <w:snapToGrid/>
        <w:spacing w:line="480" w:lineRule="atLeast"/>
        <w:textAlignment w:val="auto"/>
        <w:rPr>
          <w:rFonts w:ascii="仿宋" w:hAnsi="仿宋" w:eastAsia="仿宋" w:cs="宋体"/>
          <w:color w:val="auto"/>
          <w:sz w:val="24"/>
          <w:szCs w:val="24"/>
          <w:highlight w:val="none"/>
        </w:rPr>
      </w:pPr>
    </w:p>
    <w:p w14:paraId="48E2F813">
      <w:pPr>
        <w:keepNext w:val="0"/>
        <w:keepLines w:val="0"/>
        <w:pageBreakBefore w:val="0"/>
        <w:widowControl w:val="0"/>
        <w:kinsoku/>
        <w:wordWrap/>
        <w:overflowPunct/>
        <w:topLinePunct w:val="0"/>
        <w:autoSpaceDE/>
        <w:autoSpaceDN/>
        <w:bidi w:val="0"/>
        <w:adjustRightInd/>
        <w:snapToGrid/>
        <w:spacing w:line="480" w:lineRule="atLeast"/>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        投标人</w:t>
      </w:r>
      <w:r>
        <w:rPr>
          <w:rFonts w:hint="eastAsia" w:ascii="仿宋" w:hAnsi="仿宋" w:eastAsia="仿宋" w:cs="仿宋"/>
          <w:color w:val="auto"/>
          <w:sz w:val="24"/>
          <w:szCs w:val="24"/>
          <w:highlight w:val="none"/>
          <w:lang w:eastAsia="zh-CN"/>
        </w:rPr>
        <w:t>（或联合体牵头人、或联合体成员）</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eastAsia="zh-CN"/>
        </w:rPr>
        <w:t>电子签章</w:t>
      </w:r>
      <w:r>
        <w:rPr>
          <w:rFonts w:hint="eastAsia" w:ascii="仿宋" w:hAnsi="仿宋" w:eastAsia="仿宋" w:cs="宋体"/>
          <w:color w:val="auto"/>
          <w:sz w:val="24"/>
          <w:szCs w:val="24"/>
          <w:highlight w:val="none"/>
        </w:rPr>
        <w:t>）</w:t>
      </w:r>
    </w:p>
    <w:p w14:paraId="62E68389">
      <w:pPr>
        <w:keepNext w:val="0"/>
        <w:keepLines w:val="0"/>
        <w:pageBreakBefore w:val="0"/>
        <w:widowControl w:val="0"/>
        <w:kinsoku/>
        <w:wordWrap/>
        <w:overflowPunct/>
        <w:topLinePunct w:val="0"/>
        <w:autoSpaceDE/>
        <w:autoSpaceDN/>
        <w:bidi w:val="0"/>
        <w:adjustRightInd/>
        <w:snapToGrid/>
        <w:spacing w:line="480" w:lineRule="atLeast"/>
        <w:textAlignment w:val="auto"/>
        <w:rPr>
          <w:rFonts w:ascii="仿宋" w:hAnsi="仿宋" w:eastAsia="仿宋" w:cs="宋体"/>
          <w:color w:val="auto"/>
          <w:sz w:val="24"/>
          <w:szCs w:val="24"/>
          <w:highlight w:val="none"/>
        </w:rPr>
      </w:pPr>
    </w:p>
    <w:p w14:paraId="5CB4375B">
      <w:pPr>
        <w:keepNext w:val="0"/>
        <w:keepLines w:val="0"/>
        <w:pageBreakBefore w:val="0"/>
        <w:widowControl w:val="0"/>
        <w:kinsoku/>
        <w:wordWrap/>
        <w:overflowPunct/>
        <w:topLinePunct w:val="0"/>
        <w:autoSpaceDE/>
        <w:autoSpaceDN/>
        <w:bidi w:val="0"/>
        <w:adjustRightInd/>
        <w:snapToGrid/>
        <w:spacing w:line="480" w:lineRule="atLeast"/>
        <w:ind w:firstLine="960" w:firstLineChars="400"/>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日期：年月 日           </w:t>
      </w:r>
    </w:p>
    <w:p w14:paraId="29B24520">
      <w:pPr>
        <w:keepNext w:val="0"/>
        <w:keepLines w:val="0"/>
        <w:pageBreakBefore w:val="0"/>
        <w:widowControl w:val="0"/>
        <w:kinsoku/>
        <w:wordWrap/>
        <w:overflowPunct/>
        <w:topLinePunct w:val="0"/>
        <w:autoSpaceDE/>
        <w:autoSpaceDN/>
        <w:bidi w:val="0"/>
        <w:adjustRightInd/>
        <w:snapToGrid/>
        <w:spacing w:line="480" w:lineRule="atLeast"/>
        <w:textAlignment w:val="auto"/>
        <w:rPr>
          <w:rFonts w:ascii="仿宋" w:hAnsi="仿宋" w:eastAsia="仿宋" w:cs="宋体"/>
          <w:color w:val="auto"/>
          <w:sz w:val="24"/>
          <w:szCs w:val="24"/>
          <w:highlight w:val="none"/>
        </w:rPr>
      </w:pPr>
    </w:p>
    <w:p w14:paraId="79248C35">
      <w:pPr>
        <w:spacing w:line="360" w:lineRule="auto"/>
        <w:jc w:val="center"/>
        <w:rPr>
          <w:rFonts w:ascii="仿宋" w:hAnsi="仿宋" w:eastAsia="仿宋" w:cs="宋体"/>
          <w:color w:val="auto"/>
          <w:szCs w:val="21"/>
          <w:highlight w:val="none"/>
        </w:rPr>
      </w:pPr>
    </w:p>
    <w:p w14:paraId="7C51D2D3">
      <w:pPr>
        <w:spacing w:line="360" w:lineRule="auto"/>
        <w:jc w:val="center"/>
        <w:rPr>
          <w:rFonts w:ascii="仿宋" w:hAnsi="仿宋" w:eastAsia="仿宋" w:cs="宋体"/>
          <w:color w:val="auto"/>
          <w:szCs w:val="21"/>
          <w:highlight w:val="none"/>
        </w:rPr>
      </w:pPr>
    </w:p>
    <w:p w14:paraId="7335804E">
      <w:pPr>
        <w:spacing w:line="360" w:lineRule="auto"/>
        <w:ind w:right="731" w:rightChars="348"/>
        <w:rPr>
          <w:rFonts w:ascii="仿宋" w:hAnsi="仿宋" w:eastAsia="仿宋"/>
          <w:b/>
          <w:color w:val="auto"/>
          <w:sz w:val="28"/>
          <w:szCs w:val="28"/>
          <w:highlight w:val="none"/>
        </w:rPr>
      </w:pPr>
    </w:p>
    <w:p w14:paraId="7DD878B3">
      <w:pPr>
        <w:spacing w:before="158" w:after="158" w:line="44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（以联合体形式参加投标的，联合体各成员分别出具）</w:t>
      </w:r>
    </w:p>
    <w:p w14:paraId="2A6B143C">
      <w:pPr>
        <w:widowControl/>
        <w:spacing w:before="100" w:beforeAutospacing="1" w:afterLines="50" w:line="276" w:lineRule="auto"/>
        <w:jc w:val="center"/>
        <w:outlineLvl w:val="9"/>
        <w:rPr>
          <w:rFonts w:hint="eastAsia" w:ascii="仿宋" w:hAnsi="仿宋" w:eastAsia="仿宋"/>
          <w:b/>
          <w:color w:val="auto"/>
          <w:sz w:val="28"/>
          <w:szCs w:val="28"/>
          <w:highlight w:val="none"/>
        </w:rPr>
      </w:pPr>
      <w:r>
        <w:rPr>
          <w:rFonts w:ascii="仿宋" w:hAnsi="仿宋" w:eastAsia="仿宋"/>
          <w:b/>
          <w:color w:val="auto"/>
          <w:sz w:val="24"/>
          <w:highlight w:val="none"/>
        </w:rPr>
        <w:br w:type="page"/>
      </w:r>
    </w:p>
    <w:p w14:paraId="7FF5B4EC">
      <w:pPr>
        <w:widowControl/>
        <w:numPr>
          <w:ilvl w:val="0"/>
          <w:numId w:val="0"/>
        </w:numPr>
        <w:spacing w:before="100" w:beforeAutospacing="1" w:afterLines="50" w:line="276" w:lineRule="auto"/>
        <w:ind w:left="432" w:leftChars="0" w:hanging="432" w:firstLineChars="0"/>
        <w:jc w:val="center"/>
        <w:outlineLvl w:val="2"/>
        <w:rPr>
          <w:rFonts w:hint="eastAsia" w:ascii="仿宋" w:hAnsi="仿宋" w:eastAsia="仿宋"/>
          <w:b/>
          <w:color w:val="auto"/>
          <w:sz w:val="28"/>
          <w:szCs w:val="28"/>
          <w:highlight w:val="none"/>
        </w:rPr>
      </w:pPr>
      <w:r>
        <w:rPr>
          <w:rFonts w:hint="eastAsia" w:ascii="仿宋" w:hAnsi="仿宋" w:eastAsia="仿宋" w:cs="Times New Roman"/>
          <w:b/>
          <w:color w:val="auto"/>
          <w:kern w:val="2"/>
          <w:sz w:val="28"/>
          <w:szCs w:val="28"/>
          <w:highlight w:val="none"/>
          <w:lang w:val="en-US" w:eastAsia="zh-CN" w:bidi="ar-SA"/>
        </w:rPr>
        <w:t>三、</w:t>
      </w:r>
      <w:r>
        <w:rPr>
          <w:rFonts w:hint="eastAsia" w:ascii="仿宋" w:hAnsi="仿宋" w:eastAsia="仿宋"/>
          <w:b/>
          <w:color w:val="auto"/>
          <w:sz w:val="28"/>
          <w:szCs w:val="28"/>
          <w:highlight w:val="none"/>
        </w:rPr>
        <w:t>授权委托书</w:t>
      </w:r>
    </w:p>
    <w:p w14:paraId="59AA0571">
      <w:pPr>
        <w:topLinePunct/>
        <w:spacing w:line="360" w:lineRule="auto"/>
        <w:ind w:firstLine="480" w:firstLineChars="200"/>
        <w:rPr>
          <w:rFonts w:ascii="仿宋" w:hAnsi="仿宋" w:eastAsia="仿宋" w:cs="宋体"/>
          <w:color w:val="auto"/>
          <w:sz w:val="24"/>
          <w:szCs w:val="24"/>
          <w:highlight w:val="none"/>
        </w:rPr>
      </w:pPr>
      <w:bookmarkStart w:id="401" w:name="_Toc274295392"/>
      <w:r>
        <w:rPr>
          <w:rFonts w:hint="eastAsia" w:ascii="仿宋" w:hAnsi="仿宋" w:eastAsia="仿宋" w:cs="宋体"/>
          <w:color w:val="auto"/>
          <w:sz w:val="24"/>
          <w:szCs w:val="24"/>
          <w:highlight w:val="none"/>
        </w:rPr>
        <w:t>本人（姓名）系（投标人名称）的法定代表人</w:t>
      </w:r>
      <w:r>
        <w:rPr>
          <w:rFonts w:hint="eastAsia" w:ascii="仿宋" w:hAnsi="仿宋" w:eastAsia="仿宋" w:cs="宋体"/>
          <w:color w:val="auto"/>
          <w:sz w:val="24"/>
          <w:szCs w:val="24"/>
          <w:highlight w:val="none"/>
          <w:lang w:eastAsia="zh-CN"/>
        </w:rPr>
        <w:t>（或单位负责人）</w:t>
      </w:r>
      <w:r>
        <w:rPr>
          <w:rFonts w:hint="eastAsia" w:ascii="仿宋" w:hAnsi="仿宋" w:eastAsia="仿宋" w:cs="宋体"/>
          <w:color w:val="auto"/>
          <w:sz w:val="24"/>
          <w:szCs w:val="24"/>
          <w:highlight w:val="none"/>
        </w:rPr>
        <w:t>，现委托（姓名）为我方代理人。代理人根据授权，以我方名义签署、澄清、说明、补正、递交、撤回、修改</w:t>
      </w:r>
      <w:r>
        <w:rPr>
          <w:rFonts w:hint="eastAsia" w:ascii="仿宋" w:hAnsi="仿宋" w:eastAsia="仿宋" w:cs="宋体"/>
          <w:color w:val="auto"/>
          <w:sz w:val="24"/>
          <w:szCs w:val="24"/>
          <w:highlight w:val="none"/>
          <w:u w:val="single"/>
          <w:lang w:eastAsia="zh-CN"/>
        </w:rPr>
        <w:t>（项目名称）</w:t>
      </w:r>
      <w:r>
        <w:rPr>
          <w:rFonts w:hint="eastAsia" w:ascii="仿宋" w:hAnsi="仿宋" w:eastAsia="仿宋" w:cs="宋体"/>
          <w:color w:val="auto"/>
          <w:sz w:val="24"/>
          <w:szCs w:val="24"/>
          <w:highlight w:val="none"/>
        </w:rPr>
        <w:t>投标文件、签订合同和处理有关事宜，其法律后果由我方承担。</w:t>
      </w:r>
    </w:p>
    <w:p w14:paraId="645B1BC1">
      <w:pPr>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    委托期限：。</w:t>
      </w:r>
    </w:p>
    <w:p w14:paraId="2E7DF711">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代理人无转委托权。</w:t>
      </w:r>
    </w:p>
    <w:p w14:paraId="3CECE9E4">
      <w:pPr>
        <w:spacing w:line="360" w:lineRule="auto"/>
        <w:rPr>
          <w:rFonts w:ascii="仿宋" w:hAnsi="仿宋" w:eastAsia="仿宋" w:cs="宋体"/>
          <w:color w:val="auto"/>
          <w:sz w:val="24"/>
          <w:szCs w:val="24"/>
          <w:highlight w:val="none"/>
        </w:rPr>
      </w:pPr>
    </w:p>
    <w:p w14:paraId="223BB03B">
      <w:pPr>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w:t>
      </w:r>
      <w:r>
        <w:rPr>
          <w:rFonts w:hint="eastAsia" w:ascii="仿宋" w:hAnsi="仿宋" w:eastAsia="仿宋"/>
          <w:color w:val="auto"/>
          <w:sz w:val="24"/>
          <w:szCs w:val="24"/>
          <w:highlight w:val="none"/>
        </w:rPr>
        <w:t>（或联合体牵头人、或联合体成员）</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eastAsia="zh-CN"/>
        </w:rPr>
        <w:t>电子签章</w:t>
      </w:r>
      <w:r>
        <w:rPr>
          <w:rFonts w:hint="eastAsia" w:ascii="仿宋" w:hAnsi="仿宋" w:eastAsia="仿宋" w:cs="宋体"/>
          <w:color w:val="auto"/>
          <w:sz w:val="24"/>
          <w:szCs w:val="24"/>
          <w:highlight w:val="none"/>
        </w:rPr>
        <w:t>）</w:t>
      </w:r>
    </w:p>
    <w:p w14:paraId="1CE0F4DF">
      <w:pPr>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法定代表人</w:t>
      </w:r>
      <w:r>
        <w:rPr>
          <w:rFonts w:hint="eastAsia" w:ascii="仿宋" w:hAnsi="仿宋" w:eastAsia="仿宋" w:cs="宋体"/>
          <w:color w:val="auto"/>
          <w:sz w:val="24"/>
          <w:szCs w:val="24"/>
          <w:highlight w:val="none"/>
          <w:lang w:eastAsia="zh-CN"/>
        </w:rPr>
        <w:t>（或单位负责人）</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eastAsia="zh-CN"/>
        </w:rPr>
        <w:t>电子签章</w:t>
      </w:r>
      <w:r>
        <w:rPr>
          <w:rFonts w:hint="eastAsia" w:ascii="仿宋" w:hAnsi="仿宋" w:eastAsia="仿宋" w:cs="宋体"/>
          <w:color w:val="auto"/>
          <w:sz w:val="24"/>
          <w:szCs w:val="24"/>
          <w:highlight w:val="none"/>
        </w:rPr>
        <w:t>）</w:t>
      </w:r>
    </w:p>
    <w:p w14:paraId="12C89351">
      <w:pPr>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身份证号码：</w:t>
      </w:r>
    </w:p>
    <w:p w14:paraId="10BFD2F6">
      <w:pPr>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委托代理人：（</w:t>
      </w:r>
      <w:r>
        <w:rPr>
          <w:rFonts w:hint="eastAsia" w:ascii="仿宋" w:hAnsi="仿宋" w:eastAsia="仿宋" w:cs="宋体"/>
          <w:color w:val="auto"/>
          <w:sz w:val="24"/>
          <w:szCs w:val="24"/>
          <w:highlight w:val="none"/>
          <w:lang w:eastAsia="zh-CN"/>
        </w:rPr>
        <w:t>电子签章</w:t>
      </w:r>
      <w:r>
        <w:rPr>
          <w:rFonts w:hint="eastAsia" w:ascii="仿宋" w:hAnsi="仿宋" w:eastAsia="仿宋" w:cs="宋体"/>
          <w:color w:val="auto"/>
          <w:sz w:val="24"/>
          <w:szCs w:val="24"/>
          <w:highlight w:val="none"/>
        </w:rPr>
        <w:t xml:space="preserve">） </w:t>
      </w:r>
    </w:p>
    <w:p w14:paraId="61C59E34">
      <w:pPr>
        <w:pStyle w:val="23"/>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联系电话：</w:t>
      </w:r>
    </w:p>
    <w:p w14:paraId="2D37B933">
      <w:pPr>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身份证号码：</w:t>
      </w:r>
    </w:p>
    <w:p w14:paraId="273D9E17">
      <w:pPr>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年月日</w:t>
      </w:r>
    </w:p>
    <w:p w14:paraId="16F4D319">
      <w:pPr>
        <w:spacing w:line="360" w:lineRule="auto"/>
        <w:rPr>
          <w:rFonts w:ascii="仿宋" w:hAnsi="仿宋" w:eastAsia="仿宋" w:cs="宋体"/>
          <w:color w:val="auto"/>
          <w:sz w:val="24"/>
          <w:szCs w:val="24"/>
          <w:highlight w:val="none"/>
        </w:rPr>
      </w:pPr>
    </w:p>
    <w:p w14:paraId="5EE87B70">
      <w:pPr>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附委托代理人二代身份证原件扫描件</w:t>
      </w:r>
    </w:p>
    <w:p w14:paraId="663C6E6D">
      <w:pPr>
        <w:pStyle w:val="5"/>
        <w:jc w:val="center"/>
        <w:rPr>
          <w:rFonts w:hint="eastAsia" w:eastAsia="仿宋"/>
          <w:b w:val="0"/>
          <w:bCs w:val="0"/>
          <w:color w:val="auto"/>
          <w:highlight w:val="none"/>
          <w:lang w:eastAsia="zh-CN"/>
        </w:rPr>
      </w:pPr>
      <w:r>
        <w:rPr>
          <w:rFonts w:hint="eastAsia" w:ascii="仿宋" w:hAnsi="仿宋" w:eastAsia="仿宋" w:cs="宋体"/>
          <w:b w:val="0"/>
          <w:bCs w:val="0"/>
          <w:color w:val="auto"/>
          <w:sz w:val="24"/>
          <w:szCs w:val="24"/>
          <w:highlight w:val="none"/>
          <w:lang w:eastAsia="zh-CN"/>
        </w:rPr>
        <w:t>（以联合体形式参加投标的，联合体各成员分别出具，授权委托代理人应为同一人）</w:t>
      </w:r>
    </w:p>
    <w:p w14:paraId="05892B1F">
      <w:pPr>
        <w:pStyle w:val="466"/>
        <w:ind w:firstLine="560"/>
        <w:rPr>
          <w:rFonts w:ascii="仿宋" w:hAnsi="仿宋" w:eastAsia="仿宋" w:cs="宋体"/>
          <w:color w:val="auto"/>
          <w:sz w:val="24"/>
          <w:szCs w:val="24"/>
          <w:highlight w:val="none"/>
        </w:rPr>
      </w:pPr>
    </w:p>
    <w:p w14:paraId="2DCA455C">
      <w:pPr>
        <w:pStyle w:val="5"/>
        <w:spacing w:line="360" w:lineRule="auto"/>
        <w:jc w:val="center"/>
        <w:outlineLvl w:val="9"/>
        <w:rPr>
          <w:rFonts w:hint="eastAsia" w:ascii="仿宋" w:hAnsi="仿宋" w:eastAsia="仿宋" w:cs="宋体"/>
          <w:color w:val="auto"/>
          <w:sz w:val="28"/>
          <w:szCs w:val="28"/>
          <w:highlight w:val="none"/>
          <w:lang w:eastAsia="zh-CN"/>
        </w:rPr>
      </w:pPr>
      <w:bookmarkStart w:id="402" w:name="_Toc146394598"/>
      <w:bookmarkStart w:id="403" w:name="_Toc152042582"/>
      <w:bookmarkStart w:id="404" w:name="_Toc488745825"/>
      <w:bookmarkStart w:id="405" w:name="_Toc17650"/>
      <w:bookmarkStart w:id="406" w:name="_Toc14515"/>
      <w:bookmarkStart w:id="407" w:name="_Toc152045793"/>
      <w:bookmarkStart w:id="408" w:name="_Toc247527833"/>
      <w:bookmarkStart w:id="409" w:name="_Toc247514285"/>
      <w:bookmarkStart w:id="410" w:name="_Toc17269"/>
    </w:p>
    <w:p w14:paraId="66256FDF">
      <w:pPr>
        <w:pStyle w:val="5"/>
        <w:spacing w:line="360" w:lineRule="auto"/>
        <w:jc w:val="center"/>
        <w:outlineLvl w:val="9"/>
        <w:rPr>
          <w:rFonts w:hint="eastAsia" w:ascii="仿宋" w:hAnsi="仿宋" w:eastAsia="仿宋" w:cs="宋体"/>
          <w:color w:val="auto"/>
          <w:sz w:val="28"/>
          <w:szCs w:val="28"/>
          <w:highlight w:val="none"/>
          <w:lang w:eastAsia="zh-CN"/>
        </w:rPr>
      </w:pPr>
    </w:p>
    <w:p w14:paraId="14B68EF9">
      <w:pPr>
        <w:pStyle w:val="5"/>
        <w:spacing w:line="360" w:lineRule="auto"/>
        <w:jc w:val="center"/>
        <w:outlineLvl w:val="9"/>
        <w:rPr>
          <w:rFonts w:hint="eastAsia" w:ascii="仿宋" w:hAnsi="仿宋" w:eastAsia="仿宋" w:cs="宋体"/>
          <w:color w:val="auto"/>
          <w:sz w:val="28"/>
          <w:szCs w:val="28"/>
          <w:highlight w:val="none"/>
          <w:lang w:eastAsia="zh-CN"/>
        </w:rPr>
      </w:pPr>
    </w:p>
    <w:p w14:paraId="47259F03">
      <w:pPr>
        <w:pStyle w:val="5"/>
        <w:spacing w:line="360" w:lineRule="auto"/>
        <w:jc w:val="both"/>
        <w:outlineLvl w:val="9"/>
        <w:rPr>
          <w:rFonts w:hint="eastAsia" w:ascii="仿宋" w:hAnsi="仿宋" w:eastAsia="仿宋" w:cs="宋体"/>
          <w:color w:val="auto"/>
          <w:sz w:val="28"/>
          <w:szCs w:val="28"/>
          <w:highlight w:val="none"/>
          <w:lang w:eastAsia="zh-CN"/>
        </w:rPr>
      </w:pPr>
    </w:p>
    <w:p w14:paraId="2B40EF94">
      <w:pPr>
        <w:rPr>
          <w:rFonts w:hint="eastAsia" w:ascii="仿宋" w:hAnsi="仿宋" w:eastAsia="仿宋" w:cs="宋体"/>
          <w:color w:val="auto"/>
          <w:sz w:val="28"/>
          <w:szCs w:val="28"/>
          <w:highlight w:val="none"/>
          <w:lang w:eastAsia="zh-CN"/>
        </w:rPr>
      </w:pPr>
    </w:p>
    <w:p w14:paraId="39733EEC">
      <w:pPr>
        <w:pStyle w:val="2"/>
        <w:rPr>
          <w:rFonts w:hint="eastAsia"/>
          <w:color w:val="auto"/>
          <w:highlight w:val="none"/>
          <w:lang w:eastAsia="zh-CN"/>
        </w:rPr>
      </w:pPr>
    </w:p>
    <w:bookmarkEnd w:id="402"/>
    <w:bookmarkEnd w:id="403"/>
    <w:bookmarkEnd w:id="404"/>
    <w:bookmarkEnd w:id="405"/>
    <w:bookmarkEnd w:id="406"/>
    <w:bookmarkEnd w:id="407"/>
    <w:bookmarkEnd w:id="408"/>
    <w:bookmarkEnd w:id="409"/>
    <w:bookmarkEnd w:id="410"/>
    <w:p w14:paraId="40EFE3B5">
      <w:pPr>
        <w:pStyle w:val="5"/>
        <w:numPr>
          <w:ilvl w:val="0"/>
          <w:numId w:val="0"/>
        </w:numPr>
        <w:spacing w:line="240" w:lineRule="auto"/>
        <w:ind w:leftChars="0"/>
        <w:jc w:val="center"/>
        <w:rPr>
          <w:rFonts w:ascii="仿宋" w:hAnsi="仿宋" w:eastAsia="仿宋" w:cs="宋体"/>
          <w:bCs w:val="0"/>
          <w:color w:val="auto"/>
          <w:sz w:val="28"/>
          <w:szCs w:val="28"/>
          <w:highlight w:val="none"/>
        </w:rPr>
      </w:pPr>
      <w:r>
        <w:rPr>
          <w:rFonts w:hint="eastAsia" w:ascii="仿宋" w:hAnsi="仿宋" w:eastAsia="仿宋" w:cs="宋体"/>
          <w:color w:val="auto"/>
          <w:sz w:val="28"/>
          <w:szCs w:val="28"/>
          <w:highlight w:val="none"/>
          <w:lang w:eastAsia="zh-CN"/>
        </w:rPr>
        <w:t>四</w:t>
      </w:r>
      <w:r>
        <w:rPr>
          <w:rFonts w:hint="eastAsia" w:ascii="仿宋" w:hAnsi="仿宋" w:eastAsia="仿宋" w:cs="宋体"/>
          <w:color w:val="auto"/>
          <w:sz w:val="28"/>
          <w:szCs w:val="28"/>
          <w:highlight w:val="none"/>
        </w:rPr>
        <w:t>、商务、技术条款偏离表</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0"/>
        <w:gridCol w:w="2550"/>
        <w:gridCol w:w="2256"/>
        <w:gridCol w:w="1428"/>
        <w:gridCol w:w="1706"/>
      </w:tblGrid>
      <w:tr w14:paraId="6A1D4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6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4617D1">
            <w:pPr>
              <w:keepNext w:val="0"/>
              <w:keepLines w:val="0"/>
              <w:suppressLineNumbers w:val="0"/>
              <w:spacing w:before="0" w:beforeAutospacing="0" w:after="0" w:afterAutospacing="0" w:line="360" w:lineRule="exact"/>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条款号</w:t>
            </w:r>
          </w:p>
        </w:tc>
        <w:tc>
          <w:tcPr>
            <w:tcW w:w="2550" w:type="dxa"/>
            <w:tcBorders>
              <w:top w:val="single" w:color="auto" w:sz="4" w:space="0"/>
              <w:left w:val="nil"/>
              <w:bottom w:val="single" w:color="auto" w:sz="4" w:space="0"/>
              <w:right w:val="single" w:color="auto" w:sz="4" w:space="0"/>
            </w:tcBorders>
            <w:shd w:val="clear" w:color="auto" w:fill="auto"/>
            <w:noWrap/>
            <w:vAlign w:val="center"/>
          </w:tcPr>
          <w:p w14:paraId="156145A0">
            <w:pPr>
              <w:keepNext w:val="0"/>
              <w:keepLines w:val="0"/>
              <w:suppressLineNumbers w:val="0"/>
              <w:spacing w:before="0" w:beforeAutospacing="0" w:after="0" w:afterAutospacing="0" w:line="360" w:lineRule="exact"/>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招标文件条款内容</w:t>
            </w:r>
          </w:p>
        </w:tc>
        <w:tc>
          <w:tcPr>
            <w:tcW w:w="2256" w:type="dxa"/>
            <w:tcBorders>
              <w:top w:val="single" w:color="auto" w:sz="4" w:space="0"/>
              <w:left w:val="nil"/>
              <w:bottom w:val="single" w:color="auto" w:sz="4" w:space="0"/>
              <w:right w:val="single" w:color="auto" w:sz="4" w:space="0"/>
            </w:tcBorders>
            <w:shd w:val="clear" w:color="auto" w:fill="auto"/>
            <w:noWrap/>
            <w:vAlign w:val="center"/>
          </w:tcPr>
          <w:p w14:paraId="19E91517">
            <w:pPr>
              <w:keepNext w:val="0"/>
              <w:keepLines w:val="0"/>
              <w:suppressLineNumbers w:val="0"/>
              <w:spacing w:before="0" w:beforeAutospacing="0" w:after="0" w:afterAutospacing="0" w:line="360" w:lineRule="exact"/>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投标人响应内容</w:t>
            </w:r>
          </w:p>
        </w:tc>
        <w:tc>
          <w:tcPr>
            <w:tcW w:w="1428" w:type="dxa"/>
            <w:tcBorders>
              <w:top w:val="single" w:color="auto" w:sz="4" w:space="0"/>
              <w:left w:val="nil"/>
              <w:bottom w:val="single" w:color="auto" w:sz="4" w:space="0"/>
              <w:right w:val="single" w:color="auto" w:sz="4" w:space="0"/>
            </w:tcBorders>
            <w:shd w:val="clear" w:color="auto" w:fill="auto"/>
            <w:noWrap/>
            <w:vAlign w:val="center"/>
          </w:tcPr>
          <w:p w14:paraId="3482AA50">
            <w:pPr>
              <w:keepNext w:val="0"/>
              <w:keepLines w:val="0"/>
              <w:suppressLineNumbers w:val="0"/>
              <w:spacing w:before="0" w:beforeAutospacing="0" w:after="0" w:afterAutospacing="0" w:line="360" w:lineRule="exact"/>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偏离</w:t>
            </w:r>
          </w:p>
        </w:tc>
        <w:tc>
          <w:tcPr>
            <w:tcW w:w="1706" w:type="dxa"/>
            <w:tcBorders>
              <w:top w:val="single" w:color="auto" w:sz="4" w:space="0"/>
              <w:left w:val="nil"/>
              <w:bottom w:val="single" w:color="auto" w:sz="4" w:space="0"/>
              <w:right w:val="single" w:color="auto" w:sz="4" w:space="0"/>
            </w:tcBorders>
            <w:shd w:val="clear" w:color="auto" w:fill="auto"/>
            <w:noWrap/>
            <w:vAlign w:val="center"/>
          </w:tcPr>
          <w:p w14:paraId="585C909D">
            <w:pPr>
              <w:keepNext w:val="0"/>
              <w:keepLines w:val="0"/>
              <w:suppressLineNumbers w:val="0"/>
              <w:spacing w:before="0" w:beforeAutospacing="0" w:after="0" w:afterAutospacing="0" w:line="360" w:lineRule="exact"/>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说明</w:t>
            </w:r>
          </w:p>
        </w:tc>
      </w:tr>
      <w:tr w14:paraId="1F44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610" w:type="dxa"/>
            <w:tcBorders>
              <w:top w:val="single" w:color="auto" w:sz="4" w:space="0"/>
              <w:left w:val="single" w:color="auto" w:sz="4" w:space="0"/>
              <w:bottom w:val="single" w:color="auto" w:sz="4" w:space="0"/>
              <w:right w:val="single" w:color="auto" w:sz="4" w:space="0"/>
            </w:tcBorders>
            <w:shd w:val="clear" w:color="auto" w:fill="auto"/>
            <w:noWrap/>
          </w:tcPr>
          <w:p w14:paraId="76F47431">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550" w:type="dxa"/>
            <w:tcBorders>
              <w:top w:val="single" w:color="auto" w:sz="4" w:space="0"/>
              <w:left w:val="nil"/>
              <w:bottom w:val="single" w:color="auto" w:sz="4" w:space="0"/>
              <w:right w:val="single" w:color="auto" w:sz="4" w:space="0"/>
            </w:tcBorders>
            <w:shd w:val="clear" w:color="auto" w:fill="auto"/>
            <w:noWrap/>
          </w:tcPr>
          <w:p w14:paraId="52C0B6DE">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256" w:type="dxa"/>
            <w:tcBorders>
              <w:top w:val="single" w:color="auto" w:sz="4" w:space="0"/>
              <w:left w:val="nil"/>
              <w:bottom w:val="single" w:color="auto" w:sz="4" w:space="0"/>
              <w:right w:val="single" w:color="auto" w:sz="4" w:space="0"/>
            </w:tcBorders>
            <w:shd w:val="clear" w:color="auto" w:fill="auto"/>
            <w:noWrap/>
          </w:tcPr>
          <w:p w14:paraId="43BFB583">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428" w:type="dxa"/>
            <w:tcBorders>
              <w:top w:val="single" w:color="auto" w:sz="4" w:space="0"/>
              <w:left w:val="nil"/>
              <w:bottom w:val="single" w:color="auto" w:sz="4" w:space="0"/>
              <w:right w:val="single" w:color="auto" w:sz="4" w:space="0"/>
            </w:tcBorders>
            <w:shd w:val="clear" w:color="auto" w:fill="auto"/>
            <w:noWrap/>
          </w:tcPr>
          <w:p w14:paraId="6B189FF1">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706" w:type="dxa"/>
            <w:tcBorders>
              <w:top w:val="single" w:color="auto" w:sz="4" w:space="0"/>
              <w:left w:val="nil"/>
              <w:bottom w:val="single" w:color="auto" w:sz="4" w:space="0"/>
              <w:right w:val="single" w:color="auto" w:sz="4" w:space="0"/>
            </w:tcBorders>
            <w:shd w:val="clear" w:color="auto" w:fill="auto"/>
            <w:noWrap/>
          </w:tcPr>
          <w:p w14:paraId="1397AE34">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r>
      <w:tr w14:paraId="654EB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610" w:type="dxa"/>
            <w:tcBorders>
              <w:top w:val="single" w:color="auto" w:sz="4" w:space="0"/>
              <w:left w:val="single" w:color="auto" w:sz="4" w:space="0"/>
              <w:bottom w:val="single" w:color="auto" w:sz="4" w:space="0"/>
              <w:right w:val="single" w:color="auto" w:sz="4" w:space="0"/>
            </w:tcBorders>
            <w:shd w:val="clear" w:color="auto" w:fill="auto"/>
            <w:noWrap/>
          </w:tcPr>
          <w:p w14:paraId="6ECC76A7">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550" w:type="dxa"/>
            <w:tcBorders>
              <w:top w:val="single" w:color="auto" w:sz="4" w:space="0"/>
              <w:left w:val="nil"/>
              <w:bottom w:val="single" w:color="auto" w:sz="4" w:space="0"/>
              <w:right w:val="single" w:color="auto" w:sz="4" w:space="0"/>
            </w:tcBorders>
            <w:shd w:val="clear" w:color="auto" w:fill="auto"/>
            <w:noWrap/>
          </w:tcPr>
          <w:p w14:paraId="4EBBCCAF">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256" w:type="dxa"/>
            <w:tcBorders>
              <w:top w:val="single" w:color="auto" w:sz="4" w:space="0"/>
              <w:left w:val="nil"/>
              <w:bottom w:val="single" w:color="auto" w:sz="4" w:space="0"/>
              <w:right w:val="single" w:color="auto" w:sz="4" w:space="0"/>
            </w:tcBorders>
            <w:shd w:val="clear" w:color="auto" w:fill="auto"/>
            <w:noWrap/>
          </w:tcPr>
          <w:p w14:paraId="0CFD2F21">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428" w:type="dxa"/>
            <w:tcBorders>
              <w:top w:val="single" w:color="auto" w:sz="4" w:space="0"/>
              <w:left w:val="nil"/>
              <w:bottom w:val="single" w:color="auto" w:sz="4" w:space="0"/>
              <w:right w:val="single" w:color="auto" w:sz="4" w:space="0"/>
            </w:tcBorders>
            <w:shd w:val="clear" w:color="auto" w:fill="auto"/>
            <w:noWrap/>
          </w:tcPr>
          <w:p w14:paraId="4C344723">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706" w:type="dxa"/>
            <w:tcBorders>
              <w:top w:val="single" w:color="auto" w:sz="4" w:space="0"/>
              <w:left w:val="nil"/>
              <w:bottom w:val="single" w:color="auto" w:sz="4" w:space="0"/>
              <w:right w:val="single" w:color="auto" w:sz="4" w:space="0"/>
            </w:tcBorders>
            <w:shd w:val="clear" w:color="auto" w:fill="auto"/>
            <w:noWrap/>
          </w:tcPr>
          <w:p w14:paraId="255A10A1">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r>
      <w:tr w14:paraId="43CAB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610" w:type="dxa"/>
            <w:tcBorders>
              <w:top w:val="single" w:color="auto" w:sz="4" w:space="0"/>
              <w:left w:val="single" w:color="auto" w:sz="4" w:space="0"/>
              <w:bottom w:val="single" w:color="auto" w:sz="4" w:space="0"/>
              <w:right w:val="single" w:color="auto" w:sz="4" w:space="0"/>
            </w:tcBorders>
            <w:shd w:val="clear" w:color="auto" w:fill="auto"/>
            <w:noWrap/>
          </w:tcPr>
          <w:p w14:paraId="7F68A8D8">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550" w:type="dxa"/>
            <w:tcBorders>
              <w:top w:val="single" w:color="auto" w:sz="4" w:space="0"/>
              <w:left w:val="nil"/>
              <w:bottom w:val="single" w:color="auto" w:sz="4" w:space="0"/>
              <w:right w:val="single" w:color="auto" w:sz="4" w:space="0"/>
            </w:tcBorders>
            <w:shd w:val="clear" w:color="auto" w:fill="auto"/>
            <w:noWrap/>
          </w:tcPr>
          <w:p w14:paraId="27CAB937">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256" w:type="dxa"/>
            <w:tcBorders>
              <w:top w:val="single" w:color="auto" w:sz="4" w:space="0"/>
              <w:left w:val="nil"/>
              <w:bottom w:val="single" w:color="auto" w:sz="4" w:space="0"/>
              <w:right w:val="single" w:color="auto" w:sz="4" w:space="0"/>
            </w:tcBorders>
            <w:shd w:val="clear" w:color="auto" w:fill="auto"/>
            <w:noWrap/>
          </w:tcPr>
          <w:p w14:paraId="1F16F7E3">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428" w:type="dxa"/>
            <w:tcBorders>
              <w:top w:val="single" w:color="auto" w:sz="4" w:space="0"/>
              <w:left w:val="nil"/>
              <w:bottom w:val="single" w:color="auto" w:sz="4" w:space="0"/>
              <w:right w:val="single" w:color="auto" w:sz="4" w:space="0"/>
            </w:tcBorders>
            <w:shd w:val="clear" w:color="auto" w:fill="auto"/>
            <w:noWrap/>
          </w:tcPr>
          <w:p w14:paraId="5673BA5F">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706" w:type="dxa"/>
            <w:tcBorders>
              <w:top w:val="single" w:color="auto" w:sz="4" w:space="0"/>
              <w:left w:val="nil"/>
              <w:bottom w:val="single" w:color="auto" w:sz="4" w:space="0"/>
              <w:right w:val="single" w:color="auto" w:sz="4" w:space="0"/>
            </w:tcBorders>
            <w:shd w:val="clear" w:color="auto" w:fill="auto"/>
            <w:noWrap/>
          </w:tcPr>
          <w:p w14:paraId="756CEEF3">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r>
      <w:tr w14:paraId="431E3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610" w:type="dxa"/>
            <w:tcBorders>
              <w:top w:val="single" w:color="auto" w:sz="4" w:space="0"/>
              <w:left w:val="single" w:color="auto" w:sz="4" w:space="0"/>
              <w:bottom w:val="single" w:color="auto" w:sz="4" w:space="0"/>
              <w:right w:val="single" w:color="auto" w:sz="4" w:space="0"/>
            </w:tcBorders>
            <w:shd w:val="clear" w:color="auto" w:fill="auto"/>
            <w:noWrap/>
          </w:tcPr>
          <w:p w14:paraId="32690B5A">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550" w:type="dxa"/>
            <w:tcBorders>
              <w:top w:val="single" w:color="auto" w:sz="4" w:space="0"/>
              <w:left w:val="nil"/>
              <w:bottom w:val="single" w:color="auto" w:sz="4" w:space="0"/>
              <w:right w:val="single" w:color="auto" w:sz="4" w:space="0"/>
            </w:tcBorders>
            <w:shd w:val="clear" w:color="auto" w:fill="auto"/>
            <w:noWrap/>
          </w:tcPr>
          <w:p w14:paraId="1BEA0662">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256" w:type="dxa"/>
            <w:tcBorders>
              <w:top w:val="single" w:color="auto" w:sz="4" w:space="0"/>
              <w:left w:val="nil"/>
              <w:bottom w:val="single" w:color="auto" w:sz="4" w:space="0"/>
              <w:right w:val="single" w:color="auto" w:sz="4" w:space="0"/>
            </w:tcBorders>
            <w:shd w:val="clear" w:color="auto" w:fill="auto"/>
            <w:noWrap/>
          </w:tcPr>
          <w:p w14:paraId="18C45542">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428" w:type="dxa"/>
            <w:tcBorders>
              <w:top w:val="single" w:color="auto" w:sz="4" w:space="0"/>
              <w:left w:val="nil"/>
              <w:bottom w:val="single" w:color="auto" w:sz="4" w:space="0"/>
              <w:right w:val="single" w:color="auto" w:sz="4" w:space="0"/>
            </w:tcBorders>
            <w:shd w:val="clear" w:color="auto" w:fill="auto"/>
            <w:noWrap/>
          </w:tcPr>
          <w:p w14:paraId="2A3B1510">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706" w:type="dxa"/>
            <w:tcBorders>
              <w:top w:val="single" w:color="auto" w:sz="4" w:space="0"/>
              <w:left w:val="nil"/>
              <w:bottom w:val="single" w:color="auto" w:sz="4" w:space="0"/>
              <w:right w:val="single" w:color="auto" w:sz="4" w:space="0"/>
            </w:tcBorders>
            <w:shd w:val="clear" w:color="auto" w:fill="auto"/>
            <w:noWrap/>
          </w:tcPr>
          <w:p w14:paraId="6E36FA23">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r>
      <w:tr w14:paraId="04119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610" w:type="dxa"/>
            <w:tcBorders>
              <w:top w:val="single" w:color="auto" w:sz="4" w:space="0"/>
              <w:left w:val="single" w:color="auto" w:sz="4" w:space="0"/>
              <w:bottom w:val="single" w:color="auto" w:sz="4" w:space="0"/>
              <w:right w:val="single" w:color="auto" w:sz="4" w:space="0"/>
            </w:tcBorders>
            <w:shd w:val="clear" w:color="auto" w:fill="auto"/>
            <w:noWrap/>
          </w:tcPr>
          <w:p w14:paraId="4304EE00">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550" w:type="dxa"/>
            <w:tcBorders>
              <w:top w:val="single" w:color="auto" w:sz="4" w:space="0"/>
              <w:left w:val="nil"/>
              <w:bottom w:val="single" w:color="auto" w:sz="4" w:space="0"/>
              <w:right w:val="single" w:color="auto" w:sz="4" w:space="0"/>
            </w:tcBorders>
            <w:shd w:val="clear" w:color="auto" w:fill="auto"/>
            <w:noWrap/>
          </w:tcPr>
          <w:p w14:paraId="7B0A5FEC">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256" w:type="dxa"/>
            <w:tcBorders>
              <w:top w:val="single" w:color="auto" w:sz="4" w:space="0"/>
              <w:left w:val="nil"/>
              <w:bottom w:val="single" w:color="auto" w:sz="4" w:space="0"/>
              <w:right w:val="single" w:color="auto" w:sz="4" w:space="0"/>
            </w:tcBorders>
            <w:shd w:val="clear" w:color="auto" w:fill="auto"/>
            <w:noWrap/>
          </w:tcPr>
          <w:p w14:paraId="110CFFCA">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428" w:type="dxa"/>
            <w:tcBorders>
              <w:top w:val="single" w:color="auto" w:sz="4" w:space="0"/>
              <w:left w:val="nil"/>
              <w:bottom w:val="single" w:color="auto" w:sz="4" w:space="0"/>
              <w:right w:val="single" w:color="auto" w:sz="4" w:space="0"/>
            </w:tcBorders>
            <w:shd w:val="clear" w:color="auto" w:fill="auto"/>
            <w:noWrap/>
          </w:tcPr>
          <w:p w14:paraId="533B9D62">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706" w:type="dxa"/>
            <w:tcBorders>
              <w:top w:val="single" w:color="auto" w:sz="4" w:space="0"/>
              <w:left w:val="nil"/>
              <w:bottom w:val="single" w:color="auto" w:sz="4" w:space="0"/>
              <w:right w:val="single" w:color="auto" w:sz="4" w:space="0"/>
            </w:tcBorders>
            <w:shd w:val="clear" w:color="auto" w:fill="auto"/>
            <w:noWrap/>
          </w:tcPr>
          <w:p w14:paraId="7FFD3BBF">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r>
      <w:tr w14:paraId="28C59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610" w:type="dxa"/>
            <w:tcBorders>
              <w:top w:val="single" w:color="auto" w:sz="4" w:space="0"/>
              <w:left w:val="single" w:color="auto" w:sz="4" w:space="0"/>
              <w:bottom w:val="single" w:color="auto" w:sz="4" w:space="0"/>
              <w:right w:val="single" w:color="auto" w:sz="4" w:space="0"/>
            </w:tcBorders>
            <w:shd w:val="clear" w:color="auto" w:fill="auto"/>
            <w:noWrap/>
          </w:tcPr>
          <w:p w14:paraId="6F5C8543">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550" w:type="dxa"/>
            <w:tcBorders>
              <w:top w:val="single" w:color="auto" w:sz="4" w:space="0"/>
              <w:left w:val="nil"/>
              <w:bottom w:val="single" w:color="auto" w:sz="4" w:space="0"/>
              <w:right w:val="single" w:color="auto" w:sz="4" w:space="0"/>
            </w:tcBorders>
            <w:shd w:val="clear" w:color="auto" w:fill="auto"/>
            <w:noWrap/>
          </w:tcPr>
          <w:p w14:paraId="0848B261">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256" w:type="dxa"/>
            <w:tcBorders>
              <w:top w:val="single" w:color="auto" w:sz="4" w:space="0"/>
              <w:left w:val="nil"/>
              <w:bottom w:val="single" w:color="auto" w:sz="4" w:space="0"/>
              <w:right w:val="single" w:color="auto" w:sz="4" w:space="0"/>
            </w:tcBorders>
            <w:shd w:val="clear" w:color="auto" w:fill="auto"/>
            <w:noWrap/>
          </w:tcPr>
          <w:p w14:paraId="5F524F30">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428" w:type="dxa"/>
            <w:tcBorders>
              <w:top w:val="single" w:color="auto" w:sz="4" w:space="0"/>
              <w:left w:val="nil"/>
              <w:bottom w:val="single" w:color="auto" w:sz="4" w:space="0"/>
              <w:right w:val="single" w:color="auto" w:sz="4" w:space="0"/>
            </w:tcBorders>
            <w:shd w:val="clear" w:color="auto" w:fill="auto"/>
            <w:noWrap/>
          </w:tcPr>
          <w:p w14:paraId="44D1E1AF">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706" w:type="dxa"/>
            <w:tcBorders>
              <w:top w:val="single" w:color="auto" w:sz="4" w:space="0"/>
              <w:left w:val="nil"/>
              <w:bottom w:val="single" w:color="auto" w:sz="4" w:space="0"/>
              <w:right w:val="single" w:color="auto" w:sz="4" w:space="0"/>
            </w:tcBorders>
            <w:shd w:val="clear" w:color="auto" w:fill="auto"/>
            <w:noWrap/>
          </w:tcPr>
          <w:p w14:paraId="1B73B823">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r>
      <w:tr w14:paraId="08DEB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610" w:type="dxa"/>
            <w:tcBorders>
              <w:top w:val="single" w:color="auto" w:sz="4" w:space="0"/>
              <w:left w:val="single" w:color="auto" w:sz="4" w:space="0"/>
              <w:bottom w:val="single" w:color="auto" w:sz="4" w:space="0"/>
              <w:right w:val="single" w:color="auto" w:sz="4" w:space="0"/>
            </w:tcBorders>
            <w:shd w:val="clear" w:color="auto" w:fill="auto"/>
            <w:noWrap/>
          </w:tcPr>
          <w:p w14:paraId="52006C79">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550" w:type="dxa"/>
            <w:tcBorders>
              <w:top w:val="single" w:color="auto" w:sz="4" w:space="0"/>
              <w:left w:val="nil"/>
              <w:bottom w:val="single" w:color="auto" w:sz="4" w:space="0"/>
              <w:right w:val="single" w:color="auto" w:sz="4" w:space="0"/>
            </w:tcBorders>
            <w:shd w:val="clear" w:color="auto" w:fill="auto"/>
            <w:noWrap/>
          </w:tcPr>
          <w:p w14:paraId="0CD1DD6C">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256" w:type="dxa"/>
            <w:tcBorders>
              <w:top w:val="single" w:color="auto" w:sz="4" w:space="0"/>
              <w:left w:val="nil"/>
              <w:bottom w:val="single" w:color="auto" w:sz="4" w:space="0"/>
              <w:right w:val="single" w:color="auto" w:sz="4" w:space="0"/>
            </w:tcBorders>
            <w:shd w:val="clear" w:color="auto" w:fill="auto"/>
            <w:noWrap/>
          </w:tcPr>
          <w:p w14:paraId="115F7FE6">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428" w:type="dxa"/>
            <w:tcBorders>
              <w:top w:val="single" w:color="auto" w:sz="4" w:space="0"/>
              <w:left w:val="nil"/>
              <w:bottom w:val="single" w:color="auto" w:sz="4" w:space="0"/>
              <w:right w:val="single" w:color="auto" w:sz="4" w:space="0"/>
            </w:tcBorders>
            <w:shd w:val="clear" w:color="auto" w:fill="auto"/>
            <w:noWrap/>
          </w:tcPr>
          <w:p w14:paraId="7952EE98">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706" w:type="dxa"/>
            <w:tcBorders>
              <w:top w:val="single" w:color="auto" w:sz="4" w:space="0"/>
              <w:left w:val="nil"/>
              <w:bottom w:val="single" w:color="auto" w:sz="4" w:space="0"/>
              <w:right w:val="single" w:color="auto" w:sz="4" w:space="0"/>
            </w:tcBorders>
            <w:shd w:val="clear" w:color="auto" w:fill="auto"/>
            <w:noWrap/>
          </w:tcPr>
          <w:p w14:paraId="70079F17">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r>
      <w:tr w14:paraId="5750A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610" w:type="dxa"/>
            <w:tcBorders>
              <w:top w:val="single" w:color="auto" w:sz="4" w:space="0"/>
              <w:left w:val="single" w:color="auto" w:sz="4" w:space="0"/>
              <w:bottom w:val="single" w:color="auto" w:sz="4" w:space="0"/>
              <w:right w:val="single" w:color="auto" w:sz="4" w:space="0"/>
            </w:tcBorders>
            <w:shd w:val="clear" w:color="auto" w:fill="auto"/>
            <w:noWrap/>
          </w:tcPr>
          <w:p w14:paraId="621D23ED">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550" w:type="dxa"/>
            <w:tcBorders>
              <w:top w:val="single" w:color="auto" w:sz="4" w:space="0"/>
              <w:left w:val="nil"/>
              <w:bottom w:val="single" w:color="auto" w:sz="4" w:space="0"/>
              <w:right w:val="single" w:color="auto" w:sz="4" w:space="0"/>
            </w:tcBorders>
            <w:shd w:val="clear" w:color="auto" w:fill="auto"/>
            <w:noWrap/>
          </w:tcPr>
          <w:p w14:paraId="0C85EB29">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2256" w:type="dxa"/>
            <w:tcBorders>
              <w:top w:val="single" w:color="auto" w:sz="4" w:space="0"/>
              <w:left w:val="nil"/>
              <w:bottom w:val="single" w:color="auto" w:sz="4" w:space="0"/>
              <w:right w:val="single" w:color="auto" w:sz="4" w:space="0"/>
            </w:tcBorders>
            <w:shd w:val="clear" w:color="auto" w:fill="auto"/>
            <w:noWrap/>
          </w:tcPr>
          <w:p w14:paraId="7F5830E1">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428" w:type="dxa"/>
            <w:tcBorders>
              <w:top w:val="single" w:color="auto" w:sz="4" w:space="0"/>
              <w:left w:val="nil"/>
              <w:bottom w:val="single" w:color="auto" w:sz="4" w:space="0"/>
              <w:right w:val="single" w:color="auto" w:sz="4" w:space="0"/>
            </w:tcBorders>
            <w:shd w:val="clear" w:color="auto" w:fill="auto"/>
            <w:noWrap/>
          </w:tcPr>
          <w:p w14:paraId="0F912BF5">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c>
          <w:tcPr>
            <w:tcW w:w="1706" w:type="dxa"/>
            <w:tcBorders>
              <w:top w:val="single" w:color="auto" w:sz="4" w:space="0"/>
              <w:left w:val="nil"/>
              <w:bottom w:val="single" w:color="auto" w:sz="4" w:space="0"/>
              <w:right w:val="single" w:color="auto" w:sz="4" w:space="0"/>
            </w:tcBorders>
            <w:shd w:val="clear" w:color="auto" w:fill="auto"/>
            <w:noWrap/>
          </w:tcPr>
          <w:p w14:paraId="6DF246E4">
            <w:pPr>
              <w:pStyle w:val="51"/>
              <w:keepNext w:val="0"/>
              <w:keepLines w:val="0"/>
              <w:suppressLineNumbers w:val="0"/>
              <w:snapToGrid w:val="0"/>
              <w:spacing w:before="0" w:beforeAutospacing="0" w:after="0" w:afterAutospacing="0" w:line="360" w:lineRule="auto"/>
              <w:ind w:left="0" w:right="0"/>
              <w:jc w:val="center"/>
              <w:rPr>
                <w:rFonts w:hint="default" w:ascii="仿宋" w:hAnsi="仿宋" w:eastAsia="仿宋" w:cs="宋体"/>
                <w:color w:val="auto"/>
                <w:kern w:val="2"/>
                <w:sz w:val="28"/>
                <w:szCs w:val="28"/>
                <w:highlight w:val="none"/>
              </w:rPr>
            </w:pPr>
          </w:p>
        </w:tc>
      </w:tr>
    </w:tbl>
    <w:p w14:paraId="53E4CCC5">
      <w:pPr>
        <w:spacing w:line="480" w:lineRule="exact"/>
        <w:rPr>
          <w:rFonts w:hint="eastAsia" w:ascii="仿宋" w:hAnsi="仿宋" w:eastAsia="仿宋"/>
          <w:color w:val="auto"/>
          <w:sz w:val="24"/>
          <w:szCs w:val="24"/>
          <w:highlight w:val="none"/>
        </w:rPr>
      </w:pPr>
    </w:p>
    <w:p w14:paraId="369B8484">
      <w:pP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注：</w:t>
      </w:r>
    </w:p>
    <w:p w14:paraId="3FD13519">
      <w:pPr>
        <w:spacing w:line="48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w:t>
      </w:r>
      <w:r>
        <w:rPr>
          <w:rFonts w:hint="eastAsia" w:ascii="仿宋" w:hAnsi="仿宋" w:eastAsia="仿宋"/>
          <w:color w:val="auto"/>
          <w:sz w:val="24"/>
          <w:szCs w:val="24"/>
          <w:highlight w:val="none"/>
          <w:lang w:eastAsia="zh-CN"/>
        </w:rPr>
        <w:t>投标人</w:t>
      </w:r>
      <w:r>
        <w:rPr>
          <w:rFonts w:hint="eastAsia" w:ascii="仿宋" w:hAnsi="仿宋" w:eastAsia="仿宋"/>
          <w:color w:val="auto"/>
          <w:sz w:val="24"/>
          <w:szCs w:val="24"/>
          <w:highlight w:val="none"/>
        </w:rPr>
        <w:t>保证：除商务和技术偏差表列出的偏差外，</w:t>
      </w:r>
      <w:r>
        <w:rPr>
          <w:rFonts w:hint="eastAsia" w:ascii="仿宋" w:hAnsi="仿宋" w:eastAsia="仿宋"/>
          <w:color w:val="auto"/>
          <w:sz w:val="24"/>
          <w:szCs w:val="24"/>
          <w:highlight w:val="none"/>
          <w:lang w:eastAsia="zh-CN"/>
        </w:rPr>
        <w:t>投标人投标</w:t>
      </w:r>
      <w:r>
        <w:rPr>
          <w:rFonts w:hint="eastAsia" w:ascii="仿宋" w:hAnsi="仿宋" w:eastAsia="仿宋"/>
          <w:color w:val="auto"/>
          <w:sz w:val="24"/>
          <w:szCs w:val="24"/>
          <w:highlight w:val="none"/>
        </w:rPr>
        <w:t>文件</w:t>
      </w:r>
      <w:r>
        <w:rPr>
          <w:rFonts w:hint="eastAsia" w:ascii="仿宋" w:hAnsi="仿宋" w:eastAsia="仿宋"/>
          <w:color w:val="auto"/>
          <w:sz w:val="24"/>
          <w:szCs w:val="24"/>
          <w:highlight w:val="none"/>
          <w:lang w:eastAsia="zh-CN"/>
        </w:rPr>
        <w:t>符合招标</w:t>
      </w:r>
      <w:r>
        <w:rPr>
          <w:rFonts w:hint="eastAsia" w:ascii="仿宋" w:hAnsi="仿宋" w:eastAsia="仿宋"/>
          <w:color w:val="auto"/>
          <w:sz w:val="24"/>
          <w:szCs w:val="24"/>
          <w:highlight w:val="none"/>
        </w:rPr>
        <w:t>文件的全部要求。</w:t>
      </w:r>
    </w:p>
    <w:p w14:paraId="6D59702B">
      <w:pPr>
        <w:spacing w:line="48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2.表格中“偏离”一列，</w:t>
      </w:r>
      <w:r>
        <w:rPr>
          <w:rFonts w:hint="eastAsia" w:ascii="仿宋" w:hAnsi="仿宋" w:eastAsia="仿宋"/>
          <w:color w:val="auto"/>
          <w:sz w:val="24"/>
          <w:szCs w:val="24"/>
          <w:highlight w:val="none"/>
          <w:lang w:eastAsia="zh-CN"/>
        </w:rPr>
        <w:t>投标人</w:t>
      </w:r>
      <w:r>
        <w:rPr>
          <w:rFonts w:hint="eastAsia" w:ascii="仿宋" w:hAnsi="仿宋" w:eastAsia="仿宋"/>
          <w:color w:val="auto"/>
          <w:sz w:val="24"/>
          <w:szCs w:val="24"/>
          <w:highlight w:val="none"/>
        </w:rPr>
        <w:t>只能如实填写“正偏离”、“负偏离”或“无偏离”。凡响应内容高于</w:t>
      </w:r>
      <w:r>
        <w:rPr>
          <w:rFonts w:hint="eastAsia" w:ascii="仿宋" w:hAnsi="仿宋" w:eastAsia="仿宋"/>
          <w:color w:val="auto"/>
          <w:sz w:val="24"/>
          <w:szCs w:val="24"/>
          <w:highlight w:val="none"/>
          <w:lang w:eastAsia="zh-CN"/>
        </w:rPr>
        <w:t>招标</w:t>
      </w:r>
      <w:r>
        <w:rPr>
          <w:rFonts w:hint="eastAsia" w:ascii="仿宋" w:hAnsi="仿宋" w:eastAsia="仿宋"/>
          <w:color w:val="auto"/>
          <w:sz w:val="24"/>
          <w:szCs w:val="24"/>
          <w:highlight w:val="none"/>
        </w:rPr>
        <w:t>文件要求的，按“正偏离”填写；低于</w:t>
      </w:r>
      <w:r>
        <w:rPr>
          <w:rFonts w:hint="eastAsia" w:ascii="仿宋" w:hAnsi="仿宋" w:eastAsia="仿宋"/>
          <w:color w:val="auto"/>
          <w:sz w:val="24"/>
          <w:szCs w:val="24"/>
          <w:highlight w:val="none"/>
          <w:lang w:eastAsia="zh-CN"/>
        </w:rPr>
        <w:t>招标</w:t>
      </w:r>
      <w:r>
        <w:rPr>
          <w:rFonts w:hint="eastAsia" w:ascii="仿宋" w:hAnsi="仿宋" w:eastAsia="仿宋"/>
          <w:color w:val="auto"/>
          <w:sz w:val="24"/>
          <w:szCs w:val="24"/>
          <w:highlight w:val="none"/>
        </w:rPr>
        <w:t>文件要求的，按“负偏离”填写；满足</w:t>
      </w:r>
      <w:r>
        <w:rPr>
          <w:rFonts w:hint="eastAsia" w:ascii="仿宋" w:hAnsi="仿宋" w:eastAsia="仿宋"/>
          <w:color w:val="auto"/>
          <w:sz w:val="24"/>
          <w:szCs w:val="24"/>
          <w:highlight w:val="none"/>
          <w:lang w:eastAsia="zh-CN"/>
        </w:rPr>
        <w:t>招标</w:t>
      </w:r>
      <w:r>
        <w:rPr>
          <w:rFonts w:hint="eastAsia" w:ascii="仿宋" w:hAnsi="仿宋" w:eastAsia="仿宋"/>
          <w:color w:val="auto"/>
          <w:sz w:val="24"/>
          <w:szCs w:val="24"/>
          <w:highlight w:val="none"/>
        </w:rPr>
        <w:t>文件要求的，按“无偏离”填写。</w:t>
      </w:r>
    </w:p>
    <w:p w14:paraId="4BF64B1F">
      <w:pPr>
        <w:pStyle w:val="5"/>
        <w:numPr>
          <w:ilvl w:val="1"/>
          <w:numId w:val="0"/>
        </w:numPr>
        <w:tabs>
          <w:tab w:val="left" w:pos="1021"/>
          <w:tab w:val="clear" w:pos="432"/>
        </w:tabs>
        <w:spacing w:before="158" w:after="158"/>
        <w:ind w:left="420"/>
        <w:jc w:val="lef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3.如无偏差，则不用填写此表，但应声明：“完全响应</w:t>
      </w:r>
      <w:r>
        <w:rPr>
          <w:rFonts w:hint="eastAsia" w:ascii="仿宋" w:hAnsi="仿宋" w:eastAsia="仿宋"/>
          <w:color w:val="auto"/>
          <w:sz w:val="24"/>
          <w:szCs w:val="24"/>
          <w:highlight w:val="none"/>
          <w:lang w:eastAsia="zh-CN"/>
        </w:rPr>
        <w:t>招标</w:t>
      </w:r>
      <w:r>
        <w:rPr>
          <w:rFonts w:hint="eastAsia" w:ascii="仿宋" w:hAnsi="仿宋" w:eastAsia="仿宋"/>
          <w:color w:val="auto"/>
          <w:sz w:val="24"/>
          <w:szCs w:val="24"/>
          <w:highlight w:val="none"/>
        </w:rPr>
        <w:t>文件要求，无偏离”。</w:t>
      </w:r>
    </w:p>
    <w:p w14:paraId="385A67E9">
      <w:pPr>
        <w:rPr>
          <w:rFonts w:hint="eastAsia"/>
          <w:color w:val="auto"/>
          <w:highlight w:val="none"/>
        </w:rPr>
      </w:pPr>
    </w:p>
    <w:p w14:paraId="163B659B">
      <w:pPr>
        <w:spacing w:line="360" w:lineRule="auto"/>
        <w:ind w:firstLine="420" w:firstLineChars="150"/>
        <w:rPr>
          <w:rFonts w:ascii="仿宋" w:hAnsi="仿宋" w:eastAsia="仿宋" w:cs="宋体"/>
          <w:color w:val="auto"/>
          <w:sz w:val="24"/>
          <w:szCs w:val="24"/>
          <w:highlight w:val="none"/>
        </w:rPr>
      </w:pPr>
      <w:r>
        <w:rPr>
          <w:rFonts w:hint="eastAsia" w:ascii="仿宋" w:hAnsi="仿宋" w:eastAsia="仿宋" w:cs="宋体"/>
          <w:color w:val="auto"/>
          <w:sz w:val="28"/>
          <w:szCs w:val="28"/>
          <w:highlight w:val="none"/>
        </w:rPr>
        <w:t xml:space="preserve"> </w:t>
      </w:r>
      <w:r>
        <w:rPr>
          <w:rFonts w:hint="eastAsia" w:ascii="仿宋" w:hAnsi="仿宋" w:eastAsia="仿宋" w:cs="宋体"/>
          <w:color w:val="auto"/>
          <w:sz w:val="24"/>
          <w:szCs w:val="24"/>
          <w:highlight w:val="none"/>
        </w:rPr>
        <w:t>投标人</w:t>
      </w:r>
      <w:r>
        <w:rPr>
          <w:rFonts w:hint="eastAsia" w:ascii="仿宋" w:hAnsi="仿宋" w:eastAsia="仿宋" w:cs="仿宋"/>
          <w:color w:val="auto"/>
          <w:sz w:val="24"/>
          <w:szCs w:val="24"/>
          <w:highlight w:val="none"/>
          <w:lang w:eastAsia="zh-CN"/>
        </w:rPr>
        <w:t>（或联合体牵头人）</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eastAsia="zh-CN"/>
        </w:rPr>
        <w:t>电子签章</w:t>
      </w:r>
      <w:r>
        <w:rPr>
          <w:rFonts w:hint="eastAsia" w:ascii="仿宋" w:hAnsi="仿宋" w:eastAsia="仿宋" w:cs="宋体"/>
          <w:color w:val="auto"/>
          <w:sz w:val="24"/>
          <w:szCs w:val="24"/>
          <w:highlight w:val="none"/>
        </w:rPr>
        <w:t>）</w:t>
      </w:r>
    </w:p>
    <w:p w14:paraId="4BED58BD">
      <w:pPr>
        <w:pStyle w:val="51"/>
        <w:spacing w:before="0" w:beforeAutospacing="0" w:after="0" w:afterAutospacing="0" w:line="360" w:lineRule="auto"/>
        <w:ind w:firstLine="480" w:firstLineChars="200"/>
        <w:rPr>
          <w:rFonts w:ascii="仿宋" w:hAnsi="仿宋" w:eastAsia="仿宋" w:cs="宋体"/>
          <w:color w:val="auto"/>
          <w:sz w:val="24"/>
          <w:szCs w:val="24"/>
          <w:highlight w:val="none"/>
          <w:u w:val="single"/>
        </w:rPr>
      </w:pPr>
      <w:r>
        <w:rPr>
          <w:rFonts w:hint="eastAsia" w:ascii="仿宋" w:hAnsi="仿宋" w:eastAsia="仿宋" w:cs="宋体"/>
          <w:color w:val="auto"/>
          <w:sz w:val="24"/>
          <w:szCs w:val="24"/>
          <w:highlight w:val="none"/>
        </w:rPr>
        <w:t>法定代表</w:t>
      </w:r>
      <w:r>
        <w:rPr>
          <w:rFonts w:hint="eastAsia" w:ascii="仿宋" w:hAnsi="仿宋" w:eastAsia="仿宋" w:cs="宋体"/>
          <w:color w:val="auto"/>
          <w:sz w:val="24"/>
          <w:szCs w:val="24"/>
          <w:highlight w:val="none"/>
          <w:lang w:eastAsia="zh-CN"/>
        </w:rPr>
        <w:t>人</w:t>
      </w:r>
      <w:r>
        <w:rPr>
          <w:rFonts w:hint="eastAsia" w:ascii="仿宋" w:hAnsi="仿宋" w:eastAsia="仿宋" w:cs="宋体"/>
          <w:color w:val="auto"/>
          <w:sz w:val="24"/>
          <w:szCs w:val="24"/>
          <w:highlight w:val="none"/>
        </w:rPr>
        <w:t>或其委托代理人：（</w:t>
      </w:r>
      <w:r>
        <w:rPr>
          <w:rFonts w:hint="eastAsia" w:ascii="仿宋" w:hAnsi="仿宋" w:eastAsia="仿宋" w:cs="宋体"/>
          <w:color w:val="auto"/>
          <w:sz w:val="24"/>
          <w:szCs w:val="24"/>
          <w:highlight w:val="none"/>
          <w:lang w:eastAsia="zh-CN"/>
        </w:rPr>
        <w:t>电子签章</w:t>
      </w:r>
      <w:r>
        <w:rPr>
          <w:rFonts w:hint="eastAsia" w:ascii="仿宋" w:hAnsi="仿宋" w:eastAsia="仿宋" w:cs="宋体"/>
          <w:color w:val="auto"/>
          <w:sz w:val="24"/>
          <w:szCs w:val="24"/>
          <w:highlight w:val="none"/>
        </w:rPr>
        <w:t>）</w:t>
      </w:r>
    </w:p>
    <w:p w14:paraId="3579A623">
      <w:pPr>
        <w:pStyle w:val="51"/>
        <w:spacing w:before="0" w:beforeAutospacing="0" w:after="0" w:afterAutospacing="0" w:line="360" w:lineRule="auto"/>
        <w:ind w:left="1680" w:firstLine="480" w:firstLineChars="200"/>
        <w:rPr>
          <w:rFonts w:hint="eastAsia" w:ascii="仿宋" w:hAnsi="仿宋" w:eastAsia="仿宋" w:cs="仿宋"/>
          <w:b/>
          <w:color w:val="auto"/>
          <w:sz w:val="28"/>
          <w:szCs w:val="28"/>
          <w:highlight w:val="none"/>
        </w:rPr>
      </w:pPr>
      <w:r>
        <w:rPr>
          <w:rFonts w:hint="eastAsia" w:ascii="仿宋" w:hAnsi="仿宋" w:eastAsia="仿宋" w:cs="宋体"/>
          <w:color w:val="auto"/>
          <w:sz w:val="24"/>
          <w:szCs w:val="24"/>
          <w:highlight w:val="none"/>
        </w:rPr>
        <w:t>日期：年月日</w:t>
      </w:r>
    </w:p>
    <w:p w14:paraId="032EB079">
      <w:pPr>
        <w:ind w:right="84"/>
        <w:jc w:val="center"/>
        <w:rPr>
          <w:rFonts w:hint="eastAsia" w:ascii="仿宋" w:hAnsi="仿宋" w:eastAsia="仿宋" w:cs="仿宋"/>
          <w:b/>
          <w:color w:val="auto"/>
          <w:sz w:val="28"/>
          <w:szCs w:val="28"/>
          <w:highlight w:val="none"/>
          <w:lang w:eastAsia="zh-CN"/>
        </w:rPr>
      </w:pPr>
    </w:p>
    <w:p w14:paraId="28FF09D2">
      <w:pPr>
        <w:keepNext w:val="0"/>
        <w:keepLines w:val="0"/>
        <w:pageBreakBefore w:val="0"/>
        <w:widowControl w:val="0"/>
        <w:kinsoku/>
        <w:wordWrap/>
        <w:overflowPunct/>
        <w:bidi w:val="0"/>
        <w:adjustRightInd/>
        <w:snapToGrid/>
        <w:spacing w:line="480" w:lineRule="exact"/>
        <w:ind w:right="84"/>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五</w:t>
      </w:r>
      <w:r>
        <w:rPr>
          <w:rFonts w:hint="eastAsia" w:ascii="仿宋" w:hAnsi="仿宋" w:eastAsia="仿宋" w:cs="仿宋"/>
          <w:b/>
          <w:color w:val="auto"/>
          <w:sz w:val="28"/>
          <w:szCs w:val="28"/>
          <w:highlight w:val="none"/>
        </w:rPr>
        <w:t>、</w:t>
      </w:r>
      <w:r>
        <w:rPr>
          <w:rFonts w:hint="eastAsia" w:ascii="仿宋" w:hAnsi="仿宋" w:eastAsia="仿宋" w:cs="仿宋"/>
          <w:b/>
          <w:color w:val="auto"/>
          <w:sz w:val="28"/>
          <w:szCs w:val="28"/>
          <w:highlight w:val="none"/>
          <w:lang w:eastAsia="zh-CN"/>
        </w:rPr>
        <w:t>联合体协议书</w:t>
      </w:r>
    </w:p>
    <w:p w14:paraId="76E663BE">
      <w:pPr>
        <w:keepNext w:val="0"/>
        <w:keepLines w:val="0"/>
        <w:pageBreakBefore w:val="0"/>
        <w:widowControl w:val="0"/>
        <w:kinsoku/>
        <w:wordWrap/>
        <w:overflowPunct/>
        <w:topLinePunct w:val="0"/>
        <w:autoSpaceDE w:val="0"/>
        <w:autoSpaceDN w:val="0"/>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（所有成员单位名称）</w:t>
      </w:r>
      <w:r>
        <w:rPr>
          <w:rFonts w:hint="eastAsia" w:ascii="仿宋" w:hAnsi="仿宋" w:eastAsia="仿宋" w:cs="仿宋"/>
          <w:color w:val="auto"/>
          <w:sz w:val="24"/>
          <w:szCs w:val="24"/>
          <w:highlight w:val="none"/>
        </w:rPr>
        <w:t>自愿组成</w:t>
      </w:r>
      <w:r>
        <w:rPr>
          <w:rFonts w:hint="eastAsia" w:ascii="仿宋" w:hAnsi="仿宋" w:eastAsia="仿宋" w:cs="仿宋"/>
          <w:color w:val="auto"/>
          <w:sz w:val="24"/>
          <w:szCs w:val="24"/>
          <w:highlight w:val="none"/>
          <w:u w:val="single"/>
        </w:rPr>
        <w:t>（联合体名称）</w:t>
      </w:r>
      <w:r>
        <w:rPr>
          <w:rFonts w:hint="eastAsia" w:ascii="仿宋" w:hAnsi="仿宋" w:eastAsia="仿宋" w:cs="仿宋"/>
          <w:color w:val="auto"/>
          <w:sz w:val="24"/>
          <w:szCs w:val="24"/>
          <w:highlight w:val="none"/>
        </w:rPr>
        <w:t xml:space="preserve">联合体，共同参加 </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rPr>
        <w:t>投标。现就联合体投标事宜订立如下协议。</w:t>
      </w:r>
    </w:p>
    <w:p w14:paraId="4D53C45C">
      <w:pPr>
        <w:keepNext w:val="0"/>
        <w:keepLines w:val="0"/>
        <w:pageBreakBefore w:val="0"/>
        <w:widowControl w:val="0"/>
        <w:kinsoku/>
        <w:wordWrap/>
        <w:overflowPunct/>
        <w:topLinePunct w:val="0"/>
        <w:autoSpaceDE w:val="0"/>
        <w:autoSpaceDN w:val="0"/>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（某成员单位名称）</w:t>
      </w:r>
      <w:r>
        <w:rPr>
          <w:rFonts w:hint="eastAsia" w:ascii="仿宋" w:hAnsi="仿宋" w:eastAsia="仿宋" w:cs="仿宋"/>
          <w:color w:val="auto"/>
          <w:sz w:val="24"/>
          <w:szCs w:val="24"/>
          <w:highlight w:val="none"/>
        </w:rPr>
        <w:t>为</w:t>
      </w:r>
      <w:r>
        <w:rPr>
          <w:rFonts w:hint="eastAsia" w:ascii="仿宋" w:hAnsi="仿宋" w:eastAsia="仿宋" w:cs="仿宋"/>
          <w:color w:val="auto"/>
          <w:sz w:val="24"/>
          <w:szCs w:val="24"/>
          <w:highlight w:val="none"/>
          <w:u w:val="single"/>
        </w:rPr>
        <w:t>（联合体名称）</w:t>
      </w:r>
      <w:r>
        <w:rPr>
          <w:rFonts w:hint="eastAsia" w:ascii="仿宋" w:hAnsi="仿宋" w:eastAsia="仿宋" w:cs="仿宋"/>
          <w:color w:val="auto"/>
          <w:sz w:val="24"/>
          <w:szCs w:val="24"/>
          <w:highlight w:val="none"/>
        </w:rPr>
        <w:t>牵头人。</w:t>
      </w:r>
    </w:p>
    <w:p w14:paraId="19476B16">
      <w:pPr>
        <w:keepNext w:val="0"/>
        <w:keepLines w:val="0"/>
        <w:pageBreakBefore w:val="0"/>
        <w:widowControl w:val="0"/>
        <w:kinsoku/>
        <w:wordWrap/>
        <w:overflowPunct/>
        <w:topLinePunct w:val="0"/>
        <w:autoSpaceDE w:val="0"/>
        <w:autoSpaceDN w:val="0"/>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310C9810">
      <w:pPr>
        <w:keepNext w:val="0"/>
        <w:keepLines w:val="0"/>
        <w:pageBreakBefore w:val="0"/>
        <w:widowControl w:val="0"/>
        <w:kinsoku/>
        <w:wordWrap/>
        <w:overflowPunct/>
        <w:topLinePunct w:val="0"/>
        <w:autoSpaceDE w:val="0"/>
        <w:autoSpaceDN w:val="0"/>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3.联合体将严格按照招标文件的各项要求，递交投标文件，履行合同，并对外承担连带责任。</w:t>
      </w:r>
    </w:p>
    <w:p w14:paraId="2AA9D934">
      <w:pPr>
        <w:keepNext w:val="0"/>
        <w:keepLines w:val="0"/>
        <w:pageBreakBefore w:val="0"/>
        <w:widowControl w:val="0"/>
        <w:kinsoku/>
        <w:wordWrap/>
        <w:overflowPunct/>
        <w:topLinePunct w:val="0"/>
        <w:autoSpaceDE w:val="0"/>
        <w:autoSpaceDN w:val="0"/>
        <w:bidi w:val="0"/>
        <w:adjustRightInd/>
        <w:snapToGrid/>
        <w:spacing w:line="480" w:lineRule="exact"/>
        <w:ind w:firstLine="480"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联合体协议，明确约定各成员应承担的工作和责任，并将联合体协议连同投标文件一并提交给采购人。联合体成交的，联合体各方应当共同与采购人签订合同，就成交项目向采购人承担连带责任。</w:t>
      </w:r>
      <w:r>
        <w:rPr>
          <w:rFonts w:hint="eastAsia" w:ascii="仿宋" w:hAnsi="仿宋" w:eastAsia="仿宋" w:cs="仿宋"/>
          <w:b/>
          <w:bCs/>
          <w:color w:val="auto"/>
          <w:sz w:val="24"/>
          <w:szCs w:val="24"/>
          <w:highlight w:val="none"/>
        </w:rPr>
        <w:t>联合体各成员单位内部的职责分工如下：</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w:t>
      </w:r>
    </w:p>
    <w:p w14:paraId="3DE10FEE">
      <w:pPr>
        <w:keepNext w:val="0"/>
        <w:keepLines w:val="0"/>
        <w:pageBreakBefore w:val="0"/>
        <w:widowControl w:val="0"/>
        <w:kinsoku/>
        <w:wordWrap/>
        <w:overflowPunct/>
        <w:topLinePunct w:val="0"/>
        <w:autoSpaceDE w:val="0"/>
        <w:autoSpaceDN w:val="0"/>
        <w:bidi w:val="0"/>
        <w:adjustRightInd/>
        <w:snapToGrid/>
        <w:spacing w:line="480" w:lineRule="exact"/>
        <w:ind w:firstLine="480" w:firstLineChars="200"/>
        <w:jc w:val="left"/>
        <w:textAlignment w:val="auto"/>
        <w:rPr>
          <w:rFonts w:hint="eastAsia" w:ascii="仿宋" w:hAnsi="仿宋" w:eastAsia="仿宋" w:cs="仿宋"/>
          <w:b/>
          <w:bCs/>
          <w:color w:val="auto"/>
          <w:sz w:val="24"/>
          <w:szCs w:val="24"/>
          <w:highlight w:val="none"/>
          <w:u w:val="none"/>
          <w:lang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联合体中中小企业合同金额比例达到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如联合体成员均为中小企业的， 则自行确定合同金额比例。</w:t>
      </w:r>
      <w:r>
        <w:rPr>
          <w:rFonts w:hint="eastAsia" w:ascii="仿宋" w:hAnsi="仿宋" w:eastAsia="仿宋" w:cs="仿宋"/>
          <w:b/>
          <w:bCs/>
          <w:color w:val="auto"/>
          <w:sz w:val="24"/>
          <w:szCs w:val="24"/>
          <w:highlight w:val="none"/>
        </w:rPr>
        <w:t>联合体各成员分配比例如下：</w:t>
      </w:r>
      <w:r>
        <w:rPr>
          <w:rFonts w:hint="eastAsia" w:ascii="仿宋" w:hAnsi="仿宋" w:eastAsia="仿宋" w:cs="仿宋"/>
          <w:b/>
          <w:bCs/>
          <w:color w:val="auto"/>
          <w:sz w:val="24"/>
          <w:szCs w:val="24"/>
          <w:highlight w:val="none"/>
          <w:u w:val="single"/>
        </w:rPr>
        <w:tab/>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lang w:eastAsia="zh-CN"/>
        </w:rPr>
        <w:t>。</w:t>
      </w:r>
    </w:p>
    <w:p w14:paraId="49D0A009">
      <w:pPr>
        <w:keepNext w:val="0"/>
        <w:keepLines w:val="0"/>
        <w:pageBreakBefore w:val="0"/>
        <w:widowControl w:val="0"/>
        <w:kinsoku/>
        <w:wordWrap/>
        <w:overflowPunct/>
        <w:topLinePunct w:val="0"/>
        <w:autoSpaceDE w:val="0"/>
        <w:autoSpaceDN w:val="0"/>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联合体各成员方承诺满足招标文件的资格条件要求。</w:t>
      </w:r>
    </w:p>
    <w:p w14:paraId="7FAF9639">
      <w:pPr>
        <w:keepNext w:val="0"/>
        <w:keepLines w:val="0"/>
        <w:pageBreakBefore w:val="0"/>
        <w:widowControl w:val="0"/>
        <w:kinsoku/>
        <w:wordWrap/>
        <w:overflowPunct/>
        <w:topLinePunct w:val="0"/>
        <w:autoSpaceDE w:val="0"/>
        <w:autoSpaceDN w:val="0"/>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联合体各成员不得再以自己名义单独或加入其他联合体在同一标段中参加投标。</w:t>
      </w:r>
    </w:p>
    <w:p w14:paraId="23262274">
      <w:pPr>
        <w:keepNext w:val="0"/>
        <w:keepLines w:val="0"/>
        <w:pageBreakBefore w:val="0"/>
        <w:widowControl w:val="0"/>
        <w:kinsoku/>
        <w:wordWrap/>
        <w:overflowPunct/>
        <w:topLinePunct w:val="0"/>
        <w:autoSpaceDE w:val="0"/>
        <w:autoSpaceDN w:val="0"/>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联合体各成员均认同双方针对本项目的报价组成、 职责分工及人员投入等事宜。</w:t>
      </w:r>
    </w:p>
    <w:p w14:paraId="48141FDA">
      <w:pPr>
        <w:keepNext w:val="0"/>
        <w:keepLines w:val="0"/>
        <w:pageBreakBefore w:val="0"/>
        <w:widowControl w:val="0"/>
        <w:kinsoku/>
        <w:wordWrap/>
        <w:overflowPunct/>
        <w:topLinePunct w:val="0"/>
        <w:autoSpaceDE w:val="0"/>
        <w:autoSpaceDN w:val="0"/>
        <w:bidi w:val="0"/>
        <w:adjustRightInd/>
        <w:snapToGrid/>
        <w:spacing w:line="48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9.</w:t>
      </w:r>
      <w:r>
        <w:rPr>
          <w:rFonts w:hint="eastAsia" w:ascii="仿宋" w:hAnsi="仿宋" w:eastAsia="仿宋" w:cs="仿宋"/>
          <w:b/>
          <w:bCs/>
          <w:color w:val="auto"/>
          <w:sz w:val="24"/>
          <w:szCs w:val="24"/>
          <w:highlight w:val="none"/>
        </w:rPr>
        <w:t>联合投标体的牵头人在组织的投标文件、进行开标、签署相关的文件对成员方均具有法律约束力，双方承担由此所产生的一切责任。</w:t>
      </w:r>
    </w:p>
    <w:p w14:paraId="4F3B11B6">
      <w:pPr>
        <w:keepNext w:val="0"/>
        <w:keepLines w:val="0"/>
        <w:pageBreakBefore w:val="0"/>
        <w:widowControl w:val="0"/>
        <w:kinsoku/>
        <w:wordWrap/>
        <w:overflowPunct/>
        <w:topLinePunct w:val="0"/>
        <w:autoSpaceDE w:val="0"/>
        <w:autoSpaceDN w:val="0"/>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本协议书自签署之日起生效， 合同履行完毕后自动失效。</w:t>
      </w:r>
    </w:p>
    <w:p w14:paraId="46C44E4D">
      <w:pPr>
        <w:keepNext w:val="0"/>
        <w:keepLines w:val="0"/>
        <w:pageBreakBefore w:val="0"/>
        <w:widowControl w:val="0"/>
        <w:kinsoku/>
        <w:wordWrap/>
        <w:overflowPunct/>
        <w:topLinePunct/>
        <w:autoSpaceDE/>
        <w:autoSpaceDN/>
        <w:bidi w:val="0"/>
        <w:adjustRightInd/>
        <w:snapToGrid/>
        <w:spacing w:before="158" w:after="158" w:line="42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注：本协议书由委托代理人签字的，应附法定代表人签字的授权委托书。</w:t>
      </w:r>
    </w:p>
    <w:p w14:paraId="218BF2F8">
      <w:pPr>
        <w:keepNext w:val="0"/>
        <w:keepLines w:val="0"/>
        <w:pageBreakBefore w:val="0"/>
        <w:widowControl w:val="0"/>
        <w:kinsoku/>
        <w:wordWrap/>
        <w:overflowPunct/>
        <w:topLinePunct/>
        <w:autoSpaceDE/>
        <w:autoSpaceDN/>
        <w:bidi w:val="0"/>
        <w:adjustRightInd/>
        <w:snapToGrid/>
        <w:spacing w:before="158" w:after="158" w:line="3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联合体牵头人名称：（</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p>
    <w:p w14:paraId="7AF43C99">
      <w:pPr>
        <w:keepNext w:val="0"/>
        <w:keepLines w:val="0"/>
        <w:pageBreakBefore w:val="0"/>
        <w:widowControl w:val="0"/>
        <w:kinsoku/>
        <w:wordWrap/>
        <w:overflowPunct/>
        <w:topLinePunct/>
        <w:autoSpaceDE/>
        <w:autoSpaceDN/>
        <w:bidi w:val="0"/>
        <w:adjustRightInd/>
        <w:snapToGrid/>
        <w:spacing w:before="158" w:after="158" w:line="3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p>
    <w:p w14:paraId="72482C63">
      <w:pPr>
        <w:pStyle w:val="2"/>
        <w:keepNext w:val="0"/>
        <w:keepLines w:val="0"/>
        <w:pageBreakBefore w:val="0"/>
        <w:widowControl w:val="0"/>
        <w:kinsoku/>
        <w:wordWrap/>
        <w:overflowPunct/>
        <w:autoSpaceDE/>
        <w:autoSpaceDN/>
        <w:bidi w:val="0"/>
        <w:adjustRightInd/>
        <w:snapToGrid/>
        <w:spacing w:line="380" w:lineRule="exact"/>
        <w:textAlignment w:val="auto"/>
        <w:rPr>
          <w:rFonts w:hint="eastAsia"/>
          <w:color w:val="auto"/>
          <w:highlight w:val="none"/>
        </w:rPr>
      </w:pPr>
    </w:p>
    <w:p w14:paraId="78F8D756">
      <w:pPr>
        <w:keepNext w:val="0"/>
        <w:keepLines w:val="0"/>
        <w:pageBreakBefore w:val="0"/>
        <w:widowControl w:val="0"/>
        <w:kinsoku/>
        <w:wordWrap/>
        <w:overflowPunct/>
        <w:topLinePunct/>
        <w:autoSpaceDE/>
        <w:autoSpaceDN/>
        <w:bidi w:val="0"/>
        <w:adjustRightInd/>
        <w:snapToGrid/>
        <w:spacing w:before="158" w:after="158" w:line="3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联合体成员名称：（</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p>
    <w:p w14:paraId="5FBE1DFE">
      <w:pPr>
        <w:keepNext w:val="0"/>
        <w:keepLines w:val="0"/>
        <w:pageBreakBefore w:val="0"/>
        <w:widowControl w:val="0"/>
        <w:kinsoku/>
        <w:wordWrap/>
        <w:overflowPunct/>
        <w:topLinePunct/>
        <w:autoSpaceDE/>
        <w:autoSpaceDN/>
        <w:bidi w:val="0"/>
        <w:adjustRightInd/>
        <w:snapToGrid/>
        <w:spacing w:before="158" w:after="158" w:line="3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p>
    <w:p w14:paraId="1E351D45">
      <w:pPr>
        <w:keepNext w:val="0"/>
        <w:keepLines w:val="0"/>
        <w:pageBreakBefore w:val="0"/>
        <w:widowControl w:val="0"/>
        <w:kinsoku/>
        <w:wordWrap/>
        <w:overflowPunct/>
        <w:autoSpaceDE/>
        <w:autoSpaceDN/>
        <w:bidi w:val="0"/>
        <w:adjustRightInd/>
        <w:snapToGrid/>
        <w:spacing w:before="158" w:after="158" w:line="3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年月 日</w:t>
      </w:r>
    </w:p>
    <w:p w14:paraId="78E9E71E">
      <w:pPr>
        <w:keepNext w:val="0"/>
        <w:keepLines w:val="0"/>
        <w:pageBreakBefore w:val="0"/>
        <w:widowControl w:val="0"/>
        <w:kinsoku/>
        <w:wordWrap/>
        <w:overflowPunct/>
        <w:topLinePunct/>
        <w:autoSpaceDE/>
        <w:autoSpaceDN/>
        <w:bidi w:val="0"/>
        <w:adjustRightInd/>
        <w:snapToGrid/>
        <w:spacing w:before="158" w:after="158" w:line="380" w:lineRule="exact"/>
        <w:ind w:firstLine="480" w:firstLineChars="200"/>
        <w:jc w:val="left"/>
        <w:textAlignment w:val="auto"/>
        <w:rPr>
          <w:rFonts w:hint="eastAsia" w:ascii="仿宋" w:hAnsi="仿宋" w:eastAsia="仿宋" w:cs="仿宋"/>
          <w:b/>
          <w:color w:val="auto"/>
          <w:sz w:val="28"/>
          <w:szCs w:val="28"/>
          <w:highlight w:val="none"/>
        </w:rPr>
      </w:pPr>
      <w:r>
        <w:rPr>
          <w:rFonts w:hint="eastAsia" w:ascii="仿宋" w:hAnsi="仿宋" w:eastAsia="仿宋" w:cs="仿宋"/>
          <w:color w:val="auto"/>
          <w:sz w:val="24"/>
          <w:szCs w:val="24"/>
          <w:highlight w:val="none"/>
        </w:rPr>
        <w:t>注：以联合体形式参加投标的按要求提供。</w:t>
      </w:r>
    </w:p>
    <w:p w14:paraId="71E4B905">
      <w:pPr>
        <w:ind w:right="84"/>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六、</w:t>
      </w:r>
      <w:r>
        <w:rPr>
          <w:rFonts w:hint="eastAsia" w:ascii="仿宋" w:hAnsi="仿宋" w:eastAsia="仿宋" w:cs="仿宋"/>
          <w:b/>
          <w:color w:val="auto"/>
          <w:sz w:val="28"/>
          <w:szCs w:val="28"/>
          <w:highlight w:val="none"/>
        </w:rPr>
        <w:t>资格审查资料</w:t>
      </w:r>
    </w:p>
    <w:p w14:paraId="09038927">
      <w:pPr>
        <w:ind w:right="84"/>
        <w:jc w:val="center"/>
        <w:rPr>
          <w:rFonts w:hint="eastAsia" w:ascii="仿宋" w:hAnsi="仿宋" w:eastAsia="仿宋" w:cs="仿宋"/>
          <w:b/>
          <w:color w:val="auto"/>
          <w:sz w:val="28"/>
          <w:szCs w:val="22"/>
          <w:highlight w:val="none"/>
        </w:rPr>
      </w:pPr>
      <w:r>
        <w:rPr>
          <w:rFonts w:hint="eastAsia" w:ascii="仿宋" w:hAnsi="仿宋" w:eastAsia="仿宋" w:cs="仿宋"/>
          <w:b/>
          <w:color w:val="auto"/>
          <w:sz w:val="28"/>
          <w:szCs w:val="22"/>
          <w:highlight w:val="none"/>
        </w:rPr>
        <w:t>（一）</w:t>
      </w:r>
      <w:r>
        <w:rPr>
          <w:rFonts w:hint="eastAsia" w:ascii="仿宋" w:hAnsi="仿宋" w:eastAsia="仿宋" w:cs="仿宋"/>
          <w:b/>
          <w:color w:val="auto"/>
          <w:sz w:val="28"/>
          <w:szCs w:val="22"/>
          <w:highlight w:val="none"/>
          <w:lang w:eastAsia="zh-CN"/>
        </w:rPr>
        <w:t>投标人</w:t>
      </w:r>
      <w:r>
        <w:rPr>
          <w:rFonts w:hint="eastAsia" w:ascii="仿宋" w:hAnsi="仿宋" w:eastAsia="仿宋" w:cs="仿宋"/>
          <w:b/>
          <w:color w:val="auto"/>
          <w:sz w:val="28"/>
          <w:szCs w:val="22"/>
          <w:highlight w:val="none"/>
        </w:rPr>
        <w:t>基本情况</w:t>
      </w:r>
    </w:p>
    <w:tbl>
      <w:tblPr>
        <w:tblStyle w:val="5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5"/>
        <w:gridCol w:w="947"/>
        <w:gridCol w:w="867"/>
        <w:gridCol w:w="824"/>
        <w:gridCol w:w="412"/>
        <w:gridCol w:w="304"/>
        <w:gridCol w:w="1206"/>
        <w:gridCol w:w="914"/>
        <w:gridCol w:w="1235"/>
      </w:tblGrid>
      <w:tr w14:paraId="37D984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1695" w:type="dxa"/>
            <w:tcBorders>
              <w:top w:val="single" w:color="auto" w:sz="4" w:space="0"/>
              <w:left w:val="single" w:color="auto" w:sz="4" w:space="0"/>
              <w:bottom w:val="single" w:color="auto" w:sz="4" w:space="0"/>
              <w:right w:val="single" w:color="auto" w:sz="4" w:space="0"/>
            </w:tcBorders>
            <w:noWrap/>
            <w:vAlign w:val="center"/>
          </w:tcPr>
          <w:p w14:paraId="1DE86A54">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投标人</w:t>
            </w:r>
            <w:r>
              <w:rPr>
                <w:rFonts w:hint="eastAsia" w:ascii="仿宋" w:hAnsi="仿宋" w:eastAsia="仿宋" w:cs="宋体"/>
                <w:color w:val="auto"/>
                <w:sz w:val="24"/>
                <w:szCs w:val="24"/>
                <w:highlight w:val="none"/>
              </w:rPr>
              <w:t>名称</w:t>
            </w:r>
          </w:p>
        </w:tc>
        <w:tc>
          <w:tcPr>
            <w:tcW w:w="6709" w:type="dxa"/>
            <w:gridSpan w:val="8"/>
            <w:tcBorders>
              <w:top w:val="single" w:color="auto" w:sz="4" w:space="0"/>
              <w:left w:val="single" w:color="auto" w:sz="4" w:space="0"/>
              <w:bottom w:val="single" w:color="auto" w:sz="4" w:space="0"/>
              <w:right w:val="single" w:color="auto" w:sz="4" w:space="0"/>
            </w:tcBorders>
            <w:noWrap/>
            <w:vAlign w:val="center"/>
          </w:tcPr>
          <w:p w14:paraId="63851825">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2D3C34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9" w:hRule="atLeast"/>
          <w:jc w:val="center"/>
        </w:trPr>
        <w:tc>
          <w:tcPr>
            <w:tcW w:w="1695" w:type="dxa"/>
            <w:tcBorders>
              <w:top w:val="single" w:color="auto" w:sz="4" w:space="0"/>
              <w:left w:val="single" w:color="auto" w:sz="4" w:space="0"/>
              <w:bottom w:val="single" w:color="auto" w:sz="4" w:space="0"/>
              <w:right w:val="single" w:color="auto" w:sz="4" w:space="0"/>
            </w:tcBorders>
            <w:noWrap/>
            <w:vAlign w:val="center"/>
          </w:tcPr>
          <w:p w14:paraId="05430757">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注册地址</w:t>
            </w:r>
          </w:p>
        </w:tc>
        <w:tc>
          <w:tcPr>
            <w:tcW w:w="3354" w:type="dxa"/>
            <w:gridSpan w:val="5"/>
            <w:tcBorders>
              <w:top w:val="single" w:color="auto" w:sz="4" w:space="0"/>
              <w:left w:val="single" w:color="auto" w:sz="4" w:space="0"/>
              <w:bottom w:val="single" w:color="auto" w:sz="4" w:space="0"/>
              <w:right w:val="single" w:color="auto" w:sz="4" w:space="0"/>
            </w:tcBorders>
            <w:noWrap/>
            <w:vAlign w:val="center"/>
          </w:tcPr>
          <w:p w14:paraId="142E3E33">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206" w:type="dxa"/>
            <w:tcBorders>
              <w:top w:val="single" w:color="auto" w:sz="4" w:space="0"/>
              <w:left w:val="single" w:color="auto" w:sz="4" w:space="0"/>
              <w:bottom w:val="single" w:color="auto" w:sz="4" w:space="0"/>
              <w:right w:val="single" w:color="auto" w:sz="4" w:space="0"/>
            </w:tcBorders>
            <w:noWrap/>
            <w:vAlign w:val="center"/>
          </w:tcPr>
          <w:p w14:paraId="080BAED2">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邮政编码</w:t>
            </w:r>
          </w:p>
        </w:tc>
        <w:tc>
          <w:tcPr>
            <w:tcW w:w="2149" w:type="dxa"/>
            <w:gridSpan w:val="2"/>
            <w:tcBorders>
              <w:top w:val="single" w:color="auto" w:sz="4" w:space="0"/>
              <w:left w:val="single" w:color="auto" w:sz="4" w:space="0"/>
              <w:bottom w:val="single" w:color="auto" w:sz="4" w:space="0"/>
              <w:right w:val="single" w:color="auto" w:sz="4" w:space="0"/>
            </w:tcBorders>
            <w:noWrap/>
            <w:vAlign w:val="center"/>
          </w:tcPr>
          <w:p w14:paraId="1350ECCB">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2959F3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3" w:hRule="atLeast"/>
          <w:jc w:val="center"/>
        </w:trPr>
        <w:tc>
          <w:tcPr>
            <w:tcW w:w="1695" w:type="dxa"/>
            <w:vMerge w:val="restart"/>
            <w:tcBorders>
              <w:top w:val="single" w:color="auto" w:sz="4" w:space="0"/>
              <w:left w:val="single" w:color="auto" w:sz="4" w:space="0"/>
              <w:bottom w:val="single" w:color="auto" w:sz="4" w:space="0"/>
              <w:right w:val="single" w:color="auto" w:sz="4" w:space="0"/>
            </w:tcBorders>
            <w:noWrap/>
            <w:vAlign w:val="center"/>
          </w:tcPr>
          <w:p w14:paraId="22A9BBCF">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联系方式</w:t>
            </w:r>
          </w:p>
        </w:tc>
        <w:tc>
          <w:tcPr>
            <w:tcW w:w="947" w:type="dxa"/>
            <w:tcBorders>
              <w:top w:val="single" w:color="auto" w:sz="4" w:space="0"/>
              <w:left w:val="single" w:color="auto" w:sz="4" w:space="0"/>
              <w:bottom w:val="single" w:color="auto" w:sz="4" w:space="0"/>
              <w:right w:val="single" w:color="auto" w:sz="4" w:space="0"/>
            </w:tcBorders>
            <w:noWrap/>
            <w:vAlign w:val="center"/>
          </w:tcPr>
          <w:p w14:paraId="6672B76D">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联系人</w:t>
            </w:r>
          </w:p>
        </w:tc>
        <w:tc>
          <w:tcPr>
            <w:tcW w:w="2407" w:type="dxa"/>
            <w:gridSpan w:val="4"/>
            <w:tcBorders>
              <w:top w:val="single" w:color="auto" w:sz="4" w:space="0"/>
              <w:left w:val="single" w:color="auto" w:sz="4" w:space="0"/>
              <w:bottom w:val="single" w:color="auto" w:sz="4" w:space="0"/>
              <w:right w:val="single" w:color="auto" w:sz="4" w:space="0"/>
            </w:tcBorders>
            <w:noWrap/>
            <w:vAlign w:val="center"/>
          </w:tcPr>
          <w:p w14:paraId="6C154400">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206" w:type="dxa"/>
            <w:tcBorders>
              <w:top w:val="single" w:color="auto" w:sz="4" w:space="0"/>
              <w:left w:val="single" w:color="auto" w:sz="4" w:space="0"/>
              <w:bottom w:val="single" w:color="auto" w:sz="4" w:space="0"/>
              <w:right w:val="single" w:color="auto" w:sz="4" w:space="0"/>
            </w:tcBorders>
            <w:noWrap/>
            <w:vAlign w:val="center"/>
          </w:tcPr>
          <w:p w14:paraId="1CAAAE2E">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电 话</w:t>
            </w:r>
          </w:p>
        </w:tc>
        <w:tc>
          <w:tcPr>
            <w:tcW w:w="2149" w:type="dxa"/>
            <w:gridSpan w:val="2"/>
            <w:tcBorders>
              <w:top w:val="single" w:color="auto" w:sz="4" w:space="0"/>
              <w:left w:val="single" w:color="auto" w:sz="4" w:space="0"/>
              <w:bottom w:val="single" w:color="auto" w:sz="4" w:space="0"/>
              <w:right w:val="single" w:color="auto" w:sz="4" w:space="0"/>
            </w:tcBorders>
            <w:noWrap/>
            <w:vAlign w:val="center"/>
          </w:tcPr>
          <w:p w14:paraId="477ECFE1">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7DB553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0" w:hRule="atLeast"/>
          <w:jc w:val="center"/>
        </w:trPr>
        <w:tc>
          <w:tcPr>
            <w:tcW w:w="1695" w:type="dxa"/>
            <w:vMerge w:val="continue"/>
            <w:tcBorders>
              <w:top w:val="single" w:color="auto" w:sz="4" w:space="0"/>
              <w:left w:val="single" w:color="auto" w:sz="4" w:space="0"/>
              <w:bottom w:val="single" w:color="auto" w:sz="4" w:space="0"/>
              <w:right w:val="single" w:color="auto" w:sz="4" w:space="0"/>
            </w:tcBorders>
            <w:noWrap/>
            <w:vAlign w:val="center"/>
          </w:tcPr>
          <w:p w14:paraId="0F85AD87">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947" w:type="dxa"/>
            <w:tcBorders>
              <w:top w:val="single" w:color="auto" w:sz="4" w:space="0"/>
              <w:left w:val="single" w:color="auto" w:sz="4" w:space="0"/>
              <w:bottom w:val="single" w:color="auto" w:sz="4" w:space="0"/>
              <w:right w:val="single" w:color="auto" w:sz="4" w:space="0"/>
            </w:tcBorders>
            <w:noWrap/>
            <w:vAlign w:val="center"/>
          </w:tcPr>
          <w:p w14:paraId="5F1629F6">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传  真</w:t>
            </w:r>
          </w:p>
        </w:tc>
        <w:tc>
          <w:tcPr>
            <w:tcW w:w="2407" w:type="dxa"/>
            <w:gridSpan w:val="4"/>
            <w:tcBorders>
              <w:top w:val="single" w:color="auto" w:sz="4" w:space="0"/>
              <w:left w:val="single" w:color="auto" w:sz="4" w:space="0"/>
              <w:bottom w:val="single" w:color="auto" w:sz="4" w:space="0"/>
              <w:right w:val="single" w:color="auto" w:sz="4" w:space="0"/>
            </w:tcBorders>
            <w:noWrap/>
            <w:vAlign w:val="center"/>
          </w:tcPr>
          <w:p w14:paraId="59C2FE14">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206" w:type="dxa"/>
            <w:tcBorders>
              <w:top w:val="single" w:color="auto" w:sz="4" w:space="0"/>
              <w:left w:val="single" w:color="auto" w:sz="4" w:space="0"/>
              <w:bottom w:val="single" w:color="auto" w:sz="4" w:space="0"/>
              <w:right w:val="single" w:color="auto" w:sz="4" w:space="0"/>
            </w:tcBorders>
            <w:noWrap/>
            <w:vAlign w:val="center"/>
          </w:tcPr>
          <w:p w14:paraId="67A240FE">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网 址</w:t>
            </w:r>
          </w:p>
        </w:tc>
        <w:tc>
          <w:tcPr>
            <w:tcW w:w="2149" w:type="dxa"/>
            <w:gridSpan w:val="2"/>
            <w:tcBorders>
              <w:top w:val="single" w:color="auto" w:sz="4" w:space="0"/>
              <w:left w:val="single" w:color="auto" w:sz="4" w:space="0"/>
              <w:bottom w:val="single" w:color="auto" w:sz="4" w:space="0"/>
              <w:right w:val="single" w:color="auto" w:sz="4" w:space="0"/>
            </w:tcBorders>
            <w:noWrap/>
            <w:vAlign w:val="center"/>
          </w:tcPr>
          <w:p w14:paraId="3F3B039C">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49D0A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1695" w:type="dxa"/>
            <w:tcBorders>
              <w:top w:val="single" w:color="auto" w:sz="4" w:space="0"/>
              <w:left w:val="single" w:color="auto" w:sz="4" w:space="0"/>
              <w:bottom w:val="single" w:color="auto" w:sz="4" w:space="0"/>
              <w:right w:val="single" w:color="auto" w:sz="4" w:space="0"/>
            </w:tcBorders>
            <w:noWrap/>
            <w:vAlign w:val="center"/>
          </w:tcPr>
          <w:p w14:paraId="52FB2224">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组织结构</w:t>
            </w:r>
          </w:p>
        </w:tc>
        <w:tc>
          <w:tcPr>
            <w:tcW w:w="6709" w:type="dxa"/>
            <w:gridSpan w:val="8"/>
            <w:tcBorders>
              <w:top w:val="single" w:color="auto" w:sz="4" w:space="0"/>
              <w:left w:val="single" w:color="auto" w:sz="4" w:space="0"/>
              <w:bottom w:val="single" w:color="auto" w:sz="4" w:space="0"/>
              <w:right w:val="single" w:color="auto" w:sz="4" w:space="0"/>
            </w:tcBorders>
            <w:noWrap/>
            <w:vAlign w:val="center"/>
          </w:tcPr>
          <w:p w14:paraId="65B9335C">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165B2D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1695" w:type="dxa"/>
            <w:tcBorders>
              <w:top w:val="single" w:color="auto" w:sz="4" w:space="0"/>
              <w:left w:val="single" w:color="auto" w:sz="4" w:space="0"/>
              <w:bottom w:val="single" w:color="auto" w:sz="4" w:space="0"/>
              <w:right w:val="single" w:color="auto" w:sz="4" w:space="0"/>
            </w:tcBorders>
            <w:noWrap/>
            <w:vAlign w:val="center"/>
          </w:tcPr>
          <w:p w14:paraId="408D7976">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法定代表人</w:t>
            </w:r>
          </w:p>
        </w:tc>
        <w:tc>
          <w:tcPr>
            <w:tcW w:w="947" w:type="dxa"/>
            <w:tcBorders>
              <w:top w:val="single" w:color="auto" w:sz="4" w:space="0"/>
              <w:left w:val="single" w:color="auto" w:sz="4" w:space="0"/>
              <w:bottom w:val="single" w:color="auto" w:sz="4" w:space="0"/>
              <w:right w:val="single" w:color="auto" w:sz="4" w:space="0"/>
            </w:tcBorders>
            <w:noWrap/>
            <w:vAlign w:val="center"/>
          </w:tcPr>
          <w:p w14:paraId="446A3887">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姓</w:t>
            </w:r>
            <w:r>
              <w:rPr>
                <w:rFonts w:hint="eastAsia" w:ascii="仿宋" w:hAnsi="仿宋" w:eastAsia="仿宋" w:cs="宋体"/>
                <w:color w:val="auto"/>
                <w:sz w:val="24"/>
                <w:szCs w:val="24"/>
                <w:highlight w:val="none"/>
                <w:lang w:val="en-US" w:eastAsia="zh-CN"/>
              </w:rPr>
              <w:t xml:space="preserve">  </w:t>
            </w:r>
            <w:r>
              <w:rPr>
                <w:rFonts w:hint="eastAsia" w:ascii="仿宋" w:hAnsi="仿宋" w:eastAsia="仿宋" w:cs="宋体"/>
                <w:color w:val="auto"/>
                <w:sz w:val="24"/>
                <w:szCs w:val="24"/>
                <w:highlight w:val="none"/>
              </w:rPr>
              <w:t>名</w:t>
            </w:r>
          </w:p>
        </w:tc>
        <w:tc>
          <w:tcPr>
            <w:tcW w:w="867" w:type="dxa"/>
            <w:tcBorders>
              <w:top w:val="single" w:color="auto" w:sz="4" w:space="0"/>
              <w:left w:val="single" w:color="auto" w:sz="4" w:space="0"/>
              <w:bottom w:val="single" w:color="auto" w:sz="4" w:space="0"/>
              <w:right w:val="single" w:color="auto" w:sz="4" w:space="0"/>
            </w:tcBorders>
            <w:noWrap/>
            <w:vAlign w:val="center"/>
          </w:tcPr>
          <w:p w14:paraId="456AE5A4">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236" w:type="dxa"/>
            <w:gridSpan w:val="2"/>
            <w:tcBorders>
              <w:top w:val="single" w:color="auto" w:sz="4" w:space="0"/>
              <w:left w:val="single" w:color="auto" w:sz="4" w:space="0"/>
              <w:bottom w:val="single" w:color="auto" w:sz="4" w:space="0"/>
              <w:right w:val="single" w:color="auto" w:sz="4" w:space="0"/>
            </w:tcBorders>
            <w:noWrap/>
            <w:vAlign w:val="center"/>
          </w:tcPr>
          <w:p w14:paraId="6E734E7F">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技术职称</w:t>
            </w:r>
          </w:p>
        </w:tc>
        <w:tc>
          <w:tcPr>
            <w:tcW w:w="1510" w:type="dxa"/>
            <w:gridSpan w:val="2"/>
            <w:tcBorders>
              <w:top w:val="single" w:color="auto" w:sz="4" w:space="0"/>
              <w:left w:val="single" w:color="auto" w:sz="4" w:space="0"/>
              <w:bottom w:val="single" w:color="auto" w:sz="4" w:space="0"/>
              <w:right w:val="single" w:color="auto" w:sz="4" w:space="0"/>
            </w:tcBorders>
            <w:noWrap/>
            <w:vAlign w:val="center"/>
          </w:tcPr>
          <w:p w14:paraId="50E14639">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ign w:val="center"/>
          </w:tcPr>
          <w:p w14:paraId="1708C2E3">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电话</w:t>
            </w:r>
          </w:p>
        </w:tc>
        <w:tc>
          <w:tcPr>
            <w:tcW w:w="1235" w:type="dxa"/>
            <w:tcBorders>
              <w:top w:val="single" w:color="auto" w:sz="4" w:space="0"/>
              <w:left w:val="single" w:color="auto" w:sz="4" w:space="0"/>
              <w:bottom w:val="single" w:color="auto" w:sz="4" w:space="0"/>
              <w:right w:val="single" w:color="auto" w:sz="4" w:space="0"/>
            </w:tcBorders>
            <w:noWrap/>
            <w:vAlign w:val="center"/>
          </w:tcPr>
          <w:p w14:paraId="5A735631">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3E1EEA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jc w:val="center"/>
        </w:trPr>
        <w:tc>
          <w:tcPr>
            <w:tcW w:w="1695" w:type="dxa"/>
            <w:tcBorders>
              <w:top w:val="single" w:color="auto" w:sz="4" w:space="0"/>
              <w:left w:val="single" w:color="auto" w:sz="4" w:space="0"/>
              <w:bottom w:val="single" w:color="auto" w:sz="4" w:space="0"/>
              <w:right w:val="single" w:color="auto" w:sz="4" w:space="0"/>
            </w:tcBorders>
            <w:noWrap/>
            <w:vAlign w:val="center"/>
          </w:tcPr>
          <w:p w14:paraId="2D2F8BE5">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技术负责人</w:t>
            </w:r>
          </w:p>
        </w:tc>
        <w:tc>
          <w:tcPr>
            <w:tcW w:w="947" w:type="dxa"/>
            <w:tcBorders>
              <w:top w:val="single" w:color="auto" w:sz="4" w:space="0"/>
              <w:left w:val="single" w:color="auto" w:sz="4" w:space="0"/>
              <w:bottom w:val="single" w:color="auto" w:sz="4" w:space="0"/>
              <w:right w:val="single" w:color="auto" w:sz="4" w:space="0"/>
            </w:tcBorders>
            <w:noWrap/>
            <w:vAlign w:val="center"/>
          </w:tcPr>
          <w:p w14:paraId="144D5D48">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姓</w:t>
            </w:r>
            <w:r>
              <w:rPr>
                <w:rFonts w:hint="eastAsia" w:ascii="仿宋" w:hAnsi="仿宋" w:eastAsia="仿宋" w:cs="宋体"/>
                <w:color w:val="auto"/>
                <w:sz w:val="24"/>
                <w:szCs w:val="24"/>
                <w:highlight w:val="none"/>
                <w:lang w:val="en-US" w:eastAsia="zh-CN"/>
              </w:rPr>
              <w:t xml:space="preserve">  </w:t>
            </w:r>
            <w:r>
              <w:rPr>
                <w:rFonts w:hint="eastAsia" w:ascii="仿宋" w:hAnsi="仿宋" w:eastAsia="仿宋" w:cs="宋体"/>
                <w:color w:val="auto"/>
                <w:sz w:val="24"/>
                <w:szCs w:val="24"/>
                <w:highlight w:val="none"/>
              </w:rPr>
              <w:t>名</w:t>
            </w:r>
          </w:p>
        </w:tc>
        <w:tc>
          <w:tcPr>
            <w:tcW w:w="867" w:type="dxa"/>
            <w:tcBorders>
              <w:top w:val="single" w:color="auto" w:sz="4" w:space="0"/>
              <w:left w:val="single" w:color="auto" w:sz="4" w:space="0"/>
              <w:bottom w:val="single" w:color="auto" w:sz="4" w:space="0"/>
              <w:right w:val="single" w:color="auto" w:sz="4" w:space="0"/>
            </w:tcBorders>
            <w:noWrap/>
            <w:vAlign w:val="center"/>
          </w:tcPr>
          <w:p w14:paraId="64712ABE">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236" w:type="dxa"/>
            <w:gridSpan w:val="2"/>
            <w:tcBorders>
              <w:top w:val="single" w:color="auto" w:sz="4" w:space="0"/>
              <w:left w:val="single" w:color="auto" w:sz="4" w:space="0"/>
              <w:bottom w:val="single" w:color="auto" w:sz="4" w:space="0"/>
              <w:right w:val="single" w:color="auto" w:sz="4" w:space="0"/>
            </w:tcBorders>
            <w:noWrap/>
            <w:vAlign w:val="center"/>
          </w:tcPr>
          <w:p w14:paraId="234CDDC1">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技术职称</w:t>
            </w:r>
          </w:p>
        </w:tc>
        <w:tc>
          <w:tcPr>
            <w:tcW w:w="1510" w:type="dxa"/>
            <w:gridSpan w:val="2"/>
            <w:tcBorders>
              <w:top w:val="single" w:color="auto" w:sz="4" w:space="0"/>
              <w:left w:val="single" w:color="auto" w:sz="4" w:space="0"/>
              <w:bottom w:val="single" w:color="auto" w:sz="4" w:space="0"/>
              <w:right w:val="single" w:color="auto" w:sz="4" w:space="0"/>
            </w:tcBorders>
            <w:noWrap/>
            <w:vAlign w:val="center"/>
          </w:tcPr>
          <w:p w14:paraId="081D6E43">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ign w:val="center"/>
          </w:tcPr>
          <w:p w14:paraId="2A45A768">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电话</w:t>
            </w:r>
          </w:p>
        </w:tc>
        <w:tc>
          <w:tcPr>
            <w:tcW w:w="1235" w:type="dxa"/>
            <w:tcBorders>
              <w:top w:val="single" w:color="auto" w:sz="4" w:space="0"/>
              <w:left w:val="single" w:color="auto" w:sz="4" w:space="0"/>
              <w:bottom w:val="single" w:color="auto" w:sz="4" w:space="0"/>
              <w:right w:val="single" w:color="auto" w:sz="4" w:space="0"/>
            </w:tcBorders>
            <w:noWrap/>
            <w:vAlign w:val="center"/>
          </w:tcPr>
          <w:p w14:paraId="31AAEFD2">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1D763B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9" w:hRule="atLeast"/>
          <w:jc w:val="center"/>
        </w:trPr>
        <w:tc>
          <w:tcPr>
            <w:tcW w:w="1695" w:type="dxa"/>
            <w:tcBorders>
              <w:top w:val="single" w:color="auto" w:sz="4" w:space="0"/>
              <w:left w:val="single" w:color="auto" w:sz="4" w:space="0"/>
              <w:bottom w:val="single" w:color="auto" w:sz="4" w:space="0"/>
              <w:right w:val="single" w:color="auto" w:sz="4" w:space="0"/>
            </w:tcBorders>
            <w:noWrap/>
            <w:vAlign w:val="center"/>
          </w:tcPr>
          <w:p w14:paraId="4D8194BA">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成立时间</w:t>
            </w:r>
          </w:p>
        </w:tc>
        <w:tc>
          <w:tcPr>
            <w:tcW w:w="1814" w:type="dxa"/>
            <w:gridSpan w:val="2"/>
            <w:tcBorders>
              <w:top w:val="single" w:color="auto" w:sz="4" w:space="0"/>
              <w:left w:val="single" w:color="auto" w:sz="4" w:space="0"/>
              <w:bottom w:val="single" w:color="auto" w:sz="4" w:space="0"/>
              <w:right w:val="single" w:color="auto" w:sz="4" w:space="0"/>
            </w:tcBorders>
            <w:noWrap/>
            <w:vAlign w:val="center"/>
          </w:tcPr>
          <w:p w14:paraId="23B5AC70">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4895" w:type="dxa"/>
            <w:gridSpan w:val="6"/>
            <w:tcBorders>
              <w:top w:val="single" w:color="auto" w:sz="4" w:space="0"/>
              <w:left w:val="single" w:color="auto" w:sz="4" w:space="0"/>
              <w:bottom w:val="single" w:color="auto" w:sz="4" w:space="0"/>
              <w:right w:val="single" w:color="auto" w:sz="4" w:space="0"/>
            </w:tcBorders>
            <w:noWrap/>
            <w:vAlign w:val="center"/>
          </w:tcPr>
          <w:p w14:paraId="2A9DF2C9">
            <w:pPr>
              <w:keepNext w:val="0"/>
              <w:keepLines w:val="0"/>
              <w:suppressLineNumbers w:val="0"/>
              <w:topLinePunct/>
              <w:spacing w:before="0" w:beforeAutospacing="0" w:after="0" w:afterAutospacing="0" w:line="360" w:lineRule="auto"/>
              <w:ind w:left="0" w:right="0" w:firstLine="120" w:firstLineChars="5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员工总人数：</w:t>
            </w:r>
          </w:p>
        </w:tc>
      </w:tr>
      <w:tr w14:paraId="682D38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58" w:hRule="atLeast"/>
          <w:jc w:val="center"/>
        </w:trPr>
        <w:tc>
          <w:tcPr>
            <w:tcW w:w="1695" w:type="dxa"/>
            <w:tcBorders>
              <w:top w:val="single" w:color="auto" w:sz="4" w:space="0"/>
              <w:left w:val="single" w:color="auto" w:sz="4" w:space="0"/>
              <w:bottom w:val="single" w:color="auto" w:sz="4" w:space="0"/>
              <w:right w:val="single" w:color="auto" w:sz="4" w:space="0"/>
            </w:tcBorders>
            <w:noWrap/>
            <w:vAlign w:val="center"/>
          </w:tcPr>
          <w:p w14:paraId="6818D601">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企业资质等级</w:t>
            </w:r>
          </w:p>
        </w:tc>
        <w:tc>
          <w:tcPr>
            <w:tcW w:w="1814" w:type="dxa"/>
            <w:gridSpan w:val="2"/>
            <w:tcBorders>
              <w:top w:val="single" w:color="auto" w:sz="4" w:space="0"/>
              <w:left w:val="single" w:color="auto" w:sz="4" w:space="0"/>
              <w:bottom w:val="single" w:color="auto" w:sz="4" w:space="0"/>
              <w:right w:val="single" w:color="auto" w:sz="4" w:space="0"/>
            </w:tcBorders>
            <w:noWrap/>
            <w:vAlign w:val="center"/>
          </w:tcPr>
          <w:p w14:paraId="6DE894C2">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824" w:type="dxa"/>
            <w:vMerge w:val="restart"/>
            <w:tcBorders>
              <w:top w:val="single" w:color="auto" w:sz="4" w:space="0"/>
              <w:left w:val="single" w:color="auto" w:sz="4" w:space="0"/>
              <w:bottom w:val="single" w:color="auto" w:sz="4" w:space="0"/>
              <w:right w:val="single" w:color="auto" w:sz="4" w:space="0"/>
            </w:tcBorders>
            <w:noWrap/>
            <w:vAlign w:val="center"/>
          </w:tcPr>
          <w:p w14:paraId="423937AA">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其中</w:t>
            </w:r>
          </w:p>
        </w:tc>
        <w:tc>
          <w:tcPr>
            <w:tcW w:w="1922" w:type="dxa"/>
            <w:gridSpan w:val="3"/>
            <w:tcBorders>
              <w:top w:val="single" w:color="auto" w:sz="4" w:space="0"/>
              <w:left w:val="single" w:color="auto" w:sz="4" w:space="0"/>
              <w:bottom w:val="single" w:color="auto" w:sz="4" w:space="0"/>
              <w:right w:val="single" w:color="auto" w:sz="4" w:space="0"/>
            </w:tcBorders>
            <w:noWrap/>
            <w:vAlign w:val="center"/>
          </w:tcPr>
          <w:p w14:paraId="460047C1">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项目经理</w:t>
            </w:r>
          </w:p>
        </w:tc>
        <w:tc>
          <w:tcPr>
            <w:tcW w:w="2149" w:type="dxa"/>
            <w:gridSpan w:val="2"/>
            <w:tcBorders>
              <w:top w:val="single" w:color="auto" w:sz="4" w:space="0"/>
              <w:left w:val="single" w:color="auto" w:sz="4" w:space="0"/>
              <w:bottom w:val="single" w:color="auto" w:sz="4" w:space="0"/>
              <w:right w:val="single" w:color="auto" w:sz="4" w:space="0"/>
            </w:tcBorders>
            <w:noWrap/>
            <w:vAlign w:val="center"/>
          </w:tcPr>
          <w:p w14:paraId="1B508D07">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67932E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8" w:hRule="atLeast"/>
          <w:jc w:val="center"/>
        </w:trPr>
        <w:tc>
          <w:tcPr>
            <w:tcW w:w="1695" w:type="dxa"/>
            <w:tcBorders>
              <w:top w:val="single" w:color="auto" w:sz="4" w:space="0"/>
              <w:left w:val="single" w:color="auto" w:sz="4" w:space="0"/>
              <w:bottom w:val="single" w:color="auto" w:sz="4" w:space="0"/>
              <w:right w:val="single" w:color="auto" w:sz="4" w:space="0"/>
            </w:tcBorders>
            <w:noWrap/>
            <w:vAlign w:val="center"/>
          </w:tcPr>
          <w:p w14:paraId="625C7853">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营业执照号</w:t>
            </w:r>
          </w:p>
        </w:tc>
        <w:tc>
          <w:tcPr>
            <w:tcW w:w="1814" w:type="dxa"/>
            <w:gridSpan w:val="2"/>
            <w:tcBorders>
              <w:top w:val="single" w:color="auto" w:sz="4" w:space="0"/>
              <w:left w:val="single" w:color="auto" w:sz="4" w:space="0"/>
              <w:bottom w:val="single" w:color="auto" w:sz="4" w:space="0"/>
              <w:right w:val="single" w:color="auto" w:sz="4" w:space="0"/>
            </w:tcBorders>
            <w:noWrap/>
            <w:vAlign w:val="center"/>
          </w:tcPr>
          <w:p w14:paraId="761BBA32">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824" w:type="dxa"/>
            <w:vMerge w:val="continue"/>
            <w:tcBorders>
              <w:top w:val="single" w:color="auto" w:sz="4" w:space="0"/>
              <w:left w:val="single" w:color="auto" w:sz="4" w:space="0"/>
              <w:bottom w:val="single" w:color="auto" w:sz="4" w:space="0"/>
              <w:right w:val="single" w:color="auto" w:sz="4" w:space="0"/>
            </w:tcBorders>
            <w:noWrap/>
            <w:vAlign w:val="center"/>
          </w:tcPr>
          <w:p w14:paraId="41B4D181">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922" w:type="dxa"/>
            <w:gridSpan w:val="3"/>
            <w:tcBorders>
              <w:top w:val="single" w:color="auto" w:sz="4" w:space="0"/>
              <w:left w:val="single" w:color="auto" w:sz="4" w:space="0"/>
              <w:bottom w:val="single" w:color="auto" w:sz="4" w:space="0"/>
              <w:right w:val="single" w:color="auto" w:sz="4" w:space="0"/>
            </w:tcBorders>
            <w:noWrap/>
            <w:vAlign w:val="center"/>
          </w:tcPr>
          <w:p w14:paraId="2C38F740">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高级职称人员</w:t>
            </w:r>
          </w:p>
        </w:tc>
        <w:tc>
          <w:tcPr>
            <w:tcW w:w="2149" w:type="dxa"/>
            <w:gridSpan w:val="2"/>
            <w:tcBorders>
              <w:top w:val="single" w:color="auto" w:sz="4" w:space="0"/>
              <w:left w:val="single" w:color="auto" w:sz="4" w:space="0"/>
              <w:bottom w:val="single" w:color="auto" w:sz="4" w:space="0"/>
              <w:right w:val="single" w:color="auto" w:sz="4" w:space="0"/>
            </w:tcBorders>
            <w:noWrap/>
            <w:vAlign w:val="center"/>
          </w:tcPr>
          <w:p w14:paraId="410CC54D">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6586CD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2" w:hRule="atLeast"/>
          <w:jc w:val="center"/>
        </w:trPr>
        <w:tc>
          <w:tcPr>
            <w:tcW w:w="1695" w:type="dxa"/>
            <w:tcBorders>
              <w:top w:val="single" w:color="auto" w:sz="4" w:space="0"/>
              <w:left w:val="single" w:color="auto" w:sz="4" w:space="0"/>
              <w:bottom w:val="single" w:color="auto" w:sz="4" w:space="0"/>
              <w:right w:val="single" w:color="auto" w:sz="4" w:space="0"/>
            </w:tcBorders>
            <w:noWrap/>
            <w:vAlign w:val="center"/>
          </w:tcPr>
          <w:p w14:paraId="7ADEA3EE">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注册资金</w:t>
            </w:r>
          </w:p>
        </w:tc>
        <w:tc>
          <w:tcPr>
            <w:tcW w:w="1814" w:type="dxa"/>
            <w:gridSpan w:val="2"/>
            <w:tcBorders>
              <w:top w:val="single" w:color="auto" w:sz="4" w:space="0"/>
              <w:left w:val="single" w:color="auto" w:sz="4" w:space="0"/>
              <w:bottom w:val="single" w:color="auto" w:sz="4" w:space="0"/>
              <w:right w:val="single" w:color="auto" w:sz="4" w:space="0"/>
            </w:tcBorders>
            <w:noWrap/>
            <w:vAlign w:val="center"/>
          </w:tcPr>
          <w:p w14:paraId="65F4B857">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824" w:type="dxa"/>
            <w:vMerge w:val="continue"/>
            <w:tcBorders>
              <w:top w:val="single" w:color="auto" w:sz="4" w:space="0"/>
              <w:left w:val="single" w:color="auto" w:sz="4" w:space="0"/>
              <w:bottom w:val="single" w:color="auto" w:sz="4" w:space="0"/>
              <w:right w:val="single" w:color="auto" w:sz="4" w:space="0"/>
            </w:tcBorders>
            <w:noWrap/>
            <w:vAlign w:val="center"/>
          </w:tcPr>
          <w:p w14:paraId="0490F9C4">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922" w:type="dxa"/>
            <w:gridSpan w:val="3"/>
            <w:tcBorders>
              <w:top w:val="single" w:color="auto" w:sz="4" w:space="0"/>
              <w:left w:val="single" w:color="auto" w:sz="4" w:space="0"/>
              <w:bottom w:val="single" w:color="auto" w:sz="4" w:space="0"/>
              <w:right w:val="single" w:color="auto" w:sz="4" w:space="0"/>
            </w:tcBorders>
            <w:noWrap/>
            <w:vAlign w:val="center"/>
          </w:tcPr>
          <w:p w14:paraId="17133503">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中级职称人员</w:t>
            </w:r>
          </w:p>
        </w:tc>
        <w:tc>
          <w:tcPr>
            <w:tcW w:w="2149" w:type="dxa"/>
            <w:gridSpan w:val="2"/>
            <w:tcBorders>
              <w:top w:val="single" w:color="auto" w:sz="4" w:space="0"/>
              <w:left w:val="single" w:color="auto" w:sz="4" w:space="0"/>
              <w:bottom w:val="single" w:color="auto" w:sz="4" w:space="0"/>
              <w:right w:val="single" w:color="auto" w:sz="4" w:space="0"/>
            </w:tcBorders>
            <w:noWrap/>
            <w:vAlign w:val="center"/>
          </w:tcPr>
          <w:p w14:paraId="4E0F08BE">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4FBBAE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1" w:hRule="atLeast"/>
          <w:jc w:val="center"/>
        </w:trPr>
        <w:tc>
          <w:tcPr>
            <w:tcW w:w="1695" w:type="dxa"/>
            <w:tcBorders>
              <w:top w:val="single" w:color="auto" w:sz="4" w:space="0"/>
              <w:left w:val="single" w:color="auto" w:sz="4" w:space="0"/>
              <w:bottom w:val="single" w:color="auto" w:sz="4" w:space="0"/>
              <w:right w:val="single" w:color="auto" w:sz="4" w:space="0"/>
            </w:tcBorders>
            <w:noWrap/>
            <w:vAlign w:val="center"/>
          </w:tcPr>
          <w:p w14:paraId="1B524065">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开户银行</w:t>
            </w:r>
          </w:p>
        </w:tc>
        <w:tc>
          <w:tcPr>
            <w:tcW w:w="1814" w:type="dxa"/>
            <w:gridSpan w:val="2"/>
            <w:tcBorders>
              <w:top w:val="single" w:color="auto" w:sz="4" w:space="0"/>
              <w:left w:val="single" w:color="auto" w:sz="4" w:space="0"/>
              <w:bottom w:val="single" w:color="auto" w:sz="4" w:space="0"/>
              <w:right w:val="single" w:color="auto" w:sz="4" w:space="0"/>
            </w:tcBorders>
            <w:noWrap/>
            <w:vAlign w:val="center"/>
          </w:tcPr>
          <w:p w14:paraId="57FCAFBC">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824" w:type="dxa"/>
            <w:vMerge w:val="continue"/>
            <w:tcBorders>
              <w:top w:val="single" w:color="auto" w:sz="4" w:space="0"/>
              <w:left w:val="single" w:color="auto" w:sz="4" w:space="0"/>
              <w:bottom w:val="single" w:color="auto" w:sz="4" w:space="0"/>
              <w:right w:val="single" w:color="auto" w:sz="4" w:space="0"/>
            </w:tcBorders>
            <w:noWrap/>
            <w:vAlign w:val="center"/>
          </w:tcPr>
          <w:p w14:paraId="3A2F7376">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922" w:type="dxa"/>
            <w:gridSpan w:val="3"/>
            <w:tcBorders>
              <w:top w:val="single" w:color="auto" w:sz="4" w:space="0"/>
              <w:left w:val="single" w:color="auto" w:sz="4" w:space="0"/>
              <w:bottom w:val="single" w:color="auto" w:sz="4" w:space="0"/>
              <w:right w:val="single" w:color="auto" w:sz="4" w:space="0"/>
            </w:tcBorders>
            <w:noWrap/>
            <w:vAlign w:val="center"/>
          </w:tcPr>
          <w:p w14:paraId="2C856B76">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初级职称人员</w:t>
            </w:r>
          </w:p>
        </w:tc>
        <w:tc>
          <w:tcPr>
            <w:tcW w:w="2149" w:type="dxa"/>
            <w:gridSpan w:val="2"/>
            <w:tcBorders>
              <w:top w:val="single" w:color="auto" w:sz="4" w:space="0"/>
              <w:left w:val="single" w:color="auto" w:sz="4" w:space="0"/>
              <w:bottom w:val="single" w:color="auto" w:sz="4" w:space="0"/>
              <w:right w:val="single" w:color="auto" w:sz="4" w:space="0"/>
            </w:tcBorders>
            <w:noWrap/>
            <w:vAlign w:val="center"/>
          </w:tcPr>
          <w:p w14:paraId="6B74B3B1">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71BBF9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4" w:hRule="atLeast"/>
          <w:jc w:val="center"/>
        </w:trPr>
        <w:tc>
          <w:tcPr>
            <w:tcW w:w="1695" w:type="dxa"/>
            <w:tcBorders>
              <w:top w:val="single" w:color="auto" w:sz="4" w:space="0"/>
              <w:left w:val="single" w:color="auto" w:sz="4" w:space="0"/>
              <w:bottom w:val="single" w:color="auto" w:sz="4" w:space="0"/>
              <w:right w:val="single" w:color="auto" w:sz="4" w:space="0"/>
            </w:tcBorders>
            <w:noWrap/>
            <w:vAlign w:val="center"/>
          </w:tcPr>
          <w:p w14:paraId="238BA510">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账号</w:t>
            </w:r>
          </w:p>
        </w:tc>
        <w:tc>
          <w:tcPr>
            <w:tcW w:w="1814" w:type="dxa"/>
            <w:gridSpan w:val="2"/>
            <w:tcBorders>
              <w:top w:val="single" w:color="auto" w:sz="4" w:space="0"/>
              <w:left w:val="single" w:color="auto" w:sz="4" w:space="0"/>
              <w:bottom w:val="single" w:color="auto" w:sz="4" w:space="0"/>
              <w:right w:val="single" w:color="auto" w:sz="4" w:space="0"/>
            </w:tcBorders>
            <w:noWrap/>
            <w:vAlign w:val="center"/>
          </w:tcPr>
          <w:p w14:paraId="780AF2EA">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824" w:type="dxa"/>
            <w:vMerge w:val="continue"/>
            <w:tcBorders>
              <w:top w:val="single" w:color="auto" w:sz="4" w:space="0"/>
              <w:left w:val="single" w:color="auto" w:sz="4" w:space="0"/>
              <w:bottom w:val="single" w:color="auto" w:sz="4" w:space="0"/>
              <w:right w:val="single" w:color="auto" w:sz="4" w:space="0"/>
            </w:tcBorders>
            <w:noWrap/>
            <w:vAlign w:val="center"/>
          </w:tcPr>
          <w:p w14:paraId="053017BD">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922" w:type="dxa"/>
            <w:gridSpan w:val="3"/>
            <w:tcBorders>
              <w:top w:val="single" w:color="auto" w:sz="4" w:space="0"/>
              <w:left w:val="single" w:color="auto" w:sz="4" w:space="0"/>
              <w:bottom w:val="single" w:color="auto" w:sz="4" w:space="0"/>
              <w:right w:val="single" w:color="auto" w:sz="4" w:space="0"/>
            </w:tcBorders>
            <w:noWrap/>
            <w:vAlign w:val="center"/>
          </w:tcPr>
          <w:p w14:paraId="204A7CDA">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技工</w:t>
            </w:r>
          </w:p>
        </w:tc>
        <w:tc>
          <w:tcPr>
            <w:tcW w:w="2149" w:type="dxa"/>
            <w:gridSpan w:val="2"/>
            <w:tcBorders>
              <w:top w:val="single" w:color="auto" w:sz="4" w:space="0"/>
              <w:left w:val="single" w:color="auto" w:sz="4" w:space="0"/>
              <w:bottom w:val="single" w:color="auto" w:sz="4" w:space="0"/>
              <w:right w:val="single" w:color="auto" w:sz="4" w:space="0"/>
            </w:tcBorders>
            <w:noWrap/>
            <w:vAlign w:val="center"/>
          </w:tcPr>
          <w:p w14:paraId="61EA6ED3">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7D1802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9" w:hRule="atLeast"/>
          <w:jc w:val="center"/>
        </w:trPr>
        <w:tc>
          <w:tcPr>
            <w:tcW w:w="1695" w:type="dxa"/>
            <w:tcBorders>
              <w:top w:val="single" w:color="auto" w:sz="4" w:space="0"/>
              <w:left w:val="single" w:color="auto" w:sz="4" w:space="0"/>
              <w:right w:val="single" w:color="auto" w:sz="4" w:space="0"/>
            </w:tcBorders>
            <w:noWrap/>
            <w:vAlign w:val="center"/>
          </w:tcPr>
          <w:p w14:paraId="68AC31DC">
            <w:pPr>
              <w:keepNext w:val="0"/>
              <w:keepLines w:val="0"/>
              <w:suppressLineNumbers w:val="0"/>
              <w:topLinePunct/>
              <w:spacing w:before="0" w:beforeAutospacing="0" w:after="0" w:afterAutospacing="0" w:line="360" w:lineRule="auto"/>
              <w:ind w:left="0" w:right="0" w:firstLine="240" w:firstLineChars="10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经营范围</w:t>
            </w:r>
          </w:p>
        </w:tc>
        <w:tc>
          <w:tcPr>
            <w:tcW w:w="6709" w:type="dxa"/>
            <w:gridSpan w:val="8"/>
            <w:tcBorders>
              <w:top w:val="single" w:color="auto" w:sz="4" w:space="0"/>
              <w:left w:val="single" w:color="auto" w:sz="4" w:space="0"/>
              <w:right w:val="single" w:color="auto" w:sz="4" w:space="0"/>
            </w:tcBorders>
            <w:noWrap/>
            <w:vAlign w:val="center"/>
          </w:tcPr>
          <w:p w14:paraId="3D7E4447">
            <w:pPr>
              <w:keepNext w:val="0"/>
              <w:keepLines w:val="0"/>
              <w:suppressLineNumbers w:val="0"/>
              <w:topLinePunct/>
              <w:spacing w:before="0" w:beforeAutospacing="0" w:after="0" w:afterAutospacing="0" w:line="360" w:lineRule="auto"/>
              <w:ind w:left="0" w:right="0"/>
              <w:rPr>
                <w:rFonts w:hint="default" w:ascii="仿宋" w:hAnsi="仿宋" w:eastAsia="仿宋" w:cs="宋体"/>
                <w:color w:val="auto"/>
                <w:sz w:val="24"/>
                <w:szCs w:val="24"/>
                <w:highlight w:val="none"/>
              </w:rPr>
            </w:pPr>
          </w:p>
        </w:tc>
      </w:tr>
      <w:tr w14:paraId="2740CF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1695" w:type="dxa"/>
            <w:tcBorders>
              <w:top w:val="single" w:color="auto" w:sz="4" w:space="0"/>
              <w:left w:val="single" w:color="auto" w:sz="4" w:space="0"/>
              <w:bottom w:val="single" w:color="auto" w:sz="4" w:space="0"/>
              <w:right w:val="single" w:color="auto" w:sz="4" w:space="0"/>
            </w:tcBorders>
            <w:noWrap/>
            <w:vAlign w:val="center"/>
          </w:tcPr>
          <w:p w14:paraId="7E4422AC">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备注</w:t>
            </w:r>
          </w:p>
        </w:tc>
        <w:tc>
          <w:tcPr>
            <w:tcW w:w="6709" w:type="dxa"/>
            <w:gridSpan w:val="8"/>
            <w:tcBorders>
              <w:top w:val="single" w:color="auto" w:sz="4" w:space="0"/>
              <w:left w:val="single" w:color="auto" w:sz="4" w:space="0"/>
              <w:bottom w:val="single" w:color="auto" w:sz="4" w:space="0"/>
              <w:right w:val="single" w:color="auto" w:sz="4" w:space="0"/>
            </w:tcBorders>
            <w:noWrap/>
            <w:vAlign w:val="center"/>
          </w:tcPr>
          <w:p w14:paraId="2AF817C3">
            <w:pPr>
              <w:keepNext w:val="0"/>
              <w:keepLines w:val="0"/>
              <w:suppressLineNumbers w:val="0"/>
              <w:topLinePunct/>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bl>
    <w:p w14:paraId="6BE7F3D1">
      <w:pPr>
        <w:ind w:right="85"/>
        <w:rPr>
          <w:rFonts w:hint="eastAsia" w:ascii="仿宋" w:hAnsi="仿宋" w:eastAsia="仿宋" w:cs="仿宋"/>
          <w:color w:val="auto"/>
          <w:sz w:val="24"/>
          <w:szCs w:val="24"/>
          <w:highlight w:val="none"/>
        </w:rPr>
      </w:pPr>
    </w:p>
    <w:p w14:paraId="5ED20133">
      <w:pPr>
        <w:ind w:right="85"/>
        <w:rPr>
          <w:rFonts w:hint="eastAsia" w:ascii="仿宋" w:hAnsi="仿宋" w:eastAsia="仿宋" w:cs="仿宋"/>
          <w:color w:val="auto"/>
          <w:sz w:val="24"/>
          <w:szCs w:val="24"/>
          <w:highlight w:val="none"/>
        </w:rPr>
      </w:pPr>
    </w:p>
    <w:p w14:paraId="71D74818">
      <w:pPr>
        <w:keepNext w:val="0"/>
        <w:keepLines w:val="0"/>
        <w:widowControl w:val="0"/>
        <w:suppressLineNumbers w:val="0"/>
        <w:spacing w:before="0" w:beforeAutospacing="0" w:after="0" w:afterAutospacing="0" w:line="460" w:lineRule="exact"/>
        <w:ind w:left="0" w:right="0" w:firstLine="480" w:firstLineChars="20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注：</w:t>
      </w:r>
      <w:r>
        <w:rPr>
          <w:rFonts w:hint="eastAsia" w:ascii="仿宋" w:hAnsi="仿宋" w:eastAsia="仿宋" w:cs="仿宋"/>
          <w:color w:val="auto"/>
          <w:sz w:val="24"/>
          <w:szCs w:val="24"/>
          <w:highlight w:val="none"/>
          <w:lang w:eastAsia="zh-CN"/>
        </w:rPr>
        <w:t>此表后附真实有效的营业执照</w:t>
      </w:r>
      <w:r>
        <w:rPr>
          <w:rFonts w:hint="eastAsia" w:ascii="仿宋" w:hAnsi="仿宋" w:eastAsia="仿宋" w:cs="仿宋"/>
          <w:color w:val="auto"/>
          <w:sz w:val="24"/>
          <w:szCs w:val="24"/>
          <w:highlight w:val="none"/>
          <w:lang w:val="en-US" w:eastAsia="zh-CN"/>
        </w:rPr>
        <w:t>的彩色扫描件（</w:t>
      </w:r>
      <w:r>
        <w:rPr>
          <w:rFonts w:hint="eastAsia" w:ascii="仿宋" w:hAnsi="仿宋" w:eastAsia="仿宋" w:cs="宋体"/>
          <w:color w:val="auto"/>
          <w:kern w:val="2"/>
          <w:sz w:val="24"/>
          <w:szCs w:val="24"/>
          <w:highlight w:val="none"/>
          <w:lang w:val="en-US" w:eastAsia="zh-CN" w:bidi="ar"/>
        </w:rPr>
        <w:t>以联合体形式参加投标的，联合体各方均提供）；</w:t>
      </w:r>
    </w:p>
    <w:p w14:paraId="4B9F203B">
      <w:pPr>
        <w:spacing w:line="360" w:lineRule="auto"/>
        <w:jc w:val="both"/>
        <w:rPr>
          <w:rFonts w:hint="eastAsia" w:ascii="仿宋" w:hAnsi="仿宋" w:eastAsia="仿宋" w:cs="宋体"/>
          <w:b/>
          <w:color w:val="auto"/>
          <w:sz w:val="24"/>
          <w:szCs w:val="24"/>
          <w:highlight w:val="none"/>
        </w:rPr>
      </w:pPr>
    </w:p>
    <w:p w14:paraId="2C7A83C6">
      <w:pPr>
        <w:spacing w:line="360" w:lineRule="auto"/>
        <w:jc w:val="both"/>
        <w:rPr>
          <w:rFonts w:hint="eastAsia" w:ascii="仿宋" w:hAnsi="仿宋" w:eastAsia="仿宋" w:cs="宋体"/>
          <w:b/>
          <w:color w:val="auto"/>
          <w:sz w:val="24"/>
          <w:szCs w:val="24"/>
          <w:highlight w:val="none"/>
        </w:rPr>
      </w:pPr>
    </w:p>
    <w:p w14:paraId="7C2981B8">
      <w:pPr>
        <w:spacing w:line="360" w:lineRule="auto"/>
        <w:jc w:val="both"/>
        <w:rPr>
          <w:rFonts w:hint="eastAsia" w:ascii="仿宋" w:hAnsi="仿宋" w:eastAsia="仿宋" w:cs="宋体"/>
          <w:b/>
          <w:color w:val="auto"/>
          <w:sz w:val="24"/>
          <w:szCs w:val="24"/>
          <w:highlight w:val="none"/>
        </w:rPr>
      </w:pPr>
    </w:p>
    <w:p w14:paraId="1D3B5D80">
      <w:pPr>
        <w:spacing w:line="360" w:lineRule="auto"/>
        <w:jc w:val="both"/>
        <w:rPr>
          <w:rFonts w:hint="eastAsia" w:ascii="仿宋" w:hAnsi="仿宋" w:eastAsia="仿宋" w:cs="宋体"/>
          <w:b/>
          <w:color w:val="auto"/>
          <w:sz w:val="24"/>
          <w:szCs w:val="24"/>
          <w:highlight w:val="none"/>
        </w:rPr>
      </w:pPr>
    </w:p>
    <w:p w14:paraId="31A23524">
      <w:pPr>
        <w:spacing w:line="360" w:lineRule="auto"/>
        <w:jc w:val="both"/>
        <w:rPr>
          <w:rFonts w:hint="eastAsia" w:ascii="仿宋" w:hAnsi="仿宋" w:eastAsia="仿宋" w:cs="宋体"/>
          <w:b/>
          <w:color w:val="auto"/>
          <w:sz w:val="24"/>
          <w:szCs w:val="24"/>
          <w:highlight w:val="none"/>
        </w:rPr>
      </w:pPr>
    </w:p>
    <w:p w14:paraId="1CAA4FCA">
      <w:pPr>
        <w:spacing w:line="360" w:lineRule="auto"/>
        <w:jc w:val="center"/>
        <w:rPr>
          <w:rFonts w:ascii="仿宋" w:hAnsi="仿宋" w:eastAsia="仿宋" w:cs="宋体"/>
          <w:color w:val="auto"/>
          <w:sz w:val="24"/>
          <w:szCs w:val="24"/>
          <w:highlight w:val="none"/>
        </w:rPr>
      </w:pPr>
      <w:r>
        <w:rPr>
          <w:rFonts w:hint="eastAsia" w:ascii="仿宋" w:hAnsi="仿宋" w:eastAsia="仿宋" w:cs="宋体"/>
          <w:b/>
          <w:color w:val="auto"/>
          <w:sz w:val="24"/>
          <w:szCs w:val="24"/>
          <w:highlight w:val="none"/>
        </w:rPr>
        <w:t>（二）</w:t>
      </w:r>
      <w:r>
        <w:rPr>
          <w:rFonts w:hint="eastAsia" w:ascii="仿宋" w:hAnsi="仿宋" w:eastAsia="仿宋" w:cs="宋体"/>
          <w:b/>
          <w:color w:val="auto"/>
          <w:sz w:val="24"/>
          <w:szCs w:val="24"/>
          <w:highlight w:val="none"/>
          <w:lang w:eastAsia="zh-CN"/>
        </w:rPr>
        <w:t>其他资格审查资料</w:t>
      </w:r>
    </w:p>
    <w:p w14:paraId="4035861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firstLine="482" w:firstLineChars="200"/>
        <w:jc w:val="both"/>
        <w:textAlignment w:val="auto"/>
        <w:rPr>
          <w:rFonts w:hint="default" w:ascii="仿宋" w:hAnsi="仿宋" w:eastAsia="仿宋" w:cs="仿宋"/>
          <w:b/>
          <w:bCs/>
          <w:color w:val="auto"/>
          <w:kern w:val="2"/>
          <w:sz w:val="24"/>
          <w:szCs w:val="24"/>
          <w:highlight w:val="none"/>
          <w:lang w:val="en-US" w:eastAsia="zh-CN" w:bidi="ar"/>
        </w:rPr>
      </w:pPr>
      <w:r>
        <w:rPr>
          <w:rFonts w:hint="eastAsia" w:ascii="仿宋" w:hAnsi="仿宋" w:eastAsia="仿宋" w:cs="仿宋"/>
          <w:b/>
          <w:bCs/>
          <w:color w:val="auto"/>
          <w:kern w:val="2"/>
          <w:sz w:val="24"/>
          <w:szCs w:val="24"/>
          <w:highlight w:val="none"/>
          <w:lang w:val="en-US" w:eastAsia="zh-CN" w:bidi="ar"/>
        </w:rPr>
        <w:t>1.1财务要求证明材料</w:t>
      </w:r>
    </w:p>
    <w:p w14:paraId="506487B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firstLine="480" w:firstLineChars="200"/>
        <w:jc w:val="both"/>
        <w:textAlignment w:val="auto"/>
        <w:rPr>
          <w:rFonts w:hint="eastAsia" w:ascii="仿宋" w:hAnsi="仿宋" w:eastAsia="仿宋" w:cs="宋体"/>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提供2021年至今任意一年度的财务报表，</w:t>
      </w:r>
      <w:r>
        <w:rPr>
          <w:rFonts w:hint="eastAsia" w:ascii="仿宋" w:hAnsi="仿宋" w:eastAsia="仿宋" w:cs="仿宋"/>
          <w:color w:val="auto"/>
          <w:kern w:val="0"/>
          <w:sz w:val="24"/>
          <w:szCs w:val="24"/>
          <w:highlight w:val="none"/>
          <w:lang w:val="en-US" w:eastAsia="zh-CN" w:bidi="ar"/>
        </w:rPr>
        <w:t>包括资产负债表、现金流量表、利润表等</w:t>
      </w:r>
      <w:r>
        <w:rPr>
          <w:rFonts w:hint="eastAsia" w:ascii="仿宋" w:hAnsi="仿宋" w:eastAsia="仿宋" w:cs="仿宋"/>
          <w:color w:val="auto"/>
          <w:kern w:val="2"/>
          <w:sz w:val="24"/>
          <w:szCs w:val="24"/>
          <w:highlight w:val="none"/>
          <w:lang w:val="en-US" w:eastAsia="zh-CN" w:bidi="ar"/>
        </w:rPr>
        <w:t>。新成立不足一年的公司，提供书面承诺</w:t>
      </w:r>
      <w:r>
        <w:rPr>
          <w:rFonts w:hint="eastAsia" w:ascii="仿宋" w:hAnsi="仿宋" w:eastAsia="仿宋" w:cs="宋体"/>
          <w:color w:val="auto"/>
          <w:kern w:val="2"/>
          <w:sz w:val="24"/>
          <w:szCs w:val="24"/>
          <w:highlight w:val="none"/>
          <w:lang w:val="en-US" w:eastAsia="zh-CN" w:bidi="ar"/>
        </w:rPr>
        <w:t>（以联合体形式参加投标的，联合体牵头人须满足）；</w:t>
      </w:r>
    </w:p>
    <w:p w14:paraId="5CF5CBC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right="0" w:firstLine="482" w:firstLineChars="200"/>
        <w:jc w:val="both"/>
        <w:textAlignment w:val="auto"/>
        <w:rPr>
          <w:rFonts w:hint="eastAsia" w:ascii="仿宋" w:hAnsi="仿宋" w:eastAsia="仿宋" w:cs="宋体"/>
          <w:b/>
          <w:bCs/>
          <w:color w:val="auto"/>
          <w:sz w:val="24"/>
          <w:szCs w:val="24"/>
          <w:highlight w:val="none"/>
          <w:lang w:eastAsia="zh-CN"/>
        </w:rPr>
      </w:pPr>
      <w:r>
        <w:rPr>
          <w:rFonts w:hint="eastAsia" w:ascii="仿宋" w:hAnsi="仿宋" w:eastAsia="仿宋" w:cs="宋体"/>
          <w:b/>
          <w:color w:val="auto"/>
          <w:kern w:val="2"/>
          <w:sz w:val="24"/>
          <w:szCs w:val="24"/>
          <w:highlight w:val="none"/>
          <w:lang w:val="en-US" w:eastAsia="zh-CN" w:bidi="ar-SA"/>
        </w:rPr>
        <w:t>1.2</w:t>
      </w:r>
      <w:r>
        <w:rPr>
          <w:rFonts w:hint="eastAsia" w:ascii="仿宋" w:hAnsi="仿宋" w:eastAsia="仿宋" w:cs="宋体"/>
          <w:b/>
          <w:bCs/>
          <w:color w:val="auto"/>
          <w:sz w:val="24"/>
          <w:szCs w:val="24"/>
          <w:highlight w:val="none"/>
          <w:lang w:eastAsia="zh-CN"/>
        </w:rPr>
        <w:t>履约能力证明材料</w:t>
      </w:r>
    </w:p>
    <w:p w14:paraId="29E5CC4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firstLine="480" w:firstLineChars="200"/>
        <w:jc w:val="both"/>
        <w:textAlignment w:val="auto"/>
        <w:rPr>
          <w:rFonts w:hint="eastAsia" w:ascii="仿宋" w:hAnsi="仿宋" w:eastAsia="仿宋" w:cs="宋体"/>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具有履行合同所需的设备和专业技术能力</w:t>
      </w:r>
      <w:r>
        <w:rPr>
          <w:rFonts w:hint="eastAsia" w:ascii="仿宋" w:hAnsi="仿宋" w:eastAsia="仿宋" w:cs="宋体"/>
          <w:color w:val="auto"/>
          <w:kern w:val="2"/>
          <w:sz w:val="24"/>
          <w:szCs w:val="24"/>
          <w:highlight w:val="none"/>
          <w:lang w:val="en-US" w:eastAsia="zh-CN" w:bidi="ar"/>
        </w:rPr>
        <w:t>（以联合体形式参加投标的，联合体各方均应满足，提供书面承诺）；</w:t>
      </w:r>
    </w:p>
    <w:p w14:paraId="3FF22224">
      <w:pPr>
        <w:keepNext w:val="0"/>
        <w:keepLines w:val="0"/>
        <w:pageBreakBefore w:val="0"/>
        <w:widowControl w:val="0"/>
        <w:kinsoku/>
        <w:wordWrap/>
        <w:overflowPunct/>
        <w:topLinePunct w:val="0"/>
        <w:autoSpaceDE/>
        <w:autoSpaceDN/>
        <w:bidi w:val="0"/>
        <w:adjustRightInd/>
        <w:spacing w:line="480" w:lineRule="exact"/>
        <w:ind w:firstLine="482" w:firstLineChars="200"/>
        <w:jc w:val="both"/>
        <w:textAlignment w:val="auto"/>
        <w:rPr>
          <w:rFonts w:hint="eastAsia" w:ascii="仿宋" w:hAnsi="仿宋" w:eastAsia="仿宋" w:cs="宋体"/>
          <w:b/>
          <w:color w:val="auto"/>
          <w:sz w:val="24"/>
          <w:szCs w:val="24"/>
          <w:highlight w:val="none"/>
          <w:lang w:val="en-US" w:eastAsia="zh-CN"/>
        </w:rPr>
      </w:pPr>
      <w:r>
        <w:rPr>
          <w:rFonts w:hint="eastAsia" w:ascii="仿宋" w:hAnsi="仿宋" w:eastAsia="仿宋" w:cs="宋体"/>
          <w:b/>
          <w:color w:val="auto"/>
          <w:sz w:val="24"/>
          <w:szCs w:val="24"/>
          <w:highlight w:val="none"/>
          <w:lang w:val="en-US" w:eastAsia="zh-CN"/>
        </w:rPr>
        <w:t>1.3缴纳税收和社会保障资金证明材料</w:t>
      </w:r>
    </w:p>
    <w:p w14:paraId="1FC3D26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firstLine="480" w:firstLineChars="200"/>
        <w:jc w:val="both"/>
        <w:textAlignment w:val="auto"/>
        <w:rPr>
          <w:rFonts w:hint="eastAsia" w:ascii="仿宋" w:hAnsi="仿宋" w:eastAsia="仿宋" w:cs="宋体"/>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提供2024年至今任意3个月的缴纳税收和缴纳社会保险的凭证。（依法免税和不需要缴纳社会保障资金的，应提供相应文件证明其依法免税和不需要缴纳社会保障资金；新成立的公司不足3个月的应提供书面承诺，</w:t>
      </w:r>
      <w:r>
        <w:rPr>
          <w:rFonts w:hint="eastAsia" w:ascii="仿宋" w:hAnsi="仿宋" w:eastAsia="仿宋" w:cs="宋体"/>
          <w:color w:val="auto"/>
          <w:kern w:val="2"/>
          <w:sz w:val="24"/>
          <w:szCs w:val="24"/>
          <w:highlight w:val="none"/>
          <w:lang w:val="en-US" w:eastAsia="zh-CN" w:bidi="ar"/>
        </w:rPr>
        <w:t>以联合体形式参加投标的，联合体牵头人须满足）；</w:t>
      </w:r>
    </w:p>
    <w:p w14:paraId="62423119">
      <w:pPr>
        <w:keepNext w:val="0"/>
        <w:keepLines w:val="0"/>
        <w:pageBreakBefore w:val="0"/>
        <w:widowControl w:val="0"/>
        <w:kinsoku/>
        <w:wordWrap/>
        <w:overflowPunct/>
        <w:topLinePunct w:val="0"/>
        <w:autoSpaceDE/>
        <w:autoSpaceDN/>
        <w:bidi w:val="0"/>
        <w:adjustRightInd/>
        <w:spacing w:line="480" w:lineRule="exact"/>
        <w:ind w:firstLine="482" w:firstLineChars="200"/>
        <w:jc w:val="both"/>
        <w:textAlignment w:val="auto"/>
        <w:rPr>
          <w:rFonts w:hint="eastAsia" w:ascii="仿宋" w:hAnsi="仿宋" w:eastAsia="仿宋" w:cs="宋体"/>
          <w:b/>
          <w:color w:val="auto"/>
          <w:sz w:val="24"/>
          <w:szCs w:val="24"/>
          <w:highlight w:val="none"/>
          <w:lang w:val="en-US" w:eastAsia="zh-CN"/>
        </w:rPr>
      </w:pPr>
      <w:r>
        <w:rPr>
          <w:rFonts w:hint="eastAsia" w:ascii="仿宋" w:hAnsi="仿宋" w:eastAsia="仿宋" w:cs="宋体"/>
          <w:b/>
          <w:color w:val="auto"/>
          <w:sz w:val="24"/>
          <w:szCs w:val="24"/>
          <w:highlight w:val="none"/>
          <w:lang w:val="en-US" w:eastAsia="zh-CN"/>
        </w:rPr>
        <w:t>1.4无重大违法记录</w:t>
      </w:r>
    </w:p>
    <w:p w14:paraId="12D1D0BF">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firstLine="480" w:firstLineChars="200"/>
        <w:jc w:val="both"/>
        <w:textAlignment w:val="auto"/>
        <w:rPr>
          <w:rFonts w:hint="eastAsia" w:ascii="仿宋" w:hAnsi="仿宋" w:eastAsia="仿宋" w:cs="宋体"/>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参加政府采购活动前三年内，在经营活动中没有重大违法记录（重大违法记录是指：因违法经营受到刑事处罚或者责令停产停业、吊销许可证或者执照、较大数额罚款等行政处罚），提供书面承诺或声明，</w:t>
      </w:r>
      <w:r>
        <w:rPr>
          <w:rFonts w:hint="eastAsia" w:ascii="仿宋" w:hAnsi="仿宋" w:eastAsia="仿宋" w:cs="宋体"/>
          <w:color w:val="auto"/>
          <w:kern w:val="2"/>
          <w:sz w:val="24"/>
          <w:szCs w:val="24"/>
          <w:highlight w:val="none"/>
          <w:lang w:val="en-US" w:eastAsia="zh-CN" w:bidi="ar"/>
        </w:rPr>
        <w:t>（以联合体形式参加投标的，联合体各方均提供）；</w:t>
      </w:r>
    </w:p>
    <w:p w14:paraId="2A431015">
      <w:pPr>
        <w:keepNext w:val="0"/>
        <w:keepLines w:val="0"/>
        <w:pageBreakBefore w:val="0"/>
        <w:widowControl w:val="0"/>
        <w:kinsoku/>
        <w:wordWrap/>
        <w:overflowPunct/>
        <w:topLinePunct w:val="0"/>
        <w:autoSpaceDE/>
        <w:autoSpaceDN/>
        <w:bidi w:val="0"/>
        <w:adjustRightInd/>
        <w:spacing w:line="480" w:lineRule="exact"/>
        <w:ind w:firstLine="482" w:firstLineChars="200"/>
        <w:jc w:val="both"/>
        <w:textAlignment w:val="auto"/>
        <w:rPr>
          <w:rFonts w:hint="default" w:ascii="仿宋" w:hAnsi="仿宋" w:eastAsia="仿宋" w:cs="宋体"/>
          <w:b/>
          <w:color w:val="auto"/>
          <w:sz w:val="24"/>
          <w:szCs w:val="24"/>
          <w:highlight w:val="none"/>
          <w:lang w:val="en-US" w:eastAsia="zh-CN"/>
        </w:rPr>
      </w:pPr>
      <w:r>
        <w:rPr>
          <w:rFonts w:hint="eastAsia" w:ascii="仿宋" w:hAnsi="仿宋" w:eastAsia="仿宋" w:cs="宋体"/>
          <w:b/>
          <w:color w:val="auto"/>
          <w:sz w:val="24"/>
          <w:szCs w:val="24"/>
          <w:highlight w:val="none"/>
          <w:lang w:val="en-US" w:eastAsia="zh-CN"/>
        </w:rPr>
        <w:t>1.5 法律、行政法规规定的其他条件</w:t>
      </w:r>
    </w:p>
    <w:p w14:paraId="6720031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firstLine="480" w:firstLineChars="200"/>
        <w:jc w:val="both"/>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单位负责人为同一人或者存在直接控股、管理关系的不同供应商，不得参加同一合同项下的政府采购活动，提供书面承诺或声明</w:t>
      </w:r>
      <w:r>
        <w:rPr>
          <w:rFonts w:hint="eastAsia" w:ascii="仿宋" w:hAnsi="仿宋" w:eastAsia="仿宋" w:cs="宋体"/>
          <w:color w:val="auto"/>
          <w:kern w:val="2"/>
          <w:sz w:val="24"/>
          <w:szCs w:val="24"/>
          <w:highlight w:val="none"/>
          <w:lang w:val="en-US" w:eastAsia="zh-CN" w:bidi="ar"/>
        </w:rPr>
        <w:t>（以联合体形式参加投标的，联合体各方均提供）；</w:t>
      </w:r>
    </w:p>
    <w:p w14:paraId="69E8CBC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firstLine="482" w:firstLineChars="200"/>
        <w:jc w:val="both"/>
        <w:textAlignment w:val="auto"/>
        <w:rPr>
          <w:rFonts w:hint="default" w:ascii="仿宋" w:hAnsi="仿宋" w:eastAsia="仿宋" w:cs="仿宋"/>
          <w:b/>
          <w:bCs/>
          <w:color w:val="auto"/>
          <w:kern w:val="2"/>
          <w:sz w:val="24"/>
          <w:szCs w:val="24"/>
          <w:highlight w:val="none"/>
          <w:lang w:val="en-US" w:eastAsia="zh-CN" w:bidi="ar"/>
        </w:rPr>
      </w:pPr>
      <w:r>
        <w:rPr>
          <w:rFonts w:hint="eastAsia" w:ascii="仿宋" w:hAnsi="仿宋" w:eastAsia="仿宋" w:cs="仿宋"/>
          <w:b/>
          <w:bCs/>
          <w:color w:val="auto"/>
          <w:kern w:val="2"/>
          <w:sz w:val="24"/>
          <w:szCs w:val="24"/>
          <w:highlight w:val="none"/>
          <w:lang w:val="en-US" w:eastAsia="zh-CN" w:bidi="ar"/>
        </w:rPr>
        <w:t>1.6信誉要求</w:t>
      </w:r>
    </w:p>
    <w:p w14:paraId="64DACF8A">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firstLine="480" w:firstLineChars="200"/>
        <w:jc w:val="both"/>
        <w:textAlignment w:val="auto"/>
        <w:rPr>
          <w:rFonts w:hint="eastAsia" w:ascii="仿宋" w:hAnsi="仿宋" w:eastAsia="仿宋" w:cs="黑体"/>
          <w:color w:val="auto"/>
          <w:sz w:val="24"/>
          <w:szCs w:val="24"/>
          <w:highlight w:val="none"/>
          <w:lang w:val="en-US"/>
        </w:rPr>
      </w:pPr>
      <w:r>
        <w:rPr>
          <w:rFonts w:hint="eastAsia" w:ascii="仿宋" w:hAnsi="仿宋" w:eastAsia="仿宋" w:cs="黑体"/>
          <w:color w:val="auto"/>
          <w:kern w:val="2"/>
          <w:sz w:val="24"/>
          <w:szCs w:val="24"/>
          <w:highlight w:val="none"/>
          <w:lang w:val="en-US" w:eastAsia="zh-CN" w:bidi="ar"/>
        </w:rPr>
        <w:t>投标人开标前未被列入失信被执行人、重大税收违法失信主体（以在“信用中国”网站（www.creditchina.gov.cn）查询的信用记录为准）；未被列入政府采购严重违法失信行为记录名单（以在中国政府</w:t>
      </w:r>
      <w:r>
        <w:rPr>
          <w:rFonts w:hint="eastAsia" w:ascii="仿宋" w:hAnsi="仿宋" w:eastAsia="仿宋" w:cs="黑体"/>
          <w:color w:val="auto"/>
          <w:kern w:val="2"/>
          <w:sz w:val="24"/>
          <w:szCs w:val="24"/>
          <w:highlight w:val="none"/>
          <w:lang w:val="en-US" w:eastAsia="zh-CN" w:bidi="ar"/>
        </w:rPr>
        <w:t>采购网（www.ccgp.gov.cn）查询的信用记录为准）</w:t>
      </w:r>
      <w:r>
        <w:rPr>
          <w:rFonts w:hint="eastAsia" w:ascii="仿宋" w:hAnsi="仿宋" w:eastAsia="仿宋" w:cs="仿宋"/>
          <w:color w:val="auto"/>
          <w:kern w:val="2"/>
          <w:sz w:val="24"/>
          <w:szCs w:val="24"/>
          <w:highlight w:val="none"/>
          <w:lang w:val="en-US" w:eastAsia="zh-CN" w:bidi="ar"/>
        </w:rPr>
        <w:t>，以联合体形式参加投标的，联合体各方均应满足，提供书面承诺。</w:t>
      </w:r>
    </w:p>
    <w:p w14:paraId="14CE40D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80" w:lineRule="exact"/>
        <w:ind w:left="0" w:right="0" w:firstLine="482" w:firstLineChars="200"/>
        <w:jc w:val="both"/>
        <w:textAlignment w:val="auto"/>
        <w:rPr>
          <w:rFonts w:hint="eastAsia" w:ascii="仿宋" w:hAnsi="仿宋" w:eastAsia="仿宋" w:cs="仿宋"/>
          <w:b/>
          <w:bCs/>
          <w:color w:val="auto"/>
          <w:kern w:val="2"/>
          <w:sz w:val="24"/>
          <w:szCs w:val="24"/>
          <w:highlight w:val="none"/>
          <w:lang w:val="en-US" w:eastAsia="zh-CN" w:bidi="ar"/>
        </w:rPr>
      </w:pPr>
      <w:r>
        <w:rPr>
          <w:rFonts w:hint="eastAsia" w:ascii="仿宋" w:hAnsi="仿宋" w:eastAsia="仿宋" w:cs="仿宋"/>
          <w:b/>
          <w:bCs/>
          <w:color w:val="auto"/>
          <w:kern w:val="2"/>
          <w:sz w:val="24"/>
          <w:szCs w:val="24"/>
          <w:highlight w:val="none"/>
          <w:lang w:val="en-US" w:eastAsia="zh-CN" w:bidi="ar"/>
        </w:rPr>
        <w:t>1.7资质要求</w:t>
      </w:r>
    </w:p>
    <w:p w14:paraId="0B841F8C">
      <w:pPr>
        <w:keepNext w:val="0"/>
        <w:pageBreakBefore w:val="0"/>
        <w:kinsoku/>
        <w:overflowPunct/>
        <w:topLinePunct w:val="0"/>
        <w:bidi w:val="0"/>
        <w:snapToGrid w:val="0"/>
        <w:spacing w:line="460" w:lineRule="exact"/>
        <w:ind w:firstLine="600" w:firstLineChars="250"/>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投标人须具备</w:t>
      </w:r>
      <w:r>
        <w:rPr>
          <w:rFonts w:hint="eastAsia" w:ascii="仿宋" w:hAnsi="仿宋" w:eastAsia="仿宋" w:cs="Times New Roman"/>
          <w:color w:val="auto"/>
          <w:sz w:val="24"/>
          <w:szCs w:val="24"/>
          <w:highlight w:val="none"/>
        </w:rPr>
        <w:t>乙级及以上测绘资质证书（专业类别须包含地理信息系统工程）；须在全国投资项目在线审批监管平台备案（服务范围包含项目咨询，咨询专业须包含</w:t>
      </w:r>
      <w:r>
        <w:rPr>
          <w:rFonts w:hint="eastAsia" w:ascii="仿宋" w:hAnsi="仿宋" w:eastAsia="仿宋" w:cs="Times New Roman"/>
          <w:color w:val="auto"/>
          <w:sz w:val="24"/>
          <w:szCs w:val="24"/>
          <w:highlight w:val="none"/>
          <w:lang w:eastAsia="zh-CN"/>
        </w:rPr>
        <w:t>农学</w:t>
      </w:r>
      <w:r>
        <w:rPr>
          <w:rFonts w:hint="eastAsia" w:ascii="仿宋" w:hAnsi="仿宋" w:eastAsia="仿宋" w:cs="Times New Roman"/>
          <w:color w:val="auto"/>
          <w:sz w:val="24"/>
          <w:szCs w:val="24"/>
          <w:highlight w:val="none"/>
        </w:rPr>
        <w:t>相关专业）</w:t>
      </w:r>
      <w:r>
        <w:rPr>
          <w:rFonts w:hint="eastAsia" w:ascii="仿宋" w:hAnsi="仿宋" w:eastAsia="仿宋" w:cs="Times New Roman"/>
          <w:color w:val="auto"/>
          <w:sz w:val="24"/>
          <w:szCs w:val="24"/>
          <w:highlight w:val="none"/>
          <w:lang w:eastAsia="zh-CN"/>
        </w:rPr>
        <w:t>。</w:t>
      </w:r>
    </w:p>
    <w:p w14:paraId="37898B5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80" w:lineRule="exact"/>
        <w:ind w:left="0" w:right="0" w:firstLine="602" w:firstLineChars="250"/>
        <w:jc w:val="both"/>
        <w:textAlignment w:val="auto"/>
        <w:rPr>
          <w:rFonts w:hint="eastAsia" w:ascii="仿宋" w:hAnsi="仿宋" w:eastAsia="仿宋" w:cs="仿宋"/>
          <w:b/>
          <w:bCs/>
          <w:color w:val="auto"/>
          <w:kern w:val="2"/>
          <w:sz w:val="24"/>
          <w:szCs w:val="24"/>
          <w:highlight w:val="none"/>
          <w:lang w:val="en-US" w:eastAsia="zh-CN" w:bidi="ar"/>
        </w:rPr>
      </w:pPr>
      <w:r>
        <w:rPr>
          <w:rFonts w:hint="eastAsia" w:ascii="仿宋" w:hAnsi="仿宋" w:eastAsia="仿宋" w:cs="仿宋"/>
          <w:b/>
          <w:bCs/>
          <w:color w:val="auto"/>
          <w:kern w:val="2"/>
          <w:sz w:val="24"/>
          <w:szCs w:val="24"/>
          <w:highlight w:val="none"/>
          <w:lang w:val="en-US" w:eastAsia="zh-CN" w:bidi="ar"/>
        </w:rPr>
        <w:t>1.8 联合体要求</w:t>
      </w:r>
    </w:p>
    <w:p w14:paraId="38D11EE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80" w:lineRule="exact"/>
        <w:ind w:left="0" w:right="0" w:firstLine="600" w:firstLineChars="250"/>
        <w:jc w:val="both"/>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以联合体形式参加投标的，须在联合体协议中载明联合体成员单位的责任和权利。联合体单位不得超过3家。</w:t>
      </w:r>
    </w:p>
    <w:p w14:paraId="4FEB016E">
      <w:pPr>
        <w:pStyle w:val="5"/>
        <w:rPr>
          <w:rFonts w:hint="eastAsia" w:ascii="仿宋" w:hAnsi="仿宋" w:eastAsia="仿宋" w:cs="仿宋"/>
          <w:color w:val="auto"/>
          <w:kern w:val="2"/>
          <w:sz w:val="24"/>
          <w:szCs w:val="24"/>
          <w:highlight w:val="none"/>
          <w:lang w:val="en-US" w:eastAsia="zh-CN" w:bidi="ar"/>
        </w:rPr>
      </w:pPr>
    </w:p>
    <w:p w14:paraId="4D23E752">
      <w:pPr>
        <w:rPr>
          <w:rFonts w:hint="default"/>
          <w:color w:val="auto"/>
          <w:highlight w:val="none"/>
          <w:lang w:val="en-US"/>
        </w:rPr>
      </w:pPr>
    </w:p>
    <w:p w14:paraId="7339E766">
      <w:pPr>
        <w:jc w:val="both"/>
        <w:rPr>
          <w:rFonts w:hint="default" w:ascii="仿宋" w:hAnsi="仿宋" w:eastAsia="仿宋" w:cs="仿宋"/>
          <w:b/>
          <w:color w:val="auto"/>
          <w:sz w:val="32"/>
          <w:szCs w:val="32"/>
          <w:highlight w:val="none"/>
          <w:lang w:val="en-US" w:eastAsia="zh-CN"/>
        </w:rPr>
      </w:pPr>
    </w:p>
    <w:p w14:paraId="3E5628FB">
      <w:pPr>
        <w:numPr>
          <w:ilvl w:val="0"/>
          <w:numId w:val="0"/>
        </w:numPr>
        <w:jc w:val="center"/>
        <w:rPr>
          <w:rFonts w:hint="eastAsia" w:ascii="仿宋" w:hAnsi="仿宋" w:eastAsia="仿宋" w:cs="仿宋"/>
          <w:b/>
          <w:color w:val="auto"/>
          <w:sz w:val="28"/>
          <w:szCs w:val="28"/>
          <w:highlight w:val="none"/>
          <w:lang w:val="en-US" w:eastAsia="zh-CN"/>
        </w:rPr>
      </w:pPr>
    </w:p>
    <w:p w14:paraId="6078004D">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2344D99C">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3C25CB23">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23254967">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6D8431E0">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7FC92354">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7F5666CF">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5487A0EC">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41832A7B">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37F23989">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581FE838">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468A794D">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495340EC">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6301DFCF">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7908636A">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p>
    <w:p w14:paraId="479B5BA9">
      <w:pPr>
        <w:numPr>
          <w:ilvl w:val="0"/>
          <w:numId w:val="0"/>
        </w:numPr>
        <w:ind w:left="0" w:leftChars="0" w:firstLine="0" w:firstLineChars="0"/>
        <w:jc w:val="center"/>
        <w:rPr>
          <w:rFonts w:hint="eastAsia" w:ascii="仿宋" w:hAnsi="仿宋" w:eastAsia="仿宋" w:cs="仿宋"/>
          <w:b/>
          <w:color w:val="auto"/>
          <w:kern w:val="2"/>
          <w:sz w:val="28"/>
          <w:szCs w:val="28"/>
          <w:highlight w:val="none"/>
          <w:lang w:val="en-US" w:eastAsia="zh-CN" w:bidi="ar-SA"/>
        </w:rPr>
      </w:pPr>
      <w:r>
        <w:rPr>
          <w:rFonts w:hint="eastAsia" w:ascii="仿宋" w:hAnsi="仿宋" w:eastAsia="仿宋" w:cs="仿宋"/>
          <w:b/>
          <w:color w:val="auto"/>
          <w:kern w:val="2"/>
          <w:sz w:val="28"/>
          <w:szCs w:val="28"/>
          <w:highlight w:val="none"/>
          <w:lang w:val="en-US" w:eastAsia="zh-CN" w:bidi="ar-SA"/>
        </w:rPr>
        <w:t>七、技术部分</w:t>
      </w:r>
    </w:p>
    <w:p w14:paraId="7C8893B6">
      <w:pPr>
        <w:numPr>
          <w:ilvl w:val="0"/>
          <w:numId w:val="0"/>
        </w:numPr>
        <w:ind w:left="0" w:leftChars="0"/>
        <w:jc w:val="both"/>
        <w:rPr>
          <w:rFonts w:hint="eastAsia" w:ascii="仿宋" w:hAnsi="仿宋" w:eastAsia="仿宋" w:cs="仿宋"/>
          <w:b/>
          <w:color w:val="auto"/>
          <w:kern w:val="2"/>
          <w:sz w:val="28"/>
          <w:szCs w:val="28"/>
          <w:highlight w:val="none"/>
          <w:lang w:val="en-US" w:eastAsia="zh-CN" w:bidi="ar-SA"/>
        </w:rPr>
      </w:pPr>
      <w:r>
        <w:rPr>
          <w:rFonts w:hint="eastAsia" w:ascii="仿宋" w:hAnsi="仿宋" w:eastAsia="仿宋" w:cs="仿宋"/>
          <w:b/>
          <w:color w:val="auto"/>
          <w:kern w:val="2"/>
          <w:sz w:val="28"/>
          <w:szCs w:val="28"/>
          <w:highlight w:val="none"/>
          <w:lang w:val="en-US" w:eastAsia="zh-CN" w:bidi="ar-SA"/>
        </w:rPr>
        <w:t>1.土壤普查成果编制与汇总实施方案</w:t>
      </w:r>
    </w:p>
    <w:p w14:paraId="62B6D15D">
      <w:pPr>
        <w:pStyle w:val="23"/>
        <w:pageBreakBefore w:val="0"/>
        <w:widowControl w:val="0"/>
        <w:numPr>
          <w:ilvl w:val="0"/>
          <w:numId w:val="0"/>
        </w:numPr>
        <w:kinsoku/>
        <w:wordWrap/>
        <w:overflowPunct/>
        <w:topLinePunct w:val="0"/>
        <w:autoSpaceDE/>
        <w:autoSpaceDN/>
        <w:bidi w:val="0"/>
        <w:snapToGrid/>
        <w:spacing w:line="480" w:lineRule="exact"/>
        <w:ind w:firstLine="480" w:firstLineChars="200"/>
        <w:rPr>
          <w:rFonts w:hint="eastAsia" w:ascii="仿宋" w:hAnsi="仿宋" w:eastAsia="仿宋" w:cs="仿宋"/>
          <w:bCs w:val="0"/>
          <w:iCs w:val="0"/>
          <w:color w:val="auto"/>
          <w:kern w:val="2"/>
          <w:sz w:val="24"/>
          <w:szCs w:val="24"/>
          <w:highlight w:val="none"/>
          <w:lang w:val="en-US" w:eastAsia="zh-CN" w:bidi="ar-SA"/>
        </w:rPr>
      </w:pPr>
      <w:r>
        <w:rPr>
          <w:rFonts w:hint="eastAsia" w:ascii="仿宋" w:hAnsi="仿宋" w:eastAsia="仿宋" w:cs="仿宋"/>
          <w:bCs w:val="0"/>
          <w:iCs w:val="0"/>
          <w:color w:val="auto"/>
          <w:kern w:val="2"/>
          <w:sz w:val="24"/>
          <w:szCs w:val="24"/>
          <w:highlight w:val="none"/>
          <w:lang w:val="en-US" w:eastAsia="zh-CN" w:bidi="ar-SA"/>
        </w:rPr>
        <w:t>此部分格式及内容自拟</w:t>
      </w:r>
    </w:p>
    <w:p w14:paraId="7BDACA4A">
      <w:pPr>
        <w:numPr>
          <w:ilvl w:val="0"/>
          <w:numId w:val="0"/>
        </w:numPr>
        <w:ind w:left="0" w:leftChars="0"/>
        <w:jc w:val="both"/>
        <w:rPr>
          <w:rFonts w:hint="default" w:ascii="仿宋" w:hAnsi="仿宋" w:eastAsia="仿宋" w:cs="仿宋"/>
          <w:b/>
          <w:color w:val="auto"/>
          <w:kern w:val="2"/>
          <w:sz w:val="28"/>
          <w:szCs w:val="28"/>
          <w:highlight w:val="none"/>
          <w:lang w:val="en-US" w:eastAsia="zh-CN" w:bidi="ar-SA"/>
        </w:rPr>
      </w:pPr>
      <w:r>
        <w:rPr>
          <w:rFonts w:hint="default" w:ascii="仿宋" w:hAnsi="仿宋" w:eastAsia="仿宋" w:cs="仿宋"/>
          <w:b/>
          <w:color w:val="auto"/>
          <w:kern w:val="2"/>
          <w:sz w:val="28"/>
          <w:szCs w:val="28"/>
          <w:highlight w:val="none"/>
          <w:lang w:val="en-US" w:eastAsia="zh-CN" w:bidi="ar-SA"/>
        </w:rPr>
        <w:t>2.</w:t>
      </w:r>
      <w:r>
        <w:rPr>
          <w:rFonts w:hint="eastAsia" w:ascii="仿宋" w:hAnsi="仿宋" w:eastAsia="仿宋" w:cs="仿宋"/>
          <w:b/>
          <w:color w:val="auto"/>
          <w:kern w:val="2"/>
          <w:sz w:val="28"/>
          <w:szCs w:val="28"/>
          <w:highlight w:val="none"/>
          <w:lang w:val="en-US" w:eastAsia="zh-CN" w:bidi="ar-SA"/>
        </w:rPr>
        <w:t>人员配备</w:t>
      </w:r>
    </w:p>
    <w:p w14:paraId="7F991A14">
      <w:pPr>
        <w:pStyle w:val="23"/>
        <w:pageBreakBefore w:val="0"/>
        <w:widowControl w:val="0"/>
        <w:numPr>
          <w:ilvl w:val="0"/>
          <w:numId w:val="0"/>
        </w:numPr>
        <w:kinsoku/>
        <w:wordWrap/>
        <w:overflowPunct/>
        <w:topLinePunct w:val="0"/>
        <w:autoSpaceDE/>
        <w:autoSpaceDN/>
        <w:bidi w:val="0"/>
        <w:snapToGrid/>
        <w:spacing w:line="480" w:lineRule="exact"/>
        <w:ind w:firstLine="480" w:firstLineChars="200"/>
        <w:rPr>
          <w:rFonts w:hint="eastAsia" w:ascii="仿宋" w:hAnsi="仿宋" w:eastAsia="仿宋" w:cs="仿宋"/>
          <w:bCs w:val="0"/>
          <w:iCs w:val="0"/>
          <w:color w:val="auto"/>
          <w:kern w:val="2"/>
          <w:sz w:val="24"/>
          <w:szCs w:val="24"/>
          <w:highlight w:val="none"/>
          <w:lang w:val="en-US" w:eastAsia="zh-CN" w:bidi="ar-SA"/>
        </w:rPr>
      </w:pPr>
      <w:r>
        <w:rPr>
          <w:rFonts w:hint="eastAsia" w:ascii="仿宋" w:hAnsi="仿宋" w:eastAsia="仿宋" w:cs="仿宋"/>
          <w:bCs w:val="0"/>
          <w:iCs w:val="0"/>
          <w:color w:val="auto"/>
          <w:kern w:val="2"/>
          <w:sz w:val="24"/>
          <w:szCs w:val="24"/>
          <w:highlight w:val="none"/>
          <w:lang w:val="en-US" w:eastAsia="zh-CN" w:bidi="ar-SA"/>
        </w:rPr>
        <w:t>此部分格式及内容自拟，后附项目管理机构组成表、拟派项目负责人简历表、主要人员简历表。</w:t>
      </w:r>
    </w:p>
    <w:p w14:paraId="296E1946">
      <w:pPr>
        <w:rPr>
          <w:rFonts w:hint="eastAsia" w:ascii="仿宋" w:hAnsi="仿宋" w:eastAsia="仿宋" w:cs="仿宋"/>
          <w:bCs w:val="0"/>
          <w:iCs w:val="0"/>
          <w:color w:val="auto"/>
          <w:kern w:val="2"/>
          <w:sz w:val="24"/>
          <w:szCs w:val="24"/>
          <w:highlight w:val="none"/>
          <w:lang w:val="en-US" w:eastAsia="zh-CN" w:bidi="ar-SA"/>
        </w:rPr>
      </w:pPr>
    </w:p>
    <w:p w14:paraId="0C1CFC1A">
      <w:pPr>
        <w:snapToGrid w:val="0"/>
        <w:rPr>
          <w:rFonts w:hint="eastAsia"/>
          <w:color w:val="auto"/>
          <w:highlight w:val="none"/>
          <w:lang w:val="en-US" w:eastAsia="zh-CN"/>
        </w:rPr>
      </w:pPr>
      <w:r>
        <w:rPr>
          <w:rStyle w:val="617"/>
          <w:rFonts w:hint="eastAsia" w:ascii="仿宋" w:hAnsi="仿宋" w:eastAsia="仿宋" w:cs="仿宋"/>
          <w:color w:val="auto"/>
          <w:sz w:val="28"/>
          <w:szCs w:val="28"/>
          <w:highlight w:val="none"/>
        </w:rPr>
        <w:t>附表</w:t>
      </w:r>
      <w:r>
        <w:rPr>
          <w:rStyle w:val="617"/>
          <w:rFonts w:hint="eastAsia" w:ascii="仿宋" w:hAnsi="仿宋" w:eastAsia="仿宋" w:cs="仿宋"/>
          <w:color w:val="auto"/>
          <w:sz w:val="28"/>
          <w:szCs w:val="28"/>
          <w:highlight w:val="none"/>
          <w:lang w:val="en-US" w:eastAsia="zh-CN"/>
        </w:rPr>
        <w:t>1</w:t>
      </w:r>
      <w:r>
        <w:rPr>
          <w:rStyle w:val="617"/>
          <w:rFonts w:hint="eastAsia" w:ascii="仿宋" w:hAnsi="仿宋" w:eastAsia="仿宋" w:cs="仿宋"/>
          <w:color w:val="auto"/>
          <w:sz w:val="28"/>
          <w:szCs w:val="28"/>
          <w:highlight w:val="none"/>
        </w:rPr>
        <w:t>：</w:t>
      </w:r>
    </w:p>
    <w:p w14:paraId="326CDC8D">
      <w:pPr>
        <w:spacing w:line="360" w:lineRule="auto"/>
        <w:jc w:val="center"/>
        <w:rPr>
          <w:rFonts w:ascii="仿宋" w:hAnsi="仿宋" w:eastAsia="仿宋"/>
          <w:color w:val="auto"/>
          <w:highlight w:val="none"/>
        </w:rPr>
      </w:pPr>
      <w:r>
        <w:rPr>
          <w:rFonts w:hint="eastAsia" w:ascii="仿宋" w:hAnsi="仿宋" w:eastAsia="仿宋" w:cs="宋体"/>
          <w:b/>
          <w:color w:val="auto"/>
          <w:sz w:val="28"/>
          <w:szCs w:val="28"/>
          <w:highlight w:val="none"/>
        </w:rPr>
        <w:t>项目管理机构组成表</w:t>
      </w:r>
    </w:p>
    <w:tbl>
      <w:tblPr>
        <w:tblStyle w:val="56"/>
        <w:tblW w:w="10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104"/>
        <w:gridCol w:w="1086"/>
        <w:gridCol w:w="1335"/>
        <w:gridCol w:w="1505"/>
        <w:gridCol w:w="1418"/>
        <w:gridCol w:w="1286"/>
        <w:gridCol w:w="1170"/>
      </w:tblGrid>
      <w:tr w14:paraId="1E3F8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Merge w:val="restart"/>
            <w:noWrap/>
            <w:vAlign w:val="center"/>
          </w:tcPr>
          <w:p w14:paraId="6765AC1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职务</w:t>
            </w:r>
          </w:p>
        </w:tc>
        <w:tc>
          <w:tcPr>
            <w:tcW w:w="1104" w:type="dxa"/>
            <w:vMerge w:val="restart"/>
            <w:noWrap/>
            <w:vAlign w:val="center"/>
          </w:tcPr>
          <w:p w14:paraId="7C5547A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姓名</w:t>
            </w:r>
          </w:p>
        </w:tc>
        <w:tc>
          <w:tcPr>
            <w:tcW w:w="1086" w:type="dxa"/>
            <w:vMerge w:val="restart"/>
            <w:noWrap/>
            <w:vAlign w:val="center"/>
          </w:tcPr>
          <w:p w14:paraId="30004F4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职称</w:t>
            </w:r>
          </w:p>
        </w:tc>
        <w:tc>
          <w:tcPr>
            <w:tcW w:w="5544" w:type="dxa"/>
            <w:gridSpan w:val="4"/>
            <w:noWrap/>
            <w:vAlign w:val="center"/>
          </w:tcPr>
          <w:p w14:paraId="4050DA2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执业或职业资格证明</w:t>
            </w:r>
          </w:p>
        </w:tc>
        <w:tc>
          <w:tcPr>
            <w:tcW w:w="1170" w:type="dxa"/>
            <w:noWrap/>
            <w:vAlign w:val="center"/>
          </w:tcPr>
          <w:p w14:paraId="6E99661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备注</w:t>
            </w:r>
          </w:p>
        </w:tc>
      </w:tr>
      <w:tr w14:paraId="747CF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Merge w:val="continue"/>
            <w:noWrap/>
            <w:vAlign w:val="center"/>
          </w:tcPr>
          <w:p w14:paraId="16673D2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104" w:type="dxa"/>
            <w:vMerge w:val="continue"/>
            <w:noWrap/>
            <w:vAlign w:val="center"/>
          </w:tcPr>
          <w:p w14:paraId="18E88E8C">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086" w:type="dxa"/>
            <w:vMerge w:val="continue"/>
            <w:noWrap/>
            <w:vAlign w:val="center"/>
          </w:tcPr>
          <w:p w14:paraId="0F40CAA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335" w:type="dxa"/>
            <w:noWrap/>
            <w:vAlign w:val="center"/>
          </w:tcPr>
          <w:p w14:paraId="0A936B21">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证书名称</w:t>
            </w:r>
          </w:p>
        </w:tc>
        <w:tc>
          <w:tcPr>
            <w:tcW w:w="1505" w:type="dxa"/>
            <w:noWrap/>
            <w:vAlign w:val="center"/>
          </w:tcPr>
          <w:p w14:paraId="2FBA64B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级别</w:t>
            </w:r>
          </w:p>
        </w:tc>
        <w:tc>
          <w:tcPr>
            <w:tcW w:w="1418" w:type="dxa"/>
            <w:noWrap/>
            <w:vAlign w:val="center"/>
          </w:tcPr>
          <w:p w14:paraId="7F3E0A8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证号</w:t>
            </w:r>
          </w:p>
        </w:tc>
        <w:tc>
          <w:tcPr>
            <w:tcW w:w="1286" w:type="dxa"/>
            <w:noWrap/>
            <w:vAlign w:val="center"/>
          </w:tcPr>
          <w:p w14:paraId="49F3F53F">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专业</w:t>
            </w:r>
          </w:p>
        </w:tc>
        <w:tc>
          <w:tcPr>
            <w:tcW w:w="1170" w:type="dxa"/>
            <w:noWrap/>
            <w:vAlign w:val="center"/>
          </w:tcPr>
          <w:p w14:paraId="5E5397CC">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0EEBB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vAlign w:val="center"/>
          </w:tcPr>
          <w:p w14:paraId="0C2C970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vAlign w:val="center"/>
          </w:tcPr>
          <w:p w14:paraId="3288BC4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vAlign w:val="center"/>
          </w:tcPr>
          <w:p w14:paraId="0FFB439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vAlign w:val="center"/>
          </w:tcPr>
          <w:p w14:paraId="0464354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vAlign w:val="center"/>
          </w:tcPr>
          <w:p w14:paraId="6493D5F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vAlign w:val="center"/>
          </w:tcPr>
          <w:p w14:paraId="109E8C7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vAlign w:val="center"/>
          </w:tcPr>
          <w:p w14:paraId="3B621C9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vAlign w:val="center"/>
          </w:tcPr>
          <w:p w14:paraId="3DB78A2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51FE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1CC8B74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5139BE0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70AF36C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3998A23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7675505F">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28FE447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371D924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796A972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4E55F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516EED6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5F7324E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4C31A52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39AEA41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21D0133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0552AF0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1CC09DD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4122261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26764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0BFA5E4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7A41060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14FDE42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51E409A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7E62A7C1">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04128FE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5DAAC8B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3856538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411E1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19A035E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4858E8AC">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0E9D96DF">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50E87D3E">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4705C08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238C60C1">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7C8D284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095E71F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6E181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62DD138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77E3386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225EF1C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4ED8E94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5D97EC7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630D43DF">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602017D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5CEE565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3F2EF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3590795F">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5574333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41F00F2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7EFE19F1">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153EE89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6648E49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0EB4F3D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37BD4E6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52174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5D20B45D">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7CE6A60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09B3B001">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355FF27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59A400CD">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5B0F806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167210F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50067C8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3451A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75FAB8D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3464DA0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2656228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395C66F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18F0E4D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6C8BF70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6110085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19E1453E">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5DD21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54ADC26E">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13C4AF1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621FD16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003298D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09B329A1">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2D9BA73D">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018865E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2DB4C22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442E6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24F5C52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3410286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103F185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04A058B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679C47D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522DEB7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776A362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22492D2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7E079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2E3AFCD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6E81D3D1">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0F0C5B6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5EBDCEA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5354085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58460C4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63726BA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7418537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3B10F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2A9A0E9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24A3C58F">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3604D20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7E59F90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499F326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0921A77F">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4A7EEE6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41ECAF2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31859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18636CE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771FF64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12403E1C">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328E1F8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45D44DCD">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0F5C820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16229C1D">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3776FB7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25514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0D322A9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393A72D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707DDB0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2AA1BD9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2044C79D">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11EB54C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0DC51F4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51B6635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r w14:paraId="66881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noWrap/>
          </w:tcPr>
          <w:p w14:paraId="3659E94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04" w:type="dxa"/>
            <w:noWrap/>
          </w:tcPr>
          <w:p w14:paraId="5FDF1FC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086" w:type="dxa"/>
            <w:noWrap/>
          </w:tcPr>
          <w:p w14:paraId="57EA1EB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335" w:type="dxa"/>
            <w:noWrap/>
          </w:tcPr>
          <w:p w14:paraId="2C4729C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505" w:type="dxa"/>
            <w:noWrap/>
          </w:tcPr>
          <w:p w14:paraId="1913090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418" w:type="dxa"/>
            <w:noWrap/>
          </w:tcPr>
          <w:p w14:paraId="59CF516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286" w:type="dxa"/>
            <w:noWrap/>
          </w:tcPr>
          <w:p w14:paraId="7876727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c>
          <w:tcPr>
            <w:tcW w:w="1170" w:type="dxa"/>
            <w:noWrap/>
          </w:tcPr>
          <w:p w14:paraId="76B35BD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Cs w:val="21"/>
                <w:highlight w:val="none"/>
              </w:rPr>
            </w:pPr>
          </w:p>
        </w:tc>
      </w:tr>
    </w:tbl>
    <w:p w14:paraId="0AE4E001">
      <w:pPr>
        <w:spacing w:line="360" w:lineRule="auto"/>
        <w:ind w:firstLine="422" w:firstLineChars="200"/>
        <w:jc w:val="center"/>
        <w:rPr>
          <w:rFonts w:hint="eastAsia" w:ascii="仿宋" w:hAnsi="仿宋" w:eastAsia="仿宋" w:cs="宋体"/>
          <w:b/>
          <w:color w:val="auto"/>
          <w:szCs w:val="21"/>
          <w:highlight w:val="none"/>
        </w:rPr>
      </w:pPr>
    </w:p>
    <w:p w14:paraId="4A272E64">
      <w:pPr>
        <w:snapToGrid w:val="0"/>
        <w:rPr>
          <w:rStyle w:val="617"/>
          <w:rFonts w:hint="eastAsia" w:ascii="仿宋" w:hAnsi="仿宋" w:eastAsia="仿宋" w:cs="仿宋"/>
          <w:color w:val="auto"/>
          <w:sz w:val="28"/>
          <w:szCs w:val="28"/>
          <w:highlight w:val="none"/>
        </w:rPr>
      </w:pPr>
    </w:p>
    <w:p w14:paraId="4D5A2150">
      <w:pPr>
        <w:snapToGrid w:val="0"/>
        <w:rPr>
          <w:rFonts w:hint="eastAsia"/>
          <w:color w:val="auto"/>
          <w:highlight w:val="none"/>
          <w:lang w:val="en-US" w:eastAsia="zh-CN"/>
        </w:rPr>
      </w:pPr>
      <w:r>
        <w:rPr>
          <w:rStyle w:val="617"/>
          <w:rFonts w:hint="eastAsia" w:ascii="仿宋" w:hAnsi="仿宋" w:eastAsia="仿宋" w:cs="仿宋"/>
          <w:color w:val="auto"/>
          <w:sz w:val="28"/>
          <w:szCs w:val="28"/>
          <w:highlight w:val="none"/>
        </w:rPr>
        <w:t>附表</w:t>
      </w:r>
      <w:r>
        <w:rPr>
          <w:rStyle w:val="617"/>
          <w:rFonts w:hint="eastAsia" w:ascii="仿宋" w:hAnsi="仿宋" w:eastAsia="仿宋" w:cs="仿宋"/>
          <w:color w:val="auto"/>
          <w:sz w:val="28"/>
          <w:szCs w:val="28"/>
          <w:highlight w:val="none"/>
          <w:lang w:val="en-US" w:eastAsia="zh-CN"/>
        </w:rPr>
        <w:t>2</w:t>
      </w:r>
      <w:r>
        <w:rPr>
          <w:rStyle w:val="617"/>
          <w:rFonts w:hint="eastAsia" w:ascii="仿宋" w:hAnsi="仿宋" w:eastAsia="仿宋" w:cs="仿宋"/>
          <w:color w:val="auto"/>
          <w:sz w:val="28"/>
          <w:szCs w:val="28"/>
          <w:highlight w:val="none"/>
        </w:rPr>
        <w:t>：</w:t>
      </w:r>
    </w:p>
    <w:p w14:paraId="25939CEE">
      <w:pPr>
        <w:spacing w:line="360" w:lineRule="auto"/>
        <w:ind w:firstLine="482" w:firstLineChars="200"/>
        <w:jc w:val="center"/>
        <w:rPr>
          <w:rFonts w:ascii="仿宋" w:hAnsi="仿宋" w:eastAsia="仿宋" w:cs="宋体"/>
          <w:color w:val="auto"/>
          <w:sz w:val="24"/>
          <w:szCs w:val="24"/>
          <w:highlight w:val="none"/>
        </w:rPr>
      </w:pPr>
      <w:r>
        <w:rPr>
          <w:rFonts w:hint="eastAsia" w:ascii="仿宋" w:hAnsi="仿宋" w:eastAsia="仿宋" w:cs="宋体"/>
          <w:b/>
          <w:color w:val="auto"/>
          <w:sz w:val="24"/>
          <w:szCs w:val="24"/>
          <w:highlight w:val="none"/>
        </w:rPr>
        <w:t>拟派项目</w:t>
      </w:r>
      <w:r>
        <w:rPr>
          <w:rFonts w:hint="eastAsia" w:ascii="仿宋" w:hAnsi="仿宋" w:eastAsia="仿宋" w:cs="宋体"/>
          <w:b/>
          <w:color w:val="auto"/>
          <w:sz w:val="24"/>
          <w:szCs w:val="24"/>
          <w:highlight w:val="none"/>
          <w:lang w:eastAsia="zh-CN"/>
        </w:rPr>
        <w:t>负责人</w:t>
      </w:r>
      <w:r>
        <w:rPr>
          <w:rFonts w:hint="eastAsia" w:ascii="仿宋" w:hAnsi="仿宋" w:eastAsia="仿宋" w:cs="宋体"/>
          <w:b/>
          <w:color w:val="auto"/>
          <w:sz w:val="24"/>
          <w:szCs w:val="24"/>
          <w:highlight w:val="none"/>
        </w:rPr>
        <w:t>简历表</w:t>
      </w:r>
    </w:p>
    <w:tbl>
      <w:tblPr>
        <w:tblStyle w:val="56"/>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19"/>
        <w:gridCol w:w="745"/>
        <w:gridCol w:w="1355"/>
        <w:gridCol w:w="180"/>
        <w:gridCol w:w="330"/>
        <w:gridCol w:w="840"/>
        <w:gridCol w:w="540"/>
        <w:gridCol w:w="15"/>
        <w:gridCol w:w="1125"/>
        <w:gridCol w:w="850"/>
        <w:gridCol w:w="230"/>
        <w:gridCol w:w="958"/>
        <w:gridCol w:w="1184"/>
      </w:tblGrid>
      <w:tr w14:paraId="1A996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1319" w:type="dxa"/>
            <w:tcBorders>
              <w:top w:val="single" w:color="auto" w:sz="4" w:space="0"/>
              <w:left w:val="single" w:color="auto" w:sz="4" w:space="0"/>
              <w:bottom w:val="single" w:color="auto" w:sz="4" w:space="0"/>
              <w:right w:val="single" w:color="auto" w:sz="4" w:space="0"/>
            </w:tcBorders>
            <w:noWrap/>
            <w:vAlign w:val="center"/>
          </w:tcPr>
          <w:p w14:paraId="569F718C">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姓名</w:t>
            </w:r>
          </w:p>
        </w:tc>
        <w:tc>
          <w:tcPr>
            <w:tcW w:w="2610" w:type="dxa"/>
            <w:gridSpan w:val="4"/>
            <w:tcBorders>
              <w:top w:val="single" w:color="auto" w:sz="4" w:space="0"/>
              <w:left w:val="single" w:color="auto" w:sz="4" w:space="0"/>
              <w:bottom w:val="single" w:color="auto" w:sz="4" w:space="0"/>
              <w:right w:val="single" w:color="auto" w:sz="4" w:space="0"/>
            </w:tcBorders>
            <w:noWrap/>
            <w:vAlign w:val="center"/>
          </w:tcPr>
          <w:p w14:paraId="6E3B612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840" w:type="dxa"/>
            <w:tcBorders>
              <w:top w:val="single" w:color="auto" w:sz="4" w:space="0"/>
              <w:left w:val="single" w:color="auto" w:sz="4" w:space="0"/>
              <w:bottom w:val="single" w:color="auto" w:sz="4" w:space="0"/>
              <w:right w:val="single" w:color="auto" w:sz="4" w:space="0"/>
            </w:tcBorders>
            <w:noWrap/>
            <w:vAlign w:val="center"/>
          </w:tcPr>
          <w:p w14:paraId="3E61728E">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性别</w:t>
            </w:r>
          </w:p>
        </w:tc>
        <w:tc>
          <w:tcPr>
            <w:tcW w:w="1680" w:type="dxa"/>
            <w:gridSpan w:val="3"/>
            <w:tcBorders>
              <w:top w:val="single" w:color="auto" w:sz="4" w:space="0"/>
              <w:left w:val="single" w:color="auto" w:sz="4" w:space="0"/>
              <w:bottom w:val="single" w:color="auto" w:sz="4" w:space="0"/>
              <w:right w:val="single" w:color="auto" w:sz="4" w:space="0"/>
            </w:tcBorders>
            <w:noWrap/>
            <w:vAlign w:val="center"/>
          </w:tcPr>
          <w:p w14:paraId="5FE6F51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080" w:type="dxa"/>
            <w:gridSpan w:val="2"/>
            <w:tcBorders>
              <w:top w:val="single" w:color="auto" w:sz="4" w:space="0"/>
              <w:left w:val="single" w:color="auto" w:sz="4" w:space="0"/>
              <w:bottom w:val="single" w:color="auto" w:sz="4" w:space="0"/>
              <w:right w:val="single" w:color="auto" w:sz="4" w:space="0"/>
            </w:tcBorders>
            <w:noWrap/>
            <w:vAlign w:val="center"/>
          </w:tcPr>
          <w:p w14:paraId="137140A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年龄</w:t>
            </w:r>
          </w:p>
        </w:tc>
        <w:tc>
          <w:tcPr>
            <w:tcW w:w="2142" w:type="dxa"/>
            <w:gridSpan w:val="2"/>
            <w:tcBorders>
              <w:top w:val="single" w:color="auto" w:sz="4" w:space="0"/>
              <w:left w:val="single" w:color="auto" w:sz="4" w:space="0"/>
              <w:bottom w:val="single" w:color="auto" w:sz="4" w:space="0"/>
              <w:right w:val="single" w:color="auto" w:sz="4" w:space="0"/>
            </w:tcBorders>
            <w:noWrap/>
            <w:vAlign w:val="center"/>
          </w:tcPr>
          <w:p w14:paraId="614059A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11CBD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319" w:type="dxa"/>
            <w:tcBorders>
              <w:top w:val="single" w:color="auto" w:sz="4" w:space="0"/>
              <w:left w:val="single" w:color="auto" w:sz="4" w:space="0"/>
              <w:bottom w:val="single" w:color="auto" w:sz="4" w:space="0"/>
              <w:right w:val="single" w:color="auto" w:sz="4" w:space="0"/>
            </w:tcBorders>
            <w:noWrap/>
            <w:vAlign w:val="center"/>
          </w:tcPr>
          <w:p w14:paraId="7EA2888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职务</w:t>
            </w:r>
          </w:p>
        </w:tc>
        <w:tc>
          <w:tcPr>
            <w:tcW w:w="2610" w:type="dxa"/>
            <w:gridSpan w:val="4"/>
            <w:tcBorders>
              <w:top w:val="single" w:color="auto" w:sz="4" w:space="0"/>
              <w:left w:val="single" w:color="auto" w:sz="4" w:space="0"/>
              <w:bottom w:val="single" w:color="auto" w:sz="4" w:space="0"/>
              <w:right w:val="single" w:color="auto" w:sz="4" w:space="0"/>
            </w:tcBorders>
            <w:noWrap/>
            <w:vAlign w:val="center"/>
          </w:tcPr>
          <w:p w14:paraId="7611231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840" w:type="dxa"/>
            <w:tcBorders>
              <w:top w:val="single" w:color="auto" w:sz="4" w:space="0"/>
              <w:left w:val="single" w:color="auto" w:sz="4" w:space="0"/>
              <w:bottom w:val="single" w:color="auto" w:sz="4" w:space="0"/>
              <w:right w:val="single" w:color="auto" w:sz="4" w:space="0"/>
            </w:tcBorders>
            <w:noWrap/>
            <w:vAlign w:val="center"/>
          </w:tcPr>
          <w:p w14:paraId="11DC778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职称</w:t>
            </w:r>
          </w:p>
        </w:tc>
        <w:tc>
          <w:tcPr>
            <w:tcW w:w="1680" w:type="dxa"/>
            <w:gridSpan w:val="3"/>
            <w:tcBorders>
              <w:top w:val="single" w:color="auto" w:sz="4" w:space="0"/>
              <w:left w:val="single" w:color="auto" w:sz="4" w:space="0"/>
              <w:bottom w:val="single" w:color="auto" w:sz="4" w:space="0"/>
              <w:right w:val="single" w:color="auto" w:sz="4" w:space="0"/>
            </w:tcBorders>
            <w:noWrap/>
            <w:vAlign w:val="center"/>
          </w:tcPr>
          <w:p w14:paraId="79723F5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080" w:type="dxa"/>
            <w:gridSpan w:val="2"/>
            <w:tcBorders>
              <w:top w:val="single" w:color="auto" w:sz="4" w:space="0"/>
              <w:left w:val="single" w:color="auto" w:sz="4" w:space="0"/>
              <w:bottom w:val="single" w:color="auto" w:sz="4" w:space="0"/>
              <w:right w:val="single" w:color="auto" w:sz="4" w:space="0"/>
            </w:tcBorders>
            <w:noWrap/>
            <w:vAlign w:val="center"/>
          </w:tcPr>
          <w:p w14:paraId="66E3E45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学历</w:t>
            </w:r>
          </w:p>
        </w:tc>
        <w:tc>
          <w:tcPr>
            <w:tcW w:w="2142" w:type="dxa"/>
            <w:gridSpan w:val="2"/>
            <w:tcBorders>
              <w:top w:val="single" w:color="auto" w:sz="4" w:space="0"/>
              <w:left w:val="single" w:color="auto" w:sz="4" w:space="0"/>
              <w:bottom w:val="single" w:color="auto" w:sz="4" w:space="0"/>
              <w:right w:val="single" w:color="auto" w:sz="4" w:space="0"/>
            </w:tcBorders>
            <w:noWrap/>
            <w:vAlign w:val="center"/>
          </w:tcPr>
          <w:p w14:paraId="7B770EEE">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48220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3419" w:type="dxa"/>
            <w:gridSpan w:val="3"/>
            <w:tcBorders>
              <w:top w:val="single" w:color="auto" w:sz="4" w:space="0"/>
              <w:left w:val="single" w:color="auto" w:sz="4" w:space="0"/>
              <w:bottom w:val="single" w:color="auto" w:sz="4" w:space="0"/>
              <w:right w:val="single" w:color="auto" w:sz="4" w:space="0"/>
            </w:tcBorders>
            <w:noWrap/>
            <w:vAlign w:val="center"/>
          </w:tcPr>
          <w:p w14:paraId="06CAA94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参加工作时间</w:t>
            </w:r>
          </w:p>
        </w:tc>
        <w:tc>
          <w:tcPr>
            <w:tcW w:w="1890" w:type="dxa"/>
            <w:gridSpan w:val="4"/>
            <w:tcBorders>
              <w:top w:val="single" w:color="auto" w:sz="4" w:space="0"/>
              <w:left w:val="single" w:color="auto" w:sz="4" w:space="0"/>
              <w:bottom w:val="single" w:color="auto" w:sz="4" w:space="0"/>
              <w:right w:val="single" w:color="auto" w:sz="4" w:space="0"/>
            </w:tcBorders>
            <w:noWrap/>
            <w:vAlign w:val="center"/>
          </w:tcPr>
          <w:p w14:paraId="7D72546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3178" w:type="dxa"/>
            <w:gridSpan w:val="5"/>
            <w:tcBorders>
              <w:top w:val="single" w:color="auto" w:sz="4" w:space="0"/>
              <w:left w:val="single" w:color="auto" w:sz="4" w:space="0"/>
              <w:bottom w:val="single" w:color="auto" w:sz="4" w:space="0"/>
              <w:right w:val="single" w:color="auto" w:sz="4" w:space="0"/>
            </w:tcBorders>
            <w:noWrap/>
            <w:vAlign w:val="center"/>
          </w:tcPr>
          <w:p w14:paraId="031376D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bCs/>
                <w:color w:val="auto"/>
                <w:sz w:val="24"/>
                <w:szCs w:val="24"/>
                <w:highlight w:val="none"/>
                <w:lang w:eastAsia="zh-CN"/>
              </w:rPr>
              <w:t>从事类似工作</w:t>
            </w:r>
            <w:r>
              <w:rPr>
                <w:rFonts w:hint="eastAsia" w:ascii="仿宋" w:hAnsi="仿宋" w:eastAsia="仿宋" w:cs="宋体"/>
                <w:bCs/>
                <w:color w:val="auto"/>
                <w:sz w:val="24"/>
                <w:szCs w:val="24"/>
                <w:highlight w:val="none"/>
              </w:rPr>
              <w:t>年限</w:t>
            </w:r>
          </w:p>
        </w:tc>
        <w:tc>
          <w:tcPr>
            <w:tcW w:w="1184" w:type="dxa"/>
            <w:tcBorders>
              <w:top w:val="single" w:color="auto" w:sz="4" w:space="0"/>
              <w:left w:val="single" w:color="auto" w:sz="4" w:space="0"/>
              <w:bottom w:val="single" w:color="auto" w:sz="4" w:space="0"/>
              <w:right w:val="single" w:color="auto" w:sz="4" w:space="0"/>
            </w:tcBorders>
            <w:noWrap/>
            <w:vAlign w:val="center"/>
          </w:tcPr>
          <w:p w14:paraId="5C3EF8F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6D7CF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8" w:hRule="atLeast"/>
          <w:jc w:val="center"/>
        </w:trPr>
        <w:tc>
          <w:tcPr>
            <w:tcW w:w="3419" w:type="dxa"/>
            <w:gridSpan w:val="3"/>
            <w:tcBorders>
              <w:top w:val="single" w:color="auto" w:sz="4" w:space="0"/>
              <w:left w:val="single" w:color="auto" w:sz="4" w:space="0"/>
              <w:bottom w:val="single" w:color="auto" w:sz="4" w:space="0"/>
              <w:right w:val="single" w:color="auto" w:sz="4" w:space="0"/>
            </w:tcBorders>
            <w:noWrap/>
            <w:vAlign w:val="center"/>
          </w:tcPr>
          <w:p w14:paraId="12936A2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证书编号</w:t>
            </w:r>
          </w:p>
        </w:tc>
        <w:tc>
          <w:tcPr>
            <w:tcW w:w="6252" w:type="dxa"/>
            <w:gridSpan w:val="10"/>
            <w:tcBorders>
              <w:top w:val="single" w:color="auto" w:sz="4" w:space="0"/>
              <w:left w:val="single" w:color="auto" w:sz="4" w:space="0"/>
              <w:bottom w:val="single" w:color="auto" w:sz="4" w:space="0"/>
              <w:right w:val="single" w:color="auto" w:sz="4" w:space="0"/>
            </w:tcBorders>
            <w:noWrap/>
            <w:vAlign w:val="center"/>
          </w:tcPr>
          <w:p w14:paraId="1F8FB01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08F6E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0" w:hRule="atLeast"/>
          <w:jc w:val="center"/>
        </w:trPr>
        <w:tc>
          <w:tcPr>
            <w:tcW w:w="9671" w:type="dxa"/>
            <w:gridSpan w:val="13"/>
            <w:tcBorders>
              <w:top w:val="single" w:color="auto" w:sz="4" w:space="0"/>
              <w:left w:val="single" w:color="auto" w:sz="4" w:space="0"/>
              <w:bottom w:val="single" w:color="auto" w:sz="4" w:space="0"/>
              <w:right w:val="single" w:color="auto" w:sz="4" w:space="0"/>
            </w:tcBorders>
            <w:noWrap/>
            <w:vAlign w:val="center"/>
          </w:tcPr>
          <w:p w14:paraId="0EFEE19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实施</w:t>
            </w:r>
            <w:r>
              <w:rPr>
                <w:rFonts w:hint="eastAsia" w:ascii="仿宋" w:hAnsi="仿宋" w:eastAsia="仿宋" w:cs="宋体"/>
                <w:color w:val="auto"/>
                <w:sz w:val="24"/>
                <w:szCs w:val="24"/>
                <w:highlight w:val="none"/>
              </w:rPr>
              <w:t>和已完项目情况</w:t>
            </w:r>
          </w:p>
        </w:tc>
      </w:tr>
      <w:tr w14:paraId="12B05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1755902C">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发包人</w:t>
            </w:r>
          </w:p>
        </w:tc>
        <w:tc>
          <w:tcPr>
            <w:tcW w:w="1535" w:type="dxa"/>
            <w:gridSpan w:val="2"/>
            <w:tcBorders>
              <w:top w:val="single" w:color="auto" w:sz="4" w:space="0"/>
              <w:left w:val="single" w:color="auto" w:sz="4" w:space="0"/>
              <w:bottom w:val="single" w:color="auto" w:sz="4" w:space="0"/>
              <w:right w:val="single" w:color="auto" w:sz="4" w:space="0"/>
            </w:tcBorders>
            <w:noWrap/>
            <w:vAlign w:val="center"/>
          </w:tcPr>
          <w:p w14:paraId="4D297E6C">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项目名称</w:t>
            </w:r>
          </w:p>
        </w:tc>
        <w:tc>
          <w:tcPr>
            <w:tcW w:w="1725" w:type="dxa"/>
            <w:gridSpan w:val="4"/>
            <w:tcBorders>
              <w:top w:val="single" w:color="auto" w:sz="4" w:space="0"/>
              <w:left w:val="single" w:color="auto" w:sz="4" w:space="0"/>
              <w:bottom w:val="single" w:color="auto" w:sz="4" w:space="0"/>
              <w:right w:val="single" w:color="auto" w:sz="4" w:space="0"/>
            </w:tcBorders>
            <w:noWrap/>
            <w:vAlign w:val="center"/>
          </w:tcPr>
          <w:p w14:paraId="1ADB49C5">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服务内容</w:t>
            </w:r>
          </w:p>
        </w:tc>
        <w:tc>
          <w:tcPr>
            <w:tcW w:w="1975" w:type="dxa"/>
            <w:gridSpan w:val="2"/>
            <w:tcBorders>
              <w:top w:val="single" w:color="auto" w:sz="4" w:space="0"/>
              <w:left w:val="single" w:color="auto" w:sz="4" w:space="0"/>
              <w:bottom w:val="single" w:color="auto" w:sz="4" w:space="0"/>
              <w:right w:val="single" w:color="auto" w:sz="4" w:space="0"/>
            </w:tcBorders>
            <w:noWrap/>
            <w:vAlign w:val="center"/>
          </w:tcPr>
          <w:p w14:paraId="741DC5CE">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服务期限</w:t>
            </w:r>
          </w:p>
        </w:tc>
        <w:tc>
          <w:tcPr>
            <w:tcW w:w="2372" w:type="dxa"/>
            <w:gridSpan w:val="3"/>
            <w:tcBorders>
              <w:top w:val="single" w:color="auto" w:sz="4" w:space="0"/>
              <w:left w:val="single" w:color="auto" w:sz="4" w:space="0"/>
              <w:bottom w:val="single" w:color="auto" w:sz="4" w:space="0"/>
              <w:right w:val="single" w:color="auto" w:sz="4" w:space="0"/>
            </w:tcBorders>
            <w:noWrap/>
            <w:vAlign w:val="center"/>
          </w:tcPr>
          <w:p w14:paraId="1C6F99D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服务</w:t>
            </w:r>
            <w:r>
              <w:rPr>
                <w:rFonts w:hint="eastAsia" w:ascii="仿宋" w:hAnsi="仿宋" w:eastAsia="仿宋" w:cs="宋体"/>
                <w:color w:val="auto"/>
                <w:sz w:val="24"/>
                <w:szCs w:val="24"/>
                <w:highlight w:val="none"/>
              </w:rPr>
              <w:t>质量</w:t>
            </w:r>
          </w:p>
        </w:tc>
      </w:tr>
      <w:tr w14:paraId="5B186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48ADCE5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535" w:type="dxa"/>
            <w:gridSpan w:val="2"/>
            <w:tcBorders>
              <w:top w:val="single" w:color="auto" w:sz="4" w:space="0"/>
              <w:left w:val="single" w:color="auto" w:sz="4" w:space="0"/>
              <w:bottom w:val="single" w:color="auto" w:sz="4" w:space="0"/>
              <w:right w:val="single" w:color="auto" w:sz="4" w:space="0"/>
            </w:tcBorders>
            <w:noWrap/>
            <w:vAlign w:val="center"/>
          </w:tcPr>
          <w:p w14:paraId="1E63C75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725" w:type="dxa"/>
            <w:gridSpan w:val="4"/>
            <w:tcBorders>
              <w:top w:val="single" w:color="auto" w:sz="4" w:space="0"/>
              <w:left w:val="single" w:color="auto" w:sz="4" w:space="0"/>
              <w:bottom w:val="single" w:color="auto" w:sz="4" w:space="0"/>
              <w:right w:val="single" w:color="auto" w:sz="4" w:space="0"/>
            </w:tcBorders>
            <w:noWrap/>
            <w:vAlign w:val="center"/>
          </w:tcPr>
          <w:p w14:paraId="00486C1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975" w:type="dxa"/>
            <w:gridSpan w:val="2"/>
            <w:tcBorders>
              <w:top w:val="single" w:color="auto" w:sz="4" w:space="0"/>
              <w:left w:val="single" w:color="auto" w:sz="4" w:space="0"/>
              <w:bottom w:val="single" w:color="auto" w:sz="4" w:space="0"/>
              <w:right w:val="single" w:color="auto" w:sz="4" w:space="0"/>
            </w:tcBorders>
            <w:noWrap/>
            <w:vAlign w:val="center"/>
          </w:tcPr>
          <w:p w14:paraId="7F8D455C">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372" w:type="dxa"/>
            <w:gridSpan w:val="3"/>
            <w:tcBorders>
              <w:top w:val="single" w:color="auto" w:sz="4" w:space="0"/>
              <w:left w:val="single" w:color="auto" w:sz="4" w:space="0"/>
              <w:bottom w:val="single" w:color="auto" w:sz="4" w:space="0"/>
              <w:right w:val="single" w:color="auto" w:sz="4" w:space="0"/>
            </w:tcBorders>
            <w:noWrap/>
            <w:vAlign w:val="center"/>
          </w:tcPr>
          <w:p w14:paraId="530AC7D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41F1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5306CA7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535" w:type="dxa"/>
            <w:gridSpan w:val="2"/>
            <w:tcBorders>
              <w:top w:val="single" w:color="auto" w:sz="4" w:space="0"/>
              <w:left w:val="single" w:color="auto" w:sz="4" w:space="0"/>
              <w:bottom w:val="single" w:color="auto" w:sz="4" w:space="0"/>
              <w:right w:val="single" w:color="auto" w:sz="4" w:space="0"/>
            </w:tcBorders>
            <w:noWrap/>
            <w:vAlign w:val="center"/>
          </w:tcPr>
          <w:p w14:paraId="2290146F">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725" w:type="dxa"/>
            <w:gridSpan w:val="4"/>
            <w:tcBorders>
              <w:top w:val="single" w:color="auto" w:sz="4" w:space="0"/>
              <w:left w:val="single" w:color="auto" w:sz="4" w:space="0"/>
              <w:bottom w:val="single" w:color="auto" w:sz="4" w:space="0"/>
              <w:right w:val="single" w:color="auto" w:sz="4" w:space="0"/>
            </w:tcBorders>
            <w:noWrap/>
            <w:vAlign w:val="center"/>
          </w:tcPr>
          <w:p w14:paraId="4F7FC6C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975" w:type="dxa"/>
            <w:gridSpan w:val="2"/>
            <w:tcBorders>
              <w:top w:val="single" w:color="auto" w:sz="4" w:space="0"/>
              <w:left w:val="single" w:color="auto" w:sz="4" w:space="0"/>
              <w:bottom w:val="single" w:color="auto" w:sz="4" w:space="0"/>
              <w:right w:val="single" w:color="auto" w:sz="4" w:space="0"/>
            </w:tcBorders>
            <w:noWrap/>
            <w:vAlign w:val="center"/>
          </w:tcPr>
          <w:p w14:paraId="04B969D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372" w:type="dxa"/>
            <w:gridSpan w:val="3"/>
            <w:tcBorders>
              <w:top w:val="single" w:color="auto" w:sz="4" w:space="0"/>
              <w:left w:val="single" w:color="auto" w:sz="4" w:space="0"/>
              <w:bottom w:val="single" w:color="auto" w:sz="4" w:space="0"/>
              <w:right w:val="single" w:color="auto" w:sz="4" w:space="0"/>
            </w:tcBorders>
            <w:noWrap/>
            <w:vAlign w:val="center"/>
          </w:tcPr>
          <w:p w14:paraId="0C7BD8A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2162F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42C8696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535" w:type="dxa"/>
            <w:gridSpan w:val="2"/>
            <w:tcBorders>
              <w:top w:val="single" w:color="auto" w:sz="4" w:space="0"/>
              <w:left w:val="single" w:color="auto" w:sz="4" w:space="0"/>
              <w:bottom w:val="single" w:color="auto" w:sz="4" w:space="0"/>
              <w:right w:val="single" w:color="auto" w:sz="4" w:space="0"/>
            </w:tcBorders>
            <w:noWrap/>
            <w:vAlign w:val="center"/>
          </w:tcPr>
          <w:p w14:paraId="2A51C89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725" w:type="dxa"/>
            <w:gridSpan w:val="4"/>
            <w:tcBorders>
              <w:top w:val="single" w:color="auto" w:sz="4" w:space="0"/>
              <w:left w:val="single" w:color="auto" w:sz="4" w:space="0"/>
              <w:bottom w:val="single" w:color="auto" w:sz="4" w:space="0"/>
              <w:right w:val="single" w:color="auto" w:sz="4" w:space="0"/>
            </w:tcBorders>
            <w:noWrap/>
            <w:vAlign w:val="center"/>
          </w:tcPr>
          <w:p w14:paraId="0FC5D08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975" w:type="dxa"/>
            <w:gridSpan w:val="2"/>
            <w:tcBorders>
              <w:top w:val="single" w:color="auto" w:sz="4" w:space="0"/>
              <w:left w:val="single" w:color="auto" w:sz="4" w:space="0"/>
              <w:bottom w:val="single" w:color="auto" w:sz="4" w:space="0"/>
              <w:right w:val="single" w:color="auto" w:sz="4" w:space="0"/>
            </w:tcBorders>
            <w:noWrap/>
            <w:vAlign w:val="center"/>
          </w:tcPr>
          <w:p w14:paraId="09CC536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372" w:type="dxa"/>
            <w:gridSpan w:val="3"/>
            <w:tcBorders>
              <w:top w:val="single" w:color="auto" w:sz="4" w:space="0"/>
              <w:left w:val="single" w:color="auto" w:sz="4" w:space="0"/>
              <w:bottom w:val="single" w:color="auto" w:sz="4" w:space="0"/>
              <w:right w:val="single" w:color="auto" w:sz="4" w:space="0"/>
            </w:tcBorders>
            <w:noWrap/>
            <w:vAlign w:val="center"/>
          </w:tcPr>
          <w:p w14:paraId="354A267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1F1C6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5F0F05B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535" w:type="dxa"/>
            <w:gridSpan w:val="2"/>
            <w:tcBorders>
              <w:top w:val="single" w:color="auto" w:sz="4" w:space="0"/>
              <w:left w:val="single" w:color="auto" w:sz="4" w:space="0"/>
              <w:bottom w:val="single" w:color="auto" w:sz="4" w:space="0"/>
              <w:right w:val="single" w:color="auto" w:sz="4" w:space="0"/>
            </w:tcBorders>
            <w:noWrap/>
            <w:vAlign w:val="center"/>
          </w:tcPr>
          <w:p w14:paraId="2198339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725" w:type="dxa"/>
            <w:gridSpan w:val="4"/>
            <w:tcBorders>
              <w:top w:val="single" w:color="auto" w:sz="4" w:space="0"/>
              <w:left w:val="single" w:color="auto" w:sz="4" w:space="0"/>
              <w:bottom w:val="single" w:color="auto" w:sz="4" w:space="0"/>
              <w:right w:val="single" w:color="auto" w:sz="4" w:space="0"/>
            </w:tcBorders>
            <w:noWrap/>
            <w:vAlign w:val="center"/>
          </w:tcPr>
          <w:p w14:paraId="4B1D000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975" w:type="dxa"/>
            <w:gridSpan w:val="2"/>
            <w:tcBorders>
              <w:top w:val="single" w:color="auto" w:sz="4" w:space="0"/>
              <w:left w:val="single" w:color="auto" w:sz="4" w:space="0"/>
              <w:bottom w:val="single" w:color="auto" w:sz="4" w:space="0"/>
              <w:right w:val="single" w:color="auto" w:sz="4" w:space="0"/>
            </w:tcBorders>
            <w:noWrap/>
            <w:vAlign w:val="center"/>
          </w:tcPr>
          <w:p w14:paraId="103B073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372" w:type="dxa"/>
            <w:gridSpan w:val="3"/>
            <w:tcBorders>
              <w:top w:val="single" w:color="auto" w:sz="4" w:space="0"/>
              <w:left w:val="single" w:color="auto" w:sz="4" w:space="0"/>
              <w:bottom w:val="single" w:color="auto" w:sz="4" w:space="0"/>
              <w:right w:val="single" w:color="auto" w:sz="4" w:space="0"/>
            </w:tcBorders>
            <w:noWrap/>
            <w:vAlign w:val="center"/>
          </w:tcPr>
          <w:p w14:paraId="1146800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6A4C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3CD0358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535" w:type="dxa"/>
            <w:gridSpan w:val="2"/>
            <w:tcBorders>
              <w:top w:val="single" w:color="auto" w:sz="4" w:space="0"/>
              <w:left w:val="single" w:color="auto" w:sz="4" w:space="0"/>
              <w:bottom w:val="single" w:color="auto" w:sz="4" w:space="0"/>
              <w:right w:val="single" w:color="auto" w:sz="4" w:space="0"/>
            </w:tcBorders>
            <w:noWrap/>
            <w:vAlign w:val="center"/>
          </w:tcPr>
          <w:p w14:paraId="2AD5F1C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725" w:type="dxa"/>
            <w:gridSpan w:val="4"/>
            <w:tcBorders>
              <w:top w:val="single" w:color="auto" w:sz="4" w:space="0"/>
              <w:left w:val="single" w:color="auto" w:sz="4" w:space="0"/>
              <w:bottom w:val="single" w:color="auto" w:sz="4" w:space="0"/>
              <w:right w:val="single" w:color="auto" w:sz="4" w:space="0"/>
            </w:tcBorders>
            <w:noWrap/>
            <w:vAlign w:val="center"/>
          </w:tcPr>
          <w:p w14:paraId="7561183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975" w:type="dxa"/>
            <w:gridSpan w:val="2"/>
            <w:tcBorders>
              <w:top w:val="single" w:color="auto" w:sz="4" w:space="0"/>
              <w:left w:val="single" w:color="auto" w:sz="4" w:space="0"/>
              <w:bottom w:val="single" w:color="auto" w:sz="4" w:space="0"/>
              <w:right w:val="single" w:color="auto" w:sz="4" w:space="0"/>
            </w:tcBorders>
            <w:noWrap/>
            <w:vAlign w:val="center"/>
          </w:tcPr>
          <w:p w14:paraId="2E136FB1">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372" w:type="dxa"/>
            <w:gridSpan w:val="3"/>
            <w:tcBorders>
              <w:top w:val="single" w:color="auto" w:sz="4" w:space="0"/>
              <w:left w:val="single" w:color="auto" w:sz="4" w:space="0"/>
              <w:bottom w:val="single" w:color="auto" w:sz="4" w:space="0"/>
              <w:right w:val="single" w:color="auto" w:sz="4" w:space="0"/>
            </w:tcBorders>
            <w:noWrap/>
            <w:vAlign w:val="center"/>
          </w:tcPr>
          <w:p w14:paraId="63260AB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40B82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19B562B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535" w:type="dxa"/>
            <w:gridSpan w:val="2"/>
            <w:tcBorders>
              <w:top w:val="single" w:color="auto" w:sz="4" w:space="0"/>
              <w:left w:val="single" w:color="auto" w:sz="4" w:space="0"/>
              <w:bottom w:val="single" w:color="auto" w:sz="4" w:space="0"/>
              <w:right w:val="single" w:color="auto" w:sz="4" w:space="0"/>
            </w:tcBorders>
            <w:noWrap/>
            <w:vAlign w:val="center"/>
          </w:tcPr>
          <w:p w14:paraId="0169643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725" w:type="dxa"/>
            <w:gridSpan w:val="4"/>
            <w:tcBorders>
              <w:top w:val="single" w:color="auto" w:sz="4" w:space="0"/>
              <w:left w:val="single" w:color="auto" w:sz="4" w:space="0"/>
              <w:bottom w:val="single" w:color="auto" w:sz="4" w:space="0"/>
              <w:right w:val="single" w:color="auto" w:sz="4" w:space="0"/>
            </w:tcBorders>
            <w:noWrap/>
            <w:vAlign w:val="center"/>
          </w:tcPr>
          <w:p w14:paraId="09117D7D">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975" w:type="dxa"/>
            <w:gridSpan w:val="2"/>
            <w:tcBorders>
              <w:top w:val="single" w:color="auto" w:sz="4" w:space="0"/>
              <w:left w:val="single" w:color="auto" w:sz="4" w:space="0"/>
              <w:bottom w:val="single" w:color="auto" w:sz="4" w:space="0"/>
              <w:right w:val="single" w:color="auto" w:sz="4" w:space="0"/>
            </w:tcBorders>
            <w:noWrap/>
            <w:vAlign w:val="center"/>
          </w:tcPr>
          <w:p w14:paraId="241109B1">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372" w:type="dxa"/>
            <w:gridSpan w:val="3"/>
            <w:tcBorders>
              <w:top w:val="single" w:color="auto" w:sz="4" w:space="0"/>
              <w:left w:val="single" w:color="auto" w:sz="4" w:space="0"/>
              <w:bottom w:val="single" w:color="auto" w:sz="4" w:space="0"/>
              <w:right w:val="single" w:color="auto" w:sz="4" w:space="0"/>
            </w:tcBorders>
            <w:noWrap/>
            <w:vAlign w:val="center"/>
          </w:tcPr>
          <w:p w14:paraId="63593841">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5E273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20D816A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535" w:type="dxa"/>
            <w:gridSpan w:val="2"/>
            <w:tcBorders>
              <w:top w:val="single" w:color="auto" w:sz="4" w:space="0"/>
              <w:left w:val="single" w:color="auto" w:sz="4" w:space="0"/>
              <w:bottom w:val="single" w:color="auto" w:sz="4" w:space="0"/>
              <w:right w:val="single" w:color="auto" w:sz="4" w:space="0"/>
            </w:tcBorders>
            <w:noWrap/>
            <w:vAlign w:val="center"/>
          </w:tcPr>
          <w:p w14:paraId="2418192D">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725" w:type="dxa"/>
            <w:gridSpan w:val="4"/>
            <w:tcBorders>
              <w:top w:val="single" w:color="auto" w:sz="4" w:space="0"/>
              <w:left w:val="single" w:color="auto" w:sz="4" w:space="0"/>
              <w:bottom w:val="single" w:color="auto" w:sz="4" w:space="0"/>
              <w:right w:val="single" w:color="auto" w:sz="4" w:space="0"/>
            </w:tcBorders>
            <w:noWrap/>
            <w:vAlign w:val="center"/>
          </w:tcPr>
          <w:p w14:paraId="7C525D91">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975" w:type="dxa"/>
            <w:gridSpan w:val="2"/>
            <w:tcBorders>
              <w:top w:val="single" w:color="auto" w:sz="4" w:space="0"/>
              <w:left w:val="single" w:color="auto" w:sz="4" w:space="0"/>
              <w:bottom w:val="single" w:color="auto" w:sz="4" w:space="0"/>
              <w:right w:val="single" w:color="auto" w:sz="4" w:space="0"/>
            </w:tcBorders>
            <w:noWrap/>
            <w:vAlign w:val="center"/>
          </w:tcPr>
          <w:p w14:paraId="22BAAC7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372" w:type="dxa"/>
            <w:gridSpan w:val="3"/>
            <w:tcBorders>
              <w:top w:val="single" w:color="auto" w:sz="4" w:space="0"/>
              <w:left w:val="single" w:color="auto" w:sz="4" w:space="0"/>
              <w:bottom w:val="single" w:color="auto" w:sz="4" w:space="0"/>
              <w:right w:val="single" w:color="auto" w:sz="4" w:space="0"/>
            </w:tcBorders>
            <w:noWrap/>
            <w:vAlign w:val="center"/>
          </w:tcPr>
          <w:p w14:paraId="088AAFE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bl>
    <w:p w14:paraId="479DDA88">
      <w:pPr>
        <w:spacing w:line="360" w:lineRule="auto"/>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注：</w:t>
      </w:r>
    </w:p>
    <w:p w14:paraId="52033F5A">
      <w:pPr>
        <w:spacing w:line="360" w:lineRule="auto"/>
        <w:rPr>
          <w:rFonts w:ascii="仿宋" w:hAnsi="仿宋" w:eastAsia="仿宋" w:cs="宋体"/>
          <w:b/>
          <w:color w:val="auto"/>
          <w:szCs w:val="21"/>
          <w:highlight w:val="none"/>
        </w:rPr>
      </w:pPr>
      <w:r>
        <w:rPr>
          <w:rFonts w:hint="eastAsia" w:ascii="仿宋" w:hAnsi="仿宋" w:eastAsia="仿宋" w:cs="宋体"/>
          <w:b/>
          <w:color w:val="auto"/>
          <w:szCs w:val="21"/>
          <w:highlight w:val="none"/>
        </w:rPr>
        <w:t>附</w:t>
      </w:r>
      <w:r>
        <w:rPr>
          <w:rFonts w:hint="eastAsia" w:ascii="仿宋" w:hAnsi="仿宋" w:eastAsia="仿宋" w:cs="宋体"/>
          <w:b/>
          <w:color w:val="auto"/>
          <w:szCs w:val="21"/>
          <w:highlight w:val="none"/>
          <w:lang w:eastAsia="zh-CN"/>
        </w:rPr>
        <w:t>项目负责人</w:t>
      </w:r>
      <w:r>
        <w:rPr>
          <w:rFonts w:hint="eastAsia" w:ascii="仿宋" w:hAnsi="仿宋" w:eastAsia="仿宋" w:cs="宋体"/>
          <w:b/>
          <w:color w:val="auto"/>
          <w:szCs w:val="21"/>
          <w:highlight w:val="none"/>
        </w:rPr>
        <w:t>的劳动合同</w:t>
      </w:r>
      <w:r>
        <w:rPr>
          <w:rFonts w:hint="eastAsia" w:ascii="仿宋" w:hAnsi="仿宋" w:eastAsia="仿宋" w:cs="宋体"/>
          <w:b/>
          <w:color w:val="auto"/>
          <w:szCs w:val="21"/>
          <w:highlight w:val="none"/>
          <w:lang w:eastAsia="zh-CN"/>
        </w:rPr>
        <w:t>或</w:t>
      </w:r>
      <w:r>
        <w:rPr>
          <w:rFonts w:hint="eastAsia" w:ascii="仿宋" w:hAnsi="仿宋" w:eastAsia="仿宋" w:cs="宋体"/>
          <w:b/>
          <w:color w:val="auto"/>
          <w:szCs w:val="21"/>
          <w:highlight w:val="none"/>
        </w:rPr>
        <w:t>社保证明、</w:t>
      </w:r>
      <w:r>
        <w:rPr>
          <w:rFonts w:hint="eastAsia" w:ascii="仿宋" w:hAnsi="仿宋" w:eastAsia="仿宋" w:cs="宋体"/>
          <w:b/>
          <w:bCs/>
          <w:color w:val="auto"/>
          <w:szCs w:val="21"/>
          <w:highlight w:val="none"/>
        </w:rPr>
        <w:t>二代</w:t>
      </w:r>
      <w:r>
        <w:rPr>
          <w:rFonts w:hint="eastAsia" w:ascii="仿宋" w:hAnsi="仿宋" w:eastAsia="仿宋" w:cs="宋体"/>
          <w:b/>
          <w:color w:val="auto"/>
          <w:szCs w:val="21"/>
          <w:highlight w:val="none"/>
        </w:rPr>
        <w:t>身份证</w:t>
      </w:r>
      <w:r>
        <w:rPr>
          <w:rFonts w:hint="eastAsia" w:ascii="仿宋" w:hAnsi="仿宋" w:eastAsia="仿宋" w:cs="宋体"/>
          <w:b/>
          <w:color w:val="auto"/>
          <w:szCs w:val="21"/>
          <w:highlight w:val="none"/>
          <w:lang w:eastAsia="zh-CN"/>
        </w:rPr>
        <w:t>、有关证书（如有）</w:t>
      </w:r>
      <w:r>
        <w:rPr>
          <w:rFonts w:hint="eastAsia" w:ascii="仿宋" w:hAnsi="仿宋" w:eastAsia="仿宋" w:cs="宋体"/>
          <w:b/>
          <w:color w:val="auto"/>
          <w:szCs w:val="21"/>
          <w:highlight w:val="none"/>
        </w:rPr>
        <w:t>等相关证明材料原件扫描件；</w:t>
      </w:r>
    </w:p>
    <w:p w14:paraId="35CC1C13">
      <w:pPr>
        <w:rPr>
          <w:rStyle w:val="617"/>
          <w:rFonts w:hint="eastAsia" w:ascii="仿宋" w:hAnsi="仿宋" w:eastAsia="仿宋" w:cs="仿宋"/>
          <w:b/>
          <w:bCs/>
          <w:color w:val="auto"/>
          <w:sz w:val="24"/>
          <w:szCs w:val="24"/>
          <w:highlight w:val="none"/>
          <w:lang w:eastAsia="zh-CN"/>
        </w:rPr>
      </w:pPr>
      <w:r>
        <w:rPr>
          <w:rFonts w:hint="eastAsia" w:ascii="仿宋" w:hAnsi="仿宋" w:eastAsia="仿宋" w:cs="宋体"/>
          <w:b/>
          <w:color w:val="auto"/>
          <w:szCs w:val="21"/>
          <w:highlight w:val="none"/>
        </w:rPr>
        <w:br w:type="page"/>
      </w:r>
    </w:p>
    <w:p w14:paraId="60128797">
      <w:pPr>
        <w:jc w:val="both"/>
        <w:rPr>
          <w:rStyle w:val="617"/>
          <w:rFonts w:hint="default" w:ascii="仿宋" w:hAnsi="仿宋" w:eastAsia="仿宋" w:cs="仿宋"/>
          <w:b w:val="0"/>
          <w:bCs w:val="0"/>
          <w:color w:val="auto"/>
          <w:sz w:val="28"/>
          <w:szCs w:val="28"/>
          <w:highlight w:val="none"/>
          <w:lang w:val="en-US" w:eastAsia="zh-CN"/>
        </w:rPr>
      </w:pPr>
      <w:r>
        <w:rPr>
          <w:rStyle w:val="617"/>
          <w:rFonts w:hint="eastAsia" w:ascii="仿宋" w:hAnsi="仿宋" w:eastAsia="仿宋" w:cs="仿宋"/>
          <w:b w:val="0"/>
          <w:bCs w:val="0"/>
          <w:color w:val="auto"/>
          <w:sz w:val="28"/>
          <w:szCs w:val="28"/>
          <w:highlight w:val="none"/>
          <w:lang w:eastAsia="zh-CN"/>
        </w:rPr>
        <w:t>附表</w:t>
      </w:r>
      <w:r>
        <w:rPr>
          <w:rStyle w:val="617"/>
          <w:rFonts w:hint="eastAsia" w:ascii="仿宋" w:hAnsi="仿宋" w:eastAsia="仿宋" w:cs="仿宋"/>
          <w:b w:val="0"/>
          <w:bCs w:val="0"/>
          <w:color w:val="auto"/>
          <w:sz w:val="28"/>
          <w:szCs w:val="28"/>
          <w:highlight w:val="none"/>
          <w:lang w:val="en-US" w:eastAsia="zh-CN"/>
        </w:rPr>
        <w:t>3：</w:t>
      </w:r>
    </w:p>
    <w:p w14:paraId="23B7D4BD">
      <w:pPr>
        <w:jc w:val="center"/>
        <w:rPr>
          <w:rFonts w:hint="eastAsia" w:ascii="仿宋" w:hAnsi="仿宋" w:eastAsia="仿宋" w:cs="仿宋"/>
          <w:b/>
          <w:bCs/>
          <w:color w:val="auto"/>
          <w:sz w:val="22"/>
          <w:szCs w:val="22"/>
          <w:highlight w:val="none"/>
          <w:lang w:val="en-US" w:eastAsia="zh-CN" w:bidi="ar"/>
        </w:rPr>
      </w:pPr>
      <w:r>
        <w:rPr>
          <w:rStyle w:val="617"/>
          <w:rFonts w:hint="eastAsia" w:ascii="仿宋" w:hAnsi="仿宋" w:eastAsia="仿宋" w:cs="仿宋"/>
          <w:b/>
          <w:bCs/>
          <w:color w:val="auto"/>
          <w:sz w:val="24"/>
          <w:szCs w:val="24"/>
          <w:highlight w:val="none"/>
          <w:lang w:eastAsia="zh-CN"/>
        </w:rPr>
        <w:t>主要人员简历表</w:t>
      </w:r>
    </w:p>
    <w:p w14:paraId="007E7800">
      <w:pPr>
        <w:rPr>
          <w:rFonts w:hint="eastAsia" w:ascii="仿宋" w:hAnsi="仿宋" w:eastAsia="仿宋" w:cs="仿宋"/>
          <w:color w:val="auto"/>
          <w:sz w:val="24"/>
          <w:szCs w:val="24"/>
          <w:highlight w:val="none"/>
          <w:lang w:val="en-US" w:eastAsia="zh-CN" w:bidi="ar"/>
        </w:rPr>
      </w:pP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19"/>
        <w:gridCol w:w="745"/>
        <w:gridCol w:w="709"/>
        <w:gridCol w:w="1241"/>
        <w:gridCol w:w="627"/>
        <w:gridCol w:w="846"/>
        <w:gridCol w:w="1636"/>
        <w:gridCol w:w="406"/>
        <w:gridCol w:w="2142"/>
      </w:tblGrid>
      <w:tr w14:paraId="42271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1319" w:type="dxa"/>
            <w:tcBorders>
              <w:top w:val="single" w:color="auto" w:sz="4" w:space="0"/>
              <w:left w:val="single" w:color="auto" w:sz="4" w:space="0"/>
              <w:bottom w:val="single" w:color="auto" w:sz="4" w:space="0"/>
              <w:right w:val="single" w:color="auto" w:sz="4" w:space="0"/>
            </w:tcBorders>
            <w:noWrap/>
            <w:vAlign w:val="center"/>
          </w:tcPr>
          <w:p w14:paraId="6B8FBF1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姓名</w:t>
            </w:r>
          </w:p>
        </w:tc>
        <w:tc>
          <w:tcPr>
            <w:tcW w:w="1454" w:type="dxa"/>
            <w:gridSpan w:val="2"/>
            <w:tcBorders>
              <w:top w:val="single" w:color="auto" w:sz="4" w:space="0"/>
              <w:left w:val="single" w:color="auto" w:sz="4" w:space="0"/>
              <w:bottom w:val="single" w:color="auto" w:sz="4" w:space="0"/>
              <w:right w:val="single" w:color="auto" w:sz="4" w:space="0"/>
            </w:tcBorders>
            <w:noWrap/>
            <w:vAlign w:val="center"/>
          </w:tcPr>
          <w:p w14:paraId="7D625AA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241" w:type="dxa"/>
            <w:tcBorders>
              <w:top w:val="single" w:color="auto" w:sz="4" w:space="0"/>
              <w:left w:val="single" w:color="auto" w:sz="4" w:space="0"/>
              <w:bottom w:val="single" w:color="auto" w:sz="4" w:space="0"/>
              <w:right w:val="single" w:color="auto" w:sz="4" w:space="0"/>
            </w:tcBorders>
            <w:noWrap/>
            <w:vAlign w:val="center"/>
          </w:tcPr>
          <w:p w14:paraId="47294259">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年龄</w:t>
            </w:r>
          </w:p>
        </w:tc>
        <w:tc>
          <w:tcPr>
            <w:tcW w:w="1473" w:type="dxa"/>
            <w:gridSpan w:val="2"/>
            <w:tcBorders>
              <w:top w:val="single" w:color="auto" w:sz="4" w:space="0"/>
              <w:left w:val="single" w:color="auto" w:sz="4" w:space="0"/>
              <w:bottom w:val="single" w:color="auto" w:sz="4" w:space="0"/>
              <w:right w:val="single" w:color="auto" w:sz="4" w:space="0"/>
            </w:tcBorders>
            <w:noWrap/>
            <w:vAlign w:val="center"/>
          </w:tcPr>
          <w:p w14:paraId="1613B31F">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042" w:type="dxa"/>
            <w:gridSpan w:val="2"/>
            <w:tcBorders>
              <w:top w:val="single" w:color="auto" w:sz="4" w:space="0"/>
              <w:left w:val="single" w:color="auto" w:sz="4" w:space="0"/>
              <w:bottom w:val="single" w:color="auto" w:sz="4" w:space="0"/>
              <w:right w:val="single" w:color="auto" w:sz="4" w:space="0"/>
            </w:tcBorders>
            <w:noWrap/>
            <w:vAlign w:val="center"/>
          </w:tcPr>
          <w:p w14:paraId="3F7B8CCA">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执业或职业资格证书名称</w:t>
            </w:r>
          </w:p>
        </w:tc>
        <w:tc>
          <w:tcPr>
            <w:tcW w:w="2142" w:type="dxa"/>
            <w:tcBorders>
              <w:top w:val="single" w:color="auto" w:sz="4" w:space="0"/>
              <w:left w:val="single" w:color="auto" w:sz="4" w:space="0"/>
              <w:bottom w:val="single" w:color="auto" w:sz="4" w:space="0"/>
              <w:right w:val="single" w:color="auto" w:sz="4" w:space="0"/>
            </w:tcBorders>
            <w:noWrap/>
            <w:vAlign w:val="center"/>
          </w:tcPr>
          <w:p w14:paraId="385FEFD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7A1E1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319" w:type="dxa"/>
            <w:tcBorders>
              <w:top w:val="single" w:color="auto" w:sz="4" w:space="0"/>
              <w:left w:val="single" w:color="auto" w:sz="4" w:space="0"/>
              <w:bottom w:val="single" w:color="auto" w:sz="4" w:space="0"/>
              <w:right w:val="single" w:color="auto" w:sz="4" w:space="0"/>
            </w:tcBorders>
            <w:noWrap/>
            <w:vAlign w:val="center"/>
          </w:tcPr>
          <w:p w14:paraId="6703DCED">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职称</w:t>
            </w:r>
          </w:p>
        </w:tc>
        <w:tc>
          <w:tcPr>
            <w:tcW w:w="1454" w:type="dxa"/>
            <w:gridSpan w:val="2"/>
            <w:tcBorders>
              <w:top w:val="single" w:color="auto" w:sz="4" w:space="0"/>
              <w:left w:val="single" w:color="auto" w:sz="4" w:space="0"/>
              <w:bottom w:val="single" w:color="auto" w:sz="4" w:space="0"/>
              <w:right w:val="single" w:color="auto" w:sz="4" w:space="0"/>
            </w:tcBorders>
            <w:noWrap/>
            <w:vAlign w:val="center"/>
          </w:tcPr>
          <w:p w14:paraId="5E12D5CD">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1241" w:type="dxa"/>
            <w:tcBorders>
              <w:top w:val="single" w:color="auto" w:sz="4" w:space="0"/>
              <w:left w:val="single" w:color="auto" w:sz="4" w:space="0"/>
              <w:bottom w:val="single" w:color="auto" w:sz="4" w:space="0"/>
              <w:right w:val="single" w:color="auto" w:sz="4" w:space="0"/>
            </w:tcBorders>
            <w:noWrap/>
            <w:vAlign w:val="center"/>
          </w:tcPr>
          <w:p w14:paraId="599B00C0">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学历</w:t>
            </w:r>
          </w:p>
        </w:tc>
        <w:tc>
          <w:tcPr>
            <w:tcW w:w="1473" w:type="dxa"/>
            <w:gridSpan w:val="2"/>
            <w:tcBorders>
              <w:top w:val="single" w:color="auto" w:sz="4" w:space="0"/>
              <w:left w:val="single" w:color="auto" w:sz="4" w:space="0"/>
              <w:bottom w:val="single" w:color="auto" w:sz="4" w:space="0"/>
              <w:right w:val="single" w:color="auto" w:sz="4" w:space="0"/>
            </w:tcBorders>
            <w:noWrap/>
            <w:vAlign w:val="center"/>
          </w:tcPr>
          <w:p w14:paraId="55DD450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042" w:type="dxa"/>
            <w:gridSpan w:val="2"/>
            <w:tcBorders>
              <w:top w:val="single" w:color="auto" w:sz="4" w:space="0"/>
              <w:left w:val="single" w:color="auto" w:sz="4" w:space="0"/>
              <w:bottom w:val="single" w:color="auto" w:sz="4" w:space="0"/>
              <w:right w:val="single" w:color="auto" w:sz="4" w:space="0"/>
            </w:tcBorders>
            <w:noWrap/>
            <w:vAlign w:val="center"/>
          </w:tcPr>
          <w:p w14:paraId="0DB2EECE">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拟在本项目任职</w:t>
            </w:r>
          </w:p>
        </w:tc>
        <w:tc>
          <w:tcPr>
            <w:tcW w:w="2142" w:type="dxa"/>
            <w:tcBorders>
              <w:top w:val="single" w:color="auto" w:sz="4" w:space="0"/>
              <w:left w:val="single" w:color="auto" w:sz="4" w:space="0"/>
              <w:bottom w:val="single" w:color="auto" w:sz="4" w:space="0"/>
              <w:right w:val="single" w:color="auto" w:sz="4" w:space="0"/>
            </w:tcBorders>
            <w:noWrap/>
            <w:vAlign w:val="center"/>
          </w:tcPr>
          <w:p w14:paraId="3AF36DB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2E89F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2773" w:type="dxa"/>
            <w:gridSpan w:val="3"/>
            <w:tcBorders>
              <w:top w:val="single" w:color="auto" w:sz="4" w:space="0"/>
              <w:left w:val="single" w:color="auto" w:sz="4" w:space="0"/>
              <w:bottom w:val="single" w:color="auto" w:sz="4" w:space="0"/>
              <w:right w:val="single" w:color="auto" w:sz="4" w:space="0"/>
            </w:tcBorders>
            <w:noWrap/>
            <w:vAlign w:val="center"/>
          </w:tcPr>
          <w:p w14:paraId="051CF511">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工作年限</w:t>
            </w:r>
          </w:p>
        </w:tc>
        <w:tc>
          <w:tcPr>
            <w:tcW w:w="2714" w:type="dxa"/>
            <w:gridSpan w:val="3"/>
            <w:tcBorders>
              <w:top w:val="single" w:color="auto" w:sz="4" w:space="0"/>
              <w:left w:val="single" w:color="auto" w:sz="4" w:space="0"/>
              <w:bottom w:val="single" w:color="auto" w:sz="4" w:space="0"/>
              <w:right w:val="single" w:color="auto" w:sz="4" w:space="0"/>
            </w:tcBorders>
            <w:noWrap/>
            <w:vAlign w:val="center"/>
          </w:tcPr>
          <w:p w14:paraId="7B793EE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042" w:type="dxa"/>
            <w:gridSpan w:val="2"/>
            <w:tcBorders>
              <w:top w:val="single" w:color="auto" w:sz="4" w:space="0"/>
              <w:left w:val="single" w:color="auto" w:sz="4" w:space="0"/>
              <w:bottom w:val="single" w:color="auto" w:sz="4" w:space="0"/>
              <w:right w:val="single" w:color="auto" w:sz="4" w:space="0"/>
            </w:tcBorders>
            <w:noWrap/>
            <w:vAlign w:val="center"/>
          </w:tcPr>
          <w:p w14:paraId="662C75F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从事类似工作</w:t>
            </w:r>
            <w:r>
              <w:rPr>
                <w:rFonts w:hint="eastAsia" w:ascii="仿宋" w:hAnsi="仿宋" w:eastAsia="仿宋" w:cs="宋体"/>
                <w:color w:val="auto"/>
                <w:sz w:val="24"/>
                <w:szCs w:val="24"/>
                <w:highlight w:val="none"/>
              </w:rPr>
              <w:t>年限</w:t>
            </w:r>
          </w:p>
        </w:tc>
        <w:tc>
          <w:tcPr>
            <w:tcW w:w="2142" w:type="dxa"/>
            <w:tcBorders>
              <w:top w:val="single" w:color="auto" w:sz="4" w:space="0"/>
              <w:left w:val="single" w:color="auto" w:sz="4" w:space="0"/>
              <w:bottom w:val="single" w:color="auto" w:sz="4" w:space="0"/>
              <w:right w:val="single" w:color="auto" w:sz="4" w:space="0"/>
            </w:tcBorders>
            <w:noWrap/>
            <w:vAlign w:val="center"/>
          </w:tcPr>
          <w:p w14:paraId="1A8CD9BD">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5F95C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8" w:hRule="atLeast"/>
          <w:jc w:val="center"/>
        </w:trPr>
        <w:tc>
          <w:tcPr>
            <w:tcW w:w="2773" w:type="dxa"/>
            <w:gridSpan w:val="3"/>
            <w:tcBorders>
              <w:top w:val="single" w:color="auto" w:sz="4" w:space="0"/>
              <w:left w:val="single" w:color="auto" w:sz="4" w:space="0"/>
              <w:bottom w:val="single" w:color="auto" w:sz="4" w:space="0"/>
              <w:right w:val="single" w:color="auto" w:sz="4" w:space="0"/>
            </w:tcBorders>
            <w:noWrap/>
            <w:vAlign w:val="center"/>
          </w:tcPr>
          <w:p w14:paraId="49561AC5">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毕业学校</w:t>
            </w:r>
          </w:p>
        </w:tc>
        <w:tc>
          <w:tcPr>
            <w:tcW w:w="6898" w:type="dxa"/>
            <w:gridSpan w:val="6"/>
            <w:tcBorders>
              <w:top w:val="single" w:color="auto" w:sz="4" w:space="0"/>
              <w:left w:val="single" w:color="auto" w:sz="4" w:space="0"/>
              <w:bottom w:val="single" w:color="auto" w:sz="4" w:space="0"/>
              <w:right w:val="single" w:color="auto" w:sz="4" w:space="0"/>
            </w:tcBorders>
            <w:noWrap/>
            <w:vAlign w:val="center"/>
          </w:tcPr>
          <w:p w14:paraId="2934469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eastAsia="zh-CN"/>
              </w:rPr>
              <w:t>年毕业于</w:t>
            </w:r>
            <w:r>
              <w:rPr>
                <w:rFonts w:hint="eastAsia" w:ascii="仿宋" w:hAnsi="仿宋" w:eastAsia="仿宋" w:cs="宋体"/>
                <w:color w:val="auto"/>
                <w:sz w:val="24"/>
                <w:szCs w:val="24"/>
                <w:highlight w:val="none"/>
                <w:lang w:val="en-US" w:eastAsia="zh-CN"/>
              </w:rPr>
              <w:t xml:space="preserve">       学校       专业</w:t>
            </w:r>
          </w:p>
        </w:tc>
      </w:tr>
      <w:tr w14:paraId="12AE1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0" w:hRule="atLeast"/>
          <w:jc w:val="center"/>
        </w:trPr>
        <w:tc>
          <w:tcPr>
            <w:tcW w:w="9671" w:type="dxa"/>
            <w:gridSpan w:val="9"/>
            <w:tcBorders>
              <w:top w:val="single" w:color="auto" w:sz="4" w:space="0"/>
              <w:left w:val="single" w:color="auto" w:sz="4" w:space="0"/>
              <w:bottom w:val="single" w:color="auto" w:sz="4" w:space="0"/>
              <w:right w:val="single" w:color="auto" w:sz="4" w:space="0"/>
            </w:tcBorders>
            <w:noWrap/>
            <w:vAlign w:val="center"/>
          </w:tcPr>
          <w:p w14:paraId="41BEB236">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主要工作经历</w:t>
            </w:r>
          </w:p>
        </w:tc>
      </w:tr>
      <w:tr w14:paraId="493E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129EEEED">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时间</w:t>
            </w:r>
          </w:p>
        </w:tc>
        <w:tc>
          <w:tcPr>
            <w:tcW w:w="2577" w:type="dxa"/>
            <w:gridSpan w:val="3"/>
            <w:tcBorders>
              <w:top w:val="single" w:color="auto" w:sz="4" w:space="0"/>
              <w:left w:val="single" w:color="auto" w:sz="4" w:space="0"/>
              <w:bottom w:val="single" w:color="auto" w:sz="4" w:space="0"/>
              <w:right w:val="single" w:color="auto" w:sz="4" w:space="0"/>
            </w:tcBorders>
            <w:noWrap/>
            <w:vAlign w:val="center"/>
          </w:tcPr>
          <w:p w14:paraId="6A1BB344">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参加过的类似项目</w:t>
            </w:r>
          </w:p>
        </w:tc>
        <w:tc>
          <w:tcPr>
            <w:tcW w:w="2482" w:type="dxa"/>
            <w:gridSpan w:val="2"/>
            <w:tcBorders>
              <w:top w:val="single" w:color="auto" w:sz="4" w:space="0"/>
              <w:left w:val="single" w:color="auto" w:sz="4" w:space="0"/>
              <w:bottom w:val="single" w:color="auto" w:sz="4" w:space="0"/>
              <w:right w:val="single" w:color="auto" w:sz="4" w:space="0"/>
            </w:tcBorders>
            <w:noWrap/>
            <w:vAlign w:val="center"/>
          </w:tcPr>
          <w:p w14:paraId="2B80D1AC">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担任职务</w:t>
            </w:r>
          </w:p>
        </w:tc>
        <w:tc>
          <w:tcPr>
            <w:tcW w:w="2548" w:type="dxa"/>
            <w:gridSpan w:val="2"/>
            <w:tcBorders>
              <w:top w:val="single" w:color="auto" w:sz="4" w:space="0"/>
              <w:left w:val="single" w:color="auto" w:sz="4" w:space="0"/>
              <w:bottom w:val="single" w:color="auto" w:sz="4" w:space="0"/>
              <w:right w:val="single" w:color="auto" w:sz="4" w:space="0"/>
            </w:tcBorders>
            <w:noWrap/>
            <w:vAlign w:val="center"/>
          </w:tcPr>
          <w:p w14:paraId="4E1B863E">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发包人及联系电话</w:t>
            </w:r>
          </w:p>
        </w:tc>
      </w:tr>
      <w:tr w14:paraId="5F460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12F0DD97">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77" w:type="dxa"/>
            <w:gridSpan w:val="3"/>
            <w:tcBorders>
              <w:top w:val="single" w:color="auto" w:sz="4" w:space="0"/>
              <w:left w:val="single" w:color="auto" w:sz="4" w:space="0"/>
              <w:bottom w:val="single" w:color="auto" w:sz="4" w:space="0"/>
              <w:right w:val="single" w:color="auto" w:sz="4" w:space="0"/>
            </w:tcBorders>
            <w:noWrap/>
            <w:vAlign w:val="center"/>
          </w:tcPr>
          <w:p w14:paraId="362E293E">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482" w:type="dxa"/>
            <w:gridSpan w:val="2"/>
            <w:tcBorders>
              <w:top w:val="single" w:color="auto" w:sz="4" w:space="0"/>
              <w:left w:val="single" w:color="auto" w:sz="4" w:space="0"/>
              <w:bottom w:val="single" w:color="auto" w:sz="4" w:space="0"/>
              <w:right w:val="single" w:color="auto" w:sz="4" w:space="0"/>
            </w:tcBorders>
            <w:noWrap/>
            <w:vAlign w:val="center"/>
          </w:tcPr>
          <w:p w14:paraId="36815A7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48" w:type="dxa"/>
            <w:gridSpan w:val="2"/>
            <w:tcBorders>
              <w:top w:val="single" w:color="auto" w:sz="4" w:space="0"/>
              <w:left w:val="single" w:color="auto" w:sz="4" w:space="0"/>
              <w:bottom w:val="single" w:color="auto" w:sz="4" w:space="0"/>
              <w:right w:val="single" w:color="auto" w:sz="4" w:space="0"/>
            </w:tcBorders>
            <w:noWrap/>
            <w:vAlign w:val="center"/>
          </w:tcPr>
          <w:p w14:paraId="4E3DBFB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4B3E8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04229F0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77" w:type="dxa"/>
            <w:gridSpan w:val="3"/>
            <w:tcBorders>
              <w:top w:val="single" w:color="auto" w:sz="4" w:space="0"/>
              <w:left w:val="single" w:color="auto" w:sz="4" w:space="0"/>
              <w:bottom w:val="single" w:color="auto" w:sz="4" w:space="0"/>
              <w:right w:val="single" w:color="auto" w:sz="4" w:space="0"/>
            </w:tcBorders>
            <w:noWrap/>
            <w:vAlign w:val="center"/>
          </w:tcPr>
          <w:p w14:paraId="31BA68D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482" w:type="dxa"/>
            <w:gridSpan w:val="2"/>
            <w:tcBorders>
              <w:top w:val="single" w:color="auto" w:sz="4" w:space="0"/>
              <w:left w:val="single" w:color="auto" w:sz="4" w:space="0"/>
              <w:bottom w:val="single" w:color="auto" w:sz="4" w:space="0"/>
              <w:right w:val="single" w:color="auto" w:sz="4" w:space="0"/>
            </w:tcBorders>
            <w:noWrap/>
            <w:vAlign w:val="center"/>
          </w:tcPr>
          <w:p w14:paraId="79773BF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48" w:type="dxa"/>
            <w:gridSpan w:val="2"/>
            <w:tcBorders>
              <w:top w:val="single" w:color="auto" w:sz="4" w:space="0"/>
              <w:left w:val="single" w:color="auto" w:sz="4" w:space="0"/>
              <w:bottom w:val="single" w:color="auto" w:sz="4" w:space="0"/>
              <w:right w:val="single" w:color="auto" w:sz="4" w:space="0"/>
            </w:tcBorders>
            <w:noWrap/>
            <w:vAlign w:val="center"/>
          </w:tcPr>
          <w:p w14:paraId="0F38EBA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6683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41C6F30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77" w:type="dxa"/>
            <w:gridSpan w:val="3"/>
            <w:tcBorders>
              <w:top w:val="single" w:color="auto" w:sz="4" w:space="0"/>
              <w:left w:val="single" w:color="auto" w:sz="4" w:space="0"/>
              <w:bottom w:val="single" w:color="auto" w:sz="4" w:space="0"/>
              <w:right w:val="single" w:color="auto" w:sz="4" w:space="0"/>
            </w:tcBorders>
            <w:noWrap/>
            <w:vAlign w:val="center"/>
          </w:tcPr>
          <w:p w14:paraId="012B5BA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482" w:type="dxa"/>
            <w:gridSpan w:val="2"/>
            <w:tcBorders>
              <w:top w:val="single" w:color="auto" w:sz="4" w:space="0"/>
              <w:left w:val="single" w:color="auto" w:sz="4" w:space="0"/>
              <w:bottom w:val="single" w:color="auto" w:sz="4" w:space="0"/>
              <w:right w:val="single" w:color="auto" w:sz="4" w:space="0"/>
            </w:tcBorders>
            <w:noWrap/>
            <w:vAlign w:val="center"/>
          </w:tcPr>
          <w:p w14:paraId="3C00B58E">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48" w:type="dxa"/>
            <w:gridSpan w:val="2"/>
            <w:tcBorders>
              <w:top w:val="single" w:color="auto" w:sz="4" w:space="0"/>
              <w:left w:val="single" w:color="auto" w:sz="4" w:space="0"/>
              <w:bottom w:val="single" w:color="auto" w:sz="4" w:space="0"/>
              <w:right w:val="single" w:color="auto" w:sz="4" w:space="0"/>
            </w:tcBorders>
            <w:noWrap/>
            <w:vAlign w:val="center"/>
          </w:tcPr>
          <w:p w14:paraId="08A6F71C">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0216F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533C5F5D">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77" w:type="dxa"/>
            <w:gridSpan w:val="3"/>
            <w:tcBorders>
              <w:top w:val="single" w:color="auto" w:sz="4" w:space="0"/>
              <w:left w:val="single" w:color="auto" w:sz="4" w:space="0"/>
              <w:bottom w:val="single" w:color="auto" w:sz="4" w:space="0"/>
              <w:right w:val="single" w:color="auto" w:sz="4" w:space="0"/>
            </w:tcBorders>
            <w:noWrap/>
            <w:vAlign w:val="center"/>
          </w:tcPr>
          <w:p w14:paraId="205C263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482" w:type="dxa"/>
            <w:gridSpan w:val="2"/>
            <w:tcBorders>
              <w:top w:val="single" w:color="auto" w:sz="4" w:space="0"/>
              <w:left w:val="single" w:color="auto" w:sz="4" w:space="0"/>
              <w:bottom w:val="single" w:color="auto" w:sz="4" w:space="0"/>
              <w:right w:val="single" w:color="auto" w:sz="4" w:space="0"/>
            </w:tcBorders>
            <w:noWrap/>
            <w:vAlign w:val="center"/>
          </w:tcPr>
          <w:p w14:paraId="47B30E8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48" w:type="dxa"/>
            <w:gridSpan w:val="2"/>
            <w:tcBorders>
              <w:top w:val="single" w:color="auto" w:sz="4" w:space="0"/>
              <w:left w:val="single" w:color="auto" w:sz="4" w:space="0"/>
              <w:bottom w:val="single" w:color="auto" w:sz="4" w:space="0"/>
              <w:right w:val="single" w:color="auto" w:sz="4" w:space="0"/>
            </w:tcBorders>
            <w:noWrap/>
            <w:vAlign w:val="center"/>
          </w:tcPr>
          <w:p w14:paraId="65286F8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08CE2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3F46DB0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77" w:type="dxa"/>
            <w:gridSpan w:val="3"/>
            <w:tcBorders>
              <w:top w:val="single" w:color="auto" w:sz="4" w:space="0"/>
              <w:left w:val="single" w:color="auto" w:sz="4" w:space="0"/>
              <w:bottom w:val="single" w:color="auto" w:sz="4" w:space="0"/>
              <w:right w:val="single" w:color="auto" w:sz="4" w:space="0"/>
            </w:tcBorders>
            <w:noWrap/>
            <w:vAlign w:val="center"/>
          </w:tcPr>
          <w:p w14:paraId="6E94CE4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482" w:type="dxa"/>
            <w:gridSpan w:val="2"/>
            <w:tcBorders>
              <w:top w:val="single" w:color="auto" w:sz="4" w:space="0"/>
              <w:left w:val="single" w:color="auto" w:sz="4" w:space="0"/>
              <w:bottom w:val="single" w:color="auto" w:sz="4" w:space="0"/>
              <w:right w:val="single" w:color="auto" w:sz="4" w:space="0"/>
            </w:tcBorders>
            <w:noWrap/>
            <w:vAlign w:val="center"/>
          </w:tcPr>
          <w:p w14:paraId="1870312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48" w:type="dxa"/>
            <w:gridSpan w:val="2"/>
            <w:tcBorders>
              <w:top w:val="single" w:color="auto" w:sz="4" w:space="0"/>
              <w:left w:val="single" w:color="auto" w:sz="4" w:space="0"/>
              <w:bottom w:val="single" w:color="auto" w:sz="4" w:space="0"/>
              <w:right w:val="single" w:color="auto" w:sz="4" w:space="0"/>
            </w:tcBorders>
            <w:noWrap/>
            <w:vAlign w:val="center"/>
          </w:tcPr>
          <w:p w14:paraId="0E2EE16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4FE4A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13C3937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77" w:type="dxa"/>
            <w:gridSpan w:val="3"/>
            <w:tcBorders>
              <w:top w:val="single" w:color="auto" w:sz="4" w:space="0"/>
              <w:left w:val="single" w:color="auto" w:sz="4" w:space="0"/>
              <w:bottom w:val="single" w:color="auto" w:sz="4" w:space="0"/>
              <w:right w:val="single" w:color="auto" w:sz="4" w:space="0"/>
            </w:tcBorders>
            <w:noWrap/>
            <w:vAlign w:val="center"/>
          </w:tcPr>
          <w:p w14:paraId="071B1DF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482" w:type="dxa"/>
            <w:gridSpan w:val="2"/>
            <w:tcBorders>
              <w:top w:val="single" w:color="auto" w:sz="4" w:space="0"/>
              <w:left w:val="single" w:color="auto" w:sz="4" w:space="0"/>
              <w:bottom w:val="single" w:color="auto" w:sz="4" w:space="0"/>
              <w:right w:val="single" w:color="auto" w:sz="4" w:space="0"/>
            </w:tcBorders>
            <w:noWrap/>
            <w:vAlign w:val="center"/>
          </w:tcPr>
          <w:p w14:paraId="42075C9B">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48" w:type="dxa"/>
            <w:gridSpan w:val="2"/>
            <w:tcBorders>
              <w:top w:val="single" w:color="auto" w:sz="4" w:space="0"/>
              <w:left w:val="single" w:color="auto" w:sz="4" w:space="0"/>
              <w:bottom w:val="single" w:color="auto" w:sz="4" w:space="0"/>
              <w:right w:val="single" w:color="auto" w:sz="4" w:space="0"/>
            </w:tcBorders>
            <w:noWrap/>
            <w:vAlign w:val="center"/>
          </w:tcPr>
          <w:p w14:paraId="7D6BA62A">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5CC04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2724E3C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77" w:type="dxa"/>
            <w:gridSpan w:val="3"/>
            <w:tcBorders>
              <w:top w:val="single" w:color="auto" w:sz="4" w:space="0"/>
              <w:left w:val="single" w:color="auto" w:sz="4" w:space="0"/>
              <w:bottom w:val="single" w:color="auto" w:sz="4" w:space="0"/>
              <w:right w:val="single" w:color="auto" w:sz="4" w:space="0"/>
            </w:tcBorders>
            <w:noWrap/>
            <w:vAlign w:val="center"/>
          </w:tcPr>
          <w:p w14:paraId="3D4E71BC">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482" w:type="dxa"/>
            <w:gridSpan w:val="2"/>
            <w:tcBorders>
              <w:top w:val="single" w:color="auto" w:sz="4" w:space="0"/>
              <w:left w:val="single" w:color="auto" w:sz="4" w:space="0"/>
              <w:bottom w:val="single" w:color="auto" w:sz="4" w:space="0"/>
              <w:right w:val="single" w:color="auto" w:sz="4" w:space="0"/>
            </w:tcBorders>
            <w:noWrap/>
            <w:vAlign w:val="center"/>
          </w:tcPr>
          <w:p w14:paraId="63F59AE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48" w:type="dxa"/>
            <w:gridSpan w:val="2"/>
            <w:tcBorders>
              <w:top w:val="single" w:color="auto" w:sz="4" w:space="0"/>
              <w:left w:val="single" w:color="auto" w:sz="4" w:space="0"/>
              <w:bottom w:val="single" w:color="auto" w:sz="4" w:space="0"/>
              <w:right w:val="single" w:color="auto" w:sz="4" w:space="0"/>
            </w:tcBorders>
            <w:noWrap/>
            <w:vAlign w:val="center"/>
          </w:tcPr>
          <w:p w14:paraId="6C544D1E">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6A17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26BC76C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77" w:type="dxa"/>
            <w:gridSpan w:val="3"/>
            <w:tcBorders>
              <w:top w:val="single" w:color="auto" w:sz="4" w:space="0"/>
              <w:left w:val="single" w:color="auto" w:sz="4" w:space="0"/>
              <w:bottom w:val="single" w:color="auto" w:sz="4" w:space="0"/>
              <w:right w:val="single" w:color="auto" w:sz="4" w:space="0"/>
            </w:tcBorders>
            <w:noWrap/>
            <w:vAlign w:val="center"/>
          </w:tcPr>
          <w:p w14:paraId="33F60F10">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482" w:type="dxa"/>
            <w:gridSpan w:val="2"/>
            <w:tcBorders>
              <w:top w:val="single" w:color="auto" w:sz="4" w:space="0"/>
              <w:left w:val="single" w:color="auto" w:sz="4" w:space="0"/>
              <w:bottom w:val="single" w:color="auto" w:sz="4" w:space="0"/>
              <w:right w:val="single" w:color="auto" w:sz="4" w:space="0"/>
            </w:tcBorders>
            <w:noWrap/>
            <w:vAlign w:val="center"/>
          </w:tcPr>
          <w:p w14:paraId="272EA12D">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48" w:type="dxa"/>
            <w:gridSpan w:val="2"/>
            <w:tcBorders>
              <w:top w:val="single" w:color="auto" w:sz="4" w:space="0"/>
              <w:left w:val="single" w:color="auto" w:sz="4" w:space="0"/>
              <w:bottom w:val="single" w:color="auto" w:sz="4" w:space="0"/>
              <w:right w:val="single" w:color="auto" w:sz="4" w:space="0"/>
            </w:tcBorders>
            <w:noWrap/>
            <w:vAlign w:val="center"/>
          </w:tcPr>
          <w:p w14:paraId="13A47D78">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0BAE9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26585ABF">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77" w:type="dxa"/>
            <w:gridSpan w:val="3"/>
            <w:tcBorders>
              <w:top w:val="single" w:color="auto" w:sz="4" w:space="0"/>
              <w:left w:val="single" w:color="auto" w:sz="4" w:space="0"/>
              <w:bottom w:val="single" w:color="auto" w:sz="4" w:space="0"/>
              <w:right w:val="single" w:color="auto" w:sz="4" w:space="0"/>
            </w:tcBorders>
            <w:noWrap/>
            <w:vAlign w:val="center"/>
          </w:tcPr>
          <w:p w14:paraId="71399F16">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482" w:type="dxa"/>
            <w:gridSpan w:val="2"/>
            <w:tcBorders>
              <w:top w:val="single" w:color="auto" w:sz="4" w:space="0"/>
              <w:left w:val="single" w:color="auto" w:sz="4" w:space="0"/>
              <w:bottom w:val="single" w:color="auto" w:sz="4" w:space="0"/>
              <w:right w:val="single" w:color="auto" w:sz="4" w:space="0"/>
            </w:tcBorders>
            <w:noWrap/>
            <w:vAlign w:val="center"/>
          </w:tcPr>
          <w:p w14:paraId="198CCDAC">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48" w:type="dxa"/>
            <w:gridSpan w:val="2"/>
            <w:tcBorders>
              <w:top w:val="single" w:color="auto" w:sz="4" w:space="0"/>
              <w:left w:val="single" w:color="auto" w:sz="4" w:space="0"/>
              <w:bottom w:val="single" w:color="auto" w:sz="4" w:space="0"/>
              <w:right w:val="single" w:color="auto" w:sz="4" w:space="0"/>
            </w:tcBorders>
            <w:noWrap/>
            <w:vAlign w:val="center"/>
          </w:tcPr>
          <w:p w14:paraId="6C637429">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r w14:paraId="0355E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noWrap/>
            <w:vAlign w:val="center"/>
          </w:tcPr>
          <w:p w14:paraId="64490EE2">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77" w:type="dxa"/>
            <w:gridSpan w:val="3"/>
            <w:tcBorders>
              <w:top w:val="single" w:color="auto" w:sz="4" w:space="0"/>
              <w:left w:val="single" w:color="auto" w:sz="4" w:space="0"/>
              <w:bottom w:val="single" w:color="auto" w:sz="4" w:space="0"/>
              <w:right w:val="single" w:color="auto" w:sz="4" w:space="0"/>
            </w:tcBorders>
            <w:noWrap/>
            <w:vAlign w:val="center"/>
          </w:tcPr>
          <w:p w14:paraId="099263F4">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482" w:type="dxa"/>
            <w:gridSpan w:val="2"/>
            <w:tcBorders>
              <w:top w:val="single" w:color="auto" w:sz="4" w:space="0"/>
              <w:left w:val="single" w:color="auto" w:sz="4" w:space="0"/>
              <w:bottom w:val="single" w:color="auto" w:sz="4" w:space="0"/>
              <w:right w:val="single" w:color="auto" w:sz="4" w:space="0"/>
            </w:tcBorders>
            <w:noWrap/>
            <w:vAlign w:val="center"/>
          </w:tcPr>
          <w:p w14:paraId="39E6CC83">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c>
          <w:tcPr>
            <w:tcW w:w="2548" w:type="dxa"/>
            <w:gridSpan w:val="2"/>
            <w:tcBorders>
              <w:top w:val="single" w:color="auto" w:sz="4" w:space="0"/>
              <w:left w:val="single" w:color="auto" w:sz="4" w:space="0"/>
              <w:bottom w:val="single" w:color="auto" w:sz="4" w:space="0"/>
              <w:right w:val="single" w:color="auto" w:sz="4" w:space="0"/>
            </w:tcBorders>
            <w:noWrap/>
            <w:vAlign w:val="center"/>
          </w:tcPr>
          <w:p w14:paraId="355682B5">
            <w:pPr>
              <w:keepNext w:val="0"/>
              <w:keepLines w:val="0"/>
              <w:suppressLineNumbers w:val="0"/>
              <w:spacing w:before="0" w:beforeAutospacing="0" w:after="0" w:afterAutospacing="0" w:line="360" w:lineRule="auto"/>
              <w:ind w:left="0" w:right="0"/>
              <w:jc w:val="center"/>
              <w:rPr>
                <w:rFonts w:hint="default" w:ascii="仿宋" w:hAnsi="仿宋" w:eastAsia="仿宋" w:cs="宋体"/>
                <w:color w:val="auto"/>
                <w:sz w:val="24"/>
                <w:szCs w:val="24"/>
                <w:highlight w:val="none"/>
              </w:rPr>
            </w:pPr>
          </w:p>
        </w:tc>
      </w:tr>
    </w:tbl>
    <w:p w14:paraId="76C22754">
      <w:pPr>
        <w:keepNext w:val="0"/>
        <w:keepLines w:val="0"/>
        <w:widowControl/>
        <w:suppressLineNumbers w:val="0"/>
        <w:jc w:val="left"/>
        <w:rPr>
          <w:rFonts w:ascii="仿宋" w:hAnsi="仿宋" w:eastAsia="仿宋" w:cs="仿宋"/>
          <w:color w:val="auto"/>
          <w:kern w:val="0"/>
          <w:sz w:val="24"/>
          <w:szCs w:val="24"/>
          <w:highlight w:val="none"/>
          <w:lang w:val="en-US" w:eastAsia="zh-CN" w:bidi="ar"/>
        </w:rPr>
      </w:pPr>
    </w:p>
    <w:p w14:paraId="123DC3F1">
      <w:pPr>
        <w:keepNext w:val="0"/>
        <w:keepLines w:val="0"/>
        <w:widowControl/>
        <w:suppressLineNumbers w:val="0"/>
        <w:jc w:val="left"/>
        <w:rPr>
          <w:rFonts w:ascii="仿宋" w:hAnsi="仿宋" w:eastAsia="仿宋" w:cs="仿宋"/>
          <w:color w:val="auto"/>
          <w:kern w:val="0"/>
          <w:sz w:val="24"/>
          <w:szCs w:val="24"/>
          <w:highlight w:val="none"/>
          <w:lang w:val="en-US" w:eastAsia="zh-CN" w:bidi="ar"/>
        </w:rPr>
      </w:pPr>
      <w:r>
        <w:rPr>
          <w:rFonts w:ascii="仿宋" w:hAnsi="仿宋" w:eastAsia="仿宋" w:cs="仿宋"/>
          <w:color w:val="auto"/>
          <w:kern w:val="0"/>
          <w:sz w:val="24"/>
          <w:szCs w:val="24"/>
          <w:highlight w:val="none"/>
          <w:lang w:val="en-US" w:eastAsia="zh-CN" w:bidi="ar"/>
        </w:rPr>
        <w:t>注：</w:t>
      </w:r>
    </w:p>
    <w:p w14:paraId="6A7390CB">
      <w:pPr>
        <w:spacing w:line="360" w:lineRule="auto"/>
        <w:rPr>
          <w:rFonts w:ascii="仿宋" w:hAnsi="仿宋" w:eastAsia="仿宋" w:cs="宋体"/>
          <w:b/>
          <w:color w:val="auto"/>
          <w:szCs w:val="21"/>
          <w:highlight w:val="none"/>
        </w:rPr>
      </w:pPr>
      <w:r>
        <w:rPr>
          <w:rFonts w:hint="eastAsia" w:ascii="仿宋" w:hAnsi="仿宋" w:eastAsia="仿宋" w:cs="宋体"/>
          <w:b/>
          <w:color w:val="auto"/>
          <w:szCs w:val="21"/>
          <w:highlight w:val="none"/>
        </w:rPr>
        <w:t>附</w:t>
      </w:r>
      <w:r>
        <w:rPr>
          <w:rFonts w:hint="eastAsia" w:ascii="仿宋" w:hAnsi="仿宋" w:eastAsia="仿宋" w:cs="宋体"/>
          <w:b/>
          <w:color w:val="auto"/>
          <w:szCs w:val="21"/>
          <w:highlight w:val="none"/>
          <w:lang w:eastAsia="zh-CN"/>
        </w:rPr>
        <w:t>相关人员</w:t>
      </w:r>
      <w:r>
        <w:rPr>
          <w:rFonts w:hint="eastAsia" w:ascii="仿宋" w:hAnsi="仿宋" w:eastAsia="仿宋" w:cs="宋体"/>
          <w:b/>
          <w:color w:val="auto"/>
          <w:szCs w:val="21"/>
          <w:highlight w:val="none"/>
        </w:rPr>
        <w:t>的劳动合同</w:t>
      </w:r>
      <w:r>
        <w:rPr>
          <w:rFonts w:hint="eastAsia" w:ascii="仿宋" w:hAnsi="仿宋" w:eastAsia="仿宋" w:cs="宋体"/>
          <w:b/>
          <w:color w:val="auto"/>
          <w:szCs w:val="21"/>
          <w:highlight w:val="none"/>
          <w:lang w:eastAsia="zh-CN"/>
        </w:rPr>
        <w:t>或</w:t>
      </w:r>
      <w:r>
        <w:rPr>
          <w:rFonts w:hint="eastAsia" w:ascii="仿宋" w:hAnsi="仿宋" w:eastAsia="仿宋" w:cs="宋体"/>
          <w:b/>
          <w:color w:val="auto"/>
          <w:szCs w:val="21"/>
          <w:highlight w:val="none"/>
        </w:rPr>
        <w:t>社保证明、</w:t>
      </w:r>
      <w:r>
        <w:rPr>
          <w:rFonts w:hint="eastAsia" w:ascii="仿宋" w:hAnsi="仿宋" w:eastAsia="仿宋" w:cs="宋体"/>
          <w:b/>
          <w:bCs/>
          <w:color w:val="auto"/>
          <w:szCs w:val="21"/>
          <w:highlight w:val="none"/>
        </w:rPr>
        <w:t>二代</w:t>
      </w:r>
      <w:r>
        <w:rPr>
          <w:rFonts w:hint="eastAsia" w:ascii="仿宋" w:hAnsi="仿宋" w:eastAsia="仿宋" w:cs="宋体"/>
          <w:b/>
          <w:color w:val="auto"/>
          <w:szCs w:val="21"/>
          <w:highlight w:val="none"/>
        </w:rPr>
        <w:t>身份证</w:t>
      </w:r>
      <w:r>
        <w:rPr>
          <w:rFonts w:hint="eastAsia" w:ascii="仿宋" w:hAnsi="仿宋" w:eastAsia="仿宋" w:cs="宋体"/>
          <w:b/>
          <w:color w:val="auto"/>
          <w:szCs w:val="21"/>
          <w:highlight w:val="none"/>
          <w:lang w:eastAsia="zh-CN"/>
        </w:rPr>
        <w:t>、有关证书（如有）</w:t>
      </w:r>
      <w:r>
        <w:rPr>
          <w:rFonts w:hint="eastAsia" w:ascii="仿宋" w:hAnsi="仿宋" w:eastAsia="仿宋" w:cs="宋体"/>
          <w:b/>
          <w:color w:val="auto"/>
          <w:szCs w:val="21"/>
          <w:highlight w:val="none"/>
        </w:rPr>
        <w:t>等相关证明材料原件扫描件；</w:t>
      </w:r>
    </w:p>
    <w:p w14:paraId="7EA979B3">
      <w:pPr>
        <w:rPr>
          <w:rFonts w:hint="eastAsia" w:ascii="仿宋" w:hAnsi="仿宋" w:eastAsia="仿宋" w:cs="仿宋"/>
          <w:color w:val="auto"/>
          <w:sz w:val="24"/>
          <w:szCs w:val="24"/>
          <w:highlight w:val="none"/>
          <w:lang w:val="en-US" w:eastAsia="zh-CN" w:bidi="ar"/>
        </w:rPr>
      </w:pPr>
    </w:p>
    <w:p w14:paraId="7D4669B3">
      <w:pPr>
        <w:rPr>
          <w:rFonts w:hint="eastAsia" w:ascii="仿宋" w:hAnsi="仿宋" w:eastAsia="仿宋" w:cs="仿宋"/>
          <w:color w:val="auto"/>
          <w:sz w:val="24"/>
          <w:szCs w:val="24"/>
          <w:highlight w:val="none"/>
          <w:lang w:val="en-US" w:eastAsia="zh-CN" w:bidi="ar"/>
        </w:rPr>
      </w:pPr>
    </w:p>
    <w:p w14:paraId="2D86F1CE">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kern w:val="2"/>
          <w:sz w:val="24"/>
          <w:szCs w:val="24"/>
          <w:highlight w:val="none"/>
          <w:lang w:val="en-US" w:eastAsia="zh-CN" w:bidi="ar-SA"/>
        </w:rPr>
      </w:pPr>
    </w:p>
    <w:p w14:paraId="6321BF88">
      <w:pPr>
        <w:rPr>
          <w:rFonts w:hint="eastAsia" w:ascii="仿宋" w:hAnsi="仿宋" w:eastAsia="仿宋" w:cs="仿宋"/>
          <w:bCs w:val="0"/>
          <w:iCs w:val="0"/>
          <w:color w:val="auto"/>
          <w:kern w:val="2"/>
          <w:sz w:val="24"/>
          <w:szCs w:val="24"/>
          <w:highlight w:val="none"/>
          <w:lang w:val="en-US" w:eastAsia="zh-CN" w:bidi="ar-SA"/>
        </w:rPr>
      </w:pPr>
    </w:p>
    <w:p w14:paraId="0911E7E4">
      <w:pPr>
        <w:numPr>
          <w:ilvl w:val="0"/>
          <w:numId w:val="0"/>
        </w:numPr>
        <w:ind w:left="0" w:leftChars="0"/>
        <w:jc w:val="both"/>
        <w:rPr>
          <w:rFonts w:hint="eastAsia" w:ascii="仿宋" w:hAnsi="仿宋" w:eastAsia="仿宋" w:cs="仿宋"/>
          <w:b/>
          <w:color w:val="auto"/>
          <w:kern w:val="2"/>
          <w:sz w:val="28"/>
          <w:szCs w:val="28"/>
          <w:highlight w:val="none"/>
          <w:lang w:val="en-US" w:eastAsia="zh-CN" w:bidi="ar-SA"/>
        </w:rPr>
      </w:pPr>
      <w:r>
        <w:rPr>
          <w:rFonts w:hint="eastAsia" w:ascii="仿宋" w:hAnsi="仿宋" w:eastAsia="仿宋" w:cs="仿宋"/>
          <w:b/>
          <w:color w:val="auto"/>
          <w:kern w:val="2"/>
          <w:sz w:val="28"/>
          <w:szCs w:val="28"/>
          <w:highlight w:val="none"/>
          <w:lang w:val="en-US" w:eastAsia="zh-CN" w:bidi="ar-SA"/>
        </w:rPr>
        <w:t>3.服务质量、进度计划承诺及保障措施</w:t>
      </w:r>
    </w:p>
    <w:p w14:paraId="72D0D4D2">
      <w:pPr>
        <w:pStyle w:val="23"/>
        <w:pageBreakBefore w:val="0"/>
        <w:widowControl w:val="0"/>
        <w:numPr>
          <w:ilvl w:val="0"/>
          <w:numId w:val="0"/>
        </w:numPr>
        <w:kinsoku/>
        <w:wordWrap/>
        <w:overflowPunct/>
        <w:topLinePunct w:val="0"/>
        <w:autoSpaceDE/>
        <w:autoSpaceDN/>
        <w:bidi w:val="0"/>
        <w:snapToGrid/>
        <w:spacing w:line="480" w:lineRule="exact"/>
        <w:ind w:firstLine="480" w:firstLineChars="200"/>
        <w:rPr>
          <w:rFonts w:hint="eastAsia" w:ascii="仿宋" w:hAnsi="仿宋" w:eastAsia="仿宋" w:cs="仿宋"/>
          <w:bCs w:val="0"/>
          <w:iCs w:val="0"/>
          <w:color w:val="auto"/>
          <w:kern w:val="2"/>
          <w:sz w:val="24"/>
          <w:szCs w:val="24"/>
          <w:highlight w:val="none"/>
          <w:lang w:val="en-US" w:eastAsia="zh-CN" w:bidi="ar-SA"/>
        </w:rPr>
      </w:pPr>
      <w:r>
        <w:rPr>
          <w:rFonts w:hint="eastAsia" w:ascii="仿宋" w:hAnsi="仿宋" w:eastAsia="仿宋" w:cs="仿宋"/>
          <w:bCs w:val="0"/>
          <w:iCs w:val="0"/>
          <w:color w:val="auto"/>
          <w:kern w:val="2"/>
          <w:sz w:val="24"/>
          <w:szCs w:val="24"/>
          <w:highlight w:val="none"/>
          <w:lang w:val="en-US" w:eastAsia="zh-CN" w:bidi="ar-SA"/>
        </w:rPr>
        <w:t>此部分格式及内容自拟</w:t>
      </w:r>
    </w:p>
    <w:p w14:paraId="7050AA87">
      <w:pPr>
        <w:numPr>
          <w:ilvl w:val="0"/>
          <w:numId w:val="0"/>
        </w:numPr>
        <w:ind w:left="0" w:leftChars="0"/>
        <w:jc w:val="both"/>
        <w:rPr>
          <w:rFonts w:hint="eastAsia" w:ascii="仿宋" w:hAnsi="仿宋" w:eastAsia="仿宋" w:cs="仿宋"/>
          <w:b/>
          <w:color w:val="auto"/>
          <w:kern w:val="2"/>
          <w:sz w:val="28"/>
          <w:szCs w:val="28"/>
          <w:highlight w:val="none"/>
          <w:lang w:val="en-US" w:eastAsia="zh-CN" w:bidi="ar-SA"/>
        </w:rPr>
      </w:pPr>
      <w:r>
        <w:rPr>
          <w:rFonts w:hint="eastAsia" w:ascii="仿宋" w:hAnsi="仿宋" w:eastAsia="仿宋" w:cs="仿宋"/>
          <w:b/>
          <w:color w:val="auto"/>
          <w:kern w:val="2"/>
          <w:sz w:val="28"/>
          <w:szCs w:val="28"/>
          <w:highlight w:val="none"/>
          <w:lang w:val="en-US" w:eastAsia="zh-CN" w:bidi="ar-SA"/>
        </w:rPr>
        <w:t>4.保密措施及承诺</w:t>
      </w:r>
    </w:p>
    <w:p w14:paraId="25B08471">
      <w:pPr>
        <w:pStyle w:val="23"/>
        <w:pageBreakBefore w:val="0"/>
        <w:widowControl w:val="0"/>
        <w:numPr>
          <w:ilvl w:val="0"/>
          <w:numId w:val="0"/>
        </w:numPr>
        <w:kinsoku/>
        <w:wordWrap/>
        <w:overflowPunct/>
        <w:topLinePunct w:val="0"/>
        <w:autoSpaceDE/>
        <w:autoSpaceDN/>
        <w:bidi w:val="0"/>
        <w:snapToGrid/>
        <w:spacing w:line="480" w:lineRule="exact"/>
        <w:ind w:firstLine="480" w:firstLineChars="200"/>
        <w:rPr>
          <w:rFonts w:hint="eastAsia" w:ascii="仿宋" w:hAnsi="仿宋" w:eastAsia="仿宋" w:cs="仿宋"/>
          <w:bCs w:val="0"/>
          <w:iCs w:val="0"/>
          <w:color w:val="auto"/>
          <w:kern w:val="2"/>
          <w:sz w:val="24"/>
          <w:szCs w:val="24"/>
          <w:highlight w:val="none"/>
          <w:lang w:val="en-US" w:eastAsia="zh-CN" w:bidi="ar-SA"/>
        </w:rPr>
      </w:pPr>
      <w:r>
        <w:rPr>
          <w:rFonts w:hint="eastAsia" w:ascii="仿宋" w:hAnsi="仿宋" w:eastAsia="仿宋" w:cs="仿宋"/>
          <w:bCs w:val="0"/>
          <w:iCs w:val="0"/>
          <w:color w:val="auto"/>
          <w:kern w:val="2"/>
          <w:sz w:val="24"/>
          <w:szCs w:val="24"/>
          <w:highlight w:val="none"/>
          <w:lang w:val="en-US" w:eastAsia="zh-CN" w:bidi="ar-SA"/>
        </w:rPr>
        <w:t>此部分格式及内容自拟</w:t>
      </w:r>
    </w:p>
    <w:p w14:paraId="34F0AEB7">
      <w:pPr>
        <w:numPr>
          <w:ilvl w:val="0"/>
          <w:numId w:val="0"/>
        </w:numPr>
        <w:ind w:left="0" w:leftChars="0"/>
        <w:jc w:val="both"/>
        <w:rPr>
          <w:rFonts w:hint="eastAsia" w:ascii="仿宋" w:hAnsi="仿宋" w:eastAsia="仿宋" w:cs="仿宋"/>
          <w:b/>
          <w:color w:val="auto"/>
          <w:kern w:val="2"/>
          <w:sz w:val="28"/>
          <w:szCs w:val="28"/>
          <w:highlight w:val="none"/>
          <w:lang w:val="en-US" w:eastAsia="zh-CN" w:bidi="ar-SA"/>
        </w:rPr>
      </w:pPr>
      <w:r>
        <w:rPr>
          <w:rFonts w:hint="eastAsia" w:ascii="仿宋" w:hAnsi="仿宋" w:eastAsia="仿宋" w:cs="仿宋"/>
          <w:b/>
          <w:color w:val="auto"/>
          <w:kern w:val="2"/>
          <w:sz w:val="28"/>
          <w:szCs w:val="28"/>
          <w:highlight w:val="none"/>
          <w:lang w:val="en-US" w:eastAsia="zh-CN" w:bidi="ar-SA"/>
        </w:rPr>
        <w:t>5.安全防护措施与应急处置预案</w:t>
      </w:r>
    </w:p>
    <w:p w14:paraId="5BCDC2A6">
      <w:pPr>
        <w:pStyle w:val="23"/>
        <w:pageBreakBefore w:val="0"/>
        <w:widowControl w:val="0"/>
        <w:numPr>
          <w:ilvl w:val="0"/>
          <w:numId w:val="0"/>
        </w:numPr>
        <w:kinsoku/>
        <w:wordWrap/>
        <w:overflowPunct/>
        <w:topLinePunct w:val="0"/>
        <w:autoSpaceDE/>
        <w:autoSpaceDN/>
        <w:bidi w:val="0"/>
        <w:snapToGrid/>
        <w:spacing w:line="480" w:lineRule="exact"/>
        <w:ind w:firstLine="480" w:firstLineChars="200"/>
        <w:rPr>
          <w:rFonts w:hint="eastAsia" w:ascii="仿宋" w:hAnsi="仿宋" w:eastAsia="仿宋" w:cs="仿宋"/>
          <w:bCs w:val="0"/>
          <w:iCs w:val="0"/>
          <w:color w:val="auto"/>
          <w:kern w:val="2"/>
          <w:sz w:val="24"/>
          <w:szCs w:val="24"/>
          <w:highlight w:val="none"/>
          <w:lang w:val="en-US" w:eastAsia="zh-CN" w:bidi="ar-SA"/>
        </w:rPr>
      </w:pPr>
      <w:r>
        <w:rPr>
          <w:rFonts w:hint="eastAsia" w:ascii="仿宋" w:hAnsi="仿宋" w:eastAsia="仿宋" w:cs="仿宋"/>
          <w:bCs w:val="0"/>
          <w:iCs w:val="0"/>
          <w:color w:val="auto"/>
          <w:kern w:val="2"/>
          <w:sz w:val="24"/>
          <w:szCs w:val="24"/>
          <w:highlight w:val="none"/>
          <w:lang w:val="en-US" w:eastAsia="zh-CN" w:bidi="ar-SA"/>
        </w:rPr>
        <w:t>此部分格式及内容自拟</w:t>
      </w:r>
    </w:p>
    <w:p w14:paraId="12C09E59">
      <w:pPr>
        <w:numPr>
          <w:ilvl w:val="0"/>
          <w:numId w:val="0"/>
        </w:numPr>
        <w:ind w:left="0" w:leftChars="0"/>
        <w:jc w:val="both"/>
        <w:rPr>
          <w:rFonts w:hint="default" w:ascii="仿宋" w:hAnsi="仿宋" w:eastAsia="仿宋" w:cs="仿宋"/>
          <w:b/>
          <w:color w:val="auto"/>
          <w:kern w:val="2"/>
          <w:sz w:val="28"/>
          <w:szCs w:val="28"/>
          <w:highlight w:val="none"/>
          <w:lang w:val="en-US" w:eastAsia="zh-CN" w:bidi="ar-SA"/>
        </w:rPr>
      </w:pPr>
      <w:r>
        <w:rPr>
          <w:rFonts w:hint="eastAsia" w:ascii="仿宋" w:hAnsi="仿宋" w:eastAsia="仿宋" w:cs="仿宋"/>
          <w:b/>
          <w:color w:val="auto"/>
          <w:kern w:val="2"/>
          <w:sz w:val="28"/>
          <w:szCs w:val="28"/>
          <w:highlight w:val="none"/>
          <w:lang w:val="en-US" w:eastAsia="zh-CN" w:bidi="ar-SA"/>
        </w:rPr>
        <w:t>6.后续服务方案及措施</w:t>
      </w:r>
    </w:p>
    <w:p w14:paraId="29A9F1AD">
      <w:pPr>
        <w:pStyle w:val="23"/>
        <w:pageBreakBefore w:val="0"/>
        <w:widowControl w:val="0"/>
        <w:numPr>
          <w:ilvl w:val="0"/>
          <w:numId w:val="0"/>
        </w:numPr>
        <w:kinsoku/>
        <w:wordWrap/>
        <w:overflowPunct/>
        <w:topLinePunct w:val="0"/>
        <w:autoSpaceDE/>
        <w:autoSpaceDN/>
        <w:bidi w:val="0"/>
        <w:snapToGrid/>
        <w:spacing w:line="480" w:lineRule="exact"/>
        <w:ind w:firstLine="480" w:firstLineChars="200"/>
        <w:rPr>
          <w:rFonts w:hint="eastAsia" w:ascii="仿宋" w:hAnsi="仿宋" w:eastAsia="仿宋" w:cs="仿宋"/>
          <w:bCs w:val="0"/>
          <w:iCs w:val="0"/>
          <w:color w:val="auto"/>
          <w:kern w:val="2"/>
          <w:sz w:val="24"/>
          <w:szCs w:val="24"/>
          <w:highlight w:val="none"/>
          <w:lang w:val="en-US" w:eastAsia="zh-CN" w:bidi="ar-SA"/>
        </w:rPr>
      </w:pPr>
      <w:r>
        <w:rPr>
          <w:rFonts w:hint="eastAsia" w:ascii="仿宋" w:hAnsi="仿宋" w:eastAsia="仿宋" w:cs="仿宋"/>
          <w:bCs w:val="0"/>
          <w:iCs w:val="0"/>
          <w:color w:val="auto"/>
          <w:kern w:val="2"/>
          <w:sz w:val="24"/>
          <w:szCs w:val="24"/>
          <w:highlight w:val="none"/>
          <w:lang w:val="en-US" w:eastAsia="zh-CN" w:bidi="ar-SA"/>
        </w:rPr>
        <w:t>此部分格式及内容自拟</w:t>
      </w:r>
    </w:p>
    <w:p w14:paraId="55788611">
      <w:pPr>
        <w:numPr>
          <w:ilvl w:val="0"/>
          <w:numId w:val="0"/>
        </w:numPr>
        <w:jc w:val="both"/>
        <w:rPr>
          <w:rFonts w:hint="default" w:ascii="仿宋" w:hAnsi="仿宋" w:eastAsia="仿宋" w:cs="仿宋"/>
          <w:b/>
          <w:color w:val="auto"/>
          <w:kern w:val="2"/>
          <w:sz w:val="28"/>
          <w:szCs w:val="28"/>
          <w:highlight w:val="none"/>
          <w:lang w:val="en-US" w:eastAsia="zh-CN" w:bidi="ar-SA"/>
        </w:rPr>
      </w:pPr>
    </w:p>
    <w:p w14:paraId="5A115E5A">
      <w:pPr>
        <w:numPr>
          <w:ilvl w:val="0"/>
          <w:numId w:val="0"/>
        </w:numPr>
        <w:ind w:leftChars="0"/>
        <w:jc w:val="both"/>
        <w:rPr>
          <w:rFonts w:hint="eastAsia" w:ascii="仿宋" w:hAnsi="仿宋" w:eastAsia="仿宋" w:cs="仿宋"/>
          <w:b/>
          <w:color w:val="auto"/>
          <w:kern w:val="2"/>
          <w:sz w:val="28"/>
          <w:szCs w:val="28"/>
          <w:highlight w:val="none"/>
          <w:lang w:val="en-US" w:eastAsia="zh-CN" w:bidi="ar-SA"/>
        </w:rPr>
      </w:pPr>
    </w:p>
    <w:p w14:paraId="2FD398EB">
      <w:pPr>
        <w:numPr>
          <w:ilvl w:val="0"/>
          <w:numId w:val="0"/>
        </w:numPr>
        <w:ind w:leftChars="0"/>
        <w:jc w:val="both"/>
        <w:rPr>
          <w:rFonts w:hint="eastAsia" w:ascii="仿宋" w:hAnsi="仿宋" w:eastAsia="仿宋" w:cs="仿宋"/>
          <w:b/>
          <w:color w:val="auto"/>
          <w:kern w:val="2"/>
          <w:sz w:val="28"/>
          <w:szCs w:val="28"/>
          <w:highlight w:val="none"/>
          <w:lang w:val="en-US" w:eastAsia="zh-CN" w:bidi="ar-SA"/>
        </w:rPr>
      </w:pPr>
    </w:p>
    <w:p w14:paraId="43BCDE16">
      <w:pPr>
        <w:numPr>
          <w:ilvl w:val="0"/>
          <w:numId w:val="0"/>
        </w:numPr>
        <w:ind w:leftChars="0"/>
        <w:jc w:val="both"/>
        <w:rPr>
          <w:rFonts w:hint="eastAsia" w:ascii="仿宋" w:hAnsi="仿宋" w:eastAsia="仿宋" w:cs="仿宋"/>
          <w:b/>
          <w:color w:val="auto"/>
          <w:kern w:val="2"/>
          <w:sz w:val="28"/>
          <w:szCs w:val="28"/>
          <w:highlight w:val="none"/>
          <w:lang w:val="en-US" w:eastAsia="zh-CN" w:bidi="ar-SA"/>
        </w:rPr>
      </w:pPr>
    </w:p>
    <w:p w14:paraId="7B3E9749">
      <w:pPr>
        <w:numPr>
          <w:ilvl w:val="0"/>
          <w:numId w:val="0"/>
        </w:numPr>
        <w:ind w:leftChars="0"/>
        <w:jc w:val="both"/>
        <w:rPr>
          <w:rFonts w:hint="eastAsia" w:ascii="仿宋" w:hAnsi="仿宋" w:eastAsia="仿宋" w:cs="仿宋"/>
          <w:b/>
          <w:color w:val="auto"/>
          <w:kern w:val="2"/>
          <w:sz w:val="28"/>
          <w:szCs w:val="28"/>
          <w:highlight w:val="none"/>
          <w:lang w:val="en-US" w:eastAsia="zh-CN" w:bidi="ar-SA"/>
        </w:rPr>
      </w:pPr>
    </w:p>
    <w:p w14:paraId="00270474">
      <w:pPr>
        <w:numPr>
          <w:ilvl w:val="0"/>
          <w:numId w:val="0"/>
        </w:numPr>
        <w:ind w:leftChars="0"/>
        <w:jc w:val="both"/>
        <w:rPr>
          <w:rFonts w:hint="eastAsia" w:ascii="仿宋" w:hAnsi="仿宋" w:eastAsia="仿宋" w:cs="仿宋"/>
          <w:b/>
          <w:color w:val="auto"/>
          <w:kern w:val="2"/>
          <w:sz w:val="28"/>
          <w:szCs w:val="28"/>
          <w:highlight w:val="none"/>
          <w:lang w:val="en-US" w:eastAsia="zh-CN" w:bidi="ar-SA"/>
        </w:rPr>
      </w:pPr>
    </w:p>
    <w:p w14:paraId="0920BA4D">
      <w:pPr>
        <w:numPr>
          <w:ilvl w:val="0"/>
          <w:numId w:val="0"/>
        </w:numPr>
        <w:ind w:leftChars="0"/>
        <w:jc w:val="both"/>
        <w:rPr>
          <w:rFonts w:hint="eastAsia" w:ascii="仿宋" w:hAnsi="仿宋" w:eastAsia="仿宋" w:cs="仿宋"/>
          <w:b/>
          <w:color w:val="auto"/>
          <w:kern w:val="2"/>
          <w:sz w:val="28"/>
          <w:szCs w:val="28"/>
          <w:highlight w:val="none"/>
          <w:lang w:val="en-US" w:eastAsia="zh-CN" w:bidi="ar-SA"/>
        </w:rPr>
      </w:pPr>
    </w:p>
    <w:p w14:paraId="28F55595">
      <w:pPr>
        <w:numPr>
          <w:ilvl w:val="0"/>
          <w:numId w:val="0"/>
        </w:numPr>
        <w:ind w:leftChars="0"/>
        <w:jc w:val="both"/>
        <w:rPr>
          <w:rFonts w:hint="eastAsia" w:ascii="仿宋" w:hAnsi="仿宋" w:eastAsia="仿宋" w:cs="仿宋"/>
          <w:b/>
          <w:color w:val="auto"/>
          <w:kern w:val="2"/>
          <w:sz w:val="28"/>
          <w:szCs w:val="28"/>
          <w:highlight w:val="none"/>
          <w:lang w:val="en-US" w:eastAsia="zh-CN" w:bidi="ar-SA"/>
        </w:rPr>
      </w:pPr>
    </w:p>
    <w:p w14:paraId="06CC4016">
      <w:pPr>
        <w:numPr>
          <w:ilvl w:val="0"/>
          <w:numId w:val="0"/>
        </w:numPr>
        <w:ind w:leftChars="0"/>
        <w:jc w:val="both"/>
        <w:rPr>
          <w:rFonts w:hint="eastAsia" w:ascii="仿宋" w:hAnsi="仿宋" w:eastAsia="仿宋" w:cs="仿宋"/>
          <w:b/>
          <w:color w:val="auto"/>
          <w:kern w:val="2"/>
          <w:sz w:val="28"/>
          <w:szCs w:val="28"/>
          <w:highlight w:val="none"/>
          <w:lang w:val="en-US" w:eastAsia="zh-CN" w:bidi="ar-SA"/>
        </w:rPr>
      </w:pPr>
    </w:p>
    <w:p w14:paraId="7ACC72CB">
      <w:pPr>
        <w:numPr>
          <w:ilvl w:val="0"/>
          <w:numId w:val="0"/>
        </w:numPr>
        <w:ind w:leftChars="0"/>
        <w:jc w:val="both"/>
        <w:rPr>
          <w:rFonts w:hint="eastAsia" w:ascii="仿宋" w:hAnsi="仿宋" w:eastAsia="仿宋" w:cs="仿宋"/>
          <w:b/>
          <w:color w:val="auto"/>
          <w:kern w:val="2"/>
          <w:sz w:val="28"/>
          <w:szCs w:val="28"/>
          <w:highlight w:val="none"/>
          <w:lang w:val="en-US" w:eastAsia="zh-CN" w:bidi="ar-SA"/>
        </w:rPr>
      </w:pPr>
    </w:p>
    <w:p w14:paraId="15F30868">
      <w:pPr>
        <w:numPr>
          <w:ilvl w:val="0"/>
          <w:numId w:val="0"/>
        </w:numPr>
        <w:ind w:leftChars="0"/>
        <w:jc w:val="both"/>
        <w:rPr>
          <w:rFonts w:hint="eastAsia" w:ascii="仿宋" w:hAnsi="仿宋" w:eastAsia="仿宋" w:cs="仿宋"/>
          <w:b/>
          <w:color w:val="auto"/>
          <w:kern w:val="2"/>
          <w:sz w:val="28"/>
          <w:szCs w:val="28"/>
          <w:highlight w:val="none"/>
          <w:lang w:val="en-US" w:eastAsia="zh-CN" w:bidi="ar-SA"/>
        </w:rPr>
      </w:pPr>
    </w:p>
    <w:p w14:paraId="00234A64">
      <w:pPr>
        <w:numPr>
          <w:ilvl w:val="0"/>
          <w:numId w:val="0"/>
        </w:numPr>
        <w:ind w:leftChars="0"/>
        <w:jc w:val="both"/>
        <w:rPr>
          <w:rFonts w:hint="eastAsia" w:ascii="仿宋" w:hAnsi="仿宋" w:eastAsia="仿宋" w:cs="仿宋"/>
          <w:b/>
          <w:color w:val="auto"/>
          <w:kern w:val="2"/>
          <w:sz w:val="28"/>
          <w:szCs w:val="28"/>
          <w:highlight w:val="none"/>
          <w:lang w:val="en-US" w:eastAsia="zh-CN" w:bidi="ar-SA"/>
        </w:rPr>
      </w:pPr>
    </w:p>
    <w:p w14:paraId="0E088CEC">
      <w:pPr>
        <w:numPr>
          <w:ilvl w:val="0"/>
          <w:numId w:val="0"/>
        </w:numPr>
        <w:ind w:leftChars="0"/>
        <w:jc w:val="both"/>
        <w:rPr>
          <w:rFonts w:hint="eastAsia" w:ascii="仿宋" w:hAnsi="仿宋" w:eastAsia="仿宋" w:cs="仿宋"/>
          <w:b/>
          <w:color w:val="auto"/>
          <w:kern w:val="2"/>
          <w:sz w:val="28"/>
          <w:szCs w:val="28"/>
          <w:highlight w:val="none"/>
          <w:lang w:val="en-US" w:eastAsia="zh-CN" w:bidi="ar-SA"/>
        </w:rPr>
      </w:pPr>
    </w:p>
    <w:p w14:paraId="49638045">
      <w:pPr>
        <w:numPr>
          <w:ilvl w:val="0"/>
          <w:numId w:val="0"/>
        </w:numPr>
        <w:ind w:leftChars="0"/>
        <w:jc w:val="both"/>
        <w:rPr>
          <w:rFonts w:hint="eastAsia" w:ascii="仿宋" w:hAnsi="仿宋" w:eastAsia="仿宋" w:cs="仿宋"/>
          <w:b/>
          <w:color w:val="auto"/>
          <w:kern w:val="2"/>
          <w:sz w:val="28"/>
          <w:szCs w:val="28"/>
          <w:highlight w:val="none"/>
          <w:lang w:val="en-US" w:eastAsia="zh-CN" w:bidi="ar-SA"/>
        </w:rPr>
      </w:pPr>
    </w:p>
    <w:p w14:paraId="2CD81B8C">
      <w:pPr>
        <w:numPr>
          <w:ilvl w:val="0"/>
          <w:numId w:val="0"/>
        </w:numPr>
        <w:ind w:leftChars="0"/>
        <w:jc w:val="both"/>
        <w:rPr>
          <w:rFonts w:hint="eastAsia" w:ascii="仿宋" w:hAnsi="仿宋" w:eastAsia="仿宋" w:cs="仿宋"/>
          <w:b/>
          <w:color w:val="auto"/>
          <w:kern w:val="2"/>
          <w:sz w:val="28"/>
          <w:szCs w:val="28"/>
          <w:highlight w:val="none"/>
          <w:lang w:val="en-US" w:eastAsia="zh-CN" w:bidi="ar-SA"/>
        </w:rPr>
      </w:pPr>
    </w:p>
    <w:p w14:paraId="1586ADD4">
      <w:pPr>
        <w:numPr>
          <w:ilvl w:val="0"/>
          <w:numId w:val="0"/>
        </w:numPr>
        <w:ind w:leftChars="0"/>
        <w:jc w:val="center"/>
        <w:rPr>
          <w:rFonts w:hint="eastAsia" w:ascii="仿宋" w:hAnsi="仿宋" w:eastAsia="仿宋" w:cs="仿宋"/>
          <w:b/>
          <w:color w:val="auto"/>
          <w:sz w:val="28"/>
          <w:szCs w:val="28"/>
          <w:highlight w:val="none"/>
          <w:lang w:eastAsia="zh-CN"/>
        </w:rPr>
      </w:pPr>
      <w:r>
        <w:rPr>
          <w:rFonts w:hint="eastAsia" w:ascii="仿宋" w:hAnsi="仿宋" w:eastAsia="仿宋" w:cs="仿宋"/>
          <w:b/>
          <w:color w:val="auto"/>
          <w:kern w:val="2"/>
          <w:sz w:val="28"/>
          <w:szCs w:val="28"/>
          <w:highlight w:val="none"/>
          <w:lang w:val="en-US" w:eastAsia="zh-CN" w:bidi="ar-SA"/>
        </w:rPr>
        <w:t>八、</w:t>
      </w:r>
      <w:r>
        <w:rPr>
          <w:rFonts w:hint="eastAsia" w:ascii="仿宋" w:hAnsi="仿宋" w:eastAsia="仿宋" w:cs="仿宋"/>
          <w:b/>
          <w:color w:val="auto"/>
          <w:sz w:val="28"/>
          <w:szCs w:val="28"/>
          <w:highlight w:val="none"/>
          <w:lang w:eastAsia="zh-CN"/>
        </w:rPr>
        <w:t>商务部分</w:t>
      </w:r>
    </w:p>
    <w:p w14:paraId="634D2A80">
      <w:pPr>
        <w:keepNext w:val="0"/>
        <w:keepLines w:val="0"/>
        <w:widowControl w:val="0"/>
        <w:suppressLineNumbers w:val="0"/>
        <w:spacing w:before="0" w:beforeAutospacing="0" w:after="0" w:afterAutospacing="0" w:line="460" w:lineRule="exact"/>
        <w:ind w:left="0" w:right="0" w:firstLine="480" w:firstLineChars="200"/>
        <w:jc w:val="both"/>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投标人类似业绩（此部分格式及内容自拟，后附近年类似项目情况表）</w:t>
      </w:r>
    </w:p>
    <w:p w14:paraId="2E38A4AD">
      <w:pPr>
        <w:spacing w:before="158" w:after="158" w:line="480" w:lineRule="exact"/>
        <w:ind w:right="85"/>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 近年类似项目情况表</w:t>
      </w:r>
    </w:p>
    <w:tbl>
      <w:tblPr>
        <w:tblStyle w:val="5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627"/>
        <w:gridCol w:w="6253"/>
      </w:tblGrid>
      <w:tr w14:paraId="603E35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2627" w:type="dxa"/>
            <w:tcBorders>
              <w:top w:val="single" w:color="auto" w:sz="8" w:space="0"/>
              <w:left w:val="single" w:color="auto" w:sz="8" w:space="0"/>
              <w:bottom w:val="single" w:color="auto" w:sz="4" w:space="0"/>
              <w:right w:val="single" w:color="auto" w:sz="4" w:space="0"/>
            </w:tcBorders>
            <w:noWrap/>
            <w:vAlign w:val="center"/>
          </w:tcPr>
          <w:p w14:paraId="2BB717BE">
            <w:pPr>
              <w:keepNext w:val="0"/>
              <w:keepLines w:val="0"/>
              <w:suppressLineNumbers w:val="0"/>
              <w:spacing w:before="158" w:beforeAutospacing="0" w:after="158" w:afterAutospacing="0" w:line="480" w:lineRule="exact"/>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项目名称</w:t>
            </w:r>
          </w:p>
        </w:tc>
        <w:tc>
          <w:tcPr>
            <w:tcW w:w="6253" w:type="dxa"/>
            <w:tcBorders>
              <w:top w:val="single" w:color="auto" w:sz="8" w:space="0"/>
              <w:left w:val="single" w:color="auto" w:sz="4" w:space="0"/>
              <w:bottom w:val="single" w:color="auto" w:sz="4" w:space="0"/>
              <w:right w:val="single" w:color="auto" w:sz="8" w:space="0"/>
            </w:tcBorders>
            <w:noWrap/>
            <w:vAlign w:val="center"/>
          </w:tcPr>
          <w:p w14:paraId="77A3E544">
            <w:pPr>
              <w:keepNext w:val="0"/>
              <w:keepLines w:val="0"/>
              <w:suppressLineNumbers w:val="0"/>
              <w:spacing w:before="158" w:beforeAutospacing="0" w:after="158" w:afterAutospacing="0" w:line="480" w:lineRule="exact"/>
              <w:ind w:left="0" w:right="0"/>
              <w:jc w:val="center"/>
              <w:rPr>
                <w:rFonts w:hint="default" w:ascii="仿宋" w:hAnsi="仿宋" w:eastAsia="仿宋" w:cs="宋体"/>
                <w:color w:val="auto"/>
                <w:sz w:val="24"/>
                <w:szCs w:val="24"/>
                <w:highlight w:val="none"/>
              </w:rPr>
            </w:pPr>
          </w:p>
        </w:tc>
      </w:tr>
      <w:tr w14:paraId="1E575A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2627" w:type="dxa"/>
            <w:tcBorders>
              <w:top w:val="single" w:color="auto" w:sz="4" w:space="0"/>
              <w:left w:val="single" w:color="auto" w:sz="8" w:space="0"/>
              <w:bottom w:val="single" w:color="auto" w:sz="4" w:space="0"/>
              <w:right w:val="single" w:color="auto" w:sz="4" w:space="0"/>
            </w:tcBorders>
            <w:noWrap/>
            <w:vAlign w:val="center"/>
          </w:tcPr>
          <w:p w14:paraId="08670C9D">
            <w:pPr>
              <w:keepNext w:val="0"/>
              <w:keepLines w:val="0"/>
              <w:suppressLineNumbers w:val="0"/>
              <w:spacing w:before="158" w:beforeAutospacing="0" w:after="158" w:afterAutospacing="0" w:line="480" w:lineRule="exact"/>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发包人名称</w:t>
            </w:r>
          </w:p>
        </w:tc>
        <w:tc>
          <w:tcPr>
            <w:tcW w:w="6253" w:type="dxa"/>
            <w:tcBorders>
              <w:top w:val="single" w:color="auto" w:sz="4" w:space="0"/>
              <w:left w:val="single" w:color="auto" w:sz="4" w:space="0"/>
              <w:bottom w:val="single" w:color="auto" w:sz="4" w:space="0"/>
              <w:right w:val="single" w:color="auto" w:sz="8" w:space="0"/>
            </w:tcBorders>
            <w:noWrap/>
            <w:vAlign w:val="center"/>
          </w:tcPr>
          <w:p w14:paraId="15498100">
            <w:pPr>
              <w:keepNext w:val="0"/>
              <w:keepLines w:val="0"/>
              <w:suppressLineNumbers w:val="0"/>
              <w:spacing w:before="158" w:beforeAutospacing="0" w:after="158" w:afterAutospacing="0" w:line="480" w:lineRule="exact"/>
              <w:ind w:left="0" w:right="0"/>
              <w:jc w:val="center"/>
              <w:rPr>
                <w:rFonts w:hint="default" w:ascii="仿宋" w:hAnsi="仿宋" w:eastAsia="仿宋" w:cs="宋体"/>
                <w:color w:val="auto"/>
                <w:sz w:val="24"/>
                <w:szCs w:val="24"/>
                <w:highlight w:val="none"/>
              </w:rPr>
            </w:pPr>
          </w:p>
        </w:tc>
      </w:tr>
      <w:tr w14:paraId="64BCB1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2627" w:type="dxa"/>
            <w:tcBorders>
              <w:top w:val="single" w:color="auto" w:sz="4" w:space="0"/>
              <w:left w:val="single" w:color="auto" w:sz="8" w:space="0"/>
              <w:bottom w:val="single" w:color="auto" w:sz="4" w:space="0"/>
              <w:right w:val="single" w:color="auto" w:sz="4" w:space="0"/>
            </w:tcBorders>
            <w:noWrap/>
            <w:vAlign w:val="center"/>
          </w:tcPr>
          <w:p w14:paraId="31B88994">
            <w:pPr>
              <w:keepNext w:val="0"/>
              <w:keepLines w:val="0"/>
              <w:suppressLineNumbers w:val="0"/>
              <w:spacing w:before="158" w:beforeAutospacing="0" w:after="158" w:afterAutospacing="0" w:line="480" w:lineRule="exact"/>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发包人地址</w:t>
            </w:r>
          </w:p>
        </w:tc>
        <w:tc>
          <w:tcPr>
            <w:tcW w:w="6253" w:type="dxa"/>
            <w:tcBorders>
              <w:top w:val="single" w:color="auto" w:sz="4" w:space="0"/>
              <w:left w:val="single" w:color="auto" w:sz="4" w:space="0"/>
              <w:bottom w:val="single" w:color="auto" w:sz="4" w:space="0"/>
              <w:right w:val="single" w:color="auto" w:sz="8" w:space="0"/>
            </w:tcBorders>
            <w:noWrap/>
            <w:vAlign w:val="center"/>
          </w:tcPr>
          <w:p w14:paraId="307DED5E">
            <w:pPr>
              <w:keepNext w:val="0"/>
              <w:keepLines w:val="0"/>
              <w:suppressLineNumbers w:val="0"/>
              <w:spacing w:before="158" w:beforeAutospacing="0" w:after="158" w:afterAutospacing="0" w:line="480" w:lineRule="exact"/>
              <w:ind w:left="0" w:right="0"/>
              <w:jc w:val="center"/>
              <w:rPr>
                <w:rFonts w:hint="default" w:ascii="仿宋" w:hAnsi="仿宋" w:eastAsia="仿宋" w:cs="宋体"/>
                <w:color w:val="auto"/>
                <w:sz w:val="24"/>
                <w:szCs w:val="24"/>
                <w:highlight w:val="none"/>
              </w:rPr>
            </w:pPr>
          </w:p>
        </w:tc>
      </w:tr>
      <w:tr w14:paraId="1EF101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2627" w:type="dxa"/>
            <w:tcBorders>
              <w:top w:val="single" w:color="auto" w:sz="4" w:space="0"/>
              <w:left w:val="single" w:color="auto" w:sz="8" w:space="0"/>
              <w:bottom w:val="single" w:color="auto" w:sz="4" w:space="0"/>
              <w:right w:val="single" w:color="auto" w:sz="4" w:space="0"/>
            </w:tcBorders>
            <w:noWrap/>
            <w:vAlign w:val="center"/>
          </w:tcPr>
          <w:p w14:paraId="1518283D">
            <w:pPr>
              <w:keepNext w:val="0"/>
              <w:keepLines w:val="0"/>
              <w:suppressLineNumbers w:val="0"/>
              <w:spacing w:before="158" w:beforeAutospacing="0" w:after="158" w:afterAutospacing="0" w:line="480" w:lineRule="exact"/>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发包人电话</w:t>
            </w:r>
          </w:p>
        </w:tc>
        <w:tc>
          <w:tcPr>
            <w:tcW w:w="6253" w:type="dxa"/>
            <w:tcBorders>
              <w:top w:val="single" w:color="auto" w:sz="4" w:space="0"/>
              <w:left w:val="single" w:color="auto" w:sz="4" w:space="0"/>
              <w:bottom w:val="single" w:color="auto" w:sz="4" w:space="0"/>
              <w:right w:val="single" w:color="auto" w:sz="8" w:space="0"/>
            </w:tcBorders>
            <w:noWrap/>
            <w:vAlign w:val="center"/>
          </w:tcPr>
          <w:p w14:paraId="28CF1D64">
            <w:pPr>
              <w:keepNext w:val="0"/>
              <w:keepLines w:val="0"/>
              <w:suppressLineNumbers w:val="0"/>
              <w:spacing w:before="158" w:beforeAutospacing="0" w:after="158" w:afterAutospacing="0" w:line="480" w:lineRule="exact"/>
              <w:ind w:left="0" w:right="0"/>
              <w:jc w:val="center"/>
              <w:rPr>
                <w:rFonts w:hint="default" w:ascii="仿宋" w:hAnsi="仿宋" w:eastAsia="仿宋" w:cs="宋体"/>
                <w:color w:val="auto"/>
                <w:sz w:val="24"/>
                <w:szCs w:val="24"/>
                <w:highlight w:val="none"/>
              </w:rPr>
            </w:pPr>
          </w:p>
        </w:tc>
      </w:tr>
      <w:tr w14:paraId="0BCEEF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2627" w:type="dxa"/>
            <w:tcBorders>
              <w:top w:val="single" w:color="auto" w:sz="4" w:space="0"/>
              <w:left w:val="single" w:color="auto" w:sz="8" w:space="0"/>
              <w:bottom w:val="single" w:color="auto" w:sz="4" w:space="0"/>
              <w:right w:val="single" w:color="auto" w:sz="4" w:space="0"/>
            </w:tcBorders>
            <w:noWrap/>
            <w:vAlign w:val="center"/>
          </w:tcPr>
          <w:p w14:paraId="732540A2">
            <w:pPr>
              <w:keepNext w:val="0"/>
              <w:keepLines w:val="0"/>
              <w:suppressLineNumbers w:val="0"/>
              <w:spacing w:before="158" w:beforeAutospacing="0" w:after="158" w:afterAutospacing="0" w:line="480" w:lineRule="exact"/>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服务内容</w:t>
            </w:r>
          </w:p>
        </w:tc>
        <w:tc>
          <w:tcPr>
            <w:tcW w:w="6253" w:type="dxa"/>
            <w:tcBorders>
              <w:top w:val="single" w:color="auto" w:sz="4" w:space="0"/>
              <w:left w:val="single" w:color="auto" w:sz="4" w:space="0"/>
              <w:bottom w:val="single" w:color="auto" w:sz="4" w:space="0"/>
              <w:right w:val="single" w:color="auto" w:sz="8" w:space="0"/>
            </w:tcBorders>
            <w:noWrap/>
            <w:vAlign w:val="center"/>
          </w:tcPr>
          <w:p w14:paraId="551A78BC">
            <w:pPr>
              <w:keepNext w:val="0"/>
              <w:keepLines w:val="0"/>
              <w:suppressLineNumbers w:val="0"/>
              <w:spacing w:before="158" w:beforeAutospacing="0" w:after="158" w:afterAutospacing="0" w:line="480" w:lineRule="exact"/>
              <w:ind w:left="0" w:right="0"/>
              <w:jc w:val="center"/>
              <w:rPr>
                <w:rFonts w:hint="default" w:ascii="仿宋" w:hAnsi="仿宋" w:eastAsia="仿宋" w:cs="宋体"/>
                <w:color w:val="auto"/>
                <w:sz w:val="24"/>
                <w:szCs w:val="24"/>
                <w:highlight w:val="none"/>
              </w:rPr>
            </w:pPr>
          </w:p>
        </w:tc>
      </w:tr>
      <w:tr w14:paraId="58B9B1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2627" w:type="dxa"/>
            <w:tcBorders>
              <w:top w:val="single" w:color="auto" w:sz="4" w:space="0"/>
              <w:left w:val="single" w:color="auto" w:sz="8" w:space="0"/>
              <w:bottom w:val="single" w:color="auto" w:sz="4" w:space="0"/>
              <w:right w:val="single" w:color="auto" w:sz="4" w:space="0"/>
            </w:tcBorders>
            <w:noWrap/>
            <w:vAlign w:val="center"/>
          </w:tcPr>
          <w:p w14:paraId="157AD534">
            <w:pPr>
              <w:keepNext w:val="0"/>
              <w:keepLines w:val="0"/>
              <w:suppressLineNumbers w:val="0"/>
              <w:spacing w:before="158" w:beforeAutospacing="0" w:after="158" w:afterAutospacing="0" w:line="480" w:lineRule="exact"/>
              <w:ind w:left="0" w:right="0"/>
              <w:jc w:val="center"/>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服务期限</w:t>
            </w:r>
          </w:p>
        </w:tc>
        <w:tc>
          <w:tcPr>
            <w:tcW w:w="6253" w:type="dxa"/>
            <w:tcBorders>
              <w:top w:val="single" w:color="auto" w:sz="4" w:space="0"/>
              <w:left w:val="single" w:color="auto" w:sz="4" w:space="0"/>
              <w:bottom w:val="single" w:color="auto" w:sz="4" w:space="0"/>
              <w:right w:val="single" w:color="auto" w:sz="8" w:space="0"/>
            </w:tcBorders>
            <w:noWrap/>
            <w:vAlign w:val="center"/>
          </w:tcPr>
          <w:p w14:paraId="66D97E82">
            <w:pPr>
              <w:keepNext w:val="0"/>
              <w:keepLines w:val="0"/>
              <w:suppressLineNumbers w:val="0"/>
              <w:spacing w:before="158" w:beforeAutospacing="0" w:after="158" w:afterAutospacing="0" w:line="480" w:lineRule="exact"/>
              <w:ind w:left="0" w:right="0"/>
              <w:jc w:val="center"/>
              <w:rPr>
                <w:rFonts w:hint="default" w:ascii="仿宋" w:hAnsi="仿宋" w:eastAsia="仿宋" w:cs="宋体"/>
                <w:color w:val="auto"/>
                <w:sz w:val="24"/>
                <w:szCs w:val="24"/>
                <w:highlight w:val="none"/>
              </w:rPr>
            </w:pPr>
          </w:p>
        </w:tc>
      </w:tr>
      <w:tr w14:paraId="7CF3B2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2627" w:type="dxa"/>
            <w:tcBorders>
              <w:top w:val="single" w:color="auto" w:sz="4" w:space="0"/>
              <w:left w:val="single" w:color="auto" w:sz="8" w:space="0"/>
              <w:bottom w:val="single" w:color="auto" w:sz="4" w:space="0"/>
              <w:right w:val="single" w:color="auto" w:sz="4" w:space="0"/>
            </w:tcBorders>
            <w:noWrap/>
            <w:vAlign w:val="center"/>
          </w:tcPr>
          <w:p w14:paraId="1CC422CB">
            <w:pPr>
              <w:keepNext w:val="0"/>
              <w:keepLines w:val="0"/>
              <w:suppressLineNumbers w:val="0"/>
              <w:spacing w:before="158" w:beforeAutospacing="0" w:after="158" w:afterAutospacing="0" w:line="480" w:lineRule="exact"/>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服务</w:t>
            </w:r>
            <w:r>
              <w:rPr>
                <w:rFonts w:hint="eastAsia" w:ascii="仿宋" w:hAnsi="仿宋" w:eastAsia="仿宋" w:cs="宋体"/>
                <w:color w:val="auto"/>
                <w:sz w:val="24"/>
                <w:szCs w:val="24"/>
                <w:highlight w:val="none"/>
              </w:rPr>
              <w:t>地点</w:t>
            </w:r>
          </w:p>
        </w:tc>
        <w:tc>
          <w:tcPr>
            <w:tcW w:w="6253" w:type="dxa"/>
            <w:tcBorders>
              <w:top w:val="single" w:color="auto" w:sz="4" w:space="0"/>
              <w:left w:val="single" w:color="auto" w:sz="4" w:space="0"/>
              <w:bottom w:val="single" w:color="auto" w:sz="4" w:space="0"/>
              <w:right w:val="single" w:color="auto" w:sz="8" w:space="0"/>
            </w:tcBorders>
            <w:noWrap/>
            <w:vAlign w:val="center"/>
          </w:tcPr>
          <w:p w14:paraId="206A751F">
            <w:pPr>
              <w:keepNext w:val="0"/>
              <w:keepLines w:val="0"/>
              <w:suppressLineNumbers w:val="0"/>
              <w:spacing w:before="158" w:beforeAutospacing="0" w:after="158" w:afterAutospacing="0" w:line="480" w:lineRule="exact"/>
              <w:ind w:left="0" w:right="0"/>
              <w:rPr>
                <w:rFonts w:hint="default" w:ascii="仿宋" w:hAnsi="仿宋" w:eastAsia="仿宋" w:cs="宋体"/>
                <w:color w:val="auto"/>
                <w:sz w:val="24"/>
                <w:szCs w:val="24"/>
                <w:highlight w:val="none"/>
              </w:rPr>
            </w:pPr>
          </w:p>
        </w:tc>
      </w:tr>
      <w:tr w14:paraId="2A0613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627" w:type="dxa"/>
            <w:tcBorders>
              <w:top w:val="single" w:color="auto" w:sz="4" w:space="0"/>
              <w:left w:val="single" w:color="auto" w:sz="8" w:space="0"/>
              <w:bottom w:val="single" w:color="auto" w:sz="8" w:space="0"/>
              <w:right w:val="single" w:color="auto" w:sz="4" w:space="0"/>
            </w:tcBorders>
            <w:noWrap/>
            <w:vAlign w:val="center"/>
          </w:tcPr>
          <w:p w14:paraId="1C4FD13E">
            <w:pPr>
              <w:keepNext w:val="0"/>
              <w:keepLines w:val="0"/>
              <w:suppressLineNumbers w:val="0"/>
              <w:spacing w:before="158" w:beforeAutospacing="0" w:after="158" w:afterAutospacing="0" w:line="480" w:lineRule="exact"/>
              <w:ind w:left="0" w:right="0"/>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备  注</w:t>
            </w:r>
          </w:p>
        </w:tc>
        <w:tc>
          <w:tcPr>
            <w:tcW w:w="6253" w:type="dxa"/>
            <w:tcBorders>
              <w:top w:val="single" w:color="auto" w:sz="4" w:space="0"/>
              <w:left w:val="single" w:color="auto" w:sz="4" w:space="0"/>
              <w:bottom w:val="single" w:color="auto" w:sz="8" w:space="0"/>
              <w:right w:val="single" w:color="auto" w:sz="8" w:space="0"/>
            </w:tcBorders>
            <w:noWrap/>
            <w:vAlign w:val="center"/>
          </w:tcPr>
          <w:p w14:paraId="5B9A9F62">
            <w:pPr>
              <w:keepNext w:val="0"/>
              <w:keepLines w:val="0"/>
              <w:suppressLineNumbers w:val="0"/>
              <w:spacing w:before="158" w:beforeAutospacing="0" w:after="158" w:afterAutospacing="0" w:line="480" w:lineRule="exact"/>
              <w:ind w:left="0" w:right="0"/>
              <w:jc w:val="center"/>
              <w:rPr>
                <w:rFonts w:hint="default" w:ascii="仿宋" w:hAnsi="仿宋" w:eastAsia="仿宋" w:cs="宋体"/>
                <w:color w:val="auto"/>
                <w:sz w:val="24"/>
                <w:szCs w:val="24"/>
                <w:highlight w:val="none"/>
              </w:rPr>
            </w:pPr>
          </w:p>
        </w:tc>
      </w:tr>
    </w:tbl>
    <w:p w14:paraId="3D2B31FA">
      <w:pPr>
        <w:widowControl/>
        <w:spacing w:before="158" w:after="158" w:line="480" w:lineRule="exact"/>
        <w:jc w:val="left"/>
        <w:rPr>
          <w:rFonts w:ascii="仿宋" w:hAnsi="仿宋" w:eastAsia="仿宋" w:cs="仿宋"/>
          <w:bCs/>
          <w:color w:val="auto"/>
          <w:sz w:val="24"/>
          <w:szCs w:val="24"/>
          <w:highlight w:val="none"/>
        </w:rPr>
      </w:pPr>
    </w:p>
    <w:p w14:paraId="2D3DF1AB">
      <w:pPr>
        <w:spacing w:before="158" w:after="158"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3ACA20EC">
      <w:pPr>
        <w:spacing w:before="158" w:after="158"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1.后附类似业绩证明材料。</w:t>
      </w:r>
    </w:p>
    <w:p w14:paraId="76AA57FC">
      <w:pPr>
        <w:spacing w:before="158" w:after="158" w:line="480" w:lineRule="exact"/>
        <w:ind w:firstLine="480" w:firstLineChars="200"/>
        <w:rPr>
          <w:color w:val="auto"/>
          <w:highlight w:val="none"/>
        </w:rPr>
      </w:pPr>
      <w:r>
        <w:rPr>
          <w:rFonts w:hint="eastAsia" w:ascii="仿宋" w:hAnsi="仿宋" w:eastAsia="仿宋" w:cs="仿宋"/>
          <w:color w:val="auto"/>
          <w:sz w:val="24"/>
          <w:szCs w:val="24"/>
          <w:highlight w:val="none"/>
        </w:rPr>
        <w:t>2.每张表格只填写一个项目，并标明序号。如有必要，可以增加附页。</w:t>
      </w:r>
    </w:p>
    <w:p w14:paraId="604AD9F5">
      <w:pPr>
        <w:widowControl/>
        <w:spacing w:before="158" w:after="158"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  </w:t>
      </w:r>
    </w:p>
    <w:p w14:paraId="62C0C400">
      <w:pPr>
        <w:widowControl/>
        <w:spacing w:before="158" w:after="158" w:line="360" w:lineRule="auto"/>
        <w:jc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lang w:eastAsia="zh-CN"/>
        </w:rPr>
        <w:t>（或联合体牵头人）</w:t>
      </w:r>
      <w:r>
        <w:rPr>
          <w:rFonts w:hint="eastAsia" w:ascii="仿宋" w:hAnsi="仿宋" w:eastAsia="仿宋" w:cs="仿宋"/>
          <w:color w:val="auto"/>
          <w:kern w:val="0"/>
          <w:sz w:val="24"/>
          <w:szCs w:val="24"/>
          <w:highlight w:val="none"/>
        </w:rPr>
        <w:t>名称：(</w:t>
      </w:r>
      <w:r>
        <w:rPr>
          <w:rFonts w:hint="eastAsia" w:ascii="仿宋" w:hAnsi="仿宋" w:eastAsia="仿宋" w:cs="仿宋"/>
          <w:color w:val="auto"/>
          <w:kern w:val="0"/>
          <w:sz w:val="24"/>
          <w:szCs w:val="24"/>
          <w:highlight w:val="none"/>
          <w:lang w:eastAsia="zh-CN"/>
        </w:rPr>
        <w:t>电子签章</w:t>
      </w:r>
      <w:r>
        <w:rPr>
          <w:rFonts w:hint="eastAsia" w:ascii="仿宋" w:hAnsi="仿宋" w:eastAsia="仿宋" w:cs="仿宋"/>
          <w:color w:val="auto"/>
          <w:kern w:val="0"/>
          <w:sz w:val="24"/>
          <w:szCs w:val="24"/>
          <w:highlight w:val="none"/>
        </w:rPr>
        <w:t>)</w:t>
      </w:r>
    </w:p>
    <w:p w14:paraId="14A01724">
      <w:pPr>
        <w:widowControl/>
        <w:wordWrap w:val="0"/>
        <w:spacing w:before="158" w:after="158" w:line="36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法定代表人或其委托代理人(</w:t>
      </w:r>
      <w:r>
        <w:rPr>
          <w:rFonts w:hint="eastAsia" w:ascii="仿宋" w:hAnsi="仿宋" w:eastAsia="仿宋" w:cs="仿宋"/>
          <w:color w:val="auto"/>
          <w:kern w:val="0"/>
          <w:sz w:val="24"/>
          <w:szCs w:val="24"/>
          <w:highlight w:val="none"/>
          <w:lang w:eastAsia="zh-CN"/>
        </w:rPr>
        <w:t>电子签章</w:t>
      </w:r>
      <w:r>
        <w:rPr>
          <w:rFonts w:hint="eastAsia" w:ascii="仿宋" w:hAnsi="仿宋" w:eastAsia="仿宋" w:cs="仿宋"/>
          <w:color w:val="auto"/>
          <w:kern w:val="0"/>
          <w:sz w:val="24"/>
          <w:szCs w:val="24"/>
          <w:highlight w:val="none"/>
        </w:rPr>
        <w:t xml:space="preserve">):    </w:t>
      </w:r>
    </w:p>
    <w:p w14:paraId="11ECEB37">
      <w:pPr>
        <w:widowControl/>
        <w:wordWrap w:val="0"/>
        <w:spacing w:before="158" w:after="158" w:line="360" w:lineRule="auto"/>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kern w:val="0"/>
          <w:sz w:val="24"/>
          <w:szCs w:val="24"/>
          <w:highlight w:val="none"/>
        </w:rPr>
        <w:t xml:space="preserve">   日期:</w:t>
      </w:r>
    </w:p>
    <w:p w14:paraId="4D72D6BD">
      <w:pPr>
        <w:pStyle w:val="5"/>
        <w:spacing w:line="360" w:lineRule="auto"/>
        <w:jc w:val="center"/>
        <w:rPr>
          <w:rFonts w:ascii="仿宋" w:hAnsi="仿宋" w:eastAsia="仿宋" w:cs="宋体"/>
          <w:color w:val="auto"/>
          <w:sz w:val="28"/>
          <w:szCs w:val="28"/>
          <w:highlight w:val="none"/>
        </w:rPr>
      </w:pPr>
      <w:bookmarkStart w:id="411" w:name="_Toc146394605"/>
      <w:bookmarkStart w:id="412" w:name="_Toc5683"/>
      <w:r>
        <w:rPr>
          <w:rFonts w:hint="eastAsia" w:ascii="仿宋" w:hAnsi="仿宋" w:eastAsia="仿宋" w:cs="宋体"/>
          <w:color w:val="auto"/>
          <w:sz w:val="28"/>
          <w:szCs w:val="28"/>
          <w:highlight w:val="none"/>
          <w:lang w:eastAsia="zh-CN"/>
        </w:rPr>
        <w:t>九</w:t>
      </w:r>
      <w:r>
        <w:rPr>
          <w:rFonts w:hint="eastAsia" w:ascii="仿宋" w:hAnsi="仿宋" w:eastAsia="仿宋" w:cs="宋体"/>
          <w:color w:val="auto"/>
          <w:sz w:val="28"/>
          <w:szCs w:val="28"/>
          <w:highlight w:val="none"/>
        </w:rPr>
        <w:t>、承诺书</w:t>
      </w:r>
      <w:bookmarkEnd w:id="411"/>
      <w:bookmarkEnd w:id="412"/>
    </w:p>
    <w:p w14:paraId="771BDEA3">
      <w:pPr>
        <w:keepNext w:val="0"/>
        <w:keepLines w:val="0"/>
        <w:pageBreakBefore w:val="0"/>
        <w:kinsoku/>
        <w:wordWrap/>
        <w:overflowPunct/>
        <w:topLinePunct w:val="0"/>
        <w:bidi w:val="0"/>
        <w:snapToGrid/>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本企业作为投标人，承诺如下：</w:t>
      </w:r>
    </w:p>
    <w:p w14:paraId="5D5171A4">
      <w:pPr>
        <w:keepNext w:val="0"/>
        <w:keepLines w:val="0"/>
        <w:pageBreakBefore w:val="0"/>
        <w:kinsoku/>
        <w:wordWrap/>
        <w:overflowPunct/>
        <w:topLinePunct w:val="0"/>
        <w:bidi w:val="0"/>
        <w:snapToGrid/>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一、参与项目投标所提供的一切材料都真实、合法、有效。</w:t>
      </w:r>
    </w:p>
    <w:p w14:paraId="46573C2A">
      <w:pPr>
        <w:keepNext w:val="0"/>
        <w:keepLines w:val="0"/>
        <w:pageBreakBefore w:val="0"/>
        <w:kinsoku/>
        <w:wordWrap/>
        <w:overflowPunct/>
        <w:topLinePunct w:val="0"/>
        <w:bidi w:val="0"/>
        <w:snapToGrid/>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二、不与其他投标人串通投标,损害招标人或其他投标人的合法权益。</w:t>
      </w:r>
    </w:p>
    <w:p w14:paraId="0EF87A8C">
      <w:pPr>
        <w:keepNext w:val="0"/>
        <w:keepLines w:val="0"/>
        <w:pageBreakBefore w:val="0"/>
        <w:kinsoku/>
        <w:wordWrap/>
        <w:overflowPunct/>
        <w:topLinePunct w:val="0"/>
        <w:bidi w:val="0"/>
        <w:snapToGrid/>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三、不与招标人或招标代理机构串通投标,损害国家利益、社会公共利益或者他人的合法权益。</w:t>
      </w:r>
    </w:p>
    <w:p w14:paraId="4DAE2046">
      <w:pPr>
        <w:keepNext w:val="0"/>
        <w:keepLines w:val="0"/>
        <w:pageBreakBefore w:val="0"/>
        <w:kinsoku/>
        <w:wordWrap/>
        <w:overflowPunct/>
        <w:topLinePunct w:val="0"/>
        <w:bidi w:val="0"/>
        <w:snapToGrid/>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四、不以他人名义投标，不挂靠、借用资质或者以其他方式弄虚作假骗取中标。</w:t>
      </w:r>
    </w:p>
    <w:p w14:paraId="62262019">
      <w:pPr>
        <w:keepNext w:val="0"/>
        <w:keepLines w:val="0"/>
        <w:pageBreakBefore w:val="0"/>
        <w:kinsoku/>
        <w:wordWrap/>
        <w:overflowPunct/>
        <w:topLinePunct w:val="0"/>
        <w:bidi w:val="0"/>
        <w:snapToGrid/>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五、不转让、出租、出借资质证书、人员岗位证书或以其他方式允许他人以本企业名义投标。</w:t>
      </w:r>
    </w:p>
    <w:p w14:paraId="00E7934C">
      <w:pPr>
        <w:keepNext w:val="0"/>
        <w:keepLines w:val="0"/>
        <w:pageBreakBefore w:val="0"/>
        <w:kinsoku/>
        <w:wordWrap/>
        <w:overflowPunct/>
        <w:topLinePunct w:val="0"/>
        <w:bidi w:val="0"/>
        <w:snapToGrid/>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六、不向招标人、评标委员会成员、监督人员行贿、请客、送礼及组织其他有可能影响招标投标公平公正的活动。</w:t>
      </w:r>
    </w:p>
    <w:p w14:paraId="6FF55CD3">
      <w:pPr>
        <w:keepNext w:val="0"/>
        <w:keepLines w:val="0"/>
        <w:pageBreakBefore w:val="0"/>
        <w:kinsoku/>
        <w:wordWrap/>
        <w:overflowPunct/>
        <w:topLinePunct w:val="0"/>
        <w:bidi w:val="0"/>
        <w:snapToGrid/>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七、不干扰招标投标活动正常秩序。不进行虚假恶意投诉，</w:t>
      </w:r>
    </w:p>
    <w:p w14:paraId="640F5C61">
      <w:pPr>
        <w:keepNext w:val="0"/>
        <w:keepLines w:val="0"/>
        <w:pageBreakBefore w:val="0"/>
        <w:kinsoku/>
        <w:wordWrap/>
        <w:overflowPunct/>
        <w:topLinePunct w:val="0"/>
        <w:bidi w:val="0"/>
        <w:snapToGrid/>
        <w:spacing w:line="48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不以暴力手段胁迫其他潜在投标人放弃投标，或胁迫中标人放弃中标。</w:t>
      </w:r>
    </w:p>
    <w:p w14:paraId="74AB4618">
      <w:pPr>
        <w:keepNext w:val="0"/>
        <w:keepLines w:val="0"/>
        <w:pageBreakBefore w:val="0"/>
        <w:kinsoku/>
        <w:wordWrap/>
        <w:overflowPunct/>
        <w:topLinePunct w:val="0"/>
        <w:bidi w:val="0"/>
        <w:snapToGrid/>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八、中标后与招标人严格按照招标文件和投标文件的内容订立合同，按照合同约定履行义务，不将项目转包，不进行违法分包。</w:t>
      </w:r>
    </w:p>
    <w:p w14:paraId="020346CA">
      <w:pPr>
        <w:keepNext w:val="0"/>
        <w:keepLines w:val="0"/>
        <w:pageBreakBefore w:val="0"/>
        <w:kinsoku/>
        <w:wordWrap/>
        <w:overflowPunct/>
        <w:topLinePunct w:val="0"/>
        <w:bidi w:val="0"/>
        <w:snapToGrid/>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九、自觉接受有关部门依法实施的监督。如违反承诺愿意承担由此带来的法律责任，接受有关部门的调查处理，并保证不干预案件查处。给招标人造成损失的,依法承担赔偿责任。</w:t>
      </w:r>
    </w:p>
    <w:p w14:paraId="520793EF">
      <w:pPr>
        <w:keepNext w:val="0"/>
        <w:keepLines w:val="0"/>
        <w:pageBreakBefore w:val="0"/>
        <w:kinsoku/>
        <w:wordWrap/>
        <w:overflowPunct/>
        <w:topLinePunct w:val="0"/>
        <w:bidi w:val="0"/>
        <w:snapToGrid/>
        <w:spacing w:line="480" w:lineRule="exact"/>
        <w:ind w:firstLine="480" w:firstLineChars="200"/>
        <w:rPr>
          <w:rFonts w:ascii="仿宋" w:hAnsi="仿宋" w:eastAsia="仿宋" w:cs="宋体"/>
          <w:color w:val="auto"/>
          <w:sz w:val="24"/>
          <w:szCs w:val="24"/>
          <w:highlight w:val="none"/>
        </w:rPr>
      </w:pPr>
    </w:p>
    <w:p w14:paraId="0BB078C7">
      <w:pPr>
        <w:keepNext w:val="0"/>
        <w:keepLines w:val="0"/>
        <w:pageBreakBefore w:val="0"/>
        <w:kinsoku/>
        <w:wordWrap/>
        <w:overflowPunct/>
        <w:topLinePunct w:val="0"/>
        <w:bidi w:val="0"/>
        <w:snapToGrid/>
        <w:spacing w:line="48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w:t>
      </w:r>
      <w:r>
        <w:rPr>
          <w:rFonts w:hint="eastAsia" w:ascii="仿宋" w:hAnsi="仿宋" w:eastAsia="仿宋" w:cs="宋体"/>
          <w:color w:val="auto"/>
          <w:sz w:val="24"/>
          <w:szCs w:val="24"/>
          <w:highlight w:val="none"/>
          <w:lang w:eastAsia="zh-CN"/>
        </w:rPr>
        <w:t>（或联合体牵头人）</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eastAsia="zh-CN"/>
        </w:rPr>
        <w:t>电子签章</w:t>
      </w:r>
      <w:r>
        <w:rPr>
          <w:rFonts w:hint="eastAsia" w:ascii="仿宋" w:hAnsi="仿宋" w:eastAsia="仿宋" w:cs="宋体"/>
          <w:color w:val="auto"/>
          <w:sz w:val="24"/>
          <w:szCs w:val="24"/>
          <w:highlight w:val="none"/>
        </w:rPr>
        <w:t>）</w:t>
      </w:r>
    </w:p>
    <w:p w14:paraId="754F6D3E">
      <w:pPr>
        <w:keepNext w:val="0"/>
        <w:keepLines w:val="0"/>
        <w:pageBreakBefore w:val="0"/>
        <w:kinsoku/>
        <w:wordWrap/>
        <w:overflowPunct/>
        <w:topLinePunct w:val="0"/>
        <w:bidi w:val="0"/>
        <w:snapToGrid/>
        <w:spacing w:line="48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法定代表人</w:t>
      </w:r>
      <w:r>
        <w:rPr>
          <w:rFonts w:hint="eastAsia" w:ascii="仿宋" w:hAnsi="仿宋" w:eastAsia="仿宋" w:cs="宋体"/>
          <w:color w:val="auto"/>
          <w:sz w:val="24"/>
          <w:szCs w:val="24"/>
          <w:highlight w:val="none"/>
          <w:lang w:eastAsia="zh-CN"/>
        </w:rPr>
        <w:t>或其委托代理人</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eastAsia="zh-CN"/>
        </w:rPr>
        <w:t>电子签章</w:t>
      </w:r>
      <w:r>
        <w:rPr>
          <w:rFonts w:hint="eastAsia" w:ascii="仿宋" w:hAnsi="仿宋" w:eastAsia="仿宋" w:cs="宋体"/>
          <w:color w:val="auto"/>
          <w:sz w:val="24"/>
          <w:szCs w:val="24"/>
          <w:highlight w:val="none"/>
        </w:rPr>
        <w:t>）</w:t>
      </w:r>
    </w:p>
    <w:p w14:paraId="393EB352">
      <w:pPr>
        <w:keepNext w:val="0"/>
        <w:keepLines w:val="0"/>
        <w:pageBreakBefore w:val="0"/>
        <w:kinsoku/>
        <w:wordWrap/>
        <w:overflowPunct/>
        <w:topLinePunct w:val="0"/>
        <w:bidi w:val="0"/>
        <w:snapToGrid/>
        <w:spacing w:line="48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日期：年月日</w:t>
      </w:r>
    </w:p>
    <w:p w14:paraId="348572F7">
      <w:pPr>
        <w:pStyle w:val="23"/>
        <w:keepNext w:val="0"/>
        <w:keepLines w:val="0"/>
        <w:pageBreakBefore w:val="0"/>
        <w:kinsoku/>
        <w:wordWrap/>
        <w:overflowPunct/>
        <w:topLinePunct w:val="0"/>
        <w:bidi w:val="0"/>
        <w:snapToGrid/>
        <w:spacing w:line="480" w:lineRule="exact"/>
        <w:rPr>
          <w:rFonts w:ascii="仿宋" w:hAnsi="仿宋" w:eastAsia="仿宋" w:cs="宋体"/>
          <w:color w:val="auto"/>
          <w:sz w:val="24"/>
          <w:szCs w:val="24"/>
          <w:highlight w:val="none"/>
        </w:rPr>
      </w:pPr>
    </w:p>
    <w:bookmarkEnd w:id="401"/>
    <w:p w14:paraId="3B0AAFB0">
      <w:pPr>
        <w:pStyle w:val="5"/>
        <w:numPr>
          <w:ilvl w:val="0"/>
          <w:numId w:val="16"/>
        </w:numPr>
        <w:spacing w:line="240" w:lineRule="auto"/>
        <w:jc w:val="center"/>
        <w:rPr>
          <w:rFonts w:ascii="仿宋" w:hAnsi="仿宋" w:eastAsia="仿宋" w:cs="宋体"/>
          <w:color w:val="auto"/>
          <w:sz w:val="28"/>
          <w:szCs w:val="28"/>
          <w:highlight w:val="none"/>
        </w:rPr>
      </w:pPr>
    </w:p>
    <w:p w14:paraId="35E39BA7">
      <w:pPr>
        <w:pStyle w:val="5"/>
        <w:numPr>
          <w:ilvl w:val="0"/>
          <w:numId w:val="16"/>
        </w:numPr>
        <w:spacing w:line="240" w:lineRule="auto"/>
        <w:jc w:val="center"/>
        <w:rPr>
          <w:rFonts w:ascii="仿宋" w:hAnsi="仿宋" w:eastAsia="仿宋" w:cs="宋体"/>
          <w:color w:val="auto"/>
          <w:sz w:val="28"/>
          <w:szCs w:val="28"/>
          <w:highlight w:val="none"/>
        </w:rPr>
      </w:pPr>
    </w:p>
    <w:p w14:paraId="1A6145E1">
      <w:pPr>
        <w:pStyle w:val="5"/>
        <w:numPr>
          <w:ilvl w:val="0"/>
          <w:numId w:val="16"/>
        </w:numPr>
        <w:spacing w:line="240" w:lineRule="auto"/>
        <w:jc w:val="center"/>
        <w:rPr>
          <w:rFonts w:ascii="仿宋" w:hAnsi="仿宋" w:eastAsia="仿宋" w:cs="宋体"/>
          <w:color w:val="auto"/>
          <w:sz w:val="28"/>
          <w:szCs w:val="28"/>
          <w:highlight w:val="none"/>
        </w:rPr>
      </w:pPr>
    </w:p>
    <w:p w14:paraId="23754AC8">
      <w:pPr>
        <w:jc w:val="center"/>
        <w:rPr>
          <w:rFonts w:hint="eastAsia" w:ascii="仿宋" w:hAnsi="仿宋" w:eastAsia="仿宋" w:cs="仿宋"/>
          <w:b/>
          <w:bCs/>
          <w:color w:val="auto"/>
          <w:sz w:val="28"/>
          <w:szCs w:val="32"/>
          <w:highlight w:val="none"/>
        </w:rPr>
      </w:pPr>
      <w:r>
        <w:rPr>
          <w:rFonts w:hint="eastAsia" w:ascii="仿宋" w:hAnsi="仿宋" w:eastAsia="仿宋" w:cs="仿宋"/>
          <w:b/>
          <w:bCs/>
          <w:color w:val="auto"/>
          <w:sz w:val="28"/>
          <w:szCs w:val="32"/>
          <w:highlight w:val="none"/>
          <w:lang w:eastAsia="zh-CN"/>
        </w:rPr>
        <w:t>十、</w:t>
      </w:r>
      <w:r>
        <w:rPr>
          <w:rFonts w:hint="eastAsia" w:ascii="仿宋" w:hAnsi="仿宋" w:eastAsia="仿宋" w:cs="仿宋"/>
          <w:b/>
          <w:bCs/>
          <w:color w:val="auto"/>
          <w:sz w:val="28"/>
          <w:szCs w:val="32"/>
          <w:highlight w:val="none"/>
        </w:rPr>
        <w:t>落实政府采购</w:t>
      </w:r>
      <w:r>
        <w:rPr>
          <w:rFonts w:hint="eastAsia" w:ascii="仿宋" w:hAnsi="仿宋" w:eastAsia="仿宋" w:cs="仿宋"/>
          <w:b/>
          <w:bCs/>
          <w:color w:val="auto"/>
          <w:sz w:val="28"/>
          <w:szCs w:val="28"/>
          <w:highlight w:val="none"/>
        </w:rPr>
        <w:t>相关政策部分</w:t>
      </w:r>
    </w:p>
    <w:p w14:paraId="5B5565D0">
      <w:pPr>
        <w:jc w:val="center"/>
        <w:rPr>
          <w:rFonts w:hint="eastAsia" w:ascii="仿宋" w:hAnsi="仿宋" w:eastAsia="仿宋" w:cs="仿宋"/>
          <w:b/>
          <w:bCs/>
          <w:color w:val="auto"/>
          <w:sz w:val="28"/>
          <w:szCs w:val="32"/>
          <w:highlight w:val="none"/>
        </w:rPr>
      </w:pPr>
      <w:r>
        <w:rPr>
          <w:rFonts w:hint="eastAsia" w:ascii="仿宋" w:hAnsi="仿宋" w:eastAsia="仿宋" w:cs="仿宋"/>
          <w:b/>
          <w:bCs/>
          <w:color w:val="auto"/>
          <w:sz w:val="28"/>
          <w:szCs w:val="32"/>
          <w:highlight w:val="none"/>
        </w:rPr>
        <w:t>（1）中小企业声明函（服务）</w:t>
      </w:r>
    </w:p>
    <w:p w14:paraId="2031D46C">
      <w:pPr>
        <w:rPr>
          <w:rFonts w:hint="eastAsia" w:ascii="仿宋" w:hAnsi="仿宋" w:eastAsia="仿宋" w:cs="仿宋"/>
          <w:color w:val="auto"/>
          <w:highlight w:val="none"/>
        </w:rPr>
      </w:pPr>
    </w:p>
    <w:p w14:paraId="3F4E996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本公司（联合体）郑重声明，根据《政府采购促进中小企业发展管理办法》（财库﹝2020﹞46 号）的规定，本公司 （联合体）参加</w:t>
      </w:r>
      <w:r>
        <w:rPr>
          <w:rFonts w:hint="eastAsia" w:ascii="仿宋" w:hAnsi="仿宋" w:eastAsia="仿宋" w:cs="仿宋"/>
          <w:color w:val="auto"/>
          <w:sz w:val="24"/>
          <w:highlight w:val="none"/>
          <w:u w:val="single"/>
        </w:rPr>
        <w:t>（单位名称）</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（项目名称）</w:t>
      </w:r>
      <w:r>
        <w:rPr>
          <w:rFonts w:hint="eastAsia" w:ascii="仿宋" w:hAnsi="仿宋" w:eastAsia="仿宋" w:cs="仿宋"/>
          <w:color w:val="auto"/>
          <w:sz w:val="24"/>
          <w:highlight w:val="none"/>
        </w:rPr>
        <w:t>采购活动，服务全部由符合政策要求的中小企业承接。相关企业（含联合体中的中小企业、签订分包意向协议的中小企业）的具体情况如下：</w:t>
      </w:r>
    </w:p>
    <w:p w14:paraId="50343EA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u w:val="single"/>
        </w:rPr>
        <w:t>（标的名称）</w:t>
      </w:r>
      <w:r>
        <w:rPr>
          <w:rFonts w:hint="eastAsia" w:ascii="仿宋" w:hAnsi="仿宋" w:eastAsia="仿宋" w:cs="仿宋"/>
          <w:color w:val="auto"/>
          <w:sz w:val="24"/>
          <w:highlight w:val="none"/>
        </w:rPr>
        <w:t>，属于</w:t>
      </w:r>
      <w:r>
        <w:rPr>
          <w:rFonts w:hint="eastAsia" w:ascii="仿宋" w:hAnsi="仿宋" w:eastAsia="仿宋" w:cs="仿宋"/>
          <w:color w:val="auto"/>
          <w:sz w:val="24"/>
          <w:highlight w:val="none"/>
          <w:u w:val="single"/>
        </w:rPr>
        <w:t>（采购文件中明确的所属行业）</w:t>
      </w:r>
      <w:r>
        <w:rPr>
          <w:rFonts w:hint="eastAsia" w:ascii="仿宋" w:hAnsi="仿宋" w:eastAsia="仿宋" w:cs="仿宋"/>
          <w:color w:val="auto"/>
          <w:sz w:val="24"/>
          <w:highlight w:val="none"/>
        </w:rPr>
        <w:t>；承接企业为</w:t>
      </w:r>
      <w:r>
        <w:rPr>
          <w:rFonts w:hint="eastAsia" w:ascii="仿宋" w:hAnsi="仿宋" w:eastAsia="仿宋" w:cs="仿宋"/>
          <w:color w:val="auto"/>
          <w:sz w:val="24"/>
          <w:highlight w:val="none"/>
          <w:u w:val="single"/>
        </w:rPr>
        <w:t>（企业名称）</w:t>
      </w:r>
      <w:r>
        <w:rPr>
          <w:rFonts w:hint="eastAsia" w:ascii="仿宋" w:hAnsi="仿宋" w:eastAsia="仿宋" w:cs="仿宋"/>
          <w:color w:val="auto"/>
          <w:sz w:val="24"/>
          <w:highlight w:val="none"/>
        </w:rPr>
        <w:t>，从业人员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w:t>
      </w:r>
      <w:r>
        <w:rPr>
          <w:rFonts w:hint="eastAsia" w:ascii="仿宋" w:hAnsi="仿宋" w:eastAsia="仿宋" w:cs="仿宋"/>
          <w:color w:val="auto"/>
          <w:sz w:val="24"/>
          <w:highlight w:val="none"/>
          <w:vertAlign w:val="superscript"/>
        </w:rPr>
        <w:t>1</w:t>
      </w:r>
      <w:r>
        <w:rPr>
          <w:rFonts w:hint="eastAsia" w:ascii="仿宋" w:hAnsi="仿宋" w:eastAsia="仿宋" w:cs="仿宋"/>
          <w:color w:val="auto"/>
          <w:sz w:val="24"/>
          <w:highlight w:val="none"/>
        </w:rPr>
        <w:t>，属于（</w:t>
      </w:r>
      <w:r>
        <w:rPr>
          <w:rFonts w:hint="eastAsia" w:ascii="仿宋" w:hAnsi="仿宋" w:eastAsia="仿宋" w:cs="仿宋"/>
          <w:color w:val="auto"/>
          <w:sz w:val="24"/>
          <w:highlight w:val="none"/>
          <w:u w:val="single"/>
        </w:rPr>
        <w:t>中型企业、 小型企业、微型企业）</w:t>
      </w:r>
      <w:r>
        <w:rPr>
          <w:rFonts w:hint="eastAsia" w:ascii="仿宋" w:hAnsi="仿宋" w:eastAsia="仿宋" w:cs="仿宋"/>
          <w:color w:val="auto"/>
          <w:sz w:val="24"/>
          <w:highlight w:val="none"/>
        </w:rPr>
        <w:t>；</w:t>
      </w:r>
    </w:p>
    <w:p w14:paraId="212DF3C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u w:val="single"/>
        </w:rPr>
        <w:t>（标的名称）</w:t>
      </w:r>
      <w:r>
        <w:rPr>
          <w:rFonts w:hint="eastAsia" w:ascii="仿宋" w:hAnsi="仿宋" w:eastAsia="仿宋" w:cs="仿宋"/>
          <w:color w:val="auto"/>
          <w:sz w:val="24"/>
          <w:highlight w:val="none"/>
        </w:rPr>
        <w:t>，属于</w:t>
      </w:r>
      <w:r>
        <w:rPr>
          <w:rFonts w:hint="eastAsia" w:ascii="仿宋" w:hAnsi="仿宋" w:eastAsia="仿宋" w:cs="仿宋"/>
          <w:color w:val="auto"/>
          <w:sz w:val="24"/>
          <w:highlight w:val="none"/>
          <w:u w:val="single"/>
        </w:rPr>
        <w:t>（采购文件中明确的所属行业）</w:t>
      </w:r>
      <w:r>
        <w:rPr>
          <w:rFonts w:hint="eastAsia" w:ascii="仿宋" w:hAnsi="仿宋" w:eastAsia="仿宋" w:cs="仿宋"/>
          <w:color w:val="auto"/>
          <w:sz w:val="24"/>
          <w:highlight w:val="none"/>
        </w:rPr>
        <w:t>；承接企业为</w:t>
      </w:r>
      <w:r>
        <w:rPr>
          <w:rFonts w:hint="eastAsia" w:ascii="仿宋" w:hAnsi="仿宋" w:eastAsia="仿宋" w:cs="仿宋"/>
          <w:color w:val="auto"/>
          <w:sz w:val="24"/>
          <w:highlight w:val="none"/>
          <w:u w:val="single"/>
        </w:rPr>
        <w:t>（企业名称）</w:t>
      </w:r>
      <w:r>
        <w:rPr>
          <w:rFonts w:hint="eastAsia" w:ascii="仿宋" w:hAnsi="仿宋" w:eastAsia="仿宋" w:cs="仿宋"/>
          <w:color w:val="auto"/>
          <w:sz w:val="24"/>
          <w:highlight w:val="none"/>
        </w:rPr>
        <w:t>，从业人员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万元，属于</w:t>
      </w:r>
      <w:r>
        <w:rPr>
          <w:rFonts w:hint="eastAsia" w:ascii="仿宋" w:hAnsi="仿宋" w:eastAsia="仿宋" w:cs="仿宋"/>
          <w:color w:val="auto"/>
          <w:sz w:val="24"/>
          <w:highlight w:val="none"/>
          <w:u w:val="single"/>
        </w:rPr>
        <w:t>（中型企业、 小型企业、微型企业）</w:t>
      </w:r>
      <w:r>
        <w:rPr>
          <w:rFonts w:hint="eastAsia" w:ascii="仿宋" w:hAnsi="仿宋" w:eastAsia="仿宋" w:cs="仿宋"/>
          <w:color w:val="auto"/>
          <w:sz w:val="24"/>
          <w:highlight w:val="none"/>
        </w:rPr>
        <w:t>；</w:t>
      </w:r>
    </w:p>
    <w:p w14:paraId="627DDCB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06804D9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以上企业，不属于大企业的分支机构，不存在控股股东为大企业的情形，也不存在与大企业的负责人为同一人的情形。</w:t>
      </w:r>
    </w:p>
    <w:p w14:paraId="79710C5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本企业对上述声明内容的真实性负责。如有虚假，将依法承担相应责任。</w:t>
      </w:r>
    </w:p>
    <w:p w14:paraId="3026637D">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仿宋" w:hAnsi="仿宋" w:eastAsia="仿宋" w:cs="仿宋"/>
          <w:color w:val="auto"/>
          <w:sz w:val="24"/>
          <w:szCs w:val="24"/>
          <w:highlight w:val="none"/>
        </w:rPr>
      </w:pPr>
    </w:p>
    <w:p w14:paraId="25010F4D">
      <w:pPr>
        <w:keepNext w:val="0"/>
        <w:keepLines w:val="0"/>
        <w:pageBreakBefore w:val="0"/>
        <w:kinsoku/>
        <w:wordWrap/>
        <w:overflowPunct/>
        <w:topLinePunct w:val="0"/>
        <w:bidi w:val="0"/>
        <w:snapToGrid/>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lang w:eastAsia="zh-CN"/>
        </w:rPr>
        <w:t>或联合体牵头人</w:t>
      </w:r>
      <w:r>
        <w:rPr>
          <w:rFonts w:hint="eastAsia" w:ascii="仿宋" w:hAnsi="仿宋" w:eastAsia="仿宋" w:cs="仿宋"/>
          <w:color w:val="auto"/>
          <w:sz w:val="24"/>
          <w:szCs w:val="24"/>
          <w:highlight w:val="none"/>
        </w:rPr>
        <w:t>名称</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eastAsia="zh-CN"/>
        </w:rPr>
        <w:t>电子签章</w:t>
      </w:r>
      <w:r>
        <w:rPr>
          <w:rFonts w:hint="eastAsia" w:ascii="仿宋" w:hAnsi="仿宋" w:eastAsia="仿宋" w:cs="宋体"/>
          <w:color w:val="auto"/>
          <w:sz w:val="24"/>
          <w:szCs w:val="24"/>
          <w:highlight w:val="none"/>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6D236534">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法定代表人或委托代理人（电子签章）：</w:t>
      </w:r>
      <w:r>
        <w:rPr>
          <w:rFonts w:hint="eastAsia" w:ascii="仿宋" w:hAnsi="仿宋" w:eastAsia="仿宋" w:cs="仿宋"/>
          <w:color w:val="auto"/>
          <w:sz w:val="24"/>
          <w:highlight w:val="none"/>
          <w:u w:val="single"/>
        </w:rPr>
        <w:t xml:space="preserve">              </w:t>
      </w:r>
    </w:p>
    <w:p w14:paraId="4A96D2F1">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kern w:val="0"/>
          <w:sz w:val="24"/>
          <w:highlight w:val="none"/>
          <w:u w:val="single"/>
        </w:rPr>
        <w:t xml:space="preserve">              </w:t>
      </w:r>
    </w:p>
    <w:p w14:paraId="2BD3EF81">
      <w:pPr>
        <w:keepNext w:val="0"/>
        <w:keepLines w:val="0"/>
        <w:pageBreakBefore w:val="0"/>
        <w:widowControl w:val="0"/>
        <w:kinsoku/>
        <w:wordWrap/>
        <w:overflowPunct/>
        <w:topLinePunct w:val="0"/>
        <w:autoSpaceDE/>
        <w:autoSpaceDN/>
        <w:bidi w:val="0"/>
        <w:adjustRightInd/>
        <w:snapToGrid/>
        <w:spacing w:line="480" w:lineRule="exact"/>
        <w:ind w:firstLine="1050" w:firstLineChars="500"/>
        <w:textAlignment w:val="auto"/>
        <w:rPr>
          <w:rFonts w:hint="eastAsia" w:ascii="仿宋" w:hAnsi="仿宋" w:eastAsia="仿宋" w:cs="仿宋"/>
          <w:color w:val="auto"/>
          <w:highlight w:val="none"/>
        </w:rPr>
      </w:pPr>
    </w:p>
    <w:p w14:paraId="3EFB65E7">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0"/>
          <w:szCs w:val="20"/>
          <w:highlight w:val="none"/>
        </w:rPr>
      </w:pPr>
    </w:p>
    <w:p w14:paraId="5C8095B5">
      <w:pPr>
        <w:pStyle w:val="51"/>
        <w:spacing w:before="158" w:beforeAutospacing="0" w:after="158" w:afterAutospacing="0" w:line="480" w:lineRule="exact"/>
        <w:rPr>
          <w:rFonts w:ascii="仿宋" w:hAnsi="仿宋" w:eastAsia="仿宋" w:cs="黑体"/>
          <w:color w:val="auto"/>
          <w:szCs w:val="24"/>
          <w:highlight w:val="none"/>
        </w:rPr>
      </w:pPr>
      <w:r>
        <w:rPr>
          <w:rFonts w:hint="eastAsia" w:ascii="仿宋" w:hAnsi="仿宋" w:eastAsia="仿宋" w:cs="黑体"/>
          <w:color w:val="auto"/>
          <w:szCs w:val="24"/>
          <w:highlight w:val="none"/>
        </w:rPr>
        <w:t>注：1.从业人员、营业收入、资产总额填报上一年度数据，无上一年度数据的新成立企业可不填报。</w:t>
      </w:r>
    </w:p>
    <w:p w14:paraId="56D8E5AE">
      <w:pPr>
        <w:widowControl/>
        <w:spacing w:before="158" w:after="158" w:line="480" w:lineRule="exact"/>
        <w:ind w:firstLine="480" w:firstLineChars="200"/>
        <w:jc w:val="left"/>
        <w:rPr>
          <w:rFonts w:ascii="仿宋" w:hAnsi="仿宋" w:eastAsia="仿宋" w:cs="黑体"/>
          <w:color w:val="auto"/>
          <w:sz w:val="24"/>
          <w:szCs w:val="24"/>
          <w:highlight w:val="none"/>
        </w:rPr>
      </w:pPr>
      <w:r>
        <w:rPr>
          <w:rFonts w:hint="eastAsia" w:ascii="仿宋" w:hAnsi="仿宋" w:eastAsia="仿宋" w:cs="黑体"/>
          <w:color w:val="auto"/>
          <w:sz w:val="24"/>
          <w:szCs w:val="24"/>
          <w:highlight w:val="none"/>
        </w:rPr>
        <w:t>2.</w:t>
      </w:r>
      <w:r>
        <w:rPr>
          <w:rFonts w:hint="eastAsia" w:ascii="仿宋" w:hAnsi="仿宋" w:eastAsia="仿宋" w:cs="黑体"/>
          <w:color w:val="auto"/>
          <w:kern w:val="0"/>
          <w:sz w:val="24"/>
          <w:szCs w:val="24"/>
          <w:highlight w:val="none"/>
        </w:rPr>
        <w:t>根据《工业和信息化部、国家统计局、国家发展和改革委员会、财政部关于印发中小企业划型标准规定的通知》，本项目所属行业：</w:t>
      </w:r>
      <w:r>
        <w:rPr>
          <w:rFonts w:hint="eastAsia" w:ascii="仿宋" w:hAnsi="仿宋" w:eastAsia="仿宋" w:cs="黑体"/>
          <w:color w:val="auto"/>
          <w:kern w:val="0"/>
          <w:sz w:val="24"/>
          <w:szCs w:val="24"/>
          <w:highlight w:val="none"/>
          <w:u w:val="single"/>
          <w:lang w:eastAsia="zh-CN"/>
        </w:rPr>
        <w:t>其他未列明行业</w:t>
      </w:r>
      <w:r>
        <w:rPr>
          <w:rFonts w:hint="eastAsia" w:ascii="仿宋" w:hAnsi="仿宋" w:eastAsia="仿宋" w:cs="黑体"/>
          <w:color w:val="auto"/>
          <w:kern w:val="0"/>
          <w:sz w:val="24"/>
          <w:szCs w:val="24"/>
          <w:highlight w:val="none"/>
        </w:rPr>
        <w:t>。</w:t>
      </w:r>
    </w:p>
    <w:p w14:paraId="7A666825">
      <w:pPr>
        <w:pStyle w:val="51"/>
        <w:tabs>
          <w:tab w:val="right" w:leader="dot" w:pos="9288"/>
        </w:tabs>
        <w:spacing w:before="158" w:beforeAutospacing="0" w:after="158" w:afterAutospacing="0" w:line="480" w:lineRule="exact"/>
        <w:rPr>
          <w:rFonts w:hint="eastAsia" w:ascii="仿宋" w:hAnsi="仿宋" w:eastAsia="仿宋_GB2312" w:cs="宋体"/>
          <w:b/>
          <w:bCs/>
          <w:color w:val="auto"/>
          <w:sz w:val="28"/>
          <w:szCs w:val="28"/>
          <w:highlight w:val="none"/>
          <w:lang w:eastAsia="zh-CN"/>
        </w:rPr>
      </w:pPr>
      <w:r>
        <w:rPr>
          <w:rFonts w:ascii="Times New Roman" w:hAnsi="Times New Roman" w:eastAsia="仿宋_GB2312"/>
          <w:color w:val="auto"/>
          <w:szCs w:val="24"/>
          <w:highlight w:val="none"/>
        </w:rPr>
        <w:t xml:space="preserve">    3</w:t>
      </w:r>
      <w:r>
        <w:rPr>
          <w:rFonts w:hint="eastAsia" w:ascii="Times New Roman" w:hAnsi="Times New Roman" w:eastAsia="仿宋_GB2312" w:cs="仿宋_GB2312"/>
          <w:color w:val="auto"/>
          <w:szCs w:val="24"/>
          <w:highlight w:val="none"/>
        </w:rPr>
        <w:t>.</w:t>
      </w:r>
      <w:r>
        <w:rPr>
          <w:rFonts w:hint="eastAsia" w:ascii="Times New Roman" w:hAnsi="Times New Roman" w:eastAsia="仿宋_GB2312" w:cs="仿宋_GB2312"/>
          <w:color w:val="auto"/>
          <w:szCs w:val="24"/>
          <w:highlight w:val="none"/>
          <w:lang w:eastAsia="zh-CN"/>
        </w:rPr>
        <w:t>投标人</w:t>
      </w:r>
      <w:r>
        <w:rPr>
          <w:rFonts w:hint="eastAsia" w:ascii="Times New Roman" w:hAnsi="Times New Roman" w:eastAsia="仿宋_GB2312" w:cs="仿宋_GB2312"/>
          <w:color w:val="auto"/>
          <w:szCs w:val="24"/>
          <w:highlight w:val="none"/>
        </w:rPr>
        <w:t>填表时应择一明确自己属于中型企业或小型企业或微型企业</w:t>
      </w:r>
      <w:r>
        <w:rPr>
          <w:rFonts w:hint="eastAsia" w:ascii="Times New Roman" w:hAnsi="Times New Roman" w:eastAsia="仿宋_GB2312" w:cs="仿宋_GB2312"/>
          <w:color w:val="auto"/>
          <w:szCs w:val="24"/>
          <w:highlight w:val="none"/>
          <w:lang w:eastAsia="zh-CN"/>
        </w:rPr>
        <w:t>。</w:t>
      </w:r>
    </w:p>
    <w:p w14:paraId="59A935D1">
      <w:pPr>
        <w:widowControl/>
        <w:jc w:val="center"/>
        <w:rPr>
          <w:rFonts w:hint="eastAsia" w:ascii="仿宋" w:hAnsi="仿宋" w:eastAsia="仿宋" w:cs="仿宋"/>
          <w:b/>
          <w:bCs/>
          <w:color w:val="auto"/>
          <w:sz w:val="28"/>
          <w:szCs w:val="32"/>
          <w:highlight w:val="none"/>
        </w:rPr>
      </w:pPr>
      <w:r>
        <w:rPr>
          <w:rFonts w:hint="eastAsia" w:ascii="仿宋" w:hAnsi="仿宋" w:eastAsia="仿宋" w:cs="仿宋"/>
          <w:b/>
          <w:bCs/>
          <w:color w:val="auto"/>
          <w:sz w:val="28"/>
          <w:szCs w:val="32"/>
          <w:highlight w:val="none"/>
        </w:rPr>
        <w:t>（2）残疾人福利性单位声明函（如是）</w:t>
      </w:r>
    </w:p>
    <w:p w14:paraId="543F3F75">
      <w:pPr>
        <w:rPr>
          <w:rFonts w:hint="eastAsia" w:ascii="仿宋" w:hAnsi="仿宋" w:eastAsia="仿宋" w:cs="仿宋"/>
          <w:color w:val="auto"/>
          <w:highlight w:val="none"/>
        </w:rPr>
      </w:pPr>
    </w:p>
    <w:p w14:paraId="1C7D5558">
      <w:pPr>
        <w:pStyle w:val="701"/>
        <w:keepNext w:val="0"/>
        <w:keepLines w:val="0"/>
        <w:pageBreakBefore w:val="0"/>
        <w:widowControl w:val="0"/>
        <w:kinsoku/>
        <w:wordWrap/>
        <w:overflowPunct/>
        <w:topLinePunct w:val="0"/>
        <w:autoSpaceDE/>
        <w:autoSpaceDN/>
        <w:bidi w:val="0"/>
        <w:adjustRightInd w:val="0"/>
        <w:snapToGrid w:val="0"/>
        <w:spacing w:line="480" w:lineRule="exact"/>
        <w:ind w:firstLine="480"/>
        <w:textAlignment w:val="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单位的________项目采购活动提供本单位制造的货物（由本单位承担工程、提供服务），或者提供其他残疾人福利性单位制造的货物（不包括使用非残疾人福利性单位注册商标的货物）。</w:t>
      </w:r>
    </w:p>
    <w:p w14:paraId="3B4F0B4E">
      <w:pPr>
        <w:pStyle w:val="701"/>
        <w:keepNext w:val="0"/>
        <w:keepLines w:val="0"/>
        <w:pageBreakBefore w:val="0"/>
        <w:widowControl w:val="0"/>
        <w:kinsoku/>
        <w:wordWrap/>
        <w:overflowPunct/>
        <w:topLinePunct w:val="0"/>
        <w:autoSpaceDE/>
        <w:autoSpaceDN/>
        <w:bidi w:val="0"/>
        <w:adjustRightInd w:val="0"/>
        <w:snapToGrid w:val="0"/>
        <w:spacing w:line="480" w:lineRule="exact"/>
        <w:ind w:firstLine="480"/>
        <w:textAlignment w:val="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本单位对上述声明的真实性负责。如有虚假，将依法承担相应责任。 </w:t>
      </w:r>
    </w:p>
    <w:p w14:paraId="71366B1E">
      <w:pPr>
        <w:rPr>
          <w:rFonts w:hint="eastAsia" w:ascii="仿宋" w:hAnsi="仿宋" w:eastAsia="仿宋" w:cs="仿宋"/>
          <w:color w:val="auto"/>
          <w:highlight w:val="none"/>
        </w:rPr>
      </w:pPr>
    </w:p>
    <w:p w14:paraId="2DEAFB88">
      <w:pPr>
        <w:spacing w:line="360" w:lineRule="auto"/>
        <w:ind w:firstLine="480" w:firstLineChars="200"/>
        <w:jc w:val="right"/>
        <w:rPr>
          <w:rFonts w:hint="eastAsia" w:ascii="仿宋" w:hAnsi="仿宋" w:eastAsia="仿宋" w:cs="仿宋"/>
          <w:color w:val="auto"/>
          <w:sz w:val="24"/>
          <w:highlight w:val="none"/>
        </w:rPr>
      </w:pPr>
    </w:p>
    <w:p w14:paraId="1C334DB0">
      <w:pPr>
        <w:spacing w:line="360" w:lineRule="auto"/>
        <w:ind w:firstLine="480" w:firstLineChars="200"/>
        <w:jc w:val="right"/>
        <w:rPr>
          <w:rFonts w:hint="eastAsia" w:ascii="仿宋" w:hAnsi="仿宋" w:eastAsia="仿宋" w:cs="仿宋"/>
          <w:color w:val="auto"/>
          <w:sz w:val="24"/>
          <w:highlight w:val="none"/>
        </w:rPr>
      </w:pPr>
    </w:p>
    <w:p w14:paraId="2F8508BB">
      <w:pPr>
        <w:spacing w:line="360" w:lineRule="auto"/>
        <w:ind w:firstLine="480" w:firstLineChars="200"/>
        <w:jc w:val="right"/>
        <w:rPr>
          <w:rFonts w:hint="eastAsia" w:ascii="仿宋" w:hAnsi="仿宋" w:eastAsia="仿宋" w:cs="仿宋"/>
          <w:color w:val="auto"/>
          <w:sz w:val="24"/>
          <w:highlight w:val="none"/>
        </w:rPr>
      </w:pPr>
    </w:p>
    <w:p w14:paraId="7FD653FA">
      <w:pPr>
        <w:spacing w:line="360" w:lineRule="auto"/>
        <w:rPr>
          <w:rFonts w:hint="eastAsia" w:ascii="仿宋" w:hAnsi="仿宋" w:eastAsia="仿宋" w:cs="仿宋"/>
          <w:color w:val="auto"/>
          <w:sz w:val="24"/>
          <w:highlight w:val="none"/>
        </w:rPr>
      </w:pPr>
    </w:p>
    <w:p w14:paraId="5643CA98">
      <w:pPr>
        <w:pStyle w:val="2"/>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lang w:eastAsia="zh-CN"/>
        </w:rPr>
        <w:t>或</w:t>
      </w:r>
      <w:r>
        <w:rPr>
          <w:rFonts w:hint="eastAsia" w:ascii="仿宋" w:hAnsi="仿宋" w:eastAsia="仿宋" w:cs="仿宋"/>
          <w:color w:val="auto"/>
          <w:sz w:val="24"/>
          <w:szCs w:val="24"/>
          <w:highlight w:val="none"/>
          <w:lang w:eastAsia="zh-CN"/>
        </w:rPr>
        <w:t>联合体牵头人</w:t>
      </w:r>
      <w:r>
        <w:rPr>
          <w:rFonts w:hint="eastAsia" w:ascii="仿宋" w:hAnsi="仿宋" w:eastAsia="仿宋" w:cs="仿宋"/>
          <w:color w:val="auto"/>
          <w:sz w:val="24"/>
          <w:szCs w:val="24"/>
          <w:highlight w:val="none"/>
        </w:rPr>
        <w:t>名</w:t>
      </w:r>
      <w:r>
        <w:rPr>
          <w:rFonts w:hint="eastAsia" w:ascii="仿宋" w:hAnsi="仿宋" w:eastAsia="仿宋" w:cs="仿宋"/>
          <w:color w:val="auto"/>
          <w:sz w:val="24"/>
          <w:szCs w:val="24"/>
          <w:highlight w:val="none"/>
        </w:rPr>
        <w:t>称(电子</w:t>
      </w:r>
      <w:r>
        <w:rPr>
          <w:rFonts w:hint="eastAsia" w:ascii="仿宋" w:hAnsi="仿宋" w:eastAsia="仿宋" w:cs="仿宋"/>
          <w:color w:val="auto"/>
          <w:sz w:val="24"/>
          <w:szCs w:val="24"/>
          <w:highlight w:val="none"/>
          <w:lang w:eastAsia="zh-CN"/>
        </w:rPr>
        <w:t>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1F0CCB51">
      <w:pPr>
        <w:spacing w:line="336"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法定代表人或委托代理人（电子签章）：</w:t>
      </w:r>
      <w:r>
        <w:rPr>
          <w:rFonts w:hint="eastAsia" w:ascii="仿宋" w:hAnsi="仿宋" w:eastAsia="仿宋" w:cs="仿宋"/>
          <w:color w:val="auto"/>
          <w:sz w:val="24"/>
          <w:highlight w:val="none"/>
          <w:u w:val="single"/>
        </w:rPr>
        <w:t xml:space="preserve">              </w:t>
      </w:r>
    </w:p>
    <w:p w14:paraId="610E03B7">
      <w:pPr>
        <w:spacing w:line="336"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kern w:val="0"/>
          <w:sz w:val="24"/>
          <w:highlight w:val="none"/>
          <w:u w:val="single"/>
        </w:rPr>
        <w:t xml:space="preserve">              </w:t>
      </w:r>
    </w:p>
    <w:p w14:paraId="4140D149">
      <w:pPr>
        <w:rPr>
          <w:rFonts w:hint="eastAsia" w:ascii="仿宋" w:hAnsi="仿宋" w:eastAsia="仿宋" w:cs="仿宋"/>
          <w:color w:val="auto"/>
          <w:highlight w:val="none"/>
        </w:rPr>
      </w:pPr>
    </w:p>
    <w:p w14:paraId="4763CA71">
      <w:pPr>
        <w:rPr>
          <w:rFonts w:hint="eastAsia" w:ascii="仿宋" w:hAnsi="仿宋" w:eastAsia="仿宋" w:cs="仿宋"/>
          <w:color w:val="auto"/>
          <w:highlight w:val="none"/>
        </w:rPr>
      </w:pPr>
    </w:p>
    <w:p w14:paraId="6C013516">
      <w:pPr>
        <w:pStyle w:val="5"/>
        <w:widowControl/>
        <w:numPr>
          <w:ilvl w:val="1"/>
          <w:numId w:val="0"/>
        </w:numPr>
        <w:tabs>
          <w:tab w:val="left" w:pos="1021"/>
          <w:tab w:val="clear" w:pos="432"/>
        </w:tabs>
        <w:spacing w:before="158" w:after="158" w:line="480" w:lineRule="exact"/>
        <w:ind w:left="840" w:hanging="420"/>
        <w:jc w:val="center"/>
        <w:rPr>
          <w:rFonts w:ascii="仿宋" w:hAnsi="仿宋" w:eastAsia="仿宋" w:cs="黑体"/>
          <w:color w:val="auto"/>
          <w:sz w:val="21"/>
          <w:szCs w:val="21"/>
          <w:highlight w:val="none"/>
        </w:rPr>
      </w:pPr>
      <w:r>
        <w:rPr>
          <w:rFonts w:hint="eastAsia" w:ascii="仿宋" w:hAnsi="仿宋" w:eastAsia="仿宋" w:cs="仿宋"/>
          <w:b/>
          <w:bCs/>
          <w:color w:val="auto"/>
          <w:sz w:val="28"/>
          <w:szCs w:val="32"/>
          <w:highlight w:val="none"/>
        </w:rPr>
        <w:br w:type="page"/>
      </w:r>
      <w:bookmarkStart w:id="413" w:name="_Toc507412336"/>
      <w:bookmarkStart w:id="414" w:name="_Toc507409073"/>
      <w:r>
        <w:rPr>
          <w:rFonts w:hint="eastAsia" w:ascii="仿宋" w:hAnsi="仿宋" w:eastAsia="仿宋" w:cs="黑体"/>
          <w:bCs w:val="0"/>
          <w:color w:val="auto"/>
          <w:spacing w:val="6"/>
          <w:sz w:val="24"/>
          <w:szCs w:val="24"/>
          <w:highlight w:val="none"/>
          <w:lang w:eastAsia="zh-CN"/>
        </w:rPr>
        <w:t>（</w:t>
      </w:r>
      <w:r>
        <w:rPr>
          <w:rFonts w:hint="eastAsia" w:ascii="仿宋" w:hAnsi="仿宋" w:eastAsia="仿宋" w:cs="黑体"/>
          <w:bCs w:val="0"/>
          <w:color w:val="auto"/>
          <w:spacing w:val="6"/>
          <w:sz w:val="24"/>
          <w:szCs w:val="24"/>
          <w:highlight w:val="none"/>
          <w:lang w:val="en-US" w:eastAsia="zh-CN"/>
        </w:rPr>
        <w:t>3</w:t>
      </w:r>
      <w:r>
        <w:rPr>
          <w:rFonts w:hint="eastAsia" w:ascii="仿宋" w:hAnsi="仿宋" w:eastAsia="仿宋" w:cs="黑体"/>
          <w:bCs w:val="0"/>
          <w:color w:val="auto"/>
          <w:spacing w:val="6"/>
          <w:sz w:val="24"/>
          <w:szCs w:val="24"/>
          <w:highlight w:val="none"/>
          <w:lang w:eastAsia="zh-CN"/>
        </w:rPr>
        <w:t>）</w:t>
      </w:r>
      <w:r>
        <w:rPr>
          <w:rFonts w:hint="eastAsia" w:ascii="仿宋" w:hAnsi="仿宋" w:eastAsia="仿宋" w:cs="黑体"/>
          <w:bCs w:val="0"/>
          <w:color w:val="auto"/>
          <w:spacing w:val="6"/>
          <w:sz w:val="24"/>
          <w:szCs w:val="24"/>
          <w:highlight w:val="none"/>
        </w:rPr>
        <w:t>监狱企业证明文件</w:t>
      </w:r>
      <w:bookmarkEnd w:id="413"/>
      <w:bookmarkEnd w:id="414"/>
      <w:r>
        <w:rPr>
          <w:rFonts w:hint="eastAsia" w:ascii="仿宋" w:hAnsi="仿宋" w:eastAsia="仿宋" w:cs="宋体"/>
          <w:color w:val="auto"/>
          <w:sz w:val="24"/>
          <w:szCs w:val="24"/>
          <w:highlight w:val="none"/>
        </w:rPr>
        <w:t>（如是）</w:t>
      </w:r>
    </w:p>
    <w:p w14:paraId="7DCE5CDD">
      <w:pPr>
        <w:widowControl/>
        <w:spacing w:before="158" w:after="158" w:line="480" w:lineRule="exact"/>
        <w:ind w:firstLine="504" w:firstLineChars="200"/>
        <w:jc w:val="left"/>
        <w:rPr>
          <w:rFonts w:ascii="仿宋" w:hAnsi="仿宋" w:eastAsia="仿宋" w:cs="宋体"/>
          <w:color w:val="auto"/>
          <w:sz w:val="24"/>
          <w:szCs w:val="24"/>
          <w:highlight w:val="none"/>
        </w:rPr>
      </w:pPr>
      <w:r>
        <w:rPr>
          <w:rFonts w:hint="eastAsia" w:ascii="仿宋" w:hAnsi="仿宋" w:eastAsia="仿宋" w:cs="黑体"/>
          <w:color w:val="auto"/>
          <w:spacing w:val="6"/>
          <w:kern w:val="0"/>
          <w:sz w:val="24"/>
          <w:szCs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4915D06">
      <w:pPr>
        <w:pStyle w:val="701"/>
        <w:ind w:firstLine="480"/>
        <w:rPr>
          <w:rFonts w:hint="eastAsia" w:ascii="仿宋" w:hAnsi="仿宋" w:eastAsia="仿宋" w:cs="仿宋"/>
          <w:color w:val="auto"/>
          <w:sz w:val="24"/>
          <w:highlight w:val="none"/>
          <w:lang w:bidi="ar"/>
        </w:rPr>
      </w:pPr>
    </w:p>
    <w:p w14:paraId="655D01F3">
      <w:pPr>
        <w:pStyle w:val="701"/>
        <w:ind w:firstLine="420"/>
        <w:rPr>
          <w:rFonts w:hint="eastAsia" w:ascii="仿宋" w:hAnsi="仿宋" w:eastAsia="仿宋" w:cs="仿宋"/>
          <w:color w:val="auto"/>
          <w:highlight w:val="none"/>
        </w:rPr>
      </w:pPr>
    </w:p>
    <w:p w14:paraId="0CB210B8">
      <w:pPr>
        <w:pStyle w:val="5"/>
        <w:numPr>
          <w:ilvl w:val="0"/>
          <w:numId w:val="16"/>
        </w:numPr>
        <w:spacing w:line="240" w:lineRule="auto"/>
        <w:jc w:val="center"/>
        <w:rPr>
          <w:rFonts w:hint="eastAsia" w:ascii="仿宋" w:hAnsi="仿宋" w:eastAsia="仿宋" w:cs="仿宋"/>
          <w:color w:val="auto"/>
          <w:sz w:val="28"/>
          <w:szCs w:val="28"/>
          <w:highlight w:val="none"/>
        </w:rPr>
      </w:pPr>
    </w:p>
    <w:p w14:paraId="1C8E2D56">
      <w:pPr>
        <w:pStyle w:val="5"/>
        <w:numPr>
          <w:ilvl w:val="0"/>
          <w:numId w:val="16"/>
        </w:numPr>
        <w:spacing w:line="240" w:lineRule="auto"/>
        <w:jc w:val="center"/>
        <w:rPr>
          <w:rFonts w:ascii="仿宋" w:hAnsi="仿宋" w:eastAsia="仿宋" w:cs="宋体"/>
          <w:color w:val="auto"/>
          <w:sz w:val="28"/>
          <w:szCs w:val="28"/>
          <w:highlight w:val="none"/>
        </w:rPr>
      </w:pPr>
    </w:p>
    <w:p w14:paraId="5D6FF27B">
      <w:pPr>
        <w:pStyle w:val="5"/>
        <w:numPr>
          <w:ilvl w:val="0"/>
          <w:numId w:val="16"/>
        </w:numPr>
        <w:spacing w:line="240" w:lineRule="auto"/>
        <w:jc w:val="center"/>
        <w:rPr>
          <w:rFonts w:ascii="仿宋" w:hAnsi="仿宋" w:eastAsia="仿宋" w:cs="宋体"/>
          <w:color w:val="auto"/>
          <w:sz w:val="28"/>
          <w:szCs w:val="28"/>
          <w:highlight w:val="none"/>
        </w:rPr>
      </w:pPr>
    </w:p>
    <w:p w14:paraId="4A4FF592">
      <w:pPr>
        <w:pStyle w:val="5"/>
        <w:numPr>
          <w:ilvl w:val="0"/>
          <w:numId w:val="16"/>
        </w:numPr>
        <w:spacing w:line="240" w:lineRule="auto"/>
        <w:jc w:val="center"/>
        <w:rPr>
          <w:rFonts w:ascii="仿宋" w:hAnsi="仿宋" w:eastAsia="仿宋" w:cs="宋体"/>
          <w:color w:val="auto"/>
          <w:sz w:val="28"/>
          <w:szCs w:val="28"/>
          <w:highlight w:val="none"/>
        </w:rPr>
      </w:pPr>
    </w:p>
    <w:p w14:paraId="152FEB8F">
      <w:pPr>
        <w:pStyle w:val="5"/>
        <w:numPr>
          <w:ilvl w:val="0"/>
          <w:numId w:val="16"/>
        </w:numPr>
        <w:spacing w:line="240" w:lineRule="auto"/>
        <w:jc w:val="center"/>
        <w:rPr>
          <w:rFonts w:ascii="仿宋" w:hAnsi="仿宋" w:eastAsia="仿宋" w:cs="宋体"/>
          <w:color w:val="auto"/>
          <w:sz w:val="28"/>
          <w:szCs w:val="28"/>
          <w:highlight w:val="none"/>
        </w:rPr>
      </w:pPr>
    </w:p>
    <w:p w14:paraId="6E8A1F22">
      <w:pPr>
        <w:pStyle w:val="5"/>
        <w:numPr>
          <w:ilvl w:val="0"/>
          <w:numId w:val="16"/>
        </w:numPr>
        <w:spacing w:line="240" w:lineRule="auto"/>
        <w:jc w:val="center"/>
        <w:rPr>
          <w:rFonts w:ascii="仿宋" w:hAnsi="仿宋" w:eastAsia="仿宋" w:cs="宋体"/>
          <w:color w:val="auto"/>
          <w:sz w:val="28"/>
          <w:szCs w:val="28"/>
          <w:highlight w:val="none"/>
        </w:rPr>
      </w:pPr>
    </w:p>
    <w:p w14:paraId="2CE967FF">
      <w:pPr>
        <w:pStyle w:val="5"/>
        <w:numPr>
          <w:ilvl w:val="0"/>
          <w:numId w:val="16"/>
        </w:numPr>
        <w:spacing w:line="240" w:lineRule="auto"/>
        <w:jc w:val="center"/>
        <w:rPr>
          <w:rFonts w:ascii="仿宋" w:hAnsi="仿宋" w:eastAsia="仿宋" w:cs="宋体"/>
          <w:color w:val="auto"/>
          <w:sz w:val="28"/>
          <w:szCs w:val="28"/>
          <w:highlight w:val="none"/>
        </w:rPr>
      </w:pPr>
    </w:p>
    <w:p w14:paraId="1C0DE9EC">
      <w:pPr>
        <w:pStyle w:val="5"/>
        <w:numPr>
          <w:ilvl w:val="0"/>
          <w:numId w:val="16"/>
        </w:numPr>
        <w:spacing w:line="240" w:lineRule="auto"/>
        <w:jc w:val="center"/>
        <w:rPr>
          <w:rFonts w:ascii="仿宋" w:hAnsi="仿宋" w:eastAsia="仿宋" w:cs="宋体"/>
          <w:color w:val="auto"/>
          <w:sz w:val="28"/>
          <w:szCs w:val="28"/>
          <w:highlight w:val="none"/>
        </w:rPr>
      </w:pPr>
    </w:p>
    <w:p w14:paraId="75934812">
      <w:pPr>
        <w:pStyle w:val="5"/>
        <w:numPr>
          <w:ilvl w:val="0"/>
          <w:numId w:val="16"/>
        </w:numPr>
        <w:spacing w:line="240" w:lineRule="auto"/>
        <w:jc w:val="center"/>
        <w:rPr>
          <w:rFonts w:ascii="仿宋" w:hAnsi="仿宋" w:eastAsia="仿宋" w:cs="宋体"/>
          <w:color w:val="auto"/>
          <w:sz w:val="28"/>
          <w:szCs w:val="28"/>
          <w:highlight w:val="none"/>
        </w:rPr>
      </w:pPr>
    </w:p>
    <w:p w14:paraId="2713A478">
      <w:pPr>
        <w:pStyle w:val="5"/>
        <w:numPr>
          <w:ilvl w:val="0"/>
          <w:numId w:val="16"/>
        </w:numPr>
        <w:spacing w:line="240" w:lineRule="auto"/>
        <w:jc w:val="center"/>
        <w:rPr>
          <w:rFonts w:ascii="仿宋" w:hAnsi="仿宋" w:eastAsia="仿宋" w:cs="宋体"/>
          <w:color w:val="auto"/>
          <w:sz w:val="28"/>
          <w:szCs w:val="28"/>
          <w:highlight w:val="none"/>
        </w:rPr>
      </w:pPr>
    </w:p>
    <w:p w14:paraId="469276DD">
      <w:pPr>
        <w:pStyle w:val="5"/>
        <w:numPr>
          <w:ilvl w:val="0"/>
          <w:numId w:val="16"/>
        </w:numPr>
        <w:spacing w:line="240" w:lineRule="auto"/>
        <w:jc w:val="center"/>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eastAsia="zh-CN"/>
        </w:rPr>
        <w:t>十一</w:t>
      </w:r>
      <w:r>
        <w:rPr>
          <w:rFonts w:hint="eastAsia" w:ascii="仿宋" w:hAnsi="仿宋" w:eastAsia="仿宋" w:cs="宋体"/>
          <w:color w:val="auto"/>
          <w:sz w:val="28"/>
          <w:szCs w:val="28"/>
          <w:highlight w:val="none"/>
        </w:rPr>
        <w:t>、其他资料</w:t>
      </w:r>
    </w:p>
    <w:p w14:paraId="432DE14B">
      <w:pPr>
        <w:spacing w:line="460" w:lineRule="exact"/>
        <w:ind w:firstLine="472" w:firstLineChars="200"/>
        <w:rPr>
          <w:rFonts w:ascii="仿宋" w:hAnsi="仿宋" w:eastAsia="仿宋" w:cs="宋体"/>
          <w:color w:val="auto"/>
          <w:spacing w:val="-2"/>
          <w:position w:val="-2"/>
          <w:sz w:val="24"/>
          <w:szCs w:val="24"/>
          <w:highlight w:val="none"/>
        </w:rPr>
      </w:pPr>
      <w:r>
        <w:rPr>
          <w:rFonts w:hint="eastAsia" w:ascii="仿宋" w:hAnsi="仿宋" w:eastAsia="仿宋" w:cs="宋体"/>
          <w:color w:val="auto"/>
          <w:spacing w:val="-2"/>
          <w:position w:val="-2"/>
          <w:sz w:val="24"/>
          <w:szCs w:val="24"/>
          <w:highlight w:val="none"/>
        </w:rPr>
        <w:t>招标文件要求或投标人认为应提交的其他资料。</w:t>
      </w:r>
    </w:p>
    <w:p w14:paraId="48B6936B">
      <w:pPr>
        <w:pStyle w:val="51"/>
        <w:widowControl w:val="0"/>
        <w:spacing w:before="0" w:beforeAutospacing="0" w:after="120" w:afterAutospacing="0"/>
        <w:jc w:val="both"/>
        <w:rPr>
          <w:color w:val="auto"/>
          <w:highlight w:val="none"/>
        </w:rPr>
      </w:pPr>
    </w:p>
    <w:p w14:paraId="286714DD">
      <w:pPr>
        <w:pStyle w:val="23"/>
        <w:rPr>
          <w:color w:val="auto"/>
          <w:highlight w:val="none"/>
        </w:rPr>
      </w:pPr>
    </w:p>
    <w:sectPr>
      <w:headerReference r:id="rId8" w:type="default"/>
      <w:footerReference r:id="rId9" w:type="default"/>
      <w:pgSz w:w="11906" w:h="16838"/>
      <w:pgMar w:top="1440" w:right="1133" w:bottom="1134" w:left="1418" w:header="851" w:footer="850"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PMingLiU">
    <w:panose1 w:val="02020500000000000000"/>
    <w:charset w:val="88"/>
    <w:family w:val="auto"/>
    <w:pitch w:val="default"/>
    <w:sig w:usb0="A00002FF" w:usb1="28CFFCFA" w:usb2="00000016" w:usb3="00000000" w:csb0="00100001" w:csb1="00000000"/>
  </w:font>
  <w:font w:name="Univers">
    <w:altName w:val="Arial"/>
    <w:panose1 w:val="00000000000000000000"/>
    <w:charset w:val="00"/>
    <w:family w:val="swiss"/>
    <w:pitch w:val="default"/>
    <w:sig w:usb0="00000000" w:usb1="00000000" w:usb2="00000000" w:usb3="00000000" w:csb0="0000000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等线 Light">
    <w:altName w:val="宋体"/>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Calibri Light">
    <w:panose1 w:val="020F0302020204030204"/>
    <w:charset w:val="00"/>
    <w:family w:val="swiss"/>
    <w:pitch w:val="default"/>
    <w:sig w:usb0="A00002EF" w:usb1="4000207B" w:usb2="00000000" w:usb3="00000000" w:csb0="2000019F" w:csb1="0000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Apple Color Emoji">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ヒラギノ角ゴ Pro W3">
    <w:altName w:val="MS Gothic"/>
    <w:panose1 w:val="00000000000000000000"/>
    <w:charset w:val="80"/>
    <w:family w:val="swiss"/>
    <w:pitch w:val="default"/>
    <w:sig w:usb0="00000000" w:usb1="00000000" w:usb2="00000010" w:usb3="00000000" w:csb0="00020000" w:csb1="00000000"/>
  </w:font>
  <w:font w:name="MS Gothic">
    <w:panose1 w:val="020B0609070205080204"/>
    <w:charset w:val="80"/>
    <w:family w:val="auto"/>
    <w:pitch w:val="default"/>
    <w:sig w:usb0="E00002FF" w:usb1="6AC7FDFB" w:usb2="00000012" w:usb3="00000000" w:csb0="4002009F" w:csb1="DFD70000"/>
  </w:font>
  <w:font w:name="Tahoma">
    <w:panose1 w:val="020B0604030504040204"/>
    <w:charset w:val="00"/>
    <w:family w:val="swiss"/>
    <w:pitch w:val="default"/>
    <w:sig w:usb0="E1002EFF" w:usb1="C000605B" w:usb2="00000029" w:usb3="00000000" w:csb0="200101FF" w:csb1="20280000"/>
  </w:font>
  <w:font w:name="MS Sans Serif">
    <w:altName w:val="Arial"/>
    <w:panose1 w:val="020B0500000000000000"/>
    <w:charset w:val="00"/>
    <w:family w:val="auto"/>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CG Times">
    <w:altName w:val="Times New Roman"/>
    <w:panose1 w:val="00000000000000000000"/>
    <w:charset w:val="00"/>
    <w:family w:val="roman"/>
    <w:pitch w:val="default"/>
    <w:sig w:usb0="00000000" w:usb1="00000000" w:usb2="00000000" w:usb3="00000000" w:csb0="00000093" w:csb1="00000000"/>
  </w:font>
  <w:font w:name="Microsoft JhengHei">
    <w:panose1 w:val="020B0604030504040204"/>
    <w:charset w:val="88"/>
    <w:family w:val="swiss"/>
    <w:pitch w:val="default"/>
    <w:sig w:usb0="00000087" w:usb1="28A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782F5">
    <w:pPr>
      <w:pStyle w:val="36"/>
      <w:pBdr>
        <w:top w:val="thinThickSmallGap" w:color="622423" w:themeColor="accent2" w:themeShade="7F" w:sz="24" w:space="1"/>
      </w:pBdr>
      <w:rPr>
        <w:rFonts w:ascii="仿宋" w:hAnsi="仿宋" w:eastAsia="仿宋"/>
        <w:sz w:val="20"/>
        <w:szCs w:val="20"/>
      </w:rPr>
    </w:pPr>
    <w:r>
      <w:rPr>
        <w:rFonts w:hint="eastAsia" w:ascii="仿宋" w:hAnsi="仿宋" w:eastAsia="仿宋"/>
        <w:sz w:val="20"/>
        <w:szCs w:val="20"/>
      </w:rPr>
      <w:t>公司地址：普洱市普洱大道盛景园二期3栋2单元203室              公司电话：0879-2158006</w:t>
    </w:r>
    <w:r>
      <w:rPr>
        <w:rFonts w:ascii="仿宋" w:hAnsi="仿宋" w:eastAsia="仿宋"/>
        <w:sz w:val="20"/>
        <w:szCs w:val="20"/>
      </w:rPr>
      <w:ptab w:relativeTo="margin" w:alignment="right" w:leader="none"/>
    </w:r>
  </w:p>
  <w:sdt>
    <w:sdtPr>
      <w:rPr>
        <w:rFonts w:ascii="仿宋" w:hAnsi="仿宋" w:eastAsia="仿宋"/>
        <w:kern w:val="0"/>
        <w:sz w:val="18"/>
        <w:szCs w:val="18"/>
      </w:rPr>
      <w:id w:val="9066365"/>
    </w:sdtPr>
    <w:sdtEndPr>
      <w:rPr>
        <w:rFonts w:ascii="仿宋" w:hAnsi="仿宋" w:eastAsia="仿宋"/>
        <w:kern w:val="0"/>
        <w:sz w:val="18"/>
        <w:szCs w:val="18"/>
      </w:rPr>
    </w:sdtEndPr>
    <w:sdtContent>
      <w:p w14:paraId="26C11F98">
        <w:pPr>
          <w:rPr>
            <w:rFonts w:ascii="仿宋" w:hAnsi="仿宋" w:eastAsia="仿宋"/>
          </w:rPr>
        </w:pPr>
      </w:p>
    </w:sdtContent>
  </w:sdt>
  <w:p w14:paraId="46D63B19">
    <w:pPr>
      <w:pStyle w:val="3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1A69F">
    <w:pPr>
      <w:pStyle w:val="36"/>
      <w:framePr w:wrap="around" w:vAnchor="text" w:hAnchor="margin" w:xAlign="center" w:y="1"/>
      <w:rPr>
        <w:rStyle w:val="60"/>
      </w:rPr>
    </w:pPr>
    <w:r>
      <w:rPr>
        <w:rStyle w:val="60"/>
      </w:rPr>
      <w:fldChar w:fldCharType="begin"/>
    </w:r>
    <w:r>
      <w:rPr>
        <w:rStyle w:val="60"/>
      </w:rPr>
      <w:instrText xml:space="preserve">PAGE  </w:instrText>
    </w:r>
    <w:r>
      <w:rPr>
        <w:rStyle w:val="60"/>
      </w:rPr>
      <w:fldChar w:fldCharType="separate"/>
    </w:r>
    <w:r>
      <w:rPr>
        <w:rStyle w:val="60"/>
      </w:rPr>
      <w:t>1</w:t>
    </w:r>
    <w:r>
      <w:rPr>
        <w:rStyle w:val="60"/>
      </w:rPr>
      <w:fldChar w:fldCharType="end"/>
    </w:r>
  </w:p>
  <w:p w14:paraId="2162D171">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24F18">
    <w:pPr>
      <w:pStyle w:val="36"/>
      <w:pBdr>
        <w:top w:val="thinThickSmallGap" w:color="622423" w:themeColor="accent2" w:themeShade="7F" w:sz="24" w:space="1"/>
      </w:pBdr>
      <w:rPr>
        <w:rFonts w:asciiTheme="majorHAnsi" w:hAnsiTheme="majorHAnsi"/>
      </w:rPr>
    </w:pPr>
    <w:r>
      <w:rPr>
        <w:rFonts w:hint="eastAsia" w:ascii="仿宋" w:hAnsi="仿宋" w:eastAsia="仿宋"/>
      </w:rPr>
      <w:t>公司地址：普洱市普洱大道盛景园二期3栋2单元203室                公司电话：0879-2158006</w:t>
    </w:r>
    <w:r>
      <w:rPr>
        <w:rFonts w:asciiTheme="majorHAnsi" w:hAnsiTheme="majorHAnsi"/>
      </w:rPr>
      <w:ptab w:relativeTo="margin" w:alignment="right" w:leader="none"/>
    </w:r>
  </w:p>
  <w:p w14:paraId="726CC5E0">
    <w:pPr>
      <w:pStyle w:val="3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681BD">
    <w:pPr>
      <w:pStyle w:val="36"/>
      <w:pBdr>
        <w:top w:val="thinThickSmallGap" w:color="622423" w:themeColor="accent2" w:themeShade="7F" w:sz="24" w:space="1"/>
      </w:pBdr>
      <w:rPr>
        <w:rFonts w:asciiTheme="majorHAnsi" w:hAnsiTheme="majorHAnsi"/>
      </w:rPr>
    </w:pPr>
    <w:r>
      <w:rPr>
        <w:sz w:val="20"/>
      </w:rPr>
      <mc:AlternateContent>
        <mc:Choice Requires="wps">
          <w:drawing>
            <wp:anchor distT="0" distB="0" distL="114300" distR="114300" simplePos="0" relativeHeight="251661312" behindDoc="0" locked="0" layoutInCell="1" allowOverlap="1">
              <wp:simplePos x="0" y="0"/>
              <wp:positionH relativeFrom="margin">
                <wp:posOffset>5609590</wp:posOffset>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113E7C">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41.7pt;margin-top:0pt;height:144pt;width:144pt;mso-position-horizontal-relative:margin;mso-wrap-style:none;z-index:251661312;mso-width-relative:page;mso-height-relative:page;" filled="f" stroked="f" coordsize="21600,21600" o:gfxdata="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OqnBiPVAAAACQEAAA8AAAAAAAAAAQAgAAAAIgAAAGRycy9kb3ducmV2LnhtbFBL&#10;AQIUABQAAAAIAIdO4kC6jDgrMgIAAGEEAAAOAAAAAAAAAAEAIAAAACQBAABkcnMvZTJvRG9jLnht&#10;bFBLBQYAAAAABgAGAFkBAADIBQAAAAA=&#10;">
              <v:fill on="f" focussize="0,0"/>
              <v:stroke on="f" weight="0.5pt"/>
              <v:imagedata o:title=""/>
              <o:lock v:ext="edit" aspectratio="f"/>
              <v:textbox inset="0mm,0mm,0mm,0mm" style="mso-fit-shape-to-text:t;">
                <w:txbxContent>
                  <w:p w14:paraId="29113E7C">
                    <w:pPr>
                      <w:pStyle w:val="3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仿宋" w:hAnsi="仿宋" w:eastAsia="仿宋"/>
        <w:sz w:val="20"/>
        <w:szCs w:val="20"/>
      </w:rPr>
      <w:t>公司地址：普洱市普洱大道盛景园二期3栋2单元203室              公司电话：0879-2158006</w:t>
    </w:r>
    <w:r>
      <w:rPr>
        <w:rFonts w:ascii="仿宋" w:hAnsi="仿宋" w:eastAsia="仿宋"/>
        <w:sz w:val="20"/>
        <w:szCs w:val="20"/>
      </w:rPr>
      <w:ptab w:relativeTo="margin" w:alignment="right" w:leader="none"/>
    </w: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C2E272A"/>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OIqTknRAQAAqwMAAA4AAAAAAAAAAQAgAAAAHgEAAGRy&#10;cy9lMm9Eb2MueG1sUEsFBgAAAAAGAAYAWQEAAGEFAAAAAA==&#10;">
              <v:fill on="f" focussize="0,0"/>
              <v:stroke on="f"/>
              <v:imagedata o:title=""/>
              <o:lock v:ext="edit" aspectratio="f"/>
              <v:textbox inset="0mm,0mm,0mm,0mm" style="mso-fit-shape-to-text:t;">
                <w:txbxContent>
                  <w:p w14:paraId="3C2E272A"/>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仿宋" w:hAnsi="仿宋" w:eastAsia="仿宋" w:cstheme="majorBidi"/>
        <w:sz w:val="21"/>
        <w:szCs w:val="21"/>
      </w:rPr>
      <w:alias w:val="标题"/>
      <w:id w:val="9066364"/>
      <w:placeholder>
        <w:docPart w:val="4265DE5D228C4E549D47D1A1A38EC39F"/>
      </w:placeholder>
      <w:dataBinding w:prefixMappings="xmlns:ns0='http://schemas.openxmlformats.org/package/2006/metadata/core-properties' xmlns:ns1='http://purl.org/dc/elements/1.1/'" w:xpath="/ns0:coreProperties[1]/ns1:title[1]" w:storeItemID="{6C3C8BC8-F283-45AE-878A-BAB7291924A1}"/>
      <w:text/>
    </w:sdtPr>
    <w:sdtEndPr>
      <w:rPr>
        <w:rFonts w:ascii="仿宋" w:hAnsi="仿宋" w:eastAsia="仿宋" w:cstheme="majorBidi"/>
        <w:sz w:val="21"/>
        <w:szCs w:val="21"/>
      </w:rPr>
    </w:sdtEndPr>
    <w:sdtContent>
      <w:p w14:paraId="3875D603">
        <w:pPr>
          <w:pStyle w:val="37"/>
          <w:pBdr>
            <w:bottom w:val="thickThinSmallGap" w:color="622423" w:themeColor="accent2" w:themeShade="7F" w:sz="24" w:space="1"/>
          </w:pBdr>
          <w:jc w:val="both"/>
          <w:rPr>
            <w:rFonts w:ascii="仿宋" w:hAnsi="仿宋" w:eastAsia="仿宋" w:cstheme="majorBidi"/>
            <w:sz w:val="21"/>
            <w:szCs w:val="21"/>
          </w:rPr>
        </w:pPr>
        <w:r>
          <w:rPr>
            <w:rFonts w:hint="eastAsia" w:ascii="仿宋" w:hAnsi="仿宋" w:eastAsia="仿宋" w:cstheme="majorBidi"/>
            <w:sz w:val="21"/>
            <w:szCs w:val="21"/>
            <w:lang w:eastAsia="zh-CN"/>
          </w:rPr>
          <w:t>履方致远         止于至善                                                        招标文件</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F99E9">
    <w:pPr>
      <w:pStyle w:val="37"/>
      <w:pBdr>
        <w:bottom w:val="thickThinSmallGap" w:color="622423" w:themeColor="accent2" w:themeShade="7F" w:sz="24" w:space="1"/>
      </w:pBdr>
      <w:jc w:val="left"/>
      <w:rPr>
        <w:rFonts w:ascii="仿宋" w:hAnsi="仿宋" w:eastAsia="仿宋" w:cstheme="majorBidi"/>
        <w:sz w:val="21"/>
        <w:szCs w:val="21"/>
      </w:rPr>
    </w:pPr>
    <w:sdt>
      <w:sdtPr>
        <w:rPr>
          <w:rFonts w:hint="eastAsia" w:ascii="仿宋" w:hAnsi="仿宋" w:eastAsia="仿宋" w:cstheme="majorBidi"/>
          <w:sz w:val="21"/>
          <w:szCs w:val="21"/>
        </w:rPr>
        <w:alias w:val="标题"/>
        <w:id w:val="9066366"/>
        <w:dataBinding w:prefixMappings="xmlns:ns0='http://schemas.openxmlformats.org/package/2006/metadata/core-properties' xmlns:ns1='http://purl.org/dc/elements/1.1/'" w:xpath="/ns0:coreProperties[1]/ns1:title[1]" w:storeItemID="{6C3C8BC8-F283-45AE-878A-BAB7291924A1}"/>
        <w:text/>
      </w:sdtPr>
      <w:sdtEndPr>
        <w:rPr>
          <w:rFonts w:hint="eastAsia" w:ascii="仿宋" w:hAnsi="仿宋" w:eastAsia="仿宋" w:cstheme="majorBidi"/>
          <w:sz w:val="21"/>
          <w:szCs w:val="21"/>
        </w:rPr>
      </w:sdtEndPr>
      <w:sdtContent>
        <w:r>
          <w:rPr>
            <w:rFonts w:hint="eastAsia" w:ascii="仿宋" w:hAnsi="仿宋" w:eastAsia="仿宋" w:cstheme="majorBidi"/>
            <w:sz w:val="21"/>
            <w:szCs w:val="21"/>
          </w:rPr>
          <w:t>履方致远         止于至善                                                        招标文件</w:t>
        </w:r>
      </w:sdtContent>
    </w:sdt>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999B2">
    <w:pPr>
      <w:pStyle w:val="37"/>
      <w:pBdr>
        <w:bottom w:val="thickThinSmallGap" w:color="622423" w:sz="24" w:space="1"/>
      </w:pBdr>
      <w:jc w:val="both"/>
      <w:rPr>
        <w:rFonts w:hint="eastAsia" w:ascii="仿宋" w:hAnsi="仿宋" w:eastAsia="仿宋" w:cs="仿宋"/>
        <w:sz w:val="21"/>
        <w:szCs w:val="21"/>
      </w:rPr>
    </w:pPr>
    <w:r>
      <w:rPr>
        <w:rFonts w:hint="eastAsia" w:ascii="仿宋" w:hAnsi="仿宋" w:eastAsia="仿宋" w:cs="仿宋"/>
        <w:sz w:val="21"/>
        <w:szCs w:val="21"/>
      </w:rPr>
      <w:t xml:space="preserve">履方致远     止于至善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              招标文件</w:t>
    </w:r>
  </w:p>
  <w:p w14:paraId="3735C14B">
    <w:pPr>
      <w:ind w:left="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2F8C8"/>
    <w:multiLevelType w:val="multilevel"/>
    <w:tmpl w:val="A9E2F8C8"/>
    <w:lvl w:ilvl="0" w:tentative="0">
      <w:start w:val="1"/>
      <w:numFmt w:val="none"/>
      <w:lvlText w:val=""/>
      <w:lvlJc w:val="left"/>
      <w:pPr>
        <w:tabs>
          <w:tab w:val="left" w:pos="432"/>
        </w:tabs>
        <w:ind w:left="432" w:hanging="432"/>
      </w:pPr>
      <w:rPr>
        <w:rFonts w:cs="Times New Roman"/>
      </w:rPr>
    </w:lvl>
    <w:lvl w:ilvl="1" w:tentative="0">
      <w:start w:val="1"/>
      <w:numFmt w:val="none"/>
      <w:lvlText w:val=" "/>
      <w:lvlJc w:val="left"/>
      <w:pPr>
        <w:tabs>
          <w:tab w:val="left" w:pos="576"/>
        </w:tabs>
        <w:ind w:left="576" w:hanging="576"/>
      </w:pPr>
      <w:rPr>
        <w:rFonts w:cs="Times New Roman"/>
      </w:rPr>
    </w:lvl>
    <w:lvl w:ilvl="2" w:tentative="0">
      <w:start w:val="1"/>
      <w:numFmt w:val="none"/>
      <w:lvlText w:val=""/>
      <w:lvlJc w:val="left"/>
      <w:pPr>
        <w:tabs>
          <w:tab w:val="left" w:pos="720"/>
        </w:tabs>
        <w:ind w:left="720" w:hanging="720"/>
      </w:pPr>
      <w:rPr>
        <w:rFonts w:cs="Times New Roman"/>
      </w:rPr>
    </w:lvl>
    <w:lvl w:ilvl="3" w:tentative="0">
      <w:start w:val="1"/>
      <w:numFmt w:val="none"/>
      <w:lvlText w:val="    "/>
      <w:lvlJc w:val="left"/>
      <w:pPr>
        <w:tabs>
          <w:tab w:val="left" w:pos="864"/>
        </w:tabs>
        <w:ind w:left="864" w:hanging="864"/>
      </w:pPr>
      <w:rPr>
        <w:rFonts w:cs="Times New Roman"/>
      </w:rPr>
    </w:lvl>
    <w:lvl w:ilvl="4" w:tentative="0">
      <w:start w:val="1"/>
      <w:numFmt w:val="none"/>
      <w:lvlText w:val="      "/>
      <w:lvlJc w:val="left"/>
      <w:pPr>
        <w:tabs>
          <w:tab w:val="left" w:pos="1008"/>
        </w:tabs>
        <w:ind w:left="1008" w:hanging="1008"/>
      </w:pPr>
      <w:rPr>
        <w:rFonts w:cs="Times New Roman"/>
      </w:rPr>
    </w:lvl>
    <w:lvl w:ilvl="5" w:tentative="0">
      <w:start w:val="1"/>
      <w:numFmt w:val="none"/>
      <w:lvlText w:val="           "/>
      <w:lvlJc w:val="left"/>
      <w:pPr>
        <w:tabs>
          <w:tab w:val="left" w:pos="1440"/>
        </w:tabs>
        <w:ind w:left="1152" w:hanging="1152"/>
      </w:pPr>
      <w:rPr>
        <w:rFonts w:cs="Times New Roman"/>
      </w:rPr>
    </w:lvl>
    <w:lvl w:ilvl="6" w:tentative="0">
      <w:start w:val="1"/>
      <w:numFmt w:val="decimal"/>
      <w:lvlText w:val="%1.%2.%3.%4.%5.%6.%7"/>
      <w:lvlJc w:val="left"/>
      <w:pPr>
        <w:tabs>
          <w:tab w:val="left" w:pos="2520"/>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abstractNum w:abstractNumId="1">
    <w:nsid w:val="CDD805EF"/>
    <w:multiLevelType w:val="singleLevel"/>
    <w:tmpl w:val="CDD805EF"/>
    <w:lvl w:ilvl="0" w:tentative="0">
      <w:start w:val="1"/>
      <w:numFmt w:val="decimal"/>
      <w:pStyle w:val="281"/>
      <w:suff w:val="nothing"/>
      <w:lvlText w:val="（%1）"/>
      <w:lvlJc w:val="left"/>
    </w:lvl>
  </w:abstractNum>
  <w:abstractNum w:abstractNumId="2">
    <w:nsid w:val="FFFFFF81"/>
    <w:multiLevelType w:val="singleLevel"/>
    <w:tmpl w:val="FFFFFF81"/>
    <w:lvl w:ilvl="0" w:tentative="0">
      <w:start w:val="1"/>
      <w:numFmt w:val="bullet"/>
      <w:pStyle w:val="15"/>
      <w:lvlText w:val=""/>
      <w:lvlJc w:val="left"/>
      <w:pPr>
        <w:tabs>
          <w:tab w:val="left" w:pos="1620"/>
        </w:tabs>
        <w:ind w:left="1620" w:leftChars="600" w:hanging="360" w:hangingChars="200"/>
      </w:pPr>
      <w:rPr>
        <w:rFonts w:hint="default" w:ascii="Wingdings" w:hAnsi="Wingdings"/>
      </w:rPr>
    </w:lvl>
  </w:abstractNum>
  <w:abstractNum w:abstractNumId="3">
    <w:nsid w:val="00000001"/>
    <w:multiLevelType w:val="multilevel"/>
    <w:tmpl w:val="00000001"/>
    <w:lvl w:ilvl="0" w:tentative="0">
      <w:start w:val="1"/>
      <w:numFmt w:val="lowerLetter"/>
      <w:pStyle w:val="282"/>
      <w:lvlText w:val="%1)"/>
      <w:lvlJc w:val="left"/>
      <w:pPr>
        <w:ind w:left="842" w:hanging="420"/>
      </w:pPr>
    </w:lvl>
    <w:lvl w:ilvl="1" w:tentative="0">
      <w:start w:val="1"/>
      <w:numFmt w:val="lowerLetter"/>
      <w:pStyle w:val="284"/>
      <w:lvlText w:val="%2)"/>
      <w:lvlJc w:val="left"/>
      <w:pPr>
        <w:ind w:left="1262" w:hanging="420"/>
      </w:pPr>
    </w:lvl>
    <w:lvl w:ilvl="2" w:tentative="0">
      <w:start w:val="1"/>
      <w:numFmt w:val="lowerRoman"/>
      <w:lvlText w:val="%3."/>
      <w:lvlJc w:val="right"/>
      <w:pPr>
        <w:ind w:left="1682" w:hanging="420"/>
      </w:pPr>
    </w:lvl>
    <w:lvl w:ilvl="3" w:tentative="0">
      <w:start w:val="1"/>
      <w:numFmt w:val="decimal"/>
      <w:pStyle w:val="283"/>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4">
    <w:nsid w:val="0000000B"/>
    <w:multiLevelType w:val="singleLevel"/>
    <w:tmpl w:val="0000000B"/>
    <w:lvl w:ilvl="0" w:tentative="0">
      <w:start w:val="2"/>
      <w:numFmt w:val="chineseCounting"/>
      <w:pStyle w:val="380"/>
      <w:suff w:val="nothing"/>
      <w:lvlText w:val="（%1）"/>
      <w:lvlJc w:val="left"/>
    </w:lvl>
  </w:abstractNum>
  <w:abstractNum w:abstractNumId="5">
    <w:nsid w:val="0000000F"/>
    <w:multiLevelType w:val="multilevel"/>
    <w:tmpl w:val="0000000F"/>
    <w:lvl w:ilvl="0" w:tentative="0">
      <w:start w:val="1"/>
      <w:numFmt w:val="none"/>
      <w:pStyle w:val="4"/>
      <w:lvlText w:val=""/>
      <w:lvlJc w:val="left"/>
      <w:pPr>
        <w:tabs>
          <w:tab w:val="left" w:pos="432"/>
        </w:tabs>
        <w:ind w:left="432" w:hanging="432"/>
      </w:pPr>
      <w:rPr>
        <w:rFonts w:hint="eastAsia" w:cs="Times New Roman"/>
      </w:rPr>
    </w:lvl>
    <w:lvl w:ilvl="1" w:tentative="0">
      <w:start w:val="1"/>
      <w:numFmt w:val="none"/>
      <w:lvlText w:val=" "/>
      <w:lvlJc w:val="left"/>
      <w:pPr>
        <w:tabs>
          <w:tab w:val="left" w:pos="576"/>
        </w:tabs>
        <w:ind w:left="576" w:hanging="576"/>
      </w:pPr>
      <w:rPr>
        <w:rFonts w:hint="eastAsia" w:cs="Times New Roman"/>
      </w:rPr>
    </w:lvl>
    <w:lvl w:ilvl="2" w:tentative="0">
      <w:start w:val="1"/>
      <w:numFmt w:val="none"/>
      <w:pStyle w:val="6"/>
      <w:lvlText w:val=""/>
      <w:lvlJc w:val="left"/>
      <w:pPr>
        <w:tabs>
          <w:tab w:val="left" w:pos="720"/>
        </w:tabs>
        <w:ind w:left="720" w:hanging="720"/>
      </w:pPr>
      <w:rPr>
        <w:rFonts w:hint="eastAsia" w:cs="Times New Roman"/>
      </w:rPr>
    </w:lvl>
    <w:lvl w:ilvl="3" w:tentative="0">
      <w:start w:val="1"/>
      <w:numFmt w:val="none"/>
      <w:lvlText w:val="    "/>
      <w:lvlJc w:val="left"/>
      <w:pPr>
        <w:tabs>
          <w:tab w:val="left" w:pos="864"/>
        </w:tabs>
        <w:ind w:left="864" w:hanging="864"/>
      </w:pPr>
      <w:rPr>
        <w:rFonts w:hint="eastAsia" w:cs="Times New Roman"/>
      </w:rPr>
    </w:lvl>
    <w:lvl w:ilvl="4" w:tentative="0">
      <w:start w:val="1"/>
      <w:numFmt w:val="none"/>
      <w:lvlText w:val="      "/>
      <w:lvlJc w:val="left"/>
      <w:pPr>
        <w:tabs>
          <w:tab w:val="left" w:pos="1008"/>
        </w:tabs>
        <w:ind w:left="1008" w:hanging="1008"/>
      </w:pPr>
      <w:rPr>
        <w:rFonts w:hint="eastAsia" w:cs="Times New Roman"/>
      </w:rPr>
    </w:lvl>
    <w:lvl w:ilvl="5" w:tentative="0">
      <w:start w:val="1"/>
      <w:numFmt w:val="none"/>
      <w:pStyle w:val="9"/>
      <w:lvlText w:val="           "/>
      <w:lvlJc w:val="left"/>
      <w:pPr>
        <w:tabs>
          <w:tab w:val="left" w:pos="1440"/>
        </w:tabs>
        <w:ind w:left="1152" w:hanging="1152"/>
      </w:pPr>
      <w:rPr>
        <w:rFonts w:hint="eastAsia" w:cs="Times New Roman"/>
      </w:rPr>
    </w:lvl>
    <w:lvl w:ilvl="6" w:tentative="0">
      <w:start w:val="1"/>
      <w:numFmt w:val="decimal"/>
      <w:pStyle w:val="10"/>
      <w:lvlText w:val="%1.%2.%3.%4.%5.%6.%7"/>
      <w:lvlJc w:val="left"/>
      <w:pPr>
        <w:tabs>
          <w:tab w:val="left" w:pos="2520"/>
        </w:tabs>
        <w:ind w:left="1296" w:hanging="1296"/>
      </w:pPr>
      <w:rPr>
        <w:rFonts w:hint="eastAsia" w:cs="Times New Roman"/>
      </w:rPr>
    </w:lvl>
    <w:lvl w:ilvl="7" w:tentative="0">
      <w:start w:val="1"/>
      <w:numFmt w:val="decimal"/>
      <w:pStyle w:val="11"/>
      <w:lvlText w:val="%1.%2.%3.%4.%5.%6.%7.%8"/>
      <w:lvlJc w:val="left"/>
      <w:pPr>
        <w:tabs>
          <w:tab w:val="left" w:pos="1440"/>
        </w:tabs>
        <w:ind w:left="1440" w:hanging="1440"/>
      </w:pPr>
      <w:rPr>
        <w:rFonts w:hint="eastAsia" w:cs="Times New Roman"/>
      </w:rPr>
    </w:lvl>
    <w:lvl w:ilvl="8" w:tentative="0">
      <w:start w:val="1"/>
      <w:numFmt w:val="decimal"/>
      <w:pStyle w:val="12"/>
      <w:lvlText w:val="%1.%2.%3.%4.%5.%6.%7.%8.%9"/>
      <w:lvlJc w:val="left"/>
      <w:pPr>
        <w:tabs>
          <w:tab w:val="left" w:pos="1584"/>
        </w:tabs>
        <w:ind w:left="1584" w:hanging="1584"/>
      </w:pPr>
      <w:rPr>
        <w:rFonts w:hint="eastAsia" w:cs="Times New Roman"/>
      </w:rPr>
    </w:lvl>
  </w:abstractNum>
  <w:abstractNum w:abstractNumId="6">
    <w:nsid w:val="0000008D"/>
    <w:multiLevelType w:val="multilevel"/>
    <w:tmpl w:val="0000008D"/>
    <w:lvl w:ilvl="0" w:tentative="0">
      <w:start w:val="4"/>
      <w:numFmt w:val="decimal"/>
      <w:lvlText w:val="4.%1"/>
      <w:lvlJc w:val="left"/>
    </w:lvl>
    <w:lvl w:ilvl="1" w:tentative="0">
      <w:start w:val="4"/>
      <w:numFmt w:val="decimal"/>
      <w:pStyle w:val="647"/>
      <w:lvlText w:val="4.4.%2"/>
      <w:lvlJc w:val="left"/>
    </w:lvl>
    <w:lvl w:ilvl="2" w:tentative="0">
      <w:start w:val="4"/>
      <w:numFmt w:val="decimal"/>
      <w:pStyle w:val="640"/>
      <w:lvlText w:val="4.4.%3"/>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7">
    <w:nsid w:val="000000A5"/>
    <w:multiLevelType w:val="multilevel"/>
    <w:tmpl w:val="000000A5"/>
    <w:lvl w:ilvl="0" w:tentative="0">
      <w:start w:val="1"/>
      <w:numFmt w:val="decimal"/>
      <w:pStyle w:val="643"/>
      <w:lvlText w:val="%1"/>
      <w:lvlJc w:val="left"/>
    </w:lvl>
    <w:lvl w:ilvl="1" w:tentative="0">
      <w:start w:val="1"/>
      <w:numFmt w:val="decimal"/>
      <w:lvlText w:val="%2"/>
      <w:lvlJc w:val="left"/>
    </w:lvl>
    <w:lvl w:ilvl="2" w:tentative="0">
      <w:start w:val="3"/>
      <w:numFmt w:val="decimal"/>
      <w:lvlText w:val="14.1.%3"/>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8">
    <w:nsid w:val="020AFFE4"/>
    <w:multiLevelType w:val="singleLevel"/>
    <w:tmpl w:val="020AFFE4"/>
    <w:lvl w:ilvl="0" w:tentative="0">
      <w:start w:val="1"/>
      <w:numFmt w:val="decimal"/>
      <w:suff w:val="nothing"/>
      <w:lvlText w:val="%1．"/>
      <w:lvlJc w:val="left"/>
    </w:lvl>
  </w:abstractNum>
  <w:abstractNum w:abstractNumId="9">
    <w:nsid w:val="27C9173D"/>
    <w:multiLevelType w:val="singleLevel"/>
    <w:tmpl w:val="27C9173D"/>
    <w:lvl w:ilvl="0" w:tentative="0">
      <w:start w:val="1"/>
      <w:numFmt w:val="bullet"/>
      <w:pStyle w:val="18"/>
      <w:lvlText w:val=""/>
      <w:lvlJc w:val="left"/>
      <w:pPr>
        <w:tabs>
          <w:tab w:val="left" w:pos="360"/>
        </w:tabs>
        <w:ind w:left="360" w:hanging="360"/>
      </w:pPr>
      <w:rPr>
        <w:rFonts w:hint="default" w:ascii="Wingdings" w:hAnsi="Wingdings"/>
      </w:rPr>
    </w:lvl>
  </w:abstractNum>
  <w:abstractNum w:abstractNumId="10">
    <w:nsid w:val="2DA0E1AB"/>
    <w:multiLevelType w:val="singleLevel"/>
    <w:tmpl w:val="2DA0E1AB"/>
    <w:lvl w:ilvl="0" w:tentative="0">
      <w:start w:val="1"/>
      <w:numFmt w:val="decimal"/>
      <w:pStyle w:val="645"/>
      <w:suff w:val="nothing"/>
      <w:lvlText w:val="（%1）"/>
      <w:lvlJc w:val="left"/>
    </w:lvl>
  </w:abstractNum>
  <w:abstractNum w:abstractNumId="11">
    <w:nsid w:val="32925A65"/>
    <w:multiLevelType w:val="multilevel"/>
    <w:tmpl w:val="32925A65"/>
    <w:lvl w:ilvl="0" w:tentative="0">
      <w:start w:val="1"/>
      <w:numFmt w:val="decimal"/>
      <w:pStyle w:val="169"/>
      <w:lvlText w:val="%1."/>
      <w:lvlJc w:val="left"/>
      <w:rPr>
        <w:rFonts w:hint="default" w:cs="Times New Roman"/>
      </w:rPr>
    </w:lvl>
    <w:lvl w:ilvl="1" w:tentative="0">
      <w:start w:val="1"/>
      <w:numFmt w:val="upperLetter"/>
      <w:lvlText w:val="%2."/>
      <w:lvlJc w:val="left"/>
      <w:pPr>
        <w:ind w:left="1260" w:hanging="360"/>
      </w:pPr>
      <w:rPr>
        <w:rFonts w:hint="default"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12">
    <w:nsid w:val="36D79F61"/>
    <w:multiLevelType w:val="singleLevel"/>
    <w:tmpl w:val="36D79F61"/>
    <w:lvl w:ilvl="0" w:tentative="0">
      <w:start w:val="3"/>
      <w:numFmt w:val="chineseCounting"/>
      <w:suff w:val="nothing"/>
      <w:lvlText w:val="%1、"/>
      <w:lvlJc w:val="left"/>
      <w:rPr>
        <w:rFonts w:hint="eastAsia"/>
      </w:rPr>
    </w:lvl>
  </w:abstractNum>
  <w:abstractNum w:abstractNumId="13">
    <w:nsid w:val="420C153B"/>
    <w:multiLevelType w:val="multilevel"/>
    <w:tmpl w:val="420C153B"/>
    <w:lvl w:ilvl="0" w:tentative="0">
      <w:start w:val="1"/>
      <w:numFmt w:val="decimal"/>
      <w:pStyle w:val="171"/>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14">
    <w:nsid w:val="468F28AE"/>
    <w:multiLevelType w:val="singleLevel"/>
    <w:tmpl w:val="468F28AE"/>
    <w:lvl w:ilvl="0" w:tentative="0">
      <w:start w:val="1"/>
      <w:numFmt w:val="decimal"/>
      <w:pStyle w:val="651"/>
      <w:suff w:val="nothing"/>
      <w:lvlText w:val="%1、"/>
      <w:lvlJc w:val="left"/>
    </w:lvl>
  </w:abstractNum>
  <w:abstractNum w:abstractNumId="15">
    <w:nsid w:val="52FD6DD2"/>
    <w:multiLevelType w:val="multilevel"/>
    <w:tmpl w:val="52FD6DD2"/>
    <w:lvl w:ilvl="0" w:tentative="0">
      <w:start w:val="1"/>
      <w:numFmt w:val="decimal"/>
      <w:lvlText w:val="[%1]."/>
      <w:lvlJc w:val="left"/>
      <w:pPr>
        <w:tabs>
          <w:tab w:val="left" w:pos="1157"/>
        </w:tabs>
        <w:ind w:left="1157" w:hanging="737"/>
      </w:pPr>
      <w:rPr>
        <w:rFonts w:hint="eastAsia"/>
        <w:b w:val="0"/>
        <w:spacing w:val="0"/>
        <w:w w:val="100"/>
        <w:position w:val="0"/>
        <w:sz w:val="24"/>
      </w:rPr>
    </w:lvl>
    <w:lvl w:ilvl="1" w:tentative="0">
      <w:start w:val="1"/>
      <w:numFmt w:val="bullet"/>
      <w:pStyle w:val="266"/>
      <w:lvlText w:val=""/>
      <w:lvlJc w:val="left"/>
      <w:pPr>
        <w:tabs>
          <w:tab w:val="left" w:pos="1260"/>
        </w:tabs>
        <w:ind w:left="1260" w:hanging="420"/>
      </w:pPr>
      <w:rPr>
        <w:rFonts w:hint="default" w:ascii="Wingdings" w:hAnsi="Wingdings"/>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5"/>
  </w:num>
  <w:num w:numId="2">
    <w:abstractNumId w:val="2"/>
  </w:num>
  <w:num w:numId="3">
    <w:abstractNumId w:val="9"/>
  </w:num>
  <w:num w:numId="4">
    <w:abstractNumId w:val="11"/>
  </w:num>
  <w:num w:numId="5">
    <w:abstractNumId w:val="13"/>
  </w:num>
  <w:num w:numId="6">
    <w:abstractNumId w:val="15"/>
  </w:num>
  <w:num w:numId="7">
    <w:abstractNumId w:val="1"/>
  </w:num>
  <w:num w:numId="8">
    <w:abstractNumId w:val="3"/>
  </w:num>
  <w:num w:numId="9">
    <w:abstractNumId w:val="4"/>
  </w:num>
  <w:num w:numId="10">
    <w:abstractNumId w:val="6"/>
  </w:num>
  <w:num w:numId="11">
    <w:abstractNumId w:val="7"/>
  </w:num>
  <w:num w:numId="12">
    <w:abstractNumId w:val="10"/>
  </w:num>
  <w:num w:numId="13">
    <w:abstractNumId w:val="14"/>
  </w:num>
  <w:num w:numId="14">
    <w:abstractNumId w:val="12"/>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rawingGridVerticalSpacing w:val="156"/>
  <w:displayHorizontalDrawingGridEvery w:val="0"/>
  <w:displayVerticalDrawingGridEvery w:val="2"/>
  <w:characterSpacingControl w:val="doNotCompress"/>
  <w:noLineBreaksAfter w:lang="zh-CN" w:val="$([{£¥·‘“〈《「『【〔〖〝﹙﹛﹝＄（．［｛￡￥"/>
  <w:noLineBreaksBefore w:lang="zh-CN" w:val="!%),.:;&gt;?]}¢¨°·ˇˉ―‖’”…‰′″›℃∶、。〃〉》」』】〕〗〞︶︺︾﹀﹄﹚﹜﹞！＂％＇），．：；？］｀｜｝～￠"/>
  <w:compat>
    <w:balanceSingleByteDoubleByteWidth/>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gwMGJkZGI0M2IzMDE2MTY1MjIwMGQ0YWViZThkMGYifQ=="/>
  </w:docVars>
  <w:rsids>
    <w:rsidRoot w:val="00AD54BC"/>
    <w:rsid w:val="00000075"/>
    <w:rsid w:val="00000FA0"/>
    <w:rsid w:val="00003339"/>
    <w:rsid w:val="00003413"/>
    <w:rsid w:val="00003B42"/>
    <w:rsid w:val="00004F32"/>
    <w:rsid w:val="00005D7B"/>
    <w:rsid w:val="00005DEB"/>
    <w:rsid w:val="0000620B"/>
    <w:rsid w:val="0000639B"/>
    <w:rsid w:val="00006C7F"/>
    <w:rsid w:val="00006EC7"/>
    <w:rsid w:val="00007125"/>
    <w:rsid w:val="000106B5"/>
    <w:rsid w:val="00010BE1"/>
    <w:rsid w:val="00010DA5"/>
    <w:rsid w:val="00010DDF"/>
    <w:rsid w:val="00011404"/>
    <w:rsid w:val="000136E8"/>
    <w:rsid w:val="00016A06"/>
    <w:rsid w:val="00017B31"/>
    <w:rsid w:val="00017DCA"/>
    <w:rsid w:val="0002022F"/>
    <w:rsid w:val="0002165C"/>
    <w:rsid w:val="0002233F"/>
    <w:rsid w:val="0002236D"/>
    <w:rsid w:val="0002315E"/>
    <w:rsid w:val="00023BF7"/>
    <w:rsid w:val="00024C7A"/>
    <w:rsid w:val="00033C09"/>
    <w:rsid w:val="000340E2"/>
    <w:rsid w:val="00034B0D"/>
    <w:rsid w:val="00034FCE"/>
    <w:rsid w:val="00036A36"/>
    <w:rsid w:val="00037070"/>
    <w:rsid w:val="00037328"/>
    <w:rsid w:val="000376A3"/>
    <w:rsid w:val="00037A12"/>
    <w:rsid w:val="00037A46"/>
    <w:rsid w:val="000400A7"/>
    <w:rsid w:val="00041655"/>
    <w:rsid w:val="000424EB"/>
    <w:rsid w:val="000438FE"/>
    <w:rsid w:val="0004395A"/>
    <w:rsid w:val="0004593A"/>
    <w:rsid w:val="000466C0"/>
    <w:rsid w:val="00050052"/>
    <w:rsid w:val="00050A80"/>
    <w:rsid w:val="000513B2"/>
    <w:rsid w:val="00051B5F"/>
    <w:rsid w:val="00051CED"/>
    <w:rsid w:val="00051E9B"/>
    <w:rsid w:val="00052F53"/>
    <w:rsid w:val="00052FFF"/>
    <w:rsid w:val="00055F27"/>
    <w:rsid w:val="0006022C"/>
    <w:rsid w:val="00061FD0"/>
    <w:rsid w:val="000630EF"/>
    <w:rsid w:val="00063A30"/>
    <w:rsid w:val="00063AB9"/>
    <w:rsid w:val="00063CBF"/>
    <w:rsid w:val="00064145"/>
    <w:rsid w:val="000641EF"/>
    <w:rsid w:val="000645B9"/>
    <w:rsid w:val="000670FF"/>
    <w:rsid w:val="000675B5"/>
    <w:rsid w:val="00067707"/>
    <w:rsid w:val="00067710"/>
    <w:rsid w:val="0007057B"/>
    <w:rsid w:val="000705FE"/>
    <w:rsid w:val="0007266A"/>
    <w:rsid w:val="00073912"/>
    <w:rsid w:val="00075D08"/>
    <w:rsid w:val="00077A61"/>
    <w:rsid w:val="00077E88"/>
    <w:rsid w:val="00080D45"/>
    <w:rsid w:val="00081EF8"/>
    <w:rsid w:val="000825DC"/>
    <w:rsid w:val="00082642"/>
    <w:rsid w:val="00082CB3"/>
    <w:rsid w:val="000844A3"/>
    <w:rsid w:val="00084BF9"/>
    <w:rsid w:val="00085182"/>
    <w:rsid w:val="00085CEA"/>
    <w:rsid w:val="00087C07"/>
    <w:rsid w:val="00090B56"/>
    <w:rsid w:val="000911A6"/>
    <w:rsid w:val="000916E2"/>
    <w:rsid w:val="000929E7"/>
    <w:rsid w:val="00093F5D"/>
    <w:rsid w:val="00094043"/>
    <w:rsid w:val="00095747"/>
    <w:rsid w:val="00096697"/>
    <w:rsid w:val="00096DC2"/>
    <w:rsid w:val="000A0166"/>
    <w:rsid w:val="000A1380"/>
    <w:rsid w:val="000A1689"/>
    <w:rsid w:val="000A2407"/>
    <w:rsid w:val="000A2E52"/>
    <w:rsid w:val="000A32F3"/>
    <w:rsid w:val="000A438B"/>
    <w:rsid w:val="000A480B"/>
    <w:rsid w:val="000A4B5B"/>
    <w:rsid w:val="000A4E37"/>
    <w:rsid w:val="000A4F27"/>
    <w:rsid w:val="000A4FFE"/>
    <w:rsid w:val="000A5D6C"/>
    <w:rsid w:val="000A6B68"/>
    <w:rsid w:val="000A6C26"/>
    <w:rsid w:val="000A6F0D"/>
    <w:rsid w:val="000B1322"/>
    <w:rsid w:val="000B1EFF"/>
    <w:rsid w:val="000B269F"/>
    <w:rsid w:val="000B3FFA"/>
    <w:rsid w:val="000B5A73"/>
    <w:rsid w:val="000B60F6"/>
    <w:rsid w:val="000B7224"/>
    <w:rsid w:val="000C024B"/>
    <w:rsid w:val="000C0305"/>
    <w:rsid w:val="000C18A5"/>
    <w:rsid w:val="000C274B"/>
    <w:rsid w:val="000C2976"/>
    <w:rsid w:val="000C29BA"/>
    <w:rsid w:val="000C35CB"/>
    <w:rsid w:val="000C37D6"/>
    <w:rsid w:val="000C3D2B"/>
    <w:rsid w:val="000C3EDE"/>
    <w:rsid w:val="000C427B"/>
    <w:rsid w:val="000C4B63"/>
    <w:rsid w:val="000C4E45"/>
    <w:rsid w:val="000C53F6"/>
    <w:rsid w:val="000C5445"/>
    <w:rsid w:val="000C6225"/>
    <w:rsid w:val="000C6ACB"/>
    <w:rsid w:val="000C7033"/>
    <w:rsid w:val="000D0647"/>
    <w:rsid w:val="000D0731"/>
    <w:rsid w:val="000D27E6"/>
    <w:rsid w:val="000D2CFC"/>
    <w:rsid w:val="000D3266"/>
    <w:rsid w:val="000D32F7"/>
    <w:rsid w:val="000D3E77"/>
    <w:rsid w:val="000D5467"/>
    <w:rsid w:val="000D5731"/>
    <w:rsid w:val="000D6104"/>
    <w:rsid w:val="000D6750"/>
    <w:rsid w:val="000D7664"/>
    <w:rsid w:val="000D7DBC"/>
    <w:rsid w:val="000E1390"/>
    <w:rsid w:val="000E1785"/>
    <w:rsid w:val="000E2C7E"/>
    <w:rsid w:val="000E3647"/>
    <w:rsid w:val="000E38D0"/>
    <w:rsid w:val="000E3FC3"/>
    <w:rsid w:val="000E41BB"/>
    <w:rsid w:val="000E44BF"/>
    <w:rsid w:val="000E55A3"/>
    <w:rsid w:val="000E59AF"/>
    <w:rsid w:val="000E5B46"/>
    <w:rsid w:val="000E6E33"/>
    <w:rsid w:val="000E6F36"/>
    <w:rsid w:val="000E72A1"/>
    <w:rsid w:val="000E7354"/>
    <w:rsid w:val="000F26A8"/>
    <w:rsid w:val="000F29E5"/>
    <w:rsid w:val="000F29FF"/>
    <w:rsid w:val="000F30E3"/>
    <w:rsid w:val="000F3466"/>
    <w:rsid w:val="000F444E"/>
    <w:rsid w:val="000F5455"/>
    <w:rsid w:val="000F5F96"/>
    <w:rsid w:val="000F60A8"/>
    <w:rsid w:val="000F6D37"/>
    <w:rsid w:val="000F7651"/>
    <w:rsid w:val="000F7EEB"/>
    <w:rsid w:val="00100C35"/>
    <w:rsid w:val="0010212A"/>
    <w:rsid w:val="00104586"/>
    <w:rsid w:val="00106033"/>
    <w:rsid w:val="001062B4"/>
    <w:rsid w:val="00106641"/>
    <w:rsid w:val="00106CE9"/>
    <w:rsid w:val="0010740B"/>
    <w:rsid w:val="00107926"/>
    <w:rsid w:val="0011099A"/>
    <w:rsid w:val="00110D69"/>
    <w:rsid w:val="0011113F"/>
    <w:rsid w:val="00111E9C"/>
    <w:rsid w:val="001122B2"/>
    <w:rsid w:val="001127CA"/>
    <w:rsid w:val="00112FC2"/>
    <w:rsid w:val="0011335F"/>
    <w:rsid w:val="00113AB1"/>
    <w:rsid w:val="00115465"/>
    <w:rsid w:val="00117208"/>
    <w:rsid w:val="001212E3"/>
    <w:rsid w:val="00121480"/>
    <w:rsid w:val="00121ECD"/>
    <w:rsid w:val="00122400"/>
    <w:rsid w:val="001230D2"/>
    <w:rsid w:val="001231D1"/>
    <w:rsid w:val="00123D1E"/>
    <w:rsid w:val="00123FC6"/>
    <w:rsid w:val="00125153"/>
    <w:rsid w:val="00126569"/>
    <w:rsid w:val="00126709"/>
    <w:rsid w:val="00126727"/>
    <w:rsid w:val="0012693B"/>
    <w:rsid w:val="00126ABC"/>
    <w:rsid w:val="001270DA"/>
    <w:rsid w:val="00127AB7"/>
    <w:rsid w:val="00127D50"/>
    <w:rsid w:val="00131695"/>
    <w:rsid w:val="00131DA1"/>
    <w:rsid w:val="00132878"/>
    <w:rsid w:val="001329C1"/>
    <w:rsid w:val="00134168"/>
    <w:rsid w:val="00135C3E"/>
    <w:rsid w:val="00135EFA"/>
    <w:rsid w:val="0013629A"/>
    <w:rsid w:val="001368FF"/>
    <w:rsid w:val="00137351"/>
    <w:rsid w:val="0013743A"/>
    <w:rsid w:val="00137890"/>
    <w:rsid w:val="00137936"/>
    <w:rsid w:val="00140A0C"/>
    <w:rsid w:val="001412C4"/>
    <w:rsid w:val="00141780"/>
    <w:rsid w:val="001422B5"/>
    <w:rsid w:val="00143E62"/>
    <w:rsid w:val="00144ED8"/>
    <w:rsid w:val="00145A1C"/>
    <w:rsid w:val="00145F57"/>
    <w:rsid w:val="00146101"/>
    <w:rsid w:val="00146F62"/>
    <w:rsid w:val="001476C6"/>
    <w:rsid w:val="001502E6"/>
    <w:rsid w:val="00150F78"/>
    <w:rsid w:val="00151882"/>
    <w:rsid w:val="0015282B"/>
    <w:rsid w:val="00152B20"/>
    <w:rsid w:val="001537FA"/>
    <w:rsid w:val="00153BDA"/>
    <w:rsid w:val="00155841"/>
    <w:rsid w:val="00155CA4"/>
    <w:rsid w:val="00156533"/>
    <w:rsid w:val="0015719E"/>
    <w:rsid w:val="0015730A"/>
    <w:rsid w:val="001577B9"/>
    <w:rsid w:val="00157D99"/>
    <w:rsid w:val="0016000F"/>
    <w:rsid w:val="00160214"/>
    <w:rsid w:val="0016022B"/>
    <w:rsid w:val="0016104B"/>
    <w:rsid w:val="00161B69"/>
    <w:rsid w:val="001631B0"/>
    <w:rsid w:val="00163F51"/>
    <w:rsid w:val="0016554E"/>
    <w:rsid w:val="00165A5D"/>
    <w:rsid w:val="0016791C"/>
    <w:rsid w:val="00167ECB"/>
    <w:rsid w:val="001706F7"/>
    <w:rsid w:val="001711DB"/>
    <w:rsid w:val="00171409"/>
    <w:rsid w:val="00171A0F"/>
    <w:rsid w:val="00172663"/>
    <w:rsid w:val="00174D33"/>
    <w:rsid w:val="00174F30"/>
    <w:rsid w:val="00175DB3"/>
    <w:rsid w:val="0017667A"/>
    <w:rsid w:val="0017699A"/>
    <w:rsid w:val="00177F82"/>
    <w:rsid w:val="0018202D"/>
    <w:rsid w:val="001828CB"/>
    <w:rsid w:val="0018299B"/>
    <w:rsid w:val="00183355"/>
    <w:rsid w:val="00183FA9"/>
    <w:rsid w:val="001845A5"/>
    <w:rsid w:val="00184AA4"/>
    <w:rsid w:val="001851D9"/>
    <w:rsid w:val="00185E0A"/>
    <w:rsid w:val="0018716F"/>
    <w:rsid w:val="0018749C"/>
    <w:rsid w:val="00187E8E"/>
    <w:rsid w:val="0019008A"/>
    <w:rsid w:val="00191476"/>
    <w:rsid w:val="00191A9E"/>
    <w:rsid w:val="00191F05"/>
    <w:rsid w:val="00195118"/>
    <w:rsid w:val="001958C4"/>
    <w:rsid w:val="00195A4A"/>
    <w:rsid w:val="00195E6A"/>
    <w:rsid w:val="00196131"/>
    <w:rsid w:val="00196EE3"/>
    <w:rsid w:val="00196FD0"/>
    <w:rsid w:val="00197D0E"/>
    <w:rsid w:val="00197DAC"/>
    <w:rsid w:val="001A02E7"/>
    <w:rsid w:val="001A05E7"/>
    <w:rsid w:val="001A09A2"/>
    <w:rsid w:val="001A17FE"/>
    <w:rsid w:val="001A1A0B"/>
    <w:rsid w:val="001A1ED4"/>
    <w:rsid w:val="001A23E5"/>
    <w:rsid w:val="001A2670"/>
    <w:rsid w:val="001A2978"/>
    <w:rsid w:val="001A3169"/>
    <w:rsid w:val="001A3EE1"/>
    <w:rsid w:val="001A40B1"/>
    <w:rsid w:val="001A5270"/>
    <w:rsid w:val="001A555D"/>
    <w:rsid w:val="001A7DB1"/>
    <w:rsid w:val="001B0105"/>
    <w:rsid w:val="001B141A"/>
    <w:rsid w:val="001B1784"/>
    <w:rsid w:val="001B17E1"/>
    <w:rsid w:val="001B2805"/>
    <w:rsid w:val="001B29D1"/>
    <w:rsid w:val="001B3ACE"/>
    <w:rsid w:val="001B51DB"/>
    <w:rsid w:val="001B5566"/>
    <w:rsid w:val="001B5A61"/>
    <w:rsid w:val="001B5C49"/>
    <w:rsid w:val="001B615E"/>
    <w:rsid w:val="001B6747"/>
    <w:rsid w:val="001B6D65"/>
    <w:rsid w:val="001B761F"/>
    <w:rsid w:val="001B77E9"/>
    <w:rsid w:val="001B796A"/>
    <w:rsid w:val="001B7B88"/>
    <w:rsid w:val="001C04A9"/>
    <w:rsid w:val="001C09F5"/>
    <w:rsid w:val="001C0F7D"/>
    <w:rsid w:val="001C293D"/>
    <w:rsid w:val="001C31F0"/>
    <w:rsid w:val="001C36B3"/>
    <w:rsid w:val="001C39A6"/>
    <w:rsid w:val="001C45E8"/>
    <w:rsid w:val="001C4F1D"/>
    <w:rsid w:val="001C5D6D"/>
    <w:rsid w:val="001C7129"/>
    <w:rsid w:val="001D1178"/>
    <w:rsid w:val="001D144D"/>
    <w:rsid w:val="001D4403"/>
    <w:rsid w:val="001D4520"/>
    <w:rsid w:val="001D52CE"/>
    <w:rsid w:val="001D5974"/>
    <w:rsid w:val="001D5C99"/>
    <w:rsid w:val="001D70B9"/>
    <w:rsid w:val="001D77CF"/>
    <w:rsid w:val="001D7FE8"/>
    <w:rsid w:val="001E1502"/>
    <w:rsid w:val="001E3AAB"/>
    <w:rsid w:val="001E3B55"/>
    <w:rsid w:val="001E441B"/>
    <w:rsid w:val="001E4691"/>
    <w:rsid w:val="001E5458"/>
    <w:rsid w:val="001E6643"/>
    <w:rsid w:val="001E70AA"/>
    <w:rsid w:val="001F020D"/>
    <w:rsid w:val="001F1B0C"/>
    <w:rsid w:val="001F1C9B"/>
    <w:rsid w:val="001F1F90"/>
    <w:rsid w:val="001F3586"/>
    <w:rsid w:val="001F3DBD"/>
    <w:rsid w:val="001F73F0"/>
    <w:rsid w:val="001F76A2"/>
    <w:rsid w:val="001F78BE"/>
    <w:rsid w:val="001F7EB5"/>
    <w:rsid w:val="0020025B"/>
    <w:rsid w:val="00200E92"/>
    <w:rsid w:val="00201D89"/>
    <w:rsid w:val="00202102"/>
    <w:rsid w:val="002026F8"/>
    <w:rsid w:val="00202865"/>
    <w:rsid w:val="00205967"/>
    <w:rsid w:val="00207583"/>
    <w:rsid w:val="00207F4C"/>
    <w:rsid w:val="002100BF"/>
    <w:rsid w:val="00211608"/>
    <w:rsid w:val="00212A87"/>
    <w:rsid w:val="0021359B"/>
    <w:rsid w:val="00214B96"/>
    <w:rsid w:val="00215E2A"/>
    <w:rsid w:val="002170C4"/>
    <w:rsid w:val="002176D7"/>
    <w:rsid w:val="00220600"/>
    <w:rsid w:val="00221793"/>
    <w:rsid w:val="00222BF0"/>
    <w:rsid w:val="002231F3"/>
    <w:rsid w:val="0022400C"/>
    <w:rsid w:val="002252E7"/>
    <w:rsid w:val="00225630"/>
    <w:rsid w:val="00225DE1"/>
    <w:rsid w:val="00226FF5"/>
    <w:rsid w:val="002303F7"/>
    <w:rsid w:val="0023048D"/>
    <w:rsid w:val="00231721"/>
    <w:rsid w:val="00233021"/>
    <w:rsid w:val="00233543"/>
    <w:rsid w:val="00233D6C"/>
    <w:rsid w:val="00234598"/>
    <w:rsid w:val="0023528F"/>
    <w:rsid w:val="00235548"/>
    <w:rsid w:val="00235E08"/>
    <w:rsid w:val="00235EF5"/>
    <w:rsid w:val="002367EE"/>
    <w:rsid w:val="00236C9A"/>
    <w:rsid w:val="002375CF"/>
    <w:rsid w:val="0024220C"/>
    <w:rsid w:val="00242F21"/>
    <w:rsid w:val="002438B6"/>
    <w:rsid w:val="002457CA"/>
    <w:rsid w:val="0024580B"/>
    <w:rsid w:val="00245DB3"/>
    <w:rsid w:val="00247EA9"/>
    <w:rsid w:val="002502F4"/>
    <w:rsid w:val="0025039F"/>
    <w:rsid w:val="002507C9"/>
    <w:rsid w:val="00250862"/>
    <w:rsid w:val="00253544"/>
    <w:rsid w:val="00253F9D"/>
    <w:rsid w:val="00255B0F"/>
    <w:rsid w:val="00255B14"/>
    <w:rsid w:val="0025628A"/>
    <w:rsid w:val="00257E69"/>
    <w:rsid w:val="00260FC8"/>
    <w:rsid w:val="002632DC"/>
    <w:rsid w:val="0026426E"/>
    <w:rsid w:val="002646B7"/>
    <w:rsid w:val="00265CED"/>
    <w:rsid w:val="00265D5B"/>
    <w:rsid w:val="002660DD"/>
    <w:rsid w:val="0026681C"/>
    <w:rsid w:val="002674C8"/>
    <w:rsid w:val="002674EF"/>
    <w:rsid w:val="00267E34"/>
    <w:rsid w:val="0027069A"/>
    <w:rsid w:val="002729C9"/>
    <w:rsid w:val="00272D99"/>
    <w:rsid w:val="00274064"/>
    <w:rsid w:val="00276B2F"/>
    <w:rsid w:val="00276B5A"/>
    <w:rsid w:val="00277C22"/>
    <w:rsid w:val="002804B4"/>
    <w:rsid w:val="0028090A"/>
    <w:rsid w:val="00280BDD"/>
    <w:rsid w:val="00281049"/>
    <w:rsid w:val="0028174F"/>
    <w:rsid w:val="002819C7"/>
    <w:rsid w:val="00281A9D"/>
    <w:rsid w:val="00282FC1"/>
    <w:rsid w:val="00283B8A"/>
    <w:rsid w:val="002856B1"/>
    <w:rsid w:val="0028579D"/>
    <w:rsid w:val="00285F49"/>
    <w:rsid w:val="002867F4"/>
    <w:rsid w:val="00286B1A"/>
    <w:rsid w:val="00287C46"/>
    <w:rsid w:val="002901DC"/>
    <w:rsid w:val="00290DC0"/>
    <w:rsid w:val="00291942"/>
    <w:rsid w:val="002924C6"/>
    <w:rsid w:val="00294FCD"/>
    <w:rsid w:val="00295535"/>
    <w:rsid w:val="00295B07"/>
    <w:rsid w:val="00295E01"/>
    <w:rsid w:val="002A0245"/>
    <w:rsid w:val="002A1384"/>
    <w:rsid w:val="002A2A7F"/>
    <w:rsid w:val="002A354C"/>
    <w:rsid w:val="002A3A7D"/>
    <w:rsid w:val="002A3DE5"/>
    <w:rsid w:val="002A4545"/>
    <w:rsid w:val="002A5230"/>
    <w:rsid w:val="002A5C0F"/>
    <w:rsid w:val="002A6F12"/>
    <w:rsid w:val="002A70B5"/>
    <w:rsid w:val="002B0605"/>
    <w:rsid w:val="002B17AE"/>
    <w:rsid w:val="002B347C"/>
    <w:rsid w:val="002B3CA3"/>
    <w:rsid w:val="002B4495"/>
    <w:rsid w:val="002B4B0C"/>
    <w:rsid w:val="002B4FFC"/>
    <w:rsid w:val="002B56CB"/>
    <w:rsid w:val="002B5A88"/>
    <w:rsid w:val="002B6520"/>
    <w:rsid w:val="002B71A6"/>
    <w:rsid w:val="002C080A"/>
    <w:rsid w:val="002C14F7"/>
    <w:rsid w:val="002C20EC"/>
    <w:rsid w:val="002C45A8"/>
    <w:rsid w:val="002C4ACD"/>
    <w:rsid w:val="002C5C24"/>
    <w:rsid w:val="002C5F66"/>
    <w:rsid w:val="002C6451"/>
    <w:rsid w:val="002C705C"/>
    <w:rsid w:val="002C7258"/>
    <w:rsid w:val="002D12C5"/>
    <w:rsid w:val="002D18BD"/>
    <w:rsid w:val="002D2140"/>
    <w:rsid w:val="002D28C7"/>
    <w:rsid w:val="002D2BB8"/>
    <w:rsid w:val="002D30E1"/>
    <w:rsid w:val="002D46B8"/>
    <w:rsid w:val="002D515C"/>
    <w:rsid w:val="002D5BE4"/>
    <w:rsid w:val="002D7451"/>
    <w:rsid w:val="002D7B59"/>
    <w:rsid w:val="002E0737"/>
    <w:rsid w:val="002E0B03"/>
    <w:rsid w:val="002E158B"/>
    <w:rsid w:val="002E2B04"/>
    <w:rsid w:val="002E402C"/>
    <w:rsid w:val="002E471C"/>
    <w:rsid w:val="002E4DF1"/>
    <w:rsid w:val="002E4E43"/>
    <w:rsid w:val="002E6F59"/>
    <w:rsid w:val="002F04F0"/>
    <w:rsid w:val="002F06EB"/>
    <w:rsid w:val="002F18AE"/>
    <w:rsid w:val="002F2F61"/>
    <w:rsid w:val="002F390A"/>
    <w:rsid w:val="002F3E83"/>
    <w:rsid w:val="002F3F30"/>
    <w:rsid w:val="002F5155"/>
    <w:rsid w:val="002F56D7"/>
    <w:rsid w:val="002F6098"/>
    <w:rsid w:val="00300B3A"/>
    <w:rsid w:val="00302375"/>
    <w:rsid w:val="0030368C"/>
    <w:rsid w:val="00304E88"/>
    <w:rsid w:val="00305D7B"/>
    <w:rsid w:val="00305E58"/>
    <w:rsid w:val="00307C7A"/>
    <w:rsid w:val="00307E1C"/>
    <w:rsid w:val="0031064F"/>
    <w:rsid w:val="00312E2A"/>
    <w:rsid w:val="00313B02"/>
    <w:rsid w:val="00313CB3"/>
    <w:rsid w:val="0031432E"/>
    <w:rsid w:val="003146FF"/>
    <w:rsid w:val="00315EA0"/>
    <w:rsid w:val="0031651C"/>
    <w:rsid w:val="00316908"/>
    <w:rsid w:val="00316B5D"/>
    <w:rsid w:val="00316BAC"/>
    <w:rsid w:val="0031707A"/>
    <w:rsid w:val="00320207"/>
    <w:rsid w:val="0032059D"/>
    <w:rsid w:val="00321553"/>
    <w:rsid w:val="00321EA1"/>
    <w:rsid w:val="00322060"/>
    <w:rsid w:val="0032299E"/>
    <w:rsid w:val="003229D5"/>
    <w:rsid w:val="00322A72"/>
    <w:rsid w:val="00322B6F"/>
    <w:rsid w:val="003236E2"/>
    <w:rsid w:val="00323720"/>
    <w:rsid w:val="00323E5F"/>
    <w:rsid w:val="00324540"/>
    <w:rsid w:val="00324924"/>
    <w:rsid w:val="00324E8E"/>
    <w:rsid w:val="003257A7"/>
    <w:rsid w:val="00325E43"/>
    <w:rsid w:val="00326DE7"/>
    <w:rsid w:val="00327BBB"/>
    <w:rsid w:val="00330083"/>
    <w:rsid w:val="00331764"/>
    <w:rsid w:val="003325F3"/>
    <w:rsid w:val="00333625"/>
    <w:rsid w:val="00333F4F"/>
    <w:rsid w:val="0033472D"/>
    <w:rsid w:val="003347FC"/>
    <w:rsid w:val="0033584B"/>
    <w:rsid w:val="0033790B"/>
    <w:rsid w:val="003401F4"/>
    <w:rsid w:val="00340AC1"/>
    <w:rsid w:val="00340C45"/>
    <w:rsid w:val="003411AD"/>
    <w:rsid w:val="0034128E"/>
    <w:rsid w:val="00342009"/>
    <w:rsid w:val="00342230"/>
    <w:rsid w:val="0034238B"/>
    <w:rsid w:val="00342520"/>
    <w:rsid w:val="00344002"/>
    <w:rsid w:val="0034498C"/>
    <w:rsid w:val="00344AB6"/>
    <w:rsid w:val="003453FE"/>
    <w:rsid w:val="0034597A"/>
    <w:rsid w:val="003459C6"/>
    <w:rsid w:val="0034704A"/>
    <w:rsid w:val="0034742A"/>
    <w:rsid w:val="0035084A"/>
    <w:rsid w:val="00351229"/>
    <w:rsid w:val="00351511"/>
    <w:rsid w:val="00352344"/>
    <w:rsid w:val="00353197"/>
    <w:rsid w:val="00353AA0"/>
    <w:rsid w:val="00354097"/>
    <w:rsid w:val="00354C35"/>
    <w:rsid w:val="003554A2"/>
    <w:rsid w:val="003566D6"/>
    <w:rsid w:val="003571BE"/>
    <w:rsid w:val="003579C8"/>
    <w:rsid w:val="003604FB"/>
    <w:rsid w:val="00360F65"/>
    <w:rsid w:val="003624C2"/>
    <w:rsid w:val="003639E2"/>
    <w:rsid w:val="00364E14"/>
    <w:rsid w:val="00365306"/>
    <w:rsid w:val="0036535E"/>
    <w:rsid w:val="0036640A"/>
    <w:rsid w:val="003665BC"/>
    <w:rsid w:val="003706A6"/>
    <w:rsid w:val="0037171E"/>
    <w:rsid w:val="003724E4"/>
    <w:rsid w:val="00374371"/>
    <w:rsid w:val="003758CE"/>
    <w:rsid w:val="00377905"/>
    <w:rsid w:val="00380112"/>
    <w:rsid w:val="003804E8"/>
    <w:rsid w:val="0038067D"/>
    <w:rsid w:val="003811BE"/>
    <w:rsid w:val="00381D2C"/>
    <w:rsid w:val="00382A5B"/>
    <w:rsid w:val="003838D9"/>
    <w:rsid w:val="00385495"/>
    <w:rsid w:val="00385653"/>
    <w:rsid w:val="00386819"/>
    <w:rsid w:val="00386C15"/>
    <w:rsid w:val="00387433"/>
    <w:rsid w:val="00387996"/>
    <w:rsid w:val="00387CB7"/>
    <w:rsid w:val="003908E1"/>
    <w:rsid w:val="00390D27"/>
    <w:rsid w:val="00393225"/>
    <w:rsid w:val="00393A50"/>
    <w:rsid w:val="00394DB5"/>
    <w:rsid w:val="00395A2B"/>
    <w:rsid w:val="003960B2"/>
    <w:rsid w:val="003967DB"/>
    <w:rsid w:val="003A3556"/>
    <w:rsid w:val="003A4893"/>
    <w:rsid w:val="003A59D8"/>
    <w:rsid w:val="003A5C3A"/>
    <w:rsid w:val="003A7394"/>
    <w:rsid w:val="003A7435"/>
    <w:rsid w:val="003B1273"/>
    <w:rsid w:val="003B163A"/>
    <w:rsid w:val="003B17E0"/>
    <w:rsid w:val="003B1B42"/>
    <w:rsid w:val="003B22D8"/>
    <w:rsid w:val="003B3965"/>
    <w:rsid w:val="003B6354"/>
    <w:rsid w:val="003B6C4D"/>
    <w:rsid w:val="003B7809"/>
    <w:rsid w:val="003C01B6"/>
    <w:rsid w:val="003C15A2"/>
    <w:rsid w:val="003C4A1D"/>
    <w:rsid w:val="003C4B51"/>
    <w:rsid w:val="003C4DA8"/>
    <w:rsid w:val="003C5056"/>
    <w:rsid w:val="003C709F"/>
    <w:rsid w:val="003D06C0"/>
    <w:rsid w:val="003D0D8B"/>
    <w:rsid w:val="003D0F5A"/>
    <w:rsid w:val="003D1906"/>
    <w:rsid w:val="003D31A6"/>
    <w:rsid w:val="003D344B"/>
    <w:rsid w:val="003D3545"/>
    <w:rsid w:val="003D3D05"/>
    <w:rsid w:val="003D426E"/>
    <w:rsid w:val="003D59F1"/>
    <w:rsid w:val="003D6315"/>
    <w:rsid w:val="003D7A37"/>
    <w:rsid w:val="003E00D8"/>
    <w:rsid w:val="003E0AB4"/>
    <w:rsid w:val="003E1FE8"/>
    <w:rsid w:val="003E20A6"/>
    <w:rsid w:val="003E2E56"/>
    <w:rsid w:val="003E37C1"/>
    <w:rsid w:val="003E3A7D"/>
    <w:rsid w:val="003E3C9D"/>
    <w:rsid w:val="003E5B30"/>
    <w:rsid w:val="003E5E76"/>
    <w:rsid w:val="003E711C"/>
    <w:rsid w:val="003E78B3"/>
    <w:rsid w:val="003F0010"/>
    <w:rsid w:val="003F0BEA"/>
    <w:rsid w:val="003F0EB5"/>
    <w:rsid w:val="003F2980"/>
    <w:rsid w:val="003F31E4"/>
    <w:rsid w:val="003F3CD0"/>
    <w:rsid w:val="003F5641"/>
    <w:rsid w:val="003F6A94"/>
    <w:rsid w:val="003F7307"/>
    <w:rsid w:val="003F7A48"/>
    <w:rsid w:val="003F7B80"/>
    <w:rsid w:val="003F7CD2"/>
    <w:rsid w:val="004017BE"/>
    <w:rsid w:val="004030AD"/>
    <w:rsid w:val="004042AB"/>
    <w:rsid w:val="004048BA"/>
    <w:rsid w:val="00404CEF"/>
    <w:rsid w:val="0040796A"/>
    <w:rsid w:val="00407B6F"/>
    <w:rsid w:val="004121AD"/>
    <w:rsid w:val="00412C61"/>
    <w:rsid w:val="004130DF"/>
    <w:rsid w:val="00414B85"/>
    <w:rsid w:val="00415F1C"/>
    <w:rsid w:val="00416A94"/>
    <w:rsid w:val="004177AA"/>
    <w:rsid w:val="00417AF1"/>
    <w:rsid w:val="00417CDB"/>
    <w:rsid w:val="00421715"/>
    <w:rsid w:val="00421E61"/>
    <w:rsid w:val="00421FDA"/>
    <w:rsid w:val="00422F04"/>
    <w:rsid w:val="00427493"/>
    <w:rsid w:val="00427B25"/>
    <w:rsid w:val="00430575"/>
    <w:rsid w:val="00430B1D"/>
    <w:rsid w:val="004316D0"/>
    <w:rsid w:val="00432D97"/>
    <w:rsid w:val="00432EDC"/>
    <w:rsid w:val="004333EE"/>
    <w:rsid w:val="00435366"/>
    <w:rsid w:val="004357C8"/>
    <w:rsid w:val="004361D1"/>
    <w:rsid w:val="0043669D"/>
    <w:rsid w:val="00436B98"/>
    <w:rsid w:val="00436BA8"/>
    <w:rsid w:val="00437791"/>
    <w:rsid w:val="00437845"/>
    <w:rsid w:val="0044137E"/>
    <w:rsid w:val="00441A7B"/>
    <w:rsid w:val="004420B5"/>
    <w:rsid w:val="00442B7B"/>
    <w:rsid w:val="00444311"/>
    <w:rsid w:val="00445A33"/>
    <w:rsid w:val="00445ED0"/>
    <w:rsid w:val="004463F7"/>
    <w:rsid w:val="004464ED"/>
    <w:rsid w:val="00446682"/>
    <w:rsid w:val="00446A87"/>
    <w:rsid w:val="004479DE"/>
    <w:rsid w:val="00447B2C"/>
    <w:rsid w:val="00450E17"/>
    <w:rsid w:val="00454DB6"/>
    <w:rsid w:val="00454E37"/>
    <w:rsid w:val="0045539D"/>
    <w:rsid w:val="00456B5B"/>
    <w:rsid w:val="004601CF"/>
    <w:rsid w:val="0046063C"/>
    <w:rsid w:val="00462FED"/>
    <w:rsid w:val="0046304F"/>
    <w:rsid w:val="004639A4"/>
    <w:rsid w:val="00464C5B"/>
    <w:rsid w:val="00464C75"/>
    <w:rsid w:val="00465115"/>
    <w:rsid w:val="00466844"/>
    <w:rsid w:val="0047053A"/>
    <w:rsid w:val="004717F0"/>
    <w:rsid w:val="00471BEE"/>
    <w:rsid w:val="004723D2"/>
    <w:rsid w:val="0047324C"/>
    <w:rsid w:val="004732FE"/>
    <w:rsid w:val="00473757"/>
    <w:rsid w:val="00473A3B"/>
    <w:rsid w:val="00474112"/>
    <w:rsid w:val="00474648"/>
    <w:rsid w:val="00474C20"/>
    <w:rsid w:val="00476279"/>
    <w:rsid w:val="004770B1"/>
    <w:rsid w:val="00477332"/>
    <w:rsid w:val="00477DDF"/>
    <w:rsid w:val="00480275"/>
    <w:rsid w:val="00481029"/>
    <w:rsid w:val="00481355"/>
    <w:rsid w:val="00481CD4"/>
    <w:rsid w:val="004825E1"/>
    <w:rsid w:val="00482C15"/>
    <w:rsid w:val="00483380"/>
    <w:rsid w:val="00483E1F"/>
    <w:rsid w:val="00483EEA"/>
    <w:rsid w:val="004841CE"/>
    <w:rsid w:val="00485602"/>
    <w:rsid w:val="00485B36"/>
    <w:rsid w:val="004865B4"/>
    <w:rsid w:val="0048687A"/>
    <w:rsid w:val="00486884"/>
    <w:rsid w:val="004871E2"/>
    <w:rsid w:val="00487B47"/>
    <w:rsid w:val="004905DC"/>
    <w:rsid w:val="004924D4"/>
    <w:rsid w:val="00493BA9"/>
    <w:rsid w:val="00494DA6"/>
    <w:rsid w:val="00494DD7"/>
    <w:rsid w:val="00494E0E"/>
    <w:rsid w:val="00495A6D"/>
    <w:rsid w:val="00495A72"/>
    <w:rsid w:val="00497429"/>
    <w:rsid w:val="004978BE"/>
    <w:rsid w:val="004A054A"/>
    <w:rsid w:val="004A0CBE"/>
    <w:rsid w:val="004A11BF"/>
    <w:rsid w:val="004A1A54"/>
    <w:rsid w:val="004A22E9"/>
    <w:rsid w:val="004A2BB6"/>
    <w:rsid w:val="004A2CD6"/>
    <w:rsid w:val="004A2CF9"/>
    <w:rsid w:val="004A2E34"/>
    <w:rsid w:val="004A340E"/>
    <w:rsid w:val="004A508A"/>
    <w:rsid w:val="004A51FF"/>
    <w:rsid w:val="004A5A23"/>
    <w:rsid w:val="004A5E1C"/>
    <w:rsid w:val="004A5E74"/>
    <w:rsid w:val="004A614C"/>
    <w:rsid w:val="004A62AA"/>
    <w:rsid w:val="004B0356"/>
    <w:rsid w:val="004B05F9"/>
    <w:rsid w:val="004B0A04"/>
    <w:rsid w:val="004B0B1D"/>
    <w:rsid w:val="004B0E14"/>
    <w:rsid w:val="004B24BD"/>
    <w:rsid w:val="004B32FD"/>
    <w:rsid w:val="004B38AF"/>
    <w:rsid w:val="004B3903"/>
    <w:rsid w:val="004B4D8A"/>
    <w:rsid w:val="004B4E84"/>
    <w:rsid w:val="004B5514"/>
    <w:rsid w:val="004B6A5F"/>
    <w:rsid w:val="004B6C6B"/>
    <w:rsid w:val="004B6F4B"/>
    <w:rsid w:val="004C07A0"/>
    <w:rsid w:val="004C07D5"/>
    <w:rsid w:val="004C0C90"/>
    <w:rsid w:val="004C339A"/>
    <w:rsid w:val="004C33F9"/>
    <w:rsid w:val="004C3A84"/>
    <w:rsid w:val="004C440B"/>
    <w:rsid w:val="004C6A64"/>
    <w:rsid w:val="004C7268"/>
    <w:rsid w:val="004C75A2"/>
    <w:rsid w:val="004C7BEC"/>
    <w:rsid w:val="004C7C1F"/>
    <w:rsid w:val="004D000C"/>
    <w:rsid w:val="004D0180"/>
    <w:rsid w:val="004D117F"/>
    <w:rsid w:val="004D1B08"/>
    <w:rsid w:val="004D22F1"/>
    <w:rsid w:val="004D2C22"/>
    <w:rsid w:val="004D2D0E"/>
    <w:rsid w:val="004D3D31"/>
    <w:rsid w:val="004D4CC0"/>
    <w:rsid w:val="004D51BD"/>
    <w:rsid w:val="004D5346"/>
    <w:rsid w:val="004D5680"/>
    <w:rsid w:val="004D609E"/>
    <w:rsid w:val="004D66D0"/>
    <w:rsid w:val="004D7080"/>
    <w:rsid w:val="004D7872"/>
    <w:rsid w:val="004E03AB"/>
    <w:rsid w:val="004E0C1A"/>
    <w:rsid w:val="004E13F9"/>
    <w:rsid w:val="004E1A5C"/>
    <w:rsid w:val="004E2403"/>
    <w:rsid w:val="004E2699"/>
    <w:rsid w:val="004E4786"/>
    <w:rsid w:val="004E47D3"/>
    <w:rsid w:val="004E48DE"/>
    <w:rsid w:val="004E5ABB"/>
    <w:rsid w:val="004E6717"/>
    <w:rsid w:val="004E6E34"/>
    <w:rsid w:val="004F1830"/>
    <w:rsid w:val="004F1BF1"/>
    <w:rsid w:val="004F2369"/>
    <w:rsid w:val="004F2539"/>
    <w:rsid w:val="004F39D5"/>
    <w:rsid w:val="004F4424"/>
    <w:rsid w:val="004F4449"/>
    <w:rsid w:val="004F4CAA"/>
    <w:rsid w:val="004F4DA8"/>
    <w:rsid w:val="004F73CF"/>
    <w:rsid w:val="005004B7"/>
    <w:rsid w:val="00501AC8"/>
    <w:rsid w:val="00501DAB"/>
    <w:rsid w:val="00501E37"/>
    <w:rsid w:val="005020F1"/>
    <w:rsid w:val="005026BD"/>
    <w:rsid w:val="005028DB"/>
    <w:rsid w:val="00502946"/>
    <w:rsid w:val="00502AC7"/>
    <w:rsid w:val="00502CCD"/>
    <w:rsid w:val="00502D7E"/>
    <w:rsid w:val="005037F9"/>
    <w:rsid w:val="00503917"/>
    <w:rsid w:val="005048BC"/>
    <w:rsid w:val="00504CC6"/>
    <w:rsid w:val="0050592F"/>
    <w:rsid w:val="0050650F"/>
    <w:rsid w:val="00507091"/>
    <w:rsid w:val="005070D3"/>
    <w:rsid w:val="005071CE"/>
    <w:rsid w:val="0050764F"/>
    <w:rsid w:val="00507E0A"/>
    <w:rsid w:val="005112FD"/>
    <w:rsid w:val="005117E0"/>
    <w:rsid w:val="005118FD"/>
    <w:rsid w:val="005121AA"/>
    <w:rsid w:val="00512570"/>
    <w:rsid w:val="0051292E"/>
    <w:rsid w:val="00513223"/>
    <w:rsid w:val="00516164"/>
    <w:rsid w:val="00516B23"/>
    <w:rsid w:val="00517C2A"/>
    <w:rsid w:val="005201D0"/>
    <w:rsid w:val="005222CC"/>
    <w:rsid w:val="005222DB"/>
    <w:rsid w:val="00522BC2"/>
    <w:rsid w:val="00522E46"/>
    <w:rsid w:val="005230EB"/>
    <w:rsid w:val="00523689"/>
    <w:rsid w:val="00523776"/>
    <w:rsid w:val="00523C9A"/>
    <w:rsid w:val="00530363"/>
    <w:rsid w:val="00530402"/>
    <w:rsid w:val="005311CC"/>
    <w:rsid w:val="00531900"/>
    <w:rsid w:val="00531BB2"/>
    <w:rsid w:val="0053297A"/>
    <w:rsid w:val="005336E5"/>
    <w:rsid w:val="00534A84"/>
    <w:rsid w:val="00534B0C"/>
    <w:rsid w:val="00534BF9"/>
    <w:rsid w:val="00540193"/>
    <w:rsid w:val="0054109A"/>
    <w:rsid w:val="00541726"/>
    <w:rsid w:val="00541A95"/>
    <w:rsid w:val="00542A36"/>
    <w:rsid w:val="00543108"/>
    <w:rsid w:val="005439AF"/>
    <w:rsid w:val="00544936"/>
    <w:rsid w:val="0054594C"/>
    <w:rsid w:val="00546631"/>
    <w:rsid w:val="005467A3"/>
    <w:rsid w:val="00547DCC"/>
    <w:rsid w:val="00547E3C"/>
    <w:rsid w:val="00550393"/>
    <w:rsid w:val="0055183B"/>
    <w:rsid w:val="00551A34"/>
    <w:rsid w:val="00551A95"/>
    <w:rsid w:val="00552BF0"/>
    <w:rsid w:val="00553A25"/>
    <w:rsid w:val="00554AF1"/>
    <w:rsid w:val="00554BC8"/>
    <w:rsid w:val="00555290"/>
    <w:rsid w:val="00555F96"/>
    <w:rsid w:val="00556FA6"/>
    <w:rsid w:val="005575FF"/>
    <w:rsid w:val="00560A17"/>
    <w:rsid w:val="0056414B"/>
    <w:rsid w:val="00564F9E"/>
    <w:rsid w:val="00565D70"/>
    <w:rsid w:val="00565F21"/>
    <w:rsid w:val="00566C4F"/>
    <w:rsid w:val="0056700B"/>
    <w:rsid w:val="0056793C"/>
    <w:rsid w:val="00567A3A"/>
    <w:rsid w:val="00567D09"/>
    <w:rsid w:val="00570982"/>
    <w:rsid w:val="005721E5"/>
    <w:rsid w:val="0057225F"/>
    <w:rsid w:val="005762EE"/>
    <w:rsid w:val="005766EB"/>
    <w:rsid w:val="0057673B"/>
    <w:rsid w:val="0057699B"/>
    <w:rsid w:val="00577D14"/>
    <w:rsid w:val="005803D3"/>
    <w:rsid w:val="00581AFC"/>
    <w:rsid w:val="00583003"/>
    <w:rsid w:val="00583199"/>
    <w:rsid w:val="00586295"/>
    <w:rsid w:val="005904EB"/>
    <w:rsid w:val="0059271F"/>
    <w:rsid w:val="00592C06"/>
    <w:rsid w:val="0059547C"/>
    <w:rsid w:val="005956B5"/>
    <w:rsid w:val="0059647B"/>
    <w:rsid w:val="00597482"/>
    <w:rsid w:val="00597A7D"/>
    <w:rsid w:val="00597BF5"/>
    <w:rsid w:val="005A124C"/>
    <w:rsid w:val="005A1943"/>
    <w:rsid w:val="005A1F0B"/>
    <w:rsid w:val="005A27F0"/>
    <w:rsid w:val="005A5A7A"/>
    <w:rsid w:val="005A5E61"/>
    <w:rsid w:val="005A7AD2"/>
    <w:rsid w:val="005A7AEE"/>
    <w:rsid w:val="005A7F82"/>
    <w:rsid w:val="005B15D9"/>
    <w:rsid w:val="005B183A"/>
    <w:rsid w:val="005B1CAD"/>
    <w:rsid w:val="005B2040"/>
    <w:rsid w:val="005B2494"/>
    <w:rsid w:val="005B348D"/>
    <w:rsid w:val="005B3A65"/>
    <w:rsid w:val="005B4B09"/>
    <w:rsid w:val="005B599F"/>
    <w:rsid w:val="005B6394"/>
    <w:rsid w:val="005B712B"/>
    <w:rsid w:val="005B7D90"/>
    <w:rsid w:val="005C06B6"/>
    <w:rsid w:val="005C0EE9"/>
    <w:rsid w:val="005C0FC5"/>
    <w:rsid w:val="005C1637"/>
    <w:rsid w:val="005C17BE"/>
    <w:rsid w:val="005C1EA9"/>
    <w:rsid w:val="005C46AD"/>
    <w:rsid w:val="005C4824"/>
    <w:rsid w:val="005C4DE6"/>
    <w:rsid w:val="005C5371"/>
    <w:rsid w:val="005C6865"/>
    <w:rsid w:val="005C78EF"/>
    <w:rsid w:val="005C7F2B"/>
    <w:rsid w:val="005D0050"/>
    <w:rsid w:val="005D0CE6"/>
    <w:rsid w:val="005D16AE"/>
    <w:rsid w:val="005D1C6D"/>
    <w:rsid w:val="005D31C0"/>
    <w:rsid w:val="005D64D7"/>
    <w:rsid w:val="005D6E12"/>
    <w:rsid w:val="005D6E7F"/>
    <w:rsid w:val="005D7962"/>
    <w:rsid w:val="005E00B5"/>
    <w:rsid w:val="005E0150"/>
    <w:rsid w:val="005E072D"/>
    <w:rsid w:val="005E089E"/>
    <w:rsid w:val="005E123F"/>
    <w:rsid w:val="005E14DA"/>
    <w:rsid w:val="005E1F7A"/>
    <w:rsid w:val="005E4883"/>
    <w:rsid w:val="005E4ADE"/>
    <w:rsid w:val="005E6ECF"/>
    <w:rsid w:val="005E7042"/>
    <w:rsid w:val="005F034D"/>
    <w:rsid w:val="005F34BB"/>
    <w:rsid w:val="005F358B"/>
    <w:rsid w:val="005F3679"/>
    <w:rsid w:val="005F39D0"/>
    <w:rsid w:val="005F4215"/>
    <w:rsid w:val="005F4739"/>
    <w:rsid w:val="005F494C"/>
    <w:rsid w:val="005F5962"/>
    <w:rsid w:val="005F5D56"/>
    <w:rsid w:val="005F5F24"/>
    <w:rsid w:val="005F671F"/>
    <w:rsid w:val="005F6945"/>
    <w:rsid w:val="006016E9"/>
    <w:rsid w:val="006021F9"/>
    <w:rsid w:val="00603016"/>
    <w:rsid w:val="0060378A"/>
    <w:rsid w:val="00603F49"/>
    <w:rsid w:val="00604DEB"/>
    <w:rsid w:val="0060578D"/>
    <w:rsid w:val="006105B1"/>
    <w:rsid w:val="00611CC8"/>
    <w:rsid w:val="006121A4"/>
    <w:rsid w:val="006123AB"/>
    <w:rsid w:val="00612CB0"/>
    <w:rsid w:val="00614A1C"/>
    <w:rsid w:val="00615E1E"/>
    <w:rsid w:val="006163D7"/>
    <w:rsid w:val="006165A4"/>
    <w:rsid w:val="006171A9"/>
    <w:rsid w:val="00617808"/>
    <w:rsid w:val="0062214A"/>
    <w:rsid w:val="00622C1E"/>
    <w:rsid w:val="006263E9"/>
    <w:rsid w:val="00626BBE"/>
    <w:rsid w:val="00627DCA"/>
    <w:rsid w:val="006300CE"/>
    <w:rsid w:val="0063047D"/>
    <w:rsid w:val="00632474"/>
    <w:rsid w:val="0063274A"/>
    <w:rsid w:val="006337FF"/>
    <w:rsid w:val="006344D4"/>
    <w:rsid w:val="0063505E"/>
    <w:rsid w:val="0063536A"/>
    <w:rsid w:val="006375A6"/>
    <w:rsid w:val="00637C5F"/>
    <w:rsid w:val="00637E18"/>
    <w:rsid w:val="00640032"/>
    <w:rsid w:val="006403B7"/>
    <w:rsid w:val="00640AD0"/>
    <w:rsid w:val="00641C90"/>
    <w:rsid w:val="00641D66"/>
    <w:rsid w:val="00641D93"/>
    <w:rsid w:val="0064691B"/>
    <w:rsid w:val="00646D3C"/>
    <w:rsid w:val="00646EB7"/>
    <w:rsid w:val="0064738F"/>
    <w:rsid w:val="00650A96"/>
    <w:rsid w:val="006518C7"/>
    <w:rsid w:val="00652C07"/>
    <w:rsid w:val="0065564E"/>
    <w:rsid w:val="0065649B"/>
    <w:rsid w:val="00657D82"/>
    <w:rsid w:val="00660126"/>
    <w:rsid w:val="00660A01"/>
    <w:rsid w:val="00661914"/>
    <w:rsid w:val="00661FFC"/>
    <w:rsid w:val="00663211"/>
    <w:rsid w:val="006646B2"/>
    <w:rsid w:val="00665836"/>
    <w:rsid w:val="00673AE2"/>
    <w:rsid w:val="00673F7B"/>
    <w:rsid w:val="00674480"/>
    <w:rsid w:val="00674AC6"/>
    <w:rsid w:val="00674B71"/>
    <w:rsid w:val="0067763D"/>
    <w:rsid w:val="006777A6"/>
    <w:rsid w:val="006803C1"/>
    <w:rsid w:val="00680B8A"/>
    <w:rsid w:val="0068213D"/>
    <w:rsid w:val="00683DEF"/>
    <w:rsid w:val="006844BC"/>
    <w:rsid w:val="006844D8"/>
    <w:rsid w:val="00684D29"/>
    <w:rsid w:val="00684DFD"/>
    <w:rsid w:val="00686002"/>
    <w:rsid w:val="0068695C"/>
    <w:rsid w:val="00686A26"/>
    <w:rsid w:val="006874F2"/>
    <w:rsid w:val="00690A16"/>
    <w:rsid w:val="0069104C"/>
    <w:rsid w:val="006911AC"/>
    <w:rsid w:val="00691DB6"/>
    <w:rsid w:val="00692F5B"/>
    <w:rsid w:val="00693366"/>
    <w:rsid w:val="006938A3"/>
    <w:rsid w:val="00693943"/>
    <w:rsid w:val="00693A14"/>
    <w:rsid w:val="00694C13"/>
    <w:rsid w:val="00694F92"/>
    <w:rsid w:val="006975C9"/>
    <w:rsid w:val="006A117F"/>
    <w:rsid w:val="006A1C3A"/>
    <w:rsid w:val="006A2524"/>
    <w:rsid w:val="006A2595"/>
    <w:rsid w:val="006A3796"/>
    <w:rsid w:val="006A3D17"/>
    <w:rsid w:val="006A4196"/>
    <w:rsid w:val="006A659C"/>
    <w:rsid w:val="006A7EFC"/>
    <w:rsid w:val="006B0AC8"/>
    <w:rsid w:val="006B3C5C"/>
    <w:rsid w:val="006B4479"/>
    <w:rsid w:val="006B48EB"/>
    <w:rsid w:val="006B4D61"/>
    <w:rsid w:val="006B50B0"/>
    <w:rsid w:val="006B52EF"/>
    <w:rsid w:val="006B5F03"/>
    <w:rsid w:val="006B67AB"/>
    <w:rsid w:val="006B6DEF"/>
    <w:rsid w:val="006C07AF"/>
    <w:rsid w:val="006C146B"/>
    <w:rsid w:val="006C1A93"/>
    <w:rsid w:val="006C1CB2"/>
    <w:rsid w:val="006C3913"/>
    <w:rsid w:val="006C3EDB"/>
    <w:rsid w:val="006C4652"/>
    <w:rsid w:val="006C5009"/>
    <w:rsid w:val="006C5BD3"/>
    <w:rsid w:val="006C7404"/>
    <w:rsid w:val="006D2AC2"/>
    <w:rsid w:val="006D2C05"/>
    <w:rsid w:val="006D2FAA"/>
    <w:rsid w:val="006D33BF"/>
    <w:rsid w:val="006D3A8A"/>
    <w:rsid w:val="006D440C"/>
    <w:rsid w:val="006D56B7"/>
    <w:rsid w:val="006D7608"/>
    <w:rsid w:val="006E05F9"/>
    <w:rsid w:val="006E068B"/>
    <w:rsid w:val="006E06CA"/>
    <w:rsid w:val="006E0913"/>
    <w:rsid w:val="006E2029"/>
    <w:rsid w:val="006E2765"/>
    <w:rsid w:val="006E2770"/>
    <w:rsid w:val="006E3C95"/>
    <w:rsid w:val="006E465B"/>
    <w:rsid w:val="006E60DF"/>
    <w:rsid w:val="006E6C7F"/>
    <w:rsid w:val="006E7F1A"/>
    <w:rsid w:val="006F00DF"/>
    <w:rsid w:val="006F0A55"/>
    <w:rsid w:val="006F0F43"/>
    <w:rsid w:val="006F1642"/>
    <w:rsid w:val="006F22C0"/>
    <w:rsid w:val="006F2937"/>
    <w:rsid w:val="006F3FA8"/>
    <w:rsid w:val="006F47A3"/>
    <w:rsid w:val="006F4BB9"/>
    <w:rsid w:val="006F51CB"/>
    <w:rsid w:val="006F6C92"/>
    <w:rsid w:val="006F77F4"/>
    <w:rsid w:val="00700ADB"/>
    <w:rsid w:val="00702126"/>
    <w:rsid w:val="007039C0"/>
    <w:rsid w:val="00703AD0"/>
    <w:rsid w:val="007040A0"/>
    <w:rsid w:val="00704775"/>
    <w:rsid w:val="00704EF1"/>
    <w:rsid w:val="00705110"/>
    <w:rsid w:val="007056DE"/>
    <w:rsid w:val="00705CFC"/>
    <w:rsid w:val="0070631A"/>
    <w:rsid w:val="00706504"/>
    <w:rsid w:val="00706977"/>
    <w:rsid w:val="00706D7B"/>
    <w:rsid w:val="0070712A"/>
    <w:rsid w:val="007072B2"/>
    <w:rsid w:val="0070733F"/>
    <w:rsid w:val="00707803"/>
    <w:rsid w:val="00707F9F"/>
    <w:rsid w:val="00710244"/>
    <w:rsid w:val="00710320"/>
    <w:rsid w:val="007104FD"/>
    <w:rsid w:val="00711E32"/>
    <w:rsid w:val="00712EBC"/>
    <w:rsid w:val="00713011"/>
    <w:rsid w:val="007150C4"/>
    <w:rsid w:val="00716C6E"/>
    <w:rsid w:val="007173AD"/>
    <w:rsid w:val="00717A69"/>
    <w:rsid w:val="00722AA6"/>
    <w:rsid w:val="00722E78"/>
    <w:rsid w:val="0072321F"/>
    <w:rsid w:val="007247AB"/>
    <w:rsid w:val="0072503E"/>
    <w:rsid w:val="0072696A"/>
    <w:rsid w:val="00726E96"/>
    <w:rsid w:val="0072756B"/>
    <w:rsid w:val="0073037F"/>
    <w:rsid w:val="007313E2"/>
    <w:rsid w:val="007354ED"/>
    <w:rsid w:val="007365C0"/>
    <w:rsid w:val="007365DD"/>
    <w:rsid w:val="00737073"/>
    <w:rsid w:val="0073760E"/>
    <w:rsid w:val="0074061A"/>
    <w:rsid w:val="00740918"/>
    <w:rsid w:val="00741912"/>
    <w:rsid w:val="007425AD"/>
    <w:rsid w:val="007426FE"/>
    <w:rsid w:val="00742EE7"/>
    <w:rsid w:val="0074343F"/>
    <w:rsid w:val="007439C5"/>
    <w:rsid w:val="00743E7F"/>
    <w:rsid w:val="00746416"/>
    <w:rsid w:val="0074682E"/>
    <w:rsid w:val="00746942"/>
    <w:rsid w:val="007469D3"/>
    <w:rsid w:val="007471AE"/>
    <w:rsid w:val="00747E24"/>
    <w:rsid w:val="007508A9"/>
    <w:rsid w:val="00751DCF"/>
    <w:rsid w:val="007525E9"/>
    <w:rsid w:val="007527A8"/>
    <w:rsid w:val="00752959"/>
    <w:rsid w:val="00752CD0"/>
    <w:rsid w:val="0075397E"/>
    <w:rsid w:val="00753BE5"/>
    <w:rsid w:val="00753BF9"/>
    <w:rsid w:val="00753EA1"/>
    <w:rsid w:val="00754555"/>
    <w:rsid w:val="00754EC8"/>
    <w:rsid w:val="007551AC"/>
    <w:rsid w:val="00755D8C"/>
    <w:rsid w:val="00755F7B"/>
    <w:rsid w:val="00756396"/>
    <w:rsid w:val="00756A16"/>
    <w:rsid w:val="00756FA7"/>
    <w:rsid w:val="0075746B"/>
    <w:rsid w:val="00757A04"/>
    <w:rsid w:val="00757B9B"/>
    <w:rsid w:val="00760AB2"/>
    <w:rsid w:val="00760F56"/>
    <w:rsid w:val="00761247"/>
    <w:rsid w:val="007614E0"/>
    <w:rsid w:val="007617C0"/>
    <w:rsid w:val="007639B8"/>
    <w:rsid w:val="00763FAF"/>
    <w:rsid w:val="00765662"/>
    <w:rsid w:val="00765A24"/>
    <w:rsid w:val="00765A49"/>
    <w:rsid w:val="00766358"/>
    <w:rsid w:val="007664F3"/>
    <w:rsid w:val="00766DD4"/>
    <w:rsid w:val="00770E02"/>
    <w:rsid w:val="0077281A"/>
    <w:rsid w:val="00772A28"/>
    <w:rsid w:val="007731C3"/>
    <w:rsid w:val="00773242"/>
    <w:rsid w:val="007732D8"/>
    <w:rsid w:val="00773AC1"/>
    <w:rsid w:val="00774555"/>
    <w:rsid w:val="007764E3"/>
    <w:rsid w:val="0077715D"/>
    <w:rsid w:val="00777F35"/>
    <w:rsid w:val="007841D3"/>
    <w:rsid w:val="00785A4D"/>
    <w:rsid w:val="00787EEB"/>
    <w:rsid w:val="00790189"/>
    <w:rsid w:val="007907D5"/>
    <w:rsid w:val="00790F0F"/>
    <w:rsid w:val="00791B1F"/>
    <w:rsid w:val="00792B9F"/>
    <w:rsid w:val="007941EB"/>
    <w:rsid w:val="00794451"/>
    <w:rsid w:val="00794AE7"/>
    <w:rsid w:val="00794E1B"/>
    <w:rsid w:val="007965E1"/>
    <w:rsid w:val="00796BE6"/>
    <w:rsid w:val="007A0A4F"/>
    <w:rsid w:val="007A0D51"/>
    <w:rsid w:val="007A23CD"/>
    <w:rsid w:val="007A2722"/>
    <w:rsid w:val="007A2898"/>
    <w:rsid w:val="007A2AAB"/>
    <w:rsid w:val="007A2C4E"/>
    <w:rsid w:val="007A42A8"/>
    <w:rsid w:val="007A43AF"/>
    <w:rsid w:val="007A4683"/>
    <w:rsid w:val="007A4C23"/>
    <w:rsid w:val="007A5FB5"/>
    <w:rsid w:val="007B0292"/>
    <w:rsid w:val="007B0808"/>
    <w:rsid w:val="007B21B8"/>
    <w:rsid w:val="007B2D9F"/>
    <w:rsid w:val="007B3162"/>
    <w:rsid w:val="007B3E86"/>
    <w:rsid w:val="007B5183"/>
    <w:rsid w:val="007B688B"/>
    <w:rsid w:val="007B6904"/>
    <w:rsid w:val="007C0C4A"/>
    <w:rsid w:val="007C0C52"/>
    <w:rsid w:val="007C19AB"/>
    <w:rsid w:val="007C26B1"/>
    <w:rsid w:val="007C2FCF"/>
    <w:rsid w:val="007C3A59"/>
    <w:rsid w:val="007C43D8"/>
    <w:rsid w:val="007C4A76"/>
    <w:rsid w:val="007C5C8B"/>
    <w:rsid w:val="007C612A"/>
    <w:rsid w:val="007C6D01"/>
    <w:rsid w:val="007C7241"/>
    <w:rsid w:val="007C76FF"/>
    <w:rsid w:val="007C7F70"/>
    <w:rsid w:val="007D04BA"/>
    <w:rsid w:val="007D090F"/>
    <w:rsid w:val="007D3488"/>
    <w:rsid w:val="007D361E"/>
    <w:rsid w:val="007D55F9"/>
    <w:rsid w:val="007D5676"/>
    <w:rsid w:val="007D70ED"/>
    <w:rsid w:val="007D748F"/>
    <w:rsid w:val="007D79EE"/>
    <w:rsid w:val="007D7A00"/>
    <w:rsid w:val="007E04F1"/>
    <w:rsid w:val="007E15E0"/>
    <w:rsid w:val="007E15F9"/>
    <w:rsid w:val="007E273C"/>
    <w:rsid w:val="007E2E99"/>
    <w:rsid w:val="007E2EF7"/>
    <w:rsid w:val="007E3661"/>
    <w:rsid w:val="007E3CAC"/>
    <w:rsid w:val="007E45A1"/>
    <w:rsid w:val="007E6E9B"/>
    <w:rsid w:val="007F0213"/>
    <w:rsid w:val="007F165F"/>
    <w:rsid w:val="007F1BE2"/>
    <w:rsid w:val="007F205A"/>
    <w:rsid w:val="007F29B0"/>
    <w:rsid w:val="007F353C"/>
    <w:rsid w:val="007F4A45"/>
    <w:rsid w:val="007F5221"/>
    <w:rsid w:val="007F5428"/>
    <w:rsid w:val="007F58A5"/>
    <w:rsid w:val="007F7E6C"/>
    <w:rsid w:val="00800187"/>
    <w:rsid w:val="00802E93"/>
    <w:rsid w:val="00802F81"/>
    <w:rsid w:val="008057DB"/>
    <w:rsid w:val="00805892"/>
    <w:rsid w:val="00806174"/>
    <w:rsid w:val="008070D0"/>
    <w:rsid w:val="00807FA2"/>
    <w:rsid w:val="0081019C"/>
    <w:rsid w:val="008104FF"/>
    <w:rsid w:val="00810EAF"/>
    <w:rsid w:val="0081216A"/>
    <w:rsid w:val="00812175"/>
    <w:rsid w:val="00812223"/>
    <w:rsid w:val="008128C4"/>
    <w:rsid w:val="00812CE0"/>
    <w:rsid w:val="008166E4"/>
    <w:rsid w:val="00817A79"/>
    <w:rsid w:val="00820C34"/>
    <w:rsid w:val="008225D6"/>
    <w:rsid w:val="00822FD4"/>
    <w:rsid w:val="00825D1D"/>
    <w:rsid w:val="00826731"/>
    <w:rsid w:val="008275B2"/>
    <w:rsid w:val="00827B0E"/>
    <w:rsid w:val="00827BFB"/>
    <w:rsid w:val="008317EE"/>
    <w:rsid w:val="00831971"/>
    <w:rsid w:val="00832143"/>
    <w:rsid w:val="00833C96"/>
    <w:rsid w:val="00835779"/>
    <w:rsid w:val="00836AD4"/>
    <w:rsid w:val="008375AE"/>
    <w:rsid w:val="0083780C"/>
    <w:rsid w:val="00840C2F"/>
    <w:rsid w:val="008416D9"/>
    <w:rsid w:val="00841EEF"/>
    <w:rsid w:val="00842CFE"/>
    <w:rsid w:val="008437EC"/>
    <w:rsid w:val="00843814"/>
    <w:rsid w:val="00844CFD"/>
    <w:rsid w:val="00845B5F"/>
    <w:rsid w:val="00846D2B"/>
    <w:rsid w:val="00847539"/>
    <w:rsid w:val="00850FE1"/>
    <w:rsid w:val="00851D25"/>
    <w:rsid w:val="0085267A"/>
    <w:rsid w:val="00852C41"/>
    <w:rsid w:val="0085513A"/>
    <w:rsid w:val="008556B1"/>
    <w:rsid w:val="008563FD"/>
    <w:rsid w:val="00857C3E"/>
    <w:rsid w:val="00860D78"/>
    <w:rsid w:val="008634B5"/>
    <w:rsid w:val="008650E4"/>
    <w:rsid w:val="00865579"/>
    <w:rsid w:val="008702B7"/>
    <w:rsid w:val="00870783"/>
    <w:rsid w:val="008707A1"/>
    <w:rsid w:val="00870D27"/>
    <w:rsid w:val="00871EE4"/>
    <w:rsid w:val="0087294D"/>
    <w:rsid w:val="00872AF0"/>
    <w:rsid w:val="008735CE"/>
    <w:rsid w:val="008739A7"/>
    <w:rsid w:val="00873D5C"/>
    <w:rsid w:val="00873FFB"/>
    <w:rsid w:val="00876A04"/>
    <w:rsid w:val="00877BDB"/>
    <w:rsid w:val="008807EE"/>
    <w:rsid w:val="00881041"/>
    <w:rsid w:val="00881C9D"/>
    <w:rsid w:val="00882AEA"/>
    <w:rsid w:val="00883D49"/>
    <w:rsid w:val="00884482"/>
    <w:rsid w:val="0088450F"/>
    <w:rsid w:val="00884C0A"/>
    <w:rsid w:val="00886D5A"/>
    <w:rsid w:val="00887509"/>
    <w:rsid w:val="00887D15"/>
    <w:rsid w:val="00887F21"/>
    <w:rsid w:val="00890103"/>
    <w:rsid w:val="00890BA1"/>
    <w:rsid w:val="0089150B"/>
    <w:rsid w:val="00891EFD"/>
    <w:rsid w:val="0089209C"/>
    <w:rsid w:val="0089221A"/>
    <w:rsid w:val="00892BE6"/>
    <w:rsid w:val="00893213"/>
    <w:rsid w:val="00893649"/>
    <w:rsid w:val="00893B5C"/>
    <w:rsid w:val="00895FE5"/>
    <w:rsid w:val="00896032"/>
    <w:rsid w:val="008960B7"/>
    <w:rsid w:val="00896880"/>
    <w:rsid w:val="00896DA8"/>
    <w:rsid w:val="00897DF7"/>
    <w:rsid w:val="008A1280"/>
    <w:rsid w:val="008A1392"/>
    <w:rsid w:val="008A1D33"/>
    <w:rsid w:val="008A349E"/>
    <w:rsid w:val="008A3A62"/>
    <w:rsid w:val="008A43E7"/>
    <w:rsid w:val="008A5304"/>
    <w:rsid w:val="008A7088"/>
    <w:rsid w:val="008A7151"/>
    <w:rsid w:val="008A77AB"/>
    <w:rsid w:val="008A7A43"/>
    <w:rsid w:val="008B04A6"/>
    <w:rsid w:val="008B0D82"/>
    <w:rsid w:val="008B0FDC"/>
    <w:rsid w:val="008B10CA"/>
    <w:rsid w:val="008B14EB"/>
    <w:rsid w:val="008B1703"/>
    <w:rsid w:val="008B263B"/>
    <w:rsid w:val="008B287D"/>
    <w:rsid w:val="008B3397"/>
    <w:rsid w:val="008B4099"/>
    <w:rsid w:val="008B43F7"/>
    <w:rsid w:val="008B473C"/>
    <w:rsid w:val="008B4C65"/>
    <w:rsid w:val="008B62F7"/>
    <w:rsid w:val="008B73A5"/>
    <w:rsid w:val="008B770B"/>
    <w:rsid w:val="008B7EFB"/>
    <w:rsid w:val="008C0888"/>
    <w:rsid w:val="008C0F9D"/>
    <w:rsid w:val="008C1CA8"/>
    <w:rsid w:val="008C37C2"/>
    <w:rsid w:val="008C4EB9"/>
    <w:rsid w:val="008C510B"/>
    <w:rsid w:val="008D05D7"/>
    <w:rsid w:val="008D072E"/>
    <w:rsid w:val="008D0B5D"/>
    <w:rsid w:val="008D22B7"/>
    <w:rsid w:val="008D310D"/>
    <w:rsid w:val="008D50A1"/>
    <w:rsid w:val="008D5499"/>
    <w:rsid w:val="008D55B3"/>
    <w:rsid w:val="008D6824"/>
    <w:rsid w:val="008D69C4"/>
    <w:rsid w:val="008D6D16"/>
    <w:rsid w:val="008E06E4"/>
    <w:rsid w:val="008E0BE3"/>
    <w:rsid w:val="008E1976"/>
    <w:rsid w:val="008E303E"/>
    <w:rsid w:val="008E34BC"/>
    <w:rsid w:val="008E3550"/>
    <w:rsid w:val="008E3CCA"/>
    <w:rsid w:val="008E5D0C"/>
    <w:rsid w:val="008E68FF"/>
    <w:rsid w:val="008F03E4"/>
    <w:rsid w:val="008F054B"/>
    <w:rsid w:val="008F189B"/>
    <w:rsid w:val="008F1D51"/>
    <w:rsid w:val="008F2411"/>
    <w:rsid w:val="008F3564"/>
    <w:rsid w:val="008F3912"/>
    <w:rsid w:val="008F39C9"/>
    <w:rsid w:val="008F42F3"/>
    <w:rsid w:val="008F4599"/>
    <w:rsid w:val="008F4A2A"/>
    <w:rsid w:val="008F4A75"/>
    <w:rsid w:val="008F4B4B"/>
    <w:rsid w:val="008F5D7D"/>
    <w:rsid w:val="008F5DDE"/>
    <w:rsid w:val="008F6187"/>
    <w:rsid w:val="008F6A0B"/>
    <w:rsid w:val="00900047"/>
    <w:rsid w:val="00901F9E"/>
    <w:rsid w:val="009029DB"/>
    <w:rsid w:val="009048CA"/>
    <w:rsid w:val="00904936"/>
    <w:rsid w:val="00904977"/>
    <w:rsid w:val="00904B42"/>
    <w:rsid w:val="00905B42"/>
    <w:rsid w:val="009060B7"/>
    <w:rsid w:val="00906786"/>
    <w:rsid w:val="00906C2C"/>
    <w:rsid w:val="00907243"/>
    <w:rsid w:val="009077C5"/>
    <w:rsid w:val="00910817"/>
    <w:rsid w:val="00910E55"/>
    <w:rsid w:val="00912CB6"/>
    <w:rsid w:val="0091398A"/>
    <w:rsid w:val="00913AEA"/>
    <w:rsid w:val="0091475D"/>
    <w:rsid w:val="0091536C"/>
    <w:rsid w:val="00915AF4"/>
    <w:rsid w:val="00916F73"/>
    <w:rsid w:val="0091705A"/>
    <w:rsid w:val="00917AAD"/>
    <w:rsid w:val="009205E8"/>
    <w:rsid w:val="00920BAB"/>
    <w:rsid w:val="0092152A"/>
    <w:rsid w:val="00921839"/>
    <w:rsid w:val="0092185D"/>
    <w:rsid w:val="009228C3"/>
    <w:rsid w:val="009237DC"/>
    <w:rsid w:val="009275D4"/>
    <w:rsid w:val="00927662"/>
    <w:rsid w:val="00927C5E"/>
    <w:rsid w:val="00930AE1"/>
    <w:rsid w:val="00930E8B"/>
    <w:rsid w:val="00931367"/>
    <w:rsid w:val="009317A4"/>
    <w:rsid w:val="0093202C"/>
    <w:rsid w:val="00932CB3"/>
    <w:rsid w:val="00932CD5"/>
    <w:rsid w:val="00933D6B"/>
    <w:rsid w:val="00935E68"/>
    <w:rsid w:val="009375FF"/>
    <w:rsid w:val="0093798D"/>
    <w:rsid w:val="00937B52"/>
    <w:rsid w:val="009412FC"/>
    <w:rsid w:val="00941387"/>
    <w:rsid w:val="0094258E"/>
    <w:rsid w:val="00942F6F"/>
    <w:rsid w:val="00942F88"/>
    <w:rsid w:val="009439C5"/>
    <w:rsid w:val="00943D33"/>
    <w:rsid w:val="00944F03"/>
    <w:rsid w:val="00945405"/>
    <w:rsid w:val="009479ED"/>
    <w:rsid w:val="009500AE"/>
    <w:rsid w:val="0095093C"/>
    <w:rsid w:val="00952043"/>
    <w:rsid w:val="00952340"/>
    <w:rsid w:val="00953849"/>
    <w:rsid w:val="00953AA7"/>
    <w:rsid w:val="0095421D"/>
    <w:rsid w:val="00954356"/>
    <w:rsid w:val="00954719"/>
    <w:rsid w:val="00954769"/>
    <w:rsid w:val="00954F8C"/>
    <w:rsid w:val="00954FDB"/>
    <w:rsid w:val="00955000"/>
    <w:rsid w:val="009559C8"/>
    <w:rsid w:val="00957ACB"/>
    <w:rsid w:val="009605E0"/>
    <w:rsid w:val="00961846"/>
    <w:rsid w:val="00962E4C"/>
    <w:rsid w:val="009636F9"/>
    <w:rsid w:val="009641D7"/>
    <w:rsid w:val="00964442"/>
    <w:rsid w:val="009655AC"/>
    <w:rsid w:val="009678CD"/>
    <w:rsid w:val="009678F9"/>
    <w:rsid w:val="00967999"/>
    <w:rsid w:val="00967D58"/>
    <w:rsid w:val="009709D6"/>
    <w:rsid w:val="00971EFB"/>
    <w:rsid w:val="00973933"/>
    <w:rsid w:val="00974421"/>
    <w:rsid w:val="00974E7A"/>
    <w:rsid w:val="00975995"/>
    <w:rsid w:val="009803C4"/>
    <w:rsid w:val="009807DB"/>
    <w:rsid w:val="00980A76"/>
    <w:rsid w:val="00980AF9"/>
    <w:rsid w:val="009810A3"/>
    <w:rsid w:val="00981F9B"/>
    <w:rsid w:val="00982B34"/>
    <w:rsid w:val="009835C3"/>
    <w:rsid w:val="00984608"/>
    <w:rsid w:val="00985172"/>
    <w:rsid w:val="0098690A"/>
    <w:rsid w:val="00990809"/>
    <w:rsid w:val="00991285"/>
    <w:rsid w:val="0099152D"/>
    <w:rsid w:val="00991A90"/>
    <w:rsid w:val="00993047"/>
    <w:rsid w:val="009947FF"/>
    <w:rsid w:val="009949F3"/>
    <w:rsid w:val="00994D93"/>
    <w:rsid w:val="00995EE0"/>
    <w:rsid w:val="009963D9"/>
    <w:rsid w:val="009975FA"/>
    <w:rsid w:val="0099776A"/>
    <w:rsid w:val="00997864"/>
    <w:rsid w:val="00997CE5"/>
    <w:rsid w:val="009A11C4"/>
    <w:rsid w:val="009A270A"/>
    <w:rsid w:val="009A2CBA"/>
    <w:rsid w:val="009A37E5"/>
    <w:rsid w:val="009A4188"/>
    <w:rsid w:val="009A46E1"/>
    <w:rsid w:val="009A4BD2"/>
    <w:rsid w:val="009A51C8"/>
    <w:rsid w:val="009A7B6F"/>
    <w:rsid w:val="009A7EC3"/>
    <w:rsid w:val="009B1A16"/>
    <w:rsid w:val="009B46BC"/>
    <w:rsid w:val="009B56C5"/>
    <w:rsid w:val="009B57D3"/>
    <w:rsid w:val="009B5DEA"/>
    <w:rsid w:val="009B6C59"/>
    <w:rsid w:val="009B7ED7"/>
    <w:rsid w:val="009C019F"/>
    <w:rsid w:val="009C07C3"/>
    <w:rsid w:val="009C0DEF"/>
    <w:rsid w:val="009C2F9C"/>
    <w:rsid w:val="009C37B2"/>
    <w:rsid w:val="009C3C5D"/>
    <w:rsid w:val="009C3C80"/>
    <w:rsid w:val="009C47D1"/>
    <w:rsid w:val="009C4A0B"/>
    <w:rsid w:val="009C531E"/>
    <w:rsid w:val="009C65B8"/>
    <w:rsid w:val="009C6659"/>
    <w:rsid w:val="009C7A64"/>
    <w:rsid w:val="009D0C0B"/>
    <w:rsid w:val="009D128E"/>
    <w:rsid w:val="009D1389"/>
    <w:rsid w:val="009D2F33"/>
    <w:rsid w:val="009D3C97"/>
    <w:rsid w:val="009D44AF"/>
    <w:rsid w:val="009D70AD"/>
    <w:rsid w:val="009D7A32"/>
    <w:rsid w:val="009D7DEE"/>
    <w:rsid w:val="009E1097"/>
    <w:rsid w:val="009E3B4F"/>
    <w:rsid w:val="009E3B87"/>
    <w:rsid w:val="009E4343"/>
    <w:rsid w:val="009E4E14"/>
    <w:rsid w:val="009E6699"/>
    <w:rsid w:val="009E7FBA"/>
    <w:rsid w:val="009F0375"/>
    <w:rsid w:val="009F0434"/>
    <w:rsid w:val="009F1073"/>
    <w:rsid w:val="009F1888"/>
    <w:rsid w:val="009F1FE9"/>
    <w:rsid w:val="009F28B9"/>
    <w:rsid w:val="009F436E"/>
    <w:rsid w:val="009F4FE7"/>
    <w:rsid w:val="009F5A12"/>
    <w:rsid w:val="009F5D35"/>
    <w:rsid w:val="009F5DB0"/>
    <w:rsid w:val="009F6A41"/>
    <w:rsid w:val="009F6D43"/>
    <w:rsid w:val="009F6D55"/>
    <w:rsid w:val="009F7168"/>
    <w:rsid w:val="009F73E1"/>
    <w:rsid w:val="009F77E8"/>
    <w:rsid w:val="00A027B5"/>
    <w:rsid w:val="00A03B2E"/>
    <w:rsid w:val="00A03D65"/>
    <w:rsid w:val="00A046D1"/>
    <w:rsid w:val="00A065D9"/>
    <w:rsid w:val="00A066F6"/>
    <w:rsid w:val="00A068E4"/>
    <w:rsid w:val="00A07182"/>
    <w:rsid w:val="00A07840"/>
    <w:rsid w:val="00A07944"/>
    <w:rsid w:val="00A10F0A"/>
    <w:rsid w:val="00A11114"/>
    <w:rsid w:val="00A11590"/>
    <w:rsid w:val="00A1267D"/>
    <w:rsid w:val="00A1378C"/>
    <w:rsid w:val="00A14509"/>
    <w:rsid w:val="00A149DB"/>
    <w:rsid w:val="00A15C1F"/>
    <w:rsid w:val="00A1608A"/>
    <w:rsid w:val="00A1679F"/>
    <w:rsid w:val="00A17A9C"/>
    <w:rsid w:val="00A208B4"/>
    <w:rsid w:val="00A20D1F"/>
    <w:rsid w:val="00A22CF3"/>
    <w:rsid w:val="00A2393D"/>
    <w:rsid w:val="00A23BAB"/>
    <w:rsid w:val="00A243F1"/>
    <w:rsid w:val="00A2519D"/>
    <w:rsid w:val="00A26456"/>
    <w:rsid w:val="00A26675"/>
    <w:rsid w:val="00A27D0A"/>
    <w:rsid w:val="00A3130A"/>
    <w:rsid w:val="00A32B29"/>
    <w:rsid w:val="00A32F5F"/>
    <w:rsid w:val="00A33545"/>
    <w:rsid w:val="00A35239"/>
    <w:rsid w:val="00A35F48"/>
    <w:rsid w:val="00A366D4"/>
    <w:rsid w:val="00A37B9B"/>
    <w:rsid w:val="00A407EF"/>
    <w:rsid w:val="00A41F8B"/>
    <w:rsid w:val="00A431AD"/>
    <w:rsid w:val="00A44523"/>
    <w:rsid w:val="00A44AB8"/>
    <w:rsid w:val="00A44CAD"/>
    <w:rsid w:val="00A4502D"/>
    <w:rsid w:val="00A46368"/>
    <w:rsid w:val="00A47680"/>
    <w:rsid w:val="00A478A7"/>
    <w:rsid w:val="00A50A8F"/>
    <w:rsid w:val="00A51F87"/>
    <w:rsid w:val="00A5233D"/>
    <w:rsid w:val="00A52586"/>
    <w:rsid w:val="00A52613"/>
    <w:rsid w:val="00A52900"/>
    <w:rsid w:val="00A5520C"/>
    <w:rsid w:val="00A56817"/>
    <w:rsid w:val="00A56D3B"/>
    <w:rsid w:val="00A572B3"/>
    <w:rsid w:val="00A577EF"/>
    <w:rsid w:val="00A60813"/>
    <w:rsid w:val="00A60E73"/>
    <w:rsid w:val="00A619B6"/>
    <w:rsid w:val="00A61EDC"/>
    <w:rsid w:val="00A62180"/>
    <w:rsid w:val="00A63727"/>
    <w:rsid w:val="00A64F99"/>
    <w:rsid w:val="00A6697B"/>
    <w:rsid w:val="00A70B42"/>
    <w:rsid w:val="00A72595"/>
    <w:rsid w:val="00A72C34"/>
    <w:rsid w:val="00A72F25"/>
    <w:rsid w:val="00A73331"/>
    <w:rsid w:val="00A734D0"/>
    <w:rsid w:val="00A73969"/>
    <w:rsid w:val="00A741BE"/>
    <w:rsid w:val="00A74304"/>
    <w:rsid w:val="00A745DD"/>
    <w:rsid w:val="00A74ECD"/>
    <w:rsid w:val="00A773F0"/>
    <w:rsid w:val="00A77462"/>
    <w:rsid w:val="00A77784"/>
    <w:rsid w:val="00A81B00"/>
    <w:rsid w:val="00A8242E"/>
    <w:rsid w:val="00A83C48"/>
    <w:rsid w:val="00A87068"/>
    <w:rsid w:val="00A90C1C"/>
    <w:rsid w:val="00A9148D"/>
    <w:rsid w:val="00A91621"/>
    <w:rsid w:val="00A91E66"/>
    <w:rsid w:val="00A9230D"/>
    <w:rsid w:val="00A9285C"/>
    <w:rsid w:val="00A92DF5"/>
    <w:rsid w:val="00A92DFF"/>
    <w:rsid w:val="00A93F14"/>
    <w:rsid w:val="00A94CB4"/>
    <w:rsid w:val="00A95D38"/>
    <w:rsid w:val="00A96245"/>
    <w:rsid w:val="00A96617"/>
    <w:rsid w:val="00A96BD0"/>
    <w:rsid w:val="00A97232"/>
    <w:rsid w:val="00A9725A"/>
    <w:rsid w:val="00A974DC"/>
    <w:rsid w:val="00AA062F"/>
    <w:rsid w:val="00AA2CB3"/>
    <w:rsid w:val="00AA46D6"/>
    <w:rsid w:val="00AA5326"/>
    <w:rsid w:val="00AA5A77"/>
    <w:rsid w:val="00AA5EDB"/>
    <w:rsid w:val="00AA6D32"/>
    <w:rsid w:val="00AA6FC5"/>
    <w:rsid w:val="00AA7862"/>
    <w:rsid w:val="00AA7F6D"/>
    <w:rsid w:val="00AB0517"/>
    <w:rsid w:val="00AB29AF"/>
    <w:rsid w:val="00AB33E5"/>
    <w:rsid w:val="00AB3F7E"/>
    <w:rsid w:val="00AB3FF5"/>
    <w:rsid w:val="00AB45A0"/>
    <w:rsid w:val="00AB4CD6"/>
    <w:rsid w:val="00AB6CC8"/>
    <w:rsid w:val="00AB700C"/>
    <w:rsid w:val="00AC09E8"/>
    <w:rsid w:val="00AC1827"/>
    <w:rsid w:val="00AC277A"/>
    <w:rsid w:val="00AC2D3F"/>
    <w:rsid w:val="00AC2D56"/>
    <w:rsid w:val="00AC2FA6"/>
    <w:rsid w:val="00AC33C5"/>
    <w:rsid w:val="00AC3C4B"/>
    <w:rsid w:val="00AC4320"/>
    <w:rsid w:val="00AC44D5"/>
    <w:rsid w:val="00AC5809"/>
    <w:rsid w:val="00AC5F56"/>
    <w:rsid w:val="00AC66A4"/>
    <w:rsid w:val="00AC6CDF"/>
    <w:rsid w:val="00AC6D52"/>
    <w:rsid w:val="00AD0583"/>
    <w:rsid w:val="00AD10E4"/>
    <w:rsid w:val="00AD10E6"/>
    <w:rsid w:val="00AD1E3B"/>
    <w:rsid w:val="00AD20A6"/>
    <w:rsid w:val="00AD36C1"/>
    <w:rsid w:val="00AD54BC"/>
    <w:rsid w:val="00AD5E3C"/>
    <w:rsid w:val="00AD5EFC"/>
    <w:rsid w:val="00AD636F"/>
    <w:rsid w:val="00AD6D14"/>
    <w:rsid w:val="00AD7BA0"/>
    <w:rsid w:val="00AE100C"/>
    <w:rsid w:val="00AE1570"/>
    <w:rsid w:val="00AE55C6"/>
    <w:rsid w:val="00AE6E96"/>
    <w:rsid w:val="00AF0826"/>
    <w:rsid w:val="00AF19A2"/>
    <w:rsid w:val="00AF3C41"/>
    <w:rsid w:val="00AF438E"/>
    <w:rsid w:val="00AF473A"/>
    <w:rsid w:val="00AF4EBD"/>
    <w:rsid w:val="00AF5EE2"/>
    <w:rsid w:val="00AF5FF8"/>
    <w:rsid w:val="00AF716A"/>
    <w:rsid w:val="00B04932"/>
    <w:rsid w:val="00B04C90"/>
    <w:rsid w:val="00B06026"/>
    <w:rsid w:val="00B06355"/>
    <w:rsid w:val="00B0640C"/>
    <w:rsid w:val="00B06845"/>
    <w:rsid w:val="00B06F9F"/>
    <w:rsid w:val="00B07A0F"/>
    <w:rsid w:val="00B103B9"/>
    <w:rsid w:val="00B10BC3"/>
    <w:rsid w:val="00B10DDB"/>
    <w:rsid w:val="00B112D2"/>
    <w:rsid w:val="00B1233F"/>
    <w:rsid w:val="00B1448E"/>
    <w:rsid w:val="00B15A62"/>
    <w:rsid w:val="00B20AB8"/>
    <w:rsid w:val="00B21A3D"/>
    <w:rsid w:val="00B240BF"/>
    <w:rsid w:val="00B24257"/>
    <w:rsid w:val="00B24CE2"/>
    <w:rsid w:val="00B24CF8"/>
    <w:rsid w:val="00B25530"/>
    <w:rsid w:val="00B25E6F"/>
    <w:rsid w:val="00B2739A"/>
    <w:rsid w:val="00B27FA7"/>
    <w:rsid w:val="00B3027C"/>
    <w:rsid w:val="00B31311"/>
    <w:rsid w:val="00B31655"/>
    <w:rsid w:val="00B31A9F"/>
    <w:rsid w:val="00B31DBD"/>
    <w:rsid w:val="00B31E00"/>
    <w:rsid w:val="00B33C96"/>
    <w:rsid w:val="00B33F8E"/>
    <w:rsid w:val="00B34878"/>
    <w:rsid w:val="00B34CA0"/>
    <w:rsid w:val="00B35E25"/>
    <w:rsid w:val="00B3669D"/>
    <w:rsid w:val="00B36732"/>
    <w:rsid w:val="00B376AA"/>
    <w:rsid w:val="00B4033F"/>
    <w:rsid w:val="00B403C1"/>
    <w:rsid w:val="00B40829"/>
    <w:rsid w:val="00B417B9"/>
    <w:rsid w:val="00B420A3"/>
    <w:rsid w:val="00B42884"/>
    <w:rsid w:val="00B42D12"/>
    <w:rsid w:val="00B438B3"/>
    <w:rsid w:val="00B44892"/>
    <w:rsid w:val="00B449E4"/>
    <w:rsid w:val="00B44CDD"/>
    <w:rsid w:val="00B44E15"/>
    <w:rsid w:val="00B451BA"/>
    <w:rsid w:val="00B454F9"/>
    <w:rsid w:val="00B45539"/>
    <w:rsid w:val="00B46038"/>
    <w:rsid w:val="00B46F24"/>
    <w:rsid w:val="00B47000"/>
    <w:rsid w:val="00B4770C"/>
    <w:rsid w:val="00B5040D"/>
    <w:rsid w:val="00B50DF7"/>
    <w:rsid w:val="00B5182D"/>
    <w:rsid w:val="00B51A5E"/>
    <w:rsid w:val="00B55667"/>
    <w:rsid w:val="00B562AE"/>
    <w:rsid w:val="00B564CF"/>
    <w:rsid w:val="00B56A44"/>
    <w:rsid w:val="00B57028"/>
    <w:rsid w:val="00B57DDB"/>
    <w:rsid w:val="00B60672"/>
    <w:rsid w:val="00B60D87"/>
    <w:rsid w:val="00B60F04"/>
    <w:rsid w:val="00B61BDC"/>
    <w:rsid w:val="00B64509"/>
    <w:rsid w:val="00B6456B"/>
    <w:rsid w:val="00B64F1D"/>
    <w:rsid w:val="00B6595D"/>
    <w:rsid w:val="00B65C62"/>
    <w:rsid w:val="00B66165"/>
    <w:rsid w:val="00B66E0D"/>
    <w:rsid w:val="00B67039"/>
    <w:rsid w:val="00B707D4"/>
    <w:rsid w:val="00B7136A"/>
    <w:rsid w:val="00B71A1F"/>
    <w:rsid w:val="00B71B57"/>
    <w:rsid w:val="00B71F03"/>
    <w:rsid w:val="00B72595"/>
    <w:rsid w:val="00B74A95"/>
    <w:rsid w:val="00B757C2"/>
    <w:rsid w:val="00B76074"/>
    <w:rsid w:val="00B76214"/>
    <w:rsid w:val="00B764DC"/>
    <w:rsid w:val="00B76EF3"/>
    <w:rsid w:val="00B76F23"/>
    <w:rsid w:val="00B773B8"/>
    <w:rsid w:val="00B77432"/>
    <w:rsid w:val="00B80458"/>
    <w:rsid w:val="00B80873"/>
    <w:rsid w:val="00B81521"/>
    <w:rsid w:val="00B81837"/>
    <w:rsid w:val="00B821C2"/>
    <w:rsid w:val="00B82CE1"/>
    <w:rsid w:val="00B844F8"/>
    <w:rsid w:val="00B857F4"/>
    <w:rsid w:val="00B85812"/>
    <w:rsid w:val="00B8584C"/>
    <w:rsid w:val="00B85AAD"/>
    <w:rsid w:val="00B90EF7"/>
    <w:rsid w:val="00B91AB2"/>
    <w:rsid w:val="00B9363E"/>
    <w:rsid w:val="00B93B18"/>
    <w:rsid w:val="00B93C38"/>
    <w:rsid w:val="00B940B1"/>
    <w:rsid w:val="00B94FAA"/>
    <w:rsid w:val="00B968CC"/>
    <w:rsid w:val="00B96F50"/>
    <w:rsid w:val="00B97364"/>
    <w:rsid w:val="00B974A9"/>
    <w:rsid w:val="00BA138F"/>
    <w:rsid w:val="00BA1B4F"/>
    <w:rsid w:val="00BA21A4"/>
    <w:rsid w:val="00BA28EF"/>
    <w:rsid w:val="00BA291E"/>
    <w:rsid w:val="00BA2F43"/>
    <w:rsid w:val="00BA3174"/>
    <w:rsid w:val="00BA31F1"/>
    <w:rsid w:val="00BA3A5A"/>
    <w:rsid w:val="00BA3CA6"/>
    <w:rsid w:val="00BA4EF7"/>
    <w:rsid w:val="00BA4FAA"/>
    <w:rsid w:val="00BA56C8"/>
    <w:rsid w:val="00BA5ACC"/>
    <w:rsid w:val="00BA5C1D"/>
    <w:rsid w:val="00BA5F68"/>
    <w:rsid w:val="00BA6DC0"/>
    <w:rsid w:val="00BA7146"/>
    <w:rsid w:val="00BA79D0"/>
    <w:rsid w:val="00BB1166"/>
    <w:rsid w:val="00BB1551"/>
    <w:rsid w:val="00BB185C"/>
    <w:rsid w:val="00BB1BE5"/>
    <w:rsid w:val="00BB21C4"/>
    <w:rsid w:val="00BB410D"/>
    <w:rsid w:val="00BB47F7"/>
    <w:rsid w:val="00BB5379"/>
    <w:rsid w:val="00BB662D"/>
    <w:rsid w:val="00BB692F"/>
    <w:rsid w:val="00BB70FA"/>
    <w:rsid w:val="00BB746A"/>
    <w:rsid w:val="00BB7F3D"/>
    <w:rsid w:val="00BC16A6"/>
    <w:rsid w:val="00BC2565"/>
    <w:rsid w:val="00BC29EE"/>
    <w:rsid w:val="00BC31BF"/>
    <w:rsid w:val="00BC3FC6"/>
    <w:rsid w:val="00BD05D5"/>
    <w:rsid w:val="00BD0E23"/>
    <w:rsid w:val="00BD15DD"/>
    <w:rsid w:val="00BD1930"/>
    <w:rsid w:val="00BD201E"/>
    <w:rsid w:val="00BD2213"/>
    <w:rsid w:val="00BD3236"/>
    <w:rsid w:val="00BD3485"/>
    <w:rsid w:val="00BD3814"/>
    <w:rsid w:val="00BD3C51"/>
    <w:rsid w:val="00BD467D"/>
    <w:rsid w:val="00BD503F"/>
    <w:rsid w:val="00BD5397"/>
    <w:rsid w:val="00BD53D0"/>
    <w:rsid w:val="00BD56FD"/>
    <w:rsid w:val="00BD5EFB"/>
    <w:rsid w:val="00BD68CE"/>
    <w:rsid w:val="00BD6C51"/>
    <w:rsid w:val="00BD75D1"/>
    <w:rsid w:val="00BE0126"/>
    <w:rsid w:val="00BE0417"/>
    <w:rsid w:val="00BE09D9"/>
    <w:rsid w:val="00BE0DBB"/>
    <w:rsid w:val="00BE386E"/>
    <w:rsid w:val="00BE3F07"/>
    <w:rsid w:val="00BE4522"/>
    <w:rsid w:val="00BE51BA"/>
    <w:rsid w:val="00BE5FD6"/>
    <w:rsid w:val="00BE600D"/>
    <w:rsid w:val="00BE6038"/>
    <w:rsid w:val="00BE6A7B"/>
    <w:rsid w:val="00BE6A89"/>
    <w:rsid w:val="00BE7C2B"/>
    <w:rsid w:val="00BE7C31"/>
    <w:rsid w:val="00BF1340"/>
    <w:rsid w:val="00BF1970"/>
    <w:rsid w:val="00BF2321"/>
    <w:rsid w:val="00BF4FB5"/>
    <w:rsid w:val="00BF54B9"/>
    <w:rsid w:val="00BF58C0"/>
    <w:rsid w:val="00BF7528"/>
    <w:rsid w:val="00BF7B53"/>
    <w:rsid w:val="00BF7C06"/>
    <w:rsid w:val="00C004EE"/>
    <w:rsid w:val="00C004F9"/>
    <w:rsid w:val="00C015A5"/>
    <w:rsid w:val="00C02F11"/>
    <w:rsid w:val="00C03FBD"/>
    <w:rsid w:val="00C05199"/>
    <w:rsid w:val="00C05355"/>
    <w:rsid w:val="00C06D37"/>
    <w:rsid w:val="00C074C6"/>
    <w:rsid w:val="00C10051"/>
    <w:rsid w:val="00C10A7B"/>
    <w:rsid w:val="00C10F3A"/>
    <w:rsid w:val="00C121FA"/>
    <w:rsid w:val="00C136E2"/>
    <w:rsid w:val="00C139CF"/>
    <w:rsid w:val="00C144F3"/>
    <w:rsid w:val="00C1453E"/>
    <w:rsid w:val="00C1477D"/>
    <w:rsid w:val="00C14D83"/>
    <w:rsid w:val="00C1600F"/>
    <w:rsid w:val="00C16327"/>
    <w:rsid w:val="00C16530"/>
    <w:rsid w:val="00C17534"/>
    <w:rsid w:val="00C206E2"/>
    <w:rsid w:val="00C20C45"/>
    <w:rsid w:val="00C20EDB"/>
    <w:rsid w:val="00C21DC4"/>
    <w:rsid w:val="00C21E51"/>
    <w:rsid w:val="00C2216D"/>
    <w:rsid w:val="00C22F6B"/>
    <w:rsid w:val="00C23C46"/>
    <w:rsid w:val="00C25AAB"/>
    <w:rsid w:val="00C26F89"/>
    <w:rsid w:val="00C27953"/>
    <w:rsid w:val="00C31D2D"/>
    <w:rsid w:val="00C320AB"/>
    <w:rsid w:val="00C32D51"/>
    <w:rsid w:val="00C33CB7"/>
    <w:rsid w:val="00C3418C"/>
    <w:rsid w:val="00C34B53"/>
    <w:rsid w:val="00C353E4"/>
    <w:rsid w:val="00C35D46"/>
    <w:rsid w:val="00C3796D"/>
    <w:rsid w:val="00C4026A"/>
    <w:rsid w:val="00C40680"/>
    <w:rsid w:val="00C4115D"/>
    <w:rsid w:val="00C41F72"/>
    <w:rsid w:val="00C4493A"/>
    <w:rsid w:val="00C44C96"/>
    <w:rsid w:val="00C45FA5"/>
    <w:rsid w:val="00C46F5C"/>
    <w:rsid w:val="00C46F78"/>
    <w:rsid w:val="00C47AFC"/>
    <w:rsid w:val="00C502CA"/>
    <w:rsid w:val="00C5053B"/>
    <w:rsid w:val="00C50815"/>
    <w:rsid w:val="00C50885"/>
    <w:rsid w:val="00C52DBB"/>
    <w:rsid w:val="00C5359A"/>
    <w:rsid w:val="00C536C7"/>
    <w:rsid w:val="00C541BE"/>
    <w:rsid w:val="00C5432C"/>
    <w:rsid w:val="00C54BA3"/>
    <w:rsid w:val="00C566E7"/>
    <w:rsid w:val="00C5670F"/>
    <w:rsid w:val="00C56796"/>
    <w:rsid w:val="00C575CE"/>
    <w:rsid w:val="00C5767D"/>
    <w:rsid w:val="00C60BD7"/>
    <w:rsid w:val="00C63BCF"/>
    <w:rsid w:val="00C64B93"/>
    <w:rsid w:val="00C65878"/>
    <w:rsid w:val="00C65B96"/>
    <w:rsid w:val="00C70DBF"/>
    <w:rsid w:val="00C70F57"/>
    <w:rsid w:val="00C722B6"/>
    <w:rsid w:val="00C74C12"/>
    <w:rsid w:val="00C750B2"/>
    <w:rsid w:val="00C763ED"/>
    <w:rsid w:val="00C76DD6"/>
    <w:rsid w:val="00C77776"/>
    <w:rsid w:val="00C77EDF"/>
    <w:rsid w:val="00C77F0C"/>
    <w:rsid w:val="00C81988"/>
    <w:rsid w:val="00C81FF1"/>
    <w:rsid w:val="00C830DB"/>
    <w:rsid w:val="00C83781"/>
    <w:rsid w:val="00C84247"/>
    <w:rsid w:val="00C850BC"/>
    <w:rsid w:val="00C85789"/>
    <w:rsid w:val="00C85F02"/>
    <w:rsid w:val="00C86E24"/>
    <w:rsid w:val="00C86E97"/>
    <w:rsid w:val="00C909E3"/>
    <w:rsid w:val="00C9189A"/>
    <w:rsid w:val="00C93417"/>
    <w:rsid w:val="00C93A05"/>
    <w:rsid w:val="00C9468B"/>
    <w:rsid w:val="00C95975"/>
    <w:rsid w:val="00C96390"/>
    <w:rsid w:val="00C96A26"/>
    <w:rsid w:val="00C96C44"/>
    <w:rsid w:val="00C96FC4"/>
    <w:rsid w:val="00C97657"/>
    <w:rsid w:val="00CA0084"/>
    <w:rsid w:val="00CA04E9"/>
    <w:rsid w:val="00CA2C5B"/>
    <w:rsid w:val="00CA376A"/>
    <w:rsid w:val="00CA3B4C"/>
    <w:rsid w:val="00CA40FD"/>
    <w:rsid w:val="00CA4AC2"/>
    <w:rsid w:val="00CA4B7A"/>
    <w:rsid w:val="00CA4CEE"/>
    <w:rsid w:val="00CA68D1"/>
    <w:rsid w:val="00CA7033"/>
    <w:rsid w:val="00CB06A2"/>
    <w:rsid w:val="00CB094F"/>
    <w:rsid w:val="00CB106C"/>
    <w:rsid w:val="00CB2032"/>
    <w:rsid w:val="00CB26B4"/>
    <w:rsid w:val="00CB2B83"/>
    <w:rsid w:val="00CB3EAD"/>
    <w:rsid w:val="00CB52F8"/>
    <w:rsid w:val="00CB5B49"/>
    <w:rsid w:val="00CB5D26"/>
    <w:rsid w:val="00CB673A"/>
    <w:rsid w:val="00CB6C4D"/>
    <w:rsid w:val="00CB7777"/>
    <w:rsid w:val="00CB77B4"/>
    <w:rsid w:val="00CB7C52"/>
    <w:rsid w:val="00CB7E78"/>
    <w:rsid w:val="00CC0CBE"/>
    <w:rsid w:val="00CC24D3"/>
    <w:rsid w:val="00CC2586"/>
    <w:rsid w:val="00CC2DA0"/>
    <w:rsid w:val="00CC33BE"/>
    <w:rsid w:val="00CC4642"/>
    <w:rsid w:val="00CC5287"/>
    <w:rsid w:val="00CC625B"/>
    <w:rsid w:val="00CC65FF"/>
    <w:rsid w:val="00CD0A40"/>
    <w:rsid w:val="00CD117D"/>
    <w:rsid w:val="00CD1E02"/>
    <w:rsid w:val="00CD339E"/>
    <w:rsid w:val="00CD3E7E"/>
    <w:rsid w:val="00CD4397"/>
    <w:rsid w:val="00CD4C8C"/>
    <w:rsid w:val="00CD66DA"/>
    <w:rsid w:val="00CD6FE3"/>
    <w:rsid w:val="00CD78CF"/>
    <w:rsid w:val="00CD7A4F"/>
    <w:rsid w:val="00CE0098"/>
    <w:rsid w:val="00CE01EE"/>
    <w:rsid w:val="00CE0BF3"/>
    <w:rsid w:val="00CE15F5"/>
    <w:rsid w:val="00CE1AAC"/>
    <w:rsid w:val="00CE21C9"/>
    <w:rsid w:val="00CE4476"/>
    <w:rsid w:val="00CE5654"/>
    <w:rsid w:val="00CE61F5"/>
    <w:rsid w:val="00CE6606"/>
    <w:rsid w:val="00CE6883"/>
    <w:rsid w:val="00CE6B55"/>
    <w:rsid w:val="00CF10AA"/>
    <w:rsid w:val="00CF2BEF"/>
    <w:rsid w:val="00CF2C1F"/>
    <w:rsid w:val="00CF3405"/>
    <w:rsid w:val="00CF4695"/>
    <w:rsid w:val="00CF4949"/>
    <w:rsid w:val="00CF4D3F"/>
    <w:rsid w:val="00CF5066"/>
    <w:rsid w:val="00CF6348"/>
    <w:rsid w:val="00CF68E3"/>
    <w:rsid w:val="00CF6A65"/>
    <w:rsid w:val="00CF7010"/>
    <w:rsid w:val="00CF71A8"/>
    <w:rsid w:val="00D006F0"/>
    <w:rsid w:val="00D00859"/>
    <w:rsid w:val="00D01017"/>
    <w:rsid w:val="00D01325"/>
    <w:rsid w:val="00D0194F"/>
    <w:rsid w:val="00D02493"/>
    <w:rsid w:val="00D04EA6"/>
    <w:rsid w:val="00D05D1D"/>
    <w:rsid w:val="00D05E3F"/>
    <w:rsid w:val="00D06C5E"/>
    <w:rsid w:val="00D102DB"/>
    <w:rsid w:val="00D1425C"/>
    <w:rsid w:val="00D14DBE"/>
    <w:rsid w:val="00D1573F"/>
    <w:rsid w:val="00D16927"/>
    <w:rsid w:val="00D17DE3"/>
    <w:rsid w:val="00D20190"/>
    <w:rsid w:val="00D20BB7"/>
    <w:rsid w:val="00D20ED5"/>
    <w:rsid w:val="00D211C3"/>
    <w:rsid w:val="00D2141D"/>
    <w:rsid w:val="00D2279F"/>
    <w:rsid w:val="00D233AA"/>
    <w:rsid w:val="00D23EBB"/>
    <w:rsid w:val="00D24D0A"/>
    <w:rsid w:val="00D251A8"/>
    <w:rsid w:val="00D2583B"/>
    <w:rsid w:val="00D26355"/>
    <w:rsid w:val="00D26524"/>
    <w:rsid w:val="00D27225"/>
    <w:rsid w:val="00D2754D"/>
    <w:rsid w:val="00D301CF"/>
    <w:rsid w:val="00D3141F"/>
    <w:rsid w:val="00D31BA8"/>
    <w:rsid w:val="00D31BFA"/>
    <w:rsid w:val="00D31ECC"/>
    <w:rsid w:val="00D31FD9"/>
    <w:rsid w:val="00D328A6"/>
    <w:rsid w:val="00D328D0"/>
    <w:rsid w:val="00D3448F"/>
    <w:rsid w:val="00D346AF"/>
    <w:rsid w:val="00D3480E"/>
    <w:rsid w:val="00D35B55"/>
    <w:rsid w:val="00D35F2E"/>
    <w:rsid w:val="00D367BF"/>
    <w:rsid w:val="00D368CD"/>
    <w:rsid w:val="00D37DD5"/>
    <w:rsid w:val="00D40E0F"/>
    <w:rsid w:val="00D4139C"/>
    <w:rsid w:val="00D414DA"/>
    <w:rsid w:val="00D44DD7"/>
    <w:rsid w:val="00D47718"/>
    <w:rsid w:val="00D47778"/>
    <w:rsid w:val="00D50252"/>
    <w:rsid w:val="00D5135D"/>
    <w:rsid w:val="00D51DF6"/>
    <w:rsid w:val="00D5272E"/>
    <w:rsid w:val="00D52776"/>
    <w:rsid w:val="00D53364"/>
    <w:rsid w:val="00D54EC4"/>
    <w:rsid w:val="00D552D7"/>
    <w:rsid w:val="00D56374"/>
    <w:rsid w:val="00D5693C"/>
    <w:rsid w:val="00D56DE5"/>
    <w:rsid w:val="00D57EBB"/>
    <w:rsid w:val="00D600D2"/>
    <w:rsid w:val="00D608FF"/>
    <w:rsid w:val="00D60E39"/>
    <w:rsid w:val="00D617F6"/>
    <w:rsid w:val="00D62E52"/>
    <w:rsid w:val="00D637CA"/>
    <w:rsid w:val="00D63C5F"/>
    <w:rsid w:val="00D64D1C"/>
    <w:rsid w:val="00D64FE3"/>
    <w:rsid w:val="00D655C8"/>
    <w:rsid w:val="00D67F3E"/>
    <w:rsid w:val="00D7035A"/>
    <w:rsid w:val="00D70413"/>
    <w:rsid w:val="00D71BE4"/>
    <w:rsid w:val="00D71D43"/>
    <w:rsid w:val="00D72168"/>
    <w:rsid w:val="00D729A3"/>
    <w:rsid w:val="00D733F0"/>
    <w:rsid w:val="00D735FA"/>
    <w:rsid w:val="00D7398C"/>
    <w:rsid w:val="00D74106"/>
    <w:rsid w:val="00D74830"/>
    <w:rsid w:val="00D748E5"/>
    <w:rsid w:val="00D74C01"/>
    <w:rsid w:val="00D7573E"/>
    <w:rsid w:val="00D75799"/>
    <w:rsid w:val="00D766D1"/>
    <w:rsid w:val="00D76FD2"/>
    <w:rsid w:val="00D77B5B"/>
    <w:rsid w:val="00D80EA6"/>
    <w:rsid w:val="00D81861"/>
    <w:rsid w:val="00D81A7D"/>
    <w:rsid w:val="00D8247B"/>
    <w:rsid w:val="00D83B9E"/>
    <w:rsid w:val="00D83FF7"/>
    <w:rsid w:val="00D8472E"/>
    <w:rsid w:val="00D848E6"/>
    <w:rsid w:val="00D84908"/>
    <w:rsid w:val="00D84910"/>
    <w:rsid w:val="00D84F67"/>
    <w:rsid w:val="00D85978"/>
    <w:rsid w:val="00D90CBE"/>
    <w:rsid w:val="00D91555"/>
    <w:rsid w:val="00D93B1D"/>
    <w:rsid w:val="00D93E9D"/>
    <w:rsid w:val="00D94A82"/>
    <w:rsid w:val="00D9714F"/>
    <w:rsid w:val="00DA0469"/>
    <w:rsid w:val="00DA0CB7"/>
    <w:rsid w:val="00DA1C9B"/>
    <w:rsid w:val="00DA346A"/>
    <w:rsid w:val="00DA35F8"/>
    <w:rsid w:val="00DA5A62"/>
    <w:rsid w:val="00DA5BCC"/>
    <w:rsid w:val="00DA6027"/>
    <w:rsid w:val="00DA655C"/>
    <w:rsid w:val="00DA6AD5"/>
    <w:rsid w:val="00DA6E33"/>
    <w:rsid w:val="00DA6FDD"/>
    <w:rsid w:val="00DA7F30"/>
    <w:rsid w:val="00DB002D"/>
    <w:rsid w:val="00DB09B4"/>
    <w:rsid w:val="00DB1247"/>
    <w:rsid w:val="00DB1BD3"/>
    <w:rsid w:val="00DB2218"/>
    <w:rsid w:val="00DB2CE5"/>
    <w:rsid w:val="00DB30D7"/>
    <w:rsid w:val="00DB41A1"/>
    <w:rsid w:val="00DB461F"/>
    <w:rsid w:val="00DB4857"/>
    <w:rsid w:val="00DB4994"/>
    <w:rsid w:val="00DB5583"/>
    <w:rsid w:val="00DB5EF7"/>
    <w:rsid w:val="00DC012D"/>
    <w:rsid w:val="00DC0278"/>
    <w:rsid w:val="00DC3DB6"/>
    <w:rsid w:val="00DC5F15"/>
    <w:rsid w:val="00DC71DB"/>
    <w:rsid w:val="00DC7AFA"/>
    <w:rsid w:val="00DD0412"/>
    <w:rsid w:val="00DD145A"/>
    <w:rsid w:val="00DD1A6D"/>
    <w:rsid w:val="00DD2F7D"/>
    <w:rsid w:val="00DD3FDE"/>
    <w:rsid w:val="00DD4333"/>
    <w:rsid w:val="00DD4BDF"/>
    <w:rsid w:val="00DD4E38"/>
    <w:rsid w:val="00DD5C36"/>
    <w:rsid w:val="00DD6C7E"/>
    <w:rsid w:val="00DD769C"/>
    <w:rsid w:val="00DE1A18"/>
    <w:rsid w:val="00DE2D09"/>
    <w:rsid w:val="00DE308C"/>
    <w:rsid w:val="00DE3A43"/>
    <w:rsid w:val="00DE3E8F"/>
    <w:rsid w:val="00DE52DC"/>
    <w:rsid w:val="00DE58C8"/>
    <w:rsid w:val="00DE68F6"/>
    <w:rsid w:val="00DE6BDF"/>
    <w:rsid w:val="00DF0269"/>
    <w:rsid w:val="00DF04B3"/>
    <w:rsid w:val="00DF1EE9"/>
    <w:rsid w:val="00DF28C3"/>
    <w:rsid w:val="00DF3B5A"/>
    <w:rsid w:val="00DF67C9"/>
    <w:rsid w:val="00DF6EB9"/>
    <w:rsid w:val="00DF7AE5"/>
    <w:rsid w:val="00DF7F88"/>
    <w:rsid w:val="00E01267"/>
    <w:rsid w:val="00E040E7"/>
    <w:rsid w:val="00E04309"/>
    <w:rsid w:val="00E04AD6"/>
    <w:rsid w:val="00E057C0"/>
    <w:rsid w:val="00E061D3"/>
    <w:rsid w:val="00E069BB"/>
    <w:rsid w:val="00E072FB"/>
    <w:rsid w:val="00E07A94"/>
    <w:rsid w:val="00E10882"/>
    <w:rsid w:val="00E11015"/>
    <w:rsid w:val="00E13AA9"/>
    <w:rsid w:val="00E14185"/>
    <w:rsid w:val="00E157C9"/>
    <w:rsid w:val="00E15F91"/>
    <w:rsid w:val="00E16083"/>
    <w:rsid w:val="00E203E1"/>
    <w:rsid w:val="00E206C7"/>
    <w:rsid w:val="00E20C96"/>
    <w:rsid w:val="00E22690"/>
    <w:rsid w:val="00E22D2E"/>
    <w:rsid w:val="00E23D68"/>
    <w:rsid w:val="00E23FD5"/>
    <w:rsid w:val="00E2443E"/>
    <w:rsid w:val="00E249BD"/>
    <w:rsid w:val="00E259C2"/>
    <w:rsid w:val="00E2607F"/>
    <w:rsid w:val="00E260AB"/>
    <w:rsid w:val="00E266BE"/>
    <w:rsid w:val="00E2721A"/>
    <w:rsid w:val="00E30A47"/>
    <w:rsid w:val="00E32876"/>
    <w:rsid w:val="00E33B26"/>
    <w:rsid w:val="00E33E0D"/>
    <w:rsid w:val="00E3504A"/>
    <w:rsid w:val="00E3577B"/>
    <w:rsid w:val="00E35E27"/>
    <w:rsid w:val="00E36268"/>
    <w:rsid w:val="00E37E7B"/>
    <w:rsid w:val="00E40E6C"/>
    <w:rsid w:val="00E411F2"/>
    <w:rsid w:val="00E42696"/>
    <w:rsid w:val="00E42B9C"/>
    <w:rsid w:val="00E42D13"/>
    <w:rsid w:val="00E4333E"/>
    <w:rsid w:val="00E44DB8"/>
    <w:rsid w:val="00E453C4"/>
    <w:rsid w:val="00E45C31"/>
    <w:rsid w:val="00E45DE0"/>
    <w:rsid w:val="00E463EC"/>
    <w:rsid w:val="00E46684"/>
    <w:rsid w:val="00E50128"/>
    <w:rsid w:val="00E51319"/>
    <w:rsid w:val="00E52216"/>
    <w:rsid w:val="00E52484"/>
    <w:rsid w:val="00E5256C"/>
    <w:rsid w:val="00E53DCC"/>
    <w:rsid w:val="00E56795"/>
    <w:rsid w:val="00E567F5"/>
    <w:rsid w:val="00E56F38"/>
    <w:rsid w:val="00E602DE"/>
    <w:rsid w:val="00E60A36"/>
    <w:rsid w:val="00E6126F"/>
    <w:rsid w:val="00E6166D"/>
    <w:rsid w:val="00E61D56"/>
    <w:rsid w:val="00E633BF"/>
    <w:rsid w:val="00E6577B"/>
    <w:rsid w:val="00E667EC"/>
    <w:rsid w:val="00E66EEA"/>
    <w:rsid w:val="00E6715B"/>
    <w:rsid w:val="00E677AC"/>
    <w:rsid w:val="00E70601"/>
    <w:rsid w:val="00E70DA4"/>
    <w:rsid w:val="00E73724"/>
    <w:rsid w:val="00E74A29"/>
    <w:rsid w:val="00E75215"/>
    <w:rsid w:val="00E7534B"/>
    <w:rsid w:val="00E75B45"/>
    <w:rsid w:val="00E803C6"/>
    <w:rsid w:val="00E80507"/>
    <w:rsid w:val="00E8092A"/>
    <w:rsid w:val="00E80E3F"/>
    <w:rsid w:val="00E8260C"/>
    <w:rsid w:val="00E827F9"/>
    <w:rsid w:val="00E8403C"/>
    <w:rsid w:val="00E84AE6"/>
    <w:rsid w:val="00E85F6A"/>
    <w:rsid w:val="00E87186"/>
    <w:rsid w:val="00E9055B"/>
    <w:rsid w:val="00E9082A"/>
    <w:rsid w:val="00E90C35"/>
    <w:rsid w:val="00E90D96"/>
    <w:rsid w:val="00E9153F"/>
    <w:rsid w:val="00E92440"/>
    <w:rsid w:val="00E92BCB"/>
    <w:rsid w:val="00E93C1D"/>
    <w:rsid w:val="00E94B42"/>
    <w:rsid w:val="00E96ED8"/>
    <w:rsid w:val="00EA164C"/>
    <w:rsid w:val="00EA1AB4"/>
    <w:rsid w:val="00EA2498"/>
    <w:rsid w:val="00EA2997"/>
    <w:rsid w:val="00EA2F1E"/>
    <w:rsid w:val="00EA6AA1"/>
    <w:rsid w:val="00EA7C74"/>
    <w:rsid w:val="00EA7F81"/>
    <w:rsid w:val="00EB02D4"/>
    <w:rsid w:val="00EB05FF"/>
    <w:rsid w:val="00EB130A"/>
    <w:rsid w:val="00EB1F43"/>
    <w:rsid w:val="00EB28C1"/>
    <w:rsid w:val="00EB79E2"/>
    <w:rsid w:val="00EB7B21"/>
    <w:rsid w:val="00EB7F3F"/>
    <w:rsid w:val="00EC14BF"/>
    <w:rsid w:val="00EC16A6"/>
    <w:rsid w:val="00EC177D"/>
    <w:rsid w:val="00EC24B0"/>
    <w:rsid w:val="00EC2959"/>
    <w:rsid w:val="00EC33F6"/>
    <w:rsid w:val="00EC4AA3"/>
    <w:rsid w:val="00EC550D"/>
    <w:rsid w:val="00EC578D"/>
    <w:rsid w:val="00EC6B85"/>
    <w:rsid w:val="00EC6DC7"/>
    <w:rsid w:val="00EC754A"/>
    <w:rsid w:val="00EC791E"/>
    <w:rsid w:val="00EC7EAD"/>
    <w:rsid w:val="00ED0A8D"/>
    <w:rsid w:val="00ED1F9E"/>
    <w:rsid w:val="00ED2B67"/>
    <w:rsid w:val="00ED3549"/>
    <w:rsid w:val="00ED47E2"/>
    <w:rsid w:val="00ED50A0"/>
    <w:rsid w:val="00ED6608"/>
    <w:rsid w:val="00ED6641"/>
    <w:rsid w:val="00ED68A8"/>
    <w:rsid w:val="00ED6CF9"/>
    <w:rsid w:val="00ED7FB9"/>
    <w:rsid w:val="00EE1488"/>
    <w:rsid w:val="00EE297E"/>
    <w:rsid w:val="00EE313A"/>
    <w:rsid w:val="00EE3256"/>
    <w:rsid w:val="00EE35EE"/>
    <w:rsid w:val="00EE40D2"/>
    <w:rsid w:val="00EE71C8"/>
    <w:rsid w:val="00EF00BD"/>
    <w:rsid w:val="00EF043B"/>
    <w:rsid w:val="00EF0996"/>
    <w:rsid w:val="00EF1449"/>
    <w:rsid w:val="00EF17B9"/>
    <w:rsid w:val="00EF1E0D"/>
    <w:rsid w:val="00EF355C"/>
    <w:rsid w:val="00EF3822"/>
    <w:rsid w:val="00EF4A10"/>
    <w:rsid w:val="00EF5433"/>
    <w:rsid w:val="00EF590A"/>
    <w:rsid w:val="00EF591C"/>
    <w:rsid w:val="00EF6472"/>
    <w:rsid w:val="00EF64B9"/>
    <w:rsid w:val="00F0083D"/>
    <w:rsid w:val="00F00D27"/>
    <w:rsid w:val="00F017A8"/>
    <w:rsid w:val="00F01917"/>
    <w:rsid w:val="00F01BC8"/>
    <w:rsid w:val="00F0205D"/>
    <w:rsid w:val="00F027B7"/>
    <w:rsid w:val="00F02F4D"/>
    <w:rsid w:val="00F0533C"/>
    <w:rsid w:val="00F05556"/>
    <w:rsid w:val="00F05BD9"/>
    <w:rsid w:val="00F05F1C"/>
    <w:rsid w:val="00F06C6F"/>
    <w:rsid w:val="00F108A7"/>
    <w:rsid w:val="00F10FAB"/>
    <w:rsid w:val="00F12445"/>
    <w:rsid w:val="00F12CA0"/>
    <w:rsid w:val="00F12E6A"/>
    <w:rsid w:val="00F13728"/>
    <w:rsid w:val="00F1377F"/>
    <w:rsid w:val="00F1399C"/>
    <w:rsid w:val="00F13EC1"/>
    <w:rsid w:val="00F156EE"/>
    <w:rsid w:val="00F16B7C"/>
    <w:rsid w:val="00F17B63"/>
    <w:rsid w:val="00F20B27"/>
    <w:rsid w:val="00F21826"/>
    <w:rsid w:val="00F221A7"/>
    <w:rsid w:val="00F22BFB"/>
    <w:rsid w:val="00F236E0"/>
    <w:rsid w:val="00F23975"/>
    <w:rsid w:val="00F2437E"/>
    <w:rsid w:val="00F254ED"/>
    <w:rsid w:val="00F26EC0"/>
    <w:rsid w:val="00F3047C"/>
    <w:rsid w:val="00F31895"/>
    <w:rsid w:val="00F31E7C"/>
    <w:rsid w:val="00F33A65"/>
    <w:rsid w:val="00F33CE0"/>
    <w:rsid w:val="00F3490C"/>
    <w:rsid w:val="00F37255"/>
    <w:rsid w:val="00F400F0"/>
    <w:rsid w:val="00F4095C"/>
    <w:rsid w:val="00F41855"/>
    <w:rsid w:val="00F4230F"/>
    <w:rsid w:val="00F42597"/>
    <w:rsid w:val="00F4566F"/>
    <w:rsid w:val="00F45C82"/>
    <w:rsid w:val="00F45D32"/>
    <w:rsid w:val="00F466E3"/>
    <w:rsid w:val="00F4732E"/>
    <w:rsid w:val="00F4797F"/>
    <w:rsid w:val="00F47991"/>
    <w:rsid w:val="00F47DAC"/>
    <w:rsid w:val="00F50D5C"/>
    <w:rsid w:val="00F514B7"/>
    <w:rsid w:val="00F51DBB"/>
    <w:rsid w:val="00F53EA7"/>
    <w:rsid w:val="00F54010"/>
    <w:rsid w:val="00F5525A"/>
    <w:rsid w:val="00F555C5"/>
    <w:rsid w:val="00F60FDC"/>
    <w:rsid w:val="00F613A7"/>
    <w:rsid w:val="00F61C47"/>
    <w:rsid w:val="00F621FD"/>
    <w:rsid w:val="00F6282B"/>
    <w:rsid w:val="00F63B8F"/>
    <w:rsid w:val="00F63D92"/>
    <w:rsid w:val="00F6564E"/>
    <w:rsid w:val="00F66B53"/>
    <w:rsid w:val="00F67EC0"/>
    <w:rsid w:val="00F67F60"/>
    <w:rsid w:val="00F703ED"/>
    <w:rsid w:val="00F708F3"/>
    <w:rsid w:val="00F718BA"/>
    <w:rsid w:val="00F71E74"/>
    <w:rsid w:val="00F72175"/>
    <w:rsid w:val="00F721B9"/>
    <w:rsid w:val="00F73083"/>
    <w:rsid w:val="00F73692"/>
    <w:rsid w:val="00F73746"/>
    <w:rsid w:val="00F748C6"/>
    <w:rsid w:val="00F75F31"/>
    <w:rsid w:val="00F7638A"/>
    <w:rsid w:val="00F76C9E"/>
    <w:rsid w:val="00F77F32"/>
    <w:rsid w:val="00F8208C"/>
    <w:rsid w:val="00F8209A"/>
    <w:rsid w:val="00F820F8"/>
    <w:rsid w:val="00F8266C"/>
    <w:rsid w:val="00F82691"/>
    <w:rsid w:val="00F82AC0"/>
    <w:rsid w:val="00F82CE5"/>
    <w:rsid w:val="00F82E60"/>
    <w:rsid w:val="00F83398"/>
    <w:rsid w:val="00F83AB5"/>
    <w:rsid w:val="00F858B6"/>
    <w:rsid w:val="00F85A03"/>
    <w:rsid w:val="00F86C8B"/>
    <w:rsid w:val="00F8741C"/>
    <w:rsid w:val="00F877F1"/>
    <w:rsid w:val="00F87E1F"/>
    <w:rsid w:val="00F901C2"/>
    <w:rsid w:val="00F9074B"/>
    <w:rsid w:val="00F91704"/>
    <w:rsid w:val="00F9225C"/>
    <w:rsid w:val="00F927BD"/>
    <w:rsid w:val="00F92A3C"/>
    <w:rsid w:val="00F934A9"/>
    <w:rsid w:val="00F940F3"/>
    <w:rsid w:val="00F9489D"/>
    <w:rsid w:val="00FA0D6A"/>
    <w:rsid w:val="00FA1A24"/>
    <w:rsid w:val="00FA200B"/>
    <w:rsid w:val="00FA20A4"/>
    <w:rsid w:val="00FA2B83"/>
    <w:rsid w:val="00FA2BA8"/>
    <w:rsid w:val="00FA38AF"/>
    <w:rsid w:val="00FA3932"/>
    <w:rsid w:val="00FA39A5"/>
    <w:rsid w:val="00FA55CB"/>
    <w:rsid w:val="00FA5A54"/>
    <w:rsid w:val="00FA5EFA"/>
    <w:rsid w:val="00FA6B58"/>
    <w:rsid w:val="00FA7F72"/>
    <w:rsid w:val="00FB043F"/>
    <w:rsid w:val="00FB12CC"/>
    <w:rsid w:val="00FB1485"/>
    <w:rsid w:val="00FB20C4"/>
    <w:rsid w:val="00FB276E"/>
    <w:rsid w:val="00FB3688"/>
    <w:rsid w:val="00FB42D9"/>
    <w:rsid w:val="00FB47CF"/>
    <w:rsid w:val="00FB4F5B"/>
    <w:rsid w:val="00FB6485"/>
    <w:rsid w:val="00FC2A1D"/>
    <w:rsid w:val="00FC2B75"/>
    <w:rsid w:val="00FC3605"/>
    <w:rsid w:val="00FC3DA1"/>
    <w:rsid w:val="00FC4124"/>
    <w:rsid w:val="00FC43FE"/>
    <w:rsid w:val="00FC52F9"/>
    <w:rsid w:val="00FC532A"/>
    <w:rsid w:val="00FC59F5"/>
    <w:rsid w:val="00FC6685"/>
    <w:rsid w:val="00FC7976"/>
    <w:rsid w:val="00FC7AD0"/>
    <w:rsid w:val="00FD0233"/>
    <w:rsid w:val="00FD0AD5"/>
    <w:rsid w:val="00FD3C79"/>
    <w:rsid w:val="00FD4B19"/>
    <w:rsid w:val="00FD5732"/>
    <w:rsid w:val="00FD57A0"/>
    <w:rsid w:val="00FD6D1E"/>
    <w:rsid w:val="00FD6F8C"/>
    <w:rsid w:val="00FE0556"/>
    <w:rsid w:val="00FE1196"/>
    <w:rsid w:val="00FE12D1"/>
    <w:rsid w:val="00FE1A41"/>
    <w:rsid w:val="00FE1BB8"/>
    <w:rsid w:val="00FE216D"/>
    <w:rsid w:val="00FE3209"/>
    <w:rsid w:val="00FE348C"/>
    <w:rsid w:val="00FE545A"/>
    <w:rsid w:val="00FE5F9F"/>
    <w:rsid w:val="00FE67F5"/>
    <w:rsid w:val="00FF0DE8"/>
    <w:rsid w:val="00FF0F98"/>
    <w:rsid w:val="00FF119C"/>
    <w:rsid w:val="00FF16D3"/>
    <w:rsid w:val="00FF1F4E"/>
    <w:rsid w:val="00FF2118"/>
    <w:rsid w:val="00FF359A"/>
    <w:rsid w:val="00FF3DCC"/>
    <w:rsid w:val="00FF4CDE"/>
    <w:rsid w:val="00FF55AD"/>
    <w:rsid w:val="00FF5985"/>
    <w:rsid w:val="00FF657A"/>
    <w:rsid w:val="00FF6E4B"/>
    <w:rsid w:val="00FF70F1"/>
    <w:rsid w:val="00FF7208"/>
    <w:rsid w:val="010B6346"/>
    <w:rsid w:val="01C97D8A"/>
    <w:rsid w:val="01D134FA"/>
    <w:rsid w:val="023D2D34"/>
    <w:rsid w:val="02502D33"/>
    <w:rsid w:val="02753E85"/>
    <w:rsid w:val="02824AFD"/>
    <w:rsid w:val="029C58B6"/>
    <w:rsid w:val="02BD75DA"/>
    <w:rsid w:val="02D92666"/>
    <w:rsid w:val="02DA1F3A"/>
    <w:rsid w:val="030460AF"/>
    <w:rsid w:val="030D40BE"/>
    <w:rsid w:val="039A21FE"/>
    <w:rsid w:val="039C5442"/>
    <w:rsid w:val="03E175A9"/>
    <w:rsid w:val="03F62DA4"/>
    <w:rsid w:val="04071455"/>
    <w:rsid w:val="040935D8"/>
    <w:rsid w:val="0437135C"/>
    <w:rsid w:val="04446205"/>
    <w:rsid w:val="04966335"/>
    <w:rsid w:val="04AE18D1"/>
    <w:rsid w:val="04EB042F"/>
    <w:rsid w:val="04EB5041"/>
    <w:rsid w:val="04EC3A7E"/>
    <w:rsid w:val="04F25C61"/>
    <w:rsid w:val="04F726D2"/>
    <w:rsid w:val="05085FDD"/>
    <w:rsid w:val="050B287F"/>
    <w:rsid w:val="052D4EEB"/>
    <w:rsid w:val="053718C6"/>
    <w:rsid w:val="053F077B"/>
    <w:rsid w:val="05404C1F"/>
    <w:rsid w:val="05524952"/>
    <w:rsid w:val="05545FD4"/>
    <w:rsid w:val="05781604"/>
    <w:rsid w:val="05992A1A"/>
    <w:rsid w:val="06135E8F"/>
    <w:rsid w:val="061B70C3"/>
    <w:rsid w:val="06304C93"/>
    <w:rsid w:val="06C61153"/>
    <w:rsid w:val="06CD24E2"/>
    <w:rsid w:val="06E450E2"/>
    <w:rsid w:val="06F274D6"/>
    <w:rsid w:val="073C7FDB"/>
    <w:rsid w:val="07554285"/>
    <w:rsid w:val="07EC2E3C"/>
    <w:rsid w:val="083F6C68"/>
    <w:rsid w:val="08566507"/>
    <w:rsid w:val="086B17BB"/>
    <w:rsid w:val="08983742"/>
    <w:rsid w:val="08C72F61"/>
    <w:rsid w:val="08C94F2B"/>
    <w:rsid w:val="090B5543"/>
    <w:rsid w:val="092E642F"/>
    <w:rsid w:val="096E3C1F"/>
    <w:rsid w:val="09914A41"/>
    <w:rsid w:val="09C13E54"/>
    <w:rsid w:val="0A1D4E47"/>
    <w:rsid w:val="0A2C39C3"/>
    <w:rsid w:val="0A300E42"/>
    <w:rsid w:val="0A6A0048"/>
    <w:rsid w:val="0A7C0617"/>
    <w:rsid w:val="0A8A2498"/>
    <w:rsid w:val="0A913826"/>
    <w:rsid w:val="0AA7129C"/>
    <w:rsid w:val="0AD74C8E"/>
    <w:rsid w:val="0ADF0BB9"/>
    <w:rsid w:val="0B1C57E6"/>
    <w:rsid w:val="0BBD1919"/>
    <w:rsid w:val="0BE81B6C"/>
    <w:rsid w:val="0C1E10EA"/>
    <w:rsid w:val="0C430B50"/>
    <w:rsid w:val="0C4843B9"/>
    <w:rsid w:val="0C550884"/>
    <w:rsid w:val="0C594818"/>
    <w:rsid w:val="0C5E598A"/>
    <w:rsid w:val="0CCE45E6"/>
    <w:rsid w:val="0CD36378"/>
    <w:rsid w:val="0CEA43E7"/>
    <w:rsid w:val="0CFA1B57"/>
    <w:rsid w:val="0D1F524B"/>
    <w:rsid w:val="0D3B5CCB"/>
    <w:rsid w:val="0D553231"/>
    <w:rsid w:val="0D570D57"/>
    <w:rsid w:val="0D5E1CB9"/>
    <w:rsid w:val="0DC9777B"/>
    <w:rsid w:val="0DF26CD2"/>
    <w:rsid w:val="0E11386F"/>
    <w:rsid w:val="0E176739"/>
    <w:rsid w:val="0E1C78AB"/>
    <w:rsid w:val="0E4A08BC"/>
    <w:rsid w:val="0E542265"/>
    <w:rsid w:val="0EAD0BA0"/>
    <w:rsid w:val="0EC01DBF"/>
    <w:rsid w:val="0EC341CA"/>
    <w:rsid w:val="0ECF2B6F"/>
    <w:rsid w:val="0EDD34DE"/>
    <w:rsid w:val="0EE709D6"/>
    <w:rsid w:val="0EED4A10"/>
    <w:rsid w:val="0EFB5EA9"/>
    <w:rsid w:val="0F1669F0"/>
    <w:rsid w:val="0F19203C"/>
    <w:rsid w:val="0F1B1422"/>
    <w:rsid w:val="0F1B5DB5"/>
    <w:rsid w:val="0F4E618A"/>
    <w:rsid w:val="0F590076"/>
    <w:rsid w:val="0FA666C2"/>
    <w:rsid w:val="0FB0474F"/>
    <w:rsid w:val="0FC567C6"/>
    <w:rsid w:val="101741BD"/>
    <w:rsid w:val="103E7FAD"/>
    <w:rsid w:val="105C1F1B"/>
    <w:rsid w:val="107C1054"/>
    <w:rsid w:val="10947BCD"/>
    <w:rsid w:val="109C2C49"/>
    <w:rsid w:val="10C77FA2"/>
    <w:rsid w:val="10E30B54"/>
    <w:rsid w:val="10E61325"/>
    <w:rsid w:val="10FF430A"/>
    <w:rsid w:val="11056D1C"/>
    <w:rsid w:val="11115EF7"/>
    <w:rsid w:val="113373E5"/>
    <w:rsid w:val="11660A66"/>
    <w:rsid w:val="117D68B3"/>
    <w:rsid w:val="1194410A"/>
    <w:rsid w:val="11C72224"/>
    <w:rsid w:val="11D71488"/>
    <w:rsid w:val="11DB182B"/>
    <w:rsid w:val="11E93F48"/>
    <w:rsid w:val="11F272A1"/>
    <w:rsid w:val="120557AE"/>
    <w:rsid w:val="12101760"/>
    <w:rsid w:val="12137217"/>
    <w:rsid w:val="121E62E8"/>
    <w:rsid w:val="123478B9"/>
    <w:rsid w:val="12433B36"/>
    <w:rsid w:val="1251510A"/>
    <w:rsid w:val="12892777"/>
    <w:rsid w:val="12AA0764"/>
    <w:rsid w:val="12AC266A"/>
    <w:rsid w:val="12CC7AF2"/>
    <w:rsid w:val="12D6271E"/>
    <w:rsid w:val="12E0359D"/>
    <w:rsid w:val="12FB3F33"/>
    <w:rsid w:val="130F5C30"/>
    <w:rsid w:val="13176561"/>
    <w:rsid w:val="13740B4C"/>
    <w:rsid w:val="13C24A51"/>
    <w:rsid w:val="141719BB"/>
    <w:rsid w:val="143F42F3"/>
    <w:rsid w:val="14551D69"/>
    <w:rsid w:val="14681A9C"/>
    <w:rsid w:val="14757D15"/>
    <w:rsid w:val="1497412F"/>
    <w:rsid w:val="14A0563A"/>
    <w:rsid w:val="14AA3E63"/>
    <w:rsid w:val="14AB3737"/>
    <w:rsid w:val="14CC75EE"/>
    <w:rsid w:val="14F96B98"/>
    <w:rsid w:val="15007F26"/>
    <w:rsid w:val="150A2B53"/>
    <w:rsid w:val="151614F8"/>
    <w:rsid w:val="1517701E"/>
    <w:rsid w:val="152139F9"/>
    <w:rsid w:val="152C0D1B"/>
    <w:rsid w:val="155B3EC5"/>
    <w:rsid w:val="15804BC3"/>
    <w:rsid w:val="15962639"/>
    <w:rsid w:val="15D65143"/>
    <w:rsid w:val="15E213AD"/>
    <w:rsid w:val="162E1057"/>
    <w:rsid w:val="16847A90"/>
    <w:rsid w:val="169B2BAC"/>
    <w:rsid w:val="16A36DBB"/>
    <w:rsid w:val="16BC60CF"/>
    <w:rsid w:val="16BF796D"/>
    <w:rsid w:val="16D57191"/>
    <w:rsid w:val="16DD2110"/>
    <w:rsid w:val="16F413C5"/>
    <w:rsid w:val="17157CEB"/>
    <w:rsid w:val="171D09F0"/>
    <w:rsid w:val="17504FE0"/>
    <w:rsid w:val="17872239"/>
    <w:rsid w:val="179D7CAF"/>
    <w:rsid w:val="179F064F"/>
    <w:rsid w:val="17E51656"/>
    <w:rsid w:val="17E53404"/>
    <w:rsid w:val="17E65155"/>
    <w:rsid w:val="184A3267"/>
    <w:rsid w:val="184D5AB5"/>
    <w:rsid w:val="1867206B"/>
    <w:rsid w:val="18826EA4"/>
    <w:rsid w:val="189257DA"/>
    <w:rsid w:val="18BF3C55"/>
    <w:rsid w:val="18D019BE"/>
    <w:rsid w:val="190B0C48"/>
    <w:rsid w:val="19143FA0"/>
    <w:rsid w:val="193550DA"/>
    <w:rsid w:val="19445F08"/>
    <w:rsid w:val="19650358"/>
    <w:rsid w:val="196A1E12"/>
    <w:rsid w:val="197B6DB3"/>
    <w:rsid w:val="1A0F29BA"/>
    <w:rsid w:val="1A271317"/>
    <w:rsid w:val="1A2F6BB8"/>
    <w:rsid w:val="1A312930"/>
    <w:rsid w:val="1A381902"/>
    <w:rsid w:val="1A4F3FC2"/>
    <w:rsid w:val="1A5A1E87"/>
    <w:rsid w:val="1A6F630F"/>
    <w:rsid w:val="1A963C18"/>
    <w:rsid w:val="1A9D2818"/>
    <w:rsid w:val="1ADD6614"/>
    <w:rsid w:val="1AFE6CB6"/>
    <w:rsid w:val="1B065B6B"/>
    <w:rsid w:val="1B403B97"/>
    <w:rsid w:val="1B590E0C"/>
    <w:rsid w:val="1B613311"/>
    <w:rsid w:val="1B7E1BA5"/>
    <w:rsid w:val="1BA57132"/>
    <w:rsid w:val="1BB455C7"/>
    <w:rsid w:val="1BCB29BD"/>
    <w:rsid w:val="1BE91714"/>
    <w:rsid w:val="1BF361CD"/>
    <w:rsid w:val="1C0302FC"/>
    <w:rsid w:val="1C0F6CA1"/>
    <w:rsid w:val="1C190624"/>
    <w:rsid w:val="1C1D13BE"/>
    <w:rsid w:val="1C2E25B2"/>
    <w:rsid w:val="1C550B58"/>
    <w:rsid w:val="1C821221"/>
    <w:rsid w:val="1CB46646"/>
    <w:rsid w:val="1CBD66FD"/>
    <w:rsid w:val="1CDA105D"/>
    <w:rsid w:val="1D2B1AFB"/>
    <w:rsid w:val="1D434E54"/>
    <w:rsid w:val="1D564B4E"/>
    <w:rsid w:val="1D840FC9"/>
    <w:rsid w:val="1DA506BB"/>
    <w:rsid w:val="1DA67191"/>
    <w:rsid w:val="1DB26E14"/>
    <w:rsid w:val="1DB60813"/>
    <w:rsid w:val="1DBC69B5"/>
    <w:rsid w:val="1DBC74E6"/>
    <w:rsid w:val="1DD41F50"/>
    <w:rsid w:val="1DDD7FE1"/>
    <w:rsid w:val="1DEB1048"/>
    <w:rsid w:val="1DF223D6"/>
    <w:rsid w:val="1E25428C"/>
    <w:rsid w:val="1E256308"/>
    <w:rsid w:val="1E336A50"/>
    <w:rsid w:val="1E471722"/>
    <w:rsid w:val="1E4D585F"/>
    <w:rsid w:val="1E543091"/>
    <w:rsid w:val="1E5906A7"/>
    <w:rsid w:val="1E8A7922"/>
    <w:rsid w:val="1E935967"/>
    <w:rsid w:val="1E94779A"/>
    <w:rsid w:val="1EFB350D"/>
    <w:rsid w:val="1F114ADE"/>
    <w:rsid w:val="1F522E9E"/>
    <w:rsid w:val="1F781450"/>
    <w:rsid w:val="1FCD30FB"/>
    <w:rsid w:val="1FE65F6B"/>
    <w:rsid w:val="1FEF4826"/>
    <w:rsid w:val="1FF16DE9"/>
    <w:rsid w:val="1FFD217C"/>
    <w:rsid w:val="2003323B"/>
    <w:rsid w:val="20237DE4"/>
    <w:rsid w:val="203C3DDD"/>
    <w:rsid w:val="20422737"/>
    <w:rsid w:val="20A4654A"/>
    <w:rsid w:val="20B83463"/>
    <w:rsid w:val="20C24B55"/>
    <w:rsid w:val="20F36B91"/>
    <w:rsid w:val="21294361"/>
    <w:rsid w:val="214868D0"/>
    <w:rsid w:val="214B42D7"/>
    <w:rsid w:val="219537A4"/>
    <w:rsid w:val="21B31E7D"/>
    <w:rsid w:val="21C347B6"/>
    <w:rsid w:val="21D369EC"/>
    <w:rsid w:val="22156D6E"/>
    <w:rsid w:val="2221772E"/>
    <w:rsid w:val="222F59A7"/>
    <w:rsid w:val="2237485C"/>
    <w:rsid w:val="22462CF1"/>
    <w:rsid w:val="22655D1C"/>
    <w:rsid w:val="22833F45"/>
    <w:rsid w:val="228C104B"/>
    <w:rsid w:val="229819F7"/>
    <w:rsid w:val="22B91715"/>
    <w:rsid w:val="22DD3655"/>
    <w:rsid w:val="22FD3CF7"/>
    <w:rsid w:val="230C5CE8"/>
    <w:rsid w:val="23164DB9"/>
    <w:rsid w:val="232B581C"/>
    <w:rsid w:val="232E3EB1"/>
    <w:rsid w:val="235F22BC"/>
    <w:rsid w:val="23887A65"/>
    <w:rsid w:val="23A45F21"/>
    <w:rsid w:val="23D305B4"/>
    <w:rsid w:val="23F76998"/>
    <w:rsid w:val="242E1C8E"/>
    <w:rsid w:val="243948BB"/>
    <w:rsid w:val="24431BDE"/>
    <w:rsid w:val="248D3518"/>
    <w:rsid w:val="24A85D5F"/>
    <w:rsid w:val="24C06D8A"/>
    <w:rsid w:val="24C3687B"/>
    <w:rsid w:val="24DC16EA"/>
    <w:rsid w:val="24EC7B7F"/>
    <w:rsid w:val="251F6A60"/>
    <w:rsid w:val="25587600"/>
    <w:rsid w:val="25FE7FB0"/>
    <w:rsid w:val="26357304"/>
    <w:rsid w:val="265A5438"/>
    <w:rsid w:val="26673911"/>
    <w:rsid w:val="267047E0"/>
    <w:rsid w:val="26914E82"/>
    <w:rsid w:val="26AC3B1E"/>
    <w:rsid w:val="26CC5CDA"/>
    <w:rsid w:val="2721709B"/>
    <w:rsid w:val="27441EF5"/>
    <w:rsid w:val="274F0899"/>
    <w:rsid w:val="27843ED3"/>
    <w:rsid w:val="27A11D89"/>
    <w:rsid w:val="27B20D7A"/>
    <w:rsid w:val="27DA4607"/>
    <w:rsid w:val="281A7247"/>
    <w:rsid w:val="28520641"/>
    <w:rsid w:val="286C3188"/>
    <w:rsid w:val="28991DCC"/>
    <w:rsid w:val="28A569C3"/>
    <w:rsid w:val="28C52BC1"/>
    <w:rsid w:val="29127CFB"/>
    <w:rsid w:val="295403E9"/>
    <w:rsid w:val="296879F1"/>
    <w:rsid w:val="298105E3"/>
    <w:rsid w:val="298408B6"/>
    <w:rsid w:val="298505A2"/>
    <w:rsid w:val="299B6018"/>
    <w:rsid w:val="299D1D5A"/>
    <w:rsid w:val="29B107A8"/>
    <w:rsid w:val="29D31D32"/>
    <w:rsid w:val="29F22DFF"/>
    <w:rsid w:val="2A1060BE"/>
    <w:rsid w:val="2A375D41"/>
    <w:rsid w:val="2A44045E"/>
    <w:rsid w:val="2A481CFC"/>
    <w:rsid w:val="2A5A558B"/>
    <w:rsid w:val="2A691C72"/>
    <w:rsid w:val="2A6E1037"/>
    <w:rsid w:val="2AC1385C"/>
    <w:rsid w:val="2ACA2711"/>
    <w:rsid w:val="2B365FF8"/>
    <w:rsid w:val="2B406E77"/>
    <w:rsid w:val="2B4F70BA"/>
    <w:rsid w:val="2B500B42"/>
    <w:rsid w:val="2B5244B4"/>
    <w:rsid w:val="2BDE3F9A"/>
    <w:rsid w:val="2C2C11A9"/>
    <w:rsid w:val="2CA43435"/>
    <w:rsid w:val="2CB90C8F"/>
    <w:rsid w:val="2CC717BB"/>
    <w:rsid w:val="2CDD4252"/>
    <w:rsid w:val="2CEF2903"/>
    <w:rsid w:val="2D0230C3"/>
    <w:rsid w:val="2D306A77"/>
    <w:rsid w:val="2D482013"/>
    <w:rsid w:val="2D786D08"/>
    <w:rsid w:val="2DBE22D5"/>
    <w:rsid w:val="2DE57862"/>
    <w:rsid w:val="2DF61A6F"/>
    <w:rsid w:val="2DFD104F"/>
    <w:rsid w:val="2E004FBC"/>
    <w:rsid w:val="2E5D3BC9"/>
    <w:rsid w:val="2E831C13"/>
    <w:rsid w:val="2E862DF3"/>
    <w:rsid w:val="2E9B6172"/>
    <w:rsid w:val="2EB150AD"/>
    <w:rsid w:val="2EBA7BA3"/>
    <w:rsid w:val="2EE10029"/>
    <w:rsid w:val="2EF75A9F"/>
    <w:rsid w:val="2F041F69"/>
    <w:rsid w:val="2F407445"/>
    <w:rsid w:val="2F5729E1"/>
    <w:rsid w:val="2F6C3579"/>
    <w:rsid w:val="2F7013AD"/>
    <w:rsid w:val="2F732049"/>
    <w:rsid w:val="2F77273B"/>
    <w:rsid w:val="2FB4573F"/>
    <w:rsid w:val="2FD45DE0"/>
    <w:rsid w:val="2FE5398B"/>
    <w:rsid w:val="305E56A9"/>
    <w:rsid w:val="30751371"/>
    <w:rsid w:val="30803872"/>
    <w:rsid w:val="309D4424"/>
    <w:rsid w:val="30BC6FA0"/>
    <w:rsid w:val="31316355"/>
    <w:rsid w:val="3138414C"/>
    <w:rsid w:val="31471B3E"/>
    <w:rsid w:val="315F792B"/>
    <w:rsid w:val="3163741B"/>
    <w:rsid w:val="318A49A8"/>
    <w:rsid w:val="318F0210"/>
    <w:rsid w:val="319331E3"/>
    <w:rsid w:val="31BE6E40"/>
    <w:rsid w:val="31C42786"/>
    <w:rsid w:val="31E85B72"/>
    <w:rsid w:val="31E87920"/>
    <w:rsid w:val="32266361"/>
    <w:rsid w:val="323A4620"/>
    <w:rsid w:val="32496611"/>
    <w:rsid w:val="32564372"/>
    <w:rsid w:val="32843AED"/>
    <w:rsid w:val="32AE0B6A"/>
    <w:rsid w:val="33064502"/>
    <w:rsid w:val="333F5C66"/>
    <w:rsid w:val="334750E1"/>
    <w:rsid w:val="334868C9"/>
    <w:rsid w:val="33CF6FEA"/>
    <w:rsid w:val="34012F1B"/>
    <w:rsid w:val="340C0F9D"/>
    <w:rsid w:val="34362BC5"/>
    <w:rsid w:val="347D25A2"/>
    <w:rsid w:val="348E76C9"/>
    <w:rsid w:val="349E1E18"/>
    <w:rsid w:val="349F4C0E"/>
    <w:rsid w:val="349F69BC"/>
    <w:rsid w:val="34AE061D"/>
    <w:rsid w:val="34C208FD"/>
    <w:rsid w:val="34CA77B1"/>
    <w:rsid w:val="350E3E24"/>
    <w:rsid w:val="35521C81"/>
    <w:rsid w:val="35625076"/>
    <w:rsid w:val="35633E8E"/>
    <w:rsid w:val="357A6CAD"/>
    <w:rsid w:val="35942299"/>
    <w:rsid w:val="35A96709"/>
    <w:rsid w:val="35BB5A78"/>
    <w:rsid w:val="35D22DC1"/>
    <w:rsid w:val="35F44AE6"/>
    <w:rsid w:val="35F67F15"/>
    <w:rsid w:val="36343134"/>
    <w:rsid w:val="36421CF5"/>
    <w:rsid w:val="36431997"/>
    <w:rsid w:val="366F6862"/>
    <w:rsid w:val="36985DB9"/>
    <w:rsid w:val="36A4475E"/>
    <w:rsid w:val="36AA5AEC"/>
    <w:rsid w:val="36AF3103"/>
    <w:rsid w:val="36DE5C94"/>
    <w:rsid w:val="36EC6E3D"/>
    <w:rsid w:val="37046ED6"/>
    <w:rsid w:val="371B2546"/>
    <w:rsid w:val="371E580F"/>
    <w:rsid w:val="37985945"/>
    <w:rsid w:val="37A35770"/>
    <w:rsid w:val="37DF5322"/>
    <w:rsid w:val="383218F5"/>
    <w:rsid w:val="383513E6"/>
    <w:rsid w:val="38402264"/>
    <w:rsid w:val="385E717F"/>
    <w:rsid w:val="386E79BF"/>
    <w:rsid w:val="3888024E"/>
    <w:rsid w:val="38C904AC"/>
    <w:rsid w:val="38DB01DF"/>
    <w:rsid w:val="38F66DC7"/>
    <w:rsid w:val="391B682D"/>
    <w:rsid w:val="395B4E7C"/>
    <w:rsid w:val="39BD1693"/>
    <w:rsid w:val="39E97A3D"/>
    <w:rsid w:val="3A142C60"/>
    <w:rsid w:val="3A257964"/>
    <w:rsid w:val="3A325BDD"/>
    <w:rsid w:val="3A4678DA"/>
    <w:rsid w:val="3A5244D1"/>
    <w:rsid w:val="3A8D72B7"/>
    <w:rsid w:val="3AB94550"/>
    <w:rsid w:val="3AD04447"/>
    <w:rsid w:val="3AE55345"/>
    <w:rsid w:val="3B3F2CA7"/>
    <w:rsid w:val="3B4F0A10"/>
    <w:rsid w:val="3B634ADD"/>
    <w:rsid w:val="3BA1212E"/>
    <w:rsid w:val="3BBD5C5A"/>
    <w:rsid w:val="3BC74A4B"/>
    <w:rsid w:val="3BFA4E20"/>
    <w:rsid w:val="3C143B2C"/>
    <w:rsid w:val="3C5E53AF"/>
    <w:rsid w:val="3C6D73A0"/>
    <w:rsid w:val="3C9C7C85"/>
    <w:rsid w:val="3CB054DF"/>
    <w:rsid w:val="3CB83658"/>
    <w:rsid w:val="3CD94A35"/>
    <w:rsid w:val="3CFA3AE8"/>
    <w:rsid w:val="3D4F2F4A"/>
    <w:rsid w:val="3D566086"/>
    <w:rsid w:val="3D5D5666"/>
    <w:rsid w:val="3D65276D"/>
    <w:rsid w:val="3D7F55DD"/>
    <w:rsid w:val="3D801355"/>
    <w:rsid w:val="3D94095C"/>
    <w:rsid w:val="3DC76F84"/>
    <w:rsid w:val="3DFD29A6"/>
    <w:rsid w:val="3E3C527C"/>
    <w:rsid w:val="3E4D56DB"/>
    <w:rsid w:val="3E570308"/>
    <w:rsid w:val="3E66679D"/>
    <w:rsid w:val="3E6B5B61"/>
    <w:rsid w:val="3E8C099D"/>
    <w:rsid w:val="3EB72B54"/>
    <w:rsid w:val="3EBC460F"/>
    <w:rsid w:val="3EC6723B"/>
    <w:rsid w:val="3ED66160"/>
    <w:rsid w:val="3ED92ACB"/>
    <w:rsid w:val="3EDB2CE7"/>
    <w:rsid w:val="3EE002FD"/>
    <w:rsid w:val="3F226382"/>
    <w:rsid w:val="3F2301EA"/>
    <w:rsid w:val="3F41255C"/>
    <w:rsid w:val="3F43088C"/>
    <w:rsid w:val="3F4E6A40"/>
    <w:rsid w:val="3F513F7A"/>
    <w:rsid w:val="3F6C7DE3"/>
    <w:rsid w:val="3F7B2D15"/>
    <w:rsid w:val="3F9335C1"/>
    <w:rsid w:val="4044666A"/>
    <w:rsid w:val="40462E63"/>
    <w:rsid w:val="407209E5"/>
    <w:rsid w:val="408B4299"/>
    <w:rsid w:val="408E3D89"/>
    <w:rsid w:val="409C64A6"/>
    <w:rsid w:val="40A67324"/>
    <w:rsid w:val="40CB28E7"/>
    <w:rsid w:val="40CB6D8B"/>
    <w:rsid w:val="40D432EC"/>
    <w:rsid w:val="40E6630E"/>
    <w:rsid w:val="40EA6523"/>
    <w:rsid w:val="411424E0"/>
    <w:rsid w:val="413E755D"/>
    <w:rsid w:val="41432DC5"/>
    <w:rsid w:val="414A0D04"/>
    <w:rsid w:val="414A4154"/>
    <w:rsid w:val="415B2C8D"/>
    <w:rsid w:val="41766CF7"/>
    <w:rsid w:val="418A4550"/>
    <w:rsid w:val="41D35EF7"/>
    <w:rsid w:val="420D1461"/>
    <w:rsid w:val="420F2CA7"/>
    <w:rsid w:val="42472441"/>
    <w:rsid w:val="42870A90"/>
    <w:rsid w:val="42945F7F"/>
    <w:rsid w:val="42D737C5"/>
    <w:rsid w:val="42FA2A5F"/>
    <w:rsid w:val="43014CE6"/>
    <w:rsid w:val="431542ED"/>
    <w:rsid w:val="431C567C"/>
    <w:rsid w:val="432B3B11"/>
    <w:rsid w:val="4359067E"/>
    <w:rsid w:val="435F025C"/>
    <w:rsid w:val="43670FED"/>
    <w:rsid w:val="43A3002E"/>
    <w:rsid w:val="43AF4742"/>
    <w:rsid w:val="43BB4E95"/>
    <w:rsid w:val="43E443EC"/>
    <w:rsid w:val="44406DAA"/>
    <w:rsid w:val="446077EA"/>
    <w:rsid w:val="44760DBC"/>
    <w:rsid w:val="448160DE"/>
    <w:rsid w:val="44D73F50"/>
    <w:rsid w:val="44FF0DB1"/>
    <w:rsid w:val="45170A12"/>
    <w:rsid w:val="45401AF6"/>
    <w:rsid w:val="45563D7E"/>
    <w:rsid w:val="4568104C"/>
    <w:rsid w:val="459534C4"/>
    <w:rsid w:val="45D109A0"/>
    <w:rsid w:val="45D1274E"/>
    <w:rsid w:val="45D73ADC"/>
    <w:rsid w:val="46024FFD"/>
    <w:rsid w:val="46192347"/>
    <w:rsid w:val="461D1E37"/>
    <w:rsid w:val="46717A8D"/>
    <w:rsid w:val="46976AD0"/>
    <w:rsid w:val="4761647E"/>
    <w:rsid w:val="47AB6FCE"/>
    <w:rsid w:val="47CA56A6"/>
    <w:rsid w:val="47DC187E"/>
    <w:rsid w:val="47F70466"/>
    <w:rsid w:val="481D7ECC"/>
    <w:rsid w:val="482C6361"/>
    <w:rsid w:val="48453857"/>
    <w:rsid w:val="4855107D"/>
    <w:rsid w:val="487A531F"/>
    <w:rsid w:val="48A71B56"/>
    <w:rsid w:val="48AF2AEE"/>
    <w:rsid w:val="48D5136B"/>
    <w:rsid w:val="48EB7FCA"/>
    <w:rsid w:val="49024996"/>
    <w:rsid w:val="491F7C74"/>
    <w:rsid w:val="49324034"/>
    <w:rsid w:val="493A2D00"/>
    <w:rsid w:val="494D2A33"/>
    <w:rsid w:val="49575660"/>
    <w:rsid w:val="49777AB0"/>
    <w:rsid w:val="498875C7"/>
    <w:rsid w:val="49D942C7"/>
    <w:rsid w:val="49FB248F"/>
    <w:rsid w:val="49FD39CB"/>
    <w:rsid w:val="4A113742"/>
    <w:rsid w:val="4A2A1124"/>
    <w:rsid w:val="4A4A6615"/>
    <w:rsid w:val="4A7144FF"/>
    <w:rsid w:val="4A9F58F5"/>
    <w:rsid w:val="4AA5064D"/>
    <w:rsid w:val="4AB56AE2"/>
    <w:rsid w:val="4AC705C3"/>
    <w:rsid w:val="4AC9433B"/>
    <w:rsid w:val="4ACF04D7"/>
    <w:rsid w:val="4AD4683C"/>
    <w:rsid w:val="4AE1652F"/>
    <w:rsid w:val="4AF018C8"/>
    <w:rsid w:val="4AF07B1A"/>
    <w:rsid w:val="4B5A7CCA"/>
    <w:rsid w:val="4C1710D6"/>
    <w:rsid w:val="4C182F0D"/>
    <w:rsid w:val="4C1A4723"/>
    <w:rsid w:val="4C2F4672"/>
    <w:rsid w:val="4CA23096"/>
    <w:rsid w:val="4CC4300C"/>
    <w:rsid w:val="4CC96874"/>
    <w:rsid w:val="4CE90CC5"/>
    <w:rsid w:val="4D4E0811"/>
    <w:rsid w:val="4D706CF0"/>
    <w:rsid w:val="4D77007F"/>
    <w:rsid w:val="4D851771"/>
    <w:rsid w:val="4DE671C5"/>
    <w:rsid w:val="4E136DD7"/>
    <w:rsid w:val="4E2B19FC"/>
    <w:rsid w:val="4E345F70"/>
    <w:rsid w:val="4E397EBF"/>
    <w:rsid w:val="4E834801"/>
    <w:rsid w:val="4E872543"/>
    <w:rsid w:val="4E894630"/>
    <w:rsid w:val="4EB32F1C"/>
    <w:rsid w:val="4F277882"/>
    <w:rsid w:val="4F6C798B"/>
    <w:rsid w:val="4F8B1BBF"/>
    <w:rsid w:val="4FAE58AE"/>
    <w:rsid w:val="50175B49"/>
    <w:rsid w:val="503C55AF"/>
    <w:rsid w:val="504A7CCC"/>
    <w:rsid w:val="505428F9"/>
    <w:rsid w:val="505521CD"/>
    <w:rsid w:val="508D1C0C"/>
    <w:rsid w:val="50A72C54"/>
    <w:rsid w:val="50AC44E3"/>
    <w:rsid w:val="51197493"/>
    <w:rsid w:val="512C5624"/>
    <w:rsid w:val="512F6EC2"/>
    <w:rsid w:val="5144471C"/>
    <w:rsid w:val="514F30C0"/>
    <w:rsid w:val="5155711A"/>
    <w:rsid w:val="516376EA"/>
    <w:rsid w:val="51CC500C"/>
    <w:rsid w:val="51FB0B52"/>
    <w:rsid w:val="5218142E"/>
    <w:rsid w:val="52325599"/>
    <w:rsid w:val="529E3882"/>
    <w:rsid w:val="52CC2441"/>
    <w:rsid w:val="52CF280D"/>
    <w:rsid w:val="53204D14"/>
    <w:rsid w:val="532C190B"/>
    <w:rsid w:val="5334431C"/>
    <w:rsid w:val="539B083F"/>
    <w:rsid w:val="539E5B51"/>
    <w:rsid w:val="539F5B44"/>
    <w:rsid w:val="53BD69E9"/>
    <w:rsid w:val="53DC50DF"/>
    <w:rsid w:val="540D34EB"/>
    <w:rsid w:val="5430298F"/>
    <w:rsid w:val="54302D35"/>
    <w:rsid w:val="543547EF"/>
    <w:rsid w:val="544B7B6F"/>
    <w:rsid w:val="545E3D46"/>
    <w:rsid w:val="54696247"/>
    <w:rsid w:val="54AF6350"/>
    <w:rsid w:val="54B90F7D"/>
    <w:rsid w:val="54D67D81"/>
    <w:rsid w:val="54EB1352"/>
    <w:rsid w:val="55137FA3"/>
    <w:rsid w:val="55214D74"/>
    <w:rsid w:val="55344AA7"/>
    <w:rsid w:val="553C395C"/>
    <w:rsid w:val="55482300"/>
    <w:rsid w:val="557C748F"/>
    <w:rsid w:val="55B47996"/>
    <w:rsid w:val="55B856D8"/>
    <w:rsid w:val="55BA1450"/>
    <w:rsid w:val="55C7591B"/>
    <w:rsid w:val="55C776C9"/>
    <w:rsid w:val="56252926"/>
    <w:rsid w:val="56336B0D"/>
    <w:rsid w:val="563D5BDD"/>
    <w:rsid w:val="56503B63"/>
    <w:rsid w:val="56756023"/>
    <w:rsid w:val="567710EF"/>
    <w:rsid w:val="56785D5C"/>
    <w:rsid w:val="56826F9D"/>
    <w:rsid w:val="56B626B1"/>
    <w:rsid w:val="56DC0F52"/>
    <w:rsid w:val="56F6298E"/>
    <w:rsid w:val="57160908"/>
    <w:rsid w:val="571D36DF"/>
    <w:rsid w:val="574014E1"/>
    <w:rsid w:val="57437223"/>
    <w:rsid w:val="5774562F"/>
    <w:rsid w:val="57CE11E3"/>
    <w:rsid w:val="57DC2EB9"/>
    <w:rsid w:val="57DF519E"/>
    <w:rsid w:val="57F30C49"/>
    <w:rsid w:val="58164938"/>
    <w:rsid w:val="582B4E00"/>
    <w:rsid w:val="58773629"/>
    <w:rsid w:val="587F6039"/>
    <w:rsid w:val="58966F98"/>
    <w:rsid w:val="58A12453"/>
    <w:rsid w:val="58D96797"/>
    <w:rsid w:val="58F509F1"/>
    <w:rsid w:val="594A4899"/>
    <w:rsid w:val="595863B4"/>
    <w:rsid w:val="59617E35"/>
    <w:rsid w:val="597005B1"/>
    <w:rsid w:val="597D4C6F"/>
    <w:rsid w:val="59D10B16"/>
    <w:rsid w:val="59E051FD"/>
    <w:rsid w:val="59E720E8"/>
    <w:rsid w:val="5A655703"/>
    <w:rsid w:val="5A7F67C4"/>
    <w:rsid w:val="5A821E11"/>
    <w:rsid w:val="5A8E6A07"/>
    <w:rsid w:val="5A937C42"/>
    <w:rsid w:val="5A9D6C4B"/>
    <w:rsid w:val="5AAA5B4B"/>
    <w:rsid w:val="5AB126F6"/>
    <w:rsid w:val="5ACB1A0A"/>
    <w:rsid w:val="5AD52888"/>
    <w:rsid w:val="5AF55D3B"/>
    <w:rsid w:val="5B2B24A8"/>
    <w:rsid w:val="5B372BFB"/>
    <w:rsid w:val="5B386973"/>
    <w:rsid w:val="5B3E6680"/>
    <w:rsid w:val="5B7A63DB"/>
    <w:rsid w:val="5B8B2F47"/>
    <w:rsid w:val="5B9444F1"/>
    <w:rsid w:val="5BC36B85"/>
    <w:rsid w:val="5C817072"/>
    <w:rsid w:val="5C887E06"/>
    <w:rsid w:val="5C9D4616"/>
    <w:rsid w:val="5CA34158"/>
    <w:rsid w:val="5CD56B70"/>
    <w:rsid w:val="5CE172C2"/>
    <w:rsid w:val="5CEA7186"/>
    <w:rsid w:val="5CFF1576"/>
    <w:rsid w:val="5D1D4073"/>
    <w:rsid w:val="5D1F2223"/>
    <w:rsid w:val="5D396473"/>
    <w:rsid w:val="5D45221C"/>
    <w:rsid w:val="5D50269A"/>
    <w:rsid w:val="5D63417B"/>
    <w:rsid w:val="5D930F11"/>
    <w:rsid w:val="5D972077"/>
    <w:rsid w:val="5DC82230"/>
    <w:rsid w:val="5DD26E34"/>
    <w:rsid w:val="5E4D2736"/>
    <w:rsid w:val="5E59557E"/>
    <w:rsid w:val="5E82196E"/>
    <w:rsid w:val="5E895E64"/>
    <w:rsid w:val="5EC92704"/>
    <w:rsid w:val="5EFB03E4"/>
    <w:rsid w:val="5EFC6636"/>
    <w:rsid w:val="5F351B48"/>
    <w:rsid w:val="5F69359F"/>
    <w:rsid w:val="5F6B5569"/>
    <w:rsid w:val="5F772160"/>
    <w:rsid w:val="5F8E3006"/>
    <w:rsid w:val="5F990328"/>
    <w:rsid w:val="5FC12EA4"/>
    <w:rsid w:val="5FF27A39"/>
    <w:rsid w:val="5FF31A26"/>
    <w:rsid w:val="60116111"/>
    <w:rsid w:val="60CF5479"/>
    <w:rsid w:val="60E76E71"/>
    <w:rsid w:val="60EA60F2"/>
    <w:rsid w:val="60F03F78"/>
    <w:rsid w:val="611C2FBF"/>
    <w:rsid w:val="614147D4"/>
    <w:rsid w:val="614222FA"/>
    <w:rsid w:val="61616C24"/>
    <w:rsid w:val="61774699"/>
    <w:rsid w:val="621E4B15"/>
    <w:rsid w:val="621F43E9"/>
    <w:rsid w:val="62402CDD"/>
    <w:rsid w:val="62500A46"/>
    <w:rsid w:val="625A1F90"/>
    <w:rsid w:val="6260512D"/>
    <w:rsid w:val="62A0131E"/>
    <w:rsid w:val="62C54F90"/>
    <w:rsid w:val="62EE098B"/>
    <w:rsid w:val="62F926F0"/>
    <w:rsid w:val="62FB4E56"/>
    <w:rsid w:val="62FC4F33"/>
    <w:rsid w:val="63185A08"/>
    <w:rsid w:val="6322723B"/>
    <w:rsid w:val="634E259D"/>
    <w:rsid w:val="63696264"/>
    <w:rsid w:val="636C365E"/>
    <w:rsid w:val="63D00091"/>
    <w:rsid w:val="63F06751"/>
    <w:rsid w:val="63FA2C04"/>
    <w:rsid w:val="64047D3A"/>
    <w:rsid w:val="6416205D"/>
    <w:rsid w:val="641A130C"/>
    <w:rsid w:val="645962D8"/>
    <w:rsid w:val="64754DD6"/>
    <w:rsid w:val="649E1424"/>
    <w:rsid w:val="64D23995"/>
    <w:rsid w:val="64F41B5D"/>
    <w:rsid w:val="65055B18"/>
    <w:rsid w:val="651D10B4"/>
    <w:rsid w:val="65626BE9"/>
    <w:rsid w:val="65652A5B"/>
    <w:rsid w:val="657819C9"/>
    <w:rsid w:val="659B647C"/>
    <w:rsid w:val="65BF40D2"/>
    <w:rsid w:val="661E3335"/>
    <w:rsid w:val="66682803"/>
    <w:rsid w:val="66720430"/>
    <w:rsid w:val="66862C89"/>
    <w:rsid w:val="66D103A8"/>
    <w:rsid w:val="66F10A4A"/>
    <w:rsid w:val="67087B42"/>
    <w:rsid w:val="6751773B"/>
    <w:rsid w:val="675B2D5F"/>
    <w:rsid w:val="676F7BC1"/>
    <w:rsid w:val="67CD6BD3"/>
    <w:rsid w:val="67FD2842"/>
    <w:rsid w:val="685F7C35"/>
    <w:rsid w:val="68797C61"/>
    <w:rsid w:val="68833924"/>
    <w:rsid w:val="688D6550"/>
    <w:rsid w:val="689B6598"/>
    <w:rsid w:val="68A026CB"/>
    <w:rsid w:val="68A1024E"/>
    <w:rsid w:val="68A84AD4"/>
    <w:rsid w:val="68B43ADD"/>
    <w:rsid w:val="68CA1553"/>
    <w:rsid w:val="68EB3277"/>
    <w:rsid w:val="69074555"/>
    <w:rsid w:val="694E3F32"/>
    <w:rsid w:val="695D23C7"/>
    <w:rsid w:val="69B45BF9"/>
    <w:rsid w:val="69FC398E"/>
    <w:rsid w:val="6A0E1913"/>
    <w:rsid w:val="6A1B3A79"/>
    <w:rsid w:val="6A1C68D2"/>
    <w:rsid w:val="6A325601"/>
    <w:rsid w:val="6A327DB0"/>
    <w:rsid w:val="6A6634FD"/>
    <w:rsid w:val="6AA71193"/>
    <w:rsid w:val="6AC04C1B"/>
    <w:rsid w:val="6AD42215"/>
    <w:rsid w:val="6AD46A66"/>
    <w:rsid w:val="6AE336EF"/>
    <w:rsid w:val="6B0C0AB8"/>
    <w:rsid w:val="6B0C2013"/>
    <w:rsid w:val="6B4355EC"/>
    <w:rsid w:val="6B604475"/>
    <w:rsid w:val="6B6C68F1"/>
    <w:rsid w:val="6B721BC5"/>
    <w:rsid w:val="6BA442DD"/>
    <w:rsid w:val="6BD10E4A"/>
    <w:rsid w:val="6BFF5BB6"/>
    <w:rsid w:val="6C094140"/>
    <w:rsid w:val="6C0E5BFA"/>
    <w:rsid w:val="6C184508"/>
    <w:rsid w:val="6C413B90"/>
    <w:rsid w:val="6C472EBA"/>
    <w:rsid w:val="6C5555D7"/>
    <w:rsid w:val="6CBB43DF"/>
    <w:rsid w:val="6CCB5899"/>
    <w:rsid w:val="6CEB1A97"/>
    <w:rsid w:val="6D396CA7"/>
    <w:rsid w:val="6D555EC7"/>
    <w:rsid w:val="6D7E0A7B"/>
    <w:rsid w:val="6DC61E74"/>
    <w:rsid w:val="6DEF229A"/>
    <w:rsid w:val="6E001573"/>
    <w:rsid w:val="6E0948CB"/>
    <w:rsid w:val="6E0F7A08"/>
    <w:rsid w:val="6E180BE2"/>
    <w:rsid w:val="6E3851B0"/>
    <w:rsid w:val="6E4B4EE4"/>
    <w:rsid w:val="6E934195"/>
    <w:rsid w:val="6ED722D3"/>
    <w:rsid w:val="6F0B01CF"/>
    <w:rsid w:val="6F223CBA"/>
    <w:rsid w:val="6F2B0871"/>
    <w:rsid w:val="6F2D26EC"/>
    <w:rsid w:val="6F327E52"/>
    <w:rsid w:val="6F4403F5"/>
    <w:rsid w:val="6F71097A"/>
    <w:rsid w:val="6F7A7103"/>
    <w:rsid w:val="6F9603E0"/>
    <w:rsid w:val="6FEE1FCA"/>
    <w:rsid w:val="6FF13869"/>
    <w:rsid w:val="701C7F69"/>
    <w:rsid w:val="702F1F81"/>
    <w:rsid w:val="70403274"/>
    <w:rsid w:val="704C7CC3"/>
    <w:rsid w:val="705160B5"/>
    <w:rsid w:val="7056191E"/>
    <w:rsid w:val="706978A3"/>
    <w:rsid w:val="70980188"/>
    <w:rsid w:val="70AB32ED"/>
    <w:rsid w:val="70D80585"/>
    <w:rsid w:val="70E62CA2"/>
    <w:rsid w:val="70EE1B56"/>
    <w:rsid w:val="70FD7FEB"/>
    <w:rsid w:val="713567C2"/>
    <w:rsid w:val="71424202"/>
    <w:rsid w:val="71793B16"/>
    <w:rsid w:val="717E5E6E"/>
    <w:rsid w:val="71804EA4"/>
    <w:rsid w:val="718F50E7"/>
    <w:rsid w:val="71926986"/>
    <w:rsid w:val="71B52674"/>
    <w:rsid w:val="71EA67C2"/>
    <w:rsid w:val="71FD0D57"/>
    <w:rsid w:val="720A0C12"/>
    <w:rsid w:val="72233A82"/>
    <w:rsid w:val="722E4900"/>
    <w:rsid w:val="724C2FD8"/>
    <w:rsid w:val="725105EF"/>
    <w:rsid w:val="72534367"/>
    <w:rsid w:val="725B0422"/>
    <w:rsid w:val="726E0612"/>
    <w:rsid w:val="72D82ABE"/>
    <w:rsid w:val="72DF209E"/>
    <w:rsid w:val="72DF3E4C"/>
    <w:rsid w:val="72ED47BB"/>
    <w:rsid w:val="73552361"/>
    <w:rsid w:val="736A5E0C"/>
    <w:rsid w:val="737547B1"/>
    <w:rsid w:val="739C3AEB"/>
    <w:rsid w:val="741E2752"/>
    <w:rsid w:val="742A559B"/>
    <w:rsid w:val="742C1313"/>
    <w:rsid w:val="7447614D"/>
    <w:rsid w:val="744A3547"/>
    <w:rsid w:val="74620891"/>
    <w:rsid w:val="746B32F9"/>
    <w:rsid w:val="74A06189"/>
    <w:rsid w:val="74C42B2A"/>
    <w:rsid w:val="74C4779E"/>
    <w:rsid w:val="74C8791E"/>
    <w:rsid w:val="74D3353D"/>
    <w:rsid w:val="7513662A"/>
    <w:rsid w:val="755D54FC"/>
    <w:rsid w:val="756D47FB"/>
    <w:rsid w:val="75792336"/>
    <w:rsid w:val="757A7E5C"/>
    <w:rsid w:val="75A35605"/>
    <w:rsid w:val="75C15A8B"/>
    <w:rsid w:val="75C31803"/>
    <w:rsid w:val="75E659CC"/>
    <w:rsid w:val="76067942"/>
    <w:rsid w:val="76285B0A"/>
    <w:rsid w:val="76A07D97"/>
    <w:rsid w:val="76C021E7"/>
    <w:rsid w:val="770420D4"/>
    <w:rsid w:val="770F2826"/>
    <w:rsid w:val="773724A9"/>
    <w:rsid w:val="774626EC"/>
    <w:rsid w:val="77562203"/>
    <w:rsid w:val="775A1CF3"/>
    <w:rsid w:val="775B17AA"/>
    <w:rsid w:val="7783749C"/>
    <w:rsid w:val="77A128CD"/>
    <w:rsid w:val="77F44C63"/>
    <w:rsid w:val="77F739E6"/>
    <w:rsid w:val="782557C0"/>
    <w:rsid w:val="78484242"/>
    <w:rsid w:val="78A53442"/>
    <w:rsid w:val="78DF7008"/>
    <w:rsid w:val="790E2D96"/>
    <w:rsid w:val="791D122B"/>
    <w:rsid w:val="794B223C"/>
    <w:rsid w:val="796E5F2A"/>
    <w:rsid w:val="7974057E"/>
    <w:rsid w:val="79F44681"/>
    <w:rsid w:val="79F77CCE"/>
    <w:rsid w:val="7A0B07A6"/>
    <w:rsid w:val="7A122D59"/>
    <w:rsid w:val="7A1C5986"/>
    <w:rsid w:val="7A396538"/>
    <w:rsid w:val="7A4D5B40"/>
    <w:rsid w:val="7A5275FA"/>
    <w:rsid w:val="7A8F3B44"/>
    <w:rsid w:val="7A914790"/>
    <w:rsid w:val="7AB756AF"/>
    <w:rsid w:val="7AED09AB"/>
    <w:rsid w:val="7B290086"/>
    <w:rsid w:val="7B5A49B8"/>
    <w:rsid w:val="7B6475E5"/>
    <w:rsid w:val="7B6770D5"/>
    <w:rsid w:val="7B875081"/>
    <w:rsid w:val="7BA43E85"/>
    <w:rsid w:val="7C296138"/>
    <w:rsid w:val="7C3945CD"/>
    <w:rsid w:val="7C3C40BE"/>
    <w:rsid w:val="7C3E354E"/>
    <w:rsid w:val="7C492337"/>
    <w:rsid w:val="7C4D0079"/>
    <w:rsid w:val="7C587F00"/>
    <w:rsid w:val="7C6E0CB7"/>
    <w:rsid w:val="7C7750F6"/>
    <w:rsid w:val="7CA80D54"/>
    <w:rsid w:val="7CF34035"/>
    <w:rsid w:val="7CF77FE5"/>
    <w:rsid w:val="7D0746CC"/>
    <w:rsid w:val="7D083FA0"/>
    <w:rsid w:val="7D0A41BC"/>
    <w:rsid w:val="7D2C34C7"/>
    <w:rsid w:val="7D2C700F"/>
    <w:rsid w:val="7D625DA6"/>
    <w:rsid w:val="7D715FE9"/>
    <w:rsid w:val="7DA261A2"/>
    <w:rsid w:val="7DAB444C"/>
    <w:rsid w:val="7DAD7B4D"/>
    <w:rsid w:val="7DBB1012"/>
    <w:rsid w:val="7DCC1471"/>
    <w:rsid w:val="7DE94569"/>
    <w:rsid w:val="7DF033B2"/>
    <w:rsid w:val="7E026C41"/>
    <w:rsid w:val="7E061BFA"/>
    <w:rsid w:val="7E1626EC"/>
    <w:rsid w:val="7E5576B9"/>
    <w:rsid w:val="7E6E42D6"/>
    <w:rsid w:val="7E7062A0"/>
    <w:rsid w:val="7E834226"/>
    <w:rsid w:val="7E9E0FEE"/>
    <w:rsid w:val="7EDB5E10"/>
    <w:rsid w:val="7EE051D4"/>
    <w:rsid w:val="7EF7251E"/>
    <w:rsid w:val="7F405C73"/>
    <w:rsid w:val="7F435763"/>
    <w:rsid w:val="7FA30658"/>
    <w:rsid w:val="7FC71EF0"/>
    <w:rsid w:val="7FE707E4"/>
    <w:rsid w:val="7FEF6E73"/>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0" w:semiHidden="0" w:name="index 1"/>
    <w:lsdException w:uiPriority="99" w:name="index 2" w:locked="1"/>
    <w:lsdException w:qFormat="1" w:unhideWhenUsed="0" w:uiPriority="0" w:semiHidden="0" w:name="index 3" w:locked="1"/>
    <w:lsdException w:qFormat="1" w:unhideWhenUsed="0" w:uiPriority="0" w:semiHidden="0"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0" w:semiHidden="0" w:name="caption"/>
    <w:lsdException w:uiPriority="99" w:name="table of figures" w:locked="1"/>
    <w:lsdException w:uiPriority="99" w:name="envelope address" w:locked="1"/>
    <w:lsdException w:uiPriority="99" w:name="envelope return" w:locked="1"/>
    <w:lsdException w:qFormat="1" w:unhideWhenUsed="0" w:uiPriority="0" w:semiHidden="0" w:name="footnote reference"/>
    <w:lsdException w:qFormat="1" w:unhideWhenUsed="0" w:uiPriority="99" w:semiHidden="0" w:name="annotation reference"/>
    <w:lsdException w:qFormat="1" w:unhideWhenUsed="0" w:uiPriority="0" w:semiHidden="0" w:name="line number" w:locked="1"/>
    <w:lsdException w:qFormat="1" w:unhideWhenUsed="0" w:uiPriority="0"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0" w:semiHidden="0" w:name="toa heading" w:locked="1"/>
    <w:lsdException w:qFormat="1" w:unhideWhenUsed="0" w:uiPriority="0" w:semiHidden="0" w:name="List" w:locked="1"/>
    <w:lsdException w:qFormat="1" w:unhideWhenUsed="0" w:uiPriority="0" w:semiHidden="0" w:name="List Bullet"/>
    <w:lsdException w:uiPriority="99" w:name="List Number" w:locked="1"/>
    <w:lsdException w:qFormat="1" w:unhideWhenUsed="0" w:uiPriority="0" w:semiHidden="0" w:name="List 2" w:locked="1"/>
    <w:lsdException w:qFormat="1" w:unhideWhenUsed="0" w:uiPriority="0" w:semiHidden="0" w:name="List 3" w:locked="1"/>
    <w:lsdException w:qFormat="1" w:unhideWhenUsed="0" w:uiPriority="0" w:semiHidden="0" w:name="List 4" w:locked="1"/>
    <w:lsdException w:qFormat="1" w:unhideWhenUsed="0" w:uiPriority="0" w:semiHidden="0" w:name="List 5" w:locked="1"/>
    <w:lsdException w:uiPriority="99" w:name="List Bullet 2" w:locked="1"/>
    <w:lsdException w:uiPriority="99" w:name="List Bullet 3" w:locked="1"/>
    <w:lsdException w:qFormat="1"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qFormat="1" w:unhideWhenUsed="0" w:uiPriority="0" w:semiHidden="0" w:name="List Continue 5" w:locked="1"/>
    <w:lsdException w:uiPriority="99" w:name="Message Header" w:locked="1"/>
    <w:lsdException w:qFormat="1" w:unhideWhenUsed="0" w:uiPriority="11" w:semiHidden="0" w:name="Subtitle"/>
    <w:lsdException w:uiPriority="99" w:name="Salutation" w:locked="1"/>
    <w:lsdException w:qFormat="1" w:unhideWhenUsed="0" w:uiPriority="0" w:semiHidden="0" w:name="Date"/>
    <w:lsdException w:qFormat="1" w:unhideWhenUsed="0" w:uiPriority="99" w:semiHidden="0" w:name="Body Text First Indent" w:locked="1"/>
    <w:lsdException w:qFormat="1" w:unhideWhenUsed="0" w:uiPriority="99" w:semiHidden="0"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qFormat="1" w:uiPriority="99" w:name="HTML Cite" w:locked="1"/>
    <w:lsdException w:qFormat="1" w:uiPriority="99" w:name="HTML Code" w:locked="1"/>
    <w:lsdException w:qFormat="1" w:uiPriority="99" w:name="HTML Definition" w:locked="1"/>
    <w:lsdException w:uiPriority="99" w:name="HTML Keyboard" w:locked="1"/>
    <w:lsdException w:qFormat="1" w:uiPriority="99" w:semiHidden="0" w:name="HTML Preformatted" w:locked="1"/>
    <w:lsdException w:uiPriority="99" w:name="HTML Sample" w:locked="1"/>
    <w:lsdException w:uiPriority="99" w:name="HTML Typewriter" w:locked="1"/>
    <w:lsdException w:qFormat="1"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iPriority="99" w:semiHidden="0" w:name="Balloon Text" w:locked="1"/>
    <w:lsdException w:qFormat="1" w:unhideWhenUsed="0" w:uiPriority="99" w:semiHidden="0" w:name="Table Grid"/>
    <w:lsdException w:uiPriority="99" w:name="Table Theme" w:locked="1"/>
    <w:lsdException w:qFormat="1" w:uiPriority="99"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73"/>
    <w:autoRedefine/>
    <w:qFormat/>
    <w:uiPriority w:val="99"/>
    <w:pPr>
      <w:keepNext/>
      <w:widowControl/>
      <w:numPr>
        <w:ilvl w:val="0"/>
        <w:numId w:val="1"/>
      </w:numPr>
      <w:jc w:val="center"/>
      <w:outlineLvl w:val="0"/>
    </w:pPr>
    <w:rPr>
      <w:rFonts w:ascii="黑体" w:eastAsia="黑体"/>
      <w:kern w:val="0"/>
      <w:sz w:val="52"/>
      <w:szCs w:val="20"/>
    </w:rPr>
  </w:style>
  <w:style w:type="paragraph" w:styleId="5">
    <w:name w:val="heading 2"/>
    <w:basedOn w:val="1"/>
    <w:next w:val="1"/>
    <w:link w:val="74"/>
    <w:autoRedefine/>
    <w:qFormat/>
    <w:uiPriority w:val="99"/>
    <w:pPr>
      <w:keepLines/>
      <w:tabs>
        <w:tab w:val="left" w:pos="432"/>
      </w:tabs>
      <w:spacing w:before="260" w:after="260" w:line="413" w:lineRule="auto"/>
      <w:jc w:val="left"/>
      <w:outlineLvl w:val="1"/>
    </w:pPr>
    <w:rPr>
      <w:rFonts w:ascii="Arial" w:hAnsi="Arial"/>
      <w:b/>
      <w:bCs/>
      <w:sz w:val="32"/>
      <w:szCs w:val="32"/>
    </w:rPr>
  </w:style>
  <w:style w:type="paragraph" w:styleId="6">
    <w:name w:val="heading 3"/>
    <w:basedOn w:val="1"/>
    <w:next w:val="1"/>
    <w:link w:val="75"/>
    <w:autoRedefine/>
    <w:qFormat/>
    <w:uiPriority w:val="99"/>
    <w:pPr>
      <w:keepNext/>
      <w:keepLines/>
      <w:widowControl/>
      <w:numPr>
        <w:ilvl w:val="2"/>
        <w:numId w:val="1"/>
      </w:numPr>
      <w:tabs>
        <w:tab w:val="left" w:pos="432"/>
      </w:tabs>
      <w:spacing w:before="120" w:after="120" w:line="360" w:lineRule="auto"/>
      <w:jc w:val="center"/>
      <w:outlineLvl w:val="2"/>
    </w:pPr>
    <w:rPr>
      <w:b/>
      <w:kern w:val="0"/>
      <w:sz w:val="32"/>
      <w:szCs w:val="20"/>
    </w:rPr>
  </w:style>
  <w:style w:type="paragraph" w:styleId="7">
    <w:name w:val="heading 4"/>
    <w:basedOn w:val="1"/>
    <w:next w:val="1"/>
    <w:link w:val="76"/>
    <w:autoRedefine/>
    <w:qFormat/>
    <w:uiPriority w:val="9"/>
    <w:pPr>
      <w:keepNext/>
      <w:jc w:val="center"/>
      <w:outlineLvl w:val="3"/>
    </w:pPr>
    <w:rPr>
      <w:rFonts w:eastAsia="PMingLiU"/>
      <w:kern w:val="0"/>
      <w:sz w:val="20"/>
      <w:szCs w:val="20"/>
      <w:u w:val="single"/>
      <w:lang w:eastAsia="zh-TW"/>
    </w:rPr>
  </w:style>
  <w:style w:type="paragraph" w:styleId="8">
    <w:name w:val="heading 5"/>
    <w:basedOn w:val="1"/>
    <w:next w:val="1"/>
    <w:link w:val="77"/>
    <w:autoRedefine/>
    <w:qFormat/>
    <w:uiPriority w:val="0"/>
    <w:pPr>
      <w:keepNext/>
      <w:tabs>
        <w:tab w:val="left" w:pos="1134"/>
      </w:tabs>
      <w:ind w:left="1134" w:hanging="1134"/>
      <w:outlineLvl w:val="4"/>
    </w:pPr>
    <w:rPr>
      <w:rFonts w:ascii="Univers" w:hAnsi="Univers" w:eastAsia="PMingLiU"/>
      <w:kern w:val="0"/>
      <w:sz w:val="20"/>
      <w:szCs w:val="20"/>
      <w:lang w:eastAsia="zh-TW"/>
    </w:rPr>
  </w:style>
  <w:style w:type="paragraph" w:styleId="9">
    <w:name w:val="heading 6"/>
    <w:basedOn w:val="1"/>
    <w:next w:val="1"/>
    <w:link w:val="78"/>
    <w:autoRedefine/>
    <w:qFormat/>
    <w:uiPriority w:val="99"/>
    <w:pPr>
      <w:keepNext/>
      <w:keepLines/>
      <w:widowControl/>
      <w:numPr>
        <w:ilvl w:val="5"/>
        <w:numId w:val="1"/>
      </w:numPr>
      <w:spacing w:before="240" w:after="64" w:line="317" w:lineRule="auto"/>
      <w:jc w:val="left"/>
      <w:outlineLvl w:val="5"/>
    </w:pPr>
    <w:rPr>
      <w:rFonts w:ascii="Arial" w:hAnsi="Arial" w:eastAsia="黑体"/>
      <w:b/>
      <w:bCs/>
      <w:kern w:val="0"/>
      <w:sz w:val="24"/>
    </w:rPr>
  </w:style>
  <w:style w:type="paragraph" w:styleId="10">
    <w:name w:val="heading 7"/>
    <w:basedOn w:val="1"/>
    <w:next w:val="1"/>
    <w:link w:val="79"/>
    <w:autoRedefine/>
    <w:qFormat/>
    <w:uiPriority w:val="99"/>
    <w:pPr>
      <w:keepNext/>
      <w:keepLines/>
      <w:widowControl/>
      <w:numPr>
        <w:ilvl w:val="6"/>
        <w:numId w:val="1"/>
      </w:numPr>
      <w:spacing w:before="240" w:after="64" w:line="317" w:lineRule="auto"/>
      <w:jc w:val="left"/>
      <w:outlineLvl w:val="6"/>
    </w:pPr>
    <w:rPr>
      <w:b/>
      <w:bCs/>
      <w:kern w:val="0"/>
      <w:sz w:val="24"/>
    </w:rPr>
  </w:style>
  <w:style w:type="paragraph" w:styleId="11">
    <w:name w:val="heading 8"/>
    <w:basedOn w:val="1"/>
    <w:next w:val="1"/>
    <w:link w:val="80"/>
    <w:autoRedefine/>
    <w:qFormat/>
    <w:uiPriority w:val="99"/>
    <w:pPr>
      <w:keepNext/>
      <w:keepLines/>
      <w:widowControl/>
      <w:numPr>
        <w:ilvl w:val="7"/>
        <w:numId w:val="1"/>
      </w:numPr>
      <w:spacing w:before="240" w:after="64" w:line="317" w:lineRule="auto"/>
      <w:jc w:val="left"/>
      <w:outlineLvl w:val="7"/>
    </w:pPr>
    <w:rPr>
      <w:rFonts w:ascii="Arial" w:hAnsi="Arial" w:eastAsia="黑体"/>
      <w:kern w:val="0"/>
      <w:sz w:val="24"/>
    </w:rPr>
  </w:style>
  <w:style w:type="paragraph" w:styleId="12">
    <w:name w:val="heading 9"/>
    <w:basedOn w:val="1"/>
    <w:next w:val="1"/>
    <w:link w:val="81"/>
    <w:autoRedefine/>
    <w:qFormat/>
    <w:uiPriority w:val="99"/>
    <w:pPr>
      <w:keepNext/>
      <w:keepLines/>
      <w:widowControl/>
      <w:numPr>
        <w:ilvl w:val="8"/>
        <w:numId w:val="1"/>
      </w:numPr>
      <w:spacing w:before="240" w:after="64" w:line="317" w:lineRule="auto"/>
      <w:jc w:val="left"/>
      <w:outlineLvl w:val="8"/>
    </w:pPr>
    <w:rPr>
      <w:rFonts w:ascii="Arial" w:hAnsi="Arial" w:eastAsia="黑体"/>
      <w:kern w:val="0"/>
      <w:sz w:val="20"/>
      <w:szCs w:val="21"/>
    </w:rPr>
  </w:style>
  <w:style w:type="character" w:default="1" w:styleId="58">
    <w:name w:val="Default Paragraph Font"/>
    <w:autoRedefine/>
    <w:semiHidden/>
    <w:unhideWhenUsed/>
    <w:qFormat/>
    <w:uiPriority w:val="1"/>
  </w:style>
  <w:style w:type="table" w:default="1" w:styleId="56">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2"/>
    <w:basedOn w:val="3"/>
    <w:next w:val="1"/>
    <w:link w:val="288"/>
    <w:autoRedefine/>
    <w:qFormat/>
    <w:locked/>
    <w:uiPriority w:val="99"/>
    <w:pPr>
      <w:spacing w:line="240" w:lineRule="auto"/>
      <w:ind w:left="420" w:leftChars="200" w:firstLine="420" w:firstLineChars="200"/>
    </w:pPr>
    <w:rPr>
      <w:kern w:val="2"/>
      <w:sz w:val="21"/>
      <w:szCs w:val="20"/>
    </w:rPr>
  </w:style>
  <w:style w:type="paragraph" w:styleId="3">
    <w:name w:val="Body Text Indent"/>
    <w:basedOn w:val="1"/>
    <w:link w:val="177"/>
    <w:autoRedefine/>
    <w:qFormat/>
    <w:uiPriority w:val="0"/>
    <w:pPr>
      <w:spacing w:line="360" w:lineRule="auto"/>
      <w:ind w:firstLine="435"/>
    </w:pPr>
    <w:rPr>
      <w:kern w:val="0"/>
      <w:sz w:val="24"/>
    </w:rPr>
  </w:style>
  <w:style w:type="paragraph" w:styleId="13">
    <w:name w:val="List 3"/>
    <w:basedOn w:val="1"/>
    <w:autoRedefine/>
    <w:qFormat/>
    <w:locked/>
    <w:uiPriority w:val="0"/>
    <w:pPr>
      <w:ind w:left="100" w:leftChars="400" w:hanging="200" w:hangingChars="200"/>
    </w:pPr>
    <w:rPr>
      <w:szCs w:val="20"/>
    </w:rPr>
  </w:style>
  <w:style w:type="paragraph" w:styleId="14">
    <w:name w:val="toc 7"/>
    <w:basedOn w:val="1"/>
    <w:next w:val="1"/>
    <w:autoRedefine/>
    <w:qFormat/>
    <w:uiPriority w:val="0"/>
    <w:pPr>
      <w:widowControl/>
      <w:ind w:left="1440"/>
      <w:jc w:val="left"/>
    </w:pPr>
    <w:rPr>
      <w:rFonts w:ascii="等线" w:hAnsi="等线" w:eastAsia="等线"/>
      <w:kern w:val="0"/>
      <w:sz w:val="18"/>
      <w:szCs w:val="18"/>
    </w:rPr>
  </w:style>
  <w:style w:type="paragraph" w:styleId="15">
    <w:name w:val="List Bullet 4"/>
    <w:basedOn w:val="1"/>
    <w:autoRedefine/>
    <w:semiHidden/>
    <w:unhideWhenUsed/>
    <w:qFormat/>
    <w:locked/>
    <w:uiPriority w:val="99"/>
    <w:pPr>
      <w:numPr>
        <w:ilvl w:val="0"/>
        <w:numId w:val="2"/>
      </w:numPr>
      <w:contextualSpacing/>
    </w:pPr>
  </w:style>
  <w:style w:type="paragraph" w:styleId="16">
    <w:name w:val="Normal Indent"/>
    <w:basedOn w:val="1"/>
    <w:next w:val="1"/>
    <w:link w:val="271"/>
    <w:autoRedefine/>
    <w:qFormat/>
    <w:uiPriority w:val="0"/>
    <w:pPr>
      <w:widowControl/>
      <w:ind w:firstLine="420" w:firstLineChars="200"/>
      <w:jc w:val="left"/>
    </w:pPr>
    <w:rPr>
      <w:kern w:val="0"/>
      <w:sz w:val="20"/>
      <w:szCs w:val="20"/>
    </w:rPr>
  </w:style>
  <w:style w:type="paragraph" w:styleId="17">
    <w:name w:val="caption"/>
    <w:basedOn w:val="1"/>
    <w:next w:val="1"/>
    <w:autoRedefine/>
    <w:qFormat/>
    <w:uiPriority w:val="0"/>
    <w:pPr>
      <w:widowControl/>
      <w:jc w:val="left"/>
    </w:pPr>
    <w:rPr>
      <w:rFonts w:ascii="等线 Light" w:hAnsi="等线 Light" w:eastAsia="黑体"/>
      <w:kern w:val="0"/>
      <w:sz w:val="20"/>
      <w:szCs w:val="20"/>
    </w:rPr>
  </w:style>
  <w:style w:type="paragraph" w:styleId="18">
    <w:name w:val="List Bullet"/>
    <w:basedOn w:val="1"/>
    <w:autoRedefine/>
    <w:qFormat/>
    <w:uiPriority w:val="0"/>
    <w:pPr>
      <w:numPr>
        <w:ilvl w:val="0"/>
        <w:numId w:val="3"/>
      </w:numPr>
    </w:pPr>
  </w:style>
  <w:style w:type="paragraph" w:styleId="19">
    <w:name w:val="Document Map"/>
    <w:basedOn w:val="1"/>
    <w:link w:val="167"/>
    <w:autoRedefine/>
    <w:qFormat/>
    <w:uiPriority w:val="0"/>
    <w:rPr>
      <w:rFonts w:ascii="Times New Roman" w:hAnsi="Times New Roman"/>
      <w:kern w:val="0"/>
      <w:sz w:val="2"/>
      <w:szCs w:val="20"/>
    </w:rPr>
  </w:style>
  <w:style w:type="paragraph" w:styleId="20">
    <w:name w:val="toa heading"/>
    <w:basedOn w:val="1"/>
    <w:next w:val="1"/>
    <w:autoRedefine/>
    <w:qFormat/>
    <w:locked/>
    <w:uiPriority w:val="0"/>
    <w:pPr>
      <w:spacing w:before="120"/>
    </w:pPr>
    <w:rPr>
      <w:rFonts w:ascii="Arial" w:hAnsi="Arial" w:cs="Arial"/>
      <w:sz w:val="24"/>
    </w:rPr>
  </w:style>
  <w:style w:type="paragraph" w:styleId="21">
    <w:name w:val="annotation text"/>
    <w:basedOn w:val="1"/>
    <w:link w:val="163"/>
    <w:autoRedefine/>
    <w:qFormat/>
    <w:uiPriority w:val="99"/>
    <w:pPr>
      <w:adjustRightInd w:val="0"/>
      <w:spacing w:line="360" w:lineRule="atLeast"/>
      <w:jc w:val="left"/>
      <w:textAlignment w:val="baseline"/>
    </w:pPr>
    <w:rPr>
      <w:kern w:val="0"/>
      <w:sz w:val="24"/>
    </w:rPr>
  </w:style>
  <w:style w:type="paragraph" w:styleId="22">
    <w:name w:val="Body Text 3"/>
    <w:basedOn w:val="1"/>
    <w:link w:val="172"/>
    <w:autoRedefine/>
    <w:qFormat/>
    <w:uiPriority w:val="99"/>
    <w:pPr>
      <w:spacing w:after="120"/>
    </w:pPr>
    <w:rPr>
      <w:kern w:val="0"/>
      <w:sz w:val="16"/>
      <w:szCs w:val="16"/>
    </w:rPr>
  </w:style>
  <w:style w:type="paragraph" w:styleId="23">
    <w:name w:val="Body Text"/>
    <w:basedOn w:val="1"/>
    <w:next w:val="1"/>
    <w:link w:val="174"/>
    <w:autoRedefine/>
    <w:qFormat/>
    <w:uiPriority w:val="99"/>
    <w:pPr>
      <w:widowControl/>
      <w:tabs>
        <w:tab w:val="left" w:pos="4560"/>
      </w:tabs>
      <w:autoSpaceDE w:val="0"/>
      <w:autoSpaceDN w:val="0"/>
      <w:adjustRightInd w:val="0"/>
      <w:spacing w:line="360" w:lineRule="atLeast"/>
      <w:textAlignment w:val="bottom"/>
    </w:pPr>
    <w:rPr>
      <w:kern w:val="0"/>
      <w:sz w:val="24"/>
    </w:rPr>
  </w:style>
  <w:style w:type="paragraph" w:styleId="24">
    <w:name w:val="List 2"/>
    <w:basedOn w:val="1"/>
    <w:autoRedefine/>
    <w:qFormat/>
    <w:locked/>
    <w:uiPriority w:val="0"/>
    <w:pPr>
      <w:ind w:left="100" w:leftChars="200" w:hanging="200" w:hangingChars="200"/>
    </w:pPr>
    <w:rPr>
      <w:szCs w:val="20"/>
    </w:rPr>
  </w:style>
  <w:style w:type="paragraph" w:styleId="25">
    <w:name w:val="Block Text"/>
    <w:basedOn w:val="1"/>
    <w:autoRedefine/>
    <w:qFormat/>
    <w:uiPriority w:val="0"/>
    <w:pPr>
      <w:widowControl/>
      <w:spacing w:after="120"/>
      <w:ind w:left="1440" w:leftChars="700" w:right="1440" w:rightChars="700"/>
      <w:jc w:val="left"/>
    </w:pPr>
    <w:rPr>
      <w:kern w:val="0"/>
      <w:sz w:val="20"/>
      <w:szCs w:val="20"/>
    </w:rPr>
  </w:style>
  <w:style w:type="paragraph" w:styleId="26">
    <w:name w:val="index 4"/>
    <w:basedOn w:val="1"/>
    <w:next w:val="1"/>
    <w:autoRedefine/>
    <w:qFormat/>
    <w:locked/>
    <w:uiPriority w:val="0"/>
    <w:pPr>
      <w:ind w:left="600" w:leftChars="600"/>
    </w:pPr>
  </w:style>
  <w:style w:type="paragraph" w:styleId="27">
    <w:name w:val="toc 5"/>
    <w:basedOn w:val="1"/>
    <w:next w:val="1"/>
    <w:autoRedefine/>
    <w:qFormat/>
    <w:uiPriority w:val="0"/>
    <w:pPr>
      <w:widowControl/>
      <w:ind w:left="960"/>
      <w:jc w:val="left"/>
    </w:pPr>
    <w:rPr>
      <w:rFonts w:ascii="等线" w:hAnsi="等线" w:eastAsia="等线"/>
      <w:kern w:val="0"/>
      <w:sz w:val="18"/>
      <w:szCs w:val="18"/>
    </w:rPr>
  </w:style>
  <w:style w:type="paragraph" w:styleId="28">
    <w:name w:val="toc 3"/>
    <w:basedOn w:val="1"/>
    <w:next w:val="1"/>
    <w:autoRedefine/>
    <w:qFormat/>
    <w:uiPriority w:val="39"/>
    <w:pPr>
      <w:tabs>
        <w:tab w:val="right" w:leader="dot" w:pos="8609"/>
      </w:tabs>
      <w:spacing w:line="360" w:lineRule="auto"/>
      <w:ind w:firstLine="359" w:firstLineChars="149"/>
    </w:pPr>
  </w:style>
  <w:style w:type="paragraph" w:styleId="29">
    <w:name w:val="Plain Text"/>
    <w:basedOn w:val="1"/>
    <w:next w:val="1"/>
    <w:link w:val="686"/>
    <w:autoRedefine/>
    <w:qFormat/>
    <w:uiPriority w:val="0"/>
    <w:rPr>
      <w:rFonts w:ascii="宋体" w:hAnsi="Courier New"/>
      <w:kern w:val="0"/>
      <w:szCs w:val="21"/>
    </w:rPr>
  </w:style>
  <w:style w:type="paragraph" w:styleId="30">
    <w:name w:val="toc 8"/>
    <w:basedOn w:val="1"/>
    <w:next w:val="1"/>
    <w:autoRedefine/>
    <w:qFormat/>
    <w:uiPriority w:val="0"/>
    <w:pPr>
      <w:widowControl/>
      <w:ind w:left="1680"/>
      <w:jc w:val="left"/>
    </w:pPr>
    <w:rPr>
      <w:rFonts w:ascii="等线" w:hAnsi="等线" w:eastAsia="等线"/>
      <w:kern w:val="0"/>
      <w:sz w:val="18"/>
      <w:szCs w:val="18"/>
    </w:rPr>
  </w:style>
  <w:style w:type="paragraph" w:styleId="31">
    <w:name w:val="index 3"/>
    <w:basedOn w:val="1"/>
    <w:next w:val="1"/>
    <w:autoRedefine/>
    <w:qFormat/>
    <w:locked/>
    <w:uiPriority w:val="0"/>
    <w:pPr>
      <w:tabs>
        <w:tab w:val="left" w:pos="360"/>
      </w:tabs>
      <w:overflowPunct w:val="0"/>
      <w:snapToGrid w:val="0"/>
      <w:spacing w:line="480" w:lineRule="exact"/>
      <w:ind w:firstLine="200" w:firstLineChars="200"/>
    </w:pPr>
    <w:rPr>
      <w:rFonts w:ascii="Arial" w:hAnsi="Arial" w:eastAsia="仿宋_GB2312"/>
      <w:sz w:val="28"/>
      <w:szCs w:val="20"/>
    </w:rPr>
  </w:style>
  <w:style w:type="paragraph" w:styleId="32">
    <w:name w:val="Date"/>
    <w:basedOn w:val="1"/>
    <w:next w:val="1"/>
    <w:link w:val="198"/>
    <w:autoRedefine/>
    <w:qFormat/>
    <w:uiPriority w:val="0"/>
    <w:rPr>
      <w:kern w:val="0"/>
      <w:sz w:val="24"/>
    </w:rPr>
  </w:style>
  <w:style w:type="paragraph" w:styleId="33">
    <w:name w:val="Body Text Indent 2"/>
    <w:basedOn w:val="1"/>
    <w:link w:val="183"/>
    <w:autoRedefine/>
    <w:qFormat/>
    <w:uiPriority w:val="99"/>
    <w:pPr>
      <w:spacing w:line="360" w:lineRule="auto"/>
      <w:ind w:firstLine="480" w:firstLineChars="200"/>
    </w:pPr>
    <w:rPr>
      <w:kern w:val="0"/>
      <w:sz w:val="24"/>
    </w:rPr>
  </w:style>
  <w:style w:type="paragraph" w:styleId="34">
    <w:name w:val="List Continue 5"/>
    <w:basedOn w:val="1"/>
    <w:autoRedefine/>
    <w:qFormat/>
    <w:locked/>
    <w:uiPriority w:val="0"/>
    <w:pPr>
      <w:spacing w:after="120"/>
      <w:ind w:left="2100" w:leftChars="1000"/>
    </w:pPr>
  </w:style>
  <w:style w:type="paragraph" w:styleId="35">
    <w:name w:val="Balloon Text"/>
    <w:basedOn w:val="1"/>
    <w:link w:val="191"/>
    <w:autoRedefine/>
    <w:unhideWhenUsed/>
    <w:qFormat/>
    <w:locked/>
    <w:uiPriority w:val="99"/>
    <w:rPr>
      <w:sz w:val="18"/>
      <w:szCs w:val="18"/>
    </w:rPr>
  </w:style>
  <w:style w:type="paragraph" w:styleId="36">
    <w:name w:val="footer"/>
    <w:basedOn w:val="1"/>
    <w:link w:val="203"/>
    <w:autoRedefine/>
    <w:qFormat/>
    <w:uiPriority w:val="99"/>
    <w:pPr>
      <w:widowControl/>
      <w:tabs>
        <w:tab w:val="center" w:pos="4153"/>
        <w:tab w:val="right" w:pos="8306"/>
      </w:tabs>
      <w:snapToGrid w:val="0"/>
      <w:jc w:val="left"/>
    </w:pPr>
    <w:rPr>
      <w:kern w:val="0"/>
      <w:sz w:val="18"/>
      <w:szCs w:val="18"/>
    </w:rPr>
  </w:style>
  <w:style w:type="paragraph" w:styleId="37">
    <w:name w:val="header"/>
    <w:basedOn w:val="1"/>
    <w:link w:val="181"/>
    <w:autoRedefine/>
    <w:qFormat/>
    <w:uiPriority w:val="99"/>
    <w:pPr>
      <w:widowControl/>
      <w:pBdr>
        <w:bottom w:val="single" w:color="auto" w:sz="6" w:space="1"/>
      </w:pBdr>
      <w:tabs>
        <w:tab w:val="center" w:pos="4153"/>
        <w:tab w:val="right" w:pos="8306"/>
      </w:tabs>
      <w:snapToGrid w:val="0"/>
      <w:jc w:val="center"/>
    </w:pPr>
    <w:rPr>
      <w:kern w:val="0"/>
      <w:sz w:val="18"/>
      <w:szCs w:val="18"/>
    </w:rPr>
  </w:style>
  <w:style w:type="paragraph" w:styleId="38">
    <w:name w:val="toc 1"/>
    <w:basedOn w:val="1"/>
    <w:next w:val="1"/>
    <w:autoRedefine/>
    <w:qFormat/>
    <w:uiPriority w:val="39"/>
    <w:pPr>
      <w:tabs>
        <w:tab w:val="right" w:leader="dot" w:pos="8609"/>
      </w:tabs>
      <w:spacing w:line="360" w:lineRule="auto"/>
    </w:pPr>
    <w:rPr>
      <w:rFonts w:ascii="宋体" w:hAnsi="宋体"/>
      <w:b/>
      <w:sz w:val="24"/>
    </w:rPr>
  </w:style>
  <w:style w:type="paragraph" w:styleId="39">
    <w:name w:val="toc 4"/>
    <w:basedOn w:val="1"/>
    <w:next w:val="1"/>
    <w:autoRedefine/>
    <w:qFormat/>
    <w:uiPriority w:val="0"/>
    <w:pPr>
      <w:widowControl/>
      <w:ind w:left="720"/>
      <w:jc w:val="left"/>
    </w:pPr>
    <w:rPr>
      <w:rFonts w:ascii="等线" w:hAnsi="等线" w:eastAsia="等线"/>
      <w:kern w:val="0"/>
      <w:sz w:val="18"/>
      <w:szCs w:val="18"/>
    </w:rPr>
  </w:style>
  <w:style w:type="paragraph" w:styleId="40">
    <w:name w:val="Subtitle"/>
    <w:basedOn w:val="1"/>
    <w:next w:val="1"/>
    <w:link w:val="196"/>
    <w:autoRedefine/>
    <w:qFormat/>
    <w:uiPriority w:val="11"/>
    <w:pPr>
      <w:widowControl/>
      <w:spacing w:after="60"/>
      <w:jc w:val="center"/>
      <w:outlineLvl w:val="1"/>
    </w:pPr>
    <w:rPr>
      <w:rFonts w:ascii="Cambria" w:hAnsi="Cambria"/>
      <w:b/>
      <w:bCs/>
      <w:kern w:val="28"/>
      <w:sz w:val="32"/>
      <w:szCs w:val="32"/>
    </w:rPr>
  </w:style>
  <w:style w:type="paragraph" w:styleId="41">
    <w:name w:val="List"/>
    <w:basedOn w:val="1"/>
    <w:autoRedefine/>
    <w:qFormat/>
    <w:locked/>
    <w:uiPriority w:val="0"/>
    <w:pPr>
      <w:ind w:left="420" w:hanging="420"/>
    </w:pPr>
  </w:style>
  <w:style w:type="paragraph" w:styleId="42">
    <w:name w:val="footnote text"/>
    <w:basedOn w:val="1"/>
    <w:link w:val="286"/>
    <w:autoRedefine/>
    <w:qFormat/>
    <w:locked/>
    <w:uiPriority w:val="99"/>
    <w:pPr>
      <w:adjustRightInd w:val="0"/>
      <w:spacing w:line="315" w:lineRule="atLeast"/>
      <w:textAlignment w:val="baseline"/>
    </w:pPr>
    <w:rPr>
      <w:rFonts w:ascii="宋体"/>
      <w:kern w:val="0"/>
      <w:sz w:val="24"/>
      <w:szCs w:val="20"/>
    </w:rPr>
  </w:style>
  <w:style w:type="paragraph" w:styleId="43">
    <w:name w:val="toc 6"/>
    <w:basedOn w:val="1"/>
    <w:next w:val="1"/>
    <w:autoRedefine/>
    <w:qFormat/>
    <w:uiPriority w:val="0"/>
    <w:pPr>
      <w:widowControl/>
      <w:ind w:left="1200"/>
      <w:jc w:val="left"/>
    </w:pPr>
    <w:rPr>
      <w:rFonts w:ascii="等线" w:hAnsi="等线" w:eastAsia="等线"/>
      <w:kern w:val="0"/>
      <w:sz w:val="18"/>
      <w:szCs w:val="18"/>
    </w:rPr>
  </w:style>
  <w:style w:type="paragraph" w:styleId="44">
    <w:name w:val="List 5"/>
    <w:basedOn w:val="1"/>
    <w:autoRedefine/>
    <w:qFormat/>
    <w:locked/>
    <w:uiPriority w:val="0"/>
    <w:pPr>
      <w:ind w:left="100" w:leftChars="800" w:hanging="200" w:hangingChars="200"/>
    </w:pPr>
    <w:rPr>
      <w:szCs w:val="20"/>
    </w:rPr>
  </w:style>
  <w:style w:type="paragraph" w:styleId="45">
    <w:name w:val="Body Text Indent 3"/>
    <w:basedOn w:val="1"/>
    <w:link w:val="208"/>
    <w:autoRedefine/>
    <w:qFormat/>
    <w:uiPriority w:val="99"/>
    <w:pPr>
      <w:spacing w:line="360" w:lineRule="auto"/>
      <w:ind w:firstLine="482" w:firstLineChars="200"/>
    </w:pPr>
    <w:rPr>
      <w:kern w:val="0"/>
      <w:sz w:val="16"/>
      <w:szCs w:val="16"/>
    </w:rPr>
  </w:style>
  <w:style w:type="paragraph" w:styleId="46">
    <w:name w:val="toc 2"/>
    <w:basedOn w:val="1"/>
    <w:next w:val="1"/>
    <w:autoRedefine/>
    <w:qFormat/>
    <w:uiPriority w:val="39"/>
    <w:pPr>
      <w:ind w:left="420" w:leftChars="200"/>
    </w:pPr>
  </w:style>
  <w:style w:type="paragraph" w:styleId="47">
    <w:name w:val="toc 9"/>
    <w:basedOn w:val="1"/>
    <w:next w:val="1"/>
    <w:autoRedefine/>
    <w:qFormat/>
    <w:uiPriority w:val="0"/>
    <w:pPr>
      <w:tabs>
        <w:tab w:val="right" w:pos="8306"/>
      </w:tabs>
      <w:spacing w:beforeLines="50" w:line="300" w:lineRule="atLeast"/>
      <w:jc w:val="center"/>
    </w:pPr>
    <w:rPr>
      <w:rFonts w:ascii="宋体" w:hAnsi="宋体"/>
    </w:rPr>
  </w:style>
  <w:style w:type="paragraph" w:styleId="48">
    <w:name w:val="Body Text 2"/>
    <w:basedOn w:val="1"/>
    <w:link w:val="187"/>
    <w:autoRedefine/>
    <w:qFormat/>
    <w:uiPriority w:val="99"/>
    <w:pPr>
      <w:tabs>
        <w:tab w:val="left" w:pos="1701"/>
        <w:tab w:val="left" w:pos="2268"/>
        <w:tab w:val="left" w:pos="2835"/>
      </w:tabs>
      <w:autoSpaceDE w:val="0"/>
      <w:autoSpaceDN w:val="0"/>
      <w:adjustRightInd w:val="0"/>
      <w:spacing w:line="312" w:lineRule="auto"/>
      <w:jc w:val="center"/>
    </w:pPr>
    <w:rPr>
      <w:kern w:val="0"/>
      <w:sz w:val="24"/>
    </w:rPr>
  </w:style>
  <w:style w:type="paragraph" w:styleId="49">
    <w:name w:val="List 4"/>
    <w:basedOn w:val="1"/>
    <w:autoRedefine/>
    <w:qFormat/>
    <w:locked/>
    <w:uiPriority w:val="0"/>
    <w:pPr>
      <w:ind w:left="100" w:leftChars="600" w:hanging="200" w:hangingChars="200"/>
    </w:pPr>
    <w:rPr>
      <w:szCs w:val="20"/>
    </w:rPr>
  </w:style>
  <w:style w:type="paragraph" w:styleId="50">
    <w:name w:val="HTML Preformatted"/>
    <w:basedOn w:val="1"/>
    <w:link w:val="275"/>
    <w:autoRedefine/>
    <w:unhideWhenUsed/>
    <w:qFormat/>
    <w:locked/>
    <w:uiPriority w:val="99"/>
    <w:rPr>
      <w:rFonts w:ascii="Courier New" w:hAnsi="Courier New" w:cs="Courier New"/>
      <w:sz w:val="20"/>
      <w:szCs w:val="20"/>
    </w:rPr>
  </w:style>
  <w:style w:type="paragraph" w:styleId="51">
    <w:name w:val="Normal (Web)"/>
    <w:basedOn w:val="1"/>
    <w:link w:val="265"/>
    <w:autoRedefine/>
    <w:qFormat/>
    <w:uiPriority w:val="99"/>
    <w:pPr>
      <w:widowControl/>
      <w:spacing w:before="100" w:beforeAutospacing="1" w:after="100" w:afterAutospacing="1"/>
      <w:jc w:val="left"/>
    </w:pPr>
    <w:rPr>
      <w:kern w:val="0"/>
      <w:sz w:val="24"/>
    </w:rPr>
  </w:style>
  <w:style w:type="paragraph" w:styleId="52">
    <w:name w:val="index 1"/>
    <w:basedOn w:val="1"/>
    <w:next w:val="1"/>
    <w:autoRedefine/>
    <w:qFormat/>
    <w:uiPriority w:val="0"/>
    <w:pPr>
      <w:ind w:firstLine="480" w:firstLineChars="200"/>
      <w:jc w:val="center"/>
    </w:pPr>
    <w:rPr>
      <w:sz w:val="24"/>
    </w:rPr>
  </w:style>
  <w:style w:type="paragraph" w:styleId="53">
    <w:name w:val="Title"/>
    <w:basedOn w:val="1"/>
    <w:next w:val="1"/>
    <w:link w:val="201"/>
    <w:autoRedefine/>
    <w:qFormat/>
    <w:uiPriority w:val="99"/>
    <w:pPr>
      <w:spacing w:before="240" w:after="60"/>
      <w:jc w:val="center"/>
      <w:outlineLvl w:val="0"/>
    </w:pPr>
    <w:rPr>
      <w:rFonts w:ascii="Cambria" w:hAnsi="Cambria"/>
      <w:b/>
      <w:bCs/>
      <w:kern w:val="0"/>
      <w:sz w:val="32"/>
      <w:szCs w:val="32"/>
    </w:rPr>
  </w:style>
  <w:style w:type="paragraph" w:styleId="54">
    <w:name w:val="annotation subject"/>
    <w:basedOn w:val="21"/>
    <w:next w:val="21"/>
    <w:link w:val="193"/>
    <w:autoRedefine/>
    <w:qFormat/>
    <w:uiPriority w:val="99"/>
    <w:pPr>
      <w:adjustRightInd/>
      <w:spacing w:line="240" w:lineRule="auto"/>
      <w:textAlignment w:val="auto"/>
    </w:pPr>
    <w:rPr>
      <w:b/>
      <w:bCs/>
    </w:rPr>
  </w:style>
  <w:style w:type="paragraph" w:styleId="55">
    <w:name w:val="Body Text First Indent"/>
    <w:basedOn w:val="23"/>
    <w:next w:val="1"/>
    <w:link w:val="287"/>
    <w:autoRedefine/>
    <w:qFormat/>
    <w:locked/>
    <w:uiPriority w:val="99"/>
    <w:pPr>
      <w:widowControl w:val="0"/>
      <w:tabs>
        <w:tab w:val="clear" w:pos="4560"/>
      </w:tabs>
      <w:autoSpaceDE/>
      <w:autoSpaceDN/>
      <w:adjustRightInd/>
      <w:spacing w:line="240" w:lineRule="auto"/>
      <w:ind w:firstLine="700" w:firstLineChars="250"/>
      <w:textAlignment w:val="auto"/>
    </w:pPr>
    <w:rPr>
      <w:kern w:val="2"/>
      <w:sz w:val="28"/>
    </w:rPr>
  </w:style>
  <w:style w:type="table" w:styleId="57">
    <w:name w:val="Table Grid"/>
    <w:basedOn w:val="56"/>
    <w:autoRedefine/>
    <w:qFormat/>
    <w:uiPriority w:val="99"/>
    <w:pPr>
      <w:keepNext w:val="0"/>
      <w:keepLines w:val="0"/>
      <w:widowControl w:val="0"/>
      <w:suppressLineNumbers w:val="0"/>
      <w:spacing w:before="0" w:beforeAutospacing="0" w:after="0" w:afterAutospacing="0"/>
      <w:ind w:left="0" w:right="0"/>
      <w:jc w:val="both"/>
    </w:pPr>
    <w:rPr>
      <w:rFonts w:hint="default" w:ascii="Calibri" w:hAnsi="Calibri" w:cs="Calibri"/>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59">
    <w:name w:val="Strong"/>
    <w:basedOn w:val="58"/>
    <w:autoRedefine/>
    <w:qFormat/>
    <w:uiPriority w:val="22"/>
    <w:rPr>
      <w:rFonts w:cs="Times New Roman"/>
      <w:b/>
    </w:rPr>
  </w:style>
  <w:style w:type="character" w:styleId="60">
    <w:name w:val="page number"/>
    <w:autoRedefine/>
    <w:qFormat/>
    <w:uiPriority w:val="0"/>
    <w:rPr>
      <w:rFonts w:cs="Times New Roman"/>
    </w:rPr>
  </w:style>
  <w:style w:type="character" w:styleId="61">
    <w:name w:val="FollowedHyperlink"/>
    <w:autoRedefine/>
    <w:qFormat/>
    <w:uiPriority w:val="99"/>
    <w:rPr>
      <w:rFonts w:cs="Times New Roman"/>
      <w:color w:val="800080"/>
      <w:u w:val="none"/>
    </w:rPr>
  </w:style>
  <w:style w:type="character" w:styleId="62">
    <w:name w:val="Emphasis"/>
    <w:autoRedefine/>
    <w:qFormat/>
    <w:uiPriority w:val="0"/>
    <w:rPr>
      <w:rFonts w:ascii="等线" w:eastAsia="等线" w:cs="Times New Roman"/>
      <w:b/>
      <w:i/>
    </w:rPr>
  </w:style>
  <w:style w:type="character" w:styleId="63">
    <w:name w:val="line number"/>
    <w:basedOn w:val="58"/>
    <w:autoRedefine/>
    <w:qFormat/>
    <w:locked/>
    <w:uiPriority w:val="0"/>
    <w:rPr>
      <w:rFonts w:hint="default" w:ascii="Times New Roman" w:hAnsi="Times New Roman" w:cs="Times New Roman"/>
    </w:rPr>
  </w:style>
  <w:style w:type="character" w:styleId="64">
    <w:name w:val="HTML Definition"/>
    <w:basedOn w:val="58"/>
    <w:autoRedefine/>
    <w:semiHidden/>
    <w:unhideWhenUsed/>
    <w:qFormat/>
    <w:locked/>
    <w:uiPriority w:val="99"/>
  </w:style>
  <w:style w:type="character" w:styleId="65">
    <w:name w:val="HTML Variable"/>
    <w:basedOn w:val="58"/>
    <w:autoRedefine/>
    <w:semiHidden/>
    <w:unhideWhenUsed/>
    <w:qFormat/>
    <w:locked/>
    <w:uiPriority w:val="99"/>
  </w:style>
  <w:style w:type="character" w:styleId="66">
    <w:name w:val="Hyperlink"/>
    <w:basedOn w:val="58"/>
    <w:autoRedefine/>
    <w:qFormat/>
    <w:uiPriority w:val="99"/>
    <w:rPr>
      <w:rFonts w:cs="Times New Roman"/>
      <w:color w:val="0000FF"/>
      <w:u w:val="none"/>
    </w:rPr>
  </w:style>
  <w:style w:type="character" w:styleId="67">
    <w:name w:val="HTML Code"/>
    <w:basedOn w:val="58"/>
    <w:autoRedefine/>
    <w:semiHidden/>
    <w:unhideWhenUsed/>
    <w:qFormat/>
    <w:locked/>
    <w:uiPriority w:val="99"/>
    <w:rPr>
      <w:rFonts w:ascii="Courier New" w:hAnsi="Courier New" w:eastAsia="Times New Roman" w:cs="Times New Roman"/>
      <w:sz w:val="20"/>
    </w:rPr>
  </w:style>
  <w:style w:type="character" w:styleId="68">
    <w:name w:val="annotation reference"/>
    <w:autoRedefine/>
    <w:qFormat/>
    <w:uiPriority w:val="99"/>
    <w:rPr>
      <w:rFonts w:cs="Times New Roman"/>
      <w:sz w:val="21"/>
    </w:rPr>
  </w:style>
  <w:style w:type="character" w:styleId="69">
    <w:name w:val="HTML Cite"/>
    <w:basedOn w:val="58"/>
    <w:autoRedefine/>
    <w:semiHidden/>
    <w:unhideWhenUsed/>
    <w:qFormat/>
    <w:locked/>
    <w:uiPriority w:val="99"/>
  </w:style>
  <w:style w:type="character" w:styleId="70">
    <w:name w:val="footnote reference"/>
    <w:autoRedefine/>
    <w:qFormat/>
    <w:uiPriority w:val="0"/>
    <w:rPr>
      <w:rFonts w:cs="Times New Roman"/>
      <w:vertAlign w:val="superscript"/>
    </w:rPr>
  </w:style>
  <w:style w:type="paragraph" w:customStyle="1" w:styleId="71">
    <w:name w:val="Heading1"/>
    <w:basedOn w:val="1"/>
    <w:next w:val="1"/>
    <w:qFormat/>
    <w:uiPriority w:val="0"/>
    <w:pPr>
      <w:keepNext/>
      <w:keepLines/>
      <w:spacing w:before="340" w:after="330" w:line="576" w:lineRule="auto"/>
      <w:textAlignment w:val="baseline"/>
    </w:pPr>
    <w:rPr>
      <w:rFonts w:ascii="Calibri" w:hAnsi="Calibri"/>
      <w:b/>
      <w:color w:val="000000"/>
      <w:sz w:val="44"/>
      <w:szCs w:val="22"/>
    </w:rPr>
  </w:style>
  <w:style w:type="character" w:customStyle="1" w:styleId="72">
    <w:name w:val="标题 2 字符"/>
    <w:autoRedefine/>
    <w:qFormat/>
    <w:uiPriority w:val="99"/>
    <w:rPr>
      <w:rFonts w:ascii="Arial" w:hAnsi="Arial" w:eastAsia="黑体"/>
      <w:b/>
      <w:bCs/>
      <w:sz w:val="32"/>
      <w:szCs w:val="32"/>
    </w:rPr>
  </w:style>
  <w:style w:type="character" w:customStyle="1" w:styleId="73">
    <w:name w:val="标题 1 Char1"/>
    <w:link w:val="4"/>
    <w:autoRedefine/>
    <w:qFormat/>
    <w:locked/>
    <w:uiPriority w:val="99"/>
    <w:rPr>
      <w:rFonts w:ascii="黑体" w:hAnsi="Calibri" w:eastAsia="黑体"/>
      <w:kern w:val="0"/>
      <w:sz w:val="52"/>
      <w:szCs w:val="20"/>
    </w:rPr>
  </w:style>
  <w:style w:type="character" w:customStyle="1" w:styleId="74">
    <w:name w:val="标题 2 Char1"/>
    <w:link w:val="5"/>
    <w:autoRedefine/>
    <w:qFormat/>
    <w:locked/>
    <w:uiPriority w:val="0"/>
    <w:rPr>
      <w:rFonts w:ascii="Arial" w:hAnsi="Arial" w:eastAsia="黑体" w:cs="Times New Roman"/>
      <w:b/>
      <w:kern w:val="0"/>
      <w:sz w:val="32"/>
    </w:rPr>
  </w:style>
  <w:style w:type="character" w:customStyle="1" w:styleId="75">
    <w:name w:val="标题 3 Char1"/>
    <w:link w:val="6"/>
    <w:autoRedefine/>
    <w:qFormat/>
    <w:locked/>
    <w:uiPriority w:val="99"/>
    <w:rPr>
      <w:rFonts w:ascii="Calibri" w:hAnsi="Calibri"/>
      <w:b/>
      <w:kern w:val="0"/>
      <w:sz w:val="32"/>
      <w:szCs w:val="20"/>
    </w:rPr>
  </w:style>
  <w:style w:type="character" w:customStyle="1" w:styleId="76">
    <w:name w:val="标题 4 Char1"/>
    <w:link w:val="7"/>
    <w:autoRedefine/>
    <w:qFormat/>
    <w:locked/>
    <w:uiPriority w:val="99"/>
    <w:rPr>
      <w:rFonts w:ascii="Calibri" w:hAnsi="Calibri" w:eastAsia="PMingLiU" w:cs="Times New Roman"/>
      <w:u w:val="single"/>
      <w:lang w:eastAsia="zh-TW"/>
    </w:rPr>
  </w:style>
  <w:style w:type="character" w:customStyle="1" w:styleId="77">
    <w:name w:val="标题 5 Char1"/>
    <w:link w:val="8"/>
    <w:autoRedefine/>
    <w:qFormat/>
    <w:locked/>
    <w:uiPriority w:val="99"/>
    <w:rPr>
      <w:rFonts w:ascii="Univers" w:hAnsi="Univers" w:eastAsia="PMingLiU" w:cs="Times New Roman"/>
      <w:sz w:val="20"/>
      <w:lang w:eastAsia="zh-TW"/>
    </w:rPr>
  </w:style>
  <w:style w:type="character" w:customStyle="1" w:styleId="78">
    <w:name w:val="标题 6 Char1"/>
    <w:link w:val="9"/>
    <w:autoRedefine/>
    <w:qFormat/>
    <w:locked/>
    <w:uiPriority w:val="99"/>
    <w:rPr>
      <w:rFonts w:ascii="Arial" w:hAnsi="Arial" w:eastAsia="黑体"/>
      <w:b/>
      <w:bCs/>
      <w:kern w:val="0"/>
      <w:sz w:val="24"/>
      <w:szCs w:val="24"/>
    </w:rPr>
  </w:style>
  <w:style w:type="character" w:customStyle="1" w:styleId="79">
    <w:name w:val="标题 7 Char1"/>
    <w:link w:val="10"/>
    <w:autoRedefine/>
    <w:qFormat/>
    <w:locked/>
    <w:uiPriority w:val="99"/>
    <w:rPr>
      <w:rFonts w:ascii="Calibri" w:hAnsi="Calibri"/>
      <w:b/>
      <w:bCs/>
      <w:kern w:val="0"/>
      <w:sz w:val="24"/>
      <w:szCs w:val="24"/>
    </w:rPr>
  </w:style>
  <w:style w:type="character" w:customStyle="1" w:styleId="80">
    <w:name w:val="标题 8 Char1"/>
    <w:link w:val="11"/>
    <w:autoRedefine/>
    <w:qFormat/>
    <w:locked/>
    <w:uiPriority w:val="99"/>
    <w:rPr>
      <w:rFonts w:ascii="Arial" w:hAnsi="Arial" w:eastAsia="黑体"/>
      <w:kern w:val="0"/>
      <w:sz w:val="24"/>
      <w:szCs w:val="24"/>
    </w:rPr>
  </w:style>
  <w:style w:type="character" w:customStyle="1" w:styleId="81">
    <w:name w:val="标题 9 Char1"/>
    <w:link w:val="12"/>
    <w:autoRedefine/>
    <w:qFormat/>
    <w:locked/>
    <w:uiPriority w:val="99"/>
    <w:rPr>
      <w:rFonts w:ascii="Arial" w:hAnsi="Arial" w:eastAsia="黑体"/>
      <w:kern w:val="0"/>
      <w:sz w:val="20"/>
      <w:szCs w:val="21"/>
    </w:rPr>
  </w:style>
  <w:style w:type="character" w:customStyle="1" w:styleId="82">
    <w:name w:val="Title Char"/>
    <w:autoRedefine/>
    <w:qFormat/>
    <w:locked/>
    <w:uiPriority w:val="99"/>
    <w:rPr>
      <w:rFonts w:ascii="Cambria" w:hAnsi="Cambria"/>
      <w:b/>
      <w:sz w:val="32"/>
    </w:rPr>
  </w:style>
  <w:style w:type="character" w:customStyle="1" w:styleId="83">
    <w:name w:val="font01"/>
    <w:autoRedefine/>
    <w:qFormat/>
    <w:uiPriority w:val="99"/>
    <w:rPr>
      <w:rFonts w:ascii="宋体" w:hAnsi="宋体" w:eastAsia="宋体"/>
      <w:color w:val="000000"/>
      <w:sz w:val="18"/>
      <w:u w:val="none"/>
    </w:rPr>
  </w:style>
  <w:style w:type="character" w:customStyle="1" w:styleId="84">
    <w:name w:val="Date Char"/>
    <w:autoRedefine/>
    <w:qFormat/>
    <w:locked/>
    <w:uiPriority w:val="99"/>
  </w:style>
  <w:style w:type="character" w:customStyle="1" w:styleId="85">
    <w:name w:val="批注文字 字符"/>
    <w:autoRedefine/>
    <w:qFormat/>
    <w:uiPriority w:val="99"/>
    <w:rPr>
      <w:rFonts w:eastAsia="宋体"/>
      <w:sz w:val="24"/>
      <w:lang w:val="en-US" w:eastAsia="zh-CN"/>
    </w:rPr>
  </w:style>
  <w:style w:type="character" w:customStyle="1" w:styleId="86">
    <w:name w:val="批注框文本 字符"/>
    <w:autoRedefine/>
    <w:qFormat/>
    <w:uiPriority w:val="99"/>
    <w:rPr>
      <w:kern w:val="2"/>
      <w:sz w:val="18"/>
    </w:rPr>
  </w:style>
  <w:style w:type="character" w:customStyle="1" w:styleId="87">
    <w:name w:val="Body Text Indent 3 Char"/>
    <w:autoRedefine/>
    <w:qFormat/>
    <w:locked/>
    <w:uiPriority w:val="99"/>
    <w:rPr>
      <w:b/>
    </w:rPr>
  </w:style>
  <w:style w:type="character" w:customStyle="1" w:styleId="88">
    <w:name w:val="Footer Char"/>
    <w:autoRedefine/>
    <w:qFormat/>
    <w:locked/>
    <w:uiPriority w:val="99"/>
    <w:rPr>
      <w:sz w:val="18"/>
    </w:rPr>
  </w:style>
  <w:style w:type="character" w:customStyle="1" w:styleId="89">
    <w:name w:val="页脚 Char"/>
    <w:autoRedefine/>
    <w:qFormat/>
    <w:uiPriority w:val="99"/>
    <w:rPr>
      <w:sz w:val="18"/>
    </w:rPr>
  </w:style>
  <w:style w:type="character" w:customStyle="1" w:styleId="90">
    <w:name w:val="Balloon Text Char"/>
    <w:autoRedefine/>
    <w:qFormat/>
    <w:locked/>
    <w:uiPriority w:val="99"/>
    <w:rPr>
      <w:sz w:val="18"/>
    </w:rPr>
  </w:style>
  <w:style w:type="character" w:customStyle="1" w:styleId="91">
    <w:name w:val="标题 2 Char"/>
    <w:autoRedefine/>
    <w:qFormat/>
    <w:uiPriority w:val="9"/>
    <w:rPr>
      <w:rFonts w:ascii="等线 Light" w:hAnsi="等线 Light" w:eastAsia="等线 Light"/>
      <w:b/>
      <w:i/>
      <w:kern w:val="0"/>
      <w:sz w:val="28"/>
    </w:rPr>
  </w:style>
  <w:style w:type="character" w:customStyle="1" w:styleId="92">
    <w:name w:val="不明显参考1"/>
    <w:autoRedefine/>
    <w:qFormat/>
    <w:uiPriority w:val="0"/>
    <w:rPr>
      <w:sz w:val="24"/>
      <w:u w:val="single"/>
    </w:rPr>
  </w:style>
  <w:style w:type="character" w:customStyle="1" w:styleId="93">
    <w:name w:val="正文文本 3 Char1"/>
    <w:autoRedefine/>
    <w:qFormat/>
    <w:uiPriority w:val="99"/>
    <w:rPr>
      <w:sz w:val="16"/>
    </w:rPr>
  </w:style>
  <w:style w:type="character" w:customStyle="1" w:styleId="94">
    <w:name w:val="标题 7 Char"/>
    <w:autoRedefine/>
    <w:qFormat/>
    <w:uiPriority w:val="9"/>
    <w:rPr>
      <w:kern w:val="0"/>
      <w:sz w:val="24"/>
    </w:rPr>
  </w:style>
  <w:style w:type="character" w:customStyle="1" w:styleId="95">
    <w:name w:val="副标题 Char"/>
    <w:autoRedefine/>
    <w:qFormat/>
    <w:uiPriority w:val="11"/>
    <w:rPr>
      <w:rFonts w:ascii="等线 Light" w:hAnsi="等线 Light" w:eastAsia="等线 Light"/>
      <w:kern w:val="0"/>
      <w:sz w:val="24"/>
    </w:rPr>
  </w:style>
  <w:style w:type="character" w:customStyle="1" w:styleId="96">
    <w:name w:val="标题 1 Char"/>
    <w:autoRedefine/>
    <w:qFormat/>
    <w:uiPriority w:val="0"/>
    <w:rPr>
      <w:rFonts w:ascii="等线 Light" w:hAnsi="等线 Light" w:eastAsia="等线 Light"/>
      <w:b/>
      <w:kern w:val="32"/>
      <w:sz w:val="32"/>
    </w:rPr>
  </w:style>
  <w:style w:type="character" w:customStyle="1" w:styleId="97">
    <w:name w:val="标题 3 Char"/>
    <w:autoRedefine/>
    <w:qFormat/>
    <w:uiPriority w:val="9"/>
    <w:rPr>
      <w:rFonts w:ascii="等线 Light" w:hAnsi="等线 Light" w:eastAsia="等线 Light"/>
      <w:b/>
      <w:kern w:val="0"/>
      <w:sz w:val="26"/>
    </w:rPr>
  </w:style>
  <w:style w:type="character" w:customStyle="1" w:styleId="98">
    <w:name w:val="明显引用 Char1"/>
    <w:link w:val="99"/>
    <w:autoRedefine/>
    <w:qFormat/>
    <w:locked/>
    <w:uiPriority w:val="30"/>
    <w:rPr>
      <w:rFonts w:ascii="等线" w:hAnsi="等线" w:eastAsia="等线"/>
      <w:b/>
      <w:i/>
      <w:sz w:val="22"/>
    </w:rPr>
  </w:style>
  <w:style w:type="paragraph" w:customStyle="1" w:styleId="99">
    <w:name w:val="明显引用1"/>
    <w:basedOn w:val="1"/>
    <w:next w:val="1"/>
    <w:link w:val="98"/>
    <w:autoRedefine/>
    <w:qFormat/>
    <w:uiPriority w:val="99"/>
    <w:pPr>
      <w:widowControl/>
      <w:ind w:left="720" w:right="720"/>
      <w:jc w:val="left"/>
    </w:pPr>
    <w:rPr>
      <w:rFonts w:ascii="等线" w:hAnsi="等线" w:eastAsia="等线"/>
      <w:b/>
      <w:i/>
      <w:kern w:val="0"/>
      <w:sz w:val="22"/>
      <w:szCs w:val="20"/>
    </w:rPr>
  </w:style>
  <w:style w:type="character" w:customStyle="1" w:styleId="100">
    <w:name w:val="Header Char"/>
    <w:autoRedefine/>
    <w:qFormat/>
    <w:locked/>
    <w:uiPriority w:val="99"/>
    <w:rPr>
      <w:sz w:val="18"/>
    </w:rPr>
  </w:style>
  <w:style w:type="character" w:customStyle="1" w:styleId="101">
    <w:name w:val="无间隔 Char"/>
    <w:link w:val="102"/>
    <w:autoRedefine/>
    <w:qFormat/>
    <w:locked/>
    <w:uiPriority w:val="99"/>
    <w:rPr>
      <w:kern w:val="2"/>
      <w:sz w:val="21"/>
      <w:lang w:val="en-US" w:eastAsia="zh-CN"/>
    </w:rPr>
  </w:style>
  <w:style w:type="paragraph" w:customStyle="1" w:styleId="102">
    <w:name w:val="无间隔111"/>
    <w:link w:val="101"/>
    <w:autoRedefine/>
    <w:qFormat/>
    <w:uiPriority w:val="99"/>
    <w:pPr>
      <w:widowControl w:val="0"/>
      <w:jc w:val="both"/>
    </w:pPr>
    <w:rPr>
      <w:rFonts w:ascii="等线" w:hAnsi="等线" w:eastAsia="宋体" w:cs="Times New Roman"/>
      <w:kern w:val="2"/>
      <w:sz w:val="21"/>
      <w:szCs w:val="21"/>
      <w:lang w:val="en-US" w:eastAsia="zh-CN" w:bidi="ar-SA"/>
    </w:rPr>
  </w:style>
  <w:style w:type="character" w:customStyle="1" w:styleId="103">
    <w:name w:val="引用 Char1"/>
    <w:link w:val="104"/>
    <w:autoRedefine/>
    <w:qFormat/>
    <w:locked/>
    <w:uiPriority w:val="29"/>
    <w:rPr>
      <w:rFonts w:ascii="等线" w:hAnsi="等线" w:eastAsia="等线"/>
      <w:i/>
    </w:rPr>
  </w:style>
  <w:style w:type="paragraph" w:customStyle="1" w:styleId="104">
    <w:name w:val="引用1"/>
    <w:basedOn w:val="1"/>
    <w:next w:val="1"/>
    <w:link w:val="103"/>
    <w:autoRedefine/>
    <w:qFormat/>
    <w:uiPriority w:val="99"/>
    <w:pPr>
      <w:widowControl/>
      <w:jc w:val="left"/>
    </w:pPr>
    <w:rPr>
      <w:rFonts w:ascii="等线" w:hAnsi="等线" w:eastAsia="等线"/>
      <w:i/>
      <w:kern w:val="0"/>
      <w:sz w:val="20"/>
      <w:szCs w:val="20"/>
    </w:rPr>
  </w:style>
  <w:style w:type="character" w:customStyle="1" w:styleId="105">
    <w:name w:val="明显参考1"/>
    <w:autoRedefine/>
    <w:qFormat/>
    <w:uiPriority w:val="0"/>
    <w:rPr>
      <w:b/>
      <w:sz w:val="24"/>
      <w:u w:val="single"/>
    </w:rPr>
  </w:style>
  <w:style w:type="character" w:customStyle="1" w:styleId="106">
    <w:name w:val="Subtitle Char"/>
    <w:autoRedefine/>
    <w:qFormat/>
    <w:locked/>
    <w:uiPriority w:val="99"/>
    <w:rPr>
      <w:rFonts w:ascii="等线 Light" w:hAnsi="等线 Light" w:eastAsia="等线 Light"/>
    </w:rPr>
  </w:style>
  <w:style w:type="character" w:customStyle="1" w:styleId="107">
    <w:name w:val="Body Text Indent Char"/>
    <w:autoRedefine/>
    <w:qFormat/>
    <w:locked/>
    <w:uiPriority w:val="99"/>
    <w:rPr>
      <w:b/>
    </w:rPr>
  </w:style>
  <w:style w:type="character" w:customStyle="1" w:styleId="108">
    <w:name w:val="font11"/>
    <w:autoRedefine/>
    <w:qFormat/>
    <w:uiPriority w:val="99"/>
    <w:rPr>
      <w:rFonts w:ascii="Calibri" w:hAnsi="Calibri"/>
      <w:color w:val="000000"/>
      <w:sz w:val="18"/>
      <w:u w:val="none"/>
    </w:rPr>
  </w:style>
  <w:style w:type="character" w:customStyle="1" w:styleId="109">
    <w:name w:val="doc_title"/>
    <w:autoRedefine/>
    <w:qFormat/>
    <w:uiPriority w:val="99"/>
  </w:style>
  <w:style w:type="character" w:customStyle="1" w:styleId="110">
    <w:name w:val="纯文本 Char1"/>
    <w:autoRedefine/>
    <w:qFormat/>
    <w:uiPriority w:val="99"/>
    <w:rPr>
      <w:rFonts w:ascii="宋体" w:hAnsi="Courier New"/>
      <w:sz w:val="21"/>
    </w:rPr>
  </w:style>
  <w:style w:type="character" w:customStyle="1" w:styleId="111">
    <w:name w:val="dxebase_office2010blue1"/>
    <w:autoRedefine/>
    <w:qFormat/>
    <w:uiPriority w:val="99"/>
    <w:rPr>
      <w:rFonts w:ascii="Verdana" w:hAnsi="Verdana"/>
      <w:sz w:val="14"/>
    </w:rPr>
  </w:style>
  <w:style w:type="character" w:customStyle="1" w:styleId="112">
    <w:name w:val="Document Map Char"/>
    <w:autoRedefine/>
    <w:qFormat/>
    <w:locked/>
    <w:uiPriority w:val="99"/>
    <w:rPr>
      <w:rFonts w:ascii="宋体"/>
      <w:sz w:val="18"/>
    </w:rPr>
  </w:style>
  <w:style w:type="character" w:customStyle="1" w:styleId="113">
    <w:name w:val="Body Text Char"/>
    <w:autoRedefine/>
    <w:qFormat/>
    <w:locked/>
    <w:uiPriority w:val="99"/>
  </w:style>
  <w:style w:type="character" w:customStyle="1" w:styleId="114">
    <w:name w:val="批注文字 Char"/>
    <w:autoRedefine/>
    <w:qFormat/>
    <w:uiPriority w:val="0"/>
    <w:rPr>
      <w:kern w:val="0"/>
      <w:sz w:val="24"/>
    </w:rPr>
  </w:style>
  <w:style w:type="character" w:customStyle="1" w:styleId="115">
    <w:name w:val="javascript"/>
    <w:autoRedefine/>
    <w:qFormat/>
    <w:uiPriority w:val="99"/>
  </w:style>
  <w:style w:type="character" w:customStyle="1" w:styleId="116">
    <w:name w:val="明显强调1"/>
    <w:autoRedefine/>
    <w:qFormat/>
    <w:uiPriority w:val="0"/>
    <w:rPr>
      <w:b/>
      <w:i/>
      <w:sz w:val="24"/>
      <w:u w:val="single"/>
    </w:rPr>
  </w:style>
  <w:style w:type="character" w:customStyle="1" w:styleId="117">
    <w:name w:val="apple-converted-space"/>
    <w:autoRedefine/>
    <w:qFormat/>
    <w:uiPriority w:val="99"/>
  </w:style>
  <w:style w:type="character" w:customStyle="1" w:styleId="118">
    <w:name w:val="不明显强调1"/>
    <w:autoRedefine/>
    <w:qFormat/>
    <w:uiPriority w:val="19"/>
    <w:rPr>
      <w:i/>
      <w:color w:val="5A5A5A"/>
    </w:rPr>
  </w:style>
  <w:style w:type="character" w:customStyle="1" w:styleId="119">
    <w:name w:val="标题 Char1"/>
    <w:autoRedefine/>
    <w:qFormat/>
    <w:uiPriority w:val="10"/>
    <w:rPr>
      <w:rFonts w:ascii="等线 Light" w:hAnsi="等线 Light" w:eastAsia="等线 Light"/>
      <w:b/>
      <w:kern w:val="28"/>
      <w:sz w:val="32"/>
    </w:rPr>
  </w:style>
  <w:style w:type="character" w:customStyle="1" w:styleId="120">
    <w:name w:val="标题 5 Char"/>
    <w:autoRedefine/>
    <w:qFormat/>
    <w:uiPriority w:val="9"/>
    <w:rPr>
      <w:b/>
      <w:i/>
      <w:kern w:val="0"/>
      <w:sz w:val="26"/>
    </w:rPr>
  </w:style>
  <w:style w:type="character" w:customStyle="1" w:styleId="121">
    <w:name w:val="Body Text Indent 2 Char"/>
    <w:autoRedefine/>
    <w:qFormat/>
    <w:locked/>
    <w:uiPriority w:val="99"/>
  </w:style>
  <w:style w:type="character" w:customStyle="1" w:styleId="122">
    <w:name w:val="style11"/>
    <w:autoRedefine/>
    <w:qFormat/>
    <w:uiPriority w:val="99"/>
    <w:rPr>
      <w:b/>
    </w:rPr>
  </w:style>
  <w:style w:type="character" w:customStyle="1" w:styleId="123">
    <w:name w:val="页脚 字符"/>
    <w:autoRedefine/>
    <w:qFormat/>
    <w:uiPriority w:val="99"/>
    <w:rPr>
      <w:sz w:val="18"/>
    </w:rPr>
  </w:style>
  <w:style w:type="character" w:customStyle="1" w:styleId="124">
    <w:name w:val="Body Text 3 Char"/>
    <w:autoRedefine/>
    <w:qFormat/>
    <w:locked/>
    <w:uiPriority w:val="99"/>
    <w:rPr>
      <w:sz w:val="16"/>
    </w:rPr>
  </w:style>
  <w:style w:type="character" w:customStyle="1" w:styleId="125">
    <w:name w:val="页眉 字符"/>
    <w:autoRedefine/>
    <w:qFormat/>
    <w:uiPriority w:val="99"/>
    <w:rPr>
      <w:sz w:val="18"/>
    </w:rPr>
  </w:style>
  <w:style w:type="character" w:customStyle="1" w:styleId="126">
    <w:name w:val="underlinespan"/>
    <w:autoRedefine/>
    <w:qFormat/>
    <w:uiPriority w:val="99"/>
  </w:style>
  <w:style w:type="character" w:customStyle="1" w:styleId="127">
    <w:name w:val="标题 8 Char"/>
    <w:autoRedefine/>
    <w:qFormat/>
    <w:uiPriority w:val="9"/>
    <w:rPr>
      <w:i/>
      <w:kern w:val="0"/>
      <w:sz w:val="24"/>
    </w:rPr>
  </w:style>
  <w:style w:type="character" w:customStyle="1" w:styleId="128">
    <w:name w:val="未处理的提及1"/>
    <w:autoRedefine/>
    <w:qFormat/>
    <w:uiPriority w:val="99"/>
    <w:rPr>
      <w:color w:val="605E5C"/>
      <w:shd w:val="clear" w:color="auto" w:fill="E1DFDD"/>
    </w:rPr>
  </w:style>
  <w:style w:type="character" w:customStyle="1" w:styleId="129">
    <w:name w:val="书籍标题1"/>
    <w:autoRedefine/>
    <w:qFormat/>
    <w:uiPriority w:val="0"/>
    <w:rPr>
      <w:rFonts w:ascii="等线 Light" w:hAnsi="等线 Light" w:eastAsia="等线 Light"/>
      <w:b/>
      <w:i/>
      <w:sz w:val="24"/>
    </w:rPr>
  </w:style>
  <w:style w:type="character" w:customStyle="1" w:styleId="130">
    <w:name w:val="标题 Char"/>
    <w:autoRedefine/>
    <w:qFormat/>
    <w:uiPriority w:val="99"/>
    <w:rPr>
      <w:rFonts w:ascii="Calibri Light" w:hAnsi="Calibri Light" w:eastAsia="宋体"/>
      <w:b/>
      <w:kern w:val="28"/>
      <w:sz w:val="32"/>
    </w:rPr>
  </w:style>
  <w:style w:type="character" w:customStyle="1" w:styleId="131">
    <w:name w:val="标题 6 Char"/>
    <w:autoRedefine/>
    <w:qFormat/>
    <w:uiPriority w:val="9"/>
    <w:rPr>
      <w:b/>
      <w:kern w:val="0"/>
      <w:sz w:val="22"/>
    </w:rPr>
  </w:style>
  <w:style w:type="character" w:customStyle="1" w:styleId="132">
    <w:name w:val="Comment Subject Char"/>
    <w:autoRedefine/>
    <w:qFormat/>
    <w:locked/>
    <w:uiPriority w:val="99"/>
    <w:rPr>
      <w:rFonts w:eastAsia="PMingLiU"/>
      <w:b/>
      <w:lang w:eastAsia="zh-TW"/>
    </w:rPr>
  </w:style>
  <w:style w:type="character" w:customStyle="1" w:styleId="133">
    <w:name w:val="Body Text 2 Char"/>
    <w:autoRedefine/>
    <w:qFormat/>
    <w:locked/>
    <w:uiPriority w:val="99"/>
    <w:rPr>
      <w:rFonts w:eastAsia="PMingLiU"/>
      <w:sz w:val="22"/>
      <w:lang w:eastAsia="zh-TW"/>
    </w:rPr>
  </w:style>
  <w:style w:type="character" w:customStyle="1" w:styleId="134">
    <w:name w:val="明显引用 Char"/>
    <w:autoRedefine/>
    <w:qFormat/>
    <w:uiPriority w:val="30"/>
    <w:rPr>
      <w:b/>
      <w:i/>
      <w:kern w:val="0"/>
      <w:sz w:val="24"/>
    </w:rPr>
  </w:style>
  <w:style w:type="paragraph" w:styleId="135">
    <w:name w:val="Intense Quote"/>
    <w:basedOn w:val="1"/>
    <w:next w:val="1"/>
    <w:link w:val="329"/>
    <w:autoRedefine/>
    <w:qFormat/>
    <w:uiPriority w:val="30"/>
    <w:pPr>
      <w:pBdr>
        <w:bottom w:val="single" w:color="4F81BD" w:sz="4" w:space="4"/>
      </w:pBdr>
      <w:spacing w:before="200" w:after="280"/>
      <w:ind w:left="936" w:right="936"/>
    </w:pPr>
    <w:rPr>
      <w:rFonts w:ascii="等线" w:hAnsi="等线"/>
      <w:b/>
      <w:i/>
      <w:kern w:val="0"/>
      <w:sz w:val="24"/>
      <w:szCs w:val="20"/>
    </w:rPr>
  </w:style>
  <w:style w:type="character" w:customStyle="1" w:styleId="136">
    <w:name w:val="font21"/>
    <w:autoRedefine/>
    <w:qFormat/>
    <w:uiPriority w:val="99"/>
    <w:rPr>
      <w:rFonts w:ascii="宋体" w:hAnsi="宋体" w:eastAsia="宋体"/>
      <w:color w:val="000000"/>
      <w:sz w:val="18"/>
      <w:u w:val="none"/>
    </w:rPr>
  </w:style>
  <w:style w:type="character" w:customStyle="1" w:styleId="137">
    <w:name w:val="Plain Text Char"/>
    <w:autoRedefine/>
    <w:qFormat/>
    <w:locked/>
    <w:uiPriority w:val="99"/>
    <w:rPr>
      <w:rFonts w:ascii="宋体" w:hAnsi="Courier New"/>
      <w:sz w:val="21"/>
    </w:rPr>
  </w:style>
  <w:style w:type="character" w:customStyle="1" w:styleId="138">
    <w:name w:val="批注框文本 Char"/>
    <w:autoRedefine/>
    <w:qFormat/>
    <w:uiPriority w:val="99"/>
    <w:rPr>
      <w:kern w:val="0"/>
      <w:sz w:val="18"/>
    </w:rPr>
  </w:style>
  <w:style w:type="character" w:customStyle="1" w:styleId="139">
    <w:name w:val="正文文本 2 Char1"/>
    <w:autoRedefine/>
    <w:qFormat/>
    <w:uiPriority w:val="99"/>
    <w:rPr>
      <w:rFonts w:eastAsia="PMingLiU"/>
      <w:sz w:val="24"/>
      <w:lang w:eastAsia="zh-TW"/>
    </w:rPr>
  </w:style>
  <w:style w:type="character" w:customStyle="1" w:styleId="140">
    <w:name w:val="批注主题 Char"/>
    <w:autoRedefine/>
    <w:qFormat/>
    <w:uiPriority w:val="99"/>
    <w:rPr>
      <w:b/>
      <w:kern w:val="0"/>
      <w:sz w:val="24"/>
    </w:rPr>
  </w:style>
  <w:style w:type="character" w:customStyle="1" w:styleId="141">
    <w:name w:val="引用 Char"/>
    <w:autoRedefine/>
    <w:qFormat/>
    <w:uiPriority w:val="29"/>
    <w:rPr>
      <w:i/>
      <w:kern w:val="0"/>
      <w:sz w:val="24"/>
    </w:rPr>
  </w:style>
  <w:style w:type="paragraph" w:styleId="142">
    <w:name w:val="Quote"/>
    <w:basedOn w:val="1"/>
    <w:next w:val="1"/>
    <w:link w:val="374"/>
    <w:autoRedefine/>
    <w:qFormat/>
    <w:uiPriority w:val="29"/>
    <w:rPr>
      <w:rFonts w:ascii="等线" w:hAnsi="等线"/>
      <w:i/>
      <w:kern w:val="0"/>
      <w:sz w:val="24"/>
      <w:szCs w:val="20"/>
    </w:rPr>
  </w:style>
  <w:style w:type="character" w:customStyle="1" w:styleId="143">
    <w:name w:val="页眉 Char"/>
    <w:autoRedefine/>
    <w:qFormat/>
    <w:uiPriority w:val="99"/>
    <w:rPr>
      <w:sz w:val="18"/>
    </w:rPr>
  </w:style>
  <w:style w:type="character" w:customStyle="1" w:styleId="144">
    <w:name w:val="Comment Text Char"/>
    <w:autoRedefine/>
    <w:qFormat/>
    <w:locked/>
    <w:uiPriority w:val="99"/>
    <w:rPr>
      <w:rFonts w:eastAsia="宋体"/>
    </w:rPr>
  </w:style>
  <w:style w:type="character" w:customStyle="1" w:styleId="145">
    <w:name w:val="dxrpht"/>
    <w:autoRedefine/>
    <w:qFormat/>
    <w:uiPriority w:val="99"/>
  </w:style>
  <w:style w:type="character" w:customStyle="1" w:styleId="146">
    <w:name w:val="批注主题 字符"/>
    <w:autoRedefine/>
    <w:qFormat/>
    <w:uiPriority w:val="99"/>
    <w:rPr>
      <w:rFonts w:eastAsia="PMingLiU"/>
      <w:b/>
      <w:kern w:val="2"/>
      <w:sz w:val="24"/>
      <w:lang w:val="en-US" w:eastAsia="zh-TW"/>
    </w:rPr>
  </w:style>
  <w:style w:type="character" w:customStyle="1" w:styleId="147">
    <w:name w:val="标题 9 Char"/>
    <w:autoRedefine/>
    <w:qFormat/>
    <w:uiPriority w:val="9"/>
    <w:rPr>
      <w:rFonts w:ascii="等线 Light" w:hAnsi="等线 Light" w:eastAsia="等线 Light"/>
      <w:kern w:val="0"/>
      <w:sz w:val="22"/>
    </w:rPr>
  </w:style>
  <w:style w:type="character" w:customStyle="1" w:styleId="148">
    <w:name w:val="正文文本 Char1"/>
    <w:autoRedefine/>
    <w:qFormat/>
    <w:uiPriority w:val="0"/>
    <w:rPr>
      <w:sz w:val="24"/>
    </w:rPr>
  </w:style>
  <w:style w:type="character" w:customStyle="1" w:styleId="149">
    <w:name w:val="标题 4 Char"/>
    <w:autoRedefine/>
    <w:qFormat/>
    <w:uiPriority w:val="9"/>
    <w:rPr>
      <w:b/>
      <w:kern w:val="0"/>
      <w:sz w:val="28"/>
    </w:rPr>
  </w:style>
  <w:style w:type="paragraph" w:customStyle="1" w:styleId="150">
    <w:name w:val="无间隔1"/>
    <w:basedOn w:val="151"/>
    <w:autoRedefine/>
    <w:qFormat/>
    <w:uiPriority w:val="99"/>
    <w:pPr>
      <w:widowControl/>
      <w:jc w:val="left"/>
    </w:pPr>
    <w:rPr>
      <w:rFonts w:ascii="等线" w:hAnsi="等线" w:eastAsia="等线"/>
      <w:kern w:val="0"/>
      <w:sz w:val="24"/>
      <w:szCs w:val="32"/>
    </w:rPr>
  </w:style>
  <w:style w:type="paragraph" w:customStyle="1" w:styleId="151">
    <w:name w:val="正文首行缩进 New"/>
    <w:basedOn w:val="152"/>
    <w:qFormat/>
    <w:uiPriority w:val="99"/>
    <w:pPr>
      <w:ind w:firstLine="420" w:firstLineChars="100"/>
    </w:pPr>
  </w:style>
  <w:style w:type="paragraph" w:customStyle="1" w:styleId="152">
    <w:name w:val="正文文本 New"/>
    <w:basedOn w:val="153"/>
    <w:qFormat/>
    <w:uiPriority w:val="99"/>
  </w:style>
  <w:style w:type="paragraph" w:customStyle="1" w:styleId="153">
    <w:name w:val="正文 New"/>
    <w:next w:val="150"/>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54">
    <w:name w:val="xl89"/>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FF0000"/>
      <w:kern w:val="0"/>
      <w:sz w:val="20"/>
      <w:szCs w:val="20"/>
    </w:rPr>
  </w:style>
  <w:style w:type="paragraph" w:customStyle="1" w:styleId="155">
    <w:name w:val="Char1"/>
    <w:basedOn w:val="1"/>
    <w:autoRedefine/>
    <w:qFormat/>
    <w:uiPriority w:val="0"/>
    <w:rPr>
      <w:rFonts w:ascii="仿宋_GB2312" w:eastAsia="仿宋_GB2312"/>
      <w:b/>
      <w:sz w:val="32"/>
      <w:szCs w:val="32"/>
    </w:rPr>
  </w:style>
  <w:style w:type="paragraph" w:customStyle="1" w:styleId="156">
    <w:name w:val="P1"/>
    <w:autoRedefine/>
    <w:qFormat/>
    <w:uiPriority w:val="99"/>
    <w:pPr>
      <w:widowControl w:val="0"/>
      <w:adjustRightInd w:val="0"/>
      <w:spacing w:after="240" w:line="240" w:lineRule="atLeast"/>
      <w:ind w:left="2304" w:hanging="576"/>
      <w:jc w:val="both"/>
      <w:textAlignment w:val="baseline"/>
    </w:pPr>
    <w:rPr>
      <w:rFonts w:ascii="Calibri" w:hAnsi="Calibri" w:eastAsia="全真中明體" w:cs="Times New Roman"/>
      <w:spacing w:val="20"/>
      <w:sz w:val="24"/>
      <w:lang w:val="en-GB" w:eastAsia="zh-TW" w:bidi="ar-SA"/>
    </w:rPr>
  </w:style>
  <w:style w:type="paragraph" w:customStyle="1" w:styleId="157">
    <w:name w:val="样式 样式 样式 宋体 小四 黑色 两端对齐 + 首行缩进:  2 字符 + 五号 首行缩进:  2 字符"/>
    <w:basedOn w:val="1"/>
    <w:autoRedefine/>
    <w:qFormat/>
    <w:uiPriority w:val="99"/>
    <w:pPr>
      <w:widowControl/>
      <w:spacing w:line="340" w:lineRule="exact"/>
      <w:ind w:firstLine="200" w:firstLineChars="200"/>
    </w:pPr>
    <w:rPr>
      <w:rFonts w:ascii="宋体" w:hAnsi="宋体"/>
      <w:color w:val="000000"/>
      <w:kern w:val="0"/>
      <w:szCs w:val="20"/>
    </w:rPr>
  </w:style>
  <w:style w:type="paragraph" w:customStyle="1" w:styleId="158">
    <w:name w:val="xl69"/>
    <w:basedOn w:val="1"/>
    <w:autoRedefine/>
    <w:qFormat/>
    <w:uiPriority w:val="0"/>
    <w:pPr>
      <w:widowControl/>
      <w:spacing w:before="100" w:beforeAutospacing="1" w:after="100" w:afterAutospacing="1"/>
      <w:jc w:val="center"/>
    </w:pPr>
    <w:rPr>
      <w:rFonts w:ascii="宋体" w:hAnsi="宋体" w:cs="宋体"/>
      <w:color w:val="FF0000"/>
      <w:kern w:val="0"/>
      <w:sz w:val="20"/>
      <w:szCs w:val="20"/>
    </w:rPr>
  </w:style>
  <w:style w:type="paragraph" w:customStyle="1" w:styleId="159">
    <w:name w:val="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0">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61">
    <w:name w:val="P5"/>
    <w:autoRedefine/>
    <w:qFormat/>
    <w:uiPriority w:val="99"/>
    <w:pPr>
      <w:widowControl w:val="0"/>
      <w:adjustRightInd w:val="0"/>
      <w:spacing w:after="240" w:line="240" w:lineRule="atLeast"/>
      <w:ind w:left="2304"/>
      <w:jc w:val="both"/>
      <w:textAlignment w:val="baseline"/>
    </w:pPr>
    <w:rPr>
      <w:rFonts w:ascii="Calibri" w:hAnsi="Calibri" w:eastAsia="全真中明體" w:cs="Times New Roman"/>
      <w:spacing w:val="20"/>
      <w:sz w:val="24"/>
      <w:lang w:val="en-GB" w:eastAsia="zh-TW" w:bidi="ar-SA"/>
    </w:rPr>
  </w:style>
  <w:style w:type="paragraph" w:customStyle="1" w:styleId="162">
    <w:name w:val="默认段落字体 Para Char"/>
    <w:basedOn w:val="1"/>
    <w:autoRedefine/>
    <w:qFormat/>
    <w:uiPriority w:val="0"/>
    <w:pPr>
      <w:snapToGrid w:val="0"/>
      <w:spacing w:line="360" w:lineRule="auto"/>
      <w:ind w:firstLine="200" w:firstLineChars="200"/>
    </w:pPr>
    <w:rPr>
      <w:rFonts w:eastAsia="仿宋_GB2312"/>
      <w:sz w:val="24"/>
    </w:rPr>
  </w:style>
  <w:style w:type="character" w:customStyle="1" w:styleId="163">
    <w:name w:val="批注文字 Char1"/>
    <w:link w:val="21"/>
    <w:autoRedefine/>
    <w:qFormat/>
    <w:locked/>
    <w:uiPriority w:val="99"/>
    <w:rPr>
      <w:rFonts w:ascii="Calibri" w:hAnsi="Calibri" w:cs="Times New Roman"/>
      <w:sz w:val="24"/>
    </w:rPr>
  </w:style>
  <w:style w:type="character" w:customStyle="1" w:styleId="164">
    <w:name w:val="批注文字 字符2"/>
    <w:autoRedefine/>
    <w:semiHidden/>
    <w:qFormat/>
    <w:uiPriority w:val="99"/>
    <w:rPr>
      <w:rFonts w:ascii="Calibri" w:hAnsi="Calibri" w:eastAsia="宋体"/>
      <w:sz w:val="21"/>
    </w:rPr>
  </w:style>
  <w:style w:type="paragraph" w:customStyle="1" w:styleId="165">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66">
    <w:name w:val="纯文本1"/>
    <w:basedOn w:val="1"/>
    <w:autoRedefine/>
    <w:qFormat/>
    <w:uiPriority w:val="99"/>
    <w:pPr>
      <w:adjustRightInd w:val="0"/>
      <w:jc w:val="left"/>
      <w:textAlignment w:val="baseline"/>
    </w:pPr>
    <w:rPr>
      <w:rFonts w:ascii="宋体" w:hAnsi="Courier New"/>
      <w:szCs w:val="20"/>
    </w:rPr>
  </w:style>
  <w:style w:type="character" w:customStyle="1" w:styleId="167">
    <w:name w:val="文档结构图 Char"/>
    <w:link w:val="19"/>
    <w:autoRedefine/>
    <w:qFormat/>
    <w:locked/>
    <w:uiPriority w:val="0"/>
    <w:rPr>
      <w:rFonts w:ascii="Times New Roman" w:hAnsi="Times New Roman" w:cs="Times New Roman"/>
      <w:sz w:val="2"/>
    </w:rPr>
  </w:style>
  <w:style w:type="character" w:customStyle="1" w:styleId="168">
    <w:name w:val="文档结构图 字符1"/>
    <w:autoRedefine/>
    <w:semiHidden/>
    <w:qFormat/>
    <w:uiPriority w:val="99"/>
    <w:rPr>
      <w:rFonts w:ascii="Apple Color Emoji" w:hAnsi="Apple Color Emoji" w:eastAsia="宋体"/>
      <w:sz w:val="26"/>
    </w:rPr>
  </w:style>
  <w:style w:type="paragraph" w:customStyle="1" w:styleId="169">
    <w:name w:val="小结标题"/>
    <w:basedOn w:val="1"/>
    <w:next w:val="1"/>
    <w:autoRedefine/>
    <w:qFormat/>
    <w:uiPriority w:val="99"/>
    <w:pPr>
      <w:keepNext/>
      <w:keepLines/>
      <w:numPr>
        <w:ilvl w:val="0"/>
        <w:numId w:val="4"/>
      </w:numPr>
      <w:spacing w:line="360" w:lineRule="auto"/>
      <w:jc w:val="left"/>
    </w:pPr>
    <w:rPr>
      <w:rFonts w:ascii="等线 Light" w:hAnsi="等线 Light" w:eastAsia="等线"/>
      <w:b/>
      <w:sz w:val="24"/>
      <w:szCs w:val="21"/>
    </w:rPr>
  </w:style>
  <w:style w:type="paragraph" w:customStyle="1" w:styleId="170">
    <w:name w:val="纯文本11"/>
    <w:basedOn w:val="1"/>
    <w:autoRedefine/>
    <w:qFormat/>
    <w:uiPriority w:val="99"/>
    <w:pPr>
      <w:adjustRightInd w:val="0"/>
      <w:jc w:val="left"/>
      <w:textAlignment w:val="baseline"/>
    </w:pPr>
    <w:rPr>
      <w:rFonts w:ascii="宋体" w:hAnsi="Courier New"/>
      <w:szCs w:val="20"/>
    </w:rPr>
  </w:style>
  <w:style w:type="paragraph" w:customStyle="1" w:styleId="171">
    <w:name w:val="样式1"/>
    <w:basedOn w:val="1"/>
    <w:link w:val="621"/>
    <w:autoRedefine/>
    <w:qFormat/>
    <w:uiPriority w:val="0"/>
    <w:pPr>
      <w:numPr>
        <w:ilvl w:val="0"/>
        <w:numId w:val="5"/>
      </w:numPr>
      <w:adjustRightInd w:val="0"/>
      <w:textAlignment w:val="baseline"/>
    </w:pPr>
    <w:rPr>
      <w:rFonts w:ascii="宋体" w:hAnsi="宋体"/>
      <w:kern w:val="0"/>
      <w:szCs w:val="21"/>
    </w:rPr>
  </w:style>
  <w:style w:type="character" w:customStyle="1" w:styleId="172">
    <w:name w:val="正文文本 3 Char"/>
    <w:link w:val="22"/>
    <w:autoRedefine/>
    <w:qFormat/>
    <w:locked/>
    <w:uiPriority w:val="99"/>
    <w:rPr>
      <w:rFonts w:ascii="Calibri" w:hAnsi="Calibri" w:cs="Times New Roman"/>
      <w:sz w:val="16"/>
    </w:rPr>
  </w:style>
  <w:style w:type="character" w:customStyle="1" w:styleId="173">
    <w:name w:val="正文文本 3 字符1"/>
    <w:autoRedefine/>
    <w:semiHidden/>
    <w:qFormat/>
    <w:uiPriority w:val="99"/>
    <w:rPr>
      <w:rFonts w:ascii="Calibri" w:hAnsi="Calibri" w:eastAsia="宋体"/>
      <w:sz w:val="16"/>
    </w:rPr>
  </w:style>
  <w:style w:type="character" w:customStyle="1" w:styleId="174">
    <w:name w:val="正文文本 Char"/>
    <w:link w:val="23"/>
    <w:autoRedefine/>
    <w:qFormat/>
    <w:locked/>
    <w:uiPriority w:val="99"/>
    <w:rPr>
      <w:rFonts w:ascii="Calibri" w:hAnsi="Calibri" w:cs="Times New Roman"/>
      <w:sz w:val="24"/>
    </w:rPr>
  </w:style>
  <w:style w:type="character" w:customStyle="1" w:styleId="175">
    <w:name w:val="正文文本 字符1"/>
    <w:autoRedefine/>
    <w:semiHidden/>
    <w:qFormat/>
    <w:uiPriority w:val="99"/>
    <w:rPr>
      <w:rFonts w:ascii="Calibri" w:hAnsi="Calibri" w:eastAsia="宋体"/>
      <w:sz w:val="21"/>
    </w:rPr>
  </w:style>
  <w:style w:type="paragraph" w:customStyle="1" w:styleId="176">
    <w:name w:val="xl9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0"/>
      <w:szCs w:val="20"/>
    </w:rPr>
  </w:style>
  <w:style w:type="character" w:customStyle="1" w:styleId="177">
    <w:name w:val="正文文本缩进 Char"/>
    <w:link w:val="3"/>
    <w:autoRedefine/>
    <w:qFormat/>
    <w:locked/>
    <w:uiPriority w:val="99"/>
    <w:rPr>
      <w:rFonts w:ascii="Calibri" w:hAnsi="Calibri" w:cs="Times New Roman"/>
      <w:sz w:val="24"/>
    </w:rPr>
  </w:style>
  <w:style w:type="character" w:customStyle="1" w:styleId="178">
    <w:name w:val="正文文本缩进 字符1"/>
    <w:autoRedefine/>
    <w:semiHidden/>
    <w:qFormat/>
    <w:uiPriority w:val="99"/>
    <w:rPr>
      <w:rFonts w:ascii="Calibri" w:hAnsi="Calibri" w:eastAsia="宋体"/>
      <w:sz w:val="21"/>
    </w:rPr>
  </w:style>
  <w:style w:type="paragraph" w:customStyle="1" w:styleId="179">
    <w:name w:val="无间隔11"/>
    <w:autoRedefine/>
    <w:qFormat/>
    <w:uiPriority w:val="99"/>
    <w:pPr>
      <w:widowControl w:val="0"/>
      <w:jc w:val="both"/>
    </w:pPr>
    <w:rPr>
      <w:rFonts w:ascii="Calibri" w:hAnsi="Calibri" w:eastAsia="宋体" w:cs="Times New Roman"/>
      <w:kern w:val="2"/>
      <w:sz w:val="21"/>
      <w:szCs w:val="21"/>
      <w:lang w:val="en-US" w:eastAsia="zh-CN" w:bidi="ar-SA"/>
    </w:rPr>
  </w:style>
  <w:style w:type="paragraph" w:customStyle="1" w:styleId="180">
    <w:name w:val="段"/>
    <w:link w:val="263"/>
    <w:autoRedefine/>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2"/>
      <w:szCs w:val="22"/>
      <w:lang w:val="en-US" w:eastAsia="zh-CN" w:bidi="ar-SA"/>
    </w:rPr>
  </w:style>
  <w:style w:type="character" w:customStyle="1" w:styleId="181">
    <w:name w:val="页眉 Char1"/>
    <w:link w:val="37"/>
    <w:autoRedefine/>
    <w:qFormat/>
    <w:locked/>
    <w:uiPriority w:val="99"/>
    <w:rPr>
      <w:rFonts w:ascii="Calibri" w:hAnsi="Calibri" w:cs="Times New Roman"/>
      <w:sz w:val="18"/>
    </w:rPr>
  </w:style>
  <w:style w:type="character" w:customStyle="1" w:styleId="182">
    <w:name w:val="页眉 字符2"/>
    <w:autoRedefine/>
    <w:semiHidden/>
    <w:qFormat/>
    <w:uiPriority w:val="99"/>
    <w:rPr>
      <w:rFonts w:ascii="Calibri" w:hAnsi="Calibri" w:eastAsia="宋体"/>
      <w:sz w:val="18"/>
    </w:rPr>
  </w:style>
  <w:style w:type="character" w:customStyle="1" w:styleId="183">
    <w:name w:val="正文文本缩进 2 Char"/>
    <w:link w:val="33"/>
    <w:autoRedefine/>
    <w:qFormat/>
    <w:locked/>
    <w:uiPriority w:val="99"/>
    <w:rPr>
      <w:rFonts w:ascii="Calibri" w:hAnsi="Calibri" w:cs="Times New Roman"/>
      <w:sz w:val="24"/>
    </w:rPr>
  </w:style>
  <w:style w:type="character" w:customStyle="1" w:styleId="184">
    <w:name w:val="正文文本缩进 2 字符1"/>
    <w:autoRedefine/>
    <w:semiHidden/>
    <w:qFormat/>
    <w:uiPriority w:val="99"/>
    <w:rPr>
      <w:rFonts w:ascii="Calibri" w:hAnsi="Calibri" w:eastAsia="宋体"/>
      <w:sz w:val="21"/>
    </w:rPr>
  </w:style>
  <w:style w:type="paragraph" w:customStyle="1" w:styleId="185">
    <w:name w:val="修订1"/>
    <w:autoRedefine/>
    <w:qFormat/>
    <w:uiPriority w:val="99"/>
    <w:rPr>
      <w:rFonts w:ascii="Calibri" w:hAnsi="Calibri" w:eastAsia="宋体" w:cs="Times New Roman"/>
      <w:kern w:val="2"/>
      <w:sz w:val="21"/>
      <w:szCs w:val="24"/>
      <w:lang w:val="en-US" w:eastAsia="zh-CN" w:bidi="ar-SA"/>
    </w:rPr>
  </w:style>
  <w:style w:type="paragraph" w:customStyle="1" w:styleId="186">
    <w:name w:val="普通(网站)11"/>
    <w:basedOn w:val="1"/>
    <w:autoRedefine/>
    <w:qFormat/>
    <w:uiPriority w:val="99"/>
    <w:pPr>
      <w:widowControl/>
      <w:spacing w:before="100" w:beforeAutospacing="1" w:after="100" w:afterAutospacing="1"/>
      <w:jc w:val="left"/>
    </w:pPr>
    <w:rPr>
      <w:rFonts w:ascii="Arial Unicode MS" w:hAnsi="Arial Unicode MS" w:cs="Arial Unicode MS"/>
      <w:kern w:val="0"/>
      <w:sz w:val="24"/>
    </w:rPr>
  </w:style>
  <w:style w:type="character" w:customStyle="1" w:styleId="187">
    <w:name w:val="正文文本 2 Char"/>
    <w:link w:val="48"/>
    <w:autoRedefine/>
    <w:qFormat/>
    <w:locked/>
    <w:uiPriority w:val="99"/>
    <w:rPr>
      <w:rFonts w:ascii="Calibri" w:hAnsi="Calibri" w:cs="Times New Roman"/>
      <w:sz w:val="24"/>
    </w:rPr>
  </w:style>
  <w:style w:type="character" w:customStyle="1" w:styleId="188">
    <w:name w:val="正文文本 2 字符1"/>
    <w:autoRedefine/>
    <w:semiHidden/>
    <w:qFormat/>
    <w:uiPriority w:val="99"/>
    <w:rPr>
      <w:rFonts w:ascii="Calibri" w:hAnsi="Calibri" w:eastAsia="宋体"/>
      <w:sz w:val="21"/>
    </w:rPr>
  </w:style>
  <w:style w:type="character" w:customStyle="1" w:styleId="189">
    <w:name w:val="纯文本 Char"/>
    <w:link w:val="29"/>
    <w:autoRedefine/>
    <w:qFormat/>
    <w:locked/>
    <w:uiPriority w:val="0"/>
    <w:rPr>
      <w:rFonts w:ascii="宋体" w:hAnsi="Courier New" w:cs="Times New Roman"/>
      <w:sz w:val="21"/>
    </w:rPr>
  </w:style>
  <w:style w:type="character" w:customStyle="1" w:styleId="190">
    <w:name w:val="纯文本 字符1"/>
    <w:autoRedefine/>
    <w:semiHidden/>
    <w:qFormat/>
    <w:uiPriority w:val="99"/>
    <w:rPr>
      <w:rFonts w:ascii="等线" w:hAnsi="Courier New"/>
      <w:sz w:val="21"/>
    </w:rPr>
  </w:style>
  <w:style w:type="character" w:customStyle="1" w:styleId="191">
    <w:name w:val="批注框文本 Char1"/>
    <w:link w:val="35"/>
    <w:autoRedefine/>
    <w:qFormat/>
    <w:uiPriority w:val="0"/>
    <w:rPr>
      <w:rFonts w:ascii="Calibri" w:hAnsi="Calibri"/>
      <w:kern w:val="2"/>
      <w:sz w:val="18"/>
      <w:szCs w:val="18"/>
    </w:rPr>
  </w:style>
  <w:style w:type="character" w:customStyle="1" w:styleId="192">
    <w:name w:val="批注框文本 字符2"/>
    <w:autoRedefine/>
    <w:semiHidden/>
    <w:qFormat/>
    <w:uiPriority w:val="99"/>
    <w:rPr>
      <w:rFonts w:ascii="宋体" w:hAnsi="Calibri" w:eastAsia="宋体"/>
      <w:sz w:val="18"/>
    </w:rPr>
  </w:style>
  <w:style w:type="character" w:customStyle="1" w:styleId="193">
    <w:name w:val="批注主题 Char1"/>
    <w:link w:val="54"/>
    <w:autoRedefine/>
    <w:qFormat/>
    <w:locked/>
    <w:uiPriority w:val="0"/>
    <w:rPr>
      <w:rFonts w:ascii="Calibri" w:hAnsi="Calibri" w:eastAsia="宋体" w:cs="Times New Roman"/>
      <w:b/>
      <w:sz w:val="24"/>
    </w:rPr>
  </w:style>
  <w:style w:type="character" w:customStyle="1" w:styleId="194">
    <w:name w:val="批注主题 字符2"/>
    <w:autoRedefine/>
    <w:semiHidden/>
    <w:qFormat/>
    <w:uiPriority w:val="99"/>
    <w:rPr>
      <w:rFonts w:ascii="Calibri" w:hAnsi="Calibri" w:eastAsia="宋体"/>
      <w:b/>
      <w:sz w:val="21"/>
    </w:rPr>
  </w:style>
  <w:style w:type="paragraph" w:customStyle="1" w:styleId="195">
    <w:name w:val="xl85"/>
    <w:basedOn w:val="1"/>
    <w:autoRedefine/>
    <w:qFormat/>
    <w:uiPriority w:val="0"/>
    <w:pPr>
      <w:widowControl/>
      <w:spacing w:before="100" w:beforeAutospacing="1" w:after="100" w:afterAutospacing="1"/>
      <w:jc w:val="left"/>
    </w:pPr>
    <w:rPr>
      <w:rFonts w:ascii="宋体" w:hAnsi="宋体" w:cs="宋体"/>
      <w:b/>
      <w:bCs/>
      <w:kern w:val="0"/>
      <w:sz w:val="24"/>
    </w:rPr>
  </w:style>
  <w:style w:type="character" w:customStyle="1" w:styleId="196">
    <w:name w:val="副标题 Char1"/>
    <w:link w:val="40"/>
    <w:autoRedefine/>
    <w:qFormat/>
    <w:locked/>
    <w:uiPriority w:val="11"/>
    <w:rPr>
      <w:rFonts w:ascii="Cambria" w:hAnsi="Cambria" w:cs="Times New Roman"/>
      <w:b/>
      <w:kern w:val="28"/>
      <w:sz w:val="32"/>
    </w:rPr>
  </w:style>
  <w:style w:type="character" w:customStyle="1" w:styleId="197">
    <w:name w:val="副标题 字符1"/>
    <w:autoRedefine/>
    <w:qFormat/>
    <w:uiPriority w:val="99"/>
    <w:rPr>
      <w:b/>
      <w:kern w:val="28"/>
      <w:sz w:val="32"/>
    </w:rPr>
  </w:style>
  <w:style w:type="character" w:customStyle="1" w:styleId="198">
    <w:name w:val="日期 Char"/>
    <w:link w:val="32"/>
    <w:autoRedefine/>
    <w:qFormat/>
    <w:locked/>
    <w:uiPriority w:val="99"/>
    <w:rPr>
      <w:rFonts w:ascii="Calibri" w:hAnsi="Calibri" w:cs="Times New Roman"/>
      <w:sz w:val="24"/>
    </w:rPr>
  </w:style>
  <w:style w:type="character" w:customStyle="1" w:styleId="199">
    <w:name w:val="日期 字符1"/>
    <w:autoRedefine/>
    <w:semiHidden/>
    <w:qFormat/>
    <w:uiPriority w:val="99"/>
    <w:rPr>
      <w:rFonts w:ascii="Calibri" w:hAnsi="Calibri" w:eastAsia="宋体"/>
      <w:sz w:val="21"/>
    </w:rPr>
  </w:style>
  <w:style w:type="paragraph" w:customStyle="1" w:styleId="200">
    <w:name w:val="p0"/>
    <w:basedOn w:val="1"/>
    <w:autoRedefine/>
    <w:qFormat/>
    <w:uiPriority w:val="0"/>
    <w:pPr>
      <w:widowControl/>
      <w:spacing w:line="365" w:lineRule="atLeast"/>
      <w:ind w:left="1"/>
      <w:textAlignment w:val="bottom"/>
    </w:pPr>
    <w:rPr>
      <w:sz w:val="20"/>
    </w:rPr>
  </w:style>
  <w:style w:type="character" w:customStyle="1" w:styleId="201">
    <w:name w:val="标题 Char2"/>
    <w:link w:val="53"/>
    <w:autoRedefine/>
    <w:qFormat/>
    <w:locked/>
    <w:uiPriority w:val="99"/>
    <w:rPr>
      <w:rFonts w:ascii="Cambria" w:hAnsi="Cambria" w:cs="Times New Roman"/>
      <w:b/>
      <w:sz w:val="32"/>
    </w:rPr>
  </w:style>
  <w:style w:type="character" w:customStyle="1" w:styleId="202">
    <w:name w:val="标题 字符1"/>
    <w:autoRedefine/>
    <w:qFormat/>
    <w:uiPriority w:val="99"/>
    <w:rPr>
      <w:rFonts w:ascii="等线 Light" w:eastAsia="等线 Light"/>
      <w:b/>
      <w:sz w:val="32"/>
    </w:rPr>
  </w:style>
  <w:style w:type="character" w:customStyle="1" w:styleId="203">
    <w:name w:val="页脚 Char1"/>
    <w:link w:val="36"/>
    <w:autoRedefine/>
    <w:semiHidden/>
    <w:qFormat/>
    <w:locked/>
    <w:uiPriority w:val="99"/>
    <w:rPr>
      <w:rFonts w:ascii="Calibri" w:hAnsi="Calibri" w:cs="Times New Roman"/>
      <w:sz w:val="18"/>
    </w:rPr>
  </w:style>
  <w:style w:type="character" w:customStyle="1" w:styleId="204">
    <w:name w:val="页脚 字符2"/>
    <w:autoRedefine/>
    <w:semiHidden/>
    <w:qFormat/>
    <w:uiPriority w:val="99"/>
    <w:rPr>
      <w:rFonts w:ascii="Calibri" w:hAnsi="Calibri" w:eastAsia="宋体"/>
      <w:sz w:val="18"/>
    </w:rPr>
  </w:style>
  <w:style w:type="paragraph" w:customStyle="1" w:styleId="205">
    <w:name w:val="1"/>
    <w:basedOn w:val="1"/>
    <w:next w:val="25"/>
    <w:autoRedefine/>
    <w:qFormat/>
    <w:uiPriority w:val="0"/>
    <w:pPr>
      <w:adjustRightInd w:val="0"/>
      <w:ind w:left="420" w:right="33"/>
      <w:jc w:val="left"/>
      <w:textAlignment w:val="baseline"/>
    </w:pPr>
    <w:rPr>
      <w:kern w:val="0"/>
      <w:sz w:val="24"/>
      <w:szCs w:val="20"/>
    </w:rPr>
  </w:style>
  <w:style w:type="paragraph" w:customStyle="1" w:styleId="206">
    <w:name w:val="普通(网站)1"/>
    <w:basedOn w:val="1"/>
    <w:autoRedefine/>
    <w:qFormat/>
    <w:uiPriority w:val="0"/>
    <w:pPr>
      <w:widowControl/>
      <w:spacing w:before="100" w:beforeAutospacing="1" w:after="100" w:afterAutospacing="1"/>
      <w:jc w:val="left"/>
    </w:pPr>
    <w:rPr>
      <w:rFonts w:ascii="Arial Unicode MS" w:hAnsi="Arial Unicode MS" w:cs="Arial Unicode MS"/>
      <w:kern w:val="0"/>
      <w:sz w:val="24"/>
    </w:rPr>
  </w:style>
  <w:style w:type="paragraph" w:customStyle="1" w:styleId="207">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character" w:customStyle="1" w:styleId="208">
    <w:name w:val="正文文本缩进 3 Char"/>
    <w:link w:val="45"/>
    <w:autoRedefine/>
    <w:qFormat/>
    <w:locked/>
    <w:uiPriority w:val="99"/>
    <w:rPr>
      <w:rFonts w:ascii="Calibri" w:hAnsi="Calibri" w:cs="Times New Roman"/>
      <w:sz w:val="16"/>
    </w:rPr>
  </w:style>
  <w:style w:type="character" w:customStyle="1" w:styleId="209">
    <w:name w:val="正文文本缩进 3 字符1"/>
    <w:autoRedefine/>
    <w:semiHidden/>
    <w:qFormat/>
    <w:uiPriority w:val="99"/>
    <w:rPr>
      <w:rFonts w:ascii="Calibri" w:hAnsi="Calibri" w:eastAsia="宋体"/>
      <w:sz w:val="16"/>
    </w:rPr>
  </w:style>
  <w:style w:type="paragraph" w:customStyle="1" w:styleId="210">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11">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12">
    <w:name w:val="font6"/>
    <w:basedOn w:val="1"/>
    <w:autoRedefine/>
    <w:qFormat/>
    <w:uiPriority w:val="99"/>
    <w:pPr>
      <w:widowControl/>
      <w:spacing w:before="100" w:beforeAutospacing="1" w:after="100" w:afterAutospacing="1"/>
      <w:jc w:val="left"/>
    </w:pPr>
    <w:rPr>
      <w:rFonts w:ascii="宋体" w:hAnsi="宋体" w:cs="宋体"/>
      <w:b/>
      <w:bCs/>
      <w:color w:val="FF0000"/>
      <w:kern w:val="0"/>
      <w:sz w:val="20"/>
      <w:szCs w:val="20"/>
      <w:u w:val="single"/>
    </w:rPr>
  </w:style>
  <w:style w:type="paragraph" w:customStyle="1" w:styleId="213">
    <w:name w:val="Char Char Char1"/>
    <w:basedOn w:val="1"/>
    <w:autoRedefine/>
    <w:qFormat/>
    <w:uiPriority w:val="0"/>
  </w:style>
  <w:style w:type="paragraph" w:customStyle="1" w:styleId="214">
    <w:name w:val="7"/>
    <w:basedOn w:val="1"/>
    <w:autoRedefine/>
    <w:qFormat/>
    <w:uiPriority w:val="99"/>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215">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16">
    <w:name w:val="Char Char Char Char Char Char Char Char Char Char Char Char 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正文 A"/>
    <w:autoRedefine/>
    <w:qFormat/>
    <w:uiPriority w:val="0"/>
    <w:rPr>
      <w:rFonts w:ascii="Calibri" w:hAnsi="Calibri" w:eastAsia="ヒラギノ角ゴ Pro W3" w:cs="Times New Roman"/>
      <w:color w:val="000000"/>
      <w:sz w:val="24"/>
      <w:lang w:val="en-US" w:eastAsia="zh-CN" w:bidi="ar-SA"/>
    </w:rPr>
  </w:style>
  <w:style w:type="paragraph" w:customStyle="1" w:styleId="218">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19">
    <w:name w:val="xl7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220">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221">
    <w:name w:val="封面标准名称"/>
    <w:autoRedefine/>
    <w:qFormat/>
    <w:uiPriority w:val="99"/>
    <w:pPr>
      <w:widowControl w:val="0"/>
      <w:spacing w:line="680" w:lineRule="exact"/>
      <w:jc w:val="center"/>
      <w:textAlignment w:val="center"/>
    </w:pPr>
    <w:rPr>
      <w:rFonts w:ascii="黑体" w:hAnsi="Calibri" w:eastAsia="黑体" w:cs="Times New Roman"/>
      <w:sz w:val="52"/>
      <w:lang w:val="en-US" w:eastAsia="zh-CN" w:bidi="ar-SA"/>
    </w:rPr>
  </w:style>
  <w:style w:type="paragraph" w:customStyle="1" w:styleId="222">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223">
    <w:name w:val="xl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24">
    <w:name w:val="xl7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225">
    <w:name w:val="列出段落1"/>
    <w:basedOn w:val="1"/>
    <w:autoRedefine/>
    <w:qFormat/>
    <w:uiPriority w:val="99"/>
    <w:pPr>
      <w:ind w:firstLine="420" w:firstLineChars="200"/>
    </w:pPr>
    <w:rPr>
      <w:szCs w:val="22"/>
    </w:rPr>
  </w:style>
  <w:style w:type="paragraph" w:customStyle="1" w:styleId="226">
    <w:name w:val="xl51"/>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32"/>
      <w:szCs w:val="32"/>
    </w:rPr>
  </w:style>
  <w:style w:type="paragraph" w:customStyle="1" w:styleId="227">
    <w:name w:val="xl7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28">
    <w:name w:val="xl7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29">
    <w:name w:val="TOC 标题1"/>
    <w:basedOn w:val="4"/>
    <w:next w:val="1"/>
    <w:autoRedefine/>
    <w:qFormat/>
    <w:uiPriority w:val="39"/>
    <w:pPr>
      <w:keepLines/>
      <w:numPr>
        <w:numId w:val="0"/>
      </w:numPr>
      <w:spacing w:before="480" w:line="276" w:lineRule="auto"/>
      <w:jc w:val="left"/>
      <w:outlineLvl w:val="9"/>
    </w:pPr>
    <w:rPr>
      <w:rFonts w:ascii="Cambria" w:hAnsi="Cambria" w:eastAsia="宋体"/>
      <w:b/>
      <w:bCs/>
      <w:color w:val="365F91"/>
      <w:sz w:val="28"/>
      <w:szCs w:val="28"/>
    </w:rPr>
  </w:style>
  <w:style w:type="paragraph" w:customStyle="1" w:styleId="230">
    <w:name w:val="xl8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31">
    <w:name w:val="CSI 正文样式"/>
    <w:autoRedefine/>
    <w:qFormat/>
    <w:uiPriority w:val="99"/>
    <w:pPr>
      <w:spacing w:line="360" w:lineRule="auto"/>
      <w:ind w:firstLine="200" w:firstLineChars="200"/>
    </w:pPr>
    <w:rPr>
      <w:rFonts w:ascii="宋体" w:hAnsi="宋体" w:eastAsia="宋体" w:cs="Times New Roman"/>
      <w:sz w:val="24"/>
      <w:szCs w:val="24"/>
      <w:lang w:val="en-US" w:eastAsia="zh-CN" w:bidi="ar-SA"/>
    </w:rPr>
  </w:style>
  <w:style w:type="paragraph" w:customStyle="1" w:styleId="232">
    <w:name w:val="列出段落12"/>
    <w:basedOn w:val="1"/>
    <w:autoRedefine/>
    <w:qFormat/>
    <w:uiPriority w:val="99"/>
    <w:pPr>
      <w:ind w:left="480" w:leftChars="200"/>
      <w:jc w:val="left"/>
    </w:pPr>
    <w:rPr>
      <w:rFonts w:eastAsia="PMingLiU"/>
      <w:sz w:val="24"/>
      <w:lang w:eastAsia="zh-TW"/>
    </w:rPr>
  </w:style>
  <w:style w:type="paragraph" w:customStyle="1" w:styleId="233">
    <w:name w:val="xl66"/>
    <w:basedOn w:val="1"/>
    <w:autoRedefine/>
    <w:qFormat/>
    <w:uiPriority w:val="0"/>
    <w:pPr>
      <w:widowControl/>
      <w:spacing w:before="100" w:beforeAutospacing="1" w:after="100" w:afterAutospacing="1"/>
      <w:jc w:val="center"/>
    </w:pPr>
    <w:rPr>
      <w:rFonts w:ascii="宋体" w:hAnsi="宋体" w:cs="宋体"/>
      <w:kern w:val="0"/>
      <w:sz w:val="20"/>
      <w:szCs w:val="20"/>
    </w:rPr>
  </w:style>
  <w:style w:type="paragraph" w:customStyle="1" w:styleId="234">
    <w:name w:val="P7"/>
    <w:autoRedefine/>
    <w:qFormat/>
    <w:uiPriority w:val="99"/>
    <w:pPr>
      <w:widowControl w:val="0"/>
      <w:tabs>
        <w:tab w:val="left" w:pos="576"/>
      </w:tabs>
      <w:adjustRightInd w:val="0"/>
      <w:spacing w:after="240" w:line="240" w:lineRule="atLeast"/>
      <w:ind w:left="1728" w:hanging="1728"/>
      <w:jc w:val="both"/>
      <w:textAlignment w:val="baseline"/>
    </w:pPr>
    <w:rPr>
      <w:rFonts w:ascii="Calibri" w:hAnsi="Calibri" w:eastAsia="全真中明體" w:cs="Times New Roman"/>
      <w:spacing w:val="30"/>
      <w:sz w:val="24"/>
      <w:lang w:val="en-GB" w:eastAsia="zh-TW" w:bidi="ar-SA"/>
    </w:rPr>
  </w:style>
  <w:style w:type="paragraph" w:customStyle="1" w:styleId="235">
    <w:name w:val="xl87"/>
    <w:basedOn w:val="1"/>
    <w:autoRedefine/>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36">
    <w:name w:val="Char Char Char Char Char Char Char1"/>
    <w:basedOn w:val="1"/>
    <w:autoRedefine/>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237">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0"/>
      <w:szCs w:val="20"/>
    </w:rPr>
  </w:style>
  <w:style w:type="paragraph" w:customStyle="1" w:styleId="238">
    <w:name w:val="xl7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39">
    <w:name w:val="xl67"/>
    <w:basedOn w:val="1"/>
    <w:autoRedefine/>
    <w:qFormat/>
    <w:uiPriority w:val="0"/>
    <w:pPr>
      <w:widowControl/>
      <w:spacing w:before="100" w:beforeAutospacing="1" w:after="100" w:afterAutospacing="1"/>
      <w:jc w:val="center"/>
    </w:pPr>
    <w:rPr>
      <w:rFonts w:ascii="宋体" w:hAnsi="宋体" w:cs="宋体"/>
      <w:kern w:val="0"/>
      <w:sz w:val="20"/>
      <w:szCs w:val="20"/>
    </w:rPr>
  </w:style>
  <w:style w:type="paragraph" w:customStyle="1" w:styleId="240">
    <w:name w:val="Char"/>
    <w:basedOn w:val="1"/>
    <w:autoRedefine/>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24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2">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43">
    <w:name w:val="xl8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44">
    <w:name w:val="OmniPage #7"/>
    <w:basedOn w:val="1"/>
    <w:autoRedefine/>
    <w:qFormat/>
    <w:uiPriority w:val="99"/>
    <w:pPr>
      <w:widowControl/>
      <w:spacing w:line="280" w:lineRule="exact"/>
      <w:jc w:val="left"/>
    </w:pPr>
    <w:rPr>
      <w:rFonts w:eastAsia="PMingLiU"/>
      <w:kern w:val="0"/>
      <w:sz w:val="20"/>
      <w:szCs w:val="20"/>
      <w:lang w:eastAsia="zh-TW"/>
    </w:rPr>
  </w:style>
  <w:style w:type="paragraph" w:customStyle="1" w:styleId="245">
    <w:name w:val="P2"/>
    <w:autoRedefine/>
    <w:qFormat/>
    <w:uiPriority w:val="99"/>
    <w:pPr>
      <w:widowControl w:val="0"/>
      <w:adjustRightInd w:val="0"/>
      <w:spacing w:after="240" w:line="240" w:lineRule="atLeast"/>
      <w:ind w:left="1728"/>
      <w:jc w:val="both"/>
      <w:textAlignment w:val="baseline"/>
    </w:pPr>
    <w:rPr>
      <w:rFonts w:ascii="Calibri" w:hAnsi="Calibri" w:eastAsia="全真中明體" w:cs="Times New Roman"/>
      <w:spacing w:val="20"/>
      <w:sz w:val="24"/>
      <w:lang w:val="en-GB" w:eastAsia="zh-TW" w:bidi="ar-SA"/>
    </w:rPr>
  </w:style>
  <w:style w:type="paragraph" w:customStyle="1" w:styleId="246">
    <w:name w:val="H1"/>
    <w:autoRedefine/>
    <w:qFormat/>
    <w:uiPriority w:val="99"/>
    <w:pPr>
      <w:widowControl w:val="0"/>
      <w:adjustRightInd w:val="0"/>
      <w:spacing w:after="240" w:line="240" w:lineRule="atLeast"/>
      <w:textAlignment w:val="baseline"/>
    </w:pPr>
    <w:rPr>
      <w:rFonts w:ascii="Calibri" w:hAnsi="Calibri" w:eastAsia="全真中明體" w:cs="Times New Roman"/>
      <w:b/>
      <w:caps/>
      <w:spacing w:val="30"/>
      <w:sz w:val="24"/>
      <w:lang w:val="en-GB" w:eastAsia="zh-TW" w:bidi="ar-SA"/>
    </w:rPr>
  </w:style>
  <w:style w:type="paragraph" w:customStyle="1" w:styleId="247">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248">
    <w:name w:val="列出段落11"/>
    <w:basedOn w:val="1"/>
    <w:autoRedefine/>
    <w:qFormat/>
    <w:uiPriority w:val="99"/>
    <w:pPr>
      <w:ind w:firstLine="420" w:firstLineChars="200"/>
    </w:pPr>
  </w:style>
  <w:style w:type="paragraph" w:customStyle="1" w:styleId="249">
    <w:name w:val="H2"/>
    <w:autoRedefine/>
    <w:qFormat/>
    <w:uiPriority w:val="99"/>
    <w:pPr>
      <w:widowControl w:val="0"/>
      <w:adjustRightInd w:val="0"/>
      <w:spacing w:after="240" w:line="240" w:lineRule="atLeast"/>
      <w:textAlignment w:val="baseline"/>
    </w:pPr>
    <w:rPr>
      <w:rFonts w:ascii="Calibri" w:hAnsi="Calibri" w:eastAsia="全真中明體" w:cs="Times New Roman"/>
      <w:b/>
      <w:spacing w:val="30"/>
      <w:sz w:val="24"/>
      <w:lang w:val="en-GB" w:eastAsia="zh-TW" w:bidi="ar-SA"/>
    </w:rPr>
  </w:style>
  <w:style w:type="paragraph" w:customStyle="1" w:styleId="250">
    <w:name w:val="font5"/>
    <w:basedOn w:val="1"/>
    <w:autoRedefine/>
    <w:qFormat/>
    <w:uiPriority w:val="99"/>
    <w:pPr>
      <w:widowControl/>
      <w:spacing w:before="100" w:beforeAutospacing="1" w:after="100" w:afterAutospacing="1"/>
      <w:jc w:val="left"/>
    </w:pPr>
    <w:rPr>
      <w:rFonts w:ascii="宋体" w:hAnsi="宋体" w:cs="宋体"/>
      <w:kern w:val="0"/>
      <w:sz w:val="18"/>
      <w:szCs w:val="18"/>
    </w:rPr>
  </w:style>
  <w:style w:type="paragraph" w:customStyle="1" w:styleId="251">
    <w:name w:val="列出段落2"/>
    <w:basedOn w:val="1"/>
    <w:autoRedefine/>
    <w:qFormat/>
    <w:uiPriority w:val="0"/>
    <w:pPr>
      <w:ind w:left="480" w:leftChars="200"/>
      <w:jc w:val="left"/>
    </w:pPr>
    <w:rPr>
      <w:rFonts w:eastAsia="PMingLiU"/>
      <w:sz w:val="24"/>
      <w:lang w:eastAsia="zh-TW"/>
    </w:rPr>
  </w:style>
  <w:style w:type="paragraph" w:customStyle="1" w:styleId="252">
    <w:name w:val="opening2"/>
    <w:basedOn w:val="1"/>
    <w:autoRedefine/>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253">
    <w:name w:val="xl90"/>
    <w:basedOn w:val="1"/>
    <w:autoRedefine/>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kern w:val="0"/>
      <w:sz w:val="20"/>
      <w:szCs w:val="20"/>
    </w:rPr>
  </w:style>
  <w:style w:type="paragraph" w:customStyle="1" w:styleId="254">
    <w:name w:val="Char Char Char"/>
    <w:basedOn w:val="1"/>
    <w:autoRedefine/>
    <w:qFormat/>
    <w:uiPriority w:val="99"/>
  </w:style>
  <w:style w:type="paragraph" w:customStyle="1" w:styleId="255">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56">
    <w:name w:val="P3"/>
    <w:autoRedefine/>
    <w:qFormat/>
    <w:uiPriority w:val="99"/>
    <w:pPr>
      <w:widowControl w:val="0"/>
      <w:adjustRightInd w:val="0"/>
      <w:spacing w:after="240" w:line="240" w:lineRule="atLeast"/>
      <w:ind w:left="2880" w:hanging="576"/>
      <w:jc w:val="both"/>
      <w:textAlignment w:val="baseline"/>
    </w:pPr>
    <w:rPr>
      <w:rFonts w:ascii="Calibri" w:hAnsi="Calibri" w:eastAsia="全真中明體" w:cs="Times New Roman"/>
      <w:spacing w:val="20"/>
      <w:sz w:val="24"/>
      <w:lang w:val="en-GB" w:eastAsia="zh-TW" w:bidi="ar-SA"/>
    </w:rPr>
  </w:style>
  <w:style w:type="paragraph" w:customStyle="1" w:styleId="257">
    <w:name w:val="xl78"/>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58">
    <w:name w:val="xl68"/>
    <w:basedOn w:val="1"/>
    <w:autoRedefine/>
    <w:qFormat/>
    <w:uiPriority w:val="0"/>
    <w:pPr>
      <w:widowControl/>
      <w:spacing w:before="100" w:beforeAutospacing="1" w:after="100" w:afterAutospacing="1"/>
      <w:jc w:val="center"/>
    </w:pPr>
    <w:rPr>
      <w:rFonts w:ascii="宋体" w:hAnsi="宋体" w:cs="宋体"/>
      <w:kern w:val="0"/>
      <w:sz w:val="20"/>
      <w:szCs w:val="20"/>
    </w:rPr>
  </w:style>
  <w:style w:type="paragraph" w:customStyle="1" w:styleId="259">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table" w:customStyle="1" w:styleId="260">
    <w:name w:val="网格型2"/>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61">
    <w:name w:val="网格型1"/>
    <w:autoRedefine/>
    <w:qFormat/>
    <w:uiPriority w:val="39"/>
    <w:rPr>
      <w:rFonts w:eastAsia="等线"/>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262">
    <w:name w:val="List Paragraph"/>
    <w:basedOn w:val="1"/>
    <w:link w:val="272"/>
    <w:autoRedefine/>
    <w:qFormat/>
    <w:uiPriority w:val="34"/>
    <w:pPr>
      <w:ind w:firstLine="420" w:firstLineChars="200"/>
    </w:pPr>
  </w:style>
  <w:style w:type="character" w:customStyle="1" w:styleId="263">
    <w:name w:val="段 Char"/>
    <w:link w:val="180"/>
    <w:autoRedefine/>
    <w:qFormat/>
    <w:locked/>
    <w:uiPriority w:val="0"/>
    <w:rPr>
      <w:rFonts w:ascii="宋体" w:hAnsi="Calibri"/>
      <w:sz w:val="22"/>
    </w:rPr>
  </w:style>
  <w:style w:type="paragraph" w:customStyle="1" w:styleId="264">
    <w:name w:val="Table Paragraph"/>
    <w:basedOn w:val="1"/>
    <w:autoRedefine/>
    <w:qFormat/>
    <w:uiPriority w:val="99"/>
    <w:pPr>
      <w:autoSpaceDE w:val="0"/>
      <w:autoSpaceDN w:val="0"/>
      <w:jc w:val="left"/>
    </w:pPr>
    <w:rPr>
      <w:rFonts w:ascii="宋体" w:hAnsi="宋体" w:cs="宋体"/>
      <w:kern w:val="0"/>
      <w:sz w:val="22"/>
      <w:szCs w:val="22"/>
      <w:lang w:val="zh-CN"/>
    </w:rPr>
  </w:style>
  <w:style w:type="character" w:customStyle="1" w:styleId="265">
    <w:name w:val="普通(网站) Char1"/>
    <w:link w:val="51"/>
    <w:autoRedefine/>
    <w:qFormat/>
    <w:uiPriority w:val="0"/>
    <w:rPr>
      <w:rFonts w:ascii="Calibri" w:hAnsi="Calibri"/>
      <w:sz w:val="24"/>
      <w:szCs w:val="24"/>
    </w:rPr>
  </w:style>
  <w:style w:type="paragraph" w:customStyle="1" w:styleId="266">
    <w:name w:val="着重符文字"/>
    <w:basedOn w:val="1"/>
    <w:autoRedefine/>
    <w:qFormat/>
    <w:uiPriority w:val="0"/>
    <w:pPr>
      <w:widowControl/>
      <w:numPr>
        <w:ilvl w:val="1"/>
        <w:numId w:val="6"/>
      </w:numPr>
      <w:adjustRightInd w:val="0"/>
      <w:spacing w:after="200" w:line="300" w:lineRule="auto"/>
      <w:jc w:val="left"/>
      <w:textAlignment w:val="baseline"/>
    </w:pPr>
    <w:rPr>
      <w:rFonts w:ascii="宋体" w:hAnsi="宋体"/>
      <w:kern w:val="24"/>
      <w:sz w:val="28"/>
      <w:szCs w:val="20"/>
      <w:lang w:eastAsia="en-US" w:bidi="en-US"/>
    </w:rPr>
  </w:style>
  <w:style w:type="character" w:customStyle="1" w:styleId="267">
    <w:name w:val="未处理的提及2"/>
    <w:autoRedefine/>
    <w:unhideWhenUsed/>
    <w:qFormat/>
    <w:uiPriority w:val="99"/>
    <w:rPr>
      <w:color w:val="605E5C"/>
      <w:shd w:val="clear" w:color="auto" w:fill="E1DFDD"/>
    </w:rPr>
  </w:style>
  <w:style w:type="paragraph" w:customStyle="1" w:styleId="268">
    <w:name w:val="_Style 1"/>
    <w:basedOn w:val="1"/>
    <w:next w:val="262"/>
    <w:autoRedefine/>
    <w:unhideWhenUsed/>
    <w:qFormat/>
    <w:uiPriority w:val="34"/>
    <w:pPr>
      <w:widowControl/>
      <w:autoSpaceDE w:val="0"/>
      <w:autoSpaceDN w:val="0"/>
      <w:spacing w:after="200" w:line="276" w:lineRule="auto"/>
      <w:ind w:left="720"/>
      <w:jc w:val="left"/>
    </w:pPr>
    <w:rPr>
      <w:rFonts w:ascii="等线" w:hAnsi="等线" w:eastAsia="等线" w:cs="宋体"/>
      <w:kern w:val="0"/>
      <w:sz w:val="22"/>
      <w:szCs w:val="22"/>
      <w:lang w:val="zh-CN" w:bidi="zh-CN"/>
    </w:rPr>
  </w:style>
  <w:style w:type="paragraph" w:customStyle="1" w:styleId="269">
    <w:name w:val="_Style 10"/>
    <w:basedOn w:val="1"/>
    <w:autoRedefine/>
    <w:qFormat/>
    <w:uiPriority w:val="0"/>
    <w:rPr>
      <w:rFonts w:ascii="Tahoma" w:hAnsi="Tahoma"/>
      <w:sz w:val="24"/>
      <w:szCs w:val="20"/>
    </w:rPr>
  </w:style>
  <w:style w:type="paragraph" w:customStyle="1" w:styleId="270">
    <w:name w:val="修订2"/>
    <w:autoRedefine/>
    <w:hidden/>
    <w:qFormat/>
    <w:uiPriority w:val="0"/>
    <w:rPr>
      <w:rFonts w:ascii="Calibri" w:hAnsi="Calibri" w:eastAsia="宋体" w:cs="Times New Roman"/>
      <w:kern w:val="2"/>
      <w:sz w:val="21"/>
      <w:szCs w:val="24"/>
      <w:lang w:val="en-US" w:eastAsia="zh-CN" w:bidi="ar-SA"/>
    </w:rPr>
  </w:style>
  <w:style w:type="character" w:customStyle="1" w:styleId="271">
    <w:name w:val="正文缩进 Char"/>
    <w:link w:val="16"/>
    <w:autoRedefine/>
    <w:qFormat/>
    <w:locked/>
    <w:uiPriority w:val="0"/>
    <w:rPr>
      <w:rFonts w:ascii="Calibri" w:hAnsi="Calibri"/>
    </w:rPr>
  </w:style>
  <w:style w:type="character" w:customStyle="1" w:styleId="272">
    <w:name w:val="列出段落 Char"/>
    <w:link w:val="262"/>
    <w:autoRedefine/>
    <w:qFormat/>
    <w:uiPriority w:val="34"/>
    <w:rPr>
      <w:rFonts w:ascii="Calibri" w:hAnsi="Calibri"/>
      <w:kern w:val="2"/>
      <w:sz w:val="21"/>
      <w:szCs w:val="24"/>
    </w:rPr>
  </w:style>
  <w:style w:type="character" w:customStyle="1" w:styleId="273">
    <w:name w:val="普通(网站) Char"/>
    <w:autoRedefine/>
    <w:qFormat/>
    <w:uiPriority w:val="0"/>
    <w:rPr>
      <w:rFonts w:eastAsia="宋体"/>
      <w:kern w:val="2"/>
      <w:sz w:val="24"/>
      <w:szCs w:val="24"/>
      <w:lang w:val="en-US" w:eastAsia="zh-CN" w:bidi="ar-SA"/>
    </w:rPr>
  </w:style>
  <w:style w:type="paragraph" w:customStyle="1" w:styleId="274">
    <w:name w:val="目录"/>
    <w:basedOn w:val="1"/>
    <w:autoRedefine/>
    <w:qFormat/>
    <w:uiPriority w:val="0"/>
    <w:pPr>
      <w:widowControl/>
      <w:jc w:val="center"/>
    </w:pPr>
    <w:rPr>
      <w:rFonts w:hint="eastAsia" w:ascii="宋体" w:hAnsi="Times New Roman"/>
      <w:b/>
      <w:kern w:val="0"/>
      <w:sz w:val="36"/>
      <w:szCs w:val="20"/>
    </w:rPr>
  </w:style>
  <w:style w:type="character" w:customStyle="1" w:styleId="275">
    <w:name w:val="HTML 预设格式 Char"/>
    <w:link w:val="50"/>
    <w:autoRedefine/>
    <w:qFormat/>
    <w:uiPriority w:val="99"/>
    <w:rPr>
      <w:rFonts w:ascii="Courier New" w:hAnsi="Courier New" w:cs="Courier New"/>
      <w:kern w:val="2"/>
    </w:rPr>
  </w:style>
  <w:style w:type="character" w:customStyle="1" w:styleId="276">
    <w:name w:val="unnamed11"/>
    <w:basedOn w:val="58"/>
    <w:autoRedefine/>
    <w:qFormat/>
    <w:uiPriority w:val="0"/>
  </w:style>
  <w:style w:type="paragraph" w:customStyle="1" w:styleId="277">
    <w:name w:val="表内容"/>
    <w:basedOn w:val="1"/>
    <w:link w:val="278"/>
    <w:autoRedefine/>
    <w:qFormat/>
    <w:uiPriority w:val="0"/>
    <w:pPr>
      <w:jc w:val="center"/>
    </w:pPr>
    <w:rPr>
      <w:rFonts w:ascii="Times New Roman" w:hAnsi="Times New Roman"/>
    </w:rPr>
  </w:style>
  <w:style w:type="character" w:customStyle="1" w:styleId="278">
    <w:name w:val="表内容 字符"/>
    <w:link w:val="277"/>
    <w:autoRedefine/>
    <w:qFormat/>
    <w:uiPriority w:val="0"/>
    <w:rPr>
      <w:rFonts w:ascii="Times New Roman" w:hAnsi="Times New Roman"/>
      <w:kern w:val="2"/>
      <w:sz w:val="21"/>
      <w:szCs w:val="24"/>
    </w:rPr>
  </w:style>
  <w:style w:type="paragraph" w:customStyle="1" w:styleId="279">
    <w:name w:val="ZW"/>
    <w:basedOn w:val="1"/>
    <w:link w:val="280"/>
    <w:autoRedefine/>
    <w:qFormat/>
    <w:uiPriority w:val="0"/>
    <w:pPr>
      <w:ind w:firstLine="200" w:firstLineChars="200"/>
    </w:pPr>
    <w:rPr>
      <w:rFonts w:asciiTheme="minorEastAsia" w:hAnsiTheme="minorEastAsia"/>
      <w:sz w:val="24"/>
    </w:rPr>
  </w:style>
  <w:style w:type="character" w:customStyle="1" w:styleId="280">
    <w:name w:val="ZW Char"/>
    <w:basedOn w:val="58"/>
    <w:link w:val="279"/>
    <w:autoRedefine/>
    <w:qFormat/>
    <w:uiPriority w:val="0"/>
    <w:rPr>
      <w:rFonts w:asciiTheme="minorEastAsia" w:hAnsiTheme="minorEastAsia"/>
      <w:kern w:val="2"/>
      <w:sz w:val="24"/>
      <w:szCs w:val="24"/>
    </w:rPr>
  </w:style>
  <w:style w:type="paragraph" w:customStyle="1" w:styleId="281">
    <w:name w:val="附件标题"/>
    <w:basedOn w:val="5"/>
    <w:next w:val="1"/>
    <w:autoRedefine/>
    <w:qFormat/>
    <w:uiPriority w:val="0"/>
    <w:pPr>
      <w:numPr>
        <w:ilvl w:val="0"/>
        <w:numId w:val="7"/>
      </w:numPr>
      <w:tabs>
        <w:tab w:val="left" w:pos="1134"/>
      </w:tabs>
      <w:wordWrap w:val="0"/>
      <w:topLinePunct/>
      <w:adjustRightInd w:val="0"/>
      <w:snapToGrid w:val="0"/>
      <w:spacing w:before="0" w:afterLines="50" w:line="360" w:lineRule="auto"/>
      <w:jc w:val="center"/>
    </w:pPr>
    <w:rPr>
      <w:rFonts w:ascii="黑体" w:hAnsi="黑体"/>
      <w:bCs w:val="0"/>
      <w:sz w:val="30"/>
      <w:szCs w:val="30"/>
    </w:rPr>
  </w:style>
  <w:style w:type="paragraph" w:customStyle="1" w:styleId="282">
    <w:name w:val="表标题"/>
    <w:basedOn w:val="1"/>
    <w:link w:val="339"/>
    <w:autoRedefine/>
    <w:qFormat/>
    <w:uiPriority w:val="0"/>
    <w:pPr>
      <w:widowControl/>
      <w:numPr>
        <w:ilvl w:val="0"/>
        <w:numId w:val="8"/>
      </w:numPr>
      <w:tabs>
        <w:tab w:val="left" w:pos="1140"/>
      </w:tabs>
      <w:spacing w:beforeLines="50"/>
      <w:jc w:val="center"/>
    </w:pPr>
    <w:rPr>
      <w:kern w:val="0"/>
      <w:sz w:val="24"/>
      <w:lang w:val="zh-CN"/>
    </w:rPr>
  </w:style>
  <w:style w:type="paragraph" w:customStyle="1" w:styleId="283">
    <w:name w:val="通用标题5"/>
    <w:autoRedefine/>
    <w:qFormat/>
    <w:uiPriority w:val="0"/>
    <w:pPr>
      <w:widowControl w:val="0"/>
      <w:numPr>
        <w:ilvl w:val="3"/>
        <w:numId w:val="8"/>
      </w:numPr>
      <w:tabs>
        <w:tab w:val="left" w:pos="1134"/>
      </w:tabs>
      <w:autoSpaceDE w:val="0"/>
      <w:autoSpaceDN w:val="0"/>
      <w:adjustRightInd w:val="0"/>
      <w:snapToGrid w:val="0"/>
      <w:spacing w:afterLines="50" w:line="360" w:lineRule="auto"/>
      <w:jc w:val="both"/>
    </w:pPr>
    <w:rPr>
      <w:rFonts w:ascii="宋体" w:hAnsi="宋体" w:eastAsia="宋体" w:cs="Times New Roman"/>
      <w:kern w:val="2"/>
      <w:sz w:val="24"/>
      <w:szCs w:val="21"/>
      <w:lang w:val="en-US" w:eastAsia="zh-CN" w:bidi="ar-SA"/>
    </w:rPr>
  </w:style>
  <w:style w:type="paragraph" w:customStyle="1" w:styleId="284">
    <w:name w:val="通用标题3"/>
    <w:next w:val="1"/>
    <w:autoRedefine/>
    <w:qFormat/>
    <w:uiPriority w:val="0"/>
    <w:pPr>
      <w:widowControl w:val="0"/>
      <w:numPr>
        <w:ilvl w:val="1"/>
        <w:numId w:val="8"/>
      </w:numPr>
      <w:tabs>
        <w:tab w:val="left" w:pos="851"/>
      </w:tabs>
      <w:adjustRightInd w:val="0"/>
      <w:snapToGrid w:val="0"/>
      <w:spacing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285">
    <w:name w:val="Normal_0"/>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86">
    <w:name w:val="脚注文本 Char"/>
    <w:basedOn w:val="58"/>
    <w:link w:val="42"/>
    <w:autoRedefine/>
    <w:qFormat/>
    <w:uiPriority w:val="99"/>
    <w:rPr>
      <w:rFonts w:ascii="宋体" w:hAnsi="Calibri"/>
      <w:sz w:val="24"/>
    </w:rPr>
  </w:style>
  <w:style w:type="character" w:customStyle="1" w:styleId="287">
    <w:name w:val="正文首行缩进 Char"/>
    <w:basedOn w:val="174"/>
    <w:link w:val="55"/>
    <w:autoRedefine/>
    <w:qFormat/>
    <w:uiPriority w:val="99"/>
    <w:rPr>
      <w:rFonts w:ascii="Calibri" w:hAnsi="Calibri" w:cs="Times New Roman"/>
      <w:kern w:val="2"/>
      <w:sz w:val="28"/>
      <w:szCs w:val="24"/>
    </w:rPr>
  </w:style>
  <w:style w:type="character" w:customStyle="1" w:styleId="288">
    <w:name w:val="正文首行缩进 2 Char"/>
    <w:basedOn w:val="177"/>
    <w:link w:val="2"/>
    <w:autoRedefine/>
    <w:qFormat/>
    <w:uiPriority w:val="99"/>
    <w:rPr>
      <w:rFonts w:ascii="Calibri" w:hAnsi="Calibri" w:cs="Times New Roman"/>
      <w:kern w:val="2"/>
      <w:sz w:val="21"/>
    </w:rPr>
  </w:style>
  <w:style w:type="character" w:customStyle="1" w:styleId="289">
    <w:name w:val="样式4-1 Char"/>
    <w:link w:val="290"/>
    <w:autoRedefine/>
    <w:qFormat/>
    <w:uiPriority w:val="0"/>
    <w:rPr>
      <w:rFonts w:ascii="宋体" w:hAnsi="宋体"/>
      <w:b/>
      <w:szCs w:val="21"/>
    </w:rPr>
  </w:style>
  <w:style w:type="paragraph" w:customStyle="1" w:styleId="290">
    <w:name w:val="样式4-1"/>
    <w:basedOn w:val="1"/>
    <w:link w:val="289"/>
    <w:autoRedefine/>
    <w:qFormat/>
    <w:uiPriority w:val="0"/>
    <w:pPr>
      <w:spacing w:line="360" w:lineRule="auto"/>
      <w:ind w:firstLine="420" w:firstLineChars="200"/>
      <w:outlineLvl w:val="3"/>
    </w:pPr>
    <w:rPr>
      <w:rFonts w:ascii="宋体" w:hAnsi="宋体"/>
      <w:b/>
      <w:kern w:val="0"/>
      <w:sz w:val="20"/>
      <w:szCs w:val="21"/>
    </w:rPr>
  </w:style>
  <w:style w:type="character" w:customStyle="1" w:styleId="291">
    <w:name w:val="正文文本缩进 3 字符"/>
    <w:autoRedefine/>
    <w:qFormat/>
    <w:uiPriority w:val="0"/>
    <w:rPr>
      <w:rFonts w:ascii="宋体" w:hAnsi="MS Sans Serif"/>
      <w:color w:val="000000"/>
      <w:sz w:val="24"/>
    </w:rPr>
  </w:style>
  <w:style w:type="character" w:customStyle="1" w:styleId="292">
    <w:name w:val="正文缩进 字符"/>
    <w:autoRedefine/>
    <w:qFormat/>
    <w:uiPriority w:val="0"/>
  </w:style>
  <w:style w:type="character" w:customStyle="1" w:styleId="293">
    <w:name w:val="Comment Text Char1"/>
    <w:autoRedefine/>
    <w:semiHidden/>
    <w:qFormat/>
    <w:uiPriority w:val="99"/>
  </w:style>
  <w:style w:type="character" w:customStyle="1" w:styleId="294">
    <w:name w:val="标题4 Char Char"/>
    <w:link w:val="295"/>
    <w:autoRedefine/>
    <w:qFormat/>
    <w:locked/>
    <w:uiPriority w:val="0"/>
    <w:rPr>
      <w:rFonts w:ascii="黑体" w:eastAsia="黑体"/>
      <w:sz w:val="24"/>
      <w:szCs w:val="30"/>
    </w:rPr>
  </w:style>
  <w:style w:type="paragraph" w:customStyle="1" w:styleId="295">
    <w:name w:val="标题4"/>
    <w:basedOn w:val="1"/>
    <w:next w:val="7"/>
    <w:link w:val="294"/>
    <w:autoRedefine/>
    <w:qFormat/>
    <w:uiPriority w:val="0"/>
    <w:pPr>
      <w:widowControl/>
      <w:jc w:val="left"/>
    </w:pPr>
    <w:rPr>
      <w:rFonts w:ascii="黑体" w:hAnsi="等线" w:eastAsia="黑体"/>
      <w:kern w:val="0"/>
      <w:sz w:val="24"/>
      <w:szCs w:val="30"/>
    </w:rPr>
  </w:style>
  <w:style w:type="character" w:customStyle="1" w:styleId="296">
    <w:name w:val="批注框文本 Char2"/>
    <w:autoRedefine/>
    <w:semiHidden/>
    <w:qFormat/>
    <w:uiPriority w:val="99"/>
    <w:rPr>
      <w:sz w:val="18"/>
    </w:rPr>
  </w:style>
  <w:style w:type="character" w:customStyle="1" w:styleId="297">
    <w:name w:val="样式  + Times New Roman 小四 Char"/>
    <w:autoRedefine/>
    <w:qFormat/>
    <w:uiPriority w:val="0"/>
    <w:rPr>
      <w:rFonts w:ascii="宋体" w:hAnsi="宋体" w:eastAsia="仿宋_GB2312"/>
      <w:color w:val="000000"/>
      <w:kern w:val="2"/>
      <w:sz w:val="24"/>
      <w:szCs w:val="24"/>
      <w:lang w:val="en-US" w:eastAsia="zh-CN" w:bidi="ar-SA"/>
    </w:rPr>
  </w:style>
  <w:style w:type="character" w:customStyle="1" w:styleId="298">
    <w:name w:val="批注文字 Char Char"/>
    <w:autoRedefine/>
    <w:qFormat/>
    <w:uiPriority w:val="0"/>
    <w:rPr>
      <w:rFonts w:ascii="宋体" w:hAnsi="Times New Roman" w:eastAsia="宋体"/>
      <w:sz w:val="20"/>
    </w:rPr>
  </w:style>
  <w:style w:type="character" w:customStyle="1" w:styleId="299">
    <w:name w:val="文档结构图 Char2"/>
    <w:autoRedefine/>
    <w:qFormat/>
    <w:uiPriority w:val="99"/>
    <w:rPr>
      <w:rFonts w:ascii="宋体" w:eastAsia="宋体" w:cs="Times New Roman"/>
      <w:sz w:val="18"/>
      <w:szCs w:val="18"/>
    </w:rPr>
  </w:style>
  <w:style w:type="character" w:customStyle="1" w:styleId="300">
    <w:name w:val="正文文本 3 字符"/>
    <w:autoRedefine/>
    <w:qFormat/>
    <w:uiPriority w:val="99"/>
    <w:rPr>
      <w:rFonts w:ascii="Times New Roman" w:hAnsi="Times New Roman"/>
      <w:sz w:val="16"/>
      <w:szCs w:val="16"/>
    </w:rPr>
  </w:style>
  <w:style w:type="character" w:customStyle="1" w:styleId="301">
    <w:name w:val="Intense Quote Char1"/>
    <w:autoRedefine/>
    <w:qFormat/>
    <w:uiPriority w:val="30"/>
    <w:rPr>
      <w:b/>
      <w:bCs/>
      <w:i/>
      <w:iCs/>
      <w:color w:val="4F81BD"/>
    </w:rPr>
  </w:style>
  <w:style w:type="character" w:customStyle="1" w:styleId="302">
    <w:name w:val="样式6 Char"/>
    <w:link w:val="303"/>
    <w:autoRedefine/>
    <w:qFormat/>
    <w:uiPriority w:val="0"/>
    <w:rPr>
      <w:rFonts w:ascii="黑体" w:hAnsi="Cambria" w:eastAsia="黑体"/>
      <w:kern w:val="2"/>
      <w:sz w:val="21"/>
      <w:szCs w:val="21"/>
    </w:rPr>
  </w:style>
  <w:style w:type="paragraph" w:customStyle="1" w:styleId="303">
    <w:name w:val="样式6"/>
    <w:basedOn w:val="37"/>
    <w:link w:val="302"/>
    <w:autoRedefine/>
    <w:qFormat/>
    <w:uiPriority w:val="0"/>
    <w:pPr>
      <w:widowControl w:val="0"/>
      <w:pBdr>
        <w:bottom w:val="thickThinSmallGap" w:color="000000" w:sz="12" w:space="1"/>
      </w:pBdr>
      <w:jc w:val="left"/>
    </w:pPr>
    <w:rPr>
      <w:rFonts w:ascii="黑体" w:hAnsi="Cambria" w:eastAsia="黑体"/>
      <w:kern w:val="2"/>
      <w:sz w:val="21"/>
      <w:szCs w:val="21"/>
    </w:rPr>
  </w:style>
  <w:style w:type="character" w:customStyle="1" w:styleId="304">
    <w:name w:val="Char Char5"/>
    <w:autoRedefine/>
    <w:qFormat/>
    <w:uiPriority w:val="0"/>
    <w:rPr>
      <w:rFonts w:eastAsia="宋体"/>
      <w:kern w:val="2"/>
      <w:sz w:val="21"/>
      <w:szCs w:val="24"/>
      <w:lang w:val="en-US" w:eastAsia="zh-CN" w:bidi="ar-SA"/>
    </w:rPr>
  </w:style>
  <w:style w:type="character" w:customStyle="1" w:styleId="305">
    <w:name w:val="Char Char1"/>
    <w:autoRedefine/>
    <w:qFormat/>
    <w:uiPriority w:val="0"/>
    <w:rPr>
      <w:kern w:val="2"/>
      <w:sz w:val="18"/>
      <w:szCs w:val="18"/>
    </w:rPr>
  </w:style>
  <w:style w:type="character" w:customStyle="1" w:styleId="306">
    <w:name w:val="明显引用 字符"/>
    <w:autoRedefine/>
    <w:qFormat/>
    <w:uiPriority w:val="0"/>
    <w:rPr>
      <w:b/>
      <w:bCs/>
      <w:i/>
      <w:iCs/>
      <w:color w:val="4F81BD"/>
    </w:rPr>
  </w:style>
  <w:style w:type="character" w:customStyle="1" w:styleId="307">
    <w:name w:val="报告正文 Char Char"/>
    <w:link w:val="308"/>
    <w:autoRedefine/>
    <w:qFormat/>
    <w:uiPriority w:val="0"/>
    <w:rPr>
      <w:sz w:val="24"/>
      <w:szCs w:val="24"/>
    </w:rPr>
  </w:style>
  <w:style w:type="paragraph" w:customStyle="1" w:styleId="308">
    <w:name w:val="报告正文"/>
    <w:basedOn w:val="1"/>
    <w:link w:val="307"/>
    <w:autoRedefine/>
    <w:qFormat/>
    <w:uiPriority w:val="0"/>
    <w:pPr>
      <w:spacing w:line="360" w:lineRule="auto"/>
      <w:ind w:firstLine="200" w:firstLineChars="200"/>
      <w:jc w:val="left"/>
    </w:pPr>
    <w:rPr>
      <w:rFonts w:ascii="等线" w:hAnsi="等线"/>
      <w:kern w:val="0"/>
      <w:sz w:val="24"/>
    </w:rPr>
  </w:style>
  <w:style w:type="character" w:customStyle="1" w:styleId="309">
    <w:name w:val="日期 字符"/>
    <w:autoRedefine/>
    <w:qFormat/>
    <w:uiPriority w:val="0"/>
    <w:rPr>
      <w:rFonts w:ascii="Times New Roman" w:hAnsi="Times New Roman"/>
      <w:sz w:val="24"/>
    </w:rPr>
  </w:style>
  <w:style w:type="character" w:customStyle="1" w:styleId="310">
    <w:name w:val="Comment Subject Char1"/>
    <w:autoRedefine/>
    <w:semiHidden/>
    <w:qFormat/>
    <w:uiPriority w:val="99"/>
    <w:rPr>
      <w:b/>
      <w:bCs/>
      <w:kern w:val="2"/>
      <w:sz w:val="21"/>
      <w:szCs w:val="24"/>
    </w:rPr>
  </w:style>
  <w:style w:type="character" w:customStyle="1" w:styleId="311">
    <w:name w:val="样式5 Char"/>
    <w:link w:val="312"/>
    <w:autoRedefine/>
    <w:qFormat/>
    <w:uiPriority w:val="0"/>
    <w:rPr>
      <w:kern w:val="2"/>
      <w:sz w:val="18"/>
      <w:szCs w:val="18"/>
    </w:rPr>
  </w:style>
  <w:style w:type="paragraph" w:customStyle="1" w:styleId="312">
    <w:name w:val="样式5"/>
    <w:basedOn w:val="36"/>
    <w:link w:val="311"/>
    <w:autoRedefine/>
    <w:qFormat/>
    <w:uiPriority w:val="0"/>
    <w:pPr>
      <w:widowControl w:val="0"/>
      <w:pBdr>
        <w:bottom w:val="thickThinSmallGap" w:color="auto" w:sz="12" w:space="1"/>
      </w:pBdr>
      <w:wordWrap w:val="0"/>
      <w:jc w:val="right"/>
    </w:pPr>
    <w:rPr>
      <w:rFonts w:ascii="等线" w:hAnsi="等线"/>
      <w:kern w:val="2"/>
    </w:rPr>
  </w:style>
  <w:style w:type="character" w:customStyle="1" w:styleId="313">
    <w:name w:val="样式 (中文) 仿宋_GB2312"/>
    <w:autoRedefine/>
    <w:qFormat/>
    <w:uiPriority w:val="0"/>
    <w:rPr>
      <w:rFonts w:eastAsia="仿宋_GB2312"/>
      <w:b/>
      <w:kern w:val="2"/>
      <w:sz w:val="36"/>
      <w:szCs w:val="24"/>
      <w:lang w:val="en-US" w:eastAsia="zh-CN" w:bidi="ar-SA"/>
    </w:rPr>
  </w:style>
  <w:style w:type="character" w:customStyle="1" w:styleId="314">
    <w:name w:val="standdate1"/>
    <w:autoRedefine/>
    <w:qFormat/>
    <w:uiPriority w:val="0"/>
    <w:rPr>
      <w:rFonts w:ascii="黑体" w:hAnsi="Times New Roman" w:eastAsia="黑体"/>
      <w:color w:val="auto"/>
      <w:sz w:val="24"/>
      <w:u w:val="none"/>
    </w:rPr>
  </w:style>
  <w:style w:type="character" w:customStyle="1" w:styleId="315">
    <w:name w:val="标题 字符"/>
    <w:autoRedefine/>
    <w:qFormat/>
    <w:uiPriority w:val="0"/>
    <w:rPr>
      <w:rFonts w:ascii="Times New Roman" w:hAnsi="Times New Roman"/>
      <w:b/>
      <w:sz w:val="32"/>
      <w:szCs w:val="32"/>
    </w:rPr>
  </w:style>
  <w:style w:type="character" w:customStyle="1" w:styleId="316">
    <w:name w:val="样式1 Char"/>
    <w:autoRedefine/>
    <w:qFormat/>
    <w:uiPriority w:val="0"/>
    <w:rPr>
      <w:rFonts w:ascii="华文仿宋" w:hAnsi="华文仿宋" w:eastAsia="华文仿宋"/>
      <w:b/>
      <w:color w:val="000000"/>
      <w:kern w:val="2"/>
      <w:sz w:val="30"/>
      <w:szCs w:val="30"/>
      <w:u w:val="single"/>
    </w:rPr>
  </w:style>
  <w:style w:type="character" w:customStyle="1" w:styleId="317">
    <w:name w:val="正文文本 字符"/>
    <w:autoRedefine/>
    <w:qFormat/>
    <w:uiPriority w:val="99"/>
  </w:style>
  <w:style w:type="character" w:customStyle="1" w:styleId="318">
    <w:name w:val="标题 4 字符"/>
    <w:autoRedefine/>
    <w:qFormat/>
    <w:uiPriority w:val="0"/>
    <w:rPr>
      <w:rFonts w:ascii="Arial" w:hAnsi="Arial"/>
      <w:b/>
      <w:bCs/>
      <w:szCs w:val="28"/>
    </w:rPr>
  </w:style>
  <w:style w:type="character" w:customStyle="1" w:styleId="319">
    <w:name w:val="Quote Char1"/>
    <w:autoRedefine/>
    <w:qFormat/>
    <w:uiPriority w:val="29"/>
    <w:rPr>
      <w:i/>
      <w:iCs/>
      <w:color w:val="000000"/>
    </w:rPr>
  </w:style>
  <w:style w:type="character" w:customStyle="1" w:styleId="320">
    <w:name w:val="tpc_content1"/>
    <w:autoRedefine/>
    <w:qFormat/>
    <w:uiPriority w:val="0"/>
    <w:rPr>
      <w:sz w:val="20"/>
      <w:szCs w:val="20"/>
    </w:rPr>
  </w:style>
  <w:style w:type="character" w:customStyle="1" w:styleId="321">
    <w:name w:val="脚注文本 字符"/>
    <w:autoRedefine/>
    <w:qFormat/>
    <w:uiPriority w:val="0"/>
    <w:rPr>
      <w:rFonts w:ascii="Times New Roman" w:hAnsi="Times New Roman"/>
      <w:sz w:val="18"/>
    </w:rPr>
  </w:style>
  <w:style w:type="character" w:customStyle="1" w:styleId="322">
    <w:name w:val="正文文本缩进 字符"/>
    <w:autoRedefine/>
    <w:qFormat/>
    <w:uiPriority w:val="0"/>
    <w:rPr>
      <w:rFonts w:ascii="Times New Roman" w:hAnsi="Times New Roman"/>
    </w:rPr>
  </w:style>
  <w:style w:type="character" w:customStyle="1" w:styleId="323">
    <w:name w:val="Title Char1"/>
    <w:autoRedefine/>
    <w:qFormat/>
    <w:uiPriority w:val="10"/>
    <w:rPr>
      <w:rFonts w:ascii="Cambria" w:hAnsi="Cambria" w:cs="Times New Roman"/>
      <w:b/>
      <w:bCs/>
      <w:sz w:val="32"/>
      <w:szCs w:val="32"/>
    </w:rPr>
  </w:style>
  <w:style w:type="character" w:customStyle="1" w:styleId="324">
    <w:name w:val="标题 9 字符"/>
    <w:autoRedefine/>
    <w:qFormat/>
    <w:uiPriority w:val="0"/>
    <w:rPr>
      <w:rFonts w:ascii="Arial" w:hAnsi="Arial" w:eastAsia="黑体"/>
      <w:szCs w:val="21"/>
    </w:rPr>
  </w:style>
  <w:style w:type="character" w:customStyle="1" w:styleId="325">
    <w:name w:val="Char Char24"/>
    <w:autoRedefine/>
    <w:qFormat/>
    <w:uiPriority w:val="0"/>
    <w:rPr>
      <w:rFonts w:ascii="Times New Roman" w:eastAsia="宋体"/>
      <w:b/>
      <w:bCs/>
      <w:kern w:val="44"/>
      <w:sz w:val="44"/>
      <w:szCs w:val="44"/>
    </w:rPr>
  </w:style>
  <w:style w:type="character" w:customStyle="1" w:styleId="326">
    <w:name w:val="正文首行缩进 字符"/>
    <w:autoRedefine/>
    <w:qFormat/>
    <w:uiPriority w:val="0"/>
  </w:style>
  <w:style w:type="character" w:customStyle="1" w:styleId="327">
    <w:name w:val="标题 6 字符"/>
    <w:autoRedefine/>
    <w:qFormat/>
    <w:uiPriority w:val="9"/>
    <w:rPr>
      <w:rFonts w:ascii="Arial" w:hAnsi="Arial" w:eastAsia="黑体"/>
      <w:b/>
      <w:bCs/>
      <w:sz w:val="24"/>
      <w:szCs w:val="24"/>
    </w:rPr>
  </w:style>
  <w:style w:type="character" w:customStyle="1" w:styleId="328">
    <w:name w:val="正文首行缩进 2 字符"/>
    <w:autoRedefine/>
    <w:qFormat/>
    <w:uiPriority w:val="0"/>
    <w:rPr>
      <w:rFonts w:ascii="Times New Roman" w:hAnsi="Times New Roman"/>
      <w:szCs w:val="24"/>
    </w:rPr>
  </w:style>
  <w:style w:type="character" w:customStyle="1" w:styleId="329">
    <w:name w:val="明显引用 Char2"/>
    <w:basedOn w:val="58"/>
    <w:link w:val="135"/>
    <w:autoRedefine/>
    <w:qFormat/>
    <w:uiPriority w:val="99"/>
    <w:rPr>
      <w:rFonts w:ascii="Calibri" w:hAnsi="Calibri"/>
      <w:b/>
      <w:bCs/>
      <w:i/>
      <w:iCs/>
      <w:color w:val="4F81BD" w:themeColor="accent1"/>
      <w:kern w:val="2"/>
      <w:sz w:val="21"/>
      <w:szCs w:val="24"/>
      <w14:textFill>
        <w14:solidFill>
          <w14:schemeClr w14:val="accent1"/>
        </w14:solidFill>
      </w14:textFill>
    </w:rPr>
  </w:style>
  <w:style w:type="character" w:customStyle="1" w:styleId="330">
    <w:name w:val="textcontents"/>
    <w:autoRedefine/>
    <w:qFormat/>
    <w:uiPriority w:val="0"/>
  </w:style>
  <w:style w:type="character" w:customStyle="1" w:styleId="331">
    <w:name w:val="p121"/>
    <w:autoRedefine/>
    <w:qFormat/>
    <w:uiPriority w:val="0"/>
    <w:rPr>
      <w:rFonts w:hint="default"/>
      <w:sz w:val="24"/>
      <w:szCs w:val="24"/>
      <w:u w:val="none"/>
    </w:rPr>
  </w:style>
  <w:style w:type="character" w:customStyle="1" w:styleId="332">
    <w:name w:val="图标题 Char"/>
    <w:link w:val="333"/>
    <w:autoRedefine/>
    <w:qFormat/>
    <w:uiPriority w:val="0"/>
    <w:rPr>
      <w:b/>
      <w:sz w:val="24"/>
      <w:szCs w:val="28"/>
    </w:rPr>
  </w:style>
  <w:style w:type="paragraph" w:customStyle="1" w:styleId="333">
    <w:name w:val="图标题"/>
    <w:basedOn w:val="1"/>
    <w:link w:val="332"/>
    <w:autoRedefine/>
    <w:qFormat/>
    <w:uiPriority w:val="0"/>
    <w:pPr>
      <w:keepNext/>
      <w:jc w:val="center"/>
      <w:textAlignment w:val="baseline"/>
    </w:pPr>
    <w:rPr>
      <w:rFonts w:ascii="等线" w:hAnsi="等线"/>
      <w:b/>
      <w:kern w:val="0"/>
      <w:sz w:val="24"/>
      <w:szCs w:val="28"/>
    </w:rPr>
  </w:style>
  <w:style w:type="character" w:customStyle="1" w:styleId="334">
    <w:name w:val="日期 Char2"/>
    <w:autoRedefine/>
    <w:semiHidden/>
    <w:qFormat/>
    <w:uiPriority w:val="99"/>
  </w:style>
  <w:style w:type="character" w:customStyle="1" w:styleId="335">
    <w:name w:val="Char Char13"/>
    <w:autoRedefine/>
    <w:qFormat/>
    <w:locked/>
    <w:uiPriority w:val="0"/>
    <w:rPr>
      <w:rFonts w:ascii="宋体" w:hAnsi="宋体" w:eastAsia="宋体"/>
      <w:kern w:val="2"/>
      <w:sz w:val="21"/>
      <w:szCs w:val="24"/>
      <w:lang w:val="en-US" w:eastAsia="zh-CN" w:bidi="ar-SA"/>
    </w:rPr>
  </w:style>
  <w:style w:type="character" w:customStyle="1" w:styleId="336">
    <w:name w:val="Char Char7"/>
    <w:autoRedefine/>
    <w:qFormat/>
    <w:uiPriority w:val="0"/>
    <w:rPr>
      <w:rFonts w:ascii="宋体" w:hAnsi="Courier New" w:eastAsia="宋体"/>
      <w:szCs w:val="21"/>
      <w:lang w:bidi="ar-SA"/>
    </w:rPr>
  </w:style>
  <w:style w:type="character" w:customStyle="1" w:styleId="337">
    <w:name w:val="正文文本 2 字符"/>
    <w:autoRedefine/>
    <w:qFormat/>
    <w:uiPriority w:val="99"/>
    <w:rPr>
      <w:rFonts w:ascii="Times New Roman" w:hAnsi="Times New Roman"/>
      <w:sz w:val="24"/>
      <w:szCs w:val="24"/>
    </w:rPr>
  </w:style>
  <w:style w:type="character" w:customStyle="1" w:styleId="338">
    <w:name w:val="Char Char51"/>
    <w:autoRedefine/>
    <w:qFormat/>
    <w:uiPriority w:val="0"/>
    <w:rPr>
      <w:rFonts w:eastAsia="宋体"/>
      <w:kern w:val="2"/>
      <w:sz w:val="21"/>
      <w:szCs w:val="24"/>
      <w:lang w:val="en-US" w:eastAsia="zh-CN" w:bidi="ar-SA"/>
    </w:rPr>
  </w:style>
  <w:style w:type="character" w:customStyle="1" w:styleId="339">
    <w:name w:val="表标题 Char Char"/>
    <w:link w:val="282"/>
    <w:autoRedefine/>
    <w:qFormat/>
    <w:uiPriority w:val="0"/>
    <w:rPr>
      <w:rFonts w:ascii="Calibri" w:hAnsi="Calibri"/>
      <w:sz w:val="24"/>
      <w:szCs w:val="24"/>
      <w:lang w:val="zh-CN"/>
    </w:rPr>
  </w:style>
  <w:style w:type="character" w:customStyle="1" w:styleId="340">
    <w:name w:val="标题 2XW Char"/>
    <w:autoRedefine/>
    <w:qFormat/>
    <w:uiPriority w:val="0"/>
    <w:rPr>
      <w:rFonts w:ascii="Arial" w:hAnsi="Arial" w:eastAsia="黑体"/>
      <w:b/>
      <w:bCs/>
      <w:sz w:val="32"/>
      <w:szCs w:val="32"/>
    </w:rPr>
  </w:style>
  <w:style w:type="character" w:customStyle="1" w:styleId="341">
    <w:name w:val="标题 8 字符"/>
    <w:autoRedefine/>
    <w:qFormat/>
    <w:uiPriority w:val="0"/>
    <w:rPr>
      <w:rFonts w:ascii="Arial" w:hAnsi="Arial" w:eastAsia="黑体"/>
      <w:sz w:val="24"/>
      <w:szCs w:val="24"/>
    </w:rPr>
  </w:style>
  <w:style w:type="character" w:customStyle="1" w:styleId="342">
    <w:name w:val="标题 7 字符"/>
    <w:autoRedefine/>
    <w:qFormat/>
    <w:uiPriority w:val="0"/>
    <w:rPr>
      <w:rFonts w:ascii="Times New Roman" w:hAnsi="Times New Roman"/>
      <w:b/>
      <w:bCs/>
      <w:sz w:val="24"/>
      <w:szCs w:val="24"/>
    </w:rPr>
  </w:style>
  <w:style w:type="character" w:customStyle="1" w:styleId="343">
    <w:name w:val="样式3-1 Char"/>
    <w:link w:val="344"/>
    <w:autoRedefine/>
    <w:qFormat/>
    <w:uiPriority w:val="0"/>
    <w:rPr>
      <w:rFonts w:ascii="宋体" w:hAnsi="宋体"/>
      <w:b/>
      <w:bCs/>
      <w:sz w:val="32"/>
      <w:szCs w:val="24"/>
    </w:rPr>
  </w:style>
  <w:style w:type="paragraph" w:customStyle="1" w:styleId="344">
    <w:name w:val="样式3-1"/>
    <w:basedOn w:val="1"/>
    <w:link w:val="343"/>
    <w:autoRedefine/>
    <w:qFormat/>
    <w:uiPriority w:val="0"/>
    <w:pPr>
      <w:adjustRightInd w:val="0"/>
      <w:snapToGrid w:val="0"/>
      <w:spacing w:beforeLines="50" w:line="360" w:lineRule="auto"/>
      <w:jc w:val="center"/>
      <w:outlineLvl w:val="2"/>
    </w:pPr>
    <w:rPr>
      <w:rFonts w:ascii="宋体" w:hAnsi="宋体"/>
      <w:b/>
      <w:bCs/>
      <w:kern w:val="0"/>
      <w:sz w:val="32"/>
    </w:rPr>
  </w:style>
  <w:style w:type="character" w:customStyle="1" w:styleId="345">
    <w:name w:val="文档结构图 字符"/>
    <w:autoRedefine/>
    <w:qFormat/>
    <w:uiPriority w:val="0"/>
    <w:rPr>
      <w:szCs w:val="24"/>
      <w:shd w:val="clear" w:color="auto" w:fill="000080"/>
    </w:rPr>
  </w:style>
  <w:style w:type="character" w:customStyle="1" w:styleId="346">
    <w:name w:val="批注主题 Char2"/>
    <w:autoRedefine/>
    <w:qFormat/>
    <w:uiPriority w:val="99"/>
    <w:rPr>
      <w:rFonts w:cs="Times New Roman"/>
      <w:b/>
      <w:bCs/>
      <w:sz w:val="24"/>
    </w:rPr>
  </w:style>
  <w:style w:type="character" w:customStyle="1" w:styleId="347">
    <w:name w:val="HTML 预设格式 字符"/>
    <w:autoRedefine/>
    <w:qFormat/>
    <w:uiPriority w:val="99"/>
    <w:rPr>
      <w:rFonts w:ascii="宋体" w:hAnsi="宋体"/>
      <w:sz w:val="24"/>
      <w:szCs w:val="24"/>
    </w:rPr>
  </w:style>
  <w:style w:type="character" w:customStyle="1" w:styleId="348">
    <w:name w:val="ft101"/>
    <w:autoRedefine/>
    <w:qFormat/>
    <w:uiPriority w:val="0"/>
    <w:rPr>
      <w:spacing w:val="320"/>
      <w:sz w:val="20"/>
      <w:szCs w:val="20"/>
    </w:rPr>
  </w:style>
  <w:style w:type="character" w:customStyle="1" w:styleId="349">
    <w:name w:val="HTML Markup"/>
    <w:autoRedefine/>
    <w:qFormat/>
    <w:uiPriority w:val="0"/>
    <w:rPr>
      <w:vanish/>
      <w:color w:val="FF0000"/>
    </w:rPr>
  </w:style>
  <w:style w:type="character" w:customStyle="1" w:styleId="350">
    <w:name w:val="文档结构图 Char1"/>
    <w:autoRedefine/>
    <w:qFormat/>
    <w:uiPriority w:val="0"/>
    <w:rPr>
      <w:rFonts w:ascii="宋体"/>
      <w:kern w:val="2"/>
      <w:sz w:val="18"/>
    </w:rPr>
  </w:style>
  <w:style w:type="character" w:customStyle="1" w:styleId="351">
    <w:name w:val="普通文字1 Char"/>
    <w:autoRedefine/>
    <w:qFormat/>
    <w:uiPriority w:val="99"/>
    <w:rPr>
      <w:rFonts w:ascii="宋体" w:hAnsi="Courier New" w:eastAsia="宋体" w:cs="Courier New"/>
      <w:kern w:val="2"/>
      <w:sz w:val="21"/>
      <w:szCs w:val="21"/>
      <w:lang w:val="en-US" w:eastAsia="zh-CN" w:bidi="ar-SA"/>
    </w:rPr>
  </w:style>
  <w:style w:type="character" w:customStyle="1" w:styleId="352">
    <w:name w:val="通用web正文1"/>
    <w:autoRedefine/>
    <w:qFormat/>
    <w:uiPriority w:val="0"/>
    <w:rPr>
      <w:rFonts w:hint="eastAsia" w:ascii="宋体" w:hAnsi="宋体" w:eastAsia="宋体"/>
      <w:sz w:val="18"/>
    </w:rPr>
  </w:style>
  <w:style w:type="character" w:customStyle="1" w:styleId="353">
    <w:name w:val="g Char Char"/>
    <w:autoRedefine/>
    <w:qFormat/>
    <w:uiPriority w:val="0"/>
    <w:rPr>
      <w:sz w:val="18"/>
    </w:rPr>
  </w:style>
  <w:style w:type="character" w:customStyle="1" w:styleId="354">
    <w:name w:val="标题5 Char Char"/>
    <w:link w:val="355"/>
    <w:autoRedefine/>
    <w:qFormat/>
    <w:locked/>
    <w:uiPriority w:val="0"/>
    <w:rPr>
      <w:rFonts w:ascii="Arial" w:hAnsi="Arial"/>
      <w:b/>
      <w:sz w:val="32"/>
    </w:rPr>
  </w:style>
  <w:style w:type="paragraph" w:customStyle="1" w:styleId="355">
    <w:name w:val="标题5"/>
    <w:basedOn w:val="6"/>
    <w:link w:val="354"/>
    <w:autoRedefine/>
    <w:qFormat/>
    <w:uiPriority w:val="0"/>
    <w:pPr>
      <w:widowControl w:val="0"/>
      <w:numPr>
        <w:ilvl w:val="0"/>
        <w:numId w:val="0"/>
      </w:numPr>
      <w:tabs>
        <w:tab w:val="clear" w:pos="432"/>
        <w:tab w:val="clear" w:pos="720"/>
      </w:tabs>
      <w:spacing w:before="260" w:after="260" w:line="413" w:lineRule="auto"/>
      <w:jc w:val="both"/>
    </w:pPr>
    <w:rPr>
      <w:rFonts w:ascii="Arial" w:hAnsi="Arial"/>
    </w:rPr>
  </w:style>
  <w:style w:type="character" w:customStyle="1" w:styleId="356">
    <w:name w:val="表号 Char"/>
    <w:link w:val="357"/>
    <w:autoRedefine/>
    <w:qFormat/>
    <w:uiPriority w:val="0"/>
    <w:rPr>
      <w:kern w:val="2"/>
      <w:sz w:val="21"/>
      <w:szCs w:val="28"/>
    </w:rPr>
  </w:style>
  <w:style w:type="paragraph" w:customStyle="1" w:styleId="357">
    <w:name w:val="表号"/>
    <w:basedOn w:val="1"/>
    <w:link w:val="356"/>
    <w:autoRedefine/>
    <w:qFormat/>
    <w:uiPriority w:val="0"/>
    <w:pPr>
      <w:keepNext/>
      <w:adjustRightInd w:val="0"/>
      <w:snapToGrid w:val="0"/>
      <w:jc w:val="right"/>
    </w:pPr>
    <w:rPr>
      <w:rFonts w:ascii="等线" w:hAnsi="等线"/>
      <w:szCs w:val="28"/>
    </w:rPr>
  </w:style>
  <w:style w:type="character" w:customStyle="1" w:styleId="358">
    <w:name w:val="标题 3 字符"/>
    <w:autoRedefine/>
    <w:qFormat/>
    <w:uiPriority w:val="0"/>
    <w:rPr>
      <w:rFonts w:ascii="Times New Roman" w:hAnsi="Times New Roman"/>
      <w:b/>
      <w:bCs/>
      <w:sz w:val="24"/>
      <w:szCs w:val="32"/>
    </w:rPr>
  </w:style>
  <w:style w:type="character" w:customStyle="1" w:styleId="359">
    <w:name w:val="标题 5 字符"/>
    <w:autoRedefine/>
    <w:qFormat/>
    <w:uiPriority w:val="9"/>
    <w:rPr>
      <w:rFonts w:ascii="Times New Roman" w:hAnsi="Times New Roman"/>
      <w:b/>
      <w:bCs/>
      <w:sz w:val="28"/>
      <w:szCs w:val="28"/>
    </w:rPr>
  </w:style>
  <w:style w:type="character" w:customStyle="1" w:styleId="360">
    <w:name w:val="样式 样式 纯文本 + 楷体_GB2312 四号 浅蓝 首行缩进:  1.1 厘米 行距: 1.5 倍行距 + 首行缩进:  4... Char"/>
    <w:link w:val="361"/>
    <w:autoRedefine/>
    <w:qFormat/>
    <w:uiPriority w:val="0"/>
    <w:rPr>
      <w:rFonts w:ascii="宋体" w:hAnsi="宋体"/>
      <w:bCs/>
      <w:sz w:val="30"/>
    </w:rPr>
  </w:style>
  <w:style w:type="paragraph" w:customStyle="1" w:styleId="361">
    <w:name w:val="样式 样式 纯文本 + 楷体_GB2312 四号 浅蓝 首行缩进:  1.1 厘米 行距: 1.5 倍行距 + 首行缩进:  4..."/>
    <w:basedOn w:val="1"/>
    <w:link w:val="360"/>
    <w:autoRedefine/>
    <w:qFormat/>
    <w:uiPriority w:val="0"/>
    <w:pPr>
      <w:spacing w:line="360" w:lineRule="auto"/>
      <w:ind w:firstLine="300" w:firstLineChars="100"/>
    </w:pPr>
    <w:rPr>
      <w:rFonts w:ascii="宋体" w:hAnsi="宋体"/>
      <w:bCs/>
      <w:kern w:val="0"/>
      <w:sz w:val="30"/>
      <w:szCs w:val="20"/>
    </w:rPr>
  </w:style>
  <w:style w:type="character" w:customStyle="1" w:styleId="362">
    <w:name w:val="Body Text Char1"/>
    <w:autoRedefine/>
    <w:semiHidden/>
    <w:qFormat/>
    <w:uiPriority w:val="99"/>
  </w:style>
  <w:style w:type="character" w:customStyle="1" w:styleId="363">
    <w:name w:val="正文文本 Char2"/>
    <w:autoRedefine/>
    <w:qFormat/>
    <w:uiPriority w:val="99"/>
    <w:rPr>
      <w:rFonts w:cs="Times New Roman"/>
    </w:rPr>
  </w:style>
  <w:style w:type="character" w:customStyle="1" w:styleId="364">
    <w:name w:val="日期 Char1"/>
    <w:autoRedefine/>
    <w:qFormat/>
    <w:uiPriority w:val="0"/>
    <w:rPr>
      <w:kern w:val="2"/>
      <w:sz w:val="22"/>
    </w:rPr>
  </w:style>
  <w:style w:type="character" w:customStyle="1" w:styleId="365">
    <w:name w:val="正文文本缩进 2 字符"/>
    <w:autoRedefine/>
    <w:qFormat/>
    <w:uiPriority w:val="0"/>
    <w:rPr>
      <w:rFonts w:ascii="宋体" w:hAnsi="MS Sans Serif"/>
      <w:spacing w:val="12"/>
      <w:sz w:val="24"/>
    </w:rPr>
  </w:style>
  <w:style w:type="character" w:customStyle="1" w:styleId="366">
    <w:name w:val="纯文本 字符"/>
    <w:autoRedefine/>
    <w:qFormat/>
    <w:uiPriority w:val="0"/>
    <w:rPr>
      <w:rFonts w:ascii="宋体" w:hAnsi="Courier New"/>
    </w:rPr>
  </w:style>
  <w:style w:type="character" w:customStyle="1" w:styleId="367">
    <w:name w:val="引用 字符"/>
    <w:autoRedefine/>
    <w:qFormat/>
    <w:uiPriority w:val="0"/>
    <w:rPr>
      <w:i/>
      <w:iCs/>
      <w:color w:val="000000"/>
    </w:rPr>
  </w:style>
  <w:style w:type="character" w:customStyle="1" w:styleId="368">
    <w:name w:val="Char Char3"/>
    <w:autoRedefine/>
    <w:qFormat/>
    <w:uiPriority w:val="0"/>
    <w:rPr>
      <w:rFonts w:eastAsia="宋体"/>
      <w:sz w:val="18"/>
      <w:szCs w:val="18"/>
      <w:lang w:val="en-US" w:eastAsia="zh-CN" w:bidi="ar-SA"/>
    </w:rPr>
  </w:style>
  <w:style w:type="character" w:customStyle="1" w:styleId="369">
    <w:name w:val="样式  + Times New Roman 小四 红色 Char"/>
    <w:autoRedefine/>
    <w:qFormat/>
    <w:uiPriority w:val="0"/>
    <w:rPr>
      <w:rFonts w:ascii="宋体" w:hAnsi="宋体" w:eastAsia="仿宋_GB2312"/>
      <w:color w:val="FF0000"/>
      <w:kern w:val="2"/>
      <w:sz w:val="24"/>
      <w:szCs w:val="24"/>
      <w:lang w:val="en-US" w:eastAsia="zh-CN" w:bidi="ar-SA"/>
    </w:rPr>
  </w:style>
  <w:style w:type="character" w:customStyle="1" w:styleId="370">
    <w:name w:val="Char Char11"/>
    <w:autoRedefine/>
    <w:qFormat/>
    <w:uiPriority w:val="0"/>
    <w:rPr>
      <w:rFonts w:eastAsia="宋体"/>
      <w:kern w:val="2"/>
      <w:sz w:val="18"/>
      <w:szCs w:val="18"/>
      <w:lang w:val="en-US" w:eastAsia="zh-CN" w:bidi="ar-SA"/>
    </w:rPr>
  </w:style>
  <w:style w:type="character" w:customStyle="1" w:styleId="371">
    <w:name w:val="Char Char2"/>
    <w:autoRedefine/>
    <w:qFormat/>
    <w:uiPriority w:val="0"/>
    <w:rPr>
      <w:rFonts w:eastAsia="宋体"/>
      <w:lang w:val="en-US" w:eastAsia="zh-CN" w:bidi="ar-SA"/>
    </w:rPr>
  </w:style>
  <w:style w:type="character" w:customStyle="1" w:styleId="372">
    <w:name w:val="标题 1 字符"/>
    <w:autoRedefine/>
    <w:qFormat/>
    <w:uiPriority w:val="9"/>
    <w:rPr>
      <w:rFonts w:ascii="Times New Roman" w:hAnsi="Times New Roman"/>
      <w:b/>
      <w:bCs/>
      <w:kern w:val="44"/>
      <w:sz w:val="32"/>
      <w:szCs w:val="44"/>
    </w:rPr>
  </w:style>
  <w:style w:type="character" w:customStyle="1" w:styleId="373">
    <w:name w:val="apple-style-span"/>
    <w:autoRedefine/>
    <w:qFormat/>
    <w:uiPriority w:val="0"/>
  </w:style>
  <w:style w:type="character" w:customStyle="1" w:styleId="374">
    <w:name w:val="引用 Char2"/>
    <w:basedOn w:val="58"/>
    <w:link w:val="142"/>
    <w:autoRedefine/>
    <w:qFormat/>
    <w:uiPriority w:val="99"/>
    <w:rPr>
      <w:rFonts w:ascii="Calibri" w:hAnsi="Calibri"/>
      <w:i/>
      <w:iCs/>
      <w:color w:val="000000" w:themeColor="text1"/>
      <w:kern w:val="2"/>
      <w:sz w:val="21"/>
      <w:szCs w:val="24"/>
      <w14:textFill>
        <w14:solidFill>
          <w14:schemeClr w14:val="tx1"/>
        </w14:solidFill>
      </w14:textFill>
    </w:rPr>
  </w:style>
  <w:style w:type="character" w:customStyle="1" w:styleId="375">
    <w:name w:val="副标题 字符"/>
    <w:autoRedefine/>
    <w:qFormat/>
    <w:uiPriority w:val="11"/>
    <w:rPr>
      <w:rFonts w:ascii="Cambria" w:hAnsi="Cambria"/>
      <w:b/>
      <w:bCs/>
      <w:kern w:val="28"/>
      <w:sz w:val="32"/>
      <w:szCs w:val="32"/>
    </w:rPr>
  </w:style>
  <w:style w:type="character" w:customStyle="1" w:styleId="376">
    <w:name w:val="Char Char71"/>
    <w:autoRedefine/>
    <w:qFormat/>
    <w:uiPriority w:val="0"/>
    <w:rPr>
      <w:rFonts w:ascii="宋体" w:hAnsi="Courier New" w:eastAsia="宋体"/>
      <w:szCs w:val="21"/>
      <w:lang w:bidi="ar-SA"/>
    </w:rPr>
  </w:style>
  <w:style w:type="character" w:customStyle="1" w:styleId="377">
    <w:name w:val="Document Map Char1"/>
    <w:autoRedefine/>
    <w:semiHidden/>
    <w:qFormat/>
    <w:uiPriority w:val="99"/>
    <w:rPr>
      <w:rFonts w:ascii="Times New Roman" w:hAnsi="Times New Roman"/>
      <w:sz w:val="16"/>
      <w:szCs w:val="0"/>
    </w:rPr>
  </w:style>
  <w:style w:type="character" w:customStyle="1" w:styleId="378">
    <w:name w:val="font161"/>
    <w:autoRedefine/>
    <w:qFormat/>
    <w:uiPriority w:val="0"/>
    <w:rPr>
      <w:b/>
      <w:bCs/>
      <w:sz w:val="32"/>
      <w:szCs w:val="32"/>
    </w:rPr>
  </w:style>
  <w:style w:type="character" w:customStyle="1" w:styleId="379">
    <w:name w:val="报告表标题 Char Char"/>
    <w:link w:val="380"/>
    <w:autoRedefine/>
    <w:qFormat/>
    <w:uiPriority w:val="0"/>
    <w:rPr>
      <w:rFonts w:ascii="宋体" w:hAnsi="宋体"/>
      <w:sz w:val="24"/>
      <w:szCs w:val="24"/>
    </w:rPr>
  </w:style>
  <w:style w:type="paragraph" w:customStyle="1" w:styleId="380">
    <w:name w:val="报告表标题"/>
    <w:basedOn w:val="1"/>
    <w:link w:val="379"/>
    <w:autoRedefine/>
    <w:qFormat/>
    <w:uiPriority w:val="0"/>
    <w:pPr>
      <w:widowControl/>
      <w:numPr>
        <w:ilvl w:val="0"/>
        <w:numId w:val="9"/>
      </w:numPr>
      <w:tabs>
        <w:tab w:val="left" w:pos="900"/>
      </w:tabs>
      <w:jc w:val="left"/>
    </w:pPr>
    <w:rPr>
      <w:rFonts w:ascii="宋体" w:hAnsi="宋体"/>
      <w:kern w:val="0"/>
      <w:sz w:val="24"/>
    </w:rPr>
  </w:style>
  <w:style w:type="character" w:customStyle="1" w:styleId="381">
    <w:name w:val="样式 样式 样式 纯文本 + 楷体_GB2312 四号 浅蓝 首行缩进:  1.1 厘米 行距: 1.5 倍行距 + 首行缩进:... Char"/>
    <w:link w:val="382"/>
    <w:autoRedefine/>
    <w:qFormat/>
    <w:uiPriority w:val="0"/>
    <w:rPr>
      <w:rFonts w:ascii="宋体" w:hAnsi="宋体" w:cs="宋体"/>
      <w:sz w:val="30"/>
    </w:rPr>
  </w:style>
  <w:style w:type="paragraph" w:customStyle="1" w:styleId="382">
    <w:name w:val="样式 样式 样式 纯文本 + 楷体_GB2312 四号 浅蓝 首行缩进:  1.1 厘米 行距: 1.5 倍行距 + 首行缩进:..."/>
    <w:basedOn w:val="361"/>
    <w:link w:val="381"/>
    <w:autoRedefine/>
    <w:qFormat/>
    <w:uiPriority w:val="0"/>
    <w:pPr>
      <w:ind w:firstLine="607" w:firstLineChars="200"/>
      <w:jc w:val="left"/>
    </w:pPr>
    <w:rPr>
      <w:rFonts w:cs="宋体"/>
      <w:bCs w:val="0"/>
    </w:rPr>
  </w:style>
  <w:style w:type="character" w:customStyle="1" w:styleId="383">
    <w:name w:val="Subtitle Char1"/>
    <w:autoRedefine/>
    <w:qFormat/>
    <w:uiPriority w:val="11"/>
    <w:rPr>
      <w:rFonts w:ascii="Cambria" w:hAnsi="Cambria" w:cs="Times New Roman"/>
      <w:b/>
      <w:bCs/>
      <w:kern w:val="28"/>
      <w:sz w:val="32"/>
      <w:szCs w:val="32"/>
    </w:rPr>
  </w:style>
  <w:style w:type="paragraph" w:customStyle="1" w:styleId="384">
    <w:name w:val="标题10"/>
    <w:basedOn w:val="10"/>
    <w:autoRedefine/>
    <w:qFormat/>
    <w:uiPriority w:val="0"/>
    <w:pPr>
      <w:widowControl w:val="0"/>
      <w:numPr>
        <w:ilvl w:val="0"/>
        <w:numId w:val="0"/>
      </w:numPr>
      <w:tabs>
        <w:tab w:val="left" w:pos="425"/>
        <w:tab w:val="left" w:pos="720"/>
        <w:tab w:val="clear" w:pos="2520"/>
      </w:tabs>
      <w:adjustRightInd w:val="0"/>
      <w:spacing w:line="320" w:lineRule="atLeast"/>
      <w:ind w:left="901" w:leftChars="300" w:hanging="181"/>
      <w:jc w:val="both"/>
      <w:textAlignment w:val="baseline"/>
    </w:pPr>
    <w:rPr>
      <w:rFonts w:ascii="Times New Roman" w:hAnsi="Times New Roman" w:eastAsia="楷体_GB2312"/>
      <w:bCs w:val="0"/>
    </w:rPr>
  </w:style>
  <w:style w:type="paragraph" w:customStyle="1" w:styleId="385">
    <w:name w:val="yy"/>
    <w:basedOn w:val="1"/>
    <w:autoRedefine/>
    <w:qFormat/>
    <w:uiPriority w:val="0"/>
    <w:pPr>
      <w:spacing w:line="0" w:lineRule="atLeast"/>
      <w:jc w:val="center"/>
    </w:pPr>
    <w:rPr>
      <w:rFonts w:ascii="宋体" w:hAnsi="宋体" w:eastAsia="仿宋_GB2312"/>
      <w:kern w:val="18"/>
      <w:sz w:val="18"/>
      <w:szCs w:val="18"/>
      <w:lang w:val="zh-CN"/>
    </w:rPr>
  </w:style>
  <w:style w:type="paragraph" w:customStyle="1" w:styleId="386">
    <w:name w:val="CM57"/>
    <w:basedOn w:val="241"/>
    <w:next w:val="241"/>
    <w:autoRedefine/>
    <w:qFormat/>
    <w:uiPriority w:val="0"/>
    <w:rPr>
      <w:rFonts w:ascii="Times New Roman" w:cs="Times New Roman"/>
      <w:color w:val="auto"/>
    </w:rPr>
  </w:style>
  <w:style w:type="paragraph" w:customStyle="1" w:styleId="387">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line="60" w:lineRule="auto"/>
      <w:jc w:val="center"/>
      <w:textAlignment w:val="center"/>
    </w:pPr>
    <w:rPr>
      <w:rFonts w:ascii="Arial Unicode MS" w:hAnsi="Arial Unicode MS" w:eastAsia="Arial Unicode MS"/>
      <w:kern w:val="0"/>
      <w:sz w:val="18"/>
      <w:szCs w:val="18"/>
      <w:lang w:val="zh-CN"/>
    </w:rPr>
  </w:style>
  <w:style w:type="paragraph" w:customStyle="1" w:styleId="388">
    <w:name w:val="xl95"/>
    <w:basedOn w:val="1"/>
    <w:autoRedefine/>
    <w:qFormat/>
    <w:uiPriority w:val="0"/>
    <w:pPr>
      <w:widowControl/>
      <w:pBdr>
        <w:top w:val="single" w:color="auto" w:sz="4" w:space="0"/>
        <w:left w:val="single" w:color="auto" w:sz="8" w:space="0"/>
        <w:bottom w:val="single" w:color="auto" w:sz="4" w:space="0"/>
      </w:pBdr>
      <w:shd w:val="clear" w:color="auto" w:fill="FFFFFF"/>
      <w:spacing w:before="100" w:beforeAutospacing="1" w:after="100" w:afterAutospacing="1"/>
      <w:jc w:val="center"/>
    </w:pPr>
    <w:rPr>
      <w:rFonts w:ascii="宋体" w:hAnsi="宋体"/>
      <w:b/>
      <w:bCs/>
      <w:kern w:val="0"/>
      <w:sz w:val="24"/>
    </w:rPr>
  </w:style>
  <w:style w:type="paragraph" w:customStyle="1" w:styleId="389">
    <w:name w:val="默认段落字体 Para Char Char Char Char Char Char Char"/>
    <w:basedOn w:val="1"/>
    <w:autoRedefine/>
    <w:qFormat/>
    <w:uiPriority w:val="0"/>
    <w:rPr>
      <w:rFonts w:ascii="Tahoma" w:hAnsi="Tahoma"/>
      <w:b/>
      <w:sz w:val="24"/>
      <w:szCs w:val="20"/>
    </w:rPr>
  </w:style>
  <w:style w:type="paragraph" w:customStyle="1" w:styleId="390">
    <w:name w:val="xl93"/>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宋体" w:hAnsi="宋体"/>
      <w:b/>
      <w:bCs/>
      <w:kern w:val="0"/>
      <w:sz w:val="22"/>
      <w:szCs w:val="22"/>
    </w:rPr>
  </w:style>
  <w:style w:type="paragraph" w:customStyle="1" w:styleId="391">
    <w:name w:val="样式 小四 行距: 1.5 倍行距 首行缩进:  2 字符"/>
    <w:basedOn w:val="1"/>
    <w:autoRedefine/>
    <w:qFormat/>
    <w:uiPriority w:val="0"/>
    <w:pPr>
      <w:spacing w:line="360" w:lineRule="auto"/>
      <w:ind w:firstLine="480" w:firstLineChars="200"/>
    </w:pPr>
    <w:rPr>
      <w:rFonts w:eastAsia="仿宋_GB2312" w:cs="宋体"/>
      <w:sz w:val="24"/>
    </w:rPr>
  </w:style>
  <w:style w:type="paragraph" w:customStyle="1" w:styleId="392">
    <w:name w:val="CM44"/>
    <w:basedOn w:val="241"/>
    <w:next w:val="241"/>
    <w:autoRedefine/>
    <w:qFormat/>
    <w:uiPriority w:val="0"/>
    <w:pPr>
      <w:spacing w:line="440" w:lineRule="atLeast"/>
    </w:pPr>
    <w:rPr>
      <w:rFonts w:cs="Times New Roman"/>
      <w:color w:val="auto"/>
    </w:rPr>
  </w:style>
  <w:style w:type="paragraph" w:customStyle="1" w:styleId="393">
    <w:name w:val="大标题"/>
    <w:autoRedefine/>
    <w:qFormat/>
    <w:uiPriority w:val="0"/>
    <w:pPr>
      <w:jc w:val="center"/>
    </w:pPr>
    <w:rPr>
      <w:rFonts w:ascii="Calibri" w:hAnsi="Calibri" w:eastAsia="楷体_GB2312" w:cs="Times New Roman"/>
      <w:b/>
      <w:sz w:val="48"/>
      <w:lang w:val="en-US" w:eastAsia="zh-CN" w:bidi="ar-SA"/>
    </w:rPr>
  </w:style>
  <w:style w:type="paragraph" w:customStyle="1" w:styleId="394">
    <w:name w:val="xl14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8"/>
      <w:szCs w:val="28"/>
    </w:rPr>
  </w:style>
  <w:style w:type="paragraph" w:customStyle="1" w:styleId="395">
    <w:name w:val="正文文本 21"/>
    <w:basedOn w:val="1"/>
    <w:autoRedefine/>
    <w:qFormat/>
    <w:uiPriority w:val="0"/>
    <w:pPr>
      <w:adjustRightInd w:val="0"/>
      <w:spacing w:line="500" w:lineRule="exact"/>
      <w:ind w:firstLine="540" w:firstLineChars="200"/>
      <w:textAlignment w:val="baseline"/>
    </w:pPr>
    <w:rPr>
      <w:rFonts w:eastAsia="楷体_GB2312"/>
      <w:kern w:val="0"/>
      <w:sz w:val="28"/>
      <w:szCs w:val="20"/>
    </w:rPr>
  </w:style>
  <w:style w:type="paragraph" w:customStyle="1" w:styleId="396">
    <w:name w:val="xl60"/>
    <w:basedOn w:val="1"/>
    <w:autoRedefine/>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right"/>
    </w:pPr>
    <w:rPr>
      <w:rFonts w:ascii="宋体" w:hAnsi="宋体"/>
      <w:color w:val="FF0000"/>
      <w:kern w:val="0"/>
      <w:sz w:val="22"/>
      <w:szCs w:val="22"/>
    </w:rPr>
  </w:style>
  <w:style w:type="paragraph" w:customStyle="1" w:styleId="397">
    <w:name w:val="CM17"/>
    <w:basedOn w:val="241"/>
    <w:next w:val="241"/>
    <w:autoRedefine/>
    <w:qFormat/>
    <w:uiPriority w:val="0"/>
    <w:pPr>
      <w:spacing w:after="180"/>
    </w:pPr>
    <w:rPr>
      <w:rFonts w:cs="Times New Roman"/>
      <w:color w:val="auto"/>
    </w:rPr>
  </w:style>
  <w:style w:type="paragraph" w:customStyle="1" w:styleId="398">
    <w:name w:val="xl5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2"/>
      <w:szCs w:val="22"/>
    </w:rPr>
  </w:style>
  <w:style w:type="paragraph" w:customStyle="1" w:styleId="399">
    <w:name w:val="xl12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kern w:val="0"/>
      <w:sz w:val="24"/>
    </w:rPr>
  </w:style>
  <w:style w:type="paragraph" w:customStyle="1" w:styleId="400">
    <w:name w:val="Char Char Char 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01">
    <w:name w:val="招标号"/>
    <w:autoRedefine/>
    <w:qFormat/>
    <w:uiPriority w:val="0"/>
    <w:pPr>
      <w:jc w:val="center"/>
    </w:pPr>
    <w:rPr>
      <w:rFonts w:ascii="Calibri" w:hAnsi="Calibri" w:eastAsia="隶书" w:cs="Times New Roman"/>
      <w:b/>
      <w:bCs/>
      <w:sz w:val="28"/>
      <w:lang w:val="en-US" w:eastAsia="zh-CN" w:bidi="ar-SA"/>
    </w:rPr>
  </w:style>
  <w:style w:type="paragraph" w:customStyle="1" w:styleId="402">
    <w:name w:val="设备规范标题2"/>
    <w:next w:val="1"/>
    <w:autoRedefine/>
    <w:qFormat/>
    <w:uiPriority w:val="0"/>
    <w:pPr>
      <w:tabs>
        <w:tab w:val="left" w:pos="0"/>
        <w:tab w:val="left" w:pos="720"/>
      </w:tabs>
      <w:spacing w:beforeLines="100" w:afterLines="50"/>
      <w:ind w:hanging="510"/>
    </w:pPr>
    <w:rPr>
      <w:rFonts w:ascii="Calibri" w:hAnsi="Calibri" w:eastAsia="楷体_GB2312" w:cs="Times New Roman"/>
      <w:b/>
      <w:bCs/>
      <w:sz w:val="24"/>
      <w:lang w:val="en-US" w:eastAsia="zh-CN" w:bidi="ar-SA"/>
    </w:rPr>
  </w:style>
  <w:style w:type="paragraph" w:customStyle="1" w:styleId="403">
    <w:name w:val="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04">
    <w:name w:val="5正文形式"/>
    <w:basedOn w:val="1"/>
    <w:autoRedefine/>
    <w:qFormat/>
    <w:uiPriority w:val="0"/>
    <w:pPr>
      <w:spacing w:line="360" w:lineRule="auto"/>
      <w:ind w:firstLine="480" w:firstLineChars="200"/>
    </w:pPr>
    <w:rPr>
      <w:rFonts w:ascii="仿宋_GB2312"/>
      <w:sz w:val="24"/>
    </w:rPr>
  </w:style>
  <w:style w:type="paragraph" w:customStyle="1" w:styleId="405">
    <w:name w:val="font8"/>
    <w:basedOn w:val="1"/>
    <w:autoRedefine/>
    <w:qFormat/>
    <w:uiPriority w:val="99"/>
    <w:pPr>
      <w:widowControl/>
      <w:spacing w:before="100" w:beforeAutospacing="1" w:after="100" w:afterAutospacing="1"/>
      <w:jc w:val="left"/>
    </w:pPr>
    <w:rPr>
      <w:rFonts w:hint="eastAsia" w:ascii="宋体" w:hAnsi="宋体"/>
      <w:kern w:val="0"/>
      <w:sz w:val="22"/>
      <w:szCs w:val="22"/>
    </w:rPr>
  </w:style>
  <w:style w:type="paragraph" w:customStyle="1" w:styleId="406">
    <w:name w:val="副标题3"/>
    <w:basedOn w:val="1"/>
    <w:autoRedefine/>
    <w:qFormat/>
    <w:uiPriority w:val="0"/>
    <w:pPr>
      <w:keepLines/>
      <w:tabs>
        <w:tab w:val="left" w:pos="720"/>
      </w:tabs>
      <w:adjustRightInd w:val="0"/>
      <w:snapToGrid w:val="0"/>
      <w:spacing w:line="400" w:lineRule="atLeast"/>
      <w:outlineLvl w:val="3"/>
    </w:pPr>
    <w:rPr>
      <w:rFonts w:ascii="宋体"/>
      <w:snapToGrid w:val="0"/>
      <w:kern w:val="0"/>
      <w:sz w:val="24"/>
    </w:rPr>
  </w:style>
  <w:style w:type="paragraph" w:styleId="407">
    <w:name w:val="No Spacing"/>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8">
    <w:name w:val="font14"/>
    <w:basedOn w:val="1"/>
    <w:autoRedefine/>
    <w:qFormat/>
    <w:uiPriority w:val="0"/>
    <w:pPr>
      <w:widowControl/>
      <w:spacing w:before="100" w:beforeAutospacing="1" w:after="100" w:afterAutospacing="1"/>
      <w:jc w:val="left"/>
    </w:pPr>
    <w:rPr>
      <w:rFonts w:eastAsia="Arial Unicode MS"/>
      <w:b/>
      <w:bCs/>
      <w:kern w:val="0"/>
      <w:sz w:val="22"/>
      <w:szCs w:val="22"/>
    </w:rPr>
  </w:style>
  <w:style w:type="paragraph" w:customStyle="1" w:styleId="409">
    <w:name w:val="Char Char Char Char Char Char Char Char Char Char 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0">
    <w:name w:val="xl11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11">
    <w:name w:val="默认段落字体 Para Char Char Char Char"/>
    <w:basedOn w:val="1"/>
    <w:autoRedefine/>
    <w:qFormat/>
    <w:uiPriority w:val="0"/>
    <w:pPr>
      <w:snapToGrid w:val="0"/>
    </w:pPr>
    <w:rPr>
      <w:rFonts w:ascii="Arial" w:hAnsi="Arial"/>
      <w:szCs w:val="21"/>
    </w:rPr>
  </w:style>
  <w:style w:type="paragraph" w:customStyle="1" w:styleId="412">
    <w:name w:val="xl12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413">
    <w:name w:val="表格"/>
    <w:basedOn w:val="1"/>
    <w:autoRedefine/>
    <w:qFormat/>
    <w:uiPriority w:val="0"/>
    <w:pPr>
      <w:tabs>
        <w:tab w:val="right" w:leader="middleDot" w:pos="8222"/>
      </w:tabs>
      <w:adjustRightInd w:val="0"/>
      <w:snapToGrid w:val="0"/>
      <w:jc w:val="center"/>
    </w:pPr>
    <w:rPr>
      <w:rFonts w:eastAsia="仿宋_GB2312"/>
      <w:spacing w:val="20"/>
      <w:kern w:val="0"/>
      <w:szCs w:val="20"/>
      <w:lang w:val="zh-CN"/>
    </w:rPr>
  </w:style>
  <w:style w:type="paragraph" w:customStyle="1" w:styleId="414">
    <w:name w:val="带编号的正文"/>
    <w:basedOn w:val="1"/>
    <w:autoRedefine/>
    <w:qFormat/>
    <w:uiPriority w:val="0"/>
    <w:pPr>
      <w:tabs>
        <w:tab w:val="left" w:pos="0"/>
      </w:tabs>
      <w:spacing w:line="360" w:lineRule="auto"/>
      <w:ind w:left="510" w:leftChars="200" w:hanging="510"/>
      <w:textAlignment w:val="bottom"/>
    </w:pPr>
    <w:rPr>
      <w:rFonts w:ascii="宋体" w:hAnsi="宋体" w:eastAsia="楷体_GB2312"/>
      <w:kern w:val="0"/>
      <w:sz w:val="24"/>
      <w:szCs w:val="20"/>
    </w:rPr>
  </w:style>
  <w:style w:type="paragraph" w:customStyle="1" w:styleId="415">
    <w:name w:val="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6">
    <w:name w:val="xl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left"/>
    </w:pPr>
    <w:rPr>
      <w:rFonts w:ascii="Arial Unicode MS" w:hAnsi="Arial Unicode MS" w:eastAsia="Arial Unicode MS" w:cs="Arial Unicode MS"/>
      <w:kern w:val="0"/>
      <w:sz w:val="24"/>
    </w:rPr>
  </w:style>
  <w:style w:type="paragraph" w:customStyle="1" w:styleId="417">
    <w:name w:val="font7"/>
    <w:basedOn w:val="1"/>
    <w:autoRedefine/>
    <w:qFormat/>
    <w:uiPriority w:val="99"/>
    <w:pPr>
      <w:widowControl/>
      <w:spacing w:before="100" w:beforeAutospacing="1" w:after="100" w:afterAutospacing="1"/>
      <w:jc w:val="left"/>
    </w:pPr>
    <w:rPr>
      <w:rFonts w:eastAsia="Arial Unicode MS"/>
      <w:kern w:val="0"/>
      <w:sz w:val="20"/>
      <w:szCs w:val="20"/>
    </w:rPr>
  </w:style>
  <w:style w:type="paragraph" w:customStyle="1" w:styleId="418">
    <w:name w:val="Char Char Char1 Char"/>
    <w:basedOn w:val="1"/>
    <w:autoRedefine/>
    <w:qFormat/>
    <w:uiPriority w:val="0"/>
  </w:style>
  <w:style w:type="paragraph" w:customStyle="1" w:styleId="419">
    <w:name w:val="Char1 Char Char Char"/>
    <w:basedOn w:val="1"/>
    <w:autoRedefine/>
    <w:qFormat/>
    <w:uiPriority w:val="0"/>
  </w:style>
  <w:style w:type="paragraph" w:customStyle="1" w:styleId="420">
    <w:name w:val="xl37"/>
    <w:basedOn w:val="1"/>
    <w:autoRedefine/>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left"/>
    </w:pPr>
    <w:rPr>
      <w:rFonts w:ascii="Arial Unicode MS" w:hAnsi="Arial Unicode MS" w:eastAsia="Arial Unicode MS" w:cs="Arial Unicode MS"/>
      <w:kern w:val="0"/>
      <w:sz w:val="24"/>
    </w:rPr>
  </w:style>
  <w:style w:type="paragraph" w:customStyle="1" w:styleId="421">
    <w:name w:val="font12"/>
    <w:basedOn w:val="1"/>
    <w:autoRedefine/>
    <w:qFormat/>
    <w:uiPriority w:val="0"/>
    <w:pPr>
      <w:widowControl/>
      <w:spacing w:before="100" w:beforeAutospacing="1" w:after="100" w:afterAutospacing="1"/>
      <w:jc w:val="left"/>
    </w:pPr>
    <w:rPr>
      <w:kern w:val="0"/>
      <w:sz w:val="20"/>
      <w:szCs w:val="20"/>
    </w:rPr>
  </w:style>
  <w:style w:type="paragraph" w:customStyle="1" w:styleId="422">
    <w:name w:val="标准"/>
    <w:basedOn w:val="1"/>
    <w:autoRedefine/>
    <w:qFormat/>
    <w:uiPriority w:val="0"/>
    <w:pPr>
      <w:adjustRightInd w:val="0"/>
      <w:spacing w:line="480" w:lineRule="atLeast"/>
    </w:pPr>
    <w:rPr>
      <w:kern w:val="0"/>
      <w:sz w:val="28"/>
      <w:szCs w:val="20"/>
      <w:lang w:val="en-GB"/>
    </w:rPr>
  </w:style>
  <w:style w:type="paragraph" w:customStyle="1" w:styleId="423">
    <w:name w:val="xl11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424">
    <w:name w:val="xl97"/>
    <w:basedOn w:val="1"/>
    <w:autoRedefine/>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hAnsi="宋体"/>
      <w:b/>
      <w:bCs/>
      <w:kern w:val="0"/>
      <w:sz w:val="22"/>
      <w:szCs w:val="22"/>
    </w:rPr>
  </w:style>
  <w:style w:type="paragraph" w:customStyle="1" w:styleId="425">
    <w:name w:val="xl12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426">
    <w:name w:val="Char2"/>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27">
    <w:name w:val="CM60"/>
    <w:basedOn w:val="241"/>
    <w:next w:val="241"/>
    <w:autoRedefine/>
    <w:qFormat/>
    <w:uiPriority w:val="0"/>
    <w:rPr>
      <w:rFonts w:ascii="Times New Roman" w:cs="Times New Roman"/>
      <w:color w:val="auto"/>
    </w:rPr>
  </w:style>
  <w:style w:type="paragraph" w:customStyle="1" w:styleId="428">
    <w:name w:val="CM2"/>
    <w:basedOn w:val="241"/>
    <w:next w:val="241"/>
    <w:autoRedefine/>
    <w:qFormat/>
    <w:uiPriority w:val="0"/>
    <w:rPr>
      <w:color w:val="auto"/>
    </w:rPr>
  </w:style>
  <w:style w:type="paragraph" w:customStyle="1" w:styleId="429">
    <w:name w:val="Identation 2"/>
    <w:autoRedefine/>
    <w:qFormat/>
    <w:uiPriority w:val="0"/>
    <w:pPr>
      <w:overflowPunct w:val="0"/>
      <w:autoSpaceDE w:val="0"/>
      <w:autoSpaceDN w:val="0"/>
      <w:adjustRightInd w:val="0"/>
      <w:spacing w:before="120" w:after="60" w:line="288" w:lineRule="auto"/>
      <w:ind w:left="432"/>
      <w:jc w:val="both"/>
      <w:textAlignment w:val="baseline"/>
    </w:pPr>
    <w:rPr>
      <w:rFonts w:ascii="Calibri" w:hAnsi="Calibri" w:eastAsia="楷体_GB2312" w:cs="Times New Roman"/>
      <w:color w:val="000000"/>
      <w:sz w:val="24"/>
      <w:lang w:val="en-US" w:eastAsia="zh-CN" w:bidi="ar-SA"/>
    </w:rPr>
  </w:style>
  <w:style w:type="paragraph" w:customStyle="1" w:styleId="430">
    <w:name w:val="样式 标题 3 + (中文) 黑体 小四 非加粗 段前: 7.8 磅 段后: 0 磅 行距: 固定值 20 磅"/>
    <w:basedOn w:val="6"/>
    <w:autoRedefine/>
    <w:qFormat/>
    <w:uiPriority w:val="0"/>
    <w:pPr>
      <w:widowControl w:val="0"/>
      <w:numPr>
        <w:ilvl w:val="0"/>
        <w:numId w:val="0"/>
      </w:numPr>
      <w:tabs>
        <w:tab w:val="clear" w:pos="432"/>
        <w:tab w:val="clear" w:pos="720"/>
      </w:tabs>
      <w:spacing w:before="0" w:after="0" w:line="400" w:lineRule="exact"/>
      <w:jc w:val="both"/>
    </w:pPr>
    <w:rPr>
      <w:rFonts w:eastAsia="黑体" w:cs="宋体"/>
      <w:b w:val="0"/>
      <w:kern w:val="2"/>
      <w:sz w:val="24"/>
    </w:rPr>
  </w:style>
  <w:style w:type="paragraph" w:customStyle="1" w:styleId="431">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432">
    <w:name w:val="标书正文"/>
    <w:basedOn w:val="1"/>
    <w:autoRedefine/>
    <w:qFormat/>
    <w:uiPriority w:val="0"/>
    <w:pPr>
      <w:spacing w:line="360" w:lineRule="auto"/>
    </w:pPr>
    <w:rPr>
      <w:sz w:val="24"/>
      <w:szCs w:val="20"/>
    </w:rPr>
  </w:style>
  <w:style w:type="paragraph" w:customStyle="1" w:styleId="433">
    <w:name w:val="封面标题"/>
    <w:autoRedefine/>
    <w:qFormat/>
    <w:uiPriority w:val="0"/>
    <w:pPr>
      <w:jc w:val="center"/>
    </w:pPr>
    <w:rPr>
      <w:rFonts w:ascii="Calibri" w:hAnsi="Calibri" w:eastAsia="隶书" w:cs="Times New Roman"/>
      <w:b/>
      <w:sz w:val="52"/>
      <w:lang w:val="en-US" w:eastAsia="zh-CN" w:bidi="ar-SA"/>
    </w:rPr>
  </w:style>
  <w:style w:type="paragraph" w:customStyle="1" w:styleId="434">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left"/>
    </w:pPr>
    <w:rPr>
      <w:rFonts w:ascii="Arial Unicode MS" w:hAnsi="Arial Unicode MS" w:eastAsia="Arial Unicode MS" w:cs="Arial Unicode MS"/>
      <w:kern w:val="0"/>
      <w:sz w:val="24"/>
    </w:rPr>
  </w:style>
  <w:style w:type="paragraph" w:customStyle="1" w:styleId="435">
    <w:name w:val="3目"/>
    <w:basedOn w:val="1"/>
    <w:next w:val="404"/>
    <w:autoRedefine/>
    <w:qFormat/>
    <w:uiPriority w:val="0"/>
    <w:pPr>
      <w:spacing w:beforeLines="50" w:line="360" w:lineRule="auto"/>
      <w:ind w:right="198"/>
      <w:outlineLvl w:val="2"/>
    </w:pPr>
    <w:rPr>
      <w:rFonts w:ascii="黑体" w:eastAsia="黑体"/>
      <w:b/>
      <w:bCs/>
      <w:sz w:val="28"/>
      <w:szCs w:val="32"/>
    </w:rPr>
  </w:style>
  <w:style w:type="paragraph" w:customStyle="1" w:styleId="436">
    <w:name w:val="5正文 Char"/>
    <w:basedOn w:val="1"/>
    <w:autoRedefine/>
    <w:qFormat/>
    <w:uiPriority w:val="0"/>
    <w:pPr>
      <w:spacing w:line="500" w:lineRule="exact"/>
      <w:ind w:firstLine="200" w:firstLineChars="200"/>
    </w:pPr>
    <w:rPr>
      <w:rFonts w:eastAsia="仿宋_GB2312"/>
      <w:sz w:val="28"/>
      <w:szCs w:val="28"/>
    </w:rPr>
  </w:style>
  <w:style w:type="paragraph" w:customStyle="1" w:styleId="437">
    <w:name w:val="Char Char Char Char Char Char Char Char Char Char Char Char Char 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38">
    <w:name w:val="CM3"/>
    <w:basedOn w:val="241"/>
    <w:next w:val="241"/>
    <w:autoRedefine/>
    <w:qFormat/>
    <w:uiPriority w:val="0"/>
    <w:pPr>
      <w:spacing w:after="133"/>
    </w:pPr>
    <w:rPr>
      <w:color w:val="auto"/>
    </w:rPr>
  </w:style>
  <w:style w:type="paragraph" w:customStyle="1" w:styleId="439">
    <w:name w:val="普通文字 Char"/>
    <w:basedOn w:val="1"/>
    <w:next w:val="23"/>
    <w:autoRedefine/>
    <w:qFormat/>
    <w:uiPriority w:val="0"/>
    <w:rPr>
      <w:sz w:val="24"/>
      <w:szCs w:val="20"/>
    </w:rPr>
  </w:style>
  <w:style w:type="paragraph" w:customStyle="1" w:styleId="440">
    <w:name w:val="xl13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color w:val="FF0000"/>
      <w:kern w:val="0"/>
      <w:sz w:val="24"/>
    </w:rPr>
  </w:style>
  <w:style w:type="paragraph" w:customStyle="1" w:styleId="441">
    <w:name w:val="修订11"/>
    <w:autoRedefine/>
    <w:qFormat/>
    <w:uiPriority w:val="0"/>
    <w:rPr>
      <w:rFonts w:ascii="Calibri" w:hAnsi="Calibri" w:eastAsia="宋体" w:cs="Times New Roman"/>
      <w:kern w:val="2"/>
      <w:sz w:val="21"/>
      <w:szCs w:val="24"/>
      <w:lang w:val="en-US" w:eastAsia="zh-CN" w:bidi="ar-SA"/>
    </w:rPr>
  </w:style>
  <w:style w:type="paragraph" w:customStyle="1" w:styleId="442">
    <w:name w:val="CM1"/>
    <w:basedOn w:val="241"/>
    <w:next w:val="241"/>
    <w:autoRedefine/>
    <w:qFormat/>
    <w:uiPriority w:val="0"/>
    <w:rPr>
      <w:color w:val="auto"/>
    </w:rPr>
  </w:style>
  <w:style w:type="paragraph" w:customStyle="1" w:styleId="443">
    <w:name w:val="Char Char Char1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44">
    <w:name w:val="正文文字3"/>
    <w:basedOn w:val="23"/>
    <w:autoRedefine/>
    <w:qFormat/>
    <w:uiPriority w:val="0"/>
    <w:pPr>
      <w:widowControl w:val="0"/>
      <w:tabs>
        <w:tab w:val="clear" w:pos="4560"/>
      </w:tabs>
      <w:autoSpaceDE/>
      <w:autoSpaceDN/>
      <w:ind w:left="57" w:right="57"/>
      <w:textAlignment w:val="baseline"/>
    </w:pPr>
    <w:rPr>
      <w:sz w:val="21"/>
      <w:szCs w:val="20"/>
    </w:rPr>
  </w:style>
  <w:style w:type="paragraph" w:customStyle="1" w:styleId="445">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kern w:val="0"/>
      <w:sz w:val="22"/>
      <w:szCs w:val="22"/>
    </w:rPr>
  </w:style>
  <w:style w:type="paragraph" w:customStyle="1" w:styleId="446">
    <w:name w:val="xl6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olor w:val="FF0000"/>
      <w:kern w:val="0"/>
      <w:sz w:val="22"/>
      <w:szCs w:val="22"/>
    </w:rPr>
  </w:style>
  <w:style w:type="paragraph" w:customStyle="1" w:styleId="447">
    <w:name w:val="Char Char Char Char Char Char Char Char 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4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b/>
      <w:bCs/>
      <w:kern w:val="0"/>
      <w:sz w:val="22"/>
      <w:szCs w:val="22"/>
    </w:rPr>
  </w:style>
  <w:style w:type="paragraph" w:customStyle="1" w:styleId="449">
    <w:name w:val="xl3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450">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ascii="宋体" w:hAnsi="宋体"/>
      <w:kern w:val="0"/>
      <w:sz w:val="22"/>
      <w:szCs w:val="22"/>
    </w:rPr>
  </w:style>
  <w:style w:type="paragraph" w:customStyle="1" w:styleId="451">
    <w:name w:val="xl13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452">
    <w:name w:val="xl57"/>
    <w:basedOn w:val="1"/>
    <w:autoRedefine/>
    <w:qFormat/>
    <w:uiPriority w:val="0"/>
    <w:pPr>
      <w:widowControl/>
      <w:pBdr>
        <w:top w:val="single" w:color="auto" w:sz="8"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color w:val="FF0000"/>
      <w:kern w:val="0"/>
      <w:sz w:val="22"/>
      <w:szCs w:val="22"/>
    </w:rPr>
  </w:style>
  <w:style w:type="paragraph" w:customStyle="1" w:styleId="453">
    <w:name w:val="表格cacc"/>
    <w:basedOn w:val="1"/>
    <w:autoRedefine/>
    <w:qFormat/>
    <w:uiPriority w:val="0"/>
    <w:pPr>
      <w:spacing w:line="240" w:lineRule="atLeast"/>
      <w:jc w:val="left"/>
    </w:pPr>
    <w:rPr>
      <w:szCs w:val="21"/>
    </w:rPr>
  </w:style>
  <w:style w:type="paragraph" w:customStyle="1" w:styleId="454">
    <w:name w:val="xl11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455">
    <w:name w:val="Body"/>
    <w:autoRedefine/>
    <w:qFormat/>
    <w:uiPriority w:val="0"/>
    <w:pPr>
      <w:tabs>
        <w:tab w:val="left" w:pos="720"/>
        <w:tab w:val="left" w:pos="1152"/>
        <w:tab w:val="left" w:pos="1584"/>
        <w:tab w:val="left" w:pos="2016"/>
      </w:tabs>
      <w:overflowPunct w:val="0"/>
      <w:autoSpaceDE w:val="0"/>
      <w:autoSpaceDN w:val="0"/>
      <w:adjustRightInd w:val="0"/>
      <w:spacing w:before="180"/>
      <w:ind w:left="720"/>
      <w:textAlignment w:val="baseline"/>
    </w:pPr>
    <w:rPr>
      <w:rFonts w:ascii="Calibri" w:hAnsi="Calibri" w:eastAsia="宋体" w:cs="Times New Roman"/>
      <w:sz w:val="22"/>
      <w:lang w:val="en-US" w:eastAsia="zh-CN" w:bidi="ar-SA"/>
    </w:rPr>
  </w:style>
  <w:style w:type="paragraph" w:customStyle="1" w:styleId="456">
    <w:name w:val="表格标题"/>
    <w:basedOn w:val="1"/>
    <w:next w:val="457"/>
    <w:autoRedefine/>
    <w:qFormat/>
    <w:uiPriority w:val="0"/>
    <w:pPr>
      <w:keepNext/>
      <w:widowControl/>
      <w:overflowPunct w:val="0"/>
      <w:adjustRightInd w:val="0"/>
      <w:snapToGrid w:val="0"/>
      <w:spacing w:before="360" w:after="120" w:line="480" w:lineRule="exact"/>
      <w:jc w:val="center"/>
      <w:textAlignment w:val="baseline"/>
    </w:pPr>
    <w:rPr>
      <w:rFonts w:ascii="Arial" w:hAnsi="Arial" w:eastAsia="黑体"/>
      <w:kern w:val="0"/>
      <w:sz w:val="24"/>
      <w:szCs w:val="20"/>
    </w:rPr>
  </w:style>
  <w:style w:type="paragraph" w:customStyle="1" w:styleId="457">
    <w:name w:val="表格内容"/>
    <w:basedOn w:val="1"/>
    <w:autoRedefine/>
    <w:qFormat/>
    <w:uiPriority w:val="0"/>
    <w:pPr>
      <w:overflowPunct w:val="0"/>
      <w:adjustRightInd w:val="0"/>
      <w:spacing w:before="40" w:after="60" w:line="200" w:lineRule="atLeast"/>
      <w:textAlignment w:val="baseline"/>
    </w:pPr>
    <w:rPr>
      <w:rFonts w:ascii="Arial" w:hAnsi="Arial" w:eastAsia="仿宋_GB2312"/>
      <w:kern w:val="0"/>
      <w:sz w:val="24"/>
      <w:szCs w:val="20"/>
    </w:rPr>
  </w:style>
  <w:style w:type="paragraph" w:customStyle="1" w:styleId="458">
    <w:name w:val="xl12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459">
    <w:name w:val="xl3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460">
    <w:name w:val="Normal1"/>
    <w:next w:val="1"/>
    <w:autoRedefine/>
    <w:qFormat/>
    <w:uiPriority w:val="0"/>
    <w:pPr>
      <w:overflowPunct w:val="0"/>
      <w:autoSpaceDE w:val="0"/>
      <w:autoSpaceDN w:val="0"/>
      <w:adjustRightInd w:val="0"/>
      <w:textAlignment w:val="baseline"/>
    </w:pPr>
    <w:rPr>
      <w:rFonts w:ascii="Times" w:hAnsi="Times" w:eastAsia="宋体" w:cs="Times New Roman"/>
      <w:sz w:val="24"/>
      <w:lang w:val="fr-FR" w:eastAsia="zh-CN" w:bidi="ar-SA"/>
    </w:rPr>
  </w:style>
  <w:style w:type="paragraph" w:customStyle="1" w:styleId="461">
    <w:name w:val="表格x5"/>
    <w:basedOn w:val="1"/>
    <w:autoRedefine/>
    <w:qFormat/>
    <w:uiPriority w:val="0"/>
    <w:pPr>
      <w:widowControl/>
      <w:spacing w:line="360" w:lineRule="auto"/>
      <w:ind w:right="-105" w:rightChars="-50"/>
    </w:pPr>
    <w:rPr>
      <w:rFonts w:eastAsia="仿宋_GB2312"/>
      <w:kern w:val="0"/>
      <w:szCs w:val="21"/>
    </w:rPr>
  </w:style>
  <w:style w:type="paragraph" w:customStyle="1" w:styleId="462">
    <w:name w:val="Absatz2AL"/>
    <w:basedOn w:val="23"/>
    <w:next w:val="1"/>
    <w:autoRedefine/>
    <w:qFormat/>
    <w:uiPriority w:val="0"/>
    <w:pPr>
      <w:tabs>
        <w:tab w:val="clear" w:pos="4560"/>
      </w:tabs>
      <w:overflowPunct w:val="0"/>
      <w:spacing w:line="240" w:lineRule="auto"/>
      <w:textAlignment w:val="baseline"/>
    </w:pPr>
    <w:rPr>
      <w:rFonts w:eastAsia="楷体_GB2312"/>
      <w:szCs w:val="20"/>
      <w:lang w:val="de-DE"/>
    </w:rPr>
  </w:style>
  <w:style w:type="paragraph" w:customStyle="1" w:styleId="463">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464">
    <w:name w:val="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65">
    <w:name w:val="标题 0"/>
    <w:basedOn w:val="4"/>
    <w:autoRedefine/>
    <w:qFormat/>
    <w:uiPriority w:val="0"/>
    <w:pPr>
      <w:keepNext w:val="0"/>
      <w:widowControl w:val="0"/>
      <w:numPr>
        <w:ilvl w:val="0"/>
        <w:numId w:val="0"/>
      </w:numPr>
      <w:tabs>
        <w:tab w:val="clear" w:pos="432"/>
      </w:tabs>
      <w:autoSpaceDE w:val="0"/>
      <w:autoSpaceDN w:val="0"/>
      <w:spacing w:line="360" w:lineRule="auto"/>
      <w:ind w:left="425" w:hanging="425"/>
      <w:jc w:val="left"/>
    </w:pPr>
    <w:rPr>
      <w:rFonts w:ascii="Calibri" w:eastAsia="宋体"/>
      <w:b/>
      <w:color w:val="000000"/>
      <w:kern w:val="2"/>
      <w:sz w:val="30"/>
    </w:rPr>
  </w:style>
  <w:style w:type="paragraph" w:customStyle="1" w:styleId="466">
    <w:name w:val="正文4"/>
    <w:basedOn w:val="1"/>
    <w:autoRedefine/>
    <w:qFormat/>
    <w:uiPriority w:val="0"/>
    <w:pPr>
      <w:spacing w:line="360" w:lineRule="auto"/>
      <w:ind w:left="400" w:leftChars="400"/>
    </w:pPr>
    <w:rPr>
      <w:rFonts w:ascii="宋体"/>
      <w:sz w:val="24"/>
    </w:rPr>
  </w:style>
  <w:style w:type="paragraph" w:customStyle="1" w:styleId="467">
    <w:name w:val="xl11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468">
    <w:name w:val="xl12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69">
    <w:name w:val="CM56"/>
    <w:basedOn w:val="241"/>
    <w:next w:val="241"/>
    <w:autoRedefine/>
    <w:qFormat/>
    <w:uiPriority w:val="0"/>
    <w:rPr>
      <w:rFonts w:ascii="Times New Roman" w:cs="Times New Roman"/>
      <w:color w:val="auto"/>
    </w:rPr>
  </w:style>
  <w:style w:type="paragraph" w:customStyle="1" w:styleId="470">
    <w:name w:val="样式 样式  + 小四 首行缩进:  0.99 厘米 + 首行缩进:  0.85 厘米"/>
    <w:basedOn w:val="471"/>
    <w:autoRedefine/>
    <w:qFormat/>
    <w:uiPriority w:val="0"/>
    <w:pPr>
      <w:ind w:firstLine="200" w:firstLineChars="200"/>
    </w:pPr>
  </w:style>
  <w:style w:type="paragraph" w:customStyle="1" w:styleId="471">
    <w:name w:val="样式  + 小四 首行缩进:  0.99 厘米"/>
    <w:basedOn w:val="1"/>
    <w:autoRedefine/>
    <w:qFormat/>
    <w:uiPriority w:val="0"/>
    <w:pPr>
      <w:ind w:firstLine="560"/>
    </w:pPr>
    <w:rPr>
      <w:rFonts w:ascii="宋体" w:hAnsi="宋体" w:eastAsia="仿宋_GB2312" w:cs="宋体"/>
      <w:color w:val="000000"/>
      <w:sz w:val="24"/>
      <w:szCs w:val="20"/>
    </w:rPr>
  </w:style>
  <w:style w:type="paragraph" w:customStyle="1" w:styleId="472">
    <w:name w:val="正文 + 自动设置"/>
    <w:basedOn w:val="4"/>
    <w:autoRedefine/>
    <w:qFormat/>
    <w:uiPriority w:val="0"/>
    <w:pPr>
      <w:keepLines/>
      <w:widowControl w:val="0"/>
      <w:numPr>
        <w:numId w:val="0"/>
      </w:numPr>
      <w:tabs>
        <w:tab w:val="left" w:pos="840"/>
        <w:tab w:val="clear" w:pos="432"/>
      </w:tabs>
      <w:spacing w:before="360" w:after="360" w:line="480" w:lineRule="auto"/>
    </w:pPr>
    <w:rPr>
      <w:rFonts w:ascii="Calibri"/>
      <w:b/>
      <w:bCs/>
      <w:kern w:val="44"/>
      <w:sz w:val="36"/>
    </w:rPr>
  </w:style>
  <w:style w:type="paragraph" w:customStyle="1" w:styleId="473">
    <w:name w:val="Char Char Char1 Char1"/>
    <w:basedOn w:val="1"/>
    <w:autoRedefine/>
    <w:qFormat/>
    <w:uiPriority w:val="0"/>
  </w:style>
  <w:style w:type="paragraph" w:customStyle="1" w:styleId="474">
    <w:name w:val="xl5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b/>
      <w:bCs/>
      <w:color w:val="FF0000"/>
      <w:kern w:val="0"/>
      <w:sz w:val="22"/>
      <w:szCs w:val="22"/>
    </w:rPr>
  </w:style>
  <w:style w:type="paragraph" w:customStyle="1" w:styleId="475">
    <w:name w:val="xl13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76">
    <w:name w:val="standdate"/>
    <w:basedOn w:val="36"/>
    <w:autoRedefine/>
    <w:qFormat/>
    <w:uiPriority w:val="0"/>
    <w:pPr>
      <w:widowControl w:val="0"/>
      <w:pBdr>
        <w:top w:val="single" w:color="auto" w:sz="6" w:space="7"/>
      </w:pBdr>
      <w:tabs>
        <w:tab w:val="clear" w:pos="4153"/>
        <w:tab w:val="clear" w:pos="8306"/>
      </w:tabs>
      <w:adjustRightInd w:val="0"/>
      <w:snapToGrid/>
      <w:spacing w:line="240" w:lineRule="atLeast"/>
      <w:jc w:val="center"/>
      <w:textAlignment w:val="center"/>
    </w:pPr>
    <w:rPr>
      <w:rFonts w:ascii="黑体" w:eastAsia="黑体"/>
      <w:b/>
      <w:spacing w:val="-4"/>
      <w:sz w:val="21"/>
      <w:szCs w:val="20"/>
    </w:rPr>
  </w:style>
  <w:style w:type="paragraph" w:customStyle="1" w:styleId="477">
    <w:name w:val="项目符号2"/>
    <w:basedOn w:val="1"/>
    <w:autoRedefine/>
    <w:qFormat/>
    <w:uiPriority w:val="0"/>
    <w:pPr>
      <w:tabs>
        <w:tab w:val="left" w:pos="900"/>
        <w:tab w:val="left" w:pos="1405"/>
      </w:tabs>
      <w:overflowPunct w:val="0"/>
      <w:snapToGrid w:val="0"/>
      <w:spacing w:line="480" w:lineRule="exact"/>
      <w:ind w:left="1405" w:hanging="425" w:firstLineChars="200"/>
    </w:pPr>
    <w:rPr>
      <w:rFonts w:ascii="Arial" w:hAnsi="Arial" w:eastAsia="仿宋_GB2312"/>
      <w:sz w:val="28"/>
      <w:szCs w:val="20"/>
    </w:rPr>
  </w:style>
  <w:style w:type="paragraph" w:customStyle="1" w:styleId="478">
    <w:name w:val="小标题"/>
    <w:basedOn w:val="1"/>
    <w:autoRedefine/>
    <w:qFormat/>
    <w:uiPriority w:val="0"/>
    <w:pPr>
      <w:tabs>
        <w:tab w:val="left" w:pos="987"/>
      </w:tabs>
      <w:overflowPunct w:val="0"/>
      <w:snapToGrid w:val="0"/>
      <w:spacing w:line="480" w:lineRule="exact"/>
      <w:ind w:left="987" w:hanging="420" w:firstLineChars="200"/>
    </w:pPr>
    <w:rPr>
      <w:rFonts w:ascii="Arial" w:hAnsi="Arial" w:eastAsia="仿宋_GB2312"/>
      <w:b/>
      <w:sz w:val="28"/>
      <w:szCs w:val="20"/>
    </w:rPr>
  </w:style>
  <w:style w:type="paragraph" w:customStyle="1" w:styleId="479">
    <w:name w:val="节标题"/>
    <w:basedOn w:val="1"/>
    <w:autoRedefine/>
    <w:qFormat/>
    <w:uiPriority w:val="0"/>
    <w:pPr>
      <w:widowControl/>
      <w:spacing w:line="289" w:lineRule="atLeast"/>
      <w:jc w:val="center"/>
      <w:textAlignment w:val="baseline"/>
    </w:pPr>
    <w:rPr>
      <w:color w:val="000000"/>
      <w:kern w:val="0"/>
      <w:sz w:val="28"/>
      <w:szCs w:val="20"/>
      <w:u w:color="000000"/>
    </w:rPr>
  </w:style>
  <w:style w:type="paragraph" w:customStyle="1" w:styleId="480">
    <w:name w:val="CM37"/>
    <w:basedOn w:val="241"/>
    <w:next w:val="241"/>
    <w:autoRedefine/>
    <w:qFormat/>
    <w:uiPriority w:val="0"/>
    <w:rPr>
      <w:rFonts w:ascii="Times New Roman" w:cs="Times New Roman"/>
      <w:color w:val="auto"/>
    </w:rPr>
  </w:style>
  <w:style w:type="paragraph" w:customStyle="1" w:styleId="481">
    <w:name w:val="正文文本 22"/>
    <w:basedOn w:val="1"/>
    <w:autoRedefine/>
    <w:qFormat/>
    <w:uiPriority w:val="0"/>
    <w:pPr>
      <w:adjustRightInd w:val="0"/>
      <w:ind w:left="360" w:hanging="360"/>
      <w:jc w:val="left"/>
      <w:textAlignment w:val="baseline"/>
    </w:pPr>
    <w:rPr>
      <w:sz w:val="24"/>
      <w:szCs w:val="20"/>
    </w:rPr>
  </w:style>
  <w:style w:type="paragraph" w:customStyle="1" w:styleId="482">
    <w:name w:val="_Style 2"/>
    <w:basedOn w:val="1"/>
    <w:autoRedefine/>
    <w:qFormat/>
    <w:uiPriority w:val="0"/>
  </w:style>
  <w:style w:type="paragraph" w:customStyle="1" w:styleId="483">
    <w:name w:val="geshi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84">
    <w:name w:val="xl13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85">
    <w:name w:val="xl12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486">
    <w:name w:val="注1"/>
    <w:basedOn w:val="1"/>
    <w:autoRedefine/>
    <w:qFormat/>
    <w:uiPriority w:val="0"/>
    <w:pPr>
      <w:spacing w:line="360" w:lineRule="auto"/>
      <w:ind w:left="400" w:leftChars="200" w:hanging="200" w:hangingChars="200"/>
    </w:pPr>
    <w:rPr>
      <w:rFonts w:ascii="宋体"/>
      <w:b/>
    </w:rPr>
  </w:style>
  <w:style w:type="paragraph" w:customStyle="1" w:styleId="487">
    <w:name w:val="xl12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4"/>
    </w:rPr>
  </w:style>
  <w:style w:type="paragraph" w:customStyle="1" w:styleId="488">
    <w:name w:val="正文(齐头)"/>
    <w:basedOn w:val="1"/>
    <w:autoRedefine/>
    <w:qFormat/>
    <w:uiPriority w:val="0"/>
    <w:pPr>
      <w:adjustRightInd w:val="0"/>
      <w:spacing w:after="180" w:line="320" w:lineRule="exact"/>
      <w:ind w:left="1009" w:hanging="1009"/>
      <w:textAlignment w:val="bottom"/>
    </w:pPr>
    <w:rPr>
      <w:rFonts w:ascii="Arial" w:hAnsi="Arial"/>
      <w:kern w:val="0"/>
      <w:sz w:val="24"/>
      <w:szCs w:val="20"/>
    </w:rPr>
  </w:style>
  <w:style w:type="paragraph" w:customStyle="1" w:styleId="489">
    <w:name w:val="Char Char 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cs="Verdana"/>
      <w:kern w:val="0"/>
      <w:sz w:val="24"/>
      <w:lang w:eastAsia="en-US"/>
    </w:rPr>
  </w:style>
  <w:style w:type="paragraph" w:customStyle="1" w:styleId="490">
    <w:name w:val="样式  + Times New Roman 小四 红色 首行缩进:  0.99 厘米"/>
    <w:basedOn w:val="1"/>
    <w:autoRedefine/>
    <w:qFormat/>
    <w:uiPriority w:val="0"/>
    <w:pPr>
      <w:ind w:firstLine="200" w:firstLineChars="200"/>
    </w:pPr>
    <w:rPr>
      <w:rFonts w:cs="宋体"/>
      <w:color w:val="FF0000"/>
      <w:sz w:val="24"/>
      <w:szCs w:val="20"/>
    </w:rPr>
  </w:style>
  <w:style w:type="paragraph" w:customStyle="1" w:styleId="491">
    <w:name w:val="样式4"/>
    <w:basedOn w:val="1"/>
    <w:next w:val="492"/>
    <w:link w:val="660"/>
    <w:autoRedefine/>
    <w:qFormat/>
    <w:uiPriority w:val="0"/>
    <w:pPr>
      <w:spacing w:line="360" w:lineRule="auto"/>
      <w:ind w:firstLine="560" w:firstLineChars="200"/>
    </w:pPr>
    <w:rPr>
      <w:rFonts w:ascii="仿宋_GB2312" w:eastAsia="仿宋_GB2312"/>
      <w:sz w:val="28"/>
      <w:szCs w:val="28"/>
    </w:rPr>
  </w:style>
  <w:style w:type="paragraph" w:customStyle="1" w:styleId="492">
    <w:name w:val="样式3"/>
    <w:basedOn w:val="4"/>
    <w:autoRedefine/>
    <w:qFormat/>
    <w:uiPriority w:val="0"/>
    <w:pPr>
      <w:keepLines/>
      <w:widowControl w:val="0"/>
      <w:numPr>
        <w:numId w:val="0"/>
      </w:numPr>
      <w:tabs>
        <w:tab w:val="clear" w:pos="432"/>
      </w:tabs>
      <w:spacing w:before="340" w:after="330" w:line="578" w:lineRule="auto"/>
      <w:jc w:val="both"/>
    </w:pPr>
    <w:rPr>
      <w:rFonts w:hAnsi="黑体" w:eastAsia="宋体"/>
      <w:b/>
      <w:bCs/>
      <w:color w:val="000000"/>
      <w:kern w:val="44"/>
      <w:sz w:val="44"/>
      <w:szCs w:val="32"/>
    </w:rPr>
  </w:style>
  <w:style w:type="paragraph" w:customStyle="1" w:styleId="493">
    <w:name w:val="font10"/>
    <w:basedOn w:val="1"/>
    <w:autoRedefine/>
    <w:qFormat/>
    <w:uiPriority w:val="99"/>
    <w:pPr>
      <w:widowControl/>
      <w:spacing w:before="100" w:beforeAutospacing="1" w:after="100" w:afterAutospacing="1"/>
      <w:jc w:val="left"/>
    </w:pPr>
    <w:rPr>
      <w:b/>
      <w:bCs/>
      <w:kern w:val="0"/>
      <w:sz w:val="20"/>
      <w:szCs w:val="20"/>
    </w:rPr>
  </w:style>
  <w:style w:type="paragraph" w:customStyle="1" w:styleId="494">
    <w:name w:val="小标题2"/>
    <w:basedOn w:val="1"/>
    <w:autoRedefine/>
    <w:qFormat/>
    <w:uiPriority w:val="0"/>
    <w:pPr>
      <w:tabs>
        <w:tab w:val="left" w:pos="420"/>
        <w:tab w:val="left" w:pos="980"/>
      </w:tabs>
      <w:overflowPunct w:val="0"/>
      <w:adjustRightInd w:val="0"/>
      <w:snapToGrid w:val="0"/>
      <w:spacing w:beforeLines="50" w:afterLines="50" w:line="300" w:lineRule="auto"/>
      <w:ind w:left="420" w:hanging="420" w:firstLineChars="200"/>
    </w:pPr>
    <w:rPr>
      <w:rFonts w:ascii="Arial" w:hAnsi="Arial" w:eastAsia="仿宋_GB2312"/>
      <w:sz w:val="28"/>
      <w:szCs w:val="20"/>
    </w:rPr>
  </w:style>
  <w:style w:type="paragraph" w:customStyle="1" w:styleId="495">
    <w:name w:val="xl13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32"/>
      <w:szCs w:val="32"/>
    </w:rPr>
  </w:style>
  <w:style w:type="paragraph" w:customStyle="1" w:styleId="496">
    <w:name w:val="flType"/>
    <w:basedOn w:val="497"/>
    <w:autoRedefine/>
    <w:qFormat/>
    <w:uiPriority w:val="0"/>
    <w:pPr>
      <w:spacing w:before="560" w:after="120"/>
    </w:pPr>
    <w:rPr>
      <w:sz w:val="28"/>
    </w:rPr>
  </w:style>
  <w:style w:type="paragraph" w:customStyle="1" w:styleId="497">
    <w:name w:val="flName"/>
    <w:basedOn w:val="1"/>
    <w:autoRedefine/>
    <w:qFormat/>
    <w:uiPriority w:val="0"/>
    <w:pPr>
      <w:adjustRightInd w:val="0"/>
      <w:spacing w:before="320" w:after="160" w:line="360" w:lineRule="atLeast"/>
      <w:jc w:val="center"/>
      <w:textAlignment w:val="baseline"/>
    </w:pPr>
    <w:rPr>
      <w:rFonts w:ascii="Arial" w:eastAsia="黑体"/>
      <w:kern w:val="0"/>
      <w:sz w:val="32"/>
      <w:szCs w:val="20"/>
    </w:rPr>
  </w:style>
  <w:style w:type="paragraph" w:customStyle="1" w:styleId="498">
    <w:name w:val="5正文"/>
    <w:basedOn w:val="1"/>
    <w:autoRedefine/>
    <w:qFormat/>
    <w:uiPriority w:val="0"/>
    <w:pPr>
      <w:spacing w:line="360" w:lineRule="auto"/>
      <w:ind w:firstLine="200" w:firstLineChars="200"/>
    </w:pPr>
    <w:rPr>
      <w:kern w:val="0"/>
      <w:sz w:val="24"/>
    </w:rPr>
  </w:style>
  <w:style w:type="paragraph" w:customStyle="1" w:styleId="499">
    <w:name w:val="xl33"/>
    <w:basedOn w:val="1"/>
    <w:autoRedefine/>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500">
    <w:name w:val="xl53"/>
    <w:basedOn w:val="1"/>
    <w:autoRedefine/>
    <w:qFormat/>
    <w:uiPriority w:val="0"/>
    <w:pPr>
      <w:widowControl/>
      <w:pBdr>
        <w:top w:val="single" w:color="auto" w:sz="4" w:space="0"/>
        <w:left w:val="single" w:color="auto" w:sz="4" w:space="0"/>
        <w:right w:val="single" w:color="auto" w:sz="8" w:space="0"/>
      </w:pBdr>
      <w:shd w:val="clear" w:color="auto" w:fill="FFFFFF"/>
      <w:spacing w:before="100" w:beforeAutospacing="1" w:after="100" w:afterAutospacing="1"/>
      <w:jc w:val="left"/>
    </w:pPr>
    <w:rPr>
      <w:rFonts w:ascii="宋体" w:hAnsi="宋体"/>
      <w:kern w:val="0"/>
      <w:sz w:val="22"/>
      <w:szCs w:val="22"/>
    </w:rPr>
  </w:style>
  <w:style w:type="paragraph" w:customStyle="1" w:styleId="501">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FF0000"/>
      <w:kern w:val="0"/>
      <w:sz w:val="22"/>
      <w:szCs w:val="22"/>
    </w:rPr>
  </w:style>
  <w:style w:type="paragraph" w:customStyle="1" w:styleId="502">
    <w:name w:val="样式 样式  + Times New Roman 小四 红色 首行缩进:  0.99 厘米 + 首行缩进:  2 字符"/>
    <w:basedOn w:val="490"/>
    <w:autoRedefine/>
    <w:qFormat/>
    <w:uiPriority w:val="0"/>
    <w:pPr>
      <w:ind w:firstLine="480"/>
    </w:pPr>
    <w:rPr>
      <w:rFonts w:eastAsia="仿宋_GB2312"/>
      <w:szCs w:val="24"/>
    </w:rPr>
  </w:style>
  <w:style w:type="paragraph" w:customStyle="1" w:styleId="503">
    <w:name w:val="2节"/>
    <w:basedOn w:val="1"/>
    <w:next w:val="404"/>
    <w:autoRedefine/>
    <w:qFormat/>
    <w:uiPriority w:val="0"/>
    <w:pPr>
      <w:spacing w:beforeLines="100" w:afterLines="50" w:line="360" w:lineRule="auto"/>
      <w:ind w:right="198"/>
      <w:outlineLvl w:val="1"/>
    </w:pPr>
    <w:rPr>
      <w:rFonts w:ascii="黑体" w:hAnsi="宋体" w:eastAsia="黑体" w:cs="Arial"/>
      <w:b/>
      <w:bCs/>
      <w:sz w:val="28"/>
      <w:szCs w:val="32"/>
    </w:rPr>
  </w:style>
  <w:style w:type="paragraph" w:customStyle="1" w:styleId="504">
    <w:name w:val="段落1"/>
    <w:basedOn w:val="1"/>
    <w:autoRedefine/>
    <w:qFormat/>
    <w:uiPriority w:val="0"/>
    <w:pPr>
      <w:adjustRightInd w:val="0"/>
      <w:snapToGrid w:val="0"/>
      <w:spacing w:line="500" w:lineRule="exact"/>
      <w:ind w:firstLine="652"/>
    </w:pPr>
    <w:rPr>
      <w:rFonts w:ascii="宋体"/>
      <w:snapToGrid w:val="0"/>
      <w:spacing w:val="30"/>
      <w:kern w:val="0"/>
      <w:sz w:val="28"/>
      <w:szCs w:val="20"/>
    </w:rPr>
  </w:style>
  <w:style w:type="paragraph" w:customStyle="1" w:styleId="505">
    <w:name w:val="样式 标题 2 + Times New Roman 四号 非加粗 段前: 5 磅 段后: 0 磅 行距: 固定值 20..."/>
    <w:basedOn w:val="5"/>
    <w:autoRedefine/>
    <w:qFormat/>
    <w:uiPriority w:val="0"/>
    <w:pPr>
      <w:widowControl w:val="0"/>
      <w:spacing w:before="100" w:after="0" w:line="400" w:lineRule="exact"/>
      <w:jc w:val="both"/>
    </w:pPr>
    <w:rPr>
      <w:rFonts w:ascii="Times New Roman" w:hAnsi="Times New Roman" w:cs="宋体"/>
      <w:b w:val="0"/>
      <w:bCs w:val="0"/>
      <w:sz w:val="28"/>
      <w:szCs w:val="20"/>
    </w:rPr>
  </w:style>
  <w:style w:type="paragraph" w:customStyle="1" w:styleId="506">
    <w:name w:val="xl52"/>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hAnsi="宋体"/>
      <w:kern w:val="0"/>
      <w:sz w:val="22"/>
      <w:szCs w:val="22"/>
    </w:rPr>
  </w:style>
  <w:style w:type="paragraph" w:customStyle="1" w:styleId="507">
    <w:name w:val="注"/>
    <w:basedOn w:val="1"/>
    <w:autoRedefine/>
    <w:qFormat/>
    <w:uiPriority w:val="0"/>
    <w:pPr>
      <w:adjustRightInd w:val="0"/>
      <w:spacing w:line="360" w:lineRule="atLeast"/>
      <w:ind w:left="840" w:hanging="420"/>
      <w:textAlignment w:val="baseline"/>
    </w:pPr>
    <w:rPr>
      <w:kern w:val="0"/>
      <w:szCs w:val="20"/>
    </w:rPr>
  </w:style>
  <w:style w:type="paragraph" w:customStyle="1" w:styleId="508">
    <w:name w:val="font1"/>
    <w:basedOn w:val="1"/>
    <w:autoRedefine/>
    <w:qFormat/>
    <w:uiPriority w:val="0"/>
    <w:pPr>
      <w:widowControl/>
      <w:spacing w:before="100" w:beforeAutospacing="1" w:after="100" w:afterAutospacing="1"/>
      <w:jc w:val="left"/>
    </w:pPr>
    <w:rPr>
      <w:rFonts w:hint="eastAsia" w:ascii="宋体" w:hAnsi="宋体"/>
      <w:b/>
      <w:bCs/>
      <w:kern w:val="0"/>
      <w:sz w:val="24"/>
    </w:rPr>
  </w:style>
  <w:style w:type="paragraph" w:customStyle="1" w:styleId="509">
    <w:name w:val="xl13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kern w:val="0"/>
      <w:sz w:val="24"/>
    </w:rPr>
  </w:style>
  <w:style w:type="paragraph" w:customStyle="1" w:styleId="510">
    <w:name w:val="Char Char Char Char Char Char Char 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11">
    <w:name w:val="xl35"/>
    <w:basedOn w:val="1"/>
    <w:autoRedefine/>
    <w:qFormat/>
    <w:uiPriority w:val="0"/>
    <w:pPr>
      <w:widowControl/>
      <w:pBdr>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512">
    <w:name w:val="xl49"/>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kern w:val="0"/>
      <w:sz w:val="22"/>
      <w:szCs w:val="22"/>
    </w:rPr>
  </w:style>
  <w:style w:type="paragraph" w:customStyle="1" w:styleId="513">
    <w:name w:val="flNote"/>
    <w:basedOn w:val="1"/>
    <w:autoRedefine/>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514">
    <w:name w:val="CM99"/>
    <w:basedOn w:val="241"/>
    <w:next w:val="241"/>
    <w:autoRedefine/>
    <w:qFormat/>
    <w:uiPriority w:val="0"/>
    <w:pPr>
      <w:spacing w:after="443"/>
    </w:pPr>
    <w:rPr>
      <w:rFonts w:cs="Times New Roman"/>
      <w:color w:val="auto"/>
    </w:rPr>
  </w:style>
  <w:style w:type="paragraph" w:customStyle="1" w:styleId="515">
    <w:name w:val="备注"/>
    <w:basedOn w:val="1"/>
    <w:autoRedefine/>
    <w:qFormat/>
    <w:uiPriority w:val="0"/>
    <w:pPr>
      <w:tabs>
        <w:tab w:val="left" w:pos="167"/>
        <w:tab w:val="left" w:pos="334"/>
        <w:tab w:val="left" w:pos="501"/>
        <w:tab w:val="left" w:pos="668"/>
        <w:tab w:val="left" w:pos="835"/>
        <w:tab w:val="left" w:pos="907"/>
        <w:tab w:val="left" w:pos="1002"/>
        <w:tab w:val="left" w:pos="1169"/>
      </w:tabs>
      <w:adjustRightInd w:val="0"/>
      <w:snapToGrid w:val="0"/>
      <w:spacing w:line="320" w:lineRule="exact"/>
      <w:ind w:firstLine="652"/>
      <w:jc w:val="left"/>
    </w:pPr>
    <w:rPr>
      <w:rFonts w:ascii="宋体"/>
      <w:snapToGrid w:val="0"/>
      <w:spacing w:val="30"/>
      <w:kern w:val="0"/>
      <w:szCs w:val="20"/>
    </w:rPr>
  </w:style>
  <w:style w:type="paragraph" w:customStyle="1" w:styleId="516">
    <w:name w:val="中文表内容"/>
    <w:basedOn w:val="1"/>
    <w:next w:val="1"/>
    <w:autoRedefine/>
    <w:qFormat/>
    <w:uiPriority w:val="0"/>
    <w:pPr>
      <w:overflowPunct w:val="0"/>
      <w:adjustRightInd w:val="0"/>
      <w:snapToGrid w:val="0"/>
      <w:spacing w:line="200" w:lineRule="atLeast"/>
      <w:ind w:left="284" w:firstLine="200" w:firstLineChars="200"/>
      <w:textAlignment w:val="baseline"/>
    </w:pPr>
    <w:rPr>
      <w:rFonts w:eastAsia="仿宋_GB2312"/>
      <w:kern w:val="0"/>
      <w:sz w:val="28"/>
      <w:szCs w:val="20"/>
    </w:rPr>
  </w:style>
  <w:style w:type="paragraph" w:customStyle="1" w:styleId="517">
    <w:name w:val="xl11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518">
    <w:name w:val="xl11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519">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520">
    <w:name w:val="xl14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521">
    <w:name w:val="样式2"/>
    <w:basedOn w:val="7"/>
    <w:next w:val="7"/>
    <w:autoRedefine/>
    <w:qFormat/>
    <w:uiPriority w:val="0"/>
    <w:pPr>
      <w:keepLines/>
      <w:widowControl/>
      <w:spacing w:line="376" w:lineRule="auto"/>
      <w:jc w:val="left"/>
    </w:pPr>
    <w:rPr>
      <w:rFonts w:ascii="黑体" w:hAnsi="Arial" w:eastAsia="黑体"/>
      <w:b/>
      <w:bCs/>
      <w:sz w:val="24"/>
      <w:szCs w:val="30"/>
      <w:u w:val="none"/>
      <w:lang w:eastAsia="zh-CN"/>
    </w:rPr>
  </w:style>
  <w:style w:type="paragraph" w:customStyle="1" w:styleId="522">
    <w:name w:val="xl11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523">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ascii="宋体" w:hAnsi="宋体"/>
      <w:kern w:val="0"/>
      <w:sz w:val="22"/>
      <w:szCs w:val="22"/>
    </w:rPr>
  </w:style>
  <w:style w:type="paragraph" w:customStyle="1" w:styleId="524">
    <w:name w:val="样式 小四 行距: 1.5 倍行距 首行缩进:  1.96 字符"/>
    <w:basedOn w:val="1"/>
    <w:autoRedefine/>
    <w:qFormat/>
    <w:uiPriority w:val="0"/>
    <w:pPr>
      <w:spacing w:line="360" w:lineRule="auto"/>
      <w:ind w:firstLine="200" w:firstLineChars="200"/>
    </w:pPr>
    <w:rPr>
      <w:rFonts w:eastAsia="仿宋_GB2312" w:cs="宋体"/>
      <w:sz w:val="24"/>
    </w:rPr>
  </w:style>
  <w:style w:type="paragraph" w:customStyle="1" w:styleId="525">
    <w:name w:val="4表中文字"/>
    <w:basedOn w:val="1"/>
    <w:autoRedefine/>
    <w:qFormat/>
    <w:uiPriority w:val="0"/>
    <w:pPr>
      <w:tabs>
        <w:tab w:val="left" w:pos="6195"/>
      </w:tabs>
      <w:autoSpaceDE w:val="0"/>
      <w:autoSpaceDN w:val="0"/>
      <w:adjustRightInd w:val="0"/>
      <w:jc w:val="center"/>
    </w:pPr>
    <w:rPr>
      <w:rFonts w:eastAsia="仿宋_GB2312"/>
    </w:rPr>
  </w:style>
  <w:style w:type="paragraph" w:customStyle="1" w:styleId="526">
    <w:name w:val="xl11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527">
    <w:name w:val="日期1"/>
    <w:basedOn w:val="1"/>
    <w:next w:val="1"/>
    <w:autoRedefine/>
    <w:qFormat/>
    <w:uiPriority w:val="0"/>
    <w:pPr>
      <w:adjustRightInd w:val="0"/>
      <w:spacing w:line="360" w:lineRule="atLeast"/>
      <w:textAlignment w:val="baseline"/>
    </w:pPr>
    <w:rPr>
      <w:rFonts w:ascii="宋体"/>
      <w:kern w:val="0"/>
      <w:sz w:val="28"/>
      <w:szCs w:val="20"/>
    </w:rPr>
  </w:style>
  <w:style w:type="paragraph" w:customStyle="1" w:styleId="528">
    <w:name w:val="xl56"/>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left"/>
    </w:pPr>
    <w:rPr>
      <w:rFonts w:ascii="宋体" w:hAnsi="宋体"/>
      <w:kern w:val="0"/>
      <w:sz w:val="22"/>
      <w:szCs w:val="22"/>
    </w:rPr>
  </w:style>
  <w:style w:type="paragraph" w:customStyle="1" w:styleId="529">
    <w:name w:val="样式  + Times New Roman 小四 行距: 1.5 倍行距"/>
    <w:basedOn w:val="1"/>
    <w:autoRedefine/>
    <w:qFormat/>
    <w:uiPriority w:val="0"/>
    <w:pPr>
      <w:spacing w:line="360" w:lineRule="auto"/>
      <w:ind w:firstLine="480" w:firstLineChars="200"/>
    </w:pPr>
    <w:rPr>
      <w:rFonts w:eastAsia="仿宋_GB2312" w:cs="宋体"/>
      <w:color w:val="000000"/>
      <w:sz w:val="24"/>
    </w:rPr>
  </w:style>
  <w:style w:type="paragraph" w:customStyle="1" w:styleId="530">
    <w:name w:val="8"/>
    <w:basedOn w:val="1"/>
    <w:autoRedefine/>
    <w:qFormat/>
    <w:uiPriority w:val="0"/>
    <w:pPr>
      <w:spacing w:line="360" w:lineRule="auto"/>
      <w:ind w:firstLine="478" w:firstLineChars="199"/>
    </w:pPr>
    <w:rPr>
      <w:color w:val="000000"/>
      <w:sz w:val="24"/>
    </w:rPr>
  </w:style>
  <w:style w:type="paragraph" w:customStyle="1" w:styleId="531">
    <w:name w:val="(1)"/>
    <w:basedOn w:val="1"/>
    <w:autoRedefine/>
    <w:qFormat/>
    <w:uiPriority w:val="0"/>
    <w:pPr>
      <w:tabs>
        <w:tab w:val="left" w:pos="573"/>
      </w:tabs>
      <w:adjustRightInd w:val="0"/>
      <w:snapToGrid w:val="0"/>
      <w:spacing w:before="80" w:after="100" w:line="240" w:lineRule="atLeast"/>
      <w:textAlignment w:val="baseline"/>
    </w:pPr>
    <w:rPr>
      <w:rFonts w:ascii="Arial" w:hAnsi="Arial"/>
      <w:kern w:val="44"/>
      <w:sz w:val="24"/>
    </w:rPr>
  </w:style>
  <w:style w:type="paragraph" w:customStyle="1" w:styleId="532">
    <w:name w:val="p1"/>
    <w:basedOn w:val="1"/>
    <w:autoRedefine/>
    <w:qFormat/>
    <w:uiPriority w:val="0"/>
    <w:pPr>
      <w:widowControl/>
      <w:spacing w:line="480" w:lineRule="auto"/>
      <w:jc w:val="center"/>
    </w:pPr>
    <w:rPr>
      <w:rFonts w:ascii="宋体" w:hAnsi="宋体" w:cs="宋体"/>
      <w:kern w:val="0"/>
      <w:sz w:val="28"/>
      <w:szCs w:val="28"/>
    </w:rPr>
  </w:style>
  <w:style w:type="paragraph" w:customStyle="1" w:styleId="533">
    <w:name w:val="Jazzy"/>
    <w:autoRedefine/>
    <w:qFormat/>
    <w:uiPriority w:val="0"/>
    <w:pPr>
      <w:overflowPunct w:val="0"/>
      <w:autoSpaceDE w:val="0"/>
      <w:autoSpaceDN w:val="0"/>
      <w:adjustRightInd w:val="0"/>
      <w:jc w:val="center"/>
      <w:textAlignment w:val="baseline"/>
    </w:pPr>
    <w:rPr>
      <w:rFonts w:ascii="Calibri" w:hAnsi="Calibri" w:eastAsia="宋体" w:cs="Times New Roman"/>
      <w:b/>
      <w:sz w:val="24"/>
      <w:lang w:val="en-US" w:eastAsia="zh-CN" w:bidi="ar-SA"/>
    </w:rPr>
  </w:style>
  <w:style w:type="paragraph" w:customStyle="1" w:styleId="534">
    <w:name w:val="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35">
    <w:name w:val="xl14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536">
    <w:name w:val="xl11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537">
    <w:name w:val="CM7"/>
    <w:basedOn w:val="241"/>
    <w:next w:val="241"/>
    <w:autoRedefine/>
    <w:qFormat/>
    <w:uiPriority w:val="0"/>
    <w:pPr>
      <w:spacing w:line="191" w:lineRule="atLeast"/>
    </w:pPr>
    <w:rPr>
      <w:rFonts w:ascii="Times New Roman" w:cs="Times New Roman"/>
      <w:color w:val="auto"/>
    </w:rPr>
  </w:style>
  <w:style w:type="paragraph" w:customStyle="1" w:styleId="538">
    <w:name w:val="xl13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539">
    <w:name w:val="标题1 + 三号"/>
    <w:basedOn w:val="1"/>
    <w:autoRedefine/>
    <w:qFormat/>
    <w:uiPriority w:val="0"/>
    <w:pPr>
      <w:spacing w:line="480" w:lineRule="auto"/>
    </w:pPr>
    <w:rPr>
      <w:sz w:val="32"/>
    </w:rPr>
  </w:style>
  <w:style w:type="paragraph" w:customStyle="1" w:styleId="540">
    <w:name w:val="p12"/>
    <w:basedOn w:val="1"/>
    <w:autoRedefine/>
    <w:qFormat/>
    <w:uiPriority w:val="0"/>
    <w:pPr>
      <w:widowControl/>
      <w:spacing w:before="100" w:beforeAutospacing="1" w:after="100" w:afterAutospacing="1"/>
      <w:jc w:val="left"/>
    </w:pPr>
    <w:rPr>
      <w:color w:val="000000"/>
      <w:kern w:val="0"/>
      <w:sz w:val="24"/>
    </w:rPr>
  </w:style>
  <w:style w:type="paragraph" w:customStyle="1" w:styleId="541">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left"/>
    </w:pPr>
    <w:rPr>
      <w:rFonts w:ascii="Arial Unicode MS" w:hAnsi="Arial Unicode MS" w:eastAsia="Arial Unicode MS" w:cs="Arial Unicode MS"/>
      <w:kern w:val="0"/>
      <w:sz w:val="24"/>
    </w:rPr>
  </w:style>
  <w:style w:type="paragraph" w:customStyle="1" w:styleId="542">
    <w:name w:val="表格1"/>
    <w:basedOn w:val="1"/>
    <w:autoRedefine/>
    <w:qFormat/>
    <w:uiPriority w:val="0"/>
    <w:pPr>
      <w:adjustRightInd w:val="0"/>
      <w:snapToGrid w:val="0"/>
      <w:jc w:val="center"/>
    </w:pPr>
    <w:rPr>
      <w:rFonts w:ascii="宋体"/>
      <w:snapToGrid w:val="0"/>
      <w:kern w:val="0"/>
      <w:szCs w:val="20"/>
    </w:rPr>
  </w:style>
  <w:style w:type="paragraph" w:customStyle="1" w:styleId="543">
    <w:name w:val="正文1"/>
    <w:basedOn w:val="1"/>
    <w:autoRedefine/>
    <w:qFormat/>
    <w:uiPriority w:val="0"/>
    <w:pPr>
      <w:adjustRightInd w:val="0"/>
      <w:spacing w:line="360" w:lineRule="atLeast"/>
      <w:jc w:val="left"/>
      <w:textAlignment w:val="baseline"/>
    </w:pPr>
    <w:rPr>
      <w:rFonts w:ascii="宋体"/>
      <w:kern w:val="0"/>
      <w:sz w:val="24"/>
      <w:szCs w:val="20"/>
    </w:rPr>
  </w:style>
  <w:style w:type="paragraph" w:customStyle="1" w:styleId="544">
    <w:name w:val="Char Char Char Char1"/>
    <w:basedOn w:val="1"/>
    <w:autoRedefine/>
    <w:qFormat/>
    <w:uiPriority w:val="0"/>
    <w:rPr>
      <w:szCs w:val="20"/>
    </w:rPr>
  </w:style>
  <w:style w:type="paragraph" w:customStyle="1" w:styleId="545">
    <w:name w:val="ÑùÊ½2"/>
    <w:basedOn w:val="1"/>
    <w:autoRedefine/>
    <w:qFormat/>
    <w:uiPriority w:val="0"/>
    <w:pPr>
      <w:overflowPunct w:val="0"/>
      <w:autoSpaceDE w:val="0"/>
      <w:autoSpaceDN w:val="0"/>
      <w:adjustRightInd w:val="0"/>
      <w:spacing w:line="410" w:lineRule="atLeast"/>
      <w:ind w:left="480" w:leftChars="200"/>
    </w:pPr>
    <w:rPr>
      <w:rFonts w:ascii="宋体" w:hAnsi="宋体" w:eastAsia="楷体_GB2312"/>
      <w:kern w:val="0"/>
      <w:sz w:val="24"/>
      <w:szCs w:val="20"/>
    </w:rPr>
  </w:style>
  <w:style w:type="paragraph" w:customStyle="1" w:styleId="546">
    <w:name w:val="表格文字"/>
    <w:basedOn w:val="547"/>
    <w:next w:val="23"/>
    <w:autoRedefine/>
    <w:qFormat/>
    <w:uiPriority w:val="0"/>
    <w:pPr>
      <w:jc w:val="center"/>
    </w:pPr>
    <w:rPr>
      <w:rFonts w:eastAsia="楷体_GB2312"/>
    </w:rPr>
  </w:style>
  <w:style w:type="paragraph" w:customStyle="1" w:styleId="547">
    <w:name w:val="正文 样式"/>
    <w:basedOn w:val="1"/>
    <w:autoRedefine/>
    <w:qFormat/>
    <w:uiPriority w:val="0"/>
    <w:pPr>
      <w:ind w:firstLine="480"/>
    </w:pPr>
    <w:rPr>
      <w:sz w:val="24"/>
    </w:rPr>
  </w:style>
  <w:style w:type="paragraph" w:customStyle="1" w:styleId="548">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olor w:val="800000"/>
      <w:kern w:val="0"/>
      <w:sz w:val="22"/>
      <w:szCs w:val="22"/>
    </w:rPr>
  </w:style>
  <w:style w:type="paragraph" w:customStyle="1" w:styleId="549">
    <w:name w:val="设备规范标题1"/>
    <w:next w:val="402"/>
    <w:autoRedefine/>
    <w:qFormat/>
    <w:uiPriority w:val="0"/>
    <w:pPr>
      <w:keepNext/>
      <w:tabs>
        <w:tab w:val="left" w:pos="425"/>
      </w:tabs>
      <w:spacing w:beforeLines="100" w:afterLines="50"/>
      <w:ind w:left="425" w:hanging="425"/>
    </w:pPr>
    <w:rPr>
      <w:rFonts w:ascii="Calibri" w:hAnsi="Calibri" w:eastAsia="楷体_GB2312" w:cs="Times New Roman"/>
      <w:b/>
      <w:sz w:val="24"/>
      <w:lang w:val="en-US" w:eastAsia="zh-CN" w:bidi="ar-SA"/>
    </w:rPr>
  </w:style>
  <w:style w:type="paragraph" w:customStyle="1" w:styleId="550">
    <w:name w:val="样式  + Times New Roman 小四 红色"/>
    <w:basedOn w:val="1"/>
    <w:autoRedefine/>
    <w:qFormat/>
    <w:uiPriority w:val="0"/>
    <w:pPr>
      <w:ind w:firstLine="200" w:firstLineChars="200"/>
    </w:pPr>
    <w:rPr>
      <w:rFonts w:eastAsia="仿宋_GB2312"/>
      <w:color w:val="FF0000"/>
      <w:sz w:val="24"/>
      <w:szCs w:val="20"/>
    </w:rPr>
  </w:style>
  <w:style w:type="paragraph" w:customStyle="1" w:styleId="551">
    <w:name w:val="xl11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552">
    <w:name w:val="标题11"/>
    <w:basedOn w:val="1"/>
    <w:autoRedefine/>
    <w:qFormat/>
    <w:uiPriority w:val="0"/>
    <w:pPr>
      <w:tabs>
        <w:tab w:val="left" w:pos="0"/>
      </w:tabs>
      <w:spacing w:line="360" w:lineRule="auto"/>
      <w:ind w:left="722" w:firstLine="116" w:firstLineChars="48"/>
      <w:textAlignment w:val="bottom"/>
    </w:pPr>
    <w:rPr>
      <w:rFonts w:ascii="宋体" w:hAnsi="宋体"/>
      <w:b/>
      <w:kern w:val="0"/>
      <w:sz w:val="24"/>
    </w:rPr>
  </w:style>
  <w:style w:type="paragraph" w:customStyle="1" w:styleId="553">
    <w:name w:val="xl94"/>
    <w:basedOn w:val="1"/>
    <w:autoRedefine/>
    <w:qFormat/>
    <w:uiPriority w:val="0"/>
    <w:pPr>
      <w:widowControl/>
      <w:pBdr>
        <w:bottom w:val="single" w:color="auto" w:sz="8" w:space="0"/>
      </w:pBdr>
      <w:spacing w:before="100" w:beforeAutospacing="1" w:after="100" w:afterAutospacing="1"/>
      <w:jc w:val="left"/>
    </w:pPr>
    <w:rPr>
      <w:rFonts w:ascii="宋体" w:hAnsi="宋体"/>
      <w:kern w:val="0"/>
      <w:sz w:val="18"/>
      <w:szCs w:val="18"/>
    </w:rPr>
  </w:style>
  <w:style w:type="paragraph" w:customStyle="1" w:styleId="554">
    <w:name w:val="Char Char Char Char Char Char Char Char Char Char"/>
    <w:autoRedefine/>
    <w:qFormat/>
    <w:uiPriority w:val="0"/>
    <w:pPr>
      <w:spacing w:before="240" w:after="240" w:line="360" w:lineRule="auto"/>
    </w:pPr>
    <w:rPr>
      <w:rFonts w:ascii="Calibri" w:hAnsi="Calibri" w:eastAsia="仿宋_GB2312" w:cs="宋体"/>
      <w:kern w:val="2"/>
      <w:sz w:val="24"/>
      <w:szCs w:val="24"/>
      <w:lang w:val="en-US" w:eastAsia="zh-CN" w:bidi="ar-SA"/>
    </w:rPr>
  </w:style>
  <w:style w:type="paragraph" w:customStyle="1" w:styleId="555">
    <w:name w:val="xl98"/>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kern w:val="0"/>
      <w:sz w:val="22"/>
      <w:szCs w:val="22"/>
    </w:rPr>
  </w:style>
  <w:style w:type="paragraph" w:customStyle="1" w:styleId="556">
    <w:name w:val="xl26"/>
    <w:basedOn w:val="1"/>
    <w:autoRedefine/>
    <w:qFormat/>
    <w:uiPriority w:val="0"/>
    <w:pPr>
      <w:widowControl/>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557">
    <w:name w:val="副标题4"/>
    <w:basedOn w:val="406"/>
    <w:autoRedefine/>
    <w:qFormat/>
    <w:uiPriority w:val="0"/>
    <w:pPr>
      <w:tabs>
        <w:tab w:val="left" w:pos="840"/>
        <w:tab w:val="left" w:pos="1275"/>
      </w:tabs>
      <w:ind w:left="1275" w:hanging="705"/>
      <w:outlineLvl w:val="4"/>
    </w:pPr>
  </w:style>
  <w:style w:type="paragraph" w:customStyle="1" w:styleId="558">
    <w:name w:val="CM4"/>
    <w:basedOn w:val="241"/>
    <w:next w:val="241"/>
    <w:autoRedefine/>
    <w:qFormat/>
    <w:uiPriority w:val="0"/>
    <w:pPr>
      <w:spacing w:after="210"/>
    </w:pPr>
    <w:rPr>
      <w:color w:val="auto"/>
    </w:rPr>
  </w:style>
  <w:style w:type="paragraph" w:customStyle="1" w:styleId="559">
    <w:name w:val="xl42"/>
    <w:basedOn w:val="1"/>
    <w:autoRedefine/>
    <w:qFormat/>
    <w:uiPriority w:val="0"/>
    <w:pPr>
      <w:widowControl/>
      <w:pBdr>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2"/>
      <w:szCs w:val="22"/>
    </w:rPr>
  </w:style>
  <w:style w:type="paragraph" w:customStyle="1" w:styleId="560">
    <w:name w:val="xl12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561">
    <w:name w:val="宋体 初号"/>
    <w:basedOn w:val="1"/>
    <w:autoRedefine/>
    <w:qFormat/>
    <w:uiPriority w:val="0"/>
    <w:rPr>
      <w:sz w:val="84"/>
    </w:rPr>
  </w:style>
  <w:style w:type="paragraph" w:customStyle="1" w:styleId="562">
    <w:name w:val="xl40"/>
    <w:basedOn w:val="1"/>
    <w:autoRedefine/>
    <w:qFormat/>
    <w:uiPriority w:val="0"/>
    <w:pPr>
      <w:widowControl/>
      <w:pBdr>
        <w:left w:val="single" w:color="auto" w:sz="8" w:space="0"/>
        <w:right w:val="single" w:color="auto" w:sz="4" w:space="0"/>
      </w:pBdr>
      <w:shd w:val="clear" w:color="auto" w:fill="FFFFFF"/>
      <w:spacing w:before="100" w:beforeAutospacing="1" w:after="100" w:afterAutospacing="1"/>
      <w:jc w:val="center"/>
    </w:pPr>
    <w:rPr>
      <w:rFonts w:ascii="宋体" w:hAnsi="宋体"/>
      <w:kern w:val="0"/>
      <w:sz w:val="22"/>
      <w:szCs w:val="22"/>
    </w:rPr>
  </w:style>
  <w:style w:type="paragraph" w:customStyle="1" w:styleId="563">
    <w:name w:val="不缩进"/>
    <w:basedOn w:val="1"/>
    <w:autoRedefine/>
    <w:qFormat/>
    <w:uiPriority w:val="0"/>
    <w:pPr>
      <w:jc w:val="center"/>
    </w:pPr>
    <w:rPr>
      <w:rFonts w:ascii="楷体_GB2312" w:eastAsia="楷体_GB2312"/>
      <w:spacing w:val="-8"/>
      <w:sz w:val="24"/>
      <w:szCs w:val="20"/>
    </w:rPr>
  </w:style>
  <w:style w:type="paragraph" w:customStyle="1" w:styleId="564">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2"/>
      <w:szCs w:val="22"/>
    </w:rPr>
  </w:style>
  <w:style w:type="paragraph" w:customStyle="1" w:styleId="565">
    <w:name w:val="xl13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color w:val="FF0000"/>
      <w:kern w:val="0"/>
      <w:sz w:val="24"/>
    </w:rPr>
  </w:style>
  <w:style w:type="paragraph" w:customStyle="1" w:styleId="566">
    <w:name w:val="xl9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kern w:val="0"/>
      <w:sz w:val="22"/>
      <w:szCs w:val="22"/>
    </w:rPr>
  </w:style>
  <w:style w:type="paragraph" w:customStyle="1" w:styleId="567">
    <w:name w:val="xl10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568">
    <w:name w:val="Char Char Char Char Char Char 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69">
    <w:name w:val="xl12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570">
    <w:name w:val="设备规范样式2"/>
    <w:basedOn w:val="1"/>
    <w:autoRedefine/>
    <w:qFormat/>
    <w:uiPriority w:val="0"/>
    <w:pPr>
      <w:tabs>
        <w:tab w:val="left" w:pos="0"/>
      </w:tabs>
      <w:spacing w:line="360" w:lineRule="auto"/>
      <w:ind w:left="510" w:hanging="510"/>
      <w:textAlignment w:val="bottom"/>
    </w:pPr>
    <w:rPr>
      <w:rFonts w:eastAsia="楷体_GB2312"/>
      <w:kern w:val="0"/>
      <w:sz w:val="24"/>
    </w:rPr>
  </w:style>
  <w:style w:type="paragraph" w:customStyle="1" w:styleId="571">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2"/>
      <w:szCs w:val="22"/>
    </w:rPr>
  </w:style>
  <w:style w:type="paragraph" w:customStyle="1" w:styleId="572">
    <w:name w:val="xl4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hAnsi="宋体"/>
      <w:kern w:val="0"/>
      <w:sz w:val="22"/>
      <w:szCs w:val="22"/>
    </w:rPr>
  </w:style>
  <w:style w:type="paragraph" w:customStyle="1" w:styleId="573">
    <w:name w:val="样式 标题 2 + Times New Roman 小二 两端对齐"/>
    <w:basedOn w:val="5"/>
    <w:autoRedefine/>
    <w:qFormat/>
    <w:uiPriority w:val="0"/>
    <w:pPr>
      <w:widowControl w:val="0"/>
      <w:tabs>
        <w:tab w:val="left" w:pos="618"/>
        <w:tab w:val="left" w:pos="927"/>
      </w:tabs>
      <w:spacing w:before="340" w:after="330" w:line="578" w:lineRule="auto"/>
      <w:ind w:right="210" w:rightChars="100"/>
      <w:jc w:val="both"/>
    </w:pPr>
    <w:rPr>
      <w:rFonts w:ascii="仿宋_GB2312" w:hAnsi="Times New Roman" w:eastAsia="仿宋_GB2312"/>
      <w:kern w:val="2"/>
      <w:sz w:val="30"/>
      <w:szCs w:val="30"/>
    </w:rPr>
  </w:style>
  <w:style w:type="paragraph" w:customStyle="1" w:styleId="574">
    <w:name w:val="样式  + Times New Roman 小四"/>
    <w:basedOn w:val="1"/>
    <w:autoRedefine/>
    <w:qFormat/>
    <w:uiPriority w:val="0"/>
    <w:pPr>
      <w:spacing w:line="360" w:lineRule="auto"/>
      <w:ind w:firstLine="200" w:firstLineChars="200"/>
    </w:pPr>
    <w:rPr>
      <w:rFonts w:eastAsia="仿宋_GB2312"/>
      <w:color w:val="000000"/>
      <w:sz w:val="24"/>
    </w:rPr>
  </w:style>
  <w:style w:type="paragraph" w:customStyle="1" w:styleId="575">
    <w:name w:val="tang2"/>
    <w:basedOn w:val="1"/>
    <w:autoRedefine/>
    <w:qFormat/>
    <w:uiPriority w:val="0"/>
    <w:pPr>
      <w:adjustRightInd w:val="0"/>
      <w:jc w:val="center"/>
    </w:pPr>
    <w:rPr>
      <w:rFonts w:ascii="宋体"/>
      <w:szCs w:val="20"/>
    </w:rPr>
  </w:style>
  <w:style w:type="paragraph" w:customStyle="1" w:styleId="576">
    <w:name w:val="xl13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8"/>
      <w:szCs w:val="28"/>
    </w:rPr>
  </w:style>
  <w:style w:type="paragraph" w:customStyle="1" w:styleId="577">
    <w:name w:val="Char Char Char Char1 Char Char Char"/>
    <w:basedOn w:val="1"/>
    <w:autoRedefine/>
    <w:qFormat/>
    <w:uiPriority w:val="0"/>
    <w:pPr>
      <w:spacing w:line="240" w:lineRule="atLeast"/>
      <w:ind w:left="420" w:firstLine="420"/>
    </w:pPr>
    <w:rPr>
      <w:kern w:val="0"/>
      <w:szCs w:val="21"/>
    </w:rPr>
  </w:style>
  <w:style w:type="paragraph" w:customStyle="1" w:styleId="578">
    <w:name w:val="xl32"/>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579">
    <w:name w:val="font0"/>
    <w:basedOn w:val="1"/>
    <w:autoRedefine/>
    <w:qFormat/>
    <w:uiPriority w:val="99"/>
    <w:pPr>
      <w:widowControl/>
      <w:spacing w:before="100" w:beforeAutospacing="1" w:after="100" w:afterAutospacing="1"/>
      <w:jc w:val="left"/>
    </w:pPr>
    <w:rPr>
      <w:rFonts w:hint="eastAsia" w:ascii="宋体" w:hAnsi="宋体" w:cs="Arial Unicode MS"/>
      <w:kern w:val="0"/>
      <w:sz w:val="24"/>
    </w:rPr>
  </w:style>
  <w:style w:type="paragraph" w:customStyle="1" w:styleId="580">
    <w:name w:val="项目符号1"/>
    <w:basedOn w:val="1"/>
    <w:autoRedefine/>
    <w:qFormat/>
    <w:uiPriority w:val="0"/>
    <w:pPr>
      <w:tabs>
        <w:tab w:val="left" w:pos="900"/>
        <w:tab w:val="left" w:pos="935"/>
      </w:tabs>
      <w:snapToGrid w:val="0"/>
      <w:spacing w:before="120" w:after="120" w:line="312" w:lineRule="auto"/>
      <w:ind w:left="935" w:hanging="420" w:firstLineChars="200"/>
    </w:pPr>
    <w:rPr>
      <w:rFonts w:ascii="Arial" w:hAnsi="Arial" w:eastAsia="楷体_GB2312"/>
      <w:b/>
      <w:sz w:val="28"/>
      <w:szCs w:val="20"/>
    </w:rPr>
  </w:style>
  <w:style w:type="paragraph" w:customStyle="1" w:styleId="581">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b/>
      <w:bCs/>
      <w:kern w:val="0"/>
      <w:sz w:val="22"/>
      <w:szCs w:val="22"/>
    </w:rPr>
  </w:style>
  <w:style w:type="paragraph" w:customStyle="1" w:styleId="582">
    <w:name w:val="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83">
    <w:name w:val="xl62"/>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宋体" w:hAnsi="宋体"/>
      <w:color w:val="FF0000"/>
      <w:kern w:val="0"/>
      <w:sz w:val="22"/>
      <w:szCs w:val="22"/>
    </w:rPr>
  </w:style>
  <w:style w:type="paragraph" w:customStyle="1" w:styleId="584">
    <w:name w:val="xl14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585">
    <w:name w:val="CM5"/>
    <w:basedOn w:val="241"/>
    <w:next w:val="241"/>
    <w:autoRedefine/>
    <w:qFormat/>
    <w:uiPriority w:val="0"/>
    <w:pPr>
      <w:spacing w:after="78"/>
    </w:pPr>
    <w:rPr>
      <w:color w:val="auto"/>
    </w:rPr>
  </w:style>
  <w:style w:type="paragraph" w:customStyle="1" w:styleId="586">
    <w:name w:val="Revision1"/>
    <w:autoRedefine/>
    <w:qFormat/>
    <w:uiPriority w:val="0"/>
    <w:rPr>
      <w:rFonts w:ascii="Calibri" w:hAnsi="Calibri" w:eastAsia="宋体" w:cs="Times New Roman"/>
      <w:kern w:val="2"/>
      <w:sz w:val="21"/>
      <w:szCs w:val="24"/>
      <w:lang w:val="en-US" w:eastAsia="zh-CN" w:bidi="ar-SA"/>
    </w:rPr>
  </w:style>
  <w:style w:type="paragraph" w:customStyle="1" w:styleId="587">
    <w:name w:val="xl4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2"/>
      <w:szCs w:val="22"/>
    </w:rPr>
  </w:style>
  <w:style w:type="paragraph" w:customStyle="1" w:styleId="588">
    <w:name w:val="中文正文"/>
    <w:basedOn w:val="1"/>
    <w:autoRedefine/>
    <w:qFormat/>
    <w:uiPriority w:val="0"/>
    <w:pPr>
      <w:adjustRightInd w:val="0"/>
      <w:snapToGrid w:val="0"/>
      <w:spacing w:before="120" w:after="120" w:line="300" w:lineRule="auto"/>
      <w:ind w:firstLine="200" w:firstLineChars="200"/>
      <w:jc w:val="left"/>
      <w:textAlignment w:val="baseline"/>
    </w:pPr>
    <w:rPr>
      <w:rFonts w:eastAsia="楷体_GB2312"/>
      <w:kern w:val="0"/>
      <w:sz w:val="28"/>
      <w:szCs w:val="20"/>
    </w:rPr>
  </w:style>
  <w:style w:type="paragraph" w:customStyle="1" w:styleId="589">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16"/>
      <w:szCs w:val="16"/>
    </w:rPr>
  </w:style>
  <w:style w:type="paragraph" w:customStyle="1" w:styleId="590">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591">
    <w:name w:val="Char Char Char Char Char Char Char Char Char Char Char Char Char Char Char Char Char Char Char Char Char Char"/>
    <w:basedOn w:val="1"/>
    <w:autoRedefine/>
    <w:qFormat/>
    <w:uiPriority w:val="0"/>
    <w:pPr>
      <w:widowControl/>
      <w:spacing w:line="240" w:lineRule="exact"/>
      <w:jc w:val="left"/>
    </w:pPr>
    <w:rPr>
      <w:rFonts w:ascii="Verdana" w:hAnsi="Verdana" w:eastAsia="仿宋_GB2312"/>
      <w:kern w:val="0"/>
      <w:sz w:val="24"/>
      <w:szCs w:val="20"/>
      <w:lang w:eastAsia="en-US"/>
    </w:rPr>
  </w:style>
  <w:style w:type="paragraph" w:customStyle="1" w:styleId="592">
    <w:name w:val="表头"/>
    <w:basedOn w:val="6"/>
    <w:autoRedefine/>
    <w:qFormat/>
    <w:uiPriority w:val="0"/>
    <w:pPr>
      <w:keepNext w:val="0"/>
      <w:keepLines w:val="0"/>
      <w:widowControl w:val="0"/>
      <w:numPr>
        <w:ilvl w:val="0"/>
        <w:numId w:val="0"/>
      </w:numPr>
      <w:tabs>
        <w:tab w:val="clear" w:pos="432"/>
        <w:tab w:val="clear" w:pos="720"/>
      </w:tabs>
      <w:adjustRightInd w:val="0"/>
      <w:snapToGrid w:val="0"/>
      <w:spacing w:before="0" w:after="0" w:line="500" w:lineRule="exact"/>
      <w:outlineLvl w:val="9"/>
    </w:pPr>
    <w:rPr>
      <w:rFonts w:ascii="宋体"/>
      <w:snapToGrid w:val="0"/>
      <w:spacing w:val="30"/>
      <w:sz w:val="28"/>
    </w:rPr>
  </w:style>
  <w:style w:type="paragraph" w:customStyle="1" w:styleId="59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594">
    <w:name w:val="xl96"/>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kern w:val="0"/>
      <w:sz w:val="24"/>
    </w:rPr>
  </w:style>
  <w:style w:type="paragraph" w:customStyle="1" w:styleId="595">
    <w:name w:val="font13"/>
    <w:basedOn w:val="1"/>
    <w:autoRedefine/>
    <w:qFormat/>
    <w:uiPriority w:val="0"/>
    <w:pPr>
      <w:widowControl/>
      <w:spacing w:before="100" w:beforeAutospacing="1" w:after="100" w:afterAutospacing="1"/>
      <w:jc w:val="left"/>
    </w:pPr>
    <w:rPr>
      <w:rFonts w:eastAsia="Arial Unicode MS"/>
      <w:b/>
      <w:bCs/>
      <w:kern w:val="0"/>
      <w:sz w:val="20"/>
      <w:szCs w:val="20"/>
    </w:rPr>
  </w:style>
  <w:style w:type="paragraph" w:customStyle="1" w:styleId="596">
    <w:name w:val="1章"/>
    <w:basedOn w:val="53"/>
    <w:next w:val="1"/>
    <w:autoRedefine/>
    <w:qFormat/>
    <w:uiPriority w:val="0"/>
    <w:pPr>
      <w:adjustRightInd w:val="0"/>
      <w:spacing w:beforeLines="200" w:afterLines="100" w:line="360" w:lineRule="auto"/>
    </w:pPr>
    <w:rPr>
      <w:rFonts w:ascii="宋体" w:hAnsi="宋体" w:eastAsia="黑体"/>
      <w:kern w:val="2"/>
    </w:rPr>
  </w:style>
  <w:style w:type="paragraph" w:customStyle="1" w:styleId="597">
    <w:name w:val="xl5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olor w:val="FF0000"/>
      <w:kern w:val="0"/>
      <w:sz w:val="22"/>
      <w:szCs w:val="22"/>
    </w:rPr>
  </w:style>
  <w:style w:type="paragraph" w:customStyle="1" w:styleId="598">
    <w:name w:val="Char Char Char Char Char Char Char Char Char Char Char Char Char Char Char Char Char Char Char Char Char Char2"/>
    <w:basedOn w:val="1"/>
    <w:autoRedefine/>
    <w:qFormat/>
    <w:uiPriority w:val="0"/>
    <w:pPr>
      <w:widowControl/>
      <w:spacing w:line="240" w:lineRule="exact"/>
      <w:jc w:val="left"/>
    </w:pPr>
    <w:rPr>
      <w:rFonts w:ascii="Verdana" w:hAnsi="Verdana" w:eastAsia="仿宋_GB2312"/>
      <w:kern w:val="0"/>
      <w:sz w:val="24"/>
      <w:szCs w:val="20"/>
      <w:lang w:eastAsia="en-US"/>
    </w:rPr>
  </w:style>
  <w:style w:type="paragraph" w:customStyle="1" w:styleId="599">
    <w:name w:val="Char Char Char Char Char Char Char Char Char Char1"/>
    <w:basedOn w:val="1"/>
    <w:autoRedefine/>
    <w:qFormat/>
    <w:uiPriority w:val="0"/>
    <w:pPr>
      <w:tabs>
        <w:tab w:val="left" w:pos="425"/>
      </w:tabs>
      <w:ind w:left="425" w:hanging="425"/>
    </w:pPr>
    <w:rPr>
      <w:rFonts w:ascii="Arial" w:hAnsi="Arial" w:eastAsia="黑体" w:cs="宋体"/>
      <w:b/>
      <w:bCs/>
      <w:sz w:val="32"/>
      <w:szCs w:val="32"/>
    </w:rPr>
  </w:style>
  <w:style w:type="paragraph" w:customStyle="1" w:styleId="600">
    <w:name w:val="xl13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601">
    <w:name w:val="xl12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602">
    <w:name w:val="CM91"/>
    <w:basedOn w:val="241"/>
    <w:next w:val="241"/>
    <w:autoRedefine/>
    <w:qFormat/>
    <w:uiPriority w:val="0"/>
    <w:pPr>
      <w:spacing w:after="160"/>
    </w:pPr>
    <w:rPr>
      <w:rFonts w:cs="Times New Roman"/>
      <w:color w:val="auto"/>
    </w:rPr>
  </w:style>
  <w:style w:type="paragraph" w:customStyle="1" w:styleId="603">
    <w:name w:val="font9"/>
    <w:basedOn w:val="1"/>
    <w:autoRedefine/>
    <w:qFormat/>
    <w:uiPriority w:val="99"/>
    <w:pPr>
      <w:widowControl/>
      <w:spacing w:before="100" w:beforeAutospacing="1" w:after="100" w:afterAutospacing="1"/>
      <w:jc w:val="left"/>
    </w:pPr>
    <w:rPr>
      <w:kern w:val="0"/>
      <w:sz w:val="22"/>
      <w:szCs w:val="22"/>
    </w:rPr>
  </w:style>
  <w:style w:type="paragraph" w:customStyle="1" w:styleId="604">
    <w:name w:val="Char3"/>
    <w:basedOn w:val="1"/>
    <w:autoRedefine/>
    <w:qFormat/>
    <w:uiPriority w:val="99"/>
    <w:rPr>
      <w:rFonts w:ascii="Tahoma" w:hAnsi="Tahoma"/>
      <w:sz w:val="24"/>
      <w:szCs w:val="20"/>
    </w:rPr>
  </w:style>
  <w:style w:type="paragraph" w:customStyle="1" w:styleId="605">
    <w:name w:val="正文首行缩进3"/>
    <w:basedOn w:val="1"/>
    <w:autoRedefine/>
    <w:qFormat/>
    <w:uiPriority w:val="0"/>
    <w:pPr>
      <w:tabs>
        <w:tab w:val="left" w:pos="425"/>
      </w:tabs>
      <w:spacing w:line="360" w:lineRule="auto"/>
      <w:ind w:left="425" w:hanging="425"/>
      <w:textAlignment w:val="bottom"/>
    </w:pPr>
    <w:rPr>
      <w:rFonts w:ascii="宋体" w:hAnsi="宋体"/>
      <w:color w:val="000000"/>
      <w:kern w:val="0"/>
      <w:sz w:val="24"/>
    </w:rPr>
  </w:style>
  <w:style w:type="paragraph" w:customStyle="1" w:styleId="606">
    <w:name w:val="p2"/>
    <w:basedOn w:val="1"/>
    <w:autoRedefine/>
    <w:qFormat/>
    <w:uiPriority w:val="0"/>
    <w:pPr>
      <w:widowControl/>
      <w:spacing w:line="480" w:lineRule="auto"/>
      <w:ind w:firstLine="420"/>
      <w:jc w:val="left"/>
    </w:pPr>
    <w:rPr>
      <w:rFonts w:ascii="宋体" w:hAnsi="宋体" w:cs="宋体"/>
      <w:kern w:val="0"/>
      <w:szCs w:val="21"/>
    </w:rPr>
  </w:style>
  <w:style w:type="paragraph" w:customStyle="1" w:styleId="607">
    <w:name w:val="默认段落字体 Para"/>
    <w:basedOn w:val="1"/>
    <w:autoRedefine/>
    <w:qFormat/>
    <w:uiPriority w:val="0"/>
    <w:pPr>
      <w:snapToGrid w:val="0"/>
      <w:spacing w:line="360" w:lineRule="auto"/>
      <w:ind w:firstLine="200" w:firstLineChars="200"/>
    </w:pPr>
    <w:rPr>
      <w:rFonts w:eastAsia="仿宋_GB2312"/>
      <w:sz w:val="24"/>
    </w:rPr>
  </w:style>
  <w:style w:type="paragraph" w:customStyle="1" w:styleId="608">
    <w:name w:val="Char Char Char Char Char Char Char Char Char Char Char Char Char Char Char 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09">
    <w:name w:val="xl39"/>
    <w:basedOn w:val="1"/>
    <w:autoRedefine/>
    <w:qFormat/>
    <w:uiPriority w:val="0"/>
    <w:pPr>
      <w:widowControl/>
      <w:pBdr>
        <w:top w:val="single" w:color="auto" w:sz="4" w:space="0"/>
        <w:left w:val="single" w:color="auto" w:sz="8" w:space="0"/>
        <w:right w:val="single" w:color="auto" w:sz="4" w:space="0"/>
      </w:pBdr>
      <w:shd w:val="clear" w:color="auto" w:fill="FFFFFF"/>
      <w:spacing w:before="100" w:beforeAutospacing="1" w:after="100" w:afterAutospacing="1"/>
      <w:jc w:val="center"/>
    </w:pPr>
    <w:rPr>
      <w:rFonts w:ascii="宋体" w:hAnsi="宋体"/>
      <w:kern w:val="0"/>
      <w:sz w:val="22"/>
      <w:szCs w:val="22"/>
    </w:rPr>
  </w:style>
  <w:style w:type="paragraph" w:customStyle="1" w:styleId="610">
    <w:name w:val="Char Char Char Char Char Char Char Char Char Char Char Char Char Char Char Char Char Char Char 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11">
    <w:name w:val="表格内文字"/>
    <w:basedOn w:val="1"/>
    <w:autoRedefine/>
    <w:qFormat/>
    <w:uiPriority w:val="0"/>
    <w:pPr>
      <w:adjustRightInd w:val="0"/>
      <w:snapToGrid w:val="0"/>
      <w:spacing w:line="240" w:lineRule="atLeast"/>
      <w:jc w:val="center"/>
    </w:pPr>
    <w:rPr>
      <w:kern w:val="28"/>
      <w:szCs w:val="20"/>
    </w:rPr>
  </w:style>
  <w:style w:type="paragraph" w:customStyle="1" w:styleId="612">
    <w:name w:val="正文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13">
    <w:name w:val="正文_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14">
    <w:name w:val="List Paragraph1"/>
    <w:basedOn w:val="1"/>
    <w:autoRedefine/>
    <w:qFormat/>
    <w:uiPriority w:val="0"/>
    <w:pPr>
      <w:ind w:firstLine="420" w:firstLineChars="200"/>
    </w:pPr>
    <w:rPr>
      <w:szCs w:val="22"/>
    </w:rPr>
  </w:style>
  <w:style w:type="paragraph" w:customStyle="1" w:styleId="615">
    <w:name w:val="正文_4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16">
    <w:name w:val="UserStyle_409"/>
    <w:basedOn w:val="1"/>
    <w:autoRedefine/>
    <w:qFormat/>
    <w:uiPriority w:val="0"/>
    <w:pPr>
      <w:ind w:hanging="860"/>
    </w:pPr>
    <w:rPr>
      <w:rFonts w:ascii="宋体" w:hAnsi="宋体" w:cs="宋体"/>
      <w:b/>
      <w:bCs/>
      <w:sz w:val="8"/>
      <w:szCs w:val="8"/>
    </w:rPr>
  </w:style>
  <w:style w:type="character" w:customStyle="1" w:styleId="617">
    <w:name w:val="NormalCharacter"/>
    <w:autoRedefine/>
    <w:qFormat/>
    <w:uiPriority w:val="0"/>
  </w:style>
  <w:style w:type="paragraph" w:customStyle="1" w:styleId="618">
    <w:name w:val="正文1_0"/>
    <w:next w:val="28"/>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619">
    <w:name w:val="Normal_0_0"/>
    <w:next w:val="39"/>
    <w:autoRedefine/>
    <w:qFormat/>
    <w:uiPriority w:val="0"/>
    <w:pPr>
      <w:widowControl w:val="0"/>
      <w:jc w:val="both"/>
    </w:pPr>
    <w:rPr>
      <w:rFonts w:ascii="Calibri" w:hAnsi="Calibri" w:eastAsia="宋体" w:cs="Times New Roman"/>
      <w:kern w:val="2"/>
      <w:sz w:val="21"/>
      <w:szCs w:val="24"/>
      <w:lang w:val="en-US" w:eastAsia="zh-CN" w:bidi="ar-SA"/>
    </w:rPr>
  </w:style>
  <w:style w:type="character" w:customStyle="1" w:styleId="620">
    <w:name w:val="refer-count"/>
    <w:basedOn w:val="58"/>
    <w:autoRedefine/>
    <w:qFormat/>
    <w:uiPriority w:val="0"/>
  </w:style>
  <w:style w:type="character" w:customStyle="1" w:styleId="621">
    <w:name w:val="样式1 字符"/>
    <w:link w:val="171"/>
    <w:autoRedefine/>
    <w:qFormat/>
    <w:uiPriority w:val="0"/>
    <w:rPr>
      <w:rFonts w:ascii="宋体" w:hAnsi="宋体"/>
      <w:sz w:val="21"/>
      <w:szCs w:val="21"/>
    </w:rPr>
  </w:style>
  <w:style w:type="character" w:customStyle="1" w:styleId="622">
    <w:name w:val="未处理的提及3"/>
    <w:autoRedefine/>
    <w:unhideWhenUsed/>
    <w:qFormat/>
    <w:uiPriority w:val="99"/>
    <w:rPr>
      <w:color w:val="605E5C"/>
      <w:shd w:val="clear" w:color="auto" w:fill="E1DFDD"/>
    </w:rPr>
  </w:style>
  <w:style w:type="character" w:styleId="623">
    <w:name w:val="Placeholder Text"/>
    <w:autoRedefine/>
    <w:unhideWhenUsed/>
    <w:qFormat/>
    <w:uiPriority w:val="99"/>
    <w:rPr>
      <w:color w:val="808080"/>
    </w:rPr>
  </w:style>
  <w:style w:type="character" w:customStyle="1" w:styleId="624">
    <w:name w:val="content"/>
    <w:basedOn w:val="58"/>
    <w:autoRedefine/>
    <w:qFormat/>
    <w:uiPriority w:val="0"/>
  </w:style>
  <w:style w:type="character" w:customStyle="1" w:styleId="625">
    <w:name w:val="search-in-page-highlight-item"/>
    <w:basedOn w:val="58"/>
    <w:autoRedefine/>
    <w:qFormat/>
    <w:uiPriority w:val="0"/>
  </w:style>
  <w:style w:type="character" w:customStyle="1" w:styleId="626">
    <w:name w:val="law-parenthese"/>
    <w:basedOn w:val="58"/>
    <w:autoRedefine/>
    <w:qFormat/>
    <w:uiPriority w:val="0"/>
  </w:style>
  <w:style w:type="character" w:customStyle="1" w:styleId="627">
    <w:name w:val="search-in-page-highlight-wrapper"/>
    <w:basedOn w:val="58"/>
    <w:autoRedefine/>
    <w:qFormat/>
    <w:uiPriority w:val="0"/>
  </w:style>
  <w:style w:type="paragraph" w:customStyle="1" w:styleId="628">
    <w:name w:val="_Style 513"/>
    <w:basedOn w:val="1"/>
    <w:next w:val="1"/>
    <w:autoRedefine/>
    <w:unhideWhenUsed/>
    <w:qFormat/>
    <w:uiPriority w:val="39"/>
    <w:pPr>
      <w:widowControl/>
      <w:wordWrap w:val="0"/>
      <w:topLinePunct/>
      <w:adjustRightInd w:val="0"/>
      <w:snapToGrid w:val="0"/>
      <w:spacing w:afterLines="50" w:line="360" w:lineRule="auto"/>
      <w:ind w:left="2520" w:leftChars="1200" w:firstLine="480" w:firstLineChars="200"/>
    </w:pPr>
    <w:rPr>
      <w:rFonts w:ascii="宋体" w:hAnsi="宋体"/>
      <w:kern w:val="0"/>
      <w:szCs w:val="20"/>
    </w:rPr>
  </w:style>
  <w:style w:type="paragraph" w:customStyle="1" w:styleId="629">
    <w:name w:val="专用标题2"/>
    <w:basedOn w:val="5"/>
    <w:next w:val="1"/>
    <w:autoRedefine/>
    <w:qFormat/>
    <w:uiPriority w:val="0"/>
    <w:pPr>
      <w:keepNext w:val="0"/>
      <w:keepLines w:val="0"/>
      <w:tabs>
        <w:tab w:val="left" w:pos="993"/>
      </w:tabs>
      <w:adjustRightInd w:val="0"/>
      <w:snapToGrid w:val="0"/>
      <w:spacing w:before="0" w:afterLines="50" w:line="360" w:lineRule="auto"/>
      <w:jc w:val="both"/>
    </w:pPr>
    <w:rPr>
      <w:rFonts w:ascii="宋体" w:hAnsi="宋体" w:eastAsia="宋体" w:cs="Times"/>
      <w:bCs w:val="0"/>
      <w:sz w:val="28"/>
      <w:szCs w:val="20"/>
    </w:rPr>
  </w:style>
  <w:style w:type="paragraph" w:customStyle="1" w:styleId="630">
    <w:name w:val="通用标题4"/>
    <w:next w:val="1"/>
    <w:autoRedefine/>
    <w:qFormat/>
    <w:uiPriority w:val="0"/>
    <w:pPr>
      <w:tabs>
        <w:tab w:val="left" w:pos="851"/>
      </w:tabs>
      <w:adjustRightInd w:val="0"/>
      <w:snapToGrid w:val="0"/>
      <w:spacing w:afterLines="50" w:line="360" w:lineRule="auto"/>
      <w:ind w:left="2126"/>
      <w:jc w:val="both"/>
      <w:outlineLvl w:val="3"/>
    </w:pPr>
    <w:rPr>
      <w:rFonts w:ascii="宋体" w:hAnsi="宋体" w:eastAsia="宋体" w:cs="Times New Roman"/>
      <w:kern w:val="2"/>
      <w:sz w:val="24"/>
      <w:szCs w:val="21"/>
      <w:lang w:val="en-US" w:eastAsia="zh-CN" w:bidi="ar-SA"/>
    </w:rPr>
  </w:style>
  <w:style w:type="paragraph" w:customStyle="1" w:styleId="631">
    <w:name w:val="缩进2中"/>
    <w:autoRedefine/>
    <w:qFormat/>
    <w:uiPriority w:val="0"/>
    <w:pPr>
      <w:ind w:left="708" w:leftChars="295"/>
      <w:jc w:val="both"/>
    </w:pPr>
    <w:rPr>
      <w:rFonts w:ascii="Times" w:hAnsi="Times" w:eastAsia="宋体" w:cs="Times New Roman"/>
      <w:kern w:val="2"/>
      <w:sz w:val="24"/>
      <w:szCs w:val="22"/>
      <w:lang w:val="en-US" w:eastAsia="zh-CN" w:bidi="ar-SA"/>
    </w:rPr>
  </w:style>
  <w:style w:type="paragraph" w:customStyle="1" w:styleId="632">
    <w:name w:val="Char Char Char Char Char Char Char Char Char Char Char Char Char"/>
    <w:basedOn w:val="1"/>
    <w:autoRedefine/>
    <w:qFormat/>
    <w:uiPriority w:val="0"/>
    <w:rPr>
      <w:rFonts w:ascii="宋体" w:hAnsi="宋体"/>
      <w:sz w:val="24"/>
    </w:rPr>
  </w:style>
  <w:style w:type="paragraph" w:customStyle="1" w:styleId="633">
    <w:name w:val="Title 5"/>
    <w:next w:val="634"/>
    <w:autoRedefine/>
    <w:qFormat/>
    <w:uiPriority w:val="0"/>
    <w:pPr>
      <w:ind w:left="1701" w:hanging="426"/>
      <w:jc w:val="both"/>
    </w:pPr>
    <w:rPr>
      <w:rFonts w:ascii="Times New Roman" w:hAnsi="Times New Roman" w:eastAsia="宋体" w:cs="Times New Roman"/>
      <w:kern w:val="2"/>
      <w:sz w:val="24"/>
      <w:szCs w:val="24"/>
      <w:lang w:val="en-US" w:eastAsia="zh-CN" w:bidi="ar-SA"/>
    </w:rPr>
  </w:style>
  <w:style w:type="paragraph" w:customStyle="1" w:styleId="634">
    <w:name w:val="Title 5 Chinese"/>
    <w:autoRedefine/>
    <w:qFormat/>
    <w:uiPriority w:val="0"/>
    <w:pPr>
      <w:ind w:left="1701"/>
    </w:pPr>
    <w:rPr>
      <w:rFonts w:ascii="Times New Roman" w:hAnsi="Times New Roman" w:eastAsia="宋体" w:cs="Times New Roman"/>
      <w:kern w:val="2"/>
      <w:sz w:val="24"/>
      <w:szCs w:val="24"/>
      <w:lang w:val="en-US" w:eastAsia="zh-CN" w:bidi="ar-SA"/>
    </w:rPr>
  </w:style>
  <w:style w:type="paragraph" w:customStyle="1" w:styleId="635">
    <w:name w:val="通用标题7"/>
    <w:basedOn w:val="1"/>
    <w:autoRedefine/>
    <w:qFormat/>
    <w:uiPriority w:val="0"/>
    <w:pPr>
      <w:widowControl/>
      <w:wordWrap w:val="0"/>
      <w:topLinePunct/>
      <w:adjustRightInd w:val="0"/>
      <w:snapToGrid w:val="0"/>
      <w:spacing w:afterLines="50" w:line="360" w:lineRule="auto"/>
      <w:ind w:firstLine="200" w:firstLineChars="200"/>
    </w:pPr>
    <w:rPr>
      <w:rFonts w:ascii="宋体" w:hAnsi="宋体"/>
      <w:kern w:val="0"/>
      <w:sz w:val="24"/>
      <w:szCs w:val="20"/>
    </w:rPr>
  </w:style>
  <w:style w:type="paragraph" w:customStyle="1" w:styleId="636">
    <w:name w:val="样式8"/>
    <w:basedOn w:val="1"/>
    <w:autoRedefine/>
    <w:qFormat/>
    <w:uiPriority w:val="0"/>
    <w:pPr>
      <w:widowControl/>
      <w:wordWrap w:val="0"/>
      <w:topLinePunct/>
      <w:autoSpaceDE w:val="0"/>
      <w:autoSpaceDN w:val="0"/>
      <w:adjustRightInd w:val="0"/>
      <w:ind w:left="1274" w:leftChars="531" w:firstLine="2"/>
    </w:pPr>
    <w:rPr>
      <w:rFonts w:ascii="宋体" w:hAnsi="宋体"/>
      <w:bCs/>
      <w:kern w:val="0"/>
      <w:sz w:val="24"/>
      <w:szCs w:val="20"/>
    </w:rPr>
  </w:style>
  <w:style w:type="paragraph" w:customStyle="1" w:styleId="637">
    <w:name w:val="through-content"/>
    <w:basedOn w:val="1"/>
    <w:autoRedefine/>
    <w:qFormat/>
    <w:uiPriority w:val="0"/>
    <w:pPr>
      <w:widowControl/>
      <w:wordWrap w:val="0"/>
      <w:topLinePunct/>
      <w:spacing w:before="100" w:beforeAutospacing="1" w:after="100" w:afterAutospacing="1"/>
      <w:jc w:val="left"/>
    </w:pPr>
    <w:rPr>
      <w:rFonts w:ascii="宋体" w:hAnsi="宋体" w:cs="宋体"/>
      <w:kern w:val="0"/>
      <w:sz w:val="24"/>
      <w:szCs w:val="20"/>
    </w:rPr>
  </w:style>
  <w:style w:type="paragraph" w:customStyle="1" w:styleId="638">
    <w:name w:val="List ALPHA CAPS 1"/>
    <w:basedOn w:val="1"/>
    <w:next w:val="23"/>
    <w:autoRedefine/>
    <w:qFormat/>
    <w:uiPriority w:val="0"/>
    <w:pPr>
      <w:widowControl/>
      <w:tabs>
        <w:tab w:val="left" w:pos="22"/>
        <w:tab w:val="left" w:pos="624"/>
      </w:tabs>
      <w:wordWrap w:val="0"/>
      <w:topLinePunct/>
      <w:adjustRightInd w:val="0"/>
      <w:snapToGrid w:val="0"/>
      <w:spacing w:afterLines="50" w:line="288" w:lineRule="auto"/>
      <w:ind w:firstLine="200" w:firstLineChars="200"/>
    </w:pPr>
    <w:rPr>
      <w:rFonts w:ascii="CG Times" w:hAnsi="CG Times"/>
      <w:kern w:val="0"/>
      <w:sz w:val="22"/>
      <w:szCs w:val="20"/>
      <w:lang w:val="en-GB"/>
    </w:rPr>
  </w:style>
  <w:style w:type="paragraph" w:customStyle="1" w:styleId="639">
    <w:name w:val="TOC 标题2"/>
    <w:basedOn w:val="4"/>
    <w:next w:val="1"/>
    <w:autoRedefine/>
    <w:qFormat/>
    <w:uiPriority w:val="0"/>
    <w:pPr>
      <w:keepLines/>
      <w:widowControl w:val="0"/>
      <w:numPr>
        <w:numId w:val="0"/>
      </w:numPr>
      <w:tabs>
        <w:tab w:val="clear" w:pos="432"/>
      </w:tabs>
      <w:spacing w:before="260" w:after="260" w:line="413" w:lineRule="auto"/>
    </w:pPr>
    <w:rPr>
      <w:rFonts w:ascii="宋体" w:hAnsi="宋体" w:eastAsia="宋体"/>
      <w:b/>
      <w:bCs/>
      <w:kern w:val="44"/>
      <w:sz w:val="36"/>
      <w:szCs w:val="44"/>
      <w:lang w:val="zh-CN"/>
    </w:rPr>
  </w:style>
  <w:style w:type="paragraph" w:customStyle="1" w:styleId="640">
    <w:name w:val="专用标题4"/>
    <w:basedOn w:val="7"/>
    <w:next w:val="1"/>
    <w:autoRedefine/>
    <w:qFormat/>
    <w:uiPriority w:val="0"/>
    <w:pPr>
      <w:keepLines/>
      <w:widowControl/>
      <w:numPr>
        <w:ilvl w:val="2"/>
        <w:numId w:val="10"/>
      </w:numPr>
      <w:adjustRightInd w:val="0"/>
      <w:snapToGrid w:val="0"/>
      <w:jc w:val="left"/>
    </w:pPr>
    <w:rPr>
      <w:rFonts w:ascii="Arial" w:hAnsi="Arial" w:eastAsia="宋体"/>
      <w:kern w:val="2"/>
      <w:sz w:val="28"/>
      <w:szCs w:val="22"/>
      <w:u w:val="none"/>
      <w:lang w:eastAsia="zh-CN"/>
    </w:rPr>
  </w:style>
  <w:style w:type="paragraph" w:customStyle="1" w:styleId="641">
    <w:name w:val="LIST ALPHA CAPS 2"/>
    <w:basedOn w:val="1"/>
    <w:next w:val="48"/>
    <w:autoRedefine/>
    <w:qFormat/>
    <w:uiPriority w:val="0"/>
    <w:pPr>
      <w:widowControl/>
      <w:tabs>
        <w:tab w:val="left" w:pos="50"/>
        <w:tab w:val="left" w:pos="1417"/>
      </w:tabs>
      <w:wordWrap w:val="0"/>
      <w:topLinePunct/>
      <w:adjustRightInd w:val="0"/>
      <w:snapToGrid w:val="0"/>
      <w:spacing w:afterLines="50" w:line="288" w:lineRule="auto"/>
      <w:ind w:firstLine="200" w:firstLineChars="200"/>
    </w:pPr>
    <w:rPr>
      <w:rFonts w:ascii="CG Times" w:hAnsi="CG Times"/>
      <w:kern w:val="0"/>
      <w:sz w:val="22"/>
      <w:szCs w:val="20"/>
      <w:lang w:val="en-GB"/>
    </w:rPr>
  </w:style>
  <w:style w:type="paragraph" w:customStyle="1" w:styleId="642">
    <w:name w:val="Title 4 Chinese"/>
    <w:autoRedefine/>
    <w:qFormat/>
    <w:uiPriority w:val="0"/>
    <w:pPr>
      <w:ind w:left="1276"/>
    </w:pPr>
    <w:rPr>
      <w:rFonts w:ascii="Times New Roman" w:hAnsi="Times New Roman" w:eastAsia="宋体" w:cs="Times New Roman"/>
      <w:kern w:val="2"/>
      <w:sz w:val="24"/>
      <w:szCs w:val="24"/>
      <w:lang w:val="en-US" w:eastAsia="zh-CN" w:bidi="ar-SA"/>
    </w:rPr>
  </w:style>
  <w:style w:type="paragraph" w:customStyle="1" w:styleId="643">
    <w:name w:val="Title 4"/>
    <w:next w:val="642"/>
    <w:autoRedefine/>
    <w:qFormat/>
    <w:uiPriority w:val="0"/>
    <w:pPr>
      <w:numPr>
        <w:ilvl w:val="0"/>
        <w:numId w:val="11"/>
      </w:numPr>
      <w:ind w:left="1276" w:hanging="562"/>
      <w:jc w:val="both"/>
    </w:pPr>
    <w:rPr>
      <w:rFonts w:ascii="Times New Roman" w:hAnsi="Times New Roman" w:eastAsia="宋体" w:cs="Times New Roman"/>
      <w:kern w:val="2"/>
      <w:sz w:val="24"/>
      <w:szCs w:val="24"/>
      <w:lang w:val="en-US" w:eastAsia="zh-CN" w:bidi="ar-SA"/>
    </w:rPr>
  </w:style>
  <w:style w:type="paragraph" w:customStyle="1" w:styleId="644">
    <w:name w:val="通用标题6"/>
    <w:basedOn w:val="1"/>
    <w:autoRedefine/>
    <w:qFormat/>
    <w:uiPriority w:val="0"/>
    <w:pPr>
      <w:widowControl/>
      <w:tabs>
        <w:tab w:val="left" w:pos="312"/>
        <w:tab w:val="left" w:pos="993"/>
      </w:tabs>
      <w:adjustRightInd w:val="0"/>
      <w:snapToGrid w:val="0"/>
      <w:spacing w:afterLines="50" w:line="360" w:lineRule="auto"/>
    </w:pPr>
    <w:rPr>
      <w:rFonts w:ascii="宋体" w:hAnsi="宋体"/>
      <w:kern w:val="0"/>
      <w:sz w:val="24"/>
      <w:szCs w:val="20"/>
    </w:rPr>
  </w:style>
  <w:style w:type="paragraph" w:customStyle="1" w:styleId="645">
    <w:name w:val="协议书标题2"/>
    <w:basedOn w:val="5"/>
    <w:next w:val="1"/>
    <w:autoRedefine/>
    <w:qFormat/>
    <w:uiPriority w:val="0"/>
    <w:pPr>
      <w:keepNext w:val="0"/>
      <w:keepLines w:val="0"/>
      <w:numPr>
        <w:ilvl w:val="0"/>
        <w:numId w:val="12"/>
      </w:numPr>
      <w:tabs>
        <w:tab w:val="left" w:pos="567"/>
      </w:tabs>
      <w:wordWrap w:val="0"/>
      <w:topLinePunct/>
      <w:adjustRightInd w:val="0"/>
      <w:snapToGrid w:val="0"/>
      <w:spacing w:before="0" w:afterLines="50" w:line="360" w:lineRule="auto"/>
    </w:pPr>
    <w:rPr>
      <w:rFonts w:ascii="宋体" w:hAnsi="宋体" w:eastAsia="宋体"/>
      <w:bCs w:val="0"/>
      <w:sz w:val="24"/>
      <w:szCs w:val="20"/>
    </w:rPr>
  </w:style>
  <w:style w:type="paragraph" w:customStyle="1" w:styleId="646">
    <w:name w:val="table"/>
    <w:autoRedefin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647">
    <w:name w:val="专用标题3"/>
    <w:basedOn w:val="6"/>
    <w:autoRedefine/>
    <w:qFormat/>
    <w:uiPriority w:val="0"/>
    <w:pPr>
      <w:numPr>
        <w:ilvl w:val="1"/>
        <w:numId w:val="10"/>
      </w:numPr>
      <w:tabs>
        <w:tab w:val="clear" w:pos="432"/>
        <w:tab w:val="clear" w:pos="720"/>
      </w:tabs>
      <w:wordWrap w:val="0"/>
      <w:topLinePunct/>
      <w:adjustRightInd w:val="0"/>
      <w:snapToGrid w:val="0"/>
      <w:spacing w:before="0" w:afterLines="50"/>
      <w:ind w:left="0" w:firstLine="0"/>
      <w:jc w:val="left"/>
    </w:pPr>
    <w:rPr>
      <w:rFonts w:ascii="宋体" w:hAnsi="宋体"/>
      <w:sz w:val="24"/>
    </w:rPr>
  </w:style>
  <w:style w:type="paragraph" w:customStyle="1" w:styleId="648">
    <w:name w:val="LIST ALPHA CAPS 3"/>
    <w:basedOn w:val="1"/>
    <w:next w:val="22"/>
    <w:autoRedefine/>
    <w:qFormat/>
    <w:uiPriority w:val="0"/>
    <w:pPr>
      <w:widowControl/>
      <w:tabs>
        <w:tab w:val="left" w:pos="68"/>
        <w:tab w:val="left" w:pos="1928"/>
      </w:tabs>
      <w:wordWrap w:val="0"/>
      <w:topLinePunct/>
      <w:adjustRightInd w:val="0"/>
      <w:snapToGrid w:val="0"/>
      <w:spacing w:afterLines="50" w:line="288" w:lineRule="auto"/>
      <w:ind w:firstLine="200" w:firstLineChars="200"/>
    </w:pPr>
    <w:rPr>
      <w:rFonts w:ascii="CG Times" w:hAnsi="CG Times"/>
      <w:kern w:val="0"/>
      <w:sz w:val="22"/>
      <w:szCs w:val="20"/>
      <w:lang w:val="en-GB"/>
    </w:rPr>
  </w:style>
  <w:style w:type="paragraph" w:customStyle="1" w:styleId="649">
    <w:name w:val="通用标题2"/>
    <w:basedOn w:val="5"/>
    <w:next w:val="1"/>
    <w:autoRedefine/>
    <w:qFormat/>
    <w:uiPriority w:val="0"/>
    <w:pPr>
      <w:keepNext w:val="0"/>
      <w:keepLines w:val="0"/>
      <w:tabs>
        <w:tab w:val="left" w:pos="993"/>
      </w:tabs>
      <w:wordWrap w:val="0"/>
      <w:topLinePunct/>
      <w:adjustRightInd w:val="0"/>
      <w:snapToGrid w:val="0"/>
      <w:spacing w:before="0" w:afterLines="50" w:line="360" w:lineRule="auto"/>
      <w:jc w:val="both"/>
    </w:pPr>
    <w:rPr>
      <w:rFonts w:ascii="黑体" w:hAnsi="黑体"/>
      <w:bCs w:val="0"/>
      <w:sz w:val="28"/>
      <w:szCs w:val="20"/>
    </w:rPr>
  </w:style>
  <w:style w:type="paragraph" w:customStyle="1" w:styleId="650">
    <w:name w:val="Main Title"/>
    <w:next w:val="1"/>
    <w:autoRedefine/>
    <w:qFormat/>
    <w:uiPriority w:val="0"/>
    <w:pPr>
      <w:adjustRightInd w:val="0"/>
      <w:snapToGrid w:val="0"/>
      <w:spacing w:afterLines="50" w:line="360" w:lineRule="auto"/>
      <w:jc w:val="center"/>
    </w:pPr>
    <w:rPr>
      <w:rFonts w:ascii="黑体" w:hAnsi="黑体" w:eastAsia="黑体" w:cs="Times New Roman"/>
      <w:b/>
      <w:kern w:val="2"/>
      <w:sz w:val="36"/>
      <w:szCs w:val="22"/>
      <w:lang w:val="zh-CN" w:eastAsia="zh-CN" w:bidi="ar-SA"/>
    </w:rPr>
  </w:style>
  <w:style w:type="paragraph" w:customStyle="1" w:styleId="651">
    <w:name w:val="附件标题1"/>
    <w:next w:val="1"/>
    <w:autoRedefine/>
    <w:qFormat/>
    <w:uiPriority w:val="0"/>
    <w:pPr>
      <w:numPr>
        <w:ilvl w:val="0"/>
        <w:numId w:val="13"/>
      </w:numPr>
      <w:tabs>
        <w:tab w:val="left" w:pos="567"/>
      </w:tabs>
      <w:adjustRightInd w:val="0"/>
      <w:snapToGrid w:val="0"/>
      <w:spacing w:afterLines="50" w:line="312" w:lineRule="auto"/>
    </w:pPr>
    <w:rPr>
      <w:rFonts w:ascii="黑体" w:hAnsi="黑体" w:eastAsia="黑体" w:cs="Times New Roman"/>
      <w:b/>
      <w:kern w:val="2"/>
      <w:sz w:val="24"/>
      <w:szCs w:val="24"/>
      <w:lang w:val="en-US" w:eastAsia="zh-CN" w:bidi="ar-SA"/>
    </w:rPr>
  </w:style>
  <w:style w:type="table" w:customStyle="1" w:styleId="652">
    <w:name w:val="TableGrid"/>
    <w:autoRedefine/>
    <w:qFormat/>
    <w:uiPriority w:val="0"/>
    <w:rPr>
      <w:rFonts w:eastAsiaTheme="minorEastAsia" w:cstheme="minorBidi"/>
    </w:rPr>
    <w:tblPr>
      <w:tblCellMar>
        <w:top w:w="0" w:type="dxa"/>
        <w:left w:w="0" w:type="dxa"/>
        <w:bottom w:w="0" w:type="dxa"/>
        <w:right w:w="0" w:type="dxa"/>
      </w:tblCellMar>
    </w:tblPr>
  </w:style>
  <w:style w:type="paragraph" w:customStyle="1" w:styleId="653">
    <w:name w:val="WPSOffice手动目录 1"/>
    <w:autoRedefine/>
    <w:qFormat/>
    <w:uiPriority w:val="0"/>
    <w:rPr>
      <w:rFonts w:ascii="Calibri" w:hAnsi="Calibri" w:eastAsia="等线" w:cs="Times New Roman"/>
      <w:lang w:val="en-US" w:eastAsia="zh-CN" w:bidi="ar-SA"/>
    </w:rPr>
  </w:style>
  <w:style w:type="character" w:customStyle="1" w:styleId="654">
    <w:name w:val="font111"/>
    <w:basedOn w:val="58"/>
    <w:autoRedefine/>
    <w:qFormat/>
    <w:uiPriority w:val="0"/>
    <w:rPr>
      <w:rFonts w:hint="eastAsia" w:ascii="宋体" w:hAnsi="宋体" w:eastAsia="宋体" w:cs="宋体"/>
      <w:color w:val="000000"/>
      <w:sz w:val="20"/>
      <w:szCs w:val="20"/>
      <w:u w:val="none"/>
    </w:rPr>
  </w:style>
  <w:style w:type="character" w:customStyle="1" w:styleId="655">
    <w:name w:val="font142"/>
    <w:basedOn w:val="58"/>
    <w:autoRedefine/>
    <w:qFormat/>
    <w:uiPriority w:val="0"/>
    <w:rPr>
      <w:rFonts w:hint="eastAsia" w:ascii="宋体" w:hAnsi="宋体" w:eastAsia="宋体" w:cs="宋体"/>
      <w:color w:val="000000"/>
      <w:sz w:val="20"/>
      <w:szCs w:val="20"/>
      <w:u w:val="none"/>
    </w:rPr>
  </w:style>
  <w:style w:type="paragraph" w:customStyle="1" w:styleId="656">
    <w:name w:val="列表段落1"/>
    <w:basedOn w:val="1"/>
    <w:autoRedefine/>
    <w:qFormat/>
    <w:uiPriority w:val="0"/>
    <w:pPr>
      <w:ind w:firstLine="420" w:firstLineChars="200"/>
    </w:pPr>
    <w:rPr>
      <w:szCs w:val="21"/>
    </w:rPr>
  </w:style>
  <w:style w:type="paragraph" w:customStyle="1" w:styleId="657">
    <w:name w:val="修订3"/>
    <w:autoRedefine/>
    <w:hidden/>
    <w:unhideWhenUsed/>
    <w:qFormat/>
    <w:uiPriority w:val="99"/>
    <w:rPr>
      <w:rFonts w:ascii="Calibri" w:hAnsi="Calibri" w:eastAsia="宋体" w:cs="Times New Roman"/>
      <w:kern w:val="2"/>
      <w:sz w:val="21"/>
      <w:szCs w:val="24"/>
      <w:lang w:val="en-US" w:eastAsia="zh-CN" w:bidi="ar-SA"/>
    </w:rPr>
  </w:style>
  <w:style w:type="paragraph" w:customStyle="1" w:styleId="658">
    <w:name w:val="修订4"/>
    <w:autoRedefine/>
    <w:hidden/>
    <w:unhideWhenUsed/>
    <w:qFormat/>
    <w:uiPriority w:val="99"/>
    <w:rPr>
      <w:rFonts w:ascii="Calibri" w:hAnsi="Calibri" w:eastAsia="宋体" w:cs="Times New Roman"/>
      <w:kern w:val="2"/>
      <w:sz w:val="21"/>
      <w:szCs w:val="24"/>
      <w:lang w:val="en-US" w:eastAsia="zh-CN" w:bidi="ar-SA"/>
    </w:rPr>
  </w:style>
  <w:style w:type="paragraph" w:customStyle="1" w:styleId="659">
    <w:name w:val="修订5"/>
    <w:autoRedefine/>
    <w:hidden/>
    <w:unhideWhenUsed/>
    <w:qFormat/>
    <w:uiPriority w:val="99"/>
    <w:rPr>
      <w:rFonts w:ascii="Calibri" w:hAnsi="Calibri" w:eastAsia="宋体" w:cs="Times New Roman"/>
      <w:kern w:val="2"/>
      <w:sz w:val="21"/>
      <w:szCs w:val="24"/>
      <w:lang w:val="en-US" w:eastAsia="zh-CN" w:bidi="ar-SA"/>
    </w:rPr>
  </w:style>
  <w:style w:type="character" w:customStyle="1" w:styleId="660">
    <w:name w:val="样式4 Char"/>
    <w:link w:val="491"/>
    <w:autoRedefine/>
    <w:qFormat/>
    <w:uiPriority w:val="0"/>
    <w:rPr>
      <w:rFonts w:ascii="仿宋_GB2312" w:hAnsi="Calibri" w:eastAsia="仿宋_GB2312"/>
      <w:kern w:val="2"/>
      <w:sz w:val="28"/>
      <w:szCs w:val="28"/>
    </w:rPr>
  </w:style>
  <w:style w:type="character" w:customStyle="1" w:styleId="661">
    <w:name w:val="15"/>
    <w:basedOn w:val="58"/>
    <w:autoRedefine/>
    <w:qFormat/>
    <w:uiPriority w:val="0"/>
    <w:rPr>
      <w:rFonts w:hint="default" w:ascii="Times New Roman" w:hAnsi="Times New Roman" w:cs="Times New Roman"/>
    </w:rPr>
  </w:style>
  <w:style w:type="character" w:customStyle="1" w:styleId="662">
    <w:name w:val="16"/>
    <w:basedOn w:val="58"/>
    <w:autoRedefine/>
    <w:qFormat/>
    <w:uiPriority w:val="0"/>
    <w:rPr>
      <w:rFonts w:hint="default" w:ascii="Times New Roman" w:hAnsi="Times New Roman" w:cs="Times New Roman"/>
    </w:rPr>
  </w:style>
  <w:style w:type="character" w:customStyle="1" w:styleId="663">
    <w:name w:val="bds_more1"/>
    <w:basedOn w:val="58"/>
    <w:autoRedefine/>
    <w:qFormat/>
    <w:uiPriority w:val="0"/>
  </w:style>
  <w:style w:type="character" w:customStyle="1" w:styleId="664">
    <w:name w:val="bds_more"/>
    <w:basedOn w:val="58"/>
    <w:autoRedefine/>
    <w:qFormat/>
    <w:uiPriority w:val="0"/>
    <w:rPr>
      <w:rFonts w:hint="eastAsia" w:ascii="宋体" w:hAnsi="宋体" w:eastAsia="宋体" w:cs="宋体"/>
    </w:rPr>
  </w:style>
  <w:style w:type="character" w:customStyle="1" w:styleId="665">
    <w:name w:val="表格正文 Char"/>
    <w:basedOn w:val="58"/>
    <w:autoRedefine/>
    <w:qFormat/>
    <w:uiPriority w:val="0"/>
    <w:rPr>
      <w:rFonts w:hint="eastAsia" w:ascii="宋体" w:hAnsi="宋体" w:eastAsia="宋体" w:cs="宋体"/>
      <w:szCs w:val="21"/>
      <w:lang w:val="zh-CN"/>
    </w:rPr>
  </w:style>
  <w:style w:type="character" w:customStyle="1" w:styleId="666">
    <w:name w:val="cfdate"/>
    <w:basedOn w:val="58"/>
    <w:autoRedefine/>
    <w:qFormat/>
    <w:uiPriority w:val="0"/>
    <w:rPr>
      <w:rFonts w:hint="default" w:ascii="Times New Roman" w:hAnsi="Times New Roman" w:eastAsia="宋体" w:cs="Times New Roman"/>
      <w:color w:val="333333"/>
      <w:sz w:val="18"/>
      <w:szCs w:val="18"/>
    </w:rPr>
  </w:style>
  <w:style w:type="character" w:customStyle="1" w:styleId="667">
    <w:name w:val="招标 Char Char"/>
    <w:basedOn w:val="58"/>
    <w:autoRedefine/>
    <w:qFormat/>
    <w:uiPriority w:val="0"/>
    <w:rPr>
      <w:rFonts w:hint="eastAsia" w:ascii="宋体" w:hAnsi="宋体" w:eastAsia="宋体" w:cs="宋体"/>
      <w:sz w:val="24"/>
      <w:szCs w:val="24"/>
    </w:rPr>
  </w:style>
  <w:style w:type="character" w:customStyle="1" w:styleId="668">
    <w:name w:val="Char Char10"/>
    <w:basedOn w:val="58"/>
    <w:autoRedefine/>
    <w:qFormat/>
    <w:uiPriority w:val="0"/>
    <w:rPr>
      <w:rFonts w:hint="default" w:ascii="Times New Roman" w:hAnsi="Times New Roman" w:eastAsia="宋体" w:cs="Times New Roman"/>
      <w:sz w:val="18"/>
      <w:szCs w:val="18"/>
    </w:rPr>
  </w:style>
  <w:style w:type="character" w:customStyle="1" w:styleId="669">
    <w:name w:val="招标2 Char Char"/>
    <w:basedOn w:val="58"/>
    <w:autoRedefine/>
    <w:qFormat/>
    <w:uiPriority w:val="0"/>
    <w:rPr>
      <w:sz w:val="24"/>
      <w:szCs w:val="24"/>
    </w:rPr>
  </w:style>
  <w:style w:type="character" w:customStyle="1" w:styleId="670">
    <w:name w:val="profile1"/>
    <w:basedOn w:val="58"/>
    <w:autoRedefine/>
    <w:qFormat/>
    <w:uiPriority w:val="0"/>
    <w:rPr>
      <w:rFonts w:hint="default" w:ascii="Verdana" w:hAnsi="Verdana" w:cs="Verdana"/>
      <w:color w:val="575757"/>
      <w:sz w:val="18"/>
      <w:szCs w:val="18"/>
    </w:rPr>
  </w:style>
  <w:style w:type="character" w:customStyle="1" w:styleId="671">
    <w:name w:val="标题 2 Char Char"/>
    <w:basedOn w:val="58"/>
    <w:autoRedefine/>
    <w:qFormat/>
    <w:uiPriority w:val="0"/>
    <w:rPr>
      <w:sz w:val="28"/>
    </w:rPr>
  </w:style>
  <w:style w:type="character" w:customStyle="1" w:styleId="672">
    <w:name w:val="redfilenumber"/>
    <w:basedOn w:val="58"/>
    <w:autoRedefine/>
    <w:qFormat/>
    <w:uiPriority w:val="0"/>
    <w:rPr>
      <w:rFonts w:hint="default" w:ascii="Times New Roman" w:hAnsi="Times New Roman" w:eastAsia="宋体" w:cs="Times New Roman"/>
      <w:color w:val="BA2636"/>
      <w:sz w:val="18"/>
      <w:szCs w:val="18"/>
    </w:rPr>
  </w:style>
  <w:style w:type="character" w:customStyle="1" w:styleId="673">
    <w:name w:val="Char Char4"/>
    <w:basedOn w:val="58"/>
    <w:autoRedefine/>
    <w:qFormat/>
    <w:uiPriority w:val="0"/>
    <w:rPr>
      <w:rFonts w:hint="default" w:ascii="Times New Roman" w:hAnsi="Times New Roman" w:eastAsia="宋体" w:cs="Times New Roman"/>
      <w:szCs w:val="24"/>
    </w:rPr>
  </w:style>
  <w:style w:type="character" w:customStyle="1" w:styleId="674">
    <w:name w:val="办文来文摘要"/>
    <w:basedOn w:val="58"/>
    <w:autoRedefine/>
    <w:qFormat/>
    <w:uiPriority w:val="0"/>
    <w:rPr>
      <w:rFonts w:hint="eastAsia" w:ascii="仿宋_GB2312" w:eastAsia="仿宋_GB2312" w:cs="仿宋_GB2312"/>
      <w:sz w:val="24"/>
    </w:rPr>
  </w:style>
  <w:style w:type="character" w:customStyle="1" w:styleId="675">
    <w:name w:val="Char Char"/>
    <w:basedOn w:val="58"/>
    <w:autoRedefine/>
    <w:qFormat/>
    <w:uiPriority w:val="0"/>
    <w:rPr>
      <w:kern w:val="2"/>
      <w:sz w:val="18"/>
      <w:szCs w:val="18"/>
    </w:rPr>
  </w:style>
  <w:style w:type="character" w:customStyle="1" w:styleId="676">
    <w:name w:val="tab-nav3-ct"/>
    <w:basedOn w:val="58"/>
    <w:autoRedefine/>
    <w:qFormat/>
    <w:uiPriority w:val="0"/>
    <w:rPr>
      <w:color w:val="FFFFFF"/>
      <w:shd w:val="clear" w:fill="4B93D7"/>
    </w:rPr>
  </w:style>
  <w:style w:type="character" w:customStyle="1" w:styleId="677">
    <w:name w:val="bds_more2"/>
    <w:basedOn w:val="58"/>
    <w:autoRedefine/>
    <w:qFormat/>
    <w:uiPriority w:val="0"/>
  </w:style>
  <w:style w:type="character" w:customStyle="1" w:styleId="678">
    <w:name w:val="bds_nopic2"/>
    <w:basedOn w:val="58"/>
    <w:autoRedefine/>
    <w:qFormat/>
    <w:uiPriority w:val="0"/>
  </w:style>
  <w:style w:type="character" w:customStyle="1" w:styleId="679">
    <w:name w:val="日期 Char6"/>
    <w:basedOn w:val="58"/>
    <w:autoRedefine/>
    <w:qFormat/>
    <w:uiPriority w:val="0"/>
    <w:rPr>
      <w:rFonts w:hint="eastAsia" w:ascii="宋体" w:hAnsi="宋体" w:eastAsia="宋体" w:cs="宋体"/>
      <w:kern w:val="21"/>
      <w:sz w:val="21"/>
      <w:szCs w:val="21"/>
    </w:rPr>
  </w:style>
  <w:style w:type="character" w:customStyle="1" w:styleId="680">
    <w:name w:val="bds_nopic"/>
    <w:basedOn w:val="58"/>
    <w:autoRedefine/>
    <w:qFormat/>
    <w:uiPriority w:val="0"/>
  </w:style>
  <w:style w:type="character" w:customStyle="1" w:styleId="681">
    <w:name w:val="bds_nopic1"/>
    <w:basedOn w:val="58"/>
    <w:autoRedefine/>
    <w:qFormat/>
    <w:uiPriority w:val="0"/>
  </w:style>
  <w:style w:type="character" w:customStyle="1" w:styleId="682">
    <w:name w:val="办文经办人"/>
    <w:basedOn w:val="58"/>
    <w:autoRedefine/>
    <w:qFormat/>
    <w:uiPriority w:val="0"/>
    <w:rPr>
      <w:rFonts w:hint="eastAsia" w:ascii="仿宋_GB2312" w:eastAsia="仿宋_GB2312" w:cs="仿宋_GB2312"/>
      <w:sz w:val="24"/>
    </w:rPr>
  </w:style>
  <w:style w:type="character" w:customStyle="1" w:styleId="683">
    <w:name w:val="tab-click"/>
    <w:basedOn w:val="58"/>
    <w:autoRedefine/>
    <w:qFormat/>
    <w:uiPriority w:val="0"/>
    <w:rPr>
      <w:bdr w:val="single" w:color="DDDDDD" w:sz="6" w:space="0"/>
    </w:rPr>
  </w:style>
  <w:style w:type="character" w:customStyle="1" w:styleId="684">
    <w:name w:val="contetn"/>
    <w:basedOn w:val="58"/>
    <w:autoRedefine/>
    <w:qFormat/>
    <w:uiPriority w:val="0"/>
  </w:style>
  <w:style w:type="character" w:customStyle="1" w:styleId="685">
    <w:name w:val="font61"/>
    <w:basedOn w:val="58"/>
    <w:autoRedefine/>
    <w:qFormat/>
    <w:uiPriority w:val="0"/>
    <w:rPr>
      <w:rFonts w:hint="eastAsia" w:ascii="宋体" w:hAnsi="宋体" w:eastAsia="宋体" w:cs="宋体"/>
      <w:color w:val="000000"/>
      <w:sz w:val="21"/>
      <w:szCs w:val="21"/>
      <w:u w:val="none"/>
    </w:rPr>
  </w:style>
  <w:style w:type="character" w:customStyle="1" w:styleId="686">
    <w:name w:val="纯文本 Char3"/>
    <w:basedOn w:val="58"/>
    <w:link w:val="29"/>
    <w:autoRedefine/>
    <w:qFormat/>
    <w:uiPriority w:val="0"/>
    <w:rPr>
      <w:rFonts w:hint="eastAsia" w:ascii="宋体" w:hAnsi="Courier New" w:eastAsia="宋体" w:cs="Courier New"/>
      <w:kern w:val="2"/>
      <w:sz w:val="21"/>
      <w:szCs w:val="21"/>
    </w:rPr>
  </w:style>
  <w:style w:type="character" w:customStyle="1" w:styleId="687">
    <w:name w:val="qxdate"/>
    <w:basedOn w:val="58"/>
    <w:autoRedefine/>
    <w:qFormat/>
    <w:uiPriority w:val="0"/>
    <w:rPr>
      <w:rFonts w:hint="default" w:ascii="Times New Roman" w:hAnsi="Times New Roman" w:eastAsia="宋体" w:cs="Times New Roman"/>
      <w:color w:val="333333"/>
      <w:sz w:val="18"/>
      <w:szCs w:val="18"/>
    </w:rPr>
  </w:style>
  <w:style w:type="character" w:customStyle="1" w:styleId="688">
    <w:name w:val="redfilefwwh"/>
    <w:basedOn w:val="58"/>
    <w:autoRedefine/>
    <w:qFormat/>
    <w:uiPriority w:val="0"/>
    <w:rPr>
      <w:rFonts w:hint="default" w:ascii="Times New Roman" w:hAnsi="Times New Roman" w:eastAsia="宋体" w:cs="Times New Roman"/>
      <w:color w:val="BA2636"/>
      <w:sz w:val="18"/>
      <w:szCs w:val="18"/>
    </w:rPr>
  </w:style>
  <w:style w:type="character" w:customStyle="1" w:styleId="689">
    <w:name w:val="font121"/>
    <w:basedOn w:val="58"/>
    <w:autoRedefine/>
    <w:qFormat/>
    <w:uiPriority w:val="0"/>
    <w:rPr>
      <w:rFonts w:hint="eastAsia" w:ascii="宋体" w:hAnsi="宋体" w:eastAsia="宋体" w:cs="宋体"/>
      <w:color w:val="000000"/>
      <w:sz w:val="22"/>
      <w:szCs w:val="22"/>
      <w:u w:val="none"/>
    </w:rPr>
  </w:style>
  <w:style w:type="character" w:customStyle="1" w:styleId="690">
    <w:name w:val="招标5 Char Char"/>
    <w:basedOn w:val="58"/>
    <w:autoRedefine/>
    <w:qFormat/>
    <w:uiPriority w:val="0"/>
    <w:rPr>
      <w:sz w:val="18"/>
      <w:szCs w:val="18"/>
    </w:rPr>
  </w:style>
  <w:style w:type="character" w:customStyle="1" w:styleId="691">
    <w:name w:val="grame"/>
    <w:basedOn w:val="58"/>
    <w:autoRedefine/>
    <w:qFormat/>
    <w:uiPriority w:val="0"/>
    <w:rPr>
      <w:rFonts w:hint="default" w:ascii="Times New Roman" w:hAnsi="Times New Roman" w:eastAsia="宋体" w:cs="Times New Roman"/>
    </w:rPr>
  </w:style>
  <w:style w:type="character" w:customStyle="1" w:styleId="692">
    <w:name w:val="displayarti"/>
    <w:basedOn w:val="58"/>
    <w:autoRedefine/>
    <w:qFormat/>
    <w:uiPriority w:val="0"/>
    <w:rPr>
      <w:rFonts w:hint="default" w:ascii="Times New Roman" w:hAnsi="Times New Roman" w:eastAsia="宋体" w:cs="Times New Roman"/>
      <w:color w:val="FFFFFF"/>
      <w:shd w:val="clear" w:fill="A00000"/>
    </w:rPr>
  </w:style>
  <w:style w:type="character" w:customStyle="1" w:styleId="693">
    <w:name w:val="font51"/>
    <w:basedOn w:val="58"/>
    <w:autoRedefine/>
    <w:qFormat/>
    <w:uiPriority w:val="0"/>
    <w:rPr>
      <w:rFonts w:hint="eastAsia" w:ascii="宋体" w:hAnsi="宋体" w:eastAsia="宋体" w:cs="宋体"/>
      <w:color w:val="000000"/>
      <w:sz w:val="22"/>
      <w:szCs w:val="22"/>
      <w:u w:val="none"/>
    </w:rPr>
  </w:style>
  <w:style w:type="character" w:customStyle="1" w:styleId="694">
    <w:name w:val="gjfg"/>
    <w:basedOn w:val="58"/>
    <w:autoRedefine/>
    <w:qFormat/>
    <w:uiPriority w:val="0"/>
    <w:rPr>
      <w:rFonts w:hint="default" w:ascii="Times New Roman" w:hAnsi="Times New Roman" w:eastAsia="宋体" w:cs="Times New Roman"/>
    </w:rPr>
  </w:style>
  <w:style w:type="character" w:customStyle="1" w:styleId="695">
    <w:name w:val="UserStyle_39"/>
    <w:basedOn w:val="58"/>
    <w:autoRedefine/>
    <w:qFormat/>
    <w:uiPriority w:val="0"/>
    <w:rPr>
      <w:rFonts w:hint="default" w:ascii="Calibri" w:hAnsi="Calibri" w:cs="Calibri"/>
      <w:kern w:val="2"/>
      <w:sz w:val="21"/>
      <w:szCs w:val="21"/>
      <w:lang w:val="en-US" w:eastAsia="zh-CN" w:bidi="ar"/>
    </w:rPr>
  </w:style>
  <w:style w:type="character" w:customStyle="1" w:styleId="696">
    <w:name w:val="纯文本 Char2"/>
    <w:basedOn w:val="58"/>
    <w:autoRedefine/>
    <w:qFormat/>
    <w:uiPriority w:val="0"/>
    <w:rPr>
      <w:rFonts w:hint="eastAsia" w:ascii="宋体" w:hAnsi="宋体" w:eastAsia="宋体" w:cs="宋体"/>
      <w:kern w:val="2"/>
      <w:sz w:val="21"/>
      <w:lang w:val="en-US" w:eastAsia="zh-CN"/>
    </w:rPr>
  </w:style>
  <w:style w:type="character" w:customStyle="1" w:styleId="697">
    <w:name w:val="正文文本缩进 Char1"/>
    <w:basedOn w:val="58"/>
    <w:autoRedefine/>
    <w:qFormat/>
    <w:uiPriority w:val="0"/>
    <w:rPr>
      <w:rFonts w:hint="default" w:ascii="Times New Roman" w:hAnsi="Times New Roman" w:cs="Times New Roman"/>
    </w:rPr>
  </w:style>
  <w:style w:type="table" w:customStyle="1" w:styleId="698">
    <w:name w:val="Table Normal"/>
    <w:basedOn w:val="56"/>
    <w:autoRedefine/>
    <w:semiHidden/>
    <w:qFormat/>
    <w:uiPriority w:val="0"/>
    <w:pPr>
      <w:keepNext w:val="0"/>
      <w:keepLines w:val="0"/>
      <w:widowControl/>
      <w:suppressLineNumbers w:val="0"/>
      <w:spacing w:before="0" w:beforeAutospacing="0" w:after="0" w:afterAutospacing="0"/>
      <w:ind w:left="0" w:right="0"/>
    </w:pPr>
    <w:rPr>
      <w:rFonts w:hint="default" w:ascii="Arial" w:hAnsi="Arial" w:eastAsia="宋体" w:cs="Arial"/>
      <w:sz w:val="20"/>
      <w:szCs w:val="20"/>
    </w:rPr>
    <w:tblPr>
      <w:tblCellMar>
        <w:top w:w="0" w:type="dxa"/>
        <w:left w:w="0" w:type="dxa"/>
        <w:bottom w:w="0" w:type="dxa"/>
        <w:right w:w="0" w:type="dxa"/>
      </w:tblCellMar>
    </w:tblPr>
  </w:style>
  <w:style w:type="paragraph" w:customStyle="1" w:styleId="699">
    <w:name w:val="Heading4"/>
    <w:basedOn w:val="1"/>
    <w:next w:val="1"/>
    <w:autoRedefine/>
    <w:qFormat/>
    <w:uiPriority w:val="0"/>
    <w:pPr>
      <w:keepNext/>
      <w:keepLines/>
      <w:widowControl/>
      <w:spacing w:line="360" w:lineRule="auto"/>
      <w:textAlignment w:val="baseline"/>
    </w:pPr>
    <w:rPr>
      <w:rFonts w:ascii="Arial" w:hAnsi="Arial" w:cs="宋体"/>
      <w:b/>
      <w:bCs/>
      <w:color w:val="000000"/>
      <w:kern w:val="0"/>
      <w:szCs w:val="28"/>
    </w:rPr>
  </w:style>
  <w:style w:type="paragraph" w:customStyle="1" w:styleId="700">
    <w:name w:val="标题 11"/>
    <w:basedOn w:val="1"/>
    <w:qFormat/>
    <w:uiPriority w:val="1"/>
    <w:pPr>
      <w:spacing w:line="590" w:lineRule="exact"/>
      <w:ind w:left="3"/>
      <w:outlineLvl w:val="1"/>
    </w:pPr>
    <w:rPr>
      <w:rFonts w:ascii="Microsoft JhengHei" w:hAnsi="Microsoft JhengHei" w:eastAsia="Microsoft JhengHei" w:cs="Microsoft JhengHei"/>
      <w:b/>
      <w:bCs/>
      <w:sz w:val="44"/>
      <w:szCs w:val="44"/>
    </w:rPr>
  </w:style>
  <w:style w:type="paragraph" w:customStyle="1" w:styleId="701">
    <w:name w:val="正文（首行缩进）"/>
    <w:basedOn w:val="1"/>
    <w:qFormat/>
    <w:uiPriority w:val="0"/>
    <w:pPr>
      <w:adjustRightInd w:val="0"/>
      <w:snapToGrid w:val="0"/>
      <w:spacing w:line="360" w:lineRule="auto"/>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265DE5D228C4E549D47D1A1A38EC39F"/>
        <w:style w:val=""/>
        <w:category>
          <w:name w:val="常规"/>
          <w:gallery w:val="placeholder"/>
        </w:category>
        <w:types>
          <w:type w:val="bbPlcHdr"/>
        </w:types>
        <w:behaviors>
          <w:behavior w:val="content"/>
        </w:behaviors>
        <w:description w:val=""/>
        <w:guid w:val="{21FDFD42-35A3-4ED9-AC41-9BE64ACD5DCE}"/>
      </w:docPartPr>
      <w:docPartBody>
        <w:p w14:paraId="1AFA45E5">
          <w:pPr>
            <w:pStyle w:val="4"/>
          </w:pPr>
          <w:r>
            <w:rPr>
              <w:rFonts w:asciiTheme="majorHAnsi" w:hAnsiTheme="majorHAnsi" w:eastAsiaTheme="majorEastAsia" w:cstheme="majorBidi"/>
              <w:sz w:val="32"/>
              <w:szCs w:val="32"/>
              <w:lang w:val="zh-CN"/>
            </w:rPr>
            <w:t>[键入文档标题]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revisionView w:markup="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
  <w:rsids>
    <w:rsidRoot w:val="009453C0"/>
    <w:rsid w:val="0002414F"/>
    <w:rsid w:val="00095F88"/>
    <w:rsid w:val="000B370A"/>
    <w:rsid w:val="000C09A9"/>
    <w:rsid w:val="001566BB"/>
    <w:rsid w:val="001932BC"/>
    <w:rsid w:val="0020636E"/>
    <w:rsid w:val="0024264A"/>
    <w:rsid w:val="00343131"/>
    <w:rsid w:val="0035008D"/>
    <w:rsid w:val="003A6952"/>
    <w:rsid w:val="003B01AF"/>
    <w:rsid w:val="003B3C2C"/>
    <w:rsid w:val="00446F6F"/>
    <w:rsid w:val="00544C5D"/>
    <w:rsid w:val="005521A7"/>
    <w:rsid w:val="005606DB"/>
    <w:rsid w:val="005F7711"/>
    <w:rsid w:val="00621E52"/>
    <w:rsid w:val="006D293E"/>
    <w:rsid w:val="00743034"/>
    <w:rsid w:val="007F6F5B"/>
    <w:rsid w:val="00826A38"/>
    <w:rsid w:val="00847CC9"/>
    <w:rsid w:val="00853DD6"/>
    <w:rsid w:val="0087386D"/>
    <w:rsid w:val="00916539"/>
    <w:rsid w:val="009453C0"/>
    <w:rsid w:val="00A04E39"/>
    <w:rsid w:val="00A46409"/>
    <w:rsid w:val="00AB65CB"/>
    <w:rsid w:val="00AE541B"/>
    <w:rsid w:val="00B620AC"/>
    <w:rsid w:val="00BB3EC2"/>
    <w:rsid w:val="00BB471E"/>
    <w:rsid w:val="00BD68BB"/>
    <w:rsid w:val="00C27BA2"/>
    <w:rsid w:val="00C30172"/>
    <w:rsid w:val="00C416E9"/>
    <w:rsid w:val="00CF2569"/>
    <w:rsid w:val="00D971B6"/>
    <w:rsid w:val="00DC74D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autoRedefine/>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paragraph" w:customStyle="1" w:styleId="4">
    <w:name w:val="4265DE5D228C4E549D47D1A1A38EC39F"/>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62</Pages>
  <Words>28030</Words>
  <Characters>29679</Characters>
  <Lines>199</Lines>
  <Paragraphs>56</Paragraphs>
  <TotalTime>9</TotalTime>
  <ScaleCrop>false</ScaleCrop>
  <LinksUpToDate>false</LinksUpToDate>
  <CharactersWithSpaces>30716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2023-08-22T03:47:00Z</dcterms:created>
  <dc:creator>wrj</dc:creator>
  <cp:lastModifiedBy>Administrator</cp:lastModifiedBy>
  <cp:lastPrinted>2023-05-04T08:29:00Z</cp:lastPrinted>
  <dcterms:modified xsi:type="dcterms:W3CDTF">2025-03-11T07:02:39Z</dcterms:modified>
  <dc:title>履方致远         止于至善                                                        招标文件</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0F28439CF6C843569A327A3688EDEFA1_13</vt:lpwstr>
  </property>
  <property fmtid="{D5CDD505-2E9C-101B-9397-08002B2CF9AE}" pid="4" name="KSOTemplateDocerSaveRecord">
    <vt:lpwstr>eyJoZGlkIjoiNTZkMTZjMjc3MWU3YTMwMjU0Y2ZkYTg3ZjA2YzBiZDAifQ==</vt:lpwstr>
  </property>
</Properties>
</file>