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E3D80E">
      <w:pPr>
        <w:pStyle w:val="9"/>
        <w:widowControl/>
        <w:jc w:val="center"/>
        <w:rPr>
          <w:rStyle w:val="8"/>
          <w:rFonts w:hint="eastAsia" w:ascii="仿宋" w:hAnsi="仿宋" w:eastAsia="仿宋" w:cs="仿宋"/>
          <w:b/>
          <w:bCs/>
          <w:color w:val="000000" w:themeColor="text1"/>
          <w:kern w:val="0"/>
          <w:sz w:val="30"/>
          <w:szCs w:val="30"/>
          <w14:textFill>
            <w14:solidFill>
              <w14:schemeClr w14:val="tx1"/>
            </w14:solidFill>
          </w14:textFill>
        </w:rPr>
      </w:pPr>
      <w:r>
        <w:rPr>
          <w:rStyle w:val="8"/>
          <w:rFonts w:hint="eastAsia" w:ascii="仿宋" w:hAnsi="仿宋" w:eastAsia="仿宋" w:cs="仿宋"/>
          <w:b/>
          <w:bCs/>
          <w:color w:val="000000" w:themeColor="text1"/>
          <w:spacing w:val="30"/>
          <w:kern w:val="0"/>
          <w:sz w:val="30"/>
          <w:szCs w:val="30"/>
          <w14:textFill>
            <w14:solidFill>
              <w14:schemeClr w14:val="tx1"/>
            </w14:solidFill>
          </w14:textFill>
        </w:rPr>
        <w:t>第一节 技术要求</w:t>
      </w:r>
    </w:p>
    <w:p w14:paraId="58A6F7A6">
      <w:pPr>
        <w:pStyle w:val="9"/>
        <w:numPr>
          <w:ilvl w:val="0"/>
          <w:numId w:val="1"/>
        </w:numPr>
        <w:spacing w:line="360" w:lineRule="auto"/>
        <w:jc w:val="both"/>
        <w:rPr>
          <w:rStyle w:val="8"/>
          <w:rFonts w:hint="eastAsia" w:ascii="宋体" w:hAnsi="宋体" w:eastAsia="宋体" w:cs="宋体"/>
          <w:b w:val="0"/>
          <w:bCs w:val="0"/>
          <w:color w:val="000000" w:themeColor="text1"/>
          <w:sz w:val="24"/>
          <w:szCs w:val="24"/>
          <w:lang w:eastAsia="zh-CN"/>
          <w14:textFill>
            <w14:solidFill>
              <w14:schemeClr w14:val="tx1"/>
            </w14:solidFill>
          </w14:textFill>
        </w:rPr>
      </w:pPr>
      <w:r>
        <w:rPr>
          <w:rStyle w:val="8"/>
          <w:rFonts w:hint="eastAsia" w:ascii="宋体" w:hAnsi="宋体" w:eastAsia="宋体" w:cs="宋体"/>
          <w:b/>
          <w:bCs/>
          <w:color w:val="000000" w:themeColor="text1"/>
          <w:sz w:val="24"/>
          <w:szCs w:val="24"/>
          <w:lang w:eastAsia="zh-CN"/>
          <w14:textFill>
            <w14:solidFill>
              <w14:schemeClr w14:val="tx1"/>
            </w14:solidFill>
          </w14:textFill>
        </w:rPr>
        <w:t>采购内容：</w:t>
      </w:r>
    </w:p>
    <w:p w14:paraId="0967F620">
      <w:pPr>
        <w:pStyle w:val="9"/>
        <w:numPr>
          <w:ilvl w:val="0"/>
          <w:numId w:val="2"/>
        </w:numPr>
        <w:spacing w:line="360" w:lineRule="auto"/>
        <w:ind w:firstLine="420" w:firstLineChars="200"/>
        <w:jc w:val="both"/>
        <w:rPr>
          <w:rStyle w:val="8"/>
          <w:rFonts w:hint="eastAsia" w:ascii="宋体" w:hAnsi="宋体" w:eastAsia="宋体" w:cs="宋体"/>
          <w:b w:val="0"/>
          <w:bCs w:val="0"/>
          <w:color w:val="000000" w:themeColor="text1"/>
          <w:sz w:val="21"/>
          <w:szCs w:val="21"/>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lang w:val="en-US" w:eastAsia="zh-CN"/>
          <w14:textFill>
            <w14:solidFill>
              <w14:schemeClr w14:val="tx1"/>
            </w14:solidFill>
          </w14:textFill>
        </w:rPr>
        <w:t>衡阳市中心医院医疗特装建设项目医疗气体工程包括</w:t>
      </w:r>
      <w:r>
        <w:rPr>
          <w:rFonts w:hint="eastAsia" w:ascii="宋体" w:hAnsi="宋体" w:eastAsia="宋体" w:cs="宋体"/>
          <w:color w:val="000000" w:themeColor="text1"/>
          <w:sz w:val="21"/>
          <w:szCs w:val="21"/>
          <w14:textFill>
            <w14:solidFill>
              <w14:schemeClr w14:val="tx1"/>
            </w14:solidFill>
          </w14:textFill>
        </w:rPr>
        <w:t>医用中心供氧系统、医用中心吸引系统、医用压缩空气系统及配套设备（包括设备带、电源插座、床头灯等）</w:t>
      </w:r>
      <w:r>
        <w:rPr>
          <w:rFonts w:hint="eastAsia" w:ascii="宋体" w:hAnsi="宋体" w:eastAsia="宋体" w:cs="宋体"/>
          <w:color w:val="000000" w:themeColor="text1"/>
          <w:sz w:val="21"/>
          <w:szCs w:val="21"/>
          <w:lang w:val="en-US" w:eastAsia="zh-CN"/>
          <w14:textFill>
            <w14:solidFill>
              <w14:schemeClr w14:val="tx1"/>
            </w14:solidFill>
          </w14:textFill>
        </w:rPr>
        <w:t>等</w:t>
      </w:r>
      <w:r>
        <w:rPr>
          <w:rFonts w:hint="eastAsia" w:ascii="宋体" w:hAnsi="宋体" w:eastAsia="宋体" w:cs="宋体"/>
          <w:color w:val="000000" w:themeColor="text1"/>
          <w:sz w:val="21"/>
          <w:szCs w:val="21"/>
          <w:lang w:eastAsia="en-US"/>
          <w14:textFill>
            <w14:solidFill>
              <w14:schemeClr w14:val="tx1"/>
            </w14:solidFill>
          </w14:textFill>
        </w:rPr>
        <w:t>供货、安装调试、验收及售后服务</w:t>
      </w:r>
      <w:r>
        <w:rPr>
          <w:rStyle w:val="8"/>
          <w:rFonts w:hint="eastAsia" w:ascii="宋体" w:hAnsi="宋体" w:eastAsia="宋体" w:cs="宋体"/>
          <w:b w:val="0"/>
          <w:bCs w:val="0"/>
          <w:color w:val="000000" w:themeColor="text1"/>
          <w:sz w:val="21"/>
          <w:szCs w:val="21"/>
          <w:lang w:val="en-US" w:eastAsia="zh-CN"/>
          <w14:textFill>
            <w14:solidFill>
              <w14:schemeClr w14:val="tx1"/>
            </w14:solidFill>
          </w14:textFill>
        </w:rPr>
        <w:t>。</w:t>
      </w:r>
    </w:p>
    <w:p w14:paraId="490644D0">
      <w:pPr>
        <w:pStyle w:val="9"/>
        <w:numPr>
          <w:ilvl w:val="0"/>
          <w:numId w:val="2"/>
        </w:numPr>
        <w:spacing w:line="360" w:lineRule="auto"/>
        <w:ind w:left="0" w:leftChars="0" w:firstLine="420" w:firstLineChars="200"/>
        <w:jc w:val="both"/>
        <w:rPr>
          <w:rStyle w:val="8"/>
          <w:rFonts w:hint="eastAsia" w:ascii="宋体" w:hAnsi="宋体" w:eastAsia="宋体" w:cs="宋体"/>
          <w:b w:val="0"/>
          <w:bCs w:val="0"/>
          <w:color w:val="000000" w:themeColor="text1"/>
          <w:sz w:val="21"/>
          <w:szCs w:val="21"/>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lang w:val="en-US" w:eastAsia="zh-CN"/>
          <w14:textFill>
            <w14:solidFill>
              <w14:schemeClr w14:val="tx1"/>
            </w14:solidFill>
          </w14:textFill>
        </w:rPr>
        <w:t>本项目中的医用中心供氧系统（或医用气体汇流排或医用氧气汇流排）、医用中心吸引系统（或医用真空负压机或医用真空机组）、医用压缩空气系统(或医用空气压缩机或医用空气集中供应系统或医用真空泵组)、医用气体监测报警系统(或医用气体报警系统或医用气体压力报警系统)在《医疗器械分类目录》中，属II类医疗器械，应同时具有以上产品的《医疗器械注册证》。</w:t>
      </w:r>
    </w:p>
    <w:p w14:paraId="1C768BC3">
      <w:pPr>
        <w:pStyle w:val="9"/>
        <w:widowControl w:val="0"/>
        <w:numPr>
          <w:ilvl w:val="0"/>
          <w:numId w:val="0"/>
        </w:numPr>
        <w:jc w:val="both"/>
        <w:rPr>
          <w:rStyle w:val="8"/>
          <w:rFonts w:hint="eastAsia" w:ascii="宋体" w:hAnsi="宋体" w:eastAsia="宋体" w:cs="宋体"/>
          <w:b/>
          <w:bCs/>
          <w:color w:val="000000" w:themeColor="text1"/>
          <w:sz w:val="24"/>
          <w:szCs w:val="24"/>
          <w:lang w:val="en-US" w:eastAsia="zh-CN"/>
          <w14:textFill>
            <w14:solidFill>
              <w14:schemeClr w14:val="tx1"/>
            </w14:solidFill>
          </w14:textFill>
        </w:rPr>
      </w:pPr>
      <w:r>
        <w:rPr>
          <w:rStyle w:val="8"/>
          <w:rFonts w:hint="eastAsia" w:ascii="宋体" w:hAnsi="宋体" w:eastAsia="宋体" w:cs="宋体"/>
          <w:b/>
          <w:bCs/>
          <w:color w:val="000000" w:themeColor="text1"/>
          <w:sz w:val="24"/>
          <w:szCs w:val="24"/>
          <w:lang w:val="en-US" w:eastAsia="zh-CN"/>
          <w14:textFill>
            <w14:solidFill>
              <w14:schemeClr w14:val="tx1"/>
            </w14:solidFill>
          </w14:textFill>
        </w:rPr>
        <w:t>二</w:t>
      </w:r>
      <w:r>
        <w:rPr>
          <w:rStyle w:val="8"/>
          <w:rFonts w:hint="eastAsia" w:ascii="宋体" w:hAnsi="宋体" w:eastAsia="宋体" w:cs="宋体"/>
          <w:color w:val="000000" w:themeColor="text1"/>
          <w:sz w:val="24"/>
          <w:szCs w:val="24"/>
          <w:highlight w:val="white"/>
          <w14:textFill>
            <w14:solidFill>
              <w14:schemeClr w14:val="tx1"/>
            </w14:solidFill>
          </w14:textFill>
        </w:rPr>
        <w:t>、</w:t>
      </w:r>
      <w:r>
        <w:rPr>
          <w:rStyle w:val="8"/>
          <w:rFonts w:hint="eastAsia" w:ascii="宋体" w:hAnsi="宋体" w:eastAsia="宋体" w:cs="宋体"/>
          <w:b/>
          <w:bCs/>
          <w:color w:val="000000" w:themeColor="text1"/>
          <w:sz w:val="24"/>
          <w:szCs w:val="24"/>
          <w:lang w:val="en-US" w:eastAsia="zh-CN"/>
          <w14:textFill>
            <w14:solidFill>
              <w14:schemeClr w14:val="tx1"/>
            </w14:solidFill>
          </w14:textFill>
        </w:rPr>
        <w:t>设备技术规格</w:t>
      </w:r>
      <w:r>
        <w:rPr>
          <w:rStyle w:val="8"/>
          <w:rFonts w:hint="eastAsia" w:ascii="宋体" w:hAnsi="宋体" w:eastAsia="宋体" w:cs="宋体"/>
          <w:color w:val="000000" w:themeColor="text1"/>
          <w:sz w:val="24"/>
          <w:szCs w:val="24"/>
          <w:highlight w:val="white"/>
          <w14:textFill>
            <w14:solidFill>
              <w14:schemeClr w14:val="tx1"/>
            </w14:solidFill>
          </w14:textFill>
        </w:rPr>
        <w:t>、</w:t>
      </w:r>
      <w:r>
        <w:rPr>
          <w:rStyle w:val="8"/>
          <w:rFonts w:hint="eastAsia" w:ascii="宋体" w:hAnsi="宋体" w:eastAsia="宋体" w:cs="宋体"/>
          <w:b/>
          <w:bCs/>
          <w:color w:val="000000" w:themeColor="text1"/>
          <w:sz w:val="24"/>
          <w:szCs w:val="24"/>
          <w:lang w:val="en-US" w:eastAsia="zh-CN"/>
          <w14:textFill>
            <w14:solidFill>
              <w14:schemeClr w14:val="tx1"/>
            </w14:solidFill>
          </w14:textFill>
        </w:rPr>
        <w:t>数量及要求</w:t>
      </w:r>
    </w:p>
    <w:tbl>
      <w:tblPr>
        <w:tblStyle w:val="10"/>
        <w:tblW w:w="9070"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016"/>
        <w:gridCol w:w="5250"/>
        <w:gridCol w:w="1017"/>
        <w:gridCol w:w="500"/>
        <w:gridCol w:w="550"/>
      </w:tblGrid>
      <w:tr w14:paraId="7971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37" w:type="dxa"/>
            <w:noWrap w:val="0"/>
            <w:vAlign w:val="center"/>
          </w:tcPr>
          <w:p w14:paraId="493291B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t>序号</w:t>
            </w:r>
          </w:p>
        </w:tc>
        <w:tc>
          <w:tcPr>
            <w:tcW w:w="6266" w:type="dxa"/>
            <w:gridSpan w:val="2"/>
            <w:noWrap w:val="0"/>
            <w:vAlign w:val="center"/>
          </w:tcPr>
          <w:p w14:paraId="2438669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t>采购货物名称</w:t>
            </w:r>
          </w:p>
        </w:tc>
        <w:tc>
          <w:tcPr>
            <w:tcW w:w="1017" w:type="dxa"/>
            <w:noWrap w:val="0"/>
            <w:vAlign w:val="center"/>
          </w:tcPr>
          <w:p w14:paraId="613505D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t>数量</w:t>
            </w:r>
          </w:p>
        </w:tc>
        <w:tc>
          <w:tcPr>
            <w:tcW w:w="500" w:type="dxa"/>
            <w:noWrap w:val="0"/>
            <w:vAlign w:val="center"/>
          </w:tcPr>
          <w:p w14:paraId="6BBCB80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t xml:space="preserve">单位 </w:t>
            </w:r>
          </w:p>
        </w:tc>
        <w:tc>
          <w:tcPr>
            <w:tcW w:w="550" w:type="dxa"/>
            <w:noWrap w:val="0"/>
            <w:vAlign w:val="center"/>
          </w:tcPr>
          <w:p w14:paraId="7AEC421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vertAlign w:val="baseline"/>
                <w:lang w:val="en-US" w:eastAsia="zh-CN"/>
                <w14:textFill>
                  <w14:solidFill>
                    <w14:schemeClr w14:val="tx1"/>
                  </w14:solidFill>
                </w14:textFill>
              </w:rPr>
              <w:t>备注</w:t>
            </w:r>
          </w:p>
        </w:tc>
      </w:tr>
      <w:tr w14:paraId="375B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070" w:type="dxa"/>
            <w:gridSpan w:val="6"/>
            <w:noWrap w:val="0"/>
            <w:vAlign w:val="center"/>
          </w:tcPr>
          <w:p w14:paraId="4E81F96F">
            <w:pPr>
              <w:pStyle w:val="9"/>
              <w:keepNext w:val="0"/>
              <w:keepLines w:val="0"/>
              <w:pageBreakBefore w:val="0"/>
              <w:widowControl w:val="0"/>
              <w:kinsoku/>
              <w:wordWrap/>
              <w:overflowPunct/>
              <w:topLinePunct w:val="0"/>
              <w:autoSpaceDE/>
              <w:autoSpaceDN/>
              <w:bidi w:val="0"/>
              <w:adjustRightInd/>
              <w:snapToGrid/>
              <w:spacing w:line="440" w:lineRule="exact"/>
              <w:jc w:val="both"/>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 xml:space="preserve"> </w:t>
            </w:r>
            <w:r>
              <w:rPr>
                <w:rStyle w:val="8"/>
                <w:rFonts w:hint="eastAsia" w:ascii="宋体" w:hAnsi="宋体" w:eastAsia="宋体" w:cs="宋体"/>
                <w:b/>
                <w:bCs/>
                <w:color w:val="000000" w:themeColor="text1"/>
                <w:sz w:val="21"/>
                <w:szCs w:val="21"/>
                <w:highlight w:val="none"/>
                <w:shd w:val="clear" w:color="auto" w:fill="auto"/>
                <w:vertAlign w:val="baseline"/>
                <w:lang w:val="en-US" w:eastAsia="zh-CN"/>
                <w14:textFill>
                  <w14:solidFill>
                    <w14:schemeClr w14:val="tx1"/>
                  </w14:solidFill>
                </w14:textFill>
              </w:rPr>
              <w:t>一</w:t>
            </w:r>
            <w:r>
              <w:rPr>
                <w:rStyle w:val="8"/>
                <w:rFonts w:hint="eastAsia" w:ascii="宋体" w:hAnsi="宋体" w:eastAsia="宋体" w:cs="宋体"/>
                <w:b/>
                <w:bCs/>
                <w:color w:val="000000" w:themeColor="text1"/>
                <w:sz w:val="21"/>
                <w:szCs w:val="21"/>
                <w:highlight w:val="none"/>
                <w:shd w:val="clear" w:color="auto" w:fill="auto"/>
                <w:vertAlign w:val="baseline"/>
                <w14:textFill>
                  <w14:solidFill>
                    <w14:schemeClr w14:val="tx1"/>
                  </w14:solidFill>
                </w14:textFill>
              </w:rPr>
              <w:t>、医用中心供氧系统</w:t>
            </w:r>
          </w:p>
        </w:tc>
      </w:tr>
      <w:tr w14:paraId="6774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0" w:hRule="atLeast"/>
        </w:trPr>
        <w:tc>
          <w:tcPr>
            <w:tcW w:w="737" w:type="dxa"/>
            <w:noWrap w:val="0"/>
            <w:vAlign w:val="center"/>
          </w:tcPr>
          <w:p w14:paraId="7394A23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w:t>
            </w:r>
          </w:p>
        </w:tc>
        <w:tc>
          <w:tcPr>
            <w:tcW w:w="1016" w:type="dxa"/>
            <w:noWrap w:val="0"/>
            <w:vAlign w:val="center"/>
          </w:tcPr>
          <w:p w14:paraId="5C1C92D7">
            <w:pPr>
              <w:pStyle w:val="9"/>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 xml:space="preserve">医用气体汇流排-氧气 </w:t>
            </w:r>
          </w:p>
        </w:tc>
        <w:tc>
          <w:tcPr>
            <w:tcW w:w="5250" w:type="dxa"/>
            <w:noWrap w:val="0"/>
            <w:vAlign w:val="center"/>
          </w:tcPr>
          <w:p w14:paraId="42F87B64">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1、材质：医用脱脂铜管，规格φ27×5，总长度5.65m；</w:t>
            </w:r>
          </w:p>
          <w:p w14:paraId="3911A3E0">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2、气体介质：氧气；10+10瓶2组，每组10个接口；</w:t>
            </w:r>
          </w:p>
          <w:p w14:paraId="1177274D">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3、最大输出流量≥100m3/h；</w:t>
            </w:r>
          </w:p>
          <w:p w14:paraId="76E63612">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4、含龙门架供氧减压器两组，铜接管18段；</w:t>
            </w:r>
          </w:p>
          <w:p w14:paraId="3CD9C3EC">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5、接口形式：外螺纹：3/4；</w:t>
            </w:r>
          </w:p>
          <w:p w14:paraId="25DEC2C6">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6、额定输出压力应为0~0.8MPa连续可调；</w:t>
            </w:r>
          </w:p>
          <w:p w14:paraId="3A64E64C">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7、汇流排气体管道承受0.92MPa试验压力后，应无泄漏、外观无变形。</w:t>
            </w:r>
          </w:p>
          <w:p w14:paraId="39DCAF41">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8、产品说明书及铭牌符合《医疗器械说明书和标签管理规定》；</w:t>
            </w:r>
          </w:p>
          <w:p w14:paraId="544C7FDE">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9、为保证医用气体汇流排安全，产品应具有二类医疗器械注册证并提供相关证明材料；</w:t>
            </w:r>
          </w:p>
          <w:p w14:paraId="48911942">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10、产品应提供具有CMA或CNAS资质的检测机构出具的电磁兼容检测合格报告复印件。</w:t>
            </w:r>
          </w:p>
        </w:tc>
        <w:tc>
          <w:tcPr>
            <w:tcW w:w="1017" w:type="dxa"/>
            <w:noWrap w:val="0"/>
            <w:vAlign w:val="center"/>
          </w:tcPr>
          <w:p w14:paraId="7D159C1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 xml:space="preserve">1 </w:t>
            </w:r>
          </w:p>
        </w:tc>
        <w:tc>
          <w:tcPr>
            <w:tcW w:w="500" w:type="dxa"/>
            <w:noWrap w:val="0"/>
            <w:vAlign w:val="center"/>
          </w:tcPr>
          <w:p w14:paraId="62C2F65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套 </w:t>
            </w:r>
          </w:p>
        </w:tc>
        <w:tc>
          <w:tcPr>
            <w:tcW w:w="550" w:type="dxa"/>
            <w:noWrap w:val="0"/>
            <w:vAlign w:val="center"/>
          </w:tcPr>
          <w:p w14:paraId="5660A24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294C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737" w:type="dxa"/>
            <w:noWrap w:val="0"/>
            <w:vAlign w:val="center"/>
          </w:tcPr>
          <w:p w14:paraId="1930F81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w:t>
            </w:r>
          </w:p>
        </w:tc>
        <w:tc>
          <w:tcPr>
            <w:tcW w:w="1016" w:type="dxa"/>
            <w:noWrap w:val="0"/>
            <w:vAlign w:val="center"/>
          </w:tcPr>
          <w:p w14:paraId="27540D90">
            <w:pPr>
              <w:pStyle w:val="9"/>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 xml:space="preserve"> 医用分气缸2进8出</w:t>
            </w:r>
          </w:p>
        </w:tc>
        <w:tc>
          <w:tcPr>
            <w:tcW w:w="5250" w:type="dxa"/>
            <w:noWrap w:val="0"/>
            <w:vAlign w:val="center"/>
          </w:tcPr>
          <w:p w14:paraId="11016FE7">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1.材质：O6Cr19Ni10</w:t>
            </w:r>
          </w:p>
          <w:p w14:paraId="5CDA4106">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2.规格：2进8出</w:t>
            </w:r>
          </w:p>
          <w:p w14:paraId="42B7C17A">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3.焊接方法:氩弧焊，脱脂处理</w:t>
            </w:r>
          </w:p>
          <w:p w14:paraId="45552636">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4、采用DN150的无缝不锈钢管焊接</w:t>
            </w:r>
          </w:p>
          <w:p w14:paraId="02704FAF">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5、设计压力为1.0 MPa</w:t>
            </w:r>
          </w:p>
          <w:p w14:paraId="436D40D9">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6、含配套的每个接口用法兰、压力表及安全阀（含校验）</w:t>
            </w:r>
          </w:p>
          <w:p w14:paraId="55E237FD">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7、含脱脂处理、吹扫、气压试验、管强度试验、气密性试验等</w:t>
            </w:r>
          </w:p>
          <w:p w14:paraId="5EDCC953">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8、道焊接口防腐处理等</w:t>
            </w:r>
          </w:p>
          <w:p w14:paraId="378F0AFE">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9、符合GB 150.1-2011要求，且具有压力容积特种设备设计许可证、压力容积特种设备制造许可证</w:t>
            </w:r>
          </w:p>
        </w:tc>
        <w:tc>
          <w:tcPr>
            <w:tcW w:w="1017" w:type="dxa"/>
            <w:noWrap w:val="0"/>
            <w:vAlign w:val="center"/>
          </w:tcPr>
          <w:p w14:paraId="69078C5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 xml:space="preserve">1 </w:t>
            </w:r>
          </w:p>
        </w:tc>
        <w:tc>
          <w:tcPr>
            <w:tcW w:w="500" w:type="dxa"/>
            <w:noWrap w:val="0"/>
            <w:vAlign w:val="center"/>
          </w:tcPr>
          <w:p w14:paraId="616C0CB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套  </w:t>
            </w:r>
          </w:p>
        </w:tc>
        <w:tc>
          <w:tcPr>
            <w:tcW w:w="550" w:type="dxa"/>
            <w:noWrap w:val="0"/>
            <w:vAlign w:val="center"/>
          </w:tcPr>
          <w:p w14:paraId="18B56AF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E13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7CA770B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w:t>
            </w:r>
          </w:p>
        </w:tc>
        <w:tc>
          <w:tcPr>
            <w:tcW w:w="1016" w:type="dxa"/>
            <w:noWrap w:val="0"/>
            <w:vAlign w:val="center"/>
          </w:tcPr>
          <w:p w14:paraId="62E17D86">
            <w:pPr>
              <w:pStyle w:val="9"/>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 xml:space="preserve">不锈钢管φ42*2.0 </w:t>
            </w:r>
          </w:p>
        </w:tc>
        <w:tc>
          <w:tcPr>
            <w:tcW w:w="5250" w:type="dxa"/>
            <w:noWrap w:val="0"/>
            <w:vAlign w:val="center"/>
          </w:tcPr>
          <w:p w14:paraId="38285652">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1.安装部位:室内</w:t>
            </w:r>
          </w:p>
          <w:p w14:paraId="347EC99F">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2.材质:06Cr19Ni10；</w:t>
            </w:r>
          </w:p>
          <w:p w14:paraId="2064A315">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3.介质:气体；</w:t>
            </w:r>
          </w:p>
          <w:p w14:paraId="58F7CD95">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4.规格:φ42×2.0；</w:t>
            </w:r>
          </w:p>
          <w:p w14:paraId="65E4DCB7">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5.连接形式:氩弧焊；</w:t>
            </w:r>
          </w:p>
          <w:p w14:paraId="613F1245">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6.含脱脂处理、管道吹扫、管道气压试验、管道强度试验，管道气密性试验、气体置换等；</w:t>
            </w:r>
          </w:p>
          <w:p w14:paraId="27D6FB03">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7.管道焊接口防腐处理等，管道接地，接地电阻应＜100Ω；</w:t>
            </w:r>
          </w:p>
          <w:p w14:paraId="72B8F3CB">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8.符合GB/T 14976-2012《流体输送用不锈钢无缝钢管》规范要求。</w:t>
            </w:r>
          </w:p>
        </w:tc>
        <w:tc>
          <w:tcPr>
            <w:tcW w:w="1017" w:type="dxa"/>
            <w:noWrap w:val="0"/>
            <w:vAlign w:val="center"/>
          </w:tcPr>
          <w:p w14:paraId="10343FE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 xml:space="preserve">199.76 </w:t>
            </w:r>
          </w:p>
        </w:tc>
        <w:tc>
          <w:tcPr>
            <w:tcW w:w="500" w:type="dxa"/>
            <w:noWrap w:val="0"/>
            <w:vAlign w:val="center"/>
          </w:tcPr>
          <w:p w14:paraId="3758F55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6D96EA3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B23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C7E266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w:t>
            </w:r>
          </w:p>
        </w:tc>
        <w:tc>
          <w:tcPr>
            <w:tcW w:w="1016" w:type="dxa"/>
            <w:noWrap w:val="0"/>
            <w:vAlign w:val="center"/>
          </w:tcPr>
          <w:p w14:paraId="67BBC96B">
            <w:pPr>
              <w:pStyle w:val="9"/>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不锈钢管φ38*2.0</w:t>
            </w:r>
          </w:p>
        </w:tc>
        <w:tc>
          <w:tcPr>
            <w:tcW w:w="5250" w:type="dxa"/>
            <w:noWrap w:val="0"/>
            <w:vAlign w:val="center"/>
          </w:tcPr>
          <w:p w14:paraId="3DA2DF06">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1.安装部位:室内</w:t>
            </w:r>
          </w:p>
          <w:p w14:paraId="55E1EF4E">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2.材质:06Cr19Ni10；</w:t>
            </w:r>
          </w:p>
          <w:p w14:paraId="4AA5D826">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3.介质:气体；</w:t>
            </w:r>
          </w:p>
          <w:p w14:paraId="269CF54E">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4.规格:φ38×2.0；</w:t>
            </w:r>
          </w:p>
          <w:p w14:paraId="5B281314">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5.连接形式:氩弧焊；</w:t>
            </w:r>
          </w:p>
          <w:p w14:paraId="2E7CA9BA">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6.含脱脂处理、管道吹扫、管道气压试验、管道强度试验，管道气密性试验、气体置换等；</w:t>
            </w:r>
          </w:p>
          <w:p w14:paraId="7EB7659C">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7.管道焊接口防腐处理等，管道接地，接地电阻应＜100Ω；</w:t>
            </w:r>
          </w:p>
          <w:p w14:paraId="4833EF95">
            <w:pPr>
              <w:pStyle w:val="9"/>
              <w:keepNext w:val="0"/>
              <w:keepLines w:val="0"/>
              <w:pageBreakBefore w:val="0"/>
              <w:widowControl w:val="0"/>
              <w:kinsoku/>
              <w:wordWrap/>
              <w:overflowPunct/>
              <w:topLinePunct w:val="0"/>
              <w:autoSpaceDE/>
              <w:autoSpaceDN/>
              <w:bidi w:val="0"/>
              <w:adjustRightInd/>
              <w:snapToGrid/>
              <w:spacing w:line="240" w:lineRule="auto"/>
              <w:jc w:val="left"/>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8.符合GB/T 14976-2012《流体输送用不锈钢无缝钢管》规范要求。</w:t>
            </w:r>
          </w:p>
        </w:tc>
        <w:tc>
          <w:tcPr>
            <w:tcW w:w="1017" w:type="dxa"/>
            <w:noWrap w:val="0"/>
            <w:vAlign w:val="center"/>
          </w:tcPr>
          <w:p w14:paraId="6BEC7AB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94.69</w:t>
            </w:r>
          </w:p>
        </w:tc>
        <w:tc>
          <w:tcPr>
            <w:tcW w:w="500" w:type="dxa"/>
            <w:noWrap w:val="0"/>
            <w:vAlign w:val="center"/>
          </w:tcPr>
          <w:p w14:paraId="5C58FD3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508752E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93C6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F6BE26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w:t>
            </w:r>
          </w:p>
        </w:tc>
        <w:tc>
          <w:tcPr>
            <w:tcW w:w="1016" w:type="dxa"/>
            <w:noWrap w:val="0"/>
            <w:vAlign w:val="center"/>
          </w:tcPr>
          <w:p w14:paraId="11B6E9E6">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不锈钢管φ32*2.0</w:t>
            </w:r>
          </w:p>
        </w:tc>
        <w:tc>
          <w:tcPr>
            <w:tcW w:w="5250" w:type="dxa"/>
            <w:noWrap w:val="0"/>
            <w:vAlign w:val="center"/>
          </w:tcPr>
          <w:p w14:paraId="31C6A109">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4.规格:φ32×2.0；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25B5A33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t>5.45</w:t>
            </w:r>
          </w:p>
        </w:tc>
        <w:tc>
          <w:tcPr>
            <w:tcW w:w="500" w:type="dxa"/>
            <w:noWrap w:val="0"/>
            <w:vAlign w:val="center"/>
          </w:tcPr>
          <w:p w14:paraId="11E3341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283C835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AC3C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37" w:type="dxa"/>
            <w:noWrap w:val="0"/>
            <w:vAlign w:val="center"/>
          </w:tcPr>
          <w:p w14:paraId="2480EE0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w:t>
            </w:r>
          </w:p>
        </w:tc>
        <w:tc>
          <w:tcPr>
            <w:tcW w:w="1016" w:type="dxa"/>
            <w:noWrap w:val="0"/>
            <w:vAlign w:val="center"/>
          </w:tcPr>
          <w:p w14:paraId="0A19C3FF">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不锈钢管φ25*2.0</w:t>
            </w:r>
          </w:p>
        </w:tc>
        <w:tc>
          <w:tcPr>
            <w:tcW w:w="5250" w:type="dxa"/>
            <w:noWrap w:val="0"/>
            <w:vAlign w:val="center"/>
          </w:tcPr>
          <w:p w14:paraId="6C79E1F2">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4.规格:φ25×2.0；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4B916C33">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560.41</w:t>
            </w:r>
          </w:p>
        </w:tc>
        <w:tc>
          <w:tcPr>
            <w:tcW w:w="500" w:type="dxa"/>
            <w:noWrap w:val="0"/>
            <w:vAlign w:val="center"/>
          </w:tcPr>
          <w:p w14:paraId="03CAFE6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3427184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994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60B3C4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w:t>
            </w:r>
          </w:p>
        </w:tc>
        <w:tc>
          <w:tcPr>
            <w:tcW w:w="1016" w:type="dxa"/>
            <w:noWrap w:val="0"/>
            <w:vAlign w:val="center"/>
          </w:tcPr>
          <w:p w14:paraId="71C42F18">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不锈钢管φ22*2.0</w:t>
            </w:r>
          </w:p>
        </w:tc>
        <w:tc>
          <w:tcPr>
            <w:tcW w:w="5250" w:type="dxa"/>
            <w:noWrap w:val="0"/>
            <w:vAlign w:val="center"/>
          </w:tcPr>
          <w:p w14:paraId="0E6C3707">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4.规格:φ22×2.0；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45FA0E53">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321.51</w:t>
            </w:r>
          </w:p>
        </w:tc>
        <w:tc>
          <w:tcPr>
            <w:tcW w:w="500" w:type="dxa"/>
            <w:noWrap w:val="0"/>
            <w:vAlign w:val="center"/>
          </w:tcPr>
          <w:p w14:paraId="5823C4C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7349EFB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E520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265C70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w:t>
            </w:r>
          </w:p>
        </w:tc>
        <w:tc>
          <w:tcPr>
            <w:tcW w:w="1016" w:type="dxa"/>
            <w:noWrap w:val="0"/>
            <w:vAlign w:val="center"/>
          </w:tcPr>
          <w:p w14:paraId="7EBF53CF">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不锈钢管φ18*1.5</w:t>
            </w:r>
          </w:p>
        </w:tc>
        <w:tc>
          <w:tcPr>
            <w:tcW w:w="5250" w:type="dxa"/>
            <w:noWrap w:val="0"/>
            <w:vAlign w:val="center"/>
          </w:tcPr>
          <w:p w14:paraId="19500BCB">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4.规格:φ18×1.5；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0A7C4A67">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32.30</w:t>
            </w:r>
          </w:p>
        </w:tc>
        <w:tc>
          <w:tcPr>
            <w:tcW w:w="500" w:type="dxa"/>
            <w:noWrap w:val="0"/>
            <w:vAlign w:val="center"/>
          </w:tcPr>
          <w:p w14:paraId="3453F1D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4B64F24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248D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8CC0A4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w:t>
            </w:r>
          </w:p>
        </w:tc>
        <w:tc>
          <w:tcPr>
            <w:tcW w:w="1016" w:type="dxa"/>
            <w:noWrap w:val="0"/>
            <w:vAlign w:val="center"/>
          </w:tcPr>
          <w:p w14:paraId="0544455E">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不锈钢管φ14*1.0</w:t>
            </w:r>
          </w:p>
        </w:tc>
        <w:tc>
          <w:tcPr>
            <w:tcW w:w="5250" w:type="dxa"/>
            <w:noWrap w:val="0"/>
            <w:vAlign w:val="center"/>
          </w:tcPr>
          <w:p w14:paraId="3EB31AAC">
            <w:pPr>
              <w:keepNext w:val="0"/>
              <w:keepLines w:val="0"/>
              <w:widowControl/>
              <w:suppressLineNumbers w:val="0"/>
              <w:jc w:val="left"/>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4.规格:φ14×1.0；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658E56A9">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shd w:val="clear" w:color="auto" w:fill="auto"/>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1156.44</w:t>
            </w:r>
          </w:p>
        </w:tc>
        <w:tc>
          <w:tcPr>
            <w:tcW w:w="500" w:type="dxa"/>
            <w:noWrap w:val="0"/>
            <w:vAlign w:val="center"/>
          </w:tcPr>
          <w:p w14:paraId="5F94952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6FF5122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9FB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4E5306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10</w:t>
            </w:r>
          </w:p>
        </w:tc>
        <w:tc>
          <w:tcPr>
            <w:tcW w:w="1016" w:type="dxa"/>
            <w:noWrap w:val="0"/>
            <w:vAlign w:val="center"/>
          </w:tcPr>
          <w:p w14:paraId="622A489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不锈钢管φ8*1.0</w:t>
            </w:r>
          </w:p>
        </w:tc>
        <w:tc>
          <w:tcPr>
            <w:tcW w:w="5250" w:type="dxa"/>
            <w:noWrap w:val="0"/>
            <w:vAlign w:val="center"/>
          </w:tcPr>
          <w:p w14:paraId="48D2135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4.规格:φ8×1.0；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53F9C92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2202.48</w:t>
            </w:r>
          </w:p>
        </w:tc>
        <w:tc>
          <w:tcPr>
            <w:tcW w:w="500" w:type="dxa"/>
            <w:noWrap w:val="0"/>
            <w:vAlign w:val="center"/>
          </w:tcPr>
          <w:p w14:paraId="59490091">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00CAA14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158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C30198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11</w:t>
            </w:r>
          </w:p>
        </w:tc>
        <w:tc>
          <w:tcPr>
            <w:tcW w:w="1016" w:type="dxa"/>
            <w:noWrap w:val="0"/>
            <w:vAlign w:val="center"/>
          </w:tcPr>
          <w:p w14:paraId="3FEFAFE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PVC槽板40*60</w:t>
            </w:r>
          </w:p>
        </w:tc>
        <w:tc>
          <w:tcPr>
            <w:tcW w:w="5250" w:type="dxa"/>
            <w:noWrap w:val="0"/>
            <w:vAlign w:val="center"/>
          </w:tcPr>
          <w:p w14:paraId="3E51F51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1、材质：PVC，明敷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2、规格：40*60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3、以聚氯乙烯为主要原料，加入发泡剂、阻燃剂、抗老化剂，采用专用设备挤压成型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4、产品防火，防水，防虫，零甲醛；环保，无毒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5、重量轻，独特的模块化设计，使其更易于运输，安装，可重复使用</w:t>
            </w:r>
          </w:p>
        </w:tc>
        <w:tc>
          <w:tcPr>
            <w:tcW w:w="1017" w:type="dxa"/>
            <w:noWrap w:val="0"/>
            <w:vAlign w:val="center"/>
          </w:tcPr>
          <w:p w14:paraId="779C74C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687.60</w:t>
            </w:r>
          </w:p>
        </w:tc>
        <w:tc>
          <w:tcPr>
            <w:tcW w:w="500" w:type="dxa"/>
            <w:noWrap w:val="0"/>
            <w:vAlign w:val="center"/>
          </w:tcPr>
          <w:p w14:paraId="0E0E82AC">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40B7F11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D46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7" w:type="dxa"/>
            <w:noWrap w:val="0"/>
            <w:vAlign w:val="center"/>
          </w:tcPr>
          <w:p w14:paraId="494805A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12</w:t>
            </w:r>
          </w:p>
        </w:tc>
        <w:tc>
          <w:tcPr>
            <w:tcW w:w="1016" w:type="dxa"/>
            <w:noWrap w:val="0"/>
            <w:vAlign w:val="center"/>
          </w:tcPr>
          <w:p w14:paraId="67BDD01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PVC房间穿墙套管DN20</w:t>
            </w:r>
          </w:p>
        </w:tc>
        <w:tc>
          <w:tcPr>
            <w:tcW w:w="5250" w:type="dxa"/>
            <w:noWrap w:val="0"/>
            <w:vAlign w:val="center"/>
          </w:tcPr>
          <w:p w14:paraId="406E2F3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1.名称、类型:塑料套管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2.材质:PVC-U管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3.介质管道规格:DN50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4.其他:预留孔洞、填塞密封料、堵洞</w:t>
            </w:r>
          </w:p>
        </w:tc>
        <w:tc>
          <w:tcPr>
            <w:tcW w:w="1017" w:type="dxa"/>
            <w:noWrap w:val="0"/>
            <w:vAlign w:val="center"/>
          </w:tcPr>
          <w:p w14:paraId="367937C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446.00</w:t>
            </w:r>
          </w:p>
        </w:tc>
        <w:tc>
          <w:tcPr>
            <w:tcW w:w="500" w:type="dxa"/>
            <w:noWrap w:val="0"/>
            <w:vAlign w:val="center"/>
          </w:tcPr>
          <w:p w14:paraId="7D6634D7">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7F2D80C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11B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3790C8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13</w:t>
            </w:r>
          </w:p>
        </w:tc>
        <w:tc>
          <w:tcPr>
            <w:tcW w:w="1016" w:type="dxa"/>
            <w:noWrap w:val="0"/>
            <w:vAlign w:val="center"/>
          </w:tcPr>
          <w:p w14:paraId="7AFB30B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PVC房间穿墙套管DN50</w:t>
            </w:r>
          </w:p>
        </w:tc>
        <w:tc>
          <w:tcPr>
            <w:tcW w:w="5250" w:type="dxa"/>
            <w:noWrap w:val="0"/>
            <w:vAlign w:val="center"/>
          </w:tcPr>
          <w:p w14:paraId="2665132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1.名称、类型:塑料套管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2.材质:PVC-U管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3.介质管道规格:DN50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4.其他:预留孔洞、填塞密封料、堵洞</w:t>
            </w:r>
          </w:p>
        </w:tc>
        <w:tc>
          <w:tcPr>
            <w:tcW w:w="1017" w:type="dxa"/>
            <w:noWrap w:val="0"/>
            <w:vAlign w:val="center"/>
          </w:tcPr>
          <w:p w14:paraId="4FA7E491">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35.00</w:t>
            </w:r>
          </w:p>
        </w:tc>
        <w:tc>
          <w:tcPr>
            <w:tcW w:w="500" w:type="dxa"/>
            <w:noWrap w:val="0"/>
            <w:vAlign w:val="center"/>
          </w:tcPr>
          <w:p w14:paraId="7674D26E">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3B74217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7F3A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9AEF68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14</w:t>
            </w:r>
          </w:p>
        </w:tc>
        <w:tc>
          <w:tcPr>
            <w:tcW w:w="1016" w:type="dxa"/>
            <w:noWrap w:val="0"/>
            <w:vAlign w:val="center"/>
          </w:tcPr>
          <w:p w14:paraId="6A3848BF">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焊接弯头（不锈钢）φ22</w:t>
            </w:r>
          </w:p>
        </w:tc>
        <w:tc>
          <w:tcPr>
            <w:tcW w:w="5250" w:type="dxa"/>
            <w:noWrap w:val="0"/>
            <w:vAlign w:val="center"/>
          </w:tcPr>
          <w:p w14:paraId="5213116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7466012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40.00</w:t>
            </w:r>
          </w:p>
        </w:tc>
        <w:tc>
          <w:tcPr>
            <w:tcW w:w="500" w:type="dxa"/>
            <w:noWrap w:val="0"/>
            <w:vAlign w:val="center"/>
          </w:tcPr>
          <w:p w14:paraId="3C061EAE">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64494E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C492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7952500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15</w:t>
            </w:r>
          </w:p>
        </w:tc>
        <w:tc>
          <w:tcPr>
            <w:tcW w:w="1016" w:type="dxa"/>
            <w:noWrap w:val="0"/>
            <w:vAlign w:val="center"/>
          </w:tcPr>
          <w:p w14:paraId="1F3837C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焊接弯头（不锈钢）φ18</w:t>
            </w:r>
          </w:p>
        </w:tc>
        <w:tc>
          <w:tcPr>
            <w:tcW w:w="5250" w:type="dxa"/>
            <w:noWrap w:val="0"/>
            <w:vAlign w:val="center"/>
          </w:tcPr>
          <w:p w14:paraId="0A5F4E3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6B4E272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3.00</w:t>
            </w:r>
          </w:p>
        </w:tc>
        <w:tc>
          <w:tcPr>
            <w:tcW w:w="500" w:type="dxa"/>
            <w:noWrap w:val="0"/>
            <w:vAlign w:val="center"/>
          </w:tcPr>
          <w:p w14:paraId="4D31F755">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319231A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61C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FDB48D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16</w:t>
            </w:r>
          </w:p>
        </w:tc>
        <w:tc>
          <w:tcPr>
            <w:tcW w:w="1016" w:type="dxa"/>
            <w:noWrap w:val="0"/>
            <w:vAlign w:val="center"/>
          </w:tcPr>
          <w:p w14:paraId="064B9E9F">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焊接弯头（不锈钢）φ14</w:t>
            </w:r>
          </w:p>
        </w:tc>
        <w:tc>
          <w:tcPr>
            <w:tcW w:w="5250" w:type="dxa"/>
            <w:noWrap w:val="0"/>
            <w:vAlign w:val="center"/>
          </w:tcPr>
          <w:p w14:paraId="42475CB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2.规格:φ14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3A695EC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34.00</w:t>
            </w:r>
          </w:p>
        </w:tc>
        <w:tc>
          <w:tcPr>
            <w:tcW w:w="500" w:type="dxa"/>
            <w:noWrap w:val="0"/>
            <w:vAlign w:val="center"/>
          </w:tcPr>
          <w:p w14:paraId="6E83917C">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63BE156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0A0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3C52AB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17</w:t>
            </w:r>
          </w:p>
        </w:tc>
        <w:tc>
          <w:tcPr>
            <w:tcW w:w="1016" w:type="dxa"/>
            <w:noWrap w:val="0"/>
            <w:vAlign w:val="center"/>
          </w:tcPr>
          <w:p w14:paraId="12D56E7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焊接弯头（不锈钢）φ8</w:t>
            </w:r>
          </w:p>
        </w:tc>
        <w:tc>
          <w:tcPr>
            <w:tcW w:w="5250" w:type="dxa"/>
            <w:noWrap w:val="0"/>
            <w:vAlign w:val="center"/>
          </w:tcPr>
          <w:p w14:paraId="43ADFB1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19B235C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2291.00</w:t>
            </w:r>
          </w:p>
        </w:tc>
        <w:tc>
          <w:tcPr>
            <w:tcW w:w="500" w:type="dxa"/>
            <w:noWrap w:val="0"/>
            <w:vAlign w:val="center"/>
          </w:tcPr>
          <w:p w14:paraId="53DA2E5D">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BD12C5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467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9605AA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18</w:t>
            </w:r>
          </w:p>
        </w:tc>
        <w:tc>
          <w:tcPr>
            <w:tcW w:w="1016" w:type="dxa"/>
            <w:noWrap w:val="0"/>
            <w:vAlign w:val="center"/>
          </w:tcPr>
          <w:p w14:paraId="5FD1AAE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焊接三通（不锈钢）φ8</w:t>
            </w:r>
          </w:p>
        </w:tc>
        <w:tc>
          <w:tcPr>
            <w:tcW w:w="5250" w:type="dxa"/>
            <w:noWrap w:val="0"/>
            <w:vAlign w:val="center"/>
          </w:tcPr>
          <w:p w14:paraId="1BCBEA7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2.规格:φ14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4361DD7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1188.00</w:t>
            </w:r>
          </w:p>
        </w:tc>
        <w:tc>
          <w:tcPr>
            <w:tcW w:w="500" w:type="dxa"/>
            <w:noWrap w:val="0"/>
            <w:vAlign w:val="center"/>
          </w:tcPr>
          <w:p w14:paraId="4AFBE5B4">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6D7E9F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4B27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8D6BC2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19</w:t>
            </w:r>
          </w:p>
        </w:tc>
        <w:tc>
          <w:tcPr>
            <w:tcW w:w="1016" w:type="dxa"/>
            <w:noWrap w:val="0"/>
            <w:vAlign w:val="center"/>
          </w:tcPr>
          <w:p w14:paraId="0840DAF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焊接变径三通（不锈钢）φ42-φ42-φ22</w:t>
            </w:r>
          </w:p>
        </w:tc>
        <w:tc>
          <w:tcPr>
            <w:tcW w:w="5250" w:type="dxa"/>
            <w:noWrap w:val="0"/>
            <w:vAlign w:val="center"/>
          </w:tcPr>
          <w:p w14:paraId="10E9ED4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2.规格:φ42-φ42-φ22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03BFB81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3D456A9E">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1452DF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EA13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D03CED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20</w:t>
            </w:r>
          </w:p>
        </w:tc>
        <w:tc>
          <w:tcPr>
            <w:tcW w:w="1016" w:type="dxa"/>
            <w:noWrap w:val="0"/>
            <w:vAlign w:val="center"/>
          </w:tcPr>
          <w:p w14:paraId="50808CC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焊接变径三通（不锈钢）φ25-φ25-φ14</w:t>
            </w:r>
          </w:p>
        </w:tc>
        <w:tc>
          <w:tcPr>
            <w:tcW w:w="5250" w:type="dxa"/>
            <w:noWrap w:val="0"/>
            <w:vAlign w:val="center"/>
          </w:tcPr>
          <w:p w14:paraId="6A8567B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2.规格:φ25-φ25-φ14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53BE1826">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16.00</w:t>
            </w:r>
          </w:p>
        </w:tc>
        <w:tc>
          <w:tcPr>
            <w:tcW w:w="500" w:type="dxa"/>
            <w:noWrap w:val="0"/>
            <w:vAlign w:val="center"/>
          </w:tcPr>
          <w:p w14:paraId="1F97FC8B">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BE8FAF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C757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5E0896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21</w:t>
            </w:r>
          </w:p>
        </w:tc>
        <w:tc>
          <w:tcPr>
            <w:tcW w:w="1016" w:type="dxa"/>
            <w:noWrap w:val="0"/>
            <w:vAlign w:val="center"/>
          </w:tcPr>
          <w:p w14:paraId="36F67A0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焊接变径三通（不锈钢）φ25-φ25-φ22</w:t>
            </w:r>
          </w:p>
        </w:tc>
        <w:tc>
          <w:tcPr>
            <w:tcW w:w="5250" w:type="dxa"/>
            <w:noWrap w:val="0"/>
            <w:vAlign w:val="center"/>
          </w:tcPr>
          <w:p w14:paraId="2200105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2.规格:φ25-φ25-φ22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6E07EC1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70954F84">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6C2F9E1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4EDD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56EC0F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22</w:t>
            </w:r>
          </w:p>
        </w:tc>
        <w:tc>
          <w:tcPr>
            <w:tcW w:w="1016" w:type="dxa"/>
            <w:noWrap w:val="0"/>
            <w:vAlign w:val="center"/>
          </w:tcPr>
          <w:p w14:paraId="45CBC9E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焊接变径三通（不锈钢）φ25-φ25-φ18</w:t>
            </w:r>
          </w:p>
        </w:tc>
        <w:tc>
          <w:tcPr>
            <w:tcW w:w="5250" w:type="dxa"/>
            <w:noWrap w:val="0"/>
            <w:vAlign w:val="center"/>
          </w:tcPr>
          <w:p w14:paraId="68CF338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2.规格:φ25-φ25-φ18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53AFC3DC">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3ED8C155">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23E262E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3038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737" w:type="dxa"/>
            <w:noWrap w:val="0"/>
            <w:vAlign w:val="center"/>
          </w:tcPr>
          <w:p w14:paraId="0349D1A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23</w:t>
            </w:r>
          </w:p>
        </w:tc>
        <w:tc>
          <w:tcPr>
            <w:tcW w:w="1016" w:type="dxa"/>
            <w:noWrap w:val="0"/>
            <w:vAlign w:val="center"/>
          </w:tcPr>
          <w:p w14:paraId="30BBC89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焊接变径三通（不锈钢）φ38-φ38-φ32</w:t>
            </w:r>
          </w:p>
        </w:tc>
        <w:tc>
          <w:tcPr>
            <w:tcW w:w="5250" w:type="dxa"/>
            <w:noWrap w:val="0"/>
            <w:vAlign w:val="center"/>
          </w:tcPr>
          <w:p w14:paraId="0EF549F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2.规格:φ38-φ38-φ32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11CB706D">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5700C8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99D692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061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2E7D85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24</w:t>
            </w:r>
          </w:p>
        </w:tc>
        <w:tc>
          <w:tcPr>
            <w:tcW w:w="1016" w:type="dxa"/>
            <w:noWrap w:val="0"/>
            <w:vAlign w:val="center"/>
          </w:tcPr>
          <w:p w14:paraId="70A00BA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焊接变径三通（不锈钢）φ18-φ18-φ8</w:t>
            </w:r>
          </w:p>
        </w:tc>
        <w:tc>
          <w:tcPr>
            <w:tcW w:w="5250" w:type="dxa"/>
            <w:noWrap w:val="0"/>
            <w:vAlign w:val="center"/>
          </w:tcPr>
          <w:p w14:paraId="7B68B5B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2.规格:φ18-φ18-φ8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089CA6A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7.00</w:t>
            </w:r>
          </w:p>
        </w:tc>
        <w:tc>
          <w:tcPr>
            <w:tcW w:w="500" w:type="dxa"/>
            <w:noWrap w:val="0"/>
            <w:vAlign w:val="center"/>
          </w:tcPr>
          <w:p w14:paraId="391C4D1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4E9B24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D35B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4282C2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25</w:t>
            </w:r>
          </w:p>
        </w:tc>
        <w:tc>
          <w:tcPr>
            <w:tcW w:w="1016" w:type="dxa"/>
            <w:noWrap w:val="0"/>
            <w:vAlign w:val="center"/>
          </w:tcPr>
          <w:p w14:paraId="0719CC2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焊接变径三通（不锈钢）φ22-φ22-φ8</w:t>
            </w:r>
          </w:p>
        </w:tc>
        <w:tc>
          <w:tcPr>
            <w:tcW w:w="5250" w:type="dxa"/>
            <w:noWrap w:val="0"/>
            <w:vAlign w:val="center"/>
          </w:tcPr>
          <w:p w14:paraId="3A335BF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2.规格:φ22-φ22-φ8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4E78ACF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480.00</w:t>
            </w:r>
          </w:p>
        </w:tc>
        <w:tc>
          <w:tcPr>
            <w:tcW w:w="500" w:type="dxa"/>
            <w:noWrap w:val="0"/>
            <w:vAlign w:val="center"/>
          </w:tcPr>
          <w:p w14:paraId="6849108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DDB033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905C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D3435A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26</w:t>
            </w:r>
          </w:p>
        </w:tc>
        <w:tc>
          <w:tcPr>
            <w:tcW w:w="1016" w:type="dxa"/>
            <w:noWrap w:val="0"/>
            <w:vAlign w:val="center"/>
          </w:tcPr>
          <w:p w14:paraId="1A00E83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焊接变径三通（不锈钢）φ14-φ14-φ8</w:t>
            </w:r>
          </w:p>
        </w:tc>
        <w:tc>
          <w:tcPr>
            <w:tcW w:w="5250" w:type="dxa"/>
            <w:noWrap w:val="0"/>
            <w:vAlign w:val="center"/>
          </w:tcPr>
          <w:p w14:paraId="33CAA57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2.规格:φ14-φ14-φ8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08B969A6">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46.00</w:t>
            </w:r>
          </w:p>
        </w:tc>
        <w:tc>
          <w:tcPr>
            <w:tcW w:w="500" w:type="dxa"/>
            <w:noWrap w:val="0"/>
            <w:vAlign w:val="center"/>
          </w:tcPr>
          <w:p w14:paraId="75A730D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6E5C97E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23FA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1AC770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27</w:t>
            </w:r>
          </w:p>
        </w:tc>
        <w:tc>
          <w:tcPr>
            <w:tcW w:w="1016" w:type="dxa"/>
            <w:noWrap w:val="0"/>
            <w:vAlign w:val="center"/>
          </w:tcPr>
          <w:p w14:paraId="356EEEA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大小头（不锈钢）φ16转φ8</w:t>
            </w:r>
          </w:p>
        </w:tc>
        <w:tc>
          <w:tcPr>
            <w:tcW w:w="5250" w:type="dxa"/>
            <w:noWrap w:val="0"/>
            <w:vAlign w:val="center"/>
          </w:tcPr>
          <w:p w14:paraId="2C28AD7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2.规格:φ16变φ8</w:t>
            </w:r>
          </w:p>
        </w:tc>
        <w:tc>
          <w:tcPr>
            <w:tcW w:w="1017" w:type="dxa"/>
            <w:noWrap w:val="0"/>
            <w:vAlign w:val="center"/>
          </w:tcPr>
          <w:p w14:paraId="595FAF5C">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86.00</w:t>
            </w:r>
          </w:p>
        </w:tc>
        <w:tc>
          <w:tcPr>
            <w:tcW w:w="500" w:type="dxa"/>
            <w:noWrap w:val="0"/>
            <w:vAlign w:val="center"/>
          </w:tcPr>
          <w:p w14:paraId="413A4B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A55951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F75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42D1D3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28</w:t>
            </w:r>
          </w:p>
        </w:tc>
        <w:tc>
          <w:tcPr>
            <w:tcW w:w="1016" w:type="dxa"/>
            <w:noWrap w:val="0"/>
            <w:vAlign w:val="center"/>
          </w:tcPr>
          <w:p w14:paraId="2D719AB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楼层截止阀（不锈钢）</w:t>
            </w:r>
          </w:p>
        </w:tc>
        <w:tc>
          <w:tcPr>
            <w:tcW w:w="5250" w:type="dxa"/>
            <w:noWrap w:val="0"/>
            <w:vAlign w:val="center"/>
          </w:tcPr>
          <w:p w14:paraId="261B66E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1.名称：截止阀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2.规格：φ32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798A47A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496C0ED5">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26839A3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6B9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B77B07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29</w:t>
            </w:r>
          </w:p>
        </w:tc>
        <w:tc>
          <w:tcPr>
            <w:tcW w:w="1016" w:type="dxa"/>
            <w:noWrap w:val="0"/>
            <w:vAlign w:val="center"/>
          </w:tcPr>
          <w:p w14:paraId="7E92E3B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楼层截止阀（不锈钢）</w:t>
            </w:r>
          </w:p>
        </w:tc>
        <w:tc>
          <w:tcPr>
            <w:tcW w:w="5250" w:type="dxa"/>
            <w:noWrap w:val="0"/>
            <w:vAlign w:val="center"/>
          </w:tcPr>
          <w:p w14:paraId="39594B9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1.名称：截止阀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0EE5AF4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5C7C6A64">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185B3B9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3809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71BA85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30</w:t>
            </w:r>
          </w:p>
        </w:tc>
        <w:tc>
          <w:tcPr>
            <w:tcW w:w="1016" w:type="dxa"/>
            <w:noWrap w:val="0"/>
            <w:vAlign w:val="center"/>
          </w:tcPr>
          <w:p w14:paraId="2BCA69D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楼层截止阀（不锈钢）</w:t>
            </w:r>
          </w:p>
        </w:tc>
        <w:tc>
          <w:tcPr>
            <w:tcW w:w="5250" w:type="dxa"/>
            <w:noWrap w:val="0"/>
            <w:vAlign w:val="center"/>
          </w:tcPr>
          <w:p w14:paraId="79FFF2A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1.名称：截止阀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07C6DBF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43FB882F">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6DA08B5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2FE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D1AACB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31</w:t>
            </w:r>
          </w:p>
        </w:tc>
        <w:tc>
          <w:tcPr>
            <w:tcW w:w="1016" w:type="dxa"/>
            <w:noWrap w:val="0"/>
            <w:vAlign w:val="center"/>
          </w:tcPr>
          <w:p w14:paraId="5AE3DB0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楼层截止阀（不锈钢）</w:t>
            </w:r>
          </w:p>
        </w:tc>
        <w:tc>
          <w:tcPr>
            <w:tcW w:w="5250" w:type="dxa"/>
            <w:noWrap w:val="0"/>
            <w:vAlign w:val="center"/>
          </w:tcPr>
          <w:p w14:paraId="057C614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1.名称：截止阀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2.规格：φ14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599AA71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16.00</w:t>
            </w:r>
          </w:p>
        </w:tc>
        <w:tc>
          <w:tcPr>
            <w:tcW w:w="500" w:type="dxa"/>
            <w:noWrap w:val="0"/>
            <w:vAlign w:val="center"/>
          </w:tcPr>
          <w:p w14:paraId="2AA16A23">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063DC1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296B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733F72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32</w:t>
            </w:r>
          </w:p>
        </w:tc>
        <w:tc>
          <w:tcPr>
            <w:tcW w:w="1016" w:type="dxa"/>
            <w:noWrap w:val="0"/>
            <w:vAlign w:val="center"/>
          </w:tcPr>
          <w:p w14:paraId="2355785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房间截止阀（铜）</w:t>
            </w:r>
          </w:p>
        </w:tc>
        <w:tc>
          <w:tcPr>
            <w:tcW w:w="5250" w:type="dxa"/>
            <w:noWrap w:val="0"/>
            <w:vAlign w:val="center"/>
          </w:tcPr>
          <w:p w14:paraId="6B39050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1.名称：截止阀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170EC11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576.00</w:t>
            </w:r>
          </w:p>
        </w:tc>
        <w:tc>
          <w:tcPr>
            <w:tcW w:w="500" w:type="dxa"/>
            <w:noWrap w:val="0"/>
            <w:vAlign w:val="center"/>
          </w:tcPr>
          <w:p w14:paraId="1A3A3F9B">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384AD04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F57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126D6C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33</w:t>
            </w:r>
          </w:p>
        </w:tc>
        <w:tc>
          <w:tcPr>
            <w:tcW w:w="1016" w:type="dxa"/>
            <w:noWrap w:val="0"/>
            <w:vAlign w:val="center"/>
          </w:tcPr>
          <w:p w14:paraId="3F08F0D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二级减压箱</w:t>
            </w:r>
          </w:p>
        </w:tc>
        <w:tc>
          <w:tcPr>
            <w:tcW w:w="5250" w:type="dxa"/>
            <w:noWrap w:val="0"/>
            <w:vAlign w:val="center"/>
          </w:tcPr>
          <w:p w14:paraId="7638BF1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1.用于病房所在楼层或手术室气体入口处，将管路压力调整到一定的压力范围之内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2.能开启或者切断所在区域的管路通道，便于管道及设备维护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3.双路设计，一路用一路备用，保证不间断供气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4.箱体材质钢板喷塑，明装；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5.内部配置：2只1.5级气体压力表，气体截止阀4只，气体减压器 2套，安全阀一只，气体管道及其配件；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6.进口压力：0.8-1.2mpa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，出口压力：0.35-0.5mpa（连续可调）；流量400L/MIN。</w:t>
            </w:r>
          </w:p>
        </w:tc>
        <w:tc>
          <w:tcPr>
            <w:tcW w:w="1017" w:type="dxa"/>
            <w:noWrap w:val="0"/>
            <w:vAlign w:val="center"/>
          </w:tcPr>
          <w:p w14:paraId="35CB04C4">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33.00</w:t>
            </w:r>
          </w:p>
        </w:tc>
        <w:tc>
          <w:tcPr>
            <w:tcW w:w="500" w:type="dxa"/>
            <w:noWrap w:val="0"/>
            <w:vAlign w:val="center"/>
          </w:tcPr>
          <w:p w14:paraId="25E9A37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台</w:t>
            </w:r>
          </w:p>
        </w:tc>
        <w:tc>
          <w:tcPr>
            <w:tcW w:w="550" w:type="dxa"/>
            <w:noWrap w:val="0"/>
            <w:vAlign w:val="center"/>
          </w:tcPr>
          <w:p w14:paraId="1EE3F07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7026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AFD075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34</w:t>
            </w:r>
          </w:p>
        </w:tc>
        <w:tc>
          <w:tcPr>
            <w:tcW w:w="1016" w:type="dxa"/>
            <w:noWrap w:val="0"/>
            <w:vAlign w:val="center"/>
          </w:tcPr>
          <w:p w14:paraId="7AF8548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压力监测报警箱</w:t>
            </w:r>
          </w:p>
        </w:tc>
        <w:tc>
          <w:tcPr>
            <w:tcW w:w="5250" w:type="dxa"/>
            <w:noWrap w:val="0"/>
            <w:vAlign w:val="center"/>
          </w:tcPr>
          <w:p w14:paraId="7525377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1.明装壁挂式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2.箱体材质：铝合金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3.压力监测箱可承受各种气体工作压力的1.5倍压力，管路不应破裂、泄漏、发生形变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4.压力监测箱加工尺寸符合GB/T1804-2000的m级要求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5.压力表符合2.5级要求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6.工作环境：温度10℃~60℃，湿度10%~95%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7.电源配置器：输入AC100~240V,50-60HZ,输出8.8V0.35A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8.压力精度等级2.5级、1.6级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9.接口螺纹M14X1.5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10.测压报警箱声光报警启动时在1M处应能听到报警声，4M处应能清晰看到报警指示灯闪烁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11.各个压力表的示值在欠压值与超压值范围内时，测压报警箱不应产生声光报警</w:t>
            </w:r>
          </w:p>
        </w:tc>
        <w:tc>
          <w:tcPr>
            <w:tcW w:w="1017" w:type="dxa"/>
            <w:noWrap w:val="0"/>
            <w:vAlign w:val="center"/>
          </w:tcPr>
          <w:p w14:paraId="2C44E89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18</w:t>
            </w:r>
          </w:p>
        </w:tc>
        <w:tc>
          <w:tcPr>
            <w:tcW w:w="500" w:type="dxa"/>
            <w:noWrap w:val="0"/>
            <w:vAlign w:val="center"/>
          </w:tcPr>
          <w:p w14:paraId="54DEA81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个</w:t>
            </w:r>
          </w:p>
        </w:tc>
        <w:tc>
          <w:tcPr>
            <w:tcW w:w="550" w:type="dxa"/>
            <w:noWrap w:val="0"/>
            <w:vAlign w:val="center"/>
          </w:tcPr>
          <w:p w14:paraId="3204845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3B18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F690F8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35</w:t>
            </w:r>
          </w:p>
        </w:tc>
        <w:tc>
          <w:tcPr>
            <w:tcW w:w="1016" w:type="dxa"/>
            <w:noWrap w:val="0"/>
            <w:vAlign w:val="center"/>
          </w:tcPr>
          <w:p w14:paraId="4858C46F">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豪华款设备带</w:t>
            </w:r>
          </w:p>
        </w:tc>
        <w:tc>
          <w:tcPr>
            <w:tcW w:w="5250" w:type="dxa"/>
            <w:noWrap w:val="0"/>
            <w:vAlign w:val="center"/>
          </w:tcPr>
          <w:p w14:paraId="09E3DDC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1.尺寸：宽度220mm*厚度67mm，材料厚度2.0mm；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2.材质：铝合金整体化设计，一体式面板，表面采用静电喷塑，具有良好的防腐和保洁效果；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3、涂层经划格试验，其干式附着力、沸水附着力应达到0级别；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4、表面经耐沸水试验后，膜层无脱落、起泡、起皱等现象；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5、铝合金材质有害物质含量符合欧盟ROHS指令；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6、所有终端设备均可在不动底板的情况下拆卸维修；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7、医用设备带内设置气体腔、强电腔、弱电腔三个独立安装腔，以确保用电安全，符合国际安全标准；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8、燃烧性能等级符合GB 8624-2012平板装建筑材料及制品燃烧性能分级A级并提供相关证明材料。</w:t>
            </w:r>
          </w:p>
        </w:tc>
        <w:tc>
          <w:tcPr>
            <w:tcW w:w="1017" w:type="dxa"/>
            <w:noWrap w:val="0"/>
            <w:vAlign w:val="center"/>
          </w:tcPr>
          <w:p w14:paraId="3A695E6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3315.79</w:t>
            </w:r>
          </w:p>
        </w:tc>
        <w:tc>
          <w:tcPr>
            <w:tcW w:w="500" w:type="dxa"/>
            <w:noWrap w:val="0"/>
            <w:vAlign w:val="center"/>
          </w:tcPr>
          <w:p w14:paraId="6C04C4A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m</w:t>
            </w:r>
          </w:p>
        </w:tc>
        <w:tc>
          <w:tcPr>
            <w:tcW w:w="550" w:type="dxa"/>
            <w:noWrap w:val="0"/>
            <w:vAlign w:val="center"/>
          </w:tcPr>
          <w:p w14:paraId="368DAE0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F3D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0ABBCE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36</w:t>
            </w:r>
          </w:p>
        </w:tc>
        <w:tc>
          <w:tcPr>
            <w:tcW w:w="1016" w:type="dxa"/>
            <w:noWrap w:val="0"/>
            <w:vAlign w:val="center"/>
          </w:tcPr>
          <w:p w14:paraId="451B541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氧气终端</w:t>
            </w:r>
          </w:p>
        </w:tc>
        <w:tc>
          <w:tcPr>
            <w:tcW w:w="5250" w:type="dxa"/>
            <w:noWrap w:val="0"/>
            <w:vAlign w:val="center"/>
          </w:tcPr>
          <w:p w14:paraId="74F0591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1、德标终端，采用整体化设计，快速插拔自闭型接插座，无插头时能自动密封；采用不同定位度数以区分不同气体，具有不可互换性，且插拔方便、密封可靠；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2.按照EN </w:t>
            </w:r>
            <w:r>
              <w:rPr>
                <w:rFonts w:hint="eastAsia"/>
                <w:color w:val="000000" w:themeColor="text1"/>
                <w:lang w:val="en-US" w:eastAsia="zh-CN"/>
                <w14:textFill>
                  <w14:solidFill>
                    <w14:schemeClr w14:val="tx1"/>
                  </w14:solidFill>
                </w14:textFill>
              </w:rPr>
              <w:t>737-1:1998,DIN13260-2,ISO9170-1,ISO9170-2标准进行加工制造，</w:t>
            </w:r>
            <w:r>
              <w:rPr>
                <w:rStyle w:val="11"/>
                <w:rFonts w:hint="eastAsia"/>
                <w:color w:val="000000" w:themeColor="text1"/>
                <w:lang w:val="en-US" w:eastAsia="zh-CN"/>
                <w14:textFill>
                  <w14:solidFill>
                    <w14:schemeClr w14:val="tx1"/>
                  </w14:solidFill>
                </w14:textFill>
              </w:rPr>
              <w:t>CE认证并提供相关证明材料</w:t>
            </w:r>
            <w:r>
              <w:rPr>
                <w:rFonts w:hint="eastAsia"/>
                <w:color w:val="000000" w:themeColor="text1"/>
                <w:lang w:val="en-US" w:eastAsia="zh-CN"/>
                <w14:textFill>
                  <w14:solidFill>
                    <w14:schemeClr w14:val="tx1"/>
                  </w14:solidFill>
                </w14:textFill>
              </w:rPr>
              <w:t xml:space="preserve">； </w:t>
            </w:r>
            <w:r>
              <w:rPr>
                <w:rFonts w:hint="eastAsia"/>
                <w:color w:val="000000" w:themeColor="text1"/>
                <w:lang w:val="en-US" w:eastAsia="zh-CN"/>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3.100%气密性监测，10000次插拔无故障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4.采用ISO32颜色识别气体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5.最大工作压力为0.75MPA</w:t>
            </w:r>
          </w:p>
        </w:tc>
        <w:tc>
          <w:tcPr>
            <w:tcW w:w="1017" w:type="dxa"/>
            <w:noWrap w:val="0"/>
            <w:vAlign w:val="center"/>
          </w:tcPr>
          <w:p w14:paraId="72E55C7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1750.00</w:t>
            </w:r>
          </w:p>
        </w:tc>
        <w:tc>
          <w:tcPr>
            <w:tcW w:w="500" w:type="dxa"/>
            <w:noWrap w:val="0"/>
            <w:vAlign w:val="center"/>
          </w:tcPr>
          <w:p w14:paraId="02D04B4A">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6749660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4BB1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37" w:type="dxa"/>
            <w:noWrap w:val="0"/>
            <w:vAlign w:val="center"/>
          </w:tcPr>
          <w:p w14:paraId="3471B5D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37</w:t>
            </w:r>
          </w:p>
        </w:tc>
        <w:tc>
          <w:tcPr>
            <w:tcW w:w="1016" w:type="dxa"/>
            <w:noWrap w:val="0"/>
            <w:vAlign w:val="center"/>
          </w:tcPr>
          <w:p w14:paraId="5EA0A99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管道支吊架</w:t>
            </w:r>
          </w:p>
        </w:tc>
        <w:tc>
          <w:tcPr>
            <w:tcW w:w="5250" w:type="dxa"/>
            <w:noWrap w:val="0"/>
            <w:vAlign w:val="center"/>
          </w:tcPr>
          <w:p w14:paraId="504C4B0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1.材质:碳钢型钢钢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2.管架形式:木垫式支架，10KG以内</w:t>
            </w:r>
          </w:p>
        </w:tc>
        <w:tc>
          <w:tcPr>
            <w:tcW w:w="1017" w:type="dxa"/>
            <w:noWrap w:val="0"/>
            <w:vAlign w:val="center"/>
          </w:tcPr>
          <w:p w14:paraId="31EED78D">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1940.38</w:t>
            </w:r>
          </w:p>
        </w:tc>
        <w:tc>
          <w:tcPr>
            <w:tcW w:w="500" w:type="dxa"/>
            <w:noWrap w:val="0"/>
            <w:vAlign w:val="center"/>
          </w:tcPr>
          <w:p w14:paraId="5CC7DD53">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kg</w:t>
            </w:r>
          </w:p>
        </w:tc>
        <w:tc>
          <w:tcPr>
            <w:tcW w:w="550" w:type="dxa"/>
            <w:noWrap w:val="0"/>
            <w:vAlign w:val="center"/>
          </w:tcPr>
          <w:p w14:paraId="5822438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A72D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9070" w:type="dxa"/>
            <w:gridSpan w:val="6"/>
            <w:noWrap w:val="0"/>
            <w:vAlign w:val="center"/>
          </w:tcPr>
          <w:p w14:paraId="6D5DC659">
            <w:pPr>
              <w:pStyle w:val="9"/>
              <w:keepNext w:val="0"/>
              <w:keepLines w:val="0"/>
              <w:pageBreakBefore w:val="0"/>
              <w:widowControl w:val="0"/>
              <w:kinsoku/>
              <w:wordWrap/>
              <w:overflowPunct/>
              <w:topLinePunct w:val="0"/>
              <w:autoSpaceDE/>
              <w:autoSpaceDN/>
              <w:bidi w:val="0"/>
              <w:adjustRightInd/>
              <w:snapToGrid/>
              <w:spacing w:line="440" w:lineRule="exact"/>
              <w:jc w:val="left"/>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t>二、医用中心吸引系统</w:t>
            </w:r>
          </w:p>
        </w:tc>
      </w:tr>
      <w:tr w14:paraId="13EC7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D495F3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38</w:t>
            </w:r>
          </w:p>
        </w:tc>
        <w:tc>
          <w:tcPr>
            <w:tcW w:w="1016" w:type="dxa"/>
            <w:noWrap w:val="0"/>
            <w:vAlign w:val="center"/>
          </w:tcPr>
          <w:p w14:paraId="0D582AD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不锈钢管φ108×3.0</w:t>
            </w:r>
          </w:p>
        </w:tc>
        <w:tc>
          <w:tcPr>
            <w:tcW w:w="5250" w:type="dxa"/>
            <w:noWrap w:val="0"/>
            <w:vAlign w:val="center"/>
          </w:tcPr>
          <w:p w14:paraId="3B22BFA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4.规格:φ108×3.0；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6CF20799">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24.00</w:t>
            </w:r>
          </w:p>
        </w:tc>
        <w:tc>
          <w:tcPr>
            <w:tcW w:w="500" w:type="dxa"/>
            <w:noWrap w:val="0"/>
            <w:vAlign w:val="center"/>
          </w:tcPr>
          <w:p w14:paraId="722E2AD5">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68DE449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EA7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1DA6FE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39</w:t>
            </w:r>
          </w:p>
        </w:tc>
        <w:tc>
          <w:tcPr>
            <w:tcW w:w="1016" w:type="dxa"/>
            <w:noWrap w:val="0"/>
            <w:vAlign w:val="center"/>
          </w:tcPr>
          <w:p w14:paraId="5A77DA9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不锈钢管φ57×2.5</w:t>
            </w:r>
          </w:p>
        </w:tc>
        <w:tc>
          <w:tcPr>
            <w:tcW w:w="5250" w:type="dxa"/>
            <w:noWrap w:val="0"/>
            <w:vAlign w:val="center"/>
          </w:tcPr>
          <w:p w14:paraId="4343C2F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4.规格:φ57×2.5；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270C2DE1">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79.30</w:t>
            </w:r>
          </w:p>
        </w:tc>
        <w:tc>
          <w:tcPr>
            <w:tcW w:w="500" w:type="dxa"/>
            <w:noWrap w:val="0"/>
            <w:vAlign w:val="center"/>
          </w:tcPr>
          <w:p w14:paraId="70B83F26">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1D6BA34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3C0B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565566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40</w:t>
            </w:r>
          </w:p>
        </w:tc>
        <w:tc>
          <w:tcPr>
            <w:tcW w:w="1016" w:type="dxa"/>
            <w:noWrap w:val="0"/>
            <w:vAlign w:val="center"/>
          </w:tcPr>
          <w:p w14:paraId="65125C1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不锈钢管φ45×2.5</w:t>
            </w:r>
          </w:p>
        </w:tc>
        <w:tc>
          <w:tcPr>
            <w:tcW w:w="5250" w:type="dxa"/>
            <w:noWrap w:val="0"/>
            <w:vAlign w:val="center"/>
          </w:tcPr>
          <w:p w14:paraId="3407AE5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4.规格:φ45×2.5；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72F9866C">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321.51</w:t>
            </w:r>
          </w:p>
        </w:tc>
        <w:tc>
          <w:tcPr>
            <w:tcW w:w="500" w:type="dxa"/>
            <w:noWrap w:val="0"/>
            <w:vAlign w:val="center"/>
          </w:tcPr>
          <w:p w14:paraId="4FAB767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437DA3E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341C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737" w:type="dxa"/>
            <w:noWrap w:val="0"/>
            <w:vAlign w:val="center"/>
          </w:tcPr>
          <w:p w14:paraId="2D75A94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41</w:t>
            </w:r>
          </w:p>
        </w:tc>
        <w:tc>
          <w:tcPr>
            <w:tcW w:w="1016" w:type="dxa"/>
            <w:noWrap w:val="0"/>
            <w:vAlign w:val="center"/>
          </w:tcPr>
          <w:p w14:paraId="1BE005D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不锈钢管φ38×2.0</w:t>
            </w:r>
          </w:p>
        </w:tc>
        <w:tc>
          <w:tcPr>
            <w:tcW w:w="5250" w:type="dxa"/>
            <w:noWrap w:val="0"/>
            <w:vAlign w:val="center"/>
          </w:tcPr>
          <w:p w14:paraId="183A45F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4.规格:φ38×2.0；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082F0D8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32.30</w:t>
            </w:r>
          </w:p>
        </w:tc>
        <w:tc>
          <w:tcPr>
            <w:tcW w:w="500" w:type="dxa"/>
            <w:noWrap w:val="0"/>
            <w:vAlign w:val="center"/>
          </w:tcPr>
          <w:p w14:paraId="2B965167">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0CC1667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627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37" w:type="dxa"/>
            <w:noWrap w:val="0"/>
            <w:vAlign w:val="center"/>
          </w:tcPr>
          <w:p w14:paraId="6F7DE5B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42</w:t>
            </w:r>
          </w:p>
        </w:tc>
        <w:tc>
          <w:tcPr>
            <w:tcW w:w="1016" w:type="dxa"/>
            <w:noWrap w:val="0"/>
            <w:vAlign w:val="center"/>
          </w:tcPr>
          <w:p w14:paraId="5E99175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不锈钢管φ32×2.0</w:t>
            </w:r>
          </w:p>
        </w:tc>
        <w:tc>
          <w:tcPr>
            <w:tcW w:w="5250" w:type="dxa"/>
            <w:noWrap w:val="0"/>
            <w:vAlign w:val="center"/>
          </w:tcPr>
          <w:p w14:paraId="5448731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4.规格:φ32×2.0；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1714BA4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105.09</w:t>
            </w:r>
          </w:p>
        </w:tc>
        <w:tc>
          <w:tcPr>
            <w:tcW w:w="500" w:type="dxa"/>
            <w:noWrap w:val="0"/>
            <w:vAlign w:val="center"/>
          </w:tcPr>
          <w:p w14:paraId="2C0695EC">
            <w:pPr>
              <w:keepNext w:val="0"/>
              <w:keepLines w:val="0"/>
              <w:widowControl/>
              <w:suppressLineNumbers w:val="0"/>
              <w:jc w:val="center"/>
              <w:textAlignment w:val="center"/>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2F7D2E0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142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B0D248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43</w:t>
            </w:r>
          </w:p>
        </w:tc>
        <w:tc>
          <w:tcPr>
            <w:tcW w:w="1016" w:type="dxa"/>
            <w:noWrap w:val="0"/>
            <w:vAlign w:val="center"/>
          </w:tcPr>
          <w:p w14:paraId="464FEBFF">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不锈钢管φ25×2.0</w:t>
            </w:r>
          </w:p>
        </w:tc>
        <w:tc>
          <w:tcPr>
            <w:tcW w:w="5250" w:type="dxa"/>
            <w:noWrap w:val="0"/>
            <w:vAlign w:val="center"/>
          </w:tcPr>
          <w:p w14:paraId="0413571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4.规格:φ25×1；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02E41EC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1051.35</w:t>
            </w:r>
          </w:p>
        </w:tc>
        <w:tc>
          <w:tcPr>
            <w:tcW w:w="500" w:type="dxa"/>
            <w:noWrap w:val="0"/>
            <w:vAlign w:val="center"/>
          </w:tcPr>
          <w:p w14:paraId="77ED246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2CFC771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E32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6B2D28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44</w:t>
            </w:r>
          </w:p>
        </w:tc>
        <w:tc>
          <w:tcPr>
            <w:tcW w:w="1016" w:type="dxa"/>
            <w:noWrap w:val="0"/>
            <w:vAlign w:val="center"/>
          </w:tcPr>
          <w:p w14:paraId="10D96D2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不锈钢管φ10×1.0</w:t>
            </w:r>
          </w:p>
        </w:tc>
        <w:tc>
          <w:tcPr>
            <w:tcW w:w="5250" w:type="dxa"/>
            <w:noWrap w:val="0"/>
            <w:vAlign w:val="center"/>
          </w:tcPr>
          <w:p w14:paraId="30A0C42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2.材质:紫铜TP2；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 φ10×1.0；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5.连接形式:银钎焊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6.管道吹扫、管道清洗、气压试验、强度试验，气密性试验、气体置换等；管道焊接口防腐处理，刷防火涂料，管道接地，接地电阻应≤10Ω；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7.符合YS/T 650-2020 《医用气体和真空用无缝铜管》规范要求；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8.附配件:含脱脂处理、紫铜管件。</w:t>
            </w:r>
          </w:p>
        </w:tc>
        <w:tc>
          <w:tcPr>
            <w:tcW w:w="1017" w:type="dxa"/>
            <w:noWrap w:val="0"/>
            <w:vAlign w:val="center"/>
          </w:tcPr>
          <w:p w14:paraId="50C79B1C">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2202.48</w:t>
            </w:r>
          </w:p>
        </w:tc>
        <w:tc>
          <w:tcPr>
            <w:tcW w:w="500" w:type="dxa"/>
            <w:noWrap w:val="0"/>
            <w:vAlign w:val="center"/>
          </w:tcPr>
          <w:p w14:paraId="2356D7B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5B95A4F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2C38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864CDC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45</w:t>
            </w:r>
          </w:p>
        </w:tc>
        <w:tc>
          <w:tcPr>
            <w:tcW w:w="1016" w:type="dxa"/>
            <w:noWrap w:val="0"/>
            <w:vAlign w:val="center"/>
          </w:tcPr>
          <w:p w14:paraId="114346A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吸引终端</w:t>
            </w:r>
          </w:p>
        </w:tc>
        <w:tc>
          <w:tcPr>
            <w:tcW w:w="5250" w:type="dxa"/>
            <w:noWrap w:val="0"/>
            <w:vAlign w:val="center"/>
          </w:tcPr>
          <w:p w14:paraId="277E582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1、德标终端，采用整体化设计，快速插拔自闭型接插座，无插头时能自动密封；采用不同定位度数以区分不同气体，具有不可互换性，且插拔方便、密封可靠；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2.按照EN 737-1:1998,DIN13260-2,ISO9170-1,ISO9170-2标准进行加工制造，CE认证并提供相关证明材料；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3.100%气密性监测，10000次插拔无故障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4.采用ISO32颜色识别气体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5.最大工作压力为0.75MPA</w:t>
            </w:r>
          </w:p>
        </w:tc>
        <w:tc>
          <w:tcPr>
            <w:tcW w:w="1017" w:type="dxa"/>
            <w:noWrap w:val="0"/>
            <w:vAlign w:val="center"/>
          </w:tcPr>
          <w:p w14:paraId="23C7F76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1750.00</w:t>
            </w:r>
          </w:p>
        </w:tc>
        <w:tc>
          <w:tcPr>
            <w:tcW w:w="500" w:type="dxa"/>
            <w:noWrap w:val="0"/>
            <w:vAlign w:val="center"/>
          </w:tcPr>
          <w:p w14:paraId="48BBD82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CEACC7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0BE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369D97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46</w:t>
            </w:r>
          </w:p>
        </w:tc>
        <w:tc>
          <w:tcPr>
            <w:tcW w:w="1016" w:type="dxa"/>
            <w:noWrap w:val="0"/>
            <w:vAlign w:val="center"/>
          </w:tcPr>
          <w:p w14:paraId="573B1FC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吸引总阀（不锈钢）DN80</w:t>
            </w:r>
          </w:p>
        </w:tc>
        <w:tc>
          <w:tcPr>
            <w:tcW w:w="5250" w:type="dxa"/>
            <w:noWrap w:val="0"/>
            <w:vAlign w:val="center"/>
          </w:tcPr>
          <w:p w14:paraId="3B135C3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2.规格:DN80;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5.连接形式:法兰连接;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8.密封可靠、硬度高、耐磨、耐高温、耐腐蚀、抗擦伤性能好、寿命长;</w:t>
            </w:r>
          </w:p>
        </w:tc>
        <w:tc>
          <w:tcPr>
            <w:tcW w:w="1017" w:type="dxa"/>
            <w:noWrap w:val="0"/>
            <w:vAlign w:val="center"/>
          </w:tcPr>
          <w:p w14:paraId="041EBF4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086D02F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361D85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47B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37" w:type="dxa"/>
            <w:noWrap w:val="0"/>
            <w:vAlign w:val="center"/>
          </w:tcPr>
          <w:p w14:paraId="6257892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47</w:t>
            </w:r>
          </w:p>
        </w:tc>
        <w:tc>
          <w:tcPr>
            <w:tcW w:w="1016" w:type="dxa"/>
            <w:noWrap w:val="0"/>
            <w:vAlign w:val="center"/>
          </w:tcPr>
          <w:p w14:paraId="52A9196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楼层球阀（不锈钢）DN50</w:t>
            </w:r>
          </w:p>
        </w:tc>
        <w:tc>
          <w:tcPr>
            <w:tcW w:w="5250" w:type="dxa"/>
            <w:noWrap w:val="0"/>
            <w:vAlign w:val="center"/>
          </w:tcPr>
          <w:p w14:paraId="5545066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2.规格：DN50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5934BF3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7D68DF3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6537825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3C5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E5ED4D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48</w:t>
            </w:r>
          </w:p>
        </w:tc>
        <w:tc>
          <w:tcPr>
            <w:tcW w:w="1016" w:type="dxa"/>
            <w:noWrap w:val="0"/>
            <w:vAlign w:val="center"/>
          </w:tcPr>
          <w:p w14:paraId="16DB92D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楼层球阀（不锈钢）DN40</w:t>
            </w:r>
          </w:p>
        </w:tc>
        <w:tc>
          <w:tcPr>
            <w:tcW w:w="5250" w:type="dxa"/>
            <w:noWrap w:val="0"/>
            <w:vAlign w:val="center"/>
          </w:tcPr>
          <w:p w14:paraId="4DDF701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2.规格：DN40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50145F9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123E9A9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56188A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FFE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7C6EBA2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49</w:t>
            </w:r>
          </w:p>
        </w:tc>
        <w:tc>
          <w:tcPr>
            <w:tcW w:w="1016" w:type="dxa"/>
            <w:noWrap w:val="0"/>
            <w:vAlign w:val="center"/>
          </w:tcPr>
          <w:p w14:paraId="107B04F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楼层球阀（不锈钢）DN32</w:t>
            </w:r>
          </w:p>
        </w:tc>
        <w:tc>
          <w:tcPr>
            <w:tcW w:w="5250" w:type="dxa"/>
            <w:noWrap w:val="0"/>
            <w:vAlign w:val="center"/>
          </w:tcPr>
          <w:p w14:paraId="06834CF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2.规格：DN32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0FA59D2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55F16E4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83E358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CCE7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FC7963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50</w:t>
            </w:r>
          </w:p>
        </w:tc>
        <w:tc>
          <w:tcPr>
            <w:tcW w:w="1016" w:type="dxa"/>
            <w:noWrap w:val="0"/>
            <w:vAlign w:val="center"/>
          </w:tcPr>
          <w:p w14:paraId="5D6F884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楼层球阀（不锈钢）DN25</w:t>
            </w:r>
          </w:p>
        </w:tc>
        <w:tc>
          <w:tcPr>
            <w:tcW w:w="5250" w:type="dxa"/>
            <w:noWrap w:val="0"/>
            <w:vAlign w:val="center"/>
          </w:tcPr>
          <w:p w14:paraId="2DD3F82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2.规格：DN25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0C2EBA6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290706C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16BF79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326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D13A0A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51</w:t>
            </w:r>
          </w:p>
        </w:tc>
        <w:tc>
          <w:tcPr>
            <w:tcW w:w="1016" w:type="dxa"/>
            <w:noWrap w:val="0"/>
            <w:vAlign w:val="center"/>
          </w:tcPr>
          <w:p w14:paraId="51AA10F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楼层球阀（不锈钢）DN20</w:t>
            </w:r>
          </w:p>
        </w:tc>
        <w:tc>
          <w:tcPr>
            <w:tcW w:w="5250" w:type="dxa"/>
            <w:noWrap w:val="0"/>
            <w:vAlign w:val="center"/>
          </w:tcPr>
          <w:p w14:paraId="3BE1EB7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5FC3BC8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14.00</w:t>
            </w:r>
          </w:p>
        </w:tc>
        <w:tc>
          <w:tcPr>
            <w:tcW w:w="500" w:type="dxa"/>
            <w:noWrap w:val="0"/>
            <w:vAlign w:val="center"/>
          </w:tcPr>
          <w:p w14:paraId="2514BEED">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CB9D31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EB2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B7F70A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52</w:t>
            </w:r>
          </w:p>
        </w:tc>
        <w:tc>
          <w:tcPr>
            <w:tcW w:w="1016" w:type="dxa"/>
            <w:noWrap w:val="0"/>
            <w:vAlign w:val="center"/>
          </w:tcPr>
          <w:p w14:paraId="4026589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焊接弯头（不锈钢）φ45</w:t>
            </w:r>
          </w:p>
        </w:tc>
        <w:tc>
          <w:tcPr>
            <w:tcW w:w="5250" w:type="dxa"/>
            <w:noWrap w:val="0"/>
            <w:vAlign w:val="center"/>
          </w:tcPr>
          <w:p w14:paraId="399EC09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2.规格:φ45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2546C58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40.00</w:t>
            </w:r>
          </w:p>
        </w:tc>
        <w:tc>
          <w:tcPr>
            <w:tcW w:w="500" w:type="dxa"/>
            <w:noWrap w:val="0"/>
            <w:vAlign w:val="center"/>
          </w:tcPr>
          <w:p w14:paraId="5AAB6D0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38ABD07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8E75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4AAE61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53</w:t>
            </w:r>
          </w:p>
        </w:tc>
        <w:tc>
          <w:tcPr>
            <w:tcW w:w="1016" w:type="dxa"/>
            <w:noWrap w:val="0"/>
            <w:vAlign w:val="center"/>
          </w:tcPr>
          <w:p w14:paraId="50CB241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焊接弯头（不锈钢）φ38</w:t>
            </w:r>
          </w:p>
        </w:tc>
        <w:tc>
          <w:tcPr>
            <w:tcW w:w="5250" w:type="dxa"/>
            <w:noWrap w:val="0"/>
            <w:vAlign w:val="center"/>
          </w:tcPr>
          <w:p w14:paraId="074405C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2.规格:φ38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77E679E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3.00</w:t>
            </w:r>
          </w:p>
        </w:tc>
        <w:tc>
          <w:tcPr>
            <w:tcW w:w="500" w:type="dxa"/>
            <w:noWrap w:val="0"/>
            <w:vAlign w:val="center"/>
          </w:tcPr>
          <w:p w14:paraId="17D2547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110AF36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0EC3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737" w:type="dxa"/>
            <w:noWrap w:val="0"/>
            <w:vAlign w:val="center"/>
          </w:tcPr>
          <w:p w14:paraId="7FA67C0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54</w:t>
            </w:r>
          </w:p>
        </w:tc>
        <w:tc>
          <w:tcPr>
            <w:tcW w:w="1016" w:type="dxa"/>
            <w:noWrap w:val="0"/>
            <w:vAlign w:val="center"/>
          </w:tcPr>
          <w:p w14:paraId="370B07DF">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焊接弯头（不锈钢）φ32</w:t>
            </w:r>
          </w:p>
        </w:tc>
        <w:tc>
          <w:tcPr>
            <w:tcW w:w="5250" w:type="dxa"/>
            <w:noWrap w:val="0"/>
            <w:vAlign w:val="center"/>
          </w:tcPr>
          <w:p w14:paraId="1297F88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2.规格:φ32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246E259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4.00</w:t>
            </w:r>
          </w:p>
        </w:tc>
        <w:tc>
          <w:tcPr>
            <w:tcW w:w="500" w:type="dxa"/>
            <w:noWrap w:val="0"/>
            <w:vAlign w:val="center"/>
          </w:tcPr>
          <w:p w14:paraId="6F278F4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330FF7A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6AF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62E9BF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55</w:t>
            </w:r>
          </w:p>
        </w:tc>
        <w:tc>
          <w:tcPr>
            <w:tcW w:w="1016" w:type="dxa"/>
            <w:noWrap w:val="0"/>
            <w:vAlign w:val="center"/>
          </w:tcPr>
          <w:p w14:paraId="3DA80CE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焊接弯头（不锈钢）φ25</w:t>
            </w:r>
          </w:p>
        </w:tc>
        <w:tc>
          <w:tcPr>
            <w:tcW w:w="5250" w:type="dxa"/>
            <w:noWrap w:val="0"/>
            <w:vAlign w:val="center"/>
          </w:tcPr>
          <w:p w14:paraId="7C23CDF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688D8D61">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30.00</w:t>
            </w:r>
          </w:p>
        </w:tc>
        <w:tc>
          <w:tcPr>
            <w:tcW w:w="500" w:type="dxa"/>
            <w:noWrap w:val="0"/>
            <w:vAlign w:val="center"/>
          </w:tcPr>
          <w:p w14:paraId="4040FA5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7519E1C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24F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076184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56</w:t>
            </w:r>
          </w:p>
        </w:tc>
        <w:tc>
          <w:tcPr>
            <w:tcW w:w="1016" w:type="dxa"/>
            <w:noWrap w:val="0"/>
            <w:vAlign w:val="center"/>
          </w:tcPr>
          <w:p w14:paraId="674FEC1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焊接弯头（不锈钢）φ10</w:t>
            </w:r>
          </w:p>
        </w:tc>
        <w:tc>
          <w:tcPr>
            <w:tcW w:w="5250" w:type="dxa"/>
            <w:noWrap w:val="0"/>
            <w:vAlign w:val="center"/>
          </w:tcPr>
          <w:p w14:paraId="2BDFA89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7326299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2291.00</w:t>
            </w:r>
          </w:p>
        </w:tc>
        <w:tc>
          <w:tcPr>
            <w:tcW w:w="500" w:type="dxa"/>
            <w:noWrap w:val="0"/>
            <w:vAlign w:val="center"/>
          </w:tcPr>
          <w:p w14:paraId="3925AB6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A725B1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5C2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336EE1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57</w:t>
            </w:r>
          </w:p>
        </w:tc>
        <w:tc>
          <w:tcPr>
            <w:tcW w:w="1016" w:type="dxa"/>
            <w:noWrap w:val="0"/>
            <w:vAlign w:val="center"/>
          </w:tcPr>
          <w:p w14:paraId="7523C86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焊接三通（不锈钢）φ10</w:t>
            </w:r>
          </w:p>
        </w:tc>
        <w:tc>
          <w:tcPr>
            <w:tcW w:w="5250" w:type="dxa"/>
            <w:noWrap w:val="0"/>
            <w:vAlign w:val="center"/>
          </w:tcPr>
          <w:p w14:paraId="14FE30B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4640C5D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1127.00</w:t>
            </w:r>
          </w:p>
        </w:tc>
        <w:tc>
          <w:tcPr>
            <w:tcW w:w="500" w:type="dxa"/>
            <w:noWrap w:val="0"/>
            <w:vAlign w:val="center"/>
          </w:tcPr>
          <w:p w14:paraId="467B88E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784AF1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C9D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5AA8F1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58</w:t>
            </w:r>
          </w:p>
        </w:tc>
        <w:tc>
          <w:tcPr>
            <w:tcW w:w="1016" w:type="dxa"/>
            <w:noWrap w:val="0"/>
            <w:vAlign w:val="center"/>
          </w:tcPr>
          <w:p w14:paraId="561ECE0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焊接变径三通（不锈钢）φ108变φ45</w:t>
            </w:r>
          </w:p>
        </w:tc>
        <w:tc>
          <w:tcPr>
            <w:tcW w:w="5250" w:type="dxa"/>
            <w:noWrap w:val="0"/>
            <w:vAlign w:val="center"/>
          </w:tcPr>
          <w:p w14:paraId="7D8D4E2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2.规格:φ108变φ45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69E193F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6FF8B87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15F348C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80E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7DE37B6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59</w:t>
            </w:r>
          </w:p>
        </w:tc>
        <w:tc>
          <w:tcPr>
            <w:tcW w:w="1016" w:type="dxa"/>
            <w:noWrap w:val="0"/>
            <w:vAlign w:val="center"/>
          </w:tcPr>
          <w:p w14:paraId="51897C7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焊接变径三通（不锈钢）φ57变φ45</w:t>
            </w:r>
          </w:p>
        </w:tc>
        <w:tc>
          <w:tcPr>
            <w:tcW w:w="5250" w:type="dxa"/>
            <w:noWrap w:val="0"/>
            <w:vAlign w:val="center"/>
          </w:tcPr>
          <w:p w14:paraId="3A45712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2.规格:φ57变φ45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10F5E07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247B417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69C9D7C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E58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6B625D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60</w:t>
            </w:r>
          </w:p>
        </w:tc>
        <w:tc>
          <w:tcPr>
            <w:tcW w:w="1016" w:type="dxa"/>
            <w:noWrap w:val="0"/>
            <w:vAlign w:val="center"/>
          </w:tcPr>
          <w:p w14:paraId="546B7C4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焊接变径三通（不锈钢）φ57变φ25</w:t>
            </w:r>
          </w:p>
        </w:tc>
        <w:tc>
          <w:tcPr>
            <w:tcW w:w="5250" w:type="dxa"/>
            <w:noWrap w:val="0"/>
            <w:vAlign w:val="center"/>
          </w:tcPr>
          <w:p w14:paraId="1112C56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2.规格:φ57变φ25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35056D6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2D3F2AC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7EF871B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6D7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23EE53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61</w:t>
            </w:r>
          </w:p>
        </w:tc>
        <w:tc>
          <w:tcPr>
            <w:tcW w:w="1016" w:type="dxa"/>
            <w:noWrap w:val="0"/>
            <w:vAlign w:val="center"/>
          </w:tcPr>
          <w:p w14:paraId="5C1BB06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焊接变径三通（不锈钢）φ45变φ10</w:t>
            </w:r>
          </w:p>
        </w:tc>
        <w:tc>
          <w:tcPr>
            <w:tcW w:w="5250" w:type="dxa"/>
            <w:noWrap w:val="0"/>
            <w:vAlign w:val="center"/>
          </w:tcPr>
          <w:p w14:paraId="2932EDA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2.规格:φ45变φ10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158060B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551.00</w:t>
            </w:r>
          </w:p>
        </w:tc>
        <w:tc>
          <w:tcPr>
            <w:tcW w:w="500" w:type="dxa"/>
            <w:noWrap w:val="0"/>
            <w:vAlign w:val="center"/>
          </w:tcPr>
          <w:p w14:paraId="73A68B6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A8FB0A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84B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2B314B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62</w:t>
            </w:r>
          </w:p>
        </w:tc>
        <w:tc>
          <w:tcPr>
            <w:tcW w:w="1016" w:type="dxa"/>
            <w:noWrap w:val="0"/>
            <w:vAlign w:val="center"/>
          </w:tcPr>
          <w:p w14:paraId="38F2E05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焊接变径三通（不锈钢）φ38变φ10</w:t>
            </w:r>
          </w:p>
        </w:tc>
        <w:tc>
          <w:tcPr>
            <w:tcW w:w="5250" w:type="dxa"/>
            <w:noWrap w:val="0"/>
            <w:vAlign w:val="center"/>
          </w:tcPr>
          <w:p w14:paraId="643A43E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2.规格:φ38变φ10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6F811F5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7.00</w:t>
            </w:r>
          </w:p>
        </w:tc>
        <w:tc>
          <w:tcPr>
            <w:tcW w:w="500" w:type="dxa"/>
            <w:noWrap w:val="0"/>
            <w:vAlign w:val="center"/>
          </w:tcPr>
          <w:p w14:paraId="245AFE0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2FB7B25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AF48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F24EA9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63</w:t>
            </w:r>
          </w:p>
        </w:tc>
        <w:tc>
          <w:tcPr>
            <w:tcW w:w="1016" w:type="dxa"/>
            <w:noWrap w:val="0"/>
            <w:vAlign w:val="center"/>
          </w:tcPr>
          <w:p w14:paraId="351D128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焊接变径三通（不锈钢）φ32变φ10</w:t>
            </w:r>
          </w:p>
        </w:tc>
        <w:tc>
          <w:tcPr>
            <w:tcW w:w="5250" w:type="dxa"/>
            <w:noWrap w:val="0"/>
            <w:vAlign w:val="center"/>
          </w:tcPr>
          <w:p w14:paraId="1CB4C0A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2.规格:φ32-φ10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5669FDD6">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3F32FFB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7EEAB0F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A22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B6793A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default"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64</w:t>
            </w:r>
          </w:p>
        </w:tc>
        <w:tc>
          <w:tcPr>
            <w:tcW w:w="1016" w:type="dxa"/>
            <w:noWrap w:val="0"/>
            <w:vAlign w:val="center"/>
          </w:tcPr>
          <w:p w14:paraId="1443E36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焊接变径三通（不锈钢）φ25变φ10</w:t>
            </w:r>
          </w:p>
        </w:tc>
        <w:tc>
          <w:tcPr>
            <w:tcW w:w="5250" w:type="dxa"/>
            <w:noWrap w:val="0"/>
            <w:vAlign w:val="center"/>
          </w:tcPr>
          <w:p w14:paraId="304DD9E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2.规格:φ25变φ10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2BC26A0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44.00</w:t>
            </w:r>
          </w:p>
        </w:tc>
        <w:tc>
          <w:tcPr>
            <w:tcW w:w="500" w:type="dxa"/>
            <w:noWrap w:val="0"/>
            <w:vAlign w:val="center"/>
          </w:tcPr>
          <w:p w14:paraId="57E5F79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37F2E2A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35E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37" w:type="dxa"/>
            <w:noWrap w:val="0"/>
            <w:vAlign w:val="center"/>
          </w:tcPr>
          <w:p w14:paraId="4300A8F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65</w:t>
            </w:r>
          </w:p>
        </w:tc>
        <w:tc>
          <w:tcPr>
            <w:tcW w:w="1016" w:type="dxa"/>
            <w:noWrap w:val="0"/>
            <w:vAlign w:val="center"/>
          </w:tcPr>
          <w:p w14:paraId="1FF5ACC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油润式真空泵组</w:t>
            </w:r>
          </w:p>
        </w:tc>
        <w:tc>
          <w:tcPr>
            <w:tcW w:w="5250" w:type="dxa"/>
            <w:noWrap w:val="0"/>
            <w:vAlign w:val="center"/>
          </w:tcPr>
          <w:p w14:paraId="502A0E6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1.油润式真空泵：含3台真空泵（一备两用）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2.最大排气量：300 m3/h（每台）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3.额定功率：7.5 KW  （每台）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4.医用中心吸引系统压力区间为-0.07MPa~-0.02MPa,并能在该范围内任意调节；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5.医用中心吸引系统应具有良好的密封性，当压力为-0.07MPa时，因泄露引起的增压率平均每小时不得超过1.8%；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6.运行噪声:噪音≤70db(A)，转速：≥1450min-1；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7.医用中心吸引系统真空泵组应有备用，当工作泵发生故障时备用真空泵机组 应能自动启动，以保证吸引系统正常工作；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8.医用中心吸引系统应有可靠的接地装置，接地电阻应＜10Ω，电控柜的绝缘电阻值≥2MΩ。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9.所提供的产品应具有二类医疗器械注册证并提供相关证明材料；</w:t>
            </w:r>
          </w:p>
        </w:tc>
        <w:tc>
          <w:tcPr>
            <w:tcW w:w="1017" w:type="dxa"/>
            <w:noWrap w:val="0"/>
            <w:vAlign w:val="center"/>
          </w:tcPr>
          <w:p w14:paraId="55BBDF2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3.00</w:t>
            </w:r>
          </w:p>
        </w:tc>
        <w:tc>
          <w:tcPr>
            <w:tcW w:w="500" w:type="dxa"/>
            <w:noWrap w:val="0"/>
            <w:vAlign w:val="center"/>
          </w:tcPr>
          <w:p w14:paraId="0E55EE1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套</w:t>
            </w:r>
          </w:p>
        </w:tc>
        <w:tc>
          <w:tcPr>
            <w:tcW w:w="550" w:type="dxa"/>
            <w:noWrap w:val="0"/>
            <w:vAlign w:val="center"/>
          </w:tcPr>
          <w:p w14:paraId="40C55D9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CF1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544F16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66</w:t>
            </w:r>
          </w:p>
        </w:tc>
        <w:tc>
          <w:tcPr>
            <w:tcW w:w="1016" w:type="dxa"/>
            <w:noWrap w:val="0"/>
            <w:vAlign w:val="center"/>
          </w:tcPr>
          <w:p w14:paraId="5640A49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管控系统（含密码系统）标配（含控制柜）</w:t>
            </w:r>
          </w:p>
        </w:tc>
        <w:tc>
          <w:tcPr>
            <w:tcW w:w="5250" w:type="dxa"/>
            <w:noWrap w:val="0"/>
            <w:vAlign w:val="center"/>
          </w:tcPr>
          <w:p w14:paraId="523F8C7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1.能分别对所有机组进行手动控制和自动控制启、停，其中自动控制的负压值在-0.03Mpa~-0.07Mpa之间，并能在该范围内任意调节；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2.工作机组与备用机组可交替切换使用；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3.当压力达到报警压力值时，能声光报警；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4.当一台机组工作满足不了负压上限为-0.03Mpa，下限为-0.07Mpa时，10秒钟后，另一台备用机组自动投入运行；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5.如遇停电后恢复送电，机组可自动投入运行。</w:t>
            </w:r>
          </w:p>
        </w:tc>
        <w:tc>
          <w:tcPr>
            <w:tcW w:w="1017" w:type="dxa"/>
            <w:noWrap w:val="0"/>
            <w:vAlign w:val="center"/>
          </w:tcPr>
          <w:p w14:paraId="5BCF3A56">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3328807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43E7BDD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3A98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148274B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67</w:t>
            </w:r>
          </w:p>
        </w:tc>
        <w:tc>
          <w:tcPr>
            <w:tcW w:w="1016" w:type="dxa"/>
            <w:noWrap w:val="0"/>
            <w:vAlign w:val="center"/>
          </w:tcPr>
          <w:p w14:paraId="6CC6602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医用分气缸 2抽5吸</w:t>
            </w:r>
          </w:p>
        </w:tc>
        <w:tc>
          <w:tcPr>
            <w:tcW w:w="5250" w:type="dxa"/>
            <w:noWrap w:val="0"/>
            <w:vAlign w:val="center"/>
          </w:tcPr>
          <w:p w14:paraId="26CF4BA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1.材质：O6Cr19Ni10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2.规格：2抽5吸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4、采用φ159*3的无缝不锈钢管焊接；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5、设计压力为1.0 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6、含配套的每个接口用法兰、压力表及安全阀（含校验）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7、含脱脂处理、吹扫、气压试验、管强度试验、气密性试验等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8、道焊接口防腐处理等</w:t>
            </w:r>
          </w:p>
        </w:tc>
        <w:tc>
          <w:tcPr>
            <w:tcW w:w="1017" w:type="dxa"/>
            <w:noWrap w:val="0"/>
            <w:vAlign w:val="center"/>
          </w:tcPr>
          <w:p w14:paraId="47B5417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7DC727A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套</w:t>
            </w:r>
          </w:p>
        </w:tc>
        <w:tc>
          <w:tcPr>
            <w:tcW w:w="550" w:type="dxa"/>
            <w:noWrap w:val="0"/>
            <w:vAlign w:val="center"/>
          </w:tcPr>
          <w:p w14:paraId="7E891F0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F9E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1AEA62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68</w:t>
            </w:r>
          </w:p>
        </w:tc>
        <w:tc>
          <w:tcPr>
            <w:tcW w:w="1016" w:type="dxa"/>
            <w:noWrap w:val="0"/>
            <w:vAlign w:val="center"/>
          </w:tcPr>
          <w:p w14:paraId="288006E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集污罐 0.1m3</w:t>
            </w:r>
          </w:p>
        </w:tc>
        <w:tc>
          <w:tcPr>
            <w:tcW w:w="5250" w:type="dxa"/>
            <w:noWrap w:val="0"/>
            <w:vAlign w:val="center"/>
          </w:tcPr>
          <w:p w14:paraId="54C3434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1、材质：优质碳钢，表面喷涂防锈漆，防腐蚀耐用；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2、规格型号：≥0.1m3；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3、工作压力为≥0.8 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4、不锈钢法兰连接DN65；特质加厚丝口，不开裂；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5、全自动埋弧焊焊缝，美观牢固，使用寿命长</w:t>
            </w:r>
          </w:p>
        </w:tc>
        <w:tc>
          <w:tcPr>
            <w:tcW w:w="1017" w:type="dxa"/>
            <w:noWrap w:val="0"/>
            <w:vAlign w:val="center"/>
          </w:tcPr>
          <w:p w14:paraId="01C92A5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7DF2A7F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417FE50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2B5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62547F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69</w:t>
            </w:r>
          </w:p>
        </w:tc>
        <w:tc>
          <w:tcPr>
            <w:tcW w:w="1016" w:type="dxa"/>
            <w:noWrap w:val="0"/>
            <w:vAlign w:val="center"/>
          </w:tcPr>
          <w:p w14:paraId="3FEEB0E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真空罐2.0m3</w:t>
            </w:r>
          </w:p>
        </w:tc>
        <w:tc>
          <w:tcPr>
            <w:tcW w:w="5250" w:type="dxa"/>
            <w:noWrap w:val="0"/>
            <w:vAlign w:val="center"/>
          </w:tcPr>
          <w:p w14:paraId="66A1059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1.规格型号：≥2.0m3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2.材质：优质碳钢，表面喷涂防锈漆，防腐蚀耐用；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3.工作最大负压：-0.085MPa；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4、不锈钢法兰连接DN65；特质加厚丝口，不开裂；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5、全自动埋弧焊焊缝，美观牢固，使用寿命长；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6.管道内的水有可能进入真空罐，故应定期将真空罐下面的截止阀旋开进行排放，排完后随即关好，截止阀不得有泄漏</w:t>
            </w:r>
          </w:p>
        </w:tc>
        <w:tc>
          <w:tcPr>
            <w:tcW w:w="1017" w:type="dxa"/>
            <w:noWrap w:val="0"/>
            <w:vAlign w:val="center"/>
          </w:tcPr>
          <w:p w14:paraId="326CB84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45FBEA0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35AC1B7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FC4F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37" w:type="dxa"/>
            <w:noWrap w:val="0"/>
            <w:vAlign w:val="center"/>
          </w:tcPr>
          <w:p w14:paraId="54F778B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70</w:t>
            </w:r>
          </w:p>
        </w:tc>
        <w:tc>
          <w:tcPr>
            <w:tcW w:w="1016" w:type="dxa"/>
            <w:noWrap w:val="0"/>
            <w:vAlign w:val="center"/>
          </w:tcPr>
          <w:p w14:paraId="5A784C8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除菌过滤器</w:t>
            </w:r>
          </w:p>
        </w:tc>
        <w:tc>
          <w:tcPr>
            <w:tcW w:w="5250" w:type="dxa"/>
            <w:noWrap w:val="0"/>
            <w:vAlign w:val="center"/>
          </w:tcPr>
          <w:p w14:paraId="358E397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1、材质：优质碳钢，表面喷涂防锈漆，防腐蚀耐用；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2.处理气量：≥3m3/min；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3.达到ISO8573.1质量等级-固态1级，油分含量1级；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4、不锈钢法兰连接；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5、滤芯材质：PTFE；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6、截留率：≥99.99999%；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7、过滤面积：≥6m3/min；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8、过滤精度：≥0.01um。</w:t>
            </w:r>
          </w:p>
        </w:tc>
        <w:tc>
          <w:tcPr>
            <w:tcW w:w="1017" w:type="dxa"/>
            <w:noWrap w:val="0"/>
            <w:vAlign w:val="center"/>
          </w:tcPr>
          <w:p w14:paraId="7968CA01">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02C933C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6A58A6E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0E3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9070" w:type="dxa"/>
            <w:gridSpan w:val="6"/>
            <w:noWrap w:val="0"/>
            <w:vAlign w:val="center"/>
          </w:tcPr>
          <w:p w14:paraId="244F8CD6">
            <w:pPr>
              <w:pStyle w:val="9"/>
              <w:keepNext w:val="0"/>
              <w:keepLines w:val="0"/>
              <w:pageBreakBefore w:val="0"/>
              <w:widowControl w:val="0"/>
              <w:kinsoku/>
              <w:wordWrap/>
              <w:overflowPunct/>
              <w:topLinePunct w:val="0"/>
              <w:autoSpaceDE/>
              <w:autoSpaceDN/>
              <w:bidi w:val="0"/>
              <w:adjustRightInd/>
              <w:snapToGrid/>
              <w:spacing w:line="440" w:lineRule="exact"/>
              <w:jc w:val="left"/>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t>三、医用气体压缩空气系统</w:t>
            </w:r>
          </w:p>
        </w:tc>
      </w:tr>
      <w:tr w14:paraId="362AA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9" w:hRule="atLeast"/>
        </w:trPr>
        <w:tc>
          <w:tcPr>
            <w:tcW w:w="737" w:type="dxa"/>
            <w:noWrap w:val="0"/>
            <w:vAlign w:val="center"/>
          </w:tcPr>
          <w:p w14:paraId="11CF635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71</w:t>
            </w:r>
          </w:p>
        </w:tc>
        <w:tc>
          <w:tcPr>
            <w:tcW w:w="1016" w:type="dxa"/>
            <w:noWrap w:val="0"/>
            <w:vAlign w:val="center"/>
          </w:tcPr>
          <w:p w14:paraId="36D2B4C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不锈钢管φ42×2.0</w:t>
            </w:r>
          </w:p>
        </w:tc>
        <w:tc>
          <w:tcPr>
            <w:tcW w:w="5250" w:type="dxa"/>
            <w:noWrap w:val="0"/>
            <w:vAlign w:val="center"/>
          </w:tcPr>
          <w:p w14:paraId="1D0174E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4.规格:φ42×2.0；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4010A91D">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206.63</w:t>
            </w:r>
          </w:p>
        </w:tc>
        <w:tc>
          <w:tcPr>
            <w:tcW w:w="500" w:type="dxa"/>
            <w:noWrap w:val="0"/>
            <w:vAlign w:val="center"/>
          </w:tcPr>
          <w:p w14:paraId="2C0E08C2">
            <w:pPr>
              <w:keepNext w:val="0"/>
              <w:keepLines w:val="0"/>
              <w:widowControl/>
              <w:suppressLineNumbers w:val="0"/>
              <w:jc w:val="center"/>
              <w:textAlignment w:val="center"/>
              <w:rPr>
                <w:rFonts w:hint="eastAsia" w:ascii="宋体" w:hAnsi="宋体" w:eastAsia="宋体" w:cs="宋体"/>
                <w:i w:val="0"/>
                <w:iCs w:val="0"/>
                <w:color w:val="000000" w:themeColor="text1"/>
                <w:kern w:val="2"/>
                <w:sz w:val="21"/>
                <w:szCs w:val="21"/>
                <w:u w:val="none"/>
                <w:lang w:val="en-US" w:eastAsia="zh-CN" w:bidi="ar-SA"/>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61EB78C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2CE8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2" w:hRule="atLeast"/>
        </w:trPr>
        <w:tc>
          <w:tcPr>
            <w:tcW w:w="737" w:type="dxa"/>
            <w:noWrap w:val="0"/>
            <w:vAlign w:val="center"/>
          </w:tcPr>
          <w:p w14:paraId="0C7CF0A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72</w:t>
            </w:r>
          </w:p>
        </w:tc>
        <w:tc>
          <w:tcPr>
            <w:tcW w:w="1016" w:type="dxa"/>
            <w:noWrap w:val="0"/>
            <w:vAlign w:val="center"/>
          </w:tcPr>
          <w:p w14:paraId="6BF6318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不锈钢管φ38×2.0</w:t>
            </w:r>
          </w:p>
        </w:tc>
        <w:tc>
          <w:tcPr>
            <w:tcW w:w="5250" w:type="dxa"/>
            <w:noWrap w:val="0"/>
            <w:vAlign w:val="center"/>
          </w:tcPr>
          <w:p w14:paraId="6BC1E27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4.规格:φ38×2.0；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0907456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5.45</w:t>
            </w:r>
          </w:p>
        </w:tc>
        <w:tc>
          <w:tcPr>
            <w:tcW w:w="500" w:type="dxa"/>
            <w:noWrap w:val="0"/>
            <w:vAlign w:val="center"/>
          </w:tcPr>
          <w:p w14:paraId="0CF1238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43D6B0E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626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737" w:type="dxa"/>
            <w:noWrap w:val="0"/>
            <w:vAlign w:val="center"/>
          </w:tcPr>
          <w:p w14:paraId="7EE3827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73</w:t>
            </w:r>
          </w:p>
        </w:tc>
        <w:tc>
          <w:tcPr>
            <w:tcW w:w="1016" w:type="dxa"/>
            <w:noWrap w:val="0"/>
            <w:vAlign w:val="center"/>
          </w:tcPr>
          <w:p w14:paraId="04AEE76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不锈钢管φ32×2.0</w:t>
            </w:r>
          </w:p>
        </w:tc>
        <w:tc>
          <w:tcPr>
            <w:tcW w:w="5250" w:type="dxa"/>
            <w:noWrap w:val="0"/>
            <w:vAlign w:val="center"/>
          </w:tcPr>
          <w:p w14:paraId="3509F1A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4.规格:φ32×2.0；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488B980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121.97</w:t>
            </w:r>
          </w:p>
        </w:tc>
        <w:tc>
          <w:tcPr>
            <w:tcW w:w="500" w:type="dxa"/>
            <w:noWrap w:val="0"/>
            <w:vAlign w:val="center"/>
          </w:tcPr>
          <w:p w14:paraId="451A4A3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25539F9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0947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737" w:type="dxa"/>
            <w:noWrap w:val="0"/>
            <w:vAlign w:val="center"/>
          </w:tcPr>
          <w:p w14:paraId="25E3AD9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74</w:t>
            </w:r>
          </w:p>
        </w:tc>
        <w:tc>
          <w:tcPr>
            <w:tcW w:w="1016" w:type="dxa"/>
            <w:noWrap w:val="0"/>
            <w:vAlign w:val="center"/>
          </w:tcPr>
          <w:p w14:paraId="2177465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不锈钢管φ22×2.0</w:t>
            </w:r>
          </w:p>
        </w:tc>
        <w:tc>
          <w:tcPr>
            <w:tcW w:w="5250" w:type="dxa"/>
            <w:noWrap w:val="0"/>
            <w:vAlign w:val="center"/>
          </w:tcPr>
          <w:p w14:paraId="339A680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4.规格:φ22×2.0；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48DD9B4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193.32</w:t>
            </w:r>
          </w:p>
        </w:tc>
        <w:tc>
          <w:tcPr>
            <w:tcW w:w="500" w:type="dxa"/>
            <w:noWrap w:val="0"/>
            <w:vAlign w:val="center"/>
          </w:tcPr>
          <w:p w14:paraId="334BC966">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610AA87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40A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rPr>
        <w:tc>
          <w:tcPr>
            <w:tcW w:w="737" w:type="dxa"/>
            <w:noWrap w:val="0"/>
            <w:vAlign w:val="center"/>
          </w:tcPr>
          <w:p w14:paraId="1387CEF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75</w:t>
            </w:r>
          </w:p>
        </w:tc>
        <w:tc>
          <w:tcPr>
            <w:tcW w:w="1016" w:type="dxa"/>
            <w:noWrap w:val="0"/>
            <w:vAlign w:val="center"/>
          </w:tcPr>
          <w:p w14:paraId="7FAFE7D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不锈钢管φ18×1.5</w:t>
            </w:r>
          </w:p>
        </w:tc>
        <w:tc>
          <w:tcPr>
            <w:tcW w:w="5250" w:type="dxa"/>
            <w:noWrap w:val="0"/>
            <w:vAlign w:val="center"/>
          </w:tcPr>
          <w:p w14:paraId="4FBD235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4.规格:φ18×1.5；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4CA76D3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32.30</w:t>
            </w:r>
          </w:p>
        </w:tc>
        <w:tc>
          <w:tcPr>
            <w:tcW w:w="500" w:type="dxa"/>
            <w:noWrap w:val="0"/>
            <w:vAlign w:val="center"/>
          </w:tcPr>
          <w:p w14:paraId="0129A31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0D200B8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AF41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FBDD20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76</w:t>
            </w:r>
          </w:p>
        </w:tc>
        <w:tc>
          <w:tcPr>
            <w:tcW w:w="1016" w:type="dxa"/>
            <w:noWrap w:val="0"/>
            <w:vAlign w:val="center"/>
          </w:tcPr>
          <w:p w14:paraId="5A17029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不锈钢管φ14×1.0</w:t>
            </w:r>
          </w:p>
        </w:tc>
        <w:tc>
          <w:tcPr>
            <w:tcW w:w="5250" w:type="dxa"/>
            <w:noWrap w:val="0"/>
            <w:vAlign w:val="center"/>
          </w:tcPr>
          <w:p w14:paraId="2C493C9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4.规格:φ14×1.0；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6.含脱脂处理、管道吹扫、管道气压试验、管道强度试验，管道气密性试验、气体置换等；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7.管道焊接口防腐处理等，管道接地，接地电阻应＜100Ω；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8.符合GB/T 14976-2012《流体输送用不锈钢无缝钢管》规范要求。</w:t>
            </w:r>
          </w:p>
        </w:tc>
        <w:tc>
          <w:tcPr>
            <w:tcW w:w="1017" w:type="dxa"/>
            <w:noWrap w:val="0"/>
            <w:vAlign w:val="center"/>
          </w:tcPr>
          <w:p w14:paraId="6AB0ED5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1156.44</w:t>
            </w:r>
          </w:p>
        </w:tc>
        <w:tc>
          <w:tcPr>
            <w:tcW w:w="500" w:type="dxa"/>
            <w:noWrap w:val="0"/>
            <w:vAlign w:val="center"/>
          </w:tcPr>
          <w:p w14:paraId="51C6CB9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0FAA96B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466D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9448B7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77</w:t>
            </w:r>
          </w:p>
        </w:tc>
        <w:tc>
          <w:tcPr>
            <w:tcW w:w="1016" w:type="dxa"/>
            <w:noWrap w:val="0"/>
            <w:vAlign w:val="center"/>
          </w:tcPr>
          <w:p w14:paraId="2A65D8F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紫铜管φ8×1.0</w:t>
            </w:r>
          </w:p>
        </w:tc>
        <w:tc>
          <w:tcPr>
            <w:tcW w:w="5250" w:type="dxa"/>
            <w:noWrap w:val="0"/>
            <w:vAlign w:val="center"/>
          </w:tcPr>
          <w:p w14:paraId="2E1ACAB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1.安装部位:室内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2.材质:紫铜TP2；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3.介质:气体；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4.规格: φ8×1.0；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5.连接形式:银钎焊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6.管道吹扫、管道清洗、气压试验、强度试验，气密性试验、气体置换等；管道焊接口防腐处理，刷防火涂料，管道接地，接地电阻应≤10Ω；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7.符合YS/T 650-2020 《医用气体和真空用无缝铜管》规范要求；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8.附配件:含脱脂处理、紫铜管件。</w:t>
            </w:r>
          </w:p>
        </w:tc>
        <w:tc>
          <w:tcPr>
            <w:tcW w:w="1017" w:type="dxa"/>
            <w:noWrap w:val="0"/>
            <w:vAlign w:val="center"/>
          </w:tcPr>
          <w:p w14:paraId="71FDD3A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992.42</w:t>
            </w:r>
          </w:p>
        </w:tc>
        <w:tc>
          <w:tcPr>
            <w:tcW w:w="500" w:type="dxa"/>
            <w:noWrap w:val="0"/>
            <w:vAlign w:val="center"/>
          </w:tcPr>
          <w:p w14:paraId="1134168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62D27AF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C663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F54E53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78</w:t>
            </w:r>
          </w:p>
        </w:tc>
        <w:tc>
          <w:tcPr>
            <w:tcW w:w="1016" w:type="dxa"/>
            <w:noWrap w:val="0"/>
            <w:vAlign w:val="center"/>
          </w:tcPr>
          <w:p w14:paraId="31C6E25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焊接弯头（不锈钢）φ22</w:t>
            </w:r>
          </w:p>
        </w:tc>
        <w:tc>
          <w:tcPr>
            <w:tcW w:w="5250" w:type="dxa"/>
            <w:noWrap w:val="0"/>
            <w:vAlign w:val="center"/>
          </w:tcPr>
          <w:p w14:paraId="6B20B11F">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2.规格:φ22;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4.充氩保护方式、部位:管内局部充氩保护;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5.三通补强圈制安;</w:t>
            </w:r>
          </w:p>
        </w:tc>
        <w:tc>
          <w:tcPr>
            <w:tcW w:w="1017" w:type="dxa"/>
            <w:noWrap w:val="0"/>
            <w:vAlign w:val="center"/>
          </w:tcPr>
          <w:p w14:paraId="77E5359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5.00</w:t>
            </w:r>
          </w:p>
        </w:tc>
        <w:tc>
          <w:tcPr>
            <w:tcW w:w="500" w:type="dxa"/>
            <w:noWrap w:val="0"/>
            <w:vAlign w:val="center"/>
          </w:tcPr>
          <w:p w14:paraId="7F99CD1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BF4780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CC1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42DF6C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79</w:t>
            </w:r>
          </w:p>
        </w:tc>
        <w:tc>
          <w:tcPr>
            <w:tcW w:w="1016" w:type="dxa"/>
            <w:noWrap w:val="0"/>
            <w:vAlign w:val="center"/>
          </w:tcPr>
          <w:p w14:paraId="0749A22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焊接弯头（不锈钢）φ18</w:t>
            </w:r>
          </w:p>
        </w:tc>
        <w:tc>
          <w:tcPr>
            <w:tcW w:w="5250" w:type="dxa"/>
            <w:noWrap w:val="0"/>
            <w:vAlign w:val="center"/>
          </w:tcPr>
          <w:p w14:paraId="3631FD6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4.充氩保护方式、部位:管内局部充氩保护;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5.三通补强圈制安;</w:t>
            </w:r>
          </w:p>
        </w:tc>
        <w:tc>
          <w:tcPr>
            <w:tcW w:w="1017" w:type="dxa"/>
            <w:noWrap w:val="0"/>
            <w:vAlign w:val="center"/>
          </w:tcPr>
          <w:p w14:paraId="5A1C036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3.00</w:t>
            </w:r>
          </w:p>
        </w:tc>
        <w:tc>
          <w:tcPr>
            <w:tcW w:w="500" w:type="dxa"/>
            <w:noWrap w:val="0"/>
            <w:vAlign w:val="center"/>
          </w:tcPr>
          <w:p w14:paraId="4B21491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3BE0A6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1BE3D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ABA0A8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80</w:t>
            </w:r>
          </w:p>
        </w:tc>
        <w:tc>
          <w:tcPr>
            <w:tcW w:w="1016" w:type="dxa"/>
            <w:noWrap w:val="0"/>
            <w:vAlign w:val="center"/>
          </w:tcPr>
          <w:p w14:paraId="39A737B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焊接弯头（不锈钢）φ14</w:t>
            </w:r>
          </w:p>
        </w:tc>
        <w:tc>
          <w:tcPr>
            <w:tcW w:w="5250" w:type="dxa"/>
            <w:noWrap w:val="0"/>
            <w:vAlign w:val="center"/>
          </w:tcPr>
          <w:p w14:paraId="0599070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2.规格:φ14;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4.充氩保护方式、部位:管内局部充氩保护;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5.三通补强圈制安;</w:t>
            </w:r>
          </w:p>
        </w:tc>
        <w:tc>
          <w:tcPr>
            <w:tcW w:w="1017" w:type="dxa"/>
            <w:noWrap w:val="0"/>
            <w:vAlign w:val="center"/>
          </w:tcPr>
          <w:p w14:paraId="0F0FFC7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34.00</w:t>
            </w:r>
          </w:p>
        </w:tc>
        <w:tc>
          <w:tcPr>
            <w:tcW w:w="500" w:type="dxa"/>
            <w:noWrap w:val="0"/>
            <w:vAlign w:val="center"/>
          </w:tcPr>
          <w:p w14:paraId="6D80B0C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71AB2576">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4049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7D554B7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81</w:t>
            </w:r>
          </w:p>
        </w:tc>
        <w:tc>
          <w:tcPr>
            <w:tcW w:w="1016" w:type="dxa"/>
            <w:noWrap w:val="0"/>
            <w:vAlign w:val="center"/>
          </w:tcPr>
          <w:p w14:paraId="38FF627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焊接弯头（铜）φ8</w:t>
            </w:r>
          </w:p>
        </w:tc>
        <w:tc>
          <w:tcPr>
            <w:tcW w:w="5250" w:type="dxa"/>
            <w:noWrap w:val="0"/>
            <w:vAlign w:val="center"/>
          </w:tcPr>
          <w:p w14:paraId="22278FB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27DE28E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288.00</w:t>
            </w:r>
          </w:p>
        </w:tc>
        <w:tc>
          <w:tcPr>
            <w:tcW w:w="500" w:type="dxa"/>
            <w:noWrap w:val="0"/>
            <w:vAlign w:val="center"/>
          </w:tcPr>
          <w:p w14:paraId="7B4083C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1A2AE0A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56E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560E56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82</w:t>
            </w:r>
          </w:p>
        </w:tc>
        <w:tc>
          <w:tcPr>
            <w:tcW w:w="1016" w:type="dxa"/>
            <w:noWrap w:val="0"/>
            <w:vAlign w:val="center"/>
          </w:tcPr>
          <w:p w14:paraId="116DA21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焊接变径三通（不锈钢）φ42变φ22</w:t>
            </w:r>
          </w:p>
        </w:tc>
        <w:tc>
          <w:tcPr>
            <w:tcW w:w="5250" w:type="dxa"/>
            <w:noWrap w:val="0"/>
            <w:vAlign w:val="center"/>
          </w:tcPr>
          <w:p w14:paraId="39AD897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2.规格:φ42变φ22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50E79BA5">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51F993B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18BB6EE0">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9C9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52D493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83</w:t>
            </w:r>
          </w:p>
        </w:tc>
        <w:tc>
          <w:tcPr>
            <w:tcW w:w="1016" w:type="dxa"/>
            <w:noWrap w:val="0"/>
            <w:vAlign w:val="center"/>
          </w:tcPr>
          <w:p w14:paraId="71BEE2B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焊接变径三通（不锈钢）φ42变φ18</w:t>
            </w:r>
          </w:p>
        </w:tc>
        <w:tc>
          <w:tcPr>
            <w:tcW w:w="5250" w:type="dxa"/>
            <w:noWrap w:val="0"/>
            <w:vAlign w:val="center"/>
          </w:tcPr>
          <w:p w14:paraId="5EE06F3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2.规格:φ42变φ18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3A31132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6CD6520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17FCC72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F5D4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59C039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84</w:t>
            </w:r>
          </w:p>
        </w:tc>
        <w:tc>
          <w:tcPr>
            <w:tcW w:w="1016" w:type="dxa"/>
            <w:noWrap w:val="0"/>
            <w:vAlign w:val="center"/>
          </w:tcPr>
          <w:p w14:paraId="0AFABA5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焊接变径三通（不锈钢）φ42变φ14</w:t>
            </w:r>
          </w:p>
        </w:tc>
        <w:tc>
          <w:tcPr>
            <w:tcW w:w="5250" w:type="dxa"/>
            <w:noWrap w:val="0"/>
            <w:vAlign w:val="center"/>
          </w:tcPr>
          <w:p w14:paraId="73B5CFD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2.规格:φ42变φ14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1244566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4B5F83E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1D942B0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4286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F0FA87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85</w:t>
            </w:r>
          </w:p>
        </w:tc>
        <w:tc>
          <w:tcPr>
            <w:tcW w:w="1016" w:type="dxa"/>
            <w:noWrap w:val="0"/>
            <w:vAlign w:val="center"/>
          </w:tcPr>
          <w:p w14:paraId="3275D7F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焊接变径三通（不锈钢）φ32变φ14</w:t>
            </w:r>
          </w:p>
        </w:tc>
        <w:tc>
          <w:tcPr>
            <w:tcW w:w="5250" w:type="dxa"/>
            <w:noWrap w:val="0"/>
            <w:vAlign w:val="center"/>
          </w:tcPr>
          <w:p w14:paraId="4934D40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2.规格:φ32变φ14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6395D74B">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14.00</w:t>
            </w:r>
          </w:p>
        </w:tc>
        <w:tc>
          <w:tcPr>
            <w:tcW w:w="500" w:type="dxa"/>
            <w:noWrap w:val="0"/>
            <w:vAlign w:val="center"/>
          </w:tcPr>
          <w:p w14:paraId="62D9B74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7A9AFD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D578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21C231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86</w:t>
            </w:r>
          </w:p>
        </w:tc>
        <w:tc>
          <w:tcPr>
            <w:tcW w:w="1016" w:type="dxa"/>
            <w:noWrap w:val="0"/>
            <w:vAlign w:val="center"/>
          </w:tcPr>
          <w:p w14:paraId="6C56A6D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焊接变径三通（不锈钢）φ18变φ8</w:t>
            </w:r>
          </w:p>
        </w:tc>
        <w:tc>
          <w:tcPr>
            <w:tcW w:w="5250" w:type="dxa"/>
            <w:noWrap w:val="0"/>
            <w:vAlign w:val="center"/>
          </w:tcPr>
          <w:p w14:paraId="2AC122E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2.规格:φ18变φ8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6B4AE436">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89.00</w:t>
            </w:r>
          </w:p>
        </w:tc>
        <w:tc>
          <w:tcPr>
            <w:tcW w:w="500" w:type="dxa"/>
            <w:noWrap w:val="0"/>
            <w:vAlign w:val="center"/>
          </w:tcPr>
          <w:p w14:paraId="0ECAE652">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069A39E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2D9F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595A431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87</w:t>
            </w:r>
          </w:p>
        </w:tc>
        <w:tc>
          <w:tcPr>
            <w:tcW w:w="1016" w:type="dxa"/>
            <w:noWrap w:val="0"/>
            <w:vAlign w:val="center"/>
          </w:tcPr>
          <w:p w14:paraId="701E7A1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焊接三通（不锈钢）φ8</w:t>
            </w:r>
          </w:p>
        </w:tc>
        <w:tc>
          <w:tcPr>
            <w:tcW w:w="5250" w:type="dxa"/>
            <w:noWrap w:val="0"/>
            <w:vAlign w:val="center"/>
          </w:tcPr>
          <w:p w14:paraId="20D9ECD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1.材质:06Cr19Ni10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5.焊接口防腐处理</w:t>
            </w:r>
          </w:p>
        </w:tc>
        <w:tc>
          <w:tcPr>
            <w:tcW w:w="1017" w:type="dxa"/>
            <w:noWrap w:val="0"/>
            <w:vAlign w:val="center"/>
          </w:tcPr>
          <w:p w14:paraId="209C84F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206.00</w:t>
            </w:r>
          </w:p>
        </w:tc>
        <w:tc>
          <w:tcPr>
            <w:tcW w:w="500" w:type="dxa"/>
            <w:noWrap w:val="0"/>
            <w:vAlign w:val="center"/>
          </w:tcPr>
          <w:p w14:paraId="6E62A521">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3A18DC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B25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9E1B941">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88</w:t>
            </w:r>
          </w:p>
        </w:tc>
        <w:tc>
          <w:tcPr>
            <w:tcW w:w="1016" w:type="dxa"/>
            <w:noWrap w:val="0"/>
            <w:vAlign w:val="center"/>
          </w:tcPr>
          <w:p w14:paraId="2D00454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压缩空气终端</w:t>
            </w:r>
          </w:p>
        </w:tc>
        <w:tc>
          <w:tcPr>
            <w:tcW w:w="5250" w:type="dxa"/>
            <w:noWrap w:val="0"/>
            <w:vAlign w:val="center"/>
          </w:tcPr>
          <w:p w14:paraId="6FCE7A2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1、德标终端，采用整体化设计，快速插拔自闭型接插座，无插头时能自动密封；采用不同定位度数以区分不同气体，具有不可互换性，且插拔方便、密封可靠；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2.按照EN 737-1:1998,DIN13260-2,ISO9170-1,ISO9170-2标准进行加工制造，CE认证并提供相关证明材料；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3.100%气密性监测，10000次插拔无故障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4.采用ISO32颜色识别气体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5.最大工作压力为0.75MPA</w:t>
            </w:r>
          </w:p>
        </w:tc>
        <w:tc>
          <w:tcPr>
            <w:tcW w:w="1017" w:type="dxa"/>
            <w:noWrap w:val="0"/>
            <w:vAlign w:val="center"/>
          </w:tcPr>
          <w:p w14:paraId="2B92E77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272.00</w:t>
            </w:r>
          </w:p>
        </w:tc>
        <w:tc>
          <w:tcPr>
            <w:tcW w:w="500" w:type="dxa"/>
            <w:noWrap w:val="0"/>
            <w:vAlign w:val="center"/>
          </w:tcPr>
          <w:p w14:paraId="73494C6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786AE33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480C7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F4F0AC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89</w:t>
            </w:r>
          </w:p>
        </w:tc>
        <w:tc>
          <w:tcPr>
            <w:tcW w:w="1016" w:type="dxa"/>
            <w:noWrap w:val="0"/>
            <w:vAlign w:val="center"/>
          </w:tcPr>
          <w:p w14:paraId="1BA2BEE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压缩空气总阀（不锈钢）DN45</w:t>
            </w:r>
          </w:p>
        </w:tc>
        <w:tc>
          <w:tcPr>
            <w:tcW w:w="5250" w:type="dxa"/>
            <w:noWrap w:val="0"/>
            <w:vAlign w:val="center"/>
          </w:tcPr>
          <w:p w14:paraId="7569046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2.规格：DN40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6D37262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16.00</w:t>
            </w:r>
          </w:p>
        </w:tc>
        <w:tc>
          <w:tcPr>
            <w:tcW w:w="500" w:type="dxa"/>
            <w:noWrap w:val="0"/>
            <w:vAlign w:val="center"/>
          </w:tcPr>
          <w:p w14:paraId="22F713F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42AA3F7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C56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737" w:type="dxa"/>
            <w:noWrap w:val="0"/>
            <w:vAlign w:val="center"/>
          </w:tcPr>
          <w:p w14:paraId="12AA9AB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90</w:t>
            </w:r>
          </w:p>
        </w:tc>
        <w:tc>
          <w:tcPr>
            <w:tcW w:w="1016" w:type="dxa"/>
            <w:noWrap w:val="0"/>
            <w:vAlign w:val="center"/>
          </w:tcPr>
          <w:p w14:paraId="68BF453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压缩空气总阀（不锈钢）DN25</w:t>
            </w:r>
          </w:p>
        </w:tc>
        <w:tc>
          <w:tcPr>
            <w:tcW w:w="5250" w:type="dxa"/>
            <w:noWrap w:val="0"/>
            <w:vAlign w:val="center"/>
          </w:tcPr>
          <w:p w14:paraId="2565CD4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2.规格：DN25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3.材质：304级不锈钢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25F6ECE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15.00</w:t>
            </w:r>
          </w:p>
        </w:tc>
        <w:tc>
          <w:tcPr>
            <w:tcW w:w="500" w:type="dxa"/>
            <w:noWrap w:val="0"/>
            <w:vAlign w:val="center"/>
          </w:tcPr>
          <w:p w14:paraId="34C942B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2A36DFE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709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AD1DB9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91</w:t>
            </w:r>
          </w:p>
        </w:tc>
        <w:tc>
          <w:tcPr>
            <w:tcW w:w="1016" w:type="dxa"/>
            <w:noWrap w:val="0"/>
            <w:vAlign w:val="center"/>
          </w:tcPr>
          <w:p w14:paraId="0B0389F6">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房间截止阀（铜）φ8</w:t>
            </w:r>
          </w:p>
        </w:tc>
        <w:tc>
          <w:tcPr>
            <w:tcW w:w="5250" w:type="dxa"/>
            <w:noWrap w:val="0"/>
            <w:vAlign w:val="center"/>
          </w:tcPr>
          <w:p w14:paraId="1689C9C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1.名称：球阀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2.规格：φ8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3.材质：铜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5.压力等级1.6MPa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6.工作介质：水、油、气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7.密封可靠、硬度高、耐磨、耐高温、耐腐蚀、抗擦伤性能好、寿命长</w:t>
            </w:r>
          </w:p>
        </w:tc>
        <w:tc>
          <w:tcPr>
            <w:tcW w:w="1017" w:type="dxa"/>
            <w:noWrap w:val="0"/>
            <w:vAlign w:val="center"/>
          </w:tcPr>
          <w:p w14:paraId="56ECC5E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74.00</w:t>
            </w:r>
          </w:p>
        </w:tc>
        <w:tc>
          <w:tcPr>
            <w:tcW w:w="500" w:type="dxa"/>
            <w:noWrap w:val="0"/>
            <w:vAlign w:val="center"/>
          </w:tcPr>
          <w:p w14:paraId="1AE88BD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24E4B1C9">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0B7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62F6BF57">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92</w:t>
            </w:r>
          </w:p>
        </w:tc>
        <w:tc>
          <w:tcPr>
            <w:tcW w:w="1016" w:type="dxa"/>
            <w:noWrap w:val="0"/>
            <w:vAlign w:val="center"/>
          </w:tcPr>
          <w:p w14:paraId="4F6B5D4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管控系统（含密码系统）V2.0</w:t>
            </w:r>
          </w:p>
        </w:tc>
        <w:tc>
          <w:tcPr>
            <w:tcW w:w="5250" w:type="dxa"/>
            <w:noWrap w:val="0"/>
            <w:vAlign w:val="center"/>
          </w:tcPr>
          <w:p w14:paraId="7D9B5A5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（含控制柜）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1.能分别对所有机组进行手动控制和自动控制启、停，其中自动控制的负压值在-0.03Mpa~-0.07Mpa之间，并能在该范围内任意调节；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2.工作机组与备用机组可交替切换使用；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3.当压力达到报警压力值时，能声光报警；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4.当一台机组工作满足不了负压上限为-0.03Mpa，下限为-0.07Mpa时，10秒钟后，另一台备用机组自动投入运行；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5.如遇停电后恢复送电，机组可自动投入运行。</w:t>
            </w:r>
          </w:p>
        </w:tc>
        <w:tc>
          <w:tcPr>
            <w:tcW w:w="1017" w:type="dxa"/>
            <w:noWrap w:val="0"/>
            <w:vAlign w:val="center"/>
          </w:tcPr>
          <w:p w14:paraId="6740ADB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2E915AF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套</w:t>
            </w:r>
          </w:p>
        </w:tc>
        <w:tc>
          <w:tcPr>
            <w:tcW w:w="550" w:type="dxa"/>
            <w:noWrap w:val="0"/>
            <w:vAlign w:val="center"/>
          </w:tcPr>
          <w:p w14:paraId="0EC12E2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FCE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4AF971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93</w:t>
            </w:r>
          </w:p>
        </w:tc>
        <w:tc>
          <w:tcPr>
            <w:tcW w:w="1016" w:type="dxa"/>
            <w:noWrap w:val="0"/>
            <w:vAlign w:val="center"/>
          </w:tcPr>
          <w:p w14:paraId="4E9551A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空气减压箱</w:t>
            </w:r>
          </w:p>
        </w:tc>
        <w:tc>
          <w:tcPr>
            <w:tcW w:w="5250" w:type="dxa"/>
            <w:noWrap w:val="0"/>
            <w:vAlign w:val="center"/>
          </w:tcPr>
          <w:p w14:paraId="4DB93D1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1.用于病房所在楼层或手术室气体入口处，将管路压力调整到一定的压力范围之内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2.能开启或者切断所在区域的管路通道，便于管道及设备维护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3.双路设计，一路用一路备用，保证不间断供气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4.箱体材质钢板喷塑，明装；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5.内部配置：2只1.5级气体压力表，气体截止阀4只，气体减压器 2套，安全阀一只，气体管道及其配件；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6.进口压力：0.8-1.2mpa,出口压力：0.35-0.5mpa（连续可调）；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7.流量400L/MIN。</w:t>
            </w:r>
          </w:p>
        </w:tc>
        <w:tc>
          <w:tcPr>
            <w:tcW w:w="1017" w:type="dxa"/>
            <w:noWrap w:val="0"/>
            <w:vAlign w:val="center"/>
          </w:tcPr>
          <w:p w14:paraId="1021A3BD">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18.00</w:t>
            </w:r>
          </w:p>
        </w:tc>
        <w:tc>
          <w:tcPr>
            <w:tcW w:w="500" w:type="dxa"/>
            <w:noWrap w:val="0"/>
            <w:vAlign w:val="center"/>
          </w:tcPr>
          <w:p w14:paraId="211292E1">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7F0E828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61CF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F5419E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94</w:t>
            </w:r>
          </w:p>
        </w:tc>
        <w:tc>
          <w:tcPr>
            <w:tcW w:w="1016" w:type="dxa"/>
            <w:noWrap w:val="0"/>
            <w:vAlign w:val="center"/>
          </w:tcPr>
          <w:p w14:paraId="3B1F12C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医用分气缸1进7出</w:t>
            </w:r>
          </w:p>
        </w:tc>
        <w:tc>
          <w:tcPr>
            <w:tcW w:w="5250" w:type="dxa"/>
            <w:noWrap w:val="0"/>
            <w:vAlign w:val="center"/>
          </w:tcPr>
          <w:p w14:paraId="797128F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1.材质：O6Cr19Ni10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2.规格：1进7出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3.焊接方法:氩弧焊，脱脂处理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4、采用φ159*3的无缝不锈钢管焊接；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5、设计压力为1.0 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6、含配套的每个接口用法兰、压力表及安全阀（含校验）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7、含脱脂处理、吹扫、气压试验、管强度试验、气密性试验等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8、道焊接口防腐处理等</w:t>
            </w:r>
          </w:p>
        </w:tc>
        <w:tc>
          <w:tcPr>
            <w:tcW w:w="1017" w:type="dxa"/>
            <w:noWrap w:val="0"/>
            <w:vAlign w:val="center"/>
          </w:tcPr>
          <w:p w14:paraId="366C975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1.00</w:t>
            </w:r>
          </w:p>
        </w:tc>
        <w:tc>
          <w:tcPr>
            <w:tcW w:w="500" w:type="dxa"/>
            <w:noWrap w:val="0"/>
            <w:vAlign w:val="center"/>
          </w:tcPr>
          <w:p w14:paraId="6AF4A8E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套</w:t>
            </w:r>
          </w:p>
        </w:tc>
        <w:tc>
          <w:tcPr>
            <w:tcW w:w="550" w:type="dxa"/>
            <w:noWrap w:val="0"/>
            <w:vAlign w:val="center"/>
          </w:tcPr>
          <w:p w14:paraId="51F3FD3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4A7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DB6D4F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95</w:t>
            </w:r>
          </w:p>
        </w:tc>
        <w:tc>
          <w:tcPr>
            <w:tcW w:w="1016" w:type="dxa"/>
            <w:noWrap w:val="0"/>
            <w:vAlign w:val="center"/>
          </w:tcPr>
          <w:p w14:paraId="4A3025B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无油涡旋空压机</w:t>
            </w:r>
          </w:p>
        </w:tc>
        <w:tc>
          <w:tcPr>
            <w:tcW w:w="5250" w:type="dxa"/>
            <w:noWrap w:val="0"/>
            <w:vAlign w:val="center"/>
          </w:tcPr>
          <w:p w14:paraId="6E085CED">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1、空压机采用风冷冷却方式；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2、主电机防护等级为IP55；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3、单台用气量 3.78 m3/min,排气压力0.75 MPa,单台功率 33 KW；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4、空压机必须适合高温环境下运行，运行状态要求环境温度≤46℃也可以正常运行。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5、采用加卸载控制方式，减少能耗。设备可设置两个不同的压力带，以优化能源使用，减少运行费用。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6、产品应具有二类医疗器械注册证并提供相关证明材料；</w:t>
            </w:r>
          </w:p>
        </w:tc>
        <w:tc>
          <w:tcPr>
            <w:tcW w:w="1017" w:type="dxa"/>
            <w:noWrap w:val="0"/>
            <w:vAlign w:val="center"/>
          </w:tcPr>
          <w:p w14:paraId="6EE7C71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18D498D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4FB3EBF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6C6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861B2B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96</w:t>
            </w:r>
          </w:p>
        </w:tc>
        <w:tc>
          <w:tcPr>
            <w:tcW w:w="1016" w:type="dxa"/>
            <w:noWrap w:val="0"/>
            <w:vAlign w:val="center"/>
          </w:tcPr>
          <w:p w14:paraId="3557F1B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冷冻式干燥机5.3m3/min</w:t>
            </w:r>
          </w:p>
        </w:tc>
        <w:tc>
          <w:tcPr>
            <w:tcW w:w="5250" w:type="dxa"/>
            <w:noWrap w:val="0"/>
            <w:vAlign w:val="center"/>
          </w:tcPr>
          <w:p w14:paraId="7F2F2794">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1、采用独特设计的高可靠排水装置，使凝结水同污垢同时排出，确保长时间的免维护运行；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2、采用可靠的水量调节阀保证制冷系统工况稳定；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3、采用双流层逆流前置预冷器的设计；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4、单台额定处理气量：5.3 m3/min，符合空压机要求；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5、出口压力露点3-10℃；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6、冷却方式：风冷；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高温型冷干机进气温度≤80℃。</w:t>
            </w:r>
          </w:p>
        </w:tc>
        <w:tc>
          <w:tcPr>
            <w:tcW w:w="1017" w:type="dxa"/>
            <w:noWrap w:val="0"/>
            <w:vAlign w:val="center"/>
          </w:tcPr>
          <w:p w14:paraId="627EDE1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26885971">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4657933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31E6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BE2136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97</w:t>
            </w:r>
          </w:p>
        </w:tc>
        <w:tc>
          <w:tcPr>
            <w:tcW w:w="1016" w:type="dxa"/>
            <w:noWrap w:val="0"/>
            <w:vAlign w:val="center"/>
          </w:tcPr>
          <w:p w14:paraId="6EB352F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空气罐1 m3/0.8MPa</w:t>
            </w:r>
          </w:p>
        </w:tc>
        <w:tc>
          <w:tcPr>
            <w:tcW w:w="5250" w:type="dxa"/>
            <w:noWrap w:val="0"/>
            <w:vAlign w:val="center"/>
          </w:tcPr>
          <w:p w14:paraId="124AC94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1、材质为优质碳钢；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2、有效容积≥1 m3；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3、工作压力≥0.8 MPa；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4、设计温度：110℃；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5、全自动埋弧焊焊缝，美观牢固，使用寿命长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6、特质加厚丝口，不开裂；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7、符合国家压力容器安全技术监察规程；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8、含压力表及安全阀（含校验）。</w:t>
            </w:r>
          </w:p>
        </w:tc>
        <w:tc>
          <w:tcPr>
            <w:tcW w:w="1017" w:type="dxa"/>
            <w:noWrap w:val="0"/>
            <w:vAlign w:val="center"/>
          </w:tcPr>
          <w:p w14:paraId="6825B15F">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73120DD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2DDED5B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64E8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792B11F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98</w:t>
            </w:r>
          </w:p>
        </w:tc>
        <w:tc>
          <w:tcPr>
            <w:tcW w:w="1016" w:type="dxa"/>
            <w:noWrap w:val="0"/>
            <w:vAlign w:val="center"/>
          </w:tcPr>
          <w:p w14:paraId="564F14C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高级过滤器 ≥3.8m3/min</w:t>
            </w:r>
          </w:p>
        </w:tc>
        <w:tc>
          <w:tcPr>
            <w:tcW w:w="5250" w:type="dxa"/>
            <w:noWrap w:val="0"/>
            <w:vAlign w:val="center"/>
          </w:tcPr>
          <w:p w14:paraId="1856AF32">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1、单个空气处理量：≥3.8m3/min，符合单台空压机要求；</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2、有效滤除≤0.1微米的固态与液态颗粒；</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3、残留油分含量≤0.003mg/m3；</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4、达到ISO8573.1质量等级-固态3级，油分含量5级；</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进气最大液体负载：25000ppmw/w。</w:t>
            </w:r>
          </w:p>
        </w:tc>
        <w:tc>
          <w:tcPr>
            <w:tcW w:w="1017" w:type="dxa"/>
            <w:noWrap w:val="0"/>
            <w:vAlign w:val="center"/>
          </w:tcPr>
          <w:p w14:paraId="10F469B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6.00</w:t>
            </w:r>
          </w:p>
        </w:tc>
        <w:tc>
          <w:tcPr>
            <w:tcW w:w="500" w:type="dxa"/>
            <w:noWrap w:val="0"/>
            <w:vAlign w:val="center"/>
          </w:tcPr>
          <w:p w14:paraId="3A8B532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018B9288">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29283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9BC97A5">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99</w:t>
            </w:r>
          </w:p>
        </w:tc>
        <w:tc>
          <w:tcPr>
            <w:tcW w:w="1016" w:type="dxa"/>
            <w:noWrap w:val="0"/>
            <w:vAlign w:val="center"/>
          </w:tcPr>
          <w:p w14:paraId="24D2DAB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除菌过滤器≥10m3/min</w:t>
            </w:r>
          </w:p>
        </w:tc>
        <w:tc>
          <w:tcPr>
            <w:tcW w:w="5250" w:type="dxa"/>
            <w:noWrap w:val="0"/>
            <w:vAlign w:val="center"/>
          </w:tcPr>
          <w:p w14:paraId="50C77E5B">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1、单个空气处理量≥10m3/min，符合单台空压机要求；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2、有效滤除≤0.01微米的固态颗粒、滤除油气；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达到ISO8573.1质量等级-固态1级，油分含量1级；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3、优质、安全、耐用；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4、流量优化的气体循环；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5、简单、安全和节省空间的多级过滤器连接；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6、简化的装配、安装、检修和维护，运行可靠；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7、具有超大面积的除菌滤芯。</w:t>
            </w:r>
          </w:p>
        </w:tc>
        <w:tc>
          <w:tcPr>
            <w:tcW w:w="1017" w:type="dxa"/>
            <w:noWrap w:val="0"/>
            <w:vAlign w:val="center"/>
          </w:tcPr>
          <w:p w14:paraId="5C28E21C">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2.00</w:t>
            </w:r>
          </w:p>
        </w:tc>
        <w:tc>
          <w:tcPr>
            <w:tcW w:w="500" w:type="dxa"/>
            <w:noWrap w:val="0"/>
            <w:vAlign w:val="center"/>
          </w:tcPr>
          <w:p w14:paraId="3136B0B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台</w:t>
            </w:r>
          </w:p>
        </w:tc>
        <w:tc>
          <w:tcPr>
            <w:tcW w:w="550" w:type="dxa"/>
            <w:noWrap w:val="0"/>
            <w:vAlign w:val="center"/>
          </w:tcPr>
          <w:p w14:paraId="087FA43E">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D22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9070" w:type="dxa"/>
            <w:gridSpan w:val="6"/>
            <w:noWrap w:val="0"/>
            <w:vAlign w:val="center"/>
          </w:tcPr>
          <w:p w14:paraId="3FB6BFDD">
            <w:pPr>
              <w:pStyle w:val="9"/>
              <w:keepNext w:val="0"/>
              <w:keepLines w:val="0"/>
              <w:pageBreakBefore w:val="0"/>
              <w:widowControl w:val="0"/>
              <w:kinsoku/>
              <w:wordWrap/>
              <w:overflowPunct/>
              <w:topLinePunct w:val="0"/>
              <w:autoSpaceDE/>
              <w:autoSpaceDN/>
              <w:bidi w:val="0"/>
              <w:adjustRightInd/>
              <w:snapToGrid/>
              <w:spacing w:line="440" w:lineRule="exact"/>
              <w:jc w:val="left"/>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r>
              <w:rPr>
                <w:rStyle w:val="8"/>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t>四、电器</w:t>
            </w:r>
          </w:p>
        </w:tc>
      </w:tr>
      <w:tr w14:paraId="7E38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D9D824D">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100</w:t>
            </w:r>
          </w:p>
        </w:tc>
        <w:tc>
          <w:tcPr>
            <w:tcW w:w="1016" w:type="dxa"/>
            <w:noWrap w:val="0"/>
            <w:vAlign w:val="center"/>
          </w:tcPr>
          <w:p w14:paraId="75A696F5">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漏电保护器</w:t>
            </w:r>
          </w:p>
        </w:tc>
        <w:tc>
          <w:tcPr>
            <w:tcW w:w="5250" w:type="dxa"/>
            <w:noWrap w:val="0"/>
            <w:vAlign w:val="center"/>
          </w:tcPr>
          <w:p w14:paraId="11EA3B6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1.额定电流：20A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2.极数：1P+N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3.电压：220V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4.功能：短路、过载、漏电保护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5.外壳材质：塑料外壳</w:t>
            </w:r>
          </w:p>
        </w:tc>
        <w:tc>
          <w:tcPr>
            <w:tcW w:w="1017" w:type="dxa"/>
            <w:noWrap w:val="0"/>
            <w:vAlign w:val="center"/>
          </w:tcPr>
          <w:p w14:paraId="182180B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618.00</w:t>
            </w:r>
          </w:p>
        </w:tc>
        <w:tc>
          <w:tcPr>
            <w:tcW w:w="500" w:type="dxa"/>
            <w:noWrap w:val="0"/>
            <w:vAlign w:val="center"/>
          </w:tcPr>
          <w:p w14:paraId="063B204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个</w:t>
            </w:r>
          </w:p>
        </w:tc>
        <w:tc>
          <w:tcPr>
            <w:tcW w:w="550" w:type="dxa"/>
            <w:noWrap w:val="0"/>
            <w:vAlign w:val="center"/>
          </w:tcPr>
          <w:p w14:paraId="5A983D3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7EA3A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0675003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101</w:t>
            </w:r>
          </w:p>
        </w:tc>
        <w:tc>
          <w:tcPr>
            <w:tcW w:w="1016" w:type="dxa"/>
            <w:noWrap w:val="0"/>
            <w:vAlign w:val="center"/>
          </w:tcPr>
          <w:p w14:paraId="076B0B9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照明开关</w:t>
            </w:r>
          </w:p>
        </w:tc>
        <w:tc>
          <w:tcPr>
            <w:tcW w:w="5250" w:type="dxa"/>
            <w:noWrap w:val="0"/>
            <w:vAlign w:val="center"/>
          </w:tcPr>
          <w:p w14:paraId="4ADB0F99">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1.名称:单联单控开关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2.规格:10A 220V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3.安装方式:暗装</w:t>
            </w:r>
          </w:p>
        </w:tc>
        <w:tc>
          <w:tcPr>
            <w:tcW w:w="1017" w:type="dxa"/>
            <w:noWrap w:val="0"/>
            <w:vAlign w:val="center"/>
          </w:tcPr>
          <w:p w14:paraId="026942A3">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1637.00</w:t>
            </w:r>
          </w:p>
        </w:tc>
        <w:tc>
          <w:tcPr>
            <w:tcW w:w="500" w:type="dxa"/>
            <w:noWrap w:val="0"/>
            <w:vAlign w:val="center"/>
          </w:tcPr>
          <w:p w14:paraId="2CCA1E7D">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套</w:t>
            </w:r>
          </w:p>
        </w:tc>
        <w:tc>
          <w:tcPr>
            <w:tcW w:w="550" w:type="dxa"/>
            <w:noWrap w:val="0"/>
            <w:vAlign w:val="center"/>
          </w:tcPr>
          <w:p w14:paraId="786D3DBB">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2C71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949EC7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102</w:t>
            </w:r>
          </w:p>
        </w:tc>
        <w:tc>
          <w:tcPr>
            <w:tcW w:w="1016" w:type="dxa"/>
            <w:noWrap w:val="0"/>
            <w:vAlign w:val="center"/>
          </w:tcPr>
          <w:p w14:paraId="17F3968E">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插座</w:t>
            </w:r>
          </w:p>
        </w:tc>
        <w:tc>
          <w:tcPr>
            <w:tcW w:w="5250" w:type="dxa"/>
            <w:noWrap w:val="0"/>
            <w:vAlign w:val="center"/>
          </w:tcPr>
          <w:p w14:paraId="720AE3C8">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1.名称:单相暗插座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2.规格:15A 5孔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3.安装方式:暗装</w:t>
            </w:r>
          </w:p>
        </w:tc>
        <w:tc>
          <w:tcPr>
            <w:tcW w:w="1017" w:type="dxa"/>
            <w:noWrap w:val="0"/>
            <w:vAlign w:val="center"/>
          </w:tcPr>
          <w:p w14:paraId="032D049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3274.00</w:t>
            </w:r>
          </w:p>
        </w:tc>
        <w:tc>
          <w:tcPr>
            <w:tcW w:w="500" w:type="dxa"/>
            <w:noWrap w:val="0"/>
            <w:vAlign w:val="center"/>
          </w:tcPr>
          <w:p w14:paraId="16EFF3AE">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套</w:t>
            </w:r>
          </w:p>
        </w:tc>
        <w:tc>
          <w:tcPr>
            <w:tcW w:w="550" w:type="dxa"/>
            <w:noWrap w:val="0"/>
            <w:vAlign w:val="center"/>
          </w:tcPr>
          <w:p w14:paraId="6577899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CAE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2CEB6034">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103</w:t>
            </w:r>
          </w:p>
        </w:tc>
        <w:tc>
          <w:tcPr>
            <w:tcW w:w="1016" w:type="dxa"/>
            <w:noWrap w:val="0"/>
            <w:vAlign w:val="center"/>
          </w:tcPr>
          <w:p w14:paraId="165EEA5A">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配管</w:t>
            </w:r>
          </w:p>
        </w:tc>
        <w:tc>
          <w:tcPr>
            <w:tcW w:w="5250" w:type="dxa"/>
            <w:noWrap w:val="0"/>
            <w:vAlign w:val="center"/>
          </w:tcPr>
          <w:p w14:paraId="54E807A1">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1.名称:半硬质塑料管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2.材质:塑料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3.型号、规格:PVC20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4.配置形式:暗敷</w:t>
            </w:r>
          </w:p>
        </w:tc>
        <w:tc>
          <w:tcPr>
            <w:tcW w:w="1017" w:type="dxa"/>
            <w:noWrap w:val="0"/>
            <w:vAlign w:val="center"/>
          </w:tcPr>
          <w:p w14:paraId="4BA36E09">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3315.79</w:t>
            </w:r>
          </w:p>
        </w:tc>
        <w:tc>
          <w:tcPr>
            <w:tcW w:w="500" w:type="dxa"/>
            <w:noWrap w:val="0"/>
            <w:vAlign w:val="center"/>
          </w:tcPr>
          <w:p w14:paraId="13B93DF0">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050B27E2">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0DAB3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49DBE7CF">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104</w:t>
            </w:r>
          </w:p>
        </w:tc>
        <w:tc>
          <w:tcPr>
            <w:tcW w:w="1016" w:type="dxa"/>
            <w:noWrap w:val="0"/>
            <w:vAlign w:val="center"/>
          </w:tcPr>
          <w:p w14:paraId="6F65D047">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配线</w:t>
            </w:r>
          </w:p>
        </w:tc>
        <w:tc>
          <w:tcPr>
            <w:tcW w:w="5250" w:type="dxa"/>
            <w:noWrap w:val="0"/>
            <w:vAlign w:val="center"/>
          </w:tcPr>
          <w:p w14:paraId="6CBFCECC">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1.名称:照明线路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 xml:space="preserve">2.型号、规格:BV-450/750V-2.5mm2 </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3.配线形式:管内穿线</w:t>
            </w:r>
          </w:p>
        </w:tc>
        <w:tc>
          <w:tcPr>
            <w:tcW w:w="1017" w:type="dxa"/>
            <w:noWrap w:val="0"/>
            <w:vAlign w:val="center"/>
          </w:tcPr>
          <w:p w14:paraId="2C896307">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9947.37</w:t>
            </w:r>
          </w:p>
        </w:tc>
        <w:tc>
          <w:tcPr>
            <w:tcW w:w="500" w:type="dxa"/>
            <w:noWrap w:val="0"/>
            <w:vAlign w:val="center"/>
          </w:tcPr>
          <w:p w14:paraId="5BC31ED8">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m</w:t>
            </w:r>
          </w:p>
        </w:tc>
        <w:tc>
          <w:tcPr>
            <w:tcW w:w="550" w:type="dxa"/>
            <w:noWrap w:val="0"/>
            <w:vAlign w:val="center"/>
          </w:tcPr>
          <w:p w14:paraId="3FFB944A">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r w14:paraId="5172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737" w:type="dxa"/>
            <w:noWrap w:val="0"/>
            <w:vAlign w:val="center"/>
          </w:tcPr>
          <w:p w14:paraId="386DFEAC">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pPr>
            <w:r>
              <w:rPr>
                <w:rStyle w:val="8"/>
                <w:rFonts w:hint="eastAsia" w:ascii="宋体" w:hAnsi="宋体" w:eastAsia="宋体" w:cs="宋体"/>
                <w:b w:val="0"/>
                <w:bCs w:val="0"/>
                <w:color w:val="000000" w:themeColor="text1"/>
                <w:sz w:val="21"/>
                <w:szCs w:val="21"/>
                <w:vertAlign w:val="baseline"/>
                <w:lang w:val="en-US" w:eastAsia="zh-CN"/>
                <w14:textFill>
                  <w14:solidFill>
                    <w14:schemeClr w14:val="tx1"/>
                  </w14:solidFill>
                </w14:textFill>
              </w:rPr>
              <w:t>105</w:t>
            </w:r>
          </w:p>
        </w:tc>
        <w:tc>
          <w:tcPr>
            <w:tcW w:w="1016" w:type="dxa"/>
            <w:noWrap w:val="0"/>
            <w:vAlign w:val="center"/>
          </w:tcPr>
          <w:p w14:paraId="58F928D0">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床头灯及灯罩</w:t>
            </w:r>
          </w:p>
        </w:tc>
        <w:tc>
          <w:tcPr>
            <w:tcW w:w="5250" w:type="dxa"/>
            <w:noWrap w:val="0"/>
            <w:vAlign w:val="center"/>
          </w:tcPr>
          <w:p w14:paraId="17567043">
            <w:pPr>
              <w:keepNext w:val="0"/>
              <w:keepLines w:val="0"/>
              <w:widowControl/>
              <w:suppressLineNumbers w:val="0"/>
              <w:jc w:val="left"/>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1.名称:床头灯</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2.规格、型号及参数: LED光源，功率4W，含床头灯罩</w:t>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3.类型:壁灯</w:t>
            </w:r>
          </w:p>
        </w:tc>
        <w:tc>
          <w:tcPr>
            <w:tcW w:w="1017" w:type="dxa"/>
            <w:noWrap w:val="0"/>
            <w:vAlign w:val="center"/>
          </w:tcPr>
          <w:p w14:paraId="5128F284">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1637.00</w:t>
            </w:r>
          </w:p>
        </w:tc>
        <w:tc>
          <w:tcPr>
            <w:tcW w:w="500" w:type="dxa"/>
            <w:noWrap w:val="0"/>
            <w:vAlign w:val="center"/>
          </w:tcPr>
          <w:p w14:paraId="5FEC3CFA">
            <w:pPr>
              <w:keepNext w:val="0"/>
              <w:keepLines w:val="0"/>
              <w:widowControl/>
              <w:suppressLineNumbers w:val="0"/>
              <w:jc w:val="center"/>
              <w:textAlignment w:val="cente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21"/>
                <w:szCs w:val="21"/>
                <w:u w:val="none"/>
                <w:lang w:val="en-US" w:eastAsia="zh-CN" w:bidi="ar"/>
                <w14:textFill>
                  <w14:solidFill>
                    <w14:schemeClr w14:val="tx1"/>
                  </w14:solidFill>
                </w14:textFill>
              </w:rPr>
              <w:t>套</w:t>
            </w:r>
          </w:p>
        </w:tc>
        <w:tc>
          <w:tcPr>
            <w:tcW w:w="550" w:type="dxa"/>
            <w:noWrap w:val="0"/>
            <w:vAlign w:val="center"/>
          </w:tcPr>
          <w:p w14:paraId="74B58A93">
            <w:pPr>
              <w:pStyle w:val="9"/>
              <w:keepNext w:val="0"/>
              <w:keepLines w:val="0"/>
              <w:pageBreakBefore w:val="0"/>
              <w:widowControl w:val="0"/>
              <w:kinsoku/>
              <w:wordWrap/>
              <w:overflowPunct/>
              <w:topLinePunct w:val="0"/>
              <w:autoSpaceDE/>
              <w:autoSpaceDN/>
              <w:bidi w:val="0"/>
              <w:adjustRightInd/>
              <w:snapToGrid/>
              <w:spacing w:line="440" w:lineRule="exact"/>
              <w:jc w:val="center"/>
              <w:textAlignment w:val="auto"/>
              <w:rPr>
                <w:rStyle w:val="8"/>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pPr>
          </w:p>
        </w:tc>
      </w:tr>
    </w:tbl>
    <w:p w14:paraId="1DAB2491">
      <w:pPr>
        <w:pStyle w:val="9"/>
        <w:keepNext w:val="0"/>
        <w:keepLines w:val="0"/>
        <w:pageBreakBefore w:val="0"/>
        <w:widowControl w:val="0"/>
        <w:numPr>
          <w:ilvl w:val="0"/>
          <w:numId w:val="0"/>
        </w:numPr>
        <w:kinsoku/>
        <w:wordWrap/>
        <w:overflowPunct/>
        <w:topLinePunct w:val="0"/>
        <w:autoSpaceDE/>
        <w:autoSpaceDN/>
        <w:bidi w:val="0"/>
        <w:adjustRightInd/>
        <w:snapToGrid/>
        <w:spacing w:before="120" w:beforeLines="50"/>
        <w:ind w:leftChars="0"/>
        <w:jc w:val="both"/>
        <w:textAlignment w:val="auto"/>
        <w:rPr>
          <w:rStyle w:val="8"/>
          <w:rFonts w:hint="eastAsia" w:ascii="宋体" w:hAnsi="宋体" w:eastAsia="宋体" w:cs="宋体"/>
          <w:b/>
          <w:bCs/>
          <w:color w:val="000000" w:themeColor="text1"/>
          <w:sz w:val="24"/>
          <w:szCs w:val="24"/>
          <w:lang w:val="en-US" w:eastAsia="zh-CN"/>
          <w14:textFill>
            <w14:solidFill>
              <w14:schemeClr w14:val="tx1"/>
            </w14:solidFill>
          </w14:textFill>
        </w:rPr>
      </w:pPr>
      <w:r>
        <w:rPr>
          <w:rStyle w:val="8"/>
          <w:rFonts w:hint="eastAsia" w:ascii="宋体" w:hAnsi="宋体" w:eastAsia="宋体" w:cs="宋体"/>
          <w:b/>
          <w:bCs/>
          <w:color w:val="000000" w:themeColor="text1"/>
          <w:sz w:val="24"/>
          <w:szCs w:val="24"/>
          <w:lang w:val="en-US" w:eastAsia="zh-CN"/>
          <w14:textFill>
            <w14:solidFill>
              <w14:schemeClr w14:val="tx1"/>
            </w14:solidFill>
          </w14:textFill>
        </w:rPr>
        <w:t>三、技术参数及要求</w:t>
      </w:r>
    </w:p>
    <w:p w14:paraId="0D1794A2">
      <w:pPr>
        <w:pStyle w:val="9"/>
        <w:keepNext w:val="0"/>
        <w:keepLines w:val="0"/>
        <w:pageBreakBefore w:val="0"/>
        <w:widowControl w:val="0"/>
        <w:numPr>
          <w:ilvl w:val="0"/>
          <w:numId w:val="0"/>
        </w:numPr>
        <w:kinsoku/>
        <w:wordWrap/>
        <w:overflowPunct/>
        <w:topLinePunct w:val="0"/>
        <w:autoSpaceDE/>
        <w:autoSpaceDN/>
        <w:bidi w:val="0"/>
        <w:adjustRightInd/>
        <w:snapToGrid/>
        <w:spacing w:before="120" w:beforeLines="50"/>
        <w:ind w:leftChars="0"/>
        <w:jc w:val="both"/>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一）</w:t>
      </w:r>
      <w:r>
        <w:rPr>
          <w:rFonts w:hint="eastAsia" w:ascii="宋体" w:hAnsi="宋体" w:eastAsia="宋体" w:cs="宋体"/>
          <w:b/>
          <w:bCs/>
          <w:color w:val="000000" w:themeColor="text1"/>
          <w:sz w:val="21"/>
          <w:szCs w:val="21"/>
          <w14:textFill>
            <w14:solidFill>
              <w14:schemeClr w14:val="tx1"/>
            </w14:solidFill>
          </w14:textFill>
        </w:rPr>
        <w:t>、参考规范</w:t>
      </w:r>
    </w:p>
    <w:p w14:paraId="5E7723B5">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 xml:space="preserve">、《医用气体工程技术规范》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GB50751-2012；</w:t>
      </w:r>
    </w:p>
    <w:p w14:paraId="317CABFD">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、《压力容器 第1部分：通用要求》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w:t>
      </w:r>
      <w:r>
        <w:rPr>
          <w:rFonts w:hint="eastAsia" w:ascii="宋体" w:hAnsi="宋体" w:eastAsia="宋体" w:cs="宋体"/>
          <w:color w:val="000000" w:themeColor="text1"/>
          <w:sz w:val="21"/>
          <w:szCs w:val="21"/>
          <w:lang w:val="en-US" w:eastAsia="zh-CN"/>
          <w14:textFill>
            <w14:solidFill>
              <w14:schemeClr w14:val="tx1"/>
            </w14:solidFill>
          </w14:textFill>
        </w:rPr>
        <w:t>/T</w:t>
      </w:r>
      <w:r>
        <w:rPr>
          <w:rFonts w:hint="eastAsia" w:ascii="宋体" w:hAnsi="宋体" w:eastAsia="宋体" w:cs="宋体"/>
          <w:color w:val="000000" w:themeColor="text1"/>
          <w:sz w:val="21"/>
          <w:szCs w:val="21"/>
          <w14:textFill>
            <w14:solidFill>
              <w14:schemeClr w14:val="tx1"/>
            </w14:solidFill>
          </w14:textFill>
        </w:rPr>
        <w:t>150.1-20</w:t>
      </w:r>
      <w:r>
        <w:rPr>
          <w:rFonts w:hint="eastAsia" w:ascii="宋体" w:hAnsi="宋体" w:eastAsia="宋体" w:cs="宋体"/>
          <w:color w:val="000000" w:themeColor="text1"/>
          <w:sz w:val="21"/>
          <w:szCs w:val="21"/>
          <w:lang w:val="en-US" w:eastAsia="zh-CN"/>
          <w14:textFill>
            <w14:solidFill>
              <w14:schemeClr w14:val="tx1"/>
            </w14:solidFill>
          </w14:textFill>
        </w:rPr>
        <w:t>24</w:t>
      </w:r>
      <w:r>
        <w:rPr>
          <w:rFonts w:hint="eastAsia" w:ascii="宋体" w:hAnsi="宋体" w:eastAsia="宋体" w:cs="宋体"/>
          <w:color w:val="000000" w:themeColor="text1"/>
          <w:sz w:val="21"/>
          <w:szCs w:val="21"/>
          <w14:textFill>
            <w14:solidFill>
              <w14:schemeClr w14:val="tx1"/>
            </w14:solidFill>
          </w14:textFill>
        </w:rPr>
        <w:t>；</w:t>
      </w:r>
    </w:p>
    <w:p w14:paraId="473B9205">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 xml:space="preserve">、《工业金属管道设计规范》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GB50316-2000（2008版）；</w:t>
      </w:r>
    </w:p>
    <w:p w14:paraId="683B2CE2">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 xml:space="preserve">、《医用电气设备第一部分：通用安全要求》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GB9706.1-2020；</w:t>
      </w:r>
    </w:p>
    <w:p w14:paraId="76A13B0B">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 xml:space="preserve">、《压力管道规范工业管道》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GB/T20801-2020；</w:t>
      </w:r>
    </w:p>
    <w:p w14:paraId="65BA9F65">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 xml:space="preserve">、《流体输送用铜无缝钢管》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GB/T14976-2012；</w:t>
      </w:r>
    </w:p>
    <w:p w14:paraId="4FF80483">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 xml:space="preserve">、《医用及航空呼吸用氧》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GB8982-2009；</w:t>
      </w:r>
    </w:p>
    <w:p w14:paraId="208002DF">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14:textFill>
            <w14:solidFill>
              <w14:schemeClr w14:val="tx1"/>
            </w14:solidFill>
          </w14:textFill>
        </w:rPr>
        <w:t xml:space="preserve">、《医用气体和真空用铜焊接钢管》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YB/T4513-2017；</w:t>
      </w:r>
    </w:p>
    <w:p w14:paraId="5A298958">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9</w:t>
      </w:r>
      <w:r>
        <w:rPr>
          <w:rFonts w:hint="eastAsia" w:ascii="宋体" w:hAnsi="宋体" w:eastAsia="宋体" w:cs="宋体"/>
          <w:color w:val="000000" w:themeColor="text1"/>
          <w:sz w:val="21"/>
          <w:szCs w:val="21"/>
          <w14:textFill>
            <w14:solidFill>
              <w14:schemeClr w14:val="tx1"/>
            </w14:solidFill>
          </w14:textFill>
        </w:rPr>
        <w:t xml:space="preserve">、《医用气体和真空用无缝铜管》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YS/T650-2020；</w:t>
      </w:r>
    </w:p>
    <w:p w14:paraId="000C30E3">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0</w:t>
      </w:r>
      <w:r>
        <w:rPr>
          <w:rFonts w:hint="eastAsia" w:ascii="宋体" w:hAnsi="宋体" w:eastAsia="宋体" w:cs="宋体"/>
          <w:color w:val="000000" w:themeColor="text1"/>
          <w:sz w:val="21"/>
          <w:szCs w:val="21"/>
          <w14:textFill>
            <w14:solidFill>
              <w14:schemeClr w14:val="tx1"/>
            </w14:solidFill>
          </w14:textFill>
        </w:rPr>
        <w:t xml:space="preserve">、《工业金属管道工程施工规范》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GB50235-2010；</w:t>
      </w:r>
    </w:p>
    <w:p w14:paraId="2B0AC1A3">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 xml:space="preserve">、《现场设备、工业管道焊接工程施工规范》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GB50236-2011；</w:t>
      </w:r>
    </w:p>
    <w:p w14:paraId="0AE8C009">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 xml:space="preserve">、《工业金属管道工程施工质量验收规范》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GB50184-2011；</w:t>
      </w:r>
    </w:p>
    <w:p w14:paraId="2418C56C">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、《现场设备、工业管道焊接工程施工质量验收规范》     GB50683-2011；</w:t>
      </w:r>
    </w:p>
    <w:p w14:paraId="02034975">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 xml:space="preserve">、《医用中心供氧系统通用技术条件》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YY/T0187-1994；</w:t>
      </w:r>
    </w:p>
    <w:p w14:paraId="18A8FEA2">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 xml:space="preserve">、《医用中心吸引系统通用技术条件》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YY/T0186-1994；</w:t>
      </w:r>
    </w:p>
    <w:p w14:paraId="0266B3B4">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、《压缩空气站设计规范》                            GB 50029-2014；</w:t>
      </w:r>
    </w:p>
    <w:p w14:paraId="0E11EF0F">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、《氧气站设计规范》                                GB 50030-2013；</w:t>
      </w:r>
    </w:p>
    <w:p w14:paraId="35B0AE30">
      <w:pPr>
        <w:tabs>
          <w:tab w:val="left" w:pos="1680"/>
        </w:tabs>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 xml:space="preserve">、《建筑设计防火规范》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w:t>
      </w:r>
      <w:r>
        <w:rPr>
          <w:rFonts w:hint="eastAsia" w:ascii="宋体" w:hAnsi="宋体" w:eastAsia="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GB50016-2014（2018版）；</w:t>
      </w:r>
    </w:p>
    <w:p w14:paraId="0220D570">
      <w:pPr>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19</w:t>
      </w:r>
      <w:r>
        <w:rPr>
          <w:rFonts w:hint="eastAsia" w:ascii="宋体" w:hAnsi="宋体" w:eastAsia="宋体" w:cs="宋体"/>
          <w:color w:val="000000" w:themeColor="text1"/>
          <w:sz w:val="21"/>
          <w:szCs w:val="21"/>
          <w14:textFill>
            <w14:solidFill>
              <w14:schemeClr w14:val="tx1"/>
            </w14:solidFill>
          </w14:textFill>
        </w:rPr>
        <w:t>、国家、地方及行业现行的其他最新设计规范和标准。</w:t>
      </w:r>
    </w:p>
    <w:p w14:paraId="2596369E">
      <w:pPr>
        <w:spacing w:beforeLines="0" w:afterLines="0" w:line="360" w:lineRule="auto"/>
        <w:jc w:val="lef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(二）</w:t>
      </w:r>
      <w:r>
        <w:rPr>
          <w:rFonts w:hint="eastAsia" w:ascii="宋体" w:hAnsi="宋体" w:eastAsia="宋体" w:cs="宋体"/>
          <w:b/>
          <w:bCs/>
          <w:color w:val="000000" w:themeColor="text1"/>
          <w:sz w:val="21"/>
          <w:szCs w:val="21"/>
          <w14:textFill>
            <w14:solidFill>
              <w14:schemeClr w14:val="tx1"/>
            </w14:solidFill>
          </w14:textFill>
        </w:rPr>
        <w:t>、医用中心供氧系统</w:t>
      </w:r>
    </w:p>
    <w:p w14:paraId="65FD490C">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用中心供氧系统由氧源部分、医用氧气管网系统、配套设备及仪表（包括二级减压装置、恒压监护装置等）、阀门及终端等组成。供氧系统的气源由中心站获得，通过医用氧气管网系统、配套设备及仪表、阀门等输送到终端，以供医疗使用。</w:t>
      </w:r>
    </w:p>
    <w:p w14:paraId="0E2913DE">
      <w:pPr>
        <w:keepNext w:val="0"/>
        <w:keepLines w:val="0"/>
        <w:pageBreakBefore w:val="0"/>
        <w:widowControl w:val="0"/>
        <w:tabs>
          <w:tab w:val="left" w:pos="3"/>
        </w:tabs>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1、设计参数</w:t>
      </w:r>
    </w:p>
    <w:p w14:paraId="2491F818">
      <w:pPr>
        <w:keepNext w:val="0"/>
        <w:keepLines w:val="0"/>
        <w:pageBreakBefore w:val="0"/>
        <w:widowControl w:val="0"/>
        <w:tabs>
          <w:tab w:val="left" w:pos="3"/>
        </w:tabs>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额定输出压力：0.32～0.5MPa（可调）；</w:t>
      </w:r>
    </w:p>
    <w:p w14:paraId="438C234A">
      <w:pPr>
        <w:keepNext w:val="0"/>
        <w:keepLines w:val="0"/>
        <w:pageBreakBefore w:val="0"/>
        <w:widowControl w:val="0"/>
        <w:tabs>
          <w:tab w:val="left" w:pos="3"/>
        </w:tabs>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系统泄漏率：每小时不大于0.5%；</w:t>
      </w:r>
    </w:p>
    <w:p w14:paraId="57EF26AD">
      <w:pPr>
        <w:keepNext w:val="0"/>
        <w:keepLines w:val="0"/>
        <w:pageBreakBefore w:val="0"/>
        <w:widowControl w:val="0"/>
        <w:tabs>
          <w:tab w:val="left" w:pos="3"/>
        </w:tabs>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终端流量：大于10L/min；</w:t>
      </w:r>
    </w:p>
    <w:p w14:paraId="683A446B">
      <w:pPr>
        <w:keepNext w:val="0"/>
        <w:keepLines w:val="0"/>
        <w:pageBreakBefore w:val="0"/>
        <w:widowControl w:val="0"/>
        <w:tabs>
          <w:tab w:val="left" w:pos="3"/>
        </w:tabs>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管道氧气流速不大于10m/s；</w:t>
      </w:r>
    </w:p>
    <w:p w14:paraId="03B1A71A">
      <w:pPr>
        <w:keepNext w:val="0"/>
        <w:keepLines w:val="0"/>
        <w:pageBreakBefore w:val="0"/>
        <w:widowControl w:val="0"/>
        <w:tabs>
          <w:tab w:val="left" w:pos="3"/>
        </w:tabs>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医气管道接地电阻小于10Ω。</w:t>
      </w:r>
    </w:p>
    <w:p w14:paraId="140EE020">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2、氧源部分</w:t>
      </w:r>
    </w:p>
    <w:p w14:paraId="49670BC8">
      <w:pPr>
        <w:tabs>
          <w:tab w:val="left" w:pos="3"/>
        </w:tabs>
        <w:spacing w:beforeLines="0" w:afterLines="0" w:line="360" w:lineRule="auto"/>
        <w:ind w:firstLine="420" w:firstLineChars="20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主氧源和备用氧源为医院原有氧源，应急备用氧源为1套2</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10瓶组自动切换汇流排，根据国家标准GB50751－2012《医用气体工程技术规范》的要求氧气自动汇流排做为应急氧源，一用一备，能自动切换。</w:t>
      </w:r>
    </w:p>
    <w:p w14:paraId="035BD211">
      <w:pPr>
        <w:tabs>
          <w:tab w:val="left" w:pos="3"/>
        </w:tabs>
        <w:spacing w:beforeLines="0" w:afterLines="0" w:line="360" w:lineRule="auto"/>
        <w:ind w:firstLine="420" w:firstLineChars="20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汇流排采用全自动表显切换装置。应采用具有医疗器械生产许可证的工厂制品牌成品，不应采用现场散件拼装品；汇流排两侧高压管路接管具有活接点，可以增加接管扩展管路系统。两侧接管具有精度为100μm气体过滤器。汇流排切换箱面具有明确的气体标识，具有“使用”、“备用”、“欠压”等工作状态指示标识。</w:t>
      </w:r>
    </w:p>
    <w:p w14:paraId="788085B9">
      <w:pPr>
        <w:tabs>
          <w:tab w:val="left" w:pos="3"/>
        </w:tabs>
        <w:spacing w:beforeLines="0" w:afterLines="0" w:line="360" w:lineRule="auto"/>
        <w:ind w:firstLine="420" w:firstLineChars="20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（3）汇流排间的高压汇流管、切换装置、减压出口、低压输送管路及二次减压出口处均做防雷防静电接地，接地电阻不大于100欧姆。</w:t>
      </w:r>
    </w:p>
    <w:p w14:paraId="13059AA4">
      <w:pPr>
        <w:tabs>
          <w:tab w:val="left" w:pos="3"/>
        </w:tabs>
        <w:spacing w:beforeLines="0" w:afterLines="0" w:line="360" w:lineRule="auto"/>
        <w:ind w:firstLine="420" w:firstLineChars="200"/>
        <w:jc w:val="left"/>
        <w:rPr>
          <w:rFonts w:hint="default" w:ascii="宋体" w:hAnsi="宋体" w:eastAsia="宋体" w:cs="宋体"/>
          <w:color w:val="000000" w:themeColor="text1"/>
          <w:sz w:val="21"/>
          <w:szCs w:val="21"/>
          <w:lang w:val="en-US" w:eastAsia="zh-CN"/>
          <w14:textFill>
            <w14:solidFill>
              <w14:schemeClr w14:val="tx1"/>
            </w14:solidFill>
          </w14:textFill>
        </w:rPr>
      </w:pPr>
      <w:r>
        <w:rPr>
          <w:rStyle w:val="8"/>
          <w:rFonts w:hint="eastAsia" w:ascii="宋体" w:hAnsi="宋体" w:eastAsia="宋体" w:cs="宋体"/>
          <w:b w:val="0"/>
          <w:color w:val="000000" w:themeColor="text1"/>
          <w:spacing w:val="0"/>
          <w:w w:val="100"/>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（4）汇流排与医用气体钢瓶的连接应采取防错接措施。压力调节应符合YY/T 1439.2-2016的要求。汇流排正常运转时能实现自动切换，当系统断电或控制电路故障时，医用气体汇流排左右两组气瓶组仍然可以实现机械式自动切换保持持续供气，且切换后气瓶中剩余的气体压力不能小于0.2mpa。汇流排应能在各种不同环境下正常工作，包括高温、低温、高湿度、强辐射、盐雾等环境。燃烧测试应符合ISO 10524，避免高压侧火灾安全隐患。汇流排</w:t>
      </w:r>
      <w:r>
        <w:rPr>
          <w:rFonts w:hint="default" w:ascii="宋体" w:hAnsi="宋体" w:eastAsia="宋体" w:cs="宋体"/>
          <w:color w:val="000000" w:themeColor="text1"/>
          <w:sz w:val="21"/>
          <w:szCs w:val="21"/>
          <w:lang w:val="en-US" w:eastAsia="zh-CN"/>
          <w14:textFill>
            <w14:solidFill>
              <w14:schemeClr w14:val="tx1"/>
            </w14:solidFill>
          </w14:textFill>
        </w:rPr>
        <w:t>说明书及铭牌符合《医疗器械说明书和标签管理规定》</w:t>
      </w:r>
      <w:r>
        <w:rPr>
          <w:rFonts w:hint="eastAsia" w:ascii="宋体" w:hAnsi="宋体" w:eastAsia="宋体" w:cs="宋体"/>
          <w:color w:val="000000" w:themeColor="text1"/>
          <w:sz w:val="21"/>
          <w:szCs w:val="21"/>
          <w:lang w:val="en-US" w:eastAsia="zh-CN"/>
          <w14:textFill>
            <w14:solidFill>
              <w14:schemeClr w14:val="tx1"/>
            </w14:solidFill>
          </w14:textFill>
        </w:rPr>
        <w:t>。安规须符合GB9706.1-2020《医用电气设备第1部分：基本安全和基本性能的通用要求》</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投标文件中须</w:t>
      </w:r>
      <w:r>
        <w:rPr>
          <w:rFonts w:hint="eastAsia" w:ascii="宋体" w:hAnsi="宋体" w:eastAsia="宋体" w:cs="宋体"/>
          <w:color w:val="000000" w:themeColor="text1"/>
          <w:sz w:val="21"/>
          <w:szCs w:val="21"/>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具有CMA或CNAS资质的检测机构</w:t>
      </w:r>
      <w:r>
        <w:rPr>
          <w:rFonts w:hint="eastAsia" w:ascii="宋体" w:hAnsi="宋体" w:eastAsia="宋体" w:cs="宋体"/>
          <w:color w:val="000000" w:themeColor="text1"/>
          <w:sz w:val="21"/>
          <w:szCs w:val="21"/>
          <w14:textFill>
            <w14:solidFill>
              <w14:schemeClr w14:val="tx1"/>
            </w14:solidFill>
          </w14:textFill>
        </w:rPr>
        <w:t>出具的检测报告</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w:t>
      </w:r>
    </w:p>
    <w:p w14:paraId="49330403">
      <w:pPr>
        <w:tabs>
          <w:tab w:val="left" w:pos="3"/>
        </w:tabs>
        <w:spacing w:beforeLines="0" w:afterLines="0" w:line="360" w:lineRule="auto"/>
        <w:ind w:firstLine="420" w:firstLineChars="200"/>
        <w:jc w:val="left"/>
        <w:rPr>
          <w:rFonts w:hint="eastAsia" w:ascii="宋体" w:hAnsi="宋体" w:eastAsia="宋体" w:cs="宋体"/>
          <w:color w:val="000000" w:themeColor="text1"/>
          <w:sz w:val="21"/>
          <w:szCs w:val="21"/>
          <w:lang w:val="en-US" w:eastAsia="zh-CN"/>
          <w14:textFill>
            <w14:solidFill>
              <w14:schemeClr w14:val="tx1"/>
            </w14:solidFill>
          </w14:textFill>
        </w:rPr>
      </w:pPr>
      <w:r>
        <w:rPr>
          <w:rStyle w:val="8"/>
          <w:rFonts w:hint="eastAsia" w:ascii="宋体" w:hAnsi="宋体" w:eastAsia="宋体" w:cs="宋体"/>
          <w:b w:val="0"/>
          <w:color w:val="000000" w:themeColor="text1"/>
          <w:spacing w:val="0"/>
          <w:w w:val="100"/>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（5）为保证汇流排系统运行不受其它信号干扰，汇流排</w:t>
      </w:r>
      <w:r>
        <w:rPr>
          <w:rFonts w:hint="default" w:ascii="宋体" w:hAnsi="宋体" w:eastAsia="宋体" w:cs="宋体"/>
          <w:color w:val="000000" w:themeColor="text1"/>
          <w:sz w:val="21"/>
          <w:szCs w:val="21"/>
          <w:lang w:val="en-US" w:eastAsia="zh-CN"/>
          <w14:textFill>
            <w14:solidFill>
              <w14:schemeClr w14:val="tx1"/>
            </w14:solidFill>
          </w14:textFill>
        </w:rPr>
        <w:t>应具有国家法定检测机构出具的电磁兼容检测合格报告</w:t>
      </w:r>
      <w:r>
        <w:rPr>
          <w:rFonts w:hint="eastAsia" w:ascii="宋体" w:hAnsi="宋体" w:eastAsia="宋体" w:cs="宋体"/>
          <w:color w:val="000000" w:themeColor="text1"/>
          <w:sz w:val="21"/>
          <w:szCs w:val="21"/>
          <w:lang w:val="en-US" w:eastAsia="zh-CN"/>
          <w14:textFill>
            <w14:solidFill>
              <w14:schemeClr w14:val="tx1"/>
            </w14:solidFill>
          </w14:textFill>
        </w:rPr>
        <w:t>和电磁兼容性监测FCC证书，电磁兼容符合YY9706.102-2021《医用电气设备第1-2部分：基本安全和基本性能的通用要求并列标准：电磁兼容要求和试验》</w:t>
      </w:r>
      <w:r>
        <w:rPr>
          <w:rFonts w:hint="eastAsia" w:hAnsi="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投标文件中须</w:t>
      </w:r>
      <w:r>
        <w:rPr>
          <w:rFonts w:hint="eastAsia" w:ascii="宋体" w:hAnsi="宋体" w:eastAsia="宋体" w:cs="宋体"/>
          <w:color w:val="000000" w:themeColor="text1"/>
          <w:sz w:val="21"/>
          <w:szCs w:val="21"/>
          <w14:textFill>
            <w14:solidFill>
              <w14:schemeClr w14:val="tx1"/>
            </w14:solidFill>
          </w14:textFill>
        </w:rPr>
        <w:t>提供</w:t>
      </w:r>
      <w:r>
        <w:rPr>
          <w:rFonts w:hint="eastAsia" w:ascii="宋体" w:hAnsi="宋体" w:eastAsia="宋体" w:cs="宋体"/>
          <w:color w:val="000000" w:themeColor="text1"/>
          <w:sz w:val="21"/>
          <w:szCs w:val="21"/>
          <w:lang w:val="en-US" w:eastAsia="zh-CN"/>
          <w14:textFill>
            <w14:solidFill>
              <w14:schemeClr w14:val="tx1"/>
            </w14:solidFill>
          </w14:textFill>
        </w:rPr>
        <w:t>具有CMA或</w:t>
      </w:r>
      <w:r>
        <w:rPr>
          <w:rFonts w:hint="eastAsia" w:ascii="宋体" w:hAnsi="宋体" w:eastAsia="宋体" w:cs="宋体"/>
          <w:color w:val="000000" w:themeColor="text1"/>
          <w:sz w:val="21"/>
          <w:szCs w:val="21"/>
          <w:highlight w:val="none"/>
          <w:lang w:val="en-US" w:eastAsia="zh-CN"/>
          <w14:textFill>
            <w14:solidFill>
              <w14:schemeClr w14:val="tx1"/>
            </w14:solidFill>
          </w14:textFill>
        </w:rPr>
        <w:t>CNAS资</w:t>
      </w:r>
      <w:r>
        <w:rPr>
          <w:rFonts w:hint="eastAsia" w:ascii="宋体" w:hAnsi="宋体" w:eastAsia="宋体" w:cs="宋体"/>
          <w:color w:val="000000" w:themeColor="text1"/>
          <w:sz w:val="21"/>
          <w:szCs w:val="21"/>
          <w:lang w:val="en-US" w:eastAsia="zh-CN"/>
          <w14:textFill>
            <w14:solidFill>
              <w14:schemeClr w14:val="tx1"/>
            </w14:solidFill>
          </w14:textFill>
        </w:rPr>
        <w:t>质的检测机构</w:t>
      </w:r>
      <w:r>
        <w:rPr>
          <w:rFonts w:hint="eastAsia" w:ascii="宋体" w:hAnsi="宋体" w:eastAsia="宋体" w:cs="宋体"/>
          <w:color w:val="000000" w:themeColor="text1"/>
          <w:sz w:val="21"/>
          <w:szCs w:val="21"/>
          <w14:textFill>
            <w14:solidFill>
              <w14:schemeClr w14:val="tx1"/>
            </w14:solidFill>
          </w14:textFill>
        </w:rPr>
        <w:t>出具的</w:t>
      </w:r>
      <w:r>
        <w:rPr>
          <w:rFonts w:hint="eastAsia" w:ascii="宋体" w:hAnsi="宋体" w:eastAsia="宋体" w:cs="宋体"/>
          <w:color w:val="000000" w:themeColor="text1"/>
          <w:sz w:val="21"/>
          <w:szCs w:val="21"/>
          <w:lang w:val="en-US" w:eastAsia="zh-CN"/>
          <w14:textFill>
            <w14:solidFill>
              <w14:schemeClr w14:val="tx1"/>
            </w14:solidFill>
          </w14:textFill>
        </w:rPr>
        <w:t>电磁兼容</w:t>
      </w:r>
      <w:r>
        <w:rPr>
          <w:rFonts w:hint="eastAsia" w:ascii="宋体" w:hAnsi="宋体" w:eastAsia="宋体" w:cs="宋体"/>
          <w:color w:val="000000" w:themeColor="text1"/>
          <w:sz w:val="21"/>
          <w:szCs w:val="21"/>
          <w14:textFill>
            <w14:solidFill>
              <w14:schemeClr w14:val="tx1"/>
            </w14:solidFill>
          </w14:textFill>
        </w:rPr>
        <w:t>检测报告</w:t>
      </w:r>
      <w:r>
        <w:rPr>
          <w:rFonts w:hint="eastAsia" w:ascii="宋体" w:hAnsi="宋体" w:eastAsia="宋体" w:cs="宋体"/>
          <w:color w:val="000000" w:themeColor="text1"/>
          <w:sz w:val="21"/>
          <w:szCs w:val="21"/>
          <w:lang w:val="en-US" w:eastAsia="zh-CN"/>
          <w14:textFill>
            <w14:solidFill>
              <w14:schemeClr w14:val="tx1"/>
            </w14:solidFill>
          </w14:textFill>
        </w:rPr>
        <w:t>复印件</w:t>
      </w:r>
      <w:r>
        <w:rPr>
          <w:rFonts w:hint="eastAsia" w:hAnsi="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w:t>
      </w:r>
    </w:p>
    <w:p w14:paraId="00C1AAA6">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3、医用氧气管网系统</w:t>
      </w:r>
    </w:p>
    <w:p w14:paraId="00503742">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14:textFill>
            <w14:solidFill>
              <w14:schemeClr w14:val="tx1"/>
            </w14:solidFill>
          </w14:textFill>
        </w:rPr>
        <w:t>医用中心供氧输送管道据国家标准GB50751－2012《医用气体工程技术规范》的要求和系统中用气量的需要，经过精确计算并确定供氧管道的管径及材质分别如下：</w:t>
      </w: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3"/>
        <w:gridCol w:w="1507"/>
        <w:gridCol w:w="1168"/>
        <w:gridCol w:w="1152"/>
      </w:tblGrid>
      <w:tr w14:paraId="2A57A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47FD875A">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管段</w:t>
            </w:r>
          </w:p>
        </w:tc>
        <w:tc>
          <w:tcPr>
            <w:tcW w:w="832" w:type="pct"/>
            <w:noWrap w:val="0"/>
            <w:vAlign w:val="center"/>
          </w:tcPr>
          <w:p w14:paraId="762E5F5E">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规格</w:t>
            </w:r>
          </w:p>
        </w:tc>
        <w:tc>
          <w:tcPr>
            <w:tcW w:w="645" w:type="pct"/>
            <w:noWrap w:val="0"/>
            <w:vAlign w:val="center"/>
          </w:tcPr>
          <w:p w14:paraId="2B95F935">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材质</w:t>
            </w:r>
          </w:p>
        </w:tc>
        <w:tc>
          <w:tcPr>
            <w:tcW w:w="636" w:type="pct"/>
            <w:noWrap w:val="0"/>
            <w:vAlign w:val="center"/>
          </w:tcPr>
          <w:p w14:paraId="176871EF">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介质</w:t>
            </w:r>
          </w:p>
        </w:tc>
      </w:tr>
      <w:tr w14:paraId="310C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62769562">
            <w:pPr>
              <w:spacing w:beforeLines="0" w:afterLines="0" w:line="360" w:lineRule="auto"/>
              <w:jc w:val="center"/>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住院楼</w:t>
            </w:r>
            <w:r>
              <w:rPr>
                <w:rFonts w:hint="eastAsia" w:ascii="宋体" w:hAnsi="宋体" w:cs="宋体"/>
                <w:color w:val="000000" w:themeColor="text1"/>
                <w:sz w:val="21"/>
                <w:szCs w:val="21"/>
                <w:vertAlign w:val="baseline"/>
                <w:lang w:val="en-US" w:eastAsia="zh-CN"/>
                <w14:textFill>
                  <w14:solidFill>
                    <w14:schemeClr w14:val="tx1"/>
                  </w14:solidFill>
                </w14:textFill>
              </w:rPr>
              <w:t>一般区域</w:t>
            </w:r>
            <w:r>
              <w:rPr>
                <w:rFonts w:hint="eastAsia" w:ascii="宋体" w:hAnsi="宋体" w:eastAsia="宋体" w:cs="宋体"/>
                <w:color w:val="000000" w:themeColor="text1"/>
                <w:sz w:val="21"/>
                <w:szCs w:val="21"/>
                <w:vertAlign w:val="baseline"/>
                <w14:textFill>
                  <w14:solidFill>
                    <w14:schemeClr w14:val="tx1"/>
                  </w14:solidFill>
                </w14:textFill>
              </w:rPr>
              <w:t>主管道</w:t>
            </w:r>
            <w:r>
              <w:rPr>
                <w:rFonts w:hint="eastAsia" w:ascii="宋体" w:hAnsi="宋体" w:cs="宋体"/>
                <w:color w:val="000000" w:themeColor="text1"/>
                <w:sz w:val="21"/>
                <w:szCs w:val="21"/>
                <w:vertAlign w:val="baseline"/>
                <w:lang w:eastAsia="zh-CN"/>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利旧</w:t>
            </w:r>
            <w:r>
              <w:rPr>
                <w:rFonts w:hint="eastAsia" w:ascii="宋体" w:hAnsi="宋体" w:cs="宋体"/>
                <w:color w:val="000000" w:themeColor="text1"/>
                <w:sz w:val="21"/>
                <w:szCs w:val="21"/>
                <w:vertAlign w:val="baseline"/>
                <w:lang w:eastAsia="zh-CN"/>
                <w14:textFill>
                  <w14:solidFill>
                    <w14:schemeClr w14:val="tx1"/>
                  </w14:solidFill>
                </w14:textFill>
              </w:rPr>
              <w:t>）</w:t>
            </w:r>
          </w:p>
        </w:tc>
        <w:tc>
          <w:tcPr>
            <w:tcW w:w="832" w:type="pct"/>
            <w:noWrap w:val="0"/>
            <w:vAlign w:val="center"/>
          </w:tcPr>
          <w:p w14:paraId="54518094">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42</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645" w:type="pct"/>
            <w:noWrap w:val="0"/>
            <w:vAlign w:val="center"/>
          </w:tcPr>
          <w:p w14:paraId="49092260">
            <w:pPr>
              <w:spacing w:beforeLines="0" w:afterLines="0" w:line="360" w:lineRule="auto"/>
              <w:jc w:val="center"/>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309BA5B9">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66619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1A2CCA8E">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住院楼生命支持区域主管</w:t>
            </w:r>
          </w:p>
        </w:tc>
        <w:tc>
          <w:tcPr>
            <w:tcW w:w="832" w:type="pct"/>
            <w:noWrap w:val="0"/>
            <w:vAlign w:val="center"/>
          </w:tcPr>
          <w:p w14:paraId="26EC041B">
            <w:pPr>
              <w:spacing w:beforeLines="0" w:afterLines="0" w:line="360" w:lineRule="auto"/>
              <w:jc w:val="center"/>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25</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645" w:type="pct"/>
            <w:noWrap w:val="0"/>
            <w:vAlign w:val="center"/>
          </w:tcPr>
          <w:p w14:paraId="4C7F969E">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76BE6F99">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1131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4B63E26E">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门诊楼生命支持</w:t>
            </w:r>
            <w:r>
              <w:rPr>
                <w:rFonts w:hint="eastAsia" w:ascii="宋体" w:hAnsi="宋体" w:eastAsia="宋体" w:cs="宋体"/>
                <w:color w:val="000000" w:themeColor="text1"/>
                <w:sz w:val="21"/>
                <w:szCs w:val="21"/>
                <w:vertAlign w:val="baseline"/>
                <w14:textFill>
                  <w14:solidFill>
                    <w14:schemeClr w14:val="tx1"/>
                  </w14:solidFill>
                </w14:textFill>
              </w:rPr>
              <w:t>区域主管道</w:t>
            </w:r>
          </w:p>
        </w:tc>
        <w:tc>
          <w:tcPr>
            <w:tcW w:w="832" w:type="pct"/>
            <w:noWrap w:val="0"/>
            <w:vAlign w:val="center"/>
          </w:tcPr>
          <w:p w14:paraId="112573CC">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38</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645" w:type="pct"/>
            <w:noWrap w:val="0"/>
            <w:vAlign w:val="center"/>
          </w:tcPr>
          <w:p w14:paraId="67967487">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360DF490">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470D4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4757DE97">
            <w:pPr>
              <w:spacing w:beforeLines="0" w:afterLines="0" w:line="360" w:lineRule="auto"/>
              <w:jc w:val="center"/>
              <w:rPr>
                <w:rFonts w:hint="default" w:ascii="宋体" w:hAnsi="宋体" w:cs="宋体"/>
                <w:color w:val="000000" w:themeColor="text1"/>
                <w:sz w:val="21"/>
                <w:szCs w:val="21"/>
                <w:vertAlign w:val="baseline"/>
                <w:lang w:val="en-US" w:eastAsia="zh-CN"/>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门诊楼一般区域主管</w:t>
            </w:r>
          </w:p>
        </w:tc>
        <w:tc>
          <w:tcPr>
            <w:tcW w:w="832" w:type="pct"/>
            <w:noWrap w:val="0"/>
            <w:vAlign w:val="center"/>
          </w:tcPr>
          <w:p w14:paraId="087F9FB8">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25</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645" w:type="pct"/>
            <w:noWrap w:val="0"/>
            <w:vAlign w:val="center"/>
          </w:tcPr>
          <w:p w14:paraId="4899B385">
            <w:pPr>
              <w:spacing w:beforeLines="0" w:afterLines="0" w:line="360" w:lineRule="auto"/>
              <w:jc w:val="center"/>
              <w:rPr>
                <w:rFonts w:hint="eastAsia" w:ascii="宋体" w:hAnsi="宋体" w:cs="宋体"/>
                <w:color w:val="000000" w:themeColor="text1"/>
                <w:sz w:val="21"/>
                <w:szCs w:val="21"/>
                <w:vertAlign w:val="baseline"/>
                <w:lang w:val="en-US" w:eastAsia="zh-CN"/>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4724CCBA">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2353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2E543305">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住院楼</w:t>
            </w:r>
            <w:r>
              <w:rPr>
                <w:rFonts w:hint="eastAsia" w:ascii="宋体" w:hAnsi="宋体" w:cs="宋体"/>
                <w:color w:val="000000" w:themeColor="text1"/>
                <w:sz w:val="21"/>
                <w:szCs w:val="21"/>
                <w:vertAlign w:val="baseline"/>
                <w:lang w:val="en-US" w:eastAsia="zh-CN"/>
                <w14:textFill>
                  <w14:solidFill>
                    <w14:schemeClr w14:val="tx1"/>
                  </w14:solidFill>
                </w14:textFill>
              </w:rPr>
              <w:t>一般区域</w:t>
            </w:r>
            <w:r>
              <w:rPr>
                <w:rFonts w:hint="eastAsia" w:ascii="宋体" w:hAnsi="宋体" w:eastAsia="宋体" w:cs="宋体"/>
                <w:color w:val="000000" w:themeColor="text1"/>
                <w:sz w:val="21"/>
                <w:szCs w:val="21"/>
                <w:vertAlign w:val="baseline"/>
                <w14:textFill>
                  <w14:solidFill>
                    <w14:schemeClr w14:val="tx1"/>
                  </w14:solidFill>
                </w14:textFill>
              </w:rPr>
              <w:t>走廊内水平管（</w:t>
            </w:r>
            <w:r>
              <w:rPr>
                <w:rFonts w:hint="eastAsia" w:ascii="宋体" w:hAnsi="宋体" w:cs="宋体"/>
                <w:color w:val="000000" w:themeColor="text1"/>
                <w:sz w:val="21"/>
                <w:szCs w:val="21"/>
                <w:vertAlign w:val="baseline"/>
                <w:lang w:val="en-US" w:eastAsia="zh-CN"/>
                <w14:textFill>
                  <w14:solidFill>
                    <w14:schemeClr w14:val="tx1"/>
                  </w14:solidFill>
                </w14:textFill>
              </w:rPr>
              <w:t>利旧</w:t>
            </w:r>
            <w:r>
              <w:rPr>
                <w:rFonts w:hint="eastAsia" w:ascii="宋体" w:hAnsi="宋体" w:eastAsia="宋体" w:cs="宋体"/>
                <w:color w:val="000000" w:themeColor="text1"/>
                <w:sz w:val="21"/>
                <w:szCs w:val="21"/>
                <w:vertAlign w:val="baseline"/>
                <w14:textFill>
                  <w14:solidFill>
                    <w14:schemeClr w14:val="tx1"/>
                  </w14:solidFill>
                </w14:textFill>
              </w:rPr>
              <w:t>）</w:t>
            </w:r>
          </w:p>
        </w:tc>
        <w:tc>
          <w:tcPr>
            <w:tcW w:w="832" w:type="pct"/>
            <w:noWrap w:val="0"/>
            <w:vAlign w:val="center"/>
          </w:tcPr>
          <w:p w14:paraId="1F3FE231">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∅22x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645" w:type="pct"/>
            <w:noWrap w:val="0"/>
            <w:vAlign w:val="center"/>
          </w:tcPr>
          <w:p w14:paraId="78D083A6">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0BBFD4F6">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5C295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6EAD57B1">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住院楼</w:t>
            </w:r>
            <w:r>
              <w:rPr>
                <w:rFonts w:hint="eastAsia" w:ascii="宋体" w:hAnsi="宋体" w:cs="宋体"/>
                <w:color w:val="000000" w:themeColor="text1"/>
                <w:sz w:val="21"/>
                <w:szCs w:val="21"/>
                <w:vertAlign w:val="baseline"/>
                <w:lang w:val="en-US" w:eastAsia="zh-CN"/>
                <w14:textFill>
                  <w14:solidFill>
                    <w14:schemeClr w14:val="tx1"/>
                  </w14:solidFill>
                </w14:textFill>
              </w:rPr>
              <w:t>生命支持区域</w:t>
            </w:r>
            <w:r>
              <w:rPr>
                <w:rFonts w:hint="eastAsia" w:ascii="宋体" w:hAnsi="宋体" w:eastAsia="宋体" w:cs="宋体"/>
                <w:color w:val="000000" w:themeColor="text1"/>
                <w:sz w:val="21"/>
                <w:szCs w:val="21"/>
                <w:vertAlign w:val="baseline"/>
                <w14:textFill>
                  <w14:solidFill>
                    <w14:schemeClr w14:val="tx1"/>
                  </w14:solidFill>
                </w14:textFill>
              </w:rPr>
              <w:t>走廊内水平管</w:t>
            </w:r>
          </w:p>
        </w:tc>
        <w:tc>
          <w:tcPr>
            <w:tcW w:w="832" w:type="pct"/>
            <w:noWrap w:val="0"/>
            <w:vAlign w:val="center"/>
          </w:tcPr>
          <w:p w14:paraId="3BBC6C75">
            <w:pPr>
              <w:spacing w:beforeLines="0" w:afterLines="0" w:line="360" w:lineRule="auto"/>
              <w:jc w:val="center"/>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∅1</w:t>
            </w:r>
            <w:r>
              <w:rPr>
                <w:rFonts w:hint="eastAsia" w:ascii="宋体" w:hAnsi="宋体" w:cs="宋体"/>
                <w:color w:val="000000" w:themeColor="text1"/>
                <w:sz w:val="21"/>
                <w:szCs w:val="21"/>
                <w:vertAlign w:val="baseline"/>
                <w:lang w:val="en-US" w:eastAsia="zh-CN"/>
                <w14:textFill>
                  <w14:solidFill>
                    <w14:schemeClr w14:val="tx1"/>
                  </w14:solidFill>
                </w14:textFill>
              </w:rPr>
              <w:t>4</w:t>
            </w:r>
            <w:r>
              <w:rPr>
                <w:rFonts w:hint="eastAsia" w:ascii="宋体" w:hAnsi="宋体" w:eastAsia="宋体" w:cs="宋体"/>
                <w:color w:val="000000" w:themeColor="text1"/>
                <w:sz w:val="21"/>
                <w:szCs w:val="21"/>
                <w:vertAlign w:val="baseline"/>
                <w14:textFill>
                  <w14:solidFill>
                    <w14:schemeClr w14:val="tx1"/>
                  </w14:solidFill>
                </w14:textFill>
              </w:rPr>
              <w:t>x1.</w:t>
            </w:r>
            <w:r>
              <w:rPr>
                <w:rFonts w:hint="eastAsia" w:ascii="宋体" w:hAnsi="宋体" w:cs="宋体"/>
                <w:color w:val="000000" w:themeColor="text1"/>
                <w:sz w:val="21"/>
                <w:szCs w:val="21"/>
                <w:vertAlign w:val="baseline"/>
                <w:lang w:val="en-US" w:eastAsia="zh-CN"/>
                <w14:textFill>
                  <w14:solidFill>
                    <w14:schemeClr w14:val="tx1"/>
                  </w14:solidFill>
                </w14:textFill>
              </w:rPr>
              <w:t>0</w:t>
            </w:r>
          </w:p>
        </w:tc>
        <w:tc>
          <w:tcPr>
            <w:tcW w:w="645" w:type="pct"/>
            <w:noWrap w:val="0"/>
            <w:vAlign w:val="center"/>
          </w:tcPr>
          <w:p w14:paraId="2734DFDD">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1635EE36">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3FC8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357D3339">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门诊楼一般区域</w:t>
            </w:r>
            <w:r>
              <w:rPr>
                <w:rFonts w:hint="eastAsia" w:ascii="宋体" w:hAnsi="宋体" w:eastAsia="宋体" w:cs="宋体"/>
                <w:color w:val="000000" w:themeColor="text1"/>
                <w:sz w:val="21"/>
                <w:szCs w:val="21"/>
                <w:vertAlign w:val="baseline"/>
                <w14:textFill>
                  <w14:solidFill>
                    <w14:schemeClr w14:val="tx1"/>
                  </w14:solidFill>
                </w14:textFill>
              </w:rPr>
              <w:t>走廊内水平管</w:t>
            </w:r>
          </w:p>
        </w:tc>
        <w:tc>
          <w:tcPr>
            <w:tcW w:w="832" w:type="pct"/>
            <w:noWrap w:val="0"/>
            <w:vAlign w:val="center"/>
          </w:tcPr>
          <w:p w14:paraId="4D3FD9E7">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∅2</w:t>
            </w:r>
            <w:r>
              <w:rPr>
                <w:rFonts w:hint="eastAsia" w:ascii="宋体" w:hAnsi="宋体" w:cs="宋体"/>
                <w:color w:val="000000" w:themeColor="text1"/>
                <w:sz w:val="21"/>
                <w:szCs w:val="21"/>
                <w:vertAlign w:val="baseline"/>
                <w:lang w:val="en-US" w:eastAsia="zh-CN"/>
                <w14:textFill>
                  <w14:solidFill>
                    <w14:schemeClr w14:val="tx1"/>
                  </w14:solidFill>
                </w14:textFill>
              </w:rPr>
              <w:t>2</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645" w:type="pct"/>
            <w:noWrap w:val="0"/>
            <w:vAlign w:val="center"/>
          </w:tcPr>
          <w:p w14:paraId="233AE370">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303D6760">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1FE9E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5CE486BD">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门诊楼一般区域</w:t>
            </w:r>
            <w:r>
              <w:rPr>
                <w:rFonts w:hint="eastAsia" w:ascii="宋体" w:hAnsi="宋体" w:eastAsia="宋体" w:cs="宋体"/>
                <w:color w:val="000000" w:themeColor="text1"/>
                <w:sz w:val="21"/>
                <w:szCs w:val="21"/>
                <w:vertAlign w:val="baseline"/>
                <w14:textFill>
                  <w14:solidFill>
                    <w14:schemeClr w14:val="tx1"/>
                  </w14:solidFill>
                </w14:textFill>
              </w:rPr>
              <w:t>走廊内水平管</w:t>
            </w:r>
          </w:p>
        </w:tc>
        <w:tc>
          <w:tcPr>
            <w:tcW w:w="832" w:type="pct"/>
            <w:noWrap w:val="0"/>
            <w:vAlign w:val="center"/>
          </w:tcPr>
          <w:p w14:paraId="20EC41BD">
            <w:pPr>
              <w:spacing w:beforeLines="0" w:afterLines="0" w:line="360" w:lineRule="auto"/>
              <w:jc w:val="center"/>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14</w:t>
            </w:r>
            <w:r>
              <w:rPr>
                <w:rFonts w:hint="eastAsia" w:ascii="宋体" w:hAnsi="宋体" w:eastAsia="宋体" w:cs="宋体"/>
                <w:color w:val="000000" w:themeColor="text1"/>
                <w:sz w:val="21"/>
                <w:szCs w:val="21"/>
                <w:vertAlign w:val="baseline"/>
                <w14:textFill>
                  <w14:solidFill>
                    <w14:schemeClr w14:val="tx1"/>
                  </w14:solidFill>
                </w14:textFill>
              </w:rPr>
              <w:t>x1.</w:t>
            </w:r>
            <w:r>
              <w:rPr>
                <w:rFonts w:hint="eastAsia" w:ascii="宋体" w:hAnsi="宋体" w:cs="宋体"/>
                <w:color w:val="000000" w:themeColor="text1"/>
                <w:sz w:val="21"/>
                <w:szCs w:val="21"/>
                <w:vertAlign w:val="baseline"/>
                <w:lang w:val="en-US" w:eastAsia="zh-CN"/>
                <w14:textFill>
                  <w14:solidFill>
                    <w14:schemeClr w14:val="tx1"/>
                  </w14:solidFill>
                </w14:textFill>
              </w:rPr>
              <w:t>0</w:t>
            </w:r>
          </w:p>
        </w:tc>
        <w:tc>
          <w:tcPr>
            <w:tcW w:w="645" w:type="pct"/>
            <w:noWrap w:val="0"/>
            <w:vAlign w:val="center"/>
          </w:tcPr>
          <w:p w14:paraId="1418496B">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5A0E5DFE">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7BB1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7AE062D2">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门诊楼生命支持区域</w:t>
            </w:r>
            <w:r>
              <w:rPr>
                <w:rFonts w:hint="eastAsia" w:ascii="宋体" w:hAnsi="宋体" w:eastAsia="宋体" w:cs="宋体"/>
                <w:color w:val="000000" w:themeColor="text1"/>
                <w:sz w:val="21"/>
                <w:szCs w:val="21"/>
                <w:vertAlign w:val="baseline"/>
                <w14:textFill>
                  <w14:solidFill>
                    <w14:schemeClr w14:val="tx1"/>
                  </w14:solidFill>
                </w14:textFill>
              </w:rPr>
              <w:t>走廊内水平管</w:t>
            </w:r>
          </w:p>
        </w:tc>
        <w:tc>
          <w:tcPr>
            <w:tcW w:w="832" w:type="pct"/>
            <w:noWrap w:val="0"/>
            <w:vAlign w:val="center"/>
          </w:tcPr>
          <w:p w14:paraId="2B270837">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32</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645" w:type="pct"/>
            <w:noWrap w:val="0"/>
            <w:vAlign w:val="center"/>
          </w:tcPr>
          <w:p w14:paraId="342F6F1A">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636" w:type="pct"/>
            <w:noWrap w:val="0"/>
            <w:vAlign w:val="center"/>
          </w:tcPr>
          <w:p w14:paraId="7C5ED453">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r w14:paraId="7AED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0BE04318">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支管道到终端管道</w:t>
            </w:r>
          </w:p>
        </w:tc>
        <w:tc>
          <w:tcPr>
            <w:tcW w:w="832" w:type="pct"/>
            <w:noWrap w:val="0"/>
            <w:vAlign w:val="center"/>
          </w:tcPr>
          <w:p w14:paraId="16BA476D">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∅8x1.0</w:t>
            </w:r>
          </w:p>
        </w:tc>
        <w:tc>
          <w:tcPr>
            <w:tcW w:w="645" w:type="pct"/>
            <w:noWrap w:val="0"/>
            <w:vAlign w:val="center"/>
          </w:tcPr>
          <w:p w14:paraId="0C061D13">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铜</w:t>
            </w:r>
          </w:p>
        </w:tc>
        <w:tc>
          <w:tcPr>
            <w:tcW w:w="636" w:type="pct"/>
            <w:noWrap w:val="0"/>
            <w:vAlign w:val="center"/>
          </w:tcPr>
          <w:p w14:paraId="2B9E2874">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氧气</w:t>
            </w:r>
          </w:p>
        </w:tc>
      </w:tr>
    </w:tbl>
    <w:p w14:paraId="44FC4A4B">
      <w:pPr>
        <w:tabs>
          <w:tab w:val="left" w:pos="1680"/>
        </w:tabs>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以上不锈钢钢管尺寸规格应符合GB/T14976-2012的标准要求，紫铜管尺寸规格应符合YS/T650-2020《医用气体和真空用无缝铜管》的标准要求。其中配套设备的阀门、三通及接头均采用优质材料</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且与氧气接触部分的材料严禁使用含油或可燃材料。氧气主管道沿地沟敷设或沿走廊墙面架设至大楼管道井，主管沿管道井送至用气各楼层；楼层间横管道从主管道接出，安装在吊顶内，并沿走廊敷设；各支管道从横管道接至病房用气终端，进入室内的医气管道根据房间大小及供氧位置具体设计。进入病房前的管道采用支架和抱箍固定在距楼顶高度500mm的位置，即安装高度为（H-500）。进入病房的管道均经按装于PVC装饰罩后接至床头设备带，设备带内管道敷设于规定的气体管路槽内（设备带上槽），以保证病房美观。同时，管道在穿墙、穿楼板时加套管，套管两端用石棉封死，穿墙套管两端与墙面平齐，穿楼板套管上端面高于楼板面20mm，且在套管内的管段不得有焊缝及连接接头。管道系统需可靠接地，同时，每个病区安装一套维修阀，以方便维修。</w:t>
      </w:r>
    </w:p>
    <w:p w14:paraId="4463A48C">
      <w:pPr>
        <w:tabs>
          <w:tab w:val="left" w:pos="1680"/>
        </w:tabs>
        <w:spacing w:beforeLines="0" w:afterLines="0" w:line="360" w:lineRule="auto"/>
        <w:ind w:firstLine="420" w:firstLineChars="200"/>
        <w:jc w:val="left"/>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医用设备带由气体终端接头、照明开关、插座、LED支架灯等组成，医用设备带预期使用寿命≥10年。医用设备带应对除生物相容性、易燃麻醉混合气点燃危险的防护、灭菌、EMC以外的内容进行全项目检测，检测结果应符合GB9706.1-2020标准要求（投标文件中须提供具有CMA或CNAS资质的检测机构出具的检测报告）。</w:t>
      </w:r>
    </w:p>
    <w:p w14:paraId="26CB31C7">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4、二级减压装置</w:t>
      </w:r>
    </w:p>
    <w:p w14:paraId="3A4EC59D">
      <w:pPr>
        <w:spacing w:beforeLines="0" w:afterLines="0" w:line="360" w:lineRule="auto"/>
        <w:ind w:firstLine="420" w:firstLineChars="20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为使各末端终端有稳定的压力和流量，在每层管井处安装一台氧气二级减压箱</w:t>
      </w:r>
      <w:r>
        <w:rPr>
          <w:rFonts w:hint="eastAsia" w:ascii="宋体" w:hAnsi="宋体" w:eastAsia="宋体" w:cs="宋体"/>
          <w:color w:val="000000" w:themeColor="text1"/>
          <w:sz w:val="21"/>
          <w:szCs w:val="21"/>
          <w:lang w:eastAsia="zh-CN"/>
          <w14:textFill>
            <w14:solidFill>
              <w14:schemeClr w14:val="tx1"/>
            </w14:solidFill>
          </w14:textFill>
        </w:rPr>
        <w:t>。</w:t>
      </w:r>
    </w:p>
    <w:p w14:paraId="75B5EE39">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氧气二级减压箱采用双路设计</w:t>
      </w:r>
      <w:r>
        <w:rPr>
          <w:rFonts w:hint="eastAsia" w:ascii="宋体" w:hAnsi="宋体" w:eastAsia="宋体" w:cs="宋体"/>
          <w:color w:val="000000" w:themeColor="text1"/>
          <w:sz w:val="21"/>
          <w:szCs w:val="21"/>
          <w:lang w:val="en-US" w:eastAsia="zh-CN"/>
          <w14:textFill>
            <w14:solidFill>
              <w14:schemeClr w14:val="tx1"/>
            </w14:solidFill>
          </w14:textFill>
        </w:rPr>
        <w:t>并</w:t>
      </w:r>
      <w:r>
        <w:rPr>
          <w:rFonts w:hint="eastAsia" w:ascii="宋体" w:hAnsi="宋体" w:eastAsia="宋体" w:cs="宋体"/>
          <w:color w:val="000000" w:themeColor="text1"/>
          <w:sz w:val="21"/>
          <w:szCs w:val="21"/>
          <w:lang w:eastAsia="zh-CN"/>
          <w14:textFill>
            <w14:solidFill>
              <w14:schemeClr w14:val="tx1"/>
            </w14:solidFill>
          </w14:textFill>
        </w:rPr>
        <w:t>具有CE认证（</w:t>
      </w:r>
      <w:r>
        <w:rPr>
          <w:rFonts w:hint="eastAsia" w:ascii="宋体" w:hAnsi="宋体" w:eastAsia="宋体" w:cs="宋体"/>
          <w:color w:val="000000" w:themeColor="text1"/>
          <w:sz w:val="21"/>
          <w:szCs w:val="21"/>
          <w:lang w:val="en-US" w:eastAsia="zh-CN"/>
          <w14:textFill>
            <w14:solidFill>
              <w14:schemeClr w14:val="tx1"/>
            </w14:solidFill>
          </w14:textFill>
        </w:rPr>
        <w:t>提供证明材料）</w:t>
      </w:r>
      <w:r>
        <w:rPr>
          <w:rFonts w:hint="eastAsia" w:ascii="宋体" w:hAnsi="宋体" w:eastAsia="宋体" w:cs="宋体"/>
          <w:color w:val="000000" w:themeColor="text1"/>
          <w:sz w:val="21"/>
          <w:szCs w:val="21"/>
          <w14:textFill>
            <w14:solidFill>
              <w14:schemeClr w14:val="tx1"/>
            </w14:solidFill>
          </w14:textFill>
        </w:rPr>
        <w:t>，一路发生故障时，可切换到旁路，在维修时不停止供气，也可以在氧气使用量大时双路同时供气，以保证病人用氧的需要。</w:t>
      </w:r>
    </w:p>
    <w:p w14:paraId="769ED845">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减压箱内装有一套安全阀，即当二级减压箱输出压力高于最高使用压力时安全阀自动开启，进行卸载，从而避免了出气终端出现超出使用压力的危险情况。氧气在供氧中心减压稳压至0.6MPa</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中压输送。再由二级减压装置，将压力减至0.32～0.5MPa</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并保证使用麻醉机、呼吸机和其它医疗器械的终端处压力不低于0.4MPa</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普通病房终端压力不低于0.32MPa。</w:t>
      </w:r>
    </w:p>
    <w:p w14:paraId="3FACA93C">
      <w:pPr>
        <w:spacing w:beforeLines="0" w:afterLines="0" w:line="360" w:lineRule="auto"/>
        <w:ind w:firstLine="420" w:firstLineChars="20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eastAsia="zh-CN"/>
          <w14:textFill>
            <w14:solidFill>
              <w14:schemeClr w14:val="tx1"/>
            </w14:solidFill>
          </w14:textFill>
        </w:rPr>
        <w:t>）二级减压箱箱内铜管与阀门焊接之处采用银焊,确保焊缝质量，管路经100%气密性测试，泄漏率检测结果为0%，承受0.8MPa压力不泄漏。二级稳压箱采用包含安全阀的双路型式，每一路均应满足最大流量及安全泄放需要。流量应大于最小值，具有紧急备用接口（</w:t>
      </w:r>
      <w:r>
        <w:rPr>
          <w:rFonts w:hint="eastAsia" w:ascii="宋体" w:hAnsi="宋体" w:eastAsia="宋体" w:cs="宋体"/>
          <w:color w:val="000000" w:themeColor="text1"/>
          <w:sz w:val="21"/>
          <w:szCs w:val="21"/>
          <w:lang w:val="en-US" w:eastAsia="zh-CN"/>
          <w14:textFill>
            <w14:solidFill>
              <w14:schemeClr w14:val="tx1"/>
            </w14:solidFill>
          </w14:textFill>
        </w:rPr>
        <w:t>投标文件中须提供具有CMA或CNAS资质的检测机构出具的检测报告</w:t>
      </w:r>
      <w:r>
        <w:rPr>
          <w:rFonts w:hint="eastAsia" w:ascii="宋体" w:hAnsi="宋体" w:eastAsia="宋体" w:cs="宋体"/>
          <w:color w:val="000000" w:themeColor="text1"/>
          <w:sz w:val="21"/>
          <w:szCs w:val="21"/>
          <w:lang w:eastAsia="zh-CN"/>
          <w14:textFill>
            <w14:solidFill>
              <w14:schemeClr w14:val="tx1"/>
            </w14:solidFill>
          </w14:textFill>
        </w:rPr>
        <w:t>）。</w:t>
      </w:r>
    </w:p>
    <w:p w14:paraId="15FB20DB">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5、压力监测装置</w:t>
      </w:r>
    </w:p>
    <w:p w14:paraId="5D1470BA">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为保证各病区病房内终端压力使用安全和监测每个病区的气体压力情况及便于维修和管理，特在每层楼护士站安装一台压力监护装置，以便数显声光监测每个病区氧气压力在0.32～0.5MPa范围内，以实现连续稳定安全的供氧，保证系统正常运行。</w:t>
      </w:r>
    </w:p>
    <w:p w14:paraId="039A04A6">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6、气体终端</w:t>
      </w:r>
    </w:p>
    <w:p w14:paraId="4F828E80">
      <w:pPr>
        <w:spacing w:beforeLines="0" w:afterLines="0"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医气终端选用德式国际通用标准，插销符合DIN13260-2标准，适用DIN国际标准插头，不同气体终端具有唯一特定的专用插头，专用插头不能通用；外观采用ISO9170-1规范颜色，以便规范认知，防止误操作。</w:t>
      </w:r>
    </w:p>
    <w:p w14:paraId="1B77792C">
      <w:pPr>
        <w:spacing w:beforeLines="0" w:afterLines="0" w:line="360" w:lineRule="auto"/>
        <w:ind w:firstLine="420" w:firstLineChars="20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（2）医气终端底座与插座结合处具有防错插结构功能。终端表面应光洁、平整，无明显机械损伤，划痕及皱层脱落等缺陷。</w:t>
      </w:r>
    </w:p>
    <w:p w14:paraId="7BCDDA06">
      <w:pPr>
        <w:spacing w:beforeLines="0" w:afterLines="0" w:line="360" w:lineRule="auto"/>
        <w:ind w:firstLine="420" w:firstLineChars="20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氧气和压缩空气终端</w:t>
      </w:r>
      <w:r>
        <w:rPr>
          <w:rFonts w:hint="eastAsia" w:ascii="宋体" w:hAnsi="宋体" w:eastAsia="宋体" w:cs="宋体"/>
          <w:color w:val="000000" w:themeColor="text1"/>
          <w:sz w:val="21"/>
          <w:szCs w:val="21"/>
          <w:highlight w:val="none"/>
          <w:lang w:eastAsia="zh-CN"/>
          <w14:textFill>
            <w14:solidFill>
              <w14:schemeClr w14:val="tx1"/>
            </w14:solidFill>
          </w14:textFill>
        </w:rPr>
        <w:t>产品在承受1200KPa的进气压力5min后，在医用气体供应320KPa-600KPa的压力范围内，应能正常工作。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负压吸引终端产品在承受500KPa的进气压力5min后，检测产品在医用气体供应10KPa-60KPa的压力范围内，应能正常工作。</w:t>
      </w:r>
      <w:r>
        <w:rPr>
          <w:rFonts w:hint="eastAsia" w:ascii="宋体" w:hAnsi="宋体" w:eastAsia="宋体" w:cs="宋体"/>
          <w:color w:val="000000" w:themeColor="text1"/>
          <w:sz w:val="21"/>
          <w:szCs w:val="21"/>
          <w:highlight w:val="none"/>
          <w:lang w:eastAsia="zh-CN"/>
          <w14:textFill>
            <w14:solidFill>
              <w14:schemeClr w14:val="tx1"/>
            </w14:solidFill>
          </w14:textFill>
        </w:rPr>
        <w:t>无论有无插入件插入，终端泄漏不超过0.296mL/min(相当于0.03kPa.L/min)。</w:t>
      </w:r>
    </w:p>
    <w:p w14:paraId="0ABA945A">
      <w:pPr>
        <w:spacing w:beforeLines="0" w:afterLines="0" w:line="360" w:lineRule="auto"/>
        <w:ind w:firstLine="420" w:firstLineChars="20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（4）终端底座与管道分配系统的连接应设计和制造永久式的(如铜焊或焊接方式)，或是气体专用性连接的(如通过不可互换的螺纹接头(NIST)方式，或是直径限位的安全系统(DISS)接头方式。</w:t>
      </w:r>
    </w:p>
    <w:p w14:paraId="33FF2C55">
      <w:pPr>
        <w:spacing w:beforeLines="0" w:afterLines="0" w:line="360" w:lineRule="auto"/>
        <w:ind w:firstLine="420" w:firstLineChars="200"/>
        <w:jc w:val="lef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（5）每个终端应含有一个检验阀，当插入插头时，该阀应打开同时抽真空；当拨出插头时，该阀应自动关闭。</w:t>
      </w:r>
    </w:p>
    <w:p w14:paraId="38B6CB8E">
      <w:pPr>
        <w:spacing w:beforeLines="0" w:afterLines="0" w:line="360" w:lineRule="auto"/>
        <w:ind w:firstLine="42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（6）插入专用插头后，连接的气体流量计应显示大于100L/min，气体终端通过10万次以上插拔实验。</w:t>
      </w:r>
    </w:p>
    <w:p w14:paraId="6EBFAA99">
      <w:pPr>
        <w:spacing w:beforeLines="0" w:afterLines="0" w:line="360" w:lineRule="auto"/>
        <w:jc w:val="lef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三）</w:t>
      </w:r>
      <w:r>
        <w:rPr>
          <w:rFonts w:hint="eastAsia" w:ascii="宋体" w:hAnsi="宋体" w:eastAsia="宋体" w:cs="宋体"/>
          <w:b/>
          <w:bCs/>
          <w:color w:val="000000" w:themeColor="text1"/>
          <w:sz w:val="21"/>
          <w:szCs w:val="21"/>
          <w14:textFill>
            <w14:solidFill>
              <w14:schemeClr w14:val="tx1"/>
            </w14:solidFill>
          </w14:textFill>
        </w:rPr>
        <w:t>、医用中心吸引系统</w:t>
      </w:r>
    </w:p>
    <w:p w14:paraId="7319FA1A">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医用中心吸引系统由医用中心吸引站、医用真空输送管道及医用吸引终端等组成。</w:t>
      </w:r>
    </w:p>
    <w:p w14:paraId="6E7668AC">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1、医用中心吸引站（包括</w:t>
      </w:r>
      <w:r>
        <w:rPr>
          <w:rFonts w:hint="eastAsia" w:ascii="宋体" w:hAnsi="宋体" w:cs="宋体"/>
          <w:color w:val="000000" w:themeColor="text1"/>
          <w:sz w:val="21"/>
          <w:szCs w:val="21"/>
          <w:lang w:val="en-US" w:eastAsia="zh-CN"/>
          <w14:textFill>
            <w14:solidFill>
              <w14:schemeClr w14:val="tx1"/>
            </w14:solidFill>
          </w14:textFill>
        </w:rPr>
        <w:t>油润</w:t>
      </w:r>
      <w:r>
        <w:rPr>
          <w:rFonts w:hint="eastAsia" w:ascii="宋体" w:hAnsi="宋体" w:eastAsia="宋体" w:cs="宋体"/>
          <w:color w:val="000000" w:themeColor="text1"/>
          <w:sz w:val="21"/>
          <w:szCs w:val="21"/>
          <w14:textFill>
            <w14:solidFill>
              <w14:schemeClr w14:val="tx1"/>
            </w14:solidFill>
          </w14:textFill>
        </w:rPr>
        <w:t>式旋片真空泵、真空罐、集污罐、除菌过滤器、排气灭菌装置、负压自动控制柜、报警装置）。根据医院用气量，配置</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台抽气量为</w:t>
      </w:r>
      <w:r>
        <w:rPr>
          <w:rFonts w:hint="eastAsia" w:ascii="宋体" w:hAnsi="宋体" w:cs="宋体"/>
          <w:color w:val="000000" w:themeColor="text1"/>
          <w:sz w:val="21"/>
          <w:szCs w:val="21"/>
          <w:lang w:val="en-US" w:eastAsia="zh-CN"/>
          <w14:textFill>
            <w14:solidFill>
              <w14:schemeClr w14:val="tx1"/>
            </w14:solidFill>
          </w14:textFill>
        </w:rPr>
        <w:t>300</w:t>
      </w:r>
      <w:r>
        <w:rPr>
          <w:rFonts w:hint="eastAsia" w:ascii="宋体" w:hAnsi="宋体" w:eastAsia="宋体" w:cs="宋体"/>
          <w:color w:val="000000" w:themeColor="text1"/>
          <w:sz w:val="21"/>
          <w:szCs w:val="21"/>
          <w14:textFill>
            <w14:solidFill>
              <w14:schemeClr w14:val="tx1"/>
            </w14:solidFill>
          </w14:textFill>
        </w:rPr>
        <w:t>Nm</w:t>
      </w:r>
      <w:r>
        <w:rPr>
          <w:rFonts w:hint="eastAsia" w:ascii="宋体" w:hAnsi="宋体" w:eastAsia="宋体" w:cs="宋体"/>
          <w:color w:val="000000" w:themeColor="text1"/>
          <w:sz w:val="21"/>
          <w:szCs w:val="21"/>
          <w:vertAlign w:val="superscript"/>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/h的单级油式旋片真空泵，其性能稳定，运行可靠，噪音低，使用寿命长，占地面积小，安全可靠，维修率低，气压稳定，满足医院的用气需求。</w:t>
      </w:r>
    </w:p>
    <w:p w14:paraId="6AC3C685">
      <w:pPr>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负压中心站技术参数如下：</w:t>
      </w:r>
    </w:p>
    <w:p w14:paraId="0FFCB167">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（1）负压调节范围：－0.02MPa～-0.07MPa；</w:t>
      </w:r>
    </w:p>
    <w:p w14:paraId="3D4FE096">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（2）抽气率：</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300</w:t>
      </w:r>
      <w:r>
        <w:rPr>
          <w:rFonts w:hint="eastAsia" w:ascii="宋体" w:hAnsi="宋体" w:eastAsia="宋体" w:cs="宋体"/>
          <w:color w:val="000000" w:themeColor="text1"/>
          <w:sz w:val="21"/>
          <w:szCs w:val="21"/>
          <w14:textFill>
            <w14:solidFill>
              <w14:schemeClr w14:val="tx1"/>
            </w14:solidFill>
          </w14:textFill>
        </w:rPr>
        <w:t>Nm³/h；</w:t>
      </w:r>
    </w:p>
    <w:p w14:paraId="68561E9F">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（3）终端抽气速率：不低于30L/min；</w:t>
      </w:r>
    </w:p>
    <w:p w14:paraId="0170A6C7">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（4）泄漏率：每小时平均不大于1.0%；</w:t>
      </w:r>
    </w:p>
    <w:p w14:paraId="39703B8C">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（5）噪声（吸引站）：室内不大于60dB（A）；</w:t>
      </w:r>
    </w:p>
    <w:p w14:paraId="1046C194">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（6）配用电机功率：380V   </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val="en-US"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7.5</w:t>
      </w:r>
      <w:r>
        <w:rPr>
          <w:rFonts w:hint="eastAsia" w:ascii="宋体" w:hAnsi="宋体" w:eastAsia="宋体" w:cs="宋体"/>
          <w:color w:val="000000" w:themeColor="text1"/>
          <w:sz w:val="21"/>
          <w:szCs w:val="21"/>
          <w14:textFill>
            <w14:solidFill>
              <w14:schemeClr w14:val="tx1"/>
            </w14:solidFill>
          </w14:textFill>
        </w:rPr>
        <w:t>KW；</w:t>
      </w:r>
    </w:p>
    <w:p w14:paraId="3762DFA5">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（7）终端负压值范围：－0.02MPa～－0.07MPa；</w:t>
      </w:r>
    </w:p>
    <w:p w14:paraId="0933B1D5">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（8）吸引系统接地电阻小于10Ω，电控柜绝缘电阻不小于2MΩ。</w:t>
      </w:r>
    </w:p>
    <w:p w14:paraId="7161F6CA">
      <w:pPr>
        <w:spacing w:beforeLines="0" w:afterLines="0" w:line="360" w:lineRule="auto"/>
        <w:ind w:firstLine="420" w:firstLineChars="200"/>
        <w:jc w:val="lef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真空负压机组</w:t>
      </w:r>
    </w:p>
    <w:p w14:paraId="6312D0DF">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医用中心吸引系统真空泵组应有备用，当工作泵发生故障时备用真空泵机组应能自动启动，以保证吸引系统正常工作</w:t>
      </w:r>
      <w:r>
        <w:rPr>
          <w:rFonts w:hint="eastAsia" w:ascii="宋体" w:hAnsi="宋体" w:eastAsia="宋体" w:cs="宋体"/>
          <w:color w:val="000000" w:themeColor="text1"/>
          <w:sz w:val="21"/>
          <w:szCs w:val="21"/>
          <w:lang w:eastAsia="zh-CN"/>
          <w14:textFill>
            <w14:solidFill>
              <w14:schemeClr w14:val="tx1"/>
            </w14:solidFill>
          </w14:textFill>
        </w:rPr>
        <w:t>。</w:t>
      </w:r>
    </w:p>
    <w:p w14:paraId="1FB141C3">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医用</w:t>
      </w:r>
      <w:r>
        <w:rPr>
          <w:rFonts w:hint="eastAsia" w:ascii="宋体" w:hAnsi="宋体" w:eastAsia="宋体" w:cs="宋体"/>
          <w:color w:val="000000" w:themeColor="text1"/>
          <w:sz w:val="21"/>
          <w:szCs w:val="21"/>
          <w:lang w:val="en-US" w:eastAsia="zh-CN"/>
          <w14:textFill>
            <w14:solidFill>
              <w14:schemeClr w14:val="tx1"/>
            </w14:solidFill>
          </w14:textFill>
        </w:rPr>
        <w:t>中空负压机组</w:t>
      </w:r>
      <w:r>
        <w:rPr>
          <w:rFonts w:hint="eastAsia" w:ascii="宋体" w:hAnsi="宋体" w:eastAsia="宋体" w:cs="宋体"/>
          <w:color w:val="000000" w:themeColor="text1"/>
          <w:sz w:val="21"/>
          <w:szCs w:val="21"/>
          <w14:textFill>
            <w14:solidFill>
              <w14:schemeClr w14:val="tx1"/>
            </w14:solidFill>
          </w14:textFill>
        </w:rPr>
        <w:t>应有可靠的接地装置，接地电阻应＜10Ω，电控柜的绝缘电阻值≥2MΩ。</w:t>
      </w:r>
    </w:p>
    <w:p w14:paraId="7F5041F6">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油润式真空泵组应具有二类医疗器械注册证</w:t>
      </w:r>
      <w:r>
        <w:rPr>
          <w:rFonts w:hint="eastAsia" w:ascii="宋体" w:hAnsi="宋体" w:eastAsia="宋体" w:cs="宋体"/>
          <w:color w:val="000000" w:themeColor="text1"/>
          <w:sz w:val="21"/>
          <w:szCs w:val="21"/>
          <w:lang w:eastAsia="zh-CN"/>
          <w14:textFill>
            <w14:solidFill>
              <w14:schemeClr w14:val="tx1"/>
            </w14:solidFill>
          </w14:textFill>
        </w:rPr>
        <w:t>。</w:t>
      </w:r>
    </w:p>
    <w:p w14:paraId="42126E9B">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医用真空负压机组具有省医疗所检测机构EMC及安规检测报告</w:t>
      </w:r>
      <w:r>
        <w:rPr>
          <w:rFonts w:hint="eastAsia" w:ascii="宋体" w:hAnsi="宋体" w:eastAsia="宋体" w:cs="宋体"/>
          <w:color w:val="000000" w:themeColor="text1"/>
          <w:sz w:val="21"/>
          <w:szCs w:val="21"/>
          <w:lang w:eastAsia="zh-CN"/>
          <w14:textFill>
            <w14:solidFill>
              <w14:schemeClr w14:val="tx1"/>
            </w14:solidFill>
          </w14:textFill>
        </w:rPr>
        <w:t>。</w:t>
      </w:r>
    </w:p>
    <w:p w14:paraId="01F0C5EC">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）一体式医用真空负压机组中央控制柜：PLC控制，自动启动、停止、急停，可监测设备运行状态，运行时间，声光报警，预留485协议接口。真空负压机组当控制柜控制系统PLC或触摸屏出现故障无法运行 ，具备切换到应急模式下，真空负压机组具备正常启动运行功能。提供具有CMA及CNAS资质认证第三机构检测报告证明文件及负压机组软件界面运行的照片和控制柜照片证明（</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投标文件中须提供</w:t>
      </w:r>
      <w:r>
        <w:rPr>
          <w:rFonts w:hint="eastAsia" w:ascii="宋体" w:hAnsi="宋体" w:eastAsia="宋体" w:cs="宋体"/>
          <w:color w:val="000000" w:themeColor="text1"/>
          <w:sz w:val="21"/>
          <w:szCs w:val="21"/>
          <w:highlight w:val="none"/>
          <w:lang w:eastAsia="zh-CN"/>
          <w14:textFill>
            <w14:solidFill>
              <w14:schemeClr w14:val="tx1"/>
            </w14:solidFill>
          </w14:textFill>
        </w:rPr>
        <w:t>具有CMA或CNAS资质</w:t>
      </w:r>
      <w:r>
        <w:rPr>
          <w:rFonts w:hint="eastAsia" w:ascii="宋体" w:hAnsi="宋体" w:eastAsia="宋体" w:cs="宋体"/>
          <w:color w:val="000000" w:themeColor="text1"/>
          <w:sz w:val="21"/>
          <w:szCs w:val="21"/>
          <w:highlight w:val="none"/>
          <w:lang w:val="en-US" w:eastAsia="zh-CN"/>
          <w14:textFill>
            <w14:solidFill>
              <w14:schemeClr w14:val="tx1"/>
            </w14:solidFill>
          </w14:textFill>
        </w:rPr>
        <w:t>的检测机</w:t>
      </w:r>
      <w:r>
        <w:rPr>
          <w:rFonts w:hint="eastAsia" w:ascii="宋体" w:hAnsi="宋体" w:eastAsia="宋体" w:cs="宋体"/>
          <w:color w:val="000000" w:themeColor="text1"/>
          <w:sz w:val="21"/>
          <w:szCs w:val="21"/>
          <w:highlight w:val="none"/>
          <w:lang w:eastAsia="zh-CN"/>
          <w14:textFill>
            <w14:solidFill>
              <w14:schemeClr w14:val="tx1"/>
            </w14:solidFill>
          </w14:textFill>
        </w:rPr>
        <w:t>构</w:t>
      </w:r>
      <w:r>
        <w:rPr>
          <w:rFonts w:hint="eastAsia" w:ascii="宋体" w:hAnsi="宋体" w:eastAsia="宋体" w:cs="宋体"/>
          <w:color w:val="000000" w:themeColor="text1"/>
          <w:sz w:val="21"/>
          <w:szCs w:val="21"/>
          <w:highlight w:val="none"/>
          <w:lang w:val="en-US" w:eastAsia="zh-CN"/>
          <w14:textFill>
            <w14:solidFill>
              <w14:schemeClr w14:val="tx1"/>
            </w14:solidFill>
          </w14:textFill>
        </w:rPr>
        <w:t>出具的检测报告</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1737114">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eastAsia="zh-CN"/>
          <w14:textFill>
            <w14:solidFill>
              <w14:schemeClr w14:val="tx1"/>
            </w14:solidFill>
          </w14:textFill>
        </w:rPr>
        <w:t>）真空负压机组控制系统具有远程监控管理系统（云平台）功能（</w:t>
      </w:r>
      <w:r>
        <w:rPr>
          <w:rFonts w:hint="eastAsia" w:ascii="宋体" w:hAnsi="宋体" w:eastAsia="宋体" w:cs="宋体"/>
          <w:color w:val="000000" w:themeColor="text1"/>
          <w:sz w:val="21"/>
          <w:szCs w:val="21"/>
          <w:lang w:val="en-US" w:eastAsia="zh-CN"/>
          <w14:textFill>
            <w14:solidFill>
              <w14:schemeClr w14:val="tx1"/>
            </w14:solidFill>
          </w14:textFill>
        </w:rPr>
        <w:t>投标文件中须</w:t>
      </w:r>
      <w:r>
        <w:rPr>
          <w:rFonts w:hint="eastAsia" w:ascii="宋体" w:hAnsi="宋体" w:eastAsia="宋体" w:cs="宋体"/>
          <w:color w:val="000000" w:themeColor="text1"/>
          <w:sz w:val="21"/>
          <w:szCs w:val="21"/>
          <w:lang w:eastAsia="zh-CN"/>
          <w14:textFill>
            <w14:solidFill>
              <w14:schemeClr w14:val="tx1"/>
            </w14:solidFill>
          </w14:textFill>
        </w:rPr>
        <w:t>提供远程监控管理系统软件著作证书</w:t>
      </w:r>
      <w:r>
        <w:rPr>
          <w:rFonts w:hint="eastAsia" w:ascii="宋体" w:hAnsi="宋体" w:eastAsia="宋体" w:cs="宋体"/>
          <w:color w:val="000000" w:themeColor="text1"/>
          <w:sz w:val="21"/>
          <w:szCs w:val="21"/>
          <w:lang w:val="en-US" w:eastAsia="zh-CN"/>
          <w14:textFill>
            <w14:solidFill>
              <w14:schemeClr w14:val="tx1"/>
            </w14:solidFill>
          </w14:textFill>
        </w:rPr>
        <w:t>等</w:t>
      </w:r>
      <w:r>
        <w:rPr>
          <w:rFonts w:hint="eastAsia" w:ascii="宋体" w:hAnsi="宋体" w:eastAsia="宋体" w:cs="宋体"/>
          <w:color w:val="000000" w:themeColor="text1"/>
          <w:sz w:val="21"/>
          <w:szCs w:val="21"/>
          <w:lang w:eastAsia="zh-CN"/>
          <w14:textFill>
            <w14:solidFill>
              <w14:schemeClr w14:val="tx1"/>
            </w14:solidFill>
          </w14:textFill>
        </w:rPr>
        <w:t>证明文件）。</w:t>
      </w:r>
    </w:p>
    <w:p w14:paraId="44CBDD96">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eastAsia="zh-CN"/>
          <w14:textFill>
            <w14:solidFill>
              <w14:schemeClr w14:val="tx1"/>
            </w14:solidFill>
          </w14:textFill>
        </w:rPr>
        <w:t>）真空负压机组细菌过滤器杀灭率＞99.96%。真空负压机组细菌过滤采用外壳不锈钢，下吸上抽方式，以减少液体滞留和细菌滋生。真空负压机组细菌</w:t>
      </w:r>
      <w:r>
        <w:rPr>
          <w:rFonts w:hint="eastAsia" w:ascii="宋体" w:hAnsi="宋体" w:eastAsia="宋体" w:cs="宋体"/>
          <w:color w:val="000000" w:themeColor="text1"/>
          <w:sz w:val="21"/>
          <w:szCs w:val="21"/>
          <w:lang w:val="en-US" w:eastAsia="zh-CN"/>
          <w14:textFill>
            <w14:solidFill>
              <w14:schemeClr w14:val="tx1"/>
            </w14:solidFill>
          </w14:textFill>
        </w:rPr>
        <w:t>过滤</w:t>
      </w:r>
      <w:r>
        <w:rPr>
          <w:rFonts w:hint="eastAsia" w:ascii="宋体" w:hAnsi="宋体" w:eastAsia="宋体" w:cs="宋体"/>
          <w:color w:val="000000" w:themeColor="text1"/>
          <w:sz w:val="21"/>
          <w:szCs w:val="21"/>
          <w:lang w:eastAsia="zh-CN"/>
          <w14:textFill>
            <w14:solidFill>
              <w14:schemeClr w14:val="tx1"/>
            </w14:solidFill>
          </w14:textFill>
        </w:rPr>
        <w:t>滤芯符合ISO 8573.1一级要求0.01μm 的过滤效率，0.01~0.2μm 过滤效率＞99.995%。真空负压机组细菌过滤</w:t>
      </w:r>
      <w:r>
        <w:rPr>
          <w:rFonts w:hint="eastAsia" w:ascii="宋体" w:hAnsi="宋体" w:eastAsia="宋体" w:cs="宋体"/>
          <w:color w:val="000000" w:themeColor="text1"/>
          <w:sz w:val="21"/>
          <w:szCs w:val="21"/>
          <w:lang w:val="en-US" w:eastAsia="zh-CN"/>
          <w14:textFill>
            <w14:solidFill>
              <w14:schemeClr w14:val="tx1"/>
            </w14:solidFill>
          </w14:textFill>
        </w:rPr>
        <w:t>器</w:t>
      </w:r>
      <w:r>
        <w:rPr>
          <w:rFonts w:hint="eastAsia" w:ascii="宋体" w:hAnsi="宋体" w:eastAsia="宋体" w:cs="宋体"/>
          <w:color w:val="000000" w:themeColor="text1"/>
          <w:sz w:val="21"/>
          <w:szCs w:val="21"/>
          <w:lang w:eastAsia="zh-CN"/>
          <w14:textFill>
            <w14:solidFill>
              <w14:schemeClr w14:val="tx1"/>
            </w14:solidFill>
          </w14:textFill>
        </w:rPr>
        <w:t>压力损失负压值在-85kpa的工作点，压差损失不超过1kpa，具有滤芯性能监视功能。真空负压机组细菌过滤器按照 GB 50751-2012规范的标准，精度 0.01~0.2μm，过滤效率＞99.995%（</w:t>
      </w:r>
      <w:r>
        <w:rPr>
          <w:rFonts w:hint="eastAsia" w:ascii="宋体" w:hAnsi="宋体" w:eastAsia="宋体" w:cs="宋体"/>
          <w:color w:val="000000" w:themeColor="text1"/>
          <w:sz w:val="21"/>
          <w:szCs w:val="21"/>
          <w:lang w:val="en-US" w:eastAsia="zh-CN"/>
          <w14:textFill>
            <w14:solidFill>
              <w14:schemeClr w14:val="tx1"/>
            </w14:solidFill>
          </w14:textFill>
        </w:rPr>
        <w:t>投标文件中须提供</w:t>
      </w:r>
      <w:r>
        <w:rPr>
          <w:rFonts w:hint="eastAsia" w:ascii="宋体" w:hAnsi="宋体" w:eastAsia="宋体" w:cs="宋体"/>
          <w:color w:val="000000" w:themeColor="text1"/>
          <w:sz w:val="21"/>
          <w:szCs w:val="21"/>
          <w:lang w:eastAsia="zh-CN"/>
          <w14:textFill>
            <w14:solidFill>
              <w14:schemeClr w14:val="tx1"/>
            </w14:solidFill>
          </w14:textFill>
        </w:rPr>
        <w:t>具有CMA或CNAS资质</w:t>
      </w:r>
      <w:r>
        <w:rPr>
          <w:rFonts w:hint="eastAsia" w:ascii="宋体" w:hAnsi="宋体" w:eastAsia="宋体" w:cs="宋体"/>
          <w:color w:val="000000" w:themeColor="text1"/>
          <w:sz w:val="21"/>
          <w:szCs w:val="21"/>
          <w:lang w:val="en-US" w:eastAsia="zh-CN"/>
          <w14:textFill>
            <w14:solidFill>
              <w14:schemeClr w14:val="tx1"/>
            </w14:solidFill>
          </w14:textFill>
        </w:rPr>
        <w:t>的检测机</w:t>
      </w:r>
      <w:r>
        <w:rPr>
          <w:rFonts w:hint="eastAsia" w:ascii="宋体" w:hAnsi="宋体" w:eastAsia="宋体" w:cs="宋体"/>
          <w:color w:val="000000" w:themeColor="text1"/>
          <w:sz w:val="21"/>
          <w:szCs w:val="21"/>
          <w:lang w:eastAsia="zh-CN"/>
          <w14:textFill>
            <w14:solidFill>
              <w14:schemeClr w14:val="tx1"/>
            </w14:solidFill>
          </w14:textFill>
        </w:rPr>
        <w:t>构</w:t>
      </w:r>
      <w:r>
        <w:rPr>
          <w:rFonts w:hint="eastAsia" w:ascii="宋体" w:hAnsi="宋体" w:eastAsia="宋体" w:cs="宋体"/>
          <w:color w:val="000000" w:themeColor="text1"/>
          <w:sz w:val="21"/>
          <w:szCs w:val="21"/>
          <w:lang w:val="en-US" w:eastAsia="zh-CN"/>
          <w14:textFill>
            <w14:solidFill>
              <w14:schemeClr w14:val="tx1"/>
            </w14:solidFill>
          </w14:textFill>
        </w:rPr>
        <w:t>出具的检测报告</w:t>
      </w:r>
      <w:r>
        <w:rPr>
          <w:rFonts w:hint="eastAsia" w:ascii="宋体" w:hAnsi="宋体" w:eastAsia="宋体" w:cs="宋体"/>
          <w:color w:val="000000" w:themeColor="text1"/>
          <w:sz w:val="21"/>
          <w:szCs w:val="21"/>
          <w:lang w:eastAsia="zh-CN"/>
          <w14:textFill>
            <w14:solidFill>
              <w14:schemeClr w14:val="tx1"/>
            </w14:solidFill>
          </w14:textFill>
        </w:rPr>
        <w:t>）。</w:t>
      </w:r>
    </w:p>
    <w:p w14:paraId="0F175D61">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、自动控制柜及报警器</w:t>
      </w:r>
    </w:p>
    <w:p w14:paraId="48D57133">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自动控制柜控制</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台真空泵自动运行，一备</w:t>
      </w:r>
      <w:r>
        <w:rPr>
          <w:rFonts w:hint="eastAsia" w:ascii="宋体" w:hAnsi="宋体" w:cs="宋体"/>
          <w:color w:val="000000" w:themeColor="text1"/>
          <w:sz w:val="21"/>
          <w:szCs w:val="21"/>
          <w:lang w:val="en-US" w:eastAsia="zh-CN"/>
          <w14:textFill>
            <w14:solidFill>
              <w14:schemeClr w14:val="tx1"/>
            </w14:solidFill>
          </w14:textFill>
        </w:rPr>
        <w:t>二</w:t>
      </w:r>
      <w:r>
        <w:rPr>
          <w:rFonts w:hint="eastAsia" w:ascii="宋体" w:hAnsi="宋体" w:eastAsia="宋体" w:cs="宋体"/>
          <w:color w:val="000000" w:themeColor="text1"/>
          <w:sz w:val="21"/>
          <w:szCs w:val="21"/>
          <w14:textFill>
            <w14:solidFill>
              <w14:schemeClr w14:val="tx1"/>
            </w14:solidFill>
          </w14:textFill>
        </w:rPr>
        <w:t>用，交替使用，保证系统负压不间断。当压力低于-0.073MPa或高于-0.019MPa，均有声光报警。</w:t>
      </w:r>
    </w:p>
    <w:p w14:paraId="76DB3D69">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14:textFill>
            <w14:solidFill>
              <w14:schemeClr w14:val="tx1"/>
            </w14:solidFill>
          </w14:textFill>
        </w:rPr>
        <w:t>、真空罐</w:t>
      </w:r>
    </w:p>
    <w:p w14:paraId="5B84A91D">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真空罐是储存负压的容器，本工程采用真空容积为</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eastAsia="宋体" w:cs="宋体"/>
          <w:color w:val="000000" w:themeColor="text1"/>
          <w:sz w:val="21"/>
          <w:szCs w:val="21"/>
          <w14:textFill>
            <w14:solidFill>
              <w14:schemeClr w14:val="tx1"/>
            </w14:solidFill>
          </w14:textFill>
        </w:rPr>
        <w:t>.0m³的真空罐2台，工作最大负压：-0.085MPa，管道内的水有可能进入真空罐，故应定期将真空罐下面的截止阀旋开进行排放，排完后随即关好，截止阀不得有泄漏，否则影响系统真空度。</w:t>
      </w:r>
    </w:p>
    <w:p w14:paraId="1C592EC6">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14:textFill>
            <w14:solidFill>
              <w14:schemeClr w14:val="tx1"/>
            </w14:solidFill>
          </w14:textFill>
        </w:rPr>
        <w:t>、集污罐</w:t>
      </w:r>
    </w:p>
    <w:p w14:paraId="36894E40">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集污罐是收集负压吸引管道中的污物容器，安装在过滤器前，确保过滤器的使用过程中不会发生堵塞。本工程采用容积为0.1m³的真空罐1台。</w:t>
      </w:r>
    </w:p>
    <w:p w14:paraId="57B126EB">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、除菌过滤器（一备一用）</w:t>
      </w:r>
    </w:p>
    <w:p w14:paraId="3B9F17A5">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除菌过滤器是过滤气体中细菌的装置，本工程采用过滤气量为：≥</w:t>
      </w:r>
      <w:r>
        <w:rPr>
          <w:rFonts w:hint="eastAsia" w:ascii="宋体" w:hAnsi="宋体" w:cs="宋体"/>
          <w:color w:val="000000" w:themeColor="text1"/>
          <w:sz w:val="21"/>
          <w:szCs w:val="21"/>
          <w:lang w:val="en-US" w:eastAsia="zh-CN"/>
          <w14:textFill>
            <w14:solidFill>
              <w14:schemeClr w14:val="tx1"/>
            </w14:solidFill>
          </w14:textFill>
        </w:rPr>
        <w:t>300</w:t>
      </w:r>
      <w:r>
        <w:rPr>
          <w:rFonts w:hint="eastAsia" w:ascii="宋体" w:hAnsi="宋体" w:eastAsia="宋体" w:cs="宋体"/>
          <w:color w:val="000000" w:themeColor="text1"/>
          <w:sz w:val="21"/>
          <w:szCs w:val="21"/>
          <w14:textFill>
            <w14:solidFill>
              <w14:schemeClr w14:val="tx1"/>
            </w14:solidFill>
          </w14:textFill>
        </w:rPr>
        <w:t>m³/h的过滤器2台。</w:t>
      </w:r>
    </w:p>
    <w:p w14:paraId="5FA064C3">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14:textFill>
            <w14:solidFill>
              <w14:schemeClr w14:val="tx1"/>
            </w14:solidFill>
          </w14:textFill>
        </w:rPr>
        <w:t>、医用中心吸引管网系统</w:t>
      </w:r>
    </w:p>
    <w:p w14:paraId="5C641538">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医用中心吸引输送管道系统分布情况和管径大小根据国家标准GB50751－2012《医用气体工程技术规范》的要求和医院各病区分布情况，经过精确计算并确定负压管道的管径及材质分别如下：</w:t>
      </w:r>
    </w:p>
    <w:p w14:paraId="6D596861">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p>
    <w:tbl>
      <w:tblPr>
        <w:tblStyle w:val="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3"/>
        <w:gridCol w:w="1507"/>
        <w:gridCol w:w="1168"/>
        <w:gridCol w:w="1152"/>
      </w:tblGrid>
      <w:tr w14:paraId="7461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38973D0E">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管  段</w:t>
            </w:r>
          </w:p>
        </w:tc>
        <w:tc>
          <w:tcPr>
            <w:tcW w:w="832" w:type="pct"/>
            <w:noWrap w:val="0"/>
            <w:vAlign w:val="center"/>
          </w:tcPr>
          <w:p w14:paraId="023C56FA">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规  格</w:t>
            </w:r>
          </w:p>
        </w:tc>
        <w:tc>
          <w:tcPr>
            <w:tcW w:w="645" w:type="pct"/>
            <w:noWrap w:val="0"/>
            <w:vAlign w:val="center"/>
          </w:tcPr>
          <w:p w14:paraId="3E62097D">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材  质</w:t>
            </w:r>
          </w:p>
        </w:tc>
        <w:tc>
          <w:tcPr>
            <w:tcW w:w="636" w:type="pct"/>
            <w:noWrap w:val="0"/>
            <w:vAlign w:val="center"/>
          </w:tcPr>
          <w:p w14:paraId="4A7BB1E3">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介  质</w:t>
            </w:r>
          </w:p>
        </w:tc>
      </w:tr>
      <w:tr w14:paraId="1D4F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7806A587">
            <w:pPr>
              <w:spacing w:beforeLines="0" w:afterLines="0" w:line="360" w:lineRule="auto"/>
              <w:jc w:val="center"/>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住院楼</w:t>
            </w:r>
            <w:r>
              <w:rPr>
                <w:rFonts w:hint="eastAsia" w:ascii="宋体" w:hAnsi="宋体" w:cs="宋体"/>
                <w:color w:val="000000" w:themeColor="text1"/>
                <w:sz w:val="21"/>
                <w:szCs w:val="21"/>
                <w:vertAlign w:val="baseline"/>
                <w:lang w:val="en-US" w:eastAsia="zh-CN"/>
                <w14:textFill>
                  <w14:solidFill>
                    <w14:schemeClr w14:val="tx1"/>
                  </w14:solidFill>
                </w14:textFill>
              </w:rPr>
              <w:t>一般</w:t>
            </w:r>
            <w:r>
              <w:rPr>
                <w:rFonts w:hint="eastAsia" w:ascii="宋体" w:hAnsi="宋体" w:eastAsia="宋体" w:cs="宋体"/>
                <w:color w:val="000000" w:themeColor="text1"/>
                <w:sz w:val="21"/>
                <w:szCs w:val="21"/>
                <w:vertAlign w:val="baseline"/>
                <w14:textFill>
                  <w14:solidFill>
                    <w14:schemeClr w14:val="tx1"/>
                  </w14:solidFill>
                </w14:textFill>
              </w:rPr>
              <w:t>区域主管道</w:t>
            </w:r>
            <w:r>
              <w:rPr>
                <w:rFonts w:hint="eastAsia" w:ascii="宋体" w:hAnsi="宋体" w:cs="宋体"/>
                <w:color w:val="000000" w:themeColor="text1"/>
                <w:sz w:val="21"/>
                <w:szCs w:val="21"/>
                <w:vertAlign w:val="baseline"/>
                <w:lang w:eastAsia="zh-CN"/>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利旧</w:t>
            </w:r>
            <w:r>
              <w:rPr>
                <w:rFonts w:hint="eastAsia" w:ascii="宋体" w:hAnsi="宋体" w:cs="宋体"/>
                <w:color w:val="000000" w:themeColor="text1"/>
                <w:sz w:val="21"/>
                <w:szCs w:val="21"/>
                <w:vertAlign w:val="baseline"/>
                <w:lang w:eastAsia="zh-CN"/>
                <w14:textFill>
                  <w14:solidFill>
                    <w14:schemeClr w14:val="tx1"/>
                  </w14:solidFill>
                </w14:textFill>
              </w:rPr>
              <w:t>）</w:t>
            </w:r>
          </w:p>
        </w:tc>
        <w:tc>
          <w:tcPr>
            <w:tcW w:w="832" w:type="pct"/>
            <w:noWrap w:val="0"/>
            <w:vAlign w:val="center"/>
          </w:tcPr>
          <w:p w14:paraId="4452492E">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108</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3.0</w:t>
            </w:r>
          </w:p>
        </w:tc>
        <w:tc>
          <w:tcPr>
            <w:tcW w:w="645" w:type="pct"/>
            <w:noWrap w:val="0"/>
            <w:vAlign w:val="center"/>
          </w:tcPr>
          <w:p w14:paraId="073CE0A0">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不锈钢</w:t>
            </w:r>
          </w:p>
        </w:tc>
        <w:tc>
          <w:tcPr>
            <w:tcW w:w="636" w:type="pct"/>
            <w:noWrap w:val="0"/>
            <w:vAlign w:val="center"/>
          </w:tcPr>
          <w:p w14:paraId="74200884">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r w14:paraId="39E4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705855F0">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住院楼</w:t>
            </w:r>
            <w:r>
              <w:rPr>
                <w:rFonts w:hint="eastAsia" w:ascii="宋体" w:hAnsi="宋体" w:eastAsia="宋体" w:cs="宋体"/>
                <w:color w:val="000000" w:themeColor="text1"/>
                <w:sz w:val="21"/>
                <w:szCs w:val="21"/>
                <w:vertAlign w:val="baseline"/>
                <w14:textFill>
                  <w14:solidFill>
                    <w14:schemeClr w14:val="tx1"/>
                  </w14:solidFill>
                </w14:textFill>
              </w:rPr>
              <w:t>生命支持区域主管道</w:t>
            </w:r>
          </w:p>
        </w:tc>
        <w:tc>
          <w:tcPr>
            <w:tcW w:w="832" w:type="pct"/>
            <w:noWrap w:val="0"/>
            <w:vAlign w:val="center"/>
          </w:tcPr>
          <w:p w14:paraId="663EA5E3">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57</w:t>
            </w:r>
            <w:r>
              <w:rPr>
                <w:rFonts w:hint="eastAsia" w:ascii="宋体" w:hAnsi="宋体" w:eastAsia="宋体" w:cs="宋体"/>
                <w:color w:val="000000" w:themeColor="text1"/>
                <w:sz w:val="21"/>
                <w:szCs w:val="21"/>
                <w:vertAlign w:val="baseline"/>
                <w14:textFill>
                  <w14:solidFill>
                    <w14:schemeClr w14:val="tx1"/>
                  </w14:solidFill>
                </w14:textFill>
              </w:rPr>
              <w:t>x2.5</w:t>
            </w:r>
          </w:p>
        </w:tc>
        <w:tc>
          <w:tcPr>
            <w:tcW w:w="645" w:type="pct"/>
            <w:noWrap w:val="0"/>
            <w:vAlign w:val="center"/>
          </w:tcPr>
          <w:p w14:paraId="4C9796E7">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t>不锈钢</w:t>
            </w:r>
          </w:p>
        </w:tc>
        <w:tc>
          <w:tcPr>
            <w:tcW w:w="636" w:type="pct"/>
            <w:noWrap w:val="0"/>
            <w:vAlign w:val="center"/>
          </w:tcPr>
          <w:p w14:paraId="7C3CA72C">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r w14:paraId="0B6B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07CD3653">
            <w:pPr>
              <w:spacing w:beforeLines="0" w:afterLines="0" w:line="360" w:lineRule="auto"/>
              <w:jc w:val="center"/>
              <w:rPr>
                <w:rFonts w:hint="default" w:ascii="宋体" w:hAnsi="宋体" w:cs="宋体"/>
                <w:color w:val="000000" w:themeColor="text1"/>
                <w:sz w:val="21"/>
                <w:szCs w:val="21"/>
                <w:vertAlign w:val="baseline"/>
                <w:lang w:val="en-US" w:eastAsia="zh-CN"/>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门诊楼一般区域主管道</w:t>
            </w:r>
          </w:p>
        </w:tc>
        <w:tc>
          <w:tcPr>
            <w:tcW w:w="832" w:type="pct"/>
            <w:noWrap w:val="0"/>
            <w:vAlign w:val="center"/>
          </w:tcPr>
          <w:p w14:paraId="6182DA22">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57</w:t>
            </w:r>
            <w:r>
              <w:rPr>
                <w:rFonts w:hint="eastAsia" w:ascii="宋体" w:hAnsi="宋体" w:eastAsia="宋体" w:cs="宋体"/>
                <w:color w:val="000000" w:themeColor="text1"/>
                <w:sz w:val="21"/>
                <w:szCs w:val="21"/>
                <w:vertAlign w:val="baseline"/>
                <w14:textFill>
                  <w14:solidFill>
                    <w14:schemeClr w14:val="tx1"/>
                  </w14:solidFill>
                </w14:textFill>
              </w:rPr>
              <w:t>x2.5</w:t>
            </w:r>
          </w:p>
        </w:tc>
        <w:tc>
          <w:tcPr>
            <w:tcW w:w="645" w:type="pct"/>
            <w:noWrap w:val="0"/>
            <w:vAlign w:val="center"/>
          </w:tcPr>
          <w:p w14:paraId="0DF5C6AA">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t>不锈钢</w:t>
            </w:r>
          </w:p>
        </w:tc>
        <w:tc>
          <w:tcPr>
            <w:tcW w:w="636" w:type="pct"/>
            <w:noWrap w:val="0"/>
            <w:vAlign w:val="center"/>
          </w:tcPr>
          <w:p w14:paraId="4449D5AB">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r w14:paraId="4D04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7372254F">
            <w:pPr>
              <w:spacing w:beforeLines="0" w:afterLines="0" w:line="360" w:lineRule="auto"/>
              <w:jc w:val="center"/>
              <w:rPr>
                <w:rFonts w:hint="eastAsia" w:ascii="宋体" w:hAnsi="宋体" w:cs="宋体"/>
                <w:color w:val="000000" w:themeColor="text1"/>
                <w:sz w:val="21"/>
                <w:szCs w:val="21"/>
                <w:vertAlign w:val="baseline"/>
                <w:lang w:val="en-US" w:eastAsia="zh-CN"/>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门诊楼生命支持区域主管道</w:t>
            </w:r>
          </w:p>
        </w:tc>
        <w:tc>
          <w:tcPr>
            <w:tcW w:w="832" w:type="pct"/>
            <w:noWrap w:val="0"/>
            <w:vAlign w:val="center"/>
          </w:tcPr>
          <w:p w14:paraId="7802C82F">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108</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3.0</w:t>
            </w:r>
          </w:p>
        </w:tc>
        <w:tc>
          <w:tcPr>
            <w:tcW w:w="645" w:type="pct"/>
            <w:noWrap w:val="0"/>
            <w:vAlign w:val="center"/>
          </w:tcPr>
          <w:p w14:paraId="1A3BAC9A">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t>不锈钢</w:t>
            </w:r>
          </w:p>
        </w:tc>
        <w:tc>
          <w:tcPr>
            <w:tcW w:w="636" w:type="pct"/>
            <w:noWrap w:val="0"/>
            <w:vAlign w:val="center"/>
          </w:tcPr>
          <w:p w14:paraId="6CF1FD93">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r w14:paraId="4A9F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64D94C03">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一般区域</w:t>
            </w:r>
            <w:r>
              <w:rPr>
                <w:rFonts w:hint="eastAsia" w:ascii="宋体" w:hAnsi="宋体" w:eastAsia="宋体" w:cs="宋体"/>
                <w:color w:val="000000" w:themeColor="text1"/>
                <w:sz w:val="21"/>
                <w:szCs w:val="21"/>
                <w:vertAlign w:val="baseline"/>
                <w14:textFill>
                  <w14:solidFill>
                    <w14:schemeClr w14:val="tx1"/>
                  </w14:solidFill>
                </w14:textFill>
              </w:rPr>
              <w:t>走廊内水平管（横管道）</w:t>
            </w:r>
          </w:p>
        </w:tc>
        <w:tc>
          <w:tcPr>
            <w:tcW w:w="832" w:type="pct"/>
            <w:noWrap w:val="0"/>
            <w:vAlign w:val="center"/>
          </w:tcPr>
          <w:p w14:paraId="7FD60DCB">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45</w:t>
            </w:r>
            <w:r>
              <w:rPr>
                <w:rFonts w:hint="eastAsia" w:ascii="宋体" w:hAnsi="宋体" w:eastAsia="宋体" w:cs="宋体"/>
                <w:color w:val="000000" w:themeColor="text1"/>
                <w:sz w:val="21"/>
                <w:szCs w:val="21"/>
                <w:vertAlign w:val="baseline"/>
                <w14:textFill>
                  <w14:solidFill>
                    <w14:schemeClr w14:val="tx1"/>
                  </w14:solidFill>
                </w14:textFill>
              </w:rPr>
              <w:t>x2.0</w:t>
            </w:r>
          </w:p>
        </w:tc>
        <w:tc>
          <w:tcPr>
            <w:tcW w:w="645" w:type="pct"/>
            <w:noWrap w:val="0"/>
            <w:vAlign w:val="center"/>
          </w:tcPr>
          <w:p w14:paraId="13410679">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t>不锈钢</w:t>
            </w:r>
          </w:p>
        </w:tc>
        <w:tc>
          <w:tcPr>
            <w:tcW w:w="636" w:type="pct"/>
            <w:noWrap w:val="0"/>
            <w:vAlign w:val="center"/>
          </w:tcPr>
          <w:p w14:paraId="62766AF7">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r w14:paraId="10CC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6DF94F62">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一般区域</w:t>
            </w:r>
            <w:r>
              <w:rPr>
                <w:rFonts w:hint="eastAsia" w:ascii="宋体" w:hAnsi="宋体" w:eastAsia="宋体" w:cs="宋体"/>
                <w:color w:val="000000" w:themeColor="text1"/>
                <w:sz w:val="21"/>
                <w:szCs w:val="21"/>
                <w:vertAlign w:val="baseline"/>
                <w14:textFill>
                  <w14:solidFill>
                    <w14:schemeClr w14:val="tx1"/>
                  </w14:solidFill>
                </w14:textFill>
              </w:rPr>
              <w:t>走廊内水平管（横管道）</w:t>
            </w:r>
          </w:p>
        </w:tc>
        <w:tc>
          <w:tcPr>
            <w:tcW w:w="832" w:type="pct"/>
            <w:noWrap w:val="0"/>
            <w:vAlign w:val="center"/>
          </w:tcPr>
          <w:p w14:paraId="51C4D6FC">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38</w:t>
            </w:r>
            <w:r>
              <w:rPr>
                <w:rFonts w:hint="eastAsia" w:ascii="宋体" w:hAnsi="宋体" w:eastAsia="宋体" w:cs="宋体"/>
                <w:color w:val="000000" w:themeColor="text1"/>
                <w:sz w:val="21"/>
                <w:szCs w:val="21"/>
                <w:vertAlign w:val="baseline"/>
                <w14:textFill>
                  <w14:solidFill>
                    <w14:schemeClr w14:val="tx1"/>
                  </w14:solidFill>
                </w14:textFill>
              </w:rPr>
              <w:t>x2.0</w:t>
            </w:r>
          </w:p>
        </w:tc>
        <w:tc>
          <w:tcPr>
            <w:tcW w:w="645" w:type="pct"/>
            <w:noWrap w:val="0"/>
            <w:vAlign w:val="center"/>
          </w:tcPr>
          <w:p w14:paraId="57403EC2">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t>不锈钢</w:t>
            </w:r>
          </w:p>
        </w:tc>
        <w:tc>
          <w:tcPr>
            <w:tcW w:w="636" w:type="pct"/>
            <w:noWrap w:val="0"/>
            <w:vAlign w:val="center"/>
          </w:tcPr>
          <w:p w14:paraId="743A128B">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r w14:paraId="463F1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7631E789">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生命支持区域</w:t>
            </w:r>
            <w:r>
              <w:rPr>
                <w:rFonts w:hint="eastAsia" w:ascii="宋体" w:hAnsi="宋体" w:eastAsia="宋体" w:cs="宋体"/>
                <w:color w:val="000000" w:themeColor="text1"/>
                <w:sz w:val="21"/>
                <w:szCs w:val="21"/>
                <w:vertAlign w:val="baseline"/>
                <w14:textFill>
                  <w14:solidFill>
                    <w14:schemeClr w14:val="tx1"/>
                  </w14:solidFill>
                </w14:textFill>
              </w:rPr>
              <w:t>走廊内水平管（横管道）</w:t>
            </w:r>
          </w:p>
        </w:tc>
        <w:tc>
          <w:tcPr>
            <w:tcW w:w="832" w:type="pct"/>
            <w:noWrap w:val="0"/>
            <w:vAlign w:val="center"/>
          </w:tcPr>
          <w:p w14:paraId="0C773D4B">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∅38x2.0</w:t>
            </w:r>
          </w:p>
        </w:tc>
        <w:tc>
          <w:tcPr>
            <w:tcW w:w="645" w:type="pct"/>
            <w:noWrap w:val="0"/>
            <w:vAlign w:val="center"/>
          </w:tcPr>
          <w:p w14:paraId="23AD44B3">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t>不锈钢</w:t>
            </w:r>
          </w:p>
        </w:tc>
        <w:tc>
          <w:tcPr>
            <w:tcW w:w="636" w:type="pct"/>
            <w:noWrap w:val="0"/>
            <w:vAlign w:val="center"/>
          </w:tcPr>
          <w:p w14:paraId="3CCF79E4">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r w14:paraId="36A0B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5" w:type="pct"/>
            <w:noWrap w:val="0"/>
            <w:vAlign w:val="center"/>
          </w:tcPr>
          <w:p w14:paraId="1E106CA1">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支管道到各终端（支管道）</w:t>
            </w:r>
          </w:p>
        </w:tc>
        <w:tc>
          <w:tcPr>
            <w:tcW w:w="832" w:type="pct"/>
            <w:noWrap w:val="0"/>
            <w:vAlign w:val="center"/>
          </w:tcPr>
          <w:p w14:paraId="5B14F1C9">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∅10x1.0</w:t>
            </w:r>
          </w:p>
        </w:tc>
        <w:tc>
          <w:tcPr>
            <w:tcW w:w="645" w:type="pct"/>
            <w:noWrap w:val="0"/>
            <w:vAlign w:val="center"/>
          </w:tcPr>
          <w:p w14:paraId="600E1CC6">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铜</w:t>
            </w:r>
          </w:p>
        </w:tc>
        <w:tc>
          <w:tcPr>
            <w:tcW w:w="636" w:type="pct"/>
            <w:noWrap w:val="0"/>
            <w:vAlign w:val="center"/>
          </w:tcPr>
          <w:p w14:paraId="54D39FD7">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真空</w:t>
            </w:r>
          </w:p>
        </w:tc>
      </w:tr>
    </w:tbl>
    <w:p w14:paraId="14D901E9">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上不锈钢钢管尺寸规格应符合GB/T14976-2012的标准要求，紫铜管尺寸规格应符合YS/T650-2020《医用气体和真空用无缝铜管》的标准要求。其中配套设备的阀门、三通及接头均采用优质材料。吸引经主管送至用气楼层。楼层间副管道从主管道接出并沿走廊敷设，各支管道从副管道接至病房用气终端。进入病房前的管道采用支架和抱箍固定在距楼顶高度500mm的位置，即安装高度为（H-500）。进入病房的管道均经暗装于PVC装饰罩后接至床头设备带，设备带内管道敷设于规定的气体管路槽内（设备带上槽），以保证病房美观。同时，管道在穿墙、穿楼板时加套管，套管两端用石棉封死，穿墙套管两端与墙面平齐，穿楼板套管上端面高于楼板面20mm，且在套管内的管段不得有焊缝及连接接头。管道系统需可靠接地，同时，每个病区安装一套维修阀，以方便维修。</w:t>
      </w:r>
    </w:p>
    <w:p w14:paraId="76C352C2">
      <w:pPr>
        <w:spacing w:beforeLines="0" w:afterLines="0" w:line="360" w:lineRule="auto"/>
        <w:jc w:val="left"/>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lang w:eastAsia="zh-CN"/>
          <w14:textFill>
            <w14:solidFill>
              <w14:schemeClr w14:val="tx1"/>
            </w14:solidFill>
          </w14:textFill>
        </w:rPr>
        <w:t>（</w:t>
      </w:r>
      <w:r>
        <w:rPr>
          <w:rFonts w:hint="eastAsia" w:ascii="宋体" w:hAnsi="宋体" w:eastAsia="宋体" w:cs="宋体"/>
          <w:b/>
          <w:bCs/>
          <w:color w:val="000000" w:themeColor="text1"/>
          <w:sz w:val="21"/>
          <w:szCs w:val="21"/>
          <w:lang w:val="en-US" w:eastAsia="zh-CN"/>
          <w14:textFill>
            <w14:solidFill>
              <w14:schemeClr w14:val="tx1"/>
            </w14:solidFill>
          </w14:textFill>
        </w:rPr>
        <w:t>四）</w:t>
      </w:r>
      <w:r>
        <w:rPr>
          <w:rFonts w:hint="eastAsia" w:ascii="宋体" w:hAnsi="宋体" w:eastAsia="宋体" w:cs="宋体"/>
          <w:b/>
          <w:bCs/>
          <w:color w:val="000000" w:themeColor="text1"/>
          <w:sz w:val="21"/>
          <w:szCs w:val="21"/>
          <w14:textFill>
            <w14:solidFill>
              <w14:schemeClr w14:val="tx1"/>
            </w14:solidFill>
          </w14:textFill>
        </w:rPr>
        <w:t>、医用中心压缩空气系统</w:t>
      </w:r>
    </w:p>
    <w:p w14:paraId="3CB2F52B">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医用中心压缩空气系统由压缩空气中心站、压缩空气输送管道及终端等组成。</w:t>
      </w:r>
    </w:p>
    <w:p w14:paraId="677A6C6B">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压缩空气中心站（包括空压机、冷干机、储气罐、过滤器组、自动控制柜、报警装置）。本项目压缩空气系统由空气压缩机、干燥机、压力报警器、空气储气罐、智能总控制系统（中央控制系统）和管道等部件组成，带过载保护装置；配置</w:t>
      </w:r>
      <w:r>
        <w:rPr>
          <w:rFonts w:hint="eastAsia" w:ascii="宋体" w:hAnsi="宋体" w:cs="宋体"/>
          <w:color w:val="000000" w:themeColor="text1"/>
          <w:sz w:val="21"/>
          <w:szCs w:val="21"/>
          <w:lang w:val="en-US" w:eastAsia="zh-CN"/>
          <w14:textFill>
            <w14:solidFill>
              <w14:schemeClr w14:val="tx1"/>
            </w14:solidFill>
          </w14:textFill>
        </w:rPr>
        <w:t>3.78</w:t>
      </w:r>
      <w:r>
        <w:rPr>
          <w:rFonts w:hint="eastAsia" w:ascii="宋体" w:hAnsi="宋体" w:eastAsia="宋体" w:cs="宋体"/>
          <w:color w:val="000000" w:themeColor="text1"/>
          <w:sz w:val="21"/>
          <w:szCs w:val="21"/>
          <w14:textFill>
            <w14:solidFill>
              <w14:schemeClr w14:val="tx1"/>
            </w14:solidFill>
          </w14:textFill>
        </w:rPr>
        <w:t>m³/min无油涡旋空压机</w:t>
      </w:r>
      <w:r>
        <w:rPr>
          <w:rFonts w:hint="eastAsia" w:ascii="宋体" w:hAnsi="宋体" w:cs="宋体"/>
          <w:color w:val="000000" w:themeColor="text1"/>
          <w:sz w:val="21"/>
          <w:szCs w:val="21"/>
          <w:lang w:val="en-US" w:eastAsia="zh-CN"/>
          <w14:textFill>
            <w14:solidFill>
              <w14:schemeClr w14:val="tx1"/>
            </w14:solidFill>
          </w14:textFill>
        </w:rPr>
        <w:t>2台</w:t>
      </w:r>
      <w:r>
        <w:rPr>
          <w:rFonts w:hint="eastAsia" w:ascii="宋体" w:hAnsi="宋体" w:eastAsia="宋体" w:cs="宋体"/>
          <w:color w:val="000000" w:themeColor="text1"/>
          <w:sz w:val="21"/>
          <w:szCs w:val="21"/>
          <w14:textFill>
            <w14:solidFill>
              <w14:schemeClr w14:val="tx1"/>
            </w14:solidFill>
          </w14:textFill>
        </w:rPr>
        <w:t>（一用一备）</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2台冷冻式干燥机5.3m</w:t>
      </w:r>
      <w:r>
        <w:rPr>
          <w:rFonts w:hint="eastAsia" w:ascii="宋体" w:hAnsi="宋体" w:eastAsia="宋体" w:cs="宋体"/>
          <w:color w:val="000000" w:themeColor="text1"/>
          <w:sz w:val="21"/>
          <w:szCs w:val="21"/>
          <w:vertAlign w:val="superscript"/>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/min、2台空气罐1 m3/0.8MPa</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6个</w:t>
      </w:r>
      <w:r>
        <w:rPr>
          <w:rFonts w:hint="eastAsia" w:ascii="宋体" w:hAnsi="宋体" w:eastAsia="宋体" w:cs="宋体"/>
          <w:color w:val="000000" w:themeColor="text1"/>
          <w:sz w:val="21"/>
          <w:szCs w:val="21"/>
          <w14:textFill>
            <w14:solidFill>
              <w14:schemeClr w14:val="tx1"/>
            </w14:solidFill>
          </w14:textFill>
        </w:rPr>
        <w:t>高级过滤器 ≥3.8m</w:t>
      </w:r>
      <w:r>
        <w:rPr>
          <w:rFonts w:hint="eastAsia" w:ascii="宋体" w:hAnsi="宋体" w:eastAsia="宋体" w:cs="宋体"/>
          <w:color w:val="000000" w:themeColor="text1"/>
          <w:sz w:val="21"/>
          <w:szCs w:val="21"/>
          <w:vertAlign w:val="superscript"/>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/min</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2台除菌过滤器≥10</w:t>
      </w:r>
      <w:r>
        <w:rPr>
          <w:rFonts w:hint="eastAsia" w:ascii="宋体" w:hAnsi="宋体" w:eastAsia="宋体" w:cs="宋体"/>
          <w:color w:val="000000" w:themeColor="text1"/>
          <w:sz w:val="21"/>
          <w:szCs w:val="21"/>
          <w14:textFill>
            <w14:solidFill>
              <w14:schemeClr w14:val="tx1"/>
            </w14:solidFill>
          </w14:textFill>
        </w:rPr>
        <w:t>m</w:t>
      </w:r>
      <w:r>
        <w:rPr>
          <w:rFonts w:hint="eastAsia" w:ascii="宋体" w:hAnsi="宋体" w:eastAsia="宋体" w:cs="宋体"/>
          <w:color w:val="000000" w:themeColor="text1"/>
          <w:sz w:val="21"/>
          <w:szCs w:val="21"/>
          <w:vertAlign w:val="superscript"/>
          <w14:textFill>
            <w14:solidFill>
              <w14:schemeClr w14:val="tx1"/>
            </w14:solidFill>
          </w14:textFill>
        </w:rPr>
        <w:t>3</w:t>
      </w:r>
      <w:r>
        <w:rPr>
          <w:rFonts w:hint="eastAsia" w:ascii="宋体" w:hAnsi="宋体" w:cs="宋体"/>
          <w:color w:val="000000" w:themeColor="text1"/>
          <w:sz w:val="21"/>
          <w:szCs w:val="21"/>
          <w:lang w:val="en-US" w:eastAsia="zh-CN"/>
          <w14:textFill>
            <w14:solidFill>
              <w14:schemeClr w14:val="tx1"/>
            </w14:solidFill>
          </w14:textFill>
        </w:rPr>
        <w:t>/min</w:t>
      </w:r>
      <w:r>
        <w:rPr>
          <w:rFonts w:hint="eastAsia" w:ascii="宋体" w:hAnsi="宋体" w:eastAsia="宋体" w:cs="宋体"/>
          <w:color w:val="000000" w:themeColor="text1"/>
          <w:sz w:val="21"/>
          <w:szCs w:val="21"/>
          <w14:textFill>
            <w14:solidFill>
              <w14:schemeClr w14:val="tx1"/>
            </w14:solidFill>
          </w14:textFill>
        </w:rPr>
        <w:t>，智能总控制系统由PLC程序控制，按先起先停原则自动切换交替工作，当一台机组工作不能满足系统需要时自动启动第二台机组；全电脑控制：具有压力、温度、运行时间、计时器、累计排气量、主机转速、故障等数字显示；数字显示和调整均在显示屏上进行；压缩机安全报警、压缩机安全停机、运行状态、保养服务等显示</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压缩机能自动控制、失电后自动重启、远程启停、停机保护等功能</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能自动检测并记录故障、元件监控-维修报警，保证气源的空气质量。电气控制系统完全冗余设计，任何零部件损坏不影响系统运行。</w:t>
      </w:r>
    </w:p>
    <w:p w14:paraId="059DAF40">
      <w:pPr>
        <w:keepNext w:val="0"/>
        <w:keepLines w:val="0"/>
        <w:pageBreakBefore w:val="0"/>
        <w:widowControl w:val="0"/>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2、医用中心压缩空气输送管道系统分布情况和管径大小根据国家标准GB50751－2012《医用气体工程技术规范》的要求和医院各病区分布情况，经过精确计算并确定空气管道的管径及材质分别如下：</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7"/>
        <w:gridCol w:w="1333"/>
        <w:gridCol w:w="1033"/>
        <w:gridCol w:w="1020"/>
      </w:tblGrid>
      <w:tr w14:paraId="438D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12E877A5">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管段</w:t>
            </w:r>
          </w:p>
        </w:tc>
        <w:tc>
          <w:tcPr>
            <w:tcW w:w="1333" w:type="dxa"/>
            <w:noWrap w:val="0"/>
            <w:vAlign w:val="center"/>
          </w:tcPr>
          <w:p w14:paraId="350E2368">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规格</w:t>
            </w:r>
          </w:p>
        </w:tc>
        <w:tc>
          <w:tcPr>
            <w:tcW w:w="1033" w:type="dxa"/>
            <w:noWrap w:val="0"/>
            <w:vAlign w:val="center"/>
          </w:tcPr>
          <w:p w14:paraId="7A2FACE2">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材质</w:t>
            </w:r>
          </w:p>
        </w:tc>
        <w:tc>
          <w:tcPr>
            <w:tcW w:w="1020" w:type="dxa"/>
            <w:noWrap w:val="0"/>
            <w:vAlign w:val="center"/>
          </w:tcPr>
          <w:p w14:paraId="712EC198">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介质</w:t>
            </w:r>
          </w:p>
        </w:tc>
      </w:tr>
      <w:tr w14:paraId="679F0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11643DE0">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住院楼区域主管道</w:t>
            </w:r>
          </w:p>
        </w:tc>
        <w:tc>
          <w:tcPr>
            <w:tcW w:w="1333" w:type="dxa"/>
            <w:noWrap w:val="0"/>
            <w:vAlign w:val="center"/>
          </w:tcPr>
          <w:p w14:paraId="62A938B3">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∅3</w:t>
            </w:r>
            <w:r>
              <w:rPr>
                <w:rFonts w:hint="eastAsia" w:ascii="宋体" w:hAnsi="宋体" w:cs="宋体"/>
                <w:color w:val="000000" w:themeColor="text1"/>
                <w:sz w:val="21"/>
                <w:szCs w:val="21"/>
                <w:vertAlign w:val="baseline"/>
                <w:lang w:val="en-US" w:eastAsia="zh-CN"/>
                <w14:textFill>
                  <w14:solidFill>
                    <w14:schemeClr w14:val="tx1"/>
                  </w14:solidFill>
                </w14:textFill>
              </w:rPr>
              <w:t>2</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1033" w:type="dxa"/>
            <w:noWrap w:val="0"/>
            <w:vAlign w:val="center"/>
          </w:tcPr>
          <w:p w14:paraId="4149C2EC">
            <w:pPr>
              <w:spacing w:beforeLines="0" w:afterLines="0" w:line="360" w:lineRule="auto"/>
              <w:jc w:val="center"/>
              <w:rPr>
                <w:rFonts w:hint="eastAsia" w:ascii="宋体" w:hAnsi="宋体" w:eastAsia="宋体" w:cs="宋体"/>
                <w:color w:val="000000" w:themeColor="text1"/>
                <w:sz w:val="21"/>
                <w:szCs w:val="21"/>
                <w:vertAlign w:val="baseline"/>
                <w:lang w:eastAsia="zh-CN"/>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1020" w:type="dxa"/>
            <w:noWrap w:val="0"/>
            <w:vAlign w:val="center"/>
          </w:tcPr>
          <w:p w14:paraId="65340C06">
            <w:pPr>
              <w:spacing w:beforeLines="0" w:afterLines="0" w:line="360" w:lineRule="auto"/>
              <w:jc w:val="center"/>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r w14:paraId="05D9D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47715C51">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w:t>
            </w:r>
            <w:r>
              <w:rPr>
                <w:rFonts w:hint="eastAsia" w:ascii="宋体" w:hAnsi="宋体" w:eastAsia="宋体" w:cs="宋体"/>
                <w:color w:val="000000" w:themeColor="text1"/>
                <w:sz w:val="21"/>
                <w:szCs w:val="21"/>
                <w:vertAlign w:val="baseline"/>
                <w14:textFill>
                  <w14:solidFill>
                    <w14:schemeClr w14:val="tx1"/>
                  </w14:solidFill>
                </w14:textFill>
              </w:rPr>
              <w:t>主管道</w:t>
            </w:r>
          </w:p>
        </w:tc>
        <w:tc>
          <w:tcPr>
            <w:tcW w:w="1333" w:type="dxa"/>
            <w:noWrap w:val="0"/>
            <w:vAlign w:val="center"/>
          </w:tcPr>
          <w:p w14:paraId="14D6BF4A">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42</w:t>
            </w:r>
            <w:r>
              <w:rPr>
                <w:rFonts w:hint="eastAsia" w:ascii="宋体" w:hAnsi="宋体" w:eastAsia="宋体" w:cs="宋体"/>
                <w:color w:val="000000" w:themeColor="text1"/>
                <w:sz w:val="21"/>
                <w:szCs w:val="21"/>
                <w:vertAlign w:val="baseline"/>
                <w14:textFill>
                  <w14:solidFill>
                    <w14:schemeClr w14:val="tx1"/>
                  </w14:solidFill>
                </w14:textFill>
              </w:rPr>
              <w:t>x2.0</w:t>
            </w:r>
          </w:p>
        </w:tc>
        <w:tc>
          <w:tcPr>
            <w:tcW w:w="1033" w:type="dxa"/>
            <w:noWrap w:val="0"/>
            <w:vAlign w:val="center"/>
          </w:tcPr>
          <w:p w14:paraId="4B62D428">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1020" w:type="dxa"/>
            <w:noWrap w:val="0"/>
            <w:vAlign w:val="center"/>
          </w:tcPr>
          <w:p w14:paraId="75E39B7B">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r w14:paraId="397C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38A96D1A">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w:t>
            </w:r>
            <w:r>
              <w:rPr>
                <w:rFonts w:hint="eastAsia" w:ascii="宋体" w:hAnsi="宋体" w:eastAsia="宋体" w:cs="宋体"/>
                <w:color w:val="000000" w:themeColor="text1"/>
                <w:sz w:val="21"/>
                <w:szCs w:val="21"/>
                <w:vertAlign w:val="baseline"/>
                <w14:textFill>
                  <w14:solidFill>
                    <w14:schemeClr w14:val="tx1"/>
                  </w14:solidFill>
                </w14:textFill>
              </w:rPr>
              <w:t>走廊内水平管（副管道）</w:t>
            </w:r>
          </w:p>
        </w:tc>
        <w:tc>
          <w:tcPr>
            <w:tcW w:w="1333" w:type="dxa"/>
            <w:noWrap w:val="0"/>
            <w:vAlign w:val="center"/>
          </w:tcPr>
          <w:p w14:paraId="6209AA45">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Φ</w:t>
            </w:r>
            <w:r>
              <w:rPr>
                <w:rFonts w:hint="eastAsia" w:ascii="宋体" w:hAnsi="宋体" w:cs="宋体"/>
                <w:color w:val="000000" w:themeColor="text1"/>
                <w:sz w:val="21"/>
                <w:szCs w:val="21"/>
                <w:vertAlign w:val="baseline"/>
                <w:lang w:val="en-US" w:eastAsia="zh-CN"/>
                <w14:textFill>
                  <w14:solidFill>
                    <w14:schemeClr w14:val="tx1"/>
                  </w14:solidFill>
                </w14:textFill>
              </w:rPr>
              <w:t>32</w:t>
            </w: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1033" w:type="dxa"/>
            <w:noWrap w:val="0"/>
            <w:vAlign w:val="center"/>
          </w:tcPr>
          <w:p w14:paraId="048C0E43">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1020" w:type="dxa"/>
            <w:noWrap w:val="0"/>
            <w:vAlign w:val="center"/>
          </w:tcPr>
          <w:p w14:paraId="3D27D346">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r w14:paraId="1903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27D1FF09">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w:t>
            </w:r>
            <w:r>
              <w:rPr>
                <w:rFonts w:hint="eastAsia" w:ascii="宋体" w:hAnsi="宋体" w:eastAsia="宋体" w:cs="宋体"/>
                <w:color w:val="000000" w:themeColor="text1"/>
                <w:sz w:val="21"/>
                <w:szCs w:val="21"/>
                <w:vertAlign w:val="baseline"/>
                <w14:textFill>
                  <w14:solidFill>
                    <w14:schemeClr w14:val="tx1"/>
                  </w14:solidFill>
                </w14:textFill>
              </w:rPr>
              <w:t>走廊内水平管（副管道）</w:t>
            </w:r>
          </w:p>
        </w:tc>
        <w:tc>
          <w:tcPr>
            <w:tcW w:w="1333" w:type="dxa"/>
            <w:noWrap w:val="0"/>
            <w:vAlign w:val="center"/>
          </w:tcPr>
          <w:p w14:paraId="6879E539">
            <w:pPr>
              <w:spacing w:beforeLines="0" w:afterLines="0" w:line="360" w:lineRule="auto"/>
              <w:jc w:val="center"/>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Φ</w:t>
            </w:r>
            <w:r>
              <w:rPr>
                <w:rFonts w:hint="eastAsia" w:ascii="宋体" w:hAnsi="宋体" w:cs="宋体"/>
                <w:color w:val="000000" w:themeColor="text1"/>
                <w:sz w:val="21"/>
                <w:szCs w:val="21"/>
                <w:vertAlign w:val="baseline"/>
                <w:lang w:val="en-US" w:eastAsia="zh-CN"/>
                <w14:textFill>
                  <w14:solidFill>
                    <w14:schemeClr w14:val="tx1"/>
                  </w14:solidFill>
                </w14:textFill>
              </w:rPr>
              <w:t>18</w:t>
            </w:r>
            <w:r>
              <w:rPr>
                <w:rFonts w:hint="eastAsia" w:ascii="宋体" w:hAnsi="宋体" w:eastAsia="宋体" w:cs="宋体"/>
                <w:color w:val="000000" w:themeColor="text1"/>
                <w:sz w:val="21"/>
                <w:szCs w:val="21"/>
                <w:vertAlign w:val="baseline"/>
                <w14:textFill>
                  <w14:solidFill>
                    <w14:schemeClr w14:val="tx1"/>
                  </w14:solidFill>
                </w14:textFill>
              </w:rPr>
              <w:t>*1.</w:t>
            </w:r>
            <w:r>
              <w:rPr>
                <w:rFonts w:hint="eastAsia" w:ascii="宋体" w:hAnsi="宋体" w:cs="宋体"/>
                <w:color w:val="000000" w:themeColor="text1"/>
                <w:sz w:val="21"/>
                <w:szCs w:val="21"/>
                <w:vertAlign w:val="baseline"/>
                <w:lang w:val="en-US" w:eastAsia="zh-CN"/>
                <w14:textFill>
                  <w14:solidFill>
                    <w14:schemeClr w14:val="tx1"/>
                  </w14:solidFill>
                </w14:textFill>
              </w:rPr>
              <w:t>5</w:t>
            </w:r>
          </w:p>
        </w:tc>
        <w:tc>
          <w:tcPr>
            <w:tcW w:w="1033" w:type="dxa"/>
            <w:noWrap w:val="0"/>
            <w:vAlign w:val="center"/>
          </w:tcPr>
          <w:p w14:paraId="712456E1">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1020" w:type="dxa"/>
            <w:noWrap w:val="0"/>
            <w:vAlign w:val="center"/>
          </w:tcPr>
          <w:p w14:paraId="5F949F84">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r w14:paraId="752D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00D427F8">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w:t>
            </w:r>
            <w:r>
              <w:rPr>
                <w:rFonts w:hint="eastAsia" w:ascii="宋体" w:hAnsi="宋体" w:eastAsia="宋体" w:cs="宋体"/>
                <w:color w:val="000000" w:themeColor="text1"/>
                <w:sz w:val="21"/>
                <w:szCs w:val="21"/>
                <w:vertAlign w:val="baseline"/>
                <w14:textFill>
                  <w14:solidFill>
                    <w14:schemeClr w14:val="tx1"/>
                  </w14:solidFill>
                </w14:textFill>
              </w:rPr>
              <w:t>走廊内水平管（副管道）</w:t>
            </w:r>
          </w:p>
        </w:tc>
        <w:tc>
          <w:tcPr>
            <w:tcW w:w="1333" w:type="dxa"/>
            <w:noWrap w:val="0"/>
            <w:vAlign w:val="center"/>
          </w:tcPr>
          <w:p w14:paraId="675D5C80">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25</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1033" w:type="dxa"/>
            <w:noWrap w:val="0"/>
            <w:vAlign w:val="center"/>
          </w:tcPr>
          <w:p w14:paraId="5D4ADC03">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1020" w:type="dxa"/>
            <w:noWrap w:val="0"/>
            <w:vAlign w:val="center"/>
          </w:tcPr>
          <w:p w14:paraId="1A66E499">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r w14:paraId="5918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3BF5EBF1">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门诊楼</w:t>
            </w:r>
            <w:r>
              <w:rPr>
                <w:rFonts w:hint="eastAsia" w:ascii="宋体" w:hAnsi="宋体" w:eastAsia="宋体" w:cs="宋体"/>
                <w:color w:val="000000" w:themeColor="text1"/>
                <w:sz w:val="21"/>
                <w:szCs w:val="21"/>
                <w:vertAlign w:val="baseline"/>
                <w14:textFill>
                  <w14:solidFill>
                    <w14:schemeClr w14:val="tx1"/>
                  </w14:solidFill>
                </w14:textFill>
              </w:rPr>
              <w:t>走廊内水平管（副管道）</w:t>
            </w:r>
          </w:p>
        </w:tc>
        <w:tc>
          <w:tcPr>
            <w:tcW w:w="1333" w:type="dxa"/>
            <w:noWrap w:val="0"/>
            <w:vAlign w:val="center"/>
          </w:tcPr>
          <w:p w14:paraId="2CB6AC13">
            <w:pPr>
              <w:spacing w:beforeLines="0" w:afterLines="0" w:line="360" w:lineRule="auto"/>
              <w:jc w:val="center"/>
              <w:rPr>
                <w:rFonts w:hint="default"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22</w:t>
            </w:r>
            <w:r>
              <w:rPr>
                <w:rFonts w:hint="eastAsia" w:ascii="宋体" w:hAnsi="宋体" w:eastAsia="宋体" w:cs="宋体"/>
                <w:color w:val="000000" w:themeColor="text1"/>
                <w:sz w:val="21"/>
                <w:szCs w:val="21"/>
                <w:vertAlign w:val="baseline"/>
                <w14:textFill>
                  <w14:solidFill>
                    <w14:schemeClr w14:val="tx1"/>
                  </w14:solidFill>
                </w14:textFill>
              </w:rPr>
              <w:t>x</w:t>
            </w:r>
            <w:r>
              <w:rPr>
                <w:rFonts w:hint="eastAsia" w:ascii="宋体" w:hAnsi="宋体" w:cs="宋体"/>
                <w:color w:val="000000" w:themeColor="text1"/>
                <w:sz w:val="21"/>
                <w:szCs w:val="21"/>
                <w:vertAlign w:val="baseline"/>
                <w:lang w:val="en-US" w:eastAsia="zh-CN"/>
                <w14:textFill>
                  <w14:solidFill>
                    <w14:schemeClr w14:val="tx1"/>
                  </w14:solidFill>
                </w14:textFill>
              </w:rPr>
              <w:t>2.0</w:t>
            </w:r>
          </w:p>
        </w:tc>
        <w:tc>
          <w:tcPr>
            <w:tcW w:w="1033" w:type="dxa"/>
            <w:noWrap w:val="0"/>
            <w:vAlign w:val="center"/>
          </w:tcPr>
          <w:p w14:paraId="4C82C849">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1020" w:type="dxa"/>
            <w:noWrap w:val="0"/>
            <w:vAlign w:val="center"/>
          </w:tcPr>
          <w:p w14:paraId="357EF3F5">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r w14:paraId="4EBEB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0773CE90">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住院楼、门诊楼</w:t>
            </w:r>
            <w:r>
              <w:rPr>
                <w:rFonts w:hint="eastAsia" w:ascii="宋体" w:hAnsi="宋体" w:eastAsia="宋体" w:cs="宋体"/>
                <w:color w:val="000000" w:themeColor="text1"/>
                <w:sz w:val="21"/>
                <w:szCs w:val="21"/>
                <w:vertAlign w:val="baseline"/>
                <w14:textFill>
                  <w14:solidFill>
                    <w14:schemeClr w14:val="tx1"/>
                  </w14:solidFill>
                </w14:textFill>
              </w:rPr>
              <w:t>走廊内水平管（副管道）</w:t>
            </w:r>
          </w:p>
        </w:tc>
        <w:tc>
          <w:tcPr>
            <w:tcW w:w="1333" w:type="dxa"/>
            <w:noWrap w:val="0"/>
            <w:vAlign w:val="center"/>
          </w:tcPr>
          <w:p w14:paraId="2144BAB3">
            <w:pPr>
              <w:spacing w:beforeLines="0" w:afterLines="0" w:line="360" w:lineRule="auto"/>
              <w:jc w:val="center"/>
              <w:rPr>
                <w:rFonts w:hint="eastAsia" w:ascii="宋体" w:hAnsi="宋体" w:eastAsia="宋体" w:cs="宋体"/>
                <w:color w:val="000000" w:themeColor="text1"/>
                <w:sz w:val="21"/>
                <w:szCs w:val="21"/>
                <w:vertAlign w:val="baseline"/>
                <w:lang w:val="en-US" w:eastAsia="zh-CN"/>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w:t>
            </w:r>
            <w:r>
              <w:rPr>
                <w:rFonts w:hint="eastAsia" w:ascii="宋体" w:hAnsi="宋体" w:cs="宋体"/>
                <w:color w:val="000000" w:themeColor="text1"/>
                <w:sz w:val="21"/>
                <w:szCs w:val="21"/>
                <w:vertAlign w:val="baseline"/>
                <w:lang w:val="en-US" w:eastAsia="zh-CN"/>
                <w14:textFill>
                  <w14:solidFill>
                    <w14:schemeClr w14:val="tx1"/>
                  </w14:solidFill>
                </w14:textFill>
              </w:rPr>
              <w:t>14</w:t>
            </w:r>
            <w:r>
              <w:rPr>
                <w:rFonts w:hint="eastAsia" w:ascii="宋体" w:hAnsi="宋体" w:eastAsia="宋体" w:cs="宋体"/>
                <w:color w:val="000000" w:themeColor="text1"/>
                <w:sz w:val="21"/>
                <w:szCs w:val="21"/>
                <w:vertAlign w:val="baseline"/>
                <w14:textFill>
                  <w14:solidFill>
                    <w14:schemeClr w14:val="tx1"/>
                  </w14:solidFill>
                </w14:textFill>
              </w:rPr>
              <w:t>x1.</w:t>
            </w:r>
            <w:r>
              <w:rPr>
                <w:rFonts w:hint="eastAsia" w:ascii="宋体" w:hAnsi="宋体" w:cs="宋体"/>
                <w:color w:val="000000" w:themeColor="text1"/>
                <w:sz w:val="21"/>
                <w:szCs w:val="21"/>
                <w:vertAlign w:val="baseline"/>
                <w:lang w:val="en-US" w:eastAsia="zh-CN"/>
                <w14:textFill>
                  <w14:solidFill>
                    <w14:schemeClr w14:val="tx1"/>
                  </w14:solidFill>
                </w14:textFill>
              </w:rPr>
              <w:t>0</w:t>
            </w:r>
          </w:p>
        </w:tc>
        <w:tc>
          <w:tcPr>
            <w:tcW w:w="1033" w:type="dxa"/>
            <w:noWrap w:val="0"/>
            <w:vAlign w:val="center"/>
          </w:tcPr>
          <w:p w14:paraId="0DFE02A3">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cs="宋体"/>
                <w:color w:val="000000" w:themeColor="text1"/>
                <w:sz w:val="21"/>
                <w:szCs w:val="21"/>
                <w:vertAlign w:val="baseline"/>
                <w:lang w:val="en-US" w:eastAsia="zh-CN"/>
                <w14:textFill>
                  <w14:solidFill>
                    <w14:schemeClr w14:val="tx1"/>
                  </w14:solidFill>
                </w14:textFill>
              </w:rPr>
              <w:t>不锈钢</w:t>
            </w:r>
          </w:p>
        </w:tc>
        <w:tc>
          <w:tcPr>
            <w:tcW w:w="1020" w:type="dxa"/>
            <w:noWrap w:val="0"/>
            <w:vAlign w:val="center"/>
          </w:tcPr>
          <w:p w14:paraId="56E311CC">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r w14:paraId="1CBB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57" w:type="dxa"/>
            <w:noWrap w:val="0"/>
            <w:vAlign w:val="center"/>
          </w:tcPr>
          <w:p w14:paraId="6EE92833">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支管道到终端管道</w:t>
            </w:r>
          </w:p>
        </w:tc>
        <w:tc>
          <w:tcPr>
            <w:tcW w:w="1333" w:type="dxa"/>
            <w:noWrap w:val="0"/>
            <w:vAlign w:val="center"/>
          </w:tcPr>
          <w:p w14:paraId="6839F59F">
            <w:pPr>
              <w:spacing w:beforeLines="0" w:afterLines="0" w:line="360" w:lineRule="auto"/>
              <w:jc w:val="center"/>
              <w:rPr>
                <w:rFonts w:hint="eastAsia" w:ascii="宋体" w:hAnsi="宋体" w:eastAsia="宋体" w:cs="宋体"/>
                <w:color w:val="000000" w:themeColor="text1"/>
                <w:sz w:val="21"/>
                <w:szCs w:val="21"/>
                <w:vertAlign w:val="baseline"/>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∅8x1.0</w:t>
            </w:r>
          </w:p>
        </w:tc>
        <w:tc>
          <w:tcPr>
            <w:tcW w:w="1033" w:type="dxa"/>
            <w:noWrap w:val="0"/>
            <w:vAlign w:val="center"/>
          </w:tcPr>
          <w:p w14:paraId="6B1D20E2">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14:textFill>
                  <w14:solidFill>
                    <w14:schemeClr w14:val="tx1"/>
                  </w14:solidFill>
                </w14:textFill>
              </w:rPr>
              <w:t>铜</w:t>
            </w:r>
          </w:p>
        </w:tc>
        <w:tc>
          <w:tcPr>
            <w:tcW w:w="1020" w:type="dxa"/>
            <w:noWrap w:val="0"/>
            <w:vAlign w:val="center"/>
          </w:tcPr>
          <w:p w14:paraId="09E7D28F">
            <w:pPr>
              <w:spacing w:beforeLines="0" w:afterLines="0" w:line="360" w:lineRule="auto"/>
              <w:jc w:val="center"/>
              <w:rPr>
                <w:rFonts w:hint="eastAsia" w:ascii="宋体" w:hAnsi="宋体" w:eastAsia="宋体" w:cs="宋体"/>
                <w:color w:val="000000" w:themeColor="text1"/>
                <w:kern w:val="2"/>
                <w:sz w:val="21"/>
                <w:szCs w:val="21"/>
                <w:vertAlign w:val="baseline"/>
                <w:lang w:val="en-US" w:eastAsia="zh-CN" w:bidi="ar-SA"/>
                <w14:textFill>
                  <w14:solidFill>
                    <w14:schemeClr w14:val="tx1"/>
                  </w14:solidFill>
                </w14:textFill>
              </w:rPr>
            </w:pPr>
            <w:r>
              <w:rPr>
                <w:rFonts w:hint="eastAsia" w:ascii="宋体" w:hAnsi="宋体" w:eastAsia="宋体" w:cs="宋体"/>
                <w:color w:val="000000" w:themeColor="text1"/>
                <w:sz w:val="21"/>
                <w:szCs w:val="21"/>
                <w:vertAlign w:val="baseline"/>
                <w:lang w:val="en-US" w:eastAsia="zh-CN"/>
                <w14:textFill>
                  <w14:solidFill>
                    <w14:schemeClr w14:val="tx1"/>
                  </w14:solidFill>
                </w14:textFill>
              </w:rPr>
              <w:t>空气</w:t>
            </w:r>
          </w:p>
        </w:tc>
      </w:tr>
    </w:tbl>
    <w:p w14:paraId="7DEBCBD2">
      <w:pPr>
        <w:spacing w:beforeLines="0" w:afterLines="0" w:line="360" w:lineRule="auto"/>
        <w:ind w:firstLine="420" w:firstLineChars="200"/>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上不锈钢钢管尺寸规格应符合GB/T14976-2012的标准要求，紫铜管尺寸规格应符合YS/T650-2020《医用气体和真空用无缝铜管》的标准要求。其中配套设备的阀门、三通及接头均采用优质材料。压缩空气经主管送至用气楼层。楼层间副管道从主管道接出并沿走廊敷设，各支管道从副管道接至病房用气终端。进入病房前的管道采用支架和抱箍固定在距楼顶高度500mm的位置，即安装高度为（H-500）。进入病房的管道均经按装于PVC装饰罩后接至床头设备带，设备带内管道敷设于规定的气体管路槽内（设备带上槽），以保证病房美观。同时，管道在穿墙、穿楼板时加套管，套管两端用石棉封死，穿墙套管两端与墙面平齐，穿楼板套管上端面高于楼板面20mm，且在套管内的管段不得有焊缝及连接接头。管道系统需可靠接地，同时，每个病区安装一套维修阀，以方便维修。</w:t>
      </w:r>
    </w:p>
    <w:p w14:paraId="69895C25">
      <w:pPr>
        <w:spacing w:beforeLines="0" w:afterLines="0" w:line="360" w:lineRule="auto"/>
        <w:jc w:val="lef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2、空气减压装置</w:t>
      </w:r>
    </w:p>
    <w:p w14:paraId="07E135E9">
      <w:pPr>
        <w:spacing w:beforeLines="0" w:afterLines="0" w:line="360" w:lineRule="auto"/>
        <w:ind w:firstLine="420" w:firstLineChars="200"/>
        <w:jc w:val="lef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在每栋楼层的管道井内的楼层横管段分别安装一台自带安全阀的双回路大型减压装置，将高压气体减至约0.4-0.8MPa（可调），同时档管路中的输出压力超过0.8MPa时，安全阀自动卸压，以降低压力</w:t>
      </w:r>
      <w:r>
        <w:rPr>
          <w:rFonts w:hint="eastAsia" w:ascii="宋体" w:hAnsi="宋体" w:eastAsia="宋体" w:cs="宋体"/>
          <w:color w:val="000000" w:themeColor="text1"/>
          <w:sz w:val="21"/>
          <w:szCs w:val="21"/>
          <w:lang w:eastAsia="zh-CN"/>
          <w14:textFill>
            <w14:solidFill>
              <w14:schemeClr w14:val="tx1"/>
            </w14:solidFill>
          </w14:textFill>
        </w:rPr>
        <w:t>。</w:t>
      </w:r>
    </w:p>
    <w:p w14:paraId="22A5C9B8">
      <w:pPr>
        <w:spacing w:beforeLines="0" w:afterLines="0" w:line="360" w:lineRule="auto"/>
        <w:jc w:val="left"/>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3、无油涡旋空压机</w:t>
      </w:r>
    </w:p>
    <w:p w14:paraId="738ACC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cs="宋体"/>
          <w:color w:val="000000" w:themeColor="text1"/>
          <w:sz w:val="21"/>
          <w:szCs w:val="21"/>
          <w:lang w:eastAsia="zh-CN"/>
          <w14:textFill>
            <w14:solidFill>
              <w14:schemeClr w14:val="tx1"/>
            </w14:solidFill>
          </w14:textFill>
        </w:rPr>
        <w:t>）无油</w:t>
      </w:r>
      <w:r>
        <w:rPr>
          <w:rFonts w:hint="eastAsia" w:ascii="宋体" w:hAnsi="宋体" w:eastAsia="宋体" w:cs="宋体"/>
          <w:color w:val="000000" w:themeColor="text1"/>
          <w:sz w:val="21"/>
          <w:szCs w:val="21"/>
          <w:lang w:val="en-US" w:eastAsia="zh-CN"/>
          <w14:textFill>
            <w14:solidFill>
              <w14:schemeClr w14:val="tx1"/>
            </w14:solidFill>
          </w14:textFill>
        </w:rPr>
        <w:t>涡旋</w:t>
      </w:r>
      <w:r>
        <w:rPr>
          <w:rFonts w:hint="eastAsia" w:ascii="宋体" w:hAnsi="宋体" w:cs="宋体"/>
          <w:color w:val="000000" w:themeColor="text1"/>
          <w:sz w:val="21"/>
          <w:szCs w:val="21"/>
          <w:lang w:eastAsia="zh-CN"/>
          <w14:textFill>
            <w14:solidFill>
              <w14:schemeClr w14:val="tx1"/>
            </w14:solidFill>
          </w14:textFill>
        </w:rPr>
        <w:t>空压系统由无油</w:t>
      </w:r>
      <w:r>
        <w:rPr>
          <w:rFonts w:hint="eastAsia" w:ascii="宋体" w:hAnsi="宋体" w:eastAsia="宋体" w:cs="宋体"/>
          <w:color w:val="000000" w:themeColor="text1"/>
          <w:sz w:val="21"/>
          <w:szCs w:val="21"/>
          <w:lang w:val="en-US" w:eastAsia="zh-CN"/>
          <w14:textFill>
            <w14:solidFill>
              <w14:schemeClr w14:val="tx1"/>
            </w14:solidFill>
          </w14:textFill>
        </w:rPr>
        <w:t>涡旋</w:t>
      </w:r>
      <w:r>
        <w:rPr>
          <w:rFonts w:hint="eastAsia" w:ascii="宋体" w:hAnsi="宋体" w:cs="宋体"/>
          <w:color w:val="000000" w:themeColor="text1"/>
          <w:sz w:val="21"/>
          <w:szCs w:val="21"/>
          <w:lang w:eastAsia="zh-CN"/>
          <w14:textFill>
            <w14:solidFill>
              <w14:schemeClr w14:val="tx1"/>
            </w14:solidFill>
          </w14:textFill>
        </w:rPr>
        <w:t>压缩机、储气罐、干燥系统、过滤器、控制系统、管道阀门等部件组成。通过医用无油空压机组的压缩使无油压缩空气系统管路达到所需空压值，在各个病房的终端处产生无油空气，供医疗用气使用。完全冗余设计，当单一故障状态时，连续供气。无油压缩机、管路系统、控制系统、报警系统和在线监测为联动控制一体式设计，系统各部件性能匹配并最优化，电气和管路单点连接,机组内部连接管路为不锈钢材质，连接方式为快装快卸式，施工、安装、检修极其方便。任何零部件损坏不影响系统正常运行供气，在线维修、在线保养不影响系统正常运行供气，即机组中单个部件发生故障或者单个支路中的设备与部件发生故障时能连续供气。</w:t>
      </w:r>
    </w:p>
    <w:p w14:paraId="3A44A4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空压机采用风冷冷却方式</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主电机防护等级为IP55</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单台用气量≥3.78m</w:t>
      </w:r>
      <w:r>
        <w:rPr>
          <w:rFonts w:hint="eastAsia" w:ascii="宋体" w:hAnsi="宋体" w:eastAsia="宋体" w:cs="宋体"/>
          <w:color w:val="000000" w:themeColor="text1"/>
          <w:sz w:val="21"/>
          <w:szCs w:val="21"/>
          <w:vertAlign w:val="superscript"/>
          <w14:textFill>
            <w14:solidFill>
              <w14:schemeClr w14:val="tx1"/>
            </w14:solidFill>
          </w14:textFill>
        </w:rPr>
        <w:t>3</w:t>
      </w:r>
      <w:r>
        <w:rPr>
          <w:rFonts w:hint="eastAsia" w:ascii="宋体" w:hAnsi="宋体" w:eastAsia="宋体" w:cs="宋体"/>
          <w:color w:val="000000" w:themeColor="text1"/>
          <w:sz w:val="21"/>
          <w:szCs w:val="21"/>
          <w14:textFill>
            <w14:solidFill>
              <w14:schemeClr w14:val="tx1"/>
            </w14:solidFill>
          </w14:textFill>
        </w:rPr>
        <w:t>/min</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排气压力0.75MPa</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单台功率33KW</w:t>
      </w:r>
      <w:r>
        <w:rPr>
          <w:rFonts w:hint="eastAsia" w:ascii="宋体" w:hAnsi="宋体" w:cs="宋体"/>
          <w:color w:val="000000" w:themeColor="text1"/>
          <w:sz w:val="21"/>
          <w:szCs w:val="21"/>
          <w:lang w:eastAsia="zh-CN"/>
          <w14:textFill>
            <w14:solidFill>
              <w14:schemeClr w14:val="tx1"/>
            </w14:solidFill>
          </w14:textFill>
        </w:rPr>
        <w:t>。</w:t>
      </w:r>
    </w:p>
    <w:p w14:paraId="357CED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3</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空压机必须适合高温环境下运行，运行状态要求环境温度≤46℃也可以正常运行。采用加卸载控制方式，减少能耗。设备可设置两个不同的压力带，以优化能源使用，减少运行费用。</w:t>
      </w:r>
    </w:p>
    <w:p w14:paraId="0474DD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eastAsia="zh-CN"/>
          <w14:textFill>
            <w14:solidFill>
              <w14:schemeClr w14:val="tx1"/>
            </w14:solidFill>
          </w14:textFill>
        </w:rPr>
        <w:t>）无油</w:t>
      </w:r>
      <w:r>
        <w:rPr>
          <w:rFonts w:hint="eastAsia" w:ascii="宋体" w:hAnsi="宋体" w:eastAsia="宋体" w:cs="宋体"/>
          <w:color w:val="000000" w:themeColor="text1"/>
          <w:sz w:val="21"/>
          <w:szCs w:val="21"/>
          <w:lang w:val="en-US" w:eastAsia="zh-CN"/>
          <w14:textFill>
            <w14:solidFill>
              <w14:schemeClr w14:val="tx1"/>
            </w14:solidFill>
          </w14:textFill>
        </w:rPr>
        <w:t>涡旋</w:t>
      </w:r>
      <w:r>
        <w:rPr>
          <w:rFonts w:hint="eastAsia" w:ascii="宋体" w:hAnsi="宋体" w:eastAsia="宋体" w:cs="宋体"/>
          <w:color w:val="000000" w:themeColor="text1"/>
          <w:sz w:val="21"/>
          <w:szCs w:val="21"/>
          <w:lang w:eastAsia="zh-CN"/>
          <w14:textFill>
            <w14:solidFill>
              <w14:schemeClr w14:val="tx1"/>
            </w14:solidFill>
          </w14:textFill>
        </w:rPr>
        <w:t>空压</w:t>
      </w:r>
      <w:r>
        <w:rPr>
          <w:rFonts w:hint="eastAsia" w:ascii="宋体" w:hAnsi="宋体" w:eastAsia="宋体" w:cs="宋体"/>
          <w:color w:val="000000" w:themeColor="text1"/>
          <w:sz w:val="21"/>
          <w:szCs w:val="21"/>
          <w:lang w:val="en-US" w:eastAsia="zh-CN"/>
          <w14:textFill>
            <w14:solidFill>
              <w14:schemeClr w14:val="tx1"/>
            </w14:solidFill>
          </w14:textFill>
        </w:rPr>
        <w:t>机</w:t>
      </w:r>
      <w:r>
        <w:rPr>
          <w:rFonts w:hint="eastAsia" w:ascii="宋体" w:hAnsi="宋体" w:eastAsia="宋体" w:cs="宋体"/>
          <w:color w:val="000000" w:themeColor="text1"/>
          <w:sz w:val="21"/>
          <w:szCs w:val="21"/>
          <w14:textFill>
            <w14:solidFill>
              <w14:schemeClr w14:val="tx1"/>
            </w14:solidFill>
          </w14:textFill>
        </w:rPr>
        <w:t>应具有二类医疗器械注册证</w:t>
      </w:r>
      <w:r>
        <w:rPr>
          <w:rFonts w:hint="eastAsia" w:ascii="宋体" w:hAnsi="宋体" w:eastAsia="宋体" w:cs="宋体"/>
          <w:color w:val="000000" w:themeColor="text1"/>
          <w:sz w:val="21"/>
          <w:szCs w:val="21"/>
          <w:lang w:val="en-US" w:eastAsia="zh-CN"/>
          <w14:textFill>
            <w14:solidFill>
              <w14:schemeClr w14:val="tx1"/>
            </w14:solidFill>
          </w14:textFill>
        </w:rPr>
        <w:t>并提供相关证明材料</w:t>
      </w:r>
      <w:r>
        <w:rPr>
          <w:rFonts w:hint="eastAsia" w:ascii="宋体" w:hAnsi="宋体" w:eastAsia="宋体" w:cs="宋体"/>
          <w:color w:val="000000" w:themeColor="text1"/>
          <w:sz w:val="21"/>
          <w:szCs w:val="21"/>
          <w:lang w:eastAsia="zh-CN"/>
          <w14:textFill>
            <w14:solidFill>
              <w14:schemeClr w14:val="tx1"/>
            </w14:solidFill>
          </w14:textFill>
        </w:rPr>
        <w:t>。</w:t>
      </w:r>
    </w:p>
    <w:p w14:paraId="5B97A0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5</w:t>
      </w:r>
      <w:r>
        <w:rPr>
          <w:rFonts w:hint="eastAsia" w:ascii="宋体" w:hAnsi="宋体" w:eastAsia="宋体" w:cs="宋体"/>
          <w:color w:val="000000" w:themeColor="text1"/>
          <w:sz w:val="21"/>
          <w:szCs w:val="21"/>
          <w:lang w:eastAsia="zh-CN"/>
          <w14:textFill>
            <w14:solidFill>
              <w14:schemeClr w14:val="tx1"/>
            </w14:solidFill>
          </w14:textFill>
        </w:rPr>
        <w:t>）无油</w:t>
      </w:r>
      <w:r>
        <w:rPr>
          <w:rFonts w:hint="eastAsia" w:ascii="宋体" w:hAnsi="宋体" w:eastAsia="宋体" w:cs="宋体"/>
          <w:color w:val="000000" w:themeColor="text1"/>
          <w:sz w:val="21"/>
          <w:szCs w:val="21"/>
          <w:lang w:val="en-US" w:eastAsia="zh-CN"/>
          <w14:textFill>
            <w14:solidFill>
              <w14:schemeClr w14:val="tx1"/>
            </w14:solidFill>
          </w14:textFill>
        </w:rPr>
        <w:t>涡旋</w:t>
      </w:r>
      <w:r>
        <w:rPr>
          <w:rFonts w:hint="eastAsia" w:ascii="宋体" w:hAnsi="宋体" w:eastAsia="宋体" w:cs="宋体"/>
          <w:color w:val="000000" w:themeColor="text1"/>
          <w:sz w:val="21"/>
          <w:szCs w:val="21"/>
          <w14:textFill>
            <w14:solidFill>
              <w14:schemeClr w14:val="tx1"/>
            </w14:solidFill>
          </w14:textFill>
        </w:rPr>
        <w:t>空压系统具有通过</w:t>
      </w:r>
      <w:r>
        <w:rPr>
          <w:rFonts w:hint="eastAsia" w:ascii="宋体" w:hAnsi="宋体" w:eastAsia="宋体" w:cs="宋体"/>
          <w:color w:val="000000" w:themeColor="text1"/>
          <w:sz w:val="21"/>
          <w:szCs w:val="21"/>
          <w:lang w:val="en-US" w:eastAsia="zh-CN"/>
          <w14:textFill>
            <w14:solidFill>
              <w14:schemeClr w14:val="tx1"/>
            </w14:solidFill>
          </w14:textFill>
        </w:rPr>
        <w:t>省级及以上</w:t>
      </w:r>
      <w:r>
        <w:rPr>
          <w:rFonts w:hint="eastAsia" w:ascii="宋体" w:hAnsi="宋体" w:eastAsia="宋体" w:cs="宋体"/>
          <w:color w:val="000000" w:themeColor="text1"/>
          <w:sz w:val="21"/>
          <w:szCs w:val="21"/>
          <w14:textFill>
            <w14:solidFill>
              <w14:schemeClr w14:val="tx1"/>
            </w14:solidFill>
          </w14:textFill>
        </w:rPr>
        <w:t>医疗</w:t>
      </w:r>
      <w:r>
        <w:rPr>
          <w:rFonts w:hint="eastAsia" w:ascii="宋体" w:hAnsi="宋体" w:eastAsia="宋体" w:cs="宋体"/>
          <w:color w:val="000000" w:themeColor="text1"/>
          <w:sz w:val="21"/>
          <w:szCs w:val="21"/>
          <w:lang w:val="en-US" w:eastAsia="zh-CN"/>
          <w14:textFill>
            <w14:solidFill>
              <w14:schemeClr w14:val="tx1"/>
            </w14:solidFill>
          </w14:textFill>
        </w:rPr>
        <w:t>器械检测机构</w:t>
      </w:r>
      <w:r>
        <w:rPr>
          <w:rFonts w:hint="eastAsia" w:ascii="宋体" w:hAnsi="宋体" w:eastAsia="宋体" w:cs="宋体"/>
          <w:color w:val="000000" w:themeColor="text1"/>
          <w:sz w:val="21"/>
          <w:szCs w:val="21"/>
          <w14:textFill>
            <w14:solidFill>
              <w14:schemeClr w14:val="tx1"/>
            </w14:solidFill>
          </w14:textFill>
        </w:rPr>
        <w:t>EMC</w:t>
      </w:r>
      <w:r>
        <w:rPr>
          <w:rFonts w:hint="eastAsia" w:ascii="宋体" w:hAnsi="宋体" w:eastAsia="宋体" w:cs="宋体"/>
          <w:color w:val="000000" w:themeColor="text1"/>
          <w:sz w:val="21"/>
          <w:szCs w:val="21"/>
          <w:lang w:val="en-US" w:eastAsia="zh-CN"/>
          <w14:textFill>
            <w14:solidFill>
              <w14:schemeClr w14:val="tx1"/>
            </w14:solidFill>
          </w14:textFill>
        </w:rPr>
        <w:t>测试标准的证明材料</w:t>
      </w:r>
      <w:r>
        <w:rPr>
          <w:rFonts w:hint="eastAsia" w:ascii="宋体" w:hAnsi="宋体" w:eastAsia="宋体" w:cs="宋体"/>
          <w:b w:val="0"/>
          <w:bCs/>
          <w:color w:val="000000" w:themeColor="text1"/>
          <w:sz w:val="21"/>
          <w:szCs w:val="21"/>
          <w:lang w:eastAsia="zh-CN"/>
          <w14:textFill>
            <w14:solidFill>
              <w14:schemeClr w14:val="tx1"/>
            </w14:solidFill>
          </w14:textFill>
        </w:rPr>
        <w:t>。</w:t>
      </w:r>
    </w:p>
    <w:p w14:paraId="1741C65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6</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医用无油空压系统空气含水量≤20㎎/m³</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含油≤0.1mg/Nm³</w:t>
      </w: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投标文件中须</w:t>
      </w:r>
      <w:r>
        <w:rPr>
          <w:rFonts w:hint="eastAsia" w:ascii="宋体" w:hAnsi="宋体" w:eastAsia="宋体" w:cs="宋体"/>
          <w:color w:val="000000" w:themeColor="text1"/>
          <w:sz w:val="21"/>
          <w:szCs w:val="21"/>
          <w14:textFill>
            <w14:solidFill>
              <w14:schemeClr w14:val="tx1"/>
            </w14:solidFill>
          </w14:textFill>
        </w:rPr>
        <w:t>提供省</w:t>
      </w:r>
      <w:r>
        <w:rPr>
          <w:rFonts w:hint="eastAsia" w:ascii="宋体" w:hAnsi="宋体" w:eastAsia="宋体" w:cs="宋体"/>
          <w:color w:val="000000" w:themeColor="text1"/>
          <w:sz w:val="21"/>
          <w:szCs w:val="21"/>
          <w:lang w:val="en-US" w:eastAsia="zh-CN"/>
          <w14:textFill>
            <w14:solidFill>
              <w14:schemeClr w14:val="tx1"/>
            </w14:solidFill>
          </w14:textFill>
        </w:rPr>
        <w:t>级及以上</w:t>
      </w:r>
      <w:r>
        <w:rPr>
          <w:rFonts w:hint="eastAsia" w:ascii="宋体" w:hAnsi="宋体" w:eastAsia="宋体" w:cs="宋体"/>
          <w:color w:val="000000" w:themeColor="text1"/>
          <w:sz w:val="21"/>
          <w:szCs w:val="21"/>
          <w14:textFill>
            <w14:solidFill>
              <w14:schemeClr w14:val="tx1"/>
            </w14:solidFill>
          </w14:textFill>
        </w:rPr>
        <w:t>医疗</w:t>
      </w:r>
      <w:r>
        <w:rPr>
          <w:rFonts w:hint="eastAsia" w:ascii="宋体" w:hAnsi="宋体" w:eastAsia="宋体" w:cs="宋体"/>
          <w:color w:val="000000" w:themeColor="text1"/>
          <w:sz w:val="21"/>
          <w:szCs w:val="21"/>
          <w:lang w:val="en-US" w:eastAsia="zh-CN"/>
          <w14:textFill>
            <w14:solidFill>
              <w14:schemeClr w14:val="tx1"/>
            </w14:solidFill>
          </w14:textFill>
        </w:rPr>
        <w:t>器械检测机构</w:t>
      </w:r>
      <w:r>
        <w:rPr>
          <w:rFonts w:hint="eastAsia" w:ascii="宋体" w:hAnsi="宋体" w:eastAsia="宋体" w:cs="宋体"/>
          <w:color w:val="000000" w:themeColor="text1"/>
          <w:sz w:val="21"/>
          <w:szCs w:val="21"/>
          <w14:textFill>
            <w14:solidFill>
              <w14:schemeClr w14:val="tx1"/>
            </w14:solidFill>
          </w14:textFill>
        </w:rPr>
        <w:t>检测报告</w:t>
      </w: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w:t>
      </w:r>
    </w:p>
    <w:p w14:paraId="00E820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7</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一氧化碳含量≤0.5×10</w:t>
      </w:r>
      <w:r>
        <w:rPr>
          <w:rFonts w:hint="eastAsia" w:ascii="宋体" w:hAnsi="宋体" w:eastAsia="宋体" w:cs="宋体"/>
          <w:color w:val="000000" w:themeColor="text1"/>
          <w:sz w:val="28"/>
          <w:szCs w:val="28"/>
          <w:vertAlign w:val="superscript"/>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（V/V）</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二氧化碳含量≤10×10</w:t>
      </w:r>
      <w:r>
        <w:rPr>
          <w:rFonts w:hint="eastAsia" w:ascii="宋体" w:hAnsi="宋体" w:eastAsia="宋体" w:cs="宋体"/>
          <w:color w:val="000000" w:themeColor="text1"/>
          <w:sz w:val="28"/>
          <w:szCs w:val="28"/>
          <w:vertAlign w:val="superscript"/>
          <w14:textFill>
            <w14:solidFill>
              <w14:schemeClr w14:val="tx1"/>
            </w14:solidFill>
          </w14:textFill>
        </w:rPr>
        <w:t>-6</w:t>
      </w:r>
      <w:r>
        <w:rPr>
          <w:rFonts w:hint="eastAsia" w:ascii="宋体" w:hAnsi="宋体" w:eastAsia="宋体" w:cs="宋体"/>
          <w:color w:val="000000" w:themeColor="text1"/>
          <w:sz w:val="21"/>
          <w:szCs w:val="21"/>
          <w14:textFill>
            <w14:solidFill>
              <w14:schemeClr w14:val="tx1"/>
            </w14:solidFill>
          </w14:textFill>
        </w:rPr>
        <w:t>（V/V）</w:t>
      </w: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投标文件中须</w:t>
      </w:r>
      <w:r>
        <w:rPr>
          <w:rFonts w:hint="eastAsia" w:ascii="宋体" w:hAnsi="宋体" w:eastAsia="宋体" w:cs="宋体"/>
          <w:color w:val="000000" w:themeColor="text1"/>
          <w:sz w:val="21"/>
          <w:szCs w:val="21"/>
          <w14:textFill>
            <w14:solidFill>
              <w14:schemeClr w14:val="tx1"/>
            </w14:solidFill>
          </w14:textFill>
        </w:rPr>
        <w:t>提供省</w:t>
      </w:r>
      <w:r>
        <w:rPr>
          <w:rFonts w:hint="eastAsia" w:ascii="宋体" w:hAnsi="宋体" w:eastAsia="宋体" w:cs="宋体"/>
          <w:color w:val="000000" w:themeColor="text1"/>
          <w:sz w:val="21"/>
          <w:szCs w:val="21"/>
          <w:lang w:val="en-US" w:eastAsia="zh-CN"/>
          <w14:textFill>
            <w14:solidFill>
              <w14:schemeClr w14:val="tx1"/>
            </w14:solidFill>
          </w14:textFill>
        </w:rPr>
        <w:t>级及以上</w:t>
      </w:r>
      <w:r>
        <w:rPr>
          <w:rFonts w:hint="eastAsia" w:ascii="宋体" w:hAnsi="宋体" w:eastAsia="宋体" w:cs="宋体"/>
          <w:color w:val="000000" w:themeColor="text1"/>
          <w:sz w:val="21"/>
          <w:szCs w:val="21"/>
          <w14:textFill>
            <w14:solidFill>
              <w14:schemeClr w14:val="tx1"/>
            </w14:solidFill>
          </w14:textFill>
        </w:rPr>
        <w:t>医疗</w:t>
      </w:r>
      <w:r>
        <w:rPr>
          <w:rFonts w:hint="eastAsia" w:ascii="宋体" w:hAnsi="宋体" w:eastAsia="宋体" w:cs="宋体"/>
          <w:color w:val="000000" w:themeColor="text1"/>
          <w:sz w:val="21"/>
          <w:szCs w:val="21"/>
          <w:lang w:val="en-US" w:eastAsia="zh-CN"/>
          <w14:textFill>
            <w14:solidFill>
              <w14:schemeClr w14:val="tx1"/>
            </w14:solidFill>
          </w14:textFill>
        </w:rPr>
        <w:t>器械检测机构</w:t>
      </w:r>
      <w:r>
        <w:rPr>
          <w:rFonts w:hint="eastAsia" w:ascii="宋体" w:hAnsi="宋体" w:eastAsia="宋体" w:cs="宋体"/>
          <w:color w:val="000000" w:themeColor="text1"/>
          <w:sz w:val="21"/>
          <w:szCs w:val="21"/>
          <w14:textFill>
            <w14:solidFill>
              <w14:schemeClr w14:val="tx1"/>
            </w14:solidFill>
          </w14:textFill>
        </w:rPr>
        <w:t>检测报告</w:t>
      </w: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w:t>
      </w:r>
    </w:p>
    <w:p w14:paraId="3CC993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8</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固体物证含量≤0.01㎎/m³</w:t>
      </w: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固体物质粒径≤1.0mg/m³</w:t>
      </w: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投标文件中须</w:t>
      </w:r>
      <w:r>
        <w:rPr>
          <w:rFonts w:hint="eastAsia" w:ascii="宋体" w:hAnsi="宋体" w:eastAsia="宋体" w:cs="宋体"/>
          <w:color w:val="000000" w:themeColor="text1"/>
          <w:sz w:val="21"/>
          <w:szCs w:val="21"/>
          <w14:textFill>
            <w14:solidFill>
              <w14:schemeClr w14:val="tx1"/>
            </w14:solidFill>
          </w14:textFill>
        </w:rPr>
        <w:t>提供省</w:t>
      </w:r>
      <w:r>
        <w:rPr>
          <w:rFonts w:hint="eastAsia" w:ascii="宋体" w:hAnsi="宋体" w:eastAsia="宋体" w:cs="宋体"/>
          <w:color w:val="000000" w:themeColor="text1"/>
          <w:sz w:val="21"/>
          <w:szCs w:val="21"/>
          <w:lang w:val="en-US" w:eastAsia="zh-CN"/>
          <w14:textFill>
            <w14:solidFill>
              <w14:schemeClr w14:val="tx1"/>
            </w14:solidFill>
          </w14:textFill>
        </w:rPr>
        <w:t>级及以上</w:t>
      </w:r>
      <w:r>
        <w:rPr>
          <w:rFonts w:hint="eastAsia" w:ascii="宋体" w:hAnsi="宋体" w:eastAsia="宋体" w:cs="宋体"/>
          <w:color w:val="000000" w:themeColor="text1"/>
          <w:sz w:val="21"/>
          <w:szCs w:val="21"/>
          <w14:textFill>
            <w14:solidFill>
              <w14:schemeClr w14:val="tx1"/>
            </w14:solidFill>
          </w14:textFill>
        </w:rPr>
        <w:t>医疗</w:t>
      </w:r>
      <w:r>
        <w:rPr>
          <w:rFonts w:hint="eastAsia" w:ascii="宋体" w:hAnsi="宋体" w:eastAsia="宋体" w:cs="宋体"/>
          <w:color w:val="000000" w:themeColor="text1"/>
          <w:sz w:val="21"/>
          <w:szCs w:val="21"/>
          <w:lang w:val="en-US" w:eastAsia="zh-CN"/>
          <w14:textFill>
            <w14:solidFill>
              <w14:schemeClr w14:val="tx1"/>
            </w14:solidFill>
          </w14:textFill>
        </w:rPr>
        <w:t>器械检测机构</w:t>
      </w:r>
      <w:r>
        <w:rPr>
          <w:rFonts w:hint="eastAsia" w:ascii="宋体" w:hAnsi="宋体" w:eastAsia="宋体" w:cs="宋体"/>
          <w:color w:val="000000" w:themeColor="text1"/>
          <w:sz w:val="21"/>
          <w:szCs w:val="21"/>
          <w14:textFill>
            <w14:solidFill>
              <w14:schemeClr w14:val="tx1"/>
            </w14:solidFill>
          </w14:textFill>
        </w:rPr>
        <w:t>检测报告</w:t>
      </w:r>
      <w:r>
        <w:rPr>
          <w:rFonts w:hint="eastAsia" w:ascii="宋体" w:hAnsi="宋体" w:eastAsia="宋体" w:cs="宋体"/>
          <w:b w:val="0"/>
          <w:bCs/>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1"/>
          <w:szCs w:val="21"/>
          <w14:textFill>
            <w14:solidFill>
              <w14:schemeClr w14:val="tx1"/>
            </w14:solidFill>
          </w14:textFill>
        </w:rPr>
        <w:t>。</w:t>
      </w:r>
    </w:p>
    <w:p w14:paraId="200C0661">
      <w:pPr>
        <w:pStyle w:val="13"/>
        <w:widowControl w:val="0"/>
        <w:adjustRightInd w:val="0"/>
        <w:snapToGrid w:val="0"/>
        <w:spacing w:before="156" w:beforeLines="50" w:after="156" w:afterLines="50" w:line="320" w:lineRule="exact"/>
        <w:jc w:val="left"/>
        <w:outlineLvl w:val="2"/>
        <w:rPr>
          <w:rStyle w:val="8"/>
          <w:rFonts w:ascii="宋体" w:hAnsi="宋体" w:eastAsia="宋体" w:cs="宋体"/>
          <w:b/>
          <w:bCs/>
          <w:color w:val="000000" w:themeColor="text1"/>
          <w:kern w:val="0"/>
          <w:sz w:val="24"/>
          <w:szCs w:val="24"/>
          <w:highlight w:val="none"/>
          <w:lang w:val="en-US" w:eastAsia="zh-CN" w:bidi="ar-SA"/>
          <w14:textFill>
            <w14:solidFill>
              <w14:schemeClr w14:val="tx1"/>
            </w14:solidFill>
          </w14:textFill>
        </w:rPr>
      </w:pPr>
      <w:bookmarkStart w:id="0" w:name="_Toc24637"/>
      <w:bookmarkStart w:id="1" w:name="_Toc4169"/>
      <w:bookmarkStart w:id="2" w:name="_Toc19625"/>
      <w:bookmarkStart w:id="3" w:name="_Toc29058"/>
      <w:bookmarkStart w:id="4" w:name="_Toc27139"/>
      <w:bookmarkStart w:id="5" w:name="_Toc10339"/>
      <w:bookmarkStart w:id="6" w:name="_Toc28886"/>
      <w:bookmarkStart w:id="7" w:name="_Toc20968"/>
      <w:bookmarkStart w:id="8" w:name="_Toc22674"/>
      <w:bookmarkStart w:id="9" w:name="_Toc256000053"/>
      <w:bookmarkStart w:id="10" w:name="_Toc26077"/>
      <w:bookmarkStart w:id="11" w:name="_Toc31018"/>
      <w:bookmarkStart w:id="12" w:name="_Toc28683"/>
      <w:bookmarkStart w:id="13" w:name="_Toc256000045"/>
      <w:bookmarkStart w:id="14" w:name="_Toc11946"/>
      <w:bookmarkStart w:id="15" w:name="_Toc19779"/>
      <w:r>
        <w:rPr>
          <w:rStyle w:val="8"/>
          <w:rFonts w:hint="eastAsia" w:ascii="Calibri" w:hAnsi="宋体" w:eastAsia="宋体" w:cs="宋体"/>
          <w:b/>
          <w:bCs/>
          <w:color w:val="000000" w:themeColor="text1"/>
          <w:kern w:val="0"/>
          <w:sz w:val="24"/>
          <w:szCs w:val="24"/>
          <w:highlight w:val="none"/>
          <w:lang w:val="en-US" w:eastAsia="zh-CN" w:bidi="ar-SA"/>
          <w14:textFill>
            <w14:solidFill>
              <w14:schemeClr w14:val="tx1"/>
            </w14:solidFill>
          </w14:textFill>
        </w:rPr>
        <w:t>四</w:t>
      </w:r>
      <w:r>
        <w:rPr>
          <w:rStyle w:val="8"/>
          <w:rFonts w:hint="eastAsia" w:ascii="Times New Roman" w:hAnsi="宋体" w:eastAsia="宋体" w:cs="宋体"/>
          <w:b/>
          <w:bCs/>
          <w:color w:val="000000" w:themeColor="text1"/>
          <w:kern w:val="0"/>
          <w:sz w:val="24"/>
          <w:szCs w:val="24"/>
          <w:highlight w:val="none"/>
          <w:lang w:val="en-US" w:eastAsia="zh-CN" w:bidi="ar-SA"/>
          <w14:textFill>
            <w14:solidFill>
              <w14:schemeClr w14:val="tx1"/>
            </w14:solidFill>
          </w14:textFill>
        </w:rPr>
        <w:t>、采购标的的验收标准</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1E24B336">
      <w:pPr>
        <w:pStyle w:val="13"/>
        <w:spacing w:line="360" w:lineRule="auto"/>
        <w:ind w:firstLine="422" w:firstLineChars="200"/>
        <w:rPr>
          <w:rStyle w:val="8"/>
          <w:rFonts w:ascii="宋体" w:hAnsi="宋体" w:cs="宋体"/>
          <w:b/>
          <w:color w:val="000000" w:themeColor="text1"/>
          <w:highlight w:val="none"/>
          <w14:textFill>
            <w14:solidFill>
              <w14:schemeClr w14:val="tx1"/>
            </w14:solidFill>
          </w14:textFill>
        </w:rPr>
      </w:pPr>
      <w:r>
        <w:rPr>
          <w:rStyle w:val="8"/>
          <w:rFonts w:hint="eastAsia" w:ascii="宋体" w:hAnsi="宋体" w:cs="宋体"/>
          <w:b/>
          <w:color w:val="000000" w:themeColor="text1"/>
          <w:highlight w:val="none"/>
          <w14:textFill>
            <w14:solidFill>
              <w14:schemeClr w14:val="tx1"/>
            </w14:solidFill>
          </w14:textFill>
        </w:rPr>
        <w:t>（一）验收标准</w:t>
      </w:r>
    </w:p>
    <w:p w14:paraId="2D6918BA">
      <w:pPr>
        <w:pStyle w:val="13"/>
        <w:spacing w:line="360" w:lineRule="auto"/>
        <w:ind w:firstLine="420" w:firstLineChars="200"/>
        <w:rPr>
          <w:rStyle w:val="8"/>
          <w:rFonts w:ascii="宋体" w:hAnsi="宋体" w:cs="宋体"/>
          <w:bCs/>
          <w:color w:val="000000" w:themeColor="text1"/>
          <w:highlight w:val="none"/>
          <w14:textFill>
            <w14:solidFill>
              <w14:schemeClr w14:val="tx1"/>
            </w14:solidFill>
          </w14:textFill>
        </w:rPr>
      </w:pPr>
      <w:r>
        <w:rPr>
          <w:rStyle w:val="8"/>
          <w:rFonts w:hint="eastAsia" w:ascii="宋体" w:hAnsi="宋体" w:cs="宋体"/>
          <w:bCs/>
          <w:color w:val="000000" w:themeColor="text1"/>
          <w:highlight w:val="none"/>
          <w14:textFill>
            <w14:solidFill>
              <w14:schemeClr w14:val="tx1"/>
            </w14:solidFill>
          </w14:textFill>
        </w:rPr>
        <w:t>1、货物验收须按相关的国际或国家标准和规范及合同要求进行。采购人代表有权参与有关的验收试验，投标人应向采购人验收代表提交试验数据的报告、主要零部件、原材料、原始资料和检查记录等资料，供采购人验收时审查。</w:t>
      </w:r>
    </w:p>
    <w:p w14:paraId="383B0B35">
      <w:pPr>
        <w:pStyle w:val="13"/>
        <w:spacing w:line="360" w:lineRule="auto"/>
        <w:ind w:firstLine="420" w:firstLineChars="200"/>
        <w:rPr>
          <w:rStyle w:val="8"/>
          <w:rFonts w:ascii="宋体" w:hAnsi="宋体" w:cs="宋体"/>
          <w:bCs/>
          <w:color w:val="000000" w:themeColor="text1"/>
          <w:highlight w:val="none"/>
          <w14:textFill>
            <w14:solidFill>
              <w14:schemeClr w14:val="tx1"/>
            </w14:solidFill>
          </w14:textFill>
        </w:rPr>
      </w:pPr>
      <w:r>
        <w:rPr>
          <w:rStyle w:val="8"/>
          <w:rFonts w:hint="eastAsia" w:ascii="宋体" w:hAnsi="宋体" w:cs="宋体"/>
          <w:bCs/>
          <w:color w:val="000000" w:themeColor="text1"/>
          <w:highlight w:val="none"/>
          <w14:textFill>
            <w14:solidFill>
              <w14:schemeClr w14:val="tx1"/>
            </w14:solidFill>
          </w14:textFill>
        </w:rPr>
        <w:t>2、货物及其材料的各项技术性能必须达到合同和相关技术文件规定的要求，必须符合国家和行业的有关规定和标准。</w:t>
      </w:r>
    </w:p>
    <w:p w14:paraId="715CFE35">
      <w:pPr>
        <w:pStyle w:val="13"/>
        <w:spacing w:line="360" w:lineRule="auto"/>
        <w:ind w:firstLine="422" w:firstLineChars="200"/>
        <w:rPr>
          <w:rStyle w:val="8"/>
          <w:rFonts w:ascii="宋体" w:hAnsi="宋体" w:cs="宋体"/>
          <w:b/>
          <w:color w:val="000000" w:themeColor="text1"/>
          <w:highlight w:val="none"/>
          <w14:textFill>
            <w14:solidFill>
              <w14:schemeClr w14:val="tx1"/>
            </w14:solidFill>
          </w14:textFill>
        </w:rPr>
      </w:pPr>
      <w:r>
        <w:rPr>
          <w:rStyle w:val="8"/>
          <w:rFonts w:hint="eastAsia" w:ascii="宋体" w:hAnsi="宋体" w:cs="宋体"/>
          <w:b/>
          <w:color w:val="000000" w:themeColor="text1"/>
          <w:highlight w:val="none"/>
          <w14:textFill>
            <w14:solidFill>
              <w14:schemeClr w14:val="tx1"/>
            </w14:solidFill>
          </w14:textFill>
        </w:rPr>
        <w:t>（二）验收要求</w:t>
      </w:r>
    </w:p>
    <w:p w14:paraId="59FCAFB8">
      <w:pPr>
        <w:pStyle w:val="13"/>
        <w:spacing w:line="360" w:lineRule="auto"/>
        <w:ind w:firstLine="420" w:firstLineChars="200"/>
        <w:rPr>
          <w:rStyle w:val="8"/>
          <w:rFonts w:ascii="宋体" w:hAnsi="宋体" w:cs="宋体"/>
          <w:bCs/>
          <w:color w:val="000000" w:themeColor="text1"/>
          <w:highlight w:val="none"/>
          <w14:textFill>
            <w14:solidFill>
              <w14:schemeClr w14:val="tx1"/>
            </w14:solidFill>
          </w14:textFill>
        </w:rPr>
      </w:pPr>
      <w:r>
        <w:rPr>
          <w:rStyle w:val="8"/>
          <w:rFonts w:hint="eastAsia" w:ascii="宋体" w:hAnsi="宋体" w:cs="宋体"/>
          <w:bCs/>
          <w:color w:val="000000" w:themeColor="text1"/>
          <w:highlight w:val="none"/>
          <w14:textFill>
            <w14:solidFill>
              <w14:schemeClr w14:val="tx1"/>
            </w14:solidFill>
          </w14:textFill>
        </w:rPr>
        <w:t>1、货物的验收由双方代表在采购人的指定地点根据上述验收标准的规定进行。验收费用由中标人承担，验收报告作为申请付款的凭证之一。</w:t>
      </w:r>
    </w:p>
    <w:p w14:paraId="70064F91">
      <w:pPr>
        <w:pStyle w:val="13"/>
        <w:spacing w:line="360" w:lineRule="auto"/>
        <w:ind w:firstLine="420" w:firstLineChars="200"/>
        <w:rPr>
          <w:rStyle w:val="8"/>
          <w:rFonts w:ascii="宋体" w:hAnsi="宋体" w:cs="宋体"/>
          <w:bCs/>
          <w:color w:val="000000" w:themeColor="text1"/>
          <w:highlight w:val="none"/>
          <w14:textFill>
            <w14:solidFill>
              <w14:schemeClr w14:val="tx1"/>
            </w14:solidFill>
          </w14:textFill>
        </w:rPr>
      </w:pPr>
      <w:r>
        <w:rPr>
          <w:rStyle w:val="8"/>
          <w:rFonts w:hint="eastAsia" w:ascii="宋体" w:hAnsi="宋体" w:cs="宋体"/>
          <w:bCs/>
          <w:color w:val="000000" w:themeColor="text1"/>
          <w:highlight w:val="none"/>
          <w14:textFill>
            <w14:solidFill>
              <w14:schemeClr w14:val="tx1"/>
            </w14:solidFill>
          </w14:textFill>
        </w:rPr>
        <w:t>2、验收过程中产生纠纷的，由质量技术监督部门认定的检测机构检测,如为中标人原因造成的，由中标人承担检测费用；否则，由采购人承担。</w:t>
      </w:r>
    </w:p>
    <w:p w14:paraId="69FCA081">
      <w:pPr>
        <w:pStyle w:val="13"/>
        <w:spacing w:line="360" w:lineRule="auto"/>
        <w:ind w:firstLine="420" w:firstLineChars="200"/>
        <w:rPr>
          <w:rStyle w:val="8"/>
          <w:rFonts w:hint="eastAsia" w:ascii="宋体" w:hAnsi="宋体" w:cs="宋体"/>
          <w:bCs/>
          <w:color w:val="000000" w:themeColor="text1"/>
          <w:highlight w:val="none"/>
          <w14:textFill>
            <w14:solidFill>
              <w14:schemeClr w14:val="tx1"/>
            </w14:solidFill>
          </w14:textFill>
        </w:rPr>
      </w:pPr>
      <w:r>
        <w:rPr>
          <w:rStyle w:val="8"/>
          <w:rFonts w:hint="eastAsia" w:ascii="宋体" w:hAnsi="宋体" w:cs="宋体"/>
          <w:bCs/>
          <w:color w:val="000000" w:themeColor="text1"/>
          <w:highlight w:val="none"/>
          <w14:textFill>
            <w14:solidFill>
              <w14:schemeClr w14:val="tx1"/>
            </w14:solidFill>
          </w14:textFill>
        </w:rPr>
        <w:t>3、项目验收不合格，由中标人返工直至合格，有关返工、再行验收，以及给采购人造成的损失等费用由中标人承担。连续两次项目验收不合格的，采购人可终止合同，由此带来的一切损失由中标人承担。</w:t>
      </w:r>
    </w:p>
    <w:p w14:paraId="2C930B9F">
      <w:pPr>
        <w:pStyle w:val="13"/>
        <w:widowControl w:val="0"/>
        <w:adjustRightInd w:val="0"/>
        <w:snapToGrid w:val="0"/>
        <w:spacing w:before="312" w:beforeLines="100" w:after="156" w:afterLines="50" w:line="320" w:lineRule="exact"/>
        <w:jc w:val="left"/>
        <w:outlineLvl w:val="2"/>
        <w:rPr>
          <w:rStyle w:val="8"/>
          <w:rFonts w:ascii="宋体" w:hAnsi="宋体" w:eastAsia="宋体" w:cs="宋体"/>
          <w:b/>
          <w:bCs/>
          <w:color w:val="000000" w:themeColor="text1"/>
          <w:kern w:val="0"/>
          <w:sz w:val="24"/>
          <w:szCs w:val="24"/>
          <w:highlight w:val="none"/>
          <w:lang w:val="en-US" w:eastAsia="zh-CN" w:bidi="ar-SA"/>
          <w14:textFill>
            <w14:solidFill>
              <w14:schemeClr w14:val="tx1"/>
            </w14:solidFill>
          </w14:textFill>
        </w:rPr>
      </w:pPr>
      <w:bookmarkStart w:id="16" w:name="_Toc256000046"/>
      <w:bookmarkStart w:id="17" w:name="_Toc256000054"/>
      <w:bookmarkStart w:id="18" w:name="_Toc28348"/>
      <w:bookmarkStart w:id="19" w:name="_Toc3537"/>
      <w:bookmarkStart w:id="20" w:name="_Toc25631"/>
      <w:bookmarkStart w:id="21" w:name="_Toc31174"/>
      <w:bookmarkStart w:id="22" w:name="_Toc19876"/>
      <w:bookmarkStart w:id="23" w:name="_Toc6857"/>
      <w:bookmarkStart w:id="24" w:name="_Toc25806"/>
      <w:bookmarkStart w:id="25" w:name="_Toc23629"/>
      <w:bookmarkStart w:id="26" w:name="_Toc9830"/>
      <w:bookmarkStart w:id="27" w:name="_Toc17208"/>
      <w:bookmarkStart w:id="28" w:name="_Toc12340"/>
      <w:bookmarkStart w:id="29" w:name="_Toc18276"/>
      <w:bookmarkStart w:id="30" w:name="_Toc31886"/>
      <w:bookmarkStart w:id="31" w:name="_Toc5185"/>
      <w:r>
        <w:rPr>
          <w:rStyle w:val="8"/>
          <w:rFonts w:hint="eastAsia" w:ascii="Calibri" w:hAnsi="宋体" w:eastAsia="宋体" w:cs="宋体"/>
          <w:b/>
          <w:bCs/>
          <w:color w:val="000000" w:themeColor="text1"/>
          <w:kern w:val="0"/>
          <w:sz w:val="24"/>
          <w:szCs w:val="24"/>
          <w:highlight w:val="none"/>
          <w:lang w:val="en-US" w:eastAsia="zh-CN" w:bidi="ar-SA"/>
          <w14:textFill>
            <w14:solidFill>
              <w14:schemeClr w14:val="tx1"/>
            </w14:solidFill>
          </w14:textFill>
        </w:rPr>
        <w:t>五</w:t>
      </w:r>
      <w:r>
        <w:rPr>
          <w:rStyle w:val="8"/>
          <w:rFonts w:hint="eastAsia" w:ascii="Times New Roman" w:hAnsi="宋体" w:eastAsia="宋体" w:cs="宋体"/>
          <w:b/>
          <w:bCs/>
          <w:color w:val="000000" w:themeColor="text1"/>
          <w:kern w:val="0"/>
          <w:sz w:val="24"/>
          <w:szCs w:val="24"/>
          <w:highlight w:val="none"/>
          <w:lang w:val="en-US" w:eastAsia="zh-CN" w:bidi="ar-SA"/>
          <w14:textFill>
            <w14:solidFill>
              <w14:schemeClr w14:val="tx1"/>
            </w14:solidFill>
          </w14:textFill>
        </w:rPr>
        <w:t>、采购标的需满足的服务标准、期限、效率等要求</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7670707D">
      <w:pPr>
        <w:pStyle w:val="13"/>
        <w:spacing w:line="360" w:lineRule="auto"/>
        <w:ind w:firstLine="422" w:firstLineChars="200"/>
        <w:rPr>
          <w:rStyle w:val="8"/>
          <w:rFonts w:hint="eastAsia" w:ascii="宋体" w:hAnsi="宋体" w:eastAsia="宋体" w:cs="宋体"/>
          <w:b/>
          <w:bCs w:val="0"/>
          <w:color w:val="000000" w:themeColor="text1"/>
          <w:highlight w:val="none"/>
          <w:lang w:val="en-US" w:eastAsia="zh-CN"/>
          <w14:textFill>
            <w14:solidFill>
              <w14:schemeClr w14:val="tx1"/>
            </w14:solidFill>
          </w14:textFill>
        </w:rPr>
      </w:pPr>
      <w:r>
        <w:rPr>
          <w:rStyle w:val="8"/>
          <w:rFonts w:hint="eastAsia" w:ascii="宋体" w:hAnsi="宋体" w:eastAsia="宋体" w:cs="宋体"/>
          <w:b/>
          <w:bCs w:val="0"/>
          <w:color w:val="000000" w:themeColor="text1"/>
          <w:highlight w:val="none"/>
          <w:lang w:val="en-US" w:eastAsia="zh-CN"/>
          <w14:textFill>
            <w14:solidFill>
              <w14:schemeClr w14:val="tx1"/>
            </w14:solidFill>
          </w14:textFill>
        </w:rPr>
        <w:t>1、运输方式及费用</w:t>
      </w:r>
    </w:p>
    <w:p w14:paraId="2B2C37B2">
      <w:pPr>
        <w:pStyle w:val="13"/>
        <w:spacing w:line="360" w:lineRule="auto"/>
        <w:ind w:firstLine="420" w:firstLineChars="200"/>
        <w:rPr>
          <w:rStyle w:val="8"/>
          <w:rFonts w:hint="eastAsia" w:ascii="宋体" w:hAnsi="宋体" w:eastAsia="宋体" w:cs="宋体"/>
          <w:bCs/>
          <w:color w:val="000000" w:themeColor="text1"/>
          <w:highlight w:val="none"/>
          <w14:textFill>
            <w14:solidFill>
              <w14:schemeClr w14:val="tx1"/>
            </w14:solidFill>
          </w14:textFill>
        </w:rPr>
      </w:pPr>
      <w:r>
        <w:rPr>
          <w:rStyle w:val="8"/>
          <w:rFonts w:hint="eastAsia" w:ascii="宋体" w:hAnsi="宋体" w:eastAsia="宋体" w:cs="宋体"/>
          <w:bCs/>
          <w:color w:val="000000" w:themeColor="text1"/>
          <w:highlight w:val="none"/>
          <w14:textFill>
            <w14:solidFill>
              <w14:schemeClr w14:val="tx1"/>
            </w14:solidFill>
          </w14:textFill>
        </w:rPr>
        <w:t>由</w:t>
      </w:r>
      <w:r>
        <w:rPr>
          <w:rStyle w:val="8"/>
          <w:rFonts w:hint="eastAsia" w:ascii="宋体" w:hAnsi="宋体" w:eastAsia="宋体" w:cs="宋体"/>
          <w:bCs/>
          <w:color w:val="000000" w:themeColor="text1"/>
          <w:highlight w:val="none"/>
          <w:lang w:val="en-US" w:eastAsia="zh-CN"/>
          <w14:textFill>
            <w14:solidFill>
              <w14:schemeClr w14:val="tx1"/>
            </w14:solidFill>
          </w14:textFill>
        </w:rPr>
        <w:t>中标人</w:t>
      </w:r>
      <w:r>
        <w:rPr>
          <w:rStyle w:val="8"/>
          <w:rFonts w:hint="eastAsia" w:ascii="宋体" w:hAnsi="宋体" w:eastAsia="宋体" w:cs="宋体"/>
          <w:bCs/>
          <w:color w:val="000000" w:themeColor="text1"/>
          <w:highlight w:val="none"/>
          <w14:textFill>
            <w14:solidFill>
              <w14:schemeClr w14:val="tx1"/>
            </w14:solidFill>
          </w14:textFill>
        </w:rPr>
        <w:t>负责运输并承担所产生的所有费用，所有货物的运输在途风险由</w:t>
      </w:r>
      <w:r>
        <w:rPr>
          <w:rStyle w:val="8"/>
          <w:rFonts w:hint="eastAsia" w:ascii="宋体" w:hAnsi="宋体" w:eastAsia="宋体" w:cs="宋体"/>
          <w:bCs/>
          <w:color w:val="000000" w:themeColor="text1"/>
          <w:highlight w:val="none"/>
          <w:lang w:val="en-US" w:eastAsia="zh-CN"/>
          <w14:textFill>
            <w14:solidFill>
              <w14:schemeClr w14:val="tx1"/>
            </w14:solidFill>
          </w14:textFill>
        </w:rPr>
        <w:t>中标人</w:t>
      </w:r>
      <w:r>
        <w:rPr>
          <w:rStyle w:val="8"/>
          <w:rFonts w:hint="eastAsia" w:ascii="宋体" w:hAnsi="宋体" w:eastAsia="宋体" w:cs="宋体"/>
          <w:bCs/>
          <w:color w:val="000000" w:themeColor="text1"/>
          <w:highlight w:val="none"/>
          <w14:textFill>
            <w14:solidFill>
              <w14:schemeClr w14:val="tx1"/>
            </w14:solidFill>
          </w14:textFill>
        </w:rPr>
        <w:t>承担，</w:t>
      </w:r>
      <w:r>
        <w:rPr>
          <w:rStyle w:val="8"/>
          <w:rFonts w:hint="eastAsia" w:ascii="宋体" w:hAnsi="宋体" w:eastAsia="宋体" w:cs="宋体"/>
          <w:bCs/>
          <w:color w:val="000000" w:themeColor="text1"/>
          <w:highlight w:val="none"/>
          <w:lang w:val="en-US" w:eastAsia="zh-CN"/>
          <w14:textFill>
            <w14:solidFill>
              <w14:schemeClr w14:val="tx1"/>
            </w14:solidFill>
          </w14:textFill>
        </w:rPr>
        <w:t>中标人</w:t>
      </w:r>
      <w:r>
        <w:rPr>
          <w:rStyle w:val="8"/>
          <w:rFonts w:hint="eastAsia" w:ascii="宋体" w:hAnsi="宋体" w:eastAsia="宋体" w:cs="宋体"/>
          <w:bCs/>
          <w:color w:val="000000" w:themeColor="text1"/>
          <w:highlight w:val="none"/>
          <w14:textFill>
            <w14:solidFill>
              <w14:schemeClr w14:val="tx1"/>
            </w14:solidFill>
          </w14:textFill>
        </w:rPr>
        <w:t>应采用国家或专业标准保护措施进行包装，以保证设备安全抵达合同指定的到货地点，若由于包装原因引起的货物锈蚀、损坏和损失均由</w:t>
      </w:r>
      <w:r>
        <w:rPr>
          <w:rStyle w:val="8"/>
          <w:rFonts w:hint="eastAsia" w:ascii="宋体" w:hAnsi="宋体" w:eastAsia="宋体" w:cs="宋体"/>
          <w:bCs/>
          <w:color w:val="000000" w:themeColor="text1"/>
          <w:highlight w:val="none"/>
          <w:lang w:val="en-US" w:eastAsia="zh-CN"/>
          <w14:textFill>
            <w14:solidFill>
              <w14:schemeClr w14:val="tx1"/>
            </w14:solidFill>
          </w14:textFill>
        </w:rPr>
        <w:t>中标人</w:t>
      </w:r>
      <w:r>
        <w:rPr>
          <w:rStyle w:val="8"/>
          <w:rFonts w:hint="eastAsia" w:ascii="宋体" w:hAnsi="宋体" w:eastAsia="宋体" w:cs="宋体"/>
          <w:bCs/>
          <w:color w:val="000000" w:themeColor="text1"/>
          <w:highlight w:val="none"/>
          <w14:textFill>
            <w14:solidFill>
              <w14:schemeClr w14:val="tx1"/>
            </w14:solidFill>
          </w14:textFill>
        </w:rPr>
        <w:t>承担。在交货日期以后发现货物与装箱清单数目、规格不一致的，由</w:t>
      </w:r>
      <w:r>
        <w:rPr>
          <w:rStyle w:val="8"/>
          <w:rFonts w:hint="eastAsia" w:ascii="宋体" w:hAnsi="宋体" w:eastAsia="宋体" w:cs="宋体"/>
          <w:bCs/>
          <w:color w:val="000000" w:themeColor="text1"/>
          <w:highlight w:val="none"/>
          <w:lang w:val="en-US" w:eastAsia="zh-CN"/>
          <w14:textFill>
            <w14:solidFill>
              <w14:schemeClr w14:val="tx1"/>
            </w14:solidFill>
          </w14:textFill>
        </w:rPr>
        <w:t>中标人</w:t>
      </w:r>
      <w:r>
        <w:rPr>
          <w:rStyle w:val="8"/>
          <w:rFonts w:hint="eastAsia" w:ascii="宋体" w:hAnsi="宋体" w:eastAsia="宋体" w:cs="宋体"/>
          <w:bCs/>
          <w:color w:val="000000" w:themeColor="text1"/>
          <w:highlight w:val="none"/>
          <w14:textFill>
            <w14:solidFill>
              <w14:schemeClr w14:val="tx1"/>
            </w14:solidFill>
          </w14:textFill>
        </w:rPr>
        <w:t>负责。</w:t>
      </w:r>
    </w:p>
    <w:p w14:paraId="00B2F438">
      <w:pPr>
        <w:pStyle w:val="13"/>
        <w:spacing w:line="360" w:lineRule="auto"/>
        <w:ind w:firstLine="422" w:firstLineChars="200"/>
        <w:rPr>
          <w:rStyle w:val="8"/>
          <w:rFonts w:hint="eastAsia" w:ascii="宋体" w:hAnsi="宋体" w:eastAsia="宋体" w:cs="宋体"/>
          <w:b/>
          <w:bCs w:val="0"/>
          <w:color w:val="000000" w:themeColor="text1"/>
          <w:highlight w:val="none"/>
          <w:lang w:val="en-US" w:eastAsia="zh-CN"/>
          <w14:textFill>
            <w14:solidFill>
              <w14:schemeClr w14:val="tx1"/>
            </w14:solidFill>
          </w14:textFill>
        </w:rPr>
      </w:pPr>
      <w:r>
        <w:rPr>
          <w:rStyle w:val="8"/>
          <w:rFonts w:hint="eastAsia" w:ascii="宋体" w:hAnsi="宋体" w:eastAsia="宋体" w:cs="宋体"/>
          <w:b/>
          <w:bCs w:val="0"/>
          <w:color w:val="000000" w:themeColor="text1"/>
          <w:highlight w:val="none"/>
          <w:lang w:val="en-US" w:eastAsia="zh-CN"/>
          <w14:textFill>
            <w14:solidFill>
              <w14:schemeClr w14:val="tx1"/>
            </w14:solidFill>
          </w14:textFill>
        </w:rPr>
        <w:t>2、产品质量保证</w:t>
      </w:r>
    </w:p>
    <w:p w14:paraId="3FD365BD">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1）中标人应保证所提供的产品是全新、未使用过的，并应保证其产品在正确安装、正常使用和保养条件下，在其使用寿命期内应具有良好的性能。在合同履行时，中标人提供的产品质量不符合合同规定，采购人、代建有权解除合同并由中标人支付合同全部货款的20%作为违约金，中标人不能提出异议。</w:t>
      </w:r>
    </w:p>
    <w:p w14:paraId="770D5F8E">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2）所有需检测、校核、调试的设备，由中标人负责进行检测、校核、调试，不合格的由中标人更换，本合同中的所有设备在质保期内每个自然年累计出现3次以上故障的，在采购人要求下，限期免费更换同款新设备,且相关费用由中标人承担。</w:t>
      </w:r>
    </w:p>
    <w:p w14:paraId="09791457">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（3）验收、测试应按本招标文件的技术指标及中标人提出且经采购人、代建认可的相关标准执行，（凡违背或低于国家有关标准）凡与国家有关标准规范相违背或低于的，以国家标准和规范为依据。</w:t>
      </w:r>
    </w:p>
    <w:p w14:paraId="502530D0">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（4）安装调试完毕，满足试运行条件，在试运行过程中各项性能指标均达到要求，并解决试运行中出现的问题，试运行合格后完成竣工验收等全部内容，签署竣工验收报告。</w:t>
      </w:r>
    </w:p>
    <w:p w14:paraId="14EE03B9">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（5）中标人根据国家最新标准，并按照采购人、代建提供的图纸、技术规格要求建设。</w:t>
      </w:r>
    </w:p>
    <w:p w14:paraId="36FA1CB1">
      <w:pPr>
        <w:pStyle w:val="13"/>
        <w:spacing w:line="360" w:lineRule="auto"/>
        <w:ind w:firstLine="422" w:firstLineChars="200"/>
        <w:rPr>
          <w:rStyle w:val="8"/>
          <w:rFonts w:hint="eastAsia" w:ascii="宋体" w:hAnsi="宋体" w:eastAsia="宋体" w:cs="宋体"/>
          <w:b/>
          <w:bCs w:val="0"/>
          <w:color w:val="000000" w:themeColor="text1"/>
          <w:highlight w:val="none"/>
          <w:lang w:val="en-US" w:eastAsia="zh-CN"/>
          <w14:textFill>
            <w14:solidFill>
              <w14:schemeClr w14:val="tx1"/>
            </w14:solidFill>
          </w14:textFill>
        </w:rPr>
      </w:pPr>
      <w:r>
        <w:rPr>
          <w:rStyle w:val="8"/>
          <w:rFonts w:hint="eastAsia" w:ascii="宋体" w:hAnsi="宋体" w:eastAsia="宋体" w:cs="宋体"/>
          <w:b/>
          <w:bCs w:val="0"/>
          <w:color w:val="000000" w:themeColor="text1"/>
          <w:highlight w:val="none"/>
          <w:lang w:val="en-US" w:eastAsia="zh-CN"/>
          <w14:textFill>
            <w14:solidFill>
              <w14:schemeClr w14:val="tx1"/>
            </w14:solidFill>
          </w14:textFill>
        </w:rPr>
        <w:t>3、专利权</w:t>
      </w:r>
    </w:p>
    <w:p w14:paraId="1855775F">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中标人应保证采购人使用中标人提供的产品时免受第三方提出侵犯其专利权、商标权或工业设计权的起诉；任何第三方如果提出指控均由中标人负责，包括法律和经济责任。</w:t>
      </w:r>
    </w:p>
    <w:p w14:paraId="325CDA5B">
      <w:pPr>
        <w:pStyle w:val="13"/>
        <w:spacing w:line="360" w:lineRule="auto"/>
        <w:ind w:firstLine="422" w:firstLineChars="200"/>
        <w:rPr>
          <w:rStyle w:val="8"/>
          <w:rFonts w:hint="eastAsia" w:ascii="宋体" w:hAnsi="宋体" w:eastAsia="宋体" w:cs="宋体"/>
          <w:b/>
          <w:bCs w:val="0"/>
          <w:color w:val="000000" w:themeColor="text1"/>
          <w:highlight w:val="none"/>
          <w:lang w:val="en-US" w:eastAsia="zh-CN"/>
          <w14:textFill>
            <w14:solidFill>
              <w14:schemeClr w14:val="tx1"/>
            </w14:solidFill>
          </w14:textFill>
        </w:rPr>
      </w:pPr>
      <w:r>
        <w:rPr>
          <w:rStyle w:val="8"/>
          <w:rFonts w:hint="eastAsia" w:ascii="宋体" w:hAnsi="宋体" w:eastAsia="宋体" w:cs="宋体"/>
          <w:b/>
          <w:bCs w:val="0"/>
          <w:color w:val="000000" w:themeColor="text1"/>
          <w:highlight w:val="none"/>
          <w:lang w:val="en-US" w:eastAsia="zh-CN"/>
          <w14:textFill>
            <w14:solidFill>
              <w14:schemeClr w14:val="tx1"/>
            </w14:solidFill>
          </w14:textFill>
        </w:rPr>
        <w:t>4、包装要求</w:t>
      </w:r>
    </w:p>
    <w:p w14:paraId="3224B6BB">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1）除合同另有规定外，中标人提供的产品均应按标准保护措施进行包装，以确保产品安全无损运抵指定现场。由于包装防护措施不妥而引起的损坏、丢失由中标人负责。包装物不回收，由中标人负责按当地环保要求将所有合同范围的货物包装清理出项目地，费用包含在合同总价中，不另计取。</w:t>
      </w:r>
    </w:p>
    <w:p w14:paraId="2DAABA55">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（2）每一包装箱内应附一份详细装箱单、说明书，每台设备应附完整原厂质量合格证书。随机备品、配件和工具的种类数量按产品所附使用说明书及清单执行。</w:t>
      </w:r>
    </w:p>
    <w:p w14:paraId="5378DD55">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5、投标人提供的设备材料应满足衡阳市中心医院医疗特装建设项目正常运营和维修要求的完整系统。投标人在投标时应结合项目及所提供的系统和设备的特点，提出满足系统正常运行和维修所要求的设备、材料、测试仪器仪表、专用工具及备品备件等，若有遗漏，由投标人自行负责。</w:t>
      </w:r>
    </w:p>
    <w:p w14:paraId="1349A724">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6、投标人应将本供货清单中所有项目纳入报价，如投标人因对本项目的理解错误，造成系统设备需要的配置未纳入投标报价，导致投标人提供的系统设备完整性受到任何影响，都将由投标人承担全部责任，并负责补齐所需的所有设备或配置。</w:t>
      </w:r>
    </w:p>
    <w:p w14:paraId="4CD090A6">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7、清单中所有设备均应包括设备的硬件及其系统软件、驱动程序及相关附件及服务。</w:t>
      </w:r>
    </w:p>
    <w:p w14:paraId="23F71F41">
      <w:pPr>
        <w:pStyle w:val="13"/>
        <w:spacing w:line="360" w:lineRule="auto"/>
        <w:ind w:firstLine="420" w:firstLineChars="200"/>
        <w:rPr>
          <w:rStyle w:val="8"/>
          <w:rFonts w:hint="eastAsia" w:ascii="宋体" w:hAnsi="宋体" w:eastAsia="宋体" w:cs="宋体"/>
          <w:b w:val="0"/>
          <w:bCs/>
          <w:color w:val="000000" w:themeColor="text1"/>
          <w:highlight w:val="none"/>
          <w:lang w:val="en-US" w:eastAsia="zh-CN"/>
          <w14:textFill>
            <w14:solidFill>
              <w14:schemeClr w14:val="tx1"/>
            </w14:solidFill>
          </w14:textFill>
        </w:rPr>
      </w:pPr>
      <w:r>
        <w:rPr>
          <w:rStyle w:val="8"/>
          <w:rFonts w:hint="eastAsia" w:ascii="宋体" w:hAnsi="宋体" w:eastAsia="宋体" w:cs="宋体"/>
          <w:b w:val="0"/>
          <w:bCs/>
          <w:color w:val="000000" w:themeColor="text1"/>
          <w:highlight w:val="none"/>
          <w:lang w:val="en-US" w:eastAsia="zh-CN"/>
          <w14:textFill>
            <w14:solidFill>
              <w14:schemeClr w14:val="tx1"/>
            </w14:solidFill>
          </w14:textFill>
        </w:rPr>
        <w:t>8、在合同执行期内，如采购人需对硬件设备进行调整，投标人应负责对应用软件进行修改，应用软件费用不予调整</w:t>
      </w:r>
    </w:p>
    <w:p w14:paraId="75E87CF7">
      <w:pPr>
        <w:pStyle w:val="12"/>
        <w:rPr>
          <w:rStyle w:val="8"/>
          <w:rFonts w:hint="eastAsia" w:ascii="宋体" w:hAnsi="宋体" w:eastAsia="宋体" w:cs="宋体"/>
          <w:b w:val="0"/>
          <w:bCs/>
          <w:color w:val="000000" w:themeColor="text1"/>
          <w:highlight w:val="none"/>
          <w:lang w:val="en-US" w:eastAsia="zh-CN"/>
          <w14:textFill>
            <w14:solidFill>
              <w14:schemeClr w14:val="tx1"/>
            </w14:solidFill>
          </w14:textFill>
        </w:rPr>
      </w:pPr>
    </w:p>
    <w:p w14:paraId="46F96106">
      <w:pPr>
        <w:pStyle w:val="9"/>
        <w:widowControl/>
        <w:ind w:firstLine="2889" w:firstLineChars="800"/>
        <w:rPr>
          <w:rStyle w:val="8"/>
          <w:rFonts w:ascii="宋体" w:hAnsi="宋体" w:eastAsia="宋体" w:cs="宋体"/>
          <w:b/>
          <w:bCs/>
          <w:color w:val="000000"/>
          <w:spacing w:val="30"/>
          <w:kern w:val="0"/>
          <w:sz w:val="30"/>
          <w:szCs w:val="30"/>
          <w:highlight w:val="none"/>
        </w:rPr>
      </w:pPr>
      <w:r>
        <w:rPr>
          <w:rStyle w:val="8"/>
          <w:rFonts w:ascii="宋体" w:hAnsi="宋体" w:eastAsia="宋体" w:cs="宋体"/>
          <w:b/>
          <w:bCs/>
          <w:color w:val="000000"/>
          <w:spacing w:val="30"/>
          <w:kern w:val="0"/>
          <w:sz w:val="30"/>
          <w:szCs w:val="30"/>
          <w:highlight w:val="none"/>
        </w:rPr>
        <w:t>第二节 商务要求</w:t>
      </w:r>
    </w:p>
    <w:p w14:paraId="3D14F39E">
      <w:pPr>
        <w:pStyle w:val="9"/>
        <w:widowControl/>
        <w:jc w:val="left"/>
        <w:rPr>
          <w:rStyle w:val="8"/>
          <w:rFonts w:ascii="Times New Roman" w:hAnsi="Times New Roman" w:eastAsia="Times New Roman" w:cs="Times New Roman"/>
          <w:color w:val="000000"/>
          <w:kern w:val="0"/>
          <w:sz w:val="24"/>
          <w:szCs w:val="24"/>
          <w:highlight w:val="none"/>
        </w:rPr>
      </w:pPr>
    </w:p>
    <w:p w14:paraId="35F9C886">
      <w:pPr>
        <w:pStyle w:val="9"/>
        <w:widowControl/>
        <w:spacing w:line="360" w:lineRule="auto"/>
        <w:ind w:firstLine="602" w:firstLineChars="200"/>
        <w:rPr>
          <w:rStyle w:val="8"/>
          <w:rFonts w:ascii="Times New Roman" w:hAnsi="Times New Roman" w:eastAsia="Times New Roman" w:cs="Times New Roman"/>
          <w:b/>
          <w:bCs/>
          <w:color w:val="000000"/>
          <w:kern w:val="0"/>
          <w:sz w:val="24"/>
          <w:szCs w:val="24"/>
          <w:highlight w:val="none"/>
        </w:rPr>
      </w:pPr>
      <w:r>
        <w:rPr>
          <w:rStyle w:val="8"/>
          <w:rFonts w:ascii="宋体" w:hAnsi="宋体" w:eastAsia="宋体" w:cs="宋体"/>
          <w:b/>
          <w:bCs/>
          <w:color w:val="000000"/>
          <w:spacing w:val="30"/>
          <w:kern w:val="0"/>
          <w:sz w:val="24"/>
          <w:szCs w:val="24"/>
          <w:highlight w:val="none"/>
        </w:rPr>
        <w:t>一、主要商务要求</w:t>
      </w:r>
    </w:p>
    <w:tbl>
      <w:tblPr>
        <w:tblStyle w:val="6"/>
        <w:tblW w:w="8502"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4254"/>
        <w:gridCol w:w="4248"/>
      </w:tblGrid>
      <w:tr w14:paraId="64109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14:paraId="56DF55E0">
            <w:pPr>
              <w:pStyle w:val="9"/>
              <w:widowControl/>
              <w:jc w:val="center"/>
              <w:rPr>
                <w:rStyle w:val="8"/>
                <w:rFonts w:ascii="Times New Roman" w:hAnsi="Times New Roman" w:eastAsia="Times New Roman" w:cs="Times New Roman"/>
                <w:color w:val="000000"/>
                <w:kern w:val="0"/>
                <w:sz w:val="24"/>
                <w:szCs w:val="24"/>
                <w:highlight w:val="none"/>
              </w:rPr>
            </w:pPr>
            <w:r>
              <w:rPr>
                <w:rStyle w:val="8"/>
                <w:rFonts w:ascii="宋体" w:hAnsi="宋体" w:eastAsia="宋体" w:cs="宋体"/>
                <w:color w:val="000000"/>
                <w:kern w:val="0"/>
                <w:sz w:val="24"/>
                <w:szCs w:val="24"/>
                <w:highlight w:val="none"/>
              </w:rPr>
              <w:t>履行合同的时间、地点及方式</w:t>
            </w:r>
          </w:p>
        </w:tc>
        <w:tc>
          <w:tcPr>
            <w:tcW w:w="4487" w:type="dxa"/>
            <w:noWrap w:val="0"/>
            <w:tcMar>
              <w:top w:w="0" w:type="dxa"/>
              <w:left w:w="108" w:type="dxa"/>
              <w:bottom w:w="0" w:type="dxa"/>
              <w:right w:w="108" w:type="dxa"/>
            </w:tcMar>
            <w:vAlign w:val="center"/>
          </w:tcPr>
          <w:p w14:paraId="29AB8CBF">
            <w:pPr>
              <w:pStyle w:val="3"/>
              <w:spacing w:line="440" w:lineRule="exact"/>
              <w:jc w:val="left"/>
              <w:rPr>
                <w:rStyle w:val="8"/>
                <w:rFonts w:hint="eastAsia" w:ascii="宋体" w:hAnsi="宋体" w:eastAsia="宋体" w:cs="宋体"/>
                <w:color w:val="000000"/>
                <w:sz w:val="21"/>
                <w:szCs w:val="21"/>
                <w:highlight w:val="none"/>
              </w:rPr>
            </w:pPr>
            <w:r>
              <w:rPr>
                <w:rStyle w:val="8"/>
                <w:rFonts w:hint="eastAsia" w:ascii="宋体" w:hAnsi="宋体" w:eastAsia="宋体" w:cs="宋体"/>
                <w:color w:val="000000"/>
                <w:sz w:val="21"/>
                <w:szCs w:val="21"/>
                <w:highlight w:val="none"/>
              </w:rPr>
              <w:t>交货时间：合同签定</w:t>
            </w:r>
            <w:r>
              <w:rPr>
                <w:rStyle w:val="8"/>
                <w:rFonts w:hint="eastAsia" w:ascii="宋体" w:hAnsi="宋体" w:eastAsia="宋体" w:cs="宋体"/>
                <w:color w:val="000000"/>
                <w:sz w:val="21"/>
                <w:szCs w:val="21"/>
                <w:highlight w:val="none"/>
                <w:lang w:val="en-US" w:eastAsia="zh-CN"/>
              </w:rPr>
              <w:t>后接到甲方通知后90</w:t>
            </w:r>
            <w:r>
              <w:rPr>
                <w:rStyle w:val="8"/>
                <w:rFonts w:hint="eastAsia" w:ascii="宋体" w:hAnsi="宋体" w:eastAsia="宋体" w:cs="宋体"/>
                <w:color w:val="000000"/>
                <w:sz w:val="21"/>
                <w:szCs w:val="21"/>
                <w:highlight w:val="none"/>
              </w:rPr>
              <w:t>天</w:t>
            </w:r>
            <w:r>
              <w:rPr>
                <w:rStyle w:val="8"/>
                <w:rFonts w:hint="eastAsia" w:ascii="宋体" w:hAnsi="宋体" w:eastAsia="宋体" w:cs="宋体"/>
                <w:color w:val="000000"/>
                <w:sz w:val="21"/>
                <w:szCs w:val="21"/>
                <w:highlight w:val="none"/>
                <w:lang w:val="en-US" w:eastAsia="zh-CN"/>
              </w:rPr>
              <w:t>内完成供货、安装及后续所有服务，达到验收条件</w:t>
            </w:r>
            <w:r>
              <w:rPr>
                <w:rStyle w:val="8"/>
                <w:rFonts w:hint="eastAsia" w:ascii="宋体" w:hAnsi="宋体" w:eastAsia="宋体" w:cs="宋体"/>
                <w:color w:val="000000"/>
                <w:sz w:val="21"/>
                <w:szCs w:val="21"/>
                <w:highlight w:val="none"/>
              </w:rPr>
              <w:t>。（具体以合同签订为准）。</w:t>
            </w:r>
          </w:p>
          <w:p w14:paraId="0E357F97">
            <w:pPr>
              <w:pStyle w:val="3"/>
              <w:spacing w:line="440" w:lineRule="exact"/>
              <w:jc w:val="left"/>
              <w:rPr>
                <w:rStyle w:val="8"/>
                <w:rFonts w:hint="eastAsia" w:ascii="宋体" w:hAnsi="宋体" w:eastAsia="宋体" w:cs="宋体"/>
                <w:color w:val="000000"/>
                <w:sz w:val="21"/>
                <w:szCs w:val="21"/>
                <w:highlight w:val="none"/>
              </w:rPr>
            </w:pPr>
            <w:r>
              <w:rPr>
                <w:rStyle w:val="8"/>
                <w:rFonts w:hint="eastAsia" w:ascii="宋体" w:hAnsi="宋体" w:eastAsia="宋体" w:cs="宋体"/>
                <w:color w:val="000000"/>
                <w:sz w:val="21"/>
                <w:szCs w:val="21"/>
                <w:highlight w:val="none"/>
              </w:rPr>
              <w:t>交货地点：按采购单位指定地</w:t>
            </w:r>
            <w:r>
              <w:rPr>
                <w:rStyle w:val="8"/>
                <w:rFonts w:hint="eastAsia" w:ascii="宋体" w:hAnsi="宋体" w:eastAsia="宋体" w:cs="宋体"/>
                <w:color w:val="000000"/>
                <w:sz w:val="21"/>
                <w:szCs w:val="21"/>
                <w:highlight w:val="none"/>
                <w:lang w:eastAsia="zh-CN"/>
              </w:rPr>
              <w:t>点</w:t>
            </w:r>
            <w:r>
              <w:rPr>
                <w:rStyle w:val="8"/>
                <w:rFonts w:hint="eastAsia" w:ascii="宋体" w:hAnsi="宋体" w:eastAsia="宋体" w:cs="宋体"/>
                <w:color w:val="000000"/>
                <w:sz w:val="21"/>
                <w:szCs w:val="21"/>
                <w:highlight w:val="none"/>
              </w:rPr>
              <w:t>交货。</w:t>
            </w:r>
          </w:p>
          <w:p w14:paraId="45075A22">
            <w:pPr>
              <w:pStyle w:val="9"/>
              <w:widowControl/>
              <w:jc w:val="both"/>
              <w:rPr>
                <w:rStyle w:val="8"/>
                <w:rFonts w:ascii="Times New Roman" w:hAnsi="Times New Roman" w:eastAsia="Times New Roman" w:cs="Times New Roman"/>
                <w:color w:val="000000"/>
                <w:kern w:val="0"/>
                <w:sz w:val="24"/>
                <w:szCs w:val="24"/>
                <w:highlight w:val="none"/>
              </w:rPr>
            </w:pPr>
            <w:r>
              <w:rPr>
                <w:rStyle w:val="8"/>
                <w:rFonts w:hint="eastAsia" w:ascii="宋体" w:hAnsi="宋体" w:eastAsia="宋体" w:cs="宋体"/>
                <w:color w:val="000000"/>
                <w:sz w:val="21"/>
                <w:szCs w:val="21"/>
                <w:highlight w:val="none"/>
              </w:rPr>
              <w:t>交货方式：现场交货。</w:t>
            </w:r>
          </w:p>
        </w:tc>
      </w:tr>
      <w:tr w14:paraId="36634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14:paraId="67955EE1">
            <w:pPr>
              <w:pStyle w:val="9"/>
              <w:widowControl/>
              <w:jc w:val="center"/>
              <w:rPr>
                <w:rStyle w:val="8"/>
                <w:rFonts w:ascii="Times New Roman" w:hAnsi="Times New Roman" w:eastAsia="Times New Roman" w:cs="Times New Roman"/>
                <w:color w:val="000000"/>
                <w:kern w:val="0"/>
                <w:sz w:val="24"/>
                <w:szCs w:val="24"/>
                <w:highlight w:val="none"/>
              </w:rPr>
            </w:pPr>
            <w:r>
              <w:rPr>
                <w:rStyle w:val="8"/>
                <w:rFonts w:ascii="宋体" w:hAnsi="宋体" w:eastAsia="宋体" w:cs="宋体"/>
                <w:color w:val="000000"/>
                <w:kern w:val="0"/>
                <w:sz w:val="24"/>
                <w:szCs w:val="24"/>
                <w:highlight w:val="none"/>
              </w:rPr>
              <w:t>质量保证期</w:t>
            </w:r>
          </w:p>
        </w:tc>
        <w:tc>
          <w:tcPr>
            <w:tcW w:w="4487" w:type="dxa"/>
            <w:noWrap w:val="0"/>
            <w:tcMar>
              <w:top w:w="0" w:type="dxa"/>
              <w:left w:w="108" w:type="dxa"/>
              <w:bottom w:w="0" w:type="dxa"/>
              <w:right w:w="108" w:type="dxa"/>
            </w:tcMar>
            <w:vAlign w:val="center"/>
          </w:tcPr>
          <w:p w14:paraId="16114D8B">
            <w:pPr>
              <w:pStyle w:val="9"/>
              <w:widowControl/>
              <w:jc w:val="center"/>
              <w:rPr>
                <w:rStyle w:val="8"/>
                <w:rFonts w:ascii="Times New Roman" w:hAnsi="Times New Roman" w:eastAsia="Times New Roman" w:cs="Times New Roman"/>
                <w:color w:val="000000"/>
                <w:kern w:val="0"/>
                <w:sz w:val="24"/>
                <w:szCs w:val="24"/>
                <w:highlight w:val="none"/>
              </w:rPr>
            </w:pPr>
            <w:r>
              <w:rPr>
                <w:rStyle w:val="8"/>
                <w:rFonts w:hint="eastAsia" w:ascii="宋体" w:hAnsi="宋体" w:eastAsia="宋体" w:cs="宋体"/>
                <w:b w:val="0"/>
                <w:bCs w:val="0"/>
                <w:color w:val="000000"/>
                <w:sz w:val="21"/>
                <w:szCs w:val="21"/>
                <w:highlight w:val="none"/>
                <w:lang w:val="en-US" w:eastAsia="zh-CN"/>
              </w:rPr>
              <w:t>质保期为2年</w:t>
            </w:r>
          </w:p>
        </w:tc>
      </w:tr>
      <w:tr w14:paraId="5FC76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14:paraId="61F3FA92">
            <w:pPr>
              <w:pStyle w:val="9"/>
              <w:widowControl/>
              <w:jc w:val="center"/>
              <w:rPr>
                <w:rStyle w:val="8"/>
                <w:rFonts w:ascii="Times New Roman" w:hAnsi="Times New Roman" w:eastAsia="Times New Roman" w:cs="Times New Roman"/>
                <w:color w:val="000000"/>
                <w:kern w:val="0"/>
                <w:sz w:val="24"/>
                <w:szCs w:val="24"/>
                <w:highlight w:val="none"/>
              </w:rPr>
            </w:pPr>
            <w:r>
              <w:rPr>
                <w:rStyle w:val="8"/>
                <w:rFonts w:ascii="宋体" w:hAnsi="宋体" w:eastAsia="宋体" w:cs="宋体"/>
                <w:color w:val="000000"/>
                <w:kern w:val="0"/>
                <w:sz w:val="24"/>
                <w:szCs w:val="24"/>
                <w:highlight w:val="none"/>
              </w:rPr>
              <w:t>响应时间</w:t>
            </w:r>
          </w:p>
        </w:tc>
        <w:tc>
          <w:tcPr>
            <w:tcW w:w="4487" w:type="dxa"/>
            <w:noWrap w:val="0"/>
            <w:tcMar>
              <w:top w:w="0" w:type="dxa"/>
              <w:left w:w="108" w:type="dxa"/>
              <w:bottom w:w="0" w:type="dxa"/>
              <w:right w:w="108" w:type="dxa"/>
            </w:tcMar>
            <w:vAlign w:val="center"/>
          </w:tcPr>
          <w:p w14:paraId="2F3084E2">
            <w:pPr>
              <w:pStyle w:val="9"/>
              <w:widowControl/>
              <w:jc w:val="center"/>
              <w:rPr>
                <w:rStyle w:val="8"/>
                <w:rFonts w:ascii="Times New Roman" w:hAnsi="Times New Roman" w:eastAsia="Times New Roman" w:cs="Times New Roman"/>
                <w:color w:val="000000"/>
                <w:kern w:val="0"/>
                <w:sz w:val="24"/>
                <w:szCs w:val="24"/>
                <w:highlight w:val="none"/>
              </w:rPr>
            </w:pPr>
            <w:r>
              <w:rPr>
                <w:rStyle w:val="8"/>
                <w:rFonts w:hint="default" w:ascii="宋体" w:hAnsi="宋体" w:eastAsia="宋体" w:cs="宋体"/>
                <w:color w:val="000000"/>
                <w:kern w:val="2"/>
                <w:sz w:val="21"/>
                <w:szCs w:val="22"/>
                <w:highlight w:val="none"/>
                <w:lang w:val="en-US" w:eastAsia="zh-CN" w:bidi="ar-SA"/>
              </w:rPr>
              <w:t>乙方按照维护计划定期或不定期提供系统维护，提供每周7×24小时的技术咨询服务，在接到通知后5分钟内响应，8小时内派项目技术人员到达现场维修，紧急情况应1小时内达到现场维修。提供每周7×24小时的故障服务受理，24小时內排除故障。遇到重大故障，提供7×24小时的现场支援，一般故障提供7×8小时的现场支援。乙方技术服务团队分层级管理，确保设备设施高效正常，若超过24小时内未能解决问题，应及时申请上级支持、委派专家现场指导。</w:t>
            </w:r>
          </w:p>
        </w:tc>
      </w:tr>
      <w:tr w14:paraId="58FB8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14:paraId="181D4DEA">
            <w:pPr>
              <w:pStyle w:val="9"/>
              <w:widowControl/>
              <w:jc w:val="center"/>
              <w:rPr>
                <w:rStyle w:val="8"/>
                <w:rFonts w:ascii="Times New Roman" w:hAnsi="Times New Roman" w:eastAsia="Times New Roman" w:cs="Times New Roman"/>
                <w:color w:val="000000"/>
                <w:kern w:val="0"/>
                <w:sz w:val="24"/>
                <w:szCs w:val="24"/>
                <w:highlight w:val="none"/>
              </w:rPr>
            </w:pPr>
            <w:r>
              <w:rPr>
                <w:rStyle w:val="8"/>
                <w:rFonts w:ascii="宋体" w:hAnsi="宋体" w:eastAsia="宋体" w:cs="宋体"/>
                <w:color w:val="000000"/>
                <w:kern w:val="0"/>
                <w:sz w:val="24"/>
                <w:szCs w:val="24"/>
                <w:highlight w:val="none"/>
              </w:rPr>
              <w:t>合同价款支付方式和条件</w:t>
            </w:r>
          </w:p>
        </w:tc>
        <w:tc>
          <w:tcPr>
            <w:tcW w:w="4487" w:type="dxa"/>
            <w:noWrap w:val="0"/>
            <w:tcMar>
              <w:top w:w="0" w:type="dxa"/>
              <w:left w:w="108" w:type="dxa"/>
              <w:bottom w:w="0" w:type="dxa"/>
              <w:right w:w="108" w:type="dxa"/>
            </w:tcMar>
            <w:vAlign w:val="center"/>
          </w:tcPr>
          <w:p w14:paraId="7F2C8CE4">
            <w:pPr>
              <w:pStyle w:val="2"/>
              <w:spacing w:line="440" w:lineRule="exact"/>
              <w:jc w:val="both"/>
              <w:rPr>
                <w:rStyle w:val="8"/>
                <w:rFonts w:hint="eastAsia" w:hAnsi="宋体" w:eastAsia="宋体" w:cs="宋体"/>
                <w:color w:val="000000"/>
                <w:sz w:val="21"/>
                <w:szCs w:val="21"/>
                <w:highlight w:val="none"/>
                <w:lang w:val="en-US" w:eastAsia="zh-CN"/>
              </w:rPr>
            </w:pPr>
            <w:r>
              <w:rPr>
                <w:rStyle w:val="8"/>
                <w:rFonts w:hint="eastAsia" w:hAnsi="宋体" w:eastAsia="宋体" w:cs="宋体"/>
                <w:color w:val="000000"/>
                <w:sz w:val="21"/>
                <w:szCs w:val="21"/>
                <w:highlight w:val="none"/>
                <w:lang w:val="en-US" w:eastAsia="zh-CN"/>
              </w:rPr>
              <w:t>支付人：衡阳市中心医院</w:t>
            </w:r>
          </w:p>
          <w:p w14:paraId="3886EB9F">
            <w:pPr>
              <w:pStyle w:val="9"/>
              <w:widowControl/>
              <w:jc w:val="center"/>
              <w:rPr>
                <w:rStyle w:val="8"/>
                <w:rFonts w:ascii="Times New Roman" w:hAnsi="Times New Roman" w:eastAsia="Times New Roman" w:cs="Times New Roman"/>
                <w:color w:val="000000"/>
                <w:kern w:val="0"/>
                <w:sz w:val="24"/>
                <w:szCs w:val="24"/>
                <w:highlight w:val="none"/>
              </w:rPr>
            </w:pPr>
            <w:r>
              <w:rPr>
                <w:rStyle w:val="8"/>
                <w:rFonts w:hint="eastAsia" w:ascii="Calibri" w:hAnsi="宋体" w:eastAsia="宋体" w:cs="宋体"/>
                <w:color w:val="000000"/>
                <w:sz w:val="21"/>
                <w:szCs w:val="21"/>
                <w:highlight w:val="none"/>
                <w:lang w:val="en-US" w:eastAsia="zh-CN"/>
              </w:rPr>
              <w:t>支付方式：</w:t>
            </w:r>
            <w:r>
              <w:rPr>
                <w:rStyle w:val="8"/>
                <w:rFonts w:hint="eastAsia" w:ascii="宋体" w:hAnsi="宋体" w:eastAsia="宋体" w:cs="宋体"/>
                <w:b w:val="0"/>
                <w:bCs w:val="0"/>
                <w:color w:val="000000"/>
                <w:kern w:val="2"/>
                <w:sz w:val="21"/>
                <w:szCs w:val="21"/>
                <w:highlight w:val="none"/>
                <w:lang w:val="en-US" w:eastAsia="zh-CN" w:bidi="ar-SA"/>
              </w:rPr>
              <w:t>本项目按实结算，合同签订后采购人支付合同价款的20%的预付款（中标人须在合同签订后向采购人提交预付款同等金额的不可撤销银行履约保函，保函的担保期限不少于90天，若因项目延期，乙方无条件进行续保；未按要求提供履约担保，甲方可以解除合同）；后续交货过程中，根据交货进度按月进行支付，每月支付金额为已完成的经审核后货款的70%；验收合格后支付至合同总价款的80%；结算经财政评审后支付至评审价的97%；剩余3%质保期满后无息支付。以上付款均须经采购人确认后开具经采购人财务部门认可的合法有效增值税发票。</w:t>
            </w:r>
          </w:p>
        </w:tc>
      </w:tr>
      <w:tr w14:paraId="44BE9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4497" w:type="dxa"/>
            <w:noWrap w:val="0"/>
            <w:tcMar>
              <w:top w:w="0" w:type="dxa"/>
              <w:left w:w="108" w:type="dxa"/>
              <w:bottom w:w="0" w:type="dxa"/>
              <w:right w:w="108" w:type="dxa"/>
            </w:tcMar>
            <w:vAlign w:val="center"/>
          </w:tcPr>
          <w:p w14:paraId="542FCA85">
            <w:pPr>
              <w:pStyle w:val="9"/>
              <w:widowControl/>
              <w:spacing w:before="210" w:after="210" w:line="360" w:lineRule="auto"/>
              <w:jc w:val="center"/>
              <w:rPr>
                <w:rStyle w:val="8"/>
                <w:rFonts w:ascii="宋体" w:hAnsi="宋体" w:eastAsia="宋体" w:cs="宋体"/>
                <w:color w:val="000000"/>
                <w:kern w:val="0"/>
                <w:sz w:val="24"/>
                <w:szCs w:val="24"/>
                <w:highlight w:val="none"/>
              </w:rPr>
            </w:pPr>
            <w:r>
              <w:rPr>
                <w:rStyle w:val="8"/>
                <w:rFonts w:hint="eastAsia" w:ascii="宋体" w:hAnsi="宋体" w:eastAsia="宋体" w:cs="宋体"/>
                <w:color w:val="000000"/>
                <w:spacing w:val="30"/>
                <w:kern w:val="0"/>
                <w:sz w:val="24"/>
                <w:szCs w:val="24"/>
                <w:highlight w:val="none"/>
              </w:rPr>
              <w:t>解决争议的方式</w:t>
            </w:r>
          </w:p>
        </w:tc>
        <w:tc>
          <w:tcPr>
            <w:tcW w:w="4487" w:type="dxa"/>
            <w:noWrap w:val="0"/>
            <w:tcMar>
              <w:top w:w="0" w:type="dxa"/>
              <w:left w:w="108" w:type="dxa"/>
              <w:bottom w:w="0" w:type="dxa"/>
              <w:right w:w="108" w:type="dxa"/>
            </w:tcMar>
            <w:vAlign w:val="center"/>
          </w:tcPr>
          <w:p w14:paraId="2C7C7035">
            <w:pPr>
              <w:pStyle w:val="9"/>
              <w:widowControl/>
              <w:spacing w:before="210" w:after="210" w:line="360" w:lineRule="auto"/>
              <w:jc w:val="left"/>
              <w:rPr>
                <w:rStyle w:val="8"/>
                <w:rFonts w:ascii="Times New Roman" w:hAnsi="Times New Roman" w:eastAsia="Times New Roman" w:cs="Times New Roman"/>
                <w:color w:val="000000"/>
                <w:kern w:val="0"/>
                <w:sz w:val="24"/>
                <w:szCs w:val="24"/>
                <w:highlight w:val="none"/>
              </w:rPr>
            </w:pPr>
            <w:r>
              <w:rPr>
                <w:rStyle w:val="8"/>
                <w:rFonts w:hint="eastAsia" w:ascii="宋体" w:hAnsi="宋体" w:eastAsia="宋体" w:cs="宋体"/>
                <w:bCs/>
                <w:color w:val="000000"/>
                <w:kern w:val="0"/>
                <w:sz w:val="24"/>
                <w:szCs w:val="24"/>
                <w:highlight w:val="none"/>
              </w:rPr>
              <w:t>□</w:t>
            </w:r>
            <w:r>
              <w:rPr>
                <w:rStyle w:val="8"/>
                <w:rFonts w:hint="eastAsia" w:ascii="宋体" w:hAnsi="宋体" w:eastAsia="宋体" w:cs="宋体"/>
                <w:color w:val="000000"/>
                <w:sz w:val="24"/>
                <w:szCs w:val="24"/>
                <w:highlight w:val="none"/>
              </w:rPr>
              <w:t xml:space="preserve">仲裁  </w:t>
            </w:r>
            <w:r>
              <w:rPr>
                <w:rStyle w:val="8"/>
                <w:rFonts w:hint="eastAsia" w:ascii="宋体" w:hAnsi="宋体" w:eastAsia="宋体" w:cs="宋体"/>
                <w:bCs/>
                <w:color w:val="000000"/>
                <w:kern w:val="0"/>
                <w:sz w:val="24"/>
                <w:szCs w:val="24"/>
                <w:highlight w:val="none"/>
                <w:lang w:eastAsia="zh-CN"/>
              </w:rPr>
              <w:t>☑</w:t>
            </w:r>
            <w:r>
              <w:rPr>
                <w:rStyle w:val="8"/>
                <w:rFonts w:hint="eastAsia" w:ascii="宋体" w:hAnsi="宋体" w:eastAsia="宋体" w:cs="宋体"/>
                <w:color w:val="000000"/>
                <w:sz w:val="24"/>
                <w:szCs w:val="24"/>
                <w:highlight w:val="none"/>
              </w:rPr>
              <w:t>诉讼</w:t>
            </w:r>
          </w:p>
        </w:tc>
      </w:tr>
    </w:tbl>
    <w:p w14:paraId="062D176B">
      <w:pPr>
        <w:pStyle w:val="9"/>
        <w:widowControl/>
        <w:spacing w:line="360" w:lineRule="auto"/>
        <w:ind w:firstLine="600" w:firstLineChars="200"/>
        <w:jc w:val="left"/>
        <w:rPr>
          <w:rStyle w:val="8"/>
          <w:rFonts w:ascii="宋体" w:hAnsi="宋体" w:eastAsia="宋体" w:cs="宋体"/>
          <w:color w:val="000000"/>
          <w:spacing w:val="30"/>
          <w:kern w:val="0"/>
          <w:sz w:val="24"/>
          <w:szCs w:val="24"/>
          <w:highlight w:val="none"/>
        </w:rPr>
      </w:pPr>
    </w:p>
    <w:p w14:paraId="6CDFCD7E">
      <w:pPr>
        <w:pStyle w:val="9"/>
        <w:widowControl/>
        <w:spacing w:line="360" w:lineRule="auto"/>
        <w:ind w:firstLine="602" w:firstLineChars="200"/>
        <w:rPr>
          <w:rStyle w:val="8"/>
          <w:rFonts w:ascii="宋体" w:hAnsi="宋体" w:eastAsia="宋体" w:cs="宋体"/>
          <w:b/>
          <w:bCs/>
          <w:color w:val="000000"/>
          <w:spacing w:val="30"/>
          <w:kern w:val="0"/>
          <w:sz w:val="24"/>
          <w:szCs w:val="24"/>
          <w:highlight w:val="none"/>
        </w:rPr>
      </w:pPr>
    </w:p>
    <w:p w14:paraId="32FA349B">
      <w:pPr>
        <w:pStyle w:val="9"/>
        <w:widowControl/>
        <w:numPr>
          <w:ilvl w:val="0"/>
          <w:numId w:val="3"/>
        </w:numPr>
        <w:spacing w:line="360" w:lineRule="auto"/>
        <w:ind w:left="0" w:leftChars="0" w:firstLine="0" w:firstLineChars="0"/>
        <w:rPr>
          <w:rStyle w:val="8"/>
          <w:rFonts w:hint="eastAsia" w:ascii="Times New Roman" w:hAnsi="宋体" w:eastAsia="宋体" w:cs="宋体"/>
          <w:b/>
          <w:bCs/>
          <w:color w:val="000000"/>
          <w:sz w:val="24"/>
          <w:szCs w:val="24"/>
          <w:highlight w:val="none"/>
          <w:lang w:eastAsia="zh-CN"/>
        </w:rPr>
      </w:pPr>
      <w:r>
        <w:rPr>
          <w:rStyle w:val="8"/>
          <w:rFonts w:hint="eastAsia" w:ascii="Times New Roman" w:hAnsi="宋体" w:eastAsia="宋体" w:cs="宋体"/>
          <w:b/>
          <w:bCs/>
          <w:color w:val="000000"/>
          <w:sz w:val="24"/>
          <w:szCs w:val="24"/>
          <w:highlight w:val="none"/>
          <w:lang w:eastAsia="zh-CN"/>
        </w:rPr>
        <w:t>项目建设要求</w:t>
      </w:r>
    </w:p>
    <w:p w14:paraId="1980B33F">
      <w:pPr>
        <w:pStyle w:val="2"/>
        <w:spacing w:line="440" w:lineRule="exact"/>
        <w:ind w:firstLine="420" w:firstLineChars="200"/>
        <w:rPr>
          <w:rStyle w:val="8"/>
          <w:rFonts w:hint="eastAsia" w:ascii="宋体" w:hAnsi="宋体" w:eastAsia="宋体" w:cs="宋体"/>
          <w:color w:val="000000"/>
          <w:sz w:val="21"/>
          <w:szCs w:val="21"/>
          <w:highlight w:val="none"/>
          <w:lang w:val="en-US" w:eastAsia="zh-CN"/>
        </w:rPr>
      </w:pPr>
      <w:r>
        <w:rPr>
          <w:rStyle w:val="8"/>
          <w:rFonts w:hint="eastAsia" w:hAnsi="宋体" w:eastAsia="宋体" w:cs="宋体"/>
          <w:color w:val="000000"/>
          <w:sz w:val="21"/>
          <w:szCs w:val="21"/>
          <w:highlight w:val="none"/>
          <w:lang w:val="en-US" w:eastAsia="zh-CN"/>
        </w:rPr>
        <w:t>1</w:t>
      </w:r>
      <w:r>
        <w:rPr>
          <w:rStyle w:val="8"/>
          <w:rFonts w:hint="eastAsia" w:ascii="宋体" w:hAnsi="宋体" w:eastAsia="宋体" w:cs="宋体"/>
          <w:color w:val="000000"/>
          <w:sz w:val="21"/>
          <w:szCs w:val="21"/>
          <w:highlight w:val="none"/>
          <w:lang w:val="en-US" w:eastAsia="zh-CN"/>
        </w:rPr>
        <w:t>、供货要求：中标人应认真履行合同规定的各项条款，中标人要保质保量及时足量供货，并向采购人提供收款凭证和发货验收凭证。在履行采购合同过程中，若发现中标人所供货物不符合合同约定，以次充好，以假乱真，产品质量不合格等情况，采购人有权解除合同，取消该中标人的中标资格，将依法追</w:t>
      </w:r>
      <w:r>
        <w:rPr>
          <w:rStyle w:val="8"/>
          <w:rFonts w:hint="eastAsia" w:hAnsi="宋体" w:eastAsia="宋体" w:cs="宋体"/>
          <w:color w:val="000000"/>
          <w:sz w:val="21"/>
          <w:szCs w:val="21"/>
          <w:highlight w:val="none"/>
          <w:lang w:val="en-US" w:eastAsia="zh-CN"/>
        </w:rPr>
        <w:t>究</w:t>
      </w:r>
      <w:r>
        <w:rPr>
          <w:rStyle w:val="8"/>
          <w:rFonts w:hint="eastAsia" w:ascii="宋体" w:hAnsi="宋体" w:eastAsia="宋体" w:cs="宋体"/>
          <w:color w:val="000000"/>
          <w:sz w:val="21"/>
          <w:szCs w:val="21"/>
          <w:highlight w:val="none"/>
          <w:lang w:val="en-US" w:eastAsia="zh-CN"/>
        </w:rPr>
        <w:t>其法律责任，并进行处罚。</w:t>
      </w:r>
    </w:p>
    <w:p w14:paraId="1C3EDB21">
      <w:pPr>
        <w:pStyle w:val="2"/>
        <w:spacing w:line="440" w:lineRule="exact"/>
        <w:ind w:firstLine="420" w:firstLineChars="200"/>
        <w:rPr>
          <w:rStyle w:val="8"/>
          <w:rFonts w:hint="eastAsia" w:ascii="Times New Roman" w:hAnsi="宋体" w:eastAsia="宋体" w:cs="宋体"/>
          <w:b/>
          <w:bCs/>
          <w:color w:val="000000"/>
          <w:sz w:val="24"/>
          <w:szCs w:val="24"/>
          <w:highlight w:val="none"/>
        </w:rPr>
      </w:pPr>
      <w:r>
        <w:rPr>
          <w:rStyle w:val="8"/>
          <w:rFonts w:hint="eastAsia" w:hAnsi="宋体" w:eastAsia="宋体" w:cs="宋体"/>
          <w:color w:val="000000"/>
          <w:sz w:val="21"/>
          <w:szCs w:val="21"/>
          <w:highlight w:val="none"/>
          <w:lang w:val="en-US" w:eastAsia="zh-CN"/>
        </w:rPr>
        <w:t>2</w:t>
      </w:r>
      <w:r>
        <w:rPr>
          <w:rStyle w:val="8"/>
          <w:rFonts w:hint="eastAsia" w:ascii="宋体" w:hAnsi="宋体" w:eastAsia="宋体" w:cs="宋体"/>
          <w:color w:val="000000"/>
          <w:sz w:val="21"/>
          <w:szCs w:val="21"/>
          <w:highlight w:val="none"/>
          <w:lang w:val="en-US" w:eastAsia="zh-CN"/>
        </w:rPr>
        <w:t>、</w:t>
      </w:r>
      <w:r>
        <w:rPr>
          <w:rStyle w:val="8"/>
          <w:rFonts w:hint="eastAsia" w:ascii="宋体" w:hAnsi="宋体" w:eastAsia="宋体" w:cs="宋体"/>
          <w:b/>
          <w:bCs/>
          <w:color w:val="000000"/>
          <w:kern w:val="2"/>
          <w:sz w:val="21"/>
          <w:szCs w:val="21"/>
          <w:highlight w:val="none"/>
          <w:lang w:val="en-US" w:eastAsia="zh-CN" w:bidi="ar-SA"/>
        </w:rPr>
        <w:t>质保期2年，</w:t>
      </w:r>
      <w:r>
        <w:rPr>
          <w:rStyle w:val="8"/>
          <w:rFonts w:hint="eastAsia" w:ascii="宋体" w:hAnsi="宋体" w:eastAsia="宋体" w:cs="宋体"/>
          <w:color w:val="000000"/>
          <w:kern w:val="2"/>
          <w:sz w:val="21"/>
          <w:szCs w:val="21"/>
          <w:highlight w:val="none"/>
        </w:rPr>
        <w:t>从验收合格之日开始计算，质保期内出现任何质量问题（人为破坏或自然灾害等不可抗力除外），要求</w:t>
      </w:r>
      <w:r>
        <w:rPr>
          <w:rStyle w:val="8"/>
          <w:rFonts w:hint="eastAsia" w:ascii="宋体" w:hAnsi="宋体" w:eastAsia="宋体" w:cs="宋体"/>
          <w:color w:val="000000"/>
          <w:kern w:val="2"/>
          <w:sz w:val="21"/>
          <w:szCs w:val="21"/>
          <w:highlight w:val="none"/>
          <w:lang w:val="en-US" w:eastAsia="zh-CN"/>
        </w:rPr>
        <w:t>中标人负责</w:t>
      </w:r>
      <w:r>
        <w:rPr>
          <w:rStyle w:val="8"/>
          <w:rFonts w:hint="eastAsia" w:ascii="宋体" w:hAnsi="宋体" w:eastAsia="宋体" w:cs="宋体"/>
          <w:color w:val="000000"/>
          <w:kern w:val="2"/>
          <w:sz w:val="21"/>
          <w:szCs w:val="21"/>
          <w:highlight w:val="none"/>
        </w:rPr>
        <w:t>（全部工时费、材料费、管理费、财务费等）更换或维修</w:t>
      </w:r>
      <w:r>
        <w:rPr>
          <w:rStyle w:val="8"/>
          <w:rFonts w:hint="eastAsia" w:ascii="宋体" w:hAnsi="宋体" w:eastAsia="宋体" w:cs="宋体"/>
          <w:color w:val="000000"/>
          <w:sz w:val="21"/>
          <w:szCs w:val="21"/>
          <w:highlight w:val="none"/>
          <w:lang w:val="en-US" w:eastAsia="zh-CN"/>
        </w:rPr>
        <w:t>。</w:t>
      </w:r>
    </w:p>
    <w:p w14:paraId="54E44C6C">
      <w:pPr>
        <w:pStyle w:val="9"/>
        <w:widowControl/>
        <w:spacing w:line="360" w:lineRule="auto"/>
        <w:rPr>
          <w:rStyle w:val="8"/>
          <w:rFonts w:ascii="宋体" w:hAnsi="宋体" w:eastAsia="宋体" w:cs="宋体"/>
          <w:b/>
          <w:bCs/>
          <w:color w:val="000000"/>
          <w:spacing w:val="30"/>
          <w:kern w:val="0"/>
          <w:sz w:val="24"/>
          <w:szCs w:val="24"/>
          <w:highlight w:val="none"/>
        </w:rPr>
      </w:pPr>
      <w:r>
        <w:rPr>
          <w:rStyle w:val="8"/>
          <w:rFonts w:ascii="宋体" w:hAnsi="宋体" w:eastAsia="宋体" w:cs="宋体"/>
          <w:b/>
          <w:bCs/>
          <w:color w:val="000000"/>
          <w:spacing w:val="30"/>
          <w:kern w:val="0"/>
          <w:sz w:val="24"/>
          <w:szCs w:val="24"/>
          <w:highlight w:val="none"/>
        </w:rPr>
        <w:t>三、其他要求</w:t>
      </w:r>
    </w:p>
    <w:p w14:paraId="752B5D70">
      <w:pPr>
        <w:pStyle w:val="2"/>
        <w:spacing w:line="360" w:lineRule="auto"/>
        <w:ind w:firstLine="420" w:firstLineChars="200"/>
        <w:rPr>
          <w:rStyle w:val="8"/>
          <w:rFonts w:hint="eastAsia" w:ascii="宋体" w:hAnsi="宋体" w:eastAsia="宋体" w:cs="宋体"/>
          <w:color w:val="000000"/>
          <w:sz w:val="21"/>
          <w:szCs w:val="21"/>
          <w:highlight w:val="none"/>
        </w:rPr>
      </w:pPr>
      <w:r>
        <w:rPr>
          <w:rStyle w:val="8"/>
          <w:rFonts w:hint="eastAsia" w:ascii="宋体" w:hAnsi="宋体" w:eastAsia="宋体" w:cs="宋体"/>
          <w:color w:val="000000"/>
          <w:sz w:val="21"/>
          <w:szCs w:val="21"/>
          <w:highlight w:val="none"/>
        </w:rPr>
        <w:t>1、本项目采用费用包干方式供货，投标人应根据项目要求和现场情况，详细列明项目所需苗木应包含的所有费用（含供应、运输、装卸至</w:t>
      </w:r>
      <w:r>
        <w:rPr>
          <w:rStyle w:val="8"/>
          <w:rFonts w:hint="eastAsia" w:ascii="宋体" w:hAnsi="宋体" w:eastAsia="宋体" w:cs="宋体"/>
          <w:color w:val="000000"/>
          <w:sz w:val="21"/>
          <w:szCs w:val="21"/>
          <w:highlight w:val="none"/>
          <w:lang w:eastAsia="zh-CN"/>
        </w:rPr>
        <w:t>采购人</w:t>
      </w:r>
      <w:r>
        <w:rPr>
          <w:rStyle w:val="8"/>
          <w:rFonts w:hint="eastAsia" w:ascii="宋体" w:hAnsi="宋体" w:eastAsia="宋体" w:cs="宋体"/>
          <w:color w:val="000000"/>
          <w:sz w:val="21"/>
          <w:szCs w:val="21"/>
          <w:highlight w:val="none"/>
        </w:rPr>
        <w:t>指定地点等所有涉及的人工、材料、机械、措施费、管理费、利润、税金、风险等一切的相关费用）,如一旦中标，在项目实施中出现任何遗漏，均由中标人</w:t>
      </w:r>
      <w:r>
        <w:rPr>
          <w:rStyle w:val="8"/>
          <w:rFonts w:hint="eastAsia" w:ascii="宋体" w:hAnsi="宋体" w:eastAsia="宋体" w:cs="宋体"/>
          <w:color w:val="000000"/>
          <w:sz w:val="21"/>
          <w:szCs w:val="21"/>
          <w:highlight w:val="none"/>
          <w:lang w:eastAsia="zh-CN"/>
        </w:rPr>
        <w:t>自行承担</w:t>
      </w:r>
      <w:r>
        <w:rPr>
          <w:rStyle w:val="8"/>
          <w:rFonts w:hint="eastAsia" w:ascii="宋体" w:hAnsi="宋体" w:eastAsia="宋体" w:cs="宋体"/>
          <w:color w:val="000000"/>
          <w:sz w:val="21"/>
          <w:szCs w:val="21"/>
          <w:highlight w:val="none"/>
        </w:rPr>
        <w:t>，采购人不再支付</w:t>
      </w:r>
      <w:r>
        <w:rPr>
          <w:rStyle w:val="8"/>
          <w:rFonts w:hint="eastAsia" w:ascii="宋体" w:hAnsi="宋体" w:eastAsia="宋体" w:cs="宋体"/>
          <w:color w:val="000000"/>
          <w:sz w:val="21"/>
          <w:szCs w:val="21"/>
          <w:highlight w:val="none"/>
          <w:lang w:eastAsia="zh-CN"/>
        </w:rPr>
        <w:t>其他</w:t>
      </w:r>
      <w:r>
        <w:rPr>
          <w:rStyle w:val="8"/>
          <w:rFonts w:hint="eastAsia" w:ascii="宋体" w:hAnsi="宋体" w:eastAsia="宋体" w:cs="宋体"/>
          <w:color w:val="000000"/>
          <w:sz w:val="21"/>
          <w:szCs w:val="21"/>
          <w:highlight w:val="none"/>
        </w:rPr>
        <w:t>任何费用。</w:t>
      </w:r>
    </w:p>
    <w:p w14:paraId="68FEA938">
      <w:pPr>
        <w:pStyle w:val="14"/>
        <w:spacing w:line="360" w:lineRule="auto"/>
        <w:ind w:firstLine="422" w:firstLineChars="200"/>
        <w:rPr>
          <w:rStyle w:val="8"/>
          <w:rFonts w:hint="eastAsia" w:ascii="宋体" w:hAnsi="宋体" w:eastAsia="宋体" w:cs="宋体"/>
          <w:b/>
          <w:bCs/>
          <w:color w:val="000000"/>
          <w:kern w:val="2"/>
          <w:sz w:val="21"/>
          <w:szCs w:val="21"/>
          <w:highlight w:val="none"/>
          <w:lang w:val="en-US" w:eastAsia="zh-CN" w:bidi="ar-SA"/>
        </w:rPr>
      </w:pPr>
      <w:r>
        <w:rPr>
          <w:rStyle w:val="8"/>
          <w:rFonts w:hint="eastAsia" w:ascii="宋体" w:hAnsi="宋体" w:eastAsia="宋体" w:cs="宋体"/>
          <w:b/>
          <w:bCs/>
          <w:color w:val="000000"/>
          <w:kern w:val="2"/>
          <w:sz w:val="21"/>
          <w:szCs w:val="21"/>
          <w:highlight w:val="none"/>
          <w:lang w:val="en-US" w:eastAsia="zh-CN" w:bidi="ar-SA"/>
        </w:rPr>
        <w:t>★2.本项目招标上限值计取不可预见费340000元(含税)，为不可竞争性费用，投标报价须响应。</w:t>
      </w:r>
    </w:p>
    <w:p w14:paraId="77E7FF8F">
      <w:pPr>
        <w:pStyle w:val="2"/>
        <w:spacing w:line="360" w:lineRule="auto"/>
        <w:ind w:firstLine="422" w:firstLineChars="200"/>
        <w:rPr>
          <w:rStyle w:val="8"/>
          <w:rFonts w:hint="eastAsia" w:ascii="宋体" w:hAnsi="宋体" w:eastAsia="宋体" w:cs="宋体"/>
          <w:b/>
          <w:bCs/>
          <w:color w:val="000000"/>
          <w:kern w:val="2"/>
          <w:sz w:val="21"/>
          <w:szCs w:val="21"/>
          <w:highlight w:val="none"/>
          <w:lang w:val="en-US" w:eastAsia="zh-CN" w:bidi="ar-SA"/>
        </w:rPr>
      </w:pPr>
      <w:r>
        <w:rPr>
          <w:rStyle w:val="8"/>
          <w:rFonts w:hint="eastAsia" w:ascii="宋体" w:hAnsi="宋体" w:eastAsia="宋体" w:cs="宋体"/>
          <w:b/>
          <w:bCs/>
          <w:color w:val="000000"/>
          <w:kern w:val="2"/>
          <w:sz w:val="21"/>
          <w:szCs w:val="21"/>
          <w:highlight w:val="none"/>
          <w:lang w:val="en-US" w:eastAsia="zh-CN" w:bidi="ar-SA"/>
        </w:rPr>
        <w:t>★3.安全责任险和环境保护税按照湘建价(2022)146号文件计算，暂计40592元(含税)，为不可竞争性费用，投标报价须响应，结算时根据实际缴纳有效票证调整。</w:t>
      </w:r>
    </w:p>
    <w:p w14:paraId="42AB5D35">
      <w:pPr>
        <w:pStyle w:val="2"/>
        <w:spacing w:line="360" w:lineRule="auto"/>
        <w:ind w:firstLine="420" w:firstLineChars="200"/>
        <w:rPr>
          <w:rStyle w:val="8"/>
          <w:rFonts w:hint="eastAsia" w:ascii="宋体" w:hAnsi="宋体" w:eastAsia="宋体" w:cs="宋体"/>
          <w:color w:val="000000"/>
          <w:sz w:val="21"/>
          <w:szCs w:val="21"/>
          <w:highlight w:val="none"/>
          <w:lang w:val="en-US" w:eastAsia="zh-CN"/>
        </w:rPr>
      </w:pPr>
      <w:r>
        <w:rPr>
          <w:rStyle w:val="8"/>
          <w:rFonts w:hint="eastAsia" w:ascii="宋体" w:hAnsi="宋体" w:eastAsia="宋体" w:cs="宋体"/>
          <w:color w:val="000000"/>
          <w:sz w:val="21"/>
          <w:szCs w:val="21"/>
          <w:highlight w:val="none"/>
          <w:lang w:val="en-US" w:eastAsia="zh-CN"/>
        </w:rPr>
        <w:t>2、中标人凭中标通知书、采购合同、验收报告/单、所有台账资料，并开具有效发票向采购人申请项目资金拨付。</w:t>
      </w:r>
    </w:p>
    <w:p w14:paraId="7BEAF735">
      <w:pPr>
        <w:pStyle w:val="2"/>
        <w:spacing w:line="440" w:lineRule="exact"/>
        <w:ind w:firstLine="420" w:firstLineChars="200"/>
        <w:rPr>
          <w:rStyle w:val="8"/>
          <w:rFonts w:hint="eastAsia" w:ascii="宋体" w:hAnsi="宋体" w:eastAsia="宋体" w:cs="宋体"/>
          <w:color w:val="000000"/>
          <w:sz w:val="21"/>
          <w:szCs w:val="21"/>
          <w:highlight w:val="none"/>
          <w:lang w:eastAsia="zh-CN"/>
        </w:rPr>
      </w:pPr>
      <w:r>
        <w:rPr>
          <w:rStyle w:val="8"/>
          <w:rFonts w:hint="eastAsia" w:ascii="宋体" w:hAnsi="宋体" w:eastAsia="宋体" w:cs="宋体"/>
          <w:color w:val="000000"/>
          <w:sz w:val="21"/>
          <w:szCs w:val="21"/>
          <w:highlight w:val="none"/>
          <w:lang w:val="en-US" w:eastAsia="zh-CN"/>
        </w:rPr>
        <w:t>3</w:t>
      </w:r>
      <w:r>
        <w:rPr>
          <w:rStyle w:val="8"/>
          <w:rFonts w:hint="eastAsia" w:ascii="宋体" w:hAnsi="宋体" w:eastAsia="宋体" w:cs="宋体"/>
          <w:color w:val="000000"/>
          <w:sz w:val="21"/>
          <w:szCs w:val="21"/>
          <w:highlight w:val="none"/>
        </w:rPr>
        <w:t>、采购人不统一组织现场踏勘，投标人在投标前</w:t>
      </w:r>
      <w:r>
        <w:rPr>
          <w:rStyle w:val="8"/>
          <w:rFonts w:hint="eastAsia" w:ascii="宋体" w:hAnsi="宋体" w:eastAsia="宋体" w:cs="宋体"/>
          <w:color w:val="000000"/>
          <w:sz w:val="21"/>
          <w:szCs w:val="21"/>
          <w:highlight w:val="none"/>
          <w:lang w:eastAsia="zh-CN"/>
        </w:rPr>
        <w:t>，</w:t>
      </w:r>
      <w:r>
        <w:rPr>
          <w:rStyle w:val="8"/>
          <w:rFonts w:hint="eastAsia" w:ascii="宋体" w:hAnsi="宋体" w:eastAsia="宋体" w:cs="宋体"/>
          <w:color w:val="000000"/>
          <w:sz w:val="21"/>
          <w:szCs w:val="21"/>
          <w:highlight w:val="none"/>
        </w:rPr>
        <w:t>可自行踏勘现场，了解项目现场情况，有关费用自理，踏勘期间发生的意外自负。</w:t>
      </w:r>
    </w:p>
    <w:p w14:paraId="637A2206">
      <w:pPr>
        <w:pStyle w:val="16"/>
        <w:spacing w:line="400" w:lineRule="exact"/>
        <w:ind w:firstLine="480"/>
        <w:outlineLvl w:val="9"/>
        <w:rPr>
          <w:rStyle w:val="8"/>
          <w:rFonts w:hint="eastAsia" w:ascii="宋体" w:hAnsi="宋体" w:eastAsia="宋体" w:cs="宋体"/>
          <w:b/>
          <w:bCs/>
          <w:color w:val="000000"/>
          <w:kern w:val="0"/>
          <w:sz w:val="24"/>
          <w:szCs w:val="24"/>
          <w:highlight w:val="none"/>
          <w:shd w:val="clear" w:color="auto" w:fill="FFFFFF"/>
        </w:rPr>
      </w:pPr>
      <w:r>
        <w:rPr>
          <w:rStyle w:val="8"/>
          <w:rFonts w:hint="eastAsia" w:ascii="宋体" w:hAnsi="宋体" w:eastAsia="宋体" w:cs="宋体"/>
          <w:b/>
          <w:bCs/>
          <w:color w:val="000000"/>
          <w:kern w:val="0"/>
          <w:sz w:val="24"/>
          <w:szCs w:val="24"/>
          <w:highlight w:val="none"/>
          <w:shd w:val="clear" w:color="auto" w:fill="FFFFFF"/>
        </w:rPr>
        <w:t>对于上述项目要求，投标人应在投标文件中作出响应，并予以承诺。</w:t>
      </w:r>
    </w:p>
    <w:p w14:paraId="51A7ECDC">
      <w:pPr>
        <w:pStyle w:val="9"/>
        <w:widowControl/>
        <w:spacing w:line="360" w:lineRule="auto"/>
        <w:rPr>
          <w:rStyle w:val="8"/>
          <w:rFonts w:ascii="宋体" w:hAnsi="宋体" w:eastAsia="宋体" w:cs="宋体"/>
          <w:b/>
          <w:bCs/>
          <w:color w:val="000000"/>
          <w:spacing w:val="30"/>
          <w:kern w:val="0"/>
          <w:sz w:val="24"/>
          <w:szCs w:val="24"/>
          <w:highlight w:val="none"/>
        </w:rPr>
      </w:pPr>
    </w:p>
    <w:p w14:paraId="0F304DE2">
      <w:pPr>
        <w:pStyle w:val="9"/>
        <w:widowControl/>
        <w:spacing w:line="360" w:lineRule="auto"/>
        <w:rPr>
          <w:rStyle w:val="8"/>
          <w:rFonts w:ascii="Times New Roman" w:hAnsi="Times New Roman" w:eastAsia="Times New Roman" w:cs="Times New Roman"/>
          <w:color w:val="000000"/>
          <w:kern w:val="0"/>
          <w:sz w:val="24"/>
          <w:szCs w:val="24"/>
          <w:highlight w:val="none"/>
        </w:rPr>
      </w:pPr>
      <w:r>
        <w:rPr>
          <w:rStyle w:val="8"/>
          <w:rFonts w:hint="eastAsia" w:ascii="Times New Roman" w:hAnsi="Times New Roman" w:eastAsia="宋体" w:cs="Times New Roman"/>
          <w:color w:val="000000"/>
          <w:kern w:val="0"/>
          <w:sz w:val="24"/>
          <w:szCs w:val="24"/>
          <w:highlight w:val="none"/>
        </w:rPr>
        <w:t xml:space="preserve">  </w:t>
      </w:r>
    </w:p>
    <w:p w14:paraId="45DE9BFC">
      <w:pPr>
        <w:pStyle w:val="12"/>
        <w:rPr>
          <w:rStyle w:val="8"/>
          <w:rFonts w:hint="eastAsia" w:ascii="宋体" w:hAnsi="宋体" w:eastAsia="宋体" w:cs="宋体"/>
          <w:b w:val="0"/>
          <w:bCs/>
          <w:color w:val="000000" w:themeColor="text1"/>
          <w:highlight w:val="none"/>
          <w:lang w:val="en-US" w:eastAsia="zh-CN"/>
          <w14:textFill>
            <w14:solidFill>
              <w14:schemeClr w14:val="tx1"/>
            </w14:solidFill>
          </w14:textFill>
        </w:rPr>
        <w:sectPr>
          <w:headerReference r:id="rId3" w:type="default"/>
          <w:footerReference r:id="rId5" w:type="default"/>
          <w:headerReference r:id="rId4" w:type="even"/>
          <w:footerReference r:id="rId6" w:type="even"/>
          <w:pgSz w:w="12240" w:h="15840"/>
          <w:pgMar w:top="1701" w:right="1701" w:bottom="1417" w:left="1701" w:header="1003" w:footer="947" w:gutter="0"/>
          <w:pgNumType w:fmt="decimal" w:start="1"/>
          <w:cols w:space="720" w:num="1"/>
        </w:sectPr>
      </w:pPr>
      <w:bookmarkStart w:id="32" w:name="_GoBack"/>
      <w:bookmarkEnd w:id="32"/>
    </w:p>
    <w:p w14:paraId="7E4C1C82">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474CE">
    <w:pPr>
      <w:pStyle w:val="4"/>
      <w:pBdr>
        <w:top w:val="single" w:color="auto" w:sz="4" w:space="0"/>
      </w:pBd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3421B5">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33421B5">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838CE">
    <w:pPr>
      <w:pStyle w:val="4"/>
      <w:pBdr>
        <w:top w:val="single" w:color="auto" w:sz="4" w:space="0"/>
      </w:pBd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6A24E3">
                          <w:pPr>
                            <w:pStyle w:val="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06A24E3">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528F8">
    <w:pPr>
      <w:pBdr>
        <w:bottom w:val="single" w:color="auto" w:sz="2" w:space="0"/>
      </w:pBdr>
      <w:tabs>
        <w:tab w:val="center" w:pos="4000"/>
      </w:tabs>
      <w:jc w:val="right"/>
    </w:pPr>
    <w:r>
      <w:rPr>
        <w:rFonts w:ascii="楷体" w:hAnsi="楷体" w:eastAsia="楷体" w:cs="楷体"/>
        <w:highlight w:val="white"/>
      </w:rPr>
      <w:tab/>
    </w:r>
    <w:r>
      <w:rPr>
        <w:rFonts w:ascii="楷体" w:hAnsi="楷体" w:eastAsia="楷体" w:cs="楷体"/>
        <w:highlight w:val="white"/>
      </w:rPr>
      <w:t>公开招标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CAC21">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E4DCAB"/>
    <w:multiLevelType w:val="singleLevel"/>
    <w:tmpl w:val="22E4DCAB"/>
    <w:lvl w:ilvl="0" w:tentative="0">
      <w:start w:val="1"/>
      <w:numFmt w:val="chineseCounting"/>
      <w:suff w:val="nothing"/>
      <w:lvlText w:val="%1、"/>
      <w:lvlJc w:val="left"/>
      <w:rPr>
        <w:rFonts w:hint="eastAsia"/>
      </w:rPr>
    </w:lvl>
  </w:abstractNum>
  <w:abstractNum w:abstractNumId="1">
    <w:nsid w:val="326768A9"/>
    <w:multiLevelType w:val="singleLevel"/>
    <w:tmpl w:val="326768A9"/>
    <w:lvl w:ilvl="0" w:tentative="0">
      <w:start w:val="1"/>
      <w:numFmt w:val="chineseCounting"/>
      <w:suff w:val="nothing"/>
      <w:lvlText w:val="%1、"/>
      <w:lvlJc w:val="left"/>
      <w:rPr>
        <w:rFonts w:hint="eastAsia"/>
      </w:rPr>
    </w:lvl>
  </w:abstractNum>
  <w:abstractNum w:abstractNumId="2">
    <w:nsid w:val="5124EAAC"/>
    <w:multiLevelType w:val="singleLevel"/>
    <w:tmpl w:val="5124EAAC"/>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EC6311"/>
    <w:rsid w:val="66CA68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MS Gothic" w:cs="MS Gothic"/>
      <w:kern w:val="2"/>
      <w:sz w:val="21"/>
      <w:szCs w:val="21"/>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3"/>
    <w:qFormat/>
    <w:uiPriority w:val="0"/>
    <w:pPr>
      <w:widowControl w:val="0"/>
      <w:jc w:val="both"/>
    </w:pPr>
    <w:rPr>
      <w:rFonts w:ascii="宋体" w:hAnsi="Courier New"/>
    </w:rPr>
  </w:style>
  <w:style w:type="paragraph" w:customStyle="1" w:styleId="3">
    <w:name w:val="正文_21_0"/>
    <w:qFormat/>
    <w:uiPriority w:val="0"/>
    <w:pPr>
      <w:widowControl w:val="0"/>
      <w:jc w:val="both"/>
    </w:pPr>
    <w:rPr>
      <w:rFonts w:ascii="Calibri" w:hAnsi="Calibri" w:eastAsia="宋体" w:cs="Times New Roman"/>
      <w:kern w:val="2"/>
      <w:sz w:val="21"/>
      <w:szCs w:val="22"/>
      <w:lang w:val="en-US" w:eastAsia="zh-CN" w:bidi="ar-SA"/>
    </w:rPr>
  </w:style>
  <w:style w:type="paragraph" w:styleId="4">
    <w:name w:val="footer"/>
    <w:basedOn w:val="1"/>
    <w:qFormat/>
    <w:uiPriority w:val="0"/>
    <w:pPr>
      <w:tabs>
        <w:tab w:val="center" w:pos="4153"/>
        <w:tab w:val="right" w:pos="8306"/>
      </w:tabs>
      <w:snapToGrid w:val="0"/>
      <w:jc w:val="left"/>
    </w:pPr>
    <w:rPr>
      <w:rFonts w:ascii="Calibri" w:hAnsi="Calibri" w:eastAsia="宋体" w:cs="Times New Roman"/>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正文_21"/>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10">
    <w:name w:val="网格型_0"/>
    <w:basedOn w:val="6"/>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_1 Char"/>
    <w:link w:val="12"/>
    <w:qFormat/>
    <w:uiPriority w:val="0"/>
    <w:rPr>
      <w:rFonts w:ascii="Times New Roman" w:hAnsi="Times New Roman" w:eastAsia="宋体" w:cs="Times New Roman"/>
      <w:kern w:val="2"/>
      <w:sz w:val="21"/>
      <w:szCs w:val="22"/>
      <w:lang w:val="en-US" w:eastAsia="zh-CN" w:bidi="ar-SA"/>
    </w:rPr>
  </w:style>
  <w:style w:type="paragraph" w:customStyle="1" w:styleId="12">
    <w:name w:val="正文_1"/>
    <w:link w:val="1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
    <w:name w:val="正文_0"/>
    <w:next w:val="1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
    <w:name w:val="正文_0_1"/>
    <w:next w:val="1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
    <w:name w:val="List Paragraph"/>
    <w:basedOn w:val="3"/>
    <w:qFormat/>
    <w:uiPriority w:val="34"/>
    <w:pPr>
      <w:widowControl w:val="0"/>
      <w:ind w:firstLine="420" w:firstLineChars="200"/>
      <w:jc w:val="both"/>
    </w:pPr>
    <w:rPr>
      <w:rFonts w:ascii="Calibri" w:hAnsi="Calibri" w:eastAsia="宋体" w:cs="Times New Roman"/>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14837</Words>
  <Characters>19065</Characters>
  <Lines>0</Lines>
  <Paragraphs>0</Paragraphs>
  <TotalTime>0</TotalTime>
  <ScaleCrop>false</ScaleCrop>
  <LinksUpToDate>false</LinksUpToDate>
  <CharactersWithSpaces>20048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2025-06-27T02:02:00Z</dcterms:created>
  <dc:creator>Administrator</dc:creator>
  <cp:lastModifiedBy>湖南方圆雁城分公司</cp:lastModifiedBy>
  <dcterms:modified xsi:type="dcterms:W3CDTF">2025-06-30T04:17:27Z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eyJoZGlkIjoiNTVkMjMzMzliODVmZGRmNGFmYWMxZTA2OTEyZWRiZTEiLCJ1c2VySWQiOiI0NTkyMjc2MTUifQ==</vt:lpwstr>
  </property>
  <property fmtid="{D5CDD505-2E9C-101B-9397-08002B2CF9AE}" pid="4" name="ICV">
    <vt:lpwstr>95DB94D8C7B54F829D2FF8B754DF98DD_12</vt:lpwstr>
  </property>
</Properties>
</file>