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D9BC4">
      <w:pPr>
        <w:pStyle w:val="10"/>
        <w:numPr>
          <w:ilvl w:val="0"/>
          <w:numId w:val="0"/>
        </w:numPr>
        <w:spacing w:before="156" w:after="156"/>
      </w:pPr>
      <w:bookmarkStart w:id="0" w:name="_Toc2177"/>
      <w:bookmarkStart w:id="1" w:name="_Toc23822"/>
      <w:bookmarkStart w:id="2" w:name="_Toc31447"/>
      <w:r>
        <w:rPr>
          <w:rFonts w:hint="eastAsia"/>
        </w:rPr>
        <w:t>政府采购合同</w:t>
      </w:r>
      <w:bookmarkEnd w:id="0"/>
      <w:bookmarkEnd w:id="1"/>
      <w:bookmarkEnd w:id="2"/>
    </w:p>
    <w:p w14:paraId="79C665A8">
      <w:pPr>
        <w:pStyle w:val="12"/>
      </w:pPr>
    </w:p>
    <w:p w14:paraId="52B25424">
      <w:pPr>
        <w:pStyle w:val="12"/>
        <w:spacing w:line="520" w:lineRule="exact"/>
        <w:rPr>
          <w:u w:val="single"/>
        </w:rPr>
      </w:pPr>
      <w:r>
        <w:rPr>
          <w:rFonts w:hint="eastAsia"/>
        </w:rPr>
        <w:t>合同编号：</w:t>
      </w:r>
      <w:r>
        <w:rPr>
          <w:rFonts w:hint="eastAsia"/>
          <w:u w:val="single"/>
        </w:rPr>
        <w:t>N5118242025000120</w:t>
      </w:r>
    </w:p>
    <w:p w14:paraId="4A34A209">
      <w:pPr>
        <w:pStyle w:val="12"/>
        <w:spacing w:line="520" w:lineRule="exact"/>
        <w:rPr>
          <w:u w:val="single"/>
        </w:rPr>
      </w:pPr>
      <w:r>
        <w:rPr>
          <w:rFonts w:hint="eastAsia"/>
        </w:rPr>
        <w:t>计划号/备案号：</w:t>
      </w:r>
      <w:r>
        <w:rPr>
          <w:rFonts w:hint="eastAsia"/>
          <w:u w:val="single"/>
        </w:rPr>
        <w:t xml:space="preserve"> 51182425210200002041</w:t>
      </w:r>
    </w:p>
    <w:p w14:paraId="54CD8CAF">
      <w:pPr>
        <w:pStyle w:val="12"/>
        <w:spacing w:line="520" w:lineRule="exact"/>
        <w:rPr>
          <w:u w:val="single"/>
        </w:rPr>
      </w:pPr>
      <w:r>
        <w:rPr>
          <w:rFonts w:hint="eastAsia"/>
        </w:rPr>
        <w:t>签订地点：</w:t>
      </w:r>
      <w:r>
        <w:rPr>
          <w:rFonts w:hint="eastAsia"/>
          <w:u w:val="single"/>
        </w:rPr>
        <w:t xml:space="preserve"> 石棉县人民医院 </w:t>
      </w:r>
    </w:p>
    <w:p w14:paraId="166095DE">
      <w:pPr>
        <w:pStyle w:val="12"/>
        <w:spacing w:line="520" w:lineRule="exact"/>
        <w:rPr>
          <w:u w:val="single"/>
        </w:rPr>
      </w:pPr>
      <w:r>
        <w:rPr>
          <w:rFonts w:hint="eastAsia"/>
        </w:rPr>
        <w:t>签订时间：</w:t>
      </w:r>
      <w:r>
        <w:rPr>
          <w:rFonts w:hint="eastAsia"/>
          <w:u w:val="single"/>
        </w:rPr>
        <w:t xml:space="preserve">                     </w:t>
      </w:r>
    </w:p>
    <w:p w14:paraId="67E4CC7E">
      <w:pPr>
        <w:pStyle w:val="12"/>
        <w:spacing w:line="520" w:lineRule="exact"/>
        <w:rPr>
          <w:u w:val="single"/>
        </w:rPr>
      </w:pPr>
      <w:r>
        <w:rPr>
          <w:rFonts w:hint="eastAsia"/>
        </w:rPr>
        <w:t>采购人名称(甲方)：</w:t>
      </w:r>
      <w:r>
        <w:rPr>
          <w:rFonts w:hint="eastAsia"/>
          <w:u w:val="single"/>
        </w:rPr>
        <w:t xml:space="preserve">  石棉县人民医院  </w:t>
      </w:r>
    </w:p>
    <w:p w14:paraId="447A4F95">
      <w:pPr>
        <w:pStyle w:val="12"/>
        <w:spacing w:line="520" w:lineRule="exact"/>
        <w:rPr>
          <w:u w:val="single"/>
        </w:rPr>
      </w:pPr>
      <w:r>
        <w:rPr>
          <w:rFonts w:hint="eastAsia"/>
        </w:rPr>
        <w:t>成交供应商名称(乙方)：</w:t>
      </w:r>
      <w:r>
        <w:rPr>
          <w:rFonts w:hint="eastAsia"/>
          <w:u w:val="single"/>
        </w:rPr>
        <w:t xml:space="preserve">                          </w:t>
      </w:r>
    </w:p>
    <w:p w14:paraId="0D3CA83D">
      <w:pPr>
        <w:pStyle w:val="11"/>
        <w:spacing w:line="520" w:lineRule="exact"/>
        <w:ind w:firstLine="480" w:firstLineChars="200"/>
      </w:pPr>
      <w:r>
        <w:rPr>
          <w:rFonts w:hint="eastAsia"/>
        </w:rPr>
        <w:t>根据《中华人民共和国民法典》《中华人民共和国政府采购法》《中华人民共和国政府采购法实施条例》(国务院令第658号)《政府采购非招标采购方式管理办法》及石棉县总医院南院区手术室层流净化系统维保和医学装备整体维保采购</w:t>
      </w:r>
      <w:r>
        <w:rPr>
          <w:rFonts w:hint="eastAsia"/>
          <w:lang w:eastAsia="zh-CN"/>
        </w:rPr>
        <w:t>（四</w:t>
      </w:r>
      <w:r>
        <w:rPr>
          <w:rFonts w:hint="eastAsia"/>
          <w:lang w:val="en-US" w:eastAsia="zh-CN"/>
        </w:rPr>
        <w:t>次</w:t>
      </w:r>
      <w:r>
        <w:rPr>
          <w:rFonts w:hint="eastAsia"/>
          <w:lang w:eastAsia="zh-CN"/>
        </w:rPr>
        <w:t>）</w:t>
      </w:r>
      <w:r>
        <w:rPr>
          <w:rFonts w:hint="eastAsia"/>
        </w:rPr>
        <w:t>、项目编号：N5118242025000120的《竞争性谈判文件》、乙方的《响应文件》及《成交通知书》，甲、乙双方同意签订本合同。详细技术说明及其他有关合同项目的特定信息由合同附件予以说明，合同附件及本项目的《竞争性谈判文件》、《响应文件》、《成交通知书》等均为本合同不可分割的部分。双方同意共同遵守如下条款：</w:t>
      </w:r>
    </w:p>
    <w:p w14:paraId="3EABD005">
      <w:pPr>
        <w:pStyle w:val="13"/>
        <w:numPr>
          <w:ilvl w:val="0"/>
          <w:numId w:val="0"/>
        </w:numPr>
        <w:spacing w:line="520" w:lineRule="exact"/>
        <w:ind w:firstLine="482" w:firstLineChars="200"/>
      </w:pPr>
      <w:bookmarkStart w:id="3" w:name="_Toc9407"/>
      <w:bookmarkStart w:id="4" w:name="_Toc25905"/>
      <w:bookmarkStart w:id="5" w:name="_Toc23903"/>
      <w:r>
        <w:rPr>
          <w:rFonts w:hint="eastAsia"/>
        </w:rPr>
        <w:t>一、合同标的</w:t>
      </w:r>
    </w:p>
    <w:tbl>
      <w:tblPr>
        <w:tblStyle w:val="7"/>
        <w:tblpPr w:leftFromText="180" w:rightFromText="180" w:vertAnchor="text" w:horzAnchor="page" w:tblpX="1774" w:tblpY="313"/>
        <w:tblOverlap w:val="never"/>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8"/>
        <w:gridCol w:w="2141"/>
        <w:gridCol w:w="1987"/>
        <w:gridCol w:w="1449"/>
        <w:gridCol w:w="1957"/>
      </w:tblGrid>
      <w:tr w14:paraId="3F4B37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0" w:type="pct"/>
            <w:vAlign w:val="center"/>
          </w:tcPr>
          <w:p w14:paraId="2D8066ED">
            <w:pPr>
              <w:pStyle w:val="21"/>
              <w:jc w:val="center"/>
              <w:rPr>
                <w:rFonts w:hint="default" w:ascii="宋体" w:hAnsi="宋体" w:eastAsia="宋体" w:cs="宋体"/>
                <w:sz w:val="21"/>
                <w:szCs w:val="21"/>
              </w:rPr>
            </w:pPr>
            <w:r>
              <w:rPr>
                <w:rFonts w:ascii="宋体" w:hAnsi="宋体" w:eastAsia="宋体" w:cs="宋体"/>
                <w:sz w:val="21"/>
                <w:szCs w:val="21"/>
              </w:rPr>
              <w:t>序号</w:t>
            </w:r>
          </w:p>
        </w:tc>
        <w:tc>
          <w:tcPr>
            <w:tcW w:w="1256" w:type="pct"/>
            <w:vAlign w:val="center"/>
          </w:tcPr>
          <w:p w14:paraId="1BF4ECF5">
            <w:pPr>
              <w:pStyle w:val="21"/>
              <w:jc w:val="center"/>
              <w:rPr>
                <w:rFonts w:hint="default" w:ascii="宋体" w:hAnsi="宋体" w:eastAsia="宋体" w:cs="宋体"/>
                <w:sz w:val="21"/>
                <w:szCs w:val="21"/>
              </w:rPr>
            </w:pPr>
            <w:r>
              <w:rPr>
                <w:rFonts w:ascii="宋体" w:hAnsi="宋体" w:eastAsia="宋体" w:cs="宋体"/>
                <w:sz w:val="21"/>
                <w:szCs w:val="21"/>
              </w:rPr>
              <w:t>标的名称</w:t>
            </w:r>
          </w:p>
        </w:tc>
        <w:tc>
          <w:tcPr>
            <w:tcW w:w="1166" w:type="pct"/>
            <w:vAlign w:val="center"/>
          </w:tcPr>
          <w:p w14:paraId="2800A04D">
            <w:pPr>
              <w:pStyle w:val="21"/>
              <w:jc w:val="center"/>
              <w:rPr>
                <w:rFonts w:hint="default" w:ascii="宋体" w:hAnsi="宋体" w:eastAsia="宋体" w:cs="宋体"/>
                <w:sz w:val="21"/>
                <w:szCs w:val="21"/>
              </w:rPr>
            </w:pPr>
            <w:r>
              <w:rPr>
                <w:rFonts w:ascii="宋体" w:hAnsi="宋体" w:eastAsia="宋体" w:cs="宋体"/>
                <w:sz w:val="21"/>
                <w:szCs w:val="21"/>
              </w:rPr>
              <w:t>数量</w:t>
            </w:r>
            <w:r>
              <w:rPr>
                <w:rFonts w:ascii="宋体" w:hAnsi="宋体" w:eastAsia="宋体" w:cs="宋体"/>
                <w:sz w:val="21"/>
                <w:szCs w:val="21"/>
              </w:rPr>
              <w:br w:type="textWrapping"/>
            </w:r>
            <w:r>
              <w:rPr>
                <w:rFonts w:ascii="宋体" w:hAnsi="宋体" w:eastAsia="宋体" w:cs="宋体"/>
                <w:sz w:val="21"/>
                <w:szCs w:val="21"/>
              </w:rPr>
              <w:t>(计量单位)</w:t>
            </w:r>
          </w:p>
        </w:tc>
        <w:tc>
          <w:tcPr>
            <w:tcW w:w="850" w:type="pct"/>
            <w:vAlign w:val="center"/>
          </w:tcPr>
          <w:p w14:paraId="02BB9CD3">
            <w:pPr>
              <w:pStyle w:val="21"/>
              <w:jc w:val="center"/>
              <w:rPr>
                <w:rFonts w:hint="default" w:ascii="宋体" w:hAnsi="宋体" w:eastAsia="宋体" w:cs="宋体"/>
                <w:sz w:val="21"/>
                <w:szCs w:val="21"/>
              </w:rPr>
            </w:pPr>
            <w:r>
              <w:rPr>
                <w:rFonts w:ascii="宋体" w:hAnsi="宋体" w:eastAsia="宋体" w:cs="宋体"/>
                <w:sz w:val="21"/>
                <w:szCs w:val="21"/>
              </w:rPr>
              <w:t>单位</w:t>
            </w:r>
          </w:p>
        </w:tc>
        <w:tc>
          <w:tcPr>
            <w:tcW w:w="1145" w:type="pct"/>
            <w:vAlign w:val="center"/>
          </w:tcPr>
          <w:p w14:paraId="28BE2E9A">
            <w:pPr>
              <w:pStyle w:val="21"/>
              <w:jc w:val="center"/>
              <w:rPr>
                <w:rFonts w:hint="default" w:ascii="宋体" w:hAnsi="宋体" w:eastAsia="宋体" w:cs="宋体"/>
                <w:sz w:val="21"/>
                <w:szCs w:val="21"/>
              </w:rPr>
            </w:pPr>
            <w:r>
              <w:rPr>
                <w:rFonts w:ascii="宋体" w:hAnsi="宋体" w:eastAsia="宋体" w:cs="宋体"/>
                <w:sz w:val="21"/>
                <w:szCs w:val="21"/>
              </w:rPr>
              <w:t>合同金额（万元）</w:t>
            </w:r>
          </w:p>
        </w:tc>
      </w:tr>
      <w:tr w14:paraId="420FF2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37" w:hRule="atLeast"/>
        </w:trPr>
        <w:tc>
          <w:tcPr>
            <w:tcW w:w="580" w:type="pct"/>
            <w:vAlign w:val="center"/>
          </w:tcPr>
          <w:p w14:paraId="44246332">
            <w:pPr>
              <w:pStyle w:val="21"/>
              <w:jc w:val="center"/>
              <w:rPr>
                <w:rFonts w:hint="default" w:ascii="宋体" w:hAnsi="宋体" w:eastAsia="宋体" w:cs="宋体"/>
                <w:sz w:val="21"/>
                <w:szCs w:val="21"/>
              </w:rPr>
            </w:pPr>
            <w:r>
              <w:rPr>
                <w:rFonts w:ascii="宋体" w:hAnsi="宋体" w:eastAsia="宋体" w:cs="宋体"/>
                <w:sz w:val="21"/>
                <w:szCs w:val="21"/>
              </w:rPr>
              <w:t>1</w:t>
            </w:r>
          </w:p>
        </w:tc>
        <w:tc>
          <w:tcPr>
            <w:tcW w:w="1256" w:type="pct"/>
            <w:vAlign w:val="center"/>
          </w:tcPr>
          <w:p w14:paraId="1B21A5BC">
            <w:pPr>
              <w:pStyle w:val="21"/>
              <w:jc w:val="center"/>
              <w:rPr>
                <w:rFonts w:hint="default" w:ascii="宋体" w:hAnsi="宋体" w:eastAsia="宋体" w:cs="宋体"/>
                <w:sz w:val="21"/>
                <w:szCs w:val="21"/>
              </w:rPr>
            </w:pPr>
          </w:p>
        </w:tc>
        <w:tc>
          <w:tcPr>
            <w:tcW w:w="1166" w:type="pct"/>
            <w:vAlign w:val="center"/>
          </w:tcPr>
          <w:p w14:paraId="0FE95B0C">
            <w:pPr>
              <w:pStyle w:val="21"/>
              <w:jc w:val="center"/>
              <w:rPr>
                <w:rFonts w:hint="default" w:ascii="宋体" w:hAnsi="宋体" w:eastAsia="宋体" w:cs="宋体"/>
                <w:sz w:val="21"/>
                <w:szCs w:val="21"/>
              </w:rPr>
            </w:pPr>
          </w:p>
        </w:tc>
        <w:tc>
          <w:tcPr>
            <w:tcW w:w="850" w:type="pct"/>
            <w:vAlign w:val="center"/>
          </w:tcPr>
          <w:p w14:paraId="407645AA">
            <w:pPr>
              <w:pStyle w:val="21"/>
              <w:jc w:val="center"/>
              <w:rPr>
                <w:rFonts w:hint="default" w:ascii="宋体" w:hAnsi="宋体" w:eastAsia="宋体" w:cs="宋体"/>
                <w:sz w:val="21"/>
                <w:szCs w:val="21"/>
              </w:rPr>
            </w:pPr>
          </w:p>
        </w:tc>
        <w:tc>
          <w:tcPr>
            <w:tcW w:w="1145" w:type="pct"/>
            <w:vAlign w:val="center"/>
          </w:tcPr>
          <w:p w14:paraId="4672C789">
            <w:pPr>
              <w:pStyle w:val="21"/>
              <w:jc w:val="center"/>
              <w:rPr>
                <w:rFonts w:hint="default" w:ascii="宋体" w:hAnsi="宋体" w:eastAsia="宋体" w:cs="宋体"/>
                <w:sz w:val="21"/>
                <w:szCs w:val="21"/>
              </w:rPr>
            </w:pPr>
          </w:p>
        </w:tc>
      </w:tr>
      <w:tr w14:paraId="237CD8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37" w:hRule="atLeast"/>
        </w:trPr>
        <w:tc>
          <w:tcPr>
            <w:tcW w:w="5000" w:type="pct"/>
            <w:gridSpan w:val="5"/>
            <w:vAlign w:val="center"/>
          </w:tcPr>
          <w:p w14:paraId="121D7014">
            <w:pPr>
              <w:pStyle w:val="21"/>
              <w:rPr>
                <w:rFonts w:hint="default" w:ascii="宋体" w:hAnsi="宋体" w:eastAsia="宋体" w:cs="宋体"/>
                <w:sz w:val="21"/>
                <w:szCs w:val="21"/>
              </w:rPr>
            </w:pPr>
            <w:r>
              <w:rPr>
                <w:rFonts w:ascii="宋体" w:hAnsi="宋体" w:eastAsia="宋体" w:cs="宋体"/>
                <w:sz w:val="21"/>
                <w:szCs w:val="21"/>
              </w:rPr>
              <w:t>合计金额：         大写（                  ）</w:t>
            </w:r>
          </w:p>
        </w:tc>
      </w:tr>
    </w:tbl>
    <w:p w14:paraId="3FB9B53F">
      <w:pPr>
        <w:pStyle w:val="11"/>
        <w:spacing w:line="520" w:lineRule="exact"/>
        <w:ind w:firstLine="480" w:firstLineChars="200"/>
        <w:rPr>
          <w:rFonts w:cs="宋体"/>
        </w:rPr>
      </w:pPr>
      <w:r>
        <w:rPr>
          <w:rFonts w:hint="eastAsia" w:cs="宋体"/>
          <w:snapToGrid/>
        </w:rPr>
        <w:t>本</w:t>
      </w:r>
      <w:r>
        <w:rPr>
          <w:rFonts w:hint="eastAsia" w:cs="宋体"/>
        </w:rPr>
        <w:t>合同总价为￥</w:t>
      </w:r>
      <w:r>
        <w:rPr>
          <w:rFonts w:hint="eastAsia" w:cs="宋体"/>
          <w:u w:val="single"/>
        </w:rPr>
        <w:t xml:space="preserve">           </w:t>
      </w:r>
      <w:r>
        <w:rPr>
          <w:rFonts w:hint="eastAsia" w:cs="宋体"/>
        </w:rPr>
        <w:t>元（大写：</w:t>
      </w:r>
      <w:r>
        <w:rPr>
          <w:rFonts w:hint="eastAsia" w:cs="宋体"/>
          <w:u w:val="single"/>
        </w:rPr>
        <w:t xml:space="preserve">             </w:t>
      </w:r>
      <w:r>
        <w:rPr>
          <w:rFonts w:hint="eastAsia" w:cs="宋体"/>
        </w:rPr>
        <w:t>元），合同价款已包括人员劳务、差旅、设备投入、成果、保险、风险、税金、利润以及谈判文件规定的一切费用。本合同执行期间合同总价不变，甲方无须另向乙方支付本合同规定之外的其他任何费用。</w:t>
      </w:r>
    </w:p>
    <w:bookmarkEnd w:id="3"/>
    <w:bookmarkEnd w:id="4"/>
    <w:bookmarkEnd w:id="5"/>
    <w:p w14:paraId="4423722F">
      <w:pPr>
        <w:pStyle w:val="13"/>
        <w:numPr>
          <w:ilvl w:val="0"/>
          <w:numId w:val="0"/>
        </w:numPr>
        <w:spacing w:line="520" w:lineRule="exact"/>
        <w:ind w:firstLine="482" w:firstLineChars="200"/>
      </w:pPr>
      <w:bookmarkStart w:id="6" w:name="_Toc3034"/>
      <w:bookmarkStart w:id="7" w:name="_Toc18374"/>
      <w:bookmarkStart w:id="8" w:name="_Toc16353"/>
      <w:bookmarkStart w:id="9" w:name="_Toc237145406"/>
      <w:bookmarkStart w:id="10" w:name="_Toc225670751"/>
      <w:bookmarkStart w:id="11" w:name="_Toc232492928"/>
      <w:bookmarkStart w:id="12" w:name="_Toc225244852"/>
      <w:bookmarkStart w:id="13" w:name="_Toc247334841"/>
      <w:bookmarkStart w:id="14" w:name="_Toc241833903"/>
      <w:bookmarkStart w:id="15" w:name="_Toc239233914"/>
      <w:bookmarkStart w:id="16" w:name="_Toc251768862"/>
      <w:bookmarkStart w:id="17" w:name="_Toc286993786"/>
      <w:bookmarkStart w:id="18" w:name="_Toc211911348"/>
      <w:bookmarkStart w:id="19" w:name="_Toc212019594"/>
      <w:bookmarkStart w:id="20" w:name="_Toc185395249"/>
      <w:bookmarkStart w:id="21" w:name="_Toc238984975"/>
      <w:bookmarkStart w:id="22" w:name="_Toc282696226"/>
      <w:bookmarkStart w:id="23" w:name="_Toc225654644"/>
      <w:bookmarkStart w:id="24" w:name="_Toc211854449"/>
      <w:bookmarkStart w:id="25" w:name="_Toc239568418"/>
      <w:bookmarkStart w:id="26" w:name="_Toc283019214"/>
      <w:r>
        <w:rPr>
          <w:rFonts w:hint="eastAsia"/>
        </w:rPr>
        <w:t>二、服务内容及要求</w:t>
      </w:r>
      <w:bookmarkEnd w:id="6"/>
      <w:bookmarkEnd w:id="7"/>
      <w:bookmarkEnd w:id="8"/>
      <w:r>
        <w:rPr>
          <w:rFonts w:hint="eastAsia"/>
        </w:rPr>
        <w:t>：</w:t>
      </w:r>
      <w:r>
        <w:t>对石棉县总医院主要设备约444台件、资产约5961万的医学装备，进行全保（维修、保养、预防维护、检查、常规调试）服务。</w:t>
      </w:r>
    </w:p>
    <w:p w14:paraId="2C47A29B">
      <w:pPr>
        <w:pStyle w:val="14"/>
        <w:numPr>
          <w:ilvl w:val="1"/>
          <w:numId w:val="0"/>
        </w:numPr>
        <w:spacing w:line="480" w:lineRule="exact"/>
        <w:ind w:firstLine="480" w:firstLineChars="200"/>
      </w:pPr>
      <w:bookmarkStart w:id="27" w:name="_Toc1396"/>
      <w:bookmarkStart w:id="28" w:name="_Toc15372"/>
      <w:bookmarkStart w:id="29" w:name="_Toc14575"/>
      <w:r>
        <w:rPr>
          <w:rFonts w:hint="eastAsia" w:cs="宋体"/>
        </w:rPr>
        <w:t>(一)</w:t>
      </w:r>
      <w:r>
        <w:rPr>
          <w:rFonts w:hint="eastAsia"/>
        </w:rPr>
        <w:t>乙方确保维保范围内的设备完好率97%以上，抢救设备100%完好率。</w:t>
      </w:r>
    </w:p>
    <w:p w14:paraId="4FAAF21B">
      <w:pPr>
        <w:pStyle w:val="14"/>
        <w:numPr>
          <w:ilvl w:val="1"/>
          <w:numId w:val="0"/>
        </w:numPr>
        <w:spacing w:line="480" w:lineRule="exact"/>
        <w:ind w:firstLine="480" w:firstLineChars="200"/>
      </w:pPr>
      <w:r>
        <w:rPr>
          <w:rFonts w:hint="eastAsia" w:cs="宋体"/>
        </w:rPr>
        <w:t>(二)</w:t>
      </w:r>
      <w:r>
        <w:rPr>
          <w:rFonts w:hint="eastAsia"/>
        </w:rPr>
        <w:t>乙方确保单台开机率在95%以上，每年单台停机时间累计不超过18天。</w:t>
      </w:r>
    </w:p>
    <w:p w14:paraId="38C5573B">
      <w:pPr>
        <w:pStyle w:val="14"/>
        <w:numPr>
          <w:ilvl w:val="1"/>
          <w:numId w:val="0"/>
        </w:numPr>
        <w:spacing w:line="480" w:lineRule="exact"/>
        <w:ind w:firstLine="480" w:firstLineChars="200"/>
        <w:rPr>
          <w:color w:val="auto"/>
        </w:rPr>
      </w:pPr>
      <w:r>
        <w:rPr>
          <w:rFonts w:hint="eastAsia" w:cs="宋体"/>
        </w:rPr>
        <w:t>(三)</w:t>
      </w:r>
      <w:r>
        <w:rPr>
          <w:rFonts w:hint="eastAsia"/>
        </w:rPr>
        <w:t>乙方的维修响应依据医疗管理系统数据，保证48小时故障修复率95%以上。</w:t>
      </w:r>
    </w:p>
    <w:p w14:paraId="1D13896A">
      <w:pPr>
        <w:pStyle w:val="14"/>
        <w:numPr>
          <w:ilvl w:val="1"/>
          <w:numId w:val="0"/>
        </w:numPr>
        <w:spacing w:line="480" w:lineRule="exact"/>
        <w:ind w:firstLine="480" w:firstLineChars="200"/>
        <w:rPr>
          <w:color w:val="auto"/>
        </w:rPr>
      </w:pPr>
      <w:r>
        <w:rPr>
          <w:rFonts w:hint="eastAsia" w:cs="宋体"/>
          <w:color w:val="auto"/>
        </w:rPr>
        <w:t>(四)</w:t>
      </w:r>
      <w:r>
        <w:rPr>
          <w:rFonts w:hint="eastAsia"/>
          <w:color w:val="auto"/>
        </w:rPr>
        <w:t>乙方的管理服务总满意率95%以上；由甲方各科室负责人（或护士长）对服务项目进行质量考评（包括服务响应速度、服务态度、技术评价、服务总体评价）。</w:t>
      </w:r>
    </w:p>
    <w:p w14:paraId="7A1CEEE4">
      <w:pPr>
        <w:pStyle w:val="14"/>
        <w:numPr>
          <w:ilvl w:val="1"/>
          <w:numId w:val="0"/>
        </w:numPr>
        <w:spacing w:line="480" w:lineRule="exact"/>
        <w:ind w:firstLine="480" w:firstLineChars="200"/>
        <w:rPr>
          <w:color w:val="auto"/>
        </w:rPr>
      </w:pPr>
      <w:r>
        <w:rPr>
          <w:rFonts w:hint="eastAsia" w:cs="宋体"/>
          <w:color w:val="auto"/>
        </w:rPr>
        <w:t>(五)</w:t>
      </w:r>
      <w:r>
        <w:rPr>
          <w:rFonts w:hint="eastAsia"/>
          <w:color w:val="auto"/>
        </w:rPr>
        <w:t>乙方的有效投诉率低于2件次，整改率100%。</w:t>
      </w:r>
    </w:p>
    <w:p w14:paraId="6DE6E8D5">
      <w:pPr>
        <w:pStyle w:val="14"/>
        <w:numPr>
          <w:ilvl w:val="1"/>
          <w:numId w:val="0"/>
        </w:numPr>
        <w:spacing w:line="480" w:lineRule="exact"/>
        <w:ind w:firstLine="480" w:firstLineChars="200"/>
        <w:rPr>
          <w:color w:val="auto"/>
        </w:rPr>
      </w:pPr>
      <w:r>
        <w:rPr>
          <w:rFonts w:hint="eastAsia" w:cs="宋体"/>
          <w:color w:val="auto"/>
        </w:rPr>
        <w:t>(六)</w:t>
      </w:r>
      <w:r>
        <w:rPr>
          <w:rFonts w:hint="eastAsia"/>
          <w:color w:val="auto"/>
        </w:rPr>
        <w:t>乙方的驻场工程师经过培训及驻场经验不低于3个月。并协助医院规范完成医疗设备管理等级评审的相关工作。</w:t>
      </w:r>
    </w:p>
    <w:p w14:paraId="4523C69E">
      <w:pPr>
        <w:pStyle w:val="14"/>
        <w:numPr>
          <w:ilvl w:val="1"/>
          <w:numId w:val="0"/>
        </w:numPr>
        <w:spacing w:line="480" w:lineRule="exact"/>
        <w:ind w:firstLine="480" w:firstLineChars="200"/>
        <w:rPr>
          <w:color w:val="auto"/>
        </w:rPr>
      </w:pPr>
      <w:r>
        <w:rPr>
          <w:rFonts w:hint="eastAsia" w:cs="宋体"/>
          <w:color w:val="auto"/>
        </w:rPr>
        <w:t>(七)</w:t>
      </w:r>
      <w:r>
        <w:rPr>
          <w:rFonts w:hint="eastAsia"/>
          <w:color w:val="auto"/>
        </w:rPr>
        <w:t>乙方安排1名设备管理人员协助甲方进行设备管理，且需具有五年以上医学设备管理经验。</w:t>
      </w:r>
    </w:p>
    <w:p w14:paraId="7600EBB3">
      <w:pPr>
        <w:pStyle w:val="14"/>
        <w:numPr>
          <w:ilvl w:val="1"/>
          <w:numId w:val="0"/>
        </w:numPr>
        <w:spacing w:line="480" w:lineRule="exact"/>
        <w:ind w:firstLine="480" w:firstLineChars="200"/>
        <w:rPr>
          <w:color w:val="auto"/>
        </w:rPr>
      </w:pPr>
      <w:r>
        <w:rPr>
          <w:rFonts w:hint="eastAsia" w:cs="宋体"/>
          <w:color w:val="auto"/>
        </w:rPr>
        <w:t>(八)</w:t>
      </w:r>
      <w:r>
        <w:rPr>
          <w:rFonts w:hint="eastAsia"/>
          <w:color w:val="auto"/>
        </w:rPr>
        <w:t>①工作日常驻2名维修工程师在</w:t>
      </w:r>
      <w:r>
        <w:rPr>
          <w:rFonts w:hint="eastAsia"/>
          <w:color w:val="auto"/>
          <w:lang w:eastAsia="zh-CN"/>
        </w:rPr>
        <w:t>甲方</w:t>
      </w:r>
      <w:r>
        <w:rPr>
          <w:rFonts w:hint="eastAsia"/>
          <w:color w:val="auto"/>
        </w:rPr>
        <w:t>驻点；节假日至少1人值守。确保全天候响应和服务。②驻场维修工程师须有三年以上综合医院医疗设备维修管理经验。</w:t>
      </w:r>
    </w:p>
    <w:p w14:paraId="5966A79A">
      <w:pPr>
        <w:pStyle w:val="14"/>
        <w:numPr>
          <w:ilvl w:val="1"/>
          <w:numId w:val="0"/>
        </w:numPr>
        <w:spacing w:line="480" w:lineRule="exact"/>
        <w:ind w:firstLine="480" w:firstLineChars="200"/>
        <w:rPr>
          <w:color w:val="auto"/>
        </w:rPr>
      </w:pPr>
      <w:r>
        <w:rPr>
          <w:rFonts w:hint="eastAsia" w:cs="宋体"/>
          <w:color w:val="auto"/>
        </w:rPr>
        <w:t>(九)</w:t>
      </w:r>
      <w:r>
        <w:rPr>
          <w:rFonts w:hint="eastAsia"/>
          <w:color w:val="auto"/>
        </w:rPr>
        <w:t>乙方具备设备检测和校准能力，完成医疗设备全生命周期管理的质控工作（国家部门检测除外）；根据甲方需求提供完整的设备维修记录和检测校准等检测服务，并出具具有CMA标识的检测报告。</w:t>
      </w:r>
    </w:p>
    <w:p w14:paraId="2C6DDD86">
      <w:pPr>
        <w:pStyle w:val="14"/>
        <w:numPr>
          <w:ilvl w:val="1"/>
          <w:numId w:val="0"/>
        </w:numPr>
        <w:spacing w:line="480" w:lineRule="exact"/>
        <w:ind w:firstLine="480" w:firstLineChars="200"/>
        <w:rPr>
          <w:color w:val="auto"/>
        </w:rPr>
      </w:pPr>
      <w:r>
        <w:rPr>
          <w:rFonts w:hint="eastAsia" w:cs="宋体"/>
          <w:color w:val="auto"/>
        </w:rPr>
        <w:t>(十)</w:t>
      </w:r>
      <w:r>
        <w:rPr>
          <w:rFonts w:hint="eastAsia"/>
          <w:color w:val="auto"/>
        </w:rPr>
        <w:t>设备发生故障后，应急设备上班时间10分钟内达到现场，上班时间外20分钟内到达现场，节假日30分钟内到达现场；一般设备根据紧急程度合理安排维修顺序。</w:t>
      </w:r>
    </w:p>
    <w:p w14:paraId="3AB48866">
      <w:pPr>
        <w:pStyle w:val="14"/>
        <w:numPr>
          <w:ilvl w:val="1"/>
          <w:numId w:val="0"/>
        </w:numPr>
        <w:spacing w:line="480" w:lineRule="exact"/>
        <w:ind w:firstLine="480" w:firstLineChars="200"/>
        <w:rPr>
          <w:color w:val="auto"/>
        </w:rPr>
      </w:pPr>
      <w:r>
        <w:rPr>
          <w:rFonts w:hint="eastAsia" w:cs="宋体"/>
          <w:color w:val="auto"/>
        </w:rPr>
        <w:t>(十一)</w:t>
      </w:r>
      <w:r>
        <w:rPr>
          <w:rFonts w:hint="eastAsia"/>
          <w:color w:val="auto"/>
        </w:rPr>
        <w:t>乙方选派的驻点维修工程师归甲方统一调配管理，服从甲方的工作安排。</w:t>
      </w:r>
    </w:p>
    <w:p w14:paraId="0065186B">
      <w:pPr>
        <w:pStyle w:val="14"/>
        <w:numPr>
          <w:ilvl w:val="1"/>
          <w:numId w:val="0"/>
        </w:numPr>
        <w:spacing w:line="480" w:lineRule="exact"/>
        <w:ind w:firstLine="480" w:firstLineChars="200"/>
        <w:rPr>
          <w:color w:val="auto"/>
        </w:rPr>
      </w:pPr>
      <w:r>
        <w:rPr>
          <w:rFonts w:hint="eastAsia" w:cs="宋体"/>
          <w:color w:val="auto"/>
        </w:rPr>
        <w:t>(十二)</w:t>
      </w:r>
      <w:r>
        <w:rPr>
          <w:rFonts w:hint="eastAsia"/>
          <w:color w:val="auto"/>
        </w:rPr>
        <w:t>乙方负责医院日常设备资料、维修事件、保养事件、计量事件、买保事件等档案管理。</w:t>
      </w:r>
    </w:p>
    <w:p w14:paraId="140686E2">
      <w:pPr>
        <w:pStyle w:val="14"/>
        <w:numPr>
          <w:ilvl w:val="1"/>
          <w:numId w:val="0"/>
        </w:numPr>
        <w:spacing w:line="480" w:lineRule="exact"/>
        <w:ind w:firstLine="480" w:firstLineChars="200"/>
        <w:rPr>
          <w:color w:val="auto"/>
        </w:rPr>
      </w:pPr>
      <w:r>
        <w:rPr>
          <w:rFonts w:hint="eastAsia" w:cs="宋体"/>
          <w:color w:val="auto"/>
        </w:rPr>
        <w:t>(十三)</w:t>
      </w:r>
      <w:r>
        <w:rPr>
          <w:rFonts w:hint="eastAsia"/>
          <w:color w:val="auto"/>
        </w:rPr>
        <w:t>乙方负责做好甲方全院医疗设备操作手册、维护手册等；协助医院资料归类建档工作。</w:t>
      </w:r>
    </w:p>
    <w:p w14:paraId="3B732B26">
      <w:pPr>
        <w:pStyle w:val="14"/>
        <w:numPr>
          <w:ilvl w:val="1"/>
          <w:numId w:val="0"/>
        </w:numPr>
        <w:spacing w:line="480" w:lineRule="exact"/>
        <w:ind w:firstLine="480" w:firstLineChars="200"/>
        <w:rPr>
          <w:color w:val="auto"/>
        </w:rPr>
      </w:pPr>
      <w:r>
        <w:rPr>
          <w:rFonts w:hint="eastAsia" w:cs="宋体"/>
          <w:color w:val="auto"/>
        </w:rPr>
        <w:t>(十四)</w:t>
      </w:r>
      <w:r>
        <w:rPr>
          <w:rFonts w:hint="eastAsia"/>
          <w:color w:val="auto"/>
        </w:rPr>
        <w:t>乙方要建立健全设备三级保养制度规范：日常保养、二级保养、三级保养，制定并完成各类医疗设备年度二、三级保养工作，A类高风险（2次）、B类中风险（1次）、C类低风险（1次），整理所有二、三级保养数据并以月度服务报告形式提交给甲方设备科；特种设备、计量设备按国家规定维护保养并报检、陪检。</w:t>
      </w:r>
    </w:p>
    <w:p w14:paraId="576D7C94">
      <w:pPr>
        <w:pStyle w:val="14"/>
        <w:numPr>
          <w:ilvl w:val="1"/>
          <w:numId w:val="0"/>
        </w:numPr>
        <w:spacing w:line="480" w:lineRule="exact"/>
        <w:ind w:firstLine="480" w:firstLineChars="200"/>
        <w:rPr>
          <w:color w:val="auto"/>
        </w:rPr>
      </w:pPr>
      <w:r>
        <w:rPr>
          <w:rFonts w:hint="eastAsia" w:cs="宋体"/>
          <w:color w:val="auto"/>
        </w:rPr>
        <w:t>(十五)</w:t>
      </w:r>
      <w:r>
        <w:rPr>
          <w:rFonts w:hint="eastAsia"/>
          <w:color w:val="auto"/>
        </w:rPr>
        <w:t>乙方提供常规医疗设备的预防性维护（PM）流程模板，完成甲方新购设备的PM流程制定。</w:t>
      </w:r>
    </w:p>
    <w:p w14:paraId="071777E0">
      <w:pPr>
        <w:pStyle w:val="14"/>
        <w:numPr>
          <w:ilvl w:val="1"/>
          <w:numId w:val="0"/>
        </w:numPr>
        <w:spacing w:line="480" w:lineRule="exact"/>
        <w:ind w:firstLine="480" w:firstLineChars="200"/>
        <w:rPr>
          <w:color w:val="auto"/>
        </w:rPr>
      </w:pPr>
      <w:r>
        <w:rPr>
          <w:rFonts w:hint="eastAsia" w:cs="宋体"/>
          <w:color w:val="auto"/>
        </w:rPr>
        <w:t>(十六)</w:t>
      </w:r>
      <w:r>
        <w:rPr>
          <w:rFonts w:hint="eastAsia"/>
          <w:color w:val="auto"/>
        </w:rPr>
        <w:t>乙方建立急救、生命支持类设备管理制度，制定并完成全院急救类、特种设备、大型医疗设备与重点设备医疗设备（如放射类、超声等影像设备及医院指定消毒灭菌类重点设备）巡检工作计划，每月一次并及时记录巡检报告。</w:t>
      </w:r>
    </w:p>
    <w:p w14:paraId="1819848A">
      <w:pPr>
        <w:pStyle w:val="14"/>
        <w:numPr>
          <w:ilvl w:val="1"/>
          <w:numId w:val="0"/>
        </w:numPr>
        <w:spacing w:line="480" w:lineRule="exact"/>
        <w:ind w:firstLine="480" w:firstLineChars="200"/>
        <w:rPr>
          <w:color w:val="auto"/>
        </w:rPr>
      </w:pPr>
      <w:r>
        <w:rPr>
          <w:rFonts w:hint="eastAsia" w:cs="宋体"/>
          <w:color w:val="auto"/>
        </w:rPr>
        <w:t>(十七)</w:t>
      </w:r>
      <w:r>
        <w:rPr>
          <w:rFonts w:hint="eastAsia"/>
          <w:color w:val="auto"/>
        </w:rPr>
        <w:t>乙方协助甲方设备管理部门按国家卫生部门要求对医院设备进行每年度1次的风险评估。</w:t>
      </w:r>
    </w:p>
    <w:p w14:paraId="0001DFA9">
      <w:pPr>
        <w:pStyle w:val="14"/>
        <w:numPr>
          <w:ilvl w:val="1"/>
          <w:numId w:val="0"/>
        </w:numPr>
        <w:spacing w:line="480" w:lineRule="exact"/>
        <w:ind w:firstLine="480" w:firstLineChars="200"/>
        <w:rPr>
          <w:color w:val="auto"/>
        </w:rPr>
      </w:pPr>
      <w:r>
        <w:rPr>
          <w:rFonts w:hint="eastAsia" w:cs="宋体"/>
          <w:color w:val="auto"/>
        </w:rPr>
        <w:t>(十八)</w:t>
      </w:r>
      <w:r>
        <w:rPr>
          <w:rFonts w:hint="eastAsia"/>
          <w:color w:val="auto"/>
        </w:rPr>
        <w:t>乙方负责建立质量监测机制：电器安全检测和性能检测流程，以及紧急事件响应。</w:t>
      </w:r>
    </w:p>
    <w:p w14:paraId="2501A061">
      <w:pPr>
        <w:pStyle w:val="14"/>
        <w:numPr>
          <w:ilvl w:val="1"/>
          <w:numId w:val="0"/>
        </w:numPr>
        <w:spacing w:line="480" w:lineRule="exact"/>
        <w:ind w:firstLine="480" w:firstLineChars="200"/>
        <w:rPr>
          <w:color w:val="auto"/>
        </w:rPr>
      </w:pPr>
      <w:r>
        <w:rPr>
          <w:rFonts w:hint="eastAsia" w:cs="宋体"/>
          <w:color w:val="auto"/>
        </w:rPr>
        <w:t>(十九)</w:t>
      </w:r>
      <w:r>
        <w:rPr>
          <w:rFonts w:hint="eastAsia"/>
          <w:color w:val="auto"/>
        </w:rPr>
        <w:t>乙方的各类医疗设备维修资质工程师不低于10名，类别至少涵盖放射类、超声类、监护、除颤、压力容器、内镜、光学仪器。</w:t>
      </w:r>
    </w:p>
    <w:p w14:paraId="317796F4">
      <w:pPr>
        <w:pStyle w:val="14"/>
        <w:numPr>
          <w:ilvl w:val="1"/>
          <w:numId w:val="0"/>
        </w:numPr>
        <w:spacing w:line="480" w:lineRule="exact"/>
        <w:ind w:firstLine="480" w:firstLineChars="200"/>
        <w:rPr>
          <w:color w:val="auto"/>
        </w:rPr>
      </w:pPr>
      <w:r>
        <w:rPr>
          <w:rFonts w:hint="eastAsia" w:cs="宋体"/>
          <w:color w:val="auto"/>
        </w:rPr>
        <w:t>(二十)</w:t>
      </w:r>
      <w:r>
        <w:rPr>
          <w:rFonts w:hint="eastAsia"/>
          <w:color w:val="auto"/>
        </w:rPr>
        <w:t>乙方长期跟踪管理并向甲方提供相关设备运行情况及相关事件的各类统计数据、指标，对甲方设备工作状态进行调研诊断，出具诊断报告，以及改进计划。</w:t>
      </w:r>
    </w:p>
    <w:p w14:paraId="70C2E8FA">
      <w:pPr>
        <w:pStyle w:val="14"/>
        <w:numPr>
          <w:ilvl w:val="1"/>
          <w:numId w:val="0"/>
        </w:numPr>
        <w:spacing w:line="480" w:lineRule="exact"/>
        <w:ind w:firstLine="480" w:firstLineChars="200"/>
        <w:rPr>
          <w:color w:val="auto"/>
        </w:rPr>
      </w:pPr>
      <w:r>
        <w:rPr>
          <w:rFonts w:hint="eastAsia" w:cs="宋体"/>
          <w:color w:val="auto"/>
        </w:rPr>
        <w:t>(二十一)</w:t>
      </w:r>
      <w:r>
        <w:rPr>
          <w:rFonts w:hint="eastAsia"/>
          <w:color w:val="auto"/>
        </w:rPr>
        <w:t>乙方负责完善服务报告和分析，并根据服务内容，每月、每季、半年、一年向甲方提供服务工作量统计、工作分析、工作建议等。</w:t>
      </w:r>
    </w:p>
    <w:p w14:paraId="13057C7E">
      <w:pPr>
        <w:pStyle w:val="14"/>
        <w:numPr>
          <w:ilvl w:val="1"/>
          <w:numId w:val="0"/>
        </w:numPr>
        <w:spacing w:line="480" w:lineRule="exact"/>
        <w:ind w:firstLine="480" w:firstLineChars="200"/>
        <w:rPr>
          <w:rFonts w:hint="eastAsia"/>
          <w:color w:val="auto"/>
        </w:rPr>
      </w:pPr>
      <w:r>
        <w:rPr>
          <w:rFonts w:hint="eastAsia" w:cs="宋体"/>
          <w:color w:val="auto"/>
        </w:rPr>
        <w:t>(二十二)</w:t>
      </w:r>
      <w:r>
        <w:rPr>
          <w:rFonts w:hint="eastAsia"/>
          <w:color w:val="auto"/>
        </w:rPr>
        <w:t>乙方协助甲方完成医院所有医疗设备的固定资产信息管理、标签制作、打印、粘贴工作。</w:t>
      </w:r>
    </w:p>
    <w:p w14:paraId="34121957">
      <w:pPr>
        <w:pStyle w:val="14"/>
        <w:numPr>
          <w:ilvl w:val="1"/>
          <w:numId w:val="0"/>
        </w:numPr>
        <w:spacing w:line="480" w:lineRule="exact"/>
        <w:ind w:firstLine="480" w:firstLineChars="200"/>
        <w:rPr>
          <w:rFonts w:hint="eastAsia"/>
          <w:color w:val="auto"/>
        </w:rPr>
      </w:pPr>
      <w:r>
        <w:rPr>
          <w:rFonts w:hint="eastAsia"/>
          <w:color w:val="auto"/>
          <w:lang w:eastAsia="zh-CN"/>
        </w:rPr>
        <w:t>（二十三）乙方须为</w:t>
      </w:r>
      <w:r>
        <w:rPr>
          <w:rFonts w:hint="eastAsia"/>
          <w:color w:val="auto"/>
        </w:rPr>
        <w:t>医院现有彩超、X光机（DR）</w:t>
      </w:r>
      <w:r>
        <w:rPr>
          <w:rFonts w:hint="eastAsia"/>
          <w:color w:val="auto"/>
          <w:lang w:eastAsia="zh-CN"/>
        </w:rPr>
        <w:t>提供</w:t>
      </w:r>
      <w:r>
        <w:rPr>
          <w:rFonts w:hint="eastAsia"/>
          <w:color w:val="auto"/>
        </w:rPr>
        <w:t>规范来源渠道（品牌有GE、西门子、飞利浦）</w:t>
      </w:r>
      <w:r>
        <w:rPr>
          <w:rFonts w:hint="eastAsia"/>
          <w:color w:val="auto"/>
          <w:lang w:eastAsia="zh-CN"/>
        </w:rPr>
        <w:t>的</w:t>
      </w:r>
      <w:r>
        <w:rPr>
          <w:rFonts w:hint="eastAsia"/>
          <w:color w:val="auto"/>
        </w:rPr>
        <w:t>维修配件，涉及以上品牌的设备更换维修配件</w:t>
      </w:r>
      <w:r>
        <w:rPr>
          <w:rFonts w:hint="eastAsia"/>
          <w:color w:val="auto"/>
          <w:lang w:eastAsia="zh-CN"/>
        </w:rPr>
        <w:t>须</w:t>
      </w:r>
      <w:r>
        <w:rPr>
          <w:rFonts w:hint="eastAsia"/>
          <w:color w:val="auto"/>
        </w:rPr>
        <w:t>是原厂原装，可追溯。</w:t>
      </w:r>
    </w:p>
    <w:p w14:paraId="5A98746B">
      <w:pPr>
        <w:pStyle w:val="14"/>
        <w:numPr>
          <w:ilvl w:val="1"/>
          <w:numId w:val="0"/>
        </w:numPr>
        <w:spacing w:line="480" w:lineRule="exact"/>
        <w:ind w:firstLine="480" w:firstLineChars="200"/>
        <w:rPr>
          <w:color w:val="auto"/>
        </w:rPr>
      </w:pPr>
      <w:r>
        <w:rPr>
          <w:rFonts w:hint="eastAsia" w:cs="宋体"/>
          <w:color w:val="auto"/>
        </w:rPr>
        <w:t>(二十</w:t>
      </w:r>
      <w:r>
        <w:rPr>
          <w:rFonts w:hint="eastAsia" w:cs="宋体"/>
          <w:color w:val="auto"/>
          <w:lang w:eastAsia="zh-CN"/>
        </w:rPr>
        <w:t>四</w:t>
      </w:r>
      <w:r>
        <w:rPr>
          <w:rFonts w:hint="eastAsia" w:cs="宋体"/>
          <w:color w:val="auto"/>
        </w:rPr>
        <w:t>)</w:t>
      </w:r>
      <w:r>
        <w:rPr>
          <w:rFonts w:hint="eastAsia"/>
          <w:color w:val="auto"/>
        </w:rPr>
        <w:t>乙方负责提供完善的医疗设备整体维保服务手册，手册内容需包括：1、综合管理（包括组织架构、岗位职责、驻场工程师管理规范、服务时间标准、维修间标准、工作沟通机制、工作计划报告、考核标准）</w:t>
      </w:r>
    </w:p>
    <w:p w14:paraId="523CE07D">
      <w:pPr>
        <w:pStyle w:val="14"/>
        <w:numPr>
          <w:ilvl w:val="1"/>
          <w:numId w:val="0"/>
        </w:numPr>
        <w:spacing w:line="480" w:lineRule="exact"/>
        <w:ind w:firstLine="480" w:firstLineChars="200"/>
        <w:rPr>
          <w:color w:val="auto"/>
        </w:rPr>
      </w:pPr>
      <w:r>
        <w:rPr>
          <w:rFonts w:hint="eastAsia" w:cs="宋体"/>
          <w:color w:val="auto"/>
        </w:rPr>
        <w:t>(二十</w:t>
      </w:r>
      <w:r>
        <w:rPr>
          <w:rFonts w:hint="eastAsia" w:cs="宋体"/>
          <w:color w:val="auto"/>
          <w:lang w:eastAsia="zh-CN"/>
        </w:rPr>
        <w:t>五</w:t>
      </w:r>
      <w:r>
        <w:rPr>
          <w:rFonts w:hint="eastAsia" w:cs="宋体"/>
          <w:color w:val="auto"/>
        </w:rPr>
        <w:t>)</w:t>
      </w:r>
      <w:r>
        <w:rPr>
          <w:rFonts w:hint="eastAsia" w:cs="宋体"/>
          <w:color w:val="auto"/>
          <w:lang w:val="en-US" w:eastAsia="zh-CN"/>
        </w:rPr>
        <w:t xml:space="preserve">“石棉县总医院设备整体维保清单” </w:t>
      </w:r>
      <w:r>
        <w:rPr>
          <w:rFonts w:hint="eastAsia"/>
          <w:color w:val="auto"/>
        </w:rPr>
        <w:t>（DR设备球管除外）所涉及的非一次性耗材均包含整体维保内，由乙方提供。</w:t>
      </w:r>
    </w:p>
    <w:p w14:paraId="0283AB50">
      <w:pPr>
        <w:pStyle w:val="14"/>
        <w:numPr>
          <w:ilvl w:val="1"/>
          <w:numId w:val="0"/>
        </w:numPr>
        <w:spacing w:line="480" w:lineRule="exact"/>
        <w:ind w:firstLine="480" w:firstLineChars="200"/>
        <w:rPr>
          <w:color w:val="auto"/>
        </w:rPr>
      </w:pPr>
      <w:r>
        <w:rPr>
          <w:rFonts w:hint="eastAsia" w:cs="宋体"/>
          <w:color w:val="auto"/>
        </w:rPr>
        <w:t>(二十</w:t>
      </w:r>
      <w:r>
        <w:rPr>
          <w:rFonts w:hint="eastAsia" w:cs="宋体"/>
          <w:color w:val="auto"/>
          <w:lang w:eastAsia="zh-CN"/>
        </w:rPr>
        <w:t>六</w:t>
      </w:r>
      <w:r>
        <w:rPr>
          <w:rFonts w:hint="eastAsia" w:cs="宋体"/>
          <w:color w:val="auto"/>
        </w:rPr>
        <w:t>)</w:t>
      </w:r>
      <w:r>
        <w:rPr>
          <w:rFonts w:hint="eastAsia"/>
          <w:color w:val="auto"/>
        </w:rPr>
        <w:t>乙方实际维保工作开展不符合采购文件及响应文件要求的，医院临床医技各部门全年投诉超过3次，甲方有权与乙方终止采购合同。维保设备全年停机超过18天，影响医院业务开展，则以上月平均每天业务收入作为基数，以实际停机天数按三倍的费用从维保费用中扣除并终止采购合同。注：①特殊情况(如无备件、特殊无件等)不能及时修复时，应报请甲方同意并采取应急保障措施；</w:t>
      </w:r>
    </w:p>
    <w:p w14:paraId="37197B11">
      <w:pPr>
        <w:pStyle w:val="14"/>
        <w:numPr>
          <w:ilvl w:val="1"/>
          <w:numId w:val="0"/>
        </w:numPr>
        <w:spacing w:line="480" w:lineRule="exact"/>
        <w:ind w:firstLine="480" w:firstLineChars="200"/>
        <w:rPr>
          <w:color w:val="auto"/>
        </w:rPr>
      </w:pPr>
      <w:r>
        <w:rPr>
          <w:rFonts w:hint="eastAsia" w:cs="宋体"/>
          <w:color w:val="auto"/>
        </w:rPr>
        <w:t>(二十六)</w:t>
      </w:r>
      <w:r>
        <w:rPr>
          <w:rFonts w:hint="eastAsia"/>
          <w:color w:val="auto"/>
        </w:rPr>
        <w:t>如因乙方原因不能及时修复时，由乙方出具书面材料并经甲方同意后可推迟修复，一般应保证整个系统正常运行。</w:t>
      </w:r>
    </w:p>
    <w:p w14:paraId="656FD375">
      <w:pPr>
        <w:pStyle w:val="13"/>
        <w:numPr>
          <w:ilvl w:val="0"/>
          <w:numId w:val="0"/>
        </w:numPr>
        <w:spacing w:line="520" w:lineRule="exact"/>
        <w:ind w:firstLine="482" w:firstLineChars="200"/>
        <w:rPr>
          <w:color w:val="auto"/>
        </w:rPr>
      </w:pPr>
      <w:r>
        <w:rPr>
          <w:rFonts w:hint="eastAsia"/>
          <w:color w:val="auto"/>
        </w:rPr>
        <w:t>三、知识产权</w:t>
      </w:r>
    </w:p>
    <w:p w14:paraId="293E5A53">
      <w:pPr>
        <w:adjustRightInd/>
        <w:snapToGrid/>
        <w:ind w:firstLine="480" w:firstLineChars="200"/>
        <w:rPr>
          <w:rFonts w:cs="宋体"/>
          <w:color w:val="auto"/>
        </w:rPr>
      </w:pPr>
      <w:r>
        <w:rPr>
          <w:rFonts w:hint="eastAsia" w:cs="宋体"/>
          <w:color w:val="auto"/>
        </w:rPr>
        <w:t>1、乙方应保证在本项目中使用的任何技术、产品和服务（包括部分使用），不会产生因第三方提出侵犯其专利权、商标权或其它知识产权而引起的法律和经济纠纷，如存在前述情形，由乙方承担所有相关责任，并且赔偿由此给甲方带来的损失。甲方享有本项目实施过程中产生的知识成果及知识产权。</w:t>
      </w:r>
    </w:p>
    <w:p w14:paraId="52762E27">
      <w:pPr>
        <w:adjustRightInd/>
        <w:snapToGrid/>
        <w:ind w:firstLine="480" w:firstLineChars="200"/>
        <w:rPr>
          <w:rFonts w:cs="宋体"/>
          <w:color w:val="auto"/>
        </w:rPr>
      </w:pPr>
      <w:r>
        <w:rPr>
          <w:rFonts w:hint="eastAsia" w:cs="宋体"/>
          <w:color w:val="auto"/>
        </w:rPr>
        <w:t>2、乙方将在采购项目实施过程中采用自有或者第三方知识成果的，使用该知识成果后，乙方需提供开发接口和开发手册等技术资料，并承诺提供无限期支持，甲方享有使用权（含甲方委托第三方在该项目后续开发的使用权）。</w:t>
      </w:r>
    </w:p>
    <w:p w14:paraId="57453865">
      <w:pPr>
        <w:adjustRightInd/>
        <w:snapToGrid/>
        <w:ind w:firstLine="480" w:firstLineChars="200"/>
        <w:rPr>
          <w:rFonts w:cs="宋体"/>
          <w:color w:val="auto"/>
        </w:rPr>
      </w:pPr>
      <w:r>
        <w:rPr>
          <w:rFonts w:hint="eastAsia" w:cs="宋体"/>
          <w:color w:val="auto"/>
        </w:rPr>
        <w:t>3、如使用乙方所不拥有的知识产权，本合同价款中已包括合法使用该知识产权的相关费用。</w:t>
      </w:r>
    </w:p>
    <w:p w14:paraId="39F51094">
      <w:pPr>
        <w:pStyle w:val="13"/>
        <w:numPr>
          <w:ilvl w:val="0"/>
          <w:numId w:val="0"/>
        </w:numPr>
        <w:spacing w:line="520" w:lineRule="exact"/>
        <w:ind w:firstLine="482" w:firstLineChars="200"/>
        <w:rPr>
          <w:color w:val="auto"/>
        </w:rPr>
      </w:pPr>
      <w:r>
        <w:rPr>
          <w:rFonts w:hint="eastAsia"/>
          <w:color w:val="auto"/>
        </w:rPr>
        <w:t>四、合同履行</w:t>
      </w:r>
      <w:bookmarkEnd w:id="27"/>
      <w:bookmarkEnd w:id="28"/>
      <w:bookmarkEnd w:id="29"/>
    </w:p>
    <w:p w14:paraId="3A38A1C7">
      <w:pPr>
        <w:pStyle w:val="14"/>
        <w:numPr>
          <w:ilvl w:val="1"/>
          <w:numId w:val="0"/>
        </w:numPr>
        <w:spacing w:line="480" w:lineRule="exact"/>
        <w:ind w:firstLine="480" w:firstLineChars="200"/>
        <w:rPr>
          <w:color w:val="auto"/>
        </w:rPr>
      </w:pPr>
      <w:r>
        <w:rPr>
          <w:rFonts w:hint="eastAsia"/>
          <w:color w:val="auto"/>
        </w:rPr>
        <w:t>1、履约期限：合同签订后 10 个工作日内完成人员入驻，按入驻时间计算履约开始时间，服务期限为365个日历天。</w:t>
      </w:r>
    </w:p>
    <w:p w14:paraId="7C812167">
      <w:pPr>
        <w:pStyle w:val="14"/>
        <w:numPr>
          <w:ilvl w:val="1"/>
          <w:numId w:val="0"/>
        </w:numPr>
        <w:spacing w:line="480" w:lineRule="exact"/>
        <w:ind w:firstLine="480" w:firstLineChars="200"/>
        <w:rPr>
          <w:color w:val="auto"/>
        </w:rPr>
      </w:pPr>
      <w:r>
        <w:rPr>
          <w:rFonts w:hint="eastAsia" w:cs="宋体"/>
          <w:color w:val="auto"/>
        </w:rPr>
        <w:t>2、</w:t>
      </w:r>
      <w:r>
        <w:rPr>
          <w:rFonts w:hint="eastAsia"/>
          <w:color w:val="auto"/>
        </w:rPr>
        <w:t>履行地点：石棉县总医院（南、北两院区）</w:t>
      </w:r>
    </w:p>
    <w:p w14:paraId="56E15944">
      <w:pPr>
        <w:pStyle w:val="6"/>
        <w:wordWrap w:val="0"/>
        <w:topLinePunct/>
        <w:spacing w:beforeAutospacing="0" w:afterAutospacing="0" w:line="520" w:lineRule="exact"/>
        <w:ind w:firstLine="482" w:firstLineChars="200"/>
        <w:rPr>
          <w:b/>
          <w:bCs/>
          <w:color w:val="auto"/>
          <w:kern w:val="2"/>
        </w:rPr>
      </w:pPr>
      <w:r>
        <w:rPr>
          <w:rFonts w:hint="eastAsia" w:cs="宋体"/>
          <w:b/>
          <w:bCs/>
          <w:color w:val="auto"/>
          <w:kern w:val="2"/>
        </w:rPr>
        <w:t>五、资金支付方式、时间、条件：</w:t>
      </w:r>
      <w:r>
        <w:rPr>
          <w:rFonts w:hint="eastAsia"/>
          <w:b/>
          <w:bCs/>
          <w:color w:val="auto"/>
          <w:kern w:val="2"/>
        </w:rPr>
        <w:t xml:space="preserve"> </w:t>
      </w:r>
    </w:p>
    <w:p w14:paraId="29AC7906">
      <w:pPr>
        <w:ind w:firstLine="480" w:firstLineChars="200"/>
        <w:rPr>
          <w:color w:val="auto"/>
        </w:rPr>
      </w:pPr>
      <w:r>
        <w:rPr>
          <w:rFonts w:hint="eastAsia"/>
          <w:color w:val="auto"/>
        </w:rPr>
        <w:t>1、政府采购合同签订生效后</w:t>
      </w:r>
      <w:r>
        <w:rPr>
          <w:color w:val="auto"/>
        </w:rPr>
        <w:t>7日内</w:t>
      </w:r>
      <w:r>
        <w:rPr>
          <w:rFonts w:hint="eastAsia"/>
          <w:color w:val="auto"/>
        </w:rPr>
        <w:t>，甲方</w:t>
      </w:r>
      <w:r>
        <w:rPr>
          <w:color w:val="auto"/>
        </w:rPr>
        <w:t>支付合同金额的40%款项</w:t>
      </w:r>
      <w:r>
        <w:rPr>
          <w:rFonts w:hint="eastAsia"/>
          <w:color w:val="auto"/>
        </w:rPr>
        <w:t>作为预付款</w:t>
      </w:r>
      <w:r>
        <w:rPr>
          <w:color w:val="auto"/>
        </w:rPr>
        <w:t>;</w:t>
      </w:r>
    </w:p>
    <w:p w14:paraId="12171A63">
      <w:pPr>
        <w:pStyle w:val="13"/>
        <w:numPr>
          <w:ilvl w:val="0"/>
          <w:numId w:val="0"/>
        </w:numPr>
        <w:spacing w:line="520" w:lineRule="exact"/>
        <w:ind w:firstLine="480" w:firstLineChars="200"/>
        <w:rPr>
          <w:color w:val="auto"/>
        </w:rPr>
      </w:pPr>
      <w:r>
        <w:rPr>
          <w:rFonts w:hint="eastAsia"/>
          <w:b w:val="0"/>
          <w:bCs/>
          <w:color w:val="auto"/>
        </w:rPr>
        <w:t>2、乙方履</w:t>
      </w:r>
      <w:r>
        <w:rPr>
          <w:b w:val="0"/>
          <w:bCs/>
          <w:color w:val="auto"/>
        </w:rPr>
        <w:t>约完成，</w:t>
      </w:r>
      <w:r>
        <w:rPr>
          <w:rFonts w:hint="eastAsia"/>
          <w:b w:val="0"/>
          <w:bCs/>
          <w:color w:val="auto"/>
        </w:rPr>
        <w:t>并经甲方正式</w:t>
      </w:r>
      <w:r>
        <w:rPr>
          <w:b w:val="0"/>
          <w:bCs/>
          <w:color w:val="auto"/>
        </w:rPr>
        <w:t>验</w:t>
      </w:r>
      <w:r>
        <w:rPr>
          <w:rFonts w:hint="eastAsia"/>
          <w:b w:val="0"/>
          <w:bCs/>
          <w:color w:val="auto"/>
        </w:rPr>
        <w:t>收合格后</w:t>
      </w:r>
      <w:r>
        <w:rPr>
          <w:b w:val="0"/>
          <w:bCs/>
          <w:color w:val="auto"/>
        </w:rPr>
        <w:t>7日内一次性支付剩余款项。(本项目合同据实结算，</w:t>
      </w:r>
      <w:bookmarkStart w:id="30" w:name="_Toc3016"/>
      <w:bookmarkStart w:id="31" w:name="_Toc5979"/>
      <w:bookmarkStart w:id="32" w:name="_Toc13142"/>
      <w:r>
        <w:rPr>
          <w:b w:val="0"/>
          <w:bCs/>
          <w:color w:val="auto"/>
          <w:lang w:val="en-US" w:eastAsia="zh-CN"/>
        </w:rPr>
        <w:t>附“石棉县总医院设备整体维保清单”,最终维保清单以双方核对后合同清单为准，并按最终维保清单总额乘以维保费率(投标金额/“石棉县总医院设备整体维保清单”中参考设备清单总额)确认合同结算金额。)</w:t>
      </w:r>
      <w:r>
        <w:rPr>
          <w:color w:val="auto"/>
          <w:lang w:val="en-US" w:eastAsia="zh-CN"/>
        </w:rPr>
        <w:t xml:space="preserve"> </w:t>
      </w:r>
    </w:p>
    <w:p w14:paraId="10805144">
      <w:pPr>
        <w:pStyle w:val="13"/>
        <w:numPr>
          <w:ilvl w:val="0"/>
          <w:numId w:val="0"/>
        </w:numPr>
        <w:spacing w:line="520" w:lineRule="exact"/>
        <w:ind w:firstLine="482" w:firstLineChars="200"/>
        <w:rPr>
          <w:color w:val="auto"/>
        </w:rPr>
      </w:pPr>
      <w:r>
        <w:rPr>
          <w:rFonts w:hint="eastAsia"/>
          <w:color w:val="auto"/>
        </w:rPr>
        <w:t>六、 验收要求</w:t>
      </w:r>
      <w:bookmarkEnd w:id="30"/>
      <w:bookmarkEnd w:id="31"/>
      <w:bookmarkEnd w:id="32"/>
    </w:p>
    <w:p w14:paraId="656F609F">
      <w:pPr>
        <w:pStyle w:val="15"/>
        <w:numPr>
          <w:ilvl w:val="255"/>
          <w:numId w:val="0"/>
        </w:numPr>
        <w:spacing w:line="520" w:lineRule="exact"/>
        <w:ind w:firstLine="480" w:firstLineChars="200"/>
        <w:rPr>
          <w:color w:val="auto"/>
        </w:rPr>
      </w:pPr>
      <w:r>
        <w:rPr>
          <w:rFonts w:hint="eastAsia"/>
          <w:color w:val="auto"/>
        </w:rPr>
        <w:t>1、验收主体：甲方</w:t>
      </w:r>
    </w:p>
    <w:p w14:paraId="5F054DA8">
      <w:pPr>
        <w:pStyle w:val="15"/>
        <w:numPr>
          <w:ilvl w:val="255"/>
          <w:numId w:val="0"/>
        </w:numPr>
        <w:spacing w:line="520" w:lineRule="exact"/>
        <w:ind w:firstLine="480" w:firstLineChars="200"/>
        <w:rPr>
          <w:color w:val="auto"/>
        </w:rPr>
      </w:pPr>
      <w:r>
        <w:rPr>
          <w:rFonts w:hint="eastAsia"/>
          <w:color w:val="auto"/>
        </w:rPr>
        <w:t>2、验收组织方式：甲方自行组织验收</w:t>
      </w:r>
    </w:p>
    <w:p w14:paraId="1CB87C20">
      <w:pPr>
        <w:pStyle w:val="15"/>
        <w:numPr>
          <w:ilvl w:val="4"/>
          <w:numId w:val="0"/>
        </w:numPr>
        <w:spacing w:line="520" w:lineRule="exact"/>
        <w:ind w:left="480" w:leftChars="200"/>
        <w:rPr>
          <w:color w:val="auto"/>
        </w:rPr>
      </w:pPr>
      <w:r>
        <w:rPr>
          <w:rFonts w:hint="eastAsia"/>
          <w:color w:val="auto"/>
        </w:rPr>
        <w:t>3、技术验收内容：</w:t>
      </w:r>
    </w:p>
    <w:p w14:paraId="53A9A719">
      <w:pPr>
        <w:pStyle w:val="15"/>
        <w:numPr>
          <w:ilvl w:val="255"/>
          <w:numId w:val="0"/>
        </w:numPr>
        <w:spacing w:line="520" w:lineRule="exact"/>
        <w:ind w:firstLine="480" w:firstLineChars="200"/>
        <w:rPr>
          <w:color w:val="auto"/>
        </w:rPr>
      </w:pPr>
      <w:r>
        <w:rPr>
          <w:rFonts w:hint="eastAsia"/>
          <w:color w:val="auto"/>
        </w:rPr>
        <w:t>严格按照《财政部关于进一步加强政府采购需求和履约验收管理的指导意见》(财库〔2016〕205号)、《政府采购需求管理办法》((财库〔2021〕22 号)及谈判文件相关规定组织验收，包括采购内容、具体技术参数指标（技术服务要求）、售后服务等涉及本项目建设质量的所有内容。</w:t>
      </w:r>
    </w:p>
    <w:p w14:paraId="70636822">
      <w:pPr>
        <w:pStyle w:val="15"/>
        <w:numPr>
          <w:ilvl w:val="4"/>
          <w:numId w:val="0"/>
        </w:numPr>
        <w:spacing w:line="520" w:lineRule="exact"/>
        <w:ind w:left="480" w:leftChars="200"/>
        <w:rPr>
          <w:color w:val="auto"/>
        </w:rPr>
      </w:pPr>
      <w:r>
        <w:rPr>
          <w:rFonts w:hint="eastAsia"/>
          <w:color w:val="auto"/>
        </w:rPr>
        <w:t>4、商务验收内容：</w:t>
      </w:r>
    </w:p>
    <w:p w14:paraId="370103E9">
      <w:pPr>
        <w:pStyle w:val="15"/>
        <w:numPr>
          <w:ilvl w:val="4"/>
          <w:numId w:val="0"/>
        </w:numPr>
        <w:spacing w:line="520" w:lineRule="exact"/>
        <w:ind w:firstLine="480" w:firstLineChars="200"/>
        <w:rPr>
          <w:color w:val="auto"/>
        </w:rPr>
      </w:pPr>
      <w:r>
        <w:rPr>
          <w:rFonts w:hint="eastAsia"/>
          <w:color w:val="auto"/>
        </w:rPr>
        <w:t xml:space="preserve">（1）严格按照《财政部关于进一步加强政府采购需求和履约验收管理的指导意见》(财库〔2016〕205号)、《政府采购需求管理办法》((财库〔2021〕22 号)及谈判文件相关规定组织验收，验收时如发现乙方所提供的服务不符合标准及合同规定之情形者，甲方应做出详尽的现场记录，或由合同双方签署备忘录，此现场记录或备忘录可用作补充、缺失和整改的有效证据，由此产生的时间延误与有关费用由乙方承担，验收期限相应顺延； </w:t>
      </w:r>
    </w:p>
    <w:p w14:paraId="26503861">
      <w:pPr>
        <w:pStyle w:val="15"/>
        <w:numPr>
          <w:ilvl w:val="4"/>
          <w:numId w:val="0"/>
        </w:numPr>
        <w:spacing w:line="520" w:lineRule="exact"/>
        <w:ind w:firstLine="480" w:firstLineChars="200"/>
        <w:rPr>
          <w:color w:val="auto"/>
        </w:rPr>
      </w:pPr>
      <w:r>
        <w:rPr>
          <w:rFonts w:hint="eastAsia"/>
          <w:color w:val="auto"/>
        </w:rPr>
        <w:t>（2）如验收合格，双方签署验收报告；</w:t>
      </w:r>
    </w:p>
    <w:p w14:paraId="4C544B37">
      <w:pPr>
        <w:pStyle w:val="15"/>
        <w:numPr>
          <w:ilvl w:val="4"/>
          <w:numId w:val="0"/>
        </w:numPr>
        <w:spacing w:line="520" w:lineRule="exact"/>
        <w:ind w:firstLine="480" w:firstLineChars="200"/>
        <w:rPr>
          <w:color w:val="auto"/>
        </w:rPr>
      </w:pPr>
      <w:r>
        <w:rPr>
          <w:rFonts w:hint="eastAsia"/>
          <w:color w:val="auto"/>
        </w:rPr>
        <w:t>（3）项目验收结果合格的，乙方凭《验收报告》办理相关手续；验收不合格且拒不整改的，甲方将不予支付采购资金，还可能上报本项目同级财政部门按照政府采购法律法规等有关规定给予行政处罚。</w:t>
      </w:r>
    </w:p>
    <w:p w14:paraId="2A8AB5D8">
      <w:pPr>
        <w:pStyle w:val="15"/>
        <w:numPr>
          <w:ilvl w:val="4"/>
          <w:numId w:val="0"/>
        </w:numPr>
        <w:spacing w:line="520" w:lineRule="exact"/>
        <w:ind w:left="480" w:leftChars="200"/>
        <w:rPr>
          <w:color w:val="auto"/>
        </w:rPr>
      </w:pPr>
      <w:r>
        <w:rPr>
          <w:rFonts w:hint="eastAsia"/>
          <w:color w:val="auto"/>
        </w:rPr>
        <w:t>5、验收标准：</w:t>
      </w:r>
    </w:p>
    <w:p w14:paraId="3A326A30">
      <w:pPr>
        <w:pStyle w:val="15"/>
        <w:numPr>
          <w:ilvl w:val="255"/>
          <w:numId w:val="0"/>
        </w:numPr>
        <w:spacing w:line="520" w:lineRule="exact"/>
        <w:ind w:firstLine="480" w:firstLineChars="200"/>
        <w:rPr>
          <w:color w:val="auto"/>
        </w:rPr>
      </w:pPr>
      <w:r>
        <w:rPr>
          <w:rFonts w:hint="eastAsia"/>
          <w:color w:val="auto"/>
        </w:rPr>
        <w:t>按国家有关规定以及采购文件的质量要求和技术指标(包括每一项技术和商务要求的履约情况)、乙方的响应文件及承诺与本合同约定标准进行验收；合同双方如对质量要求和技术指标的约定标准有相互抵触或异议的事项，由甲方在国家有关规定、采购文件、响应文件及承诺与采购合同约定中按质量要求和技术指标比较优胜的原则确定该项的约定标准进行验收。</w:t>
      </w:r>
    </w:p>
    <w:p w14:paraId="3A7BAC05">
      <w:pPr>
        <w:pStyle w:val="15"/>
        <w:numPr>
          <w:ilvl w:val="4"/>
          <w:numId w:val="0"/>
        </w:numPr>
        <w:spacing w:line="520" w:lineRule="exact"/>
        <w:ind w:left="480" w:leftChars="200"/>
        <w:rPr>
          <w:color w:val="auto"/>
        </w:rPr>
      </w:pPr>
      <w:r>
        <w:rPr>
          <w:rFonts w:hint="eastAsia"/>
          <w:color w:val="auto"/>
        </w:rPr>
        <w:t>6、履约验收其他事项：</w:t>
      </w:r>
    </w:p>
    <w:p w14:paraId="79E261D5">
      <w:pPr>
        <w:pStyle w:val="15"/>
        <w:numPr>
          <w:ilvl w:val="255"/>
          <w:numId w:val="0"/>
        </w:numPr>
        <w:spacing w:line="520" w:lineRule="exact"/>
        <w:ind w:firstLine="480" w:firstLineChars="200"/>
        <w:rPr>
          <w:color w:val="auto"/>
        </w:rPr>
      </w:pPr>
      <w:r>
        <w:rPr>
          <w:rFonts w:hint="eastAsia"/>
          <w:color w:val="auto"/>
        </w:rPr>
        <w:t>其他未尽事宜应严格按照《财政部关于进一步加强政府采购需求和履约验收管理的指导意见》(财库〔2016〕205号)、《政府采购需求管理办法》((财库〔2021〕22 号)及采购文件相关规定组织验收。</w:t>
      </w:r>
    </w:p>
    <w:p w14:paraId="3AC2DA60">
      <w:pPr>
        <w:pStyle w:val="13"/>
        <w:numPr>
          <w:ilvl w:val="0"/>
          <w:numId w:val="0"/>
        </w:numPr>
        <w:spacing w:line="480" w:lineRule="exact"/>
        <w:ind w:firstLine="482" w:firstLineChars="200"/>
        <w:rPr>
          <w:color w:val="auto"/>
        </w:rPr>
      </w:pPr>
      <w:bookmarkStart w:id="33" w:name="_Toc6470"/>
      <w:bookmarkStart w:id="34" w:name="_Toc15371"/>
      <w:bookmarkStart w:id="35" w:name="_Toc18264"/>
      <w:r>
        <w:rPr>
          <w:rFonts w:hint="eastAsia"/>
          <w:color w:val="auto"/>
        </w:rPr>
        <w:t>七、甲方的权利和义务</w:t>
      </w:r>
      <w:bookmarkEnd w:id="33"/>
      <w:bookmarkEnd w:id="34"/>
      <w:bookmarkEnd w:id="35"/>
    </w:p>
    <w:p w14:paraId="0B0BB4D1">
      <w:pPr>
        <w:pStyle w:val="14"/>
        <w:numPr>
          <w:ilvl w:val="1"/>
          <w:numId w:val="0"/>
        </w:numPr>
        <w:spacing w:line="480" w:lineRule="exact"/>
        <w:ind w:firstLine="480" w:firstLineChars="200"/>
        <w:rPr>
          <w:color w:val="auto"/>
        </w:rPr>
      </w:pPr>
      <w:r>
        <w:rPr>
          <w:rFonts w:hint="eastAsia" w:cs="宋体"/>
          <w:color w:val="auto"/>
        </w:rPr>
        <w:t>1、</w:t>
      </w:r>
      <w:r>
        <w:rPr>
          <w:rFonts w:hint="eastAsia"/>
          <w:color w:val="auto"/>
        </w:rPr>
        <w:t>甲方有权对合同规定范围内乙方的服务行为进行监督和检查，拥有监管权。有权定期核对乙方提供服务所配备的人员数量。对甲方认为不合理的部分有权下达整改通知书，并要求乙方限期整改。</w:t>
      </w:r>
    </w:p>
    <w:p w14:paraId="2ACCCFDD">
      <w:pPr>
        <w:pStyle w:val="14"/>
        <w:numPr>
          <w:ilvl w:val="1"/>
          <w:numId w:val="0"/>
        </w:numPr>
        <w:spacing w:line="480" w:lineRule="exact"/>
        <w:ind w:firstLine="480" w:firstLineChars="200"/>
        <w:rPr>
          <w:color w:val="auto"/>
        </w:rPr>
      </w:pPr>
      <w:r>
        <w:rPr>
          <w:rFonts w:hint="eastAsia" w:cs="宋体"/>
          <w:color w:val="auto"/>
        </w:rPr>
        <w:t>2、</w:t>
      </w:r>
      <w:r>
        <w:rPr>
          <w:rFonts w:hint="eastAsia"/>
          <w:color w:val="auto"/>
        </w:rPr>
        <w:t>甲方有权依据双方签订的考评办法对乙方提供的服务进行定期考评。当考评结果未达到标准时，有权依据考评办法约定的数额扣除履约保证金。</w:t>
      </w:r>
    </w:p>
    <w:p w14:paraId="4CE0D535">
      <w:pPr>
        <w:pStyle w:val="14"/>
        <w:numPr>
          <w:ilvl w:val="1"/>
          <w:numId w:val="0"/>
        </w:numPr>
        <w:spacing w:line="480" w:lineRule="exact"/>
        <w:ind w:firstLine="480" w:firstLineChars="200"/>
        <w:rPr>
          <w:color w:val="auto"/>
        </w:rPr>
      </w:pPr>
      <w:r>
        <w:rPr>
          <w:rFonts w:hint="eastAsia" w:cs="宋体"/>
          <w:color w:val="auto"/>
        </w:rPr>
        <w:t>3、</w:t>
      </w:r>
      <w:r>
        <w:rPr>
          <w:rFonts w:hint="eastAsia"/>
          <w:color w:val="auto"/>
        </w:rPr>
        <w:t>负责检查监督乙方管理工作的实施及制度的执行情况。</w:t>
      </w:r>
    </w:p>
    <w:p w14:paraId="0A35077D">
      <w:pPr>
        <w:pStyle w:val="14"/>
        <w:numPr>
          <w:ilvl w:val="1"/>
          <w:numId w:val="0"/>
        </w:numPr>
        <w:spacing w:line="480" w:lineRule="exact"/>
        <w:ind w:firstLine="480" w:firstLineChars="200"/>
        <w:rPr>
          <w:color w:val="auto"/>
        </w:rPr>
      </w:pPr>
      <w:r>
        <w:rPr>
          <w:rFonts w:hint="eastAsia" w:cs="宋体"/>
          <w:color w:val="auto"/>
        </w:rPr>
        <w:t>4、</w:t>
      </w:r>
      <w:r>
        <w:rPr>
          <w:rFonts w:hint="eastAsia"/>
          <w:color w:val="auto"/>
        </w:rPr>
        <w:t>据本合同规定，按时向乙方支付应付服务费用。</w:t>
      </w:r>
    </w:p>
    <w:p w14:paraId="2D7FED50">
      <w:pPr>
        <w:pStyle w:val="14"/>
        <w:numPr>
          <w:ilvl w:val="1"/>
          <w:numId w:val="0"/>
        </w:numPr>
        <w:spacing w:line="480" w:lineRule="exact"/>
        <w:ind w:firstLine="480" w:firstLineChars="200"/>
        <w:rPr>
          <w:color w:val="auto"/>
        </w:rPr>
      </w:pPr>
      <w:r>
        <w:rPr>
          <w:rFonts w:hint="eastAsia" w:cs="宋体"/>
          <w:color w:val="auto"/>
        </w:rPr>
        <w:t>5、</w:t>
      </w:r>
      <w:r>
        <w:rPr>
          <w:rFonts w:hint="eastAsia"/>
          <w:color w:val="auto"/>
        </w:rPr>
        <w:t>国家法律、法规所规定由甲方承担的其它责任。</w:t>
      </w:r>
    </w:p>
    <w:p w14:paraId="276E8976">
      <w:pPr>
        <w:pStyle w:val="13"/>
        <w:numPr>
          <w:ilvl w:val="0"/>
          <w:numId w:val="0"/>
        </w:numPr>
        <w:spacing w:line="480" w:lineRule="exact"/>
        <w:ind w:firstLine="482" w:firstLineChars="200"/>
        <w:rPr>
          <w:color w:val="auto"/>
        </w:rPr>
      </w:pPr>
      <w:bookmarkStart w:id="36" w:name="_Toc10172"/>
      <w:bookmarkStart w:id="37" w:name="_Toc24613"/>
      <w:bookmarkStart w:id="38" w:name="_Toc10759"/>
      <w:r>
        <w:rPr>
          <w:rFonts w:hint="eastAsia"/>
          <w:color w:val="auto"/>
        </w:rPr>
        <w:t>八、乙方的权利和义务</w:t>
      </w:r>
      <w:bookmarkEnd w:id="36"/>
      <w:bookmarkEnd w:id="37"/>
      <w:bookmarkEnd w:id="38"/>
    </w:p>
    <w:p w14:paraId="58A78F62">
      <w:pPr>
        <w:pStyle w:val="14"/>
        <w:numPr>
          <w:ilvl w:val="1"/>
          <w:numId w:val="0"/>
        </w:numPr>
        <w:spacing w:line="480" w:lineRule="exact"/>
        <w:ind w:firstLine="480" w:firstLineChars="200"/>
        <w:rPr>
          <w:color w:val="auto"/>
        </w:rPr>
      </w:pPr>
      <w:r>
        <w:rPr>
          <w:rFonts w:hint="eastAsia" w:cs="宋体"/>
          <w:color w:val="auto"/>
        </w:rPr>
        <w:t>1、</w:t>
      </w:r>
      <w:r>
        <w:rPr>
          <w:rFonts w:hint="eastAsia"/>
          <w:color w:val="auto"/>
        </w:rPr>
        <w:t>对本合同规定的委托服务范围内的项目享有管理权及服务义务。</w:t>
      </w:r>
    </w:p>
    <w:p w14:paraId="61F377FD">
      <w:pPr>
        <w:pStyle w:val="14"/>
        <w:numPr>
          <w:ilvl w:val="1"/>
          <w:numId w:val="0"/>
        </w:numPr>
        <w:spacing w:line="480" w:lineRule="exact"/>
        <w:ind w:firstLine="480" w:firstLineChars="200"/>
        <w:rPr>
          <w:color w:val="auto"/>
        </w:rPr>
      </w:pPr>
      <w:r>
        <w:rPr>
          <w:rFonts w:hint="eastAsia" w:cs="宋体"/>
          <w:color w:val="auto"/>
        </w:rPr>
        <w:t>2、</w:t>
      </w:r>
      <w:r>
        <w:rPr>
          <w:rFonts w:hint="eastAsia"/>
          <w:color w:val="auto"/>
        </w:rPr>
        <w:t>根据本合同的规定向甲方收取相关服务费用，并有权在本项目管理范围内管理及合理使用。</w:t>
      </w:r>
    </w:p>
    <w:p w14:paraId="1EF4AE7E">
      <w:pPr>
        <w:pStyle w:val="14"/>
        <w:numPr>
          <w:ilvl w:val="1"/>
          <w:numId w:val="0"/>
        </w:numPr>
        <w:spacing w:line="480" w:lineRule="exact"/>
        <w:ind w:firstLine="480" w:firstLineChars="200"/>
        <w:rPr>
          <w:color w:val="auto"/>
        </w:rPr>
      </w:pPr>
      <w:r>
        <w:rPr>
          <w:rFonts w:hint="eastAsia" w:cs="宋体"/>
          <w:color w:val="auto"/>
        </w:rPr>
        <w:t>3、</w:t>
      </w:r>
      <w:r>
        <w:rPr>
          <w:rFonts w:hint="eastAsia"/>
          <w:color w:val="auto"/>
        </w:rPr>
        <w:t>及时向甲方通告本项目服务范围内有关服务的重大事项，及时配合处理投诉。</w:t>
      </w:r>
    </w:p>
    <w:p w14:paraId="7E5A8C94">
      <w:pPr>
        <w:pStyle w:val="14"/>
        <w:numPr>
          <w:ilvl w:val="1"/>
          <w:numId w:val="0"/>
        </w:numPr>
        <w:spacing w:line="480" w:lineRule="exact"/>
        <w:ind w:firstLine="480" w:firstLineChars="200"/>
        <w:rPr>
          <w:color w:val="auto"/>
        </w:rPr>
      </w:pPr>
      <w:r>
        <w:rPr>
          <w:rFonts w:hint="eastAsia" w:cs="宋体"/>
          <w:color w:val="auto"/>
        </w:rPr>
        <w:t>4、</w:t>
      </w:r>
      <w:r>
        <w:rPr>
          <w:rFonts w:hint="eastAsia"/>
          <w:color w:val="auto"/>
        </w:rPr>
        <w:t>接受项目行业管理部门及政府有关部门的指导，接受甲方的监督。</w:t>
      </w:r>
    </w:p>
    <w:p w14:paraId="1AF4F9C4">
      <w:pPr>
        <w:pStyle w:val="14"/>
        <w:numPr>
          <w:ilvl w:val="1"/>
          <w:numId w:val="0"/>
        </w:numPr>
        <w:spacing w:line="480" w:lineRule="exact"/>
        <w:ind w:firstLine="480" w:firstLineChars="200"/>
        <w:rPr>
          <w:color w:val="auto"/>
        </w:rPr>
      </w:pPr>
      <w:r>
        <w:rPr>
          <w:rFonts w:hint="eastAsia" w:cs="宋体"/>
          <w:color w:val="auto"/>
        </w:rPr>
        <w:t>5、</w:t>
      </w:r>
      <w:r>
        <w:rPr>
          <w:rFonts w:hint="eastAsia"/>
          <w:color w:val="auto"/>
        </w:rPr>
        <w:t>国家法律、法规所规定由乙方承担的其它责任。</w:t>
      </w:r>
    </w:p>
    <w:p w14:paraId="640544F0">
      <w:pPr>
        <w:pStyle w:val="13"/>
        <w:numPr>
          <w:ilvl w:val="0"/>
          <w:numId w:val="0"/>
        </w:numPr>
        <w:spacing w:line="520" w:lineRule="exact"/>
        <w:ind w:firstLine="482" w:firstLineChars="200"/>
        <w:rPr>
          <w:color w:val="auto"/>
        </w:rPr>
      </w:pPr>
      <w:bookmarkStart w:id="39" w:name="_Toc2754"/>
      <w:bookmarkStart w:id="40" w:name="_Toc31896"/>
      <w:bookmarkStart w:id="41" w:name="_Toc23183"/>
      <w:bookmarkStart w:id="42" w:name="_Toc21985"/>
      <w:bookmarkStart w:id="43" w:name="_Toc3969"/>
      <w:bookmarkStart w:id="44" w:name="_Toc13866"/>
      <w:bookmarkStart w:id="45" w:name="_Toc3234"/>
      <w:bookmarkStart w:id="46" w:name="_Toc11859"/>
      <w:r>
        <w:rPr>
          <w:rFonts w:hint="eastAsia"/>
          <w:color w:val="auto"/>
        </w:rPr>
        <w:t>九、解除合同</w:t>
      </w:r>
      <w:bookmarkEnd w:id="39"/>
      <w:bookmarkEnd w:id="40"/>
      <w:bookmarkEnd w:id="41"/>
      <w:bookmarkEnd w:id="42"/>
      <w:bookmarkEnd w:id="43"/>
      <w:bookmarkEnd w:id="44"/>
      <w:bookmarkEnd w:id="45"/>
      <w:bookmarkEnd w:id="46"/>
    </w:p>
    <w:p w14:paraId="10D80E2B">
      <w:pPr>
        <w:pStyle w:val="18"/>
        <w:spacing w:line="520" w:lineRule="exact"/>
        <w:ind w:firstLine="480" w:firstLineChars="200"/>
        <w:rPr>
          <w:rFonts w:ascii="宋体" w:hAnsi="宋体" w:cs="宋体"/>
          <w:color w:val="auto"/>
          <w:sz w:val="24"/>
          <w:szCs w:val="24"/>
        </w:rPr>
      </w:pPr>
      <w:r>
        <w:rPr>
          <w:rFonts w:hint="eastAsia" w:ascii="宋体" w:hAnsi="宋体" w:cs="宋体"/>
          <w:color w:val="auto"/>
          <w:sz w:val="24"/>
          <w:szCs w:val="24"/>
        </w:rPr>
        <w:t>有下列情形之一的，当事人可以解除合同：</w:t>
      </w:r>
    </w:p>
    <w:p w14:paraId="52FDE673">
      <w:pPr>
        <w:pStyle w:val="18"/>
        <w:spacing w:line="520" w:lineRule="exact"/>
        <w:ind w:firstLine="480" w:firstLineChars="200"/>
        <w:rPr>
          <w:rFonts w:ascii="宋体" w:hAnsi="宋体" w:cs="宋体"/>
          <w:color w:val="auto"/>
          <w:sz w:val="24"/>
          <w:szCs w:val="24"/>
        </w:rPr>
      </w:pPr>
      <w:r>
        <w:rPr>
          <w:rFonts w:hint="eastAsia" w:ascii="宋体" w:hAnsi="宋体" w:cs="宋体"/>
          <w:color w:val="auto"/>
          <w:sz w:val="24"/>
          <w:szCs w:val="24"/>
        </w:rPr>
        <w:t>1、不可抗力致使不能实现合同目的(由于非乙方或甲方原因，致使合同实质性条款无法实现的)；</w:t>
      </w:r>
    </w:p>
    <w:p w14:paraId="1BC080E6">
      <w:pPr>
        <w:pStyle w:val="18"/>
        <w:spacing w:line="520" w:lineRule="exact"/>
        <w:ind w:firstLine="480" w:firstLineChars="200"/>
        <w:rPr>
          <w:rFonts w:ascii="宋体" w:hAnsi="宋体" w:cs="宋体"/>
          <w:color w:val="auto"/>
          <w:sz w:val="24"/>
          <w:szCs w:val="24"/>
        </w:rPr>
      </w:pPr>
      <w:r>
        <w:rPr>
          <w:rFonts w:hint="eastAsia" w:ascii="宋体" w:hAnsi="宋体" w:cs="宋体"/>
          <w:color w:val="auto"/>
          <w:sz w:val="24"/>
          <w:szCs w:val="24"/>
        </w:rPr>
        <w:t>2、当事人一方迟延履行主要债务，经催告后在合理期限内仍未履行；</w:t>
      </w:r>
    </w:p>
    <w:p w14:paraId="47B300C3">
      <w:pPr>
        <w:pStyle w:val="18"/>
        <w:spacing w:line="520" w:lineRule="exact"/>
        <w:ind w:firstLine="480" w:firstLineChars="200"/>
        <w:rPr>
          <w:rFonts w:ascii="宋体" w:hAnsi="宋体" w:cs="宋体"/>
          <w:color w:val="auto"/>
          <w:sz w:val="24"/>
          <w:szCs w:val="24"/>
        </w:rPr>
      </w:pPr>
      <w:r>
        <w:rPr>
          <w:rFonts w:hint="eastAsia" w:ascii="宋体" w:hAnsi="宋体" w:cs="宋体"/>
          <w:color w:val="auto"/>
          <w:sz w:val="24"/>
          <w:szCs w:val="24"/>
        </w:rPr>
        <w:t>3、当事人一方迟延履行债务或者有其他违约行为致使不能实现合同目的；</w:t>
      </w:r>
    </w:p>
    <w:p w14:paraId="79827CE1">
      <w:pPr>
        <w:pStyle w:val="18"/>
        <w:spacing w:line="520" w:lineRule="exact"/>
        <w:ind w:firstLine="480" w:firstLineChars="200"/>
        <w:rPr>
          <w:rFonts w:ascii="宋体" w:hAnsi="宋体" w:cs="宋体"/>
          <w:color w:val="auto"/>
          <w:sz w:val="24"/>
          <w:szCs w:val="24"/>
        </w:rPr>
      </w:pPr>
      <w:r>
        <w:rPr>
          <w:rFonts w:hint="eastAsia" w:ascii="宋体" w:hAnsi="宋体" w:cs="宋体"/>
          <w:color w:val="auto"/>
          <w:sz w:val="24"/>
          <w:szCs w:val="24"/>
        </w:rPr>
        <w:t>4、本合同约定的其他情形；</w:t>
      </w:r>
    </w:p>
    <w:p w14:paraId="6361FC8D">
      <w:pPr>
        <w:pStyle w:val="18"/>
        <w:spacing w:line="520" w:lineRule="exact"/>
        <w:ind w:firstLine="480" w:firstLineChars="200"/>
        <w:rPr>
          <w:rFonts w:ascii="宋体" w:hAnsi="宋体" w:cs="宋体"/>
          <w:color w:val="auto"/>
          <w:sz w:val="24"/>
          <w:szCs w:val="24"/>
        </w:rPr>
      </w:pPr>
      <w:r>
        <w:rPr>
          <w:rFonts w:hint="eastAsia" w:ascii="宋体" w:hAnsi="宋体" w:cs="宋体"/>
          <w:color w:val="auto"/>
          <w:sz w:val="24"/>
          <w:szCs w:val="24"/>
        </w:rPr>
        <w:t>5、法律规定的其他情形。</w:t>
      </w:r>
    </w:p>
    <w:p w14:paraId="1A00FB40">
      <w:pPr>
        <w:pStyle w:val="13"/>
        <w:numPr>
          <w:ilvl w:val="0"/>
          <w:numId w:val="0"/>
        </w:numPr>
        <w:spacing w:line="520" w:lineRule="exact"/>
        <w:ind w:firstLine="482" w:firstLineChars="200"/>
        <w:rPr>
          <w:color w:val="auto"/>
        </w:rPr>
      </w:pPr>
      <w:bookmarkStart w:id="47" w:name="_Toc23979"/>
      <w:bookmarkStart w:id="48" w:name="_Toc19936"/>
      <w:bookmarkStart w:id="49" w:name="_Toc12189"/>
      <w:r>
        <w:rPr>
          <w:rFonts w:hint="eastAsia"/>
          <w:color w:val="auto"/>
        </w:rPr>
        <w:t>十、不可抗力事件处理</w:t>
      </w:r>
      <w:bookmarkEnd w:id="47"/>
      <w:bookmarkEnd w:id="48"/>
      <w:bookmarkEnd w:id="49"/>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BD83813">
      <w:pPr>
        <w:pStyle w:val="6"/>
        <w:numPr>
          <w:ilvl w:val="1"/>
          <w:numId w:val="0"/>
        </w:numPr>
        <w:wordWrap w:val="0"/>
        <w:topLinePunct/>
        <w:adjustRightInd/>
        <w:snapToGrid/>
        <w:spacing w:beforeAutospacing="0" w:afterAutospacing="0" w:line="520" w:lineRule="exact"/>
        <w:ind w:firstLine="480" w:firstLineChars="200"/>
        <w:rPr>
          <w:rFonts w:cs="宋体"/>
          <w:color w:val="auto"/>
          <w:kern w:val="2"/>
        </w:rPr>
      </w:pPr>
      <w:bookmarkStart w:id="50" w:name="_Toc211911353"/>
      <w:bookmarkStart w:id="51" w:name="_Toc237145411"/>
      <w:bookmarkStart w:id="52" w:name="_Toc185395254"/>
      <w:bookmarkStart w:id="53" w:name="_Toc225654649"/>
      <w:bookmarkStart w:id="54" w:name="_Toc225670756"/>
      <w:bookmarkStart w:id="55" w:name="_Toc225244857"/>
      <w:bookmarkStart w:id="56" w:name="_Toc286993792"/>
      <w:bookmarkStart w:id="57" w:name="_Toc238984980"/>
      <w:bookmarkStart w:id="58" w:name="_Toc212019599"/>
      <w:bookmarkStart w:id="59" w:name="_Toc241833908"/>
      <w:bookmarkStart w:id="60" w:name="_Toc239233919"/>
      <w:bookmarkStart w:id="61" w:name="_Toc232492933"/>
      <w:bookmarkStart w:id="62" w:name="_Toc239568423"/>
      <w:bookmarkStart w:id="63" w:name="_Toc251768867"/>
      <w:bookmarkStart w:id="64" w:name="_Toc247334846"/>
      <w:bookmarkStart w:id="65" w:name="_Toc211854454"/>
      <w:r>
        <w:rPr>
          <w:rFonts w:hint="eastAsia" w:cs="宋体"/>
          <w:color w:val="auto"/>
          <w:kern w:val="2"/>
        </w:rPr>
        <w:t>(一)不可抗力指甲、乙双方无法预见、无法预防、无法避免和无法控制的事件，例如但不限于，地震、台风、水灾、火灾或其他自然灾害，爆炸、骚乱、战争或类似战争的情况、暴动。</w:t>
      </w:r>
    </w:p>
    <w:p w14:paraId="694C361E">
      <w:pPr>
        <w:pStyle w:val="6"/>
        <w:numPr>
          <w:ilvl w:val="1"/>
          <w:numId w:val="0"/>
        </w:numPr>
        <w:wordWrap w:val="0"/>
        <w:topLinePunct/>
        <w:adjustRightInd/>
        <w:snapToGrid/>
        <w:spacing w:beforeAutospacing="0" w:afterAutospacing="0" w:line="520" w:lineRule="exact"/>
        <w:ind w:firstLine="480" w:firstLineChars="200"/>
        <w:rPr>
          <w:rFonts w:cs="宋体"/>
          <w:color w:val="auto"/>
          <w:kern w:val="2"/>
        </w:rPr>
      </w:pPr>
      <w:r>
        <w:rPr>
          <w:rFonts w:hint="eastAsia" w:cs="宋体"/>
          <w:color w:val="auto"/>
          <w:kern w:val="2"/>
        </w:rPr>
        <w:t>(二)如发生不可抗力，阻碍受影响方履行其在本协议项下的义务，受影响方应及时书面通知另一方并提供有关该事件的详尽资料，说明其不能履行或延迟履行本协议全部或部分条款的原因。</w:t>
      </w:r>
    </w:p>
    <w:p w14:paraId="03CA6C84">
      <w:pPr>
        <w:pStyle w:val="6"/>
        <w:numPr>
          <w:ilvl w:val="1"/>
          <w:numId w:val="0"/>
        </w:numPr>
        <w:wordWrap w:val="0"/>
        <w:topLinePunct/>
        <w:adjustRightInd/>
        <w:snapToGrid/>
        <w:spacing w:beforeAutospacing="0" w:afterAutospacing="0" w:line="520" w:lineRule="exact"/>
        <w:ind w:firstLine="480" w:firstLineChars="200"/>
        <w:rPr>
          <w:rFonts w:cs="宋体"/>
          <w:color w:val="auto"/>
          <w:kern w:val="2"/>
        </w:rPr>
      </w:pPr>
      <w:r>
        <w:rPr>
          <w:rFonts w:hint="eastAsia" w:cs="宋体"/>
          <w:color w:val="auto"/>
          <w:kern w:val="2"/>
        </w:rPr>
        <w:t>(三)发生不可抗力事件后，受影响方均无须对因其未能履行或延迟履行本协议而使另一方蒙受的任何损害、费用增加或损失负责，而未能履行或延迟履行不应被视为违反本协议。但受影响方应采取适当措施尽量减少或消除该事件的影响，并应在尽可能短的时间内恢复履行受该事件影响的义务。</w:t>
      </w:r>
    </w:p>
    <w:p w14:paraId="7A954220">
      <w:pPr>
        <w:pStyle w:val="6"/>
        <w:numPr>
          <w:ilvl w:val="1"/>
          <w:numId w:val="0"/>
        </w:numPr>
        <w:wordWrap w:val="0"/>
        <w:topLinePunct/>
        <w:adjustRightInd/>
        <w:snapToGrid/>
        <w:spacing w:beforeAutospacing="0" w:afterAutospacing="0" w:line="520" w:lineRule="exact"/>
        <w:ind w:firstLine="480" w:firstLineChars="200"/>
        <w:rPr>
          <w:rFonts w:cs="宋体"/>
          <w:color w:val="auto"/>
          <w:kern w:val="2"/>
        </w:rPr>
      </w:pPr>
      <w:r>
        <w:rPr>
          <w:rFonts w:hint="eastAsia" w:cs="宋体"/>
          <w:color w:val="auto"/>
          <w:kern w:val="2"/>
        </w:rPr>
        <w:t>(四)在合同有效期内，任何一方因不可抗力事件导致不能履行合同，则合同履行期可延长，其延长期与不可抗力影响期相同。</w:t>
      </w:r>
    </w:p>
    <w:p w14:paraId="2AB065D7">
      <w:pPr>
        <w:pStyle w:val="6"/>
        <w:numPr>
          <w:ilvl w:val="1"/>
          <w:numId w:val="0"/>
        </w:numPr>
        <w:wordWrap w:val="0"/>
        <w:topLinePunct/>
        <w:adjustRightInd/>
        <w:snapToGrid/>
        <w:spacing w:beforeAutospacing="0" w:afterAutospacing="0" w:line="520" w:lineRule="exact"/>
        <w:ind w:firstLine="480" w:firstLineChars="200"/>
        <w:rPr>
          <w:rFonts w:cs="宋体"/>
          <w:color w:val="auto"/>
          <w:kern w:val="2"/>
        </w:rPr>
      </w:pPr>
      <w:r>
        <w:rPr>
          <w:rFonts w:hint="eastAsia" w:cs="宋体"/>
          <w:color w:val="auto"/>
          <w:kern w:val="2"/>
        </w:rPr>
        <w:t>(五)不可抗力事件发生后，应立即通知对方，并寄送有关权威机构出具的证明。</w:t>
      </w:r>
    </w:p>
    <w:p w14:paraId="2C4B8F6C">
      <w:pPr>
        <w:pStyle w:val="6"/>
        <w:numPr>
          <w:ilvl w:val="1"/>
          <w:numId w:val="0"/>
        </w:numPr>
        <w:wordWrap w:val="0"/>
        <w:topLinePunct/>
        <w:adjustRightInd/>
        <w:snapToGrid/>
        <w:spacing w:beforeAutospacing="0" w:afterAutospacing="0" w:line="520" w:lineRule="exact"/>
        <w:ind w:firstLine="480" w:firstLineChars="200"/>
        <w:rPr>
          <w:rFonts w:cs="宋体"/>
          <w:color w:val="auto"/>
        </w:rPr>
      </w:pPr>
      <w:r>
        <w:rPr>
          <w:rFonts w:hint="eastAsia" w:cs="宋体"/>
          <w:color w:val="auto"/>
        </w:rPr>
        <w:t>(六)</w:t>
      </w:r>
      <w:r>
        <w:rPr>
          <w:rFonts w:hint="eastAsia" w:cs="宋体"/>
          <w:color w:val="auto"/>
          <w:kern w:val="2"/>
        </w:rPr>
        <w:t>不可抗力事件延续120天以上，双方应通过友好协商，确定是否继续履行合同。</w:t>
      </w:r>
    </w:p>
    <w:p w14:paraId="381569A9">
      <w:pPr>
        <w:pStyle w:val="13"/>
        <w:numPr>
          <w:ilvl w:val="0"/>
          <w:numId w:val="0"/>
        </w:numPr>
        <w:spacing w:line="520" w:lineRule="exact"/>
        <w:ind w:firstLine="482" w:firstLineChars="200"/>
        <w:rPr>
          <w:color w:val="auto"/>
        </w:rPr>
      </w:pPr>
      <w:bookmarkStart w:id="66" w:name="_Toc14011"/>
      <w:bookmarkStart w:id="67" w:name="_Toc24465"/>
      <w:bookmarkStart w:id="68" w:name="_Toc2453"/>
      <w:r>
        <w:rPr>
          <w:rFonts w:hint="eastAsia"/>
          <w:color w:val="auto"/>
        </w:rPr>
        <w:t>十一、</w:t>
      </w:r>
      <w:r>
        <w:rPr>
          <w:rFonts w:hint="eastAsia"/>
          <w:color w:val="auto"/>
          <w:lang w:eastAsia="zh-CN"/>
        </w:rPr>
        <w:t>违约责任与</w:t>
      </w:r>
      <w:r>
        <w:rPr>
          <w:rFonts w:hint="eastAsia"/>
          <w:color w:val="auto"/>
        </w:rPr>
        <w:t>解决</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color w:val="auto"/>
        </w:rPr>
        <w:t>争议的方法</w:t>
      </w:r>
      <w:bookmarkEnd w:id="66"/>
      <w:bookmarkEnd w:id="67"/>
      <w:bookmarkEnd w:id="68"/>
    </w:p>
    <w:p w14:paraId="4EC28E5E">
      <w:pPr>
        <w:pStyle w:val="14"/>
        <w:numPr>
          <w:ilvl w:val="1"/>
          <w:numId w:val="0"/>
        </w:numPr>
        <w:spacing w:line="480" w:lineRule="exact"/>
        <w:ind w:firstLine="480" w:firstLineChars="200"/>
        <w:rPr>
          <w:rFonts w:hint="eastAsia" w:cs="宋体"/>
          <w:color w:val="auto"/>
        </w:rPr>
      </w:pPr>
      <w:bookmarkStart w:id="69" w:name="_Toc282696231"/>
      <w:bookmarkStart w:id="70" w:name="_Toc185395255"/>
      <w:bookmarkStart w:id="71" w:name="_Toc286993793"/>
      <w:bookmarkStart w:id="72" w:name="_Toc237145412"/>
      <w:bookmarkStart w:id="73" w:name="_Toc232492934"/>
      <w:bookmarkStart w:id="74" w:name="_Toc225670757"/>
      <w:bookmarkStart w:id="75" w:name="_Toc239233920"/>
      <w:bookmarkStart w:id="76" w:name="_Toc225654650"/>
      <w:bookmarkStart w:id="77" w:name="_Toc238984981"/>
      <w:bookmarkStart w:id="78" w:name="_Toc212019600"/>
      <w:bookmarkStart w:id="79" w:name="_Toc283019219"/>
      <w:bookmarkStart w:id="80" w:name="_Toc211911354"/>
      <w:bookmarkStart w:id="81" w:name="_Toc211854455"/>
      <w:bookmarkStart w:id="82" w:name="_Toc239568424"/>
      <w:bookmarkStart w:id="83" w:name="_Toc241833909"/>
      <w:bookmarkStart w:id="84" w:name="_Toc247334847"/>
      <w:bookmarkStart w:id="85" w:name="_Toc225244858"/>
      <w:bookmarkStart w:id="86" w:name="_Toc251768868"/>
      <w:bookmarkStart w:id="87" w:name="_Toc32120"/>
      <w:bookmarkStart w:id="88" w:name="_Toc8379"/>
      <w:bookmarkStart w:id="89" w:name="_Toc18084"/>
      <w:r>
        <w:rPr>
          <w:rFonts w:hint="eastAsia" w:cs="宋体"/>
          <w:color w:val="auto"/>
        </w:rPr>
        <w:t>一、违约责任 (一)甲方违约责任 1.甲方应遵守本合同并执行合同中的各项规定，保证本合同的正常履行。 2.甲方逾期支 付服务合同款项的，除应及时付足合同款项外，应向乙方偿付欠款总额万分之 一 /天的违约金；逾期付款超过 九十 天的，乙 方有权终止合同； 3.甲方偿付的违约金不足以弥补乙方损失的，还应按乙方经济损失尚未弥补的部分，支付赔偿金给乙方。 (二)乙方违约责任 1.乙方必须遵守采购合同并执行合同中的各项规定，保证采购合同的正常履行。 2.如因乙方工作人员在履 行职务过程中的疏忽、失职、过错等故意或者过失原因给甲方造成损失或侵害，包括但不限于甲方本身的财产损失、由此</w:t>
      </w:r>
      <w:bookmarkStart w:id="90" w:name="_GoBack"/>
      <w:bookmarkEnd w:id="90"/>
      <w:r>
        <w:rPr>
          <w:rFonts w:hint="eastAsia" w:cs="宋体"/>
          <w:color w:val="auto"/>
        </w:rPr>
        <w:t>而导 致的甲方对任何第三方的法律责任等，乙方对此均应承担全部的赔偿责任。 3.乙方不能按时提供服务（成果）或逾期提供的 而违约的，除应及时提供服务外，应向甲方偿付逾期提供部分服务总额的万分之 一 /天的违约金；逾期超过15天，甲方有权 终止合同，乙方则应按合同总价的百分之十 的款额向甲方偿付违约金，并须全额退还甲方已经付给乙方的服务费及其利息。 4.乙方在履约过程中，因工作推进不力的，甲方有权要求乙方整改，乙方三次整改仍不符合要求的，甲方有权终止合同。 5. 乙方应当遵守甲方的相关项目需求及相关技术要求及实质性条款，实施完成采购合同应当完全满足相关项目需求及相关技术要 求及实质性条款，若乙方瑕疵履行采购合同，甲方有权向乙方要求赔偿合同总价款20%的违约金，若造成相关损失的，甲方有权要求乙方承担所有赔偿责任。 6.乙方提供的普查成果须通过主管部门审核，审核不通过，乙方承担全部责任，产生的额 外费用由乙方承担。 7.有下列情形之一的，当事人可以解除合同： 7.1因不可抗力致使不能实现合同目的(由于非</w:t>
      </w:r>
      <w:r>
        <w:rPr>
          <w:rFonts w:hint="eastAsia" w:cs="宋体"/>
          <w:color w:val="auto"/>
          <w:lang w:eastAsia="zh-CN"/>
        </w:rPr>
        <w:t>乙方</w:t>
      </w:r>
      <w:r>
        <w:rPr>
          <w:rFonts w:hint="eastAsia" w:cs="宋体"/>
          <w:color w:val="auto"/>
        </w:rPr>
        <w:t>或</w:t>
      </w:r>
      <w:r>
        <w:rPr>
          <w:rFonts w:hint="eastAsia" w:cs="宋体"/>
          <w:color w:val="auto"/>
          <w:lang w:eastAsia="zh-CN"/>
        </w:rPr>
        <w:t>甲方</w:t>
      </w:r>
      <w:r>
        <w:rPr>
          <w:rFonts w:hint="eastAsia" w:cs="宋体"/>
          <w:color w:val="auto"/>
        </w:rPr>
        <w:t>原因，致使合同实质性条款无法实现的)； 7.2当事人一方迟延履行主要债务，经催告后在合理期限内仍未履行； 7.3当 事人一方迟延履行债务或者有其他违约行为致使不能实现合同目的； 7.4法律规定的其他情形。 二、解决争议的方法合同履行期间,若双方发生争议，可协商或由有关部门调解解决，协商或调解不成的，向雅安市人民法院起诉。</w:t>
      </w:r>
    </w:p>
    <w:p w14:paraId="078A37EC">
      <w:pPr>
        <w:pStyle w:val="13"/>
        <w:numPr>
          <w:ilvl w:val="0"/>
          <w:numId w:val="0"/>
        </w:numPr>
        <w:spacing w:line="520" w:lineRule="exact"/>
        <w:ind w:firstLine="482" w:firstLineChars="200"/>
        <w:rPr>
          <w:color w:val="auto"/>
        </w:rPr>
      </w:pPr>
      <w:r>
        <w:rPr>
          <w:rFonts w:hint="eastAsia"/>
          <w:color w:val="auto"/>
        </w:rPr>
        <w:t>十二、合同</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rFonts w:hint="eastAsia"/>
          <w:color w:val="auto"/>
        </w:rPr>
        <w:t>生效及其他</w:t>
      </w:r>
      <w:bookmarkEnd w:id="87"/>
      <w:bookmarkEnd w:id="88"/>
      <w:bookmarkEnd w:id="89"/>
    </w:p>
    <w:p w14:paraId="31F9F025">
      <w:pPr>
        <w:pStyle w:val="14"/>
        <w:numPr>
          <w:ilvl w:val="1"/>
          <w:numId w:val="0"/>
        </w:numPr>
        <w:spacing w:line="480" w:lineRule="exact"/>
        <w:ind w:firstLine="480" w:firstLineChars="200"/>
        <w:rPr>
          <w:color w:val="auto"/>
        </w:rPr>
      </w:pPr>
      <w:r>
        <w:rPr>
          <w:rFonts w:hint="eastAsia" w:cs="宋体"/>
          <w:color w:val="auto"/>
        </w:rPr>
        <w:t>(一)</w:t>
      </w:r>
      <w:r>
        <w:rPr>
          <w:rFonts w:hint="eastAsia"/>
          <w:color w:val="auto"/>
        </w:rPr>
        <w:t>合同经双方法定代表人或授权委托代理人签字并加盖单位公章后生效。</w:t>
      </w:r>
    </w:p>
    <w:p w14:paraId="11C0451A">
      <w:pPr>
        <w:pStyle w:val="14"/>
        <w:numPr>
          <w:ilvl w:val="1"/>
          <w:numId w:val="0"/>
        </w:numPr>
        <w:spacing w:line="480" w:lineRule="exact"/>
        <w:ind w:firstLine="480" w:firstLineChars="200"/>
        <w:rPr>
          <w:color w:val="auto"/>
        </w:rPr>
      </w:pPr>
      <w:r>
        <w:rPr>
          <w:rFonts w:hint="eastAsia" w:cs="宋体"/>
          <w:color w:val="auto"/>
        </w:rPr>
        <w:t>(二)</w:t>
      </w:r>
      <w:r>
        <w:rPr>
          <w:rFonts w:hint="eastAsia"/>
          <w:color w:val="auto"/>
        </w:rPr>
        <w:t>合同执行中涉及采购资金和采购内容修改或补充的，须经政府采购监管部门审批，并签书面补充协议报政府采购监督管理部门备案，方可作为主合同不可分割的一部分。</w:t>
      </w:r>
    </w:p>
    <w:p w14:paraId="0FA2ABAC">
      <w:pPr>
        <w:pStyle w:val="14"/>
        <w:numPr>
          <w:ilvl w:val="1"/>
          <w:numId w:val="0"/>
        </w:numPr>
        <w:spacing w:line="480" w:lineRule="exact"/>
        <w:ind w:firstLine="480" w:firstLineChars="200"/>
      </w:pPr>
      <w:r>
        <w:rPr>
          <w:rFonts w:hint="eastAsia" w:cs="宋体"/>
          <w:color w:val="auto"/>
        </w:rPr>
        <w:t>(三)</w:t>
      </w:r>
      <w:r>
        <w:rPr>
          <w:rFonts w:hint="eastAsia"/>
          <w:color w:val="auto"/>
        </w:rPr>
        <w:t>本合同一式</w:t>
      </w:r>
      <w:r>
        <w:rPr>
          <w:rFonts w:hint="eastAsia" w:cs="宋体"/>
          <w:color w:val="auto"/>
        </w:rPr>
        <w:t>【陆】</w:t>
      </w:r>
      <w:r>
        <w:rPr>
          <w:rFonts w:hint="eastAsia"/>
          <w:color w:val="auto"/>
        </w:rPr>
        <w:t>份，自双方签章之日起起效。甲方</w:t>
      </w:r>
      <w:r>
        <w:rPr>
          <w:rFonts w:hint="eastAsia" w:cs="宋体"/>
          <w:color w:val="auto"/>
        </w:rPr>
        <w:t>【叁】</w:t>
      </w:r>
      <w:r>
        <w:rPr>
          <w:rFonts w:hint="eastAsia"/>
          <w:color w:val="auto"/>
        </w:rPr>
        <w:t>份，乙方</w:t>
      </w:r>
      <w:r>
        <w:rPr>
          <w:rFonts w:hint="eastAsia" w:cs="宋体"/>
          <w:color w:val="auto"/>
        </w:rPr>
        <w:t>【壹】</w:t>
      </w:r>
      <w:r>
        <w:rPr>
          <w:rFonts w:hint="eastAsia"/>
          <w:color w:val="auto"/>
        </w:rPr>
        <w:t>份，采购代理机构</w:t>
      </w:r>
      <w:r>
        <w:rPr>
          <w:rFonts w:hint="eastAsia" w:cs="宋体"/>
          <w:color w:val="auto"/>
        </w:rPr>
        <w:t>【壹】</w:t>
      </w:r>
      <w:r>
        <w:rPr>
          <w:rFonts w:hint="eastAsia"/>
          <w:color w:val="auto"/>
        </w:rPr>
        <w:t>份，同级财政部门备案</w:t>
      </w:r>
      <w:r>
        <w:rPr>
          <w:rFonts w:hint="eastAsia" w:cs="宋体"/>
          <w:color w:val="auto"/>
        </w:rPr>
        <w:t>【壹】</w:t>
      </w:r>
      <w:r>
        <w:rPr>
          <w:rFonts w:hint="eastAsia"/>
          <w:color w:val="auto"/>
        </w:rPr>
        <w:t>份，具有同等法律</w:t>
      </w:r>
      <w:r>
        <w:rPr>
          <w:rFonts w:hint="eastAsia"/>
        </w:rPr>
        <w:t>效力。</w:t>
      </w:r>
    </w:p>
    <w:p w14:paraId="5270A554">
      <w:pPr>
        <w:pStyle w:val="20"/>
        <w:pageBreakBefore/>
        <w:spacing w:beforeLines="100" w:afterLines="100"/>
        <w:jc w:val="center"/>
        <w:rPr>
          <w:b/>
          <w:bCs/>
        </w:rPr>
      </w:pPr>
      <w:r>
        <w:rPr>
          <w:rFonts w:hint="eastAsia"/>
          <w:b/>
          <w:bCs/>
        </w:rPr>
        <w:t>(本页无正文)</w:t>
      </w:r>
    </w:p>
    <w:tbl>
      <w:tblPr>
        <w:tblStyle w:val="8"/>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81"/>
        <w:gridCol w:w="4981"/>
      </w:tblGrid>
      <w:tr w14:paraId="7CA6E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0D4C3C78">
            <w:pPr>
              <w:pStyle w:val="11"/>
            </w:pPr>
            <w:r>
              <w:rPr>
                <w:rFonts w:hint="eastAsia"/>
              </w:rPr>
              <w:t>甲方：   (盖章)</w:t>
            </w:r>
          </w:p>
        </w:tc>
        <w:tc>
          <w:tcPr>
            <w:tcW w:w="4981" w:type="dxa"/>
            <w:vAlign w:val="center"/>
          </w:tcPr>
          <w:p w14:paraId="2FAA5A63">
            <w:pPr>
              <w:pStyle w:val="11"/>
            </w:pPr>
            <w:r>
              <w:rPr>
                <w:rFonts w:hint="eastAsia"/>
              </w:rPr>
              <w:t>乙方：   (盖章)</w:t>
            </w:r>
          </w:p>
        </w:tc>
      </w:tr>
      <w:tr w14:paraId="00BE9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6007400A">
            <w:pPr>
              <w:pStyle w:val="11"/>
            </w:pPr>
            <w:r>
              <w:rPr>
                <w:rFonts w:hint="eastAsia"/>
              </w:rPr>
              <w:t>法定代表人(被授权人)：</w:t>
            </w:r>
          </w:p>
        </w:tc>
        <w:tc>
          <w:tcPr>
            <w:tcW w:w="4981" w:type="dxa"/>
            <w:vAlign w:val="center"/>
          </w:tcPr>
          <w:p w14:paraId="111E9BBA">
            <w:pPr>
              <w:pStyle w:val="11"/>
            </w:pPr>
            <w:r>
              <w:rPr>
                <w:rFonts w:hint="eastAsia"/>
              </w:rPr>
              <w:t>法定代表人(被授权人)：</w:t>
            </w:r>
          </w:p>
        </w:tc>
      </w:tr>
      <w:tr w14:paraId="7CA8E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06C38111">
            <w:pPr>
              <w:pStyle w:val="11"/>
            </w:pPr>
            <w:r>
              <w:rPr>
                <w:rFonts w:hint="eastAsia"/>
              </w:rPr>
              <w:t>地址(住所)：</w:t>
            </w:r>
          </w:p>
        </w:tc>
        <w:tc>
          <w:tcPr>
            <w:tcW w:w="4981" w:type="dxa"/>
            <w:vAlign w:val="center"/>
          </w:tcPr>
          <w:p w14:paraId="772030BE">
            <w:pPr>
              <w:pStyle w:val="11"/>
            </w:pPr>
            <w:r>
              <w:rPr>
                <w:rFonts w:hint="eastAsia"/>
              </w:rPr>
              <w:t>地址(住所)：</w:t>
            </w:r>
          </w:p>
        </w:tc>
      </w:tr>
      <w:tr w14:paraId="46FED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561773EA">
            <w:pPr>
              <w:pStyle w:val="11"/>
            </w:pPr>
            <w:r>
              <w:rPr>
                <w:rFonts w:hint="eastAsia"/>
              </w:rPr>
              <w:t>开户银行：</w:t>
            </w:r>
          </w:p>
        </w:tc>
        <w:tc>
          <w:tcPr>
            <w:tcW w:w="4981" w:type="dxa"/>
            <w:vAlign w:val="center"/>
          </w:tcPr>
          <w:p w14:paraId="356749EF">
            <w:pPr>
              <w:pStyle w:val="11"/>
            </w:pPr>
            <w:r>
              <w:rPr>
                <w:rFonts w:hint="eastAsia"/>
              </w:rPr>
              <w:t>开户银行：</w:t>
            </w:r>
          </w:p>
        </w:tc>
      </w:tr>
      <w:tr w14:paraId="20E79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70D7ED4B">
            <w:pPr>
              <w:pStyle w:val="11"/>
            </w:pPr>
            <w:r>
              <w:rPr>
                <w:rFonts w:hint="eastAsia"/>
              </w:rPr>
              <w:t>账号：</w:t>
            </w:r>
          </w:p>
        </w:tc>
        <w:tc>
          <w:tcPr>
            <w:tcW w:w="4981" w:type="dxa"/>
            <w:vAlign w:val="center"/>
          </w:tcPr>
          <w:p w14:paraId="7DD6B324">
            <w:pPr>
              <w:pStyle w:val="11"/>
            </w:pPr>
            <w:r>
              <w:rPr>
                <w:rFonts w:hint="eastAsia"/>
              </w:rPr>
              <w:t>账号：</w:t>
            </w:r>
          </w:p>
        </w:tc>
      </w:tr>
      <w:tr w14:paraId="3B223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4FDC6952">
            <w:pPr>
              <w:pStyle w:val="11"/>
            </w:pPr>
            <w:r>
              <w:rPr>
                <w:rFonts w:hint="eastAsia"/>
              </w:rPr>
              <w:t xml:space="preserve">电话： </w:t>
            </w:r>
          </w:p>
        </w:tc>
        <w:tc>
          <w:tcPr>
            <w:tcW w:w="4981" w:type="dxa"/>
            <w:vAlign w:val="center"/>
          </w:tcPr>
          <w:p w14:paraId="603AE294">
            <w:pPr>
              <w:pStyle w:val="11"/>
            </w:pPr>
            <w:r>
              <w:rPr>
                <w:rFonts w:hint="eastAsia"/>
              </w:rPr>
              <w:t xml:space="preserve">电话： </w:t>
            </w:r>
          </w:p>
        </w:tc>
      </w:tr>
      <w:tr w14:paraId="19AEA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vAlign w:val="center"/>
          </w:tcPr>
          <w:p w14:paraId="2C771322">
            <w:pPr>
              <w:pStyle w:val="11"/>
            </w:pPr>
            <w:r>
              <w:rPr>
                <w:rFonts w:hint="eastAsia"/>
              </w:rPr>
              <w:t>传真：</w:t>
            </w:r>
          </w:p>
        </w:tc>
        <w:tc>
          <w:tcPr>
            <w:tcW w:w="4981" w:type="dxa"/>
            <w:vAlign w:val="center"/>
          </w:tcPr>
          <w:p w14:paraId="5D1825A3">
            <w:pPr>
              <w:pStyle w:val="11"/>
            </w:pPr>
            <w:r>
              <w:rPr>
                <w:rFonts w:hint="eastAsia"/>
              </w:rPr>
              <w:t>传真：</w:t>
            </w:r>
          </w:p>
        </w:tc>
      </w:tr>
      <w:tr w14:paraId="6A825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vAlign w:val="center"/>
          </w:tcPr>
          <w:p w14:paraId="04D71777">
            <w:pPr>
              <w:pStyle w:val="11"/>
            </w:pPr>
            <w:r>
              <w:rPr>
                <w:rFonts w:hint="eastAsia"/>
              </w:rPr>
              <w:t>签约日期：XX年XX月XX日</w:t>
            </w:r>
          </w:p>
        </w:tc>
        <w:tc>
          <w:tcPr>
            <w:tcW w:w="4981" w:type="dxa"/>
            <w:vAlign w:val="center"/>
          </w:tcPr>
          <w:p w14:paraId="1C5AC1CE">
            <w:pPr>
              <w:pStyle w:val="11"/>
            </w:pPr>
            <w:r>
              <w:rPr>
                <w:rFonts w:hint="eastAsia"/>
              </w:rPr>
              <w:t>签约日期：XX年XX月XX日</w:t>
            </w:r>
          </w:p>
        </w:tc>
      </w:tr>
    </w:tbl>
    <w:p w14:paraId="0322EE90">
      <w:pPr>
        <w:pStyle w:val="11"/>
      </w:pPr>
    </w:p>
    <w:p w14:paraId="09A0F6D7">
      <w:pPr>
        <w:pStyle w:val="11"/>
      </w:pPr>
    </w:p>
    <w:p w14:paraId="644DA24E">
      <w:pPr>
        <w:pStyle w:val="11"/>
      </w:pPr>
    </w:p>
    <w:p w14:paraId="76B1C331">
      <w:pPr>
        <w:pStyle w:val="11"/>
      </w:pPr>
    </w:p>
    <w:p w14:paraId="13B09DAD">
      <w:pPr>
        <w:pStyle w:val="11"/>
      </w:pPr>
    </w:p>
    <w:p w14:paraId="6DEC363F">
      <w:pPr>
        <w:pStyle w:val="11"/>
      </w:pPr>
    </w:p>
    <w:p w14:paraId="0BD49E68">
      <w:pPr>
        <w:pStyle w:val="11"/>
      </w:pPr>
    </w:p>
    <w:p w14:paraId="709A9EF1">
      <w:pPr>
        <w:pStyle w:val="11"/>
      </w:pPr>
    </w:p>
    <w:p w14:paraId="332A00C4">
      <w:pPr>
        <w:pStyle w:val="11"/>
      </w:pPr>
    </w:p>
    <w:p w14:paraId="5311EDA0">
      <w:pPr>
        <w:pStyle w:val="11"/>
      </w:pPr>
    </w:p>
    <w:p w14:paraId="161DA085">
      <w:pPr>
        <w:pStyle w:val="11"/>
      </w:pPr>
    </w:p>
    <w:p w14:paraId="58C6297A">
      <w:pPr>
        <w:pStyle w:val="11"/>
      </w:pPr>
    </w:p>
    <w:p w14:paraId="659DEF9F">
      <w:pPr>
        <w:pStyle w:val="11"/>
      </w:pPr>
    </w:p>
    <w:p w14:paraId="10CC7A5C">
      <w:pPr>
        <w:pStyle w:val="11"/>
      </w:pPr>
    </w:p>
    <w:p w14:paraId="71104A98">
      <w:pPr>
        <w:pStyle w:val="11"/>
      </w:pPr>
    </w:p>
    <w:p w14:paraId="1C94BB2B">
      <w:pPr>
        <w:pStyle w:val="11"/>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0635A9"/>
    <w:multiLevelType w:val="singleLevel"/>
    <w:tmpl w:val="A80635A9"/>
    <w:lvl w:ilvl="0" w:tentative="0">
      <w:start w:val="1"/>
      <w:numFmt w:val="chineseCounting"/>
      <w:pStyle w:val="13"/>
      <w:suff w:val="nothing"/>
      <w:lvlText w:val="第%1条  "/>
      <w:lvlJc w:val="left"/>
      <w:pPr>
        <w:ind w:left="0" w:firstLine="0"/>
      </w:pPr>
      <w:rPr>
        <w:rFonts w:hint="eastAsia"/>
      </w:rPr>
    </w:lvl>
  </w:abstractNum>
  <w:abstractNum w:abstractNumId="1">
    <w:nsid w:val="B04D8E0A"/>
    <w:multiLevelType w:val="multilevel"/>
    <w:tmpl w:val="B04D8E0A"/>
    <w:lvl w:ilvl="0" w:tentative="0">
      <w:start w:val="1"/>
      <w:numFmt w:val="chineseCounting"/>
      <w:pStyle w:val="10"/>
      <w:suff w:val="nothing"/>
      <w:lvlText w:val="第%1章 "/>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pStyle w:val="16"/>
      <w:suff w:val="nothing"/>
      <w:lvlText w:val="%4."/>
      <w:lvlJc w:val="left"/>
      <w:pPr>
        <w:tabs>
          <w:tab w:val="left" w:pos="0"/>
        </w:tabs>
        <w:ind w:left="0" w:firstLine="0"/>
      </w:pPr>
      <w:rPr>
        <w:rFonts w:hint="eastAsia" w:ascii="宋体" w:hAnsi="宋体" w:eastAsia="宋体" w:cs="宋体"/>
      </w:rPr>
    </w:lvl>
    <w:lvl w:ilvl="4" w:tentative="0">
      <w:start w:val="1"/>
      <w:numFmt w:val="decimal"/>
      <w:pStyle w:val="15"/>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14"/>
      <w:suff w:val="nothing"/>
      <w:lvlText w:val="(%2)"/>
      <w:lvlJc w:val="left"/>
      <w:pPr>
        <w:ind w:left="960" w:firstLine="0"/>
      </w:pPr>
      <w:rPr>
        <w:rFonts w:hint="eastAsia" w:ascii="宋体" w:hAnsi="宋体" w:eastAsia="宋体" w:cs="宋体"/>
      </w:rPr>
    </w:lvl>
    <w:lvl w:ilvl="2" w:tentative="0">
      <w:start w:val="1"/>
      <w:numFmt w:val="decimal"/>
      <w:pStyle w:val="19"/>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7"/>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AE5E23"/>
    <w:rsid w:val="001051AC"/>
    <w:rsid w:val="00110114"/>
    <w:rsid w:val="00317A9F"/>
    <w:rsid w:val="00376111"/>
    <w:rsid w:val="003B1CDA"/>
    <w:rsid w:val="00491344"/>
    <w:rsid w:val="00562612"/>
    <w:rsid w:val="005F410A"/>
    <w:rsid w:val="0067223E"/>
    <w:rsid w:val="00831DE7"/>
    <w:rsid w:val="00C61162"/>
    <w:rsid w:val="00C75104"/>
    <w:rsid w:val="00D60B4B"/>
    <w:rsid w:val="00FB1032"/>
    <w:rsid w:val="00FE7E3B"/>
    <w:rsid w:val="0E9B6BD1"/>
    <w:rsid w:val="13250FB0"/>
    <w:rsid w:val="141352AC"/>
    <w:rsid w:val="19445F08"/>
    <w:rsid w:val="22703D10"/>
    <w:rsid w:val="25E90680"/>
    <w:rsid w:val="26577F77"/>
    <w:rsid w:val="26E1123A"/>
    <w:rsid w:val="26FA4F68"/>
    <w:rsid w:val="403900E6"/>
    <w:rsid w:val="446E4D51"/>
    <w:rsid w:val="4697482E"/>
    <w:rsid w:val="4885771E"/>
    <w:rsid w:val="49AE5E23"/>
    <w:rsid w:val="4D3519A2"/>
    <w:rsid w:val="524D0715"/>
    <w:rsid w:val="552E76DB"/>
    <w:rsid w:val="58EF1C90"/>
    <w:rsid w:val="58F603AE"/>
    <w:rsid w:val="60CB5E47"/>
    <w:rsid w:val="74901346"/>
    <w:rsid w:val="758B1779"/>
    <w:rsid w:val="75D23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0"/>
      </w:tabs>
      <w:adjustRightInd w:val="0"/>
      <w:snapToGrid w:val="0"/>
      <w:spacing w:line="440" w:lineRule="exact"/>
    </w:pPr>
    <w:rPr>
      <w:rFonts w:ascii="宋体" w:hAnsi="宋体" w:eastAsia="宋体" w:cstheme="minorBidi"/>
      <w:kern w:val="2"/>
      <w:sz w:val="24"/>
      <w:szCs w:val="24"/>
      <w:lang w:val="en-US" w:eastAsia="zh-CN" w:bidi="ar-SA"/>
    </w:rPr>
  </w:style>
  <w:style w:type="paragraph" w:styleId="2">
    <w:name w:val="heading 3"/>
    <w:basedOn w:val="1"/>
    <w:next w:val="1"/>
    <w:semiHidden/>
    <w:unhideWhenUsed/>
    <w:qFormat/>
    <w:uiPriority w:val="0"/>
    <w:pPr>
      <w:spacing w:beforeAutospacing="1" w:afterAutospacing="1"/>
      <w:outlineLvl w:val="2"/>
    </w:pPr>
    <w:rPr>
      <w:rFonts w:hint="eastAsia" w:cs="Times New Roman"/>
      <w:b/>
      <w:bCs/>
      <w:kern w:val="0"/>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style>
  <w:style w:type="paragraph" w:styleId="4">
    <w:name w:val="Body Text"/>
    <w:basedOn w:val="1"/>
    <w:next w:val="1"/>
    <w:qFormat/>
    <w:uiPriority w:val="0"/>
    <w:rPr>
      <w:rFonts w:ascii="Times New Roman"/>
    </w:rPr>
  </w:style>
  <w:style w:type="paragraph" w:styleId="5">
    <w:name w:val="Balloon Text"/>
    <w:basedOn w:val="1"/>
    <w:link w:val="22"/>
    <w:qFormat/>
    <w:uiPriority w:val="0"/>
    <w:pPr>
      <w:spacing w:line="240" w:lineRule="auto"/>
    </w:pPr>
    <w:rPr>
      <w:sz w:val="18"/>
      <w:szCs w:val="18"/>
    </w:rPr>
  </w:style>
  <w:style w:type="paragraph" w:styleId="6">
    <w:name w:val="Normal (Web)"/>
    <w:basedOn w:val="1"/>
    <w:qFormat/>
    <w:uiPriority w:val="0"/>
    <w:pPr>
      <w:spacing w:beforeAutospacing="1" w:afterAutospacing="1"/>
    </w:pPr>
    <w:rPr>
      <w:rFonts w:cs="Times New Roman"/>
      <w:kern w:val="0"/>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14、“第一章”一级标题"/>
    <w:basedOn w:val="11"/>
    <w:qFormat/>
    <w:uiPriority w:val="0"/>
    <w:pPr>
      <w:numPr>
        <w:ilvl w:val="0"/>
        <w:numId w:val="1"/>
      </w:numPr>
      <w:spacing w:beforeLines="50" w:afterLines="50" w:line="240" w:lineRule="auto"/>
      <w:jc w:val="center"/>
      <w:outlineLvl w:val="0"/>
    </w:pPr>
    <w:rPr>
      <w:b/>
      <w:sz w:val="36"/>
    </w:rPr>
  </w:style>
  <w:style w:type="paragraph" w:customStyle="1" w:styleId="11">
    <w:name w:val="01、普通正文"/>
    <w:basedOn w:val="1"/>
    <w:qFormat/>
    <w:uiPriority w:val="0"/>
    <w:pPr>
      <w:wordWrap w:val="0"/>
      <w:topLinePunct/>
    </w:pPr>
    <w:rPr>
      <w:snapToGrid w:val="0"/>
    </w:rPr>
  </w:style>
  <w:style w:type="paragraph" w:customStyle="1" w:styleId="12">
    <w:name w:val="02、首行缩进2字符正文"/>
    <w:basedOn w:val="1"/>
    <w:qFormat/>
    <w:uiPriority w:val="0"/>
    <w:pPr>
      <w:wordWrap w:val="0"/>
      <w:topLinePunct/>
      <w:ind w:firstLine="480" w:firstLineChars="200"/>
    </w:pPr>
  </w:style>
  <w:style w:type="paragraph" w:customStyle="1" w:styleId="13">
    <w:name w:val="21、合同二级标题序号"/>
    <w:basedOn w:val="11"/>
    <w:qFormat/>
    <w:uiPriority w:val="0"/>
    <w:pPr>
      <w:numPr>
        <w:ilvl w:val="0"/>
        <w:numId w:val="2"/>
      </w:numPr>
      <w:ind w:firstLine="803" w:firstLineChars="200"/>
      <w:outlineLvl w:val="1"/>
    </w:pPr>
    <w:rPr>
      <w:b/>
    </w:rPr>
  </w:style>
  <w:style w:type="paragraph" w:customStyle="1" w:styleId="14">
    <w:name w:val="05、“(一)”正文三级标题"/>
    <w:basedOn w:val="1"/>
    <w:qFormat/>
    <w:uiPriority w:val="0"/>
    <w:pPr>
      <w:numPr>
        <w:ilvl w:val="1"/>
        <w:numId w:val="3"/>
      </w:numPr>
      <w:wordWrap w:val="0"/>
      <w:topLinePunct/>
      <w:ind w:firstLine="803" w:firstLineChars="200"/>
    </w:pPr>
  </w:style>
  <w:style w:type="paragraph" w:customStyle="1" w:styleId="15">
    <w:name w:val="18、“1.1”五级标题"/>
    <w:basedOn w:val="16"/>
    <w:qFormat/>
    <w:uiPriority w:val="0"/>
    <w:pPr>
      <w:numPr>
        <w:ilvl w:val="4"/>
      </w:numPr>
      <w:tabs>
        <w:tab w:val="left" w:pos="0"/>
      </w:tabs>
      <w:ind w:firstLine="803"/>
    </w:pPr>
  </w:style>
  <w:style w:type="paragraph" w:customStyle="1" w:styleId="16">
    <w:name w:val="17“1.”四级标题"/>
    <w:basedOn w:val="12"/>
    <w:qFormat/>
    <w:uiPriority w:val="0"/>
    <w:pPr>
      <w:numPr>
        <w:ilvl w:val="3"/>
        <w:numId w:val="1"/>
      </w:numPr>
      <w:ind w:firstLine="803"/>
    </w:pPr>
  </w:style>
  <w:style w:type="paragraph" w:customStyle="1" w:styleId="17">
    <w:name w:val="标题 5（有编号）（绿盟科技）"/>
    <w:basedOn w:val="1"/>
    <w:next w:val="18"/>
    <w:qFormat/>
    <w:uiPriority w:val="0"/>
    <w:pPr>
      <w:keepNext/>
      <w:keepLines/>
      <w:numPr>
        <w:ilvl w:val="4"/>
        <w:numId w:val="4"/>
      </w:numPr>
      <w:spacing w:before="280" w:after="156" w:line="377" w:lineRule="auto"/>
      <w:outlineLvl w:val="4"/>
    </w:pPr>
    <w:rPr>
      <w:rFonts w:ascii="Arial" w:hAnsi="Arial" w:eastAsia="黑体"/>
      <w:b/>
      <w:kern w:val="0"/>
      <w:szCs w:val="28"/>
    </w:rPr>
  </w:style>
  <w:style w:type="paragraph" w:customStyle="1" w:styleId="18">
    <w:name w:val="正文（绿盟科技）"/>
    <w:next w:val="1"/>
    <w:qFormat/>
    <w:uiPriority w:val="0"/>
    <w:pPr>
      <w:spacing w:line="300" w:lineRule="auto"/>
    </w:pPr>
    <w:rPr>
      <w:rFonts w:ascii="Arial" w:hAnsi="Arial" w:eastAsia="宋体" w:cs="黑体"/>
      <w:sz w:val="21"/>
      <w:szCs w:val="21"/>
      <w:lang w:val="en-US" w:eastAsia="zh-CN" w:bidi="ar-SA"/>
    </w:rPr>
  </w:style>
  <w:style w:type="paragraph" w:customStyle="1" w:styleId="19">
    <w:name w:val="06、“1.”正文四级标题"/>
    <w:basedOn w:val="1"/>
    <w:qFormat/>
    <w:uiPriority w:val="0"/>
    <w:pPr>
      <w:numPr>
        <w:ilvl w:val="2"/>
        <w:numId w:val="3"/>
      </w:numPr>
      <w:wordWrap w:val="0"/>
      <w:topLinePunct/>
      <w:ind w:firstLine="803" w:firstLineChars="200"/>
    </w:pPr>
    <w:rPr>
      <w:snapToGrid w:val="0"/>
    </w:rPr>
  </w:style>
  <w:style w:type="paragraph" w:customStyle="1" w:styleId="20">
    <w:name w:val="00、封面正文(与其他内容无关的格式)"/>
    <w:basedOn w:val="1"/>
    <w:qFormat/>
    <w:uiPriority w:val="0"/>
  </w:style>
  <w:style w:type="paragraph" w:customStyle="1" w:styleId="21">
    <w:name w:val="null3"/>
    <w:hidden/>
    <w:qFormat/>
    <w:uiPriority w:val="0"/>
    <w:rPr>
      <w:rFonts w:hint="eastAsia" w:asciiTheme="minorHAnsi" w:hAnsiTheme="minorHAnsi" w:eastAsiaTheme="minorEastAsia" w:cstheme="minorBidi"/>
      <w:lang w:val="en-US" w:eastAsia="zh-CN" w:bidi="ar-SA"/>
    </w:rPr>
  </w:style>
  <w:style w:type="character" w:customStyle="1" w:styleId="22">
    <w:name w:val="批注框文本 Char"/>
    <w:basedOn w:val="9"/>
    <w:link w:val="5"/>
    <w:qFormat/>
    <w:uiPriority w:val="0"/>
    <w:rPr>
      <w:rFonts w:ascii="宋体" w:hAnsi="宋体"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744C0-1FE0-499D-9A84-B05D6966F756}">
  <ds:schemaRefs/>
</ds:datastoreItem>
</file>

<file path=docProps/app.xml><?xml version="1.0" encoding="utf-8"?>
<Properties xmlns="http://schemas.openxmlformats.org/officeDocument/2006/extended-properties" xmlns:vt="http://schemas.openxmlformats.org/officeDocument/2006/docPropsVTypes">
  <Template>Normal</Template>
  <Pages>9</Pages>
  <Words>5678</Words>
  <Characters>5828</Characters>
  <Lines>97</Lines>
  <Paragraphs>27</Paragraphs>
  <TotalTime>15</TotalTime>
  <ScaleCrop>false</ScaleCrop>
  <LinksUpToDate>false</LinksUpToDate>
  <CharactersWithSpaces>5985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2025-10-31T07:46:00Z</dcterms:created>
  <dc:creator>12345</dc:creator>
  <cp:lastModifiedBy>777</cp:lastModifiedBy>
  <dcterms:modified xsi:type="dcterms:W3CDTF">2026-04-22T07:08:17Z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70493C9F7FDA4333B86F2552ADF79F8B_13</vt:lpwstr>
  </property>
  <property fmtid="{D5CDD505-2E9C-101B-9397-08002B2CF9AE}" pid="4" name="KSOTemplateDocerSaveRecord">
    <vt:lpwstr>eyJoZGlkIjoiNzJjODU1NGI5OWMxYTg3MDc0Nzc4ZDNiOThlZWQyODUiLCJ1c2VySWQiOiIzNDIzMjQ2MDIifQ==</vt:lpwstr>
  </property>
</Properties>
</file>