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BBB2FF">
      <w:pPr>
        <w:jc w:val="center"/>
        <w:rPr>
          <w:rFonts w:hint="eastAsia" w:asciiTheme="majorEastAsia" w:hAnsiTheme="majorEastAsia" w:eastAsiaTheme="majorEastAsia" w:cstheme="majorEastAsia"/>
          <w:color w:val="auto"/>
          <w:sz w:val="48"/>
          <w:szCs w:val="48"/>
          <w:highlight w:val="none"/>
          <w:u w:val="none"/>
          <w:lang w:val="en-US" w:eastAsia="zh-CN"/>
        </w:rPr>
      </w:pPr>
    </w:p>
    <w:p w14:paraId="0F7ABD10">
      <w:pPr>
        <w:jc w:val="center"/>
        <w:rPr>
          <w:rFonts w:hint="eastAsia" w:asciiTheme="majorEastAsia" w:hAnsiTheme="majorEastAsia" w:eastAsiaTheme="majorEastAsia" w:cstheme="majorEastAsia"/>
          <w:b/>
          <w:bCs/>
          <w:color w:val="auto"/>
          <w:sz w:val="60"/>
          <w:szCs w:val="60"/>
          <w:highlight w:val="none"/>
          <w:u w:val="none"/>
          <w:lang w:val="en-US" w:eastAsia="zh-CN"/>
        </w:rPr>
      </w:pPr>
      <w:r>
        <w:rPr>
          <w:rFonts w:hint="eastAsia" w:asciiTheme="majorEastAsia" w:hAnsiTheme="majorEastAsia" w:eastAsiaTheme="majorEastAsia" w:cstheme="majorEastAsia"/>
          <w:b/>
          <w:bCs/>
          <w:color w:val="auto"/>
          <w:sz w:val="60"/>
          <w:szCs w:val="60"/>
          <w:highlight w:val="none"/>
          <w:u w:val="none"/>
          <w:lang w:val="en-US" w:eastAsia="zh-CN"/>
        </w:rPr>
        <w:t>国家税务总局昆明市官渡区税务局2026年物业管理服务项目（二次）</w:t>
      </w:r>
    </w:p>
    <w:p w14:paraId="32465742">
      <w:pPr>
        <w:jc w:val="center"/>
        <w:outlineLvl w:val="9"/>
        <w:rPr>
          <w:rFonts w:hint="eastAsia" w:asciiTheme="majorEastAsia" w:hAnsiTheme="majorEastAsia" w:eastAsiaTheme="majorEastAsia" w:cstheme="majorEastAsia"/>
          <w:b/>
          <w:bCs/>
          <w:color w:val="auto"/>
          <w:sz w:val="28"/>
          <w:szCs w:val="28"/>
          <w:highlight w:val="none"/>
          <w:u w:val="none"/>
        </w:rPr>
      </w:pPr>
    </w:p>
    <w:p w14:paraId="0D050FA8">
      <w:pPr>
        <w:jc w:val="center"/>
        <w:outlineLvl w:val="9"/>
        <w:rPr>
          <w:rFonts w:hint="eastAsia" w:asciiTheme="majorEastAsia" w:hAnsiTheme="majorEastAsia" w:eastAsiaTheme="majorEastAsia" w:cstheme="majorEastAsia"/>
          <w:b/>
          <w:bCs/>
          <w:color w:val="auto"/>
          <w:sz w:val="28"/>
          <w:szCs w:val="28"/>
          <w:highlight w:val="none"/>
          <w:u w:val="none"/>
        </w:rPr>
      </w:pPr>
    </w:p>
    <w:p w14:paraId="4853BBFF">
      <w:pPr>
        <w:jc w:val="center"/>
        <w:outlineLvl w:val="9"/>
        <w:rPr>
          <w:rFonts w:hint="eastAsia" w:asciiTheme="majorEastAsia" w:hAnsiTheme="majorEastAsia" w:eastAsiaTheme="majorEastAsia" w:cstheme="majorEastAsia"/>
          <w:b/>
          <w:bCs/>
          <w:color w:val="auto"/>
          <w:sz w:val="28"/>
          <w:szCs w:val="28"/>
          <w:highlight w:val="none"/>
          <w:u w:val="none"/>
        </w:rPr>
      </w:pPr>
    </w:p>
    <w:p w14:paraId="328AD6B1">
      <w:pPr>
        <w:jc w:val="center"/>
        <w:outlineLvl w:val="9"/>
        <w:rPr>
          <w:rFonts w:hint="eastAsia" w:asciiTheme="majorEastAsia" w:hAnsiTheme="majorEastAsia" w:eastAsiaTheme="majorEastAsia" w:cstheme="majorEastAsia"/>
          <w:b/>
          <w:bCs/>
          <w:color w:val="auto"/>
          <w:sz w:val="28"/>
          <w:szCs w:val="28"/>
          <w:highlight w:val="none"/>
          <w:u w:val="none"/>
          <w:lang w:eastAsia="zh-CN"/>
        </w:rPr>
      </w:pPr>
    </w:p>
    <w:p w14:paraId="14E99159">
      <w:pPr>
        <w:jc w:val="center"/>
        <w:outlineLvl w:val="9"/>
        <w:rPr>
          <w:rFonts w:hint="eastAsia" w:asciiTheme="majorEastAsia" w:hAnsiTheme="majorEastAsia" w:eastAsiaTheme="majorEastAsia" w:cstheme="majorEastAsia"/>
          <w:b/>
          <w:bCs/>
          <w:color w:val="auto"/>
          <w:sz w:val="28"/>
          <w:szCs w:val="28"/>
          <w:highlight w:val="none"/>
          <w:u w:val="none"/>
          <w:lang w:eastAsia="zh-CN"/>
        </w:rPr>
      </w:pPr>
    </w:p>
    <w:p w14:paraId="0AAE1D1F">
      <w:pPr>
        <w:jc w:val="center"/>
        <w:rPr>
          <w:rFonts w:hint="eastAsia" w:asciiTheme="majorEastAsia" w:hAnsiTheme="majorEastAsia" w:eastAsiaTheme="majorEastAsia" w:cstheme="majorEastAsia"/>
          <w:b/>
          <w:bCs/>
          <w:color w:val="auto"/>
          <w:sz w:val="36"/>
          <w:szCs w:val="36"/>
          <w:highlight w:val="none"/>
        </w:rPr>
      </w:pPr>
      <w:r>
        <w:rPr>
          <w:rFonts w:hint="eastAsia" w:asciiTheme="majorEastAsia" w:hAnsiTheme="majorEastAsia" w:eastAsiaTheme="majorEastAsia" w:cstheme="majorEastAsia"/>
          <w:b/>
          <w:bCs/>
          <w:color w:val="auto"/>
          <w:sz w:val="72"/>
          <w:szCs w:val="72"/>
          <w:highlight w:val="none"/>
          <w:lang w:eastAsia="zh-CN"/>
        </w:rPr>
        <w:t>招</w:t>
      </w:r>
      <w:r>
        <w:rPr>
          <w:rFonts w:hint="eastAsia" w:asciiTheme="majorEastAsia" w:hAnsiTheme="majorEastAsia" w:eastAsiaTheme="majorEastAsia" w:cstheme="majorEastAsia"/>
          <w:b/>
          <w:bCs/>
          <w:color w:val="auto"/>
          <w:sz w:val="72"/>
          <w:szCs w:val="72"/>
          <w:highlight w:val="none"/>
          <w:lang w:val="en-US" w:eastAsia="zh-CN"/>
        </w:rPr>
        <w:t xml:space="preserve"> </w:t>
      </w:r>
      <w:r>
        <w:rPr>
          <w:rFonts w:hint="eastAsia" w:asciiTheme="majorEastAsia" w:hAnsiTheme="majorEastAsia" w:eastAsiaTheme="majorEastAsia" w:cstheme="majorEastAsia"/>
          <w:b/>
          <w:bCs/>
          <w:color w:val="auto"/>
          <w:sz w:val="72"/>
          <w:szCs w:val="72"/>
          <w:highlight w:val="none"/>
          <w:lang w:eastAsia="zh-CN"/>
        </w:rPr>
        <w:t>标</w:t>
      </w:r>
      <w:r>
        <w:rPr>
          <w:rFonts w:hint="eastAsia" w:asciiTheme="majorEastAsia" w:hAnsiTheme="majorEastAsia" w:eastAsiaTheme="majorEastAsia" w:cstheme="majorEastAsia"/>
          <w:b/>
          <w:bCs/>
          <w:color w:val="auto"/>
          <w:sz w:val="72"/>
          <w:szCs w:val="72"/>
          <w:highlight w:val="none"/>
          <w:lang w:val="en-US" w:eastAsia="zh-CN"/>
        </w:rPr>
        <w:t xml:space="preserve"> </w:t>
      </w:r>
      <w:r>
        <w:rPr>
          <w:rFonts w:hint="eastAsia" w:asciiTheme="majorEastAsia" w:hAnsiTheme="majorEastAsia" w:eastAsiaTheme="majorEastAsia" w:cstheme="majorEastAsia"/>
          <w:b/>
          <w:bCs/>
          <w:color w:val="auto"/>
          <w:sz w:val="72"/>
          <w:szCs w:val="72"/>
          <w:highlight w:val="none"/>
        </w:rPr>
        <w:t>文</w:t>
      </w:r>
      <w:r>
        <w:rPr>
          <w:rFonts w:hint="eastAsia" w:asciiTheme="majorEastAsia" w:hAnsiTheme="majorEastAsia" w:eastAsiaTheme="majorEastAsia" w:cstheme="majorEastAsia"/>
          <w:b/>
          <w:bCs/>
          <w:color w:val="auto"/>
          <w:sz w:val="72"/>
          <w:szCs w:val="72"/>
          <w:highlight w:val="none"/>
          <w:lang w:val="en-US" w:eastAsia="zh-CN"/>
        </w:rPr>
        <w:t xml:space="preserve"> </w:t>
      </w:r>
      <w:r>
        <w:rPr>
          <w:rFonts w:hint="eastAsia" w:asciiTheme="majorEastAsia" w:hAnsiTheme="majorEastAsia" w:eastAsiaTheme="majorEastAsia" w:cstheme="majorEastAsia"/>
          <w:b/>
          <w:bCs/>
          <w:color w:val="auto"/>
          <w:sz w:val="72"/>
          <w:szCs w:val="72"/>
          <w:highlight w:val="none"/>
        </w:rPr>
        <w:t>件</w:t>
      </w:r>
    </w:p>
    <w:p w14:paraId="7761FC65">
      <w:pPr>
        <w:jc w:val="center"/>
        <w:outlineLvl w:val="9"/>
        <w:rPr>
          <w:rFonts w:hint="eastAsia" w:asciiTheme="majorEastAsia" w:hAnsiTheme="majorEastAsia" w:eastAsiaTheme="majorEastAsia" w:cstheme="majorEastAsia"/>
          <w:b/>
          <w:bCs/>
          <w:color w:val="auto"/>
          <w:sz w:val="44"/>
          <w:szCs w:val="44"/>
          <w:highlight w:val="none"/>
        </w:rPr>
      </w:pPr>
    </w:p>
    <w:p w14:paraId="325D3111">
      <w:pPr>
        <w:jc w:val="center"/>
        <w:outlineLvl w:val="9"/>
        <w:rPr>
          <w:rFonts w:hint="eastAsia" w:asciiTheme="majorEastAsia" w:hAnsiTheme="majorEastAsia" w:eastAsiaTheme="majorEastAsia" w:cstheme="majorEastAsia"/>
          <w:b/>
          <w:bCs/>
          <w:color w:val="auto"/>
          <w:sz w:val="36"/>
          <w:szCs w:val="36"/>
          <w:highlight w:val="none"/>
          <w:u w:val="single"/>
          <w:lang w:val="en-US"/>
        </w:rPr>
      </w:pPr>
      <w:bookmarkStart w:id="0" w:name="_Toc16002"/>
      <w:r>
        <w:rPr>
          <w:rFonts w:hint="eastAsia" w:asciiTheme="majorEastAsia" w:hAnsiTheme="majorEastAsia" w:eastAsiaTheme="majorEastAsia" w:cstheme="majorEastAsia"/>
          <w:b/>
          <w:bCs/>
          <w:color w:val="auto"/>
          <w:sz w:val="36"/>
          <w:szCs w:val="36"/>
          <w:highlight w:val="none"/>
        </w:rPr>
        <w:t>项目编号</w:t>
      </w:r>
      <w:r>
        <w:rPr>
          <w:rFonts w:hint="eastAsia" w:asciiTheme="majorEastAsia" w:hAnsiTheme="majorEastAsia" w:eastAsiaTheme="majorEastAsia" w:cstheme="majorEastAsia"/>
          <w:b/>
          <w:bCs/>
          <w:color w:val="auto"/>
          <w:sz w:val="36"/>
          <w:szCs w:val="36"/>
          <w:highlight w:val="none"/>
          <w:lang w:eastAsia="zh-CN"/>
        </w:rPr>
        <w:t>：</w:t>
      </w:r>
      <w:bookmarkEnd w:id="0"/>
      <w:r>
        <w:rPr>
          <w:rFonts w:hint="eastAsia" w:asciiTheme="majorEastAsia" w:hAnsiTheme="majorEastAsia" w:eastAsiaTheme="majorEastAsia" w:cstheme="majorEastAsia"/>
          <w:b/>
          <w:bCs/>
          <w:color w:val="auto"/>
          <w:sz w:val="36"/>
          <w:szCs w:val="36"/>
          <w:highlight w:val="none"/>
          <w:u w:val="none"/>
          <w:lang w:val="en-US" w:eastAsia="zh-CN"/>
        </w:rPr>
        <w:t>YN2026-DLGK-C0042-B00</w:t>
      </w:r>
    </w:p>
    <w:p w14:paraId="077C9902">
      <w:pPr>
        <w:jc w:val="center"/>
        <w:outlineLvl w:val="9"/>
        <w:rPr>
          <w:rFonts w:hint="eastAsia" w:asciiTheme="majorEastAsia" w:hAnsiTheme="majorEastAsia" w:eastAsiaTheme="majorEastAsia" w:cstheme="majorEastAsia"/>
          <w:b/>
          <w:bCs/>
          <w:color w:val="auto"/>
          <w:sz w:val="28"/>
          <w:szCs w:val="28"/>
          <w:highlight w:val="none"/>
          <w:u w:val="none"/>
        </w:rPr>
      </w:pPr>
    </w:p>
    <w:p w14:paraId="1F2D342B">
      <w:pPr>
        <w:jc w:val="center"/>
        <w:outlineLvl w:val="9"/>
        <w:rPr>
          <w:rFonts w:hint="eastAsia" w:asciiTheme="majorEastAsia" w:hAnsiTheme="majorEastAsia" w:eastAsiaTheme="majorEastAsia" w:cstheme="majorEastAsia"/>
          <w:b/>
          <w:bCs/>
          <w:color w:val="auto"/>
          <w:sz w:val="28"/>
          <w:szCs w:val="28"/>
          <w:highlight w:val="none"/>
          <w:u w:val="none"/>
        </w:rPr>
      </w:pPr>
    </w:p>
    <w:p w14:paraId="5DA625CD">
      <w:pPr>
        <w:jc w:val="center"/>
        <w:outlineLvl w:val="9"/>
        <w:rPr>
          <w:rFonts w:hint="eastAsia" w:asciiTheme="majorEastAsia" w:hAnsiTheme="majorEastAsia" w:eastAsiaTheme="majorEastAsia" w:cstheme="majorEastAsia"/>
          <w:b/>
          <w:bCs/>
          <w:color w:val="auto"/>
          <w:sz w:val="28"/>
          <w:szCs w:val="28"/>
          <w:highlight w:val="none"/>
          <w:u w:val="none"/>
        </w:rPr>
      </w:pPr>
    </w:p>
    <w:p w14:paraId="00C4EBA4">
      <w:pPr>
        <w:jc w:val="center"/>
        <w:outlineLvl w:val="9"/>
        <w:rPr>
          <w:rFonts w:hint="eastAsia" w:asciiTheme="majorEastAsia" w:hAnsiTheme="majorEastAsia" w:eastAsiaTheme="majorEastAsia" w:cstheme="majorEastAsia"/>
          <w:b/>
          <w:bCs/>
          <w:color w:val="auto"/>
          <w:sz w:val="28"/>
          <w:szCs w:val="28"/>
          <w:highlight w:val="none"/>
          <w:u w:val="none"/>
        </w:rPr>
      </w:pPr>
    </w:p>
    <w:p w14:paraId="583558AF">
      <w:pPr>
        <w:jc w:val="center"/>
        <w:outlineLvl w:val="9"/>
        <w:rPr>
          <w:rFonts w:hint="eastAsia" w:asciiTheme="majorEastAsia" w:hAnsiTheme="majorEastAsia" w:eastAsiaTheme="majorEastAsia" w:cstheme="majorEastAsia"/>
          <w:b/>
          <w:bCs/>
          <w:color w:val="auto"/>
          <w:sz w:val="36"/>
          <w:szCs w:val="36"/>
          <w:highlight w:val="none"/>
          <w:u w:val="none"/>
        </w:rPr>
      </w:pPr>
      <w:bookmarkStart w:id="1" w:name="_Toc19575"/>
      <w:r>
        <w:rPr>
          <w:rFonts w:hint="eastAsia" w:asciiTheme="majorEastAsia" w:hAnsiTheme="majorEastAsia" w:eastAsiaTheme="majorEastAsia" w:cstheme="majorEastAsia"/>
          <w:b/>
          <w:bCs/>
          <w:color w:val="auto"/>
          <w:sz w:val="36"/>
          <w:szCs w:val="36"/>
          <w:highlight w:val="none"/>
          <w:u w:val="none"/>
        </w:rPr>
        <w:t>采购人</w:t>
      </w:r>
      <w:r>
        <w:rPr>
          <w:rFonts w:hint="eastAsia" w:asciiTheme="majorEastAsia" w:hAnsiTheme="majorEastAsia" w:eastAsiaTheme="majorEastAsia" w:cstheme="majorEastAsia"/>
          <w:b/>
          <w:bCs/>
          <w:color w:val="auto"/>
          <w:sz w:val="36"/>
          <w:szCs w:val="36"/>
          <w:highlight w:val="none"/>
          <w:u w:val="none"/>
          <w:lang w:eastAsia="zh-CN"/>
        </w:rPr>
        <w:t>：</w:t>
      </w:r>
      <w:bookmarkEnd w:id="1"/>
      <w:r>
        <w:rPr>
          <w:rFonts w:hint="eastAsia" w:asciiTheme="majorEastAsia" w:hAnsiTheme="majorEastAsia" w:eastAsiaTheme="majorEastAsia" w:cstheme="majorEastAsia"/>
          <w:b/>
          <w:bCs/>
          <w:color w:val="auto"/>
          <w:sz w:val="36"/>
          <w:szCs w:val="36"/>
          <w:highlight w:val="none"/>
          <w:u w:val="none"/>
          <w:lang w:eastAsia="zh-CN"/>
        </w:rPr>
        <w:t>国家税务总局昆明市官渡区税务局</w:t>
      </w:r>
    </w:p>
    <w:p w14:paraId="74D2F6DA">
      <w:pPr>
        <w:jc w:val="center"/>
        <w:rPr>
          <w:rFonts w:hint="eastAsia" w:asciiTheme="majorEastAsia" w:hAnsiTheme="majorEastAsia" w:eastAsiaTheme="majorEastAsia" w:cstheme="majorEastAsia"/>
          <w:b/>
          <w:bCs/>
          <w:color w:val="auto"/>
          <w:sz w:val="36"/>
          <w:szCs w:val="36"/>
          <w:highlight w:val="none"/>
          <w:u w:val="none"/>
          <w:lang w:eastAsia="zh-CN"/>
        </w:rPr>
      </w:pPr>
      <w:r>
        <w:rPr>
          <w:rFonts w:hint="eastAsia" w:asciiTheme="majorEastAsia" w:hAnsiTheme="majorEastAsia" w:eastAsiaTheme="majorEastAsia" w:cstheme="majorEastAsia"/>
          <w:b/>
          <w:bCs/>
          <w:color w:val="auto"/>
          <w:sz w:val="36"/>
          <w:szCs w:val="36"/>
          <w:highlight w:val="none"/>
          <w:u w:val="none"/>
        </w:rPr>
        <w:t>采购代理机构</w:t>
      </w:r>
      <w:r>
        <w:rPr>
          <w:rFonts w:hint="eastAsia" w:asciiTheme="majorEastAsia" w:hAnsiTheme="majorEastAsia" w:eastAsiaTheme="majorEastAsia" w:cstheme="majorEastAsia"/>
          <w:b/>
          <w:bCs/>
          <w:color w:val="auto"/>
          <w:sz w:val="36"/>
          <w:szCs w:val="36"/>
          <w:highlight w:val="none"/>
          <w:u w:val="none"/>
          <w:lang w:eastAsia="zh-CN"/>
        </w:rPr>
        <w:t>：云南中咨海外咨询有限公司</w:t>
      </w:r>
    </w:p>
    <w:p w14:paraId="1D2583AD">
      <w:pPr>
        <w:jc w:val="center"/>
        <w:rPr>
          <w:rFonts w:hint="eastAsia" w:asciiTheme="majorEastAsia" w:hAnsiTheme="majorEastAsia" w:eastAsiaTheme="majorEastAsia" w:cstheme="majorEastAsia"/>
          <w:b/>
          <w:bCs/>
          <w:color w:val="auto"/>
          <w:sz w:val="36"/>
          <w:szCs w:val="36"/>
          <w:highlight w:val="none"/>
        </w:rPr>
      </w:pPr>
      <w:r>
        <w:rPr>
          <w:rFonts w:hint="eastAsia" w:asciiTheme="majorEastAsia" w:hAnsiTheme="majorEastAsia" w:eastAsiaTheme="majorEastAsia" w:cstheme="majorEastAsia"/>
          <w:b/>
          <w:bCs/>
          <w:color w:val="auto"/>
          <w:sz w:val="36"/>
          <w:szCs w:val="36"/>
          <w:highlight w:val="none"/>
          <w:u w:val="none"/>
          <w:lang w:val="en-US" w:eastAsia="zh-CN"/>
        </w:rPr>
        <w:t>2026</w:t>
      </w:r>
      <w:r>
        <w:rPr>
          <w:rFonts w:hint="eastAsia" w:asciiTheme="majorEastAsia" w:hAnsiTheme="majorEastAsia" w:eastAsiaTheme="majorEastAsia" w:cstheme="majorEastAsia"/>
          <w:b/>
          <w:bCs/>
          <w:color w:val="auto"/>
          <w:sz w:val="36"/>
          <w:szCs w:val="36"/>
          <w:highlight w:val="none"/>
          <w:u w:val="none"/>
        </w:rPr>
        <w:t>年</w:t>
      </w:r>
      <w:r>
        <w:rPr>
          <w:rFonts w:hint="eastAsia" w:asciiTheme="majorEastAsia" w:hAnsiTheme="majorEastAsia" w:eastAsiaTheme="majorEastAsia" w:cstheme="majorEastAsia"/>
          <w:b/>
          <w:bCs/>
          <w:color w:val="auto"/>
          <w:sz w:val="36"/>
          <w:szCs w:val="36"/>
          <w:highlight w:val="none"/>
          <w:u w:val="none"/>
          <w:lang w:val="en-US" w:eastAsia="zh-CN"/>
        </w:rPr>
        <w:t>7</w:t>
      </w:r>
      <w:r>
        <w:rPr>
          <w:rFonts w:hint="eastAsia" w:asciiTheme="majorEastAsia" w:hAnsiTheme="majorEastAsia" w:eastAsiaTheme="majorEastAsia" w:cstheme="majorEastAsia"/>
          <w:b/>
          <w:bCs/>
          <w:color w:val="auto"/>
          <w:sz w:val="36"/>
          <w:szCs w:val="36"/>
          <w:highlight w:val="none"/>
          <w:u w:val="none"/>
        </w:rPr>
        <w:t>月</w:t>
      </w:r>
    </w:p>
    <w:p w14:paraId="18F3B5F1">
      <w:pPr>
        <w:rPr>
          <w:rFonts w:hint="eastAsia" w:asciiTheme="majorEastAsia" w:hAnsiTheme="majorEastAsia" w:eastAsiaTheme="majorEastAsia" w:cstheme="majorEastAsia"/>
          <w:color w:val="auto"/>
          <w:sz w:val="28"/>
          <w:szCs w:val="28"/>
          <w:highlight w:val="none"/>
          <w:lang w:val="zh-CN"/>
        </w:rPr>
      </w:pPr>
      <w:r>
        <w:rPr>
          <w:rFonts w:hint="eastAsia" w:asciiTheme="majorEastAsia" w:hAnsiTheme="majorEastAsia" w:eastAsiaTheme="majorEastAsia" w:cstheme="majorEastAsia"/>
          <w:color w:val="auto"/>
          <w:sz w:val="28"/>
          <w:szCs w:val="28"/>
          <w:highlight w:val="none"/>
          <w:lang w:val="zh-CN"/>
        </w:rPr>
        <w:br w:type="page"/>
      </w:r>
    </w:p>
    <w:sdt>
      <w:sdtPr>
        <w:rPr>
          <w:rFonts w:ascii="宋体" w:hAnsi="宋体" w:eastAsia="宋体" w:cs="Times New Roman"/>
          <w:b/>
          <w:bCs/>
          <w:color w:val="auto"/>
          <w:kern w:val="2"/>
          <w:sz w:val="32"/>
          <w:szCs w:val="36"/>
          <w:highlight w:val="none"/>
          <w:lang w:val="en-US" w:eastAsia="zh-CN" w:bidi="ar-SA"/>
        </w:rPr>
        <w:id w:val="147482409"/>
        <w15:color w:val="DBDBDB"/>
        <w:docPartObj>
          <w:docPartGallery w:val="Table of Contents"/>
          <w:docPartUnique/>
        </w:docPartObj>
      </w:sdtPr>
      <w:sdtEndPr>
        <w:rPr>
          <w:rFonts w:hint="eastAsia" w:ascii="宋体" w:hAnsi="宋体" w:eastAsia="宋体" w:cs="宋体"/>
          <w:b/>
          <w:bCs/>
          <w:color w:val="auto"/>
          <w:kern w:val="2"/>
          <w:sz w:val="28"/>
          <w:szCs w:val="28"/>
          <w:highlight w:val="none"/>
          <w:lang w:val="en-US" w:eastAsia="zh-CN" w:bidi="ar-SA"/>
        </w:rPr>
      </w:sdtEndPr>
      <w:sdtContent>
        <w:p w14:paraId="4B1B8D93">
          <w:pPr>
            <w:spacing w:before="0" w:beforeLines="0" w:after="0" w:afterLines="0" w:line="240" w:lineRule="auto"/>
            <w:ind w:left="0" w:leftChars="0" w:right="0" w:rightChars="0" w:firstLine="0" w:firstLineChars="0"/>
            <w:jc w:val="center"/>
            <w:rPr>
              <w:rFonts w:ascii="宋体" w:hAnsi="宋体" w:eastAsia="宋体" w:cs="Times New Roman"/>
              <w:b/>
              <w:bCs/>
              <w:color w:val="auto"/>
              <w:kern w:val="2"/>
              <w:sz w:val="32"/>
              <w:szCs w:val="36"/>
              <w:highlight w:val="none"/>
              <w:lang w:val="en-US" w:eastAsia="zh-CN" w:bidi="ar-SA"/>
            </w:rPr>
          </w:pPr>
        </w:p>
        <w:p w14:paraId="47142A62">
          <w:pPr>
            <w:spacing w:before="0" w:beforeLines="0" w:after="0" w:afterLines="0" w:line="240" w:lineRule="auto"/>
            <w:ind w:left="0" w:leftChars="0" w:right="0" w:rightChars="0" w:firstLine="0" w:firstLineChars="0"/>
            <w:jc w:val="center"/>
            <w:rPr>
              <w:b/>
              <w:bCs/>
              <w:color w:val="auto"/>
              <w:sz w:val="36"/>
              <w:szCs w:val="40"/>
              <w:highlight w:val="none"/>
            </w:rPr>
          </w:pPr>
          <w:r>
            <w:rPr>
              <w:rFonts w:ascii="宋体" w:hAnsi="宋体" w:eastAsia="宋体"/>
              <w:b/>
              <w:bCs/>
              <w:color w:val="auto"/>
              <w:sz w:val="36"/>
              <w:szCs w:val="40"/>
              <w:highlight w:val="none"/>
            </w:rPr>
            <w:t>目录</w:t>
          </w:r>
        </w:p>
        <w:p w14:paraId="28869DD6">
          <w:pPr>
            <w:pStyle w:val="39"/>
            <w:tabs>
              <w:tab w:val="right" w:leader="dot" w:pos="9040"/>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"1-2"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_Toc30512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第一章  </w:t>
          </w:r>
          <w:r>
            <w:rPr>
              <w:rFonts w:hint="eastAsia" w:ascii="宋体" w:hAnsi="宋体" w:eastAsia="宋体" w:cs="宋体"/>
              <w:b/>
              <w:bCs/>
              <w:color w:val="auto"/>
              <w:sz w:val="28"/>
              <w:szCs w:val="28"/>
              <w:highlight w:val="none"/>
              <w:lang w:val="en-US" w:eastAsia="zh-CN"/>
            </w:rPr>
            <w:t>招标公告</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_Toc30512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394A11C9">
          <w:pPr>
            <w:pStyle w:val="39"/>
            <w:tabs>
              <w:tab w:val="right" w:leader="dot" w:pos="9040"/>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_Toc6328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第二章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投标人须知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_Toc6328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5</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2C84E43E">
          <w:pPr>
            <w:pStyle w:val="40"/>
            <w:tabs>
              <w:tab w:val="right" w:leader="dot" w:pos="9040"/>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_Toc15329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投标人须知前附表</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_Toc15329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5</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55F2A1D8">
          <w:pPr>
            <w:pStyle w:val="39"/>
            <w:tabs>
              <w:tab w:val="right" w:leader="dot" w:pos="9040"/>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_Toc14811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第三章  </w:t>
          </w:r>
          <w:r>
            <w:rPr>
              <w:rFonts w:hint="eastAsia" w:ascii="宋体" w:hAnsi="宋体" w:cs="宋体"/>
              <w:b/>
              <w:bCs/>
              <w:color w:val="auto"/>
              <w:sz w:val="28"/>
              <w:szCs w:val="28"/>
              <w:highlight w:val="none"/>
              <w:lang w:eastAsia="zh-CN"/>
            </w:rPr>
            <w:t>资格审查、评标方法及标准</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_Toc14811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24</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4A82EF11">
          <w:pPr>
            <w:pStyle w:val="40"/>
            <w:tabs>
              <w:tab w:val="right" w:leader="dot" w:pos="9040"/>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_Toc6655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pacing w:val="40"/>
              <w:kern w:val="2"/>
              <w:sz w:val="28"/>
              <w:szCs w:val="28"/>
              <w:highlight w:val="none"/>
              <w:lang w:val="en-US" w:eastAsia="zh-CN" w:bidi="ar-SA"/>
            </w:rPr>
            <w:t>投标人资格要求前附表</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_Toc6655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25</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0F290821">
          <w:pPr>
            <w:pStyle w:val="40"/>
            <w:tabs>
              <w:tab w:val="right" w:leader="dot" w:pos="9040"/>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_Toc13133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评标方法前附表</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_Toc13133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28</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38CC50D3">
          <w:pPr>
            <w:pStyle w:val="39"/>
            <w:tabs>
              <w:tab w:val="right" w:leader="dot" w:pos="9040"/>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_Toc25364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第四章  政府采购合同文本</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_Toc25364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36</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4A29460A">
          <w:pPr>
            <w:pStyle w:val="40"/>
            <w:tabs>
              <w:tab w:val="right" w:leader="dot" w:pos="9040"/>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_Toc18907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合同条款前附表</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_Toc18907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37</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46674AA9">
          <w:pPr>
            <w:pStyle w:val="39"/>
            <w:tabs>
              <w:tab w:val="right" w:leader="dot" w:pos="9040"/>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_Toc16520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第五章</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投标文件格式</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_Toc16520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66</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6A9AE813">
          <w:pPr>
            <w:pStyle w:val="39"/>
            <w:tabs>
              <w:tab w:val="right" w:leader="dot" w:pos="9040"/>
            </w:tabs>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_Toc31654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lang w:val="en-US" w:eastAsia="zh-CN"/>
            </w:rPr>
            <w:t>第六章  项目采购需求</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_Toc31654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89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31363A30">
          <w:pPr>
            <w:pStyle w:val="2"/>
            <w:spacing w:line="360" w:lineRule="auto"/>
            <w:rPr>
              <w:rFonts w:hint="eastAsia" w:ascii="宋体" w:hAnsi="宋体" w:eastAsia="宋体" w:cs="宋体"/>
              <w:b/>
              <w:color w:val="auto"/>
              <w:kern w:val="2"/>
              <w:sz w:val="28"/>
              <w:szCs w:val="28"/>
              <w:highlight w:val="none"/>
              <w:lang w:val="en-US" w:eastAsia="zh-CN" w:bidi="ar-SA"/>
            </w:rPr>
          </w:pPr>
          <w:r>
            <w:rPr>
              <w:rFonts w:hint="eastAsia" w:ascii="宋体" w:hAnsi="宋体" w:eastAsia="宋体" w:cs="宋体"/>
              <w:b/>
              <w:bCs/>
              <w:color w:val="auto"/>
              <w:sz w:val="28"/>
              <w:szCs w:val="28"/>
              <w:highlight w:val="none"/>
            </w:rPr>
            <w:fldChar w:fldCharType="end"/>
          </w:r>
        </w:p>
      </w:sdtContent>
    </w:sdt>
    <w:p w14:paraId="05A8D246">
      <w:pPr>
        <w:rPr>
          <w:rFonts w:hint="eastAsia"/>
          <w:color w:val="auto"/>
          <w:highlight w:val="none"/>
        </w:rPr>
        <w:sectPr>
          <w:headerReference r:id="rId3" w:type="default"/>
          <w:footerReference r:id="rId4" w:type="default"/>
          <w:pgSz w:w="11906" w:h="16838"/>
          <w:pgMar w:top="1440" w:right="1486" w:bottom="1440" w:left="138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75A249C5">
      <w:pPr>
        <w:keepNext w:val="0"/>
        <w:keepLines w:val="0"/>
        <w:pageBreakBefore w:val="0"/>
        <w:kinsoku/>
        <w:overflowPunct/>
        <w:topLinePunct w:val="0"/>
        <w:autoSpaceDE/>
        <w:autoSpaceDN/>
        <w:bidi w:val="0"/>
        <w:adjustRightInd/>
        <w:snapToGrid/>
        <w:spacing w:line="440" w:lineRule="exact"/>
        <w:jc w:val="center"/>
        <w:outlineLvl w:val="0"/>
        <w:rPr>
          <w:rFonts w:hint="eastAsia" w:ascii="宋体" w:hAnsi="宋体" w:eastAsia="宋体" w:cs="宋体"/>
          <w:b/>
          <w:bCs/>
          <w:color w:val="auto"/>
          <w:sz w:val="28"/>
          <w:szCs w:val="28"/>
          <w:highlight w:val="none"/>
        </w:rPr>
      </w:pPr>
      <w:bookmarkStart w:id="2" w:name="_Toc30512"/>
      <w:r>
        <w:rPr>
          <w:rFonts w:hint="eastAsia" w:ascii="宋体" w:hAnsi="宋体" w:eastAsia="宋体" w:cs="宋体"/>
          <w:b/>
          <w:bCs/>
          <w:color w:val="auto"/>
          <w:sz w:val="28"/>
          <w:szCs w:val="28"/>
          <w:highlight w:val="none"/>
        </w:rPr>
        <w:t xml:space="preserve">第一章  </w:t>
      </w:r>
      <w:bookmarkEnd w:id="2"/>
      <w:r>
        <w:rPr>
          <w:rFonts w:hint="eastAsia" w:ascii="宋体" w:hAnsi="宋体" w:eastAsia="宋体" w:cs="宋体"/>
          <w:b/>
          <w:bCs/>
          <w:color w:val="auto"/>
          <w:sz w:val="28"/>
          <w:szCs w:val="28"/>
          <w:highlight w:val="none"/>
          <w:lang w:val="en-US" w:eastAsia="zh-CN"/>
        </w:rPr>
        <w:t>招标公告</w:t>
      </w:r>
    </w:p>
    <w:p w14:paraId="4D619A01">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after="0" w:line="440" w:lineRule="exact"/>
        <w:jc w:val="center"/>
        <w:textAlignment w:val="auto"/>
        <w:outlineLvl w:val="9"/>
        <w:rPr>
          <w:rFonts w:hint="eastAsia" w:ascii="宋体" w:hAnsi="宋体" w:eastAsia="宋体" w:cs="宋体"/>
          <w:color w:val="auto"/>
          <w:sz w:val="21"/>
          <w:szCs w:val="21"/>
          <w:highlight w:val="none"/>
        </w:rPr>
      </w:pPr>
      <w:bookmarkStart w:id="3" w:name="_Toc22404_WPSOffice_Level2"/>
      <w:r>
        <w:rPr>
          <w:rFonts w:hint="eastAsia" w:ascii="宋体" w:hAnsi="宋体" w:eastAsia="宋体" w:cs="宋体"/>
          <w:color w:val="auto"/>
          <w:sz w:val="21"/>
          <w:szCs w:val="21"/>
          <w:highlight w:val="none"/>
        </w:rPr>
        <w:t>项目概况</w:t>
      </w:r>
      <w:bookmarkEnd w:id="3"/>
    </w:p>
    <w:p w14:paraId="66A1F50D">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u w:val="none"/>
          <w:lang w:eastAsia="zh-CN"/>
        </w:rPr>
        <w:t>国家税务总局昆明市官渡区税务局2026年物业管理服务项目（二次）</w:t>
      </w:r>
      <w:r>
        <w:rPr>
          <w:rFonts w:hint="eastAsia" w:ascii="宋体" w:hAnsi="宋体" w:eastAsia="宋体" w:cs="宋体"/>
          <w:color w:val="auto"/>
          <w:sz w:val="21"/>
          <w:szCs w:val="21"/>
          <w:highlight w:val="none"/>
        </w:rPr>
        <w:t>的潜在投标人应在</w:t>
      </w:r>
      <w:r>
        <w:rPr>
          <w:rFonts w:hint="eastAsia" w:ascii="宋体" w:hAnsi="宋体" w:cs="宋体"/>
          <w:color w:val="auto"/>
          <w:sz w:val="21"/>
          <w:szCs w:val="21"/>
          <w:highlight w:val="none"/>
          <w:lang w:eastAsia="zh-CN"/>
        </w:rPr>
        <w:t>云南中咨海外咨询有限公司</w:t>
      </w:r>
      <w:r>
        <w:rPr>
          <w:rFonts w:hint="eastAsia" w:ascii="宋体" w:hAnsi="宋体" w:eastAsia="宋体" w:cs="宋体"/>
          <w:color w:val="auto"/>
          <w:sz w:val="21"/>
          <w:szCs w:val="21"/>
          <w:highlight w:val="none"/>
        </w:rPr>
        <w:t>（</w:t>
      </w:r>
      <w:r>
        <w:rPr>
          <w:rFonts w:hint="eastAsia" w:ascii="宋体" w:hAnsi="宋体" w:eastAsia="宋体"/>
          <w:color w:val="auto"/>
          <w:sz w:val="21"/>
          <w:szCs w:val="21"/>
          <w:highlight w:val="none"/>
        </w:rPr>
        <w:t>云南省昆明市滇池度假区中天融域小区17幢1单元</w:t>
      </w:r>
      <w:r>
        <w:rPr>
          <w:rFonts w:hint="eastAsia" w:ascii="宋体" w:hAnsi="宋体" w:eastAsia="宋体"/>
          <w:color w:val="auto"/>
          <w:sz w:val="21"/>
          <w:szCs w:val="21"/>
          <w:highlight w:val="none"/>
          <w:lang w:val="en-US" w:eastAsia="zh-CN"/>
        </w:rPr>
        <w:t>3楼前台</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或邮件</w:t>
      </w:r>
      <w:r>
        <w:rPr>
          <w:rFonts w:hint="eastAsia" w:ascii="宋体" w:hAnsi="宋体" w:eastAsia="宋体" w:cs="宋体"/>
          <w:color w:val="auto"/>
          <w:sz w:val="21"/>
          <w:szCs w:val="21"/>
          <w:highlight w:val="none"/>
        </w:rPr>
        <w:t>获取招标文件</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并于</w:t>
      </w:r>
      <w:r>
        <w:rPr>
          <w:rFonts w:hint="eastAsia" w:ascii="宋体" w:hAnsi="宋体" w:cs="宋体"/>
          <w:color w:val="auto"/>
          <w:szCs w:val="21"/>
          <w:highlight w:val="none"/>
          <w:u w:val="none"/>
          <w:lang w:eastAsia="zh-CN"/>
        </w:rPr>
        <w:t>2026年07月29日14点30分</w:t>
      </w:r>
      <w:r>
        <w:rPr>
          <w:rFonts w:hint="eastAsia" w:ascii="宋体" w:hAnsi="宋体" w:eastAsia="宋体" w:cs="宋体"/>
          <w:bCs/>
          <w:color w:val="auto"/>
          <w:sz w:val="21"/>
          <w:szCs w:val="21"/>
          <w:highlight w:val="none"/>
          <w:u w:val="none"/>
        </w:rPr>
        <w:t>（北京时间）</w:t>
      </w:r>
      <w:r>
        <w:rPr>
          <w:rFonts w:hint="eastAsia" w:ascii="宋体" w:hAnsi="宋体" w:eastAsia="宋体" w:cs="宋体"/>
          <w:bCs/>
          <w:color w:val="auto"/>
          <w:sz w:val="21"/>
          <w:szCs w:val="21"/>
          <w:highlight w:val="none"/>
        </w:rPr>
        <w:t>前递交投标文件</w:t>
      </w:r>
      <w:r>
        <w:rPr>
          <w:rFonts w:hint="eastAsia" w:ascii="宋体" w:hAnsi="宋体" w:eastAsia="宋体" w:cs="宋体"/>
          <w:color w:val="auto"/>
          <w:sz w:val="21"/>
          <w:szCs w:val="21"/>
          <w:highlight w:val="none"/>
        </w:rPr>
        <w:t>。</w:t>
      </w:r>
    </w:p>
    <w:p w14:paraId="4226578D">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宋体" w:hAnsi="宋体" w:eastAsia="宋体" w:cs="宋体"/>
          <w:b/>
          <w:bCs/>
          <w:color w:val="auto"/>
          <w:sz w:val="21"/>
          <w:szCs w:val="21"/>
          <w:highlight w:val="none"/>
        </w:rPr>
      </w:pPr>
      <w:bookmarkStart w:id="4" w:name="_Toc3439"/>
      <w:bookmarkStart w:id="5" w:name="_Toc16201_WPSOffice_Level2"/>
      <w:r>
        <w:rPr>
          <w:rFonts w:hint="eastAsia" w:ascii="宋体" w:hAnsi="宋体" w:eastAsia="宋体" w:cs="宋体"/>
          <w:b/>
          <w:bCs/>
          <w:color w:val="auto"/>
          <w:sz w:val="21"/>
          <w:szCs w:val="21"/>
          <w:highlight w:val="none"/>
        </w:rPr>
        <w:t>一</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项目基本情况</w:t>
      </w:r>
      <w:bookmarkEnd w:id="4"/>
      <w:bookmarkEnd w:id="5"/>
    </w:p>
    <w:p w14:paraId="73E43FD8">
      <w:pPr>
        <w:keepNext w:val="0"/>
        <w:keepLines w:val="0"/>
        <w:pageBreakBefore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Cs w:val="21"/>
          <w:highlight w:val="none"/>
          <w:u w:val="none"/>
          <w:lang w:eastAsia="zh-CN"/>
        </w:rPr>
        <w:t>项目编号：</w:t>
      </w:r>
      <w:r>
        <w:rPr>
          <w:rFonts w:hint="eastAsia" w:ascii="宋体" w:hAnsi="宋体" w:cs="宋体"/>
          <w:color w:val="auto"/>
          <w:szCs w:val="21"/>
          <w:highlight w:val="none"/>
          <w:u w:val="none"/>
          <w:lang w:val="en-US" w:eastAsia="zh-CN"/>
        </w:rPr>
        <w:t>YN2026-DLGK-C0042-B00</w:t>
      </w:r>
      <w:r>
        <w:rPr>
          <w:rFonts w:hint="eastAsia" w:ascii="宋体" w:hAnsi="宋体" w:eastAsia="宋体" w:cs="宋体"/>
          <w:color w:val="auto"/>
          <w:szCs w:val="21"/>
          <w:highlight w:val="none"/>
          <w:u w:val="none"/>
          <w:lang w:val="en-US" w:eastAsia="zh-CN"/>
        </w:rPr>
        <w:t>；</w:t>
      </w:r>
    </w:p>
    <w:p w14:paraId="4E2BEAF8">
      <w:pPr>
        <w:keepNext w:val="0"/>
        <w:keepLines w:val="0"/>
        <w:pageBreakBefore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项目名称</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u w:val="none"/>
          <w:lang w:eastAsia="zh-CN"/>
        </w:rPr>
        <w:t>国家税务总局昆明市官渡区税务局2026年物业管理服务项目（二次）</w:t>
      </w:r>
      <w:r>
        <w:rPr>
          <w:rFonts w:hint="eastAsia" w:ascii="宋体" w:hAnsi="宋体" w:eastAsia="宋体" w:cs="宋体"/>
          <w:color w:val="auto"/>
          <w:sz w:val="21"/>
          <w:szCs w:val="21"/>
          <w:highlight w:val="none"/>
          <w:u w:val="none"/>
          <w:lang w:eastAsia="zh-CN"/>
        </w:rPr>
        <w:t>；</w:t>
      </w:r>
    </w:p>
    <w:p w14:paraId="2A99D2B4">
      <w:pPr>
        <w:keepNext w:val="0"/>
        <w:keepLines w:val="0"/>
        <w:pageBreakBefore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预算金额</w:t>
      </w:r>
      <w:r>
        <w:rPr>
          <w:rFonts w:hint="eastAsia" w:ascii="宋体" w:hAnsi="宋体" w:cs="宋体"/>
          <w:color w:val="auto"/>
          <w:sz w:val="21"/>
          <w:szCs w:val="21"/>
          <w:highlight w:val="none"/>
          <w:lang w:eastAsia="zh-CN"/>
        </w:rPr>
        <w:t>（含税）：大写：壹佰肆拾万元整，小写：</w:t>
      </w:r>
      <w:r>
        <w:rPr>
          <w:rFonts w:hint="eastAsia" w:ascii="宋体" w:hAnsi="宋体" w:cs="宋体"/>
          <w:color w:val="auto"/>
          <w:sz w:val="21"/>
          <w:szCs w:val="21"/>
          <w:highlight w:val="none"/>
          <w:lang w:val="en-US" w:eastAsia="zh-CN"/>
        </w:rPr>
        <w:t>¥1,400,000.00</w:t>
      </w:r>
      <w:r>
        <w:rPr>
          <w:rFonts w:hint="eastAsia" w:ascii="宋体" w:hAnsi="宋体" w:cs="宋体"/>
          <w:color w:val="auto"/>
          <w:sz w:val="21"/>
          <w:szCs w:val="21"/>
          <w:highlight w:val="none"/>
          <w:lang w:eastAsia="zh-CN"/>
        </w:rPr>
        <w:t>元</w:t>
      </w:r>
      <w:r>
        <w:rPr>
          <w:rFonts w:hint="eastAsia" w:ascii="宋体" w:hAnsi="宋体" w:eastAsia="宋体" w:cs="宋体"/>
          <w:color w:val="auto"/>
          <w:sz w:val="21"/>
          <w:szCs w:val="21"/>
          <w:highlight w:val="none"/>
          <w:lang w:eastAsia="zh-CN"/>
        </w:rPr>
        <w:t>；</w:t>
      </w:r>
    </w:p>
    <w:p w14:paraId="603AAF2C">
      <w:pPr>
        <w:keepNext w:val="0"/>
        <w:keepLines w:val="0"/>
        <w:pageBreakBefore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最高限价</w:t>
      </w:r>
      <w:r>
        <w:rPr>
          <w:rFonts w:hint="eastAsia" w:ascii="宋体" w:hAnsi="宋体" w:cs="宋体"/>
          <w:color w:val="auto"/>
          <w:sz w:val="21"/>
          <w:szCs w:val="21"/>
          <w:highlight w:val="none"/>
          <w:lang w:eastAsia="zh-CN"/>
        </w:rPr>
        <w:t>（含税）：大写：壹佰肆拾万元整，小写：</w:t>
      </w:r>
      <w:r>
        <w:rPr>
          <w:rFonts w:hint="eastAsia" w:ascii="宋体" w:hAnsi="宋体" w:cs="宋体"/>
          <w:color w:val="auto"/>
          <w:sz w:val="21"/>
          <w:szCs w:val="21"/>
          <w:highlight w:val="none"/>
          <w:lang w:val="en-US" w:eastAsia="zh-CN"/>
        </w:rPr>
        <w:t>¥1,400,000.00</w:t>
      </w:r>
      <w:r>
        <w:rPr>
          <w:rFonts w:hint="eastAsia" w:ascii="宋体" w:hAnsi="宋体" w:cs="宋体"/>
          <w:color w:val="auto"/>
          <w:sz w:val="21"/>
          <w:szCs w:val="21"/>
          <w:highlight w:val="none"/>
          <w:lang w:eastAsia="zh-CN"/>
        </w:rPr>
        <w:t>元</w:t>
      </w:r>
      <w:r>
        <w:rPr>
          <w:rFonts w:hint="eastAsia" w:ascii="宋体" w:hAnsi="宋体" w:eastAsia="宋体" w:cs="宋体"/>
          <w:color w:val="auto"/>
          <w:sz w:val="21"/>
          <w:szCs w:val="21"/>
          <w:highlight w:val="none"/>
          <w:lang w:eastAsia="zh-CN"/>
        </w:rPr>
        <w:t>；</w:t>
      </w:r>
    </w:p>
    <w:p w14:paraId="6A99DB7B">
      <w:pPr>
        <w:keepNext w:val="0"/>
        <w:keepLines w:val="0"/>
        <w:pageBreakBefore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u w:val="single"/>
          <w:lang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采购需求</w:t>
      </w:r>
      <w:r>
        <w:rPr>
          <w:rFonts w:hint="eastAsia" w:ascii="宋体" w:hAnsi="宋体" w:cs="宋体"/>
          <w:color w:val="auto"/>
          <w:sz w:val="21"/>
          <w:szCs w:val="21"/>
          <w:highlight w:val="none"/>
          <w:lang w:eastAsia="zh-CN"/>
        </w:rPr>
        <w:t>：</w:t>
      </w:r>
    </w:p>
    <w:tbl>
      <w:tblPr>
        <w:tblStyle w:val="25"/>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61"/>
        <w:gridCol w:w="1911"/>
        <w:gridCol w:w="717"/>
        <w:gridCol w:w="1167"/>
        <w:gridCol w:w="4421"/>
      </w:tblGrid>
      <w:tr w14:paraId="768FC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16" w:hRule="atLeast"/>
          <w:jc w:val="center"/>
        </w:trPr>
        <w:tc>
          <w:tcPr>
            <w:tcW w:w="661" w:type="dxa"/>
            <w:tcMar>
              <w:top w:w="0" w:type="dxa"/>
              <w:left w:w="108" w:type="dxa"/>
              <w:bottom w:w="0" w:type="dxa"/>
              <w:right w:w="108" w:type="dxa"/>
            </w:tcMar>
            <w:vAlign w:val="center"/>
          </w:tcPr>
          <w:p w14:paraId="1A5F098D">
            <w:pPr>
              <w:pStyle w:val="9"/>
              <w:keepNext w:val="0"/>
              <w:keepLines w:val="0"/>
              <w:pageBreakBefore w:val="0"/>
              <w:kinsoku/>
              <w:overflowPunct/>
              <w:topLinePunct w:val="0"/>
              <w:autoSpaceDE/>
              <w:autoSpaceDN/>
              <w:bidi w:val="0"/>
              <w:adjustRightInd/>
              <w:snapToGrid/>
              <w:spacing w:line="440" w:lineRule="exact"/>
              <w:jc w:val="center"/>
              <w:rPr>
                <w:rStyle w:val="28"/>
                <w:rFonts w:hint="eastAsia" w:ascii="宋体" w:hAnsi="宋体" w:eastAsia="宋体" w:cs="宋体"/>
                <w:bCs/>
                <w:color w:val="auto"/>
                <w:sz w:val="21"/>
                <w:szCs w:val="21"/>
                <w:highlight w:val="none"/>
                <w:lang w:eastAsia="zh-CN"/>
              </w:rPr>
            </w:pPr>
            <w:r>
              <w:rPr>
                <w:rStyle w:val="28"/>
                <w:rFonts w:hint="eastAsia" w:cs="宋体"/>
                <w:bCs/>
                <w:color w:val="auto"/>
                <w:sz w:val="21"/>
                <w:szCs w:val="21"/>
                <w:highlight w:val="none"/>
                <w:lang w:val="en-US" w:eastAsia="zh-CN"/>
              </w:rPr>
              <w:t>序号</w:t>
            </w:r>
          </w:p>
        </w:tc>
        <w:tc>
          <w:tcPr>
            <w:tcW w:w="1911" w:type="dxa"/>
            <w:tcMar>
              <w:top w:w="0" w:type="dxa"/>
              <w:left w:w="108" w:type="dxa"/>
              <w:bottom w:w="0" w:type="dxa"/>
              <w:right w:w="108" w:type="dxa"/>
            </w:tcMar>
            <w:vAlign w:val="center"/>
          </w:tcPr>
          <w:p w14:paraId="0C057470">
            <w:pPr>
              <w:pStyle w:val="9"/>
              <w:keepNext w:val="0"/>
              <w:keepLines w:val="0"/>
              <w:pageBreakBefore w:val="0"/>
              <w:kinsoku/>
              <w:overflowPunct/>
              <w:topLinePunct w:val="0"/>
              <w:autoSpaceDE/>
              <w:autoSpaceDN/>
              <w:bidi w:val="0"/>
              <w:adjustRightInd/>
              <w:snapToGrid/>
              <w:spacing w:line="440" w:lineRule="exact"/>
              <w:jc w:val="center"/>
              <w:rPr>
                <w:rFonts w:hint="eastAsia" w:ascii="宋体" w:hAnsi="宋体" w:eastAsia="宋体" w:cs="宋体"/>
                <w:color w:val="auto"/>
                <w:sz w:val="21"/>
                <w:szCs w:val="21"/>
                <w:highlight w:val="none"/>
              </w:rPr>
            </w:pPr>
            <w:r>
              <w:rPr>
                <w:rStyle w:val="28"/>
                <w:rFonts w:hint="eastAsia" w:ascii="宋体" w:hAnsi="宋体" w:eastAsia="宋体" w:cs="宋体"/>
                <w:bCs/>
                <w:color w:val="auto"/>
                <w:sz w:val="21"/>
                <w:szCs w:val="21"/>
                <w:highlight w:val="none"/>
              </w:rPr>
              <w:t>项目（标的）名称</w:t>
            </w:r>
          </w:p>
        </w:tc>
        <w:tc>
          <w:tcPr>
            <w:tcW w:w="717" w:type="dxa"/>
            <w:tcMar>
              <w:top w:w="0" w:type="dxa"/>
              <w:left w:w="108" w:type="dxa"/>
              <w:bottom w:w="0" w:type="dxa"/>
              <w:right w:w="108" w:type="dxa"/>
            </w:tcMar>
            <w:vAlign w:val="center"/>
          </w:tcPr>
          <w:p w14:paraId="5DC1F478">
            <w:pPr>
              <w:pStyle w:val="9"/>
              <w:keepNext w:val="0"/>
              <w:keepLines w:val="0"/>
              <w:pageBreakBefore w:val="0"/>
              <w:kinsoku/>
              <w:overflowPunct/>
              <w:topLinePunct w:val="0"/>
              <w:autoSpaceDE/>
              <w:autoSpaceDN/>
              <w:bidi w:val="0"/>
              <w:adjustRightInd/>
              <w:snapToGrid/>
              <w:spacing w:line="440" w:lineRule="exact"/>
              <w:jc w:val="center"/>
              <w:rPr>
                <w:rFonts w:hint="eastAsia" w:ascii="宋体" w:hAnsi="宋体" w:eastAsia="宋体" w:cs="宋体"/>
                <w:color w:val="auto"/>
                <w:sz w:val="21"/>
                <w:szCs w:val="21"/>
                <w:highlight w:val="none"/>
              </w:rPr>
            </w:pPr>
            <w:r>
              <w:rPr>
                <w:rStyle w:val="28"/>
                <w:rFonts w:hint="eastAsia" w:ascii="宋体" w:hAnsi="宋体" w:eastAsia="宋体" w:cs="宋体"/>
                <w:bCs/>
                <w:color w:val="auto"/>
                <w:sz w:val="21"/>
                <w:szCs w:val="21"/>
                <w:highlight w:val="none"/>
              </w:rPr>
              <w:t>数量</w:t>
            </w:r>
          </w:p>
        </w:tc>
        <w:tc>
          <w:tcPr>
            <w:tcW w:w="1167" w:type="dxa"/>
            <w:tcMar>
              <w:top w:w="0" w:type="dxa"/>
              <w:left w:w="108" w:type="dxa"/>
              <w:bottom w:w="0" w:type="dxa"/>
              <w:right w:w="108" w:type="dxa"/>
            </w:tcMar>
            <w:vAlign w:val="center"/>
          </w:tcPr>
          <w:p w14:paraId="5115DFB0">
            <w:pPr>
              <w:pStyle w:val="9"/>
              <w:keepNext w:val="0"/>
              <w:keepLines w:val="0"/>
              <w:pageBreakBefore w:val="0"/>
              <w:kinsoku/>
              <w:overflowPunct/>
              <w:topLinePunct w:val="0"/>
              <w:autoSpaceDE/>
              <w:autoSpaceDN/>
              <w:bidi w:val="0"/>
              <w:adjustRightInd/>
              <w:snapToGrid/>
              <w:spacing w:line="440" w:lineRule="exact"/>
              <w:jc w:val="center"/>
              <w:rPr>
                <w:rFonts w:hint="eastAsia" w:ascii="宋体" w:hAnsi="宋体" w:eastAsia="宋体" w:cs="宋体"/>
                <w:color w:val="auto"/>
                <w:sz w:val="21"/>
                <w:szCs w:val="21"/>
                <w:highlight w:val="none"/>
              </w:rPr>
            </w:pPr>
            <w:r>
              <w:rPr>
                <w:rStyle w:val="28"/>
                <w:rFonts w:hint="eastAsia" w:ascii="宋体" w:hAnsi="宋体" w:eastAsia="宋体" w:cs="宋体"/>
                <w:bCs/>
                <w:color w:val="auto"/>
                <w:sz w:val="21"/>
                <w:szCs w:val="21"/>
                <w:highlight w:val="none"/>
              </w:rPr>
              <w:t>计量单位</w:t>
            </w:r>
          </w:p>
        </w:tc>
        <w:tc>
          <w:tcPr>
            <w:tcW w:w="4421" w:type="dxa"/>
            <w:tcMar>
              <w:top w:w="0" w:type="dxa"/>
              <w:left w:w="108" w:type="dxa"/>
              <w:bottom w:w="0" w:type="dxa"/>
              <w:right w:w="108" w:type="dxa"/>
            </w:tcMar>
            <w:vAlign w:val="center"/>
          </w:tcPr>
          <w:p w14:paraId="7A335CD1">
            <w:pPr>
              <w:pStyle w:val="9"/>
              <w:keepNext w:val="0"/>
              <w:keepLines w:val="0"/>
              <w:pageBreakBefore w:val="0"/>
              <w:kinsoku/>
              <w:overflowPunct/>
              <w:topLinePunct w:val="0"/>
              <w:autoSpaceDE/>
              <w:autoSpaceDN/>
              <w:bidi w:val="0"/>
              <w:adjustRightInd/>
              <w:snapToGrid/>
              <w:spacing w:line="440" w:lineRule="exact"/>
              <w:jc w:val="center"/>
              <w:rPr>
                <w:rStyle w:val="28"/>
                <w:rFonts w:hint="default" w:cs="宋体"/>
                <w:bCs/>
                <w:color w:val="auto"/>
                <w:sz w:val="21"/>
                <w:szCs w:val="21"/>
                <w:highlight w:val="none"/>
                <w:lang w:val="en-US" w:eastAsia="zh-CN"/>
              </w:rPr>
            </w:pPr>
            <w:r>
              <w:rPr>
                <w:rStyle w:val="28"/>
                <w:rFonts w:hint="eastAsia" w:cs="宋体"/>
                <w:bCs/>
                <w:color w:val="auto"/>
                <w:sz w:val="21"/>
                <w:szCs w:val="21"/>
                <w:highlight w:val="none"/>
                <w:lang w:val="en-US" w:eastAsia="zh-CN"/>
              </w:rPr>
              <w:t>服务范围</w:t>
            </w:r>
          </w:p>
        </w:tc>
      </w:tr>
      <w:tr w14:paraId="4AE46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jc w:val="center"/>
        </w:trPr>
        <w:tc>
          <w:tcPr>
            <w:tcW w:w="661" w:type="dxa"/>
            <w:tcMar>
              <w:top w:w="0" w:type="dxa"/>
              <w:left w:w="108" w:type="dxa"/>
              <w:bottom w:w="0" w:type="dxa"/>
              <w:right w:w="108" w:type="dxa"/>
            </w:tcMar>
            <w:vAlign w:val="center"/>
          </w:tcPr>
          <w:p w14:paraId="307CC1FA">
            <w:pPr>
              <w:pStyle w:val="9"/>
              <w:keepNext w:val="0"/>
              <w:keepLines w:val="0"/>
              <w:pageBreakBefore w:val="0"/>
              <w:kinsoku/>
              <w:overflowPunct/>
              <w:topLinePunct w:val="0"/>
              <w:autoSpaceDE/>
              <w:autoSpaceDN/>
              <w:bidi w:val="0"/>
              <w:adjustRightInd w:val="0"/>
              <w:snapToGrid w:val="0"/>
              <w:spacing w:after="0" w:afterAutospacing="0" w:line="440" w:lineRule="exact"/>
              <w:jc w:val="center"/>
              <w:textAlignment w:val="bottom"/>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p>
        </w:tc>
        <w:tc>
          <w:tcPr>
            <w:tcW w:w="1911" w:type="dxa"/>
            <w:tcMar>
              <w:top w:w="0" w:type="dxa"/>
              <w:left w:w="108" w:type="dxa"/>
              <w:bottom w:w="0" w:type="dxa"/>
              <w:right w:w="108" w:type="dxa"/>
            </w:tcMar>
            <w:vAlign w:val="center"/>
          </w:tcPr>
          <w:p w14:paraId="5BFA8EF1">
            <w:pPr>
              <w:pStyle w:val="9"/>
              <w:keepNext w:val="0"/>
              <w:keepLines w:val="0"/>
              <w:pageBreakBefore w:val="0"/>
              <w:kinsoku/>
              <w:overflowPunct/>
              <w:topLinePunct w:val="0"/>
              <w:autoSpaceDE/>
              <w:autoSpaceDN/>
              <w:bidi w:val="0"/>
              <w:adjustRightInd w:val="0"/>
              <w:snapToGrid w:val="0"/>
              <w:spacing w:after="0" w:afterAutospacing="0" w:line="440" w:lineRule="exact"/>
              <w:jc w:val="center"/>
              <w:textAlignment w:val="bottom"/>
              <w:rPr>
                <w:rFonts w:hint="eastAsia" w:ascii="宋体" w:hAnsi="宋体" w:eastAsia="宋体" w:cs="宋体"/>
                <w:color w:val="auto"/>
                <w:szCs w:val="21"/>
                <w:highlight w:val="none"/>
                <w:lang w:eastAsia="zh-CN"/>
              </w:rPr>
            </w:pPr>
            <w:r>
              <w:rPr>
                <w:rFonts w:hint="eastAsia" w:cs="宋体"/>
                <w:color w:val="auto"/>
                <w:sz w:val="21"/>
                <w:szCs w:val="21"/>
                <w:highlight w:val="none"/>
                <w:lang w:val="en-US" w:eastAsia="zh-CN"/>
              </w:rPr>
              <w:t>国家税务总局昆明市官渡区税务局2026年物业管理服务项目（二次）</w:t>
            </w:r>
          </w:p>
        </w:tc>
        <w:tc>
          <w:tcPr>
            <w:tcW w:w="717" w:type="dxa"/>
            <w:tcMar>
              <w:top w:w="0" w:type="dxa"/>
              <w:left w:w="108" w:type="dxa"/>
              <w:bottom w:w="0" w:type="dxa"/>
              <w:right w:w="108" w:type="dxa"/>
            </w:tcMar>
            <w:vAlign w:val="center"/>
          </w:tcPr>
          <w:p w14:paraId="485F757D">
            <w:pPr>
              <w:pStyle w:val="9"/>
              <w:keepNext w:val="0"/>
              <w:keepLines w:val="0"/>
              <w:pageBreakBefore w:val="0"/>
              <w:kinsoku/>
              <w:overflowPunct/>
              <w:topLinePunct w:val="0"/>
              <w:autoSpaceDE/>
              <w:autoSpaceDN/>
              <w:bidi w:val="0"/>
              <w:adjustRightInd w:val="0"/>
              <w:snapToGrid w:val="0"/>
              <w:spacing w:after="0" w:afterAutospacing="0" w:line="440" w:lineRule="exact"/>
              <w:jc w:val="center"/>
              <w:textAlignment w:val="bottom"/>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167" w:type="dxa"/>
            <w:tcMar>
              <w:top w:w="0" w:type="dxa"/>
              <w:left w:w="108" w:type="dxa"/>
              <w:bottom w:w="0" w:type="dxa"/>
              <w:right w:w="108" w:type="dxa"/>
            </w:tcMar>
            <w:vAlign w:val="center"/>
          </w:tcPr>
          <w:p w14:paraId="4FCA64C5">
            <w:pPr>
              <w:pStyle w:val="9"/>
              <w:keepNext w:val="0"/>
              <w:keepLines w:val="0"/>
              <w:pageBreakBefore w:val="0"/>
              <w:kinsoku/>
              <w:overflowPunct/>
              <w:topLinePunct w:val="0"/>
              <w:autoSpaceDE/>
              <w:autoSpaceDN/>
              <w:bidi w:val="0"/>
              <w:adjustRightInd w:val="0"/>
              <w:snapToGrid w:val="0"/>
              <w:spacing w:after="0" w:afterAutospacing="0" w:line="440" w:lineRule="exact"/>
              <w:jc w:val="center"/>
              <w:textAlignment w:val="bottom"/>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项</w:t>
            </w:r>
          </w:p>
        </w:tc>
        <w:tc>
          <w:tcPr>
            <w:tcW w:w="4421" w:type="dxa"/>
            <w:tcMar>
              <w:top w:w="0" w:type="dxa"/>
              <w:left w:w="108" w:type="dxa"/>
              <w:bottom w:w="0" w:type="dxa"/>
              <w:right w:w="108" w:type="dxa"/>
            </w:tcMar>
            <w:vAlign w:val="center"/>
          </w:tcPr>
          <w:p w14:paraId="51BB2679">
            <w:pPr>
              <w:pStyle w:val="9"/>
              <w:keepNext w:val="0"/>
              <w:keepLines w:val="0"/>
              <w:pageBreakBefore w:val="0"/>
              <w:kinsoku/>
              <w:overflowPunct/>
              <w:topLinePunct w:val="0"/>
              <w:autoSpaceDE/>
              <w:autoSpaceDN/>
              <w:bidi w:val="0"/>
              <w:adjustRightInd w:val="0"/>
              <w:snapToGrid w:val="0"/>
              <w:spacing w:after="0" w:afterAutospacing="0" w:line="440" w:lineRule="exact"/>
              <w:jc w:val="center"/>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针对昆明市官渡区宝海路519号、日新路1263号、螺蛳湾国际商贸城3期28区3楼</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个办公区提供公共综合服务、会议保障服务、化粪池和隔油池疏通清理等相关服务。</w:t>
            </w:r>
          </w:p>
        </w:tc>
      </w:tr>
    </w:tbl>
    <w:p w14:paraId="6E05EA0B">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注</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本项目共设</w:t>
      </w:r>
      <w:r>
        <w:rPr>
          <w:rFonts w:hint="eastAsia" w:ascii="宋体" w:hAnsi="宋体" w:cs="宋体"/>
          <w:color w:val="auto"/>
          <w:szCs w:val="21"/>
          <w:highlight w:val="none"/>
          <w:lang w:val="en-US" w:eastAsia="zh-CN"/>
        </w:rPr>
        <w:t>一</w:t>
      </w:r>
      <w:r>
        <w:rPr>
          <w:rFonts w:hint="eastAsia" w:ascii="宋体" w:hAnsi="宋体" w:eastAsia="宋体" w:cs="宋体"/>
          <w:color w:val="auto"/>
          <w:szCs w:val="21"/>
          <w:highlight w:val="none"/>
        </w:rPr>
        <w:t>个标段</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必须对本项目所有内容进行完整报价</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不得出现缺项</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漏项</w:t>
      </w:r>
      <w:r>
        <w:rPr>
          <w:rFonts w:hint="eastAsia" w:ascii="宋体" w:hAnsi="宋体" w:eastAsia="宋体" w:cs="宋体"/>
          <w:color w:val="auto"/>
          <w:sz w:val="21"/>
          <w:szCs w:val="21"/>
          <w:highlight w:val="none"/>
          <w:lang w:val="en-US" w:eastAsia="zh-CN"/>
        </w:rPr>
        <w:t>或无报价情况</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否则按无效投标处理。</w:t>
      </w:r>
    </w:p>
    <w:p w14:paraId="7639541A">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6.服务期限：一年，自合同签订生效之日起至合同全部权利义务履行完毕。</w:t>
      </w:r>
    </w:p>
    <w:p w14:paraId="51F26DB2">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lang w:eastAsia="zh-CN"/>
        </w:rPr>
        <w:t>服务地点：昆明市官渡区宝海路519号、日新路1263号、螺蛳湾国际商贸城3期28区3楼</w:t>
      </w:r>
      <w:r>
        <w:rPr>
          <w:rFonts w:hint="eastAsia" w:ascii="宋体" w:hAnsi="宋体" w:eastAsia="宋体" w:cs="宋体"/>
          <w:color w:val="auto"/>
          <w:szCs w:val="21"/>
          <w:highlight w:val="none"/>
          <w:lang w:eastAsia="zh-CN"/>
        </w:rPr>
        <w:t>。</w:t>
      </w:r>
    </w:p>
    <w:p w14:paraId="0F6F5406">
      <w:pPr>
        <w:adjustRightInd w:val="0"/>
        <w:spacing w:line="440" w:lineRule="exact"/>
        <w:ind w:firstLine="420" w:firstLineChars="200"/>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合同履行期限</w:t>
      </w:r>
      <w:r>
        <w:rPr>
          <w:rFonts w:hint="eastAsia" w:ascii="宋体" w:hAnsi="宋体" w:cs="宋体"/>
          <w:color w:val="auto"/>
          <w:sz w:val="21"/>
          <w:szCs w:val="21"/>
          <w:highlight w:val="none"/>
          <w:lang w:eastAsia="zh-CN"/>
        </w:rPr>
        <w:t>：一年，自合同签订生效之日起至合同全部权利义务履行完毕。</w:t>
      </w:r>
    </w:p>
    <w:p w14:paraId="65CD4AD7">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宋体" w:hAnsi="宋体" w:eastAsia="宋体" w:cs="宋体"/>
          <w:b/>
          <w:bCs/>
          <w:color w:val="auto"/>
          <w:sz w:val="21"/>
          <w:szCs w:val="21"/>
          <w:highlight w:val="none"/>
        </w:rPr>
      </w:pPr>
      <w:bookmarkStart w:id="6" w:name="_Toc2787"/>
      <w:bookmarkStart w:id="7" w:name="_Toc28417_WPSOffice_Level2"/>
      <w:r>
        <w:rPr>
          <w:rFonts w:hint="eastAsia" w:ascii="宋体" w:hAnsi="宋体" w:eastAsia="宋体" w:cs="宋体"/>
          <w:b/>
          <w:bCs/>
          <w:color w:val="auto"/>
          <w:sz w:val="21"/>
          <w:szCs w:val="21"/>
          <w:highlight w:val="none"/>
        </w:rPr>
        <w:t>二</w:t>
      </w:r>
      <w:r>
        <w:rPr>
          <w:rFonts w:hint="eastAsia" w:ascii="宋体" w:hAnsi="宋体" w:eastAsia="宋体" w:cs="宋体"/>
          <w:b/>
          <w:bCs/>
          <w:color w:val="auto"/>
          <w:sz w:val="21"/>
          <w:szCs w:val="21"/>
          <w:highlight w:val="none"/>
          <w:lang w:eastAsia="zh-CN"/>
        </w:rPr>
        <w:t>、投标人</w:t>
      </w:r>
      <w:r>
        <w:rPr>
          <w:rFonts w:hint="eastAsia" w:ascii="宋体" w:hAnsi="宋体" w:eastAsia="宋体" w:cs="宋体"/>
          <w:b/>
          <w:bCs/>
          <w:color w:val="auto"/>
          <w:sz w:val="21"/>
          <w:szCs w:val="21"/>
          <w:highlight w:val="none"/>
        </w:rPr>
        <w:t>的资格要求</w:t>
      </w:r>
      <w:bookmarkEnd w:id="6"/>
      <w:bookmarkEnd w:id="7"/>
    </w:p>
    <w:p w14:paraId="1BFB397E">
      <w:pPr>
        <w:keepNext w:val="0"/>
        <w:keepLines w:val="0"/>
        <w:pageBreakBefore w:val="0"/>
        <w:kinsoku/>
        <w:wordWrap/>
        <w:overflowPunct/>
        <w:topLinePunct w:val="0"/>
        <w:autoSpaceDE/>
        <w:autoSpaceDN/>
        <w:bidi w:val="0"/>
        <w:adjustRightInd/>
        <w:snapToGrid/>
        <w:spacing w:after="0" w:line="440" w:lineRule="exact"/>
        <w:ind w:firstLine="422" w:firstLineChars="200"/>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1.满足《中华人民共和国政府采购法》第二十二条规定；</w:t>
      </w:r>
    </w:p>
    <w:p w14:paraId="596E6EDC">
      <w:pPr>
        <w:keepNext w:val="0"/>
        <w:keepLines w:val="0"/>
        <w:pageBreakBefore w:val="0"/>
        <w:widowControl w:val="0"/>
        <w:kinsoku/>
        <w:wordWrap/>
        <w:overflowPunct/>
        <w:topLinePunct w:val="0"/>
        <w:autoSpaceDE/>
        <w:autoSpaceDN/>
        <w:bidi w:val="0"/>
        <w:adjustRightInd/>
        <w:snapToGrid/>
        <w:spacing w:after="0" w:line="440" w:lineRule="exact"/>
        <w:ind w:firstLine="422"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1具有独立承担民事责任的能力</w:t>
      </w:r>
      <w:r>
        <w:rPr>
          <w:rFonts w:hint="eastAsia" w:ascii="宋体" w:hAnsi="宋体" w:cs="宋体"/>
          <w:b/>
          <w:bCs/>
          <w:color w:val="auto"/>
          <w:sz w:val="21"/>
          <w:szCs w:val="21"/>
          <w:highlight w:val="none"/>
          <w:lang w:eastAsia="zh-CN"/>
        </w:rPr>
        <w:t>：</w:t>
      </w:r>
      <w:r>
        <w:rPr>
          <w:rFonts w:hint="eastAsia" w:ascii="宋体" w:hAnsi="宋体" w:cs="宋体"/>
          <w:strike w:val="0"/>
          <w:dstrike w:val="0"/>
          <w:color w:val="auto"/>
          <w:sz w:val="21"/>
          <w:szCs w:val="21"/>
          <w:highlight w:val="none"/>
          <w:lang w:eastAsia="zh-CN"/>
        </w:rPr>
        <w:t>提供法人或者其他组织的营业执照等证明文件；若为自然人的，提供自然人的身份证明（加盖投标人公章）</w:t>
      </w:r>
      <w:r>
        <w:rPr>
          <w:rFonts w:hint="eastAsia" w:ascii="宋体" w:hAnsi="宋体" w:eastAsia="宋体" w:cs="宋体"/>
          <w:strike w:val="0"/>
          <w:color w:val="auto"/>
          <w:sz w:val="21"/>
          <w:szCs w:val="21"/>
          <w:highlight w:val="none"/>
          <w:lang w:eastAsia="zh-CN"/>
        </w:rPr>
        <w:t>。</w:t>
      </w:r>
    </w:p>
    <w:p w14:paraId="57468ADC">
      <w:pPr>
        <w:keepNext w:val="0"/>
        <w:keepLines w:val="0"/>
        <w:pageBreakBefore w:val="0"/>
        <w:widowControl w:val="0"/>
        <w:kinsoku/>
        <w:wordWrap/>
        <w:overflowPunct/>
        <w:topLinePunct w:val="0"/>
        <w:autoSpaceDE/>
        <w:autoSpaceDN/>
        <w:bidi w:val="0"/>
        <w:adjustRightInd/>
        <w:snapToGrid/>
        <w:spacing w:after="0" w:line="440" w:lineRule="exact"/>
        <w:ind w:firstLine="422" w:firstLineChars="200"/>
        <w:textAlignment w:val="auto"/>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2具有良好的商业信誉和健全的财务会计制度</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内容可为以下</w:t>
      </w:r>
      <w:r>
        <w:rPr>
          <w:rFonts w:hint="eastAsia" w:ascii="宋体" w:hAnsi="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者之一</w:t>
      </w:r>
      <w:r>
        <w:rPr>
          <w:rFonts w:hint="eastAsia" w:ascii="宋体" w:hAnsi="宋体" w:cs="宋体"/>
          <w:b/>
          <w:bCs/>
          <w:color w:val="auto"/>
          <w:sz w:val="21"/>
          <w:szCs w:val="21"/>
          <w:highlight w:val="none"/>
          <w:lang w:eastAsia="zh-CN"/>
        </w:rPr>
        <w:t>：</w:t>
      </w:r>
    </w:p>
    <w:p w14:paraId="1559AF30">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w:t>
      </w:r>
      <w:r>
        <w:rPr>
          <w:rFonts w:hint="eastAsia" w:ascii="宋体" w:hAnsi="宋体" w:cs="宋体"/>
          <w:color w:val="auto"/>
          <w:sz w:val="21"/>
          <w:szCs w:val="21"/>
          <w:highlight w:val="none"/>
          <w:lang w:eastAsia="zh-CN"/>
        </w:rPr>
        <w:t>投标人须提供2024年度或2025年度经审计的财务会计报告及报表资料（至少包括：财务审计报告、资产负债表、利润表、现金流量表并附注册会计师行业统一监管平台验证码），如投标人执行的财政部门印发的会计制度或准则有其他要求的，以其要求为准；新成立不满1年的投标人提供自成立至今的财务报表（复印件加盖投标人公章）</w:t>
      </w:r>
      <w:r>
        <w:rPr>
          <w:rFonts w:hint="eastAsia" w:ascii="宋体" w:hAnsi="宋体" w:eastAsia="宋体" w:cs="宋体"/>
          <w:color w:val="auto"/>
          <w:sz w:val="21"/>
          <w:szCs w:val="21"/>
          <w:highlight w:val="none"/>
        </w:rPr>
        <w:t>；</w:t>
      </w:r>
    </w:p>
    <w:p w14:paraId="76FDD429">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②提供自</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提交截止时间前三个月内基本开户银行出具的资信证明（加盖</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公章）</w:t>
      </w:r>
      <w:r>
        <w:rPr>
          <w:rFonts w:hint="eastAsia" w:ascii="宋体" w:hAnsi="宋体" w:cs="宋体"/>
          <w:color w:val="auto"/>
          <w:sz w:val="21"/>
          <w:szCs w:val="21"/>
          <w:highlight w:val="none"/>
          <w:lang w:eastAsia="zh-CN"/>
        </w:rPr>
        <w:t>。</w:t>
      </w:r>
    </w:p>
    <w:p w14:paraId="1B745628">
      <w:pPr>
        <w:keepNext w:val="0"/>
        <w:keepLines w:val="0"/>
        <w:pageBreakBefore w:val="0"/>
        <w:widowControl w:val="0"/>
        <w:kinsoku/>
        <w:wordWrap/>
        <w:overflowPunct/>
        <w:topLinePunct w:val="0"/>
        <w:autoSpaceDE/>
        <w:autoSpaceDN/>
        <w:bidi w:val="0"/>
        <w:adjustRightInd/>
        <w:snapToGrid/>
        <w:spacing w:after="0" w:line="440" w:lineRule="exact"/>
        <w:ind w:firstLine="422"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3具有履行合同所必需的设备和专业技术能力</w:t>
      </w:r>
      <w:r>
        <w:rPr>
          <w:rFonts w:hint="eastAsia" w:ascii="宋体" w:hAnsi="宋体" w:cs="宋体"/>
          <w:b/>
          <w:bCs/>
          <w:color w:val="auto"/>
          <w:sz w:val="21"/>
          <w:szCs w:val="21"/>
          <w:highlight w:val="none"/>
          <w:lang w:eastAsia="zh-CN"/>
        </w:rPr>
        <w:t>：</w:t>
      </w: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具有履行合同所必需的设备和专业技术能力证明材料（</w:t>
      </w:r>
      <w:r>
        <w:rPr>
          <w:rFonts w:hint="eastAsia" w:ascii="宋体" w:hAnsi="宋体" w:eastAsia="宋体" w:cs="宋体"/>
          <w:color w:val="auto"/>
          <w:sz w:val="21"/>
          <w:szCs w:val="21"/>
          <w:highlight w:val="none"/>
          <w:lang w:eastAsia="zh-CN"/>
        </w:rPr>
        <w:t>加盖投标人公章</w:t>
      </w:r>
      <w:r>
        <w:rPr>
          <w:rFonts w:hint="eastAsia" w:ascii="宋体" w:hAnsi="宋体" w:eastAsia="宋体" w:cs="宋体"/>
          <w:color w:val="auto"/>
          <w:sz w:val="21"/>
          <w:szCs w:val="21"/>
          <w:highlight w:val="none"/>
        </w:rPr>
        <w:t>）或书面声明（</w:t>
      </w:r>
      <w:r>
        <w:rPr>
          <w:rFonts w:hint="eastAsia" w:ascii="宋体" w:hAnsi="宋体" w:eastAsia="宋体" w:cs="宋体"/>
          <w:color w:val="auto"/>
          <w:sz w:val="21"/>
          <w:szCs w:val="21"/>
          <w:highlight w:val="none"/>
          <w:lang w:eastAsia="zh-CN"/>
        </w:rPr>
        <w:t>加盖投标人公章</w:t>
      </w:r>
      <w:r>
        <w:rPr>
          <w:rFonts w:hint="eastAsia" w:ascii="宋体" w:hAnsi="宋体" w:eastAsia="宋体" w:cs="宋体"/>
          <w:color w:val="auto"/>
          <w:sz w:val="21"/>
          <w:szCs w:val="21"/>
          <w:highlight w:val="none"/>
        </w:rPr>
        <w:t>）；</w:t>
      </w:r>
    </w:p>
    <w:p w14:paraId="2F84F5B7">
      <w:pPr>
        <w:keepNext w:val="0"/>
        <w:keepLines w:val="0"/>
        <w:pageBreakBefore w:val="0"/>
        <w:widowControl w:val="0"/>
        <w:kinsoku/>
        <w:wordWrap/>
        <w:overflowPunct/>
        <w:topLinePunct w:val="0"/>
        <w:autoSpaceDE/>
        <w:autoSpaceDN/>
        <w:bidi w:val="0"/>
        <w:adjustRightInd/>
        <w:snapToGrid/>
        <w:spacing w:after="0" w:line="440" w:lineRule="exact"/>
        <w:ind w:firstLine="422" w:firstLineChars="200"/>
        <w:textAlignment w:val="auto"/>
        <w:outlineLvl w:val="9"/>
        <w:rPr>
          <w:rFonts w:hint="eastAsia" w:ascii="宋体" w:hAnsi="宋体" w:eastAsia="宋体" w:cs="宋体"/>
          <w:b/>
          <w:bCs/>
          <w:strike w:val="0"/>
          <w:dstrike w:val="0"/>
          <w:color w:val="auto"/>
          <w:sz w:val="21"/>
          <w:szCs w:val="21"/>
          <w:highlight w:val="none"/>
          <w:lang w:eastAsia="zh-CN"/>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4有依</w:t>
      </w:r>
      <w:r>
        <w:rPr>
          <w:rFonts w:hint="eastAsia" w:ascii="宋体" w:hAnsi="宋体" w:eastAsia="宋体" w:cs="宋体"/>
          <w:b/>
          <w:bCs/>
          <w:strike w:val="0"/>
          <w:dstrike w:val="0"/>
          <w:color w:val="auto"/>
          <w:sz w:val="21"/>
          <w:szCs w:val="21"/>
          <w:highlight w:val="none"/>
        </w:rPr>
        <w:t>法缴纳税收和社会保障资金的良好记录</w:t>
      </w:r>
      <w:r>
        <w:rPr>
          <w:rFonts w:hint="eastAsia" w:ascii="宋体" w:hAnsi="宋体" w:cs="宋体"/>
          <w:b/>
          <w:bCs/>
          <w:strike w:val="0"/>
          <w:dstrike w:val="0"/>
          <w:color w:val="auto"/>
          <w:sz w:val="21"/>
          <w:szCs w:val="21"/>
          <w:highlight w:val="none"/>
          <w:lang w:eastAsia="zh-CN"/>
        </w:rPr>
        <w:t>：</w:t>
      </w:r>
    </w:p>
    <w:p w14:paraId="72C8FA32">
      <w:pPr>
        <w:keepNext w:val="0"/>
        <w:keepLines w:val="0"/>
        <w:pageBreakBefore w:val="0"/>
        <w:tabs>
          <w:tab w:val="left" w:pos="720"/>
          <w:tab w:val="left" w:pos="8295"/>
        </w:tabs>
        <w:kinsoku/>
        <w:wordWrap w:val="0"/>
        <w:overflowPunct/>
        <w:topLinePunct w:val="0"/>
        <w:autoSpaceDE/>
        <w:autoSpaceDN/>
        <w:bidi w:val="0"/>
        <w:adjustRightInd/>
        <w:snapToGrid/>
        <w:spacing w:line="440" w:lineRule="exact"/>
        <w:ind w:firstLine="422" w:firstLineChars="200"/>
        <w:outlineLvl w:val="9"/>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1.4.1</w:t>
      </w:r>
      <w:r>
        <w:rPr>
          <w:rFonts w:hint="eastAsia" w:ascii="宋体" w:hAnsi="宋体" w:cs="宋体"/>
          <w:color w:val="auto"/>
          <w:sz w:val="21"/>
          <w:szCs w:val="21"/>
          <w:highlight w:val="none"/>
          <w:lang w:eastAsia="zh-CN"/>
        </w:rPr>
        <w:t>提供投标人缴税所属时间在2025年5月至本项目提交投标文件截止时间前任意1个月的税务局税收通用缴款书或银行电子缴税（费）凭证或税务局出具纳税情况的相关证明；依法免税或免缴的，应提供相关证明文件（加盖投标人公章）或说明（加盖投标人公章）；新成立未满1个月的投标人，依法免税或免缴的，应提供相关证明文件（加盖投标人公章）或说明（加盖投标人公章）</w:t>
      </w:r>
      <w:r>
        <w:rPr>
          <w:rFonts w:hint="eastAsia" w:ascii="宋体" w:hAnsi="宋体" w:eastAsia="宋体" w:cs="宋体"/>
          <w:color w:val="auto"/>
          <w:sz w:val="21"/>
          <w:szCs w:val="21"/>
          <w:highlight w:val="none"/>
          <w:lang w:eastAsia="zh-CN"/>
        </w:rPr>
        <w:t>；</w:t>
      </w:r>
    </w:p>
    <w:p w14:paraId="139A0DDC">
      <w:pPr>
        <w:keepNext w:val="0"/>
        <w:keepLines w:val="0"/>
        <w:pageBreakBefore w:val="0"/>
        <w:tabs>
          <w:tab w:val="left" w:pos="720"/>
          <w:tab w:val="left" w:pos="8295"/>
        </w:tabs>
        <w:kinsoku/>
        <w:wordWrap w:val="0"/>
        <w:overflowPunct/>
        <w:topLinePunct w:val="0"/>
        <w:autoSpaceDE/>
        <w:autoSpaceDN/>
        <w:bidi w:val="0"/>
        <w:adjustRightInd/>
        <w:snapToGrid/>
        <w:spacing w:line="440" w:lineRule="exact"/>
        <w:ind w:firstLine="422" w:firstLineChars="200"/>
        <w:outlineLvl w:val="9"/>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1.4.2</w:t>
      </w:r>
      <w:r>
        <w:rPr>
          <w:rFonts w:hint="eastAsia" w:ascii="宋体" w:hAnsi="宋体" w:cs="宋体"/>
          <w:color w:val="auto"/>
          <w:sz w:val="21"/>
          <w:szCs w:val="21"/>
          <w:highlight w:val="none"/>
          <w:lang w:eastAsia="zh-CN"/>
        </w:rPr>
        <w:t>提供投标人缴费所属时间在2025年5月至本项目提交投标文件截止时间前任意1个月的社会保险费缴款书或银行电子缴税（费）凭证或社保管理部门出具的有效的缴款证明；依法免缴的，应提供依法免缴的相关证明文件（加盖投标人公章）或说明（加盖投标人公章）；新成立未满1个月的投标人，依法免缴的，应提供依法免缴的相关证明文件（加盖投标人公章）或说明（加盖投标人公章）。</w:t>
      </w:r>
    </w:p>
    <w:p w14:paraId="75F6DF92">
      <w:pPr>
        <w:keepNext w:val="0"/>
        <w:keepLines w:val="0"/>
        <w:pageBreakBefore w:val="0"/>
        <w:tabs>
          <w:tab w:val="left" w:pos="720"/>
          <w:tab w:val="left" w:pos="8295"/>
        </w:tabs>
        <w:kinsoku/>
        <w:wordWrap w:val="0"/>
        <w:overflowPunct/>
        <w:topLinePunct w:val="0"/>
        <w:autoSpaceDE/>
        <w:autoSpaceDN/>
        <w:bidi w:val="0"/>
        <w:adjustRightInd/>
        <w:snapToGrid/>
        <w:spacing w:line="440" w:lineRule="exact"/>
        <w:ind w:firstLine="422" w:firstLineChars="200"/>
        <w:outlineLvl w:val="9"/>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1.5参加政府采购活动前三年内</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lang w:eastAsia="zh-CN"/>
        </w:rPr>
        <w:t>在经营活动中没有重大违法记录</w:t>
      </w:r>
      <w:r>
        <w:rPr>
          <w:rFonts w:hint="eastAsia" w:ascii="宋体" w:hAnsi="宋体" w:cs="宋体"/>
          <w:b/>
          <w:bCs/>
          <w:color w:val="auto"/>
          <w:sz w:val="21"/>
          <w:szCs w:val="21"/>
          <w:highlight w:val="none"/>
          <w:lang w:eastAsia="zh-CN"/>
        </w:rPr>
        <w:t>：</w:t>
      </w:r>
      <w:r>
        <w:rPr>
          <w:rFonts w:hint="eastAsia" w:ascii="宋体" w:hAnsi="宋体" w:eastAsia="宋体" w:cs="宋体"/>
          <w:color w:val="auto"/>
          <w:sz w:val="21"/>
          <w:szCs w:val="21"/>
          <w:highlight w:val="none"/>
          <w:lang w:eastAsia="zh-CN"/>
        </w:rPr>
        <w:t>提供投标人参加政府采购活动前三年内</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在经营活动中没有重大违法记录（重大违法记录</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是指投标人因违法经营受到刑事处罚或者责令停产停业</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吊销许可证或者执照</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较大数额罚款等行政处罚）的书面声明（加盖投标人公章）；</w:t>
      </w:r>
    </w:p>
    <w:p w14:paraId="38E06A47">
      <w:pPr>
        <w:keepNext w:val="0"/>
        <w:keepLines w:val="0"/>
        <w:pageBreakBefore w:val="0"/>
        <w:tabs>
          <w:tab w:val="left" w:pos="720"/>
          <w:tab w:val="left" w:pos="8295"/>
        </w:tabs>
        <w:kinsoku/>
        <w:wordWrap w:val="0"/>
        <w:overflowPunct/>
        <w:topLinePunct w:val="0"/>
        <w:autoSpaceDE/>
        <w:autoSpaceDN/>
        <w:bidi w:val="0"/>
        <w:adjustRightInd/>
        <w:snapToGrid/>
        <w:spacing w:line="440" w:lineRule="exact"/>
        <w:ind w:firstLine="422" w:firstLineChars="200"/>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1.6法律</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lang w:eastAsia="zh-CN"/>
        </w:rPr>
        <w:t>行政法规规定的其他条件</w:t>
      </w:r>
      <w:r>
        <w:rPr>
          <w:rFonts w:hint="eastAsia" w:ascii="宋体" w:hAnsi="宋体" w:cs="宋体"/>
          <w:b/>
          <w:bCs/>
          <w:color w:val="auto"/>
          <w:sz w:val="21"/>
          <w:szCs w:val="21"/>
          <w:highlight w:val="none"/>
          <w:lang w:eastAsia="zh-CN"/>
        </w:rPr>
        <w:t>：</w:t>
      </w:r>
    </w:p>
    <w:p w14:paraId="4B0143CC">
      <w:pPr>
        <w:keepNext w:val="0"/>
        <w:keepLines w:val="0"/>
        <w:pageBreakBefore w:val="0"/>
        <w:tabs>
          <w:tab w:val="left" w:pos="720"/>
          <w:tab w:val="left" w:pos="8295"/>
        </w:tabs>
        <w:kinsoku/>
        <w:wordWrap w:val="0"/>
        <w:overflowPunct/>
        <w:topLinePunct w:val="0"/>
        <w:autoSpaceDE/>
        <w:autoSpaceDN/>
        <w:bidi w:val="0"/>
        <w:adjustRightInd/>
        <w:snapToGrid/>
        <w:spacing w:line="440" w:lineRule="exact"/>
        <w:ind w:firstLine="422" w:firstLineChars="200"/>
        <w:outlineLvl w:val="9"/>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1.6.</w:t>
      </w:r>
      <w:r>
        <w:rPr>
          <w:rFonts w:hint="eastAsia" w:ascii="宋体" w:hAnsi="宋体" w:cs="宋体"/>
          <w:b/>
          <w:bCs/>
          <w:color w:val="auto"/>
          <w:sz w:val="21"/>
          <w:szCs w:val="21"/>
          <w:highlight w:val="none"/>
          <w:lang w:val="en-US" w:eastAsia="zh-CN"/>
        </w:rPr>
        <w:t>1</w:t>
      </w:r>
      <w:r>
        <w:rPr>
          <w:rFonts w:hint="eastAsia" w:ascii="宋体" w:hAnsi="宋体" w:eastAsia="宋体" w:cs="宋体"/>
          <w:color w:val="auto"/>
          <w:sz w:val="21"/>
          <w:szCs w:val="21"/>
          <w:highlight w:val="none"/>
          <w:lang w:eastAsia="zh-CN"/>
        </w:rPr>
        <w:t>单位负责人为同一人或者存在直接控股、管理关系的不同供应商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不得参加同一合同项下的政府采购活动（提供承诺函加盖投标人公章）；</w:t>
      </w:r>
    </w:p>
    <w:p w14:paraId="70CB7E4F">
      <w:pPr>
        <w:keepNext w:val="0"/>
        <w:keepLines w:val="0"/>
        <w:pageBreakBefore w:val="0"/>
        <w:tabs>
          <w:tab w:val="left" w:pos="720"/>
          <w:tab w:val="left" w:pos="8295"/>
        </w:tabs>
        <w:kinsoku/>
        <w:wordWrap w:val="0"/>
        <w:overflowPunct/>
        <w:topLinePunct w:val="0"/>
        <w:autoSpaceDE/>
        <w:autoSpaceDN/>
        <w:bidi w:val="0"/>
        <w:adjustRightInd/>
        <w:snapToGrid/>
        <w:spacing w:line="440" w:lineRule="exact"/>
        <w:ind w:firstLine="422" w:firstLineChars="200"/>
        <w:outlineLvl w:val="9"/>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1.6.</w:t>
      </w:r>
      <w:r>
        <w:rPr>
          <w:rFonts w:hint="eastAsia" w:ascii="宋体" w:hAnsi="宋体" w:cs="宋体"/>
          <w:b/>
          <w:bCs/>
          <w:color w:val="auto"/>
          <w:sz w:val="21"/>
          <w:szCs w:val="21"/>
          <w:highlight w:val="none"/>
          <w:lang w:val="en-US" w:eastAsia="zh-CN"/>
        </w:rPr>
        <w:t>2</w:t>
      </w:r>
      <w:r>
        <w:rPr>
          <w:rFonts w:hint="eastAsia" w:ascii="宋体" w:hAnsi="宋体" w:eastAsia="宋体" w:cs="宋体"/>
          <w:color w:val="auto"/>
          <w:sz w:val="21"/>
          <w:szCs w:val="21"/>
          <w:highlight w:val="none"/>
          <w:lang w:eastAsia="zh-CN"/>
        </w:rPr>
        <w:t>为本采购项目提供整体设计、规范编制或者项目管理、监理、检测等服务的投标人</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不得再参加本采购项目的其他采购活动的书面声明（提供书面声明函加盖投标人公章）；</w:t>
      </w:r>
    </w:p>
    <w:p w14:paraId="249473DC">
      <w:pPr>
        <w:keepNext w:val="0"/>
        <w:keepLines w:val="0"/>
        <w:pageBreakBefore w:val="0"/>
        <w:tabs>
          <w:tab w:val="left" w:pos="720"/>
          <w:tab w:val="left" w:pos="8295"/>
        </w:tabs>
        <w:kinsoku/>
        <w:wordWrap w:val="0"/>
        <w:overflowPunct/>
        <w:topLinePunct w:val="0"/>
        <w:autoSpaceDE/>
        <w:autoSpaceDN/>
        <w:bidi w:val="0"/>
        <w:adjustRightInd/>
        <w:snapToGrid/>
        <w:spacing w:line="440" w:lineRule="exact"/>
        <w:ind w:firstLine="422" w:firstLineChars="200"/>
        <w:outlineLvl w:val="9"/>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1.6.</w:t>
      </w:r>
      <w:r>
        <w:rPr>
          <w:rFonts w:hint="eastAsia" w:ascii="宋体" w:hAnsi="宋体" w:cs="宋体"/>
          <w:b/>
          <w:bCs/>
          <w:color w:val="auto"/>
          <w:sz w:val="21"/>
          <w:szCs w:val="21"/>
          <w:highlight w:val="none"/>
          <w:lang w:val="en-US" w:eastAsia="zh-CN"/>
        </w:rPr>
        <w:t>3</w:t>
      </w:r>
      <w:r>
        <w:rPr>
          <w:rFonts w:hint="eastAsia" w:ascii="宋体" w:hAnsi="宋体" w:eastAsia="宋体" w:cs="宋体"/>
          <w:color w:val="auto"/>
          <w:sz w:val="21"/>
          <w:szCs w:val="21"/>
          <w:highlight w:val="none"/>
          <w:lang w:eastAsia="zh-CN"/>
        </w:rPr>
        <w:t>投标人在“信用中国”网站（www.creditchina.gov.cn）中</w:t>
      </w:r>
      <w:r>
        <w:rPr>
          <w:rFonts w:hint="eastAsia" w:ascii="宋体" w:hAnsi="宋体" w:cs="宋体"/>
          <w:color w:val="auto"/>
          <w:sz w:val="21"/>
          <w:szCs w:val="21"/>
          <w:highlight w:val="none"/>
          <w:lang w:eastAsia="zh-CN"/>
        </w:rPr>
        <w:t>未被列入失信被执行人、重大税收违法失信主体名单、</w:t>
      </w:r>
      <w:r>
        <w:rPr>
          <w:rFonts w:hint="eastAsia" w:ascii="宋体" w:hAnsi="宋体" w:cs="宋体"/>
          <w:strike w:val="0"/>
          <w:dstrike w:val="0"/>
          <w:color w:val="auto"/>
          <w:sz w:val="21"/>
          <w:szCs w:val="21"/>
          <w:highlight w:val="none"/>
          <w:lang w:eastAsia="zh-CN"/>
        </w:rPr>
        <w:t>政府采购严重违法失信行为记录名单</w:t>
      </w:r>
      <w:r>
        <w:rPr>
          <w:rFonts w:hint="eastAsia" w:ascii="宋体" w:hAnsi="宋体" w:eastAsia="宋体" w:cs="宋体"/>
          <w:color w:val="auto"/>
          <w:sz w:val="21"/>
          <w:szCs w:val="21"/>
          <w:highlight w:val="none"/>
          <w:lang w:eastAsia="zh-CN"/>
        </w:rPr>
        <w:t>（查询时间为开标当天</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查询结果以采购人、采购代理机构查询结果为准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并将查询记录和证据留存</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投标人无需提供查询结果）；</w:t>
      </w:r>
    </w:p>
    <w:p w14:paraId="432A3DC4">
      <w:pPr>
        <w:keepNext w:val="0"/>
        <w:keepLines w:val="0"/>
        <w:pageBreakBefore w:val="0"/>
        <w:tabs>
          <w:tab w:val="left" w:pos="720"/>
          <w:tab w:val="left" w:pos="8295"/>
        </w:tabs>
        <w:kinsoku/>
        <w:wordWrap w:val="0"/>
        <w:overflowPunct/>
        <w:topLinePunct w:val="0"/>
        <w:autoSpaceDE/>
        <w:autoSpaceDN/>
        <w:bidi w:val="0"/>
        <w:adjustRightInd/>
        <w:snapToGrid/>
        <w:spacing w:line="440" w:lineRule="exact"/>
        <w:ind w:firstLine="422" w:firstLineChars="200"/>
        <w:outlineLvl w:val="9"/>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1.6.</w:t>
      </w:r>
      <w:r>
        <w:rPr>
          <w:rFonts w:hint="eastAsia" w:ascii="宋体" w:hAnsi="宋体" w:cs="宋体"/>
          <w:b/>
          <w:bCs/>
          <w:color w:val="auto"/>
          <w:sz w:val="21"/>
          <w:szCs w:val="21"/>
          <w:highlight w:val="none"/>
          <w:lang w:val="en-US" w:eastAsia="zh-CN"/>
        </w:rPr>
        <w:t>4</w:t>
      </w:r>
      <w:r>
        <w:rPr>
          <w:rFonts w:hint="eastAsia" w:ascii="宋体" w:hAnsi="宋体" w:eastAsia="宋体" w:cs="宋体"/>
          <w:color w:val="auto"/>
          <w:sz w:val="21"/>
          <w:szCs w:val="21"/>
          <w:highlight w:val="none"/>
          <w:lang w:eastAsia="zh-CN"/>
        </w:rPr>
        <w:t>投标人在中国政府采购网（www.ccgp.gov.cn）政府采购严重违法失信行为记录名单中无不良信息记录（被禁止在一定期限内参加采购活动但期限届满的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或仅被处于非较大数额罚款的除外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查询时间为开标当天</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查询结果以采购人、采购代理机构查询结果为准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并将查询记录和证据留存</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投标人无需提供查询结果）；</w:t>
      </w:r>
    </w:p>
    <w:p w14:paraId="01E02B0B">
      <w:pPr>
        <w:keepNext w:val="0"/>
        <w:keepLines w:val="0"/>
        <w:pageBreakBefore w:val="0"/>
        <w:tabs>
          <w:tab w:val="left" w:pos="720"/>
          <w:tab w:val="left" w:pos="8295"/>
        </w:tabs>
        <w:kinsoku/>
        <w:wordWrap w:val="0"/>
        <w:overflowPunct/>
        <w:topLinePunct w:val="0"/>
        <w:autoSpaceDE/>
        <w:autoSpaceDN/>
        <w:bidi w:val="0"/>
        <w:adjustRightInd/>
        <w:snapToGrid/>
        <w:spacing w:line="440" w:lineRule="exact"/>
        <w:ind w:firstLine="422" w:firstLineChars="200"/>
        <w:outlineLvl w:val="2"/>
        <w:rPr>
          <w:rFonts w:hint="eastAsia" w:ascii="宋体" w:hAnsi="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2.落实政府采购政策需满足的资格要求</w:t>
      </w:r>
      <w:r>
        <w:rPr>
          <w:rFonts w:hint="eastAsia" w:ascii="宋体" w:hAnsi="宋体" w:cs="宋体"/>
          <w:b/>
          <w:bCs/>
          <w:color w:val="auto"/>
          <w:sz w:val="21"/>
          <w:szCs w:val="21"/>
          <w:highlight w:val="none"/>
          <w:lang w:eastAsia="zh-CN"/>
        </w:rPr>
        <w:t>：</w:t>
      </w:r>
      <w:r>
        <w:rPr>
          <w:rFonts w:hint="eastAsia" w:ascii="宋体" w:hAnsi="宋体" w:cs="宋体"/>
          <w:color w:val="auto"/>
          <w:szCs w:val="21"/>
          <w:highlight w:val="none"/>
        </w:rPr>
        <w:t>本项目专门面向中小企业采购</w:t>
      </w:r>
      <w:r>
        <w:rPr>
          <w:rFonts w:hint="eastAsia" w:ascii="宋体" w:hAnsi="宋体" w:cs="宋体"/>
          <w:color w:val="auto"/>
          <w:szCs w:val="21"/>
          <w:highlight w:val="none"/>
          <w:lang w:eastAsia="zh-CN"/>
        </w:rPr>
        <w:t>，</w:t>
      </w:r>
      <w:r>
        <w:rPr>
          <w:rFonts w:hint="eastAsia" w:ascii="宋体" w:hAnsi="宋体" w:cs="宋体"/>
          <w:color w:val="auto"/>
          <w:szCs w:val="21"/>
          <w:highlight w:val="none"/>
        </w:rPr>
        <w:t>投标人必须为中型企业或小型企业</w:t>
      </w:r>
      <w:r>
        <w:rPr>
          <w:rFonts w:hint="eastAsia" w:ascii="宋体" w:hAnsi="宋体" w:cs="宋体"/>
          <w:b w:val="0"/>
          <w:bCs w:val="0"/>
          <w:color w:val="auto"/>
          <w:szCs w:val="21"/>
          <w:highlight w:val="none"/>
        </w:rPr>
        <w:t>或微型企业；监狱企业、残疾人福利性单位视同小型企业或微型企业</w:t>
      </w:r>
      <w:r>
        <w:rPr>
          <w:rFonts w:hint="eastAsia" w:ascii="宋体" w:hAnsi="宋体" w:cs="宋体"/>
          <w:b w:val="0"/>
          <w:bCs w:val="0"/>
          <w:color w:val="auto"/>
          <w:szCs w:val="21"/>
          <w:highlight w:val="none"/>
          <w:lang w:eastAsia="zh-CN"/>
        </w:rPr>
        <w:t>。本项目所属行业为物业管理，符合条件的投标人应根据《关于印发中小企业划型标准规定的通知》</w:t>
      </w:r>
      <w:bookmarkStart w:id="8" w:name="OLE_LINK278"/>
      <w:r>
        <w:rPr>
          <w:rFonts w:hint="eastAsia" w:ascii="宋体" w:hAnsi="宋体" w:cs="宋体"/>
          <w:b w:val="0"/>
          <w:bCs w:val="0"/>
          <w:color w:val="auto"/>
          <w:szCs w:val="21"/>
          <w:highlight w:val="none"/>
          <w:lang w:eastAsia="zh-CN"/>
        </w:rPr>
        <w:t>（工信部联企业〔2011〕300号）</w:t>
      </w:r>
      <w:bookmarkEnd w:id="8"/>
      <w:r>
        <w:rPr>
          <w:rFonts w:hint="eastAsia" w:ascii="宋体" w:hAnsi="宋体" w:cs="宋体"/>
          <w:b w:val="0"/>
          <w:bCs w:val="0"/>
          <w:color w:val="auto"/>
          <w:szCs w:val="21"/>
          <w:highlight w:val="none"/>
          <w:lang w:eastAsia="zh-CN"/>
        </w:rPr>
        <w:t>中物业管理划型标准进行划型</w:t>
      </w:r>
      <w:r>
        <w:rPr>
          <w:rFonts w:hint="eastAsia" w:ascii="宋体" w:hAnsi="宋体" w:cs="宋体"/>
          <w:b w:val="0"/>
          <w:bCs w:val="0"/>
          <w:color w:val="auto"/>
          <w:sz w:val="21"/>
          <w:szCs w:val="21"/>
          <w:highlight w:val="none"/>
          <w:lang w:val="en-US" w:eastAsia="zh-CN"/>
        </w:rPr>
        <w:t>。</w:t>
      </w:r>
    </w:p>
    <w:p w14:paraId="7A8142BF">
      <w:pPr>
        <w:keepNext w:val="0"/>
        <w:keepLines w:val="0"/>
        <w:pageBreakBefore w:val="0"/>
        <w:tabs>
          <w:tab w:val="left" w:pos="720"/>
          <w:tab w:val="left" w:pos="8295"/>
        </w:tabs>
        <w:kinsoku/>
        <w:wordWrap w:val="0"/>
        <w:overflowPunct/>
        <w:topLinePunct w:val="0"/>
        <w:autoSpaceDE/>
        <w:autoSpaceDN/>
        <w:bidi w:val="0"/>
        <w:adjustRightInd/>
        <w:snapToGrid/>
        <w:spacing w:line="440" w:lineRule="exact"/>
        <w:ind w:firstLine="422" w:firstLineChars="200"/>
        <w:outlineLvl w:val="2"/>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3.本项目的特定资格要求</w:t>
      </w:r>
      <w:r>
        <w:rPr>
          <w:rFonts w:hint="eastAsia" w:ascii="宋体" w:hAnsi="宋体" w:cs="宋体"/>
          <w:b/>
          <w:bCs/>
          <w:color w:val="auto"/>
          <w:sz w:val="21"/>
          <w:szCs w:val="21"/>
          <w:highlight w:val="none"/>
          <w:lang w:eastAsia="zh-CN"/>
        </w:rPr>
        <w:t>：</w:t>
      </w:r>
      <w:r>
        <w:rPr>
          <w:rFonts w:hint="eastAsia" w:hAnsi="宋体" w:cs="宋体"/>
          <w:color w:val="auto"/>
          <w:sz w:val="21"/>
          <w:szCs w:val="21"/>
          <w:highlight w:val="none"/>
          <w:lang w:val="en-US" w:eastAsia="zh-CN"/>
        </w:rPr>
        <w:t>无</w:t>
      </w:r>
      <w:r>
        <w:rPr>
          <w:rFonts w:hint="eastAsia" w:ascii="宋体" w:hAnsi="宋体" w:eastAsia="宋体" w:cs="宋体"/>
          <w:color w:val="auto"/>
          <w:sz w:val="21"/>
          <w:szCs w:val="21"/>
          <w:highlight w:val="none"/>
          <w:lang w:eastAsia="zh-CN"/>
        </w:rPr>
        <w:t>。</w:t>
      </w:r>
    </w:p>
    <w:p w14:paraId="2B2E8CB9">
      <w:pPr>
        <w:keepNext w:val="0"/>
        <w:keepLines w:val="0"/>
        <w:pageBreakBefore w:val="0"/>
        <w:tabs>
          <w:tab w:val="left" w:pos="720"/>
          <w:tab w:val="left" w:pos="8295"/>
        </w:tabs>
        <w:kinsoku/>
        <w:wordWrap w:val="0"/>
        <w:overflowPunct/>
        <w:topLinePunct w:val="0"/>
        <w:autoSpaceDE/>
        <w:autoSpaceDN/>
        <w:bidi w:val="0"/>
        <w:adjustRightInd/>
        <w:snapToGrid/>
        <w:spacing w:line="440" w:lineRule="exact"/>
        <w:ind w:firstLine="420" w:firstLineChars="200"/>
        <w:outlineLvl w:val="2"/>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.本项目不接受联合体投标。</w:t>
      </w:r>
    </w:p>
    <w:p w14:paraId="56A63F54">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宋体" w:hAnsi="宋体" w:eastAsia="宋体" w:cs="宋体"/>
          <w:b/>
          <w:bCs/>
          <w:color w:val="auto"/>
          <w:sz w:val="21"/>
          <w:szCs w:val="21"/>
          <w:highlight w:val="none"/>
        </w:rPr>
      </w:pPr>
      <w:bookmarkStart w:id="9" w:name="_Toc1953"/>
      <w:bookmarkStart w:id="10" w:name="_Toc22452_WPSOffice_Level2"/>
      <w:r>
        <w:rPr>
          <w:rFonts w:hint="eastAsia" w:ascii="宋体" w:hAnsi="宋体" w:eastAsia="宋体" w:cs="宋体"/>
          <w:b/>
          <w:bCs/>
          <w:color w:val="auto"/>
          <w:sz w:val="21"/>
          <w:szCs w:val="21"/>
          <w:highlight w:val="none"/>
        </w:rPr>
        <w:t>三</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获取招标文件</w:t>
      </w:r>
      <w:bookmarkEnd w:id="9"/>
      <w:bookmarkEnd w:id="10"/>
    </w:p>
    <w:p w14:paraId="770F06A0">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时间</w:t>
      </w:r>
      <w:r>
        <w:rPr>
          <w:rFonts w:hint="eastAsia" w:ascii="宋体" w:hAnsi="宋体" w:cs="宋体"/>
          <w:color w:val="auto"/>
          <w:sz w:val="21"/>
          <w:szCs w:val="21"/>
          <w:highlight w:val="none"/>
          <w:lang w:eastAsia="zh-CN"/>
        </w:rPr>
        <w:t>：</w:t>
      </w:r>
      <w:r>
        <w:rPr>
          <w:rFonts w:hint="eastAsia" w:ascii="宋体" w:hAnsi="宋体" w:eastAsia="宋体" w:cs="宋体"/>
          <w:color w:val="auto"/>
          <w:szCs w:val="21"/>
          <w:highlight w:val="none"/>
          <w:lang w:val="en-US" w:eastAsia="zh-CN"/>
        </w:rPr>
        <w:t>202</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年</w:t>
      </w:r>
      <w:r>
        <w:rPr>
          <w:rFonts w:hint="eastAsia" w:ascii="宋体" w:hAnsi="宋体" w:cs="宋体"/>
          <w:color w:val="auto"/>
          <w:szCs w:val="21"/>
          <w:highlight w:val="none"/>
          <w:lang w:val="en-US" w:eastAsia="zh-CN"/>
        </w:rPr>
        <w:t>07</w:t>
      </w:r>
      <w:r>
        <w:rPr>
          <w:rFonts w:hint="eastAsia" w:ascii="宋体" w:hAnsi="宋体" w:eastAsia="宋体" w:cs="宋体"/>
          <w:color w:val="auto"/>
          <w:szCs w:val="21"/>
          <w:highlight w:val="none"/>
          <w:lang w:val="en-US" w:eastAsia="zh-CN"/>
        </w:rPr>
        <w:t>月</w:t>
      </w:r>
      <w:r>
        <w:rPr>
          <w:rFonts w:hint="eastAsia" w:ascii="宋体" w:hAnsi="宋体" w:cs="宋体"/>
          <w:color w:val="auto"/>
          <w:szCs w:val="21"/>
          <w:highlight w:val="none"/>
          <w:lang w:val="en-US" w:eastAsia="zh-CN"/>
        </w:rPr>
        <w:t>08</w:t>
      </w:r>
      <w:r>
        <w:rPr>
          <w:rFonts w:hint="eastAsia" w:ascii="宋体" w:hAnsi="宋体" w:eastAsia="宋体" w:cs="宋体"/>
          <w:color w:val="auto"/>
          <w:szCs w:val="21"/>
          <w:highlight w:val="none"/>
          <w:lang w:val="en-US" w:eastAsia="zh-CN"/>
        </w:rPr>
        <w:t>日至202</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年</w:t>
      </w:r>
      <w:r>
        <w:rPr>
          <w:rFonts w:hint="eastAsia" w:ascii="宋体" w:hAnsi="宋体" w:cs="宋体"/>
          <w:color w:val="auto"/>
          <w:szCs w:val="21"/>
          <w:highlight w:val="none"/>
          <w:lang w:val="en-US" w:eastAsia="zh-CN"/>
        </w:rPr>
        <w:t>07</w:t>
      </w:r>
      <w:r>
        <w:rPr>
          <w:rFonts w:hint="eastAsia" w:ascii="宋体" w:hAnsi="宋体" w:eastAsia="宋体" w:cs="宋体"/>
          <w:color w:val="auto"/>
          <w:szCs w:val="21"/>
          <w:highlight w:val="none"/>
          <w:lang w:val="en-US" w:eastAsia="zh-CN"/>
        </w:rPr>
        <w:t>月</w:t>
      </w:r>
      <w:r>
        <w:rPr>
          <w:rFonts w:hint="eastAsia" w:ascii="宋体" w:hAnsi="宋体" w:cs="宋体"/>
          <w:color w:val="auto"/>
          <w:szCs w:val="21"/>
          <w:highlight w:val="none"/>
          <w:lang w:val="en-US" w:eastAsia="zh-CN"/>
        </w:rPr>
        <w:t>15</w:t>
      </w:r>
      <w:r>
        <w:rPr>
          <w:rFonts w:hint="eastAsia" w:ascii="宋体" w:hAnsi="宋体" w:eastAsia="宋体" w:cs="宋体"/>
          <w:color w:val="auto"/>
          <w:szCs w:val="21"/>
          <w:highlight w:val="none"/>
          <w:lang w:val="en-US" w:eastAsia="zh-CN"/>
        </w:rPr>
        <w:t>日</w:t>
      </w:r>
      <w:r>
        <w:rPr>
          <w:rFonts w:hint="eastAsia" w:ascii="宋体" w:hAnsi="宋体" w:cs="宋体"/>
          <w:color w:val="auto"/>
          <w:szCs w:val="21"/>
          <w:highlight w:val="none"/>
          <w:lang w:val="en-US" w:eastAsia="zh-CN"/>
        </w:rPr>
        <w:t>，</w:t>
      </w:r>
      <w:r>
        <w:rPr>
          <w:rFonts w:hint="eastAsia" w:ascii="宋体" w:hAnsi="宋体" w:eastAsia="宋体" w:cs="宋体"/>
          <w:bCs/>
          <w:color w:val="auto"/>
          <w:szCs w:val="21"/>
          <w:highlight w:val="none"/>
        </w:rPr>
        <w:t>每天上</w:t>
      </w:r>
      <w:r>
        <w:rPr>
          <w:rFonts w:hint="eastAsia" w:ascii="宋体" w:hAnsi="宋体" w:eastAsia="宋体" w:cs="宋体"/>
          <w:color w:val="auto"/>
          <w:szCs w:val="21"/>
          <w:highlight w:val="none"/>
          <w:lang w:val="en-US" w:eastAsia="zh-CN"/>
        </w:rPr>
        <w:t>午09</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00至12</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00</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下午</w:t>
      </w:r>
      <w:r>
        <w:rPr>
          <w:rFonts w:hint="eastAsia" w:ascii="宋体" w:hAnsi="宋体" w:eastAsia="宋体" w:cs="宋体"/>
          <w:color w:val="auto"/>
          <w:sz w:val="21"/>
          <w:szCs w:val="21"/>
          <w:highlight w:val="none"/>
          <w:lang w:val="en-US" w:eastAsia="zh-CN"/>
        </w:rPr>
        <w:t>13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30至17</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30（北京时间</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法定节假日除外）</w:t>
      </w:r>
    </w:p>
    <w:p w14:paraId="2F025D26">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地点</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云南中咨海外咨询有限公司（云南省昆明市滇池度假区中天融域小区17幢1单元</w:t>
      </w:r>
      <w:r>
        <w:rPr>
          <w:rFonts w:hint="eastAsia" w:ascii="宋体" w:hAnsi="宋体" w:eastAsia="宋体" w:cs="宋体"/>
          <w:color w:val="auto"/>
          <w:sz w:val="21"/>
          <w:szCs w:val="21"/>
          <w:highlight w:val="none"/>
          <w:lang w:val="en-US" w:eastAsia="zh-CN"/>
        </w:rPr>
        <w:t>3楼前台</w:t>
      </w:r>
      <w:r>
        <w:rPr>
          <w:rFonts w:hint="eastAsia" w:ascii="宋体" w:hAnsi="宋体" w:eastAsia="宋体" w:cs="宋体"/>
          <w:color w:val="auto"/>
          <w:sz w:val="21"/>
          <w:szCs w:val="21"/>
          <w:highlight w:val="none"/>
        </w:rPr>
        <w:t>）</w:t>
      </w:r>
    </w:p>
    <w:p w14:paraId="3EA1C952">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方式</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eastAsia="zh-CN"/>
        </w:rPr>
        <w:fldChar w:fldCharType="begin"/>
      </w:r>
      <w:r>
        <w:rPr>
          <w:rFonts w:hint="eastAsia" w:ascii="宋体" w:hAnsi="宋体" w:cs="宋体"/>
          <w:color w:val="auto"/>
          <w:sz w:val="21"/>
          <w:szCs w:val="21"/>
          <w:highlight w:val="none"/>
          <w:lang w:eastAsia="zh-CN"/>
        </w:rPr>
        <w:instrText xml:space="preserve"> HYPERLINK "mailto:4.1凡有意参加本项目投标的投标人请提供注明公司（单位）名称、联系人姓名、联系方式及所报项目名称的资料到云南中咨海外咨询有限公司（云南省昆明市滇池度假区中天融域小区17幢1单元3楼）获取招标文件或者将注明公司（单位）名称、联系人姓名、联系方式及所报项目名称的资料扫描件、文件费汇款凭证、发票开票信息（注明开具普通发票/专用发票）扫描件发送至1628882362@qq.com邮箱获取招标文件；" </w:instrText>
      </w:r>
      <w:r>
        <w:rPr>
          <w:rFonts w:hint="eastAsia" w:ascii="宋体" w:hAnsi="宋体" w:cs="宋体"/>
          <w:color w:val="auto"/>
          <w:sz w:val="21"/>
          <w:szCs w:val="21"/>
          <w:highlight w:val="none"/>
          <w:lang w:eastAsia="zh-CN"/>
        </w:rPr>
        <w:fldChar w:fldCharType="separate"/>
      </w:r>
      <w:r>
        <w:rPr>
          <w:rFonts w:hint="eastAsia" w:ascii="宋体" w:hAnsi="宋体" w:cs="宋体"/>
          <w:color w:val="auto"/>
          <w:sz w:val="21"/>
          <w:szCs w:val="21"/>
          <w:highlight w:val="none"/>
          <w:lang w:eastAsia="zh-CN"/>
        </w:rPr>
        <w:t>凡有意参加本项目的投标人，获取采购文件的方式可任选其一：</w:t>
      </w:r>
    </w:p>
    <w:p w14:paraId="023D0912">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①现场获取招标文件：凡有意参加本项目投标的投标人请提供注明公司（单位）名称、联系人姓名、联系方式以及所报项目名称的资料到</w:t>
      </w:r>
      <w:r>
        <w:rPr>
          <w:rFonts w:hint="eastAsia" w:ascii="宋体" w:hAnsi="宋体" w:eastAsia="宋体" w:cs="宋体"/>
          <w:color w:val="auto"/>
          <w:sz w:val="21"/>
          <w:szCs w:val="21"/>
          <w:highlight w:val="none"/>
        </w:rPr>
        <w:t>云南中咨海外咨询有限公司（云南省昆明市滇池度假区中天融域小区17幢1单元</w:t>
      </w:r>
      <w:r>
        <w:rPr>
          <w:rFonts w:hint="eastAsia" w:ascii="宋体" w:hAnsi="宋体" w:eastAsia="宋体" w:cs="宋体"/>
          <w:color w:val="auto"/>
          <w:sz w:val="21"/>
          <w:szCs w:val="21"/>
          <w:highlight w:val="none"/>
          <w:lang w:val="en-US" w:eastAsia="zh-CN"/>
        </w:rPr>
        <w:t>3楼前台</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w:t>
      </w:r>
    </w:p>
    <w:p w14:paraId="699751D3">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②</w:t>
      </w:r>
      <w:r>
        <w:rPr>
          <w:rFonts w:hint="eastAsia" w:ascii="宋体" w:hAnsi="宋体" w:cs="宋体"/>
          <w:color w:val="auto"/>
          <w:sz w:val="21"/>
          <w:szCs w:val="21"/>
          <w:highlight w:val="none"/>
          <w:lang w:eastAsia="zh-CN"/>
        </w:rPr>
        <w:fldChar w:fldCharType="end"/>
      </w:r>
      <w:r>
        <w:rPr>
          <w:rFonts w:hint="eastAsia" w:ascii="宋体" w:hAnsi="宋体" w:cs="宋体"/>
          <w:color w:val="auto"/>
          <w:sz w:val="21"/>
          <w:szCs w:val="21"/>
          <w:highlight w:val="none"/>
          <w:lang w:eastAsia="zh-CN"/>
        </w:rPr>
        <w:t>网上获取招标文件：以电子邮件的形式注明公司（单位）名称、联系人姓名、联系方式以及所报项目名称的授权资料及招标文件费用凭证（扫描件加盖投标人公章）在规定的获取招标文件时间内发送至采购代理机构指定电子邮箱（1803722475@qq.com）,同时拨打电话0871-68101522办理报名事宜。</w:t>
      </w:r>
    </w:p>
    <w:p w14:paraId="6D8131BF">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招标文件售价：</w:t>
      </w:r>
      <w:r>
        <w:rPr>
          <w:rFonts w:hint="eastAsia" w:ascii="宋体" w:hAnsi="宋体" w:cs="宋体"/>
          <w:color w:val="auto"/>
          <w:sz w:val="21"/>
          <w:szCs w:val="21"/>
          <w:highlight w:val="none"/>
          <w:lang w:val="en-US" w:eastAsia="zh-CN"/>
        </w:rPr>
        <w:t>不收取招标文件费用</w:t>
      </w:r>
      <w:r>
        <w:rPr>
          <w:rFonts w:hint="eastAsia" w:ascii="宋体" w:hAnsi="宋体" w:cs="宋体"/>
          <w:color w:val="auto"/>
          <w:sz w:val="21"/>
          <w:szCs w:val="21"/>
          <w:highlight w:val="none"/>
          <w:lang w:eastAsia="zh-CN"/>
        </w:rPr>
        <w:t>，未在规定时间内获取本项目招标文件的投标人不得参与投标。</w:t>
      </w:r>
    </w:p>
    <w:p w14:paraId="106FAB70">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宋体" w:hAnsi="宋体" w:eastAsia="宋体" w:cs="宋体"/>
          <w:b/>
          <w:bCs/>
          <w:color w:val="auto"/>
          <w:sz w:val="21"/>
          <w:szCs w:val="21"/>
          <w:highlight w:val="none"/>
          <w:lang w:val="en-US" w:eastAsia="zh-CN"/>
        </w:rPr>
      </w:pPr>
      <w:bookmarkStart w:id="11" w:name="_Toc28468_WPSOffice_Level2"/>
      <w:bookmarkStart w:id="12" w:name="_Toc20741"/>
      <w:r>
        <w:rPr>
          <w:rFonts w:hint="eastAsia" w:ascii="宋体" w:hAnsi="宋体" w:eastAsia="宋体" w:cs="宋体"/>
          <w:b/>
          <w:bCs/>
          <w:color w:val="auto"/>
          <w:sz w:val="21"/>
          <w:szCs w:val="21"/>
          <w:highlight w:val="none"/>
        </w:rPr>
        <w:t>四</w:t>
      </w:r>
      <w:r>
        <w:rPr>
          <w:rFonts w:hint="eastAsia" w:ascii="宋体" w:hAnsi="宋体" w:eastAsia="宋体" w:cs="宋体"/>
          <w:b/>
          <w:bCs/>
          <w:color w:val="auto"/>
          <w:sz w:val="21"/>
          <w:szCs w:val="21"/>
          <w:highlight w:val="none"/>
          <w:lang w:eastAsia="zh-CN"/>
        </w:rPr>
        <w:t>、</w:t>
      </w:r>
      <w:bookmarkEnd w:id="11"/>
      <w:r>
        <w:rPr>
          <w:rFonts w:hint="eastAsia" w:ascii="宋体" w:hAnsi="宋体" w:eastAsia="宋体" w:cs="宋体"/>
          <w:b/>
          <w:bCs/>
          <w:color w:val="auto"/>
          <w:sz w:val="21"/>
          <w:szCs w:val="21"/>
          <w:highlight w:val="none"/>
          <w:lang w:val="en-US" w:eastAsia="zh-CN"/>
        </w:rPr>
        <w:t>提交投标文件截止时间、开标时间和地点</w:t>
      </w:r>
    </w:p>
    <w:bookmarkEnd w:id="12"/>
    <w:p w14:paraId="786CC0C1">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1.提交投标文件截止时间、开标</w:t>
      </w:r>
      <w:r>
        <w:rPr>
          <w:rFonts w:hint="eastAsia" w:ascii="宋体" w:hAnsi="宋体" w:eastAsia="宋体" w:cs="宋体"/>
          <w:color w:val="auto"/>
          <w:sz w:val="21"/>
          <w:szCs w:val="21"/>
          <w:highlight w:val="none"/>
          <w:lang w:val="en-US" w:eastAsia="zh-CN"/>
        </w:rPr>
        <w:t>时间：</w:t>
      </w:r>
      <w:r>
        <w:rPr>
          <w:rFonts w:hint="eastAsia" w:ascii="宋体" w:hAnsi="宋体" w:cs="宋体"/>
          <w:color w:val="auto"/>
          <w:szCs w:val="21"/>
          <w:highlight w:val="none"/>
          <w:u w:val="none"/>
          <w:lang w:eastAsia="zh-CN"/>
        </w:rPr>
        <w:t>2026年07月29日14点30分</w:t>
      </w:r>
      <w:r>
        <w:rPr>
          <w:rFonts w:hint="eastAsia" w:ascii="宋体" w:hAnsi="宋体" w:eastAsia="宋体" w:cs="宋体"/>
          <w:color w:val="auto"/>
          <w:sz w:val="21"/>
          <w:szCs w:val="21"/>
          <w:highlight w:val="none"/>
          <w:lang w:val="en-US" w:eastAsia="zh-CN"/>
        </w:rPr>
        <w:t>（北京时间）</w:t>
      </w:r>
    </w:p>
    <w:p w14:paraId="2F226449">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地点：</w:t>
      </w:r>
      <w:r>
        <w:rPr>
          <w:rFonts w:hint="eastAsia" w:ascii="宋体" w:hAnsi="宋体" w:eastAsia="宋体" w:cs="宋体"/>
          <w:color w:val="auto"/>
          <w:szCs w:val="21"/>
          <w:highlight w:val="none"/>
          <w:u w:val="none"/>
          <w:lang w:val="en-US" w:eastAsia="zh-CN"/>
        </w:rPr>
        <w:t>云南中咨海外咨询有限公司</w:t>
      </w:r>
      <w:r>
        <w:rPr>
          <w:rFonts w:hint="eastAsia" w:ascii="宋体" w:hAnsi="宋体" w:cs="宋体"/>
          <w:color w:val="auto"/>
          <w:szCs w:val="21"/>
          <w:highlight w:val="none"/>
          <w:u w:val="none"/>
          <w:lang w:val="en-US" w:eastAsia="zh-CN"/>
        </w:rPr>
        <w:t>开标二厅</w:t>
      </w:r>
      <w:r>
        <w:rPr>
          <w:rFonts w:hint="eastAsia" w:ascii="宋体" w:hAnsi="宋体" w:eastAsia="宋体" w:cs="宋体"/>
          <w:color w:val="auto"/>
          <w:sz w:val="21"/>
          <w:szCs w:val="21"/>
          <w:highlight w:val="none"/>
          <w:lang w:val="en-US" w:eastAsia="zh-CN"/>
        </w:rPr>
        <w:t>（</w:t>
      </w:r>
      <w:r>
        <w:rPr>
          <w:rFonts w:hint="eastAsia" w:ascii="宋体" w:hAnsi="宋体" w:eastAsia="宋体"/>
          <w:color w:val="auto"/>
          <w:sz w:val="21"/>
          <w:szCs w:val="21"/>
          <w:highlight w:val="none"/>
        </w:rPr>
        <w:t>云南省昆明市滇池度假区中天融域小区17幢1单元</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逾期送达或者未按照</w:t>
      </w:r>
      <w:r>
        <w:rPr>
          <w:rFonts w:hint="eastAsia" w:ascii="宋体" w:hAnsi="宋体" w:eastAsia="宋体" w:cs="宋体"/>
          <w:color w:val="auto"/>
          <w:sz w:val="21"/>
          <w:szCs w:val="21"/>
          <w:highlight w:val="none"/>
          <w:lang w:eastAsia="zh-CN"/>
        </w:rPr>
        <w:t>招标</w:t>
      </w:r>
      <w:r>
        <w:rPr>
          <w:rFonts w:hint="eastAsia" w:ascii="宋体" w:hAnsi="宋体" w:eastAsia="宋体" w:cs="宋体"/>
          <w:color w:val="auto"/>
          <w:sz w:val="21"/>
          <w:szCs w:val="21"/>
          <w:highlight w:val="none"/>
        </w:rPr>
        <w:t>文件要求密封的</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rPr>
        <w:t>文件</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采购人</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采购代理机构将拒收</w:t>
      </w:r>
      <w:r>
        <w:rPr>
          <w:rFonts w:hint="eastAsia" w:ascii="宋体" w:hAnsi="宋体" w:cs="宋体"/>
          <w:color w:val="auto"/>
          <w:sz w:val="21"/>
          <w:szCs w:val="21"/>
          <w:highlight w:val="none"/>
          <w:lang w:eastAsia="zh-CN"/>
        </w:rPr>
        <w:t>。</w:t>
      </w:r>
    </w:p>
    <w:p w14:paraId="2673DC4A">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宋体" w:hAnsi="宋体" w:eastAsia="宋体" w:cs="宋体"/>
          <w:b/>
          <w:bCs/>
          <w:color w:val="auto"/>
          <w:sz w:val="21"/>
          <w:szCs w:val="21"/>
          <w:highlight w:val="none"/>
        </w:rPr>
      </w:pPr>
      <w:bookmarkStart w:id="13" w:name="_Toc6444"/>
      <w:bookmarkStart w:id="14" w:name="_Toc18518_WPSOffice_Level2"/>
      <w:r>
        <w:rPr>
          <w:rFonts w:hint="eastAsia" w:ascii="宋体" w:hAnsi="宋体" w:eastAsia="宋体" w:cs="宋体"/>
          <w:b/>
          <w:bCs/>
          <w:color w:val="auto"/>
          <w:sz w:val="21"/>
          <w:szCs w:val="21"/>
          <w:highlight w:val="none"/>
        </w:rPr>
        <w:t>五</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公告期限</w:t>
      </w:r>
      <w:bookmarkEnd w:id="13"/>
      <w:bookmarkEnd w:id="14"/>
    </w:p>
    <w:p w14:paraId="71E47D6A">
      <w:pPr>
        <w:keepNext w:val="0"/>
        <w:keepLines w:val="0"/>
        <w:pageBreakBefore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自本公告发布之日起5个工作日。</w:t>
      </w:r>
    </w:p>
    <w:p w14:paraId="1FB5F520">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宋体" w:hAnsi="宋体" w:eastAsia="宋体" w:cs="宋体"/>
          <w:b/>
          <w:bCs/>
          <w:color w:val="auto"/>
          <w:sz w:val="21"/>
          <w:szCs w:val="21"/>
          <w:highlight w:val="none"/>
        </w:rPr>
      </w:pPr>
      <w:bookmarkStart w:id="15" w:name="_Toc27182"/>
      <w:bookmarkStart w:id="16" w:name="_Toc24766_WPSOffice_Level2"/>
      <w:r>
        <w:rPr>
          <w:rFonts w:hint="eastAsia" w:ascii="宋体" w:hAnsi="宋体" w:eastAsia="宋体" w:cs="宋体"/>
          <w:b/>
          <w:bCs/>
          <w:color w:val="auto"/>
          <w:sz w:val="21"/>
          <w:szCs w:val="21"/>
          <w:highlight w:val="none"/>
        </w:rPr>
        <w:t>六</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其他补充事宜</w:t>
      </w:r>
      <w:bookmarkEnd w:id="15"/>
      <w:bookmarkEnd w:id="16"/>
    </w:p>
    <w:p w14:paraId="2BE2062E">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发布公告的媒介</w:t>
      </w:r>
      <w:r>
        <w:rPr>
          <w:rFonts w:hint="eastAsia" w:ascii="宋体" w:hAnsi="宋体" w:cs="宋体"/>
          <w:color w:val="auto"/>
          <w:sz w:val="21"/>
          <w:szCs w:val="21"/>
          <w:highlight w:val="none"/>
          <w:lang w:eastAsia="zh-CN"/>
        </w:rPr>
        <w:t>：本项目招标公告在“中国政府采购网”上发布</w:t>
      </w:r>
      <w:r>
        <w:rPr>
          <w:rFonts w:hint="eastAsia" w:ascii="宋体" w:hAnsi="宋体" w:eastAsia="宋体" w:cs="宋体"/>
          <w:color w:val="auto"/>
          <w:sz w:val="21"/>
          <w:szCs w:val="21"/>
          <w:highlight w:val="none"/>
        </w:rPr>
        <w:t>。</w:t>
      </w:r>
    </w:p>
    <w:p w14:paraId="2A2B685C">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采购项目需要落实的政府采购政策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促进中小企业发展</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促进残疾人就业</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支持监狱企业发展</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政府采购活动中查询及使用信用记录等</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政府采购政策具体落实情况详见本项目</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w:t>
      </w:r>
    </w:p>
    <w:p w14:paraId="775E3CD7">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采购代理机构账户信息</w:t>
      </w:r>
      <w:bookmarkStart w:id="17" w:name="_Toc25614_WPSOffice_Level2"/>
      <w:r>
        <w:rPr>
          <w:rFonts w:hint="eastAsia" w:ascii="宋体" w:hAnsi="宋体" w:cs="宋体"/>
          <w:color w:val="auto"/>
          <w:sz w:val="21"/>
          <w:szCs w:val="21"/>
          <w:highlight w:val="none"/>
          <w:lang w:val="en-US" w:eastAsia="zh-CN"/>
        </w:rPr>
        <w:t>(开户名称：云南中咨海外咨询有限公司；开户银行：中国工商银行昆明南市区支行；账号：2502025019200136802 )</w:t>
      </w:r>
      <w:r>
        <w:rPr>
          <w:rFonts w:hint="eastAsia" w:ascii="宋体" w:hAnsi="宋体" w:eastAsia="宋体" w:cs="宋体"/>
          <w:color w:val="auto"/>
          <w:sz w:val="21"/>
          <w:szCs w:val="21"/>
          <w:highlight w:val="none"/>
        </w:rPr>
        <w:t>。</w:t>
      </w:r>
    </w:p>
    <w:p w14:paraId="2FE21D9F">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宋体" w:hAnsi="宋体" w:eastAsia="宋体" w:cs="宋体"/>
          <w:b/>
          <w:bCs/>
          <w:color w:val="auto"/>
          <w:sz w:val="21"/>
          <w:szCs w:val="21"/>
          <w:highlight w:val="none"/>
        </w:rPr>
      </w:pPr>
      <w:bookmarkStart w:id="18" w:name="_Toc30579"/>
      <w:r>
        <w:rPr>
          <w:rFonts w:hint="eastAsia" w:ascii="宋体" w:hAnsi="宋体" w:eastAsia="宋体" w:cs="宋体"/>
          <w:b/>
          <w:bCs/>
          <w:color w:val="auto"/>
          <w:sz w:val="21"/>
          <w:szCs w:val="21"/>
          <w:highlight w:val="none"/>
        </w:rPr>
        <w:t>七</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对本次招标提出询问</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请按以下方式联系。</w:t>
      </w:r>
      <w:bookmarkEnd w:id="17"/>
      <w:bookmarkEnd w:id="18"/>
    </w:p>
    <w:p w14:paraId="7924CD1A">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1.采购人信息</w:t>
      </w:r>
    </w:p>
    <w:p w14:paraId="6402549A">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名称：国家税务总局昆明市官渡区税务局</w:t>
      </w:r>
    </w:p>
    <w:p w14:paraId="3483110A">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地址：昆明市官渡区宝海路519号</w:t>
      </w:r>
    </w:p>
    <w:p w14:paraId="1938205C">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w:t>
      </w:r>
      <w:r>
        <w:rPr>
          <w:rFonts w:hint="eastAsia" w:ascii="宋体" w:hAnsi="宋体" w:cs="宋体"/>
          <w:color w:val="auto"/>
          <w:sz w:val="21"/>
          <w:szCs w:val="21"/>
          <w:highlight w:val="none"/>
          <w:lang w:val="en-US" w:eastAsia="zh-CN"/>
        </w:rPr>
        <w:t>赵老师</w:t>
      </w:r>
    </w:p>
    <w:p w14:paraId="7F59D4DC">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联系方式：</w:t>
      </w:r>
      <w:r>
        <w:rPr>
          <w:rFonts w:hint="eastAsia"/>
          <w:color w:val="auto"/>
          <w:highlight w:val="none"/>
          <w:lang w:val="en-US" w:eastAsia="zh-CN"/>
        </w:rPr>
        <w:t>0871-67156980</w:t>
      </w:r>
    </w:p>
    <w:p w14:paraId="79EC3E39">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val="en-US" w:eastAsia="zh-CN"/>
        </w:rPr>
      </w:pPr>
    </w:p>
    <w:p w14:paraId="6B013EE6">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2.采购代理机构信息</w:t>
      </w:r>
    </w:p>
    <w:p w14:paraId="6F3E966A">
      <w:pPr>
        <w:keepNext w:val="0"/>
        <w:keepLines w:val="0"/>
        <w:pageBreakBefore w:val="0"/>
        <w:kinsoku/>
        <w:overflowPunct/>
        <w:topLinePunct w:val="0"/>
        <w:autoSpaceDE/>
        <w:autoSpaceDN/>
        <w:bidi w:val="0"/>
        <w:adjustRightInd/>
        <w:snapToGrid/>
        <w:spacing w:line="440" w:lineRule="exact"/>
        <w:ind w:firstLine="420" w:firstLineChars="200"/>
        <w:jc w:val="left"/>
        <w:rPr>
          <w:rFonts w:hint="eastAsia" w:hAnsi="宋体" w:cs="宋体"/>
          <w:snapToGrid/>
          <w:color w:val="auto"/>
          <w:kern w:val="2"/>
          <w:szCs w:val="21"/>
          <w:highlight w:val="none"/>
        </w:rPr>
      </w:pPr>
      <w:r>
        <w:rPr>
          <w:rFonts w:hint="eastAsia" w:hAnsi="宋体" w:cs="宋体"/>
          <w:snapToGrid/>
          <w:color w:val="auto"/>
          <w:kern w:val="2"/>
          <w:szCs w:val="21"/>
          <w:highlight w:val="none"/>
        </w:rPr>
        <w:t>名 称</w:t>
      </w:r>
      <w:r>
        <w:rPr>
          <w:rFonts w:hint="eastAsia" w:hAnsi="宋体" w:cs="宋体"/>
          <w:snapToGrid/>
          <w:color w:val="auto"/>
          <w:kern w:val="2"/>
          <w:szCs w:val="21"/>
          <w:highlight w:val="none"/>
          <w:lang w:eastAsia="zh-CN"/>
        </w:rPr>
        <w:t>：</w:t>
      </w:r>
      <w:r>
        <w:rPr>
          <w:rFonts w:hint="eastAsia" w:hAnsi="宋体" w:cs="宋体"/>
          <w:snapToGrid/>
          <w:color w:val="auto"/>
          <w:kern w:val="2"/>
          <w:szCs w:val="21"/>
          <w:highlight w:val="none"/>
        </w:rPr>
        <w:t>云南中咨海外咨询有限公司</w:t>
      </w:r>
    </w:p>
    <w:p w14:paraId="46437B74">
      <w:pPr>
        <w:keepNext w:val="0"/>
        <w:keepLines w:val="0"/>
        <w:pageBreakBefore w:val="0"/>
        <w:kinsoku/>
        <w:overflowPunct/>
        <w:topLinePunct w:val="0"/>
        <w:autoSpaceDE/>
        <w:autoSpaceDN/>
        <w:bidi w:val="0"/>
        <w:adjustRightInd/>
        <w:snapToGrid/>
        <w:spacing w:line="440" w:lineRule="exact"/>
        <w:ind w:firstLine="420" w:firstLineChars="200"/>
        <w:jc w:val="left"/>
        <w:rPr>
          <w:rFonts w:hint="eastAsia" w:ascii="宋体" w:hAnsi="宋体" w:eastAsia="宋体" w:cs="宋体"/>
          <w:color w:val="auto"/>
          <w:szCs w:val="21"/>
          <w:highlight w:val="none"/>
          <w:lang w:val="en-US" w:eastAsia="zh-CN"/>
        </w:rPr>
      </w:pPr>
      <w:r>
        <w:rPr>
          <w:rFonts w:hint="eastAsia" w:hAnsi="宋体" w:cs="宋体"/>
          <w:snapToGrid/>
          <w:color w:val="auto"/>
          <w:kern w:val="2"/>
          <w:szCs w:val="21"/>
          <w:highlight w:val="none"/>
        </w:rPr>
        <w:t>地　址</w:t>
      </w:r>
      <w:r>
        <w:rPr>
          <w:rFonts w:hint="eastAsia" w:hAnsi="宋体" w:cs="宋体"/>
          <w:snapToGrid/>
          <w:color w:val="auto"/>
          <w:kern w:val="2"/>
          <w:szCs w:val="21"/>
          <w:highlight w:val="none"/>
          <w:lang w:eastAsia="zh-CN"/>
        </w:rPr>
        <w:t>：</w:t>
      </w:r>
      <w:r>
        <w:rPr>
          <w:rFonts w:hint="eastAsia" w:hAnsi="宋体" w:eastAsia="宋体" w:cs="宋体"/>
          <w:snapToGrid/>
          <w:color w:val="auto"/>
          <w:kern w:val="2"/>
          <w:szCs w:val="21"/>
          <w:highlight w:val="none"/>
        </w:rPr>
        <w:t>云</w:t>
      </w:r>
      <w:r>
        <w:rPr>
          <w:rFonts w:hint="eastAsia" w:ascii="宋体" w:hAnsi="宋体" w:eastAsia="宋体" w:cs="宋体"/>
          <w:color w:val="auto"/>
          <w:szCs w:val="21"/>
          <w:highlight w:val="none"/>
          <w:lang w:val="en-US" w:eastAsia="zh-CN"/>
        </w:rPr>
        <w:t>南省昆明市滇池度假区中天融域小区17幢1单元4楼</w:t>
      </w:r>
    </w:p>
    <w:p w14:paraId="572B0ECD">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val="en-US" w:eastAsia="zh-CN"/>
        </w:rPr>
        <w:t>联系方式</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0871-68101522</w:t>
      </w:r>
      <w:r>
        <w:rPr>
          <w:rFonts w:hint="eastAsia" w:ascii="宋体" w:hAnsi="宋体" w:cs="宋体"/>
          <w:color w:val="auto"/>
          <w:sz w:val="21"/>
          <w:szCs w:val="21"/>
          <w:highlight w:val="none"/>
          <w:lang w:val="en-US" w:eastAsia="zh-CN"/>
        </w:rPr>
        <w:t xml:space="preserve"> </w:t>
      </w:r>
    </w:p>
    <w:p w14:paraId="35DCF84D">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val="en-US" w:eastAsia="zh-CN"/>
        </w:rPr>
      </w:pPr>
    </w:p>
    <w:p w14:paraId="36717ED1">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3.项目联系方式</w:t>
      </w:r>
    </w:p>
    <w:p w14:paraId="4E374216">
      <w:pPr>
        <w:keepNext w:val="0"/>
        <w:keepLines w:val="0"/>
        <w:pageBreakBefore w:val="0"/>
        <w:kinsoku/>
        <w:overflowPunct/>
        <w:topLinePunct w:val="0"/>
        <w:autoSpaceDE/>
        <w:autoSpaceDN/>
        <w:bidi w:val="0"/>
        <w:adjustRightInd/>
        <w:snapToGrid/>
        <w:spacing w:line="440" w:lineRule="exact"/>
        <w:ind w:firstLine="420" w:firstLineChars="200"/>
        <w:jc w:val="left"/>
        <w:outlineLvl w:val="9"/>
        <w:rPr>
          <w:rFonts w:hint="eastAsia" w:ascii="宋体" w:hAnsi="宋体" w:cs="宋体"/>
          <w:snapToGrid/>
          <w:color w:val="auto"/>
          <w:kern w:val="2"/>
          <w:szCs w:val="21"/>
          <w:highlight w:val="none"/>
        </w:rPr>
      </w:pPr>
      <w:r>
        <w:rPr>
          <w:rFonts w:hint="eastAsia" w:ascii="宋体" w:hAnsi="宋体" w:cs="宋体"/>
          <w:snapToGrid/>
          <w:color w:val="auto"/>
          <w:kern w:val="2"/>
          <w:szCs w:val="21"/>
          <w:highlight w:val="none"/>
        </w:rPr>
        <w:t>项目联系人：</w:t>
      </w:r>
      <w:r>
        <w:rPr>
          <w:rFonts w:hint="eastAsia" w:ascii="宋体" w:hAnsi="宋体" w:cs="宋体"/>
          <w:color w:val="auto"/>
          <w:szCs w:val="21"/>
          <w:highlight w:val="none"/>
          <w:lang w:val="en-US" w:eastAsia="zh-CN"/>
        </w:rPr>
        <w:t>吴昊珊、李娜、陈生媛、罗枝维、李宇、杨涵屹、土杰灵、李婷、李杰</w:t>
      </w:r>
    </w:p>
    <w:p w14:paraId="277B2ABA">
      <w:pPr>
        <w:keepNext w:val="0"/>
        <w:keepLines w:val="0"/>
        <w:pageBreakBefore w:val="0"/>
        <w:widowControl w:val="0"/>
        <w:kinsoku/>
        <w:wordWrap/>
        <w:overflowPunct/>
        <w:topLinePunct w:val="0"/>
        <w:autoSpaceDE/>
        <w:autoSpaceDN/>
        <w:bidi w:val="0"/>
        <w:adjustRightInd/>
        <w:snapToGrid/>
        <w:spacing w:after="0"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联系方式：0871-68101522</w:t>
      </w:r>
      <w:r>
        <w:rPr>
          <w:rFonts w:hint="eastAsia" w:ascii="宋体" w:hAnsi="宋体" w:cs="宋体"/>
          <w:color w:val="auto"/>
          <w:sz w:val="21"/>
          <w:szCs w:val="21"/>
          <w:highlight w:val="none"/>
          <w:lang w:val="en-US" w:eastAsia="zh-CN"/>
        </w:rPr>
        <w:t xml:space="preserve"> </w:t>
      </w:r>
    </w:p>
    <w:p w14:paraId="3D0ABA5B">
      <w:pPr>
        <w:rPr>
          <w:rFonts w:hint="eastAsia" w:ascii="华文中宋" w:hAnsi="华文中宋" w:eastAsia="华文中宋" w:cs="华文中宋"/>
          <w:color w:val="auto"/>
          <w:sz w:val="28"/>
          <w:szCs w:val="28"/>
          <w:highlight w:val="none"/>
        </w:rPr>
      </w:pPr>
      <w:bookmarkStart w:id="19" w:name="_Toc132880272"/>
      <w:r>
        <w:rPr>
          <w:rFonts w:hint="eastAsia" w:ascii="华文中宋" w:hAnsi="华文中宋" w:eastAsia="华文中宋" w:cs="华文中宋"/>
          <w:color w:val="auto"/>
          <w:sz w:val="28"/>
          <w:szCs w:val="28"/>
          <w:highlight w:val="none"/>
        </w:rPr>
        <w:br w:type="page"/>
      </w:r>
    </w:p>
    <w:p w14:paraId="597F8F4D">
      <w:pPr>
        <w:bidi w:val="0"/>
        <w:jc w:val="center"/>
        <w:outlineLvl w:val="0"/>
        <w:rPr>
          <w:rFonts w:hint="eastAsia" w:ascii="宋体" w:hAnsi="宋体" w:eastAsia="宋体" w:cs="宋体"/>
          <w:b/>
          <w:bCs/>
          <w:color w:val="auto"/>
          <w:sz w:val="28"/>
          <w:szCs w:val="28"/>
          <w:highlight w:val="none"/>
        </w:rPr>
      </w:pPr>
      <w:bookmarkStart w:id="20" w:name="_Toc6328"/>
      <w:r>
        <w:rPr>
          <w:rFonts w:hint="eastAsia" w:ascii="宋体" w:hAnsi="宋体" w:eastAsia="宋体" w:cs="宋体"/>
          <w:b/>
          <w:bCs/>
          <w:color w:val="auto"/>
          <w:sz w:val="28"/>
          <w:szCs w:val="28"/>
          <w:highlight w:val="none"/>
        </w:rPr>
        <w:t>第二章　投标人须知</w:t>
      </w:r>
      <w:bookmarkEnd w:id="19"/>
      <w:bookmarkEnd w:id="20"/>
    </w:p>
    <w:p w14:paraId="6F824BA0">
      <w:pPr>
        <w:bidi w:val="0"/>
        <w:jc w:val="center"/>
        <w:outlineLvl w:val="1"/>
        <w:rPr>
          <w:rFonts w:hint="eastAsia" w:ascii="宋体" w:hAnsi="宋体" w:eastAsia="宋体" w:cs="宋体"/>
          <w:b/>
          <w:bCs/>
          <w:color w:val="auto"/>
          <w:sz w:val="24"/>
          <w:szCs w:val="24"/>
          <w:highlight w:val="none"/>
        </w:rPr>
      </w:pPr>
      <w:bookmarkStart w:id="21" w:name="_Toc132880273"/>
      <w:bookmarkStart w:id="22" w:name="_Toc3253_WPSOffice_Level2"/>
      <w:bookmarkStart w:id="23" w:name="_Toc15329"/>
      <w:r>
        <w:rPr>
          <w:rFonts w:hint="eastAsia" w:ascii="宋体" w:hAnsi="宋体" w:eastAsia="宋体" w:cs="宋体"/>
          <w:b/>
          <w:bCs/>
          <w:color w:val="auto"/>
          <w:sz w:val="24"/>
          <w:szCs w:val="24"/>
          <w:highlight w:val="none"/>
        </w:rPr>
        <w:t>投标人须知前附表</w:t>
      </w:r>
      <w:bookmarkEnd w:id="21"/>
      <w:bookmarkEnd w:id="22"/>
      <w:bookmarkEnd w:id="23"/>
    </w:p>
    <w:tbl>
      <w:tblPr>
        <w:tblStyle w:val="25"/>
        <w:tblW w:w="8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865"/>
        <w:gridCol w:w="981"/>
        <w:gridCol w:w="5378"/>
      </w:tblGrid>
      <w:tr w14:paraId="5CB7D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2B22C8DC">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 号</w:t>
            </w:r>
          </w:p>
        </w:tc>
        <w:tc>
          <w:tcPr>
            <w:tcW w:w="1865" w:type="dxa"/>
            <w:tcBorders>
              <w:top w:val="single" w:color="auto" w:sz="4" w:space="0"/>
              <w:left w:val="single" w:color="auto" w:sz="4" w:space="0"/>
              <w:bottom w:val="single" w:color="auto" w:sz="4" w:space="0"/>
              <w:right w:val="single" w:color="auto" w:sz="4" w:space="0"/>
            </w:tcBorders>
            <w:vAlign w:val="center"/>
          </w:tcPr>
          <w:p w14:paraId="7A32B3DD">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类  别</w:t>
            </w:r>
          </w:p>
        </w:tc>
        <w:tc>
          <w:tcPr>
            <w:tcW w:w="6359" w:type="dxa"/>
            <w:gridSpan w:val="2"/>
            <w:tcBorders>
              <w:top w:val="single" w:color="auto" w:sz="4" w:space="0"/>
              <w:left w:val="single" w:color="auto" w:sz="4" w:space="0"/>
              <w:bottom w:val="single" w:color="auto" w:sz="4" w:space="0"/>
              <w:right w:val="single" w:color="auto" w:sz="4" w:space="0"/>
            </w:tcBorders>
            <w:vAlign w:val="center"/>
          </w:tcPr>
          <w:p w14:paraId="0F2E99D5">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内     容</w:t>
            </w:r>
          </w:p>
        </w:tc>
      </w:tr>
      <w:tr w14:paraId="6614A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Merge w:val="restart"/>
            <w:tcBorders>
              <w:top w:val="single" w:color="auto" w:sz="4" w:space="0"/>
              <w:left w:val="single" w:color="auto" w:sz="4" w:space="0"/>
              <w:right w:val="single" w:color="auto" w:sz="4" w:space="0"/>
            </w:tcBorders>
            <w:vAlign w:val="center"/>
          </w:tcPr>
          <w:p w14:paraId="4110A283">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865" w:type="dxa"/>
            <w:vMerge w:val="restart"/>
            <w:tcBorders>
              <w:top w:val="single" w:color="auto" w:sz="4" w:space="0"/>
              <w:left w:val="single" w:color="auto" w:sz="4" w:space="0"/>
              <w:right w:val="single" w:color="auto" w:sz="4" w:space="0"/>
            </w:tcBorders>
            <w:vAlign w:val="center"/>
          </w:tcPr>
          <w:p w14:paraId="2C084946">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编号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预算及最高限价</w:t>
            </w:r>
          </w:p>
        </w:tc>
        <w:tc>
          <w:tcPr>
            <w:tcW w:w="6359" w:type="dxa"/>
            <w:gridSpan w:val="2"/>
            <w:tcBorders>
              <w:top w:val="single" w:color="auto" w:sz="4" w:space="0"/>
              <w:left w:val="single" w:color="auto" w:sz="4" w:space="0"/>
              <w:bottom w:val="single" w:color="auto" w:sz="4" w:space="0"/>
              <w:right w:val="single" w:color="auto" w:sz="4" w:space="0"/>
            </w:tcBorders>
            <w:vAlign w:val="center"/>
          </w:tcPr>
          <w:p w14:paraId="16DC4635">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u w:val="none"/>
                <w:lang w:eastAsia="zh-CN"/>
              </w:rPr>
              <w:t>国家税务总局昆明市官渡区税务局2026年物业管理服务项目（二次）</w:t>
            </w:r>
          </w:p>
        </w:tc>
      </w:tr>
      <w:tr w14:paraId="1F4AC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Merge w:val="continue"/>
            <w:tcBorders>
              <w:left w:val="single" w:color="auto" w:sz="4" w:space="0"/>
              <w:right w:val="single" w:color="auto" w:sz="4" w:space="0"/>
            </w:tcBorders>
            <w:vAlign w:val="center"/>
          </w:tcPr>
          <w:p w14:paraId="074AC393">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p>
        </w:tc>
        <w:tc>
          <w:tcPr>
            <w:tcW w:w="1865" w:type="dxa"/>
            <w:vMerge w:val="continue"/>
            <w:tcBorders>
              <w:left w:val="single" w:color="auto" w:sz="4" w:space="0"/>
              <w:right w:val="single" w:color="auto" w:sz="4" w:space="0"/>
            </w:tcBorders>
            <w:vAlign w:val="center"/>
          </w:tcPr>
          <w:p w14:paraId="20036FC3">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p>
        </w:tc>
        <w:tc>
          <w:tcPr>
            <w:tcW w:w="6359" w:type="dxa"/>
            <w:gridSpan w:val="2"/>
            <w:tcBorders>
              <w:top w:val="single" w:color="auto" w:sz="4" w:space="0"/>
              <w:left w:val="single" w:color="auto" w:sz="4" w:space="0"/>
              <w:bottom w:val="single" w:color="auto" w:sz="4" w:space="0"/>
              <w:right w:val="single" w:color="auto" w:sz="4" w:space="0"/>
            </w:tcBorders>
            <w:vAlign w:val="center"/>
          </w:tcPr>
          <w:p w14:paraId="63C37B06">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u w:val="none"/>
                <w:lang w:eastAsia="zh-CN"/>
              </w:rPr>
              <w:t>项目编号：</w:t>
            </w:r>
            <w:r>
              <w:rPr>
                <w:rFonts w:hint="eastAsia" w:ascii="宋体" w:hAnsi="宋体" w:cs="宋体"/>
                <w:color w:val="auto"/>
                <w:szCs w:val="21"/>
                <w:highlight w:val="none"/>
                <w:u w:val="none"/>
                <w:lang w:val="en-US" w:eastAsia="zh-CN"/>
              </w:rPr>
              <w:t>YN2026-DLGK-C0042-B00</w:t>
            </w:r>
          </w:p>
        </w:tc>
      </w:tr>
      <w:tr w14:paraId="24112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Merge w:val="continue"/>
            <w:tcBorders>
              <w:left w:val="single" w:color="auto" w:sz="4" w:space="0"/>
              <w:right w:val="single" w:color="auto" w:sz="4" w:space="0"/>
            </w:tcBorders>
            <w:vAlign w:val="center"/>
          </w:tcPr>
          <w:p w14:paraId="54AC41C7">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p>
        </w:tc>
        <w:tc>
          <w:tcPr>
            <w:tcW w:w="1865" w:type="dxa"/>
            <w:vMerge w:val="continue"/>
            <w:tcBorders>
              <w:left w:val="single" w:color="auto" w:sz="4" w:space="0"/>
              <w:right w:val="single" w:color="auto" w:sz="4" w:space="0"/>
            </w:tcBorders>
            <w:vAlign w:val="center"/>
          </w:tcPr>
          <w:p w14:paraId="42F92726">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p>
        </w:tc>
        <w:tc>
          <w:tcPr>
            <w:tcW w:w="6359" w:type="dxa"/>
            <w:gridSpan w:val="2"/>
            <w:tcBorders>
              <w:top w:val="single" w:color="auto" w:sz="4" w:space="0"/>
              <w:left w:val="single" w:color="auto" w:sz="4" w:space="0"/>
              <w:bottom w:val="single" w:color="auto" w:sz="4" w:space="0"/>
              <w:right w:val="single" w:color="auto" w:sz="4" w:space="0"/>
            </w:tcBorders>
            <w:vAlign w:val="center"/>
          </w:tcPr>
          <w:p w14:paraId="5266A117">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项目预算</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大写：壹佰肆拾万元整，小写：</w:t>
            </w:r>
            <w:r>
              <w:rPr>
                <w:rFonts w:hint="eastAsia" w:ascii="宋体" w:hAnsi="宋体" w:cs="宋体"/>
                <w:color w:val="auto"/>
                <w:sz w:val="21"/>
                <w:szCs w:val="21"/>
                <w:highlight w:val="none"/>
                <w:lang w:val="en-US" w:eastAsia="zh-CN"/>
              </w:rPr>
              <w:t>¥1,400,000.00</w:t>
            </w:r>
            <w:r>
              <w:rPr>
                <w:rFonts w:hint="eastAsia" w:ascii="宋体" w:hAnsi="宋体" w:cs="宋体"/>
                <w:color w:val="auto"/>
                <w:sz w:val="21"/>
                <w:szCs w:val="21"/>
                <w:highlight w:val="none"/>
                <w:lang w:eastAsia="zh-CN"/>
              </w:rPr>
              <w:t>元</w:t>
            </w:r>
            <w:r>
              <w:rPr>
                <w:rFonts w:hint="eastAsia" w:ascii="宋体" w:hAnsi="宋体" w:eastAsia="宋体" w:cs="宋体"/>
                <w:color w:val="auto"/>
                <w:sz w:val="21"/>
                <w:szCs w:val="21"/>
                <w:highlight w:val="none"/>
                <w:lang w:eastAsia="zh-CN"/>
              </w:rPr>
              <w:t>；</w:t>
            </w:r>
          </w:p>
        </w:tc>
      </w:tr>
      <w:tr w14:paraId="436A1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Merge w:val="continue"/>
            <w:tcBorders>
              <w:left w:val="single" w:color="auto" w:sz="4" w:space="0"/>
              <w:bottom w:val="single" w:color="auto" w:sz="4" w:space="0"/>
              <w:right w:val="single" w:color="auto" w:sz="4" w:space="0"/>
            </w:tcBorders>
            <w:vAlign w:val="center"/>
          </w:tcPr>
          <w:p w14:paraId="2A3A7ADE">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p>
        </w:tc>
        <w:tc>
          <w:tcPr>
            <w:tcW w:w="1865" w:type="dxa"/>
            <w:vMerge w:val="continue"/>
            <w:tcBorders>
              <w:left w:val="single" w:color="auto" w:sz="4" w:space="0"/>
              <w:bottom w:val="single" w:color="auto" w:sz="4" w:space="0"/>
              <w:right w:val="single" w:color="auto" w:sz="4" w:space="0"/>
            </w:tcBorders>
            <w:vAlign w:val="center"/>
          </w:tcPr>
          <w:p w14:paraId="5C714F04">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p>
        </w:tc>
        <w:tc>
          <w:tcPr>
            <w:tcW w:w="6359" w:type="dxa"/>
            <w:gridSpan w:val="2"/>
            <w:tcBorders>
              <w:top w:val="single" w:color="auto" w:sz="4" w:space="0"/>
              <w:left w:val="single" w:color="auto" w:sz="4" w:space="0"/>
              <w:bottom w:val="single" w:color="auto" w:sz="4" w:space="0"/>
              <w:right w:val="single" w:color="auto" w:sz="4" w:space="0"/>
            </w:tcBorders>
            <w:vAlign w:val="center"/>
          </w:tcPr>
          <w:p w14:paraId="609C4DA7">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最高限价</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大写：壹佰肆拾万元整，小写：</w:t>
            </w:r>
            <w:r>
              <w:rPr>
                <w:rFonts w:hint="eastAsia" w:ascii="宋体" w:hAnsi="宋体" w:cs="宋体"/>
                <w:color w:val="auto"/>
                <w:sz w:val="21"/>
                <w:szCs w:val="21"/>
                <w:highlight w:val="none"/>
                <w:lang w:val="en-US" w:eastAsia="zh-CN"/>
              </w:rPr>
              <w:t>¥1,400,000.00</w:t>
            </w:r>
            <w:r>
              <w:rPr>
                <w:rFonts w:hint="eastAsia" w:ascii="宋体" w:hAnsi="宋体" w:cs="宋体"/>
                <w:color w:val="auto"/>
                <w:sz w:val="21"/>
                <w:szCs w:val="21"/>
                <w:highlight w:val="none"/>
                <w:lang w:eastAsia="zh-CN"/>
              </w:rPr>
              <w:t>元</w:t>
            </w:r>
            <w:r>
              <w:rPr>
                <w:rFonts w:hint="eastAsia" w:ascii="宋体" w:hAnsi="宋体" w:eastAsia="宋体" w:cs="宋体"/>
                <w:color w:val="auto"/>
                <w:sz w:val="21"/>
                <w:szCs w:val="21"/>
                <w:highlight w:val="none"/>
                <w:lang w:eastAsia="zh-CN"/>
              </w:rPr>
              <w:t>；</w:t>
            </w:r>
          </w:p>
        </w:tc>
      </w:tr>
      <w:tr w14:paraId="65ACB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tcBorders>
              <w:top w:val="single" w:color="auto" w:sz="4" w:space="0"/>
              <w:left w:val="single" w:color="auto" w:sz="4" w:space="0"/>
              <w:bottom w:val="single" w:color="auto" w:sz="4" w:space="0"/>
              <w:right w:val="single" w:color="auto" w:sz="4" w:space="0"/>
            </w:tcBorders>
            <w:vAlign w:val="center"/>
          </w:tcPr>
          <w:p w14:paraId="7562A447">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865" w:type="dxa"/>
            <w:tcBorders>
              <w:top w:val="single" w:color="auto" w:sz="4" w:space="0"/>
              <w:left w:val="single" w:color="auto" w:sz="4" w:space="0"/>
              <w:bottom w:val="single" w:color="auto" w:sz="4" w:space="0"/>
              <w:right w:val="single" w:color="auto" w:sz="4" w:space="0"/>
            </w:tcBorders>
            <w:vAlign w:val="center"/>
          </w:tcPr>
          <w:p w14:paraId="190AD39C">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采购需求</w:t>
            </w:r>
          </w:p>
        </w:tc>
        <w:tc>
          <w:tcPr>
            <w:tcW w:w="6359" w:type="dxa"/>
            <w:gridSpan w:val="2"/>
            <w:tcBorders>
              <w:top w:val="single" w:color="auto" w:sz="4" w:space="0"/>
              <w:left w:val="single" w:color="auto" w:sz="4" w:space="0"/>
              <w:bottom w:val="single" w:color="auto" w:sz="4" w:space="0"/>
              <w:right w:val="single" w:color="auto" w:sz="4" w:space="0"/>
            </w:tcBorders>
            <w:vAlign w:val="center"/>
          </w:tcPr>
          <w:p w14:paraId="1DBEFDBF">
            <w:pPr>
              <w:keepNext w:val="0"/>
              <w:keepLines w:val="0"/>
              <w:pageBreakBefore w:val="0"/>
              <w:kinsoku/>
              <w:wordWrap/>
              <w:overflowPunct/>
              <w:bidi w:val="0"/>
              <w:adjustRightInd w:val="0"/>
              <w:snapToGrid w:val="0"/>
              <w:spacing w:after="0" w:line="4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详见第六章  项目采购需求</w:t>
            </w:r>
          </w:p>
        </w:tc>
      </w:tr>
      <w:tr w14:paraId="76604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tcBorders>
              <w:top w:val="single" w:color="auto" w:sz="4" w:space="0"/>
              <w:left w:val="single" w:color="auto" w:sz="4" w:space="0"/>
              <w:bottom w:val="single" w:color="auto" w:sz="4" w:space="0"/>
              <w:right w:val="single" w:color="auto" w:sz="4" w:space="0"/>
            </w:tcBorders>
            <w:vAlign w:val="center"/>
          </w:tcPr>
          <w:p w14:paraId="123E93B2">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865" w:type="dxa"/>
            <w:tcBorders>
              <w:top w:val="single" w:color="auto" w:sz="4" w:space="0"/>
              <w:left w:val="single" w:color="auto" w:sz="4" w:space="0"/>
              <w:bottom w:val="single" w:color="auto" w:sz="4" w:space="0"/>
              <w:right w:val="single" w:color="auto" w:sz="4" w:space="0"/>
            </w:tcBorders>
            <w:vAlign w:val="center"/>
          </w:tcPr>
          <w:p w14:paraId="41E063EF">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项目属性和类别</w:t>
            </w:r>
          </w:p>
        </w:tc>
        <w:tc>
          <w:tcPr>
            <w:tcW w:w="6359" w:type="dxa"/>
            <w:gridSpan w:val="2"/>
            <w:tcBorders>
              <w:top w:val="single" w:color="auto" w:sz="4" w:space="0"/>
              <w:left w:val="single" w:color="auto" w:sz="4" w:space="0"/>
              <w:bottom w:val="single" w:color="auto" w:sz="4" w:space="0"/>
              <w:right w:val="single" w:color="auto" w:sz="4" w:space="0"/>
            </w:tcBorders>
            <w:vAlign w:val="center"/>
          </w:tcPr>
          <w:p w14:paraId="2B7BFE58">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项目属性</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sym w:font="Wingdings 2" w:char="0052"/>
            </w:r>
            <w:r>
              <w:rPr>
                <w:rFonts w:hint="eastAsia" w:ascii="宋体" w:hAnsi="宋体" w:eastAsia="宋体" w:cs="宋体"/>
                <w:b w:val="0"/>
                <w:bCs/>
                <w:color w:val="auto"/>
                <w:sz w:val="21"/>
                <w:szCs w:val="21"/>
                <w:highlight w:val="none"/>
              </w:rPr>
              <w:t>服务</w:t>
            </w:r>
          </w:p>
          <w:p w14:paraId="04EEF7A8">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项目类别</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sym w:font="Wingdings 2" w:char="0052"/>
            </w:r>
            <w:r>
              <w:rPr>
                <w:rFonts w:hint="eastAsia" w:ascii="宋体" w:hAnsi="宋体" w:eastAsia="宋体" w:cs="宋体"/>
                <w:b w:val="0"/>
                <w:bCs/>
                <w:color w:val="auto"/>
                <w:sz w:val="21"/>
                <w:szCs w:val="21"/>
                <w:highlight w:val="none"/>
              </w:rPr>
              <w:t>非信息化项目</w:t>
            </w:r>
          </w:p>
        </w:tc>
      </w:tr>
      <w:tr w14:paraId="4BC3B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tcBorders>
              <w:top w:val="single" w:color="auto" w:sz="4" w:space="0"/>
              <w:left w:val="single" w:color="auto" w:sz="4" w:space="0"/>
              <w:bottom w:val="single" w:color="auto" w:sz="4" w:space="0"/>
              <w:right w:val="single" w:color="auto" w:sz="4" w:space="0"/>
            </w:tcBorders>
            <w:vAlign w:val="center"/>
          </w:tcPr>
          <w:p w14:paraId="43050DB2">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865" w:type="dxa"/>
            <w:tcBorders>
              <w:top w:val="single" w:color="auto" w:sz="4" w:space="0"/>
              <w:left w:val="single" w:color="auto" w:sz="4" w:space="0"/>
              <w:bottom w:val="single" w:color="auto" w:sz="4" w:space="0"/>
              <w:right w:val="single" w:color="auto" w:sz="4" w:space="0"/>
            </w:tcBorders>
            <w:vAlign w:val="center"/>
          </w:tcPr>
          <w:p w14:paraId="35F4B543">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p>
        </w:tc>
        <w:tc>
          <w:tcPr>
            <w:tcW w:w="6359" w:type="dxa"/>
            <w:gridSpan w:val="2"/>
            <w:tcBorders>
              <w:top w:val="single" w:color="auto" w:sz="4" w:space="0"/>
              <w:left w:val="single" w:color="auto" w:sz="4" w:space="0"/>
              <w:bottom w:val="single" w:color="auto" w:sz="4" w:space="0"/>
              <w:right w:val="single" w:color="auto" w:sz="4" w:space="0"/>
            </w:tcBorders>
            <w:vAlign w:val="center"/>
          </w:tcPr>
          <w:p w14:paraId="0ED295DE">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国家税务总局昆明市官渡区税务局</w:t>
            </w:r>
          </w:p>
          <w:p w14:paraId="2D28A6A0">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昆明市官渡区宝海路519号</w:t>
            </w:r>
          </w:p>
          <w:p w14:paraId="511E57CF">
            <w:pPr>
              <w:keepNext w:val="0"/>
              <w:keepLines w:val="0"/>
              <w:pageBreakBefore w:val="0"/>
              <w:kinsoku/>
              <w:wordWrap/>
              <w:overflowPunct/>
              <w:bidi w:val="0"/>
              <w:adjustRightInd w:val="0"/>
              <w:snapToGrid w:val="0"/>
              <w:spacing w:after="0" w:line="440" w:lineRule="exact"/>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联系方式：</w:t>
            </w:r>
            <w:r>
              <w:rPr>
                <w:rFonts w:hint="eastAsia" w:ascii="宋体" w:hAnsi="宋体" w:cs="宋体"/>
                <w:color w:val="auto"/>
                <w:sz w:val="21"/>
                <w:szCs w:val="21"/>
                <w:highlight w:val="none"/>
                <w:lang w:val="en-US" w:eastAsia="zh-CN"/>
              </w:rPr>
              <w:t>0871-67156980</w:t>
            </w:r>
          </w:p>
        </w:tc>
      </w:tr>
      <w:tr w14:paraId="33E95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tcBorders>
              <w:top w:val="single" w:color="auto" w:sz="4" w:space="0"/>
              <w:left w:val="single" w:color="auto" w:sz="4" w:space="0"/>
              <w:bottom w:val="single" w:color="auto" w:sz="4" w:space="0"/>
              <w:right w:val="single" w:color="auto" w:sz="4" w:space="0"/>
            </w:tcBorders>
            <w:vAlign w:val="center"/>
          </w:tcPr>
          <w:p w14:paraId="5EF85C59">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865" w:type="dxa"/>
            <w:tcBorders>
              <w:top w:val="single" w:color="auto" w:sz="4" w:space="0"/>
              <w:left w:val="single" w:color="auto" w:sz="4" w:space="0"/>
              <w:bottom w:val="single" w:color="auto" w:sz="4" w:space="0"/>
              <w:right w:val="single" w:color="auto" w:sz="4" w:space="0"/>
            </w:tcBorders>
            <w:vAlign w:val="center"/>
          </w:tcPr>
          <w:p w14:paraId="3DB526CF">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p>
        </w:tc>
        <w:tc>
          <w:tcPr>
            <w:tcW w:w="6359" w:type="dxa"/>
            <w:gridSpan w:val="2"/>
            <w:tcBorders>
              <w:top w:val="single" w:color="auto" w:sz="4" w:space="0"/>
              <w:left w:val="single" w:color="auto" w:sz="4" w:space="0"/>
              <w:bottom w:val="single" w:color="auto" w:sz="4" w:space="0"/>
              <w:right w:val="single" w:color="auto" w:sz="4" w:space="0"/>
            </w:tcBorders>
            <w:vAlign w:val="center"/>
          </w:tcPr>
          <w:p w14:paraId="20DC2B09">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云南中咨海外咨询有限公司</w:t>
            </w:r>
          </w:p>
          <w:p w14:paraId="2FFE9DDF">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eastAsia="zh-CN"/>
              </w:rPr>
              <w:t>：</w:t>
            </w:r>
            <w:r>
              <w:rPr>
                <w:rFonts w:hint="eastAsia" w:hAnsi="宋体" w:eastAsia="宋体" w:cs="宋体"/>
                <w:snapToGrid/>
                <w:color w:val="auto"/>
                <w:kern w:val="2"/>
                <w:szCs w:val="21"/>
                <w:highlight w:val="none"/>
              </w:rPr>
              <w:t>云</w:t>
            </w:r>
            <w:r>
              <w:rPr>
                <w:rFonts w:hint="eastAsia" w:ascii="宋体" w:hAnsi="宋体" w:eastAsia="宋体" w:cs="宋体"/>
                <w:color w:val="auto"/>
                <w:szCs w:val="21"/>
                <w:highlight w:val="none"/>
                <w:lang w:val="en-US" w:eastAsia="zh-CN"/>
              </w:rPr>
              <w:t>南省昆明市滇池度假区中天融域小区17幢1单元4楼</w:t>
            </w:r>
          </w:p>
          <w:p w14:paraId="7E126F92">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w:t>
            </w:r>
            <w:r>
              <w:rPr>
                <w:rFonts w:hint="eastAsia" w:ascii="宋体" w:hAnsi="宋体" w:eastAsia="宋体" w:cs="宋体"/>
                <w:color w:val="auto"/>
                <w:sz w:val="21"/>
                <w:szCs w:val="21"/>
                <w:highlight w:val="none"/>
                <w:lang w:eastAsia="zh-CN"/>
              </w:rPr>
              <w:t>系方式：</w:t>
            </w:r>
            <w:r>
              <w:rPr>
                <w:rFonts w:hint="eastAsia" w:ascii="宋体" w:hAnsi="宋体" w:cs="宋体"/>
                <w:color w:val="auto"/>
                <w:szCs w:val="21"/>
                <w:highlight w:val="none"/>
              </w:rPr>
              <w:t>0871-68101522</w:t>
            </w:r>
            <w:r>
              <w:rPr>
                <w:rFonts w:hint="eastAsia" w:ascii="宋体" w:hAnsi="宋体" w:cs="宋体"/>
                <w:color w:val="auto"/>
                <w:sz w:val="21"/>
                <w:szCs w:val="21"/>
                <w:highlight w:val="none"/>
                <w:lang w:val="en-US" w:eastAsia="zh-CN"/>
              </w:rPr>
              <w:t xml:space="preserve"> </w:t>
            </w:r>
          </w:p>
          <w:p w14:paraId="27D91F94">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邮箱：</w:t>
            </w:r>
            <w:r>
              <w:rPr>
                <w:rFonts w:hint="eastAsia" w:ascii="宋体" w:hAnsi="宋体" w:cs="宋体"/>
                <w:color w:val="auto"/>
                <w:sz w:val="21"/>
                <w:szCs w:val="21"/>
                <w:highlight w:val="none"/>
                <w:lang w:eastAsia="zh-CN"/>
              </w:rPr>
              <w:t>1803722475@qq.com</w:t>
            </w:r>
          </w:p>
        </w:tc>
      </w:tr>
      <w:tr w14:paraId="5B755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641B3175">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865" w:type="dxa"/>
            <w:tcBorders>
              <w:top w:val="single" w:color="auto" w:sz="4" w:space="0"/>
              <w:left w:val="single" w:color="auto" w:sz="4" w:space="0"/>
              <w:bottom w:val="single" w:color="auto" w:sz="4" w:space="0"/>
              <w:right w:val="single" w:color="auto" w:sz="4" w:space="0"/>
            </w:tcBorders>
            <w:vAlign w:val="center"/>
          </w:tcPr>
          <w:p w14:paraId="743DE308">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投标人资格要求</w:t>
            </w:r>
          </w:p>
        </w:tc>
        <w:tc>
          <w:tcPr>
            <w:tcW w:w="6359" w:type="dxa"/>
            <w:gridSpan w:val="2"/>
            <w:tcBorders>
              <w:top w:val="single" w:color="auto" w:sz="4" w:space="0"/>
              <w:left w:val="single" w:color="auto" w:sz="4" w:space="0"/>
              <w:bottom w:val="single" w:color="auto" w:sz="4" w:space="0"/>
              <w:right w:val="single" w:color="auto" w:sz="4" w:space="0"/>
            </w:tcBorders>
            <w:vAlign w:val="center"/>
          </w:tcPr>
          <w:p w14:paraId="4DBFF5D1">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详见第一章</w:t>
            </w:r>
            <w:r>
              <w:rPr>
                <w:rFonts w:hint="eastAsia" w:ascii="宋体" w:hAnsi="宋体" w:eastAsia="宋体" w:cs="宋体"/>
                <w:color w:val="auto"/>
                <w:sz w:val="21"/>
                <w:szCs w:val="21"/>
                <w:highlight w:val="none"/>
                <w:lang w:val="en-US" w:eastAsia="zh-CN"/>
              </w:rPr>
              <w:t xml:space="preserve"> 公开招标</w:t>
            </w:r>
            <w:r>
              <w:rPr>
                <w:rFonts w:hint="eastAsia" w:ascii="宋体" w:hAnsi="宋体" w:eastAsia="宋体" w:cs="宋体"/>
                <w:color w:val="auto"/>
                <w:sz w:val="21"/>
                <w:szCs w:val="21"/>
                <w:highlight w:val="none"/>
              </w:rPr>
              <w:t>公告</w:t>
            </w:r>
            <w:r>
              <w:rPr>
                <w:rFonts w:hint="eastAsia" w:ascii="宋体" w:hAnsi="宋体" w:eastAsia="宋体" w:cs="宋体"/>
                <w:color w:val="auto"/>
                <w:sz w:val="21"/>
                <w:szCs w:val="21"/>
                <w:highlight w:val="none"/>
                <w:lang w:eastAsia="zh-CN"/>
              </w:rPr>
              <w:t>“二、</w:t>
            </w:r>
            <w:r>
              <w:rPr>
                <w:rFonts w:hint="eastAsia" w:ascii="宋体" w:hAnsi="宋体" w:cs="宋体"/>
                <w:color w:val="auto"/>
                <w:sz w:val="21"/>
                <w:szCs w:val="21"/>
                <w:highlight w:val="none"/>
                <w:lang w:eastAsia="zh-CN"/>
              </w:rPr>
              <w:t>投标人</w:t>
            </w:r>
            <w:r>
              <w:rPr>
                <w:rFonts w:hint="eastAsia" w:ascii="宋体" w:hAnsi="宋体" w:eastAsia="宋体" w:cs="宋体"/>
                <w:color w:val="auto"/>
                <w:sz w:val="21"/>
                <w:szCs w:val="21"/>
                <w:highlight w:val="none"/>
                <w:lang w:eastAsia="zh-CN"/>
              </w:rPr>
              <w:t>的资格要求”</w:t>
            </w:r>
          </w:p>
        </w:tc>
      </w:tr>
      <w:tr w14:paraId="34BFB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tcBorders>
              <w:top w:val="single" w:color="auto" w:sz="4" w:space="0"/>
              <w:left w:val="single" w:color="auto" w:sz="4" w:space="0"/>
              <w:bottom w:val="single" w:color="auto" w:sz="4" w:space="0"/>
              <w:right w:val="single" w:color="auto" w:sz="4" w:space="0"/>
            </w:tcBorders>
            <w:vAlign w:val="center"/>
          </w:tcPr>
          <w:p w14:paraId="2BDAA2A7">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865" w:type="dxa"/>
            <w:tcBorders>
              <w:top w:val="single" w:color="auto" w:sz="4" w:space="0"/>
              <w:left w:val="single" w:color="auto" w:sz="4" w:space="0"/>
              <w:bottom w:val="single" w:color="auto" w:sz="4" w:space="0"/>
              <w:right w:val="single" w:color="auto" w:sz="4" w:space="0"/>
            </w:tcBorders>
            <w:vAlign w:val="center"/>
          </w:tcPr>
          <w:p w14:paraId="462A6797">
            <w:pPr>
              <w:keepNext w:val="0"/>
              <w:keepLines w:val="0"/>
              <w:pageBreakBefore w:val="0"/>
              <w:kinsoku/>
              <w:wordWrap/>
              <w:overflowPunct/>
              <w:bidi w:val="0"/>
              <w:spacing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是否接受联合体投标</w:t>
            </w:r>
          </w:p>
        </w:tc>
        <w:tc>
          <w:tcPr>
            <w:tcW w:w="6359" w:type="dxa"/>
            <w:gridSpan w:val="2"/>
            <w:tcBorders>
              <w:top w:val="single" w:color="auto" w:sz="4" w:space="0"/>
              <w:left w:val="single" w:color="auto" w:sz="4" w:space="0"/>
              <w:bottom w:val="single" w:color="auto" w:sz="4" w:space="0"/>
              <w:right w:val="single" w:color="auto" w:sz="4" w:space="0"/>
            </w:tcBorders>
            <w:vAlign w:val="center"/>
          </w:tcPr>
          <w:p w14:paraId="5F50A08E">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不接受</w:t>
            </w:r>
          </w:p>
        </w:tc>
      </w:tr>
      <w:tr w14:paraId="590B7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tcBorders>
              <w:top w:val="single" w:color="auto" w:sz="4" w:space="0"/>
              <w:left w:val="single" w:color="auto" w:sz="4" w:space="0"/>
              <w:bottom w:val="single" w:color="auto" w:sz="4" w:space="0"/>
              <w:right w:val="single" w:color="auto" w:sz="4" w:space="0"/>
            </w:tcBorders>
            <w:vAlign w:val="center"/>
          </w:tcPr>
          <w:p w14:paraId="20DB7318">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865" w:type="dxa"/>
            <w:tcBorders>
              <w:top w:val="single" w:color="auto" w:sz="4" w:space="0"/>
              <w:left w:val="single" w:color="auto" w:sz="4" w:space="0"/>
              <w:bottom w:val="single" w:color="auto" w:sz="4" w:space="0"/>
              <w:right w:val="single" w:color="auto" w:sz="4" w:space="0"/>
            </w:tcBorders>
            <w:vAlign w:val="center"/>
          </w:tcPr>
          <w:p w14:paraId="267689C3">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采购标的对应的中小企业划分标准所属行业</w:t>
            </w:r>
          </w:p>
        </w:tc>
        <w:tc>
          <w:tcPr>
            <w:tcW w:w="6359" w:type="dxa"/>
            <w:gridSpan w:val="2"/>
            <w:tcBorders>
              <w:top w:val="single" w:color="auto" w:sz="4" w:space="0"/>
              <w:left w:val="single" w:color="auto" w:sz="4" w:space="0"/>
              <w:bottom w:val="single" w:color="auto" w:sz="4" w:space="0"/>
              <w:right w:val="single" w:color="auto" w:sz="4" w:space="0"/>
            </w:tcBorders>
            <w:vAlign w:val="center"/>
          </w:tcPr>
          <w:p w14:paraId="60D0A2E3">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本项目所属行业为</w:t>
            </w:r>
            <w:r>
              <w:rPr>
                <w:rFonts w:hint="eastAsia" w:ascii="宋体" w:hAnsi="宋体" w:cs="宋体"/>
                <w:color w:val="auto"/>
                <w:sz w:val="21"/>
                <w:szCs w:val="21"/>
                <w:highlight w:val="none"/>
                <w:lang w:eastAsia="zh-CN"/>
              </w:rPr>
              <w:t>物业管理，</w:t>
            </w:r>
            <w:r>
              <w:rPr>
                <w:rFonts w:hint="eastAsia" w:ascii="宋体" w:hAnsi="宋体" w:eastAsia="宋体" w:cs="宋体"/>
                <w:color w:val="auto"/>
                <w:sz w:val="21"/>
                <w:szCs w:val="21"/>
                <w:highlight w:val="none"/>
                <w:lang w:eastAsia="zh-CN"/>
              </w:rPr>
              <w:t>符合条件的投标人应根据《关于印发中小企业划型标准规定的通知》（工信部联企业〔2011〕300号）中</w:t>
            </w:r>
            <w:r>
              <w:rPr>
                <w:rFonts w:hint="eastAsia" w:ascii="宋体" w:hAnsi="宋体" w:cs="宋体"/>
                <w:color w:val="auto"/>
                <w:sz w:val="21"/>
                <w:szCs w:val="21"/>
                <w:highlight w:val="none"/>
                <w:lang w:eastAsia="zh-CN"/>
              </w:rPr>
              <w:t>物业管理</w:t>
            </w:r>
            <w:r>
              <w:rPr>
                <w:rFonts w:hint="eastAsia" w:ascii="宋体" w:hAnsi="宋体" w:eastAsia="宋体" w:cs="宋体"/>
                <w:color w:val="auto"/>
                <w:sz w:val="21"/>
                <w:szCs w:val="21"/>
                <w:highlight w:val="none"/>
                <w:lang w:eastAsia="zh-CN"/>
              </w:rPr>
              <w:t>划型标准进行划型</w:t>
            </w:r>
            <w:r>
              <w:rPr>
                <w:rFonts w:hint="eastAsia" w:ascii="宋体" w:hAnsi="宋体" w:eastAsia="宋体" w:cs="宋体"/>
                <w:color w:val="auto"/>
                <w:sz w:val="21"/>
                <w:szCs w:val="21"/>
                <w:highlight w:val="none"/>
                <w:lang w:val="en-US" w:eastAsia="zh-CN"/>
              </w:rPr>
              <w:t>。</w:t>
            </w:r>
          </w:p>
        </w:tc>
      </w:tr>
      <w:tr w14:paraId="34347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tcBorders>
              <w:top w:val="single" w:color="auto" w:sz="4" w:space="0"/>
              <w:left w:val="single" w:color="auto" w:sz="4" w:space="0"/>
              <w:bottom w:val="single" w:color="auto" w:sz="4" w:space="0"/>
              <w:right w:val="single" w:color="auto" w:sz="4" w:space="0"/>
            </w:tcBorders>
            <w:vAlign w:val="center"/>
          </w:tcPr>
          <w:p w14:paraId="16207335">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865" w:type="dxa"/>
            <w:tcBorders>
              <w:top w:val="single" w:color="auto" w:sz="4" w:space="0"/>
              <w:left w:val="single" w:color="auto" w:sz="4" w:space="0"/>
              <w:bottom w:val="single" w:color="auto" w:sz="4" w:space="0"/>
              <w:right w:val="single" w:color="auto" w:sz="4" w:space="0"/>
            </w:tcBorders>
            <w:vAlign w:val="center"/>
          </w:tcPr>
          <w:p w14:paraId="2DE77738">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非主体</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非关键性工作分包</w:t>
            </w:r>
          </w:p>
        </w:tc>
        <w:tc>
          <w:tcPr>
            <w:tcW w:w="6359" w:type="dxa"/>
            <w:gridSpan w:val="2"/>
            <w:tcBorders>
              <w:top w:val="single" w:color="auto" w:sz="4" w:space="0"/>
              <w:left w:val="single" w:color="auto" w:sz="4" w:space="0"/>
              <w:bottom w:val="single" w:color="auto" w:sz="4" w:space="0"/>
              <w:right w:val="single" w:color="auto" w:sz="4" w:space="0"/>
            </w:tcBorders>
            <w:vAlign w:val="center"/>
          </w:tcPr>
          <w:p w14:paraId="2BEC61AA">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是否允许中标人将本项目的非主体</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非关键性工作进行分包</w:t>
            </w:r>
            <w:r>
              <w:rPr>
                <w:rFonts w:hint="eastAsia" w:ascii="宋体" w:hAnsi="宋体" w:eastAsia="宋体" w:cs="宋体"/>
                <w:color w:val="auto"/>
                <w:sz w:val="21"/>
                <w:szCs w:val="21"/>
                <w:highlight w:val="none"/>
                <w:lang w:eastAsia="zh-CN"/>
              </w:rPr>
              <w:t>：</w:t>
            </w:r>
          </w:p>
          <w:p w14:paraId="2AC30075">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tc>
      </w:tr>
      <w:tr w14:paraId="07EE6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Align w:val="center"/>
          </w:tcPr>
          <w:p w14:paraId="05A71FE3">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865" w:type="dxa"/>
            <w:vAlign w:val="center"/>
          </w:tcPr>
          <w:p w14:paraId="01F1DDA7">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信息发布媒体</w:t>
            </w:r>
          </w:p>
        </w:tc>
        <w:tc>
          <w:tcPr>
            <w:tcW w:w="6359" w:type="dxa"/>
            <w:gridSpan w:val="2"/>
            <w:vAlign w:val="center"/>
          </w:tcPr>
          <w:p w14:paraId="68B05BB5">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中国政府采购网（</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"http://www.ccgp.gov.cn"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www.ccgp.gov.cn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w:t>
            </w:r>
          </w:p>
        </w:tc>
      </w:tr>
      <w:tr w14:paraId="7961E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Align w:val="center"/>
          </w:tcPr>
          <w:p w14:paraId="267FF7F1">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1865" w:type="dxa"/>
            <w:vAlign w:val="center"/>
          </w:tcPr>
          <w:p w14:paraId="7330F486">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获取招标文件时间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地点和方式等</w:t>
            </w:r>
          </w:p>
        </w:tc>
        <w:tc>
          <w:tcPr>
            <w:tcW w:w="6359" w:type="dxa"/>
            <w:gridSpan w:val="2"/>
            <w:vAlign w:val="center"/>
          </w:tcPr>
          <w:p w14:paraId="1C9628EE">
            <w:pPr>
              <w:keepNext w:val="0"/>
              <w:keepLines w:val="0"/>
              <w:pageBreakBefore w:val="0"/>
              <w:kinsoku/>
              <w:wordWrap/>
              <w:overflowPunct/>
              <w:topLinePunct/>
              <w:autoSpaceDE w:val="0"/>
              <w:autoSpaceDN w:val="0"/>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详见第一章</w:t>
            </w:r>
            <w:r>
              <w:rPr>
                <w:rFonts w:hint="eastAsia" w:ascii="宋体" w:hAnsi="宋体" w:eastAsia="宋体" w:cs="宋体"/>
                <w:color w:val="auto"/>
                <w:sz w:val="21"/>
                <w:szCs w:val="21"/>
                <w:highlight w:val="none"/>
                <w:lang w:val="en-US" w:eastAsia="zh-CN"/>
              </w:rPr>
              <w:t xml:space="preserve"> 公开招标</w:t>
            </w:r>
            <w:r>
              <w:rPr>
                <w:rFonts w:hint="eastAsia" w:ascii="宋体" w:hAnsi="宋体" w:eastAsia="宋体" w:cs="宋体"/>
                <w:color w:val="auto"/>
                <w:sz w:val="21"/>
                <w:szCs w:val="21"/>
                <w:highlight w:val="none"/>
              </w:rPr>
              <w:t>公告</w:t>
            </w:r>
            <w:r>
              <w:rPr>
                <w:rFonts w:hint="eastAsia" w:ascii="宋体" w:hAnsi="宋体" w:eastAsia="宋体" w:cs="宋体"/>
                <w:color w:val="auto"/>
                <w:sz w:val="21"/>
                <w:szCs w:val="21"/>
                <w:highlight w:val="none"/>
                <w:lang w:eastAsia="zh-CN"/>
              </w:rPr>
              <w:t>“三、获取招标文件”</w:t>
            </w:r>
          </w:p>
        </w:tc>
      </w:tr>
      <w:tr w14:paraId="6FC91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Align w:val="center"/>
          </w:tcPr>
          <w:p w14:paraId="2B76AFE8">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p>
        </w:tc>
        <w:tc>
          <w:tcPr>
            <w:tcW w:w="1865" w:type="dxa"/>
            <w:vAlign w:val="center"/>
          </w:tcPr>
          <w:p w14:paraId="68EF3B1A">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现场考察/踏勘</w:t>
            </w:r>
          </w:p>
        </w:tc>
        <w:tc>
          <w:tcPr>
            <w:tcW w:w="6359" w:type="dxa"/>
            <w:gridSpan w:val="2"/>
            <w:vAlign w:val="center"/>
          </w:tcPr>
          <w:p w14:paraId="77F5BAF6">
            <w:pPr>
              <w:keepNext w:val="0"/>
              <w:keepLines w:val="0"/>
              <w:pageBreakBefore w:val="0"/>
              <w:numPr>
                <w:ilvl w:val="0"/>
                <w:numId w:val="0"/>
              </w:numPr>
              <w:tabs>
                <w:tab w:val="left" w:pos="0"/>
                <w:tab w:val="left" w:pos="4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不组织现场考察/踏勘</w:t>
            </w:r>
          </w:p>
        </w:tc>
      </w:tr>
      <w:tr w14:paraId="228BE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Merge w:val="restart"/>
            <w:vAlign w:val="center"/>
          </w:tcPr>
          <w:p w14:paraId="40689C9E">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p>
        </w:tc>
        <w:tc>
          <w:tcPr>
            <w:tcW w:w="1865" w:type="dxa"/>
            <w:vMerge w:val="restart"/>
            <w:vAlign w:val="center"/>
          </w:tcPr>
          <w:p w14:paraId="7DEFC332">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投标文件组成</w:t>
            </w:r>
          </w:p>
        </w:tc>
        <w:tc>
          <w:tcPr>
            <w:tcW w:w="981" w:type="dxa"/>
            <w:vMerge w:val="restart"/>
            <w:vAlign w:val="center"/>
          </w:tcPr>
          <w:p w14:paraId="40464DC0">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w:t>
            </w:r>
          </w:p>
          <w:p w14:paraId="423FF61B">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部</w:t>
            </w:r>
            <w:r>
              <w:rPr>
                <w:rFonts w:hint="eastAsia" w:ascii="宋体" w:hAnsi="宋体" w:eastAsia="宋体" w:cs="宋体"/>
                <w:bCs/>
                <w:color w:val="auto"/>
                <w:sz w:val="21"/>
                <w:szCs w:val="21"/>
                <w:highlight w:val="none"/>
              </w:rPr>
              <w:t>分</w:t>
            </w:r>
          </w:p>
        </w:tc>
        <w:tc>
          <w:tcPr>
            <w:tcW w:w="5378" w:type="dxa"/>
            <w:vAlign w:val="center"/>
          </w:tcPr>
          <w:p w14:paraId="3A0F5FC5">
            <w:pPr>
              <w:keepNext w:val="0"/>
              <w:keepLines w:val="0"/>
              <w:pageBreakBefore w:val="0"/>
              <w:widowControl/>
              <w:tabs>
                <w:tab w:val="left" w:pos="0"/>
                <w:tab w:val="left" w:pos="4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一</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资格证明文件</w:t>
            </w:r>
            <w:r>
              <w:rPr>
                <w:rFonts w:hint="eastAsia" w:ascii="宋体" w:hAnsi="宋体" w:eastAsia="宋体" w:cs="宋体"/>
                <w:b/>
                <w:color w:val="auto"/>
                <w:sz w:val="21"/>
                <w:szCs w:val="21"/>
                <w:highlight w:val="none"/>
                <w:lang w:eastAsia="zh-CN"/>
              </w:rPr>
              <w:t>：</w:t>
            </w:r>
          </w:p>
          <w:p w14:paraId="1D33724C">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★具有独立承担民事责任的能力：</w:t>
            </w:r>
            <w:r>
              <w:rPr>
                <w:rFonts w:hint="eastAsia" w:ascii="宋体" w:hAnsi="宋体" w:cs="宋体"/>
                <w:color w:val="auto"/>
                <w:sz w:val="21"/>
                <w:szCs w:val="21"/>
                <w:highlight w:val="none"/>
                <w:lang w:eastAsia="zh-CN"/>
              </w:rPr>
              <w:t>提供法人或者其他组织的营业执照等证明文件；若为自然人的，提供自然人的身份证明（加盖投标人公章）</w:t>
            </w:r>
            <w:r>
              <w:rPr>
                <w:rFonts w:hint="eastAsia" w:ascii="宋体" w:hAnsi="宋体" w:eastAsia="宋体" w:cs="宋体"/>
                <w:color w:val="auto"/>
                <w:sz w:val="21"/>
                <w:szCs w:val="21"/>
                <w:highlight w:val="none"/>
              </w:rPr>
              <w:t>。</w:t>
            </w:r>
          </w:p>
          <w:p w14:paraId="36822744">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★具有良好的商业信誉和健全的财务会计制度</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内容可为以下</w:t>
            </w:r>
            <w:r>
              <w:rPr>
                <w:rFonts w:hint="eastAsia" w:ascii="宋体" w:hAnsi="宋体" w:cs="宋体"/>
                <w:color w:val="auto"/>
                <w:sz w:val="21"/>
                <w:szCs w:val="21"/>
                <w:highlight w:val="none"/>
                <w:lang w:val="en-US" w:eastAsia="zh-CN"/>
              </w:rPr>
              <w:t>二</w:t>
            </w:r>
            <w:r>
              <w:rPr>
                <w:rFonts w:hint="eastAsia" w:ascii="宋体" w:hAnsi="宋体" w:eastAsia="宋体" w:cs="宋体"/>
                <w:color w:val="auto"/>
                <w:sz w:val="21"/>
                <w:szCs w:val="21"/>
                <w:highlight w:val="none"/>
              </w:rPr>
              <w:t>者之一：</w:t>
            </w:r>
          </w:p>
          <w:p w14:paraId="6D135E6A">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w:t>
            </w:r>
            <w:r>
              <w:rPr>
                <w:rFonts w:hint="eastAsia" w:ascii="宋体" w:hAnsi="宋体" w:cs="宋体"/>
                <w:color w:val="auto"/>
                <w:sz w:val="21"/>
                <w:szCs w:val="21"/>
                <w:highlight w:val="none"/>
                <w:lang w:eastAsia="zh-CN"/>
              </w:rPr>
              <w:t>投标人须提供2024年度或2025年度经审计的财务会计报告及报表资料（至少包括：财务审计报告、资产负债表、利润表、现金流量表并附注册会计师行业统一监管平台验证码），如投标人执行的财政部门印发的会计制度或准则有其他要求的，以其要求为准；新成立不满1年的投标人提供自成立至今的财务报表（复印件加盖投标人公章）</w:t>
            </w:r>
            <w:r>
              <w:rPr>
                <w:rFonts w:hint="eastAsia" w:ascii="宋体" w:hAnsi="宋体" w:eastAsia="宋体" w:cs="宋体"/>
                <w:color w:val="auto"/>
                <w:sz w:val="21"/>
                <w:szCs w:val="21"/>
                <w:highlight w:val="none"/>
              </w:rPr>
              <w:t>；</w:t>
            </w:r>
          </w:p>
          <w:p w14:paraId="13F11DA1">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②提供自投标文件提交截止时间前三个月内基本开户银行出具的资信证明（加盖投标人公章）。</w:t>
            </w:r>
          </w:p>
          <w:p w14:paraId="7C751044">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★具有履行合同所必需的设备和专业技术能力：提供投标人具有履行合同所必需的设备和专业技术能力证明材料（加盖投标人公章）或书面声明（加盖投标人公章）；</w:t>
            </w:r>
          </w:p>
          <w:p w14:paraId="2395A9F4">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★有依法缴纳税收和社会保障资金的良好记录：</w:t>
            </w:r>
          </w:p>
          <w:p w14:paraId="3181638D">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w:t>
            </w:r>
            <w:r>
              <w:rPr>
                <w:rFonts w:hint="eastAsia" w:ascii="宋体" w:hAnsi="宋体" w:cs="宋体"/>
                <w:color w:val="auto"/>
                <w:sz w:val="21"/>
                <w:szCs w:val="21"/>
                <w:highlight w:val="none"/>
                <w:lang w:eastAsia="zh-CN"/>
              </w:rPr>
              <w:t>提供投标人缴税所属时间在2025年5月至本项目提交投标文件截止时间前任意1个月的税务局税收通用缴款书或银行电子缴税（费）凭证或税务局出具纳税情况的相关证明；依法免税或免缴的，应提供相关证明文件（加盖投标人公章）或说明（加盖投标人公章）；新成立未满1个月的投标人，依法免税或免缴的，应提供相关证明文件（加盖投标人公章）或说明（加盖投标人公章）</w:t>
            </w:r>
            <w:r>
              <w:rPr>
                <w:rFonts w:hint="eastAsia" w:ascii="宋体" w:hAnsi="宋体" w:eastAsia="宋体" w:cs="宋体"/>
                <w:color w:val="auto"/>
                <w:sz w:val="21"/>
                <w:szCs w:val="21"/>
                <w:highlight w:val="none"/>
              </w:rPr>
              <w:t>；</w:t>
            </w:r>
          </w:p>
          <w:p w14:paraId="4470F560">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4.2</w:t>
            </w:r>
            <w:r>
              <w:rPr>
                <w:rFonts w:hint="eastAsia" w:ascii="宋体" w:hAnsi="宋体" w:cs="宋体"/>
                <w:color w:val="auto"/>
                <w:sz w:val="21"/>
                <w:szCs w:val="21"/>
                <w:highlight w:val="none"/>
                <w:lang w:eastAsia="zh-CN"/>
              </w:rPr>
              <w:t>提供投标人缴费所属时间在2025年5月至本项目提交投标文件截止时间前任意1个月的社会保险费缴款书或银行电子缴税（费）凭证或社保管理部门出具的有效的缴款证明；依法免缴的，应提供依法免缴的相关证明文件（加盖投标人公章）或说明（加盖投标人公章）；新成立未满1个月的投标人，依法免缴的，应提供依法免缴的相关证明文件（加盖投标人公章）或说明（加盖投标人公章）。</w:t>
            </w:r>
          </w:p>
          <w:p w14:paraId="660EE4F3">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★参加政府采购活动前三年内</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在经营活动中没有重大违法记录：提供投标人参加政府采购活动前三年内</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在经营活动中没有重大违法记录（重大违法记录</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是指投标人因违法经营受到刑事处罚或者责令停产停业、吊销许可证或者执照、较大数额罚款等行政处罚）的书面声明（加盖投标人公章）</w:t>
            </w:r>
            <w:r>
              <w:rPr>
                <w:rFonts w:hint="eastAsia" w:ascii="宋体" w:hAnsi="宋体" w:cs="宋体"/>
                <w:color w:val="auto"/>
                <w:sz w:val="21"/>
                <w:szCs w:val="21"/>
                <w:highlight w:val="none"/>
                <w:lang w:val="en-US" w:eastAsia="zh-CN"/>
              </w:rPr>
              <w:t>。</w:t>
            </w:r>
          </w:p>
          <w:p w14:paraId="27DB9F76">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★法律、行政法规规定的其他条件：</w:t>
            </w:r>
          </w:p>
          <w:p w14:paraId="3F4087DB">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6.1单位负责人为同一人或者存在直接控股、管理关系的不同供应商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不得参加同一合同项下的政府采购活动（提供承诺函加盖投标人公章）；</w:t>
            </w:r>
          </w:p>
          <w:p w14:paraId="0DFB3CA7">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6.2为本采购项目提供整体设计、规范编制或者项目管理、监理、检测等服务的投标人</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不得再参加本采购项目的其他采购活动的书面声明（提供书面声明函加盖投标人公章）；</w:t>
            </w:r>
          </w:p>
          <w:p w14:paraId="137E04F7">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w:t>
            </w:r>
            <w:r>
              <w:rPr>
                <w:rFonts w:hint="eastAsia" w:ascii="宋体" w:hAnsi="宋体" w:eastAsia="宋体" w:cs="宋体"/>
                <w:color w:val="auto"/>
                <w:sz w:val="21"/>
                <w:szCs w:val="21"/>
                <w:highlight w:val="none"/>
                <w:lang w:eastAsia="zh-CN"/>
              </w:rPr>
              <w:t>投标人在“信用中国”网站（www.creditchina.gov.cn）中未被列入失信被执行人、重大税收违法失信主体名单、政府采购严重违法失信行为记录名单（查询时间为开标当天</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查询结果以采购人、采购代理机构查询结果为准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并将查询记录和证据留存</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投标人无需提供查询结果）</w:t>
            </w:r>
            <w:r>
              <w:rPr>
                <w:rFonts w:hint="eastAsia" w:ascii="宋体" w:hAnsi="宋体" w:eastAsia="宋体" w:cs="宋体"/>
                <w:color w:val="auto"/>
                <w:sz w:val="21"/>
                <w:szCs w:val="21"/>
                <w:highlight w:val="none"/>
              </w:rPr>
              <w:t>；</w:t>
            </w:r>
          </w:p>
          <w:p w14:paraId="782C7303">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6.4投标人在中国政府采购网（www.ccgp.gov.cn）政府采购严重违法失信行为记录名单中无不良信息记录（被禁止在一定期限内参加采购活动但期限届满的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或仅被处于非较大数额罚款的除外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查询时间为开标当天</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查询结果以采购人、采购代理机构查询结果为准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并将查询记录和证据留存</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投标人无需提供查询结果）</w:t>
            </w:r>
            <w:r>
              <w:rPr>
                <w:rFonts w:hint="eastAsia" w:ascii="宋体" w:hAnsi="宋体" w:cs="宋体"/>
                <w:color w:val="auto"/>
                <w:sz w:val="21"/>
                <w:szCs w:val="21"/>
                <w:highlight w:val="none"/>
                <w:lang w:val="en-US" w:eastAsia="zh-CN"/>
              </w:rPr>
              <w:t>。</w:t>
            </w:r>
          </w:p>
          <w:p w14:paraId="25755623">
            <w:pPr>
              <w:keepNext w:val="0"/>
              <w:keepLines w:val="0"/>
              <w:pageBreakBefore w:val="0"/>
              <w:tabs>
                <w:tab w:val="left" w:pos="720"/>
                <w:tab w:val="left" w:pos="8295"/>
              </w:tabs>
              <w:kinsoku/>
              <w:wordWrap w:val="0"/>
              <w:overflowPunct/>
              <w:topLinePunct w:val="0"/>
              <w:autoSpaceDE/>
              <w:autoSpaceDN/>
              <w:bidi w:val="0"/>
              <w:adjustRightInd/>
              <w:snapToGrid/>
              <w:spacing w:line="440" w:lineRule="exact"/>
              <w:outlineLvl w:val="2"/>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落实政府采购政策需满足的资格要求</w:t>
            </w:r>
            <w:r>
              <w:rPr>
                <w:rFonts w:hint="eastAsia" w:ascii="宋体" w:hAnsi="宋体" w:cs="宋体"/>
                <w:color w:val="auto"/>
                <w:sz w:val="21"/>
                <w:szCs w:val="21"/>
                <w:highlight w:val="none"/>
                <w:lang w:eastAsia="zh-CN"/>
              </w:rPr>
              <w:t>：</w:t>
            </w:r>
            <w:r>
              <w:rPr>
                <w:rFonts w:hint="eastAsia" w:ascii="宋体" w:hAnsi="宋体" w:cs="宋体"/>
                <w:color w:val="auto"/>
                <w:szCs w:val="21"/>
                <w:highlight w:val="none"/>
              </w:rPr>
              <w:t>本项目专门面向中小企业采购</w:t>
            </w:r>
            <w:r>
              <w:rPr>
                <w:rFonts w:hint="eastAsia" w:ascii="宋体" w:hAnsi="宋体" w:cs="宋体"/>
                <w:color w:val="auto"/>
                <w:szCs w:val="21"/>
                <w:highlight w:val="none"/>
                <w:lang w:eastAsia="zh-CN"/>
              </w:rPr>
              <w:t>，</w:t>
            </w:r>
            <w:r>
              <w:rPr>
                <w:rFonts w:hint="eastAsia" w:ascii="宋体" w:hAnsi="宋体" w:cs="宋体"/>
                <w:color w:val="auto"/>
                <w:szCs w:val="21"/>
                <w:highlight w:val="none"/>
              </w:rPr>
              <w:t>投标人必须为中型企业或小型企业或微型企业；监狱企业、残疾人福利性单位视同小型企业或微型企业</w:t>
            </w:r>
            <w:r>
              <w:rPr>
                <w:rFonts w:hint="eastAsia" w:ascii="宋体" w:hAnsi="宋体" w:cs="宋体"/>
                <w:color w:val="auto"/>
                <w:szCs w:val="21"/>
                <w:highlight w:val="none"/>
                <w:lang w:eastAsia="zh-CN"/>
              </w:rPr>
              <w:t>。本项目所属</w:t>
            </w:r>
            <w:r>
              <w:rPr>
                <w:rFonts w:hint="eastAsia" w:ascii="宋体" w:hAnsi="宋体" w:cs="宋体"/>
                <w:b w:val="0"/>
                <w:bCs w:val="0"/>
                <w:color w:val="auto"/>
                <w:szCs w:val="21"/>
                <w:highlight w:val="none"/>
                <w:lang w:eastAsia="zh-CN"/>
              </w:rPr>
              <w:t>行业为物业管理</w:t>
            </w:r>
            <w:r>
              <w:rPr>
                <w:rFonts w:hint="eastAsia" w:ascii="宋体" w:hAnsi="宋体" w:cs="宋体"/>
                <w:color w:val="auto"/>
                <w:szCs w:val="21"/>
                <w:highlight w:val="none"/>
                <w:lang w:eastAsia="zh-CN"/>
              </w:rPr>
              <w:t>，符合条件的投标人应根据《关于印发中小企业划型标准规定的通知》（工信部联企业〔2011〕300号）中物业管理划型标准进行划型</w:t>
            </w:r>
            <w:r>
              <w:rPr>
                <w:rFonts w:hint="eastAsia" w:ascii="宋体" w:hAnsi="宋体" w:cs="宋体"/>
                <w:color w:val="auto"/>
                <w:sz w:val="21"/>
                <w:szCs w:val="21"/>
                <w:highlight w:val="none"/>
                <w:lang w:val="en-US" w:eastAsia="zh-CN"/>
              </w:rPr>
              <w:t>。</w:t>
            </w:r>
          </w:p>
          <w:p w14:paraId="3B9B03E1">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本项目的特定资格要求</w:t>
            </w:r>
            <w:r>
              <w:rPr>
                <w:rFonts w:hint="eastAsia" w:ascii="宋体" w:hAnsi="宋体" w:cs="宋体"/>
                <w:color w:val="auto"/>
                <w:sz w:val="21"/>
                <w:szCs w:val="21"/>
                <w:highlight w:val="none"/>
                <w:lang w:eastAsia="zh-CN"/>
              </w:rPr>
              <w:t>：无</w:t>
            </w:r>
            <w:r>
              <w:rPr>
                <w:rFonts w:hint="eastAsia" w:ascii="宋体" w:hAnsi="宋体" w:eastAsia="宋体" w:cs="宋体"/>
                <w:color w:val="auto"/>
                <w:sz w:val="21"/>
                <w:szCs w:val="21"/>
                <w:highlight w:val="none"/>
                <w:lang w:eastAsia="zh-CN"/>
              </w:rPr>
              <w:t>。</w:t>
            </w:r>
          </w:p>
        </w:tc>
      </w:tr>
      <w:tr w14:paraId="22D02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Merge w:val="continue"/>
            <w:vAlign w:val="center"/>
          </w:tcPr>
          <w:p w14:paraId="34F250C9">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b/>
                <w:color w:val="auto"/>
                <w:sz w:val="21"/>
                <w:szCs w:val="21"/>
                <w:highlight w:val="none"/>
              </w:rPr>
            </w:pPr>
          </w:p>
        </w:tc>
        <w:tc>
          <w:tcPr>
            <w:tcW w:w="1865" w:type="dxa"/>
            <w:vMerge w:val="continue"/>
            <w:vAlign w:val="center"/>
          </w:tcPr>
          <w:p w14:paraId="5D8AF0CA">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b/>
                <w:color w:val="auto"/>
                <w:sz w:val="21"/>
                <w:szCs w:val="21"/>
                <w:highlight w:val="none"/>
              </w:rPr>
            </w:pPr>
          </w:p>
        </w:tc>
        <w:tc>
          <w:tcPr>
            <w:tcW w:w="981" w:type="dxa"/>
            <w:vMerge w:val="continue"/>
            <w:vAlign w:val="center"/>
          </w:tcPr>
          <w:p w14:paraId="0727D269">
            <w:pPr>
              <w:keepNext w:val="0"/>
              <w:keepLines w:val="0"/>
              <w:pageBreakBefore w:val="0"/>
              <w:kinsoku/>
              <w:wordWrap/>
              <w:overflowPunct/>
              <w:topLinePunct/>
              <w:autoSpaceDE w:val="0"/>
              <w:autoSpaceDN w:val="0"/>
              <w:bidi w:val="0"/>
              <w:adjustRightInd w:val="0"/>
              <w:snapToGrid w:val="0"/>
              <w:spacing w:after="0" w:line="440" w:lineRule="exact"/>
              <w:textAlignment w:val="auto"/>
              <w:rPr>
                <w:rFonts w:hint="eastAsia" w:ascii="宋体" w:hAnsi="宋体" w:eastAsia="宋体" w:cs="宋体"/>
                <w:b/>
                <w:bCs/>
                <w:color w:val="auto"/>
                <w:sz w:val="21"/>
                <w:szCs w:val="21"/>
                <w:highlight w:val="none"/>
              </w:rPr>
            </w:pPr>
          </w:p>
        </w:tc>
        <w:tc>
          <w:tcPr>
            <w:tcW w:w="5378" w:type="dxa"/>
            <w:vAlign w:val="center"/>
          </w:tcPr>
          <w:p w14:paraId="2D863C2E">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二</w:t>
            </w:r>
            <w:r>
              <w:rPr>
                <w:rFonts w:hint="eastAsia" w:ascii="宋体" w:hAnsi="宋体" w:eastAsia="宋体" w:cs="宋体"/>
                <w:b/>
                <w:bCs/>
                <w:color w:val="auto"/>
                <w:sz w:val="21"/>
                <w:szCs w:val="21"/>
                <w:highlight w:val="none"/>
                <w:lang w:eastAsia="zh-CN"/>
              </w:rPr>
              <w:t>、</w:t>
            </w:r>
            <w:r>
              <w:rPr>
                <w:rFonts w:hint="eastAsia" w:ascii="宋体" w:hAnsi="宋体" w:eastAsia="宋体" w:cs="宋体"/>
                <w:b/>
                <w:color w:val="auto"/>
                <w:sz w:val="21"/>
                <w:szCs w:val="21"/>
                <w:highlight w:val="none"/>
              </w:rPr>
              <w:t>开标一览表</w:t>
            </w:r>
            <w:r>
              <w:rPr>
                <w:rFonts w:hint="eastAsia" w:ascii="宋体" w:hAnsi="宋体" w:eastAsia="宋体" w:cs="宋体"/>
                <w:b/>
                <w:bCs/>
                <w:color w:val="auto"/>
                <w:sz w:val="21"/>
                <w:szCs w:val="21"/>
                <w:highlight w:val="none"/>
                <w:lang w:eastAsia="zh-CN"/>
              </w:rPr>
              <w:t>：</w:t>
            </w:r>
          </w:p>
          <w:p w14:paraId="04FC06E2">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★投标报价表</w:t>
            </w:r>
          </w:p>
        </w:tc>
      </w:tr>
      <w:tr w14:paraId="020DA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Merge w:val="continue"/>
            <w:vAlign w:val="center"/>
          </w:tcPr>
          <w:p w14:paraId="17882F0A">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b/>
                <w:color w:val="auto"/>
                <w:sz w:val="21"/>
                <w:szCs w:val="21"/>
                <w:highlight w:val="none"/>
              </w:rPr>
            </w:pPr>
          </w:p>
        </w:tc>
        <w:tc>
          <w:tcPr>
            <w:tcW w:w="1865" w:type="dxa"/>
            <w:vMerge w:val="continue"/>
            <w:vAlign w:val="center"/>
          </w:tcPr>
          <w:p w14:paraId="60396772">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b/>
                <w:color w:val="auto"/>
                <w:sz w:val="21"/>
                <w:szCs w:val="21"/>
                <w:highlight w:val="none"/>
              </w:rPr>
            </w:pPr>
          </w:p>
        </w:tc>
        <w:tc>
          <w:tcPr>
            <w:tcW w:w="981" w:type="dxa"/>
            <w:vMerge w:val="continue"/>
            <w:vAlign w:val="center"/>
          </w:tcPr>
          <w:p w14:paraId="1590EA72">
            <w:pPr>
              <w:keepNext w:val="0"/>
              <w:keepLines w:val="0"/>
              <w:pageBreakBefore w:val="0"/>
              <w:kinsoku/>
              <w:wordWrap/>
              <w:overflowPunct/>
              <w:topLinePunct/>
              <w:autoSpaceDE w:val="0"/>
              <w:autoSpaceDN w:val="0"/>
              <w:bidi w:val="0"/>
              <w:adjustRightInd w:val="0"/>
              <w:snapToGrid w:val="0"/>
              <w:spacing w:after="0" w:line="440" w:lineRule="exact"/>
              <w:textAlignment w:val="auto"/>
              <w:rPr>
                <w:rFonts w:hint="eastAsia" w:ascii="宋体" w:hAnsi="宋体" w:eastAsia="宋体" w:cs="宋体"/>
                <w:b/>
                <w:bCs/>
                <w:color w:val="auto"/>
                <w:sz w:val="21"/>
                <w:szCs w:val="21"/>
                <w:highlight w:val="none"/>
              </w:rPr>
            </w:pPr>
          </w:p>
        </w:tc>
        <w:tc>
          <w:tcPr>
            <w:tcW w:w="5378" w:type="dxa"/>
            <w:vAlign w:val="center"/>
          </w:tcPr>
          <w:p w14:paraId="15400B14">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三</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其他文件及资料</w:t>
            </w:r>
            <w:r>
              <w:rPr>
                <w:rFonts w:hint="eastAsia" w:ascii="宋体" w:hAnsi="宋体" w:eastAsia="宋体" w:cs="宋体"/>
                <w:b/>
                <w:bCs/>
                <w:color w:val="auto"/>
                <w:sz w:val="21"/>
                <w:szCs w:val="21"/>
                <w:highlight w:val="none"/>
                <w:lang w:eastAsia="zh-CN"/>
              </w:rPr>
              <w:t>：</w:t>
            </w:r>
          </w:p>
          <w:p w14:paraId="69958D6F">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1.★投标函；</w:t>
            </w:r>
          </w:p>
          <w:p w14:paraId="485919D7">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2.★授权委托书；</w:t>
            </w:r>
          </w:p>
          <w:p w14:paraId="64E00243">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3.★商务条款偏离表；</w:t>
            </w:r>
          </w:p>
          <w:p w14:paraId="17CD92CA">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.智能化管理</w:t>
            </w:r>
          </w:p>
          <w:p w14:paraId="0C3500D6">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技术力量</w:t>
            </w:r>
            <w:r>
              <w:rPr>
                <w:rFonts w:hint="eastAsia" w:ascii="宋体" w:hAnsi="宋体" w:cs="宋体"/>
                <w:color w:val="auto"/>
                <w:sz w:val="21"/>
                <w:szCs w:val="21"/>
                <w:highlight w:val="none"/>
                <w:lang w:val="en-US" w:eastAsia="zh-CN"/>
              </w:rPr>
              <w:t>；</w:t>
            </w:r>
          </w:p>
          <w:p w14:paraId="4987B171">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类似项目业绩表</w:t>
            </w:r>
            <w:r>
              <w:rPr>
                <w:rFonts w:hint="eastAsia" w:ascii="宋体" w:hAnsi="宋体" w:cs="宋体"/>
                <w:color w:val="auto"/>
                <w:sz w:val="21"/>
                <w:szCs w:val="21"/>
                <w:highlight w:val="none"/>
                <w:lang w:val="en-US" w:eastAsia="zh-CN"/>
              </w:rPr>
              <w:t>；</w:t>
            </w:r>
          </w:p>
        </w:tc>
      </w:tr>
      <w:tr w14:paraId="7CD7B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Merge w:val="continue"/>
            <w:vAlign w:val="center"/>
          </w:tcPr>
          <w:p w14:paraId="0CCA314C">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p>
        </w:tc>
        <w:tc>
          <w:tcPr>
            <w:tcW w:w="1865" w:type="dxa"/>
            <w:vMerge w:val="continue"/>
            <w:vAlign w:val="center"/>
          </w:tcPr>
          <w:p w14:paraId="13EE3803">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p>
        </w:tc>
        <w:tc>
          <w:tcPr>
            <w:tcW w:w="981" w:type="dxa"/>
            <w:vAlign w:val="center"/>
          </w:tcPr>
          <w:p w14:paraId="032F7E99">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w:t>
            </w:r>
          </w:p>
          <w:p w14:paraId="5AB197AB">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部分</w:t>
            </w:r>
          </w:p>
        </w:tc>
        <w:tc>
          <w:tcPr>
            <w:tcW w:w="5378" w:type="dxa"/>
            <w:vAlign w:val="center"/>
          </w:tcPr>
          <w:p w14:paraId="271CEA9A">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本项目需求理解和响应；</w:t>
            </w:r>
          </w:p>
          <w:p w14:paraId="018287A8">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物业服务工作总体方案；</w:t>
            </w:r>
          </w:p>
          <w:p w14:paraId="50B333F8">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3.创新服务方案；</w:t>
            </w:r>
          </w:p>
          <w:p w14:paraId="72232249">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公共综合服务方案；</w:t>
            </w:r>
          </w:p>
          <w:p w14:paraId="1BA7F166">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特约服务方案；</w:t>
            </w:r>
          </w:p>
          <w:p w14:paraId="367250A7">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项目团队人员管理方案</w:t>
            </w:r>
            <w:r>
              <w:rPr>
                <w:rFonts w:hint="eastAsia" w:ascii="宋体" w:hAnsi="宋体" w:cs="宋体"/>
                <w:color w:val="auto"/>
                <w:sz w:val="21"/>
                <w:szCs w:val="21"/>
                <w:highlight w:val="none"/>
                <w:lang w:val="en-US" w:eastAsia="zh-CN"/>
              </w:rPr>
              <w:t>；</w:t>
            </w:r>
          </w:p>
          <w:p w14:paraId="4474C009">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.风险管控方案</w:t>
            </w:r>
            <w:r>
              <w:rPr>
                <w:rFonts w:hint="eastAsia" w:ascii="宋体" w:hAnsi="宋体" w:cs="宋体"/>
                <w:color w:val="auto"/>
                <w:sz w:val="21"/>
                <w:szCs w:val="21"/>
                <w:highlight w:val="none"/>
                <w:lang w:val="en-US" w:eastAsia="zh-CN"/>
              </w:rPr>
              <w:t>；</w:t>
            </w:r>
          </w:p>
          <w:p w14:paraId="23CCAC95">
            <w:pPr>
              <w:keepNext w:val="0"/>
              <w:keepLines w:val="0"/>
              <w:pageBreakBefore w:val="0"/>
              <w:widowControl/>
              <w:tabs>
                <w:tab w:val="left" w:pos="0"/>
                <w:tab w:val="left" w:pos="220"/>
              </w:tabs>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构成投标文件的其它资料</w:t>
            </w:r>
            <w:r>
              <w:rPr>
                <w:rFonts w:hint="eastAsia" w:ascii="宋体" w:hAnsi="宋体" w:cs="宋体"/>
                <w:color w:val="auto"/>
                <w:sz w:val="21"/>
                <w:szCs w:val="21"/>
                <w:highlight w:val="none"/>
                <w:lang w:val="en-US" w:eastAsia="zh-CN"/>
              </w:rPr>
              <w:t>。</w:t>
            </w:r>
          </w:p>
        </w:tc>
      </w:tr>
      <w:tr w14:paraId="3FF58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Merge w:val="continue"/>
            <w:vAlign w:val="center"/>
          </w:tcPr>
          <w:p w14:paraId="088DFB6A">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b/>
                <w:color w:val="auto"/>
                <w:sz w:val="21"/>
                <w:szCs w:val="21"/>
                <w:highlight w:val="none"/>
              </w:rPr>
            </w:pPr>
          </w:p>
        </w:tc>
        <w:tc>
          <w:tcPr>
            <w:tcW w:w="1865" w:type="dxa"/>
            <w:vMerge w:val="continue"/>
            <w:vAlign w:val="center"/>
          </w:tcPr>
          <w:p w14:paraId="5B87F025">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b/>
                <w:color w:val="auto"/>
                <w:sz w:val="21"/>
                <w:szCs w:val="21"/>
                <w:highlight w:val="none"/>
              </w:rPr>
            </w:pPr>
          </w:p>
        </w:tc>
        <w:tc>
          <w:tcPr>
            <w:tcW w:w="6359" w:type="dxa"/>
            <w:gridSpan w:val="2"/>
            <w:vAlign w:val="center"/>
          </w:tcPr>
          <w:p w14:paraId="6D92A7ED">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以上带★的文件及资料未提供或提供的无效</w:t>
            </w:r>
            <w:r>
              <w:rPr>
                <w:rFonts w:hint="eastAsia" w:ascii="宋体" w:hAnsi="宋体" w:cs="宋体"/>
                <w:b/>
                <w:color w:val="auto"/>
                <w:sz w:val="21"/>
                <w:szCs w:val="21"/>
                <w:highlight w:val="none"/>
                <w:lang w:eastAsia="zh-CN"/>
              </w:rPr>
              <w:t>，</w:t>
            </w:r>
            <w:r>
              <w:rPr>
                <w:rFonts w:hint="eastAsia" w:ascii="宋体" w:hAnsi="宋体" w:eastAsia="宋体" w:cs="宋体"/>
                <w:b/>
                <w:color w:val="auto"/>
                <w:sz w:val="21"/>
                <w:szCs w:val="21"/>
                <w:highlight w:val="none"/>
              </w:rPr>
              <w:t>则投标无效。</w:t>
            </w:r>
          </w:p>
        </w:tc>
      </w:tr>
      <w:tr w14:paraId="4602F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Align w:val="center"/>
          </w:tcPr>
          <w:p w14:paraId="77EE0130">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p>
        </w:tc>
        <w:tc>
          <w:tcPr>
            <w:tcW w:w="1865" w:type="dxa"/>
            <w:vAlign w:val="center"/>
          </w:tcPr>
          <w:p w14:paraId="3FEDF2FD">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359" w:type="dxa"/>
            <w:gridSpan w:val="2"/>
            <w:vAlign w:val="center"/>
          </w:tcPr>
          <w:p w14:paraId="697F8D38">
            <w:pPr>
              <w:keepNext w:val="0"/>
              <w:keepLines w:val="0"/>
              <w:pageBreakBefore w:val="0"/>
              <w:kinsoku/>
              <w:wordWrap/>
              <w:overflowPunct/>
              <w:topLinePunct/>
              <w:autoSpaceDE w:val="0"/>
              <w:autoSpaceDN w:val="0"/>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从提交投标文件的截止之日起计算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90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日历日。</w:t>
            </w:r>
          </w:p>
        </w:tc>
      </w:tr>
      <w:tr w14:paraId="2460B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Align w:val="center"/>
          </w:tcPr>
          <w:p w14:paraId="5FCB0514">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p>
        </w:tc>
        <w:tc>
          <w:tcPr>
            <w:tcW w:w="1865" w:type="dxa"/>
            <w:vAlign w:val="center"/>
          </w:tcPr>
          <w:p w14:paraId="4F1E09E8">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提交投标文件方式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截止时间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开标时间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地点</w:t>
            </w:r>
          </w:p>
        </w:tc>
        <w:tc>
          <w:tcPr>
            <w:tcW w:w="6359" w:type="dxa"/>
            <w:gridSpan w:val="2"/>
            <w:vAlign w:val="center"/>
          </w:tcPr>
          <w:p w14:paraId="598CAC5C">
            <w:pPr>
              <w:keepNext w:val="0"/>
              <w:keepLines w:val="0"/>
              <w:pageBreakBefore w:val="0"/>
              <w:kinsoku/>
              <w:wordWrap/>
              <w:overflowPunct/>
              <w:topLinePunct/>
              <w:autoSpaceDE w:val="0"/>
              <w:autoSpaceDN w:val="0"/>
              <w:bidi w:val="0"/>
              <w:adjustRightInd w:val="0"/>
              <w:snapToGrid w:val="0"/>
              <w:spacing w:after="0" w:line="440" w:lineRule="exact"/>
              <w:textAlignment w:val="auto"/>
              <w:rPr>
                <w:rFonts w:hint="eastAsia" w:ascii="宋体" w:hAnsi="宋体" w:eastAsia="宋体" w:cs="宋体"/>
                <w:b/>
                <w:color w:val="auto"/>
                <w:sz w:val="21"/>
                <w:szCs w:val="21"/>
                <w:highlight w:val="none"/>
              </w:rPr>
            </w:pPr>
            <w:r>
              <w:rPr>
                <w:rFonts w:hint="eastAsia" w:ascii="宋体" w:hAnsi="宋体" w:eastAsia="宋体" w:cs="宋体"/>
                <w:b w:val="0"/>
                <w:bCs/>
                <w:color w:val="auto"/>
                <w:sz w:val="21"/>
                <w:szCs w:val="21"/>
                <w:highlight w:val="none"/>
              </w:rPr>
              <w:t>详见第一章</w:t>
            </w:r>
            <w:r>
              <w:rPr>
                <w:rFonts w:hint="eastAsia" w:ascii="宋体" w:hAnsi="宋体" w:eastAsia="宋体" w:cs="宋体"/>
                <w:b w:val="0"/>
                <w:bCs/>
                <w:color w:val="auto"/>
                <w:sz w:val="21"/>
                <w:szCs w:val="21"/>
                <w:highlight w:val="none"/>
                <w:lang w:val="en-US" w:eastAsia="zh-CN"/>
              </w:rPr>
              <w:t xml:space="preserve"> 公开招标</w:t>
            </w:r>
            <w:r>
              <w:rPr>
                <w:rFonts w:hint="eastAsia" w:ascii="宋体" w:hAnsi="宋体" w:eastAsia="宋体" w:cs="宋体"/>
                <w:b w:val="0"/>
                <w:bCs/>
                <w:color w:val="auto"/>
                <w:sz w:val="21"/>
                <w:szCs w:val="21"/>
                <w:highlight w:val="none"/>
              </w:rPr>
              <w:t>公告</w:t>
            </w:r>
            <w:r>
              <w:rPr>
                <w:rFonts w:hint="eastAsia" w:ascii="宋体" w:hAnsi="宋体" w:eastAsia="宋体" w:cs="宋体"/>
                <w:b w:val="0"/>
                <w:bCs/>
                <w:color w:val="auto"/>
                <w:sz w:val="21"/>
                <w:szCs w:val="21"/>
                <w:highlight w:val="none"/>
                <w:lang w:eastAsia="zh-CN"/>
              </w:rPr>
              <w:t>“四、提交投标文件时间、截止时间和地点”</w:t>
            </w:r>
          </w:p>
        </w:tc>
      </w:tr>
      <w:tr w14:paraId="7D9B3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Align w:val="center"/>
          </w:tcPr>
          <w:p w14:paraId="0F367AE4">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p>
        </w:tc>
        <w:tc>
          <w:tcPr>
            <w:tcW w:w="1865" w:type="dxa"/>
            <w:vAlign w:val="center"/>
          </w:tcPr>
          <w:p w14:paraId="261E46D8">
            <w:pPr>
              <w:keepNext w:val="0"/>
              <w:keepLines w:val="0"/>
              <w:pageBreakBefore w:val="0"/>
              <w:tabs>
                <w:tab w:val="left" w:pos="1875"/>
              </w:tabs>
              <w:kinsoku/>
              <w:wordWrap/>
              <w:overflowPunct/>
              <w:bidi w:val="0"/>
              <w:adjustRightInd w:val="0"/>
              <w:snapToGrid w:val="0"/>
              <w:spacing w:after="0" w:line="4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投标保证金</w:t>
            </w:r>
          </w:p>
        </w:tc>
        <w:tc>
          <w:tcPr>
            <w:tcW w:w="6359" w:type="dxa"/>
            <w:gridSpan w:val="2"/>
            <w:vAlign w:val="center"/>
          </w:tcPr>
          <w:p w14:paraId="3DCE911F">
            <w:pPr>
              <w:keepNext w:val="0"/>
              <w:keepLines w:val="0"/>
              <w:pageBreakBefore w:val="0"/>
              <w:kinsoku/>
              <w:wordWrap/>
              <w:overflowPunct/>
              <w:topLinePunct/>
              <w:autoSpaceDE w:val="0"/>
              <w:autoSpaceDN w:val="0"/>
              <w:bidi w:val="0"/>
              <w:adjustRightInd w:val="0"/>
              <w:snapToGrid w:val="0"/>
              <w:spacing w:after="0" w:line="440" w:lineRule="exac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不要求提供</w:t>
            </w:r>
          </w:p>
        </w:tc>
      </w:tr>
      <w:tr w14:paraId="23FAD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Align w:val="center"/>
          </w:tcPr>
          <w:p w14:paraId="51E98D32">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w:t>
            </w:r>
          </w:p>
        </w:tc>
        <w:tc>
          <w:tcPr>
            <w:tcW w:w="1865" w:type="dxa"/>
            <w:vAlign w:val="center"/>
          </w:tcPr>
          <w:p w14:paraId="6CCEF978">
            <w:pPr>
              <w:keepNext w:val="0"/>
              <w:keepLines w:val="0"/>
              <w:pageBreakBefore w:val="0"/>
              <w:tabs>
                <w:tab w:val="left" w:pos="1875"/>
              </w:tabs>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不予退还投标保证金的情形</w:t>
            </w:r>
          </w:p>
        </w:tc>
        <w:tc>
          <w:tcPr>
            <w:tcW w:w="6359" w:type="dxa"/>
            <w:gridSpan w:val="2"/>
            <w:vAlign w:val="center"/>
          </w:tcPr>
          <w:p w14:paraId="0ADFBF77">
            <w:pPr>
              <w:keepNext w:val="0"/>
              <w:keepLines w:val="0"/>
              <w:pageBreakBefore w:val="0"/>
              <w:kinsoku/>
              <w:wordWrap/>
              <w:overflowPunct/>
              <w:topLinePunct/>
              <w:autoSpaceDE w:val="0"/>
              <w:autoSpaceDN w:val="0"/>
              <w:bidi w:val="0"/>
              <w:adjustRightInd w:val="0"/>
              <w:snapToGrid w:val="0"/>
              <w:spacing w:after="0"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有下列情形之一的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投标保证金将不予退还</w:t>
            </w:r>
            <w:r>
              <w:rPr>
                <w:rFonts w:hint="eastAsia" w:ascii="宋体" w:hAnsi="宋体" w:eastAsia="宋体" w:cs="宋体"/>
                <w:color w:val="auto"/>
                <w:sz w:val="21"/>
                <w:szCs w:val="21"/>
                <w:highlight w:val="none"/>
                <w:lang w:eastAsia="zh-CN"/>
              </w:rPr>
              <w:t>：</w:t>
            </w:r>
          </w:p>
          <w:p w14:paraId="5CFE3996">
            <w:pPr>
              <w:keepNext w:val="0"/>
              <w:keepLines w:val="0"/>
              <w:pageBreakBefore w:val="0"/>
              <w:kinsoku/>
              <w:wordWrap/>
              <w:overflowPunct/>
              <w:topLinePunct/>
              <w:autoSpaceDE w:val="0"/>
              <w:autoSpaceDN w:val="0"/>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（1）投标人串通投标或有视为串通投标情形之一的；</w:t>
            </w:r>
          </w:p>
          <w:p w14:paraId="15FE1FEE">
            <w:pPr>
              <w:keepNext w:val="0"/>
              <w:keepLines w:val="0"/>
              <w:pageBreakBefore w:val="0"/>
              <w:kinsoku/>
              <w:wordWrap/>
              <w:overflowPunct/>
              <w:topLinePunct/>
              <w:autoSpaceDE w:val="0"/>
              <w:autoSpaceDN w:val="0"/>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（2）投标人提供虚假材料；</w:t>
            </w:r>
          </w:p>
          <w:p w14:paraId="601FBEA9">
            <w:pPr>
              <w:keepNext w:val="0"/>
              <w:keepLines w:val="0"/>
              <w:pageBreakBefore w:val="0"/>
              <w:kinsoku/>
              <w:wordWrap/>
              <w:overflowPunct/>
              <w:topLinePunct/>
              <w:autoSpaceDE w:val="0"/>
              <w:autoSpaceDN w:val="0"/>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（3）投标人采取不正当手段诋毁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排挤其他投标人；</w:t>
            </w:r>
          </w:p>
          <w:p w14:paraId="5876511E">
            <w:pPr>
              <w:keepNext w:val="0"/>
              <w:keepLines w:val="0"/>
              <w:pageBreakBefore w:val="0"/>
              <w:kinsoku/>
              <w:wordWrap/>
              <w:overflowPunct/>
              <w:topLinePunct/>
              <w:autoSpaceDE w:val="0"/>
              <w:autoSpaceDN w:val="0"/>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（4）投标截止时间后</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投标人在投标有效期内撤销投标文件；</w:t>
            </w:r>
          </w:p>
          <w:p w14:paraId="04DF558F">
            <w:pPr>
              <w:keepNext w:val="0"/>
              <w:keepLines w:val="0"/>
              <w:pageBreakBefore w:val="0"/>
              <w:kinsoku/>
              <w:wordWrap/>
              <w:overflowPunct/>
              <w:topLinePunct/>
              <w:autoSpaceDE w:val="0"/>
              <w:autoSpaceDN w:val="0"/>
              <w:bidi w:val="0"/>
              <w:adjustRightInd w:val="0"/>
              <w:snapToGrid w:val="0"/>
              <w:spacing w:after="0"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（5）中标人有下列情形之一的</w:t>
            </w:r>
            <w:r>
              <w:rPr>
                <w:rFonts w:hint="eastAsia" w:ascii="宋体" w:hAnsi="宋体" w:eastAsia="宋体" w:cs="宋体"/>
                <w:color w:val="auto"/>
                <w:sz w:val="21"/>
                <w:szCs w:val="21"/>
                <w:highlight w:val="none"/>
                <w:lang w:eastAsia="zh-CN"/>
              </w:rPr>
              <w:t>：</w:t>
            </w:r>
          </w:p>
          <w:p w14:paraId="532196C1">
            <w:pPr>
              <w:keepNext w:val="0"/>
              <w:keepLines w:val="0"/>
              <w:pageBreakBefore w:val="0"/>
              <w:kinsoku/>
              <w:wordWrap/>
              <w:overflowPunct/>
              <w:topLinePunct/>
              <w:autoSpaceDE w:val="0"/>
              <w:autoSpaceDN w:val="0"/>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a.除不可抗力外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因中标人自身原因未在中标通知书要求的期限内与采购人签订政府采购合同；</w:t>
            </w:r>
          </w:p>
          <w:p w14:paraId="08BB6F77">
            <w:pPr>
              <w:keepNext w:val="0"/>
              <w:keepLines w:val="0"/>
              <w:pageBreakBefore w:val="0"/>
              <w:kinsoku/>
              <w:wordWrap/>
              <w:overflowPunct/>
              <w:topLinePunct/>
              <w:autoSpaceDE w:val="0"/>
              <w:autoSpaceDN w:val="0"/>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b.未按照招标文件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投标文件的约定签订政府采购合同或提交履约保证金。</w:t>
            </w:r>
          </w:p>
          <w:p w14:paraId="5451FE51">
            <w:pPr>
              <w:keepNext w:val="0"/>
              <w:keepLines w:val="0"/>
              <w:pageBreakBefore w:val="0"/>
              <w:kinsoku/>
              <w:wordWrap/>
              <w:overflowPunct/>
              <w:topLinePunct/>
              <w:autoSpaceDE w:val="0"/>
              <w:autoSpaceDN w:val="0"/>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若上述投标保证金不予退还情形给采购人（采购代理机构）造成损失</w:t>
            </w:r>
            <w:bookmarkStart w:id="24" w:name="_Toc24394_WPSOffice_Level2"/>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则投标人还</w:t>
            </w:r>
            <w:bookmarkEnd w:id="24"/>
            <w:r>
              <w:rPr>
                <w:rFonts w:hint="eastAsia" w:ascii="宋体" w:hAnsi="宋体" w:eastAsia="宋体" w:cs="宋体"/>
                <w:color w:val="auto"/>
                <w:sz w:val="21"/>
                <w:szCs w:val="21"/>
                <w:highlight w:val="none"/>
              </w:rPr>
              <w:t>要承担相应的赔偿责任。</w:t>
            </w:r>
          </w:p>
        </w:tc>
      </w:tr>
      <w:tr w14:paraId="15D6E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Align w:val="center"/>
          </w:tcPr>
          <w:p w14:paraId="57B3A7D3">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w:t>
            </w:r>
          </w:p>
        </w:tc>
        <w:tc>
          <w:tcPr>
            <w:tcW w:w="1865" w:type="dxa"/>
            <w:vAlign w:val="center"/>
          </w:tcPr>
          <w:p w14:paraId="3152AAD6">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信用记录审查</w:t>
            </w:r>
          </w:p>
        </w:tc>
        <w:tc>
          <w:tcPr>
            <w:tcW w:w="6359" w:type="dxa"/>
            <w:gridSpan w:val="2"/>
            <w:vAlign w:val="center"/>
          </w:tcPr>
          <w:p w14:paraId="301D003C">
            <w:pPr>
              <w:keepNext w:val="0"/>
              <w:keepLines w:val="0"/>
              <w:pageBreakBefore w:val="0"/>
              <w:kinsoku/>
              <w:wordWrap/>
              <w:overflowPunct/>
              <w:topLinePunct/>
              <w:autoSpaceDE w:val="0"/>
              <w:autoSpaceDN w:val="0"/>
              <w:bidi w:val="0"/>
              <w:spacing w:after="0" w:line="440" w:lineRule="exact"/>
              <w:textAlignment w:val="auto"/>
              <w:rPr>
                <w:rFonts w:hint="eastAsia" w:ascii="宋体" w:hAnsi="宋体" w:eastAsia="宋体" w:cs="宋体"/>
                <w:snapToGrid w:val="0"/>
                <w:color w:val="auto"/>
                <w:sz w:val="21"/>
                <w:szCs w:val="21"/>
                <w:highlight w:val="none"/>
              </w:rPr>
            </w:pPr>
            <w:r>
              <w:rPr>
                <w:rFonts w:hint="eastAsia" w:ascii="宋体" w:hAnsi="宋体" w:eastAsia="宋体" w:cs="宋体"/>
                <w:color w:val="auto"/>
                <w:sz w:val="21"/>
                <w:szCs w:val="21"/>
                <w:highlight w:val="none"/>
              </w:rPr>
              <w:t>根据《财政部关于在政府采购活动中查询及使用信用记录有关问题的通知》（财库〔2016〕125号）规定</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采购代理机构将通过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信用中国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网站（www.creditchina.gov.cn）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中国政府采购网（</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"http://www.ccgp.gov.cn"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www.ccgp.gov.cn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对投标人截止到投标截止时间的信用记录进行审查</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对列入失信被执行人</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重大税收违法失信主体名单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政府采购严重违法失信行为记录名单及其他不符合《中华人民共和国政府采购法》第二十二条规定条件的投标人</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其投标将被拒绝。</w:t>
            </w:r>
          </w:p>
          <w:p w14:paraId="1FDFAF39">
            <w:pPr>
              <w:keepNext w:val="0"/>
              <w:keepLines w:val="0"/>
              <w:pageBreakBefore w:val="0"/>
              <w:kinsoku/>
              <w:wordWrap/>
              <w:overflowPunct/>
              <w:topLinePunct/>
              <w:autoSpaceDE w:val="0"/>
              <w:autoSpaceDN w:val="0"/>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本次查询的信用记录仅限于本项目使用</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查询结果将留存在采购档案中。</w:t>
            </w:r>
          </w:p>
          <w:p w14:paraId="7C34DC1B">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在上述指定网站不能查询信用信息的投标人</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应提供相关证明材料（原件加盖公章）。</w:t>
            </w:r>
          </w:p>
        </w:tc>
      </w:tr>
      <w:tr w14:paraId="1B444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Align w:val="center"/>
          </w:tcPr>
          <w:p w14:paraId="10F10C6E">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w:t>
            </w:r>
          </w:p>
        </w:tc>
        <w:tc>
          <w:tcPr>
            <w:tcW w:w="1865" w:type="dxa"/>
            <w:vAlign w:val="center"/>
          </w:tcPr>
          <w:p w14:paraId="38C49180">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支持中小型</w:t>
            </w:r>
          </w:p>
          <w:p w14:paraId="687853C2">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企业发展</w:t>
            </w:r>
          </w:p>
        </w:tc>
        <w:tc>
          <w:tcPr>
            <w:tcW w:w="6359" w:type="dxa"/>
            <w:gridSpan w:val="2"/>
            <w:vAlign w:val="center"/>
          </w:tcPr>
          <w:p w14:paraId="34E17F01">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根据《政府采购促进中小型企业发展管理办法》（财库〔2020〕46号）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鼓励中小企业参加本项目采购活动。</w:t>
            </w:r>
          </w:p>
          <w:p w14:paraId="4AC2D459">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在服务采购项目中</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满足服务由中小企业承接</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即提供服务的人员为中小企业依照《中华人民共和国劳动合同法》订立劳动合同的从业人员的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可享受中小企业扶持政策。</w:t>
            </w:r>
          </w:p>
          <w:p w14:paraId="6AE9C3A5">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本项目</w:t>
            </w:r>
            <w:r>
              <w:rPr>
                <w:rFonts w:hint="eastAsia" w:ascii="宋体" w:hAnsi="宋体" w:eastAsia="宋体" w:cs="宋体"/>
                <w:color w:val="auto"/>
                <w:sz w:val="21"/>
                <w:szCs w:val="21"/>
                <w:highlight w:val="none"/>
                <w:lang w:eastAsia="zh-CN"/>
              </w:rPr>
              <w:t>：</w:t>
            </w:r>
          </w:p>
          <w:p w14:paraId="0C192181">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专门面向中小企业采购项目。</w:t>
            </w:r>
          </w:p>
          <w:p w14:paraId="7B858C10">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□预留份额面向中小企业采购项目（说明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C55A057">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非专门面向中小企业采购项目。对小型和微型企业的投标价格给予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%的扣除</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用扣除后的价格参与评审。</w:t>
            </w:r>
          </w:p>
        </w:tc>
      </w:tr>
      <w:tr w14:paraId="0FF39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Align w:val="center"/>
          </w:tcPr>
          <w:p w14:paraId="32759D34">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p>
        </w:tc>
        <w:tc>
          <w:tcPr>
            <w:tcW w:w="1865" w:type="dxa"/>
            <w:vAlign w:val="center"/>
          </w:tcPr>
          <w:p w14:paraId="156314AA">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支持监狱企业发展</w:t>
            </w:r>
          </w:p>
        </w:tc>
        <w:tc>
          <w:tcPr>
            <w:tcW w:w="6359" w:type="dxa"/>
            <w:gridSpan w:val="2"/>
            <w:vAlign w:val="center"/>
          </w:tcPr>
          <w:p w14:paraId="50093D3F">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根据《关于政府采购支持监狱企业发展有关问题的通知》（财库〔2014〕68号）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监狱企业视同小型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微型企业</w:t>
            </w:r>
          </w:p>
        </w:tc>
      </w:tr>
      <w:tr w14:paraId="2E6AA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Align w:val="center"/>
          </w:tcPr>
          <w:p w14:paraId="2CB73B0F">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w:t>
            </w:r>
          </w:p>
        </w:tc>
        <w:tc>
          <w:tcPr>
            <w:tcW w:w="1865" w:type="dxa"/>
            <w:vAlign w:val="center"/>
          </w:tcPr>
          <w:p w14:paraId="390ABFE3">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促进残疾人</w:t>
            </w:r>
          </w:p>
          <w:p w14:paraId="01AFB4F4">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就业</w:t>
            </w:r>
          </w:p>
        </w:tc>
        <w:tc>
          <w:tcPr>
            <w:tcW w:w="6359" w:type="dxa"/>
            <w:gridSpan w:val="2"/>
            <w:vAlign w:val="center"/>
          </w:tcPr>
          <w:p w14:paraId="2A295D48">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根据《关于促进残疾人就业政府采购政策的通知》（财库〔2017〕141号）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残疾人福利性单位视同小型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微型企业</w:t>
            </w:r>
          </w:p>
        </w:tc>
      </w:tr>
      <w:tr w14:paraId="04347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Merge w:val="restart"/>
            <w:vAlign w:val="center"/>
          </w:tcPr>
          <w:p w14:paraId="7E229681">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w:t>
            </w:r>
          </w:p>
        </w:tc>
        <w:tc>
          <w:tcPr>
            <w:tcW w:w="1865" w:type="dxa"/>
            <w:vMerge w:val="restart"/>
            <w:vAlign w:val="center"/>
          </w:tcPr>
          <w:p w14:paraId="4390A5C4">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其他法律法规强制性规定或扶持政策</w:t>
            </w:r>
          </w:p>
        </w:tc>
        <w:tc>
          <w:tcPr>
            <w:tcW w:w="6359" w:type="dxa"/>
            <w:gridSpan w:val="2"/>
            <w:vAlign w:val="center"/>
          </w:tcPr>
          <w:p w14:paraId="203217FF">
            <w:pPr>
              <w:keepNext w:val="0"/>
              <w:keepLines w:val="0"/>
              <w:pageBreakBefore w:val="0"/>
              <w:kinsoku/>
              <w:wordWrap/>
              <w:overflowPunct/>
              <w:bidi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本项目中强制采购节能产品的货物名称</w:t>
            </w:r>
            <w:r>
              <w:rPr>
                <w:rFonts w:hint="eastAsia" w:ascii="宋体" w:hAnsi="宋体" w:eastAsia="宋体" w:cs="宋体"/>
                <w:color w:val="auto"/>
                <w:sz w:val="21"/>
                <w:szCs w:val="21"/>
                <w:highlight w:val="none"/>
                <w:lang w:eastAsia="zh-CN"/>
              </w:rPr>
              <w:t>：无</w:t>
            </w:r>
            <w:r>
              <w:rPr>
                <w:rFonts w:hint="eastAsia" w:ascii="宋体" w:hAnsi="宋体" w:eastAsia="宋体" w:cs="宋体"/>
                <w:color w:val="auto"/>
                <w:sz w:val="21"/>
                <w:szCs w:val="21"/>
                <w:highlight w:val="none"/>
              </w:rPr>
              <w:t>。</w:t>
            </w:r>
          </w:p>
          <w:p w14:paraId="12089DFF">
            <w:pPr>
              <w:keepNext w:val="0"/>
              <w:keepLines w:val="0"/>
              <w:pageBreakBefore w:val="0"/>
              <w:kinsoku/>
              <w:wordWrap/>
              <w:overflowPunct/>
              <w:topLinePunct/>
              <w:autoSpaceDE w:val="0"/>
              <w:autoSpaceDN w:val="0"/>
              <w:bidi w:val="0"/>
              <w:adjustRightInd w:val="0"/>
              <w:snapToGrid w:val="0"/>
              <w:spacing w:after="0" w:line="440" w:lineRule="exac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投标人所投上述产品必须具有节能产品认证证书</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并提供依据国家确定的认证机构出具的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处于有效期之内的节能产品认证证书复印件</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否则投标无效。</w:t>
            </w:r>
          </w:p>
        </w:tc>
      </w:tr>
      <w:tr w14:paraId="3B779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Merge w:val="continue"/>
            <w:vAlign w:val="center"/>
          </w:tcPr>
          <w:p w14:paraId="317BD717">
            <w:pPr>
              <w:keepNext w:val="0"/>
              <w:keepLines w:val="0"/>
              <w:pageBreakBefore w:val="0"/>
              <w:kinsoku/>
              <w:wordWrap/>
              <w:overflowPunct/>
              <w:topLinePunct/>
              <w:autoSpaceDE w:val="0"/>
              <w:autoSpaceDN w:val="0"/>
              <w:bidi w:val="0"/>
              <w:adjustRightInd w:val="0"/>
              <w:snapToGrid w:val="0"/>
              <w:spacing w:before="62" w:after="62" w:line="440" w:lineRule="exact"/>
              <w:jc w:val="center"/>
              <w:textAlignment w:val="auto"/>
              <w:rPr>
                <w:rFonts w:hint="eastAsia" w:ascii="宋体" w:hAnsi="宋体" w:eastAsia="宋体" w:cs="宋体"/>
                <w:color w:val="auto"/>
                <w:sz w:val="21"/>
                <w:szCs w:val="21"/>
                <w:highlight w:val="none"/>
              </w:rPr>
            </w:pPr>
          </w:p>
        </w:tc>
        <w:tc>
          <w:tcPr>
            <w:tcW w:w="1865" w:type="dxa"/>
            <w:vMerge w:val="continue"/>
            <w:vAlign w:val="center"/>
          </w:tcPr>
          <w:p w14:paraId="7686B432">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p>
        </w:tc>
        <w:tc>
          <w:tcPr>
            <w:tcW w:w="6359" w:type="dxa"/>
            <w:gridSpan w:val="2"/>
            <w:vAlign w:val="center"/>
          </w:tcPr>
          <w:p w14:paraId="67155839">
            <w:pPr>
              <w:keepNext w:val="0"/>
              <w:keepLines w:val="0"/>
              <w:pageBreakBefore w:val="0"/>
              <w:kinsoku/>
              <w:wordWrap/>
              <w:overflowPunct/>
              <w:bidi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本项目中采购信息安全产品的货物名称</w:t>
            </w:r>
            <w:r>
              <w:rPr>
                <w:rFonts w:hint="eastAsia" w:ascii="宋体" w:hAnsi="宋体" w:eastAsia="宋体" w:cs="宋体"/>
                <w:color w:val="auto"/>
                <w:sz w:val="21"/>
                <w:szCs w:val="21"/>
                <w:highlight w:val="none"/>
                <w:lang w:eastAsia="zh-CN"/>
              </w:rPr>
              <w:t>：无</w:t>
            </w:r>
            <w:r>
              <w:rPr>
                <w:rFonts w:hint="eastAsia" w:ascii="宋体" w:hAnsi="宋体" w:eastAsia="宋体" w:cs="宋体"/>
                <w:color w:val="auto"/>
                <w:sz w:val="21"/>
                <w:szCs w:val="21"/>
                <w:highlight w:val="none"/>
              </w:rPr>
              <w:t>。</w:t>
            </w:r>
          </w:p>
          <w:p w14:paraId="357252EB">
            <w:pPr>
              <w:keepNext w:val="0"/>
              <w:keepLines w:val="0"/>
              <w:pageBreakBefore w:val="0"/>
              <w:kinsoku/>
              <w:wordWrap/>
              <w:overflowPunct/>
              <w:bidi w:val="0"/>
              <w:spacing w:after="0" w:line="440" w:lineRule="exac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投标人所投上述产品需为国家认证的信息安全产品</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并提供由中国网络安全审查技术与认证中心（原中国信息安全认证中心）按国家标准认证颁发的有效认证证书复印件</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否则投标无效。</w:t>
            </w:r>
          </w:p>
        </w:tc>
      </w:tr>
      <w:tr w14:paraId="67586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Merge w:val="continue"/>
            <w:vAlign w:val="center"/>
          </w:tcPr>
          <w:p w14:paraId="36515695">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p>
        </w:tc>
        <w:tc>
          <w:tcPr>
            <w:tcW w:w="1865" w:type="dxa"/>
            <w:vMerge w:val="continue"/>
            <w:vAlign w:val="center"/>
          </w:tcPr>
          <w:p w14:paraId="1E9D70B2">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p>
        </w:tc>
        <w:tc>
          <w:tcPr>
            <w:tcW w:w="6359" w:type="dxa"/>
            <w:gridSpan w:val="2"/>
            <w:vAlign w:val="center"/>
          </w:tcPr>
          <w:p w14:paraId="4D86AA7E">
            <w:pPr>
              <w:keepNext w:val="0"/>
              <w:keepLines w:val="0"/>
              <w:pageBreakBefore w:val="0"/>
              <w:kinsoku/>
              <w:wordWrap/>
              <w:overflowPunct/>
              <w:topLinePunct/>
              <w:autoSpaceDE w:val="0"/>
              <w:autoSpaceDN w:val="0"/>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其他法律法规强制性规定或扶持政策</w:t>
            </w:r>
            <w:r>
              <w:rPr>
                <w:rFonts w:hint="eastAsia" w:ascii="宋体" w:hAnsi="宋体" w:eastAsia="宋体" w:cs="宋体"/>
                <w:color w:val="auto"/>
                <w:sz w:val="21"/>
                <w:szCs w:val="21"/>
                <w:highlight w:val="none"/>
                <w:lang w:eastAsia="zh-CN"/>
              </w:rPr>
              <w:t>：无</w:t>
            </w:r>
            <w:r>
              <w:rPr>
                <w:rFonts w:hint="eastAsia" w:ascii="宋体" w:hAnsi="宋体" w:eastAsia="宋体" w:cs="宋体"/>
                <w:color w:val="auto"/>
                <w:sz w:val="21"/>
                <w:szCs w:val="21"/>
                <w:highlight w:val="none"/>
              </w:rPr>
              <w:t>。</w:t>
            </w:r>
          </w:p>
        </w:tc>
      </w:tr>
      <w:tr w14:paraId="0577D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Align w:val="center"/>
          </w:tcPr>
          <w:p w14:paraId="7A6AB7B8">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w:t>
            </w:r>
          </w:p>
        </w:tc>
        <w:tc>
          <w:tcPr>
            <w:tcW w:w="1865" w:type="dxa"/>
            <w:vAlign w:val="center"/>
          </w:tcPr>
          <w:p w14:paraId="1E746126">
            <w:pPr>
              <w:keepNext w:val="0"/>
              <w:keepLines w:val="0"/>
              <w:pageBreakBefore w:val="0"/>
              <w:tabs>
                <w:tab w:val="left" w:pos="1875"/>
              </w:tabs>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评标方法</w:t>
            </w:r>
          </w:p>
          <w:p w14:paraId="1E6E6C77">
            <w:pPr>
              <w:keepNext w:val="0"/>
              <w:keepLines w:val="0"/>
              <w:pageBreakBefore w:val="0"/>
              <w:tabs>
                <w:tab w:val="left" w:pos="1875"/>
              </w:tabs>
              <w:kinsoku/>
              <w:wordWrap/>
              <w:overflowPunct/>
              <w:bidi w:val="0"/>
              <w:adjustRightInd w:val="0"/>
              <w:snapToGrid w:val="0"/>
              <w:spacing w:after="0" w:line="4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及分值</w:t>
            </w:r>
          </w:p>
        </w:tc>
        <w:tc>
          <w:tcPr>
            <w:tcW w:w="6359" w:type="dxa"/>
            <w:gridSpan w:val="2"/>
            <w:vAlign w:val="center"/>
          </w:tcPr>
          <w:p w14:paraId="4036ECCA">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本项目采用综合评分法</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其中价格分值为</w:t>
            </w:r>
            <w:r>
              <w:rPr>
                <w:rFonts w:hint="eastAsia" w:ascii="宋体" w:hAnsi="宋体" w:eastAsia="宋体" w:cs="宋体"/>
                <w:b w:val="0"/>
                <w:bCs w:val="0"/>
                <w:color w:val="auto"/>
                <w:sz w:val="21"/>
                <w:szCs w:val="21"/>
                <w:highlight w:val="none"/>
                <w:lang w:val="en-US" w:eastAsia="zh-CN"/>
              </w:rPr>
              <w:t>10</w:t>
            </w:r>
            <w:r>
              <w:rPr>
                <w:rFonts w:hint="eastAsia" w:ascii="宋体" w:hAnsi="宋体" w:eastAsia="宋体" w:cs="宋体"/>
                <w:b w:val="0"/>
                <w:bCs w:val="0"/>
                <w:color w:val="auto"/>
                <w:sz w:val="21"/>
                <w:szCs w:val="21"/>
                <w:highlight w:val="none"/>
              </w:rPr>
              <w:t>分</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履约能力及技术服务水平因素</w:t>
            </w:r>
            <w:r>
              <w:rPr>
                <w:rFonts w:hint="eastAsia" w:ascii="宋体" w:hAnsi="宋体" w:eastAsia="宋体" w:cs="宋体"/>
                <w:b w:val="0"/>
                <w:bCs w:val="0"/>
                <w:color w:val="auto"/>
                <w:sz w:val="21"/>
                <w:szCs w:val="21"/>
                <w:highlight w:val="none"/>
              </w:rPr>
              <w:t>分值为</w:t>
            </w:r>
            <w:r>
              <w:rPr>
                <w:rFonts w:hint="eastAsia" w:ascii="宋体" w:hAnsi="宋体" w:eastAsia="宋体" w:cs="宋体"/>
                <w:b w:val="0"/>
                <w:bCs w:val="0"/>
                <w:color w:val="auto"/>
                <w:sz w:val="21"/>
                <w:szCs w:val="21"/>
                <w:highlight w:val="none"/>
                <w:lang w:val="en-US" w:eastAsia="zh-CN"/>
              </w:rPr>
              <w:t>90</w:t>
            </w:r>
            <w:r>
              <w:rPr>
                <w:rFonts w:hint="eastAsia" w:ascii="宋体" w:hAnsi="宋体" w:eastAsia="宋体" w:cs="宋体"/>
                <w:b w:val="0"/>
                <w:bCs w:val="0"/>
                <w:color w:val="auto"/>
                <w:sz w:val="21"/>
                <w:szCs w:val="21"/>
                <w:highlight w:val="none"/>
              </w:rPr>
              <w:t>分</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详见招标文件第三章</w:t>
            </w:r>
            <w:r>
              <w:rPr>
                <w:rFonts w:hint="eastAsia" w:ascii="宋体" w:hAnsi="宋体" w:cs="宋体"/>
                <w:b w:val="0"/>
                <w:bCs w:val="0"/>
                <w:color w:val="auto"/>
                <w:sz w:val="21"/>
                <w:szCs w:val="21"/>
                <w:highlight w:val="none"/>
                <w:lang w:val="en-US" w:eastAsia="zh-CN"/>
              </w:rPr>
              <w:t xml:space="preserve"> 资格审查、评标方法及标准</w:t>
            </w:r>
            <w:r>
              <w:rPr>
                <w:rFonts w:hint="eastAsia" w:ascii="宋体" w:hAnsi="宋体" w:eastAsia="宋体" w:cs="宋体"/>
                <w:b w:val="0"/>
                <w:bCs w:val="0"/>
                <w:color w:val="auto"/>
                <w:sz w:val="21"/>
                <w:szCs w:val="21"/>
                <w:highlight w:val="none"/>
              </w:rPr>
              <w:t>。</w:t>
            </w:r>
          </w:p>
        </w:tc>
      </w:tr>
      <w:tr w14:paraId="31D6C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Align w:val="center"/>
          </w:tcPr>
          <w:p w14:paraId="2F314033">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w:t>
            </w:r>
          </w:p>
        </w:tc>
        <w:tc>
          <w:tcPr>
            <w:tcW w:w="1865" w:type="dxa"/>
            <w:vAlign w:val="center"/>
          </w:tcPr>
          <w:p w14:paraId="5BF32966">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履约保证金</w:t>
            </w:r>
          </w:p>
        </w:tc>
        <w:tc>
          <w:tcPr>
            <w:tcW w:w="6359" w:type="dxa"/>
            <w:gridSpan w:val="2"/>
            <w:vAlign w:val="center"/>
          </w:tcPr>
          <w:p w14:paraId="750BD1C2">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不要求提供</w:t>
            </w:r>
          </w:p>
        </w:tc>
      </w:tr>
      <w:tr w14:paraId="060CE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Align w:val="center"/>
          </w:tcPr>
          <w:p w14:paraId="58414FC0">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w:t>
            </w:r>
          </w:p>
        </w:tc>
        <w:tc>
          <w:tcPr>
            <w:tcW w:w="1865" w:type="dxa"/>
            <w:vAlign w:val="center"/>
          </w:tcPr>
          <w:p w14:paraId="50AEA6A3">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接收质疑的方式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部门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电话和通讯地址</w:t>
            </w:r>
          </w:p>
        </w:tc>
        <w:tc>
          <w:tcPr>
            <w:tcW w:w="6359" w:type="dxa"/>
            <w:gridSpan w:val="2"/>
            <w:vAlign w:val="center"/>
          </w:tcPr>
          <w:p w14:paraId="12158F92">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质疑联系方式</w:t>
            </w:r>
            <w:r>
              <w:rPr>
                <w:rFonts w:hint="eastAsia" w:ascii="宋体" w:hAnsi="宋体" w:eastAsia="宋体" w:cs="宋体"/>
                <w:b w:val="0"/>
                <w:bCs w:val="0"/>
                <w:color w:val="auto"/>
                <w:sz w:val="21"/>
                <w:szCs w:val="21"/>
                <w:highlight w:val="none"/>
                <w:lang w:eastAsia="zh-CN"/>
              </w:rPr>
              <w:t>：</w:t>
            </w:r>
          </w:p>
          <w:p w14:paraId="0E7CCE28">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（1）接收质疑函的方式</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书面形式</w:t>
            </w:r>
          </w:p>
          <w:p w14:paraId="7FF5D013">
            <w:pPr>
              <w:keepNext w:val="0"/>
              <w:keepLines w:val="0"/>
              <w:pageBreakBefore w:val="0"/>
              <w:kinsoku/>
              <w:wordWrap/>
              <w:overflowPunct/>
              <w:bidi w:val="0"/>
              <w:adjustRightInd w:val="0"/>
              <w:snapToGrid w:val="0"/>
              <w:spacing w:after="0" w:line="440" w:lineRule="exact"/>
              <w:jc w:val="left"/>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（2）联系部门</w:t>
            </w:r>
            <w:r>
              <w:rPr>
                <w:rFonts w:hint="eastAsia" w:ascii="宋体" w:hAnsi="宋体" w:eastAsia="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eastAsia="zh-CN"/>
              </w:rPr>
              <w:t>云南中咨海外咨询有限公司</w:t>
            </w:r>
            <w:r>
              <w:rPr>
                <w:rFonts w:hint="eastAsia" w:ascii="宋体" w:hAnsi="宋体" w:cs="宋体"/>
                <w:b w:val="0"/>
                <w:bCs w:val="0"/>
                <w:color w:val="auto"/>
                <w:sz w:val="21"/>
                <w:szCs w:val="21"/>
                <w:highlight w:val="none"/>
                <w:lang w:val="en-US" w:eastAsia="zh-CN"/>
              </w:rPr>
              <w:t>招标三部</w:t>
            </w:r>
          </w:p>
          <w:p w14:paraId="395807D5">
            <w:pPr>
              <w:keepNext w:val="0"/>
              <w:keepLines w:val="0"/>
              <w:pageBreakBefore w:val="0"/>
              <w:kinsoku/>
              <w:wordWrap/>
              <w:overflowPunct/>
              <w:bidi w:val="0"/>
              <w:adjustRightInd w:val="0"/>
              <w:snapToGrid w:val="0"/>
              <w:spacing w:after="0" w:line="440" w:lineRule="exact"/>
              <w:jc w:val="left"/>
              <w:textAlignment w:val="auto"/>
              <w:rPr>
                <w:rFonts w:hint="default"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rPr>
              <w:t>（3）联系电话</w:t>
            </w:r>
            <w:r>
              <w:rPr>
                <w:rFonts w:hint="eastAsia" w:ascii="宋体" w:hAnsi="宋体" w:eastAsia="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0871-68101522</w:t>
            </w:r>
          </w:p>
          <w:p w14:paraId="19B4B381">
            <w:pPr>
              <w:keepNext w:val="0"/>
              <w:keepLines w:val="0"/>
              <w:pageBreakBefore w:val="0"/>
              <w:kinsoku/>
              <w:wordWrap/>
              <w:overflowPunct/>
              <w:bidi w:val="0"/>
              <w:adjustRightInd w:val="0"/>
              <w:snapToGrid w:val="0"/>
              <w:spacing w:after="0" w:line="440" w:lineRule="exact"/>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（4）通讯地址</w:t>
            </w:r>
            <w:r>
              <w:rPr>
                <w:rFonts w:hint="eastAsia" w:ascii="宋体" w:hAnsi="宋体" w:eastAsia="宋体" w:cs="宋体"/>
                <w:b w:val="0"/>
                <w:bCs w:val="0"/>
                <w:color w:val="auto"/>
                <w:sz w:val="21"/>
                <w:szCs w:val="21"/>
                <w:highlight w:val="none"/>
                <w:lang w:eastAsia="zh-CN"/>
              </w:rPr>
              <w:t>：</w:t>
            </w:r>
            <w:r>
              <w:rPr>
                <w:rFonts w:hint="eastAsia" w:hAnsi="宋体" w:eastAsia="宋体" w:cs="宋体"/>
                <w:snapToGrid/>
                <w:color w:val="auto"/>
                <w:kern w:val="2"/>
                <w:szCs w:val="21"/>
                <w:highlight w:val="none"/>
              </w:rPr>
              <w:t>云</w:t>
            </w:r>
            <w:r>
              <w:rPr>
                <w:rFonts w:hint="eastAsia" w:ascii="宋体" w:hAnsi="宋体" w:eastAsia="宋体" w:cs="宋体"/>
                <w:color w:val="auto"/>
                <w:szCs w:val="21"/>
                <w:highlight w:val="none"/>
                <w:lang w:val="en-US" w:eastAsia="zh-CN"/>
              </w:rPr>
              <w:t>南省昆明市滇池度假区中天融域小区17幢1单元4楼</w:t>
            </w:r>
          </w:p>
          <w:p w14:paraId="64B01650">
            <w:pPr>
              <w:keepNext w:val="0"/>
              <w:keepLines w:val="0"/>
              <w:pageBreakBefore w:val="0"/>
              <w:kinsoku/>
              <w:wordWrap/>
              <w:overflowPunct/>
              <w:bidi w:val="0"/>
              <w:adjustRightInd w:val="0"/>
              <w:snapToGrid w:val="0"/>
              <w:spacing w:after="0" w:line="440" w:lineRule="exact"/>
              <w:jc w:val="left"/>
              <w:textAlignment w:val="auto"/>
              <w:rPr>
                <w:rFonts w:hint="default" w:ascii="宋体" w:hAnsi="宋体" w:eastAsia="宋体" w:cs="宋体"/>
                <w:color w:val="auto"/>
                <w:sz w:val="21"/>
                <w:szCs w:val="21"/>
                <w:highlight w:val="none"/>
                <w:lang w:val="en-US"/>
              </w:rPr>
            </w:pPr>
            <w:r>
              <w:rPr>
                <w:rFonts w:hint="eastAsia" w:ascii="宋体" w:hAnsi="宋体" w:eastAsia="宋体" w:cs="宋体"/>
                <w:b w:val="0"/>
                <w:bCs w:val="0"/>
                <w:color w:val="auto"/>
                <w:sz w:val="21"/>
                <w:szCs w:val="21"/>
                <w:highlight w:val="none"/>
              </w:rPr>
              <w:t>（5）电子邮箱</w:t>
            </w:r>
            <w:r>
              <w:rPr>
                <w:rFonts w:hint="eastAsia" w:ascii="宋体" w:hAnsi="宋体" w:eastAsia="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1803722475@qq.com</w:t>
            </w:r>
          </w:p>
        </w:tc>
      </w:tr>
      <w:tr w14:paraId="6098A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Align w:val="center"/>
          </w:tcPr>
          <w:p w14:paraId="744E0F74">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w:t>
            </w:r>
          </w:p>
        </w:tc>
        <w:tc>
          <w:tcPr>
            <w:tcW w:w="1865" w:type="dxa"/>
            <w:vAlign w:val="center"/>
          </w:tcPr>
          <w:p w14:paraId="336A85FB">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需提交的投标文件份数</w:t>
            </w:r>
          </w:p>
        </w:tc>
        <w:tc>
          <w:tcPr>
            <w:tcW w:w="6359" w:type="dxa"/>
            <w:gridSpan w:val="2"/>
            <w:vAlign w:val="center"/>
          </w:tcPr>
          <w:p w14:paraId="750A69B7">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需提交的</w:t>
            </w:r>
            <w:r>
              <w:rPr>
                <w:rFonts w:hint="eastAsia" w:ascii="宋体" w:hAnsi="宋体" w:eastAsia="宋体" w:cs="宋体"/>
                <w:b w:val="0"/>
                <w:bCs w:val="0"/>
                <w:color w:val="auto"/>
                <w:sz w:val="21"/>
                <w:szCs w:val="21"/>
                <w:highlight w:val="none"/>
                <w:lang w:eastAsia="zh-CN"/>
              </w:rPr>
              <w:t>投标文件</w:t>
            </w:r>
            <w:r>
              <w:rPr>
                <w:rFonts w:hint="eastAsia" w:ascii="宋体" w:hAnsi="宋体" w:eastAsia="宋体" w:cs="宋体"/>
                <w:b w:val="0"/>
                <w:bCs w:val="0"/>
                <w:color w:val="auto"/>
                <w:sz w:val="21"/>
                <w:szCs w:val="21"/>
                <w:highlight w:val="none"/>
              </w:rPr>
              <w:t>份数</w:t>
            </w:r>
            <w:r>
              <w:rPr>
                <w:rFonts w:hint="eastAsia" w:ascii="宋体" w:hAnsi="宋体" w:eastAsia="宋体" w:cs="宋体"/>
                <w:b w:val="0"/>
                <w:bCs w:val="0"/>
                <w:color w:val="auto"/>
                <w:sz w:val="21"/>
                <w:szCs w:val="21"/>
                <w:highlight w:val="none"/>
                <w:lang w:eastAsia="zh-CN"/>
              </w:rPr>
              <w:t>：</w:t>
            </w:r>
          </w:p>
          <w:p w14:paraId="5DF01AA6">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（1）正本壹份</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副本</w:t>
            </w:r>
            <w:r>
              <w:rPr>
                <w:rFonts w:hint="eastAsia" w:ascii="宋体" w:hAnsi="宋体" w:eastAsia="宋体" w:cs="宋体"/>
                <w:b w:val="0"/>
                <w:bCs w:val="0"/>
                <w:color w:val="auto"/>
                <w:sz w:val="21"/>
                <w:szCs w:val="21"/>
                <w:highlight w:val="none"/>
                <w:lang w:eastAsia="zh-CN"/>
              </w:rPr>
              <w:t>叁</w:t>
            </w:r>
            <w:r>
              <w:rPr>
                <w:rFonts w:hint="eastAsia" w:ascii="宋体" w:hAnsi="宋体" w:eastAsia="宋体" w:cs="宋体"/>
                <w:b w:val="0"/>
                <w:bCs w:val="0"/>
                <w:color w:val="auto"/>
                <w:sz w:val="21"/>
                <w:szCs w:val="21"/>
                <w:highlight w:val="none"/>
              </w:rPr>
              <w:t>份。</w:t>
            </w:r>
          </w:p>
          <w:p w14:paraId="15A2980D">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（2）电子文件壹份（</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 xml:space="preserve">扫描件 </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Word）。采用U盘刻录提交。</w:t>
            </w:r>
          </w:p>
          <w:p w14:paraId="0D0711BF">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2.投标文件的密封：</w:t>
            </w:r>
          </w:p>
          <w:p w14:paraId="3D73E5F2">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（1）投标人应将投标文件正、副本装入投标文件袋中加以密封</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并在封贴处盖密封章（或单位章）；投标文件应制作书脊</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书脊内容为“正本/副本+投标人全称+项目名称＋项</w:t>
            </w:r>
            <w:bookmarkStart w:id="25" w:name="_Toc9447_WPSOffice_Level2"/>
            <w:r>
              <w:rPr>
                <w:rFonts w:hint="eastAsia" w:ascii="宋体" w:hAnsi="宋体" w:eastAsia="宋体" w:cs="宋体"/>
                <w:b w:val="0"/>
                <w:bCs w:val="0"/>
                <w:color w:val="auto"/>
                <w:sz w:val="21"/>
                <w:szCs w:val="21"/>
                <w:highlight w:val="none"/>
                <w:lang w:val="en-US" w:eastAsia="zh-CN"/>
              </w:rPr>
              <w:t>目编号”。</w:t>
            </w:r>
          </w:p>
          <w:p w14:paraId="25AC675A">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（2</w:t>
            </w:r>
            <w:bookmarkEnd w:id="25"/>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eastAsia="zh-CN"/>
              </w:rPr>
              <w:t>投标文件的标记：投标文件袋的封面应注明项目名称、项目编号、所投标段号（若分标段时）、投标人名称、开标时间等内容。</w:t>
            </w:r>
          </w:p>
        </w:tc>
      </w:tr>
      <w:tr w14:paraId="1A2C7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Align w:val="center"/>
          </w:tcPr>
          <w:p w14:paraId="439174C6">
            <w:pPr>
              <w:keepNext w:val="0"/>
              <w:keepLines w:val="0"/>
              <w:pageBreakBefore w:val="0"/>
              <w:kinsoku/>
              <w:wordWrap/>
              <w:overflowPunct/>
              <w:bidi w:val="0"/>
              <w:adjustRightInd w:val="0"/>
              <w:snapToGrid w:val="0"/>
              <w:spacing w:after="0"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w:t>
            </w:r>
          </w:p>
        </w:tc>
        <w:tc>
          <w:tcPr>
            <w:tcW w:w="1865" w:type="dxa"/>
            <w:vAlign w:val="center"/>
          </w:tcPr>
          <w:p w14:paraId="596C14BB">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代理费用</w:t>
            </w:r>
          </w:p>
        </w:tc>
        <w:tc>
          <w:tcPr>
            <w:tcW w:w="6359" w:type="dxa"/>
            <w:gridSpan w:val="2"/>
            <w:vAlign w:val="center"/>
          </w:tcPr>
          <w:p w14:paraId="63D13BD4">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代理费用：</w:t>
            </w:r>
          </w:p>
          <w:p w14:paraId="2EFB2AC9">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（1）本项目代理费用由中标人支付。</w:t>
            </w:r>
          </w:p>
          <w:p w14:paraId="52667147">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（2）代理费用收取方式及标准：采购代理服务费参照国家计委[2002]1980号文件规定的服务类项目收费标准向中标人收取（计算基准为中标金额）</w:t>
            </w:r>
          </w:p>
        </w:tc>
      </w:tr>
      <w:tr w14:paraId="17518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vAlign w:val="center"/>
          </w:tcPr>
          <w:p w14:paraId="65BE02D9">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w:t>
            </w:r>
          </w:p>
        </w:tc>
        <w:tc>
          <w:tcPr>
            <w:tcW w:w="1865" w:type="dxa"/>
            <w:vAlign w:val="center"/>
          </w:tcPr>
          <w:p w14:paraId="440F8A18">
            <w:pPr>
              <w:keepNext w:val="0"/>
              <w:keepLines w:val="0"/>
              <w:pageBreakBefore w:val="0"/>
              <w:kinsoku/>
              <w:wordWrap/>
              <w:overflowPunct/>
              <w:topLinePunct/>
              <w:autoSpaceDE w:val="0"/>
              <w:autoSpaceDN w:val="0"/>
              <w:bidi w:val="0"/>
              <w:adjustRightInd w:val="0"/>
              <w:snapToGrid w:val="0"/>
              <w:spacing w:after="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其他补充事项</w:t>
            </w:r>
          </w:p>
        </w:tc>
        <w:tc>
          <w:tcPr>
            <w:tcW w:w="6359" w:type="dxa"/>
            <w:gridSpan w:val="2"/>
            <w:vAlign w:val="center"/>
          </w:tcPr>
          <w:p w14:paraId="7A6168C9">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提交投标文件时须按招标文件的要求</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携带下列证件（或资料）</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交由工作人员现场登记：</w:t>
            </w:r>
          </w:p>
          <w:p w14:paraId="08314DDA">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1.法人或者其他组织的营业执照等证明文件；若为自然人的</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提供自然人的身份证明；</w:t>
            </w:r>
          </w:p>
          <w:p w14:paraId="5B3BD7D0">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2.法定代表人参加投标时</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需提供：</w:t>
            </w:r>
          </w:p>
          <w:p w14:paraId="1E750D0E">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法定代表人居民身份证（原件）</w:t>
            </w:r>
          </w:p>
          <w:p w14:paraId="324A0431">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val="en-US" w:eastAsia="zh-CN"/>
              </w:rPr>
              <w:t>被授权投标代表投标时</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需提供：</w:t>
            </w:r>
          </w:p>
          <w:p w14:paraId="21135C20">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①法定代表人授权委托书</w:t>
            </w:r>
          </w:p>
          <w:p w14:paraId="713FE44B">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②被授权投标代表居民身份证（原件）</w:t>
            </w:r>
          </w:p>
          <w:p w14:paraId="6971BA06">
            <w:pPr>
              <w:keepNext w:val="0"/>
              <w:keepLines w:val="0"/>
              <w:pageBreakBefore w:val="0"/>
              <w:kinsoku/>
              <w:wordWrap/>
              <w:overflowPunct/>
              <w:bidi w:val="0"/>
              <w:adjustRightInd w:val="0"/>
              <w:snapToGrid w:val="0"/>
              <w:spacing w:after="0" w:line="440" w:lineRule="exac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工作人员将如实记录投标人提交的证件（或资料）情况。</w:t>
            </w:r>
          </w:p>
        </w:tc>
      </w:tr>
    </w:tbl>
    <w:p w14:paraId="7F3F8E46">
      <w:pPr>
        <w:spacing w:after="0" w:line="240" w:lineRule="auto"/>
        <w:rPr>
          <w:color w:val="auto"/>
          <w:highlight w:val="none"/>
        </w:rPr>
      </w:pPr>
    </w:p>
    <w:p w14:paraId="7910DF8E">
      <w:pPr>
        <w:rPr>
          <w:rFonts w:hint="default" w:ascii="Times New Roman" w:hAnsi="Times New Roman" w:eastAsia="黑体" w:cs="Times New Roman"/>
          <w:color w:val="auto"/>
          <w:sz w:val="21"/>
          <w:szCs w:val="21"/>
          <w:highlight w:val="none"/>
        </w:rPr>
      </w:pPr>
      <w:bookmarkStart w:id="26" w:name="_Toc132880274"/>
      <w:r>
        <w:rPr>
          <w:rFonts w:hint="default" w:ascii="Times New Roman" w:hAnsi="Times New Roman" w:eastAsia="黑体" w:cs="Times New Roman"/>
          <w:color w:val="auto"/>
          <w:sz w:val="21"/>
          <w:szCs w:val="21"/>
          <w:highlight w:val="none"/>
        </w:rPr>
        <w:br w:type="page"/>
      </w:r>
    </w:p>
    <w:p w14:paraId="75379484">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center"/>
        <w:textAlignment w:val="auto"/>
        <w:outlineLvl w:val="1"/>
        <w:rPr>
          <w:rFonts w:hint="eastAsia" w:asciiTheme="minorEastAsia" w:hAnsiTheme="minorEastAsia" w:eastAsiaTheme="minorEastAsia" w:cstheme="minorEastAsia"/>
          <w:b/>
          <w:bCs/>
          <w:color w:val="auto"/>
          <w:sz w:val="24"/>
          <w:szCs w:val="24"/>
          <w:highlight w:val="none"/>
        </w:rPr>
      </w:pPr>
      <w:bookmarkStart w:id="27" w:name="_Toc22254"/>
      <w:bookmarkStart w:id="28" w:name="_Toc29291_WPSOffice_Level2"/>
      <w:r>
        <w:rPr>
          <w:rFonts w:hint="eastAsia" w:asciiTheme="minorEastAsia" w:hAnsiTheme="minorEastAsia" w:eastAsiaTheme="minorEastAsia" w:cstheme="minorEastAsia"/>
          <w:b/>
          <w:bCs/>
          <w:color w:val="auto"/>
          <w:sz w:val="24"/>
          <w:szCs w:val="24"/>
          <w:highlight w:val="none"/>
        </w:rPr>
        <w:t>一</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总则</w:t>
      </w:r>
      <w:bookmarkEnd w:id="26"/>
      <w:bookmarkEnd w:id="27"/>
      <w:bookmarkEnd w:id="28"/>
    </w:p>
    <w:p w14:paraId="27F3E703">
      <w:pPr>
        <w:keepNext w:val="0"/>
        <w:keepLines w:val="0"/>
        <w:pageBreakBefore w:val="0"/>
        <w:numPr>
          <w:ilvl w:val="0"/>
          <w:numId w:val="0"/>
        </w:numPr>
        <w:kinsoku/>
        <w:wordWrap/>
        <w:topLinePunct/>
        <w:autoSpaceDE w:val="0"/>
        <w:autoSpaceDN w:val="0"/>
        <w:bidi w:val="0"/>
        <w:adjustRightInd w:val="0"/>
        <w:snapToGrid w:val="0"/>
        <w:spacing w:after="0" w:line="440" w:lineRule="exact"/>
        <w:ind w:firstLine="422" w:firstLineChars="200"/>
        <w:textAlignment w:val="auto"/>
        <w:outlineLvl w:val="2"/>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1.预算资金及来源</w:t>
      </w:r>
    </w:p>
    <w:p w14:paraId="20A33829">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1.1 本项目已经</w:t>
      </w:r>
      <w:r>
        <w:rPr>
          <w:rFonts w:hint="eastAsia" w:ascii="宋体" w:hAnsi="宋体" w:cs="宋体"/>
          <w:b w:val="0"/>
          <w:bCs w:val="0"/>
          <w:color w:val="auto"/>
          <w:sz w:val="21"/>
          <w:szCs w:val="21"/>
          <w:highlight w:val="none"/>
          <w:lang w:eastAsia="zh-CN"/>
        </w:rPr>
        <w:t>国家税务总局昆明市官渡区税务局</w:t>
      </w:r>
      <w:r>
        <w:rPr>
          <w:rFonts w:hint="eastAsia" w:ascii="宋体" w:hAnsi="宋体" w:eastAsia="宋体" w:cs="宋体"/>
          <w:b w:val="0"/>
          <w:bCs w:val="0"/>
          <w:color w:val="auto"/>
          <w:sz w:val="21"/>
          <w:szCs w:val="21"/>
          <w:highlight w:val="none"/>
        </w:rPr>
        <w:t>批准立项。</w:t>
      </w:r>
    </w:p>
    <w:p w14:paraId="436392BC">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1.2 本项目预算资金见投标人须知前附表</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已列入</w:t>
      </w:r>
      <w:r>
        <w:rPr>
          <w:rFonts w:hint="eastAsia" w:ascii="宋体" w:hAnsi="宋体" w:cs="宋体"/>
          <w:b w:val="0"/>
          <w:bCs w:val="0"/>
          <w:color w:val="auto"/>
          <w:sz w:val="21"/>
          <w:szCs w:val="21"/>
          <w:highlight w:val="none"/>
          <w:lang w:eastAsia="zh-CN"/>
        </w:rPr>
        <w:t>国家税务总局昆明市官渡区税务局</w:t>
      </w:r>
      <w:r>
        <w:rPr>
          <w:rFonts w:hint="eastAsia" w:ascii="宋体" w:hAnsi="宋体" w:eastAsia="宋体" w:cs="宋体"/>
          <w:b w:val="0"/>
          <w:bCs w:val="0"/>
          <w:color w:val="auto"/>
          <w:sz w:val="21"/>
          <w:szCs w:val="21"/>
          <w:highlight w:val="none"/>
        </w:rPr>
        <w:t>预算。</w:t>
      </w:r>
    </w:p>
    <w:p w14:paraId="3B91AB89">
      <w:pPr>
        <w:keepNext w:val="0"/>
        <w:keepLines w:val="0"/>
        <w:pageBreakBefore w:val="0"/>
        <w:numPr>
          <w:ilvl w:val="0"/>
          <w:numId w:val="0"/>
        </w:numPr>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2.合格的产品和服务</w:t>
      </w:r>
    </w:p>
    <w:p w14:paraId="4658D52D">
      <w:pPr>
        <w:keepNext w:val="0"/>
        <w:keepLines w:val="0"/>
        <w:pageBreakBefore w:val="0"/>
        <w:tabs>
          <w:tab w:val="left" w:pos="2160"/>
        </w:tabs>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 本项</w:t>
      </w:r>
      <w:bookmarkStart w:id="29" w:name="_Toc20597_WPSOffice_Level2"/>
      <w:r>
        <w:rPr>
          <w:rFonts w:hint="eastAsia" w:ascii="宋体" w:hAnsi="宋体" w:eastAsia="宋体" w:cs="宋体"/>
          <w:b w:val="0"/>
          <w:bCs w:val="0"/>
          <w:color w:val="auto"/>
          <w:sz w:val="21"/>
          <w:szCs w:val="21"/>
          <w:highlight w:val="none"/>
        </w:rPr>
        <w:t>目所涉及的所有</w:t>
      </w:r>
      <w:bookmarkEnd w:id="29"/>
      <w:r>
        <w:rPr>
          <w:rFonts w:hint="eastAsia" w:ascii="宋体" w:hAnsi="宋体" w:eastAsia="宋体" w:cs="宋体"/>
          <w:b w:val="0"/>
          <w:bCs w:val="0"/>
          <w:color w:val="auto"/>
          <w:sz w:val="21"/>
          <w:szCs w:val="21"/>
          <w:highlight w:val="none"/>
        </w:rPr>
        <w:t>产品和服务均应来自中国境内（指关境内）</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合同金额的支付也仅限于这些产品和服务。</w:t>
      </w:r>
    </w:p>
    <w:p w14:paraId="202277B9">
      <w:pPr>
        <w:keepNext w:val="0"/>
        <w:keepLines w:val="0"/>
        <w:pageBreakBefore w:val="0"/>
        <w:tabs>
          <w:tab w:val="left" w:pos="2160"/>
        </w:tabs>
        <w:kinsoku/>
        <w:wordWrap/>
        <w:topLinePunct/>
        <w:autoSpaceDE w:val="0"/>
        <w:autoSpaceDN w:val="0"/>
        <w:bidi w:val="0"/>
        <w:adjustRightInd w:val="0"/>
        <w:snapToGrid w:val="0"/>
        <w:spacing w:after="0" w:line="440" w:lineRule="exact"/>
        <w:ind w:firstLine="420" w:firstLineChars="200"/>
        <w:textAlignment w:val="auto"/>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2.2 合格的产品和服务即采购需求见采购文件</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第六章  项目采购需求。</w:t>
      </w:r>
    </w:p>
    <w:p w14:paraId="6E8ABA1E">
      <w:pPr>
        <w:keepNext w:val="0"/>
        <w:keepLines w:val="0"/>
        <w:pageBreakBefore w:val="0"/>
        <w:kinsoku/>
        <w:wordWrap/>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2.3 投标人应保证所提供的产品及服务免受第三方提出侵犯其知识产权（专利权</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商标权</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工业设计权及使用权）的请求及起诉。</w:t>
      </w:r>
    </w:p>
    <w:p w14:paraId="6EF16809">
      <w:pPr>
        <w:keepNext w:val="0"/>
        <w:keepLines w:val="0"/>
        <w:pageBreakBefore w:val="0"/>
        <w:numPr>
          <w:ilvl w:val="0"/>
          <w:numId w:val="0"/>
        </w:numPr>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3.合格的投标人</w:t>
      </w:r>
    </w:p>
    <w:p w14:paraId="08A52ECC">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3.1一般规定</w:t>
      </w:r>
    </w:p>
    <w:p w14:paraId="51B0F15A">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3.1.1投标人应遵守《政府采购法》及其实施条例</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《政府采购货物和服务招标投标管理办法》</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《政府采购质疑和投诉办法》及有关政府采购的规定</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同时还应遵守有关法律</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法规和规章的强制性规定。</w:t>
      </w:r>
    </w:p>
    <w:p w14:paraId="6D4719AC">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3.1.2投标人的资格要求及本项目的特定资格要求见投标人须知前附表。</w:t>
      </w:r>
    </w:p>
    <w:p w14:paraId="2834E46A">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3.1.3资格条件中所</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重大违法记录</w:t>
      </w:r>
      <w:r>
        <w:rPr>
          <w:rFonts w:hint="eastAsia" w:ascii="宋体" w:hAnsi="宋体" w:eastAsia="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是指投标人因违法经营受到刑事处罚或者责令停产停业</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吊销许可证或者执照</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较大数额罚款等行政处罚。</w:t>
      </w:r>
    </w:p>
    <w:p w14:paraId="1FE1C072">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投标人在参加政府采购活动前3年内因违法经营被禁止在一定期限内参加政府采购活动</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期限届满的</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可以参加政府采购活动。</w:t>
      </w:r>
    </w:p>
    <w:p w14:paraId="639D74FF">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较大数额罚款</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认定为200万元以上的罚款</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法律</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行政法规以及国务院有关部门明确规定相关领域</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较大数额罚款</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标准高于200万元的</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从其规定。</w:t>
      </w:r>
    </w:p>
    <w:p w14:paraId="58AE3F5F">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3.1.4信用记录要求</w:t>
      </w:r>
    </w:p>
    <w:p w14:paraId="655909A1">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采购人</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采购代理机构应当通过</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信用中国</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网站（www.creditchina.gov.cn）</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中国政府采购网（www.ccgp.gov.cn）等渠道查询投标人的信用记录</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并对投标人信用记录进行甄别</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对列入失信被执行人</w:t>
      </w:r>
      <w:r>
        <w:rPr>
          <w:rFonts w:hint="eastAsia" w:ascii="宋体" w:hAnsi="宋体" w:eastAsia="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eastAsia="zh-CN"/>
        </w:rPr>
        <w:t>重大税</w:t>
      </w:r>
      <w:r>
        <w:rPr>
          <w:rFonts w:hint="eastAsia" w:ascii="宋体" w:hAnsi="宋体" w:eastAsia="宋体" w:cs="宋体"/>
          <w:b w:val="0"/>
          <w:bCs w:val="0"/>
          <w:color w:val="auto"/>
          <w:sz w:val="21"/>
          <w:szCs w:val="21"/>
          <w:highlight w:val="none"/>
          <w:lang w:eastAsia="zh-CN"/>
        </w:rPr>
        <w:t>收违法失信主体名单、</w:t>
      </w:r>
      <w:r>
        <w:rPr>
          <w:rFonts w:hint="eastAsia" w:ascii="宋体" w:hAnsi="宋体" w:eastAsia="宋体" w:cs="宋体"/>
          <w:b w:val="0"/>
          <w:bCs w:val="0"/>
          <w:color w:val="auto"/>
          <w:sz w:val="21"/>
          <w:szCs w:val="21"/>
          <w:highlight w:val="none"/>
        </w:rPr>
        <w:t>政府采购严重违法失信行为记录名单及其他不符合《中华人民共和国政府采购法》第二十二条规定条件的投标人</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应当拒绝其参与政府采购活动。</w:t>
      </w:r>
    </w:p>
    <w:p w14:paraId="4B1CFCBE">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两个以上的自然人</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法人或者其他组织组成一个联合体</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以一个投标人的身份共同参加政府采购活动的</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应当对所有联合体成员进行信用记录查询</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联合体成员存在不良信用记录的</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视同联合体存在不良信用记录。</w:t>
      </w:r>
    </w:p>
    <w:p w14:paraId="423556D4">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3.2联合体</w:t>
      </w:r>
    </w:p>
    <w:p w14:paraId="527EC6E0">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3.2.1若本项目接受联合体投标</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则两个以上的自然人</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法人或者其他组织可以组成一个联合体</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以一个投标人的身份共同参加政府采购。</w:t>
      </w:r>
    </w:p>
    <w:p w14:paraId="15CFAEA3">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3.2.2以联合体形式参加投标的</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联合体各方应按第二章要求提供资格条件材料。</w:t>
      </w:r>
    </w:p>
    <w:p w14:paraId="32EFAA65">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3.2.3联合体中有同类资质的投标人按照联合体分工承担相同工作的</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应当按照资质等级较低的投标人确定资质等级。</w:t>
      </w:r>
    </w:p>
    <w:p w14:paraId="5F99204F">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3.2.4联合体应当提交联合协议</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载明联合体各方承担的工作和义务。</w:t>
      </w:r>
    </w:p>
    <w:p w14:paraId="750A20BF">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3.2.5联合体各方应当共同与采购人签订采购合同</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就采购合同约定的事项对采购人承担连带责任。</w:t>
      </w:r>
    </w:p>
    <w:p w14:paraId="2CE58AC8">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3.2.6以联合体形式参加政府采购活动的</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联合体各方不得再单独参加或者与其他投标人另外组成联合体参加同一合同项下的政府采购活动。</w:t>
      </w:r>
    </w:p>
    <w:p w14:paraId="4AE6A3A0">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3.3禁止规定</w:t>
      </w:r>
    </w:p>
    <w:p w14:paraId="7BB92239">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3.3.1单位负责人为同一人或者存在直接控股</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管理关系的不同投标人</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不得参加同一采购包的政府采购活动。否则投标均无效。</w:t>
      </w:r>
    </w:p>
    <w:p w14:paraId="06620C7A">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3.3.2除单一来源采购项目外</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为采购项目提供整体设计</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规范编制或者项目管理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监理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检测等服务的供应商</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不得再参加该采购项目的其他采购活动。否则投标无效。</w:t>
      </w:r>
    </w:p>
    <w:p w14:paraId="71DBA509">
      <w:pPr>
        <w:keepNext w:val="0"/>
        <w:keepLines w:val="0"/>
        <w:pageBreakBefore w:val="0"/>
        <w:numPr>
          <w:ilvl w:val="0"/>
          <w:numId w:val="0"/>
        </w:numPr>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4.投标费用</w:t>
      </w:r>
    </w:p>
    <w:p w14:paraId="270BA408">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4.1 投标人应承担所有与编写</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提交投标文件有关的费用</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不论招标的结果如何</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采购人在任何情况下均无义务和责任承担这些费用。</w:t>
      </w:r>
    </w:p>
    <w:p w14:paraId="39F91C7C">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center"/>
        <w:textAlignment w:val="auto"/>
        <w:outlineLvl w:val="1"/>
        <w:rPr>
          <w:rFonts w:hint="eastAsia" w:asciiTheme="minorEastAsia" w:hAnsiTheme="minorEastAsia" w:eastAsiaTheme="minorEastAsia" w:cstheme="minorEastAsia"/>
          <w:b/>
          <w:bCs/>
          <w:color w:val="auto"/>
          <w:sz w:val="24"/>
          <w:szCs w:val="24"/>
          <w:highlight w:val="none"/>
        </w:rPr>
      </w:pPr>
      <w:bookmarkStart w:id="30" w:name="_Toc132880275"/>
      <w:bookmarkStart w:id="31" w:name="_Toc27611"/>
      <w:bookmarkStart w:id="32" w:name="_Toc31736_WPSOffice_Level2"/>
      <w:r>
        <w:rPr>
          <w:rFonts w:hint="eastAsia" w:asciiTheme="minorEastAsia" w:hAnsiTheme="minorEastAsia" w:eastAsiaTheme="minorEastAsia" w:cstheme="minorEastAsia"/>
          <w:b/>
          <w:bCs/>
          <w:color w:val="auto"/>
          <w:sz w:val="24"/>
          <w:szCs w:val="24"/>
          <w:highlight w:val="none"/>
        </w:rPr>
        <w:t>二</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招标文件</w:t>
      </w:r>
      <w:bookmarkEnd w:id="30"/>
      <w:bookmarkEnd w:id="31"/>
      <w:bookmarkEnd w:id="32"/>
    </w:p>
    <w:p w14:paraId="37CC312D">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5.招标文件构成</w:t>
      </w:r>
    </w:p>
    <w:p w14:paraId="3E498A66">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（1）招标公告</w:t>
      </w:r>
    </w:p>
    <w:p w14:paraId="0BF50A04">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039F6FB9">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eastAsia="zh-CN"/>
        </w:rPr>
        <w:t>资格审查、评标方法及标准</w:t>
      </w:r>
    </w:p>
    <w:p w14:paraId="216DAE83">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（4）政府采购合同文本</w:t>
      </w:r>
    </w:p>
    <w:p w14:paraId="18664808">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（5）投标文件格式</w:t>
      </w:r>
    </w:p>
    <w:p w14:paraId="32A88F4B">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项目采购需求</w:t>
      </w:r>
    </w:p>
    <w:p w14:paraId="783461EC">
      <w:pPr>
        <w:keepNext w:val="0"/>
        <w:keepLines w:val="0"/>
        <w:pageBreakBefore w:val="0"/>
        <w:kinsoku/>
        <w:wordWrap/>
        <w:topLinePunct/>
        <w:autoSpaceDE w:val="0"/>
        <w:autoSpaceDN w:val="0"/>
        <w:bidi w:val="0"/>
        <w:adjustRightInd w:val="0"/>
        <w:snapToGrid w:val="0"/>
        <w:spacing w:after="0" w:line="440" w:lineRule="exact"/>
        <w:ind w:firstLine="413" w:firstLineChars="196"/>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6.招标文件询问</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澄清或修改</w:t>
      </w:r>
    </w:p>
    <w:p w14:paraId="20CC5964">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6.1 投标人对招标文件如有疑问的</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可以向采购人或者采购代理机构提出询问</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采购人或者采购代理机构应当在3个工作日内作出答复</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但答复的内容不得涉及商业秘密。如有必要</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采购人或者采购代理机构可对招标文件进行澄清或者修改。</w:t>
      </w:r>
    </w:p>
    <w:p w14:paraId="24018F23">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6.2 采购人或者采购代理机构可主动对招标文件进行必要的澄清或者修改</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但不得改变采购标的和资格条件。</w:t>
      </w:r>
    </w:p>
    <w:p w14:paraId="501BCFB4">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6.3 澄清或者修改应当在原公告发布媒体上发布澄清公告</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通知所有获取招标文件的潜在投标人。</w:t>
      </w:r>
    </w:p>
    <w:p w14:paraId="4BAFD0CE">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6.4 澄清或者修改的内容可能影响投标文件编制的</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采购人或者采购代理机构应当在投标截止时间至少15日前</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以书面形式通知所有获取招标文件的潜在投标人；不足15日的</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采购人或者采购代理机构应当顺延提交投标文件的截止时间。</w:t>
      </w:r>
    </w:p>
    <w:p w14:paraId="60A773A3">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6.5 澄清或者修改的内容为招标文件的组成部分。</w:t>
      </w:r>
    </w:p>
    <w:p w14:paraId="54D76B3C">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center"/>
        <w:textAlignment w:val="auto"/>
        <w:outlineLvl w:val="1"/>
        <w:rPr>
          <w:rFonts w:hint="eastAsia" w:asciiTheme="minorEastAsia" w:hAnsiTheme="minorEastAsia" w:eastAsiaTheme="minorEastAsia" w:cstheme="minorEastAsia"/>
          <w:b/>
          <w:bCs/>
          <w:color w:val="auto"/>
          <w:sz w:val="24"/>
          <w:szCs w:val="24"/>
          <w:highlight w:val="none"/>
        </w:rPr>
      </w:pPr>
      <w:bookmarkStart w:id="33" w:name="_Toc24518"/>
      <w:bookmarkStart w:id="34" w:name="_Toc132880276"/>
      <w:bookmarkStart w:id="35" w:name="_Toc25139_WPSOffice_Level2"/>
      <w:r>
        <w:rPr>
          <w:rFonts w:hint="eastAsia" w:asciiTheme="minorEastAsia" w:hAnsiTheme="minorEastAsia" w:eastAsiaTheme="minorEastAsia" w:cstheme="minorEastAsia"/>
          <w:b/>
          <w:bCs/>
          <w:color w:val="auto"/>
          <w:sz w:val="24"/>
          <w:szCs w:val="24"/>
          <w:highlight w:val="none"/>
        </w:rPr>
        <w:t>三</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投标文件</w:t>
      </w:r>
      <w:bookmarkEnd w:id="33"/>
      <w:bookmarkEnd w:id="34"/>
      <w:bookmarkEnd w:id="35"/>
    </w:p>
    <w:p w14:paraId="27A08D85">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w:t>
      </w:r>
      <w:r>
        <w:rPr>
          <w:rFonts w:hint="eastAsia" w:ascii="宋体" w:hAnsi="宋体" w:cs="宋体"/>
          <w:color w:val="auto"/>
          <w:sz w:val="21"/>
          <w:szCs w:val="21"/>
          <w:highlight w:val="none"/>
          <w:lang w:eastAsia="zh-CN"/>
        </w:rPr>
        <w:t>.</w:t>
      </w:r>
      <w:r>
        <w:rPr>
          <w:rFonts w:hint="eastAsia" w:ascii="宋体" w:hAnsi="宋体" w:eastAsia="宋体" w:cs="宋体"/>
          <w:b/>
          <w:color w:val="auto"/>
          <w:sz w:val="21"/>
          <w:szCs w:val="21"/>
          <w:highlight w:val="none"/>
        </w:rPr>
        <w:t>投标文件编制</w:t>
      </w:r>
    </w:p>
    <w:p w14:paraId="40AC9391">
      <w:pPr>
        <w:pStyle w:val="34"/>
        <w:keepNext w:val="0"/>
        <w:keepLines w:val="0"/>
        <w:pageBreakBefore w:val="0"/>
        <w:widowControl w:val="0"/>
        <w:kinsoku/>
        <w:wordWrap/>
        <w:bidi w:val="0"/>
        <w:spacing w:line="440" w:lineRule="exact"/>
        <w:ind w:firstLine="420" w:firstLineChars="200"/>
        <w:jc w:val="both"/>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7.1投标文件的编制</w:t>
      </w:r>
    </w:p>
    <w:p w14:paraId="01E1766D">
      <w:pPr>
        <w:pStyle w:val="34"/>
        <w:keepNext w:val="0"/>
        <w:keepLines w:val="0"/>
        <w:pageBreakBefore w:val="0"/>
        <w:widowControl w:val="0"/>
        <w:kinsoku/>
        <w:wordWrap/>
        <w:bidi w:val="0"/>
        <w:spacing w:line="440" w:lineRule="exact"/>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7.1.1投标人应先仔细阅读招标文件的全部内容后</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再进行投标文件的编制。</w:t>
      </w:r>
    </w:p>
    <w:p w14:paraId="68BC45C4">
      <w:pPr>
        <w:pStyle w:val="34"/>
        <w:keepNext w:val="0"/>
        <w:keepLines w:val="0"/>
        <w:pageBreakBefore w:val="0"/>
        <w:widowControl w:val="0"/>
        <w:kinsoku/>
        <w:wordWrap/>
        <w:bidi w:val="0"/>
        <w:spacing w:line="440" w:lineRule="exact"/>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7.1.2投标文件应满足招标文件提出的实质性要求和条件</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并保证其所提交的全部资料是不可割离且真实、有效、准确、完整和不具有任何误导性的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否则造成不利后果由投标人承担责任。</w:t>
      </w:r>
    </w:p>
    <w:p w14:paraId="5AD30BD8">
      <w:pPr>
        <w:pStyle w:val="34"/>
        <w:keepNext w:val="0"/>
        <w:keepLines w:val="0"/>
        <w:pageBreakBefore w:val="0"/>
        <w:widowControl w:val="0"/>
        <w:kinsoku/>
        <w:wordWrap/>
        <w:bidi w:val="0"/>
        <w:spacing w:line="440" w:lineRule="exact"/>
        <w:ind w:firstLine="420" w:firstLineChars="200"/>
        <w:jc w:val="both"/>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7.2投标文件的语言</w:t>
      </w:r>
    </w:p>
    <w:p w14:paraId="1CF4404E">
      <w:pPr>
        <w:pStyle w:val="34"/>
        <w:keepNext w:val="0"/>
        <w:keepLines w:val="0"/>
        <w:pageBreakBefore w:val="0"/>
        <w:widowControl w:val="0"/>
        <w:kinsoku/>
        <w:wordWrap/>
        <w:bidi w:val="0"/>
        <w:spacing w:line="440" w:lineRule="exact"/>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7.2.1除招标文件另有规定外</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投标文件应使用中文文本并使用中文简化字</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若有不同文本</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以中文简化字文本为准。</w:t>
      </w:r>
    </w:p>
    <w:p w14:paraId="024B6BAF">
      <w:pPr>
        <w:pStyle w:val="34"/>
        <w:keepNext w:val="0"/>
        <w:keepLines w:val="0"/>
        <w:pageBreakBefore w:val="0"/>
        <w:widowControl w:val="0"/>
        <w:kinsoku/>
        <w:wordWrap/>
        <w:bidi w:val="0"/>
        <w:spacing w:line="440" w:lineRule="exact"/>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7.2.2投标文件提供的全部资料中</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若属于非中文描述的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应同时提供中文简化字译本。</w:t>
      </w:r>
    </w:p>
    <w:p w14:paraId="4FD54C37">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7.2.3除在招标文件的要求中另有规定外</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投标文件计量单位应使用中华人民共和国法定计量单位。</w:t>
      </w:r>
    </w:p>
    <w:p w14:paraId="4D975C03">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8.投标文件的组成</w:t>
      </w:r>
    </w:p>
    <w:p w14:paraId="16328D04">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8.1 投标文件包括商务部分和技术部分。</w:t>
      </w:r>
    </w:p>
    <w:p w14:paraId="658B3785">
      <w:pPr>
        <w:keepNext w:val="0"/>
        <w:keepLines w:val="0"/>
        <w:pageBreakBefore w:val="0"/>
        <w:kinsoku/>
        <w:wordWrap/>
        <w:topLinePunct/>
        <w:autoSpaceDE w:val="0"/>
        <w:autoSpaceDN w:val="0"/>
        <w:bidi w:val="0"/>
        <w:adjustRightInd w:val="0"/>
        <w:snapToGrid w:val="0"/>
        <w:spacing w:after="0" w:line="440" w:lineRule="exact"/>
        <w:ind w:firstLine="428" w:firstLineChars="204"/>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8.2 投标文件商务部分主要包括的文件和资料</w:t>
      </w:r>
      <w:r>
        <w:rPr>
          <w:rFonts w:hint="eastAsia" w:ascii="宋体" w:hAnsi="宋体" w:eastAsia="宋体" w:cs="宋体"/>
          <w:b w:val="0"/>
          <w:bCs w:val="0"/>
          <w:color w:val="auto"/>
          <w:sz w:val="21"/>
          <w:szCs w:val="21"/>
          <w:highlight w:val="none"/>
          <w:lang w:eastAsia="zh-CN"/>
        </w:rPr>
        <w:t>：</w:t>
      </w:r>
    </w:p>
    <w:p w14:paraId="2DA4A919">
      <w:pPr>
        <w:keepNext w:val="0"/>
        <w:keepLines w:val="0"/>
        <w:pageBreakBefore w:val="0"/>
        <w:kinsoku/>
        <w:wordWrap/>
        <w:topLinePunct/>
        <w:autoSpaceDE w:val="0"/>
        <w:autoSpaceDN w:val="0"/>
        <w:bidi w:val="0"/>
        <w:adjustRightInd w:val="0"/>
        <w:snapToGrid w:val="0"/>
        <w:spacing w:after="0" w:line="440" w:lineRule="exact"/>
        <w:ind w:firstLine="428" w:firstLineChars="204"/>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8.2.1 资格证明文件</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见投标人须知前附表。</w:t>
      </w:r>
    </w:p>
    <w:p w14:paraId="7C813040">
      <w:pPr>
        <w:keepNext w:val="0"/>
        <w:keepLines w:val="0"/>
        <w:pageBreakBefore w:val="0"/>
        <w:kinsoku/>
        <w:wordWrap/>
        <w:overflowPunct w:val="0"/>
        <w:autoSpaceDE w:val="0"/>
        <w:autoSpaceDN w:val="0"/>
        <w:bidi w:val="0"/>
        <w:adjustRightInd w:val="0"/>
        <w:snapToGrid w:val="0"/>
        <w:spacing w:after="0" w:line="440" w:lineRule="exact"/>
        <w:ind w:firstLine="426" w:firstLineChars="203"/>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8.2.2 其他文件及资料</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见投标人须知前附表。</w:t>
      </w:r>
    </w:p>
    <w:p w14:paraId="21E30BFE">
      <w:pPr>
        <w:keepNext w:val="0"/>
        <w:keepLines w:val="0"/>
        <w:pageBreakBefore w:val="0"/>
        <w:kinsoku/>
        <w:wordWrap/>
        <w:overflowPunct w:val="0"/>
        <w:autoSpaceDE w:val="0"/>
        <w:autoSpaceDN w:val="0"/>
        <w:bidi w:val="0"/>
        <w:adjustRightInd w:val="0"/>
        <w:snapToGrid w:val="0"/>
        <w:spacing w:after="0" w:line="440" w:lineRule="exact"/>
        <w:ind w:firstLine="426" w:firstLineChars="203"/>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8.3 投标文件技术部分主要包括的文件及资料</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见投标人须知前附表。</w:t>
      </w:r>
    </w:p>
    <w:p w14:paraId="7F5F69BF">
      <w:pPr>
        <w:keepNext w:val="0"/>
        <w:keepLines w:val="0"/>
        <w:pageBreakBefore w:val="0"/>
        <w:kinsoku/>
        <w:wordWrap/>
        <w:overflowPunct w:val="0"/>
        <w:autoSpaceDE w:val="0"/>
        <w:autoSpaceDN w:val="0"/>
        <w:bidi w:val="0"/>
        <w:adjustRightInd w:val="0"/>
        <w:snapToGrid w:val="0"/>
        <w:spacing w:after="0" w:line="440" w:lineRule="exact"/>
        <w:ind w:firstLine="426" w:firstLineChars="203"/>
        <w:textAlignment w:val="auto"/>
        <w:outlineLvl w:val="9"/>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8.4 证明资料如标明有效期的</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必须在有效期内</w:t>
      </w:r>
      <w:r>
        <w:rPr>
          <w:rFonts w:hint="eastAsia" w:ascii="宋体" w:hAnsi="宋体" w:eastAsia="宋体" w:cs="宋体"/>
          <w:color w:val="auto"/>
          <w:sz w:val="21"/>
          <w:szCs w:val="21"/>
          <w:highlight w:val="none"/>
        </w:rPr>
        <w:t>。</w:t>
      </w:r>
    </w:p>
    <w:p w14:paraId="71762061">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9.报价要求</w:t>
      </w:r>
    </w:p>
    <w:p w14:paraId="65929C9C">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9.1 除招标文件另有规定外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投标应以人民币报价</w:t>
      </w:r>
      <w:r>
        <w:rPr>
          <w:rFonts w:hint="eastAsia" w:ascii="宋体" w:hAnsi="宋体" w:eastAsia="宋体" w:cs="宋体"/>
          <w:color w:val="auto"/>
          <w:sz w:val="21"/>
          <w:szCs w:val="21"/>
          <w:highlight w:val="none"/>
          <w:lang w:eastAsia="zh-CN"/>
        </w:rPr>
        <w:t>。</w:t>
      </w:r>
    </w:p>
    <w:p w14:paraId="6FA375AA">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 本项目不接受任何形式的赠送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报价和折扣报价。</w:t>
      </w:r>
    </w:p>
    <w:p w14:paraId="26221CB6">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 本项目以投标报价为依据计算价格分。投标报价应包括招标文件中要求投标人承担所有工作内容的全部费用。</w:t>
      </w:r>
    </w:p>
    <w:p w14:paraId="5FBBD7B8">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9.4 启动异常低价投标审查后</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评审委员会依据专业经验</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参考同类项目中标价格、类似产品市场价格水平、行业人工费用标准、国家有关部门指导行业协会发布的行业平均成本等情况</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对报价合理性进行判断。投标供应商不能提供书面说明、证明材料</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或者提供的书面说明、证明材料不能证明其报价合理性的</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评审委员会应当将其作为无效投标处理</w:t>
      </w:r>
    </w:p>
    <w:p w14:paraId="0071EA25">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9.5 最低报价不能作为中标的保证。</w:t>
      </w:r>
    </w:p>
    <w:p w14:paraId="1A1F6DA5">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10.投标文件的书写</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密封</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签署</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盖章</w:t>
      </w:r>
    </w:p>
    <w:p w14:paraId="51652AD5">
      <w:pPr>
        <w:pStyle w:val="34"/>
        <w:keepNext w:val="0"/>
        <w:keepLines w:val="0"/>
        <w:pageBreakBefore w:val="0"/>
        <w:widowControl w:val="0"/>
        <w:kinsoku/>
        <w:wordWrap/>
        <w:bidi w:val="0"/>
        <w:spacing w:line="440" w:lineRule="exact"/>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10.1书写</w:t>
      </w:r>
    </w:p>
    <w:p w14:paraId="04DDDB19">
      <w:pPr>
        <w:pStyle w:val="34"/>
        <w:keepNext w:val="0"/>
        <w:keepLines w:val="0"/>
        <w:pageBreakBefore w:val="0"/>
        <w:widowControl w:val="0"/>
        <w:kinsoku/>
        <w:wordWrap/>
        <w:bidi w:val="0"/>
        <w:spacing w:line="440" w:lineRule="exact"/>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10.1.1投标文件应使用不能擦去的墨料或墨水打印、书写。</w:t>
      </w:r>
    </w:p>
    <w:p w14:paraId="0A487082">
      <w:pPr>
        <w:pStyle w:val="34"/>
        <w:keepNext w:val="0"/>
        <w:keepLines w:val="0"/>
        <w:pageBreakBefore w:val="0"/>
        <w:widowControl w:val="0"/>
        <w:kinsoku/>
        <w:wordWrap/>
        <w:bidi w:val="0"/>
        <w:spacing w:line="440" w:lineRule="exact"/>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10.1.2投标文件内容应没有涂改或行间插字。若有前述改动</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在改动处应由单位负责人（投标人代表）签字确认或加盖投标人的单位公章或校正章。</w:t>
      </w:r>
    </w:p>
    <w:p w14:paraId="6496366C">
      <w:pPr>
        <w:pStyle w:val="34"/>
        <w:keepNext w:val="0"/>
        <w:keepLines w:val="0"/>
        <w:pageBreakBefore w:val="0"/>
        <w:widowControl w:val="0"/>
        <w:kinsoku/>
        <w:wordWrap/>
        <w:bidi w:val="0"/>
        <w:spacing w:line="440" w:lineRule="exact"/>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10.2密封</w:t>
      </w:r>
    </w:p>
    <w:p w14:paraId="32B6555B">
      <w:pPr>
        <w:pStyle w:val="34"/>
        <w:keepNext w:val="0"/>
        <w:keepLines w:val="0"/>
        <w:pageBreakBefore w:val="0"/>
        <w:widowControl w:val="0"/>
        <w:kinsoku/>
        <w:wordWrap/>
        <w:bidi w:val="0"/>
        <w:spacing w:line="440" w:lineRule="exact"/>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10.2.1投标文件应胶装或装订成册</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避免材料散装、脱落。</w:t>
      </w:r>
    </w:p>
    <w:p w14:paraId="4ADB22F8">
      <w:pPr>
        <w:pStyle w:val="34"/>
        <w:keepNext w:val="0"/>
        <w:keepLines w:val="0"/>
        <w:pageBreakBefore w:val="0"/>
        <w:widowControl w:val="0"/>
        <w:kinsoku/>
        <w:wordWrap/>
        <w:bidi w:val="0"/>
        <w:spacing w:line="440" w:lineRule="exact"/>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10.2.2投标文件应使用不透明的牛皮纸或档案袋等材料密封包装</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并在外包装封面注明“正本”或“副本”</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以及项目编号、项目名称、开标时间等信息</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避免投标文件被误拆或提前拆封。投标文件正本应按上述要求制作。副本可按上述要求制作</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也可用正本的完整复印件</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并与正本保持一致（若不一致</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以正本为准）</w:t>
      </w:r>
    </w:p>
    <w:p w14:paraId="4DE22B42">
      <w:pPr>
        <w:pStyle w:val="34"/>
        <w:keepNext w:val="0"/>
        <w:keepLines w:val="0"/>
        <w:pageBreakBefore w:val="0"/>
        <w:widowControl w:val="0"/>
        <w:kinsoku/>
        <w:wordWrap/>
        <w:bidi w:val="0"/>
        <w:spacing w:line="440" w:lineRule="exact"/>
        <w:ind w:firstLine="40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szCs w:val="21"/>
          <w:highlight w:val="none"/>
        </w:rPr>
        <w:t>★</w:t>
      </w:r>
      <w:r>
        <w:rPr>
          <w:rFonts w:hint="eastAsia" w:ascii="宋体" w:hAnsi="宋体" w:eastAsia="宋体" w:cs="宋体"/>
          <w:b w:val="0"/>
          <w:bCs w:val="0"/>
          <w:color w:val="auto"/>
          <w:kern w:val="2"/>
          <w:sz w:val="21"/>
          <w:szCs w:val="21"/>
          <w:highlight w:val="none"/>
          <w:lang w:val="en-US" w:eastAsia="zh-CN" w:bidi="ar-SA"/>
        </w:rPr>
        <w:t>10.3签署、盖章</w:t>
      </w:r>
    </w:p>
    <w:p w14:paraId="0B77F386">
      <w:pPr>
        <w:pStyle w:val="34"/>
        <w:keepNext w:val="0"/>
        <w:keepLines w:val="0"/>
        <w:pageBreakBefore w:val="0"/>
        <w:widowControl w:val="0"/>
        <w:kinsoku/>
        <w:wordWrap/>
        <w:bidi w:val="0"/>
        <w:spacing w:line="440" w:lineRule="exact"/>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10.3.1投标文件中要求签字处应由投标人的单位负责人（投标人代表）签字或加盖个人印章。</w:t>
      </w:r>
    </w:p>
    <w:p w14:paraId="62F7D045">
      <w:pPr>
        <w:pStyle w:val="34"/>
        <w:keepNext w:val="0"/>
        <w:keepLines w:val="0"/>
        <w:pageBreakBefore w:val="0"/>
        <w:widowControl w:val="0"/>
        <w:kinsoku/>
        <w:wordWrap/>
        <w:bidi w:val="0"/>
        <w:spacing w:line="440" w:lineRule="exact"/>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10.3.2投标文件必须按照招标文件给出文件格式的签署要求进行签署。</w:t>
      </w:r>
    </w:p>
    <w:p w14:paraId="139FDE74">
      <w:pPr>
        <w:pStyle w:val="34"/>
        <w:keepNext w:val="0"/>
        <w:keepLines w:val="0"/>
        <w:pageBreakBefore w:val="0"/>
        <w:widowControl w:val="0"/>
        <w:kinsoku/>
        <w:wordWrap/>
        <w:bidi w:val="0"/>
        <w:spacing w:line="440" w:lineRule="exact"/>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10.3.3投标人在“投标函”“法定代表人授权委托书”上应当按格式要求加盖与投标人名称全称一致的标准公章</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并按照招标文件第五章投标文件格式中的相应格式文件要求签署全名或加盖名章。</w:t>
      </w:r>
    </w:p>
    <w:p w14:paraId="25C3AD26">
      <w:pPr>
        <w:pStyle w:val="34"/>
        <w:keepNext w:val="0"/>
        <w:keepLines w:val="0"/>
        <w:pageBreakBefore w:val="0"/>
        <w:widowControl w:val="0"/>
        <w:kinsoku/>
        <w:wordWrap/>
        <w:bidi w:val="0"/>
        <w:spacing w:line="440" w:lineRule="exact"/>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10.3.4投标文件中的“盖章”指加盖投标人的“公章</w:t>
      </w:r>
      <w:bookmarkStart w:id="36" w:name="_Toc24838_WPSOffice_Level2"/>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而非“合同</w:t>
      </w:r>
      <w:bookmarkEnd w:id="36"/>
      <w:r>
        <w:rPr>
          <w:rFonts w:hint="eastAsia" w:ascii="宋体" w:hAnsi="宋体" w:eastAsia="宋体" w:cs="宋体"/>
          <w:b w:val="0"/>
          <w:bCs w:val="0"/>
          <w:color w:val="auto"/>
          <w:kern w:val="2"/>
          <w:sz w:val="21"/>
          <w:szCs w:val="21"/>
          <w:highlight w:val="none"/>
          <w:lang w:val="en-US" w:eastAsia="zh-CN" w:bidi="ar-SA"/>
        </w:rPr>
        <w:t>专用章”、“投标专用章”等其他非公章。</w:t>
      </w:r>
    </w:p>
    <w:p w14:paraId="4F28A32F">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w:t>
      </w:r>
      <w:r>
        <w:rPr>
          <w:rFonts w:hint="eastAsia" w:ascii="宋体" w:hAnsi="宋体" w:cs="宋体"/>
          <w:color w:val="auto"/>
          <w:sz w:val="21"/>
          <w:szCs w:val="21"/>
          <w:highlight w:val="none"/>
          <w:lang w:eastAsia="zh-CN"/>
        </w:rPr>
        <w:t>.</w:t>
      </w:r>
      <w:r>
        <w:rPr>
          <w:rFonts w:hint="eastAsia" w:ascii="宋体" w:hAnsi="宋体" w:eastAsia="宋体" w:cs="宋体"/>
          <w:b/>
          <w:color w:val="auto"/>
          <w:sz w:val="21"/>
          <w:szCs w:val="21"/>
          <w:highlight w:val="none"/>
        </w:rPr>
        <w:t>投标有效期</w:t>
      </w:r>
    </w:p>
    <w:p w14:paraId="61A63A60">
      <w:pPr>
        <w:pStyle w:val="34"/>
        <w:keepNext w:val="0"/>
        <w:keepLines w:val="0"/>
        <w:pageBreakBefore w:val="0"/>
        <w:widowControl w:val="0"/>
        <w:kinsoku/>
        <w:wordWrap/>
        <w:bidi w:val="0"/>
        <w:spacing w:line="440" w:lineRule="exact"/>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11.1 投标有效期见投标人须知前附表</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在此期间</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投标文件对投标人具有法律约束力</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以保证采购人或者采购代理机构有足够的时间完成评标、定标以及签订合同。投标文件中承诺的投标有效期应当不少于招标文件中载明的投标有效期</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否则作为无效投标处理。</w:t>
      </w:r>
    </w:p>
    <w:p w14:paraId="62BE630C">
      <w:pPr>
        <w:pStyle w:val="34"/>
        <w:keepNext w:val="0"/>
        <w:keepLines w:val="0"/>
        <w:pageBreakBefore w:val="0"/>
        <w:widowControl w:val="0"/>
        <w:kinsoku/>
        <w:wordWrap/>
        <w:bidi w:val="0"/>
        <w:spacing w:line="440" w:lineRule="exact"/>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11.2 特殊情况下</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在原投标有效期期满之前</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采购人或者采购代理机构可征得投标人同意延长投标有效期。</w:t>
      </w:r>
    </w:p>
    <w:p w14:paraId="648C3DA9">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center"/>
        <w:textAlignment w:val="auto"/>
        <w:outlineLvl w:val="1"/>
        <w:rPr>
          <w:rFonts w:hint="eastAsia" w:asciiTheme="minorEastAsia" w:hAnsiTheme="minorEastAsia" w:eastAsiaTheme="minorEastAsia" w:cstheme="minorEastAsia"/>
          <w:b/>
          <w:bCs/>
          <w:color w:val="auto"/>
          <w:sz w:val="24"/>
          <w:szCs w:val="24"/>
          <w:highlight w:val="none"/>
        </w:rPr>
      </w:pPr>
      <w:bookmarkStart w:id="37" w:name="_Toc19985_WPSOffice_Level2"/>
      <w:bookmarkStart w:id="38" w:name="_Toc32029"/>
      <w:bookmarkStart w:id="39" w:name="_Toc132880277"/>
      <w:r>
        <w:rPr>
          <w:rFonts w:hint="eastAsia" w:asciiTheme="minorEastAsia" w:hAnsiTheme="minorEastAsia" w:eastAsiaTheme="minorEastAsia" w:cstheme="minorEastAsia"/>
          <w:b/>
          <w:bCs/>
          <w:color w:val="auto"/>
          <w:sz w:val="24"/>
          <w:szCs w:val="24"/>
          <w:highlight w:val="none"/>
        </w:rPr>
        <w:t>四</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投标文件递交</w:t>
      </w:r>
      <w:bookmarkEnd w:id="37"/>
      <w:bookmarkEnd w:id="38"/>
      <w:bookmarkEnd w:id="39"/>
    </w:p>
    <w:p w14:paraId="51D373EC">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12</w:t>
      </w:r>
      <w:r>
        <w:rPr>
          <w:rFonts w:hint="eastAsia" w:ascii="宋体" w:hAnsi="宋体" w:cs="宋体"/>
          <w:color w:val="auto"/>
          <w:sz w:val="21"/>
          <w:szCs w:val="21"/>
          <w:highlight w:val="none"/>
          <w:lang w:eastAsia="zh-CN"/>
        </w:rPr>
        <w:t>.</w:t>
      </w:r>
      <w:r>
        <w:rPr>
          <w:rFonts w:hint="eastAsia" w:ascii="宋体" w:hAnsi="宋体" w:eastAsia="宋体" w:cs="宋体"/>
          <w:b/>
          <w:color w:val="auto"/>
          <w:sz w:val="21"/>
          <w:szCs w:val="21"/>
          <w:highlight w:val="none"/>
        </w:rPr>
        <w:t>投标文件递交</w:t>
      </w:r>
    </w:p>
    <w:p w14:paraId="7107370D">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12.1 投标人应当在投标人须知前附表要求提交投标文件截止时间前</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根据《投标人须知前附表》载明方式提交投标文件。提交投标文件截止时间后</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递交投标文件的投标将被拒绝。</w:t>
      </w:r>
    </w:p>
    <w:p w14:paraId="377EB54E">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13</w:t>
      </w:r>
      <w:r>
        <w:rPr>
          <w:rFonts w:hint="eastAsia" w:ascii="宋体" w:hAnsi="宋体" w:cs="宋体"/>
          <w:color w:val="auto"/>
          <w:sz w:val="21"/>
          <w:szCs w:val="21"/>
          <w:highlight w:val="none"/>
          <w:lang w:eastAsia="zh-CN"/>
        </w:rPr>
        <w:t>.</w:t>
      </w:r>
      <w:r>
        <w:rPr>
          <w:rFonts w:hint="eastAsia" w:ascii="宋体" w:hAnsi="宋体" w:eastAsia="宋体" w:cs="宋体"/>
          <w:b/>
          <w:color w:val="auto"/>
          <w:sz w:val="21"/>
          <w:szCs w:val="21"/>
          <w:highlight w:val="none"/>
        </w:rPr>
        <w:t>投标文件补充</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修改或撤回</w:t>
      </w:r>
    </w:p>
    <w:p w14:paraId="558A8BB6">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投标人在投标截止时间前</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可以对所递交的投标文件进行补充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修改或者撤回</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并书面通知采购人或者采购代理机构。补充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修改的内容应当按照招标文件要求签署</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盖章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密封后</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作为投标文件的组成部分。</w:t>
      </w:r>
    </w:p>
    <w:p w14:paraId="4AD32A80">
      <w:pPr>
        <w:keepNext w:val="0"/>
        <w:keepLines w:val="0"/>
        <w:pageBreakBefore w:val="0"/>
        <w:widowControl/>
        <w:kinsoku/>
        <w:wordWrap/>
        <w:topLinePunct/>
        <w:autoSpaceDE w:val="0"/>
        <w:autoSpaceDN w:val="0"/>
        <w:bidi w:val="0"/>
        <w:adjustRightInd w:val="0"/>
        <w:snapToGrid w:val="0"/>
        <w:spacing w:after="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提交投标文件截止时间后</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不支持对已提交的投标文件作任何补充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修改或者撤回。</w:t>
      </w:r>
    </w:p>
    <w:p w14:paraId="169F7659">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center"/>
        <w:textAlignment w:val="auto"/>
        <w:outlineLvl w:val="1"/>
        <w:rPr>
          <w:rFonts w:hint="eastAsia" w:asciiTheme="minorEastAsia" w:hAnsiTheme="minorEastAsia" w:eastAsiaTheme="minorEastAsia" w:cstheme="minorEastAsia"/>
          <w:b/>
          <w:bCs/>
          <w:color w:val="auto"/>
          <w:sz w:val="24"/>
          <w:szCs w:val="24"/>
          <w:highlight w:val="none"/>
        </w:rPr>
      </w:pPr>
      <w:bookmarkStart w:id="40" w:name="_Toc31031_WPSOffice_Level2"/>
      <w:bookmarkStart w:id="41" w:name="_Toc17985"/>
      <w:bookmarkStart w:id="42" w:name="_Toc132880278"/>
      <w:r>
        <w:rPr>
          <w:rFonts w:hint="eastAsia" w:asciiTheme="minorEastAsia" w:hAnsiTheme="minorEastAsia" w:eastAsiaTheme="minorEastAsia" w:cstheme="minorEastAsia"/>
          <w:b/>
          <w:bCs/>
          <w:color w:val="auto"/>
          <w:sz w:val="24"/>
          <w:szCs w:val="24"/>
          <w:highlight w:val="none"/>
        </w:rPr>
        <w:t>五</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开标与评标</w:t>
      </w:r>
      <w:bookmarkEnd w:id="40"/>
      <w:bookmarkEnd w:id="41"/>
      <w:bookmarkEnd w:id="42"/>
    </w:p>
    <w:p w14:paraId="016189DB">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14</w:t>
      </w:r>
      <w:r>
        <w:rPr>
          <w:rFonts w:hint="eastAsia" w:ascii="宋体" w:hAnsi="宋体" w:cs="宋体"/>
          <w:color w:val="auto"/>
          <w:sz w:val="21"/>
          <w:szCs w:val="21"/>
          <w:highlight w:val="none"/>
          <w:lang w:eastAsia="zh-CN"/>
        </w:rPr>
        <w:t>.</w:t>
      </w:r>
      <w:r>
        <w:rPr>
          <w:rFonts w:hint="eastAsia" w:ascii="宋体" w:hAnsi="宋体" w:eastAsia="宋体" w:cs="宋体"/>
          <w:b/>
          <w:color w:val="auto"/>
          <w:sz w:val="21"/>
          <w:szCs w:val="21"/>
          <w:highlight w:val="none"/>
        </w:rPr>
        <w:t>开标</w:t>
      </w:r>
    </w:p>
    <w:p w14:paraId="69626218">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14.1 开标在招标文件确定的提交投标文件截止时间的同一时间进行。开标地点详见投标人须知前附表。</w:t>
      </w:r>
    </w:p>
    <w:p w14:paraId="28BB992F">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14.2 开标由</w:t>
      </w:r>
      <w:bookmarkStart w:id="43" w:name="_Toc7254_WPSOffice_Level2"/>
      <w:r>
        <w:rPr>
          <w:rFonts w:hint="eastAsia" w:ascii="宋体" w:hAnsi="宋体" w:eastAsia="宋体" w:cs="宋体"/>
          <w:b w:val="0"/>
          <w:bCs w:val="0"/>
          <w:color w:val="auto"/>
          <w:kern w:val="2"/>
          <w:sz w:val="21"/>
          <w:szCs w:val="21"/>
          <w:highlight w:val="none"/>
          <w:lang w:val="en-US" w:eastAsia="zh-CN" w:bidi="ar-SA"/>
        </w:rPr>
        <w:t>采购人或者采购</w:t>
      </w:r>
      <w:bookmarkEnd w:id="43"/>
      <w:r>
        <w:rPr>
          <w:rFonts w:hint="eastAsia" w:ascii="宋体" w:hAnsi="宋体" w:eastAsia="宋体" w:cs="宋体"/>
          <w:b w:val="0"/>
          <w:bCs w:val="0"/>
          <w:color w:val="auto"/>
          <w:kern w:val="2"/>
          <w:sz w:val="21"/>
          <w:szCs w:val="21"/>
          <w:highlight w:val="none"/>
          <w:lang w:val="en-US" w:eastAsia="zh-CN" w:bidi="ar-SA"/>
        </w:rPr>
        <w:t>代理机构主持</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邀请投标人参加。评标委员会成员不得参加开标活动。</w:t>
      </w:r>
    </w:p>
    <w:p w14:paraId="2308D915">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14.3 开标时</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由投标人或者其推选的代表检查投标文件的密封情况；经确认无误后</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由采购人或者采购代理机构工作人员当众拆封</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宣布投标人名称、投标价格和招标文件规定的需要宣布的其他内容。</w:t>
      </w:r>
    </w:p>
    <w:p w14:paraId="15D7F4BC">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14.4 开标过程由采购人或者采购代理机构负责记录</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由参加开标的各投标人代表和相关工作人员签字确认后随采购文件一并存档。投标人未参加开标的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视同认可开标结果。</w:t>
      </w:r>
    </w:p>
    <w:p w14:paraId="7331FA95">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14.5 投标人代表对开标过程和开标记录有疑义</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以及认为采购人、采购代理机构相关工作人员有需要回避的情形的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应当场提出询问或者回避申请。采购人、采购代理机构对投标人代表提出的询问或者回避申请应当及时处理。</w:t>
      </w:r>
    </w:p>
    <w:p w14:paraId="5680E830">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14.6 在政府采购活动中</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采购人员及相关人员与投标人有下列利害关系之一的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应当回避：</w:t>
      </w:r>
    </w:p>
    <w:p w14:paraId="7EF31182">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（1）参加采购活动前3年内与投标人存在劳动关系；</w:t>
      </w:r>
    </w:p>
    <w:p w14:paraId="68DFDD04">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（2）参加采购活动前3年内担任投标人的董事、监事；</w:t>
      </w:r>
    </w:p>
    <w:p w14:paraId="7B383D45">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（3）参加采购活动前3年内是投标人的控股股东或者实际控制人；</w:t>
      </w:r>
    </w:p>
    <w:p w14:paraId="4945AA40">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（4）与投标人的法定代表人或者负责人有夫妻、直系血亲、三代以内旁系血亲或者近姻亲关系；</w:t>
      </w:r>
    </w:p>
    <w:p w14:paraId="38A3D317">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（5）与投标人有其他可能影响政府采购活动公平、公正进行的关系。</w:t>
      </w:r>
    </w:p>
    <w:p w14:paraId="39773A2B">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投标人认为采购人员及相关人员（包括评标委员会的组成人员）与其他投标人有利害关系的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可以向采购人或者采购代理机构书面提出回避申请</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并说明理由。采购人或者采购代理机构应当及时询问被申请回避人员</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有利害关系的被申请回避人员应当回避。</w:t>
      </w:r>
    </w:p>
    <w:p w14:paraId="42E292C1">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15</w:t>
      </w:r>
      <w:r>
        <w:rPr>
          <w:rFonts w:hint="eastAsia" w:ascii="宋体" w:hAnsi="宋体" w:cs="宋体"/>
          <w:color w:val="auto"/>
          <w:sz w:val="21"/>
          <w:szCs w:val="21"/>
          <w:highlight w:val="none"/>
          <w:lang w:eastAsia="zh-CN"/>
        </w:rPr>
        <w:t>.</w:t>
      </w:r>
      <w:r>
        <w:rPr>
          <w:rFonts w:hint="eastAsia" w:ascii="宋体" w:hAnsi="宋体" w:eastAsia="宋体" w:cs="宋体"/>
          <w:b/>
          <w:color w:val="auto"/>
          <w:sz w:val="21"/>
          <w:szCs w:val="21"/>
          <w:highlight w:val="none"/>
        </w:rPr>
        <w:t>投标资格审查</w:t>
      </w:r>
    </w:p>
    <w:p w14:paraId="01B0AAEF">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15.1 公开招标采购项目开标结束后</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由采购人或者采购代理机构依法对投标人的资格进行审查</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以确定投标人是否具备投标资格。</w:t>
      </w:r>
    </w:p>
    <w:p w14:paraId="7CA0A045">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15.1.1 审查投标人按照8.2.1提交的“资格证明文件”。</w:t>
      </w:r>
    </w:p>
    <w:p w14:paraId="21471470">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15.1.2 信用记录审查。见投标人须知前附表。</w:t>
      </w:r>
    </w:p>
    <w:p w14:paraId="6CB5CF42">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15.2 未通过资格审查的投标人</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其投标无效。</w:t>
      </w:r>
    </w:p>
    <w:p w14:paraId="462BD559">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15.3 合格投标人不足3家的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不得评标。</w:t>
      </w:r>
    </w:p>
    <w:p w14:paraId="2A7E044D">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16</w:t>
      </w:r>
      <w:r>
        <w:rPr>
          <w:rFonts w:hint="eastAsia" w:ascii="宋体" w:hAnsi="宋体" w:cs="宋体"/>
          <w:color w:val="auto"/>
          <w:sz w:val="21"/>
          <w:szCs w:val="21"/>
          <w:highlight w:val="none"/>
          <w:lang w:eastAsia="zh-CN"/>
        </w:rPr>
        <w:t>.</w:t>
      </w:r>
      <w:r>
        <w:rPr>
          <w:rFonts w:hint="eastAsia" w:ascii="宋体" w:hAnsi="宋体" w:eastAsia="宋体" w:cs="宋体"/>
          <w:b/>
          <w:color w:val="auto"/>
          <w:sz w:val="21"/>
          <w:szCs w:val="21"/>
          <w:highlight w:val="none"/>
        </w:rPr>
        <w:t>评标委员会的组成</w:t>
      </w:r>
    </w:p>
    <w:p w14:paraId="59E91BC5">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采购人或者采购代理机构根据有关法律法规规定组建评标委员会</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评标委员会由采购人代表和评审专家组成。</w:t>
      </w:r>
    </w:p>
    <w:p w14:paraId="34D85FE3">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17</w:t>
      </w:r>
      <w:r>
        <w:rPr>
          <w:rFonts w:hint="eastAsia" w:ascii="宋体" w:hAnsi="宋体" w:cs="宋体"/>
          <w:color w:val="auto"/>
          <w:sz w:val="21"/>
          <w:szCs w:val="21"/>
          <w:highlight w:val="none"/>
          <w:lang w:eastAsia="zh-CN"/>
        </w:rPr>
        <w:t>.</w:t>
      </w:r>
      <w:r>
        <w:rPr>
          <w:rFonts w:hint="eastAsia" w:ascii="宋体" w:hAnsi="宋体" w:eastAsia="宋体" w:cs="宋体"/>
          <w:b/>
          <w:color w:val="auto"/>
          <w:sz w:val="21"/>
          <w:szCs w:val="21"/>
          <w:highlight w:val="none"/>
        </w:rPr>
        <w:t>投标符合性审查</w:t>
      </w:r>
    </w:p>
    <w:p w14:paraId="3C2B39D0">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 评标委员会对符合资格的投标人的投标文件进行符合性审查</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以确定其是否符合招标文件的商务、技术等实质性要求。</w:t>
      </w:r>
    </w:p>
    <w:p w14:paraId="1C4FF5C8">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17.2 </w:t>
      </w:r>
      <w:r>
        <w:rPr>
          <w:rFonts w:hint="eastAsia" w:ascii="宋体" w:hAnsi="宋体" w:eastAsia="宋体" w:cs="宋体"/>
          <w:color w:val="auto"/>
          <w:szCs w:val="21"/>
          <w:highlight w:val="none"/>
        </w:rPr>
        <w:t>异常低价审查</w:t>
      </w:r>
    </w:p>
    <w:p w14:paraId="57113F81">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（1）评审中出现下列情形之一的</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评审委员会应当启动异常低价投标审查程序：</w:t>
      </w:r>
    </w:p>
    <w:p w14:paraId="01356A18">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①投标报价低于全部通过符合性审查供应商投标报价平均值50%的</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即投标报价〈全部通过符合性审查供应商投标报价平均值×50%；</w:t>
      </w:r>
    </w:p>
    <w:p w14:paraId="77B6E91B">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②投标报价低于通过符合性审查的次低报价供应商投标报价50%的</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即投标报价〈通过符合性审查的次低报价供应商投标报价×50%；</w:t>
      </w:r>
    </w:p>
    <w:p w14:paraId="50D02A40">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③投标报价低于采购项目最高限价45%的</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即投标报价〈采购项目最高限价×45%；</w:t>
      </w:r>
    </w:p>
    <w:p w14:paraId="19F9D7E9">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④评审委员会基于专业判断</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认为供应商报价过低</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有可能影响产品质量或者不能诚信履约的其他情形。</w:t>
      </w:r>
    </w:p>
    <w:p w14:paraId="6CEFBB55">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相关法律法规对供应商报价有规定的</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从其规定。</w:t>
      </w:r>
    </w:p>
    <w:p w14:paraId="3DD31463">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（2）评审委员会启动异常低价投标审查后</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属于前述第①项至第④项情形的</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应当要求相关供应商在评审现场合理的时间内对投标价格作出解释</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提供项目具体成本测算等与报价合理性相关的书面说明及必要的证明材料</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包括但不限于原材料成本、人工成本、制造费用等</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给予相关供应商的合理时间一般不少于30分钟。其中</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属于第③项情形</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供应商已随投标文件一并提交相关书面说明及必要的证明材料的</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在评审现场可不再重复提交。</w:t>
      </w:r>
    </w:p>
    <w:p w14:paraId="5169A8BA">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（3）评审委员会依据专业经验</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参考同类项目中标价格、类似产品市场价格水平、行业人工费用标准、国家有关部门指导行业协会发布的行业平均成本等情况</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对报价合理性进行判断。投标供应商不能提供书面说明、证明材料</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或者提供的书面说明、证明材料不能证明其报价合理性的</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评审委员会应当将其作为无效投标处理。</w:t>
      </w:r>
    </w:p>
    <w:p w14:paraId="557015E8">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（4）异常低价投标（响应）审查的启动原因、审查意见和审查结果应当在评审报告中记录</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并随供应商提供的相关书面说明及证明材料</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以及评审委员会有关互联网浏览、查询历史一并归档。</w:t>
      </w:r>
    </w:p>
    <w:p w14:paraId="6C4EEBB7">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17.</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 xml:space="preserve"> 未通过符合性审查的投标人</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其投标无效。</w:t>
      </w:r>
    </w:p>
    <w:p w14:paraId="6155A835">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szCs w:val="21"/>
          <w:highlight w:val="none"/>
        </w:rPr>
        <w:t>17.</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 xml:space="preserve"> 通过符合性审查的投标人不足3家的</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应予以废标。</w:t>
      </w:r>
    </w:p>
    <w:p w14:paraId="0EED5B4E">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18</w:t>
      </w:r>
      <w:r>
        <w:rPr>
          <w:rFonts w:hint="eastAsia" w:ascii="宋体" w:hAnsi="宋体" w:cs="宋体"/>
          <w:color w:val="auto"/>
          <w:sz w:val="21"/>
          <w:szCs w:val="21"/>
          <w:highlight w:val="none"/>
          <w:lang w:eastAsia="zh-CN"/>
        </w:rPr>
        <w:t>.</w:t>
      </w:r>
      <w:r>
        <w:rPr>
          <w:rFonts w:hint="eastAsia" w:ascii="宋体" w:hAnsi="宋体" w:eastAsia="宋体" w:cs="宋体"/>
          <w:b/>
          <w:color w:val="auto"/>
          <w:sz w:val="21"/>
          <w:szCs w:val="21"/>
          <w:highlight w:val="none"/>
        </w:rPr>
        <w:t>投标文件的澄清</w:t>
      </w:r>
    </w:p>
    <w:p w14:paraId="373972E6">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18.1对于投标文件中含义不明确、同类问题表述不一致或者有明显文字和计算错误的内容</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评标委员会应当以书面形式要求投标人作出必要的澄清、说明或者补正。</w:t>
      </w:r>
    </w:p>
    <w:p w14:paraId="5E64FC29">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18.2投标人的澄清、说明或者补正应当采用书面形式</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并加盖公章</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或者由法定代表人或其授权的代表签字。投标人的澄清、说明或者补正不得超出投标文件的范围或者改变投标文件的实质性内容。</w:t>
      </w:r>
    </w:p>
    <w:p w14:paraId="715FDD90">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18.3关于投标描述（即投标文件中描述的内容）</w:t>
      </w:r>
    </w:p>
    <w:p w14:paraId="63847529">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（1）投标描述前后不一致且不涉及证明材料的：按照本节第18.1条规定执行。</w:t>
      </w:r>
    </w:p>
    <w:p w14:paraId="175909D8">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（2）投标描述与证明材料不一致或多份证</w:t>
      </w:r>
      <w:bookmarkStart w:id="44" w:name="_Toc17372_WPSOffice_Level2"/>
      <w:r>
        <w:rPr>
          <w:rFonts w:hint="eastAsia" w:ascii="宋体" w:hAnsi="宋体" w:eastAsia="宋体" w:cs="宋体"/>
          <w:b w:val="0"/>
          <w:bCs w:val="0"/>
          <w:color w:val="auto"/>
          <w:kern w:val="2"/>
          <w:sz w:val="21"/>
          <w:szCs w:val="21"/>
          <w:highlight w:val="none"/>
          <w:lang w:val="en-US" w:eastAsia="zh-CN" w:bidi="ar-SA"/>
        </w:rPr>
        <w:t>明材料之间不</w:t>
      </w:r>
      <w:bookmarkEnd w:id="44"/>
      <w:r>
        <w:rPr>
          <w:rFonts w:hint="eastAsia" w:ascii="宋体" w:hAnsi="宋体" w:eastAsia="宋体" w:cs="宋体"/>
          <w:b w:val="0"/>
          <w:bCs w:val="0"/>
          <w:color w:val="auto"/>
          <w:kern w:val="2"/>
          <w:sz w:val="21"/>
          <w:szCs w:val="21"/>
          <w:highlight w:val="none"/>
          <w:lang w:val="en-US" w:eastAsia="zh-CN" w:bidi="ar-SA"/>
        </w:rPr>
        <w:t>一致的：</w:t>
      </w:r>
    </w:p>
    <w:p w14:paraId="79F1A600">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①评标委员会将要求投标人进行书面澄清</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无法澄清的将按照不利于投标人的内容进行评标。</w:t>
      </w:r>
    </w:p>
    <w:p w14:paraId="31DDE070">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②投标人按照要求进行澄清的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采购人以澄清内容为准进行验收；投标人未按照要求进行澄清的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采购人以投标描述或证明材料中有利于采购人的内容进行验收。投标人应对证明材料的真实性、有效性承担责任。</w:t>
      </w:r>
    </w:p>
    <w:p w14:paraId="2C53819E">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（3）若中标人的投标描述存在前后不一致、与证明材料不一致或多份证明材料之间不一致情形之一但在评标中未能发现</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则采购人将以投标描述或证明材料中有利于采购人的内容进行验收</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中标人应自行承担由此产生的风险及费用。</w:t>
      </w:r>
    </w:p>
    <w:p w14:paraId="6B85FEF5">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18.4 除评标委员会要求投标人做出的澄清、说明或者补正以外</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评标委员会不接受投标人的任何询问、说明、更改及文件。</w:t>
      </w:r>
    </w:p>
    <w:p w14:paraId="6EBD164D">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18.5 投标人的澄清必须在规定的时间内提交。</w:t>
      </w:r>
    </w:p>
    <w:p w14:paraId="02725297">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19</w:t>
      </w:r>
      <w:r>
        <w:rPr>
          <w:rFonts w:hint="eastAsia" w:ascii="宋体" w:hAnsi="宋体" w:cs="宋体"/>
          <w:color w:val="auto"/>
          <w:sz w:val="21"/>
          <w:szCs w:val="21"/>
          <w:highlight w:val="none"/>
          <w:lang w:eastAsia="zh-CN"/>
        </w:rPr>
        <w:t>.</w:t>
      </w:r>
      <w:r>
        <w:rPr>
          <w:rFonts w:hint="eastAsia" w:ascii="宋体" w:hAnsi="宋体" w:eastAsia="宋体" w:cs="宋体"/>
          <w:b/>
          <w:color w:val="auto"/>
          <w:sz w:val="21"/>
          <w:szCs w:val="21"/>
          <w:highlight w:val="none"/>
        </w:rPr>
        <w:t>核价原则</w:t>
      </w:r>
    </w:p>
    <w:p w14:paraId="6E1F54C0">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19.1 投标文件报价出现前后不一致的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除招标文件另有规定外</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按照下列规定修正：</w:t>
      </w:r>
    </w:p>
    <w:p w14:paraId="6ABDCE33">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（1）投标文件中开标一览表（总报价表）内容与投标文件中相应内容不一致的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以开标一览表（总报价表）为准；</w:t>
      </w:r>
    </w:p>
    <w:p w14:paraId="3976E0F1">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（2）大写金额和小写金额不一致的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以大写金额为准；</w:t>
      </w:r>
    </w:p>
    <w:p w14:paraId="5D521A41">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（3）单价金额小数点或者百分比有明显错位的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以开标一览表的总价为准</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并修改单价；</w:t>
      </w:r>
    </w:p>
    <w:p w14:paraId="5F048E7F">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（4）总价金额与按单价汇总金额不一致的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以单价金额计算结果为准；</w:t>
      </w:r>
    </w:p>
    <w:p w14:paraId="5DB75552">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（5）同时出现两种以上不一致的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按照前款规定的顺序修正。修正后的报价按照18.2条的规定经投标人确认后产生约束力</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投标人不确认的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其投标无效。</w:t>
      </w:r>
    </w:p>
    <w:p w14:paraId="7756705D">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20</w:t>
      </w:r>
      <w:r>
        <w:rPr>
          <w:rFonts w:hint="eastAsia" w:ascii="宋体" w:hAnsi="宋体" w:cs="宋体"/>
          <w:color w:val="auto"/>
          <w:sz w:val="21"/>
          <w:szCs w:val="21"/>
          <w:highlight w:val="none"/>
          <w:lang w:eastAsia="zh-CN"/>
        </w:rPr>
        <w:t>.</w:t>
      </w:r>
      <w:r>
        <w:rPr>
          <w:rFonts w:hint="eastAsia" w:ascii="宋体" w:hAnsi="宋体" w:eastAsia="宋体" w:cs="宋体"/>
          <w:b/>
          <w:color w:val="auto"/>
          <w:sz w:val="21"/>
          <w:szCs w:val="21"/>
          <w:highlight w:val="none"/>
        </w:rPr>
        <w:t>投标无效</w:t>
      </w:r>
    </w:p>
    <w:p w14:paraId="3CFB5BCC">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20.1 投标人及投标文件有下列情况之一的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应当在资格审查时按照投标无效处理：</w:t>
      </w:r>
    </w:p>
    <w:p w14:paraId="192DE8BD">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不具备招标文件中规定的资格要求的；</w:t>
      </w:r>
    </w:p>
    <w:p w14:paraId="3EA746CC">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投标文件组成中“资格证明文件”未提供或无效的；</w:t>
      </w:r>
    </w:p>
    <w:p w14:paraId="5654A084">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未通过信用记录审查或未提供相关证明材料的。</w:t>
      </w:r>
    </w:p>
    <w:p w14:paraId="6B2617A4">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20.2 投标人及投标文件有下列情况之一的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应当在符合性审查时按照投标无效处理：</w:t>
      </w:r>
    </w:p>
    <w:p w14:paraId="14B33417">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投标文件组成中除“资格证明文件”外</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★条款相关文件及资料未提供或提供无效的；</w:t>
      </w:r>
    </w:p>
    <w:p w14:paraId="4D13AA8C">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投标文件未按招标文件要求签署、盖章的；</w:t>
      </w:r>
    </w:p>
    <w:p w14:paraId="435980CB">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 投标报价超过招标文件中规定的预算金额或者最高限价的；</w:t>
      </w:r>
    </w:p>
    <w:p w14:paraId="70454F9A">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投标有效期不足的；</w:t>
      </w:r>
    </w:p>
    <w:p w14:paraId="70CFF6F8">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 投标文件含有采购人不能接受的附加条件的；</w:t>
      </w:r>
    </w:p>
    <w:p w14:paraId="7C665844">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20.3 除20.1及20.2情形外</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投标人及投标文件有下列情况之一的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应当按照投标无效处理：</w:t>
      </w:r>
    </w:p>
    <w:p w14:paraId="3045185A">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 提供虚假投标文件材料的；</w:t>
      </w:r>
    </w:p>
    <w:p w14:paraId="78BB17A3">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 投标人串通投标的；</w:t>
      </w:r>
    </w:p>
    <w:p w14:paraId="6F5E0019">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有下列情形之一的</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视为投标人串通投标</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其投标无效：</w:t>
      </w:r>
    </w:p>
    <w:p w14:paraId="0F24106F">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①</w:t>
      </w:r>
      <w:r>
        <w:rPr>
          <w:rFonts w:hint="eastAsia" w:ascii="宋体" w:hAnsi="宋体" w:eastAsia="宋体" w:cs="宋体"/>
          <w:color w:val="auto"/>
          <w:szCs w:val="21"/>
          <w:highlight w:val="none"/>
        </w:rPr>
        <w:t>不同投标人的投标文件由同一单位或者个人编制；</w:t>
      </w:r>
    </w:p>
    <w:p w14:paraId="32522718">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②</w:t>
      </w:r>
      <w:r>
        <w:rPr>
          <w:rFonts w:hint="eastAsia" w:ascii="宋体" w:hAnsi="宋体" w:eastAsia="宋体" w:cs="宋体"/>
          <w:color w:val="auto"/>
          <w:szCs w:val="21"/>
          <w:highlight w:val="none"/>
        </w:rPr>
        <w:t>不同投标人委托同一单位或者个人办理投标事宜；</w:t>
      </w:r>
    </w:p>
    <w:p w14:paraId="3A37F4E3">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③</w:t>
      </w:r>
      <w:r>
        <w:rPr>
          <w:rFonts w:hint="eastAsia" w:ascii="宋体" w:hAnsi="宋体" w:eastAsia="宋体" w:cs="宋体"/>
          <w:color w:val="auto"/>
          <w:szCs w:val="21"/>
          <w:highlight w:val="none"/>
        </w:rPr>
        <w:t>不同投标人的投标文件载明的项目管理成员或者联系人员为同一人；</w:t>
      </w:r>
    </w:p>
    <w:p w14:paraId="69E7D941">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④</w:t>
      </w:r>
      <w:r>
        <w:rPr>
          <w:rFonts w:hint="eastAsia" w:ascii="宋体" w:hAnsi="宋体" w:eastAsia="宋体" w:cs="宋体"/>
          <w:color w:val="auto"/>
          <w:szCs w:val="21"/>
          <w:highlight w:val="none"/>
        </w:rPr>
        <w:t>不同投标人的投标文件异常一致或者投标报价呈规律性差异；</w:t>
      </w:r>
    </w:p>
    <w:p w14:paraId="2048D26B">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⑤</w:t>
      </w:r>
      <w:r>
        <w:rPr>
          <w:rFonts w:hint="eastAsia" w:ascii="宋体" w:hAnsi="宋体" w:eastAsia="宋体" w:cs="宋体"/>
          <w:color w:val="auto"/>
          <w:szCs w:val="21"/>
          <w:highlight w:val="none"/>
        </w:rPr>
        <w:t>不同投标人的投标文件相互混装；</w:t>
      </w:r>
    </w:p>
    <w:p w14:paraId="725CBA00">
      <w:pPr>
        <w:keepNext w:val="0"/>
        <w:keepLines w:val="0"/>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⑥</w:t>
      </w:r>
      <w:r>
        <w:rPr>
          <w:rFonts w:hint="eastAsia" w:ascii="宋体" w:hAnsi="宋体" w:eastAsia="宋体" w:cs="宋体"/>
          <w:color w:val="auto"/>
          <w:szCs w:val="21"/>
          <w:highlight w:val="none"/>
        </w:rPr>
        <w:t>不同投标人的投标保证金从同一单位或者个人的账户转出。</w:t>
      </w:r>
    </w:p>
    <w:p w14:paraId="5EA813D0">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启动异常低价投标审查程序后，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7B43FD81">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 法律、法规和招标文件规定的其他无效情形。</w:t>
      </w:r>
    </w:p>
    <w:p w14:paraId="6D6DBD4C">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21</w:t>
      </w:r>
      <w:r>
        <w:rPr>
          <w:rFonts w:hint="eastAsia" w:ascii="宋体" w:hAnsi="宋体" w:cs="宋体"/>
          <w:color w:val="auto"/>
          <w:sz w:val="21"/>
          <w:szCs w:val="21"/>
          <w:highlight w:val="none"/>
          <w:lang w:eastAsia="zh-CN"/>
        </w:rPr>
        <w:t>.</w:t>
      </w:r>
      <w:r>
        <w:rPr>
          <w:rFonts w:hint="eastAsia" w:ascii="宋体" w:hAnsi="宋体" w:eastAsia="宋体" w:cs="宋体"/>
          <w:b/>
          <w:color w:val="auto"/>
          <w:sz w:val="21"/>
          <w:szCs w:val="21"/>
          <w:highlight w:val="none"/>
        </w:rPr>
        <w:t>比较与评价</w:t>
      </w:r>
    </w:p>
    <w:p w14:paraId="4221772B">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21.1 评标委员会按照招标文件中规定的评标方法和标准</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对符合性审查合格的投标文件进行商务和技术评估</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综合比较与评价。</w:t>
      </w:r>
    </w:p>
    <w:p w14:paraId="7593DB11">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21.2 价格分应当采用低价优先法计算。小型、微型企业和监狱企业、残疾人福利性单位的投标报价按照投标人须知前附表规定</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分别给予扣除</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并以扣除后的报价计算价格分。未提供《中小型企业声明函》、《监狱企业证明文件》、《残疾人福利性单位声明函》的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价格不予扣除。同一投标人不得重复享受价格扣除政策。专门面向中小微企业采购的项目不再执行价格扣除要求。</w:t>
      </w:r>
    </w:p>
    <w:p w14:paraId="23473CFD">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21.3 评标委员会各成员独立对每个投标人的投标文件进行评价</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并汇总得出每个投标人的评审得分。</w:t>
      </w:r>
    </w:p>
    <w:p w14:paraId="309435C6">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21.4 评标结果按评审得分由高到低顺序排列。得分相同的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按投标报价由低到高顺序排列。得分且投标报价相同的并列。投标文件满足招标文件全部实质性要求</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且按照评审因素的量化指标评审得分最高的投标人为排名第一的中标候选人。</w:t>
      </w:r>
    </w:p>
    <w:p w14:paraId="01BA18C4">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21.5 评标方法及标准详见招标文件 第三章</w:t>
      </w:r>
      <w:r>
        <w:rPr>
          <w:rFonts w:hint="eastAsia" w:ascii="宋体" w:hAnsi="宋体" w:cs="宋体"/>
          <w:b w:val="0"/>
          <w:bCs w:val="0"/>
          <w:color w:val="auto"/>
          <w:kern w:val="2"/>
          <w:sz w:val="21"/>
          <w:szCs w:val="21"/>
          <w:highlight w:val="none"/>
          <w:lang w:val="en-US" w:eastAsia="zh-CN" w:bidi="ar-SA"/>
        </w:rPr>
        <w:t xml:space="preserve"> 资格审查、评标方法及标准</w:t>
      </w:r>
      <w:r>
        <w:rPr>
          <w:rFonts w:hint="eastAsia" w:ascii="宋体" w:hAnsi="宋体" w:eastAsia="宋体" w:cs="宋体"/>
          <w:b w:val="0"/>
          <w:bCs w:val="0"/>
          <w:color w:val="auto"/>
          <w:kern w:val="2"/>
          <w:sz w:val="21"/>
          <w:szCs w:val="21"/>
          <w:highlight w:val="none"/>
          <w:lang w:val="en-US" w:eastAsia="zh-CN" w:bidi="ar-SA"/>
        </w:rPr>
        <w:t>。</w:t>
      </w:r>
    </w:p>
    <w:p w14:paraId="6F854223">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21.6 评标委员会成员应当在评标报告上签字</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对自己的评审意见承担法律责任。评标委员会成员对需要共同认定的事项存在争议的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应当按照少数服从多数的原则作出结论。持不同意见的评标委员会成员应当在评标报告上签署不同意见及理由</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否则视为同意评标报告。</w:t>
      </w:r>
    </w:p>
    <w:p w14:paraId="08C37121">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22</w:t>
      </w:r>
      <w:r>
        <w:rPr>
          <w:rFonts w:hint="eastAsia" w:ascii="宋体" w:hAnsi="宋体" w:cs="宋体"/>
          <w:color w:val="auto"/>
          <w:sz w:val="21"/>
          <w:szCs w:val="21"/>
          <w:highlight w:val="none"/>
          <w:lang w:eastAsia="zh-CN"/>
        </w:rPr>
        <w:t>.</w:t>
      </w:r>
      <w:r>
        <w:rPr>
          <w:rFonts w:hint="eastAsia" w:ascii="宋体" w:hAnsi="宋体" w:eastAsia="宋体" w:cs="宋体"/>
          <w:b/>
          <w:color w:val="auto"/>
          <w:sz w:val="21"/>
          <w:szCs w:val="21"/>
          <w:highlight w:val="none"/>
        </w:rPr>
        <w:t>废标</w:t>
      </w:r>
    </w:p>
    <w:p w14:paraId="489D3CC1">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22.1 在招标采购中</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出现下列情形之一的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应予废标：</w:t>
      </w:r>
    </w:p>
    <w:p w14:paraId="4EF6C330">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（1）符合专业条件的供应商或者对招标文</w:t>
      </w:r>
      <w:bookmarkStart w:id="45" w:name="_Toc2372_WPSOffice_Level2"/>
      <w:r>
        <w:rPr>
          <w:rFonts w:hint="eastAsia" w:ascii="宋体" w:hAnsi="宋体" w:eastAsia="宋体" w:cs="宋体"/>
          <w:b w:val="0"/>
          <w:bCs w:val="0"/>
          <w:color w:val="auto"/>
          <w:kern w:val="2"/>
          <w:sz w:val="21"/>
          <w:szCs w:val="21"/>
          <w:highlight w:val="none"/>
          <w:lang w:val="en-US" w:eastAsia="zh-CN" w:bidi="ar-SA"/>
        </w:rPr>
        <w:t>件作实质响应的供应</w:t>
      </w:r>
      <w:bookmarkEnd w:id="45"/>
      <w:r>
        <w:rPr>
          <w:rFonts w:hint="eastAsia" w:ascii="宋体" w:hAnsi="宋体" w:eastAsia="宋体" w:cs="宋体"/>
          <w:b w:val="0"/>
          <w:bCs w:val="0"/>
          <w:color w:val="auto"/>
          <w:kern w:val="2"/>
          <w:sz w:val="21"/>
          <w:szCs w:val="21"/>
          <w:highlight w:val="none"/>
          <w:lang w:val="en-US" w:eastAsia="zh-CN" w:bidi="ar-SA"/>
        </w:rPr>
        <w:t>商不足三家的；</w:t>
      </w:r>
    </w:p>
    <w:p w14:paraId="7A0A879D">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（2）出现影响采购公正的违法、违规行为的；</w:t>
      </w:r>
    </w:p>
    <w:p w14:paraId="7F3B6A4F">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（3）投标人的报价均超过了采购预算</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采购人不能支付的；</w:t>
      </w:r>
    </w:p>
    <w:p w14:paraId="52024DFE">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（4）因重大变故</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采购任务取消的。</w:t>
      </w:r>
    </w:p>
    <w:p w14:paraId="30D76B66">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22.2 废标后</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采购人或者采购代理机构将废标理由通知所有投标人。</w:t>
      </w:r>
    </w:p>
    <w:p w14:paraId="4A0A6DB9">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center"/>
        <w:textAlignment w:val="auto"/>
        <w:outlineLvl w:val="1"/>
        <w:rPr>
          <w:rFonts w:hint="eastAsia" w:asciiTheme="minorEastAsia" w:hAnsiTheme="minorEastAsia" w:eastAsiaTheme="minorEastAsia" w:cstheme="minorEastAsia"/>
          <w:b/>
          <w:bCs/>
          <w:color w:val="auto"/>
          <w:sz w:val="24"/>
          <w:szCs w:val="24"/>
          <w:highlight w:val="none"/>
        </w:rPr>
      </w:pPr>
      <w:bookmarkStart w:id="46" w:name="_Toc8721"/>
      <w:bookmarkStart w:id="47" w:name="_Toc3123_WPSOffice_Level2"/>
      <w:bookmarkStart w:id="48" w:name="_Toc132880279"/>
      <w:r>
        <w:rPr>
          <w:rFonts w:hint="eastAsia" w:asciiTheme="minorEastAsia" w:hAnsiTheme="minorEastAsia" w:eastAsiaTheme="minorEastAsia" w:cstheme="minorEastAsia"/>
          <w:b/>
          <w:bCs/>
          <w:color w:val="auto"/>
          <w:sz w:val="24"/>
          <w:szCs w:val="24"/>
          <w:highlight w:val="none"/>
        </w:rPr>
        <w:t>六</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中标和合同</w:t>
      </w:r>
      <w:bookmarkEnd w:id="46"/>
      <w:bookmarkEnd w:id="47"/>
      <w:bookmarkEnd w:id="48"/>
    </w:p>
    <w:p w14:paraId="4BB26C02">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23</w:t>
      </w:r>
      <w:r>
        <w:rPr>
          <w:rFonts w:hint="eastAsia" w:ascii="宋体" w:hAnsi="宋体" w:cs="宋体"/>
          <w:color w:val="auto"/>
          <w:sz w:val="21"/>
          <w:szCs w:val="21"/>
          <w:highlight w:val="none"/>
          <w:lang w:eastAsia="zh-CN"/>
        </w:rPr>
        <w:t>.</w:t>
      </w:r>
      <w:r>
        <w:rPr>
          <w:rFonts w:hint="eastAsia" w:ascii="宋体" w:hAnsi="宋体" w:eastAsia="宋体" w:cs="宋体"/>
          <w:b/>
          <w:color w:val="auto"/>
          <w:sz w:val="21"/>
          <w:szCs w:val="21"/>
          <w:highlight w:val="none"/>
        </w:rPr>
        <w:t>中标</w:t>
      </w:r>
    </w:p>
    <w:p w14:paraId="1944CCD4">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23.1采购代理机构应当在评标结束后2个工作日内将评标报告送采购人。采购人应当自收到评标报告之日起５个工作日内</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在评标报告确定的中标候选人名单中按顺序确定中标人。中标候选人并列的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由采购人或者采购人委托评标委员会按照招标文件规定的方式确定中标人；招标文件未规定的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采取随机抽取的方式确定。</w:t>
      </w:r>
    </w:p>
    <w:p w14:paraId="237DECB4">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采购人自行组织招标的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采购人应当在评标结束后5个工作日内</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按评标报告推荐的中标候选人顺序确定中标人。</w:t>
      </w:r>
    </w:p>
    <w:p w14:paraId="548F206E">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23.2 采购人或者采购代理机构应当自中标人确定之日起2个工作日内</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在投标人须知前附表规定的媒体上公告中标结果</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招标文件应随中标结果同时公告。中标公告期限为1个工作日。</w:t>
      </w:r>
    </w:p>
    <w:p w14:paraId="3083B579">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23.3 在公告中标结果的同时</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采购人或者采购代理机构应当向中标人发出中标通知书；对未通过资格审查的投标人</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告知其未通过的原因；采用综合评分法评审的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同时告知未中标人本人的评审得分与排序。</w:t>
      </w:r>
    </w:p>
    <w:p w14:paraId="7E1C2ED7">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23.4 中标通知书发出后</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采购人或者采购代理机构不得违法改变中标结果</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中标人无正当理由不得放弃中标。</w:t>
      </w:r>
    </w:p>
    <w:p w14:paraId="397413B0">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23.5 中标通知书对采购人和中标人具有同等法律效力。</w:t>
      </w:r>
    </w:p>
    <w:p w14:paraId="1E6AE5CC">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24</w:t>
      </w:r>
      <w:r>
        <w:rPr>
          <w:rFonts w:hint="eastAsia" w:ascii="宋体" w:hAnsi="宋体" w:cs="宋体"/>
          <w:color w:val="auto"/>
          <w:sz w:val="21"/>
          <w:szCs w:val="21"/>
          <w:highlight w:val="none"/>
          <w:lang w:eastAsia="zh-CN"/>
        </w:rPr>
        <w:t>.</w:t>
      </w:r>
      <w:r>
        <w:rPr>
          <w:rFonts w:hint="eastAsia" w:ascii="宋体" w:hAnsi="宋体" w:eastAsia="宋体" w:cs="宋体"/>
          <w:b/>
          <w:color w:val="auto"/>
          <w:sz w:val="21"/>
          <w:szCs w:val="21"/>
          <w:highlight w:val="none"/>
        </w:rPr>
        <w:t>签订合同</w:t>
      </w:r>
    </w:p>
    <w:p w14:paraId="79335307">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 采购人应当自中标通知书发出之日起30日内</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按照招标文件和中标人投标文件的规定</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与中标人签订合同。</w:t>
      </w:r>
    </w:p>
    <w:p w14:paraId="713D3C3C">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 所签订的合同不得对招标文件确定的事项和中标人投标文件作实质性修改。</w:t>
      </w:r>
    </w:p>
    <w:p w14:paraId="3F444AD2">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 采购人不得向中标人提出任何不合理的要求作为签订合同的条件。</w:t>
      </w:r>
    </w:p>
    <w:p w14:paraId="3BA168DD">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24.4 中标人拒绝与采购人签订合同的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采购人可以按照评审报告推荐的中标候选人名单排序</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确定下一候选人为中标人</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也可以重新开展政府采购活动。</w:t>
      </w:r>
    </w:p>
    <w:p w14:paraId="6FBAA463">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25</w:t>
      </w:r>
      <w:r>
        <w:rPr>
          <w:rFonts w:hint="eastAsia" w:ascii="宋体" w:hAnsi="宋体" w:cs="宋体"/>
          <w:color w:val="auto"/>
          <w:sz w:val="21"/>
          <w:szCs w:val="21"/>
          <w:highlight w:val="none"/>
          <w:lang w:eastAsia="zh-CN"/>
        </w:rPr>
        <w:t>.</w:t>
      </w:r>
      <w:r>
        <w:rPr>
          <w:rFonts w:hint="eastAsia" w:ascii="宋体" w:hAnsi="宋体" w:eastAsia="宋体" w:cs="宋体"/>
          <w:b/>
          <w:color w:val="auto"/>
          <w:sz w:val="21"/>
          <w:szCs w:val="21"/>
          <w:highlight w:val="none"/>
        </w:rPr>
        <w:t>履约保证金</w:t>
      </w:r>
    </w:p>
    <w:p w14:paraId="36F38D4E">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25.1 需提交履约保证金的项目</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中标人应在合同签订之日起30日内</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按照投标人须知前附表的规定</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向采购人提交履约保证金。</w:t>
      </w:r>
    </w:p>
    <w:p w14:paraId="139AD708">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center"/>
        <w:textAlignment w:val="auto"/>
        <w:outlineLvl w:val="1"/>
        <w:rPr>
          <w:rFonts w:hint="eastAsia" w:asciiTheme="minorEastAsia" w:hAnsiTheme="minorEastAsia" w:eastAsiaTheme="minorEastAsia" w:cstheme="minorEastAsia"/>
          <w:b/>
          <w:bCs/>
          <w:color w:val="auto"/>
          <w:sz w:val="24"/>
          <w:szCs w:val="24"/>
          <w:highlight w:val="none"/>
        </w:rPr>
      </w:pPr>
      <w:bookmarkStart w:id="49" w:name="_Toc13284_WPSOffice_Level2"/>
      <w:bookmarkStart w:id="50" w:name="_Toc22751"/>
      <w:bookmarkStart w:id="51" w:name="_Toc132880280"/>
      <w:r>
        <w:rPr>
          <w:rFonts w:hint="eastAsia" w:asciiTheme="minorEastAsia" w:hAnsiTheme="minorEastAsia" w:eastAsiaTheme="minorEastAsia" w:cstheme="minorEastAsia"/>
          <w:b/>
          <w:bCs/>
          <w:color w:val="auto"/>
          <w:sz w:val="24"/>
          <w:szCs w:val="24"/>
          <w:highlight w:val="none"/>
        </w:rPr>
        <w:t>七</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询问和质疑</w:t>
      </w:r>
      <w:bookmarkEnd w:id="49"/>
      <w:bookmarkEnd w:id="50"/>
      <w:bookmarkEnd w:id="51"/>
    </w:p>
    <w:p w14:paraId="131F619C">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26. 询问</w:t>
      </w:r>
    </w:p>
    <w:p w14:paraId="384A3B21">
      <w:pPr>
        <w:keepNext w:val="0"/>
        <w:keepLines w:val="0"/>
        <w:pageBreakBefore w:val="0"/>
        <w:kinsoku/>
        <w:wordWrap/>
        <w:topLinePunct/>
        <w:autoSpaceDE w:val="0"/>
        <w:autoSpaceDN w:val="0"/>
        <w:bidi w:val="0"/>
        <w:adjustRightInd w:val="0"/>
        <w:snapToGrid w:val="0"/>
        <w:spacing w:after="0"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26.1潜在投标人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投标人对政府采购活动事项有疑问的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可以向采购人或者采购代理机构提出询问</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采购人或者采购代理机构应当在3个工作日内对依法提出的询问作出答复</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但答复的内容不得涉及商业秘密。</w:t>
      </w:r>
    </w:p>
    <w:p w14:paraId="654A3779">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27</w:t>
      </w:r>
      <w:r>
        <w:rPr>
          <w:rFonts w:hint="eastAsia" w:ascii="宋体" w:hAnsi="宋体" w:cs="宋体"/>
          <w:color w:val="auto"/>
          <w:sz w:val="21"/>
          <w:szCs w:val="21"/>
          <w:highlight w:val="none"/>
          <w:lang w:eastAsia="zh-CN"/>
        </w:rPr>
        <w:t>.</w:t>
      </w:r>
      <w:r>
        <w:rPr>
          <w:rFonts w:hint="eastAsia" w:ascii="宋体" w:hAnsi="宋体" w:eastAsia="宋体" w:cs="宋体"/>
          <w:b/>
          <w:color w:val="auto"/>
          <w:sz w:val="21"/>
          <w:szCs w:val="21"/>
          <w:highlight w:val="none"/>
        </w:rPr>
        <w:t>质疑</w:t>
      </w:r>
    </w:p>
    <w:p w14:paraId="0ED65A28">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27.1潜在投标人、投标人（统称质疑人）认为招标文件、招标过程和中标结果使自己的权益受到损害的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可以在知道或者应知其权益受到损害之日起7个工作日内以书面形式向采购人或者采购代理机构提出质疑。联系部门、联系电话、通讯地址、电子邮箱见投标人须知前附表。</w:t>
      </w:r>
    </w:p>
    <w:p w14:paraId="336B54DD">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27.2在法定质疑期内</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针对同一采购程序环节的质疑应一次性提出。</w:t>
      </w:r>
    </w:p>
    <w:p w14:paraId="656B691C">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27.3质疑人应知其权益受到损害之日</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 xml:space="preserve">是指： </w:t>
      </w:r>
    </w:p>
    <w:p w14:paraId="3155261E">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（1）对可以质疑的采购文件提出质疑的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为收到采购文件之日或者采购文件公告期限届满之日；</w:t>
      </w:r>
    </w:p>
    <w:p w14:paraId="7B5A259A">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（2）对采购过程提出质疑的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为各采购程序环节结束之日；</w:t>
      </w:r>
    </w:p>
    <w:p w14:paraId="3334D6D7">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（3）对中标结果提出质疑的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为中标结果公告期限届满之日。</w:t>
      </w:r>
    </w:p>
    <w:p w14:paraId="55DC5608">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27.4质疑应当有明确的请求和必要的证明材料。供应商为自然人的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应当由本人签字；供应商为法人或者其他组织的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应当由法定代表人、主要负责人</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或者其授权代表签字或者签章</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并加盖公章。</w:t>
      </w:r>
    </w:p>
    <w:p w14:paraId="4A152F04">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27.5 采购人或者代理机构应当在收到供应商的质疑函后7个工作日内</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对质疑内容作出答复</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书面形式通知质疑供应商和其他有关供应商</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但答复内容不得涉及商业秘密。</w:t>
      </w:r>
    </w:p>
    <w:p w14:paraId="6D155030">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27.6质疑人对采购人、采购代理机构的答复不满意或者采购人、采购代理机构未在规定的时间内作出答复的</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可以在答复期满后15个工作日内向同级人民政府财政部门投诉。</w:t>
      </w:r>
    </w:p>
    <w:p w14:paraId="56B76ACB">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27.7投诉应当有明确的请求和必要的证</w:t>
      </w:r>
      <w:r>
        <w:rPr>
          <w:rFonts w:hint="eastAsia" w:ascii="宋体" w:hAnsi="宋体" w:eastAsia="宋体" w:cs="宋体"/>
          <w:color w:val="auto"/>
          <w:sz w:val="21"/>
          <w:szCs w:val="21"/>
          <w:highlight w:val="none"/>
        </w:rPr>
        <w:t>明材料。投诉的事项不得超出已质疑事项的范围。</w:t>
      </w:r>
    </w:p>
    <w:p w14:paraId="0D32C4CB">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center"/>
        <w:textAlignment w:val="auto"/>
        <w:outlineLvl w:val="1"/>
        <w:rPr>
          <w:rFonts w:hint="eastAsia" w:asciiTheme="minorEastAsia" w:hAnsiTheme="minorEastAsia" w:eastAsiaTheme="minorEastAsia" w:cstheme="minorEastAsia"/>
          <w:b/>
          <w:bCs/>
          <w:color w:val="auto"/>
          <w:sz w:val="24"/>
          <w:szCs w:val="24"/>
          <w:highlight w:val="none"/>
        </w:rPr>
      </w:pPr>
      <w:bookmarkStart w:id="52" w:name="_Toc17897"/>
      <w:bookmarkStart w:id="53" w:name="_Toc276_WPSOffice_Level2"/>
      <w:bookmarkStart w:id="54" w:name="_Toc132880281"/>
      <w:r>
        <w:rPr>
          <w:rFonts w:hint="eastAsia" w:asciiTheme="minorEastAsia" w:hAnsiTheme="minorEastAsia" w:eastAsiaTheme="minorEastAsia" w:cstheme="minorEastAsia"/>
          <w:b/>
          <w:bCs/>
          <w:color w:val="auto"/>
          <w:sz w:val="24"/>
          <w:szCs w:val="24"/>
          <w:highlight w:val="none"/>
        </w:rPr>
        <w:t>八</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其他</w:t>
      </w:r>
      <w:bookmarkEnd w:id="52"/>
      <w:bookmarkEnd w:id="53"/>
      <w:bookmarkEnd w:id="54"/>
    </w:p>
    <w:p w14:paraId="7ACD6AB6">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bookmarkStart w:id="55" w:name="_Toc319519285"/>
      <w:bookmarkStart w:id="56" w:name="_Toc262111390"/>
      <w:bookmarkStart w:id="57" w:name="_Toc217989361"/>
      <w:bookmarkStart w:id="58" w:name="_Toc233181902"/>
      <w:r>
        <w:rPr>
          <w:rFonts w:hint="eastAsia" w:ascii="宋体" w:hAnsi="宋体" w:eastAsia="宋体" w:cs="宋体"/>
          <w:b/>
          <w:color w:val="auto"/>
          <w:sz w:val="21"/>
          <w:szCs w:val="21"/>
          <w:highlight w:val="none"/>
        </w:rPr>
        <w:t>28</w:t>
      </w:r>
      <w:r>
        <w:rPr>
          <w:rFonts w:hint="eastAsia" w:ascii="宋体" w:hAnsi="宋体" w:cs="宋体"/>
          <w:color w:val="auto"/>
          <w:sz w:val="21"/>
          <w:szCs w:val="21"/>
          <w:highlight w:val="none"/>
          <w:lang w:eastAsia="zh-CN"/>
        </w:rPr>
        <w:t>.</w:t>
      </w:r>
      <w:r>
        <w:rPr>
          <w:rFonts w:hint="eastAsia" w:ascii="宋体" w:hAnsi="宋体" w:eastAsia="宋体" w:cs="宋体"/>
          <w:b/>
          <w:color w:val="auto"/>
          <w:sz w:val="21"/>
          <w:szCs w:val="21"/>
          <w:highlight w:val="none"/>
        </w:rPr>
        <w:t>保密</w:t>
      </w:r>
    </w:p>
    <w:p w14:paraId="02E2866C">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28.1采购人、采购代理机构应当采取必要措施</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保证评标在严格保密的情况下进行。除采购人代表、评标现场组织人员外</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采购人的其他工作人员以及与评标工作无关的人员不得进入评标现场。</w:t>
      </w:r>
    </w:p>
    <w:p w14:paraId="53286DF1">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28.2 评标委员会成员和参与评标工作的有关人员对评标情况以及在评标过程中获悉的国家秘密、商业秘密负有保密责任。</w:t>
      </w:r>
    </w:p>
    <w:p w14:paraId="28D38CE1">
      <w:pPr>
        <w:keepNext w:val="0"/>
        <w:keepLines w:val="0"/>
        <w:pageBreakBefore w:val="0"/>
        <w:kinsoku/>
        <w:wordWrap/>
        <w:topLinePunct/>
        <w:autoSpaceDE w:val="0"/>
        <w:autoSpaceDN w:val="0"/>
        <w:bidi w:val="0"/>
        <w:adjustRightInd w:val="0"/>
        <w:snapToGrid w:val="0"/>
        <w:spacing w:after="0" w:line="440" w:lineRule="exact"/>
        <w:ind w:firstLine="422" w:firstLineChars="200"/>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29. 知识产权与规避专利</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版权纠纷</w:t>
      </w:r>
      <w:bookmarkEnd w:id="55"/>
      <w:bookmarkEnd w:id="56"/>
      <w:bookmarkEnd w:id="57"/>
      <w:bookmarkEnd w:id="58"/>
    </w:p>
    <w:p w14:paraId="276B3B12">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29.1 知识产权</w:t>
      </w:r>
    </w:p>
    <w:p w14:paraId="206DE937">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29.1.1 项目系统的版权属于采购人所有</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中标人应向采购人开放并提供涉及本项目软件开发、升级完善、运行维护等工作的全部源代码（含保证期内的后续升级版本）。由本项目系统形成的技术和成果的专利申请权、专利权、技术秘密的所有权、使用权、转让权等知识产权归采购人所有。</w:t>
      </w:r>
    </w:p>
    <w:p w14:paraId="2888DF0E">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29.2 规避专利、版权纠纷</w:t>
      </w:r>
    </w:p>
    <w:p w14:paraId="4FBFC934">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29.2.1 投标人应保证其投标方案中的有关软件、文件、图纸等没有违反有关专利和版权等知识产权的规定。</w:t>
      </w:r>
    </w:p>
    <w:p w14:paraId="3797FCD7">
      <w:pPr>
        <w:keepNext w:val="0"/>
        <w:keepLines w:val="0"/>
        <w:pageBreakBefore w:val="0"/>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29.2.2 中标人应保证采购人在中华人民共和国使用本项目成果任何一部分、或接受乙方服务时</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免受第三方提出的侵犯其专利</w:t>
      </w:r>
      <w:r>
        <w:rPr>
          <w:rFonts w:hint="eastAsia" w:ascii="宋体" w:hAnsi="宋体" w:eastAsia="宋体" w:cs="宋体"/>
          <w:color w:val="auto"/>
          <w:sz w:val="21"/>
          <w:szCs w:val="21"/>
          <w:highlight w:val="none"/>
        </w:rPr>
        <w:t>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商标权或工业设计权等知识产权的索赔或起诉。</w:t>
      </w:r>
    </w:p>
    <w:p w14:paraId="149004A2">
      <w:pPr>
        <w:keepNext w:val="0"/>
        <w:keepLines w:val="0"/>
        <w:pageBreakBefore w:val="0"/>
        <w:widowControl/>
        <w:kinsoku/>
        <w:wordWrap/>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29.2.3 如果采购人在使用本项目任何一部分时被任何第三方诉称侵犯了第三方知识产权或任何其它权利</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中标人应负责处理这一指控并应以中标人的名义自负费用向起诉方提出抗辩。由此可能产生的一切法律责任和经济责任均由中标人承担。</w:t>
      </w:r>
    </w:p>
    <w:p w14:paraId="0D9A02D4">
      <w:pPr>
        <w:keepNext w:val="0"/>
        <w:keepLines w:val="0"/>
        <w:pageBreakBefore w:val="0"/>
        <w:widowControl/>
        <w:kinsoku/>
        <w:wordWrap/>
        <w:topLinePunct/>
        <w:autoSpaceDE w:val="0"/>
        <w:autoSpaceDN w:val="0"/>
        <w:bidi w:val="0"/>
        <w:adjustRightInd w:val="0"/>
        <w:snapToGrid w:val="0"/>
        <w:spacing w:after="0" w:line="440" w:lineRule="exact"/>
        <w:ind w:firstLine="420" w:firstLineChars="200"/>
        <w:textAlignment w:val="auto"/>
        <w:rPr>
          <w:rFonts w:hint="default" w:ascii="Times New Roman" w:hAnsi="Times New Roman" w:cs="Times New Roman"/>
          <w:color w:val="auto"/>
          <w:sz w:val="21"/>
          <w:szCs w:val="21"/>
          <w:highlight w:val="none"/>
        </w:rPr>
      </w:pPr>
      <w:r>
        <w:rPr>
          <w:rFonts w:hint="eastAsia" w:ascii="宋体" w:hAnsi="宋体" w:eastAsia="宋体" w:cs="宋体"/>
          <w:color w:val="auto"/>
          <w:sz w:val="21"/>
          <w:szCs w:val="21"/>
          <w:highlight w:val="none"/>
        </w:rPr>
        <w:t>29.2.4 如果采购人发现任何第三方在采购人未被许可的范围内非法使用采购人获得的知识产权</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采购人应通知中标人。中标人应在收到采购人通知后14天内采取行动制止非法使用行为</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否则由中标人承担相应的责任。</w:t>
      </w:r>
    </w:p>
    <w:p w14:paraId="4B48F655">
      <w:pPr>
        <w:rPr>
          <w:rFonts w:hint="eastAsia" w:ascii="华文中宋" w:hAnsi="华文中宋" w:eastAsia="华文中宋" w:cs="华文中宋"/>
          <w:color w:val="auto"/>
          <w:sz w:val="28"/>
          <w:szCs w:val="28"/>
          <w:highlight w:val="none"/>
        </w:rPr>
      </w:pPr>
      <w:bookmarkStart w:id="59" w:name="_Toc132880282"/>
      <w:bookmarkStart w:id="60" w:name="_Toc1481241717"/>
      <w:bookmarkStart w:id="61" w:name="_Toc38030149"/>
      <w:bookmarkStart w:id="62" w:name="_Toc1762322514"/>
      <w:bookmarkStart w:id="63" w:name="_Toc1380332034"/>
      <w:bookmarkStart w:id="64" w:name="_Toc1298913388"/>
      <w:bookmarkStart w:id="65" w:name="_Toc937455070"/>
      <w:bookmarkStart w:id="66" w:name="_Toc525052846"/>
      <w:bookmarkStart w:id="67" w:name="_Toc1168671576"/>
      <w:r>
        <w:rPr>
          <w:rFonts w:hint="eastAsia" w:ascii="华文中宋" w:hAnsi="华文中宋" w:eastAsia="华文中宋" w:cs="华文中宋"/>
          <w:color w:val="auto"/>
          <w:sz w:val="28"/>
          <w:szCs w:val="28"/>
          <w:highlight w:val="none"/>
        </w:rPr>
        <w:br w:type="page"/>
      </w:r>
    </w:p>
    <w:p w14:paraId="64DE37FD">
      <w:pPr>
        <w:bidi w:val="0"/>
        <w:jc w:val="center"/>
        <w:outlineLvl w:val="9"/>
        <w:rPr>
          <w:rFonts w:hint="eastAsia" w:ascii="华文中宋" w:hAnsi="华文中宋" w:eastAsia="华文中宋" w:cs="华文中宋"/>
          <w:color w:val="auto"/>
          <w:sz w:val="28"/>
          <w:szCs w:val="28"/>
          <w:highlight w:val="none"/>
        </w:rPr>
      </w:pPr>
    </w:p>
    <w:p w14:paraId="7354F765">
      <w:pPr>
        <w:bidi w:val="0"/>
        <w:jc w:val="center"/>
        <w:outlineLvl w:val="9"/>
        <w:rPr>
          <w:rFonts w:hint="eastAsia" w:ascii="华文中宋" w:hAnsi="华文中宋" w:eastAsia="华文中宋" w:cs="华文中宋"/>
          <w:color w:val="auto"/>
          <w:sz w:val="28"/>
          <w:szCs w:val="28"/>
          <w:highlight w:val="none"/>
        </w:rPr>
      </w:pPr>
    </w:p>
    <w:p w14:paraId="2CC9A4B6">
      <w:pPr>
        <w:bidi w:val="0"/>
        <w:jc w:val="center"/>
        <w:outlineLvl w:val="9"/>
        <w:rPr>
          <w:rFonts w:hint="eastAsia" w:ascii="华文中宋" w:hAnsi="华文中宋" w:eastAsia="华文中宋" w:cs="华文中宋"/>
          <w:color w:val="auto"/>
          <w:sz w:val="28"/>
          <w:szCs w:val="28"/>
          <w:highlight w:val="none"/>
        </w:rPr>
      </w:pPr>
    </w:p>
    <w:p w14:paraId="48E5E10E">
      <w:pPr>
        <w:bidi w:val="0"/>
        <w:jc w:val="center"/>
        <w:outlineLvl w:val="9"/>
        <w:rPr>
          <w:rFonts w:hint="eastAsia" w:ascii="华文中宋" w:hAnsi="华文中宋" w:eastAsia="华文中宋" w:cs="华文中宋"/>
          <w:color w:val="auto"/>
          <w:sz w:val="28"/>
          <w:szCs w:val="28"/>
          <w:highlight w:val="none"/>
        </w:rPr>
      </w:pPr>
    </w:p>
    <w:p w14:paraId="2AAB5813">
      <w:pPr>
        <w:bidi w:val="0"/>
        <w:jc w:val="center"/>
        <w:outlineLvl w:val="9"/>
        <w:rPr>
          <w:rFonts w:hint="eastAsia" w:ascii="华文中宋" w:hAnsi="华文中宋" w:eastAsia="华文中宋" w:cs="华文中宋"/>
          <w:color w:val="auto"/>
          <w:sz w:val="28"/>
          <w:szCs w:val="28"/>
          <w:highlight w:val="none"/>
        </w:rPr>
      </w:pPr>
    </w:p>
    <w:p w14:paraId="67E8A866">
      <w:pPr>
        <w:bidi w:val="0"/>
        <w:jc w:val="center"/>
        <w:outlineLvl w:val="9"/>
        <w:rPr>
          <w:rFonts w:hint="eastAsia" w:ascii="华文中宋" w:hAnsi="华文中宋" w:eastAsia="华文中宋" w:cs="华文中宋"/>
          <w:color w:val="auto"/>
          <w:sz w:val="28"/>
          <w:szCs w:val="28"/>
          <w:highlight w:val="none"/>
        </w:rPr>
      </w:pPr>
    </w:p>
    <w:p w14:paraId="52C0B935">
      <w:pPr>
        <w:bidi w:val="0"/>
        <w:jc w:val="center"/>
        <w:outlineLvl w:val="9"/>
        <w:rPr>
          <w:rFonts w:hint="eastAsia" w:ascii="华文中宋" w:hAnsi="华文中宋" w:eastAsia="华文中宋" w:cs="华文中宋"/>
          <w:color w:val="auto"/>
          <w:sz w:val="28"/>
          <w:szCs w:val="28"/>
          <w:highlight w:val="none"/>
        </w:rPr>
      </w:pPr>
    </w:p>
    <w:p w14:paraId="753BED2B">
      <w:pPr>
        <w:bidi w:val="0"/>
        <w:jc w:val="center"/>
        <w:outlineLvl w:val="9"/>
        <w:rPr>
          <w:rFonts w:hint="eastAsia" w:ascii="华文中宋" w:hAnsi="华文中宋" w:eastAsia="华文中宋" w:cs="华文中宋"/>
          <w:color w:val="auto"/>
          <w:sz w:val="28"/>
          <w:szCs w:val="28"/>
          <w:highlight w:val="none"/>
        </w:rPr>
      </w:pPr>
    </w:p>
    <w:p w14:paraId="3E757D6B">
      <w:pPr>
        <w:bidi w:val="0"/>
        <w:jc w:val="center"/>
        <w:outlineLvl w:val="0"/>
        <w:rPr>
          <w:rFonts w:hint="eastAsia" w:ascii="宋体" w:hAnsi="宋体" w:eastAsia="宋体" w:cs="宋体"/>
          <w:b/>
          <w:bCs/>
          <w:color w:val="auto"/>
          <w:sz w:val="28"/>
          <w:szCs w:val="28"/>
          <w:highlight w:val="none"/>
          <w:lang w:eastAsia="zh-CN"/>
        </w:rPr>
      </w:pPr>
      <w:bookmarkStart w:id="68" w:name="_Toc14811"/>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第三章  </w:t>
      </w:r>
      <w:bookmarkEnd w:id="59"/>
      <w:bookmarkEnd w:id="60"/>
      <w:bookmarkEnd w:id="61"/>
      <w:bookmarkEnd w:id="62"/>
      <w:bookmarkEnd w:id="63"/>
      <w:bookmarkEnd w:id="64"/>
      <w:bookmarkEnd w:id="65"/>
      <w:bookmarkEnd w:id="66"/>
      <w:bookmarkEnd w:id="67"/>
      <w:bookmarkEnd w:id="68"/>
      <w:r>
        <w:rPr>
          <w:rFonts w:hint="eastAsia" w:ascii="宋体" w:hAnsi="宋体" w:cs="宋体"/>
          <w:b/>
          <w:bCs/>
          <w:color w:val="auto"/>
          <w:sz w:val="28"/>
          <w:szCs w:val="28"/>
          <w:highlight w:val="none"/>
          <w:lang w:eastAsia="zh-CN"/>
        </w:rPr>
        <w:t>资格审查、评标方法及标准</w:t>
      </w:r>
    </w:p>
    <w:p w14:paraId="0F44A03F">
      <w:pPr>
        <w:rPr>
          <w:rFonts w:hint="eastAsia" w:ascii="宋体" w:hAnsi="宋体" w:eastAsia="宋体" w:cs="Times New Roman"/>
          <w:b/>
          <w:color w:val="auto"/>
          <w:spacing w:val="40"/>
          <w:kern w:val="2"/>
          <w:sz w:val="28"/>
          <w:szCs w:val="21"/>
          <w:highlight w:val="none"/>
          <w:lang w:val="en-US" w:eastAsia="zh-CN" w:bidi="ar-SA"/>
        </w:rPr>
      </w:pPr>
      <w:bookmarkStart w:id="69" w:name="_Toc1505390621"/>
      <w:bookmarkStart w:id="70" w:name="_Toc38030150"/>
      <w:bookmarkStart w:id="71" w:name="_Toc132880283"/>
      <w:bookmarkStart w:id="72" w:name="_Toc1914430521"/>
      <w:bookmarkStart w:id="73" w:name="_Toc614538032"/>
      <w:bookmarkStart w:id="74" w:name="_Toc353483817"/>
      <w:bookmarkStart w:id="75" w:name="_Toc525052847"/>
      <w:bookmarkStart w:id="76" w:name="_Toc1406510925"/>
      <w:bookmarkStart w:id="77" w:name="_Toc1484421284"/>
      <w:r>
        <w:rPr>
          <w:rFonts w:hint="eastAsia" w:ascii="宋体" w:hAnsi="宋体" w:eastAsia="宋体" w:cs="Times New Roman"/>
          <w:b/>
          <w:color w:val="auto"/>
          <w:spacing w:val="40"/>
          <w:kern w:val="2"/>
          <w:sz w:val="28"/>
          <w:szCs w:val="21"/>
          <w:highlight w:val="none"/>
          <w:lang w:val="en-US" w:eastAsia="zh-CN" w:bidi="ar-SA"/>
        </w:rPr>
        <w:br w:type="page"/>
      </w:r>
    </w:p>
    <w:p w14:paraId="6F8FD4C4">
      <w:pPr>
        <w:pStyle w:val="2"/>
        <w:pageBreakBefore w:val="0"/>
        <w:kinsoku/>
        <w:topLinePunct w:val="0"/>
        <w:bidi w:val="0"/>
        <w:spacing w:line="440" w:lineRule="exact"/>
        <w:jc w:val="center"/>
        <w:outlineLvl w:val="1"/>
        <w:rPr>
          <w:rFonts w:hint="eastAsia" w:ascii="宋体" w:hAnsi="宋体" w:eastAsia="宋体" w:cs="Times New Roman"/>
          <w:b/>
          <w:color w:val="auto"/>
          <w:spacing w:val="40"/>
          <w:kern w:val="2"/>
          <w:sz w:val="28"/>
          <w:szCs w:val="21"/>
          <w:highlight w:val="none"/>
          <w:lang w:val="en-US" w:eastAsia="zh-CN" w:bidi="ar-SA"/>
        </w:rPr>
      </w:pPr>
      <w:bookmarkStart w:id="78" w:name="_Toc7812"/>
      <w:bookmarkStart w:id="79" w:name="_Toc23080_WPSOffice_Level2"/>
      <w:r>
        <w:rPr>
          <w:rFonts w:hint="eastAsia" w:ascii="宋体" w:hAnsi="宋体" w:eastAsia="宋体" w:cs="Times New Roman"/>
          <w:b/>
          <w:color w:val="auto"/>
          <w:spacing w:val="40"/>
          <w:kern w:val="2"/>
          <w:sz w:val="28"/>
          <w:szCs w:val="21"/>
          <w:highlight w:val="none"/>
          <w:lang w:val="en-US" w:eastAsia="zh-CN" w:bidi="ar-SA"/>
        </w:rPr>
        <w:t>一</w:t>
      </w:r>
      <w:r>
        <w:rPr>
          <w:rFonts w:hint="eastAsia" w:ascii="宋体" w:hAnsi="宋体" w:cs="Times New Roman"/>
          <w:b/>
          <w:color w:val="auto"/>
          <w:spacing w:val="40"/>
          <w:kern w:val="2"/>
          <w:sz w:val="28"/>
          <w:szCs w:val="21"/>
          <w:highlight w:val="none"/>
          <w:lang w:val="en-US" w:eastAsia="zh-CN" w:bidi="ar-SA"/>
        </w:rPr>
        <w:t>、</w:t>
      </w:r>
      <w:r>
        <w:rPr>
          <w:rFonts w:hint="eastAsia" w:ascii="宋体" w:hAnsi="宋体" w:eastAsia="宋体" w:cs="Times New Roman"/>
          <w:b/>
          <w:color w:val="auto"/>
          <w:spacing w:val="40"/>
          <w:kern w:val="2"/>
          <w:sz w:val="28"/>
          <w:szCs w:val="21"/>
          <w:highlight w:val="none"/>
          <w:lang w:val="en-US" w:eastAsia="zh-CN" w:bidi="ar-SA"/>
        </w:rPr>
        <w:t>资格审查</w:t>
      </w:r>
      <w:bookmarkEnd w:id="78"/>
      <w:bookmarkEnd w:id="79"/>
    </w:p>
    <w:p w14:paraId="7ACD0F34">
      <w:pPr>
        <w:pStyle w:val="2"/>
        <w:pageBreakBefore w:val="0"/>
        <w:kinsoku/>
        <w:topLinePunct w:val="0"/>
        <w:bidi w:val="0"/>
        <w:spacing w:line="440" w:lineRule="exact"/>
        <w:jc w:val="center"/>
        <w:outlineLvl w:val="1"/>
        <w:rPr>
          <w:rFonts w:hint="eastAsia" w:ascii="宋体" w:hAnsi="宋体" w:eastAsia="宋体" w:cs="Times New Roman"/>
          <w:b/>
          <w:color w:val="auto"/>
          <w:spacing w:val="40"/>
          <w:kern w:val="2"/>
          <w:sz w:val="28"/>
          <w:szCs w:val="21"/>
          <w:highlight w:val="none"/>
          <w:lang w:val="en-US" w:eastAsia="zh-CN" w:bidi="ar-SA"/>
        </w:rPr>
      </w:pPr>
      <w:bookmarkStart w:id="80" w:name="_Toc24466"/>
      <w:bookmarkStart w:id="81" w:name="_Toc18287453"/>
      <w:bookmarkStart w:id="82" w:name="_Toc14544"/>
      <w:bookmarkStart w:id="83" w:name="_Toc31887"/>
      <w:bookmarkStart w:id="84" w:name="_Toc27148"/>
      <w:bookmarkStart w:id="85" w:name="_Toc6655"/>
      <w:r>
        <w:rPr>
          <w:rFonts w:hint="eastAsia" w:ascii="宋体" w:hAnsi="宋体" w:eastAsia="宋体" w:cs="Times New Roman"/>
          <w:b/>
          <w:color w:val="auto"/>
          <w:spacing w:val="40"/>
          <w:kern w:val="2"/>
          <w:sz w:val="28"/>
          <w:szCs w:val="21"/>
          <w:highlight w:val="none"/>
          <w:lang w:val="en-US" w:eastAsia="zh-CN" w:bidi="ar-SA"/>
        </w:rPr>
        <w:t>投标人资格要求前附表</w:t>
      </w:r>
      <w:bookmarkEnd w:id="80"/>
      <w:bookmarkEnd w:id="81"/>
      <w:bookmarkEnd w:id="82"/>
      <w:bookmarkEnd w:id="83"/>
      <w:bookmarkEnd w:id="84"/>
      <w:bookmarkEnd w:id="85"/>
    </w:p>
    <w:tbl>
      <w:tblPr>
        <w:tblStyle w:val="25"/>
        <w:tblW w:w="8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6"/>
        <w:gridCol w:w="6966"/>
      </w:tblGrid>
      <w:tr w14:paraId="7C6B7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blHeader/>
          <w:jc w:val="center"/>
        </w:trPr>
        <w:tc>
          <w:tcPr>
            <w:tcW w:w="1776" w:type="dxa"/>
            <w:tcBorders>
              <w:top w:val="single" w:color="auto" w:sz="4" w:space="0"/>
              <w:left w:val="single" w:color="auto" w:sz="4" w:space="0"/>
              <w:bottom w:val="single" w:color="auto" w:sz="4" w:space="0"/>
              <w:right w:val="single" w:color="auto" w:sz="4" w:space="0"/>
            </w:tcBorders>
            <w:vAlign w:val="center"/>
          </w:tcPr>
          <w:p w14:paraId="4BF4572B">
            <w:pPr>
              <w:pageBreakBefore w:val="0"/>
              <w:kinsoku/>
              <w:topLinePunct w:val="0"/>
              <w:bidi w:val="0"/>
              <w:spacing w:before="100" w:beforeAutospacing="1" w:after="100" w:afterAutospacing="1" w:line="440" w:lineRule="exact"/>
              <w:jc w:val="center"/>
              <w:rPr>
                <w:rFonts w:ascii="宋体" w:hAnsi="宋体" w:cs="宋体"/>
                <w:b/>
                <w:color w:val="auto"/>
                <w:szCs w:val="21"/>
                <w:highlight w:val="none"/>
              </w:rPr>
            </w:pPr>
            <w:r>
              <w:rPr>
                <w:rFonts w:hint="eastAsia" w:ascii="宋体" w:hAnsi="宋体" w:cs="宋体"/>
                <w:b/>
                <w:color w:val="auto"/>
                <w:szCs w:val="21"/>
                <w:highlight w:val="none"/>
              </w:rPr>
              <w:t>资 格 要 求</w:t>
            </w:r>
          </w:p>
        </w:tc>
        <w:tc>
          <w:tcPr>
            <w:tcW w:w="6966" w:type="dxa"/>
            <w:tcBorders>
              <w:top w:val="single" w:color="auto" w:sz="4" w:space="0"/>
              <w:left w:val="single" w:color="auto" w:sz="4" w:space="0"/>
              <w:bottom w:val="single" w:color="auto" w:sz="4" w:space="0"/>
              <w:right w:val="single" w:color="auto" w:sz="4" w:space="0"/>
            </w:tcBorders>
            <w:vAlign w:val="center"/>
          </w:tcPr>
          <w:p w14:paraId="2380FDA3">
            <w:pPr>
              <w:pageBreakBefore w:val="0"/>
              <w:kinsoku/>
              <w:topLinePunct w:val="0"/>
              <w:bidi w:val="0"/>
              <w:spacing w:before="100" w:beforeAutospacing="1" w:after="100" w:afterAutospacing="1" w:line="440" w:lineRule="exact"/>
              <w:jc w:val="center"/>
              <w:rPr>
                <w:rFonts w:ascii="宋体" w:hAnsi="宋体" w:cs="宋体"/>
                <w:b/>
                <w:color w:val="auto"/>
                <w:szCs w:val="21"/>
                <w:highlight w:val="none"/>
              </w:rPr>
            </w:pPr>
            <w:r>
              <w:rPr>
                <w:rFonts w:hint="eastAsia" w:ascii="宋体" w:hAnsi="宋体" w:cs="宋体"/>
                <w:b/>
                <w:color w:val="auto"/>
                <w:szCs w:val="21"/>
                <w:highlight w:val="none"/>
              </w:rPr>
              <w:t>审 查 标 准</w:t>
            </w:r>
          </w:p>
        </w:tc>
      </w:tr>
      <w:tr w14:paraId="38B76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76" w:type="dxa"/>
            <w:vAlign w:val="center"/>
          </w:tcPr>
          <w:p w14:paraId="0780F03C">
            <w:pPr>
              <w:pageBreakBefore w:val="0"/>
              <w:kinsoku/>
              <w:topLinePunct w:val="0"/>
              <w:bidi w:val="0"/>
              <w:spacing w:line="440" w:lineRule="exact"/>
              <w:jc w:val="center"/>
              <w:rPr>
                <w:rFonts w:ascii="宋体" w:hAnsi="宋体" w:cs="宋体"/>
                <w:b w:val="0"/>
                <w:bCs w:val="0"/>
                <w:color w:val="auto"/>
                <w:szCs w:val="21"/>
                <w:highlight w:val="none"/>
              </w:rPr>
            </w:pPr>
            <w:r>
              <w:rPr>
                <w:rFonts w:hint="eastAsia" w:ascii="宋体" w:hAnsi="宋体" w:cs="宋体"/>
                <w:b w:val="0"/>
                <w:bCs w:val="0"/>
                <w:color w:val="auto"/>
                <w:szCs w:val="21"/>
                <w:highlight w:val="none"/>
              </w:rPr>
              <w:t>具有独立承担民事责任的能力</w:t>
            </w:r>
          </w:p>
        </w:tc>
        <w:tc>
          <w:tcPr>
            <w:tcW w:w="6966" w:type="dxa"/>
            <w:vAlign w:val="center"/>
          </w:tcPr>
          <w:p w14:paraId="15CE6481">
            <w:pPr>
              <w:pageBreakBefore w:val="0"/>
              <w:kinsoku/>
              <w:topLinePunct w:val="0"/>
              <w:bidi w:val="0"/>
              <w:spacing w:line="440" w:lineRule="exact"/>
              <w:jc w:val="left"/>
              <w:rPr>
                <w:rFonts w:ascii="宋体" w:hAnsi="宋体" w:cs="宋体"/>
                <w:color w:val="auto"/>
                <w:szCs w:val="21"/>
                <w:highlight w:val="none"/>
              </w:rPr>
            </w:pPr>
            <w:r>
              <w:rPr>
                <w:rFonts w:hint="eastAsia" w:ascii="宋体" w:hAnsi="宋体" w:cs="宋体"/>
                <w:color w:val="auto"/>
                <w:szCs w:val="21"/>
                <w:highlight w:val="none"/>
                <w:lang w:eastAsia="zh-CN"/>
              </w:rPr>
              <w:t>提供法人或者其他组织的营业执照等证明文件；若为自然人的，提供自然人的身份证明（加盖投标人公章）</w:t>
            </w:r>
          </w:p>
        </w:tc>
      </w:tr>
      <w:tr w14:paraId="0D1FE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tblHeader/>
          <w:jc w:val="center"/>
        </w:trPr>
        <w:tc>
          <w:tcPr>
            <w:tcW w:w="1776" w:type="dxa"/>
            <w:vAlign w:val="center"/>
          </w:tcPr>
          <w:p w14:paraId="207194DE">
            <w:pPr>
              <w:pageBreakBefore w:val="0"/>
              <w:kinsoku/>
              <w:topLinePunct w:val="0"/>
              <w:bidi w:val="0"/>
              <w:spacing w:line="440" w:lineRule="exact"/>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具有良好的商业信誉和健全的财务会计制度</w:t>
            </w: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内容可为以下</w:t>
            </w:r>
            <w:r>
              <w:rPr>
                <w:rFonts w:hint="eastAsia" w:ascii="宋体" w:hAnsi="宋体" w:cs="宋体"/>
                <w:b w:val="0"/>
                <w:bCs w:val="0"/>
                <w:color w:val="auto"/>
                <w:szCs w:val="21"/>
                <w:highlight w:val="none"/>
                <w:lang w:val="en-US" w:eastAsia="zh-CN"/>
              </w:rPr>
              <w:t>二</w:t>
            </w:r>
            <w:r>
              <w:rPr>
                <w:rFonts w:hint="eastAsia" w:ascii="宋体" w:hAnsi="宋体" w:cs="宋体"/>
                <w:b w:val="0"/>
                <w:bCs w:val="0"/>
                <w:color w:val="auto"/>
                <w:szCs w:val="21"/>
                <w:highlight w:val="none"/>
              </w:rPr>
              <w:t>者之一</w:t>
            </w:r>
          </w:p>
        </w:tc>
        <w:tc>
          <w:tcPr>
            <w:tcW w:w="6966" w:type="dxa"/>
            <w:vAlign w:val="center"/>
          </w:tcPr>
          <w:p w14:paraId="18347316">
            <w:pPr>
              <w:pageBreakBefore w:val="0"/>
              <w:kinsoku/>
              <w:topLinePunct w:val="0"/>
              <w:bidi w:val="0"/>
              <w:spacing w:line="440" w:lineRule="exact"/>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①投标人须提供2024年度或2025年度经审计的财务会计报告及报表资料（至少包括：财务审计报告、资产负债表、利润表、现金流量表并附注册会计师行业统一监管平台验证码），如投标人执行的财政部门印发的会计制度或准则有其他要求的，以其要求为准；新成立不满1年的投标人提供自成立至今的财务报表（复印件加盖投标人公章）；</w:t>
            </w:r>
          </w:p>
          <w:p w14:paraId="7C3AA946">
            <w:pPr>
              <w:pageBreakBefore w:val="0"/>
              <w:kinsoku/>
              <w:topLinePunct w:val="0"/>
              <w:bidi w:val="0"/>
              <w:spacing w:line="440" w:lineRule="exact"/>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②提供自投标文件提交截止时间前三个月内基本开户银行出具的资信证明（加盖投标人公章）。</w:t>
            </w:r>
          </w:p>
        </w:tc>
      </w:tr>
      <w:tr w14:paraId="0C521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76" w:type="dxa"/>
            <w:vAlign w:val="center"/>
          </w:tcPr>
          <w:p w14:paraId="419188FE">
            <w:pPr>
              <w:pageBreakBefore w:val="0"/>
              <w:kinsoku/>
              <w:topLinePunct w:val="0"/>
              <w:bidi w:val="0"/>
              <w:spacing w:line="440" w:lineRule="exact"/>
              <w:jc w:val="center"/>
              <w:rPr>
                <w:rFonts w:ascii="宋体" w:hAnsi="宋体" w:cs="宋体"/>
                <w:b w:val="0"/>
                <w:bCs w:val="0"/>
                <w:color w:val="auto"/>
                <w:szCs w:val="21"/>
                <w:highlight w:val="none"/>
              </w:rPr>
            </w:pPr>
            <w:r>
              <w:rPr>
                <w:rFonts w:hint="eastAsia" w:ascii="宋体" w:hAnsi="宋体" w:cs="宋体"/>
                <w:b w:val="0"/>
                <w:bCs w:val="0"/>
                <w:color w:val="auto"/>
                <w:szCs w:val="21"/>
                <w:highlight w:val="none"/>
              </w:rPr>
              <w:t>具有履行合同所必需的设备和专业技术能力</w:t>
            </w:r>
          </w:p>
        </w:tc>
        <w:tc>
          <w:tcPr>
            <w:tcW w:w="6966" w:type="dxa"/>
            <w:vAlign w:val="center"/>
          </w:tcPr>
          <w:p w14:paraId="4D72B22E">
            <w:pPr>
              <w:pageBreakBefore w:val="0"/>
              <w:kinsoku/>
              <w:wordWrap w:val="0"/>
              <w:topLinePunct w:val="0"/>
              <w:bidi w:val="0"/>
              <w:spacing w:line="440" w:lineRule="exact"/>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提供</w:t>
            </w:r>
            <w:r>
              <w:rPr>
                <w:rFonts w:hint="eastAsia" w:ascii="宋体" w:hAnsi="宋体" w:cs="宋体"/>
                <w:color w:val="auto"/>
                <w:szCs w:val="21"/>
                <w:highlight w:val="none"/>
                <w:lang w:eastAsia="zh-CN"/>
              </w:rPr>
              <w:t>投标人</w:t>
            </w:r>
            <w:r>
              <w:rPr>
                <w:rFonts w:hint="eastAsia" w:ascii="宋体" w:hAnsi="宋体" w:cs="宋体"/>
                <w:color w:val="auto"/>
                <w:szCs w:val="21"/>
                <w:highlight w:val="none"/>
              </w:rPr>
              <w:t>具有履行合同所必需的设备和专业技术能力证明材料（</w:t>
            </w:r>
            <w:r>
              <w:rPr>
                <w:rFonts w:hint="eastAsia" w:ascii="宋体" w:hAnsi="宋体" w:cs="宋体"/>
                <w:color w:val="auto"/>
                <w:szCs w:val="21"/>
                <w:highlight w:val="none"/>
                <w:lang w:eastAsia="zh-CN"/>
              </w:rPr>
              <w:t>加盖投标人公章</w:t>
            </w:r>
            <w:r>
              <w:rPr>
                <w:rFonts w:hint="eastAsia" w:ascii="宋体" w:hAnsi="宋体" w:cs="宋体"/>
                <w:color w:val="auto"/>
                <w:szCs w:val="21"/>
                <w:highlight w:val="none"/>
              </w:rPr>
              <w:t>）或书面声明（</w:t>
            </w:r>
            <w:r>
              <w:rPr>
                <w:rFonts w:hint="eastAsia" w:ascii="宋体" w:hAnsi="宋体" w:cs="宋体"/>
                <w:color w:val="auto"/>
                <w:szCs w:val="21"/>
                <w:highlight w:val="none"/>
                <w:lang w:eastAsia="zh-CN"/>
              </w:rPr>
              <w:t>加盖投标人公章</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p>
        </w:tc>
      </w:tr>
      <w:tr w14:paraId="75B2D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tblHeader/>
          <w:jc w:val="center"/>
        </w:trPr>
        <w:tc>
          <w:tcPr>
            <w:tcW w:w="1776" w:type="dxa"/>
            <w:vMerge w:val="restart"/>
            <w:vAlign w:val="center"/>
          </w:tcPr>
          <w:p w14:paraId="721DDC81">
            <w:pPr>
              <w:pageBreakBefore w:val="0"/>
              <w:kinsoku/>
              <w:topLinePunct w:val="0"/>
              <w:bidi w:val="0"/>
              <w:spacing w:line="440" w:lineRule="exact"/>
              <w:jc w:val="center"/>
              <w:rPr>
                <w:rFonts w:ascii="宋体" w:hAnsi="宋体" w:cs="宋体"/>
                <w:b w:val="0"/>
                <w:bCs w:val="0"/>
                <w:color w:val="auto"/>
                <w:szCs w:val="21"/>
                <w:highlight w:val="none"/>
              </w:rPr>
            </w:pPr>
            <w:r>
              <w:rPr>
                <w:rFonts w:hint="eastAsia" w:ascii="宋体" w:hAnsi="宋体" w:eastAsia="宋体" w:cs="Times New Roman"/>
                <w:b w:val="0"/>
                <w:bCs w:val="0"/>
                <w:color w:val="auto"/>
                <w:sz w:val="21"/>
                <w:szCs w:val="21"/>
                <w:highlight w:val="none"/>
              </w:rPr>
              <w:t>有依</w:t>
            </w:r>
            <w:r>
              <w:rPr>
                <w:rFonts w:hint="eastAsia" w:hAnsi="宋体" w:eastAsia="宋体" w:cs="宋体"/>
                <w:b w:val="0"/>
                <w:bCs w:val="0"/>
                <w:strike w:val="0"/>
                <w:dstrike w:val="0"/>
                <w:color w:val="auto"/>
                <w:sz w:val="21"/>
                <w:szCs w:val="21"/>
                <w:highlight w:val="none"/>
              </w:rPr>
              <w:t>法缴纳税收和社会保障资金的良好记录</w:t>
            </w:r>
          </w:p>
        </w:tc>
        <w:tc>
          <w:tcPr>
            <w:tcW w:w="6966" w:type="dxa"/>
            <w:vAlign w:val="center"/>
          </w:tcPr>
          <w:p w14:paraId="4E535708">
            <w:pPr>
              <w:pageBreakBefore w:val="0"/>
              <w:kinsoku/>
              <w:wordWrap w:val="0"/>
              <w:topLinePunct w:val="0"/>
              <w:bidi w:val="0"/>
              <w:spacing w:line="440" w:lineRule="exact"/>
              <w:jc w:val="left"/>
              <w:rPr>
                <w:rFonts w:hint="eastAsia" w:ascii="宋体" w:hAnsi="宋体" w:eastAsia="宋体" w:cs="宋体"/>
                <w:color w:val="auto"/>
                <w:szCs w:val="21"/>
                <w:highlight w:val="none"/>
                <w:lang w:eastAsia="zh-CN"/>
              </w:rPr>
            </w:pPr>
            <w:r>
              <w:rPr>
                <w:rFonts w:hint="eastAsia" w:ascii="宋体" w:hAnsi="宋体" w:cs="Times New Roman"/>
                <w:color w:val="auto"/>
                <w:sz w:val="21"/>
                <w:szCs w:val="21"/>
                <w:highlight w:val="none"/>
                <w:lang w:eastAsia="zh-CN"/>
              </w:rPr>
              <w:t>提供投标人缴税所属时间在2025年5月至本项目提交投标文件截止时间前任意1个月的税务局税收通用缴款书或银行电子缴税（费）凭证或税务局出具纳税情况的相关证明；依法免税或免缴的，应提供相关证明文件（加盖投标人公章）或说明（加盖投标人公章）；新成立未满1个月的投标人，依法免税或免缴的，应提供相关证明文件（加盖投标人公章）或说明（加盖投标人公章）</w:t>
            </w:r>
          </w:p>
        </w:tc>
      </w:tr>
      <w:tr w14:paraId="2E9A4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tblHeader/>
          <w:jc w:val="center"/>
        </w:trPr>
        <w:tc>
          <w:tcPr>
            <w:tcW w:w="1776" w:type="dxa"/>
            <w:vMerge w:val="continue"/>
            <w:vAlign w:val="center"/>
          </w:tcPr>
          <w:p w14:paraId="40CF45CD">
            <w:pPr>
              <w:pageBreakBefore w:val="0"/>
              <w:kinsoku/>
              <w:topLinePunct w:val="0"/>
              <w:bidi w:val="0"/>
              <w:spacing w:line="440" w:lineRule="exact"/>
              <w:jc w:val="center"/>
              <w:rPr>
                <w:rFonts w:ascii="宋体" w:hAnsi="宋体" w:cs="宋体"/>
                <w:b w:val="0"/>
                <w:bCs w:val="0"/>
                <w:color w:val="auto"/>
                <w:szCs w:val="21"/>
                <w:highlight w:val="none"/>
              </w:rPr>
            </w:pPr>
          </w:p>
        </w:tc>
        <w:tc>
          <w:tcPr>
            <w:tcW w:w="6966" w:type="dxa"/>
            <w:vAlign w:val="center"/>
          </w:tcPr>
          <w:p w14:paraId="0302F685">
            <w:pPr>
              <w:pageBreakBefore w:val="0"/>
              <w:kinsoku/>
              <w:wordWrap w:val="0"/>
              <w:topLinePunct w:val="0"/>
              <w:bidi w:val="0"/>
              <w:spacing w:line="440" w:lineRule="exact"/>
              <w:jc w:val="left"/>
              <w:rPr>
                <w:rFonts w:hint="eastAsia" w:ascii="宋体" w:hAnsi="宋体" w:eastAsia="宋体" w:cs="宋体"/>
                <w:color w:val="auto"/>
                <w:szCs w:val="21"/>
                <w:highlight w:val="none"/>
                <w:lang w:eastAsia="zh-CN"/>
              </w:rPr>
            </w:pPr>
            <w:r>
              <w:rPr>
                <w:rFonts w:hint="eastAsia" w:ascii="宋体" w:hAnsi="宋体" w:cs="Times New Roman"/>
                <w:color w:val="auto"/>
                <w:sz w:val="21"/>
                <w:szCs w:val="21"/>
                <w:highlight w:val="none"/>
                <w:lang w:eastAsia="zh-CN"/>
              </w:rPr>
              <w:t>提供投标人缴费所属时间在2025年5月至本项目提交投标文件截止时间前任意1个月的社会保险费缴款书或银行电子缴税（费）凭证或社保管理部门出具的有效的缴款证明；依法免缴的，应提供依法免缴的相关证明文件（加盖投标人公章）或说明（加盖投标人公章）；新成立未满1个月的投标人，依法免缴的，应提供依法免缴的相关证明文件（加盖投标人公章）或说明（加盖投标人公章）</w:t>
            </w:r>
          </w:p>
        </w:tc>
      </w:tr>
      <w:tr w14:paraId="69081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76" w:type="dxa"/>
            <w:vAlign w:val="center"/>
          </w:tcPr>
          <w:p w14:paraId="31158AD1">
            <w:pPr>
              <w:pageBreakBefore w:val="0"/>
              <w:kinsoku/>
              <w:topLinePunct w:val="0"/>
              <w:bidi w:val="0"/>
              <w:spacing w:line="440" w:lineRule="exact"/>
              <w:jc w:val="center"/>
              <w:rPr>
                <w:rFonts w:ascii="宋体" w:hAnsi="宋体" w:cs="宋体"/>
                <w:b w:val="0"/>
                <w:bCs w:val="0"/>
                <w:color w:val="auto"/>
                <w:szCs w:val="21"/>
                <w:highlight w:val="none"/>
              </w:rPr>
            </w:pPr>
            <w:r>
              <w:rPr>
                <w:rFonts w:hint="eastAsia" w:ascii="宋体" w:hAnsi="宋体" w:eastAsia="宋体" w:cs="Times New Roman"/>
                <w:b w:val="0"/>
                <w:bCs w:val="0"/>
                <w:color w:val="auto"/>
                <w:sz w:val="21"/>
                <w:szCs w:val="21"/>
                <w:highlight w:val="none"/>
                <w:lang w:eastAsia="zh-CN"/>
              </w:rPr>
              <w:t>参加政府采购活动前三年内</w:t>
            </w:r>
            <w:r>
              <w:rPr>
                <w:rFonts w:hint="eastAsia" w:ascii="宋体" w:hAnsi="宋体" w:cs="Times New Roman"/>
                <w:b w:val="0"/>
                <w:bCs w:val="0"/>
                <w:color w:val="auto"/>
                <w:sz w:val="21"/>
                <w:szCs w:val="21"/>
                <w:highlight w:val="none"/>
                <w:lang w:eastAsia="zh-CN"/>
              </w:rPr>
              <w:t>，</w:t>
            </w:r>
            <w:r>
              <w:rPr>
                <w:rFonts w:hint="eastAsia" w:ascii="宋体" w:hAnsi="宋体" w:eastAsia="宋体" w:cs="Times New Roman"/>
                <w:b w:val="0"/>
                <w:bCs w:val="0"/>
                <w:color w:val="auto"/>
                <w:sz w:val="21"/>
                <w:szCs w:val="21"/>
                <w:highlight w:val="none"/>
                <w:lang w:eastAsia="zh-CN"/>
              </w:rPr>
              <w:t>在经营活动中没有重大违法记录</w:t>
            </w:r>
          </w:p>
        </w:tc>
        <w:tc>
          <w:tcPr>
            <w:tcW w:w="6966" w:type="dxa"/>
            <w:vAlign w:val="center"/>
          </w:tcPr>
          <w:p w14:paraId="3BFDB973">
            <w:pPr>
              <w:pageBreakBefore w:val="0"/>
              <w:kinsoku/>
              <w:wordWrap w:val="0"/>
              <w:topLinePunct w:val="0"/>
              <w:bidi w:val="0"/>
              <w:spacing w:line="440" w:lineRule="exact"/>
              <w:jc w:val="left"/>
              <w:rPr>
                <w:rFonts w:ascii="宋体" w:hAnsi="宋体" w:cs="宋体"/>
                <w:color w:val="auto"/>
                <w:szCs w:val="21"/>
                <w:highlight w:val="none"/>
              </w:rPr>
            </w:pPr>
            <w:r>
              <w:rPr>
                <w:rFonts w:hint="eastAsia" w:ascii="宋体" w:hAnsi="宋体" w:eastAsia="宋体" w:cs="Times New Roman"/>
                <w:color w:val="auto"/>
                <w:sz w:val="21"/>
                <w:szCs w:val="21"/>
                <w:highlight w:val="none"/>
                <w:lang w:eastAsia="zh-CN"/>
              </w:rPr>
              <w:t>提供投标人参加政府采购活动前三年内</w:t>
            </w:r>
            <w:r>
              <w:rPr>
                <w:rFonts w:hint="eastAsia" w:ascii="宋体" w:hAnsi="宋体" w:cs="Times New Roman"/>
                <w:color w:val="auto"/>
                <w:sz w:val="21"/>
                <w:szCs w:val="21"/>
                <w:highlight w:val="none"/>
                <w:lang w:eastAsia="zh-CN"/>
              </w:rPr>
              <w:t>，</w:t>
            </w:r>
            <w:r>
              <w:rPr>
                <w:rFonts w:hint="eastAsia" w:ascii="宋体" w:hAnsi="宋体" w:eastAsia="宋体" w:cs="Times New Roman"/>
                <w:color w:val="auto"/>
                <w:sz w:val="21"/>
                <w:szCs w:val="21"/>
                <w:highlight w:val="none"/>
                <w:lang w:eastAsia="zh-CN"/>
              </w:rPr>
              <w:t>在经营活动中没有重大违法记录（重大违法记录</w:t>
            </w:r>
            <w:r>
              <w:rPr>
                <w:rFonts w:hint="eastAsia" w:ascii="宋体" w:hAnsi="宋体" w:cs="Times New Roman"/>
                <w:color w:val="auto"/>
                <w:sz w:val="21"/>
                <w:szCs w:val="21"/>
                <w:highlight w:val="none"/>
                <w:lang w:eastAsia="zh-CN"/>
              </w:rPr>
              <w:t>，</w:t>
            </w:r>
            <w:r>
              <w:rPr>
                <w:rFonts w:hint="eastAsia" w:ascii="宋体" w:hAnsi="宋体" w:eastAsia="宋体" w:cs="Times New Roman"/>
                <w:color w:val="auto"/>
                <w:sz w:val="21"/>
                <w:szCs w:val="21"/>
                <w:highlight w:val="none"/>
                <w:lang w:eastAsia="zh-CN"/>
              </w:rPr>
              <w:t>是指投标人因违法经营受到刑事处罚或者责令停产停业</w:t>
            </w:r>
            <w:r>
              <w:rPr>
                <w:rFonts w:hint="eastAsia" w:ascii="宋体" w:hAnsi="宋体" w:cs="Times New Roman"/>
                <w:color w:val="auto"/>
                <w:sz w:val="21"/>
                <w:szCs w:val="21"/>
                <w:highlight w:val="none"/>
                <w:lang w:eastAsia="zh-CN"/>
              </w:rPr>
              <w:t>、</w:t>
            </w:r>
            <w:r>
              <w:rPr>
                <w:rFonts w:hint="eastAsia" w:ascii="宋体" w:hAnsi="宋体" w:eastAsia="宋体" w:cs="Times New Roman"/>
                <w:color w:val="auto"/>
                <w:sz w:val="21"/>
                <w:szCs w:val="21"/>
                <w:highlight w:val="none"/>
                <w:lang w:eastAsia="zh-CN"/>
              </w:rPr>
              <w:t>吊销许可证或者执照</w:t>
            </w:r>
            <w:r>
              <w:rPr>
                <w:rFonts w:hint="eastAsia" w:ascii="宋体" w:hAnsi="宋体" w:cs="Times New Roman"/>
                <w:color w:val="auto"/>
                <w:sz w:val="21"/>
                <w:szCs w:val="21"/>
                <w:highlight w:val="none"/>
                <w:lang w:eastAsia="zh-CN"/>
              </w:rPr>
              <w:t>、</w:t>
            </w:r>
            <w:r>
              <w:rPr>
                <w:rFonts w:hint="eastAsia" w:ascii="宋体" w:hAnsi="宋体" w:eastAsia="宋体" w:cs="Times New Roman"/>
                <w:color w:val="auto"/>
                <w:sz w:val="21"/>
                <w:szCs w:val="21"/>
                <w:highlight w:val="none"/>
                <w:lang w:eastAsia="zh-CN"/>
              </w:rPr>
              <w:t>较大数额罚款等行政处罚）的书面声明（加盖投标人公章）</w:t>
            </w:r>
          </w:p>
        </w:tc>
      </w:tr>
      <w:tr w14:paraId="1A0A4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76" w:type="dxa"/>
            <w:vMerge w:val="restart"/>
            <w:vAlign w:val="center"/>
          </w:tcPr>
          <w:p w14:paraId="60863133">
            <w:pPr>
              <w:pageBreakBefore w:val="0"/>
              <w:kinsoku/>
              <w:topLinePunct w:val="0"/>
              <w:bidi w:val="0"/>
              <w:spacing w:line="440" w:lineRule="exact"/>
              <w:jc w:val="center"/>
              <w:rPr>
                <w:rFonts w:ascii="宋体" w:hAnsi="宋体" w:cs="宋体"/>
                <w:b w:val="0"/>
                <w:bCs w:val="0"/>
                <w:color w:val="auto"/>
                <w:szCs w:val="21"/>
                <w:highlight w:val="none"/>
              </w:rPr>
            </w:pPr>
            <w:r>
              <w:rPr>
                <w:rFonts w:hint="eastAsia" w:ascii="宋体" w:hAnsi="宋体" w:eastAsia="宋体" w:cs="Times New Roman"/>
                <w:b w:val="0"/>
                <w:bCs w:val="0"/>
                <w:color w:val="auto"/>
                <w:sz w:val="21"/>
                <w:szCs w:val="21"/>
                <w:highlight w:val="none"/>
                <w:lang w:eastAsia="zh-CN"/>
              </w:rPr>
              <w:t>法律</w:t>
            </w:r>
            <w:r>
              <w:rPr>
                <w:rFonts w:hint="eastAsia" w:ascii="宋体" w:hAnsi="宋体" w:cs="Times New Roman"/>
                <w:b w:val="0"/>
                <w:bCs w:val="0"/>
                <w:color w:val="auto"/>
                <w:sz w:val="21"/>
                <w:szCs w:val="21"/>
                <w:highlight w:val="none"/>
                <w:lang w:eastAsia="zh-CN"/>
              </w:rPr>
              <w:t>、</w:t>
            </w:r>
            <w:r>
              <w:rPr>
                <w:rFonts w:hint="eastAsia" w:ascii="宋体" w:hAnsi="宋体" w:eastAsia="宋体" w:cs="Times New Roman"/>
                <w:b w:val="0"/>
                <w:bCs w:val="0"/>
                <w:color w:val="auto"/>
                <w:sz w:val="21"/>
                <w:szCs w:val="21"/>
                <w:highlight w:val="none"/>
                <w:lang w:eastAsia="zh-CN"/>
              </w:rPr>
              <w:t>行政法规规定的其他条件</w:t>
            </w:r>
          </w:p>
        </w:tc>
        <w:tc>
          <w:tcPr>
            <w:tcW w:w="6966" w:type="dxa"/>
            <w:vAlign w:val="center"/>
          </w:tcPr>
          <w:p w14:paraId="3090A882">
            <w:pPr>
              <w:pageBreakBefore w:val="0"/>
              <w:kinsoku/>
              <w:wordWrap w:val="0"/>
              <w:topLinePunct w:val="0"/>
              <w:bidi w:val="0"/>
              <w:spacing w:line="440" w:lineRule="exact"/>
              <w:jc w:val="left"/>
              <w:rPr>
                <w:rFonts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单位负责人为同一人或者存在直接控股、管理关系的不同供应商</w:t>
            </w:r>
            <w:r>
              <w:rPr>
                <w:rFonts w:hint="eastAsia" w:ascii="宋体" w:hAnsi="宋体" w:cs="宋体"/>
                <w:color w:val="auto"/>
                <w:szCs w:val="21"/>
                <w:highlight w:val="none"/>
                <w:lang w:eastAsia="zh-CN"/>
              </w:rPr>
              <w:t>，</w:t>
            </w:r>
            <w:r>
              <w:rPr>
                <w:rFonts w:hint="eastAsia" w:ascii="宋体" w:hAnsi="宋体" w:cs="宋体"/>
                <w:color w:val="auto"/>
                <w:szCs w:val="21"/>
                <w:highlight w:val="none"/>
              </w:rPr>
              <w:t>不得参加同一合同项下的政府采购活动（提供承诺函加盖投标人公章）；</w:t>
            </w:r>
          </w:p>
        </w:tc>
      </w:tr>
      <w:tr w14:paraId="2CB2B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76" w:type="dxa"/>
            <w:vMerge w:val="continue"/>
            <w:vAlign w:val="center"/>
          </w:tcPr>
          <w:p w14:paraId="29343884">
            <w:pPr>
              <w:pageBreakBefore w:val="0"/>
              <w:kinsoku/>
              <w:topLinePunct w:val="0"/>
              <w:bidi w:val="0"/>
              <w:spacing w:line="440" w:lineRule="exact"/>
              <w:jc w:val="center"/>
              <w:rPr>
                <w:rFonts w:hint="eastAsia" w:ascii="宋体" w:hAnsi="宋体" w:eastAsia="宋体" w:cs="Times New Roman"/>
                <w:b w:val="0"/>
                <w:bCs w:val="0"/>
                <w:color w:val="auto"/>
                <w:sz w:val="21"/>
                <w:szCs w:val="21"/>
                <w:highlight w:val="none"/>
                <w:lang w:eastAsia="zh-CN"/>
              </w:rPr>
            </w:pPr>
          </w:p>
        </w:tc>
        <w:tc>
          <w:tcPr>
            <w:tcW w:w="6966" w:type="dxa"/>
            <w:vAlign w:val="center"/>
          </w:tcPr>
          <w:p w14:paraId="06F95131">
            <w:pPr>
              <w:pageBreakBefore w:val="0"/>
              <w:kinsoku/>
              <w:wordWrap w:val="0"/>
              <w:topLinePunct w:val="0"/>
              <w:bidi w:val="0"/>
              <w:spacing w:line="440" w:lineRule="exact"/>
              <w:jc w:val="left"/>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eastAsia="zh-CN"/>
              </w:rPr>
              <w:t>为本采购项目提供整体设计、规范编制或者项目管理、监理、检测等服务的投标人，不得再参加本采购项目的其他采购活动的书面声明（提供书面声明函加盖投标人公章）；</w:t>
            </w:r>
          </w:p>
        </w:tc>
      </w:tr>
      <w:tr w14:paraId="5E945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76" w:type="dxa"/>
            <w:vMerge w:val="continue"/>
            <w:vAlign w:val="center"/>
          </w:tcPr>
          <w:p w14:paraId="0AF2900C">
            <w:pPr>
              <w:pageBreakBefore w:val="0"/>
              <w:kinsoku/>
              <w:topLinePunct w:val="0"/>
              <w:bidi w:val="0"/>
              <w:spacing w:line="440" w:lineRule="exact"/>
              <w:jc w:val="center"/>
              <w:rPr>
                <w:rFonts w:hint="eastAsia" w:ascii="宋体" w:hAnsi="宋体" w:eastAsia="宋体" w:cs="Times New Roman"/>
                <w:b w:val="0"/>
                <w:bCs w:val="0"/>
                <w:color w:val="auto"/>
                <w:sz w:val="21"/>
                <w:szCs w:val="21"/>
                <w:highlight w:val="none"/>
                <w:lang w:eastAsia="zh-CN"/>
              </w:rPr>
            </w:pPr>
          </w:p>
        </w:tc>
        <w:tc>
          <w:tcPr>
            <w:tcW w:w="6966" w:type="dxa"/>
            <w:vAlign w:val="center"/>
          </w:tcPr>
          <w:p w14:paraId="6D06C5B3">
            <w:pPr>
              <w:pageBreakBefore w:val="0"/>
              <w:kinsoku/>
              <w:wordWrap w:val="0"/>
              <w:topLinePunct w:val="0"/>
              <w:bidi w:val="0"/>
              <w:spacing w:line="440" w:lineRule="exact"/>
              <w:jc w:val="left"/>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3.投标人在“信用中国”网站（www.creditchina.gov.cn）中未被列入失信被执行人、重大税收违法失信主体名单、政府采购严重违法失信行为记录名单（查询时间为开标当天，查询结果以采购人、采购代理机构查询结果为准，并将查询记录和证据留存，投标人无需提供查询结果）；</w:t>
            </w:r>
          </w:p>
        </w:tc>
      </w:tr>
      <w:tr w14:paraId="6B2FF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76" w:type="dxa"/>
            <w:vMerge w:val="continue"/>
            <w:vAlign w:val="center"/>
          </w:tcPr>
          <w:p w14:paraId="56C20102">
            <w:pPr>
              <w:pageBreakBefore w:val="0"/>
              <w:kinsoku/>
              <w:topLinePunct w:val="0"/>
              <w:bidi w:val="0"/>
              <w:spacing w:line="440" w:lineRule="exact"/>
              <w:jc w:val="center"/>
              <w:rPr>
                <w:rFonts w:ascii="宋体" w:hAnsi="宋体" w:cs="宋体"/>
                <w:b w:val="0"/>
                <w:bCs w:val="0"/>
                <w:color w:val="auto"/>
                <w:szCs w:val="21"/>
                <w:highlight w:val="none"/>
              </w:rPr>
            </w:pPr>
          </w:p>
        </w:tc>
        <w:tc>
          <w:tcPr>
            <w:tcW w:w="6966" w:type="dxa"/>
            <w:vAlign w:val="center"/>
          </w:tcPr>
          <w:p w14:paraId="2A550619">
            <w:pPr>
              <w:pageBreakBefore w:val="0"/>
              <w:kinsoku/>
              <w:wordWrap w:val="0"/>
              <w:topLinePunct w:val="0"/>
              <w:bidi w:val="0"/>
              <w:spacing w:line="440" w:lineRule="exact"/>
              <w:jc w:val="left"/>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投标人在中国政府采购网（www.ccgp.gov.cn）政府采购严重违法失信行为记录名单中无不良信息记录（被禁止在一定期限内参加采购活动但期限届满的</w:t>
            </w:r>
            <w:r>
              <w:rPr>
                <w:rFonts w:hint="eastAsia" w:ascii="宋体" w:hAnsi="宋体" w:cs="宋体"/>
                <w:color w:val="auto"/>
                <w:szCs w:val="21"/>
                <w:highlight w:val="none"/>
                <w:lang w:eastAsia="zh-CN"/>
              </w:rPr>
              <w:t>，</w:t>
            </w:r>
            <w:r>
              <w:rPr>
                <w:rFonts w:hint="eastAsia" w:ascii="宋体" w:hAnsi="宋体" w:cs="宋体"/>
                <w:color w:val="auto"/>
                <w:szCs w:val="21"/>
                <w:highlight w:val="none"/>
              </w:rPr>
              <w:t>或仅被处于非较大数额罚款的除外</w:t>
            </w:r>
            <w:r>
              <w:rPr>
                <w:rFonts w:hint="eastAsia" w:ascii="宋体" w:hAnsi="宋体" w:cs="宋体"/>
                <w:color w:val="auto"/>
                <w:szCs w:val="21"/>
                <w:highlight w:val="none"/>
                <w:lang w:eastAsia="zh-CN"/>
              </w:rPr>
              <w:t>，</w:t>
            </w:r>
            <w:r>
              <w:rPr>
                <w:rFonts w:hint="eastAsia" w:ascii="宋体" w:hAnsi="宋体" w:cs="宋体"/>
                <w:color w:val="auto"/>
                <w:szCs w:val="21"/>
                <w:highlight w:val="none"/>
              </w:rPr>
              <w:t>查询时间为开标当天</w:t>
            </w:r>
            <w:r>
              <w:rPr>
                <w:rFonts w:hint="eastAsia" w:ascii="宋体" w:hAnsi="宋体" w:cs="宋体"/>
                <w:color w:val="auto"/>
                <w:szCs w:val="21"/>
                <w:highlight w:val="none"/>
                <w:lang w:eastAsia="zh-CN"/>
              </w:rPr>
              <w:t>，</w:t>
            </w:r>
            <w:r>
              <w:rPr>
                <w:rFonts w:hint="eastAsia" w:ascii="宋体" w:hAnsi="宋体" w:cs="宋体"/>
                <w:color w:val="auto"/>
                <w:szCs w:val="21"/>
                <w:highlight w:val="none"/>
              </w:rPr>
              <w:t>查询结果以采购人、采购代理机构查询结果为准</w:t>
            </w:r>
            <w:r>
              <w:rPr>
                <w:rFonts w:hint="eastAsia" w:ascii="宋体" w:hAnsi="宋体" w:cs="宋体"/>
                <w:color w:val="auto"/>
                <w:szCs w:val="21"/>
                <w:highlight w:val="none"/>
                <w:lang w:eastAsia="zh-CN"/>
              </w:rPr>
              <w:t>，</w:t>
            </w:r>
            <w:r>
              <w:rPr>
                <w:rFonts w:hint="eastAsia" w:ascii="宋体" w:hAnsi="宋体" w:cs="宋体"/>
                <w:color w:val="auto"/>
                <w:szCs w:val="21"/>
                <w:highlight w:val="none"/>
              </w:rPr>
              <w:t>并将查询记录和证据留存</w:t>
            </w:r>
            <w:r>
              <w:rPr>
                <w:rFonts w:hint="eastAsia" w:ascii="宋体" w:hAnsi="宋体" w:cs="宋体"/>
                <w:color w:val="auto"/>
                <w:szCs w:val="21"/>
                <w:highlight w:val="none"/>
                <w:lang w:eastAsia="zh-CN"/>
              </w:rPr>
              <w:t>，</w:t>
            </w:r>
            <w:r>
              <w:rPr>
                <w:rFonts w:hint="eastAsia" w:ascii="宋体" w:hAnsi="宋体" w:cs="宋体"/>
                <w:color w:val="auto"/>
                <w:szCs w:val="21"/>
                <w:highlight w:val="none"/>
              </w:rPr>
              <w:t>投标人无需提供查询结果）</w:t>
            </w:r>
            <w:r>
              <w:rPr>
                <w:rFonts w:hint="eastAsia" w:ascii="宋体" w:hAnsi="宋体" w:cs="宋体"/>
                <w:color w:val="auto"/>
                <w:szCs w:val="21"/>
                <w:highlight w:val="none"/>
                <w:lang w:eastAsia="zh-CN"/>
              </w:rPr>
              <w:t>。</w:t>
            </w:r>
          </w:p>
        </w:tc>
      </w:tr>
      <w:tr w14:paraId="22EB8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76" w:type="dxa"/>
            <w:vAlign w:val="center"/>
          </w:tcPr>
          <w:p w14:paraId="5383792B">
            <w:pPr>
              <w:pageBreakBefore w:val="0"/>
              <w:kinsoku/>
              <w:topLinePunct w:val="0"/>
              <w:bidi w:val="0"/>
              <w:spacing w:line="440" w:lineRule="exact"/>
              <w:jc w:val="center"/>
              <w:rPr>
                <w:rFonts w:ascii="宋体" w:hAnsi="宋体" w:cs="宋体"/>
                <w:b w:val="0"/>
                <w:bCs w:val="0"/>
                <w:color w:val="auto"/>
                <w:szCs w:val="21"/>
                <w:highlight w:val="none"/>
              </w:rPr>
            </w:pPr>
            <w:r>
              <w:rPr>
                <w:rFonts w:hint="eastAsia" w:hAnsi="宋体" w:eastAsia="宋体" w:cs="宋体"/>
                <w:b w:val="0"/>
                <w:bCs w:val="0"/>
                <w:color w:val="auto"/>
                <w:sz w:val="21"/>
                <w:szCs w:val="21"/>
                <w:highlight w:val="none"/>
              </w:rPr>
              <w:t>落实政府采购政策需满足的资格要求</w:t>
            </w:r>
          </w:p>
        </w:tc>
        <w:tc>
          <w:tcPr>
            <w:tcW w:w="6966" w:type="dxa"/>
            <w:vAlign w:val="center"/>
          </w:tcPr>
          <w:p w14:paraId="67126692">
            <w:pPr>
              <w:keepNext w:val="0"/>
              <w:keepLines w:val="0"/>
              <w:pageBreakBefore w:val="0"/>
              <w:tabs>
                <w:tab w:val="left" w:pos="720"/>
                <w:tab w:val="left" w:pos="8295"/>
              </w:tabs>
              <w:kinsoku/>
              <w:wordWrap w:val="0"/>
              <w:overflowPunct/>
              <w:topLinePunct w:val="0"/>
              <w:autoSpaceDE/>
              <w:autoSpaceDN/>
              <w:bidi w:val="0"/>
              <w:adjustRightInd/>
              <w:snapToGrid/>
              <w:spacing w:line="440" w:lineRule="exact"/>
              <w:outlineLvl w:val="2"/>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本项目专门面向中小企业采购</w:t>
            </w: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投标人必须为中型企业或小型企业或微型企业；监狱企业、残疾人福利性单位视同小型企业或微型企业</w:t>
            </w:r>
            <w:r>
              <w:rPr>
                <w:rFonts w:hint="eastAsia" w:ascii="宋体" w:hAnsi="宋体" w:cs="宋体"/>
                <w:b w:val="0"/>
                <w:bCs w:val="0"/>
                <w:color w:val="auto"/>
                <w:szCs w:val="21"/>
                <w:highlight w:val="none"/>
                <w:lang w:eastAsia="zh-CN"/>
              </w:rPr>
              <w:t>。本项目所属行业为物业管理，符合条件的投标人应根据《关于印发中小企业划型标准规定的通知》（工信部联企业〔2011〕300号）中物业管理划型标准进行划型</w:t>
            </w:r>
            <w:r>
              <w:rPr>
                <w:rFonts w:hint="eastAsia" w:ascii="宋体" w:hAnsi="宋体" w:cs="宋体"/>
                <w:b w:val="0"/>
                <w:bCs w:val="0"/>
                <w:color w:val="auto"/>
                <w:sz w:val="21"/>
                <w:szCs w:val="21"/>
                <w:highlight w:val="none"/>
                <w:lang w:val="en-US" w:eastAsia="zh-CN"/>
              </w:rPr>
              <w:t>。</w:t>
            </w:r>
          </w:p>
        </w:tc>
      </w:tr>
      <w:tr w14:paraId="126D8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776" w:type="dxa"/>
            <w:vAlign w:val="center"/>
          </w:tcPr>
          <w:p w14:paraId="43AA1A90">
            <w:pPr>
              <w:pageBreakBefore w:val="0"/>
              <w:kinsoku/>
              <w:topLinePunct w:val="0"/>
              <w:bidi w:val="0"/>
              <w:spacing w:line="440" w:lineRule="exact"/>
              <w:jc w:val="center"/>
              <w:rPr>
                <w:rFonts w:ascii="宋体" w:hAnsi="宋体" w:cs="宋体"/>
                <w:b w:val="0"/>
                <w:bCs w:val="0"/>
                <w:color w:val="auto"/>
                <w:szCs w:val="21"/>
                <w:highlight w:val="none"/>
              </w:rPr>
            </w:pPr>
            <w:r>
              <w:rPr>
                <w:rFonts w:hint="eastAsia" w:hAnsi="宋体" w:eastAsia="宋体" w:cs="宋体"/>
                <w:b w:val="0"/>
                <w:bCs w:val="0"/>
                <w:color w:val="auto"/>
                <w:sz w:val="21"/>
                <w:szCs w:val="21"/>
                <w:highlight w:val="none"/>
              </w:rPr>
              <w:t>本项目的特定资格要求</w:t>
            </w:r>
          </w:p>
        </w:tc>
        <w:tc>
          <w:tcPr>
            <w:tcW w:w="6966" w:type="dxa"/>
            <w:vAlign w:val="center"/>
          </w:tcPr>
          <w:p w14:paraId="44A2636B">
            <w:pPr>
              <w:pageBreakBefore w:val="0"/>
              <w:kinsoku/>
              <w:wordWrap w:val="0"/>
              <w:topLinePunct w:val="0"/>
              <w:bidi w:val="0"/>
              <w:spacing w:line="440" w:lineRule="exact"/>
              <w:jc w:val="left"/>
              <w:rPr>
                <w:rFonts w:hint="eastAsia" w:ascii="宋体" w:hAnsi="宋体" w:cs="宋体"/>
                <w:color w:val="auto"/>
                <w:szCs w:val="21"/>
                <w:highlight w:val="none"/>
                <w:lang w:val="en-US" w:eastAsia="zh-CN"/>
              </w:rPr>
            </w:pPr>
            <w:r>
              <w:rPr>
                <w:rFonts w:hint="eastAsia" w:hAnsi="宋体" w:cs="宋体"/>
                <w:color w:val="auto"/>
                <w:sz w:val="21"/>
                <w:szCs w:val="21"/>
                <w:highlight w:val="none"/>
                <w:lang w:val="en-US" w:eastAsia="zh-CN"/>
              </w:rPr>
              <w:t>无</w:t>
            </w:r>
            <w:r>
              <w:rPr>
                <w:rFonts w:hint="eastAsia" w:ascii="宋体" w:hAnsi="宋体" w:eastAsia="宋体" w:cs="宋体"/>
                <w:color w:val="auto"/>
                <w:sz w:val="21"/>
                <w:szCs w:val="21"/>
                <w:highlight w:val="none"/>
                <w:lang w:eastAsia="zh-CN"/>
              </w:rPr>
              <w:t>。</w:t>
            </w:r>
          </w:p>
        </w:tc>
      </w:tr>
    </w:tbl>
    <w:p w14:paraId="1111A006">
      <w:pPr>
        <w:pageBreakBefore w:val="0"/>
        <w:kinsoku/>
        <w:topLinePunct w:val="0"/>
        <w:bidi w:val="0"/>
        <w:spacing w:line="440" w:lineRule="exact"/>
        <w:ind w:firstLine="420" w:firstLineChars="200"/>
        <w:jc w:val="left"/>
        <w:rPr>
          <w:rFonts w:hint="eastAsia" w:ascii="宋体" w:hAnsi="宋体" w:cs="宋体"/>
          <w:color w:val="auto"/>
          <w:szCs w:val="21"/>
          <w:highlight w:val="none"/>
          <w:lang w:val="en-US" w:eastAsia="zh-CN"/>
        </w:rPr>
      </w:pPr>
    </w:p>
    <w:p w14:paraId="0C88535F">
      <w:pPr>
        <w:pageBreakBefore w:val="0"/>
        <w:kinsoku/>
        <w:topLinePunct w:val="0"/>
        <w:bidi w:val="0"/>
        <w:spacing w:line="440" w:lineRule="exact"/>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1.公开招标采购项目开标结束后，由采购人或者采购代理机构依法对投标人的资格进行审查，以确定投标人是否具备投标资格；合格投标人不足3家的，不得评标。</w:t>
      </w:r>
    </w:p>
    <w:p w14:paraId="26510FDF">
      <w:pPr>
        <w:pageBreakBefore w:val="0"/>
        <w:kinsoku/>
        <w:topLinePunct w:val="0"/>
        <w:bidi w:val="0"/>
        <w:spacing w:line="440" w:lineRule="exact"/>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采购人、采购代理机构应当通过“信用中国”网站（www.creditchina.gov.cn）、中国政府采购网（www.ccgp.gov.cn）等渠道查询投标人的信用记录，并对投标人信用记录进行甄别，对列入失信被执行人、重大税收违法失信主体名单、政府采购严重违法失信行为记录名单及其他不符合《中华人民共和国政府采购法》第二十二条规定条件的投标人，应当拒绝其参与政府采购活动。</w:t>
      </w:r>
    </w:p>
    <w:p w14:paraId="3029F83F">
      <w:pPr>
        <w:pageBreakBefore w:val="0"/>
        <w:kinsoku/>
        <w:topLinePunct w:val="0"/>
        <w:bidi w:val="0"/>
        <w:spacing w:line="440" w:lineRule="exact"/>
        <w:ind w:firstLine="420" w:firstLineChars="200"/>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3.采购人或者采购代理机构在资格审查过程中发现投标人有一项不符合上述规定的，该投标文件按无效投标处理。</w:t>
      </w:r>
    </w:p>
    <w:p w14:paraId="08139FAC">
      <w:pPr>
        <w:pageBreakBefore w:val="0"/>
        <w:kinsoku/>
        <w:topLinePunct w:val="0"/>
        <w:bidi w:val="0"/>
        <w:spacing w:line="440" w:lineRule="exact"/>
        <w:rPr>
          <w:rFonts w:hint="eastAsia"/>
          <w:color w:val="auto"/>
          <w:highlight w:val="none"/>
        </w:rPr>
      </w:pPr>
      <w:r>
        <w:rPr>
          <w:rFonts w:hint="eastAsia"/>
          <w:color w:val="auto"/>
          <w:highlight w:val="none"/>
        </w:rPr>
        <w:br w:type="page"/>
      </w:r>
    </w:p>
    <w:p w14:paraId="674E1752">
      <w:pPr>
        <w:pStyle w:val="2"/>
        <w:pageBreakBefore w:val="0"/>
        <w:kinsoku/>
        <w:topLinePunct w:val="0"/>
        <w:bidi w:val="0"/>
        <w:spacing w:line="440" w:lineRule="exact"/>
        <w:jc w:val="center"/>
        <w:outlineLvl w:val="1"/>
        <w:rPr>
          <w:rFonts w:hint="eastAsia" w:ascii="宋体" w:hAnsi="宋体" w:eastAsia="宋体" w:cs="Times New Roman"/>
          <w:b/>
          <w:color w:val="auto"/>
          <w:spacing w:val="40"/>
          <w:kern w:val="2"/>
          <w:sz w:val="28"/>
          <w:szCs w:val="21"/>
          <w:highlight w:val="none"/>
          <w:lang w:val="en-US" w:eastAsia="zh-CN" w:bidi="ar-SA"/>
        </w:rPr>
      </w:pPr>
      <w:bookmarkStart w:id="86" w:name="_Toc10843"/>
      <w:bookmarkStart w:id="87" w:name="_Toc9398_WPSOffice_Level2"/>
      <w:r>
        <w:rPr>
          <w:rFonts w:hint="eastAsia" w:ascii="宋体" w:hAnsi="宋体" w:eastAsia="宋体" w:cs="Times New Roman"/>
          <w:b/>
          <w:color w:val="auto"/>
          <w:spacing w:val="40"/>
          <w:kern w:val="2"/>
          <w:sz w:val="28"/>
          <w:szCs w:val="21"/>
          <w:highlight w:val="none"/>
          <w:lang w:val="en-US" w:eastAsia="zh-CN" w:bidi="ar-SA"/>
        </w:rPr>
        <w:t>二</w:t>
      </w:r>
      <w:r>
        <w:rPr>
          <w:rFonts w:hint="eastAsia" w:ascii="宋体" w:hAnsi="宋体" w:cs="Times New Roman"/>
          <w:b/>
          <w:color w:val="auto"/>
          <w:spacing w:val="40"/>
          <w:kern w:val="2"/>
          <w:sz w:val="28"/>
          <w:szCs w:val="21"/>
          <w:highlight w:val="none"/>
          <w:lang w:val="en-US" w:eastAsia="zh-CN" w:bidi="ar-SA"/>
        </w:rPr>
        <w:t>、</w:t>
      </w:r>
      <w:r>
        <w:rPr>
          <w:rFonts w:hint="eastAsia" w:ascii="宋体" w:hAnsi="宋体" w:eastAsia="宋体" w:cs="Times New Roman"/>
          <w:b/>
          <w:color w:val="auto"/>
          <w:spacing w:val="40"/>
          <w:kern w:val="2"/>
          <w:sz w:val="28"/>
          <w:szCs w:val="21"/>
          <w:highlight w:val="none"/>
          <w:lang w:val="en-US" w:eastAsia="zh-CN" w:bidi="ar-SA"/>
        </w:rPr>
        <w:t>评标方法及标准</w:t>
      </w:r>
      <w:bookmarkEnd w:id="86"/>
      <w:bookmarkEnd w:id="87"/>
    </w:p>
    <w:p w14:paraId="61EDF672">
      <w:pPr>
        <w:pStyle w:val="4"/>
        <w:pageBreakBefore w:val="0"/>
        <w:kinsoku/>
        <w:topLinePunct w:val="0"/>
        <w:bidi w:val="0"/>
        <w:spacing w:line="440" w:lineRule="exact"/>
        <w:jc w:val="center"/>
        <w:outlineLvl w:val="1"/>
        <w:rPr>
          <w:rFonts w:hint="eastAsia"/>
          <w:color w:val="auto"/>
          <w:highlight w:val="none"/>
          <w:lang w:val="en-US" w:eastAsia="zh-CN"/>
        </w:rPr>
      </w:pPr>
      <w:bookmarkStart w:id="88" w:name="_Toc488633639"/>
      <w:bookmarkStart w:id="89" w:name="_Toc15535"/>
      <w:bookmarkStart w:id="90" w:name="_Toc13133"/>
      <w:bookmarkStart w:id="91" w:name="_Toc489145774"/>
      <w:bookmarkStart w:id="92" w:name="_Toc24313"/>
      <w:bookmarkStart w:id="93" w:name="_Toc1351"/>
      <w:bookmarkStart w:id="94" w:name="_Toc26806"/>
      <w:bookmarkStart w:id="95" w:name="_Toc21919"/>
      <w:bookmarkStart w:id="96" w:name="_Toc525059005"/>
      <w:bookmarkStart w:id="97" w:name="_Toc6304"/>
      <w:bookmarkStart w:id="98" w:name="_Toc525059499"/>
      <w:r>
        <w:rPr>
          <w:rFonts w:hint="eastAsia" w:ascii="宋体" w:hAnsi="宋体"/>
          <w:color w:val="auto"/>
          <w:sz w:val="28"/>
          <w:szCs w:val="21"/>
          <w:highlight w:val="none"/>
        </w:rPr>
        <w:t>评标方法前附表</w:t>
      </w:r>
      <w:bookmarkEnd w:id="88"/>
      <w:bookmarkEnd w:id="89"/>
      <w:bookmarkEnd w:id="90"/>
      <w:bookmarkEnd w:id="91"/>
      <w:bookmarkEnd w:id="92"/>
      <w:bookmarkEnd w:id="93"/>
      <w:bookmarkEnd w:id="94"/>
      <w:bookmarkEnd w:id="95"/>
      <w:bookmarkEnd w:id="96"/>
      <w:bookmarkEnd w:id="97"/>
      <w:bookmarkEnd w:id="98"/>
    </w:p>
    <w:tbl>
      <w:tblPr>
        <w:tblStyle w:val="25"/>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007"/>
        <w:gridCol w:w="1371"/>
        <w:gridCol w:w="5323"/>
        <w:gridCol w:w="685"/>
      </w:tblGrid>
      <w:tr w14:paraId="11D89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14:paraId="271C2350">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1371" w:type="dxa"/>
            <w:tcBorders>
              <w:top w:val="single" w:color="auto" w:sz="4" w:space="0"/>
              <w:left w:val="single" w:color="auto" w:sz="4" w:space="0"/>
              <w:bottom w:val="single" w:color="auto" w:sz="4" w:space="0"/>
              <w:right w:val="single" w:color="auto" w:sz="4" w:space="0"/>
            </w:tcBorders>
            <w:vAlign w:val="center"/>
          </w:tcPr>
          <w:p w14:paraId="09D8747C">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评审内容</w:t>
            </w:r>
          </w:p>
        </w:tc>
        <w:tc>
          <w:tcPr>
            <w:tcW w:w="6008" w:type="dxa"/>
            <w:gridSpan w:val="2"/>
            <w:tcBorders>
              <w:top w:val="single" w:color="auto" w:sz="4" w:space="0"/>
              <w:left w:val="single" w:color="auto" w:sz="4" w:space="0"/>
              <w:bottom w:val="single" w:color="auto" w:sz="4" w:space="0"/>
              <w:right w:val="single" w:color="auto" w:sz="4" w:space="0"/>
            </w:tcBorders>
            <w:vAlign w:val="center"/>
          </w:tcPr>
          <w:p w14:paraId="0B29F84C">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 审 标 准</w:t>
            </w:r>
          </w:p>
        </w:tc>
      </w:tr>
      <w:tr w14:paraId="15BA9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2" w:type="dxa"/>
            <w:vMerge w:val="restart"/>
            <w:vAlign w:val="center"/>
          </w:tcPr>
          <w:p w14:paraId="1CF058CE">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2.1</w:t>
            </w:r>
          </w:p>
        </w:tc>
        <w:tc>
          <w:tcPr>
            <w:tcW w:w="1007" w:type="dxa"/>
            <w:vMerge w:val="restart"/>
            <w:vAlign w:val="center"/>
          </w:tcPr>
          <w:p w14:paraId="5EAE2499">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符合性审查</w:t>
            </w:r>
          </w:p>
        </w:tc>
        <w:tc>
          <w:tcPr>
            <w:tcW w:w="1371" w:type="dxa"/>
            <w:vAlign w:val="center"/>
          </w:tcPr>
          <w:p w14:paraId="1857700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投标有效期</w:t>
            </w:r>
          </w:p>
        </w:tc>
        <w:tc>
          <w:tcPr>
            <w:tcW w:w="6008" w:type="dxa"/>
            <w:gridSpan w:val="2"/>
            <w:vAlign w:val="center"/>
          </w:tcPr>
          <w:p w14:paraId="2B68EECA">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投标人须知前附表</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第</w:t>
            </w:r>
            <w:r>
              <w:rPr>
                <w:rFonts w:hint="eastAsia" w:ascii="宋体" w:hAnsi="宋体" w:cs="宋体"/>
                <w:color w:val="auto"/>
                <w:szCs w:val="21"/>
                <w:highlight w:val="none"/>
                <w:lang w:val="en-US" w:eastAsia="zh-CN"/>
              </w:rPr>
              <w:t>14</w:t>
            </w:r>
            <w:r>
              <w:rPr>
                <w:rFonts w:hint="eastAsia" w:ascii="宋体" w:hAnsi="宋体" w:eastAsia="宋体" w:cs="宋体"/>
                <w:color w:val="auto"/>
                <w:szCs w:val="21"/>
                <w:highlight w:val="none"/>
              </w:rPr>
              <w:t>项规定</w:t>
            </w:r>
          </w:p>
        </w:tc>
      </w:tr>
      <w:tr w14:paraId="69191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2" w:type="dxa"/>
            <w:vMerge w:val="continue"/>
            <w:vAlign w:val="center"/>
          </w:tcPr>
          <w:p w14:paraId="57DCBE38">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宋体" w:hAnsi="宋体" w:cs="宋体"/>
                <w:b/>
                <w:bCs/>
                <w:color w:val="auto"/>
                <w:szCs w:val="21"/>
                <w:highlight w:val="none"/>
                <w:lang w:val="en-US" w:eastAsia="zh-CN"/>
              </w:rPr>
            </w:pPr>
          </w:p>
        </w:tc>
        <w:tc>
          <w:tcPr>
            <w:tcW w:w="1007" w:type="dxa"/>
            <w:vMerge w:val="continue"/>
            <w:vAlign w:val="center"/>
          </w:tcPr>
          <w:p w14:paraId="4A6B7AF9">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宋体" w:hAnsi="宋体" w:eastAsia="宋体" w:cs="宋体"/>
                <w:b/>
                <w:bCs/>
                <w:color w:val="auto"/>
                <w:szCs w:val="21"/>
                <w:highlight w:val="none"/>
              </w:rPr>
            </w:pPr>
          </w:p>
        </w:tc>
        <w:tc>
          <w:tcPr>
            <w:tcW w:w="1371" w:type="dxa"/>
            <w:vAlign w:val="center"/>
          </w:tcPr>
          <w:p w14:paraId="0EDCB6F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投标函</w:t>
            </w:r>
          </w:p>
        </w:tc>
        <w:tc>
          <w:tcPr>
            <w:tcW w:w="6008" w:type="dxa"/>
            <w:gridSpan w:val="2"/>
            <w:vAlign w:val="center"/>
          </w:tcPr>
          <w:p w14:paraId="2EBEF2C4">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符合第五章</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投标文件格式</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中规定的格式及内容</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有法定代表人或</w:t>
            </w:r>
            <w:r>
              <w:rPr>
                <w:rFonts w:hint="eastAsia" w:ascii="宋体" w:hAnsi="宋体" w:cs="宋体"/>
                <w:color w:val="auto"/>
                <w:szCs w:val="21"/>
                <w:highlight w:val="none"/>
                <w:lang w:eastAsia="zh-CN"/>
              </w:rPr>
              <w:t>被授权投标代表</w:t>
            </w:r>
            <w:r>
              <w:rPr>
                <w:rFonts w:hint="eastAsia" w:ascii="宋体" w:hAnsi="宋体" w:eastAsia="宋体" w:cs="宋体"/>
                <w:color w:val="auto"/>
                <w:szCs w:val="21"/>
                <w:highlight w:val="none"/>
              </w:rPr>
              <w:t>签字或盖章</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并加盖公章。</w:t>
            </w:r>
          </w:p>
        </w:tc>
      </w:tr>
      <w:tr w14:paraId="55A94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2" w:type="dxa"/>
            <w:vMerge w:val="continue"/>
            <w:vAlign w:val="center"/>
          </w:tcPr>
          <w:p w14:paraId="00D8AB8B">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宋体" w:hAnsi="宋体" w:cs="宋体"/>
                <w:b/>
                <w:bCs/>
                <w:color w:val="auto"/>
                <w:szCs w:val="21"/>
                <w:highlight w:val="none"/>
                <w:lang w:val="en-US" w:eastAsia="zh-CN"/>
              </w:rPr>
            </w:pPr>
          </w:p>
        </w:tc>
        <w:tc>
          <w:tcPr>
            <w:tcW w:w="1007" w:type="dxa"/>
            <w:vMerge w:val="continue"/>
            <w:vAlign w:val="center"/>
          </w:tcPr>
          <w:p w14:paraId="0634B0E1">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宋体" w:hAnsi="宋体" w:eastAsia="宋体" w:cs="宋体"/>
                <w:b/>
                <w:bCs/>
                <w:color w:val="auto"/>
                <w:szCs w:val="21"/>
                <w:highlight w:val="none"/>
              </w:rPr>
            </w:pPr>
          </w:p>
        </w:tc>
        <w:tc>
          <w:tcPr>
            <w:tcW w:w="1371" w:type="dxa"/>
            <w:vAlign w:val="center"/>
          </w:tcPr>
          <w:p w14:paraId="21DA6A6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投标报价表</w:t>
            </w:r>
          </w:p>
        </w:tc>
        <w:tc>
          <w:tcPr>
            <w:tcW w:w="6008" w:type="dxa"/>
            <w:gridSpan w:val="2"/>
            <w:vAlign w:val="center"/>
          </w:tcPr>
          <w:p w14:paraId="7E936422">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符合第五章《投标文件格式》中规定的格式及内容</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提供开标一览表</w:t>
            </w:r>
          </w:p>
        </w:tc>
      </w:tr>
      <w:tr w14:paraId="4082C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2" w:type="dxa"/>
            <w:vMerge w:val="continue"/>
            <w:vAlign w:val="center"/>
          </w:tcPr>
          <w:p w14:paraId="21D3057F">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宋体" w:hAnsi="宋体" w:cs="宋体"/>
                <w:b/>
                <w:bCs/>
                <w:color w:val="auto"/>
                <w:szCs w:val="21"/>
                <w:highlight w:val="none"/>
                <w:lang w:val="en-US" w:eastAsia="zh-CN"/>
              </w:rPr>
            </w:pPr>
          </w:p>
        </w:tc>
        <w:tc>
          <w:tcPr>
            <w:tcW w:w="1007" w:type="dxa"/>
            <w:vMerge w:val="continue"/>
            <w:vAlign w:val="center"/>
          </w:tcPr>
          <w:p w14:paraId="5A5978AB">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宋体" w:hAnsi="宋体" w:eastAsia="宋体" w:cs="宋体"/>
                <w:b/>
                <w:bCs/>
                <w:color w:val="auto"/>
                <w:szCs w:val="21"/>
                <w:highlight w:val="none"/>
              </w:rPr>
            </w:pPr>
          </w:p>
        </w:tc>
        <w:tc>
          <w:tcPr>
            <w:tcW w:w="1371" w:type="dxa"/>
            <w:vAlign w:val="center"/>
          </w:tcPr>
          <w:p w14:paraId="326C037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投标报价</w:t>
            </w:r>
          </w:p>
        </w:tc>
        <w:tc>
          <w:tcPr>
            <w:tcW w:w="6008" w:type="dxa"/>
            <w:gridSpan w:val="2"/>
            <w:vAlign w:val="center"/>
          </w:tcPr>
          <w:p w14:paraId="5C2D2688">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未超过采购预算金额</w:t>
            </w:r>
            <w:r>
              <w:rPr>
                <w:rFonts w:hint="eastAsia" w:ascii="宋体" w:hAnsi="宋体" w:eastAsia="宋体" w:cs="宋体"/>
                <w:color w:val="auto"/>
                <w:szCs w:val="21"/>
                <w:highlight w:val="none"/>
                <w:lang w:eastAsia="zh-CN"/>
              </w:rPr>
              <w:t>或</w:t>
            </w:r>
            <w:r>
              <w:rPr>
                <w:rFonts w:hint="eastAsia" w:ascii="宋体" w:hAnsi="宋体" w:cs="宋体"/>
                <w:color w:val="auto"/>
                <w:szCs w:val="21"/>
                <w:highlight w:val="none"/>
                <w:lang w:val="en-US" w:eastAsia="zh-CN"/>
              </w:rPr>
              <w:t>最高限价</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未出现缺项</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漏项或无报价情况</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对所投</w:t>
            </w:r>
            <w:r>
              <w:rPr>
                <w:rFonts w:hint="eastAsia" w:ascii="宋体" w:hAnsi="宋体" w:eastAsia="宋体" w:cs="宋体"/>
                <w:color w:val="auto"/>
                <w:szCs w:val="21"/>
                <w:highlight w:val="none"/>
                <w:lang w:eastAsia="zh-CN"/>
              </w:rPr>
              <w:t>项目</w:t>
            </w:r>
            <w:r>
              <w:rPr>
                <w:rFonts w:hint="eastAsia" w:ascii="宋体" w:hAnsi="宋体" w:eastAsia="宋体" w:cs="宋体"/>
                <w:color w:val="auto"/>
                <w:szCs w:val="21"/>
                <w:highlight w:val="none"/>
              </w:rPr>
              <w:t>内所有内容作出完整唯一的投标报价</w:t>
            </w:r>
          </w:p>
        </w:tc>
      </w:tr>
      <w:tr w14:paraId="5937E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2" w:type="dxa"/>
            <w:vMerge w:val="continue"/>
            <w:vAlign w:val="center"/>
          </w:tcPr>
          <w:p w14:paraId="3BE31759">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宋体" w:hAnsi="宋体" w:cs="宋体"/>
                <w:b/>
                <w:bCs/>
                <w:color w:val="auto"/>
                <w:szCs w:val="21"/>
                <w:highlight w:val="none"/>
                <w:lang w:val="en-US" w:eastAsia="zh-CN"/>
              </w:rPr>
            </w:pPr>
          </w:p>
        </w:tc>
        <w:tc>
          <w:tcPr>
            <w:tcW w:w="1007" w:type="dxa"/>
            <w:vMerge w:val="continue"/>
            <w:vAlign w:val="center"/>
          </w:tcPr>
          <w:p w14:paraId="7EFC03FA">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宋体" w:hAnsi="宋体" w:eastAsia="宋体" w:cs="宋体"/>
                <w:b/>
                <w:bCs/>
                <w:color w:val="auto"/>
                <w:szCs w:val="21"/>
                <w:highlight w:val="none"/>
              </w:rPr>
            </w:pPr>
          </w:p>
        </w:tc>
        <w:tc>
          <w:tcPr>
            <w:tcW w:w="1371" w:type="dxa"/>
            <w:vAlign w:val="center"/>
          </w:tcPr>
          <w:p w14:paraId="1974D39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法定代表人授权委托书</w:t>
            </w:r>
          </w:p>
        </w:tc>
        <w:tc>
          <w:tcPr>
            <w:tcW w:w="6008" w:type="dxa"/>
            <w:gridSpan w:val="2"/>
            <w:vAlign w:val="center"/>
          </w:tcPr>
          <w:p w14:paraId="3F42C8F3">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Cs w:val="21"/>
                <w:highlight w:val="none"/>
              </w:rPr>
            </w:pPr>
            <w:r>
              <w:rPr>
                <w:rFonts w:hint="eastAsia" w:ascii="宋体" w:hAnsi="宋体" w:cs="宋体"/>
                <w:color w:val="auto"/>
                <w:szCs w:val="21"/>
                <w:highlight w:val="none"/>
              </w:rPr>
              <w:t>符合</w:t>
            </w:r>
            <w:r>
              <w:rPr>
                <w:rFonts w:hint="eastAsia" w:ascii="宋体" w:hAnsi="宋体" w:eastAsia="宋体" w:cs="宋体"/>
                <w:color w:val="auto"/>
                <w:szCs w:val="21"/>
                <w:highlight w:val="none"/>
              </w:rPr>
              <w:t>第五章</w:t>
            </w:r>
            <w:r>
              <w:rPr>
                <w:rFonts w:hint="eastAsia" w:ascii="宋体" w:hAnsi="宋体" w:cs="宋体"/>
                <w:color w:val="auto"/>
                <w:szCs w:val="21"/>
                <w:highlight w:val="none"/>
              </w:rPr>
              <w:t>《投标文件格式》中规定的格式及内容</w:t>
            </w:r>
            <w:r>
              <w:rPr>
                <w:rFonts w:hint="eastAsia" w:ascii="宋体" w:hAnsi="宋体" w:cs="宋体"/>
                <w:color w:val="auto"/>
                <w:szCs w:val="21"/>
                <w:highlight w:val="none"/>
                <w:lang w:eastAsia="zh-CN"/>
              </w:rPr>
              <w:t>，</w:t>
            </w:r>
            <w:r>
              <w:rPr>
                <w:rFonts w:hint="eastAsia" w:ascii="宋体" w:hAnsi="宋体" w:cs="宋体"/>
                <w:color w:val="auto"/>
                <w:szCs w:val="21"/>
                <w:highlight w:val="none"/>
              </w:rPr>
              <w:t>并加盖投标人公章；</w:t>
            </w:r>
          </w:p>
        </w:tc>
      </w:tr>
      <w:tr w14:paraId="07F65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2" w:type="dxa"/>
            <w:vMerge w:val="continue"/>
            <w:vAlign w:val="center"/>
          </w:tcPr>
          <w:p w14:paraId="2A2908F3">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宋体" w:hAnsi="宋体" w:cs="宋体"/>
                <w:b/>
                <w:bCs/>
                <w:color w:val="auto"/>
                <w:szCs w:val="21"/>
                <w:highlight w:val="none"/>
                <w:lang w:val="en-US" w:eastAsia="zh-CN"/>
              </w:rPr>
            </w:pPr>
          </w:p>
        </w:tc>
        <w:tc>
          <w:tcPr>
            <w:tcW w:w="1007" w:type="dxa"/>
            <w:vMerge w:val="continue"/>
            <w:vAlign w:val="center"/>
          </w:tcPr>
          <w:p w14:paraId="1E5089D1">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宋体" w:hAnsi="宋体" w:eastAsia="宋体" w:cs="宋体"/>
                <w:b/>
                <w:bCs/>
                <w:color w:val="auto"/>
                <w:szCs w:val="21"/>
                <w:highlight w:val="none"/>
              </w:rPr>
            </w:pPr>
          </w:p>
        </w:tc>
        <w:tc>
          <w:tcPr>
            <w:tcW w:w="1371" w:type="dxa"/>
            <w:vAlign w:val="center"/>
          </w:tcPr>
          <w:p w14:paraId="73A080D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法定代表人身份证明复印件</w:t>
            </w:r>
          </w:p>
        </w:tc>
        <w:tc>
          <w:tcPr>
            <w:tcW w:w="6008" w:type="dxa"/>
            <w:gridSpan w:val="2"/>
            <w:vAlign w:val="center"/>
          </w:tcPr>
          <w:p w14:paraId="34A87A12">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Cs w:val="21"/>
                <w:highlight w:val="none"/>
              </w:rPr>
            </w:pPr>
            <w:r>
              <w:rPr>
                <w:rFonts w:hint="eastAsia" w:ascii="宋体" w:hAnsi="宋体" w:cs="宋体"/>
                <w:color w:val="auto"/>
                <w:szCs w:val="21"/>
                <w:highlight w:val="none"/>
              </w:rPr>
              <w:t>符合</w:t>
            </w:r>
            <w:r>
              <w:rPr>
                <w:rFonts w:hint="eastAsia" w:ascii="宋体" w:hAnsi="宋体" w:eastAsia="宋体" w:cs="宋体"/>
                <w:color w:val="auto"/>
                <w:szCs w:val="21"/>
                <w:highlight w:val="none"/>
              </w:rPr>
              <w:t>第五章</w:t>
            </w:r>
            <w:r>
              <w:rPr>
                <w:rFonts w:hint="eastAsia" w:ascii="宋体" w:hAnsi="宋体" w:cs="宋体"/>
                <w:color w:val="auto"/>
                <w:szCs w:val="21"/>
                <w:highlight w:val="none"/>
              </w:rPr>
              <w:t>《投标文件格式》中规定的格式及内容</w:t>
            </w:r>
            <w:r>
              <w:rPr>
                <w:rFonts w:hint="eastAsia" w:ascii="宋体" w:hAnsi="宋体" w:cs="宋体"/>
                <w:color w:val="auto"/>
                <w:szCs w:val="21"/>
                <w:highlight w:val="none"/>
                <w:lang w:eastAsia="zh-CN"/>
              </w:rPr>
              <w:t>，</w:t>
            </w:r>
            <w:r>
              <w:rPr>
                <w:rFonts w:hint="eastAsia" w:ascii="宋体" w:hAnsi="宋体" w:cs="宋体"/>
                <w:color w:val="auto"/>
                <w:szCs w:val="21"/>
                <w:highlight w:val="none"/>
              </w:rPr>
              <w:t>有</w:t>
            </w:r>
            <w:r>
              <w:rPr>
                <w:rFonts w:hint="eastAsia" w:ascii="宋体" w:hAnsi="宋体" w:cs="宋体"/>
                <w:color w:val="auto"/>
                <w:szCs w:val="21"/>
                <w:highlight w:val="none"/>
                <w:lang w:eastAsia="zh-CN"/>
              </w:rPr>
              <w:t>法定代表人</w:t>
            </w:r>
            <w:r>
              <w:rPr>
                <w:rFonts w:hint="eastAsia" w:ascii="宋体" w:hAnsi="宋体" w:cs="宋体"/>
                <w:color w:val="auto"/>
                <w:szCs w:val="21"/>
                <w:highlight w:val="none"/>
              </w:rPr>
              <w:t>及委托代理人签字或盖章；</w:t>
            </w:r>
          </w:p>
        </w:tc>
      </w:tr>
      <w:tr w14:paraId="5FB75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2" w:type="dxa"/>
            <w:vMerge w:val="continue"/>
            <w:vAlign w:val="center"/>
          </w:tcPr>
          <w:p w14:paraId="70D27CAB">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宋体" w:hAnsi="宋体" w:cs="宋体"/>
                <w:b/>
                <w:bCs/>
                <w:color w:val="auto"/>
                <w:szCs w:val="21"/>
                <w:highlight w:val="none"/>
                <w:lang w:val="en-US" w:eastAsia="zh-CN"/>
              </w:rPr>
            </w:pPr>
          </w:p>
        </w:tc>
        <w:tc>
          <w:tcPr>
            <w:tcW w:w="1007" w:type="dxa"/>
            <w:vMerge w:val="continue"/>
            <w:vAlign w:val="center"/>
          </w:tcPr>
          <w:p w14:paraId="26DDC3BA">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宋体" w:hAnsi="宋体" w:eastAsia="宋体" w:cs="宋体"/>
                <w:b/>
                <w:bCs/>
                <w:color w:val="auto"/>
                <w:szCs w:val="21"/>
                <w:highlight w:val="none"/>
              </w:rPr>
            </w:pPr>
          </w:p>
        </w:tc>
        <w:tc>
          <w:tcPr>
            <w:tcW w:w="1371" w:type="dxa"/>
            <w:vAlign w:val="center"/>
          </w:tcPr>
          <w:p w14:paraId="531DBE5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eastAsia="zh-CN"/>
              </w:rPr>
              <w:t>自然人授权委托书</w:t>
            </w:r>
          </w:p>
        </w:tc>
        <w:tc>
          <w:tcPr>
            <w:tcW w:w="6008" w:type="dxa"/>
            <w:gridSpan w:val="2"/>
            <w:vAlign w:val="center"/>
          </w:tcPr>
          <w:p w14:paraId="4320816C">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符合第五章</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投标文件格式</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中规定的格式及内容</w:t>
            </w:r>
          </w:p>
        </w:tc>
      </w:tr>
      <w:tr w14:paraId="6FA09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jc w:val="center"/>
        </w:trPr>
        <w:tc>
          <w:tcPr>
            <w:tcW w:w="772" w:type="dxa"/>
            <w:vMerge w:val="continue"/>
            <w:vAlign w:val="center"/>
          </w:tcPr>
          <w:p w14:paraId="23DD2837">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宋体" w:hAnsi="宋体" w:cs="宋体"/>
                <w:b/>
                <w:bCs/>
                <w:color w:val="auto"/>
                <w:szCs w:val="21"/>
                <w:highlight w:val="none"/>
                <w:lang w:val="en-US" w:eastAsia="zh-CN"/>
              </w:rPr>
            </w:pPr>
          </w:p>
        </w:tc>
        <w:tc>
          <w:tcPr>
            <w:tcW w:w="1007" w:type="dxa"/>
            <w:vMerge w:val="continue"/>
            <w:vAlign w:val="center"/>
          </w:tcPr>
          <w:p w14:paraId="039FA893">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宋体" w:hAnsi="宋体" w:eastAsia="宋体" w:cs="宋体"/>
                <w:b/>
                <w:bCs/>
                <w:color w:val="auto"/>
                <w:szCs w:val="21"/>
                <w:highlight w:val="none"/>
              </w:rPr>
            </w:pPr>
          </w:p>
        </w:tc>
        <w:tc>
          <w:tcPr>
            <w:tcW w:w="1371" w:type="dxa"/>
            <w:vAlign w:val="center"/>
          </w:tcPr>
          <w:p w14:paraId="55019A5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其它实质性要求</w:t>
            </w:r>
          </w:p>
        </w:tc>
        <w:tc>
          <w:tcPr>
            <w:tcW w:w="6008" w:type="dxa"/>
            <w:gridSpan w:val="2"/>
            <w:vAlign w:val="center"/>
          </w:tcPr>
          <w:p w14:paraId="1C54C210">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投标文件未出现其他不满足招标文件中标注★条款内容且未出现招标文件规定的其他投标无效情形</w:t>
            </w:r>
          </w:p>
        </w:tc>
      </w:tr>
      <w:tr w14:paraId="1A158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2" w:type="dxa"/>
            <w:vMerge w:val="restart"/>
            <w:vAlign w:val="center"/>
          </w:tcPr>
          <w:p w14:paraId="2B4E24D2">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2.2</w:t>
            </w:r>
          </w:p>
        </w:tc>
        <w:tc>
          <w:tcPr>
            <w:tcW w:w="1007" w:type="dxa"/>
            <w:vMerge w:val="restart"/>
            <w:vAlign w:val="center"/>
          </w:tcPr>
          <w:p w14:paraId="23AAF470">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jc w:val="center"/>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评标方法和标准</w:t>
            </w:r>
          </w:p>
        </w:tc>
        <w:tc>
          <w:tcPr>
            <w:tcW w:w="1371" w:type="dxa"/>
            <w:vAlign w:val="center"/>
          </w:tcPr>
          <w:p w14:paraId="773A2D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Cs w:val="21"/>
                <w:highlight w:val="none"/>
              </w:rPr>
            </w:pP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1）评标总得分计算公式</w:t>
            </w:r>
          </w:p>
        </w:tc>
        <w:tc>
          <w:tcPr>
            <w:tcW w:w="6008" w:type="dxa"/>
            <w:gridSpan w:val="2"/>
            <w:vAlign w:val="center"/>
          </w:tcPr>
          <w:p w14:paraId="189A071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投标人的评标总得分＝F1＋F2＋F3</w:t>
            </w:r>
          </w:p>
          <w:p w14:paraId="22D8112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其中：F1、F2、F3分别为投标报价、</w:t>
            </w:r>
            <w:r>
              <w:rPr>
                <w:rFonts w:hint="eastAsia" w:ascii="宋体" w:hAnsi="宋体" w:eastAsia="宋体" w:cs="宋体"/>
                <w:color w:val="auto"/>
                <w:sz w:val="21"/>
                <w:szCs w:val="21"/>
                <w:highlight w:val="none"/>
                <w:lang w:val="en-US" w:eastAsia="zh-CN"/>
              </w:rPr>
              <w:t>履约能力</w:t>
            </w:r>
            <w:r>
              <w:rPr>
                <w:rFonts w:hint="eastAsia" w:ascii="宋体" w:hAnsi="宋体" w:eastAsia="宋体" w:cs="宋体"/>
                <w:color w:val="auto"/>
                <w:sz w:val="21"/>
                <w:szCs w:val="21"/>
                <w:highlight w:val="none"/>
              </w:rPr>
              <w:t>、技术和服务水平3项评分因素；</w:t>
            </w:r>
          </w:p>
        </w:tc>
      </w:tr>
      <w:tr w14:paraId="15126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jc w:val="center"/>
        </w:trPr>
        <w:tc>
          <w:tcPr>
            <w:tcW w:w="772" w:type="dxa"/>
            <w:vMerge w:val="continue"/>
            <w:vAlign w:val="center"/>
          </w:tcPr>
          <w:p w14:paraId="55DD03FD">
            <w:pPr>
              <w:pStyle w:val="3"/>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color w:val="auto"/>
                <w:highlight w:val="none"/>
              </w:rPr>
            </w:pPr>
          </w:p>
        </w:tc>
        <w:tc>
          <w:tcPr>
            <w:tcW w:w="1007" w:type="dxa"/>
            <w:vMerge w:val="continue"/>
            <w:vAlign w:val="center"/>
          </w:tcPr>
          <w:p w14:paraId="5BE0C569">
            <w:pPr>
              <w:keepNext w:val="0"/>
              <w:keepLines w:val="0"/>
              <w:pageBreakBefore w:val="0"/>
              <w:widowControl w:val="0"/>
              <w:kinsoku/>
              <w:wordWrap/>
              <w:overflowPunct/>
              <w:topLinePunct w:val="0"/>
              <w:autoSpaceDE/>
              <w:autoSpaceDN/>
              <w:bidi w:val="0"/>
              <w:adjustRightInd/>
              <w:snapToGrid/>
              <w:spacing w:before="100" w:beforeAutospacing="1" w:after="100" w:afterAutospacing="1" w:line="440" w:lineRule="exact"/>
              <w:textAlignment w:val="auto"/>
              <w:rPr>
                <w:rFonts w:hint="eastAsia" w:ascii="宋体" w:hAnsi="宋体" w:eastAsia="宋体" w:cs="宋体"/>
                <w:b/>
                <w:bCs/>
                <w:color w:val="auto"/>
                <w:szCs w:val="21"/>
                <w:highlight w:val="none"/>
              </w:rPr>
            </w:pPr>
          </w:p>
        </w:tc>
        <w:tc>
          <w:tcPr>
            <w:tcW w:w="1371" w:type="dxa"/>
            <w:vAlign w:val="center"/>
          </w:tcPr>
          <w:p w14:paraId="0187D41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Cs w:val="21"/>
                <w:highlight w:val="none"/>
              </w:rPr>
            </w:pP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2）评分因素</w:t>
            </w:r>
            <w:r>
              <w:rPr>
                <w:rFonts w:hint="eastAsia" w:ascii="宋体" w:hAnsi="宋体" w:cs="宋体"/>
                <w:b/>
                <w:bCs/>
                <w:color w:val="auto"/>
                <w:sz w:val="21"/>
                <w:szCs w:val="21"/>
                <w:highlight w:val="none"/>
                <w:lang w:val="en-US" w:eastAsia="zh-CN"/>
              </w:rPr>
              <w:t>及</w:t>
            </w:r>
            <w:r>
              <w:rPr>
                <w:rFonts w:hint="eastAsia" w:ascii="宋体" w:hAnsi="宋体" w:eastAsia="宋体" w:cs="宋体"/>
                <w:b/>
                <w:bCs/>
                <w:color w:val="auto"/>
                <w:sz w:val="21"/>
                <w:szCs w:val="21"/>
                <w:highlight w:val="none"/>
              </w:rPr>
              <w:t>权重</w:t>
            </w:r>
          </w:p>
        </w:tc>
        <w:tc>
          <w:tcPr>
            <w:tcW w:w="6008" w:type="dxa"/>
            <w:gridSpan w:val="2"/>
            <w:vAlign w:val="center"/>
          </w:tcPr>
          <w:p w14:paraId="08978DB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r>
              <w:rPr>
                <w:rFonts w:hint="eastAsia" w:ascii="宋体" w:hAnsi="宋体" w:eastAsia="宋体" w:cs="宋体"/>
                <w:color w:val="auto"/>
                <w:sz w:val="21"/>
                <w:szCs w:val="21"/>
                <w:highlight w:val="none"/>
                <w:lang w:val="en-US" w:eastAsia="zh-CN"/>
              </w:rPr>
              <w:t>评审评分</w:t>
            </w:r>
            <w:r>
              <w:rPr>
                <w:rFonts w:hint="eastAsia" w:ascii="宋体" w:hAnsi="宋体" w:eastAsia="宋体" w:cs="宋体"/>
                <w:color w:val="auto"/>
                <w:sz w:val="21"/>
                <w:szCs w:val="21"/>
                <w:highlight w:val="none"/>
              </w:rPr>
              <w:t>F1：</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14:paraId="57B2CA1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履约能力评审评分</w:t>
            </w:r>
            <w:r>
              <w:rPr>
                <w:rFonts w:hint="eastAsia" w:ascii="宋体" w:hAnsi="宋体" w:eastAsia="宋体" w:cs="宋体"/>
                <w:color w:val="auto"/>
                <w:sz w:val="21"/>
                <w:szCs w:val="21"/>
                <w:highlight w:val="none"/>
              </w:rPr>
              <w:t>F2：</w:t>
            </w: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rPr>
              <w:t>分。</w:t>
            </w:r>
          </w:p>
          <w:p w14:paraId="6AC6361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技术和服务水平</w:t>
            </w:r>
            <w:r>
              <w:rPr>
                <w:rFonts w:hint="eastAsia" w:ascii="宋体" w:hAnsi="宋体" w:eastAsia="宋体" w:cs="宋体"/>
                <w:color w:val="auto"/>
                <w:sz w:val="21"/>
                <w:szCs w:val="21"/>
                <w:highlight w:val="none"/>
                <w:lang w:val="en-US" w:eastAsia="zh-CN"/>
              </w:rPr>
              <w:t>评审评分</w:t>
            </w:r>
            <w:r>
              <w:rPr>
                <w:rFonts w:hint="eastAsia" w:ascii="宋体" w:hAnsi="宋体" w:eastAsia="宋体" w:cs="宋体"/>
                <w:color w:val="auto"/>
                <w:sz w:val="21"/>
                <w:szCs w:val="21"/>
                <w:highlight w:val="none"/>
              </w:rPr>
              <w:t>F3：</w:t>
            </w:r>
            <w:r>
              <w:rPr>
                <w:rFonts w:hint="eastAsia" w:ascii="宋体" w:hAnsi="宋体" w:cs="宋体"/>
                <w:color w:val="auto"/>
                <w:sz w:val="21"/>
                <w:szCs w:val="21"/>
                <w:highlight w:val="none"/>
                <w:lang w:val="en-US" w:eastAsia="zh-CN"/>
              </w:rPr>
              <w:t>70</w:t>
            </w:r>
            <w:r>
              <w:rPr>
                <w:rFonts w:hint="eastAsia" w:ascii="宋体" w:hAnsi="宋体" w:eastAsia="宋体" w:cs="宋体"/>
                <w:color w:val="auto"/>
                <w:sz w:val="21"/>
                <w:szCs w:val="21"/>
                <w:highlight w:val="none"/>
              </w:rPr>
              <w:t>分。</w:t>
            </w:r>
          </w:p>
        </w:tc>
      </w:tr>
      <w:tr w14:paraId="0FC090B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75" w:hRule="atLeast"/>
          <w:jc w:val="center"/>
        </w:trPr>
        <w:tc>
          <w:tcPr>
            <w:tcW w:w="772" w:type="dxa"/>
            <w:tcBorders>
              <w:top w:val="single" w:color="auto" w:sz="4" w:space="0"/>
              <w:left w:val="single" w:color="auto" w:sz="4" w:space="0"/>
              <w:bottom w:val="single" w:color="auto" w:sz="4" w:space="0"/>
              <w:right w:val="single" w:color="auto" w:sz="4" w:space="0"/>
            </w:tcBorders>
            <w:vAlign w:val="center"/>
          </w:tcPr>
          <w:p w14:paraId="7EB81AA8">
            <w:pPr>
              <w:pageBreakBefore w:val="0"/>
              <w:widowControl/>
              <w:kinsoku/>
              <w:wordWrap/>
              <w:overflowPunct w:val="0"/>
              <w:topLinePunct w:val="0"/>
              <w:autoSpaceDE w:val="0"/>
              <w:autoSpaceDN w:val="0"/>
              <w:bidi w:val="0"/>
              <w:adjustRightInd w:val="0"/>
              <w:spacing w:after="0" w:line="440" w:lineRule="exact"/>
              <w:jc w:val="center"/>
              <w:textAlignment w:val="baseline"/>
              <w:rPr>
                <w:rFonts w:ascii="宋体" w:hAnsi="宋体" w:eastAsia="宋体" w:cs="FangSong_GB2312"/>
                <w:b/>
                <w:bCs/>
                <w:color w:val="auto"/>
                <w:kern w:val="0"/>
                <w:sz w:val="21"/>
                <w:szCs w:val="21"/>
                <w:highlight w:val="none"/>
              </w:rPr>
            </w:pPr>
            <w:r>
              <w:rPr>
                <w:rFonts w:hint="eastAsia" w:ascii="宋体" w:hAnsi="宋体" w:eastAsia="宋体" w:cs="FangSong_GB2312"/>
                <w:b/>
                <w:bCs/>
                <w:color w:val="auto"/>
                <w:kern w:val="0"/>
                <w:sz w:val="21"/>
                <w:szCs w:val="21"/>
                <w:highlight w:val="none"/>
              </w:rPr>
              <w:t>序号</w:t>
            </w:r>
          </w:p>
        </w:tc>
        <w:tc>
          <w:tcPr>
            <w:tcW w:w="1007" w:type="dxa"/>
            <w:tcBorders>
              <w:top w:val="single" w:color="auto" w:sz="4" w:space="0"/>
              <w:left w:val="single" w:color="auto" w:sz="4" w:space="0"/>
              <w:bottom w:val="single" w:color="auto" w:sz="4" w:space="0"/>
              <w:right w:val="single" w:color="auto" w:sz="4" w:space="0"/>
            </w:tcBorders>
            <w:vAlign w:val="center"/>
          </w:tcPr>
          <w:p w14:paraId="72217120">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eastAsia="宋体" w:cs="FangSong_GB2312"/>
                <w:b/>
                <w:bCs/>
                <w:color w:val="auto"/>
                <w:kern w:val="0"/>
                <w:sz w:val="21"/>
                <w:szCs w:val="21"/>
                <w:highlight w:val="none"/>
              </w:rPr>
            </w:pPr>
            <w:r>
              <w:rPr>
                <w:rFonts w:hint="eastAsia" w:ascii="宋体" w:hAnsi="宋体" w:eastAsia="宋体" w:cs="FangSong_GB2312"/>
                <w:b/>
                <w:bCs/>
                <w:color w:val="auto"/>
                <w:kern w:val="0"/>
                <w:sz w:val="21"/>
                <w:szCs w:val="21"/>
                <w:highlight w:val="none"/>
              </w:rPr>
              <w:t>评审</w:t>
            </w:r>
          </w:p>
          <w:p w14:paraId="05EC2912">
            <w:pPr>
              <w:pageBreakBefore w:val="0"/>
              <w:widowControl/>
              <w:kinsoku/>
              <w:wordWrap/>
              <w:overflowPunct w:val="0"/>
              <w:topLinePunct w:val="0"/>
              <w:autoSpaceDE w:val="0"/>
              <w:autoSpaceDN w:val="0"/>
              <w:bidi w:val="0"/>
              <w:adjustRightInd w:val="0"/>
              <w:spacing w:after="0" w:line="440" w:lineRule="exact"/>
              <w:jc w:val="center"/>
              <w:textAlignment w:val="baseline"/>
              <w:rPr>
                <w:rFonts w:ascii="宋体" w:hAnsi="宋体" w:eastAsia="宋体" w:cs="FangSong_GB2312"/>
                <w:b/>
                <w:bCs/>
                <w:color w:val="auto"/>
                <w:kern w:val="0"/>
                <w:sz w:val="21"/>
                <w:szCs w:val="21"/>
                <w:highlight w:val="none"/>
              </w:rPr>
            </w:pPr>
            <w:r>
              <w:rPr>
                <w:rFonts w:hint="eastAsia" w:ascii="宋体" w:hAnsi="宋体" w:eastAsia="宋体" w:cs="FangSong_GB2312"/>
                <w:b/>
                <w:bCs/>
                <w:color w:val="auto"/>
                <w:kern w:val="0"/>
                <w:sz w:val="21"/>
                <w:szCs w:val="21"/>
                <w:highlight w:val="none"/>
              </w:rPr>
              <w:t>因素</w:t>
            </w:r>
          </w:p>
        </w:tc>
        <w:tc>
          <w:tcPr>
            <w:tcW w:w="1371" w:type="dxa"/>
            <w:tcBorders>
              <w:top w:val="single" w:color="auto" w:sz="4" w:space="0"/>
              <w:left w:val="single" w:color="auto" w:sz="4" w:space="0"/>
              <w:bottom w:val="single" w:color="auto" w:sz="4" w:space="0"/>
              <w:right w:val="single" w:color="auto" w:sz="4" w:space="0"/>
            </w:tcBorders>
            <w:vAlign w:val="center"/>
          </w:tcPr>
          <w:p w14:paraId="25E89912">
            <w:pPr>
              <w:pageBreakBefore w:val="0"/>
              <w:widowControl/>
              <w:kinsoku/>
              <w:wordWrap/>
              <w:overflowPunct w:val="0"/>
              <w:topLinePunct w:val="0"/>
              <w:autoSpaceDE w:val="0"/>
              <w:autoSpaceDN w:val="0"/>
              <w:bidi w:val="0"/>
              <w:adjustRightInd w:val="0"/>
              <w:spacing w:after="0" w:line="440" w:lineRule="exact"/>
              <w:jc w:val="center"/>
              <w:textAlignment w:val="baseline"/>
              <w:rPr>
                <w:rFonts w:ascii="宋体" w:hAnsi="宋体" w:eastAsia="宋体" w:cs="FangSong_GB2312"/>
                <w:b/>
                <w:bCs/>
                <w:color w:val="auto"/>
                <w:kern w:val="0"/>
                <w:sz w:val="21"/>
                <w:szCs w:val="21"/>
                <w:highlight w:val="none"/>
              </w:rPr>
            </w:pPr>
            <w:r>
              <w:rPr>
                <w:rFonts w:hint="eastAsia" w:ascii="宋体" w:hAnsi="宋体" w:eastAsia="宋体" w:cs="FangSong_GB2312"/>
                <w:b/>
                <w:bCs/>
                <w:color w:val="auto"/>
                <w:kern w:val="0"/>
                <w:sz w:val="21"/>
                <w:szCs w:val="21"/>
                <w:highlight w:val="none"/>
              </w:rPr>
              <w:t>主要内容</w:t>
            </w:r>
          </w:p>
        </w:tc>
        <w:tc>
          <w:tcPr>
            <w:tcW w:w="5323" w:type="dxa"/>
            <w:tcBorders>
              <w:top w:val="single" w:color="auto" w:sz="4" w:space="0"/>
              <w:left w:val="single" w:color="auto" w:sz="4" w:space="0"/>
              <w:bottom w:val="single" w:color="auto" w:sz="4" w:space="0"/>
              <w:right w:val="single" w:color="auto" w:sz="4" w:space="0"/>
            </w:tcBorders>
            <w:vAlign w:val="center"/>
          </w:tcPr>
          <w:p w14:paraId="66E165FF">
            <w:pPr>
              <w:pageBreakBefore w:val="0"/>
              <w:widowControl/>
              <w:kinsoku/>
              <w:wordWrap/>
              <w:overflowPunct w:val="0"/>
              <w:topLinePunct w:val="0"/>
              <w:autoSpaceDE w:val="0"/>
              <w:autoSpaceDN w:val="0"/>
              <w:bidi w:val="0"/>
              <w:adjustRightInd w:val="0"/>
              <w:spacing w:after="0" w:line="440" w:lineRule="exact"/>
              <w:jc w:val="center"/>
              <w:textAlignment w:val="baseline"/>
              <w:rPr>
                <w:rFonts w:ascii="宋体" w:hAnsi="宋体" w:eastAsia="宋体" w:cs="FangSong_GB2312"/>
                <w:b/>
                <w:bCs/>
                <w:color w:val="auto"/>
                <w:kern w:val="0"/>
                <w:sz w:val="21"/>
                <w:szCs w:val="21"/>
                <w:highlight w:val="none"/>
              </w:rPr>
            </w:pPr>
            <w:r>
              <w:rPr>
                <w:rFonts w:hint="eastAsia" w:ascii="宋体" w:hAnsi="宋体" w:eastAsia="宋体" w:cs="FangSong_GB2312"/>
                <w:b/>
                <w:bCs/>
                <w:color w:val="auto"/>
                <w:kern w:val="0"/>
                <w:sz w:val="21"/>
                <w:szCs w:val="21"/>
                <w:highlight w:val="none"/>
              </w:rPr>
              <w:t>指标要求</w:t>
            </w:r>
          </w:p>
        </w:tc>
        <w:tc>
          <w:tcPr>
            <w:tcW w:w="685" w:type="dxa"/>
            <w:tcBorders>
              <w:top w:val="single" w:color="auto" w:sz="4" w:space="0"/>
              <w:left w:val="single" w:color="auto" w:sz="4" w:space="0"/>
              <w:bottom w:val="single" w:color="auto" w:sz="4" w:space="0"/>
              <w:right w:val="single" w:color="auto" w:sz="4" w:space="0"/>
            </w:tcBorders>
            <w:vAlign w:val="center"/>
          </w:tcPr>
          <w:p w14:paraId="36840EE2">
            <w:pPr>
              <w:pageBreakBefore w:val="0"/>
              <w:widowControl/>
              <w:kinsoku/>
              <w:wordWrap/>
              <w:overflowPunct w:val="0"/>
              <w:topLinePunct w:val="0"/>
              <w:autoSpaceDE w:val="0"/>
              <w:autoSpaceDN w:val="0"/>
              <w:bidi w:val="0"/>
              <w:adjustRightInd w:val="0"/>
              <w:spacing w:after="0" w:line="440" w:lineRule="exact"/>
              <w:jc w:val="center"/>
              <w:textAlignment w:val="baseline"/>
              <w:rPr>
                <w:rFonts w:ascii="宋体" w:hAnsi="宋体" w:eastAsia="宋体" w:cs="FangSong_GB2312"/>
                <w:b/>
                <w:bCs/>
                <w:color w:val="auto"/>
                <w:kern w:val="0"/>
                <w:sz w:val="21"/>
                <w:szCs w:val="21"/>
                <w:highlight w:val="none"/>
              </w:rPr>
            </w:pPr>
            <w:r>
              <w:rPr>
                <w:rFonts w:hint="eastAsia" w:ascii="宋体" w:hAnsi="宋体" w:eastAsia="宋体" w:cs="FangSong_GB2312"/>
                <w:b/>
                <w:bCs/>
                <w:color w:val="auto"/>
                <w:kern w:val="0"/>
                <w:sz w:val="21"/>
                <w:szCs w:val="21"/>
                <w:highlight w:val="none"/>
              </w:rPr>
              <w:t>细项</w:t>
            </w:r>
          </w:p>
          <w:p w14:paraId="78BE9F9A">
            <w:pPr>
              <w:pageBreakBefore w:val="0"/>
              <w:widowControl/>
              <w:kinsoku/>
              <w:wordWrap/>
              <w:overflowPunct w:val="0"/>
              <w:topLinePunct w:val="0"/>
              <w:autoSpaceDE w:val="0"/>
              <w:autoSpaceDN w:val="0"/>
              <w:bidi w:val="0"/>
              <w:adjustRightInd w:val="0"/>
              <w:spacing w:after="0" w:line="440" w:lineRule="exact"/>
              <w:jc w:val="center"/>
              <w:textAlignment w:val="baseline"/>
              <w:rPr>
                <w:rFonts w:ascii="宋体" w:hAnsi="宋体" w:eastAsia="宋体" w:cs="FangSong_GB2312"/>
                <w:b/>
                <w:bCs/>
                <w:color w:val="auto"/>
                <w:kern w:val="0"/>
                <w:sz w:val="21"/>
                <w:szCs w:val="21"/>
                <w:highlight w:val="none"/>
              </w:rPr>
            </w:pPr>
            <w:r>
              <w:rPr>
                <w:rFonts w:hint="eastAsia" w:ascii="宋体" w:hAnsi="宋体" w:eastAsia="宋体" w:cs="FangSong_GB2312"/>
                <w:b/>
                <w:bCs/>
                <w:color w:val="auto"/>
                <w:kern w:val="0"/>
                <w:sz w:val="21"/>
                <w:szCs w:val="21"/>
                <w:highlight w:val="none"/>
              </w:rPr>
              <w:t>分值</w:t>
            </w:r>
          </w:p>
        </w:tc>
      </w:tr>
      <w:tr w14:paraId="1A60A8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28" w:hRule="atLeast"/>
          <w:jc w:val="center"/>
        </w:trPr>
        <w:tc>
          <w:tcPr>
            <w:tcW w:w="772" w:type="dxa"/>
            <w:tcBorders>
              <w:top w:val="single" w:color="auto" w:sz="4" w:space="0"/>
              <w:left w:val="single" w:color="auto" w:sz="4" w:space="0"/>
              <w:right w:val="single" w:color="auto" w:sz="4" w:space="0"/>
            </w:tcBorders>
            <w:vAlign w:val="center"/>
          </w:tcPr>
          <w:p w14:paraId="469F9005">
            <w:pPr>
              <w:pageBreakBefore w:val="0"/>
              <w:widowControl/>
              <w:kinsoku/>
              <w:wordWrap/>
              <w:overflowPunct w:val="0"/>
              <w:topLinePunct w:val="0"/>
              <w:autoSpaceDE w:val="0"/>
              <w:autoSpaceDN w:val="0"/>
              <w:bidi w:val="0"/>
              <w:adjustRightInd w:val="0"/>
              <w:spacing w:after="0" w:line="440" w:lineRule="exact"/>
              <w:jc w:val="center"/>
              <w:textAlignment w:val="baseline"/>
              <w:rPr>
                <w:rFonts w:hint="default" w:ascii="宋体" w:hAnsi="宋体" w:cs="FangSong_GB2312"/>
                <w:b w:val="0"/>
                <w:bCs w:val="0"/>
                <w:color w:val="auto"/>
                <w:kern w:val="0"/>
                <w:sz w:val="21"/>
                <w:szCs w:val="21"/>
                <w:highlight w:val="none"/>
                <w:lang w:val="en-US" w:eastAsia="zh-CN"/>
              </w:rPr>
            </w:pPr>
            <w:r>
              <w:rPr>
                <w:rFonts w:hint="eastAsia" w:ascii="宋体" w:hAnsi="宋体" w:cs="FangSong_GB2312"/>
                <w:b w:val="0"/>
                <w:bCs w:val="0"/>
                <w:color w:val="auto"/>
                <w:kern w:val="0"/>
                <w:sz w:val="21"/>
                <w:szCs w:val="21"/>
                <w:highlight w:val="none"/>
                <w:lang w:val="en-US" w:eastAsia="zh-CN"/>
              </w:rPr>
              <w:t>2.2.1</w:t>
            </w:r>
          </w:p>
        </w:tc>
        <w:tc>
          <w:tcPr>
            <w:tcW w:w="1007" w:type="dxa"/>
            <w:tcBorders>
              <w:top w:val="single" w:color="auto" w:sz="4" w:space="0"/>
              <w:left w:val="single" w:color="auto" w:sz="4" w:space="0"/>
              <w:right w:val="single" w:color="auto" w:sz="4" w:space="0"/>
            </w:tcBorders>
            <w:vAlign w:val="center"/>
          </w:tcPr>
          <w:p w14:paraId="700B01EB">
            <w:pPr>
              <w:pageBreakBefore w:val="0"/>
              <w:widowControl/>
              <w:kinsoku/>
              <w:wordWrap/>
              <w:overflowPunct w:val="0"/>
              <w:topLinePunct w:val="0"/>
              <w:autoSpaceDE w:val="0"/>
              <w:autoSpaceDN w:val="0"/>
              <w:bidi w:val="0"/>
              <w:adjustRightInd w:val="0"/>
              <w:spacing w:after="0" w:line="440" w:lineRule="exact"/>
              <w:jc w:val="center"/>
              <w:textAlignment w:val="baseline"/>
              <w:rPr>
                <w:rFonts w:ascii="宋体" w:hAnsi="宋体" w:eastAsia="宋体" w:cs="FangSong_GB2312"/>
                <w:b/>
                <w:bCs/>
                <w:color w:val="auto"/>
                <w:sz w:val="21"/>
                <w:szCs w:val="21"/>
                <w:highlight w:val="none"/>
                <w:lang w:val="zh-CN"/>
              </w:rPr>
            </w:pPr>
            <w:r>
              <w:rPr>
                <w:rFonts w:hint="eastAsia" w:ascii="宋体" w:hAnsi="宋体" w:cs="FangSong_GB2312"/>
                <w:b/>
                <w:bCs/>
                <w:color w:val="auto"/>
                <w:sz w:val="21"/>
                <w:szCs w:val="21"/>
                <w:highlight w:val="none"/>
                <w:lang w:val="zh-CN"/>
              </w:rPr>
              <w:t>投标</w:t>
            </w:r>
            <w:r>
              <w:rPr>
                <w:rFonts w:hint="eastAsia" w:ascii="宋体" w:hAnsi="宋体" w:eastAsia="宋体" w:cs="FangSong_GB2312"/>
                <w:b/>
                <w:bCs/>
                <w:color w:val="auto"/>
                <w:sz w:val="21"/>
                <w:szCs w:val="21"/>
                <w:highlight w:val="none"/>
                <w:lang w:val="zh-CN"/>
              </w:rPr>
              <w:t>报价</w:t>
            </w:r>
            <w:r>
              <w:rPr>
                <w:rFonts w:hint="eastAsia" w:ascii="宋体" w:hAnsi="宋体" w:cs="FangSong_GB2312"/>
                <w:b/>
                <w:bCs/>
                <w:color w:val="auto"/>
                <w:sz w:val="21"/>
                <w:szCs w:val="21"/>
                <w:highlight w:val="none"/>
                <w:lang w:val="en-US" w:eastAsia="zh-CN"/>
              </w:rPr>
              <w:t>评审评分</w:t>
            </w:r>
            <w:r>
              <w:rPr>
                <w:rFonts w:hint="eastAsia" w:ascii="宋体" w:hAnsi="宋体" w:eastAsia="宋体" w:cs="FangSong_GB2312"/>
                <w:b/>
                <w:bCs/>
                <w:color w:val="auto"/>
                <w:sz w:val="21"/>
                <w:szCs w:val="21"/>
                <w:highlight w:val="none"/>
                <w:lang w:val="zh-CN"/>
              </w:rPr>
              <w:t>F1</w:t>
            </w:r>
          </w:p>
        </w:tc>
        <w:tc>
          <w:tcPr>
            <w:tcW w:w="1371" w:type="dxa"/>
            <w:tcBorders>
              <w:top w:val="single" w:color="auto" w:sz="4" w:space="0"/>
              <w:left w:val="single" w:color="auto" w:sz="4" w:space="0"/>
              <w:right w:val="single" w:color="auto" w:sz="4" w:space="0"/>
            </w:tcBorders>
            <w:vAlign w:val="center"/>
          </w:tcPr>
          <w:p w14:paraId="5A082609">
            <w:pPr>
              <w:pageBreakBefore w:val="0"/>
              <w:widowControl w:val="0"/>
              <w:kinsoku/>
              <w:overflowPunct/>
              <w:topLinePunct w:val="0"/>
              <w:autoSpaceDE/>
              <w:autoSpaceDN/>
              <w:bidi w:val="0"/>
              <w:adjustRightInd/>
              <w:spacing w:after="0" w:line="440" w:lineRule="exact"/>
              <w:jc w:val="center"/>
              <w:textAlignment w:val="auto"/>
              <w:rPr>
                <w:rFonts w:hint="eastAsia" w:ascii="宋体" w:hAnsi="宋体" w:eastAsia="宋体" w:cs="宋体"/>
                <w:b/>
                <w:bCs/>
                <w:color w:val="auto"/>
                <w:kern w:val="2"/>
                <w:sz w:val="21"/>
                <w:szCs w:val="21"/>
                <w:highlight w:val="none"/>
                <w:lang w:val="zh-CN" w:eastAsia="zh-CN" w:bidi="zh-CN"/>
              </w:rPr>
            </w:pPr>
            <w:r>
              <w:rPr>
                <w:rFonts w:hint="eastAsia" w:ascii="宋体" w:hAnsi="宋体" w:eastAsia="宋体" w:cs="宋体"/>
                <w:b/>
                <w:bCs/>
                <w:color w:val="auto"/>
                <w:kern w:val="2"/>
                <w:sz w:val="21"/>
                <w:szCs w:val="21"/>
                <w:highlight w:val="none"/>
                <w:lang w:val="zh-CN" w:eastAsia="zh-CN" w:bidi="zh-CN"/>
              </w:rPr>
              <w:t>投标报价评分</w:t>
            </w:r>
          </w:p>
        </w:tc>
        <w:tc>
          <w:tcPr>
            <w:tcW w:w="5323" w:type="dxa"/>
            <w:tcBorders>
              <w:top w:val="single" w:color="auto" w:sz="4" w:space="0"/>
              <w:left w:val="single" w:color="auto" w:sz="4" w:space="0"/>
              <w:bottom w:val="single" w:color="auto" w:sz="4" w:space="0"/>
              <w:right w:val="single" w:color="auto" w:sz="4" w:space="0"/>
            </w:tcBorders>
            <w:vAlign w:val="top"/>
          </w:tcPr>
          <w:p w14:paraId="1D391B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eastAsia="宋体" w:cs="宋体"/>
                <w:color w:val="auto"/>
                <w:highlight w:val="none"/>
                <w:lang w:val="en-US" w:eastAsia="zh-CN"/>
              </w:rPr>
            </w:pPr>
            <w:bookmarkStart w:id="99" w:name="OLE_LINK71"/>
            <w:bookmarkStart w:id="100" w:name="OLE_LINK72"/>
            <w:r>
              <w:rPr>
                <w:rFonts w:hint="eastAsia" w:ascii="宋体" w:hAnsi="宋体" w:eastAsia="宋体" w:cs="宋体"/>
                <w:color w:val="auto"/>
                <w:highlight w:val="none"/>
                <w:lang w:val="en-US" w:eastAsia="zh-CN"/>
              </w:rPr>
              <w:t>投标报价</w:t>
            </w:r>
            <w:bookmarkEnd w:id="99"/>
            <w:r>
              <w:rPr>
                <w:rFonts w:hint="eastAsia" w:ascii="宋体" w:hAnsi="宋体" w:eastAsia="宋体" w:cs="宋体"/>
                <w:color w:val="auto"/>
                <w:highlight w:val="none"/>
                <w:lang w:val="en-US" w:eastAsia="zh-CN"/>
              </w:rPr>
              <w:t>评分</w:t>
            </w:r>
            <w:bookmarkEnd w:id="100"/>
            <w:r>
              <w:rPr>
                <w:rFonts w:hint="eastAsia" w:ascii="宋体" w:hAnsi="宋体" w:eastAsia="宋体" w:cs="宋体"/>
                <w:color w:val="auto"/>
                <w:highlight w:val="none"/>
                <w:lang w:val="en-US" w:eastAsia="zh-CN"/>
              </w:rPr>
              <w:t>采用低价优先法计算</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即满足招标文件要求且投标价格最低的投标报价为评标基准价</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其投标报价评分为满分。其他投标人的投标报价评分统一按照下列公式计算：</w:t>
            </w:r>
          </w:p>
          <w:p w14:paraId="0130BF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投标报价评分计算公式=评标基准价/投标报价×10；</w:t>
            </w:r>
          </w:p>
          <w:p w14:paraId="5FE4A4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即：F1=[C/（B1</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B2</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Bn）]×10；</w:t>
            </w:r>
          </w:p>
          <w:p w14:paraId="70E79F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C为评标基准价</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即满足招标文件要求且投标价格最低的有效投标报价；B1</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B2</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Bn为第n个满足招标文件要求的有效投标报价。</w:t>
            </w:r>
          </w:p>
        </w:tc>
        <w:tc>
          <w:tcPr>
            <w:tcW w:w="685" w:type="dxa"/>
            <w:tcBorders>
              <w:top w:val="single" w:color="auto" w:sz="4" w:space="0"/>
              <w:left w:val="single" w:color="auto" w:sz="4" w:space="0"/>
              <w:bottom w:val="single" w:color="auto" w:sz="4" w:space="0"/>
              <w:right w:val="single" w:color="auto" w:sz="4" w:space="0"/>
            </w:tcBorders>
            <w:vAlign w:val="center"/>
          </w:tcPr>
          <w:p w14:paraId="56D827DB">
            <w:pPr>
              <w:pageBreakBefore w:val="0"/>
              <w:widowControl/>
              <w:kinsoku/>
              <w:wordWrap/>
              <w:overflowPunct w:val="0"/>
              <w:topLinePunct w:val="0"/>
              <w:autoSpaceDE w:val="0"/>
              <w:autoSpaceDN w:val="0"/>
              <w:bidi w:val="0"/>
              <w:adjustRightInd w:val="0"/>
              <w:spacing w:after="0" w:line="440" w:lineRule="exact"/>
              <w:jc w:val="center"/>
              <w:textAlignment w:val="baseline"/>
              <w:rPr>
                <w:rFonts w:hint="default" w:ascii="宋体" w:hAnsi="宋体" w:cs="FangSong_GB2312"/>
                <w:b/>
                <w:bCs/>
                <w:color w:val="auto"/>
                <w:sz w:val="21"/>
                <w:szCs w:val="21"/>
                <w:highlight w:val="none"/>
                <w:lang w:val="en-US" w:eastAsia="zh-CN"/>
              </w:rPr>
            </w:pPr>
            <w:r>
              <w:rPr>
                <w:rFonts w:hint="eastAsia" w:ascii="宋体" w:hAnsi="宋体" w:cs="FangSong_GB2312"/>
                <w:b/>
                <w:bCs/>
                <w:color w:val="auto"/>
                <w:sz w:val="21"/>
                <w:szCs w:val="21"/>
                <w:highlight w:val="none"/>
                <w:lang w:val="en-US" w:eastAsia="zh-CN"/>
              </w:rPr>
              <w:t>10</w:t>
            </w:r>
          </w:p>
        </w:tc>
      </w:tr>
      <w:tr w14:paraId="27D1AA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0" w:hRule="atLeast"/>
          <w:jc w:val="center"/>
        </w:trPr>
        <w:tc>
          <w:tcPr>
            <w:tcW w:w="772" w:type="dxa"/>
            <w:vMerge w:val="restart"/>
            <w:tcBorders>
              <w:top w:val="single" w:color="auto" w:sz="4" w:space="0"/>
              <w:left w:val="single" w:color="auto" w:sz="4" w:space="0"/>
              <w:right w:val="single" w:color="auto" w:sz="4" w:space="0"/>
            </w:tcBorders>
            <w:vAlign w:val="center"/>
          </w:tcPr>
          <w:p w14:paraId="45FC3C11">
            <w:pPr>
              <w:pageBreakBefore w:val="0"/>
              <w:widowControl/>
              <w:kinsoku/>
              <w:wordWrap/>
              <w:overflowPunct w:val="0"/>
              <w:topLinePunct w:val="0"/>
              <w:autoSpaceDE w:val="0"/>
              <w:autoSpaceDN w:val="0"/>
              <w:bidi w:val="0"/>
              <w:adjustRightInd w:val="0"/>
              <w:spacing w:after="0" w:line="440" w:lineRule="exact"/>
              <w:jc w:val="center"/>
              <w:textAlignment w:val="baseline"/>
              <w:rPr>
                <w:rFonts w:hint="default" w:ascii="宋体" w:hAnsi="宋体" w:cs="FangSong_GB2312"/>
                <w:b w:val="0"/>
                <w:bCs w:val="0"/>
                <w:color w:val="auto"/>
                <w:kern w:val="0"/>
                <w:sz w:val="21"/>
                <w:szCs w:val="21"/>
                <w:highlight w:val="none"/>
                <w:lang w:val="en-US" w:eastAsia="zh-CN"/>
              </w:rPr>
            </w:pPr>
            <w:r>
              <w:rPr>
                <w:rFonts w:hint="eastAsia" w:ascii="宋体" w:hAnsi="宋体" w:cs="FangSong_GB2312"/>
                <w:b w:val="0"/>
                <w:bCs w:val="0"/>
                <w:color w:val="auto"/>
                <w:kern w:val="0"/>
                <w:sz w:val="21"/>
                <w:szCs w:val="21"/>
                <w:highlight w:val="none"/>
                <w:lang w:val="en-US" w:eastAsia="zh-CN"/>
              </w:rPr>
              <w:t>2.2.2</w:t>
            </w:r>
          </w:p>
        </w:tc>
        <w:tc>
          <w:tcPr>
            <w:tcW w:w="1007" w:type="dxa"/>
            <w:vMerge w:val="restart"/>
            <w:tcBorders>
              <w:top w:val="single" w:color="auto" w:sz="4" w:space="0"/>
              <w:left w:val="single" w:color="auto" w:sz="4" w:space="0"/>
              <w:right w:val="single" w:color="auto" w:sz="4" w:space="0"/>
            </w:tcBorders>
            <w:vAlign w:val="center"/>
          </w:tcPr>
          <w:p w14:paraId="3C9EAD88">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eastAsia="宋体" w:cs="FangSong_GB2312"/>
                <w:b/>
                <w:bCs/>
                <w:color w:val="auto"/>
                <w:sz w:val="21"/>
                <w:szCs w:val="21"/>
                <w:highlight w:val="none"/>
                <w:lang w:val="en-US" w:eastAsia="zh-CN"/>
              </w:rPr>
            </w:pPr>
            <w:r>
              <w:rPr>
                <w:rFonts w:hint="eastAsia" w:ascii="宋体" w:hAnsi="宋体" w:cs="宋体"/>
                <w:b/>
                <w:bCs/>
                <w:color w:val="auto"/>
                <w:sz w:val="21"/>
                <w:szCs w:val="21"/>
                <w:highlight w:val="none"/>
                <w:lang w:val="en-US" w:eastAsia="zh-CN"/>
              </w:rPr>
              <w:t>履约能力</w:t>
            </w:r>
            <w:r>
              <w:rPr>
                <w:rFonts w:hint="eastAsia" w:ascii="宋体" w:hAnsi="宋体" w:cs="FangSong_GB2312"/>
                <w:b/>
                <w:bCs/>
                <w:color w:val="auto"/>
                <w:sz w:val="21"/>
                <w:szCs w:val="21"/>
                <w:highlight w:val="none"/>
                <w:lang w:val="en-US" w:eastAsia="zh-CN"/>
              </w:rPr>
              <w:t>评审评分</w:t>
            </w:r>
            <w:r>
              <w:rPr>
                <w:rFonts w:hint="eastAsia" w:ascii="宋体" w:hAnsi="宋体" w:eastAsia="宋体" w:cs="FangSong_GB2312"/>
                <w:b/>
                <w:bCs/>
                <w:color w:val="auto"/>
                <w:sz w:val="21"/>
                <w:szCs w:val="21"/>
                <w:highlight w:val="none"/>
                <w:lang w:val="zh-CN"/>
              </w:rPr>
              <w:t>F</w:t>
            </w:r>
            <w:r>
              <w:rPr>
                <w:rFonts w:hint="eastAsia" w:ascii="宋体" w:hAnsi="宋体" w:cs="FangSong_GB2312"/>
                <w:b/>
                <w:bCs/>
                <w:color w:val="auto"/>
                <w:sz w:val="21"/>
                <w:szCs w:val="21"/>
                <w:highlight w:val="none"/>
                <w:lang w:val="en-US" w:eastAsia="zh-CN"/>
              </w:rPr>
              <w:t>2</w:t>
            </w:r>
          </w:p>
        </w:tc>
        <w:tc>
          <w:tcPr>
            <w:tcW w:w="1371" w:type="dxa"/>
            <w:tcBorders>
              <w:top w:val="single" w:color="auto" w:sz="4" w:space="0"/>
              <w:left w:val="single" w:color="auto" w:sz="4" w:space="0"/>
              <w:right w:val="single" w:color="auto" w:sz="4" w:space="0"/>
            </w:tcBorders>
            <w:vAlign w:val="center"/>
          </w:tcPr>
          <w:p w14:paraId="72515081">
            <w:pPr>
              <w:keepNext w:val="0"/>
              <w:keepLines w:val="0"/>
              <w:pageBreakBefore w:val="0"/>
              <w:widowControl/>
              <w:kinsoku/>
              <w:wordWrap/>
              <w:overflowPunct w:val="0"/>
              <w:topLinePunct w:val="0"/>
              <w:autoSpaceDE w:val="0"/>
              <w:autoSpaceDN w:val="0"/>
              <w:bidi w:val="0"/>
              <w:adjustRightInd w:val="0"/>
              <w:spacing w:line="440" w:lineRule="exact"/>
              <w:jc w:val="center"/>
              <w:textAlignment w:val="baseline"/>
              <w:rPr>
                <w:rFonts w:hint="default" w:ascii="宋体" w:hAnsi="宋体" w:eastAsia="宋体" w:cs="宋体"/>
                <w:b/>
                <w:bCs/>
                <w:color w:val="auto"/>
                <w:kern w:val="2"/>
                <w:sz w:val="21"/>
                <w:szCs w:val="21"/>
                <w:highlight w:val="none"/>
                <w:lang w:val="en-US" w:eastAsia="zh-CN" w:bidi="zh-CN"/>
              </w:rPr>
            </w:pPr>
            <w:r>
              <w:rPr>
                <w:rFonts w:hint="eastAsia" w:ascii="宋体" w:hAnsi="宋体" w:cs="宋体"/>
                <w:b/>
                <w:bCs/>
                <w:color w:val="auto"/>
                <w:kern w:val="0"/>
                <w:sz w:val="21"/>
                <w:szCs w:val="21"/>
                <w:highlight w:val="none"/>
                <w:lang w:val="en-US" w:eastAsia="zh-CN" w:bidi="ar-SA"/>
              </w:rPr>
              <w:t>（1）</w:t>
            </w:r>
            <w:r>
              <w:rPr>
                <w:rFonts w:hint="eastAsia" w:ascii="宋体" w:hAnsi="宋体" w:cs="宋体"/>
                <w:b/>
                <w:bCs/>
                <w:color w:val="auto"/>
                <w:szCs w:val="21"/>
                <w:highlight w:val="none"/>
                <w:lang w:val="en-US" w:eastAsia="zh-CN"/>
              </w:rPr>
              <w:t>智能化管理</w:t>
            </w:r>
          </w:p>
        </w:tc>
        <w:tc>
          <w:tcPr>
            <w:tcW w:w="5323" w:type="dxa"/>
            <w:tcBorders>
              <w:top w:val="single" w:color="auto" w:sz="4" w:space="0"/>
              <w:left w:val="single" w:color="auto" w:sz="4" w:space="0"/>
              <w:bottom w:val="single" w:color="auto" w:sz="4" w:space="0"/>
              <w:right w:val="single" w:color="auto" w:sz="4" w:space="0"/>
            </w:tcBorders>
            <w:vAlign w:val="top"/>
          </w:tcPr>
          <w:p w14:paraId="014C4CD7">
            <w:pPr>
              <w:spacing w:before="48" w:after="48"/>
              <w:jc w:val="left"/>
              <w:rPr>
                <w:rFonts w:hint="eastAsia" w:ascii="宋体" w:hAnsi="宋体" w:cs="宋体"/>
                <w:b/>
                <w:bCs/>
                <w:i w:val="0"/>
                <w:iCs w:val="0"/>
                <w:smallCaps w:val="0"/>
                <w:color w:val="auto"/>
                <w:kern w:val="2"/>
                <w:sz w:val="21"/>
                <w:szCs w:val="21"/>
                <w:highlight w:val="none"/>
                <w:lang w:val="en-US" w:eastAsia="zh-CN" w:bidi="ar-SA"/>
              </w:rPr>
            </w:pPr>
            <w:r>
              <w:rPr>
                <w:rFonts w:hint="eastAsia" w:ascii="宋体" w:hAnsi="宋体" w:eastAsia="宋体" w:cs="宋体"/>
                <w:b/>
                <w:bCs/>
                <w:i w:val="0"/>
                <w:iCs w:val="0"/>
                <w:smallCaps w:val="0"/>
                <w:color w:val="auto"/>
                <w:kern w:val="2"/>
                <w:sz w:val="21"/>
                <w:szCs w:val="21"/>
                <w:highlight w:val="none"/>
                <w:lang w:val="en-US" w:eastAsia="zh-CN" w:bidi="ar-SA"/>
              </w:rPr>
              <w:t>①配备机械化保洁设备（不限于手推式洗地机、商用清洁机器人等设备）</w:t>
            </w:r>
            <w:r>
              <w:rPr>
                <w:rFonts w:hint="eastAsia" w:ascii="宋体" w:hAnsi="宋体" w:cs="宋体"/>
                <w:b/>
                <w:bCs/>
                <w:i w:val="0"/>
                <w:iCs w:val="0"/>
                <w:smallCaps w:val="0"/>
                <w:color w:val="auto"/>
                <w:kern w:val="2"/>
                <w:sz w:val="21"/>
                <w:szCs w:val="21"/>
                <w:highlight w:val="none"/>
                <w:lang w:val="en-US" w:eastAsia="zh-CN" w:bidi="ar-SA"/>
              </w:rPr>
              <w:t>的得2分；</w:t>
            </w:r>
          </w:p>
          <w:p w14:paraId="2B3CA115">
            <w:pPr>
              <w:pStyle w:val="2"/>
              <w:rPr>
                <w:rFonts w:hint="eastAsia" w:ascii="宋体" w:hAnsi="宋体" w:cs="宋体"/>
                <w:b w:val="0"/>
                <w:bCs w:val="0"/>
                <w:color w:val="auto"/>
                <w:szCs w:val="21"/>
                <w:highlight w:val="none"/>
                <w:lang w:val="en-US" w:eastAsia="zh-CN"/>
              </w:rPr>
            </w:pPr>
            <w:r>
              <w:rPr>
                <w:rFonts w:hint="eastAsia" w:ascii="宋体" w:hAnsi="宋体" w:cs="宋体"/>
                <w:b w:val="0"/>
                <w:bCs w:val="0"/>
                <w:i w:val="0"/>
                <w:iCs w:val="0"/>
                <w:smallCaps w:val="0"/>
                <w:color w:val="auto"/>
                <w:kern w:val="2"/>
                <w:sz w:val="21"/>
                <w:szCs w:val="21"/>
                <w:highlight w:val="none"/>
                <w:lang w:val="en-US" w:eastAsia="zh-CN" w:bidi="ar-SA"/>
              </w:rPr>
              <w:t>注：</w:t>
            </w:r>
            <w:r>
              <w:rPr>
                <w:rFonts w:hint="eastAsia" w:ascii="宋体" w:hAnsi="宋体" w:cs="宋体"/>
                <w:b w:val="0"/>
                <w:bCs w:val="0"/>
                <w:color w:val="auto"/>
                <w:szCs w:val="21"/>
                <w:highlight w:val="none"/>
                <w:lang w:val="en-US" w:eastAsia="zh-CN"/>
              </w:rPr>
              <w:t>设备可为自有、租赁等方式，需提供的证明材料可为以下二者之一：</w:t>
            </w:r>
          </w:p>
          <w:p w14:paraId="5525BDC8">
            <w:pPr>
              <w:pStyle w:val="2"/>
              <w:numPr>
                <w:ilvl w:val="0"/>
                <w:numId w:val="2"/>
              </w:numPr>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设备清单和购买发票（自有设备提供）。</w:t>
            </w:r>
          </w:p>
          <w:p w14:paraId="666FE7A2">
            <w:pPr>
              <w:pStyle w:val="2"/>
              <w:numPr>
                <w:ilvl w:val="0"/>
                <w:numId w:val="2"/>
              </w:numPr>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设备清单和租赁协议。</w:t>
            </w:r>
          </w:p>
          <w:p w14:paraId="48DDC4AC">
            <w:pPr>
              <w:spacing w:before="48" w:after="48"/>
              <w:jc w:val="left"/>
              <w:rPr>
                <w:rFonts w:hint="eastAsia" w:ascii="宋体" w:hAnsi="宋体" w:eastAsia="宋体" w:cs="宋体"/>
                <w:b/>
                <w:bCs/>
                <w:i w:val="0"/>
                <w:iCs w:val="0"/>
                <w:smallCaps w:val="0"/>
                <w:color w:val="auto"/>
                <w:kern w:val="2"/>
                <w:sz w:val="21"/>
                <w:szCs w:val="21"/>
                <w:highlight w:val="none"/>
                <w:lang w:val="en-US" w:eastAsia="zh-CN" w:bidi="ar-SA"/>
              </w:rPr>
            </w:pPr>
            <w:r>
              <w:rPr>
                <w:rFonts w:hint="eastAsia" w:ascii="宋体" w:hAnsi="宋体" w:eastAsia="宋体" w:cs="宋体"/>
                <w:b/>
                <w:bCs/>
                <w:i w:val="0"/>
                <w:iCs w:val="0"/>
                <w:smallCaps w:val="0"/>
                <w:color w:val="auto"/>
                <w:kern w:val="2"/>
                <w:sz w:val="21"/>
                <w:szCs w:val="21"/>
                <w:highlight w:val="none"/>
                <w:lang w:val="en-US" w:eastAsia="zh-CN" w:bidi="ar-SA"/>
              </w:rPr>
              <w:t>②供应商具有智能化物业管理软件（提供软件网页截图）</w:t>
            </w:r>
            <w:r>
              <w:rPr>
                <w:rFonts w:hint="eastAsia" w:ascii="宋体" w:hAnsi="宋体" w:cs="宋体"/>
                <w:b/>
                <w:bCs/>
                <w:i w:val="0"/>
                <w:iCs w:val="0"/>
                <w:smallCaps w:val="0"/>
                <w:color w:val="auto"/>
                <w:kern w:val="2"/>
                <w:sz w:val="21"/>
                <w:szCs w:val="21"/>
                <w:highlight w:val="none"/>
                <w:lang w:val="en-US" w:eastAsia="zh-CN" w:bidi="ar-SA"/>
              </w:rPr>
              <w:t>的得2分</w:t>
            </w:r>
            <w:r>
              <w:rPr>
                <w:rFonts w:hint="eastAsia" w:ascii="宋体" w:hAnsi="宋体" w:eastAsia="宋体" w:cs="宋体"/>
                <w:b/>
                <w:bCs/>
                <w:i w:val="0"/>
                <w:iCs w:val="0"/>
                <w:smallCaps w:val="0"/>
                <w:color w:val="auto"/>
                <w:kern w:val="2"/>
                <w:sz w:val="21"/>
                <w:szCs w:val="21"/>
                <w:highlight w:val="none"/>
                <w:lang w:val="en-US" w:eastAsia="zh-CN" w:bidi="ar-SA"/>
              </w:rPr>
              <w:t>。</w:t>
            </w:r>
          </w:p>
          <w:p w14:paraId="14FA1CC9">
            <w:pPr>
              <w:spacing w:before="48" w:after="48"/>
              <w:jc w:val="left"/>
              <w:rPr>
                <w:rFonts w:hint="eastAsia" w:ascii="宋体" w:hAnsi="宋体" w:eastAsia="宋体" w:cs="宋体"/>
                <w:color w:val="auto"/>
                <w:highlight w:val="none"/>
                <w:lang w:val="en-US" w:eastAsia="zh-CN"/>
              </w:rPr>
            </w:pPr>
            <w:r>
              <w:rPr>
                <w:rFonts w:hint="eastAsia" w:ascii="宋体" w:hAnsi="宋体" w:cs="宋体"/>
                <w:b/>
                <w:bCs/>
                <w:i w:val="0"/>
                <w:iCs w:val="0"/>
                <w:smallCaps w:val="0"/>
                <w:color w:val="auto"/>
                <w:kern w:val="2"/>
                <w:sz w:val="21"/>
                <w:szCs w:val="21"/>
                <w:highlight w:val="none"/>
                <w:lang w:val="en-US" w:eastAsia="zh-CN" w:bidi="ar-SA"/>
              </w:rPr>
              <w:t>未配备或无法提供相应证明材料的不得分。</w:t>
            </w:r>
          </w:p>
        </w:tc>
        <w:tc>
          <w:tcPr>
            <w:tcW w:w="685" w:type="dxa"/>
            <w:tcBorders>
              <w:top w:val="single" w:color="auto" w:sz="4" w:space="0"/>
              <w:left w:val="single" w:color="auto" w:sz="4" w:space="0"/>
              <w:bottom w:val="single" w:color="auto" w:sz="4" w:space="0"/>
              <w:right w:val="single" w:color="auto" w:sz="4" w:space="0"/>
            </w:tcBorders>
            <w:vAlign w:val="center"/>
          </w:tcPr>
          <w:p w14:paraId="5BCD0247">
            <w:pPr>
              <w:pageBreakBefore w:val="0"/>
              <w:widowControl/>
              <w:kinsoku/>
              <w:wordWrap/>
              <w:overflowPunct w:val="0"/>
              <w:topLinePunct w:val="0"/>
              <w:autoSpaceDE w:val="0"/>
              <w:autoSpaceDN w:val="0"/>
              <w:bidi w:val="0"/>
              <w:adjustRightInd w:val="0"/>
              <w:spacing w:after="0" w:line="440" w:lineRule="exact"/>
              <w:jc w:val="center"/>
              <w:textAlignment w:val="baseline"/>
              <w:rPr>
                <w:rFonts w:hint="default" w:ascii="宋体" w:hAnsi="宋体" w:cs="FangSong_GB2312"/>
                <w:b/>
                <w:bCs/>
                <w:color w:val="auto"/>
                <w:sz w:val="21"/>
                <w:szCs w:val="21"/>
                <w:highlight w:val="none"/>
                <w:lang w:val="en-US" w:eastAsia="zh-CN"/>
              </w:rPr>
            </w:pPr>
            <w:r>
              <w:rPr>
                <w:rFonts w:hint="eastAsia" w:ascii="宋体" w:hAnsi="宋体" w:cs="FangSong_GB2312"/>
                <w:b/>
                <w:bCs/>
                <w:color w:val="auto"/>
                <w:sz w:val="21"/>
                <w:szCs w:val="21"/>
                <w:highlight w:val="none"/>
                <w:lang w:val="en-US" w:eastAsia="zh-CN"/>
              </w:rPr>
              <w:t>4</w:t>
            </w:r>
          </w:p>
        </w:tc>
      </w:tr>
      <w:tr w14:paraId="6198E6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0" w:hRule="atLeast"/>
          <w:jc w:val="center"/>
        </w:trPr>
        <w:tc>
          <w:tcPr>
            <w:tcW w:w="772" w:type="dxa"/>
            <w:vMerge w:val="continue"/>
            <w:tcBorders>
              <w:left w:val="single" w:color="auto" w:sz="4" w:space="0"/>
              <w:right w:val="single" w:color="auto" w:sz="4" w:space="0"/>
            </w:tcBorders>
            <w:vAlign w:val="center"/>
          </w:tcPr>
          <w:p w14:paraId="0F462B2E">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cs="FangSong_GB2312"/>
                <w:b w:val="0"/>
                <w:bCs w:val="0"/>
                <w:color w:val="auto"/>
                <w:kern w:val="0"/>
                <w:sz w:val="21"/>
                <w:szCs w:val="21"/>
                <w:highlight w:val="none"/>
                <w:lang w:val="en-US" w:eastAsia="zh-CN"/>
              </w:rPr>
            </w:pPr>
          </w:p>
        </w:tc>
        <w:tc>
          <w:tcPr>
            <w:tcW w:w="1007" w:type="dxa"/>
            <w:vMerge w:val="continue"/>
            <w:tcBorders>
              <w:left w:val="single" w:color="auto" w:sz="4" w:space="0"/>
              <w:right w:val="single" w:color="auto" w:sz="4" w:space="0"/>
            </w:tcBorders>
            <w:vAlign w:val="center"/>
          </w:tcPr>
          <w:p w14:paraId="662AABB2">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cs="宋体"/>
                <w:b/>
                <w:bCs/>
                <w:color w:val="auto"/>
                <w:sz w:val="21"/>
                <w:szCs w:val="21"/>
                <w:highlight w:val="none"/>
                <w:lang w:val="en-US" w:eastAsia="zh-CN"/>
              </w:rPr>
            </w:pPr>
          </w:p>
        </w:tc>
        <w:tc>
          <w:tcPr>
            <w:tcW w:w="1371" w:type="dxa"/>
            <w:tcBorders>
              <w:top w:val="single" w:color="auto" w:sz="4" w:space="0"/>
              <w:left w:val="single" w:color="auto" w:sz="4" w:space="0"/>
              <w:right w:val="single" w:color="auto" w:sz="4" w:space="0"/>
            </w:tcBorders>
            <w:shd w:val="clear" w:color="auto" w:fill="auto"/>
            <w:vAlign w:val="center"/>
          </w:tcPr>
          <w:p w14:paraId="4D507A4F">
            <w:pPr>
              <w:keepNext w:val="0"/>
              <w:keepLines w:val="0"/>
              <w:pageBreakBefore w:val="0"/>
              <w:widowControl/>
              <w:kinsoku/>
              <w:wordWrap/>
              <w:overflowPunct w:val="0"/>
              <w:topLinePunct w:val="0"/>
              <w:autoSpaceDE w:val="0"/>
              <w:autoSpaceDN w:val="0"/>
              <w:bidi w:val="0"/>
              <w:adjustRightInd w:val="0"/>
              <w:spacing w:line="440" w:lineRule="exact"/>
              <w:jc w:val="center"/>
              <w:textAlignment w:val="baseline"/>
              <w:rPr>
                <w:rFonts w:hint="eastAsia" w:ascii="宋体" w:hAnsi="宋体" w:eastAsia="宋体" w:cs="宋体"/>
                <w:b/>
                <w:bCs/>
                <w:color w:val="auto"/>
                <w:kern w:val="2"/>
                <w:sz w:val="21"/>
                <w:szCs w:val="21"/>
                <w:highlight w:val="none"/>
                <w:lang w:val="en-US" w:eastAsia="zh-CN" w:bidi="zh-CN"/>
              </w:rPr>
            </w:pPr>
            <w:r>
              <w:rPr>
                <w:rFonts w:hint="eastAsia" w:ascii="宋体" w:hAnsi="宋体" w:eastAsia="宋体" w:cs="宋体"/>
                <w:b/>
                <w:bCs/>
                <w:color w:val="auto"/>
                <w:kern w:val="0"/>
                <w:sz w:val="21"/>
                <w:szCs w:val="21"/>
                <w:highlight w:val="none"/>
                <w:lang w:val="en-US" w:eastAsia="zh-CN" w:bidi="ar-SA"/>
              </w:rPr>
              <w:t>（</w:t>
            </w:r>
            <w:r>
              <w:rPr>
                <w:rFonts w:hint="eastAsia" w:ascii="宋体" w:hAnsi="宋体" w:cs="宋体"/>
                <w:b/>
                <w:bCs/>
                <w:color w:val="auto"/>
                <w:kern w:val="0"/>
                <w:sz w:val="21"/>
                <w:szCs w:val="21"/>
                <w:highlight w:val="none"/>
                <w:lang w:val="en-US" w:eastAsia="zh-CN" w:bidi="ar-SA"/>
              </w:rPr>
              <w:t>2</w:t>
            </w:r>
            <w:r>
              <w:rPr>
                <w:rFonts w:hint="eastAsia" w:ascii="宋体" w:hAnsi="宋体" w:eastAsia="宋体" w:cs="宋体"/>
                <w:b/>
                <w:bCs/>
                <w:color w:val="auto"/>
                <w:kern w:val="0"/>
                <w:sz w:val="21"/>
                <w:szCs w:val="21"/>
                <w:highlight w:val="none"/>
                <w:lang w:val="en-US" w:eastAsia="zh-CN" w:bidi="ar-SA"/>
              </w:rPr>
              <w:t>）</w:t>
            </w:r>
            <w:r>
              <w:rPr>
                <w:rFonts w:hint="eastAsia" w:ascii="宋体" w:hAnsi="宋体" w:cs="宋体"/>
                <w:b/>
                <w:bCs/>
                <w:color w:val="auto"/>
                <w:kern w:val="0"/>
                <w:sz w:val="21"/>
                <w:szCs w:val="21"/>
                <w:highlight w:val="none"/>
                <w:lang w:val="en-US" w:eastAsia="zh-CN" w:bidi="ar-SA"/>
              </w:rPr>
              <w:t>物业经理</w:t>
            </w:r>
            <w:r>
              <w:rPr>
                <w:rFonts w:hint="eastAsia" w:ascii="宋体" w:hAnsi="宋体" w:eastAsia="宋体" w:cs="宋体"/>
                <w:b/>
                <w:bCs/>
                <w:color w:val="auto"/>
                <w:kern w:val="0"/>
                <w:sz w:val="21"/>
                <w:szCs w:val="21"/>
                <w:highlight w:val="none"/>
                <w:lang w:val="en-US" w:eastAsia="zh-CN" w:bidi="ar-SA"/>
              </w:rPr>
              <w:t>工作经验</w:t>
            </w:r>
          </w:p>
        </w:tc>
        <w:tc>
          <w:tcPr>
            <w:tcW w:w="5323" w:type="dxa"/>
            <w:tcBorders>
              <w:top w:val="single" w:color="auto" w:sz="4" w:space="0"/>
              <w:left w:val="single" w:color="auto" w:sz="4" w:space="0"/>
              <w:bottom w:val="single" w:color="auto" w:sz="4" w:space="0"/>
              <w:right w:val="single" w:color="auto" w:sz="4" w:space="0"/>
            </w:tcBorders>
            <w:shd w:val="clear" w:color="auto" w:fill="auto"/>
            <w:vAlign w:val="top"/>
          </w:tcPr>
          <w:p w14:paraId="089D6F9C">
            <w:pPr>
              <w:spacing w:before="48" w:after="48"/>
              <w:jc w:val="left"/>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b/>
                <w:bCs/>
                <w:i w:val="0"/>
                <w:iCs w:val="0"/>
                <w:smallCaps w:val="0"/>
                <w:color w:val="auto"/>
                <w:kern w:val="2"/>
                <w:sz w:val="21"/>
                <w:szCs w:val="21"/>
                <w:highlight w:val="none"/>
                <w:lang w:val="en-US" w:eastAsia="zh-CN" w:bidi="ar-SA"/>
              </w:rPr>
              <w:t>拟派往本项目的</w:t>
            </w:r>
            <w:r>
              <w:rPr>
                <w:rFonts w:hint="eastAsia" w:ascii="宋体" w:hAnsi="宋体" w:cs="宋体"/>
                <w:b/>
                <w:bCs/>
                <w:i w:val="0"/>
                <w:iCs w:val="0"/>
                <w:smallCaps w:val="0"/>
                <w:color w:val="auto"/>
                <w:kern w:val="2"/>
                <w:sz w:val="21"/>
                <w:szCs w:val="21"/>
                <w:highlight w:val="none"/>
                <w:lang w:val="en-US" w:eastAsia="zh-CN" w:bidi="ar-SA"/>
              </w:rPr>
              <w:t>物业经理</w:t>
            </w:r>
            <w:r>
              <w:rPr>
                <w:rFonts w:hint="eastAsia" w:ascii="宋体" w:hAnsi="宋体" w:eastAsia="宋体" w:cs="宋体"/>
                <w:b/>
                <w:bCs/>
                <w:i w:val="0"/>
                <w:iCs w:val="0"/>
                <w:smallCaps w:val="0"/>
                <w:color w:val="auto"/>
                <w:kern w:val="2"/>
                <w:sz w:val="21"/>
                <w:szCs w:val="21"/>
                <w:highlight w:val="none"/>
                <w:lang w:val="en-US" w:eastAsia="zh-CN" w:bidi="ar-SA"/>
              </w:rPr>
              <w:t>有3年及以上相关项目工作经验的得基本分</w:t>
            </w:r>
            <w:r>
              <w:rPr>
                <w:rFonts w:hint="eastAsia" w:ascii="宋体" w:hAnsi="宋体" w:cs="宋体"/>
                <w:b/>
                <w:bCs/>
                <w:i w:val="0"/>
                <w:iCs w:val="0"/>
                <w:smallCaps w:val="0"/>
                <w:color w:val="auto"/>
                <w:kern w:val="2"/>
                <w:sz w:val="21"/>
                <w:szCs w:val="21"/>
                <w:highlight w:val="none"/>
                <w:lang w:val="en-US" w:eastAsia="zh-CN" w:bidi="ar-SA"/>
              </w:rPr>
              <w:t>2</w:t>
            </w:r>
            <w:r>
              <w:rPr>
                <w:rFonts w:hint="eastAsia" w:ascii="宋体" w:hAnsi="宋体" w:eastAsia="宋体" w:cs="宋体"/>
                <w:b/>
                <w:bCs/>
                <w:i w:val="0"/>
                <w:iCs w:val="0"/>
                <w:smallCaps w:val="0"/>
                <w:color w:val="auto"/>
                <w:kern w:val="2"/>
                <w:sz w:val="21"/>
                <w:szCs w:val="21"/>
                <w:highlight w:val="none"/>
                <w:lang w:val="en-US" w:eastAsia="zh-CN" w:bidi="ar-SA"/>
              </w:rPr>
              <w:t>分；</w:t>
            </w:r>
            <w:r>
              <w:rPr>
                <w:rFonts w:hint="eastAsia" w:ascii="宋体" w:hAnsi="宋体" w:cs="宋体"/>
                <w:b/>
                <w:bCs/>
                <w:color w:val="auto"/>
                <w:highlight w:val="none"/>
                <w:lang w:val="en-US" w:eastAsia="zh-CN"/>
              </w:rPr>
              <w:t>每增加一个类似项目工作经验业绩的加2分，最多可加4分；本项满分6分。</w:t>
            </w:r>
            <w:r>
              <w:rPr>
                <w:rFonts w:hint="eastAsia" w:ascii="宋体" w:hAnsi="宋体" w:eastAsia="宋体" w:cs="宋体"/>
                <w:b/>
                <w:bCs/>
                <w:i w:val="0"/>
                <w:iCs w:val="0"/>
                <w:smallCaps w:val="0"/>
                <w:color w:val="auto"/>
                <w:kern w:val="2"/>
                <w:sz w:val="21"/>
                <w:szCs w:val="21"/>
                <w:highlight w:val="none"/>
                <w:lang w:val="en-US" w:eastAsia="zh-CN" w:bidi="ar-SA"/>
              </w:rPr>
              <w:t>否则不得分。</w:t>
            </w:r>
            <w:r>
              <w:rPr>
                <w:rFonts w:hint="eastAsia" w:ascii="宋体" w:hAnsi="宋体" w:eastAsia="宋体" w:cs="宋体"/>
                <w:b w:val="0"/>
                <w:bCs w:val="0"/>
                <w:i w:val="0"/>
                <w:iCs w:val="0"/>
                <w:smallCaps w:val="0"/>
                <w:color w:val="auto"/>
                <w:kern w:val="2"/>
                <w:sz w:val="21"/>
                <w:szCs w:val="21"/>
                <w:highlight w:val="none"/>
                <w:lang w:val="en-US" w:eastAsia="zh-CN" w:bidi="ar-SA"/>
              </w:rPr>
              <w:br w:type="textWrapping"/>
            </w:r>
            <w:r>
              <w:rPr>
                <w:rFonts w:hint="eastAsia" w:ascii="宋体" w:hAnsi="宋体" w:eastAsia="宋体" w:cs="宋体"/>
                <w:b w:val="0"/>
                <w:bCs w:val="0"/>
                <w:i w:val="0"/>
                <w:iCs w:val="0"/>
                <w:smallCaps w:val="0"/>
                <w:color w:val="auto"/>
                <w:kern w:val="2"/>
                <w:sz w:val="21"/>
                <w:szCs w:val="21"/>
                <w:highlight w:val="none"/>
                <w:lang w:val="en-US" w:eastAsia="zh-CN" w:bidi="ar-SA"/>
              </w:rPr>
              <w:t>注：①提供项目负责人的身份证、与投标人签订的有效劳动合同和社保缴纳证明材料；否则此项不得分；②项目管理经验为合同（由该</w:t>
            </w:r>
            <w:r>
              <w:rPr>
                <w:rFonts w:hint="eastAsia" w:ascii="宋体" w:hAnsi="宋体" w:cs="宋体"/>
                <w:b w:val="0"/>
                <w:bCs w:val="0"/>
                <w:i w:val="0"/>
                <w:iCs w:val="0"/>
                <w:smallCaps w:val="0"/>
                <w:color w:val="auto"/>
                <w:kern w:val="2"/>
                <w:sz w:val="21"/>
                <w:szCs w:val="21"/>
                <w:highlight w:val="none"/>
                <w:lang w:val="en-US" w:eastAsia="zh-CN" w:bidi="ar-SA"/>
              </w:rPr>
              <w:t>物业经理</w:t>
            </w:r>
            <w:r>
              <w:rPr>
                <w:rFonts w:hint="eastAsia" w:ascii="宋体" w:hAnsi="宋体" w:eastAsia="宋体" w:cs="宋体"/>
                <w:b w:val="0"/>
                <w:bCs w:val="0"/>
                <w:i w:val="0"/>
                <w:iCs w:val="0"/>
                <w:smallCaps w:val="0"/>
                <w:color w:val="auto"/>
                <w:kern w:val="2"/>
                <w:sz w:val="21"/>
                <w:szCs w:val="21"/>
                <w:highlight w:val="none"/>
                <w:lang w:val="en-US" w:eastAsia="zh-CN" w:bidi="ar-SA"/>
              </w:rPr>
              <w:t>（负责人）负责项目的合同复印件，需包含该</w:t>
            </w:r>
            <w:r>
              <w:rPr>
                <w:rFonts w:hint="eastAsia" w:ascii="宋体" w:hAnsi="宋体" w:cs="宋体"/>
                <w:b w:val="0"/>
                <w:bCs w:val="0"/>
                <w:i w:val="0"/>
                <w:iCs w:val="0"/>
                <w:smallCaps w:val="0"/>
                <w:color w:val="auto"/>
                <w:kern w:val="2"/>
                <w:sz w:val="21"/>
                <w:szCs w:val="21"/>
                <w:highlight w:val="none"/>
                <w:lang w:val="en-US" w:eastAsia="zh-CN" w:bidi="ar-SA"/>
              </w:rPr>
              <w:t>物业经理</w:t>
            </w:r>
            <w:r>
              <w:rPr>
                <w:rFonts w:hint="eastAsia" w:ascii="宋体" w:hAnsi="宋体" w:eastAsia="宋体" w:cs="宋体"/>
                <w:b w:val="0"/>
                <w:bCs w:val="0"/>
                <w:i w:val="0"/>
                <w:iCs w:val="0"/>
                <w:smallCaps w:val="0"/>
                <w:color w:val="auto"/>
                <w:kern w:val="2"/>
                <w:sz w:val="21"/>
                <w:szCs w:val="21"/>
                <w:highlight w:val="none"/>
                <w:lang w:val="en-US" w:eastAsia="zh-CN" w:bidi="ar-SA"/>
              </w:rPr>
              <w:t>（负责人）姓名、合同名称、实施时间的项目合同页面）或委托方出具的证明材料（体现姓名））；未提供或未按要求提供相关材料不得分。</w:t>
            </w:r>
          </w:p>
        </w:tc>
        <w:tc>
          <w:tcPr>
            <w:tcW w:w="685" w:type="dxa"/>
            <w:tcBorders>
              <w:top w:val="single" w:color="auto" w:sz="4" w:space="0"/>
              <w:left w:val="single" w:color="auto" w:sz="4" w:space="0"/>
              <w:bottom w:val="single" w:color="auto" w:sz="4" w:space="0"/>
              <w:right w:val="single" w:color="auto" w:sz="4" w:space="0"/>
            </w:tcBorders>
            <w:shd w:val="clear" w:color="auto" w:fill="auto"/>
            <w:vAlign w:val="center"/>
          </w:tcPr>
          <w:p w14:paraId="1FECBB48">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eastAsia="宋体" w:cs="FangSong_GB2312"/>
                <w:b/>
                <w:bCs/>
                <w:color w:val="auto"/>
                <w:kern w:val="2"/>
                <w:sz w:val="21"/>
                <w:szCs w:val="21"/>
                <w:highlight w:val="none"/>
                <w:lang w:val="en-US" w:eastAsia="zh-CN" w:bidi="ar-SA"/>
              </w:rPr>
            </w:pPr>
            <w:r>
              <w:rPr>
                <w:rFonts w:hint="eastAsia" w:ascii="宋体" w:hAnsi="宋体" w:cs="FangSong_GB2312"/>
                <w:b/>
                <w:bCs/>
                <w:color w:val="auto"/>
                <w:sz w:val="21"/>
                <w:szCs w:val="21"/>
                <w:highlight w:val="none"/>
                <w:lang w:val="en-US" w:eastAsia="zh-CN"/>
              </w:rPr>
              <w:t>6</w:t>
            </w:r>
          </w:p>
        </w:tc>
      </w:tr>
      <w:tr w14:paraId="51B2EE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500" w:hRule="atLeast"/>
          <w:jc w:val="center"/>
        </w:trPr>
        <w:tc>
          <w:tcPr>
            <w:tcW w:w="772" w:type="dxa"/>
            <w:vMerge w:val="continue"/>
            <w:tcBorders>
              <w:left w:val="single" w:color="auto" w:sz="4" w:space="0"/>
              <w:right w:val="single" w:color="auto" w:sz="4" w:space="0"/>
            </w:tcBorders>
            <w:vAlign w:val="center"/>
          </w:tcPr>
          <w:p w14:paraId="20D13FCE">
            <w:pPr>
              <w:pageBreakBefore w:val="0"/>
              <w:widowControl/>
              <w:kinsoku/>
              <w:wordWrap/>
              <w:overflowPunct w:val="0"/>
              <w:topLinePunct w:val="0"/>
              <w:autoSpaceDE w:val="0"/>
              <w:autoSpaceDN w:val="0"/>
              <w:bidi w:val="0"/>
              <w:adjustRightInd w:val="0"/>
              <w:spacing w:after="0" w:line="440" w:lineRule="exact"/>
              <w:jc w:val="center"/>
              <w:textAlignment w:val="baseline"/>
              <w:rPr>
                <w:rFonts w:hint="default" w:ascii="宋体" w:hAnsi="宋体" w:cs="FangSong_GB2312"/>
                <w:b w:val="0"/>
                <w:bCs w:val="0"/>
                <w:color w:val="auto"/>
                <w:kern w:val="0"/>
                <w:sz w:val="21"/>
                <w:szCs w:val="21"/>
                <w:highlight w:val="none"/>
                <w:lang w:val="en-US" w:eastAsia="zh-CN"/>
              </w:rPr>
            </w:pPr>
          </w:p>
        </w:tc>
        <w:tc>
          <w:tcPr>
            <w:tcW w:w="1007" w:type="dxa"/>
            <w:vMerge w:val="continue"/>
            <w:tcBorders>
              <w:left w:val="single" w:color="auto" w:sz="4" w:space="0"/>
              <w:right w:val="single" w:color="auto" w:sz="4" w:space="0"/>
            </w:tcBorders>
            <w:vAlign w:val="center"/>
          </w:tcPr>
          <w:p w14:paraId="576B0769">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eastAsia="宋体" w:cs="FangSong_GB2312"/>
                <w:b/>
                <w:bCs/>
                <w:color w:val="auto"/>
                <w:sz w:val="21"/>
                <w:szCs w:val="21"/>
                <w:highlight w:val="none"/>
                <w:lang w:val="en-US" w:eastAsia="zh-CN"/>
              </w:rPr>
            </w:pPr>
          </w:p>
        </w:tc>
        <w:tc>
          <w:tcPr>
            <w:tcW w:w="1371" w:type="dxa"/>
            <w:tcBorders>
              <w:top w:val="single" w:color="auto" w:sz="4" w:space="0"/>
              <w:left w:val="single" w:color="auto" w:sz="4" w:space="0"/>
              <w:right w:val="single" w:color="auto" w:sz="4" w:space="0"/>
            </w:tcBorders>
            <w:shd w:val="clear" w:color="auto" w:fill="auto"/>
            <w:vAlign w:val="center"/>
          </w:tcPr>
          <w:p w14:paraId="2748EDBC">
            <w:pPr>
              <w:pageBreakBefore w:val="0"/>
              <w:widowControl w:val="0"/>
              <w:kinsoku/>
              <w:overflowPunct/>
              <w:topLinePunct w:val="0"/>
              <w:autoSpaceDE/>
              <w:autoSpaceDN/>
              <w:bidi w:val="0"/>
              <w:adjustRightInd/>
              <w:spacing w:after="0" w:line="440" w:lineRule="exact"/>
              <w:jc w:val="center"/>
              <w:textAlignment w:val="auto"/>
              <w:rPr>
                <w:rFonts w:hint="eastAsia" w:ascii="宋体" w:hAnsi="宋体" w:eastAsia="宋体" w:cs="宋体"/>
                <w:b/>
                <w:bCs/>
                <w:color w:val="auto"/>
                <w:kern w:val="2"/>
                <w:sz w:val="21"/>
                <w:szCs w:val="21"/>
                <w:highlight w:val="none"/>
                <w:lang w:val="en-US" w:eastAsia="zh-CN" w:bidi="zh-CN"/>
              </w:rPr>
            </w:pPr>
            <w:r>
              <w:rPr>
                <w:rFonts w:hint="eastAsia" w:ascii="宋体" w:hAnsi="宋体" w:eastAsia="宋体" w:cs="宋体"/>
                <w:b/>
                <w:bCs/>
                <w:color w:val="auto"/>
                <w:kern w:val="2"/>
                <w:sz w:val="21"/>
                <w:szCs w:val="21"/>
                <w:highlight w:val="none"/>
                <w:lang w:val="zh-CN" w:eastAsia="zh-CN" w:bidi="zh-CN"/>
              </w:rPr>
              <w:t>（</w:t>
            </w:r>
            <w:r>
              <w:rPr>
                <w:rFonts w:hint="eastAsia" w:ascii="宋体" w:hAnsi="宋体" w:cs="宋体"/>
                <w:b/>
                <w:bCs/>
                <w:color w:val="auto"/>
                <w:kern w:val="2"/>
                <w:sz w:val="21"/>
                <w:szCs w:val="21"/>
                <w:highlight w:val="none"/>
                <w:lang w:val="en-US" w:eastAsia="zh-CN" w:bidi="zh-CN"/>
              </w:rPr>
              <w:t>3</w:t>
            </w:r>
            <w:r>
              <w:rPr>
                <w:rFonts w:hint="eastAsia" w:ascii="宋体" w:hAnsi="宋体" w:eastAsia="宋体" w:cs="宋体"/>
                <w:b/>
                <w:bCs/>
                <w:color w:val="auto"/>
                <w:kern w:val="2"/>
                <w:sz w:val="21"/>
                <w:szCs w:val="21"/>
                <w:highlight w:val="none"/>
                <w:lang w:val="zh-CN" w:eastAsia="zh-CN" w:bidi="zh-CN"/>
              </w:rPr>
              <w:t>）类似项目业绩</w:t>
            </w:r>
          </w:p>
        </w:tc>
        <w:tc>
          <w:tcPr>
            <w:tcW w:w="5323" w:type="dxa"/>
            <w:tcBorders>
              <w:top w:val="single" w:color="auto" w:sz="4" w:space="0"/>
              <w:left w:val="single" w:color="auto" w:sz="4" w:space="0"/>
              <w:right w:val="single" w:color="auto" w:sz="4" w:space="0"/>
            </w:tcBorders>
            <w:shd w:val="clear" w:color="auto" w:fill="auto"/>
            <w:vAlign w:val="top"/>
          </w:tcPr>
          <w:p w14:paraId="08E0E3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根据投标人提供的2023年1月1日（以合同签订日期为准）至本项目投标文件提交截止时间独立承担的物业管理项目，每提供一个得2分，本项满分10分。</w:t>
            </w:r>
          </w:p>
          <w:p w14:paraId="3531A9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eastAsia="宋体" w:cs="宋体"/>
                <w:b w:val="0"/>
                <w:bCs w:val="0"/>
                <w:color w:val="auto"/>
                <w:kern w:val="2"/>
                <w:sz w:val="21"/>
                <w:szCs w:val="22"/>
                <w:highlight w:val="none"/>
                <w:lang w:val="en-US" w:eastAsia="zh-CN" w:bidi="ar-SA"/>
              </w:rPr>
            </w:pPr>
            <w:r>
              <w:rPr>
                <w:rFonts w:hint="eastAsia" w:ascii="宋体" w:hAnsi="宋体" w:cs="宋体"/>
                <w:b w:val="0"/>
                <w:bCs w:val="0"/>
                <w:color w:val="auto"/>
                <w:highlight w:val="none"/>
                <w:lang w:val="en-US" w:eastAsia="zh-CN"/>
              </w:rPr>
              <w:t>注：投标文件中须提供类似项目案例表及相对应的案例证明材料，案例证明材料为合同（至少包含合同首页、金额页、双方签字盖章页及服务内容页）或用户单位出具的履约情况证明资料的复印件；无证明材料或证明材料不明确或无法体现服务内容的，视为无效证明材料。</w:t>
            </w:r>
          </w:p>
        </w:tc>
        <w:tc>
          <w:tcPr>
            <w:tcW w:w="685" w:type="dxa"/>
            <w:tcBorders>
              <w:top w:val="single" w:color="auto" w:sz="4" w:space="0"/>
              <w:left w:val="single" w:color="auto" w:sz="4" w:space="0"/>
              <w:bottom w:val="single" w:color="auto" w:sz="4" w:space="0"/>
              <w:right w:val="single" w:color="auto" w:sz="4" w:space="0"/>
            </w:tcBorders>
            <w:vAlign w:val="center"/>
          </w:tcPr>
          <w:p w14:paraId="5D3D0393">
            <w:pPr>
              <w:pageBreakBefore w:val="0"/>
              <w:widowControl/>
              <w:kinsoku/>
              <w:overflowPunct w:val="0"/>
              <w:topLinePunct w:val="0"/>
              <w:autoSpaceDE w:val="0"/>
              <w:autoSpaceDN w:val="0"/>
              <w:bidi w:val="0"/>
              <w:adjustRightInd w:val="0"/>
              <w:spacing w:after="0" w:line="440" w:lineRule="exact"/>
              <w:jc w:val="center"/>
              <w:textAlignment w:val="baseline"/>
              <w:rPr>
                <w:rFonts w:hint="default" w:ascii="宋体" w:hAnsi="宋体" w:cs="FangSong_GB2312"/>
                <w:b/>
                <w:bCs/>
                <w:color w:val="auto"/>
                <w:sz w:val="21"/>
                <w:szCs w:val="21"/>
                <w:highlight w:val="none"/>
                <w:lang w:val="en-US" w:eastAsia="zh-CN"/>
              </w:rPr>
            </w:pPr>
            <w:r>
              <w:rPr>
                <w:rFonts w:hint="eastAsia" w:ascii="宋体" w:hAnsi="宋体" w:cs="FangSong_GB2312"/>
                <w:b/>
                <w:bCs/>
                <w:color w:val="auto"/>
                <w:sz w:val="21"/>
                <w:szCs w:val="21"/>
                <w:highlight w:val="none"/>
                <w:lang w:val="en-US" w:eastAsia="zh-CN"/>
              </w:rPr>
              <w:t>10</w:t>
            </w:r>
          </w:p>
        </w:tc>
      </w:tr>
      <w:tr w14:paraId="14955E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772" w:type="dxa"/>
            <w:vMerge w:val="restart"/>
            <w:tcBorders>
              <w:top w:val="single" w:color="auto" w:sz="4" w:space="0"/>
              <w:left w:val="single" w:color="auto" w:sz="4" w:space="0"/>
              <w:right w:val="single" w:color="auto" w:sz="4" w:space="0"/>
            </w:tcBorders>
            <w:vAlign w:val="center"/>
          </w:tcPr>
          <w:p w14:paraId="5E735BAD">
            <w:pPr>
              <w:pageBreakBefore w:val="0"/>
              <w:widowControl/>
              <w:kinsoku/>
              <w:wordWrap/>
              <w:overflowPunct w:val="0"/>
              <w:topLinePunct w:val="0"/>
              <w:autoSpaceDE w:val="0"/>
              <w:autoSpaceDN w:val="0"/>
              <w:bidi w:val="0"/>
              <w:adjustRightInd w:val="0"/>
              <w:spacing w:after="0" w:line="440" w:lineRule="exact"/>
              <w:jc w:val="center"/>
              <w:textAlignment w:val="baseline"/>
              <w:rPr>
                <w:rFonts w:hint="default" w:ascii="宋体" w:hAnsi="宋体" w:cs="FangSong_GB2312"/>
                <w:b w:val="0"/>
                <w:bCs w:val="0"/>
                <w:color w:val="auto"/>
                <w:kern w:val="0"/>
                <w:sz w:val="21"/>
                <w:szCs w:val="21"/>
                <w:highlight w:val="none"/>
                <w:lang w:val="en-US" w:eastAsia="zh-CN"/>
              </w:rPr>
            </w:pPr>
            <w:r>
              <w:rPr>
                <w:rFonts w:hint="eastAsia" w:ascii="宋体" w:hAnsi="宋体" w:cs="FangSong_GB2312"/>
                <w:b w:val="0"/>
                <w:bCs w:val="0"/>
                <w:color w:val="auto"/>
                <w:kern w:val="0"/>
                <w:sz w:val="21"/>
                <w:szCs w:val="21"/>
                <w:highlight w:val="none"/>
                <w:lang w:val="en-US" w:eastAsia="zh-CN"/>
              </w:rPr>
              <w:t>2.2.3</w:t>
            </w:r>
          </w:p>
        </w:tc>
        <w:tc>
          <w:tcPr>
            <w:tcW w:w="1007" w:type="dxa"/>
            <w:vMerge w:val="restart"/>
            <w:tcBorders>
              <w:top w:val="single" w:color="auto" w:sz="4" w:space="0"/>
              <w:left w:val="single" w:color="auto" w:sz="4" w:space="0"/>
              <w:right w:val="single" w:color="auto" w:sz="4" w:space="0"/>
            </w:tcBorders>
            <w:vAlign w:val="center"/>
          </w:tcPr>
          <w:p w14:paraId="04230F64">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eastAsia="宋体" w:cs="FangSong_GB2312"/>
                <w:b/>
                <w:bCs/>
                <w:color w:val="auto"/>
                <w:sz w:val="21"/>
                <w:szCs w:val="21"/>
                <w:highlight w:val="none"/>
                <w:lang w:val="en-US" w:eastAsia="zh-CN"/>
              </w:rPr>
            </w:pPr>
            <w:r>
              <w:rPr>
                <w:rFonts w:hint="eastAsia" w:ascii="宋体" w:hAnsi="宋体" w:eastAsia="宋体" w:cs="宋体"/>
                <w:b/>
                <w:bCs/>
                <w:color w:val="auto"/>
                <w:sz w:val="21"/>
                <w:szCs w:val="21"/>
                <w:highlight w:val="none"/>
              </w:rPr>
              <w:t>技术和服务水平</w:t>
            </w:r>
            <w:r>
              <w:rPr>
                <w:rFonts w:hint="eastAsia" w:ascii="宋体" w:hAnsi="宋体" w:cs="FangSong_GB2312"/>
                <w:b/>
                <w:bCs/>
                <w:color w:val="auto"/>
                <w:sz w:val="21"/>
                <w:szCs w:val="21"/>
                <w:highlight w:val="none"/>
                <w:lang w:val="en-US" w:eastAsia="zh-CN"/>
              </w:rPr>
              <w:t>评审评分</w:t>
            </w:r>
            <w:r>
              <w:rPr>
                <w:rFonts w:hint="eastAsia" w:ascii="宋体" w:hAnsi="宋体" w:eastAsia="宋体" w:cs="FangSong_GB2312"/>
                <w:b/>
                <w:bCs/>
                <w:color w:val="auto"/>
                <w:sz w:val="21"/>
                <w:szCs w:val="21"/>
                <w:highlight w:val="none"/>
                <w:lang w:val="zh-CN"/>
              </w:rPr>
              <w:t>F</w:t>
            </w:r>
            <w:r>
              <w:rPr>
                <w:rFonts w:hint="eastAsia" w:ascii="宋体" w:hAnsi="宋体" w:cs="FangSong_GB2312"/>
                <w:b/>
                <w:bCs/>
                <w:color w:val="auto"/>
                <w:sz w:val="21"/>
                <w:szCs w:val="21"/>
                <w:highlight w:val="none"/>
                <w:lang w:val="en-US" w:eastAsia="zh-CN"/>
              </w:rPr>
              <w:t>3</w:t>
            </w:r>
          </w:p>
        </w:tc>
        <w:tc>
          <w:tcPr>
            <w:tcW w:w="1371" w:type="dxa"/>
            <w:tcBorders>
              <w:top w:val="single" w:color="auto" w:sz="4" w:space="0"/>
              <w:left w:val="single" w:color="auto" w:sz="4" w:space="0"/>
              <w:right w:val="single" w:color="auto" w:sz="4" w:space="0"/>
            </w:tcBorders>
            <w:shd w:val="clear" w:color="auto" w:fill="auto"/>
            <w:vAlign w:val="center"/>
          </w:tcPr>
          <w:p w14:paraId="552D6CEF">
            <w:pPr>
              <w:pStyle w:val="9"/>
              <w:keepNext w:val="0"/>
              <w:keepLines w:val="0"/>
              <w:pageBreakBefore w:val="0"/>
              <w:kinsoku/>
              <w:wordWrap/>
              <w:topLinePunct w:val="0"/>
              <w:bidi w:val="0"/>
              <w:spacing w:before="0" w:beforeAutospacing="0" w:after="0" w:afterAutospacing="0" w:line="440" w:lineRule="exact"/>
              <w:jc w:val="center"/>
              <w:rPr>
                <w:rFonts w:hint="default" w:ascii="宋体" w:hAnsi="宋体" w:eastAsia="宋体" w:cs="宋体"/>
                <w:b/>
                <w:bCs/>
                <w:color w:val="auto"/>
                <w:kern w:val="2"/>
                <w:sz w:val="21"/>
                <w:szCs w:val="21"/>
                <w:highlight w:val="none"/>
                <w:lang w:val="en-US" w:eastAsia="zh-CN" w:bidi="zh-CN"/>
              </w:rPr>
            </w:pPr>
            <w:r>
              <w:rPr>
                <w:rFonts w:hint="eastAsia" w:ascii="宋体" w:hAnsi="宋体" w:eastAsia="宋体" w:cs="宋体"/>
                <w:b/>
                <w:bCs/>
                <w:color w:val="auto"/>
                <w:sz w:val="21"/>
                <w:szCs w:val="21"/>
                <w:highlight w:val="none"/>
                <w:lang w:val="en-US" w:eastAsia="zh-CN"/>
              </w:rPr>
              <w:t>（1）本项目需求理解和响应</w:t>
            </w:r>
          </w:p>
        </w:tc>
        <w:tc>
          <w:tcPr>
            <w:tcW w:w="5323" w:type="dxa"/>
            <w:tcBorders>
              <w:top w:val="single" w:color="auto" w:sz="4" w:space="0"/>
              <w:left w:val="single" w:color="auto" w:sz="4" w:space="0"/>
              <w:right w:val="single" w:color="auto" w:sz="4" w:space="0"/>
            </w:tcBorders>
            <w:shd w:val="clear" w:color="auto" w:fill="auto"/>
            <w:vAlign w:val="top"/>
          </w:tcPr>
          <w:p w14:paraId="40E304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根据投标文件中提供的</w:t>
            </w:r>
            <w:r>
              <w:rPr>
                <w:rFonts w:hint="eastAsia" w:ascii="宋体" w:hAnsi="宋体" w:eastAsia="宋体" w:cs="宋体"/>
                <w:b/>
                <w:bCs/>
                <w:color w:val="auto"/>
                <w:sz w:val="21"/>
                <w:szCs w:val="21"/>
                <w:highlight w:val="none"/>
                <w:lang w:val="en-US" w:eastAsia="zh-CN"/>
              </w:rPr>
              <w:t>本项目需求理解和响应</w:t>
            </w:r>
            <w:r>
              <w:rPr>
                <w:rFonts w:hint="eastAsia" w:ascii="宋体" w:hAnsi="宋体" w:cs="宋体"/>
                <w:b w:val="0"/>
                <w:bCs w:val="0"/>
                <w:color w:val="auto"/>
                <w:highlight w:val="none"/>
                <w:lang w:val="en-US" w:eastAsia="zh-CN"/>
              </w:rPr>
              <w:t>进行评审，内容包括：①对项目背景、意义及目的；</w:t>
            </w:r>
            <w:r>
              <w:rPr>
                <w:rFonts w:hint="eastAsia" w:ascii="宋体" w:hAnsi="宋体" w:eastAsia="宋体" w:cs="宋体"/>
                <w:b w:val="0"/>
                <w:bCs w:val="0"/>
                <w:color w:val="auto"/>
                <w:highlight w:val="none"/>
                <w:lang w:val="en-US" w:eastAsia="zh-CN"/>
              </w:rPr>
              <w:t>②</w:t>
            </w:r>
            <w:r>
              <w:rPr>
                <w:rFonts w:hint="eastAsia" w:ascii="宋体" w:hAnsi="宋体" w:cs="宋体"/>
                <w:b w:val="0"/>
                <w:bCs w:val="0"/>
                <w:color w:val="auto"/>
                <w:highlight w:val="none"/>
                <w:lang w:val="en-US" w:eastAsia="zh-CN"/>
              </w:rPr>
              <w:t>项目建设思路，采购内容；</w:t>
            </w:r>
            <w:r>
              <w:rPr>
                <w:rFonts w:hint="eastAsia" w:ascii="宋体" w:hAnsi="宋体" w:eastAsia="宋体" w:cs="宋体"/>
                <w:b w:val="0"/>
                <w:bCs w:val="0"/>
                <w:color w:val="auto"/>
                <w:highlight w:val="none"/>
                <w:lang w:val="en-US" w:eastAsia="zh-CN"/>
              </w:rPr>
              <w:t>③</w:t>
            </w:r>
            <w:r>
              <w:rPr>
                <w:rFonts w:hint="eastAsia" w:ascii="宋体" w:hAnsi="宋体" w:cs="宋体"/>
                <w:b w:val="0"/>
                <w:bCs w:val="0"/>
                <w:color w:val="auto"/>
                <w:highlight w:val="none"/>
                <w:lang w:val="en-US" w:eastAsia="zh-CN"/>
              </w:rPr>
              <w:t>项目实施要求；</w:t>
            </w:r>
            <w:r>
              <w:rPr>
                <w:rFonts w:hint="eastAsia" w:ascii="宋体" w:hAnsi="宋体" w:eastAsia="宋体" w:cs="宋体"/>
                <w:b w:val="0"/>
                <w:bCs w:val="0"/>
                <w:color w:val="auto"/>
                <w:highlight w:val="none"/>
                <w:lang w:val="en-US" w:eastAsia="zh-CN"/>
              </w:rPr>
              <w:t>④</w:t>
            </w:r>
            <w:r>
              <w:rPr>
                <w:rFonts w:hint="eastAsia" w:ascii="宋体" w:hAnsi="宋体" w:cs="宋体"/>
                <w:b w:val="0"/>
                <w:bCs w:val="0"/>
                <w:color w:val="auto"/>
                <w:highlight w:val="none"/>
                <w:lang w:val="en-US" w:eastAsia="zh-CN"/>
              </w:rPr>
              <w:t>项目总体要求；</w:t>
            </w:r>
            <w:r>
              <w:rPr>
                <w:rFonts w:hint="eastAsia" w:ascii="宋体" w:hAnsi="宋体" w:eastAsia="宋体" w:cs="宋体"/>
                <w:b w:val="0"/>
                <w:bCs w:val="0"/>
                <w:color w:val="auto"/>
                <w:highlight w:val="none"/>
                <w:lang w:val="en-US" w:eastAsia="zh-CN"/>
              </w:rPr>
              <w:t>⑤</w:t>
            </w:r>
            <w:r>
              <w:rPr>
                <w:rFonts w:hint="eastAsia" w:ascii="宋体" w:hAnsi="宋体" w:cs="宋体"/>
                <w:b w:val="0"/>
                <w:bCs w:val="0"/>
                <w:color w:val="auto"/>
                <w:highlight w:val="none"/>
                <w:lang w:val="en-US" w:eastAsia="zh-CN"/>
              </w:rPr>
              <w:t>服务内容及要求等内容的理解与响应。</w:t>
            </w:r>
          </w:p>
          <w:p w14:paraId="433DC7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以上5项内容详细完整、安排合理、切实可行，得5分；每有一项缺项或漏项的扣1分；每有一项出现一种缺陷（缺陷指存在不符合本项目实际情况的情形、缺乏针对性，或内容前后矛盾、不一致或前后逻辑错误、涉及的规范及标准错误，或内容缺失、阐述不清，或内容不合理、缺乏可行性）的扣0.5分，扣完为止。</w:t>
            </w:r>
          </w:p>
        </w:tc>
        <w:tc>
          <w:tcPr>
            <w:tcW w:w="685" w:type="dxa"/>
            <w:tcBorders>
              <w:top w:val="single" w:color="auto" w:sz="4" w:space="0"/>
              <w:left w:val="single" w:color="auto" w:sz="4" w:space="0"/>
              <w:bottom w:val="single" w:color="auto" w:sz="4" w:space="0"/>
              <w:right w:val="single" w:color="auto" w:sz="4" w:space="0"/>
            </w:tcBorders>
            <w:shd w:val="clear" w:color="auto" w:fill="auto"/>
            <w:vAlign w:val="center"/>
          </w:tcPr>
          <w:p w14:paraId="110AE343">
            <w:pPr>
              <w:pageBreakBefore w:val="0"/>
              <w:widowControl/>
              <w:kinsoku/>
              <w:overflowPunct w:val="0"/>
              <w:topLinePunct w:val="0"/>
              <w:autoSpaceDE w:val="0"/>
              <w:autoSpaceDN w:val="0"/>
              <w:bidi w:val="0"/>
              <w:adjustRightInd w:val="0"/>
              <w:spacing w:after="0" w:line="440" w:lineRule="exact"/>
              <w:jc w:val="center"/>
              <w:textAlignment w:val="baseline"/>
              <w:rPr>
                <w:rFonts w:hint="default" w:ascii="宋体" w:hAnsi="宋体" w:eastAsia="宋体" w:cs="FangSong_GB2312"/>
                <w:b/>
                <w:bCs/>
                <w:color w:val="auto"/>
                <w:kern w:val="2"/>
                <w:sz w:val="21"/>
                <w:szCs w:val="21"/>
                <w:highlight w:val="none"/>
                <w:lang w:val="en-US" w:eastAsia="zh-CN" w:bidi="ar-SA"/>
              </w:rPr>
            </w:pPr>
            <w:r>
              <w:rPr>
                <w:rFonts w:hint="eastAsia" w:ascii="宋体" w:hAnsi="宋体" w:cs="FangSong_GB2312"/>
                <w:b/>
                <w:bCs/>
                <w:color w:val="auto"/>
                <w:sz w:val="21"/>
                <w:szCs w:val="21"/>
                <w:highlight w:val="none"/>
                <w:lang w:val="en-US" w:eastAsia="zh-CN"/>
              </w:rPr>
              <w:t>5</w:t>
            </w:r>
          </w:p>
        </w:tc>
      </w:tr>
      <w:tr w14:paraId="659625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1" w:hRule="atLeast"/>
          <w:jc w:val="center"/>
        </w:trPr>
        <w:tc>
          <w:tcPr>
            <w:tcW w:w="772" w:type="dxa"/>
            <w:vMerge w:val="continue"/>
            <w:tcBorders>
              <w:left w:val="single" w:color="auto" w:sz="4" w:space="0"/>
              <w:right w:val="single" w:color="auto" w:sz="4" w:space="0"/>
            </w:tcBorders>
            <w:vAlign w:val="center"/>
          </w:tcPr>
          <w:p w14:paraId="30E581AC">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cs="FangSong_GB2312"/>
                <w:b/>
                <w:bCs/>
                <w:color w:val="auto"/>
                <w:kern w:val="0"/>
                <w:sz w:val="21"/>
                <w:szCs w:val="21"/>
                <w:highlight w:val="none"/>
                <w:lang w:val="en-US" w:eastAsia="zh-CN"/>
              </w:rPr>
            </w:pPr>
          </w:p>
        </w:tc>
        <w:tc>
          <w:tcPr>
            <w:tcW w:w="1007" w:type="dxa"/>
            <w:vMerge w:val="continue"/>
            <w:tcBorders>
              <w:left w:val="single" w:color="auto" w:sz="4" w:space="0"/>
              <w:right w:val="single" w:color="auto" w:sz="4" w:space="0"/>
            </w:tcBorders>
            <w:vAlign w:val="center"/>
          </w:tcPr>
          <w:p w14:paraId="7DD616C7">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cs="FangSong_GB2312"/>
                <w:b/>
                <w:bCs/>
                <w:color w:val="auto"/>
                <w:sz w:val="21"/>
                <w:szCs w:val="21"/>
                <w:highlight w:val="none"/>
                <w:lang w:val="zh-CN"/>
              </w:rPr>
            </w:pPr>
          </w:p>
        </w:tc>
        <w:tc>
          <w:tcPr>
            <w:tcW w:w="1371" w:type="dxa"/>
            <w:tcBorders>
              <w:left w:val="single" w:color="auto" w:sz="4" w:space="0"/>
              <w:right w:val="single" w:color="auto" w:sz="4" w:space="0"/>
            </w:tcBorders>
            <w:shd w:val="clear" w:color="auto" w:fill="auto"/>
            <w:vAlign w:val="center"/>
          </w:tcPr>
          <w:p w14:paraId="2508F5B6">
            <w:pPr>
              <w:spacing w:before="48" w:after="48"/>
              <w:jc w:val="center"/>
              <w:rPr>
                <w:rFonts w:hint="eastAsia" w:ascii="宋体" w:hAnsi="宋体" w:eastAsia="宋体" w:cs="宋体"/>
                <w:b/>
                <w:bCs/>
                <w:color w:val="auto"/>
                <w:kern w:val="0"/>
                <w:sz w:val="21"/>
                <w:szCs w:val="21"/>
                <w:highlight w:val="none"/>
                <w:lang w:val="zh-CN" w:eastAsia="zh-CN" w:bidi="ar-SA"/>
              </w:rPr>
            </w:pPr>
            <w:r>
              <w:rPr>
                <w:rFonts w:hint="eastAsia" w:ascii="宋体" w:hAnsi="宋体" w:eastAsia="宋体" w:cs="宋体"/>
                <w:b/>
                <w:bCs/>
                <w:color w:val="auto"/>
                <w:kern w:val="0"/>
                <w:sz w:val="21"/>
                <w:szCs w:val="21"/>
                <w:highlight w:val="none"/>
                <w:lang w:val="en-US" w:eastAsia="zh-CN" w:bidi="ar-SA"/>
              </w:rPr>
              <w:t>（2）物业服务工作总体方案</w:t>
            </w:r>
          </w:p>
        </w:tc>
        <w:tc>
          <w:tcPr>
            <w:tcW w:w="5323" w:type="dxa"/>
            <w:tcBorders>
              <w:top w:val="single" w:color="auto" w:sz="4" w:space="0"/>
              <w:left w:val="single" w:color="auto" w:sz="4" w:space="0"/>
              <w:right w:val="single" w:color="auto" w:sz="4" w:space="0"/>
            </w:tcBorders>
            <w:shd w:val="clear" w:color="auto" w:fill="auto"/>
            <w:vAlign w:val="top"/>
          </w:tcPr>
          <w:p w14:paraId="211F0C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根据投标文件中提供的</w:t>
            </w:r>
            <w:r>
              <w:rPr>
                <w:rFonts w:hint="eastAsia" w:ascii="宋体" w:hAnsi="宋体" w:eastAsia="宋体" w:cs="宋体"/>
                <w:b/>
                <w:bCs/>
                <w:color w:val="auto"/>
                <w:kern w:val="2"/>
                <w:sz w:val="21"/>
                <w:szCs w:val="22"/>
                <w:highlight w:val="none"/>
                <w:lang w:val="en-US" w:eastAsia="zh-CN" w:bidi="ar-SA"/>
              </w:rPr>
              <w:t>物业服务工作总体方案</w:t>
            </w:r>
            <w:r>
              <w:rPr>
                <w:rFonts w:hint="eastAsia" w:ascii="宋体" w:hAnsi="宋体" w:cs="宋体"/>
                <w:b w:val="0"/>
                <w:bCs w:val="0"/>
                <w:color w:val="auto"/>
                <w:highlight w:val="none"/>
                <w:lang w:val="en-US" w:eastAsia="zh-CN"/>
              </w:rPr>
              <w:t>进行评审，内容包括：①管理服务制度和作业标准；</w:t>
            </w:r>
            <w:r>
              <w:rPr>
                <w:rFonts w:hint="eastAsia" w:ascii="宋体" w:hAnsi="宋体" w:eastAsia="宋体" w:cs="宋体"/>
                <w:b w:val="0"/>
                <w:bCs w:val="0"/>
                <w:color w:val="auto"/>
                <w:highlight w:val="none"/>
                <w:lang w:val="en-US" w:eastAsia="zh-CN"/>
              </w:rPr>
              <w:t>②</w:t>
            </w:r>
            <w:r>
              <w:rPr>
                <w:rFonts w:hint="eastAsia" w:ascii="宋体" w:hAnsi="宋体" w:cs="宋体"/>
                <w:b w:val="0"/>
                <w:bCs w:val="0"/>
                <w:color w:val="auto"/>
                <w:highlight w:val="none"/>
                <w:lang w:val="en-US" w:eastAsia="zh-CN"/>
              </w:rPr>
              <w:t>各类保障用具（品）符合国家安全标准保障方案；</w:t>
            </w:r>
            <w:r>
              <w:rPr>
                <w:rFonts w:hint="eastAsia" w:ascii="宋体" w:hAnsi="宋体" w:eastAsia="宋体" w:cs="宋体"/>
                <w:b w:val="0"/>
                <w:bCs w:val="0"/>
                <w:color w:val="auto"/>
                <w:highlight w:val="none"/>
                <w:lang w:val="en-US" w:eastAsia="zh-CN"/>
              </w:rPr>
              <w:t>③</w:t>
            </w:r>
            <w:r>
              <w:rPr>
                <w:rFonts w:hint="eastAsia" w:ascii="宋体" w:hAnsi="宋体" w:cs="宋体"/>
                <w:b w:val="0"/>
                <w:bCs w:val="0"/>
                <w:color w:val="auto"/>
                <w:highlight w:val="none"/>
                <w:lang w:val="en-US" w:eastAsia="zh-CN"/>
              </w:rPr>
              <w:t>共用设施设备正常运行保障方案；</w:t>
            </w:r>
            <w:r>
              <w:rPr>
                <w:rFonts w:hint="eastAsia" w:ascii="宋体" w:hAnsi="宋体" w:eastAsia="宋体" w:cs="宋体"/>
                <w:b w:val="0"/>
                <w:bCs w:val="0"/>
                <w:color w:val="auto"/>
                <w:highlight w:val="none"/>
                <w:lang w:val="en-US" w:eastAsia="zh-CN"/>
              </w:rPr>
              <w:t>④</w:t>
            </w:r>
            <w:r>
              <w:rPr>
                <w:rFonts w:hint="eastAsia" w:ascii="宋体" w:hAnsi="宋体" w:cs="宋体"/>
                <w:b w:val="0"/>
                <w:bCs w:val="0"/>
                <w:color w:val="auto"/>
                <w:highlight w:val="none"/>
                <w:lang w:val="en-US" w:eastAsia="zh-CN"/>
              </w:rPr>
              <w:t>具有24小时服务电话，服务受理、投诉、回访处理方案；</w:t>
            </w:r>
            <w:r>
              <w:rPr>
                <w:rFonts w:hint="eastAsia" w:ascii="宋体" w:hAnsi="宋体" w:eastAsia="宋体" w:cs="宋体"/>
                <w:b w:val="0"/>
                <w:bCs w:val="0"/>
                <w:color w:val="auto"/>
                <w:highlight w:val="none"/>
                <w:lang w:val="en-US" w:eastAsia="zh-CN"/>
              </w:rPr>
              <w:t>⑤</w:t>
            </w:r>
            <w:r>
              <w:rPr>
                <w:rFonts w:hint="eastAsia" w:ascii="宋体" w:hAnsi="宋体" w:cs="宋体"/>
                <w:b w:val="0"/>
                <w:bCs w:val="0"/>
                <w:color w:val="auto"/>
                <w:highlight w:val="none"/>
                <w:lang w:val="en-US" w:eastAsia="zh-CN"/>
              </w:rPr>
              <w:t>管理服务中的相关作业记录工作实施方案。</w:t>
            </w:r>
          </w:p>
          <w:p w14:paraId="5C7EBFCA">
            <w:pPr>
              <w:spacing w:before="0" w:after="0" w:line="440" w:lineRule="exact"/>
              <w:jc w:val="left"/>
              <w:rPr>
                <w:rFonts w:hint="eastAsia" w:ascii="宋体" w:hAnsi="宋体" w:eastAsia="宋体" w:cs="宋体"/>
                <w:b w:val="0"/>
                <w:bCs w:val="0"/>
                <w:i w:val="0"/>
                <w:iCs w:val="0"/>
                <w:smallCaps w:val="0"/>
                <w:color w:val="auto"/>
                <w:kern w:val="2"/>
                <w:sz w:val="21"/>
                <w:szCs w:val="22"/>
                <w:highlight w:val="none"/>
                <w:lang w:val="en-US" w:eastAsia="zh-CN" w:bidi="ar-SA"/>
              </w:rPr>
            </w:pPr>
            <w:r>
              <w:rPr>
                <w:rFonts w:hint="eastAsia" w:ascii="宋体" w:hAnsi="宋体" w:cs="宋体"/>
                <w:b w:val="0"/>
                <w:bCs w:val="0"/>
                <w:color w:val="auto"/>
                <w:highlight w:val="none"/>
                <w:lang w:val="en-US" w:eastAsia="zh-CN"/>
              </w:rPr>
              <w:t>以上5项内容详细完整、安排合理、切实可行，得10分；每有一项缺项或漏项的扣2分；每有一项出现一种缺陷（缺陷指存在不符合本项目实际情况的情形、缺乏针对性，或内容前后矛盾、不一致或前后逻辑错误、涉及的规范及标准错误，或内容缺失、阐述不清，或内容不合理、缺乏可行性）的扣0.5分，扣完为止。</w:t>
            </w:r>
          </w:p>
        </w:tc>
        <w:tc>
          <w:tcPr>
            <w:tcW w:w="685" w:type="dxa"/>
            <w:tcBorders>
              <w:top w:val="single" w:color="auto" w:sz="4" w:space="0"/>
              <w:left w:val="single" w:color="auto" w:sz="4" w:space="0"/>
              <w:bottom w:val="single" w:color="auto" w:sz="4" w:space="0"/>
              <w:right w:val="single" w:color="auto" w:sz="4" w:space="0"/>
            </w:tcBorders>
            <w:vAlign w:val="center"/>
          </w:tcPr>
          <w:p w14:paraId="00D4FC82">
            <w:pPr>
              <w:pageBreakBefore w:val="0"/>
              <w:widowControl/>
              <w:kinsoku/>
              <w:overflowPunct w:val="0"/>
              <w:topLinePunct w:val="0"/>
              <w:autoSpaceDE w:val="0"/>
              <w:autoSpaceDN w:val="0"/>
              <w:bidi w:val="0"/>
              <w:adjustRightInd w:val="0"/>
              <w:spacing w:after="0" w:line="440" w:lineRule="exact"/>
              <w:jc w:val="center"/>
              <w:textAlignment w:val="baseline"/>
              <w:rPr>
                <w:rFonts w:hint="default" w:ascii="宋体" w:hAnsi="宋体" w:cs="FangSong_GB2312"/>
                <w:b/>
                <w:bCs/>
                <w:color w:val="auto"/>
                <w:sz w:val="21"/>
                <w:szCs w:val="21"/>
                <w:highlight w:val="none"/>
                <w:lang w:val="en-US" w:eastAsia="zh-CN"/>
              </w:rPr>
            </w:pPr>
            <w:r>
              <w:rPr>
                <w:rFonts w:hint="eastAsia" w:ascii="宋体" w:hAnsi="宋体" w:cs="FangSong_GB2312"/>
                <w:b/>
                <w:bCs/>
                <w:color w:val="auto"/>
                <w:sz w:val="21"/>
                <w:szCs w:val="21"/>
                <w:highlight w:val="none"/>
                <w:lang w:val="en-US" w:eastAsia="zh-CN"/>
              </w:rPr>
              <w:t>10</w:t>
            </w:r>
          </w:p>
        </w:tc>
      </w:tr>
      <w:tr w14:paraId="76462C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1" w:hRule="atLeast"/>
          <w:jc w:val="center"/>
        </w:trPr>
        <w:tc>
          <w:tcPr>
            <w:tcW w:w="772" w:type="dxa"/>
            <w:vMerge w:val="continue"/>
            <w:tcBorders>
              <w:left w:val="single" w:color="auto" w:sz="4" w:space="0"/>
              <w:right w:val="single" w:color="auto" w:sz="4" w:space="0"/>
            </w:tcBorders>
            <w:vAlign w:val="center"/>
          </w:tcPr>
          <w:p w14:paraId="02A18A67">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cs="FangSong_GB2312"/>
                <w:b/>
                <w:bCs/>
                <w:color w:val="auto"/>
                <w:kern w:val="0"/>
                <w:sz w:val="21"/>
                <w:szCs w:val="21"/>
                <w:highlight w:val="none"/>
                <w:lang w:val="en-US" w:eastAsia="zh-CN"/>
              </w:rPr>
            </w:pPr>
          </w:p>
        </w:tc>
        <w:tc>
          <w:tcPr>
            <w:tcW w:w="1007" w:type="dxa"/>
            <w:vMerge w:val="continue"/>
            <w:tcBorders>
              <w:left w:val="single" w:color="auto" w:sz="4" w:space="0"/>
              <w:right w:val="single" w:color="auto" w:sz="4" w:space="0"/>
            </w:tcBorders>
            <w:vAlign w:val="center"/>
          </w:tcPr>
          <w:p w14:paraId="58369579">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cs="FangSong_GB2312"/>
                <w:b/>
                <w:bCs/>
                <w:color w:val="auto"/>
                <w:sz w:val="21"/>
                <w:szCs w:val="21"/>
                <w:highlight w:val="none"/>
                <w:lang w:val="zh-CN"/>
              </w:rPr>
            </w:pPr>
          </w:p>
        </w:tc>
        <w:tc>
          <w:tcPr>
            <w:tcW w:w="1371" w:type="dxa"/>
            <w:tcBorders>
              <w:left w:val="single" w:color="auto" w:sz="4" w:space="0"/>
              <w:right w:val="single" w:color="auto" w:sz="4" w:space="0"/>
            </w:tcBorders>
            <w:shd w:val="clear" w:color="auto" w:fill="auto"/>
            <w:vAlign w:val="center"/>
          </w:tcPr>
          <w:p w14:paraId="6F05B63F">
            <w:pPr>
              <w:spacing w:before="48" w:after="48"/>
              <w:jc w:val="center"/>
              <w:rPr>
                <w:rFonts w:hint="eastAsia"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（3）</w:t>
            </w:r>
            <w:r>
              <w:rPr>
                <w:rFonts w:hint="eastAsia" w:ascii="宋体" w:hAnsi="宋体" w:eastAsia="宋体" w:cs="宋体"/>
                <w:b/>
                <w:bCs/>
                <w:color w:val="auto"/>
                <w:kern w:val="0"/>
                <w:sz w:val="21"/>
                <w:szCs w:val="21"/>
                <w:highlight w:val="none"/>
                <w:lang w:val="en-US" w:eastAsia="zh-CN" w:bidi="ar-SA"/>
              </w:rPr>
              <w:t>创新服务方案</w:t>
            </w:r>
          </w:p>
        </w:tc>
        <w:tc>
          <w:tcPr>
            <w:tcW w:w="5323" w:type="dxa"/>
            <w:tcBorders>
              <w:top w:val="single" w:color="auto" w:sz="4" w:space="0"/>
              <w:left w:val="single" w:color="auto" w:sz="4" w:space="0"/>
              <w:right w:val="single" w:color="auto" w:sz="4" w:space="0"/>
            </w:tcBorders>
            <w:shd w:val="clear" w:color="auto" w:fill="auto"/>
            <w:vAlign w:val="top"/>
          </w:tcPr>
          <w:p w14:paraId="203646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根据投标文件中提供的</w:t>
            </w:r>
            <w:r>
              <w:rPr>
                <w:rFonts w:hint="eastAsia" w:ascii="宋体" w:hAnsi="宋体" w:eastAsia="宋体" w:cs="宋体"/>
                <w:b/>
                <w:bCs/>
                <w:color w:val="auto"/>
                <w:kern w:val="0"/>
                <w:sz w:val="21"/>
                <w:szCs w:val="21"/>
                <w:highlight w:val="none"/>
                <w:lang w:val="en-US" w:eastAsia="zh-CN" w:bidi="ar-SA"/>
              </w:rPr>
              <w:t>创新服务方案</w:t>
            </w:r>
            <w:r>
              <w:rPr>
                <w:rFonts w:hint="eastAsia" w:ascii="宋体" w:hAnsi="宋体" w:cs="宋体"/>
                <w:b w:val="0"/>
                <w:bCs w:val="0"/>
                <w:color w:val="auto"/>
                <w:highlight w:val="none"/>
                <w:lang w:val="en-US" w:eastAsia="zh-CN"/>
              </w:rPr>
              <w:t>进行评审，内容包括：①机械化保洁工作方案；②智能化物业管理方案。</w:t>
            </w:r>
          </w:p>
          <w:p w14:paraId="191E69C4">
            <w:pPr>
              <w:spacing w:before="0" w:after="0" w:line="440" w:lineRule="exact"/>
              <w:jc w:val="left"/>
              <w:rPr>
                <w:rFonts w:hint="eastAsia" w:ascii="宋体" w:hAnsi="宋体" w:eastAsia="宋体" w:cs="宋体"/>
                <w:b w:val="0"/>
                <w:bCs w:val="0"/>
                <w:i w:val="0"/>
                <w:iCs w:val="0"/>
                <w:smallCaps w:val="0"/>
                <w:color w:val="auto"/>
                <w:kern w:val="2"/>
                <w:sz w:val="21"/>
                <w:szCs w:val="22"/>
                <w:highlight w:val="none"/>
                <w:lang w:val="en-US" w:eastAsia="zh-CN" w:bidi="ar-SA"/>
              </w:rPr>
            </w:pPr>
            <w:r>
              <w:rPr>
                <w:rFonts w:hint="eastAsia" w:ascii="宋体" w:hAnsi="宋体" w:cs="宋体"/>
                <w:b w:val="0"/>
                <w:bCs w:val="0"/>
                <w:color w:val="auto"/>
                <w:highlight w:val="none"/>
                <w:lang w:val="en-US" w:eastAsia="zh-CN"/>
              </w:rPr>
              <w:t>以上2项内容详细完整、安排合理、适配项目需求、切实可行，得2分；每有一项缺项或漏项的扣1分；每有一项出现一种缺陷（缺陷指存在不符合本项目实际情况的情形、缺乏针对性，或内容前后矛盾、不一致或前后逻辑错误、涉及的规范及标准错误，或内容缺失、阐述不清，或内容不合理、缺乏可行性）的扣0.5分，扣完为止。</w:t>
            </w:r>
          </w:p>
        </w:tc>
        <w:tc>
          <w:tcPr>
            <w:tcW w:w="685" w:type="dxa"/>
            <w:tcBorders>
              <w:top w:val="single" w:color="auto" w:sz="4" w:space="0"/>
              <w:left w:val="single" w:color="auto" w:sz="4" w:space="0"/>
              <w:bottom w:val="single" w:color="auto" w:sz="4" w:space="0"/>
              <w:right w:val="single" w:color="auto" w:sz="4" w:space="0"/>
            </w:tcBorders>
            <w:vAlign w:val="center"/>
          </w:tcPr>
          <w:p w14:paraId="7819F0ED">
            <w:pPr>
              <w:pageBreakBefore w:val="0"/>
              <w:widowControl/>
              <w:kinsoku/>
              <w:overflowPunct w:val="0"/>
              <w:topLinePunct w:val="0"/>
              <w:autoSpaceDE w:val="0"/>
              <w:autoSpaceDN w:val="0"/>
              <w:bidi w:val="0"/>
              <w:adjustRightInd w:val="0"/>
              <w:spacing w:after="0" w:line="440" w:lineRule="exact"/>
              <w:jc w:val="center"/>
              <w:textAlignment w:val="baseline"/>
              <w:rPr>
                <w:rFonts w:hint="default" w:ascii="宋体" w:hAnsi="宋体" w:cs="FangSong_GB2312"/>
                <w:b/>
                <w:bCs/>
                <w:color w:val="auto"/>
                <w:sz w:val="21"/>
                <w:szCs w:val="21"/>
                <w:highlight w:val="none"/>
                <w:lang w:val="en-US" w:eastAsia="zh-CN"/>
              </w:rPr>
            </w:pPr>
            <w:r>
              <w:rPr>
                <w:rFonts w:hint="eastAsia" w:ascii="宋体" w:hAnsi="宋体" w:cs="FangSong_GB2312"/>
                <w:b/>
                <w:bCs/>
                <w:color w:val="auto"/>
                <w:sz w:val="21"/>
                <w:szCs w:val="21"/>
                <w:highlight w:val="none"/>
                <w:lang w:val="en-US" w:eastAsia="zh-CN"/>
              </w:rPr>
              <w:t>2</w:t>
            </w:r>
          </w:p>
        </w:tc>
      </w:tr>
      <w:tr w14:paraId="3A5514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772" w:type="dxa"/>
            <w:vMerge w:val="continue"/>
            <w:tcBorders>
              <w:left w:val="single" w:color="auto" w:sz="4" w:space="0"/>
              <w:right w:val="single" w:color="auto" w:sz="4" w:space="0"/>
            </w:tcBorders>
            <w:vAlign w:val="center"/>
          </w:tcPr>
          <w:p w14:paraId="02924F3A">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cs="FangSong_GB2312"/>
                <w:b/>
                <w:bCs/>
                <w:color w:val="auto"/>
                <w:kern w:val="0"/>
                <w:sz w:val="21"/>
                <w:szCs w:val="21"/>
                <w:highlight w:val="none"/>
                <w:lang w:val="en-US" w:eastAsia="zh-CN"/>
              </w:rPr>
            </w:pPr>
          </w:p>
        </w:tc>
        <w:tc>
          <w:tcPr>
            <w:tcW w:w="1007" w:type="dxa"/>
            <w:vMerge w:val="continue"/>
            <w:tcBorders>
              <w:left w:val="single" w:color="auto" w:sz="4" w:space="0"/>
              <w:right w:val="single" w:color="auto" w:sz="4" w:space="0"/>
            </w:tcBorders>
            <w:vAlign w:val="center"/>
          </w:tcPr>
          <w:p w14:paraId="720AC7DD">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cs="FangSong_GB2312"/>
                <w:b/>
                <w:bCs/>
                <w:color w:val="auto"/>
                <w:sz w:val="21"/>
                <w:szCs w:val="21"/>
                <w:highlight w:val="none"/>
                <w:lang w:val="zh-CN"/>
              </w:rPr>
            </w:pPr>
          </w:p>
        </w:tc>
        <w:tc>
          <w:tcPr>
            <w:tcW w:w="1371" w:type="dxa"/>
            <w:vMerge w:val="restart"/>
            <w:tcBorders>
              <w:left w:val="single" w:color="auto" w:sz="4" w:space="0"/>
              <w:right w:val="single" w:color="auto" w:sz="4" w:space="0"/>
            </w:tcBorders>
            <w:vAlign w:val="center"/>
          </w:tcPr>
          <w:p w14:paraId="11670CF8">
            <w:pPr>
              <w:spacing w:before="48" w:after="48"/>
              <w:jc w:val="center"/>
              <w:rPr>
                <w:rFonts w:hint="default" w:ascii="宋体" w:hAnsi="宋体" w:eastAsia="宋体" w:cs="宋体"/>
                <w:b/>
                <w:bCs/>
                <w:color w:val="auto"/>
                <w:kern w:val="2"/>
                <w:sz w:val="21"/>
                <w:szCs w:val="21"/>
                <w:highlight w:val="none"/>
                <w:lang w:val="en-US" w:eastAsia="zh-CN" w:bidi="zh-CN"/>
              </w:rPr>
            </w:pPr>
            <w:r>
              <w:rPr>
                <w:rFonts w:hint="eastAsia" w:ascii="宋体" w:hAnsi="宋体" w:eastAsia="宋体" w:cs="宋体"/>
                <w:b/>
                <w:bCs/>
                <w:color w:val="auto"/>
                <w:kern w:val="0"/>
                <w:sz w:val="21"/>
                <w:szCs w:val="21"/>
                <w:highlight w:val="none"/>
                <w:lang w:val="en-US" w:eastAsia="zh-CN" w:bidi="ar-SA"/>
              </w:rPr>
              <w:t>（4）公共综合服务</w:t>
            </w:r>
            <w:r>
              <w:rPr>
                <w:rFonts w:hint="eastAsia" w:ascii="宋体" w:hAnsi="宋体" w:cs="宋体"/>
                <w:b/>
                <w:bCs/>
                <w:color w:val="auto"/>
                <w:kern w:val="0"/>
                <w:sz w:val="21"/>
                <w:szCs w:val="21"/>
                <w:highlight w:val="none"/>
                <w:lang w:val="en-US" w:eastAsia="zh-CN" w:bidi="ar-SA"/>
              </w:rPr>
              <w:t>方案</w:t>
            </w:r>
          </w:p>
        </w:tc>
        <w:tc>
          <w:tcPr>
            <w:tcW w:w="5323" w:type="dxa"/>
            <w:tcBorders>
              <w:top w:val="single" w:color="auto" w:sz="4" w:space="0"/>
              <w:left w:val="single" w:color="auto" w:sz="4" w:space="0"/>
              <w:bottom w:val="single" w:color="auto" w:sz="4" w:space="0"/>
              <w:right w:val="single" w:color="auto" w:sz="4" w:space="0"/>
            </w:tcBorders>
            <w:shd w:val="clear" w:color="auto" w:fill="auto"/>
            <w:vAlign w:val="top"/>
          </w:tcPr>
          <w:p w14:paraId="4943C0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①秩序维护与安全服务方案</w:t>
            </w:r>
          </w:p>
          <w:p w14:paraId="03DC4E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根据投标文件中提供的</w:t>
            </w:r>
            <w:r>
              <w:rPr>
                <w:rFonts w:hint="eastAsia" w:ascii="宋体" w:hAnsi="宋体" w:cs="宋体"/>
                <w:b/>
                <w:bCs/>
                <w:color w:val="auto"/>
                <w:highlight w:val="none"/>
                <w:lang w:val="en-US" w:eastAsia="zh-CN"/>
              </w:rPr>
              <w:t>秩序维护与安全服务方案</w:t>
            </w:r>
            <w:r>
              <w:rPr>
                <w:rFonts w:hint="eastAsia" w:ascii="宋体" w:hAnsi="宋体" w:cs="宋体"/>
                <w:b w:val="0"/>
                <w:bCs w:val="0"/>
                <w:color w:val="auto"/>
                <w:highlight w:val="none"/>
                <w:lang w:val="en-US" w:eastAsia="zh-CN"/>
              </w:rPr>
              <w:t>进行评审，内容包括：①门卫工作服务方案；②巡逻工作服务方案；③安全监控工作服务方案；④交通和车辆停放管理工作服务方案；⑤消防安全管理工作服务方案；⑥秩序维护管理工作服务方案。</w:t>
            </w:r>
          </w:p>
          <w:p w14:paraId="10903F5E">
            <w:pPr>
              <w:spacing w:before="0" w:after="0" w:line="440" w:lineRule="exact"/>
              <w:jc w:val="left"/>
              <w:rPr>
                <w:rFonts w:hint="eastAsia" w:ascii="宋体" w:hAnsi="宋体" w:eastAsia="宋体" w:cs="宋体"/>
                <w:b w:val="0"/>
                <w:bCs w:val="0"/>
                <w:i w:val="0"/>
                <w:iCs w:val="0"/>
                <w:smallCaps w:val="0"/>
                <w:color w:val="auto"/>
                <w:kern w:val="2"/>
                <w:sz w:val="21"/>
                <w:szCs w:val="22"/>
                <w:highlight w:val="none"/>
                <w:lang w:val="en-US" w:eastAsia="zh-CN" w:bidi="ar-SA"/>
              </w:rPr>
            </w:pPr>
            <w:r>
              <w:rPr>
                <w:rFonts w:hint="eastAsia" w:ascii="宋体" w:hAnsi="宋体" w:cs="宋体"/>
                <w:b w:val="0"/>
                <w:bCs w:val="0"/>
                <w:color w:val="auto"/>
                <w:highlight w:val="none"/>
                <w:lang w:val="en-US" w:eastAsia="zh-CN"/>
              </w:rPr>
              <w:t>以上6项内容详细完整、安排合理、切实可行，得6分；每有一项缺项或漏项的扣1分；每有一项出现一种缺陷（缺陷指存在不符合本项目实际情况的情形、缺乏针对性，或内容前后矛盾、不一致或前后逻辑错误、涉及的规范及标准错误，或内容缺失、阐述不清，或内容不合理、缺乏可行性）的扣0.5分，扣完为止。</w:t>
            </w:r>
          </w:p>
        </w:tc>
        <w:tc>
          <w:tcPr>
            <w:tcW w:w="685" w:type="dxa"/>
            <w:tcBorders>
              <w:top w:val="single" w:color="auto" w:sz="4" w:space="0"/>
              <w:left w:val="single" w:color="auto" w:sz="4" w:space="0"/>
              <w:bottom w:val="single" w:color="auto" w:sz="4" w:space="0"/>
              <w:right w:val="single" w:color="auto" w:sz="4" w:space="0"/>
            </w:tcBorders>
            <w:vAlign w:val="center"/>
          </w:tcPr>
          <w:p w14:paraId="3E4D16AA">
            <w:pPr>
              <w:pageBreakBefore w:val="0"/>
              <w:widowControl/>
              <w:kinsoku/>
              <w:overflowPunct w:val="0"/>
              <w:topLinePunct w:val="0"/>
              <w:autoSpaceDE w:val="0"/>
              <w:autoSpaceDN w:val="0"/>
              <w:bidi w:val="0"/>
              <w:adjustRightInd w:val="0"/>
              <w:spacing w:after="0" w:line="440" w:lineRule="exact"/>
              <w:jc w:val="center"/>
              <w:textAlignment w:val="baseline"/>
              <w:rPr>
                <w:rFonts w:hint="default" w:ascii="宋体" w:hAnsi="宋体" w:cs="FangSong_GB2312"/>
                <w:b/>
                <w:bCs/>
                <w:color w:val="auto"/>
                <w:sz w:val="21"/>
                <w:szCs w:val="21"/>
                <w:highlight w:val="none"/>
                <w:lang w:val="en-US" w:eastAsia="zh-CN"/>
              </w:rPr>
            </w:pPr>
            <w:r>
              <w:rPr>
                <w:rFonts w:hint="eastAsia" w:ascii="宋体" w:hAnsi="宋体" w:cs="FangSong_GB2312"/>
                <w:b/>
                <w:bCs/>
                <w:color w:val="auto"/>
                <w:sz w:val="21"/>
                <w:szCs w:val="21"/>
                <w:highlight w:val="none"/>
                <w:lang w:val="en-US" w:eastAsia="zh-CN"/>
              </w:rPr>
              <w:t>6</w:t>
            </w:r>
          </w:p>
        </w:tc>
      </w:tr>
      <w:tr w14:paraId="1E4483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772" w:type="dxa"/>
            <w:vMerge w:val="continue"/>
            <w:tcBorders>
              <w:left w:val="single" w:color="auto" w:sz="4" w:space="0"/>
              <w:right w:val="single" w:color="auto" w:sz="4" w:space="0"/>
            </w:tcBorders>
            <w:vAlign w:val="center"/>
          </w:tcPr>
          <w:p w14:paraId="712E1549">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cs="FangSong_GB2312"/>
                <w:b/>
                <w:bCs/>
                <w:color w:val="auto"/>
                <w:kern w:val="0"/>
                <w:sz w:val="21"/>
                <w:szCs w:val="21"/>
                <w:highlight w:val="none"/>
                <w:lang w:val="en-US" w:eastAsia="zh-CN"/>
              </w:rPr>
            </w:pPr>
          </w:p>
        </w:tc>
        <w:tc>
          <w:tcPr>
            <w:tcW w:w="1007" w:type="dxa"/>
            <w:vMerge w:val="continue"/>
            <w:tcBorders>
              <w:left w:val="single" w:color="auto" w:sz="4" w:space="0"/>
              <w:right w:val="single" w:color="auto" w:sz="4" w:space="0"/>
            </w:tcBorders>
            <w:vAlign w:val="center"/>
          </w:tcPr>
          <w:p w14:paraId="3FEC27BD">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cs="FangSong_GB2312"/>
                <w:b/>
                <w:bCs/>
                <w:color w:val="auto"/>
                <w:sz w:val="21"/>
                <w:szCs w:val="21"/>
                <w:highlight w:val="none"/>
                <w:lang w:val="zh-CN"/>
              </w:rPr>
            </w:pPr>
          </w:p>
        </w:tc>
        <w:tc>
          <w:tcPr>
            <w:tcW w:w="1371" w:type="dxa"/>
            <w:vMerge w:val="continue"/>
            <w:tcBorders>
              <w:left w:val="single" w:color="auto" w:sz="4" w:space="0"/>
              <w:right w:val="single" w:color="auto" w:sz="4" w:space="0"/>
            </w:tcBorders>
            <w:vAlign w:val="center"/>
          </w:tcPr>
          <w:p w14:paraId="50CA08BC">
            <w:pPr>
              <w:spacing w:before="48" w:after="48"/>
              <w:jc w:val="center"/>
              <w:rPr>
                <w:rFonts w:hint="eastAsia" w:ascii="宋体" w:hAnsi="宋体" w:eastAsia="宋体" w:cs="宋体"/>
                <w:b/>
                <w:bCs/>
                <w:color w:val="auto"/>
                <w:kern w:val="0"/>
                <w:sz w:val="21"/>
                <w:szCs w:val="21"/>
                <w:highlight w:val="none"/>
                <w:lang w:val="en-US" w:eastAsia="zh-CN" w:bidi="ar-SA"/>
              </w:rPr>
            </w:pPr>
          </w:p>
        </w:tc>
        <w:tc>
          <w:tcPr>
            <w:tcW w:w="5323" w:type="dxa"/>
            <w:tcBorders>
              <w:top w:val="single" w:color="auto" w:sz="4" w:space="0"/>
              <w:left w:val="single" w:color="auto" w:sz="4" w:space="0"/>
              <w:bottom w:val="single" w:color="auto" w:sz="4" w:space="0"/>
              <w:right w:val="single" w:color="auto" w:sz="4" w:space="0"/>
            </w:tcBorders>
            <w:shd w:val="clear" w:color="auto" w:fill="auto"/>
            <w:vAlign w:val="top"/>
          </w:tcPr>
          <w:p w14:paraId="2B8838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②环境维护服务方案</w:t>
            </w:r>
          </w:p>
          <w:p w14:paraId="2F8047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根据投标文件中提供的</w:t>
            </w:r>
            <w:r>
              <w:rPr>
                <w:rFonts w:hint="eastAsia" w:ascii="宋体" w:hAnsi="宋体" w:cs="宋体"/>
                <w:b/>
                <w:bCs/>
                <w:color w:val="auto"/>
                <w:highlight w:val="none"/>
                <w:lang w:val="en-US" w:eastAsia="zh-CN"/>
              </w:rPr>
              <w:t>环境维护服务方案</w:t>
            </w:r>
            <w:r>
              <w:rPr>
                <w:rFonts w:hint="eastAsia" w:ascii="宋体" w:hAnsi="宋体" w:cs="宋体"/>
                <w:b w:val="0"/>
                <w:bCs w:val="0"/>
                <w:color w:val="auto"/>
                <w:highlight w:val="none"/>
                <w:lang w:val="en-US" w:eastAsia="zh-CN"/>
              </w:rPr>
              <w:t>进行评审，内容包括：①外围及周边道路工作服务方案；②大厅、楼内、公共通道工作服务方案；③会议室、活动室工作服务方案；④楼梯及楼梯间工作服务方案；⑤公共卫生间工作服务方案；⑥停车场工作服务方案；⑦电梯及电梯厅工作服务方案；⑧电器设施工作服务方案；⑨垃圾桶及果皮箱工作服务方案；⑩消防栓、消防箱、公共设施工作服务方案；⑪垃圾中转房工作服务方案；⑫设备机房、管道、指示牌工作服务方案；⑬地毯清洗工作服务方案；⑭环境消杀工作服务方案；⑮绿化养护工作服务方案；⑯外墙清洗服务工作服务方案；⑰办公室保洁服务工作服务方案；⑱室内玻璃窗户清洗工作服务方案。</w:t>
            </w:r>
          </w:p>
          <w:p w14:paraId="1EA2E5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以上18项内容详细完整、安排合理、切实可行，得18分；每有一项缺项或漏项的扣1分；每有一项出现一种缺陷（缺陷指存在不符合本项目实际情况的情形、缺乏针对性，或内容前后矛盾、不一致或前后逻辑错误、涉及的规范及标准错误，或内容缺失、阐述不清，或内容不合理、缺乏可行性）的扣0.5分，扣完为止。</w:t>
            </w:r>
          </w:p>
        </w:tc>
        <w:tc>
          <w:tcPr>
            <w:tcW w:w="685" w:type="dxa"/>
            <w:tcBorders>
              <w:top w:val="single" w:color="auto" w:sz="4" w:space="0"/>
              <w:left w:val="single" w:color="auto" w:sz="4" w:space="0"/>
              <w:bottom w:val="single" w:color="auto" w:sz="4" w:space="0"/>
              <w:right w:val="single" w:color="auto" w:sz="4" w:space="0"/>
            </w:tcBorders>
            <w:vAlign w:val="center"/>
          </w:tcPr>
          <w:p w14:paraId="38E4816E">
            <w:pPr>
              <w:pageBreakBefore w:val="0"/>
              <w:widowControl/>
              <w:kinsoku/>
              <w:overflowPunct w:val="0"/>
              <w:topLinePunct w:val="0"/>
              <w:autoSpaceDE w:val="0"/>
              <w:autoSpaceDN w:val="0"/>
              <w:bidi w:val="0"/>
              <w:adjustRightInd w:val="0"/>
              <w:spacing w:after="0" w:line="440" w:lineRule="exact"/>
              <w:jc w:val="center"/>
              <w:textAlignment w:val="baseline"/>
              <w:rPr>
                <w:rFonts w:hint="default" w:ascii="宋体" w:hAnsi="宋体" w:cs="FangSong_GB2312"/>
                <w:b/>
                <w:bCs/>
                <w:color w:val="auto"/>
                <w:sz w:val="21"/>
                <w:szCs w:val="21"/>
                <w:highlight w:val="none"/>
                <w:lang w:val="en-US" w:eastAsia="zh-CN"/>
              </w:rPr>
            </w:pPr>
            <w:r>
              <w:rPr>
                <w:rFonts w:hint="eastAsia" w:ascii="宋体" w:hAnsi="宋体" w:cs="FangSong_GB2312"/>
                <w:b/>
                <w:bCs/>
                <w:color w:val="auto"/>
                <w:sz w:val="21"/>
                <w:szCs w:val="21"/>
                <w:highlight w:val="none"/>
                <w:lang w:val="en-US" w:eastAsia="zh-CN"/>
              </w:rPr>
              <w:t>18</w:t>
            </w:r>
          </w:p>
        </w:tc>
      </w:tr>
      <w:tr w14:paraId="1746EE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772" w:type="dxa"/>
            <w:vMerge w:val="continue"/>
            <w:tcBorders>
              <w:left w:val="single" w:color="auto" w:sz="4" w:space="0"/>
              <w:right w:val="single" w:color="auto" w:sz="4" w:space="0"/>
            </w:tcBorders>
            <w:vAlign w:val="center"/>
          </w:tcPr>
          <w:p w14:paraId="6386D70A">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cs="FangSong_GB2312"/>
                <w:b/>
                <w:bCs/>
                <w:color w:val="auto"/>
                <w:kern w:val="0"/>
                <w:sz w:val="21"/>
                <w:szCs w:val="21"/>
                <w:highlight w:val="none"/>
                <w:lang w:val="en-US" w:eastAsia="zh-CN"/>
              </w:rPr>
            </w:pPr>
          </w:p>
        </w:tc>
        <w:tc>
          <w:tcPr>
            <w:tcW w:w="1007" w:type="dxa"/>
            <w:vMerge w:val="continue"/>
            <w:tcBorders>
              <w:left w:val="single" w:color="auto" w:sz="4" w:space="0"/>
              <w:right w:val="single" w:color="auto" w:sz="4" w:space="0"/>
            </w:tcBorders>
            <w:vAlign w:val="center"/>
          </w:tcPr>
          <w:p w14:paraId="6E81ECE0">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cs="FangSong_GB2312"/>
                <w:b/>
                <w:bCs/>
                <w:color w:val="auto"/>
                <w:sz w:val="21"/>
                <w:szCs w:val="21"/>
                <w:highlight w:val="none"/>
                <w:lang w:val="zh-CN"/>
              </w:rPr>
            </w:pPr>
          </w:p>
        </w:tc>
        <w:tc>
          <w:tcPr>
            <w:tcW w:w="1371" w:type="dxa"/>
            <w:vMerge w:val="continue"/>
            <w:tcBorders>
              <w:left w:val="single" w:color="auto" w:sz="4" w:space="0"/>
              <w:right w:val="single" w:color="auto" w:sz="4" w:space="0"/>
            </w:tcBorders>
            <w:vAlign w:val="center"/>
          </w:tcPr>
          <w:p w14:paraId="4F75AA00">
            <w:pPr>
              <w:spacing w:before="48" w:after="48"/>
              <w:jc w:val="center"/>
              <w:rPr>
                <w:rFonts w:hint="eastAsia" w:ascii="宋体" w:hAnsi="宋体" w:eastAsia="宋体" w:cs="宋体"/>
                <w:b/>
                <w:bCs/>
                <w:color w:val="auto"/>
                <w:kern w:val="0"/>
                <w:sz w:val="21"/>
                <w:szCs w:val="21"/>
                <w:highlight w:val="none"/>
                <w:lang w:val="en-US" w:eastAsia="zh-CN" w:bidi="ar-SA"/>
              </w:rPr>
            </w:pPr>
          </w:p>
        </w:tc>
        <w:tc>
          <w:tcPr>
            <w:tcW w:w="5323" w:type="dxa"/>
            <w:tcBorders>
              <w:top w:val="single" w:color="auto" w:sz="4" w:space="0"/>
              <w:left w:val="single" w:color="auto" w:sz="4" w:space="0"/>
              <w:bottom w:val="single" w:color="auto" w:sz="4" w:space="0"/>
              <w:right w:val="single" w:color="auto" w:sz="4" w:space="0"/>
            </w:tcBorders>
            <w:shd w:val="clear" w:color="auto" w:fill="auto"/>
            <w:vAlign w:val="top"/>
          </w:tcPr>
          <w:p w14:paraId="6B6BE1E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cs="宋体"/>
                <w:b/>
                <w:bCs/>
                <w:color w:val="auto"/>
                <w:highlight w:val="none"/>
                <w:lang w:val="en-US" w:eastAsia="zh-CN"/>
              </w:rPr>
            </w:pPr>
            <w:r>
              <w:rPr>
                <w:rFonts w:hint="eastAsia" w:ascii="宋体" w:hAnsi="宋体" w:eastAsia="宋体" w:cs="宋体"/>
                <w:b/>
                <w:bCs/>
                <w:color w:val="auto"/>
                <w:highlight w:val="none"/>
                <w:lang w:val="en-US" w:eastAsia="zh-CN"/>
              </w:rPr>
              <w:t>③</w:t>
            </w:r>
            <w:r>
              <w:rPr>
                <w:rFonts w:hint="eastAsia" w:ascii="宋体" w:hAnsi="宋体" w:cs="宋体"/>
                <w:b/>
                <w:bCs/>
                <w:color w:val="auto"/>
                <w:highlight w:val="none"/>
                <w:lang w:val="en-US" w:eastAsia="zh-CN"/>
              </w:rPr>
              <w:t>房屋共用部位、共用设施设备运行、维护服务方案</w:t>
            </w:r>
          </w:p>
          <w:p w14:paraId="735220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根据投标文件中提供的</w:t>
            </w:r>
            <w:r>
              <w:rPr>
                <w:rFonts w:hint="eastAsia" w:ascii="宋体" w:hAnsi="宋体" w:cs="宋体"/>
                <w:b/>
                <w:bCs/>
                <w:color w:val="auto"/>
                <w:highlight w:val="none"/>
                <w:lang w:val="en-US" w:eastAsia="zh-CN"/>
              </w:rPr>
              <w:t>房屋共用部位、共用设施设备运行、维护服务方案</w:t>
            </w:r>
            <w:r>
              <w:rPr>
                <w:rFonts w:hint="eastAsia" w:ascii="宋体" w:hAnsi="宋体" w:cs="宋体"/>
                <w:b w:val="0"/>
                <w:bCs w:val="0"/>
                <w:color w:val="auto"/>
                <w:highlight w:val="none"/>
                <w:lang w:val="en-US" w:eastAsia="zh-CN"/>
              </w:rPr>
              <w:t>进行评审，内容包括：</w:t>
            </w:r>
            <w:r>
              <w:rPr>
                <w:rFonts w:hint="eastAsia" w:ascii="宋体" w:hAnsi="宋体" w:eastAsia="宋体" w:cs="宋体"/>
                <w:b w:val="0"/>
                <w:bCs w:val="0"/>
                <w:color w:val="auto"/>
                <w:highlight w:val="none"/>
                <w:lang w:val="en-US" w:eastAsia="zh-CN"/>
              </w:rPr>
              <w:t>①</w:t>
            </w:r>
            <w:r>
              <w:rPr>
                <w:rFonts w:hint="eastAsia" w:ascii="宋体" w:hAnsi="宋体" w:cs="宋体"/>
                <w:b w:val="0"/>
                <w:bCs w:val="0"/>
                <w:color w:val="auto"/>
                <w:highlight w:val="none"/>
                <w:lang w:val="en-US" w:eastAsia="zh-CN"/>
              </w:rPr>
              <w:t>变配电系统工作服务方案；</w:t>
            </w:r>
            <w:r>
              <w:rPr>
                <w:rFonts w:hint="eastAsia" w:ascii="宋体" w:hAnsi="宋体" w:eastAsia="宋体" w:cs="宋体"/>
                <w:b w:val="0"/>
                <w:bCs w:val="0"/>
                <w:color w:val="auto"/>
                <w:highlight w:val="none"/>
                <w:lang w:val="en-US" w:eastAsia="zh-CN"/>
              </w:rPr>
              <w:t>②</w:t>
            </w:r>
            <w:r>
              <w:rPr>
                <w:rFonts w:hint="eastAsia" w:ascii="宋体" w:hAnsi="宋体" w:cs="宋体"/>
                <w:b w:val="0"/>
                <w:bCs w:val="0"/>
                <w:color w:val="auto"/>
                <w:highlight w:val="none"/>
                <w:lang w:val="en-US" w:eastAsia="zh-CN"/>
              </w:rPr>
              <w:t>给排水系统工作服务方案；</w:t>
            </w:r>
            <w:r>
              <w:rPr>
                <w:rFonts w:hint="eastAsia" w:ascii="宋体" w:hAnsi="宋体" w:eastAsia="宋体" w:cs="宋体"/>
                <w:b w:val="0"/>
                <w:bCs w:val="0"/>
                <w:color w:val="auto"/>
                <w:highlight w:val="none"/>
                <w:lang w:val="en-US" w:eastAsia="zh-CN"/>
              </w:rPr>
              <w:t>③</w:t>
            </w:r>
            <w:r>
              <w:rPr>
                <w:rFonts w:hint="eastAsia" w:ascii="宋体" w:hAnsi="宋体" w:cs="宋体"/>
                <w:b w:val="0"/>
                <w:bCs w:val="0"/>
                <w:color w:val="auto"/>
                <w:highlight w:val="none"/>
                <w:lang w:val="en-US" w:eastAsia="zh-CN"/>
              </w:rPr>
              <w:t>安全防范系统工作服务方案；</w:t>
            </w:r>
            <w:r>
              <w:rPr>
                <w:rFonts w:hint="eastAsia" w:ascii="宋体" w:hAnsi="宋体" w:eastAsia="宋体" w:cs="宋体"/>
                <w:b w:val="0"/>
                <w:bCs w:val="0"/>
                <w:color w:val="auto"/>
                <w:highlight w:val="none"/>
                <w:lang w:val="en-US" w:eastAsia="zh-CN"/>
              </w:rPr>
              <w:t>④</w:t>
            </w:r>
            <w:r>
              <w:rPr>
                <w:rFonts w:hint="eastAsia" w:ascii="宋体" w:hAnsi="宋体" w:cs="宋体"/>
                <w:b w:val="0"/>
                <w:bCs w:val="0"/>
                <w:color w:val="auto"/>
                <w:highlight w:val="none"/>
                <w:lang w:val="en-US" w:eastAsia="zh-CN"/>
              </w:rPr>
              <w:t>公共照明系统工作服务方案；</w:t>
            </w:r>
            <w:r>
              <w:rPr>
                <w:rFonts w:hint="eastAsia" w:ascii="宋体" w:hAnsi="宋体" w:eastAsia="宋体" w:cs="宋体"/>
                <w:b w:val="0"/>
                <w:bCs w:val="0"/>
                <w:color w:val="auto"/>
                <w:highlight w:val="none"/>
                <w:lang w:val="en-US" w:eastAsia="zh-CN"/>
              </w:rPr>
              <w:t>⑤</w:t>
            </w:r>
            <w:r>
              <w:rPr>
                <w:rFonts w:hint="eastAsia" w:ascii="宋体" w:hAnsi="宋体" w:cs="宋体"/>
                <w:b w:val="0"/>
                <w:bCs w:val="0"/>
                <w:color w:val="auto"/>
                <w:highlight w:val="none"/>
                <w:lang w:val="en-US" w:eastAsia="zh-CN"/>
              </w:rPr>
              <w:t>电梯及消防系统工作服务方案；</w:t>
            </w:r>
            <w:r>
              <w:rPr>
                <w:rFonts w:hint="eastAsia" w:ascii="宋体" w:hAnsi="宋体" w:eastAsia="宋体" w:cs="宋体"/>
                <w:b w:val="0"/>
                <w:bCs w:val="0"/>
                <w:color w:val="auto"/>
                <w:highlight w:val="none"/>
                <w:lang w:val="en-US" w:eastAsia="zh-CN"/>
              </w:rPr>
              <w:t>⑥</w:t>
            </w:r>
            <w:r>
              <w:rPr>
                <w:rFonts w:hint="eastAsia" w:ascii="宋体" w:hAnsi="宋体" w:cs="宋体"/>
                <w:b w:val="0"/>
                <w:bCs w:val="0"/>
                <w:color w:val="auto"/>
                <w:highlight w:val="none"/>
                <w:lang w:val="en-US" w:eastAsia="zh-CN"/>
              </w:rPr>
              <w:t>空调系统工作服务方案。</w:t>
            </w:r>
          </w:p>
          <w:p w14:paraId="7A5464E2">
            <w:pPr>
              <w:spacing w:before="0" w:after="0" w:line="440" w:lineRule="exact"/>
              <w:jc w:val="left"/>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以上6项内容详细完整、安排合理、切实可行，得6分；每有一项缺项或漏项的扣1分；每有一项出现一种缺陷（缺陷指存在不符合本项目实际情况的情形、缺乏针对性，或内容前后矛盾、不一致或前后逻辑错误、涉及的规范及标准错误，或内容缺失、阐述不清，或内容不合理、缺乏可行性）的扣0.5分，扣完为止。</w:t>
            </w:r>
          </w:p>
        </w:tc>
        <w:tc>
          <w:tcPr>
            <w:tcW w:w="685" w:type="dxa"/>
            <w:tcBorders>
              <w:top w:val="single" w:color="auto" w:sz="4" w:space="0"/>
              <w:left w:val="single" w:color="auto" w:sz="4" w:space="0"/>
              <w:bottom w:val="single" w:color="auto" w:sz="4" w:space="0"/>
              <w:right w:val="single" w:color="auto" w:sz="4" w:space="0"/>
            </w:tcBorders>
            <w:vAlign w:val="center"/>
          </w:tcPr>
          <w:p w14:paraId="2362A870">
            <w:pPr>
              <w:pageBreakBefore w:val="0"/>
              <w:widowControl/>
              <w:kinsoku/>
              <w:overflowPunct w:val="0"/>
              <w:topLinePunct w:val="0"/>
              <w:autoSpaceDE w:val="0"/>
              <w:autoSpaceDN w:val="0"/>
              <w:bidi w:val="0"/>
              <w:adjustRightInd w:val="0"/>
              <w:spacing w:after="0" w:line="440" w:lineRule="exact"/>
              <w:jc w:val="center"/>
              <w:textAlignment w:val="baseline"/>
              <w:rPr>
                <w:rFonts w:hint="default" w:ascii="宋体" w:hAnsi="宋体" w:cs="FangSong_GB2312"/>
                <w:b/>
                <w:bCs/>
                <w:color w:val="auto"/>
                <w:sz w:val="21"/>
                <w:szCs w:val="21"/>
                <w:highlight w:val="none"/>
                <w:lang w:val="en-US" w:eastAsia="zh-CN"/>
              </w:rPr>
            </w:pPr>
            <w:r>
              <w:rPr>
                <w:rFonts w:hint="eastAsia" w:ascii="宋体" w:hAnsi="宋体" w:cs="FangSong_GB2312"/>
                <w:b/>
                <w:bCs/>
                <w:color w:val="auto"/>
                <w:sz w:val="21"/>
                <w:szCs w:val="21"/>
                <w:highlight w:val="none"/>
                <w:lang w:val="en-US" w:eastAsia="zh-CN"/>
              </w:rPr>
              <w:t>6</w:t>
            </w:r>
          </w:p>
        </w:tc>
      </w:tr>
      <w:tr w14:paraId="5E0BD3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772" w:type="dxa"/>
            <w:vMerge w:val="continue"/>
            <w:tcBorders>
              <w:left w:val="single" w:color="auto" w:sz="4" w:space="0"/>
              <w:right w:val="single" w:color="auto" w:sz="4" w:space="0"/>
            </w:tcBorders>
            <w:vAlign w:val="center"/>
          </w:tcPr>
          <w:p w14:paraId="2ED4391A">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cs="FangSong_GB2312"/>
                <w:b/>
                <w:bCs/>
                <w:color w:val="auto"/>
                <w:kern w:val="0"/>
                <w:sz w:val="21"/>
                <w:szCs w:val="21"/>
                <w:highlight w:val="none"/>
                <w:lang w:val="en-US" w:eastAsia="zh-CN"/>
              </w:rPr>
            </w:pPr>
          </w:p>
        </w:tc>
        <w:tc>
          <w:tcPr>
            <w:tcW w:w="1007" w:type="dxa"/>
            <w:vMerge w:val="continue"/>
            <w:tcBorders>
              <w:left w:val="single" w:color="auto" w:sz="4" w:space="0"/>
              <w:right w:val="single" w:color="auto" w:sz="4" w:space="0"/>
            </w:tcBorders>
            <w:vAlign w:val="center"/>
          </w:tcPr>
          <w:p w14:paraId="6499E00B">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cs="FangSong_GB2312"/>
                <w:b/>
                <w:bCs/>
                <w:color w:val="auto"/>
                <w:sz w:val="21"/>
                <w:szCs w:val="21"/>
                <w:highlight w:val="none"/>
                <w:lang w:val="zh-CN"/>
              </w:rPr>
            </w:pPr>
          </w:p>
        </w:tc>
        <w:tc>
          <w:tcPr>
            <w:tcW w:w="1371" w:type="dxa"/>
            <w:tcBorders>
              <w:left w:val="single" w:color="auto" w:sz="4" w:space="0"/>
              <w:right w:val="single" w:color="auto" w:sz="4" w:space="0"/>
            </w:tcBorders>
            <w:vAlign w:val="center"/>
          </w:tcPr>
          <w:p w14:paraId="63277AF5">
            <w:pPr>
              <w:spacing w:before="48" w:after="48"/>
              <w:jc w:val="center"/>
              <w:rPr>
                <w:rFonts w:hint="eastAsia" w:ascii="宋体" w:hAnsi="宋体" w:eastAsia="宋体" w:cs="宋体"/>
                <w:b/>
                <w:bCs/>
                <w:color w:val="auto"/>
                <w:kern w:val="2"/>
                <w:sz w:val="21"/>
                <w:szCs w:val="21"/>
                <w:highlight w:val="none"/>
                <w:lang w:val="en-US" w:eastAsia="zh-CN" w:bidi="zh-CN"/>
              </w:rPr>
            </w:pPr>
            <w:r>
              <w:rPr>
                <w:rFonts w:hint="eastAsia" w:ascii="宋体" w:hAnsi="宋体" w:eastAsia="宋体" w:cs="宋体"/>
                <w:b/>
                <w:bCs/>
                <w:color w:val="auto"/>
                <w:kern w:val="0"/>
                <w:sz w:val="21"/>
                <w:szCs w:val="21"/>
                <w:highlight w:val="none"/>
                <w:lang w:val="en-US" w:eastAsia="zh-CN" w:bidi="ar-SA"/>
              </w:rPr>
              <w:t>（</w:t>
            </w:r>
            <w:r>
              <w:rPr>
                <w:rFonts w:hint="eastAsia" w:ascii="宋体" w:hAnsi="宋体" w:cs="宋体"/>
                <w:b/>
                <w:bCs/>
                <w:color w:val="auto"/>
                <w:kern w:val="0"/>
                <w:sz w:val="21"/>
                <w:szCs w:val="21"/>
                <w:highlight w:val="none"/>
                <w:lang w:val="en-US" w:eastAsia="zh-CN" w:bidi="ar-SA"/>
              </w:rPr>
              <w:t>5</w:t>
            </w:r>
            <w:r>
              <w:rPr>
                <w:rFonts w:hint="eastAsia" w:ascii="宋体" w:hAnsi="宋体" w:eastAsia="宋体" w:cs="宋体"/>
                <w:b/>
                <w:bCs/>
                <w:color w:val="auto"/>
                <w:kern w:val="0"/>
                <w:sz w:val="21"/>
                <w:szCs w:val="21"/>
                <w:highlight w:val="none"/>
                <w:lang w:val="en-US" w:eastAsia="zh-CN" w:bidi="ar-SA"/>
              </w:rPr>
              <w:t>）特约服务</w:t>
            </w:r>
            <w:r>
              <w:rPr>
                <w:rFonts w:hint="eastAsia" w:ascii="宋体" w:hAnsi="宋体" w:cs="宋体"/>
                <w:b/>
                <w:bCs/>
                <w:color w:val="auto"/>
                <w:kern w:val="0"/>
                <w:sz w:val="21"/>
                <w:szCs w:val="21"/>
                <w:highlight w:val="none"/>
                <w:lang w:val="en-US" w:eastAsia="zh-CN" w:bidi="ar-SA"/>
              </w:rPr>
              <w:t>方案</w:t>
            </w:r>
          </w:p>
        </w:tc>
        <w:tc>
          <w:tcPr>
            <w:tcW w:w="5323" w:type="dxa"/>
            <w:tcBorders>
              <w:top w:val="single" w:color="auto" w:sz="4" w:space="0"/>
              <w:left w:val="single" w:color="auto" w:sz="4" w:space="0"/>
              <w:bottom w:val="single" w:color="auto" w:sz="4" w:space="0"/>
              <w:right w:val="single" w:color="auto" w:sz="4" w:space="0"/>
            </w:tcBorders>
            <w:shd w:val="clear" w:color="auto" w:fill="auto"/>
            <w:vAlign w:val="top"/>
          </w:tcPr>
          <w:p w14:paraId="319238D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根据投标文件中提供的</w:t>
            </w:r>
            <w:r>
              <w:rPr>
                <w:rFonts w:hint="eastAsia" w:ascii="宋体" w:hAnsi="宋体" w:eastAsia="宋体" w:cs="宋体"/>
                <w:b/>
                <w:bCs/>
                <w:color w:val="auto"/>
                <w:kern w:val="2"/>
                <w:sz w:val="21"/>
                <w:szCs w:val="22"/>
                <w:highlight w:val="none"/>
                <w:lang w:val="en-US" w:eastAsia="zh-CN" w:bidi="ar-SA"/>
              </w:rPr>
              <w:t>特约服务</w:t>
            </w:r>
            <w:r>
              <w:rPr>
                <w:rFonts w:hint="eastAsia" w:ascii="宋体" w:hAnsi="宋体" w:cs="宋体"/>
                <w:b/>
                <w:bCs/>
                <w:color w:val="auto"/>
                <w:kern w:val="2"/>
                <w:sz w:val="21"/>
                <w:szCs w:val="22"/>
                <w:highlight w:val="none"/>
                <w:lang w:val="en-US" w:eastAsia="zh-CN" w:bidi="ar-SA"/>
              </w:rPr>
              <w:t>方案</w:t>
            </w:r>
            <w:r>
              <w:rPr>
                <w:rFonts w:hint="eastAsia" w:ascii="宋体" w:hAnsi="宋体" w:cs="宋体"/>
                <w:b w:val="0"/>
                <w:bCs w:val="0"/>
                <w:color w:val="auto"/>
                <w:highlight w:val="none"/>
                <w:lang w:val="en-US" w:eastAsia="zh-CN"/>
              </w:rPr>
              <w:t>进行评审，内容包括：</w:t>
            </w:r>
            <w:r>
              <w:rPr>
                <w:rFonts w:hint="eastAsia" w:ascii="宋体" w:hAnsi="宋体" w:eastAsia="宋体" w:cs="宋体"/>
                <w:b w:val="0"/>
                <w:bCs w:val="0"/>
                <w:color w:val="auto"/>
                <w:highlight w:val="none"/>
                <w:lang w:val="en-US" w:eastAsia="zh-CN"/>
              </w:rPr>
              <w:t>①会议服务；②化粪池和隔油池疏通清理；③饮水池清洗；④简单搬运服务；⑤公共区域固定资产管理；⑥邮政寄递服务；⑦报刊、杂志分配服务</w:t>
            </w:r>
            <w:r>
              <w:rPr>
                <w:rFonts w:hint="eastAsia" w:ascii="宋体" w:hAnsi="宋体" w:cs="宋体"/>
                <w:b w:val="0"/>
                <w:bCs w:val="0"/>
                <w:color w:val="auto"/>
                <w:highlight w:val="none"/>
                <w:lang w:val="en-US" w:eastAsia="zh-CN"/>
              </w:rPr>
              <w:t>；</w:t>
            </w:r>
            <w:r>
              <w:rPr>
                <w:rFonts w:hint="eastAsia" w:ascii="宋体" w:hAnsi="宋体" w:eastAsia="宋体" w:cs="宋体"/>
                <w:b w:val="0"/>
                <w:bCs w:val="0"/>
                <w:color w:val="auto"/>
                <w:highlight w:val="none"/>
                <w:lang w:val="en-US" w:eastAsia="zh-CN"/>
              </w:rPr>
              <w:t>⑧</w:t>
            </w:r>
            <w:r>
              <w:rPr>
                <w:rFonts w:hint="eastAsia" w:ascii="宋体" w:hAnsi="宋体" w:cs="宋体"/>
                <w:b w:val="0"/>
                <w:bCs w:val="0"/>
                <w:color w:val="auto"/>
                <w:highlight w:val="none"/>
                <w:lang w:val="en-US" w:eastAsia="zh-CN"/>
              </w:rPr>
              <w:t>负一楼管理服务。</w:t>
            </w:r>
          </w:p>
          <w:p w14:paraId="169E40D1">
            <w:pPr>
              <w:spacing w:before="0" w:after="0" w:line="440" w:lineRule="exact"/>
              <w:jc w:val="left"/>
              <w:rPr>
                <w:rFonts w:hint="eastAsia" w:ascii="宋体" w:hAnsi="宋体" w:eastAsia="宋体" w:cs="宋体"/>
                <w:b w:val="0"/>
                <w:bCs w:val="0"/>
                <w:i w:val="0"/>
                <w:iCs w:val="0"/>
                <w:smallCaps w:val="0"/>
                <w:color w:val="auto"/>
                <w:kern w:val="2"/>
                <w:sz w:val="21"/>
                <w:szCs w:val="22"/>
                <w:highlight w:val="none"/>
                <w:lang w:val="en-US" w:eastAsia="zh-CN" w:bidi="ar-SA"/>
              </w:rPr>
            </w:pPr>
            <w:r>
              <w:rPr>
                <w:rFonts w:hint="eastAsia" w:ascii="宋体" w:hAnsi="宋体" w:cs="宋体"/>
                <w:b w:val="0"/>
                <w:bCs w:val="0"/>
                <w:color w:val="auto"/>
                <w:highlight w:val="none"/>
                <w:lang w:val="en-US" w:eastAsia="zh-CN"/>
              </w:rPr>
              <w:t>以上8项内容详细完整、安排合理、切实可行，得8分；每有一项缺项或漏项的扣1分；每有一项出现一种缺陷（缺陷指存在不符合本项目实际情况的情形、缺乏针对性，或内容前后矛盾、不一致或前后逻辑错误、涉及的规范及标准错误，或内容缺失、阐述不清， 或内容不合理、缺乏可行性）的扣0.5分，扣完为止。</w:t>
            </w:r>
          </w:p>
        </w:tc>
        <w:tc>
          <w:tcPr>
            <w:tcW w:w="685" w:type="dxa"/>
            <w:tcBorders>
              <w:top w:val="single" w:color="auto" w:sz="4" w:space="0"/>
              <w:left w:val="single" w:color="auto" w:sz="4" w:space="0"/>
              <w:bottom w:val="single" w:color="auto" w:sz="4" w:space="0"/>
              <w:right w:val="single" w:color="auto" w:sz="4" w:space="0"/>
            </w:tcBorders>
            <w:vAlign w:val="center"/>
          </w:tcPr>
          <w:p w14:paraId="3CEF78F4">
            <w:pPr>
              <w:pageBreakBefore w:val="0"/>
              <w:widowControl/>
              <w:kinsoku/>
              <w:overflowPunct w:val="0"/>
              <w:topLinePunct w:val="0"/>
              <w:autoSpaceDE w:val="0"/>
              <w:autoSpaceDN w:val="0"/>
              <w:bidi w:val="0"/>
              <w:adjustRightInd w:val="0"/>
              <w:spacing w:after="0" w:line="440" w:lineRule="exact"/>
              <w:jc w:val="center"/>
              <w:textAlignment w:val="baseline"/>
              <w:rPr>
                <w:rFonts w:hint="default" w:ascii="宋体" w:hAnsi="宋体" w:cs="FangSong_GB2312"/>
                <w:b/>
                <w:bCs/>
                <w:color w:val="auto"/>
                <w:sz w:val="21"/>
                <w:szCs w:val="21"/>
                <w:highlight w:val="none"/>
                <w:lang w:val="en-US" w:eastAsia="zh-CN"/>
              </w:rPr>
            </w:pPr>
            <w:r>
              <w:rPr>
                <w:rFonts w:hint="eastAsia" w:ascii="宋体" w:hAnsi="宋体" w:cs="FangSong_GB2312"/>
                <w:b/>
                <w:bCs/>
                <w:color w:val="auto"/>
                <w:sz w:val="21"/>
                <w:szCs w:val="21"/>
                <w:highlight w:val="none"/>
                <w:lang w:val="en-US" w:eastAsia="zh-CN"/>
              </w:rPr>
              <w:t>8</w:t>
            </w:r>
          </w:p>
        </w:tc>
      </w:tr>
      <w:tr w14:paraId="6E5F05E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772" w:type="dxa"/>
            <w:vMerge w:val="continue"/>
            <w:tcBorders>
              <w:left w:val="single" w:color="auto" w:sz="4" w:space="0"/>
              <w:right w:val="single" w:color="auto" w:sz="4" w:space="0"/>
            </w:tcBorders>
            <w:vAlign w:val="center"/>
          </w:tcPr>
          <w:p w14:paraId="41EB0504">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cs="FangSong_GB2312"/>
                <w:b/>
                <w:bCs/>
                <w:color w:val="auto"/>
                <w:kern w:val="0"/>
                <w:sz w:val="21"/>
                <w:szCs w:val="21"/>
                <w:highlight w:val="none"/>
                <w:lang w:val="en-US" w:eastAsia="zh-CN"/>
              </w:rPr>
            </w:pPr>
          </w:p>
        </w:tc>
        <w:tc>
          <w:tcPr>
            <w:tcW w:w="1007" w:type="dxa"/>
            <w:vMerge w:val="continue"/>
            <w:tcBorders>
              <w:left w:val="single" w:color="auto" w:sz="4" w:space="0"/>
              <w:right w:val="single" w:color="auto" w:sz="4" w:space="0"/>
            </w:tcBorders>
            <w:vAlign w:val="center"/>
          </w:tcPr>
          <w:p w14:paraId="35BBA0EF">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cs="FangSong_GB2312"/>
                <w:b/>
                <w:bCs/>
                <w:color w:val="auto"/>
                <w:sz w:val="21"/>
                <w:szCs w:val="21"/>
                <w:highlight w:val="none"/>
                <w:lang w:val="zh-CN"/>
              </w:rPr>
            </w:pPr>
          </w:p>
        </w:tc>
        <w:tc>
          <w:tcPr>
            <w:tcW w:w="1371" w:type="dxa"/>
            <w:tcBorders>
              <w:left w:val="single" w:color="auto" w:sz="4" w:space="0"/>
              <w:right w:val="single" w:color="auto" w:sz="4" w:space="0"/>
            </w:tcBorders>
            <w:shd w:val="clear" w:color="auto" w:fill="auto"/>
            <w:vAlign w:val="center"/>
          </w:tcPr>
          <w:p w14:paraId="0E37B5D2">
            <w:pPr>
              <w:pStyle w:val="60"/>
              <w:spacing w:before="65" w:line="369" w:lineRule="auto"/>
              <w:ind w:left="168" w:leftChars="0" w:right="112" w:rightChars="0" w:hanging="44" w:firstLineChars="0"/>
              <w:jc w:val="center"/>
              <w:rPr>
                <w:rFonts w:hint="eastAsia" w:ascii="宋体" w:hAnsi="宋体" w:eastAsia="宋体" w:cs="宋体"/>
                <w:b/>
                <w:bCs/>
                <w:color w:val="auto"/>
                <w:kern w:val="0"/>
                <w:sz w:val="21"/>
                <w:szCs w:val="21"/>
                <w:highlight w:val="none"/>
                <w:lang w:val="en-US" w:eastAsia="zh-CN" w:bidi="ar-SA"/>
              </w:rPr>
            </w:pPr>
            <w:r>
              <w:rPr>
                <w:b/>
                <w:bCs/>
                <w:color w:val="auto"/>
                <w:spacing w:val="5"/>
                <w:highlight w:val="none"/>
              </w:rPr>
              <w:t>（</w:t>
            </w:r>
            <w:r>
              <w:rPr>
                <w:rFonts w:hint="eastAsia"/>
                <w:b/>
                <w:bCs/>
                <w:color w:val="auto"/>
                <w:spacing w:val="5"/>
                <w:highlight w:val="none"/>
                <w:lang w:val="en-US" w:eastAsia="zh-CN"/>
              </w:rPr>
              <w:t>6</w:t>
            </w:r>
            <w:r>
              <w:rPr>
                <w:b/>
                <w:bCs/>
                <w:color w:val="auto"/>
                <w:spacing w:val="5"/>
                <w:highlight w:val="none"/>
              </w:rPr>
              <w:t>）项目团队</w:t>
            </w:r>
            <w:r>
              <w:rPr>
                <w:b/>
                <w:bCs/>
                <w:color w:val="auto"/>
                <w:spacing w:val="6"/>
                <w:highlight w:val="none"/>
              </w:rPr>
              <w:t>人员管理方案</w:t>
            </w:r>
          </w:p>
        </w:tc>
        <w:tc>
          <w:tcPr>
            <w:tcW w:w="5323" w:type="dxa"/>
            <w:tcBorders>
              <w:top w:val="single" w:color="auto" w:sz="4" w:space="0"/>
              <w:left w:val="single" w:color="auto" w:sz="4" w:space="0"/>
              <w:bottom w:val="single" w:color="auto" w:sz="4" w:space="0"/>
              <w:right w:val="single" w:color="auto" w:sz="4" w:space="0"/>
            </w:tcBorders>
            <w:shd w:val="clear" w:color="auto" w:fill="auto"/>
            <w:vAlign w:val="top"/>
          </w:tcPr>
          <w:p w14:paraId="21C452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根据投标文件中提供的</w:t>
            </w:r>
            <w:r>
              <w:rPr>
                <w:rFonts w:hint="eastAsia" w:ascii="宋体" w:hAnsi="宋体" w:cs="宋体"/>
                <w:b/>
                <w:bCs/>
                <w:color w:val="auto"/>
                <w:spacing w:val="0"/>
                <w:highlight w:val="none"/>
              </w:rPr>
              <w:t>项目团队人员管理方案</w:t>
            </w:r>
            <w:r>
              <w:rPr>
                <w:rFonts w:hint="eastAsia" w:ascii="宋体" w:hAnsi="宋体" w:cs="宋体"/>
                <w:b w:val="0"/>
                <w:bCs w:val="0"/>
                <w:color w:val="auto"/>
                <w:highlight w:val="none"/>
                <w:lang w:val="en-US" w:eastAsia="zh-CN"/>
              </w:rPr>
              <w:t>进行评审，内容包括：</w:t>
            </w:r>
            <w:r>
              <w:rPr>
                <w:rFonts w:hint="eastAsia" w:ascii="宋体" w:hAnsi="宋体" w:eastAsia="宋体" w:cs="宋体"/>
                <w:b w:val="0"/>
                <w:bCs w:val="0"/>
                <w:color w:val="auto"/>
                <w:highlight w:val="none"/>
                <w:lang w:val="en-US" w:eastAsia="zh-CN"/>
              </w:rPr>
              <w:t>①职责分工</w:t>
            </w:r>
            <w:r>
              <w:rPr>
                <w:rFonts w:hint="eastAsia" w:ascii="宋体" w:hAnsi="宋体" w:cs="宋体"/>
                <w:b w:val="0"/>
                <w:bCs w:val="0"/>
                <w:color w:val="auto"/>
                <w:highlight w:val="none"/>
                <w:lang w:val="en-US" w:eastAsia="zh-CN"/>
              </w:rPr>
              <w:t>；</w:t>
            </w:r>
            <w:r>
              <w:rPr>
                <w:rFonts w:hint="eastAsia" w:ascii="宋体" w:hAnsi="宋体" w:eastAsia="宋体" w:cs="宋体"/>
                <w:b w:val="0"/>
                <w:bCs w:val="0"/>
                <w:color w:val="auto"/>
                <w:highlight w:val="none"/>
                <w:lang w:val="en-US" w:eastAsia="zh-CN"/>
              </w:rPr>
              <w:t>②人力资源管理</w:t>
            </w:r>
            <w:r>
              <w:rPr>
                <w:rFonts w:hint="eastAsia" w:ascii="宋体" w:hAnsi="宋体" w:cs="宋体"/>
                <w:b w:val="0"/>
                <w:bCs w:val="0"/>
                <w:color w:val="auto"/>
                <w:highlight w:val="none"/>
                <w:lang w:val="en-US" w:eastAsia="zh-CN"/>
              </w:rPr>
              <w:t>；</w:t>
            </w:r>
            <w:r>
              <w:rPr>
                <w:rFonts w:hint="eastAsia" w:ascii="宋体" w:hAnsi="宋体" w:eastAsia="宋体" w:cs="宋体"/>
                <w:b w:val="0"/>
                <w:bCs w:val="0"/>
                <w:color w:val="auto"/>
                <w:highlight w:val="none"/>
                <w:lang w:val="en-US" w:eastAsia="zh-CN"/>
              </w:rPr>
              <w:t>③人员岗位及应急培训</w:t>
            </w:r>
            <w:r>
              <w:rPr>
                <w:rFonts w:hint="eastAsia" w:ascii="宋体" w:hAnsi="宋体" w:cs="宋体"/>
                <w:b w:val="0"/>
                <w:bCs w:val="0"/>
                <w:color w:val="auto"/>
                <w:highlight w:val="none"/>
                <w:lang w:val="en-US" w:eastAsia="zh-CN"/>
              </w:rPr>
              <w:t>；</w:t>
            </w:r>
            <w:r>
              <w:rPr>
                <w:rFonts w:hint="eastAsia" w:ascii="宋体" w:hAnsi="宋体" w:eastAsia="宋体" w:cs="宋体"/>
                <w:b w:val="0"/>
                <w:bCs w:val="0"/>
                <w:color w:val="auto"/>
                <w:highlight w:val="none"/>
                <w:lang w:val="en-US" w:eastAsia="zh-CN"/>
              </w:rPr>
              <w:t>④人员行为规范</w:t>
            </w:r>
            <w:r>
              <w:rPr>
                <w:rFonts w:hint="eastAsia" w:ascii="宋体" w:hAnsi="宋体" w:cs="宋体"/>
                <w:b w:val="0"/>
                <w:bCs w:val="0"/>
                <w:color w:val="auto"/>
                <w:highlight w:val="none"/>
                <w:lang w:val="en-US" w:eastAsia="zh-CN"/>
              </w:rPr>
              <w:t>；</w:t>
            </w:r>
            <w:r>
              <w:rPr>
                <w:rFonts w:hint="eastAsia" w:ascii="宋体" w:hAnsi="宋体" w:eastAsia="宋体" w:cs="宋体"/>
                <w:b w:val="0"/>
                <w:bCs w:val="0"/>
                <w:color w:val="auto"/>
                <w:highlight w:val="none"/>
                <w:lang w:val="en-US" w:eastAsia="zh-CN"/>
              </w:rPr>
              <w:t>⑤人员考核</w:t>
            </w:r>
            <w:r>
              <w:rPr>
                <w:rFonts w:hint="eastAsia" w:ascii="宋体" w:hAnsi="宋体" w:cs="宋体"/>
                <w:b w:val="0"/>
                <w:bCs w:val="0"/>
                <w:color w:val="auto"/>
                <w:highlight w:val="none"/>
                <w:lang w:val="en-US" w:eastAsia="zh-CN"/>
              </w:rPr>
              <w:t>；</w:t>
            </w:r>
            <w:r>
              <w:rPr>
                <w:rFonts w:hint="eastAsia" w:ascii="宋体" w:hAnsi="宋体" w:eastAsia="宋体" w:cs="宋体"/>
                <w:b w:val="0"/>
                <w:bCs w:val="0"/>
                <w:color w:val="auto"/>
                <w:highlight w:val="none"/>
                <w:lang w:val="en-US" w:eastAsia="zh-CN"/>
              </w:rPr>
              <w:t>⑥请假管理</w:t>
            </w:r>
            <w:r>
              <w:rPr>
                <w:rFonts w:hint="eastAsia" w:ascii="宋体" w:hAnsi="宋体" w:cs="宋体"/>
                <w:b w:val="0"/>
                <w:bCs w:val="0"/>
                <w:color w:val="auto"/>
                <w:highlight w:val="none"/>
                <w:lang w:val="en-US" w:eastAsia="zh-CN"/>
              </w:rPr>
              <w:t>；</w:t>
            </w:r>
            <w:r>
              <w:rPr>
                <w:rFonts w:hint="eastAsia" w:ascii="宋体" w:hAnsi="宋体" w:eastAsia="宋体" w:cs="宋体"/>
                <w:b w:val="0"/>
                <w:bCs w:val="0"/>
                <w:color w:val="auto"/>
                <w:highlight w:val="none"/>
                <w:lang w:val="en-US" w:eastAsia="zh-CN"/>
              </w:rPr>
              <w:t>⑦着装管理</w:t>
            </w:r>
            <w:r>
              <w:rPr>
                <w:rFonts w:hint="eastAsia" w:ascii="宋体" w:hAnsi="宋体" w:cs="宋体"/>
                <w:b w:val="0"/>
                <w:bCs w:val="0"/>
                <w:color w:val="auto"/>
                <w:highlight w:val="none"/>
                <w:lang w:val="en-US" w:eastAsia="zh-CN"/>
              </w:rPr>
              <w:t>。</w:t>
            </w:r>
          </w:p>
          <w:p w14:paraId="368DCD54">
            <w:pPr>
              <w:spacing w:before="0" w:line="440" w:lineRule="exact"/>
              <w:ind w:left="0" w:right="0"/>
              <w:rPr>
                <w:rFonts w:hint="eastAsia" w:ascii="宋体" w:hAnsi="宋体" w:eastAsia="宋体" w:cs="宋体"/>
                <w:b w:val="0"/>
                <w:bCs w:val="0"/>
                <w:i w:val="0"/>
                <w:iCs w:val="0"/>
                <w:smallCaps w:val="0"/>
                <w:color w:val="auto"/>
                <w:kern w:val="2"/>
                <w:sz w:val="21"/>
                <w:szCs w:val="22"/>
                <w:highlight w:val="none"/>
                <w:lang w:val="en-US" w:eastAsia="zh-CN" w:bidi="ar-SA"/>
              </w:rPr>
            </w:pPr>
            <w:r>
              <w:rPr>
                <w:rFonts w:hint="eastAsia" w:ascii="宋体" w:hAnsi="宋体" w:cs="宋体"/>
                <w:b w:val="0"/>
                <w:bCs w:val="0"/>
                <w:color w:val="auto"/>
                <w:highlight w:val="none"/>
                <w:lang w:val="en-US" w:eastAsia="zh-CN"/>
              </w:rPr>
              <w:t>以上7项内容详细完整、安排合理、切实可行，得7分；每有一项缺项或漏项的扣1分；每有一项出现一种缺陷（缺陷指存在不符合本项目实际情况的情形、缺乏针对性，或内容前后矛盾、不一致或前后逻辑错误、涉及的规范及标准错误，或内容缺失、阐述不清，或内容不合理、缺乏可行性）的扣0.5分，扣完为止。</w:t>
            </w:r>
          </w:p>
        </w:tc>
        <w:tc>
          <w:tcPr>
            <w:tcW w:w="685" w:type="dxa"/>
            <w:tcBorders>
              <w:top w:val="single" w:color="auto" w:sz="4" w:space="0"/>
              <w:left w:val="single" w:color="auto" w:sz="4" w:space="0"/>
              <w:bottom w:val="single" w:color="auto" w:sz="4" w:space="0"/>
              <w:right w:val="single" w:color="auto" w:sz="4" w:space="0"/>
            </w:tcBorders>
            <w:vAlign w:val="center"/>
          </w:tcPr>
          <w:p w14:paraId="2702522B">
            <w:pPr>
              <w:pageBreakBefore w:val="0"/>
              <w:widowControl/>
              <w:kinsoku/>
              <w:overflowPunct w:val="0"/>
              <w:topLinePunct w:val="0"/>
              <w:autoSpaceDE w:val="0"/>
              <w:autoSpaceDN w:val="0"/>
              <w:bidi w:val="0"/>
              <w:adjustRightInd w:val="0"/>
              <w:spacing w:after="0" w:line="440" w:lineRule="exact"/>
              <w:jc w:val="center"/>
              <w:textAlignment w:val="baseline"/>
              <w:rPr>
                <w:rFonts w:hint="default" w:ascii="宋体" w:hAnsi="宋体" w:cs="FangSong_GB2312"/>
                <w:b/>
                <w:bCs/>
                <w:color w:val="auto"/>
                <w:sz w:val="21"/>
                <w:szCs w:val="21"/>
                <w:highlight w:val="none"/>
                <w:lang w:val="en-US" w:eastAsia="zh-CN"/>
              </w:rPr>
            </w:pPr>
            <w:r>
              <w:rPr>
                <w:rFonts w:hint="eastAsia" w:ascii="宋体" w:hAnsi="宋体" w:cs="FangSong_GB2312"/>
                <w:b/>
                <w:bCs/>
                <w:color w:val="auto"/>
                <w:sz w:val="21"/>
                <w:szCs w:val="21"/>
                <w:highlight w:val="none"/>
                <w:lang w:val="en-US" w:eastAsia="zh-CN"/>
              </w:rPr>
              <w:t>7</w:t>
            </w:r>
          </w:p>
        </w:tc>
      </w:tr>
      <w:tr w14:paraId="4406D62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772" w:type="dxa"/>
            <w:vMerge w:val="continue"/>
            <w:tcBorders>
              <w:left w:val="single" w:color="auto" w:sz="4" w:space="0"/>
              <w:right w:val="single" w:color="auto" w:sz="4" w:space="0"/>
            </w:tcBorders>
            <w:vAlign w:val="center"/>
          </w:tcPr>
          <w:p w14:paraId="7B341999">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cs="FangSong_GB2312"/>
                <w:b/>
                <w:bCs/>
                <w:color w:val="auto"/>
                <w:kern w:val="0"/>
                <w:sz w:val="21"/>
                <w:szCs w:val="21"/>
                <w:highlight w:val="none"/>
                <w:lang w:val="en-US" w:eastAsia="zh-CN"/>
              </w:rPr>
            </w:pPr>
          </w:p>
        </w:tc>
        <w:tc>
          <w:tcPr>
            <w:tcW w:w="1007" w:type="dxa"/>
            <w:vMerge w:val="continue"/>
            <w:tcBorders>
              <w:left w:val="single" w:color="auto" w:sz="4" w:space="0"/>
              <w:right w:val="single" w:color="auto" w:sz="4" w:space="0"/>
            </w:tcBorders>
            <w:vAlign w:val="center"/>
          </w:tcPr>
          <w:p w14:paraId="28A5B6D3">
            <w:pPr>
              <w:pageBreakBefore w:val="0"/>
              <w:widowControl/>
              <w:kinsoku/>
              <w:wordWrap/>
              <w:overflowPunct w:val="0"/>
              <w:topLinePunct w:val="0"/>
              <w:autoSpaceDE w:val="0"/>
              <w:autoSpaceDN w:val="0"/>
              <w:bidi w:val="0"/>
              <w:adjustRightInd w:val="0"/>
              <w:spacing w:after="0" w:line="440" w:lineRule="exact"/>
              <w:jc w:val="center"/>
              <w:textAlignment w:val="baseline"/>
              <w:rPr>
                <w:rFonts w:hint="eastAsia" w:ascii="宋体" w:hAnsi="宋体" w:cs="FangSong_GB2312"/>
                <w:b/>
                <w:bCs/>
                <w:color w:val="auto"/>
                <w:sz w:val="21"/>
                <w:szCs w:val="21"/>
                <w:highlight w:val="none"/>
                <w:lang w:val="zh-CN"/>
              </w:rPr>
            </w:pPr>
          </w:p>
        </w:tc>
        <w:tc>
          <w:tcPr>
            <w:tcW w:w="1371" w:type="dxa"/>
            <w:tcBorders>
              <w:left w:val="single" w:color="auto" w:sz="4" w:space="0"/>
              <w:right w:val="single" w:color="auto" w:sz="4" w:space="0"/>
            </w:tcBorders>
            <w:shd w:val="clear" w:color="auto" w:fill="auto"/>
            <w:vAlign w:val="center"/>
          </w:tcPr>
          <w:p w14:paraId="0810D7B7">
            <w:pPr>
              <w:spacing w:before="48" w:after="48"/>
              <w:jc w:val="center"/>
              <w:rPr>
                <w:rFonts w:hint="eastAsia" w:ascii="宋体" w:hAnsi="宋体" w:eastAsia="宋体" w:cs="宋体"/>
                <w:b/>
                <w:bCs/>
                <w:color w:val="auto"/>
                <w:kern w:val="2"/>
                <w:sz w:val="21"/>
                <w:szCs w:val="21"/>
                <w:highlight w:val="none"/>
                <w:lang w:val="en-US" w:eastAsia="zh-CN" w:bidi="zh-CN"/>
              </w:rPr>
            </w:pPr>
            <w:r>
              <w:rPr>
                <w:rFonts w:hint="eastAsia" w:ascii="宋体" w:hAnsi="宋体" w:eastAsia="宋体" w:cs="宋体"/>
                <w:b/>
                <w:bCs/>
                <w:color w:val="auto"/>
                <w:kern w:val="0"/>
                <w:sz w:val="21"/>
                <w:szCs w:val="21"/>
                <w:highlight w:val="none"/>
                <w:lang w:val="en-US" w:eastAsia="zh-CN" w:bidi="ar-SA"/>
              </w:rPr>
              <w:t>（</w:t>
            </w:r>
            <w:r>
              <w:rPr>
                <w:rFonts w:hint="eastAsia" w:ascii="宋体" w:hAnsi="宋体" w:cs="宋体"/>
                <w:b/>
                <w:bCs/>
                <w:color w:val="auto"/>
                <w:kern w:val="0"/>
                <w:sz w:val="21"/>
                <w:szCs w:val="21"/>
                <w:highlight w:val="none"/>
                <w:lang w:val="en-US" w:eastAsia="zh-CN" w:bidi="ar-SA"/>
              </w:rPr>
              <w:t>7</w:t>
            </w:r>
            <w:r>
              <w:rPr>
                <w:rFonts w:hint="eastAsia" w:ascii="宋体" w:hAnsi="宋体" w:eastAsia="宋体" w:cs="宋体"/>
                <w:b/>
                <w:bCs/>
                <w:color w:val="auto"/>
                <w:kern w:val="0"/>
                <w:sz w:val="21"/>
                <w:szCs w:val="21"/>
                <w:highlight w:val="none"/>
                <w:lang w:val="en-US" w:eastAsia="zh-CN" w:bidi="ar-SA"/>
              </w:rPr>
              <w:t>）风险管控方案</w:t>
            </w:r>
          </w:p>
        </w:tc>
        <w:tc>
          <w:tcPr>
            <w:tcW w:w="5323" w:type="dxa"/>
            <w:tcBorders>
              <w:top w:val="single" w:color="auto" w:sz="4" w:space="0"/>
              <w:left w:val="single" w:color="auto" w:sz="4" w:space="0"/>
              <w:bottom w:val="single" w:color="auto" w:sz="4" w:space="0"/>
              <w:right w:val="single" w:color="auto" w:sz="4" w:space="0"/>
            </w:tcBorders>
            <w:shd w:val="clear" w:color="auto" w:fill="auto"/>
            <w:vAlign w:val="top"/>
          </w:tcPr>
          <w:p w14:paraId="1EF04EB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根据投标文件中提供的</w:t>
            </w:r>
            <w:r>
              <w:rPr>
                <w:rFonts w:hint="eastAsia" w:ascii="宋体" w:hAnsi="宋体" w:cs="宋体"/>
                <w:b/>
                <w:bCs/>
                <w:color w:val="auto"/>
                <w:highlight w:val="none"/>
                <w:lang w:val="en-US" w:eastAsia="zh-CN"/>
              </w:rPr>
              <w:t>风险管控方案</w:t>
            </w:r>
            <w:r>
              <w:rPr>
                <w:rFonts w:hint="eastAsia" w:ascii="宋体" w:hAnsi="宋体" w:cs="宋体"/>
                <w:b w:val="0"/>
                <w:bCs w:val="0"/>
                <w:color w:val="auto"/>
                <w:highlight w:val="none"/>
                <w:lang w:val="en-US" w:eastAsia="zh-CN"/>
              </w:rPr>
              <w:t>进行评审，内容包括：</w:t>
            </w:r>
            <w:r>
              <w:rPr>
                <w:rFonts w:hint="eastAsia" w:ascii="宋体" w:hAnsi="宋体" w:eastAsia="宋体" w:cs="宋体"/>
                <w:b w:val="0"/>
                <w:bCs w:val="0"/>
                <w:color w:val="auto"/>
                <w:highlight w:val="none"/>
                <w:lang w:val="en-US" w:eastAsia="zh-CN"/>
              </w:rPr>
              <w:t>①治安安全管理；②消防安全管理；③设施设备安全管理；④应急管理</w:t>
            </w:r>
            <w:r>
              <w:rPr>
                <w:rFonts w:hint="eastAsia" w:ascii="宋体" w:hAnsi="宋体" w:cs="宋体"/>
                <w:b w:val="0"/>
                <w:bCs w:val="0"/>
                <w:color w:val="auto"/>
                <w:highlight w:val="none"/>
                <w:lang w:val="en-US" w:eastAsia="zh-CN"/>
              </w:rPr>
              <w:t>。</w:t>
            </w:r>
          </w:p>
          <w:p w14:paraId="4EEAD02D">
            <w:pPr>
              <w:spacing w:line="440" w:lineRule="exact"/>
              <w:ind w:left="0" w:right="0"/>
              <w:rPr>
                <w:rFonts w:hint="eastAsia" w:ascii="宋体" w:hAnsi="宋体" w:eastAsia="宋体" w:cs="宋体"/>
                <w:b w:val="0"/>
                <w:bCs w:val="0"/>
                <w:i w:val="0"/>
                <w:iCs w:val="0"/>
                <w:smallCaps w:val="0"/>
                <w:color w:val="auto"/>
                <w:kern w:val="2"/>
                <w:sz w:val="21"/>
                <w:szCs w:val="22"/>
                <w:highlight w:val="none"/>
                <w:lang w:val="en-US" w:eastAsia="zh-CN" w:bidi="ar-SA"/>
              </w:rPr>
            </w:pPr>
            <w:r>
              <w:rPr>
                <w:rFonts w:hint="eastAsia" w:ascii="宋体" w:hAnsi="宋体" w:cs="宋体"/>
                <w:b w:val="0"/>
                <w:bCs w:val="0"/>
                <w:color w:val="auto"/>
                <w:highlight w:val="none"/>
                <w:lang w:val="en-US" w:eastAsia="zh-CN"/>
              </w:rPr>
              <w:t>以上4项内容详细完整、安排合理、切实可行，得8分；每有一项缺项或漏项的扣2分；每有一项出现一种缺陷（缺陷指存在不符合本项目实际情况的情形、缺乏针对性，或内容前后矛盾、不一致或前后逻辑错误、涉及的规范及标准错误，或内容缺失、阐述不清，或内容不合理、缺乏可行性）的扣0.5分，扣完为止。</w:t>
            </w:r>
          </w:p>
        </w:tc>
        <w:tc>
          <w:tcPr>
            <w:tcW w:w="685" w:type="dxa"/>
            <w:tcBorders>
              <w:top w:val="single" w:color="auto" w:sz="4" w:space="0"/>
              <w:left w:val="single" w:color="auto" w:sz="4" w:space="0"/>
              <w:bottom w:val="single" w:color="auto" w:sz="4" w:space="0"/>
              <w:right w:val="single" w:color="auto" w:sz="4" w:space="0"/>
            </w:tcBorders>
            <w:vAlign w:val="center"/>
          </w:tcPr>
          <w:p w14:paraId="16A67A8E">
            <w:pPr>
              <w:pageBreakBefore w:val="0"/>
              <w:widowControl/>
              <w:kinsoku/>
              <w:overflowPunct w:val="0"/>
              <w:topLinePunct w:val="0"/>
              <w:autoSpaceDE w:val="0"/>
              <w:autoSpaceDN w:val="0"/>
              <w:bidi w:val="0"/>
              <w:adjustRightInd w:val="0"/>
              <w:spacing w:after="0" w:line="440" w:lineRule="exact"/>
              <w:jc w:val="center"/>
              <w:textAlignment w:val="baseline"/>
              <w:rPr>
                <w:rFonts w:hint="default" w:ascii="宋体" w:hAnsi="宋体" w:cs="FangSong_GB2312"/>
                <w:b/>
                <w:bCs/>
                <w:color w:val="auto"/>
                <w:sz w:val="21"/>
                <w:szCs w:val="21"/>
                <w:highlight w:val="none"/>
                <w:lang w:val="en-US" w:eastAsia="zh-CN"/>
              </w:rPr>
            </w:pPr>
            <w:r>
              <w:rPr>
                <w:rFonts w:hint="eastAsia" w:ascii="宋体" w:hAnsi="宋体" w:cs="FangSong_GB2312"/>
                <w:b/>
                <w:bCs/>
                <w:color w:val="auto"/>
                <w:sz w:val="21"/>
                <w:szCs w:val="21"/>
                <w:highlight w:val="none"/>
                <w:lang w:val="en-US" w:eastAsia="zh-CN"/>
              </w:rPr>
              <w:t>8</w:t>
            </w:r>
          </w:p>
        </w:tc>
      </w:tr>
      <w:tr w14:paraId="794DA6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94" w:hRule="atLeast"/>
          <w:jc w:val="center"/>
        </w:trPr>
        <w:tc>
          <w:tcPr>
            <w:tcW w:w="8473" w:type="dxa"/>
            <w:gridSpan w:val="4"/>
            <w:tcBorders>
              <w:top w:val="single" w:color="auto" w:sz="4" w:space="0"/>
              <w:left w:val="single" w:color="auto" w:sz="4" w:space="0"/>
              <w:bottom w:val="single" w:color="auto" w:sz="4" w:space="0"/>
              <w:right w:val="single" w:color="auto" w:sz="4" w:space="0"/>
            </w:tcBorders>
            <w:vAlign w:val="center"/>
          </w:tcPr>
          <w:p w14:paraId="7B21EDBE">
            <w:pPr>
              <w:pageBreakBefore w:val="0"/>
              <w:widowControl/>
              <w:kinsoku/>
              <w:wordWrap/>
              <w:overflowPunct w:val="0"/>
              <w:topLinePunct w:val="0"/>
              <w:autoSpaceDE w:val="0"/>
              <w:autoSpaceDN w:val="0"/>
              <w:bidi w:val="0"/>
              <w:adjustRightInd w:val="0"/>
              <w:spacing w:after="0" w:line="440" w:lineRule="exact"/>
              <w:jc w:val="center"/>
              <w:textAlignment w:val="baseline"/>
              <w:rPr>
                <w:rFonts w:ascii="宋体" w:hAnsi="宋体" w:eastAsia="宋体" w:cs="FangSong_GB2312"/>
                <w:b/>
                <w:bCs/>
                <w:color w:val="auto"/>
                <w:kern w:val="0"/>
                <w:sz w:val="21"/>
                <w:szCs w:val="21"/>
                <w:highlight w:val="none"/>
              </w:rPr>
            </w:pPr>
            <w:r>
              <w:rPr>
                <w:rFonts w:hint="eastAsia" w:ascii="宋体" w:hAnsi="宋体" w:eastAsia="宋体" w:cs="FangSong_GB2312"/>
                <w:b/>
                <w:bCs/>
                <w:color w:val="auto"/>
                <w:kern w:val="0"/>
                <w:sz w:val="21"/>
                <w:szCs w:val="21"/>
                <w:highlight w:val="none"/>
              </w:rPr>
              <w:t>合     计</w:t>
            </w:r>
          </w:p>
        </w:tc>
        <w:tc>
          <w:tcPr>
            <w:tcW w:w="685" w:type="dxa"/>
            <w:tcBorders>
              <w:top w:val="single" w:color="auto" w:sz="4" w:space="0"/>
              <w:left w:val="single" w:color="auto" w:sz="4" w:space="0"/>
              <w:bottom w:val="single" w:color="auto" w:sz="4" w:space="0"/>
              <w:right w:val="single" w:color="auto" w:sz="4" w:space="0"/>
            </w:tcBorders>
            <w:vAlign w:val="center"/>
          </w:tcPr>
          <w:p w14:paraId="2E22DC7D">
            <w:pPr>
              <w:pageBreakBefore w:val="0"/>
              <w:widowControl/>
              <w:kinsoku/>
              <w:wordWrap/>
              <w:overflowPunct w:val="0"/>
              <w:topLinePunct w:val="0"/>
              <w:autoSpaceDE w:val="0"/>
              <w:autoSpaceDN w:val="0"/>
              <w:bidi w:val="0"/>
              <w:adjustRightInd w:val="0"/>
              <w:spacing w:after="0" w:line="440" w:lineRule="exact"/>
              <w:jc w:val="center"/>
              <w:textAlignment w:val="baseline"/>
              <w:rPr>
                <w:rFonts w:ascii="宋体" w:hAnsi="宋体" w:eastAsia="宋体" w:cs="FangSong_GB2312"/>
                <w:b/>
                <w:bCs/>
                <w:color w:val="auto"/>
                <w:kern w:val="0"/>
                <w:sz w:val="21"/>
                <w:szCs w:val="21"/>
                <w:highlight w:val="none"/>
              </w:rPr>
            </w:pPr>
            <w:r>
              <w:rPr>
                <w:rFonts w:hint="eastAsia" w:ascii="宋体" w:hAnsi="宋体" w:eastAsia="宋体" w:cs="FangSong_GB2312"/>
                <w:b/>
                <w:bCs/>
                <w:color w:val="auto"/>
                <w:kern w:val="0"/>
                <w:sz w:val="21"/>
                <w:szCs w:val="21"/>
                <w:highlight w:val="none"/>
              </w:rPr>
              <w:t xml:space="preserve">100 </w:t>
            </w:r>
          </w:p>
        </w:tc>
      </w:tr>
    </w:tbl>
    <w:p w14:paraId="0B395675">
      <w:pPr>
        <w:pStyle w:val="15"/>
        <w:keepNext w:val="0"/>
        <w:keepLines w:val="0"/>
        <w:pageBreakBefore w:val="0"/>
        <w:widowControl w:val="0"/>
        <w:tabs>
          <w:tab w:val="left" w:pos="2472"/>
        </w:tabs>
        <w:kinsoku/>
        <w:wordWrap/>
        <w:overflowPunct/>
        <w:topLinePunct w:val="0"/>
        <w:autoSpaceDE/>
        <w:autoSpaceDN/>
        <w:bidi w:val="0"/>
        <w:adjustRightInd/>
        <w:snapToGrid/>
        <w:spacing w:line="440" w:lineRule="exact"/>
        <w:ind w:firstLine="422" w:firstLineChars="200"/>
        <w:textAlignment w:val="auto"/>
        <w:outlineLvl w:val="2"/>
        <w:rPr>
          <w:rFonts w:hint="eastAsia" w:eastAsia="宋体"/>
          <w:color w:val="auto"/>
          <w:sz w:val="21"/>
          <w:szCs w:val="21"/>
          <w:highlight w:val="none"/>
          <w:lang w:eastAsia="zh-CN"/>
        </w:rPr>
      </w:pPr>
      <w:r>
        <w:rPr>
          <w:rFonts w:hAnsi="宋体" w:cs="宋体"/>
          <w:b/>
          <w:bCs/>
          <w:color w:val="auto"/>
          <w:sz w:val="21"/>
          <w:szCs w:val="21"/>
          <w:highlight w:val="none"/>
        </w:rPr>
        <w:t>1.</w:t>
      </w:r>
      <w:r>
        <w:rPr>
          <w:rFonts w:hint="eastAsia" w:hAnsi="宋体" w:cs="宋体"/>
          <w:b/>
          <w:bCs/>
          <w:color w:val="auto"/>
          <w:sz w:val="21"/>
          <w:szCs w:val="21"/>
          <w:highlight w:val="none"/>
        </w:rPr>
        <w:t>评标方法</w:t>
      </w:r>
      <w:r>
        <w:rPr>
          <w:rFonts w:hint="eastAsia" w:hAnsi="宋体" w:cs="宋体"/>
          <w:b/>
          <w:bCs/>
          <w:color w:val="auto"/>
          <w:sz w:val="21"/>
          <w:szCs w:val="21"/>
          <w:highlight w:val="none"/>
          <w:lang w:eastAsia="zh-CN"/>
        </w:rPr>
        <w:t>：</w:t>
      </w:r>
    </w:p>
    <w:p w14:paraId="5F5150D0">
      <w:pPr>
        <w:keepNext w:val="0"/>
        <w:keepLines w:val="0"/>
        <w:pageBreakBefore w:val="0"/>
        <w:widowControl w:val="0"/>
        <w:kinsoku/>
        <w:wordWrap/>
        <w:overflowPunct/>
        <w:topLinePunct w:val="0"/>
        <w:autoSpaceDE/>
        <w:autoSpaceDN/>
        <w:bidi w:val="0"/>
        <w:adjustRightInd/>
        <w:snapToGrid/>
        <w:spacing w:line="440" w:lineRule="exact"/>
        <w:ind w:firstLine="422" w:firstLineChars="200"/>
        <w:jc w:val="left"/>
        <w:textAlignment w:val="auto"/>
        <w:rPr>
          <w:rFonts w:hint="eastAsia" w:ascii="宋体" w:hAnsi="宋体" w:cs="宋体"/>
          <w:b/>
          <w:color w:val="auto"/>
          <w:sz w:val="21"/>
          <w:szCs w:val="21"/>
          <w:highlight w:val="none"/>
        </w:rPr>
      </w:pPr>
      <w:r>
        <w:rPr>
          <w:rFonts w:ascii="宋体" w:hAnsi="宋体" w:cs="宋体"/>
          <w:b/>
          <w:color w:val="auto"/>
          <w:sz w:val="21"/>
          <w:szCs w:val="21"/>
          <w:highlight w:val="none"/>
        </w:rPr>
        <w:t>1.1</w:t>
      </w:r>
      <w:r>
        <w:rPr>
          <w:rFonts w:hint="eastAsia" w:ascii="宋体" w:hAnsi="宋体" w:cs="宋体"/>
          <w:b/>
          <w:color w:val="auto"/>
          <w:sz w:val="21"/>
          <w:szCs w:val="21"/>
          <w:highlight w:val="none"/>
        </w:rPr>
        <w:t>本次评标采用综合评分法</w:t>
      </w:r>
    </w:p>
    <w:p w14:paraId="1E5102EA">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eastAsia="宋体" w:cs="宋体"/>
          <w:color w:val="auto"/>
          <w:sz w:val="21"/>
          <w:szCs w:val="21"/>
          <w:highlight w:val="none"/>
          <w:lang w:eastAsia="zh-CN"/>
        </w:rPr>
      </w:pPr>
      <w:r>
        <w:rPr>
          <w:rFonts w:hint="eastAsia" w:ascii="宋体" w:hAnsi="宋体" w:cs="宋体"/>
          <w:color w:val="auto"/>
          <w:sz w:val="21"/>
          <w:szCs w:val="21"/>
          <w:highlight w:val="none"/>
        </w:rPr>
        <w:t>评标委员会对满足招标文件实质性要求的投标文件</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按照本章前附表规定的评分标准进行打分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并按上述评标总得分计算公式计算评标总得分</w:t>
      </w:r>
      <w:r>
        <w:rPr>
          <w:rFonts w:hint="eastAsia" w:ascii="宋体" w:hAnsi="宋体" w:cs="宋体"/>
          <w:color w:val="auto"/>
          <w:sz w:val="21"/>
          <w:szCs w:val="21"/>
          <w:highlight w:val="none"/>
          <w:lang w:eastAsia="zh-CN"/>
        </w:rPr>
        <w:t>。评标结果按评审得分由高到低顺序排列。得分相同的，按投标报价由低到高顺序排列。得分且投标报价相同的并列。投标文件满足招标文件全部实质性要求，且按照评审因素的量化指标评审得分最高的投标</w:t>
      </w:r>
      <w:bookmarkStart w:id="101" w:name="_Toc14350_WPSOffice_Level2"/>
      <w:r>
        <w:rPr>
          <w:rFonts w:hint="eastAsia" w:ascii="宋体" w:hAnsi="宋体" w:cs="宋体"/>
          <w:color w:val="auto"/>
          <w:sz w:val="21"/>
          <w:szCs w:val="21"/>
          <w:highlight w:val="none"/>
          <w:lang w:eastAsia="zh-CN"/>
        </w:rPr>
        <w:t>人为排名第一的中标候选人。</w:t>
      </w:r>
    </w:p>
    <w:p w14:paraId="60125430">
      <w:pPr>
        <w:pStyle w:val="15"/>
        <w:keepNext w:val="0"/>
        <w:keepLines w:val="0"/>
        <w:pageBreakBefore w:val="0"/>
        <w:widowControl w:val="0"/>
        <w:tabs>
          <w:tab w:val="left" w:pos="2472"/>
        </w:tabs>
        <w:kinsoku/>
        <w:wordWrap/>
        <w:overflowPunct/>
        <w:topLinePunct w:val="0"/>
        <w:autoSpaceDE/>
        <w:autoSpaceDN/>
        <w:bidi w:val="0"/>
        <w:adjustRightInd/>
        <w:snapToGrid/>
        <w:spacing w:line="440" w:lineRule="exact"/>
        <w:ind w:firstLine="422" w:firstLineChars="200"/>
        <w:textAlignment w:val="auto"/>
        <w:outlineLvl w:val="2"/>
        <w:rPr>
          <w:rFonts w:hAnsi="宋体" w:cs="宋体"/>
          <w:b/>
          <w:bCs/>
          <w:color w:val="auto"/>
          <w:sz w:val="21"/>
          <w:szCs w:val="21"/>
          <w:highlight w:val="none"/>
        </w:rPr>
      </w:pPr>
      <w:r>
        <w:rPr>
          <w:rFonts w:hAnsi="宋体" w:cs="宋体"/>
          <w:b/>
          <w:bCs/>
          <w:color w:val="auto"/>
          <w:sz w:val="21"/>
          <w:szCs w:val="21"/>
          <w:highlight w:val="none"/>
        </w:rPr>
        <w:t>2</w:t>
      </w:r>
      <w:bookmarkEnd w:id="101"/>
      <w:r>
        <w:rPr>
          <w:rFonts w:hAnsi="宋体" w:cs="宋体"/>
          <w:b/>
          <w:bCs/>
          <w:color w:val="auto"/>
          <w:sz w:val="21"/>
          <w:szCs w:val="21"/>
          <w:highlight w:val="none"/>
        </w:rPr>
        <w:t xml:space="preserve">. </w:t>
      </w:r>
      <w:r>
        <w:rPr>
          <w:rFonts w:hint="eastAsia" w:hAnsi="宋体" w:cs="宋体"/>
          <w:b/>
          <w:bCs/>
          <w:color w:val="auto"/>
          <w:sz w:val="21"/>
          <w:szCs w:val="21"/>
          <w:highlight w:val="none"/>
        </w:rPr>
        <w:t>评审程序和标准</w:t>
      </w:r>
    </w:p>
    <w:p w14:paraId="6B5BA222">
      <w:pPr>
        <w:keepNext w:val="0"/>
        <w:keepLines w:val="0"/>
        <w:pageBreakBefore w:val="0"/>
        <w:widowControl w:val="0"/>
        <w:kinsoku/>
        <w:wordWrap/>
        <w:overflowPunct/>
        <w:topLinePunct w:val="0"/>
        <w:autoSpaceDE/>
        <w:autoSpaceDN/>
        <w:bidi w:val="0"/>
        <w:adjustRightInd/>
        <w:snapToGrid/>
        <w:spacing w:line="440" w:lineRule="exact"/>
        <w:ind w:firstLine="422" w:firstLineChars="200"/>
        <w:jc w:val="left"/>
        <w:textAlignment w:val="auto"/>
        <w:rPr>
          <w:rFonts w:ascii="宋体" w:cs="宋体"/>
          <w:b/>
          <w:color w:val="auto"/>
          <w:sz w:val="21"/>
          <w:szCs w:val="21"/>
          <w:highlight w:val="none"/>
        </w:rPr>
      </w:pPr>
      <w:r>
        <w:rPr>
          <w:rFonts w:ascii="宋体" w:hAnsi="宋体" w:cs="宋体"/>
          <w:b/>
          <w:color w:val="auto"/>
          <w:sz w:val="21"/>
          <w:szCs w:val="21"/>
          <w:highlight w:val="none"/>
        </w:rPr>
        <w:t>2.1</w:t>
      </w:r>
      <w:r>
        <w:rPr>
          <w:rFonts w:hint="eastAsia" w:ascii="宋体" w:hAnsi="宋体" w:cs="宋体"/>
          <w:b/>
          <w:color w:val="auto"/>
          <w:sz w:val="21"/>
          <w:szCs w:val="21"/>
          <w:highlight w:val="none"/>
        </w:rPr>
        <w:t>符合性审查</w:t>
      </w:r>
    </w:p>
    <w:p w14:paraId="5A22882A">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ascii="宋体" w:cs="宋体"/>
          <w:color w:val="auto"/>
          <w:sz w:val="21"/>
          <w:szCs w:val="21"/>
          <w:highlight w:val="none"/>
        </w:rPr>
      </w:pPr>
      <w:r>
        <w:rPr>
          <w:rFonts w:ascii="宋体" w:hAnsi="宋体" w:cs="宋体"/>
          <w:color w:val="auto"/>
          <w:sz w:val="21"/>
          <w:szCs w:val="21"/>
          <w:highlight w:val="none"/>
        </w:rPr>
        <w:t>2.1.1</w:t>
      </w:r>
      <w:r>
        <w:rPr>
          <w:rFonts w:hint="eastAsia" w:ascii="宋体" w:hAnsi="宋体" w:cs="宋体"/>
          <w:color w:val="auto"/>
          <w:sz w:val="21"/>
          <w:szCs w:val="21"/>
          <w:highlight w:val="none"/>
        </w:rPr>
        <w:t>评标委员会依据招标文件的规定</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对符合资格的投标人的投标文件进行符合性审查（详见《评标方法前附表》）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以确定其是否满足招标文件的实质性要求。</w:t>
      </w:r>
    </w:p>
    <w:p w14:paraId="7BB3A6BA">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ascii="宋体" w:cs="宋体"/>
          <w:color w:val="auto"/>
          <w:sz w:val="21"/>
          <w:szCs w:val="21"/>
          <w:highlight w:val="none"/>
        </w:rPr>
      </w:pPr>
      <w:r>
        <w:rPr>
          <w:rFonts w:ascii="宋体" w:hAnsi="宋体" w:cs="宋体"/>
          <w:color w:val="auto"/>
          <w:sz w:val="21"/>
          <w:szCs w:val="21"/>
          <w:highlight w:val="none"/>
        </w:rPr>
        <w:t>2.1.2</w:t>
      </w:r>
      <w:r>
        <w:rPr>
          <w:rFonts w:hint="eastAsia" w:ascii="宋体" w:hAnsi="宋体" w:cs="宋体"/>
          <w:color w:val="auto"/>
          <w:sz w:val="21"/>
          <w:szCs w:val="21"/>
          <w:highlight w:val="none"/>
        </w:rPr>
        <w:t>符合性审查内容及标准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详见招标文件</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第</w:t>
      </w:r>
      <w:r>
        <w:rPr>
          <w:rFonts w:hint="eastAsia" w:ascii="宋体" w:hAnsi="宋体" w:cs="宋体"/>
          <w:color w:val="auto"/>
          <w:sz w:val="21"/>
          <w:szCs w:val="21"/>
          <w:highlight w:val="none"/>
          <w:lang w:eastAsia="zh-CN"/>
        </w:rPr>
        <w:t>三章</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w:t>
      </w:r>
      <w:r>
        <w:rPr>
          <w:rFonts w:hint="eastAsia" w:ascii="宋体" w:hAnsi="宋体" w:cs="宋体"/>
          <w:color w:val="auto"/>
          <w:sz w:val="21"/>
          <w:szCs w:val="21"/>
          <w:highlight w:val="none"/>
          <w:lang w:eastAsia="zh-CN"/>
        </w:rPr>
        <w:t>资格审查、评标方法及标准</w:t>
      </w:r>
      <w:r>
        <w:rPr>
          <w:rFonts w:hint="eastAsia" w:ascii="宋体" w:hAnsi="宋体" w:cs="宋体"/>
          <w:color w:val="auto"/>
          <w:sz w:val="21"/>
          <w:szCs w:val="21"/>
          <w:highlight w:val="none"/>
        </w:rPr>
        <w:t>》</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评标方法前附表</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符合性审查</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经审查有一项不符合的</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该投标文件按无效投标处理。</w:t>
      </w:r>
    </w:p>
    <w:p w14:paraId="25645B1A">
      <w:pPr>
        <w:keepNext w:val="0"/>
        <w:keepLines w:val="0"/>
        <w:pageBreakBefore w:val="0"/>
        <w:widowControl w:val="0"/>
        <w:kinsoku/>
        <w:wordWrap/>
        <w:overflowPunct/>
        <w:topLinePunct w:val="0"/>
        <w:autoSpaceDE/>
        <w:autoSpaceDN/>
        <w:bidi w:val="0"/>
        <w:adjustRightInd/>
        <w:snapToGrid/>
        <w:spacing w:line="440" w:lineRule="exact"/>
        <w:ind w:firstLine="422" w:firstLineChars="200"/>
        <w:jc w:val="left"/>
        <w:textAlignment w:val="auto"/>
        <w:rPr>
          <w:rFonts w:ascii="宋体" w:cs="宋体"/>
          <w:b/>
          <w:color w:val="auto"/>
          <w:sz w:val="21"/>
          <w:szCs w:val="21"/>
          <w:highlight w:val="none"/>
        </w:rPr>
      </w:pPr>
      <w:r>
        <w:rPr>
          <w:rFonts w:ascii="宋体" w:hAnsi="宋体" w:cs="宋体"/>
          <w:b/>
          <w:color w:val="auto"/>
          <w:sz w:val="21"/>
          <w:szCs w:val="21"/>
          <w:highlight w:val="none"/>
        </w:rPr>
        <w:t xml:space="preserve">2.2 </w:t>
      </w:r>
      <w:r>
        <w:rPr>
          <w:rFonts w:hint="eastAsia" w:ascii="宋体" w:hAnsi="宋体" w:cs="宋体"/>
          <w:b/>
          <w:color w:val="auto"/>
          <w:sz w:val="21"/>
          <w:szCs w:val="21"/>
          <w:highlight w:val="none"/>
        </w:rPr>
        <w:t>评标方法和标准</w:t>
      </w:r>
    </w:p>
    <w:p w14:paraId="50489858">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ascii="宋体" w:cs="宋体"/>
          <w:color w:val="auto"/>
          <w:sz w:val="21"/>
          <w:szCs w:val="21"/>
          <w:highlight w:val="none"/>
        </w:rPr>
      </w:pPr>
      <w:r>
        <w:rPr>
          <w:rFonts w:ascii="宋体" w:hAnsi="宋体" w:cs="宋体"/>
          <w:color w:val="auto"/>
          <w:sz w:val="21"/>
          <w:szCs w:val="21"/>
          <w:highlight w:val="none"/>
        </w:rPr>
        <w:t>2.2.1</w:t>
      </w:r>
      <w:r>
        <w:rPr>
          <w:rFonts w:hint="eastAsia" w:ascii="宋体" w:hAnsi="宋体" w:cs="宋体"/>
          <w:color w:val="auto"/>
          <w:sz w:val="21"/>
          <w:szCs w:val="21"/>
          <w:highlight w:val="none"/>
        </w:rPr>
        <w:t>评标委员会按照招标文件中规定的评标方法和标准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对符合性审查合格的投标文件进行商务和技术评估</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综合比较与评价。招标文件中没有规定的评标方法和标准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不作为评标依据。</w:t>
      </w:r>
    </w:p>
    <w:p w14:paraId="064E48B9">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ascii="宋体" w:cs="宋体"/>
          <w:color w:val="auto"/>
          <w:sz w:val="21"/>
          <w:szCs w:val="21"/>
          <w:highlight w:val="none"/>
        </w:rPr>
      </w:pPr>
      <w:r>
        <w:rPr>
          <w:rFonts w:ascii="宋体" w:hAnsi="宋体" w:cs="宋体"/>
          <w:color w:val="auto"/>
          <w:sz w:val="21"/>
          <w:szCs w:val="21"/>
          <w:highlight w:val="none"/>
        </w:rPr>
        <w:t>2.2.2</w:t>
      </w:r>
      <w:r>
        <w:rPr>
          <w:rFonts w:hint="eastAsia" w:ascii="宋体" w:hAnsi="宋体" w:cs="宋体"/>
          <w:color w:val="auto"/>
          <w:sz w:val="21"/>
          <w:szCs w:val="21"/>
          <w:highlight w:val="none"/>
        </w:rPr>
        <w:t>投标报价</w:t>
      </w:r>
      <w:r>
        <w:rPr>
          <w:rFonts w:hint="eastAsia" w:ascii="宋体" w:hAnsi="宋体" w:cs="宋体"/>
          <w:color w:val="auto"/>
          <w:sz w:val="21"/>
          <w:szCs w:val="21"/>
          <w:highlight w:val="none"/>
          <w:lang w:val="en-US" w:eastAsia="zh-CN"/>
        </w:rPr>
        <w:t>评审评分</w:t>
      </w:r>
      <w:r>
        <w:rPr>
          <w:rFonts w:ascii="宋体" w:hAnsi="宋体" w:cs="宋体"/>
          <w:color w:val="auto"/>
          <w:sz w:val="21"/>
          <w:szCs w:val="21"/>
          <w:highlight w:val="none"/>
        </w:rPr>
        <w:t>F1</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按本章《评标方法前附表》的规定对投标报价进行计算并得出</w:t>
      </w:r>
      <w:r>
        <w:rPr>
          <w:rFonts w:ascii="宋体" w:hAnsi="宋体" w:cs="宋体"/>
          <w:color w:val="auto"/>
          <w:sz w:val="21"/>
          <w:szCs w:val="21"/>
          <w:highlight w:val="none"/>
        </w:rPr>
        <w:t>F1</w:t>
      </w:r>
      <w:r>
        <w:rPr>
          <w:rFonts w:hint="eastAsia" w:ascii="宋体" w:hAnsi="宋体" w:cs="宋体"/>
          <w:color w:val="auto"/>
          <w:sz w:val="21"/>
          <w:szCs w:val="21"/>
          <w:highlight w:val="none"/>
        </w:rPr>
        <w:t>得分；</w:t>
      </w:r>
    </w:p>
    <w:p w14:paraId="701037F6">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ascii="宋体" w:cs="宋体"/>
          <w:color w:val="auto"/>
          <w:sz w:val="21"/>
          <w:szCs w:val="21"/>
          <w:highlight w:val="none"/>
        </w:rPr>
      </w:pPr>
      <w:r>
        <w:rPr>
          <w:rFonts w:ascii="宋体" w:hAnsi="宋体" w:cs="宋体"/>
          <w:color w:val="auto"/>
          <w:sz w:val="21"/>
          <w:szCs w:val="21"/>
          <w:highlight w:val="none"/>
        </w:rPr>
        <w:t>2.2.3</w:t>
      </w:r>
      <w:r>
        <w:rPr>
          <w:rFonts w:hint="eastAsia" w:ascii="宋体" w:hAnsi="宋体" w:cs="宋体"/>
          <w:color w:val="auto"/>
          <w:sz w:val="21"/>
          <w:szCs w:val="21"/>
          <w:highlight w:val="none"/>
          <w:lang w:val="en-US" w:eastAsia="zh-CN"/>
        </w:rPr>
        <w:t>履约能力评审评分</w:t>
      </w:r>
      <w:r>
        <w:rPr>
          <w:rFonts w:ascii="宋体" w:hAnsi="宋体" w:cs="宋体"/>
          <w:color w:val="auto"/>
          <w:sz w:val="21"/>
          <w:szCs w:val="21"/>
          <w:highlight w:val="none"/>
        </w:rPr>
        <w:t>F2</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按本章《评标方法前附表》的规定对</w:t>
      </w:r>
      <w:r>
        <w:rPr>
          <w:rFonts w:hint="eastAsia" w:ascii="宋体" w:hAnsi="宋体" w:cs="宋体"/>
          <w:color w:val="auto"/>
          <w:sz w:val="21"/>
          <w:szCs w:val="21"/>
          <w:highlight w:val="none"/>
          <w:lang w:val="en-US" w:eastAsia="zh-CN"/>
        </w:rPr>
        <w:t>履约能力评审评分</w:t>
      </w:r>
      <w:r>
        <w:rPr>
          <w:rFonts w:hint="eastAsia" w:ascii="宋体" w:hAnsi="宋体" w:cs="宋体"/>
          <w:color w:val="auto"/>
          <w:sz w:val="21"/>
          <w:szCs w:val="21"/>
          <w:highlight w:val="none"/>
        </w:rPr>
        <w:t>并计算出</w:t>
      </w:r>
      <w:r>
        <w:rPr>
          <w:rFonts w:ascii="宋体" w:hAnsi="宋体" w:cs="宋体"/>
          <w:color w:val="auto"/>
          <w:sz w:val="21"/>
          <w:szCs w:val="21"/>
          <w:highlight w:val="none"/>
        </w:rPr>
        <w:t>F2</w:t>
      </w:r>
      <w:r>
        <w:rPr>
          <w:rFonts w:hint="eastAsia" w:ascii="宋体" w:hAnsi="宋体" w:cs="宋体"/>
          <w:color w:val="auto"/>
          <w:sz w:val="21"/>
          <w:szCs w:val="21"/>
          <w:highlight w:val="none"/>
        </w:rPr>
        <w:t>汇总得分</w:t>
      </w:r>
    </w:p>
    <w:p w14:paraId="31233F78">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ascii="宋体" w:cs="宋体"/>
          <w:color w:val="auto"/>
          <w:sz w:val="21"/>
          <w:szCs w:val="21"/>
          <w:highlight w:val="none"/>
        </w:rPr>
      </w:pPr>
      <w:r>
        <w:rPr>
          <w:rFonts w:ascii="宋体" w:hAnsi="宋体" w:cs="宋体"/>
          <w:color w:val="auto"/>
          <w:sz w:val="21"/>
          <w:szCs w:val="21"/>
          <w:highlight w:val="none"/>
        </w:rPr>
        <w:t>2.2.4</w:t>
      </w:r>
      <w:r>
        <w:rPr>
          <w:rFonts w:hint="eastAsia" w:ascii="宋体" w:hAnsi="宋体" w:cs="宋体"/>
          <w:color w:val="auto"/>
          <w:sz w:val="21"/>
          <w:szCs w:val="21"/>
          <w:highlight w:val="none"/>
          <w:lang w:val="en-US" w:eastAsia="zh-CN"/>
        </w:rPr>
        <w:t>技术和服务水平评审评分</w:t>
      </w:r>
      <w:r>
        <w:rPr>
          <w:rFonts w:ascii="宋体" w:hAnsi="宋体" w:cs="宋体"/>
          <w:color w:val="auto"/>
          <w:sz w:val="21"/>
          <w:szCs w:val="21"/>
          <w:highlight w:val="none"/>
        </w:rPr>
        <w:t>F3</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按本章《评标方法前附表》的规定对</w:t>
      </w:r>
      <w:r>
        <w:rPr>
          <w:rFonts w:hint="eastAsia" w:ascii="宋体" w:hAnsi="宋体" w:cs="宋体"/>
          <w:color w:val="auto"/>
          <w:sz w:val="21"/>
          <w:szCs w:val="21"/>
          <w:highlight w:val="none"/>
          <w:lang w:val="en-US" w:eastAsia="zh-CN"/>
        </w:rPr>
        <w:t>技术和服务水平评审评分</w:t>
      </w:r>
      <w:r>
        <w:rPr>
          <w:rFonts w:hint="eastAsia" w:ascii="宋体" w:hAnsi="宋体" w:cs="宋体"/>
          <w:color w:val="auto"/>
          <w:sz w:val="21"/>
          <w:szCs w:val="21"/>
          <w:highlight w:val="none"/>
        </w:rPr>
        <w:t>并计算出</w:t>
      </w:r>
      <w:r>
        <w:rPr>
          <w:rFonts w:ascii="宋体" w:hAnsi="宋体" w:cs="宋体"/>
          <w:color w:val="auto"/>
          <w:sz w:val="21"/>
          <w:szCs w:val="21"/>
          <w:highlight w:val="none"/>
        </w:rPr>
        <w:t>F3</w:t>
      </w:r>
      <w:r>
        <w:rPr>
          <w:rFonts w:hint="eastAsia" w:ascii="宋体" w:hAnsi="宋体" w:cs="宋体"/>
          <w:color w:val="auto"/>
          <w:sz w:val="21"/>
          <w:szCs w:val="21"/>
          <w:highlight w:val="none"/>
        </w:rPr>
        <w:t>汇总得分；</w:t>
      </w:r>
    </w:p>
    <w:p w14:paraId="55FD8BDE">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ascii="宋体" w:cs="宋体"/>
          <w:color w:val="auto"/>
          <w:sz w:val="21"/>
          <w:szCs w:val="21"/>
          <w:highlight w:val="none"/>
        </w:rPr>
      </w:pPr>
      <w:r>
        <w:rPr>
          <w:rFonts w:ascii="宋体" w:hAnsi="宋体" w:cs="宋体"/>
          <w:color w:val="auto"/>
          <w:sz w:val="21"/>
          <w:szCs w:val="21"/>
          <w:highlight w:val="none"/>
        </w:rPr>
        <w:t>2.2.5</w:t>
      </w:r>
      <w:r>
        <w:rPr>
          <w:rFonts w:hint="eastAsia" w:ascii="宋体" w:hAnsi="宋体" w:cs="宋体"/>
          <w:color w:val="auto"/>
          <w:sz w:val="21"/>
          <w:szCs w:val="21"/>
          <w:highlight w:val="none"/>
        </w:rPr>
        <w:t>评标总得分</w:t>
      </w:r>
      <w:r>
        <w:rPr>
          <w:rFonts w:hint="eastAsia" w:ascii="宋体" w:hAnsi="宋体" w:cs="宋体"/>
          <w:color w:val="auto"/>
          <w:sz w:val="21"/>
          <w:szCs w:val="21"/>
          <w:highlight w:val="none"/>
          <w:lang w:eastAsia="zh-CN"/>
        </w:rPr>
        <w:t>：评标总</w:t>
      </w:r>
      <w:r>
        <w:rPr>
          <w:rFonts w:hint="eastAsia" w:ascii="宋体" w:hAnsi="宋体" w:cs="宋体"/>
          <w:color w:val="auto"/>
          <w:sz w:val="21"/>
          <w:szCs w:val="21"/>
          <w:highlight w:val="none"/>
        </w:rPr>
        <w:t>得分=F1＋F2＋F3。</w:t>
      </w:r>
    </w:p>
    <w:p w14:paraId="6D2CE779">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ascii="宋体" w:cs="宋体"/>
          <w:color w:val="auto"/>
          <w:sz w:val="21"/>
          <w:szCs w:val="21"/>
          <w:highlight w:val="none"/>
        </w:rPr>
      </w:pPr>
      <w:r>
        <w:rPr>
          <w:rFonts w:ascii="宋体" w:hAnsi="宋体" w:cs="宋体"/>
          <w:color w:val="auto"/>
          <w:sz w:val="21"/>
          <w:szCs w:val="21"/>
          <w:highlight w:val="none"/>
        </w:rPr>
        <w:t>2.3</w:t>
      </w:r>
      <w:r>
        <w:rPr>
          <w:rFonts w:hint="eastAsia" w:ascii="宋体" w:hAnsi="宋体" w:cs="宋体"/>
          <w:color w:val="auto"/>
          <w:szCs w:val="21"/>
          <w:highlight w:val="none"/>
        </w:rPr>
        <w:t>启动异常低价投标审查程序</w:t>
      </w:r>
      <w:r>
        <w:rPr>
          <w:rFonts w:hint="eastAsia" w:ascii="宋体" w:hAnsi="宋体" w:cs="宋体"/>
          <w:color w:val="auto"/>
          <w:szCs w:val="21"/>
          <w:highlight w:val="none"/>
          <w:lang w:val="en-US" w:eastAsia="zh-CN"/>
        </w:rPr>
        <w:t>后</w:t>
      </w:r>
      <w:r>
        <w:rPr>
          <w:rFonts w:hint="eastAsia" w:ascii="宋体" w:hAnsi="宋体" w:cs="宋体"/>
          <w:color w:val="auto"/>
          <w:szCs w:val="21"/>
          <w:highlight w:val="none"/>
          <w:lang w:eastAsia="zh-CN"/>
        </w:rPr>
        <w:t>，</w:t>
      </w:r>
      <w:r>
        <w:rPr>
          <w:rFonts w:hint="eastAsia" w:ascii="宋体" w:hAnsi="宋体" w:cs="宋体"/>
          <w:color w:val="auto"/>
          <w:szCs w:val="21"/>
          <w:highlight w:val="none"/>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1AC69D04">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ascii="宋体" w:cs="宋体"/>
          <w:color w:val="auto"/>
          <w:sz w:val="21"/>
          <w:szCs w:val="21"/>
          <w:highlight w:val="none"/>
        </w:rPr>
      </w:pPr>
      <w:r>
        <w:rPr>
          <w:rFonts w:ascii="宋体" w:hAnsi="宋体" w:cs="宋体"/>
          <w:color w:val="auto"/>
          <w:sz w:val="21"/>
          <w:szCs w:val="21"/>
          <w:highlight w:val="none"/>
        </w:rPr>
        <w:t>2.4</w:t>
      </w:r>
      <w:r>
        <w:rPr>
          <w:rFonts w:hint="eastAsia" w:ascii="宋体" w:hAnsi="宋体" w:cs="宋体"/>
          <w:color w:val="auto"/>
          <w:sz w:val="21"/>
          <w:szCs w:val="21"/>
          <w:highlight w:val="none"/>
        </w:rPr>
        <w:t>对投标人的价格分等客观评分项的评分应当一致</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对其他需要借助专业知识评判的主观评分项</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应当严格按照评分细则公正评分。</w:t>
      </w:r>
    </w:p>
    <w:p w14:paraId="18DBD74A">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ascii="宋体" w:cs="宋体"/>
          <w:color w:val="auto"/>
          <w:sz w:val="21"/>
          <w:szCs w:val="21"/>
          <w:highlight w:val="none"/>
        </w:rPr>
      </w:pPr>
      <w:r>
        <w:rPr>
          <w:rFonts w:ascii="宋体" w:hAnsi="宋体" w:cs="宋体"/>
          <w:color w:val="auto"/>
          <w:sz w:val="21"/>
          <w:szCs w:val="21"/>
          <w:highlight w:val="none"/>
        </w:rPr>
        <w:t>2.5</w:t>
      </w:r>
      <w:r>
        <w:rPr>
          <w:rFonts w:hint="eastAsia" w:ascii="宋体" w:hAnsi="宋体" w:cs="宋体"/>
          <w:color w:val="auto"/>
          <w:sz w:val="21"/>
          <w:szCs w:val="21"/>
          <w:highlight w:val="none"/>
          <w:lang w:val="en-US" w:eastAsia="zh-CN"/>
        </w:rPr>
        <w:t>履约能力评审评分</w:t>
      </w:r>
      <w:r>
        <w:rPr>
          <w:rFonts w:hint="eastAsia" w:ascii="宋体" w:hAnsi="宋体" w:cs="宋体"/>
          <w:color w:val="auto"/>
          <w:sz w:val="21"/>
          <w:szCs w:val="21"/>
          <w:highlight w:val="none"/>
        </w:rPr>
        <w:t>（</w:t>
      </w:r>
      <w:r>
        <w:rPr>
          <w:rFonts w:ascii="宋体" w:hAnsi="宋体" w:cs="宋体"/>
          <w:color w:val="auto"/>
          <w:sz w:val="21"/>
          <w:szCs w:val="21"/>
          <w:highlight w:val="none"/>
        </w:rPr>
        <w:t>F2</w:t>
      </w:r>
      <w:r>
        <w:rPr>
          <w:rFonts w:hint="eastAsia" w:ascii="宋体" w:hAnsi="宋体" w:cs="宋体"/>
          <w:color w:val="auto"/>
          <w:sz w:val="21"/>
          <w:szCs w:val="21"/>
          <w:highlight w:val="none"/>
        </w:rPr>
        <w:t>）和</w:t>
      </w:r>
      <w:r>
        <w:rPr>
          <w:rFonts w:hint="eastAsia" w:ascii="宋体" w:hAnsi="宋体" w:cs="宋体"/>
          <w:color w:val="auto"/>
          <w:sz w:val="21"/>
          <w:szCs w:val="21"/>
          <w:highlight w:val="none"/>
          <w:lang w:val="en-US" w:eastAsia="zh-CN"/>
        </w:rPr>
        <w:t>技术和服务水平评审评分</w:t>
      </w:r>
      <w:r>
        <w:rPr>
          <w:rFonts w:hint="eastAsia" w:ascii="宋体" w:hAnsi="宋体" w:cs="宋体"/>
          <w:color w:val="auto"/>
          <w:sz w:val="21"/>
          <w:szCs w:val="21"/>
          <w:highlight w:val="none"/>
        </w:rPr>
        <w:t>（</w:t>
      </w:r>
      <w:r>
        <w:rPr>
          <w:rFonts w:ascii="宋体" w:hAnsi="宋体" w:cs="宋体"/>
          <w:color w:val="auto"/>
          <w:sz w:val="21"/>
          <w:szCs w:val="21"/>
          <w:highlight w:val="none"/>
        </w:rPr>
        <w:t>F3</w:t>
      </w:r>
      <w:r>
        <w:rPr>
          <w:rFonts w:hint="eastAsia" w:ascii="宋体" w:hAnsi="宋体" w:cs="宋体"/>
          <w:color w:val="auto"/>
          <w:sz w:val="21"/>
          <w:szCs w:val="21"/>
          <w:highlight w:val="none"/>
        </w:rPr>
        <w:t>）由评标委员会各成员独立对每个投标人的投标文件进行评价</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并汇总每个投标人的得分。投标人各项评分因素得分为该项因素评标委员会各成员汇总得分的算术平均值（保留小数点后两位）</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小数点后第三位</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四舍五入</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w:t>
      </w:r>
    </w:p>
    <w:p w14:paraId="1EE14E42">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ascii="宋体" w:cs="宋体"/>
          <w:color w:val="auto"/>
          <w:sz w:val="21"/>
          <w:szCs w:val="21"/>
          <w:highlight w:val="none"/>
        </w:rPr>
      </w:pPr>
      <w:r>
        <w:rPr>
          <w:rFonts w:ascii="宋体" w:hAnsi="宋体" w:cs="宋体"/>
          <w:color w:val="auto"/>
          <w:sz w:val="21"/>
          <w:szCs w:val="21"/>
          <w:highlight w:val="none"/>
        </w:rPr>
        <w:t>2.6</w:t>
      </w:r>
      <w:r>
        <w:rPr>
          <w:rFonts w:hint="eastAsia" w:ascii="宋体" w:hAnsi="宋体" w:cs="宋体"/>
          <w:color w:val="auto"/>
          <w:sz w:val="21"/>
          <w:szCs w:val="21"/>
          <w:highlight w:val="none"/>
        </w:rPr>
        <w:t>评标委员会成员要依法独立评审</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并对评审意见承担个人责任。</w:t>
      </w:r>
    </w:p>
    <w:p w14:paraId="2EF29F89">
      <w:pPr>
        <w:pStyle w:val="15"/>
        <w:keepNext w:val="0"/>
        <w:keepLines w:val="0"/>
        <w:pageBreakBefore w:val="0"/>
        <w:widowControl w:val="0"/>
        <w:tabs>
          <w:tab w:val="left" w:pos="2472"/>
        </w:tabs>
        <w:kinsoku/>
        <w:wordWrap/>
        <w:overflowPunct/>
        <w:topLinePunct w:val="0"/>
        <w:autoSpaceDE/>
        <w:autoSpaceDN/>
        <w:bidi w:val="0"/>
        <w:adjustRightInd/>
        <w:snapToGrid/>
        <w:spacing w:line="440" w:lineRule="exact"/>
        <w:ind w:firstLine="422" w:firstLineChars="200"/>
        <w:textAlignment w:val="auto"/>
        <w:outlineLvl w:val="2"/>
        <w:rPr>
          <w:rFonts w:hAnsi="宋体" w:cs="宋体"/>
          <w:b/>
          <w:bCs/>
          <w:color w:val="auto"/>
          <w:sz w:val="21"/>
          <w:szCs w:val="21"/>
          <w:highlight w:val="none"/>
        </w:rPr>
      </w:pPr>
      <w:r>
        <w:rPr>
          <w:rFonts w:hAnsi="宋体" w:cs="宋体"/>
          <w:b/>
          <w:bCs/>
          <w:color w:val="auto"/>
          <w:sz w:val="21"/>
          <w:szCs w:val="21"/>
          <w:highlight w:val="none"/>
        </w:rPr>
        <w:t>3.</w:t>
      </w:r>
      <w:r>
        <w:rPr>
          <w:rFonts w:hint="eastAsia" w:hAnsi="宋体" w:cs="宋体"/>
          <w:b/>
          <w:bCs/>
          <w:color w:val="auto"/>
          <w:sz w:val="21"/>
          <w:szCs w:val="21"/>
          <w:highlight w:val="none"/>
        </w:rPr>
        <w:t>投标文件的澄清</w:t>
      </w:r>
      <w:r>
        <w:rPr>
          <w:rFonts w:hint="eastAsia" w:hAnsi="宋体" w:cs="宋体"/>
          <w:b/>
          <w:bCs/>
          <w:color w:val="auto"/>
          <w:sz w:val="21"/>
          <w:szCs w:val="21"/>
          <w:highlight w:val="none"/>
          <w:lang w:eastAsia="zh-CN"/>
        </w:rPr>
        <w:t>、</w:t>
      </w:r>
      <w:r>
        <w:rPr>
          <w:rFonts w:hint="eastAsia" w:hAnsi="宋体" w:cs="宋体"/>
          <w:b/>
          <w:bCs/>
          <w:color w:val="auto"/>
          <w:sz w:val="21"/>
          <w:szCs w:val="21"/>
          <w:highlight w:val="none"/>
        </w:rPr>
        <w:t>说明或者补正</w:t>
      </w:r>
    </w:p>
    <w:p w14:paraId="29EA89BF">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w:t>
      </w:r>
      <w:r>
        <w:rPr>
          <w:rFonts w:hint="default" w:ascii="宋体" w:hAnsi="宋体" w:eastAsia="宋体" w:cs="宋体"/>
          <w:color w:val="auto"/>
          <w:sz w:val="21"/>
          <w:szCs w:val="21"/>
          <w:highlight w:val="none"/>
          <w:lang w:val="en-US" w:eastAsia="zh-CN"/>
        </w:rPr>
        <w:t>对于投标文件中含义不明确</w:t>
      </w:r>
      <w:r>
        <w:rPr>
          <w:rFonts w:hint="eastAsia" w:ascii="宋体" w:hAnsi="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同类问题表述不一致或者有明显文字和计算错误的内容</w:t>
      </w:r>
      <w:r>
        <w:rPr>
          <w:rFonts w:hint="eastAsia" w:ascii="宋体" w:hAnsi="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评标委员会应当以书面形式要求投标人作出必要的澄清</w:t>
      </w:r>
      <w:r>
        <w:rPr>
          <w:rFonts w:hint="eastAsia" w:ascii="宋体" w:hAnsi="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说明或者补正。投标人的澄清</w:t>
      </w:r>
      <w:r>
        <w:rPr>
          <w:rFonts w:hint="eastAsia" w:ascii="宋体" w:hAnsi="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说明或者补正应当采用书面形式</w:t>
      </w:r>
      <w:r>
        <w:rPr>
          <w:rFonts w:hint="eastAsia" w:ascii="宋体" w:hAnsi="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并加盖公章</w:t>
      </w:r>
      <w:r>
        <w:rPr>
          <w:rFonts w:hint="eastAsia" w:ascii="宋体" w:hAnsi="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或者由法定代表人或其授权的代表签字。投标人的澄清</w:t>
      </w:r>
      <w:r>
        <w:rPr>
          <w:rFonts w:hint="eastAsia" w:ascii="宋体" w:hAnsi="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说明或者补正不得超出投标文件的范围或者改变投标文件的实质性内容。</w:t>
      </w:r>
    </w:p>
    <w:p w14:paraId="30D64D49">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ascii="宋体" w:cs="宋体"/>
          <w:color w:val="auto"/>
          <w:sz w:val="21"/>
          <w:szCs w:val="21"/>
          <w:highlight w:val="none"/>
        </w:rPr>
      </w:pPr>
      <w:r>
        <w:rPr>
          <w:rFonts w:ascii="宋体" w:hAnsi="宋体" w:cs="宋体"/>
          <w:color w:val="auto"/>
          <w:sz w:val="21"/>
          <w:szCs w:val="21"/>
          <w:highlight w:val="none"/>
        </w:rPr>
        <w:t>3.2</w:t>
      </w:r>
      <w:r>
        <w:rPr>
          <w:rFonts w:hint="eastAsia" w:ascii="宋体" w:hAnsi="宋体" w:cs="宋体"/>
          <w:color w:val="auto"/>
          <w:sz w:val="21"/>
          <w:szCs w:val="21"/>
          <w:highlight w:val="none"/>
        </w:rPr>
        <w:t>评标委员会不接受投标人主动提出的澄清</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说明或者补正。</w:t>
      </w:r>
    </w:p>
    <w:p w14:paraId="7AB64437">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ascii="宋体" w:cs="宋体"/>
          <w:color w:val="auto"/>
          <w:sz w:val="21"/>
          <w:szCs w:val="21"/>
          <w:highlight w:val="none"/>
        </w:rPr>
      </w:pPr>
      <w:r>
        <w:rPr>
          <w:rFonts w:ascii="宋体" w:hAnsi="宋体" w:cs="宋体"/>
          <w:color w:val="auto"/>
          <w:sz w:val="21"/>
          <w:szCs w:val="21"/>
          <w:highlight w:val="none"/>
        </w:rPr>
        <w:t xml:space="preserve">3.3 </w:t>
      </w:r>
      <w:r>
        <w:rPr>
          <w:rFonts w:hint="eastAsia" w:ascii="宋体" w:hAnsi="宋体" w:cs="宋体"/>
          <w:color w:val="auto"/>
          <w:sz w:val="21"/>
          <w:szCs w:val="21"/>
          <w:highlight w:val="none"/>
        </w:rPr>
        <w:t>评标委员会对投标人提交的澄清</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说明或者补正有疑问的</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可以要求投标人进一步澄清</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说明或者补正。</w:t>
      </w:r>
    </w:p>
    <w:p w14:paraId="42B3219A">
      <w:pPr>
        <w:pStyle w:val="15"/>
        <w:keepNext w:val="0"/>
        <w:keepLines w:val="0"/>
        <w:pageBreakBefore w:val="0"/>
        <w:widowControl w:val="0"/>
        <w:tabs>
          <w:tab w:val="left" w:pos="2472"/>
        </w:tabs>
        <w:kinsoku/>
        <w:wordWrap/>
        <w:overflowPunct/>
        <w:topLinePunct w:val="0"/>
        <w:autoSpaceDE/>
        <w:autoSpaceDN/>
        <w:bidi w:val="0"/>
        <w:adjustRightInd/>
        <w:snapToGrid/>
        <w:spacing w:line="440" w:lineRule="exact"/>
        <w:ind w:firstLine="422" w:firstLineChars="200"/>
        <w:textAlignment w:val="auto"/>
        <w:outlineLvl w:val="2"/>
        <w:rPr>
          <w:rFonts w:hAnsi="宋体" w:cs="宋体"/>
          <w:b/>
          <w:bCs/>
          <w:color w:val="auto"/>
          <w:sz w:val="21"/>
          <w:szCs w:val="21"/>
          <w:highlight w:val="none"/>
        </w:rPr>
      </w:pPr>
      <w:r>
        <w:rPr>
          <w:rFonts w:hAnsi="宋体" w:cs="宋体"/>
          <w:b/>
          <w:bCs/>
          <w:color w:val="auto"/>
          <w:sz w:val="21"/>
          <w:szCs w:val="21"/>
          <w:highlight w:val="none"/>
        </w:rPr>
        <w:t>4.</w:t>
      </w:r>
      <w:r>
        <w:rPr>
          <w:rFonts w:hint="eastAsia" w:hAnsi="宋体" w:cs="宋体"/>
          <w:b/>
          <w:bCs/>
          <w:color w:val="auto"/>
          <w:sz w:val="21"/>
          <w:szCs w:val="21"/>
          <w:highlight w:val="none"/>
        </w:rPr>
        <w:t>评标结果</w:t>
      </w:r>
    </w:p>
    <w:p w14:paraId="56D42201">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cs="宋体"/>
          <w:color w:val="auto"/>
          <w:sz w:val="21"/>
          <w:szCs w:val="21"/>
          <w:highlight w:val="none"/>
        </w:rPr>
      </w:pPr>
      <w:r>
        <w:rPr>
          <w:rFonts w:ascii="宋体" w:hAnsi="宋体" w:cs="宋体"/>
          <w:color w:val="auto"/>
          <w:sz w:val="21"/>
          <w:szCs w:val="21"/>
          <w:highlight w:val="none"/>
        </w:rPr>
        <w:t>4.1</w:t>
      </w:r>
      <w:r>
        <w:rPr>
          <w:rFonts w:hint="eastAsia" w:ascii="宋体" w:hAnsi="宋体" w:cs="宋体"/>
          <w:color w:val="auto"/>
          <w:sz w:val="21"/>
          <w:szCs w:val="21"/>
          <w:highlight w:val="none"/>
        </w:rPr>
        <w:t>本采购包推荐中标候选人的数量：</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家。中标人数量：</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家。</w:t>
      </w:r>
    </w:p>
    <w:p w14:paraId="7B7F129F">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ascii="宋体" w:cs="宋体"/>
          <w:color w:val="auto"/>
          <w:sz w:val="21"/>
          <w:szCs w:val="21"/>
          <w:highlight w:val="none"/>
        </w:rPr>
      </w:pPr>
      <w:r>
        <w:rPr>
          <w:rFonts w:ascii="宋体" w:hAnsi="宋体" w:cs="宋体"/>
          <w:color w:val="auto"/>
          <w:sz w:val="21"/>
          <w:szCs w:val="21"/>
          <w:highlight w:val="none"/>
        </w:rPr>
        <w:t>4.2</w:t>
      </w:r>
      <w:r>
        <w:rPr>
          <w:rFonts w:hint="eastAsia" w:ascii="宋体" w:hAnsi="宋体" w:cs="宋体"/>
          <w:color w:val="auto"/>
          <w:sz w:val="21"/>
          <w:szCs w:val="21"/>
          <w:highlight w:val="none"/>
        </w:rPr>
        <w:t>中标候选人并列的</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按照授权齐全、资格合格且报价最低或最有利于采购人利益的方式确定中标人。</w:t>
      </w:r>
    </w:p>
    <w:p w14:paraId="7F20FA34">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ascii="宋体" w:cs="宋体"/>
          <w:color w:val="auto"/>
          <w:sz w:val="21"/>
          <w:szCs w:val="21"/>
          <w:highlight w:val="none"/>
        </w:rPr>
      </w:pPr>
      <w:r>
        <w:rPr>
          <w:rFonts w:ascii="宋体" w:hAnsi="宋体" w:cs="宋体"/>
          <w:color w:val="auto"/>
          <w:sz w:val="21"/>
          <w:szCs w:val="21"/>
          <w:highlight w:val="none"/>
        </w:rPr>
        <w:t>4.3</w:t>
      </w:r>
      <w:r>
        <w:rPr>
          <w:rFonts w:hint="eastAsia" w:ascii="宋体" w:hAnsi="宋体" w:cs="宋体"/>
          <w:color w:val="auto"/>
          <w:sz w:val="21"/>
          <w:szCs w:val="21"/>
          <w:highlight w:val="none"/>
        </w:rPr>
        <w:t>投标文件满足招标文件全部实质性要求</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且按照评审因素的量化指标评审得分最高的投标人将会被推荐为排名第一的中标候选人。</w:t>
      </w:r>
    </w:p>
    <w:p w14:paraId="16ECB9EB">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rPr>
      </w:pPr>
      <w:r>
        <w:rPr>
          <w:rFonts w:ascii="宋体" w:hAnsi="宋体" w:cs="宋体"/>
          <w:color w:val="auto"/>
          <w:sz w:val="21"/>
          <w:szCs w:val="21"/>
          <w:highlight w:val="none"/>
        </w:rPr>
        <w:t>4.4</w:t>
      </w:r>
      <w:r>
        <w:rPr>
          <w:rFonts w:hint="eastAsia" w:ascii="宋体" w:hAnsi="宋体" w:cs="宋体"/>
          <w:color w:val="auto"/>
          <w:sz w:val="21"/>
          <w:szCs w:val="21"/>
          <w:highlight w:val="none"/>
        </w:rPr>
        <w:t>评标委员会按评标总得分由高到低顺序推荐中标候选人</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评标总得分相等时</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按投标报价由低到高顺序排序</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并提出书面评标报告。</w:t>
      </w:r>
    </w:p>
    <w:p w14:paraId="103AC21B">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4.5</w:t>
      </w:r>
      <w:r>
        <w:rPr>
          <w:rFonts w:hint="default" w:ascii="宋体" w:hAnsi="宋体" w:eastAsia="宋体" w:cs="宋体"/>
          <w:color w:val="auto"/>
          <w:sz w:val="21"/>
          <w:szCs w:val="21"/>
          <w:highlight w:val="none"/>
          <w:lang w:val="en-US" w:eastAsia="zh-CN"/>
        </w:rPr>
        <w:t>评标委员会成员应当在评标报告上签字</w:t>
      </w:r>
      <w:r>
        <w:rPr>
          <w:rFonts w:hint="eastAsia" w:ascii="宋体" w:hAnsi="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对自己的评审意见承担法律责任。评标委员会成员对需要共同认定的事项存在争议的</w:t>
      </w:r>
      <w:r>
        <w:rPr>
          <w:rFonts w:hint="eastAsia" w:ascii="宋体" w:hAnsi="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应当按照少数服从多数的原则作出结论。持不同意见的评标委员会成员应当在评标报告上签署不同意见及理由</w:t>
      </w:r>
      <w:r>
        <w:rPr>
          <w:rFonts w:hint="eastAsia" w:ascii="宋体" w:hAnsi="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否则视为同意评标报告</w:t>
      </w:r>
      <w:r>
        <w:rPr>
          <w:rFonts w:hint="eastAsia" w:ascii="宋体" w:hAnsi="宋体" w:eastAsia="宋体" w:cs="宋体"/>
          <w:color w:val="auto"/>
          <w:sz w:val="21"/>
          <w:szCs w:val="21"/>
          <w:highlight w:val="none"/>
          <w:lang w:val="en-US" w:eastAsia="zh-CN"/>
        </w:rPr>
        <w:t>。</w:t>
      </w:r>
    </w:p>
    <w:p w14:paraId="0D1F96B4">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评标委员会发现招标文件存在歧义</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导致评标工作无法进行</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或者招标文件内容违反国家有关强制性规定的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应当停止评标工作</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与采购人或者采购代理机构沟通并作书面记录。采购人或者采购代理机构确认后</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应当修改招标文件</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重新组织采购活动。</w:t>
      </w:r>
    </w:p>
    <w:p w14:paraId="06FF5937">
      <w:pPr>
        <w:pageBreakBefore w:val="0"/>
        <w:kinsoku/>
        <w:topLinePunct w:val="0"/>
        <w:bidi w:val="0"/>
        <w:spacing w:line="440" w:lineRule="exact"/>
        <w:rPr>
          <w:rFonts w:ascii="宋体" w:hAnsi="宋体"/>
          <w:color w:val="auto"/>
          <w:sz w:val="21"/>
          <w:szCs w:val="21"/>
          <w:highlight w:val="none"/>
        </w:rPr>
      </w:pPr>
      <w:r>
        <w:rPr>
          <w:rFonts w:ascii="宋体" w:hAnsi="宋体"/>
          <w:color w:val="auto"/>
          <w:sz w:val="21"/>
          <w:szCs w:val="21"/>
          <w:highlight w:val="none"/>
        </w:rPr>
        <w:br w:type="page"/>
      </w:r>
    </w:p>
    <w:p w14:paraId="5E0EEC1A">
      <w:pPr>
        <w:bidi w:val="0"/>
        <w:jc w:val="center"/>
        <w:outlineLvl w:val="0"/>
        <w:rPr>
          <w:rFonts w:hint="eastAsia" w:ascii="宋体" w:hAnsi="宋体" w:eastAsia="宋体" w:cs="宋体"/>
          <w:b/>
          <w:bCs/>
          <w:color w:val="auto"/>
          <w:sz w:val="28"/>
          <w:szCs w:val="28"/>
          <w:highlight w:val="none"/>
        </w:rPr>
      </w:pPr>
      <w:bookmarkStart w:id="102" w:name="_Toc25364"/>
      <w:bookmarkStart w:id="206" w:name="_GoBack"/>
      <w:r>
        <w:rPr>
          <w:rFonts w:hint="eastAsia" w:ascii="宋体" w:hAnsi="宋体" w:eastAsia="宋体" w:cs="宋体"/>
          <w:b/>
          <w:bCs/>
          <w:color w:val="auto"/>
          <w:sz w:val="28"/>
          <w:szCs w:val="28"/>
          <w:highlight w:val="none"/>
        </w:rPr>
        <w:t>第四章  政府采购合同文本</w:t>
      </w:r>
      <w:bookmarkEnd w:id="206"/>
      <w:bookmarkEnd w:id="69"/>
      <w:bookmarkEnd w:id="70"/>
      <w:bookmarkEnd w:id="71"/>
      <w:bookmarkEnd w:id="72"/>
      <w:bookmarkEnd w:id="73"/>
      <w:bookmarkEnd w:id="74"/>
      <w:bookmarkEnd w:id="75"/>
      <w:bookmarkEnd w:id="76"/>
      <w:bookmarkEnd w:id="77"/>
      <w:bookmarkEnd w:id="102"/>
    </w:p>
    <w:p w14:paraId="0F1FCC8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华文中宋" w:hAnsi="华文中宋" w:eastAsia="华文中宋" w:cs="华文中宋"/>
          <w:color w:val="auto"/>
          <w:sz w:val="44"/>
          <w:szCs w:val="44"/>
          <w:highlight w:val="none"/>
        </w:rPr>
      </w:pPr>
      <w:bookmarkStart w:id="103" w:name="_Toc132880284"/>
    </w:p>
    <w:p w14:paraId="2DB46E0B">
      <w:pPr>
        <w:pStyle w:val="15"/>
        <w:keepNext w:val="0"/>
        <w:keepLines w:val="0"/>
        <w:pageBreakBefore w:val="0"/>
        <w:widowControl w:val="0"/>
        <w:kinsoku/>
        <w:wordWrap/>
        <w:overflowPunct/>
        <w:bidi w:val="0"/>
        <w:adjustRightInd/>
        <w:jc w:val="center"/>
        <w:textAlignment w:val="auto"/>
        <w:outlineLvl w:val="9"/>
        <w:rPr>
          <w:rFonts w:hint="eastAsia" w:ascii="华文中宋" w:hAnsi="华文中宋" w:eastAsia="华文中宋" w:cs="华文中宋"/>
          <w:b w:val="0"/>
          <w:bCs/>
          <w:color w:val="auto"/>
          <w:sz w:val="32"/>
          <w:szCs w:val="32"/>
          <w:highlight w:val="none"/>
        </w:rPr>
      </w:pPr>
    </w:p>
    <w:p w14:paraId="687E8000">
      <w:pPr>
        <w:pStyle w:val="15"/>
        <w:keepNext w:val="0"/>
        <w:keepLines w:val="0"/>
        <w:pageBreakBefore w:val="0"/>
        <w:widowControl w:val="0"/>
        <w:kinsoku/>
        <w:wordWrap/>
        <w:overflowPunct/>
        <w:bidi w:val="0"/>
        <w:adjustRightInd/>
        <w:jc w:val="center"/>
        <w:textAlignment w:val="auto"/>
        <w:outlineLvl w:val="9"/>
        <w:rPr>
          <w:rFonts w:hint="eastAsia" w:ascii="华文中宋" w:hAnsi="华文中宋" w:eastAsia="华文中宋" w:cs="华文中宋"/>
          <w:b w:val="0"/>
          <w:bCs/>
          <w:color w:val="auto"/>
          <w:sz w:val="32"/>
          <w:szCs w:val="32"/>
          <w:highlight w:val="none"/>
        </w:rPr>
      </w:pPr>
    </w:p>
    <w:p w14:paraId="0BF644E3">
      <w:pPr>
        <w:pStyle w:val="15"/>
        <w:keepNext w:val="0"/>
        <w:keepLines w:val="0"/>
        <w:pageBreakBefore w:val="0"/>
        <w:widowControl w:val="0"/>
        <w:kinsoku/>
        <w:wordWrap/>
        <w:overflowPunct/>
        <w:bidi w:val="0"/>
        <w:adjustRightInd/>
        <w:jc w:val="center"/>
        <w:textAlignment w:val="auto"/>
        <w:outlineLvl w:val="9"/>
        <w:rPr>
          <w:rFonts w:hint="eastAsia" w:ascii="华文中宋" w:hAnsi="华文中宋" w:eastAsia="华文中宋" w:cs="华文中宋"/>
          <w:b w:val="0"/>
          <w:bCs/>
          <w:color w:val="auto"/>
          <w:sz w:val="72"/>
          <w:szCs w:val="72"/>
          <w:highlight w:val="none"/>
        </w:rPr>
      </w:pPr>
      <w:r>
        <w:rPr>
          <w:rFonts w:hint="eastAsia" w:ascii="华文中宋" w:hAnsi="华文中宋" w:eastAsia="华文中宋" w:cs="华文中宋"/>
          <w:b w:val="0"/>
          <w:bCs/>
          <w:color w:val="auto"/>
          <w:sz w:val="72"/>
          <w:szCs w:val="72"/>
          <w:highlight w:val="none"/>
        </w:rPr>
        <w:t>合 同 书</w:t>
      </w:r>
    </w:p>
    <w:p w14:paraId="554FECCE">
      <w:pPr>
        <w:pStyle w:val="15"/>
        <w:keepNext w:val="0"/>
        <w:keepLines w:val="0"/>
        <w:pageBreakBefore w:val="0"/>
        <w:widowControl w:val="0"/>
        <w:kinsoku/>
        <w:wordWrap/>
        <w:overflowPunct/>
        <w:bidi w:val="0"/>
        <w:adjustRightInd/>
        <w:jc w:val="center"/>
        <w:textAlignment w:val="auto"/>
        <w:outlineLvl w:val="9"/>
        <w:rPr>
          <w:rFonts w:hint="eastAsia" w:ascii="华文中宋" w:hAnsi="华文中宋" w:eastAsia="华文中宋" w:cs="华文中宋"/>
          <w:b w:val="0"/>
          <w:bCs/>
          <w:color w:val="auto"/>
          <w:sz w:val="32"/>
          <w:szCs w:val="32"/>
          <w:highlight w:val="none"/>
        </w:rPr>
      </w:pPr>
    </w:p>
    <w:p w14:paraId="5AB45F0A">
      <w:pPr>
        <w:pStyle w:val="15"/>
        <w:keepNext w:val="0"/>
        <w:keepLines w:val="0"/>
        <w:pageBreakBefore w:val="0"/>
        <w:widowControl w:val="0"/>
        <w:kinsoku/>
        <w:wordWrap/>
        <w:overflowPunct/>
        <w:bidi w:val="0"/>
        <w:adjustRightInd/>
        <w:jc w:val="center"/>
        <w:textAlignment w:val="auto"/>
        <w:outlineLvl w:val="9"/>
        <w:rPr>
          <w:rFonts w:hint="eastAsia" w:ascii="华文中宋" w:hAnsi="华文中宋" w:eastAsia="华文中宋" w:cs="华文中宋"/>
          <w:b w:val="0"/>
          <w:bCs/>
          <w:color w:val="auto"/>
          <w:sz w:val="32"/>
          <w:szCs w:val="32"/>
          <w:highlight w:val="none"/>
        </w:rPr>
      </w:pPr>
    </w:p>
    <w:p w14:paraId="3F06C79A">
      <w:pPr>
        <w:pStyle w:val="15"/>
        <w:keepNext w:val="0"/>
        <w:keepLines w:val="0"/>
        <w:pageBreakBefore w:val="0"/>
        <w:widowControl w:val="0"/>
        <w:kinsoku/>
        <w:wordWrap/>
        <w:overflowPunct/>
        <w:bidi w:val="0"/>
        <w:adjustRightInd/>
        <w:jc w:val="center"/>
        <w:textAlignment w:val="auto"/>
        <w:outlineLvl w:val="9"/>
        <w:rPr>
          <w:rFonts w:hint="eastAsia" w:ascii="华文中宋" w:hAnsi="华文中宋" w:eastAsia="华文中宋" w:cs="华文中宋"/>
          <w:b w:val="0"/>
          <w:bCs/>
          <w:color w:val="auto"/>
          <w:sz w:val="32"/>
          <w:szCs w:val="32"/>
          <w:highlight w:val="none"/>
        </w:rPr>
      </w:pPr>
    </w:p>
    <w:p w14:paraId="329CDF8C">
      <w:pPr>
        <w:pStyle w:val="15"/>
        <w:keepNext w:val="0"/>
        <w:keepLines w:val="0"/>
        <w:pageBreakBefore w:val="0"/>
        <w:widowControl w:val="0"/>
        <w:kinsoku/>
        <w:wordWrap/>
        <w:overflowPunct/>
        <w:bidi w:val="0"/>
        <w:adjustRightInd/>
        <w:jc w:val="center"/>
        <w:textAlignment w:val="auto"/>
        <w:outlineLvl w:val="9"/>
        <w:rPr>
          <w:rFonts w:hint="eastAsia" w:ascii="华文中宋" w:hAnsi="华文中宋" w:eastAsia="华文中宋" w:cs="华文中宋"/>
          <w:b w:val="0"/>
          <w:bCs/>
          <w:color w:val="auto"/>
          <w:sz w:val="32"/>
          <w:szCs w:val="32"/>
          <w:highlight w:val="none"/>
        </w:rPr>
      </w:pPr>
    </w:p>
    <w:p w14:paraId="6484AFFF">
      <w:pPr>
        <w:keepNext w:val="0"/>
        <w:keepLines w:val="0"/>
        <w:pageBreakBefore w:val="0"/>
        <w:widowControl w:val="0"/>
        <w:tabs>
          <w:tab w:val="left" w:pos="1680"/>
        </w:tabs>
        <w:kinsoku/>
        <w:wordWrap/>
        <w:overflowPunct/>
        <w:topLinePunct/>
        <w:autoSpaceDE w:val="0"/>
        <w:autoSpaceDN w:val="0"/>
        <w:bidi w:val="0"/>
        <w:adjustRightInd/>
        <w:snapToGrid w:val="0"/>
        <w:spacing w:line="360" w:lineRule="auto"/>
        <w:ind w:left="1680" w:leftChars="800" w:firstLine="0" w:firstLineChars="0"/>
        <w:jc w:val="both"/>
        <w:textAlignment w:val="auto"/>
        <w:outlineLvl w:val="9"/>
        <w:rPr>
          <w:rFonts w:hint="eastAsia" w:ascii="微软雅黑" w:hAnsi="微软雅黑" w:eastAsia="微软雅黑" w:cs="微软雅黑"/>
          <w:b w:val="0"/>
          <w:bCs/>
          <w:color w:val="auto"/>
          <w:sz w:val="24"/>
          <w:szCs w:val="24"/>
          <w:highlight w:val="none"/>
          <w:u w:val="single"/>
          <w:lang w:val="en-US" w:eastAsia="zh-CN"/>
        </w:rPr>
      </w:pPr>
      <w:bookmarkStart w:id="104" w:name="_Toc25438_WPSOffice_Level2"/>
      <w:r>
        <w:rPr>
          <w:rFonts w:hint="eastAsia" w:ascii="微软雅黑" w:hAnsi="微软雅黑" w:eastAsia="微软雅黑" w:cs="微软雅黑"/>
          <w:b w:val="0"/>
          <w:bCs/>
          <w:color w:val="auto"/>
          <w:sz w:val="24"/>
          <w:szCs w:val="24"/>
          <w:highlight w:val="none"/>
        </w:rPr>
        <w:t>项目名称</w:t>
      </w:r>
      <w:bookmarkEnd w:id="104"/>
      <w:r>
        <w:rPr>
          <w:rFonts w:hint="eastAsia" w:ascii="微软雅黑" w:hAnsi="微软雅黑" w:eastAsia="微软雅黑" w:cs="微软雅黑"/>
          <w:b w:val="0"/>
          <w:bCs/>
          <w:color w:val="auto"/>
          <w:sz w:val="24"/>
          <w:szCs w:val="24"/>
          <w:highlight w:val="none"/>
          <w:lang w:eastAsia="zh-CN"/>
        </w:rPr>
        <w:t>：</w:t>
      </w:r>
      <w:r>
        <w:rPr>
          <w:rFonts w:hint="eastAsia" w:ascii="微软雅黑" w:hAnsi="微软雅黑" w:eastAsia="微软雅黑" w:cs="微软雅黑"/>
          <w:b w:val="0"/>
          <w:bCs/>
          <w:color w:val="auto"/>
          <w:sz w:val="24"/>
          <w:szCs w:val="24"/>
          <w:highlight w:val="none"/>
          <w:u w:val="single"/>
          <w:lang w:val="en-US" w:eastAsia="zh-CN"/>
        </w:rPr>
        <w:t xml:space="preserve"> </w:t>
      </w:r>
      <w:bookmarkStart w:id="105" w:name="_Toc25645_WPSOffice_Level2"/>
      <w:r>
        <w:rPr>
          <w:rFonts w:hint="eastAsia" w:ascii="微软雅黑" w:hAnsi="微软雅黑" w:eastAsia="微软雅黑" w:cs="微软雅黑"/>
          <w:b w:val="0"/>
          <w:bCs/>
          <w:color w:val="auto"/>
          <w:sz w:val="24"/>
          <w:szCs w:val="24"/>
          <w:highlight w:val="none"/>
          <w:u w:val="single"/>
          <w:lang w:val="en-US" w:eastAsia="zh-CN"/>
        </w:rPr>
        <w:t>国家税务总局昆明市官渡区税务局2026年物业管理服务项目（二次）</w:t>
      </w:r>
    </w:p>
    <w:p w14:paraId="46F6DBA6">
      <w:pPr>
        <w:keepNext w:val="0"/>
        <w:keepLines w:val="0"/>
        <w:pageBreakBefore w:val="0"/>
        <w:widowControl w:val="0"/>
        <w:tabs>
          <w:tab w:val="left" w:pos="1680"/>
        </w:tabs>
        <w:kinsoku/>
        <w:wordWrap/>
        <w:overflowPunct/>
        <w:topLinePunct/>
        <w:autoSpaceDE w:val="0"/>
        <w:autoSpaceDN w:val="0"/>
        <w:bidi w:val="0"/>
        <w:adjustRightInd/>
        <w:snapToGrid w:val="0"/>
        <w:spacing w:line="360" w:lineRule="auto"/>
        <w:ind w:left="1680" w:leftChars="800" w:firstLine="0" w:firstLineChars="0"/>
        <w:jc w:val="both"/>
        <w:textAlignment w:val="auto"/>
        <w:outlineLvl w:val="9"/>
        <w:rPr>
          <w:rFonts w:hint="default" w:ascii="微软雅黑" w:hAnsi="微软雅黑" w:eastAsia="微软雅黑" w:cs="微软雅黑"/>
          <w:b w:val="0"/>
          <w:bCs/>
          <w:color w:val="auto"/>
          <w:sz w:val="24"/>
          <w:szCs w:val="24"/>
          <w:highlight w:val="none"/>
          <w:lang w:val="en-US" w:eastAsia="zh-CN"/>
        </w:rPr>
      </w:pPr>
      <w:r>
        <w:rPr>
          <w:rFonts w:hint="eastAsia" w:ascii="微软雅黑" w:hAnsi="微软雅黑" w:eastAsia="微软雅黑" w:cs="微软雅黑"/>
          <w:b w:val="0"/>
          <w:bCs/>
          <w:color w:val="auto"/>
          <w:sz w:val="24"/>
          <w:szCs w:val="24"/>
          <w:highlight w:val="none"/>
          <w:lang w:eastAsia="zh-CN"/>
        </w:rPr>
        <w:t>包</w:t>
      </w:r>
      <w:r>
        <w:rPr>
          <w:rFonts w:hint="eastAsia" w:ascii="微软雅黑" w:hAnsi="微软雅黑" w:eastAsia="微软雅黑" w:cs="微软雅黑"/>
          <w:b w:val="0"/>
          <w:bCs/>
          <w:color w:val="auto"/>
          <w:sz w:val="24"/>
          <w:szCs w:val="24"/>
          <w:highlight w:val="none"/>
          <w:lang w:val="en-US" w:eastAsia="zh-CN"/>
        </w:rPr>
        <w:t xml:space="preserve">    </w:t>
      </w:r>
      <w:r>
        <w:rPr>
          <w:rFonts w:hint="eastAsia" w:ascii="微软雅黑" w:hAnsi="微软雅黑" w:eastAsia="微软雅黑" w:cs="微软雅黑"/>
          <w:b w:val="0"/>
          <w:bCs/>
          <w:color w:val="auto"/>
          <w:sz w:val="24"/>
          <w:szCs w:val="24"/>
          <w:highlight w:val="none"/>
          <w:lang w:eastAsia="zh-CN"/>
        </w:rPr>
        <w:t>号</w:t>
      </w:r>
      <w:bookmarkEnd w:id="105"/>
      <w:r>
        <w:rPr>
          <w:rFonts w:hint="eastAsia" w:ascii="微软雅黑" w:hAnsi="微软雅黑" w:eastAsia="微软雅黑" w:cs="微软雅黑"/>
          <w:b w:val="0"/>
          <w:bCs/>
          <w:color w:val="auto"/>
          <w:sz w:val="24"/>
          <w:szCs w:val="24"/>
          <w:highlight w:val="none"/>
          <w:lang w:eastAsia="zh-CN"/>
        </w:rPr>
        <w:t>：</w:t>
      </w:r>
      <w:r>
        <w:rPr>
          <w:rFonts w:hint="eastAsia" w:ascii="微软雅黑" w:hAnsi="微软雅黑" w:eastAsia="微软雅黑" w:cs="微软雅黑"/>
          <w:b w:val="0"/>
          <w:bCs/>
          <w:color w:val="auto"/>
          <w:sz w:val="24"/>
          <w:szCs w:val="24"/>
          <w:highlight w:val="none"/>
          <w:u w:val="single"/>
          <w:lang w:val="en-US" w:eastAsia="zh-CN"/>
        </w:rPr>
        <w:t xml:space="preserve">  \     </w:t>
      </w:r>
    </w:p>
    <w:p w14:paraId="497E4F34">
      <w:pPr>
        <w:keepNext w:val="0"/>
        <w:keepLines w:val="0"/>
        <w:pageBreakBefore w:val="0"/>
        <w:widowControl w:val="0"/>
        <w:tabs>
          <w:tab w:val="left" w:pos="540"/>
          <w:tab w:val="left" w:pos="1080"/>
          <w:tab w:val="left" w:pos="1440"/>
        </w:tabs>
        <w:kinsoku/>
        <w:wordWrap/>
        <w:overflowPunct/>
        <w:bidi w:val="0"/>
        <w:adjustRightInd/>
        <w:snapToGrid w:val="0"/>
        <w:spacing w:line="360" w:lineRule="auto"/>
        <w:ind w:left="1680" w:leftChars="800" w:firstLine="0" w:firstLineChars="0"/>
        <w:textAlignment w:val="auto"/>
        <w:outlineLvl w:val="9"/>
        <w:rPr>
          <w:rFonts w:hint="default" w:ascii="微软雅黑" w:hAnsi="微软雅黑" w:eastAsia="微软雅黑" w:cs="微软雅黑"/>
          <w:b w:val="0"/>
          <w:bCs/>
          <w:color w:val="auto"/>
          <w:sz w:val="24"/>
          <w:szCs w:val="24"/>
          <w:highlight w:val="none"/>
          <w:u w:val="single"/>
          <w:lang w:val="en-US" w:eastAsia="zh-CN"/>
        </w:rPr>
      </w:pPr>
      <w:bookmarkStart w:id="106" w:name="_Toc320_WPSOffice_Level2"/>
      <w:r>
        <w:rPr>
          <w:rFonts w:hint="eastAsia" w:ascii="微软雅黑" w:hAnsi="微软雅黑" w:eastAsia="微软雅黑" w:cs="微软雅黑"/>
          <w:b w:val="0"/>
          <w:bCs/>
          <w:color w:val="auto"/>
          <w:sz w:val="24"/>
          <w:szCs w:val="24"/>
          <w:highlight w:val="none"/>
        </w:rPr>
        <w:t>合同编号</w:t>
      </w:r>
      <w:bookmarkEnd w:id="106"/>
      <w:r>
        <w:rPr>
          <w:rFonts w:hint="eastAsia" w:ascii="微软雅黑" w:hAnsi="微软雅黑" w:eastAsia="微软雅黑" w:cs="微软雅黑"/>
          <w:b w:val="0"/>
          <w:bCs/>
          <w:color w:val="auto"/>
          <w:sz w:val="24"/>
          <w:szCs w:val="24"/>
          <w:highlight w:val="none"/>
          <w:lang w:eastAsia="zh-CN"/>
        </w:rPr>
        <w:t>：</w:t>
      </w:r>
      <w:r>
        <w:rPr>
          <w:rFonts w:hint="eastAsia" w:ascii="微软雅黑" w:hAnsi="微软雅黑" w:eastAsia="微软雅黑" w:cs="微软雅黑"/>
          <w:b w:val="0"/>
          <w:bCs/>
          <w:color w:val="auto"/>
          <w:sz w:val="24"/>
          <w:szCs w:val="24"/>
          <w:highlight w:val="none"/>
          <w:u w:val="single"/>
          <w:lang w:val="en-US" w:eastAsia="zh-CN"/>
        </w:rPr>
        <w:t xml:space="preserve">                    </w:t>
      </w:r>
    </w:p>
    <w:p w14:paraId="633FC9EA">
      <w:pPr>
        <w:pStyle w:val="15"/>
        <w:keepNext w:val="0"/>
        <w:keepLines w:val="0"/>
        <w:pageBreakBefore w:val="0"/>
        <w:widowControl w:val="0"/>
        <w:kinsoku/>
        <w:wordWrap/>
        <w:overflowPunct/>
        <w:bidi w:val="0"/>
        <w:adjustRightInd/>
        <w:jc w:val="center"/>
        <w:textAlignment w:val="auto"/>
        <w:outlineLvl w:val="9"/>
        <w:rPr>
          <w:rFonts w:hint="eastAsia" w:ascii="华文中宋" w:hAnsi="华文中宋" w:eastAsia="华文中宋" w:cs="华文中宋"/>
          <w:b w:val="0"/>
          <w:bCs/>
          <w:color w:val="auto"/>
          <w:sz w:val="32"/>
          <w:szCs w:val="32"/>
          <w:highlight w:val="none"/>
        </w:rPr>
      </w:pPr>
    </w:p>
    <w:p w14:paraId="439605FD">
      <w:pPr>
        <w:pStyle w:val="15"/>
        <w:keepNext w:val="0"/>
        <w:keepLines w:val="0"/>
        <w:pageBreakBefore w:val="0"/>
        <w:widowControl w:val="0"/>
        <w:kinsoku/>
        <w:wordWrap/>
        <w:overflowPunct/>
        <w:bidi w:val="0"/>
        <w:adjustRightInd/>
        <w:jc w:val="center"/>
        <w:textAlignment w:val="auto"/>
        <w:outlineLvl w:val="9"/>
        <w:rPr>
          <w:rFonts w:hint="eastAsia" w:ascii="华文中宋" w:hAnsi="华文中宋" w:eastAsia="华文中宋" w:cs="华文中宋"/>
          <w:b w:val="0"/>
          <w:bCs/>
          <w:color w:val="auto"/>
          <w:sz w:val="32"/>
          <w:szCs w:val="32"/>
          <w:highlight w:val="none"/>
        </w:rPr>
      </w:pPr>
    </w:p>
    <w:p w14:paraId="5901BF42">
      <w:pPr>
        <w:pStyle w:val="15"/>
        <w:keepNext w:val="0"/>
        <w:keepLines w:val="0"/>
        <w:pageBreakBefore w:val="0"/>
        <w:widowControl w:val="0"/>
        <w:kinsoku/>
        <w:wordWrap/>
        <w:overflowPunct/>
        <w:bidi w:val="0"/>
        <w:adjustRightInd/>
        <w:jc w:val="center"/>
        <w:textAlignment w:val="auto"/>
        <w:outlineLvl w:val="9"/>
        <w:rPr>
          <w:rFonts w:hint="eastAsia" w:ascii="华文中宋" w:hAnsi="华文中宋" w:eastAsia="华文中宋" w:cs="华文中宋"/>
          <w:b w:val="0"/>
          <w:bCs/>
          <w:color w:val="auto"/>
          <w:sz w:val="32"/>
          <w:szCs w:val="32"/>
          <w:highlight w:val="none"/>
        </w:rPr>
      </w:pPr>
    </w:p>
    <w:p w14:paraId="4DCD7C49">
      <w:pPr>
        <w:keepNext w:val="0"/>
        <w:keepLines w:val="0"/>
        <w:pageBreakBefore w:val="0"/>
        <w:widowControl w:val="0"/>
        <w:kinsoku/>
        <w:wordWrap/>
        <w:overflowPunct/>
        <w:topLinePunct w:val="0"/>
        <w:autoSpaceDE/>
        <w:autoSpaceDN/>
        <w:bidi w:val="0"/>
        <w:adjustRightInd/>
        <w:snapToGrid/>
        <w:spacing w:line="300" w:lineRule="auto"/>
        <w:ind w:left="840" w:leftChars="400" w:firstLine="1298" w:firstLineChars="541"/>
        <w:textAlignment w:val="auto"/>
        <w:rPr>
          <w:rFonts w:hint="eastAsia" w:ascii="微软雅黑" w:hAnsi="微软雅黑" w:eastAsia="微软雅黑" w:cs="微软雅黑"/>
          <w:b w:val="0"/>
          <w:bCs/>
          <w:color w:val="auto"/>
          <w:sz w:val="24"/>
          <w:szCs w:val="24"/>
          <w:highlight w:val="none"/>
          <w:lang w:eastAsia="zh-CN"/>
        </w:rPr>
      </w:pPr>
      <w:bookmarkStart w:id="107" w:name="_Toc3958_WPSOffice_Level2"/>
      <w:r>
        <w:rPr>
          <w:rFonts w:hint="eastAsia" w:ascii="微软雅黑" w:hAnsi="微软雅黑" w:eastAsia="微软雅黑" w:cs="微软雅黑"/>
          <w:b w:val="0"/>
          <w:bCs/>
          <w:color w:val="auto"/>
          <w:sz w:val="24"/>
          <w:szCs w:val="24"/>
          <w:highlight w:val="none"/>
        </w:rPr>
        <w:t>甲    方</w:t>
      </w:r>
      <w:r>
        <w:rPr>
          <w:rFonts w:hint="eastAsia" w:ascii="微软雅黑" w:hAnsi="微软雅黑" w:eastAsia="微软雅黑" w:cs="微软雅黑"/>
          <w:b w:val="0"/>
          <w:bCs/>
          <w:color w:val="auto"/>
          <w:sz w:val="24"/>
          <w:szCs w:val="24"/>
          <w:highlight w:val="none"/>
          <w:lang w:eastAsia="zh-CN"/>
        </w:rPr>
        <w:t>：</w:t>
      </w:r>
      <w:r>
        <w:rPr>
          <w:rFonts w:hint="eastAsia" w:ascii="微软雅黑" w:hAnsi="微软雅黑" w:eastAsia="微软雅黑" w:cs="微软雅黑"/>
          <w:b w:val="0"/>
          <w:bCs/>
          <w:color w:val="auto"/>
          <w:sz w:val="24"/>
          <w:szCs w:val="24"/>
          <w:highlight w:val="none"/>
          <w:u w:val="single"/>
        </w:rPr>
        <w:t xml:space="preserve"> </w:t>
      </w:r>
      <w:bookmarkEnd w:id="107"/>
      <w:r>
        <w:rPr>
          <w:rFonts w:hint="eastAsia" w:ascii="微软雅黑" w:hAnsi="微软雅黑" w:eastAsia="微软雅黑" w:cs="微软雅黑"/>
          <w:b w:val="0"/>
          <w:bCs/>
          <w:color w:val="auto"/>
          <w:sz w:val="24"/>
          <w:szCs w:val="24"/>
          <w:highlight w:val="none"/>
          <w:u w:val="single"/>
          <w:lang w:eastAsia="zh-CN"/>
        </w:rPr>
        <w:t>国家税务总局昆明市官渡区税务局</w:t>
      </w:r>
    </w:p>
    <w:p w14:paraId="533C4BA4">
      <w:pPr>
        <w:keepNext w:val="0"/>
        <w:keepLines w:val="0"/>
        <w:pageBreakBefore w:val="0"/>
        <w:widowControl w:val="0"/>
        <w:kinsoku/>
        <w:wordWrap/>
        <w:overflowPunct/>
        <w:topLinePunct w:val="0"/>
        <w:autoSpaceDE/>
        <w:autoSpaceDN/>
        <w:bidi w:val="0"/>
        <w:adjustRightInd/>
        <w:snapToGrid/>
        <w:spacing w:line="300" w:lineRule="auto"/>
        <w:ind w:left="840" w:leftChars="400" w:firstLine="1298" w:firstLineChars="541"/>
        <w:textAlignment w:val="auto"/>
        <w:outlineLvl w:val="9"/>
        <w:rPr>
          <w:rFonts w:hint="eastAsia" w:ascii="微软雅黑" w:hAnsi="微软雅黑" w:eastAsia="微软雅黑" w:cs="微软雅黑"/>
          <w:b w:val="0"/>
          <w:bCs/>
          <w:color w:val="auto"/>
          <w:sz w:val="24"/>
          <w:szCs w:val="24"/>
          <w:highlight w:val="none"/>
          <w:u w:val="single"/>
          <w:lang w:val="en-US" w:eastAsia="zh-CN"/>
        </w:rPr>
      </w:pPr>
      <w:bookmarkStart w:id="108" w:name="_Toc10422_WPSOffice_Level2"/>
      <w:r>
        <w:rPr>
          <w:rFonts w:hint="eastAsia" w:ascii="微软雅黑" w:hAnsi="微软雅黑" w:eastAsia="微软雅黑" w:cs="微软雅黑"/>
          <w:b w:val="0"/>
          <w:bCs/>
          <w:color w:val="auto"/>
          <w:sz w:val="24"/>
          <w:szCs w:val="24"/>
          <w:highlight w:val="none"/>
        </w:rPr>
        <w:t>乙    方</w:t>
      </w:r>
      <w:bookmarkEnd w:id="108"/>
      <w:r>
        <w:rPr>
          <w:rFonts w:hint="eastAsia" w:ascii="微软雅黑" w:hAnsi="微软雅黑" w:eastAsia="微软雅黑" w:cs="微软雅黑"/>
          <w:b w:val="0"/>
          <w:bCs/>
          <w:color w:val="auto"/>
          <w:sz w:val="24"/>
          <w:szCs w:val="24"/>
          <w:highlight w:val="none"/>
          <w:lang w:eastAsia="zh-CN"/>
        </w:rPr>
        <w:t>：</w:t>
      </w:r>
      <w:r>
        <w:rPr>
          <w:rFonts w:hint="eastAsia" w:ascii="微软雅黑" w:hAnsi="微软雅黑" w:eastAsia="微软雅黑" w:cs="微软雅黑"/>
          <w:b w:val="0"/>
          <w:bCs/>
          <w:color w:val="auto"/>
          <w:sz w:val="24"/>
          <w:szCs w:val="24"/>
          <w:highlight w:val="none"/>
        </w:rPr>
        <w:t xml:space="preserve"> </w:t>
      </w:r>
      <w:r>
        <w:rPr>
          <w:rFonts w:hint="eastAsia" w:ascii="微软雅黑" w:hAnsi="微软雅黑" w:eastAsia="微软雅黑" w:cs="微软雅黑"/>
          <w:b w:val="0"/>
          <w:bCs/>
          <w:color w:val="auto"/>
          <w:sz w:val="24"/>
          <w:szCs w:val="24"/>
          <w:highlight w:val="none"/>
          <w:u w:val="single"/>
          <w:lang w:val="en-US" w:eastAsia="zh-CN"/>
        </w:rPr>
        <w:t xml:space="preserve">                     </w:t>
      </w:r>
    </w:p>
    <w:p w14:paraId="13E61046">
      <w:pPr>
        <w:keepNext w:val="0"/>
        <w:keepLines w:val="0"/>
        <w:pageBreakBefore w:val="0"/>
        <w:widowControl w:val="0"/>
        <w:kinsoku/>
        <w:wordWrap/>
        <w:overflowPunct/>
        <w:topLinePunct w:val="0"/>
        <w:autoSpaceDE/>
        <w:autoSpaceDN/>
        <w:bidi w:val="0"/>
        <w:adjustRightInd/>
        <w:snapToGrid/>
        <w:spacing w:line="300" w:lineRule="auto"/>
        <w:ind w:left="840" w:leftChars="400" w:firstLine="1298" w:firstLineChars="541"/>
        <w:textAlignment w:val="auto"/>
        <w:outlineLvl w:val="9"/>
        <w:rPr>
          <w:rFonts w:hint="eastAsia" w:ascii="微软雅黑" w:hAnsi="微软雅黑" w:eastAsia="微软雅黑" w:cs="微软雅黑"/>
          <w:b w:val="0"/>
          <w:bCs/>
          <w:color w:val="auto"/>
          <w:sz w:val="24"/>
          <w:szCs w:val="24"/>
          <w:highlight w:val="none"/>
          <w:u w:val="single"/>
          <w:lang w:eastAsia="zh-CN"/>
        </w:rPr>
      </w:pPr>
      <w:bookmarkStart w:id="109" w:name="_Toc29887_WPSOffice_Level2"/>
      <w:r>
        <w:rPr>
          <w:rFonts w:hint="eastAsia" w:ascii="微软雅黑" w:hAnsi="微软雅黑" w:eastAsia="微软雅黑" w:cs="微软雅黑"/>
          <w:b w:val="0"/>
          <w:bCs/>
          <w:color w:val="auto"/>
          <w:sz w:val="24"/>
          <w:szCs w:val="24"/>
          <w:highlight w:val="none"/>
        </w:rPr>
        <w:t>日    期</w:t>
      </w:r>
      <w:r>
        <w:rPr>
          <w:rFonts w:hint="eastAsia" w:ascii="微软雅黑" w:hAnsi="微软雅黑" w:eastAsia="微软雅黑" w:cs="微软雅黑"/>
          <w:b w:val="0"/>
          <w:bCs/>
          <w:color w:val="auto"/>
          <w:sz w:val="24"/>
          <w:szCs w:val="24"/>
          <w:highlight w:val="none"/>
          <w:lang w:eastAsia="zh-CN"/>
        </w:rPr>
        <w:t>：</w:t>
      </w:r>
      <w:r>
        <w:rPr>
          <w:rFonts w:hint="eastAsia" w:ascii="微软雅黑" w:hAnsi="微软雅黑" w:eastAsia="微软雅黑" w:cs="微软雅黑"/>
          <w:b w:val="0"/>
          <w:bCs/>
          <w:color w:val="auto"/>
          <w:sz w:val="24"/>
          <w:szCs w:val="24"/>
          <w:highlight w:val="none"/>
        </w:rPr>
        <w:t xml:space="preserve"> </w:t>
      </w:r>
      <w:r>
        <w:rPr>
          <w:rFonts w:hint="eastAsia" w:ascii="微软雅黑" w:hAnsi="微软雅黑" w:eastAsia="微软雅黑" w:cs="微软雅黑"/>
          <w:b w:val="0"/>
          <w:bCs/>
          <w:color w:val="auto"/>
          <w:sz w:val="24"/>
          <w:szCs w:val="24"/>
          <w:highlight w:val="none"/>
          <w:u w:val="single"/>
        </w:rPr>
        <w:t xml:space="preserve">    </w:t>
      </w:r>
      <w:r>
        <w:rPr>
          <w:rFonts w:hint="eastAsia" w:ascii="微软雅黑" w:hAnsi="微软雅黑" w:eastAsia="微软雅黑" w:cs="微软雅黑"/>
          <w:b w:val="0"/>
          <w:bCs/>
          <w:color w:val="auto"/>
          <w:sz w:val="24"/>
          <w:szCs w:val="24"/>
          <w:highlight w:val="none"/>
          <w:u w:val="single"/>
          <w:lang w:val="en-US" w:eastAsia="zh-CN"/>
        </w:rPr>
        <w:t xml:space="preserve">    </w:t>
      </w:r>
      <w:r>
        <w:rPr>
          <w:rFonts w:hint="eastAsia" w:ascii="微软雅黑" w:hAnsi="微软雅黑" w:eastAsia="微软雅黑" w:cs="微软雅黑"/>
          <w:b w:val="0"/>
          <w:bCs/>
          <w:color w:val="auto"/>
          <w:sz w:val="24"/>
          <w:szCs w:val="24"/>
          <w:highlight w:val="none"/>
          <w:u w:val="single"/>
        </w:rPr>
        <w:t>年</w:t>
      </w:r>
      <w:r>
        <w:rPr>
          <w:rFonts w:hint="eastAsia" w:ascii="微软雅黑" w:hAnsi="微软雅黑" w:eastAsia="微软雅黑" w:cs="微软雅黑"/>
          <w:b w:val="0"/>
          <w:bCs/>
          <w:color w:val="auto"/>
          <w:sz w:val="24"/>
          <w:szCs w:val="24"/>
          <w:highlight w:val="none"/>
          <w:u w:val="single"/>
          <w:lang w:val="en-US" w:eastAsia="zh-CN"/>
        </w:rPr>
        <w:t xml:space="preserve">    </w:t>
      </w:r>
      <w:r>
        <w:rPr>
          <w:rFonts w:hint="eastAsia" w:ascii="微软雅黑" w:hAnsi="微软雅黑" w:eastAsia="微软雅黑" w:cs="微软雅黑"/>
          <w:b w:val="0"/>
          <w:bCs/>
          <w:color w:val="auto"/>
          <w:sz w:val="24"/>
          <w:szCs w:val="24"/>
          <w:highlight w:val="none"/>
          <w:u w:val="single"/>
        </w:rPr>
        <w:t xml:space="preserve">月  </w:t>
      </w:r>
      <w:r>
        <w:rPr>
          <w:rFonts w:hint="eastAsia" w:ascii="微软雅黑" w:hAnsi="微软雅黑" w:eastAsia="微软雅黑" w:cs="微软雅黑"/>
          <w:b w:val="0"/>
          <w:bCs/>
          <w:color w:val="auto"/>
          <w:sz w:val="24"/>
          <w:szCs w:val="24"/>
          <w:highlight w:val="none"/>
          <w:u w:val="single"/>
          <w:lang w:val="en-US" w:eastAsia="zh-CN"/>
        </w:rPr>
        <w:t xml:space="preserve"> </w:t>
      </w:r>
      <w:r>
        <w:rPr>
          <w:rFonts w:hint="eastAsia" w:ascii="微软雅黑" w:hAnsi="微软雅黑" w:eastAsia="微软雅黑" w:cs="微软雅黑"/>
          <w:b w:val="0"/>
          <w:bCs/>
          <w:color w:val="auto"/>
          <w:sz w:val="24"/>
          <w:szCs w:val="24"/>
          <w:highlight w:val="none"/>
          <w:u w:val="single"/>
          <w:lang w:eastAsia="zh-CN"/>
        </w:rPr>
        <w:t>日</w:t>
      </w:r>
      <w:bookmarkEnd w:id="109"/>
    </w:p>
    <w:p w14:paraId="3F9D1810">
      <w:pPr>
        <w:keepNext w:val="0"/>
        <w:keepLines w:val="0"/>
        <w:pageBreakBefore w:val="0"/>
        <w:widowControl w:val="0"/>
        <w:kinsoku/>
        <w:wordWrap/>
        <w:overflowPunct/>
        <w:topLinePunct w:val="0"/>
        <w:autoSpaceDE/>
        <w:autoSpaceDN/>
        <w:bidi w:val="0"/>
        <w:adjustRightInd/>
        <w:snapToGrid/>
        <w:spacing w:line="300" w:lineRule="auto"/>
        <w:jc w:val="center"/>
        <w:textAlignment w:val="auto"/>
        <w:outlineLvl w:val="1"/>
        <w:rPr>
          <w:rFonts w:hint="eastAsia" w:ascii="宋体" w:hAnsi="宋体" w:cs="宋体"/>
          <w:b/>
          <w:color w:val="auto"/>
          <w:sz w:val="24"/>
          <w:szCs w:val="24"/>
          <w:highlight w:val="none"/>
        </w:rPr>
      </w:pPr>
      <w:r>
        <w:rPr>
          <w:rFonts w:ascii="宋体" w:hAnsi="宋体" w:cs="宋体"/>
          <w:b/>
          <w:bCs/>
          <w:color w:val="auto"/>
          <w:sz w:val="28"/>
          <w:highlight w:val="none"/>
          <w:u w:val="single"/>
        </w:rPr>
        <w:br w:type="page"/>
      </w:r>
      <w:bookmarkStart w:id="110" w:name="_Toc18907"/>
      <w:r>
        <w:rPr>
          <w:rFonts w:hint="eastAsia" w:ascii="宋体" w:hAnsi="宋体" w:cs="宋体"/>
          <w:b/>
          <w:color w:val="auto"/>
          <w:sz w:val="24"/>
          <w:szCs w:val="24"/>
          <w:highlight w:val="none"/>
        </w:rPr>
        <w:t>合同条款前附表</w:t>
      </w:r>
      <w:bookmarkEnd w:id="110"/>
    </w:p>
    <w:tbl>
      <w:tblPr>
        <w:tblStyle w:val="25"/>
        <w:tblW w:w="8912"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447"/>
        <w:gridCol w:w="1530"/>
        <w:gridCol w:w="6257"/>
      </w:tblGrid>
      <w:tr w14:paraId="1325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8" w:type="dxa"/>
            <w:tcBorders>
              <w:top w:val="single" w:color="auto" w:sz="4" w:space="0"/>
              <w:left w:val="single" w:color="auto" w:sz="4" w:space="0"/>
              <w:bottom w:val="single" w:color="auto" w:sz="4" w:space="0"/>
              <w:right w:val="single" w:color="auto" w:sz="4" w:space="0"/>
            </w:tcBorders>
            <w:vAlign w:val="center"/>
          </w:tcPr>
          <w:p w14:paraId="0D9147CD">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8234" w:type="dxa"/>
            <w:gridSpan w:val="3"/>
            <w:tcBorders>
              <w:top w:val="single" w:color="auto" w:sz="4" w:space="0"/>
              <w:left w:val="single" w:color="auto" w:sz="4" w:space="0"/>
              <w:bottom w:val="single" w:color="auto" w:sz="4" w:space="0"/>
              <w:right w:val="single" w:color="auto" w:sz="4" w:space="0"/>
            </w:tcBorders>
            <w:vAlign w:val="center"/>
          </w:tcPr>
          <w:p w14:paraId="4E8151AB">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内        容</w:t>
            </w:r>
          </w:p>
        </w:tc>
      </w:tr>
      <w:tr w14:paraId="582B9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exact"/>
        </w:trPr>
        <w:tc>
          <w:tcPr>
            <w:tcW w:w="678" w:type="dxa"/>
            <w:tcBorders>
              <w:top w:val="single" w:color="auto" w:sz="4" w:space="0"/>
              <w:left w:val="single" w:color="auto" w:sz="4" w:space="0"/>
              <w:bottom w:val="single" w:color="auto" w:sz="4" w:space="0"/>
              <w:right w:val="single" w:color="auto" w:sz="4" w:space="0"/>
            </w:tcBorders>
            <w:vAlign w:val="center"/>
          </w:tcPr>
          <w:p w14:paraId="7CF3EFDB">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977" w:type="dxa"/>
            <w:gridSpan w:val="2"/>
            <w:tcBorders>
              <w:top w:val="single" w:color="auto" w:sz="4" w:space="0"/>
              <w:left w:val="single" w:color="auto" w:sz="4" w:space="0"/>
              <w:bottom w:val="single" w:color="auto" w:sz="4" w:space="0"/>
              <w:right w:val="single" w:color="auto" w:sz="4" w:space="0"/>
            </w:tcBorders>
            <w:vAlign w:val="center"/>
          </w:tcPr>
          <w:p w14:paraId="7E330D0F">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合同名称</w:t>
            </w:r>
          </w:p>
        </w:tc>
        <w:tc>
          <w:tcPr>
            <w:tcW w:w="6257" w:type="dxa"/>
            <w:tcBorders>
              <w:top w:val="single" w:color="auto" w:sz="4" w:space="0"/>
              <w:left w:val="single" w:color="auto" w:sz="4" w:space="0"/>
              <w:bottom w:val="single" w:color="auto" w:sz="4" w:space="0"/>
              <w:right w:val="single" w:color="auto" w:sz="4" w:space="0"/>
            </w:tcBorders>
            <w:vAlign w:val="center"/>
          </w:tcPr>
          <w:p w14:paraId="266FA908">
            <w:pPr>
              <w:keepNext w:val="0"/>
              <w:keepLines w:val="0"/>
              <w:pageBreakBefore w:val="0"/>
              <w:tabs>
                <w:tab w:val="left" w:pos="700"/>
              </w:tabs>
              <w:kinsoku/>
              <w:wordWrap/>
              <w:overflowPunct/>
              <w:bidi w:val="0"/>
              <w:adjustRightInd w:val="0"/>
              <w:snapToGrid w:val="0"/>
              <w:spacing w:line="24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国家税务总局昆明市官渡区税务局2026年物业管理服务项目（二次）</w:t>
            </w:r>
          </w:p>
        </w:tc>
      </w:tr>
      <w:tr w14:paraId="52B47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exact"/>
        </w:trPr>
        <w:tc>
          <w:tcPr>
            <w:tcW w:w="678" w:type="dxa"/>
            <w:tcBorders>
              <w:top w:val="single" w:color="auto" w:sz="4" w:space="0"/>
              <w:left w:val="single" w:color="auto" w:sz="4" w:space="0"/>
              <w:bottom w:val="single" w:color="auto" w:sz="4" w:space="0"/>
              <w:right w:val="single" w:color="auto" w:sz="4" w:space="0"/>
            </w:tcBorders>
            <w:vAlign w:val="center"/>
          </w:tcPr>
          <w:p w14:paraId="172458ED">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977" w:type="dxa"/>
            <w:gridSpan w:val="2"/>
            <w:tcBorders>
              <w:top w:val="single" w:color="auto" w:sz="4" w:space="0"/>
              <w:left w:val="single" w:color="auto" w:sz="4" w:space="0"/>
              <w:bottom w:val="single" w:color="auto" w:sz="4" w:space="0"/>
              <w:right w:val="single" w:color="auto" w:sz="4" w:space="0"/>
            </w:tcBorders>
            <w:vAlign w:val="center"/>
          </w:tcPr>
          <w:p w14:paraId="09249FBF">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合同编号</w:t>
            </w:r>
          </w:p>
        </w:tc>
        <w:tc>
          <w:tcPr>
            <w:tcW w:w="6257" w:type="dxa"/>
            <w:tcBorders>
              <w:top w:val="single" w:color="auto" w:sz="4" w:space="0"/>
              <w:left w:val="single" w:color="auto" w:sz="4" w:space="0"/>
              <w:bottom w:val="single" w:color="auto" w:sz="4" w:space="0"/>
              <w:right w:val="single" w:color="auto" w:sz="4" w:space="0"/>
            </w:tcBorders>
            <w:vAlign w:val="center"/>
          </w:tcPr>
          <w:p w14:paraId="04FF3F94">
            <w:pPr>
              <w:keepNext w:val="0"/>
              <w:keepLines w:val="0"/>
              <w:pageBreakBefore w:val="0"/>
              <w:tabs>
                <w:tab w:val="left" w:pos="2160"/>
              </w:tabs>
              <w:kinsoku/>
              <w:wordWrap/>
              <w:overflowPunct/>
              <w:topLinePunct/>
              <w:autoSpaceDE w:val="0"/>
              <w:autoSpaceDN w:val="0"/>
              <w:bidi w:val="0"/>
              <w:adjustRightInd w:val="0"/>
              <w:snapToGrid w:val="0"/>
              <w:spacing w:line="240" w:lineRule="auto"/>
              <w:rPr>
                <w:rFonts w:hint="default" w:ascii="宋体" w:hAnsi="宋体" w:eastAsia="宋体" w:cs="宋体"/>
                <w:bCs/>
                <w:color w:val="auto"/>
                <w:sz w:val="21"/>
                <w:szCs w:val="21"/>
                <w:highlight w:val="none"/>
                <w:lang w:val="en-US" w:eastAsia="zh-CN"/>
              </w:rPr>
            </w:pPr>
          </w:p>
        </w:tc>
      </w:tr>
      <w:tr w14:paraId="73E97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8" w:type="dxa"/>
            <w:tcBorders>
              <w:top w:val="single" w:color="auto" w:sz="4" w:space="0"/>
              <w:left w:val="single" w:color="auto" w:sz="4" w:space="0"/>
              <w:bottom w:val="single" w:color="auto" w:sz="4" w:space="0"/>
              <w:right w:val="single" w:color="auto" w:sz="4" w:space="0"/>
            </w:tcBorders>
            <w:vAlign w:val="center"/>
          </w:tcPr>
          <w:p w14:paraId="48AA48DB">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977" w:type="dxa"/>
            <w:gridSpan w:val="2"/>
            <w:tcBorders>
              <w:top w:val="single" w:color="auto" w:sz="4" w:space="0"/>
              <w:left w:val="single" w:color="auto" w:sz="4" w:space="0"/>
              <w:bottom w:val="single" w:color="auto" w:sz="4" w:space="0"/>
              <w:right w:val="single" w:color="auto" w:sz="4" w:space="0"/>
            </w:tcBorders>
            <w:vAlign w:val="center"/>
          </w:tcPr>
          <w:p w14:paraId="595336B6">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合同类型</w:t>
            </w:r>
          </w:p>
        </w:tc>
        <w:tc>
          <w:tcPr>
            <w:tcW w:w="6257" w:type="dxa"/>
            <w:tcBorders>
              <w:top w:val="single" w:color="auto" w:sz="4" w:space="0"/>
              <w:left w:val="single" w:color="auto" w:sz="4" w:space="0"/>
              <w:bottom w:val="single" w:color="auto" w:sz="4" w:space="0"/>
              <w:right w:val="single" w:color="auto" w:sz="4" w:space="0"/>
            </w:tcBorders>
            <w:vAlign w:val="center"/>
          </w:tcPr>
          <w:p w14:paraId="2AA416B6">
            <w:pPr>
              <w:keepNext w:val="0"/>
              <w:keepLines w:val="0"/>
              <w:pageBreakBefore w:val="0"/>
              <w:tabs>
                <w:tab w:val="left" w:pos="2160"/>
              </w:tabs>
              <w:kinsoku/>
              <w:wordWrap/>
              <w:overflowPunct/>
              <w:topLinePunct/>
              <w:autoSpaceDE w:val="0"/>
              <w:autoSpaceDN w:val="0"/>
              <w:bidi w:val="0"/>
              <w:adjustRightInd w:val="0"/>
              <w:snapToGrid w:val="0"/>
              <w:spacing w:line="240" w:lineRule="auto"/>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服务合同</w:t>
            </w:r>
          </w:p>
        </w:tc>
      </w:tr>
      <w:tr w14:paraId="53A63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8" w:type="dxa"/>
            <w:tcBorders>
              <w:top w:val="single" w:color="auto" w:sz="4" w:space="0"/>
              <w:left w:val="single" w:color="auto" w:sz="4" w:space="0"/>
              <w:bottom w:val="single" w:color="auto" w:sz="4" w:space="0"/>
              <w:right w:val="single" w:color="auto" w:sz="4" w:space="0"/>
            </w:tcBorders>
            <w:vAlign w:val="center"/>
          </w:tcPr>
          <w:p w14:paraId="6D0D23BD">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977" w:type="dxa"/>
            <w:gridSpan w:val="2"/>
            <w:tcBorders>
              <w:top w:val="single" w:color="auto" w:sz="4" w:space="0"/>
              <w:left w:val="single" w:color="auto" w:sz="4" w:space="0"/>
              <w:bottom w:val="single" w:color="auto" w:sz="4" w:space="0"/>
              <w:right w:val="single" w:color="auto" w:sz="4" w:space="0"/>
            </w:tcBorders>
            <w:vAlign w:val="center"/>
          </w:tcPr>
          <w:p w14:paraId="226C56AC">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定价方式</w:t>
            </w:r>
          </w:p>
        </w:tc>
        <w:tc>
          <w:tcPr>
            <w:tcW w:w="6257" w:type="dxa"/>
            <w:tcBorders>
              <w:top w:val="single" w:color="auto" w:sz="4" w:space="0"/>
              <w:left w:val="single" w:color="auto" w:sz="4" w:space="0"/>
              <w:bottom w:val="single" w:color="auto" w:sz="4" w:space="0"/>
              <w:right w:val="single" w:color="auto" w:sz="4" w:space="0"/>
            </w:tcBorders>
            <w:vAlign w:val="center"/>
          </w:tcPr>
          <w:p w14:paraId="1398D3EC">
            <w:pPr>
              <w:keepNext w:val="0"/>
              <w:keepLines w:val="0"/>
              <w:pageBreakBefore w:val="0"/>
              <w:tabs>
                <w:tab w:val="left" w:pos="2160"/>
              </w:tabs>
              <w:kinsoku/>
              <w:wordWrap/>
              <w:overflowPunct/>
              <w:topLinePunct/>
              <w:autoSpaceDE w:val="0"/>
              <w:autoSpaceDN w:val="0"/>
              <w:bidi w:val="0"/>
              <w:adjustRightInd w:val="0"/>
              <w:snapToGrid w:val="0"/>
              <w:spacing w:line="240" w:lineRule="auto"/>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固定</w:t>
            </w:r>
            <w:r>
              <w:rPr>
                <w:rFonts w:hint="eastAsia" w:ascii="宋体" w:hAnsi="宋体" w:cs="宋体"/>
                <w:b w:val="0"/>
                <w:bCs w:val="0"/>
                <w:color w:val="auto"/>
                <w:sz w:val="21"/>
                <w:szCs w:val="21"/>
                <w:highlight w:val="none"/>
                <w:lang w:val="en-US" w:eastAsia="zh-CN"/>
              </w:rPr>
              <w:t>总价</w:t>
            </w:r>
          </w:p>
        </w:tc>
      </w:tr>
      <w:tr w14:paraId="2281C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8" w:type="dxa"/>
            <w:vMerge w:val="restart"/>
            <w:tcBorders>
              <w:top w:val="single" w:color="auto" w:sz="4" w:space="0"/>
              <w:left w:val="single" w:color="auto" w:sz="4" w:space="0"/>
              <w:right w:val="single" w:color="auto" w:sz="4" w:space="0"/>
            </w:tcBorders>
            <w:vAlign w:val="center"/>
          </w:tcPr>
          <w:p w14:paraId="7502288D">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p>
        </w:tc>
        <w:tc>
          <w:tcPr>
            <w:tcW w:w="1977" w:type="dxa"/>
            <w:gridSpan w:val="2"/>
            <w:tcBorders>
              <w:top w:val="single" w:color="auto" w:sz="4" w:space="0"/>
              <w:left w:val="single" w:color="auto" w:sz="4" w:space="0"/>
              <w:bottom w:val="single" w:color="auto" w:sz="6" w:space="0"/>
              <w:right w:val="single" w:color="auto" w:sz="6" w:space="0"/>
            </w:tcBorders>
            <w:vAlign w:val="center"/>
          </w:tcPr>
          <w:p w14:paraId="76C114AA">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甲方名称</w:t>
            </w:r>
          </w:p>
        </w:tc>
        <w:tc>
          <w:tcPr>
            <w:tcW w:w="6257" w:type="dxa"/>
            <w:tcBorders>
              <w:top w:val="single" w:color="auto" w:sz="4" w:space="0"/>
              <w:left w:val="single" w:color="auto" w:sz="6" w:space="0"/>
              <w:bottom w:val="single" w:color="auto" w:sz="6" w:space="0"/>
              <w:right w:val="single" w:color="auto" w:sz="4" w:space="0"/>
            </w:tcBorders>
            <w:vAlign w:val="center"/>
          </w:tcPr>
          <w:p w14:paraId="5762892D">
            <w:pPr>
              <w:keepNext w:val="0"/>
              <w:keepLines w:val="0"/>
              <w:pageBreakBefore w:val="0"/>
              <w:tabs>
                <w:tab w:val="left" w:pos="700"/>
              </w:tabs>
              <w:kinsoku/>
              <w:wordWrap/>
              <w:overflowPunct/>
              <w:bidi w:val="0"/>
              <w:adjustRightInd w:val="0"/>
              <w:snapToGrid w:val="0"/>
              <w:spacing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国家税务总局昆明市官渡区税务局</w:t>
            </w:r>
          </w:p>
        </w:tc>
      </w:tr>
      <w:tr w14:paraId="627E7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8" w:type="dxa"/>
            <w:vMerge w:val="continue"/>
            <w:tcBorders>
              <w:left w:val="single" w:color="auto" w:sz="4" w:space="0"/>
              <w:right w:val="single" w:color="auto" w:sz="4" w:space="0"/>
            </w:tcBorders>
            <w:vAlign w:val="center"/>
          </w:tcPr>
          <w:p w14:paraId="03FE604B">
            <w:pPr>
              <w:keepNext w:val="0"/>
              <w:keepLines w:val="0"/>
              <w:pageBreakBefore w:val="0"/>
              <w:widowControl/>
              <w:kinsoku/>
              <w:wordWrap/>
              <w:overflowPunct/>
              <w:bidi w:val="0"/>
              <w:adjustRightInd w:val="0"/>
              <w:snapToGrid w:val="0"/>
              <w:spacing w:line="240" w:lineRule="auto"/>
              <w:rPr>
                <w:rFonts w:hint="eastAsia" w:ascii="宋体" w:hAnsi="宋体" w:eastAsia="宋体" w:cs="宋体"/>
                <w:color w:val="auto"/>
                <w:sz w:val="21"/>
                <w:szCs w:val="21"/>
                <w:highlight w:val="none"/>
              </w:rPr>
            </w:pPr>
          </w:p>
        </w:tc>
        <w:tc>
          <w:tcPr>
            <w:tcW w:w="1977" w:type="dxa"/>
            <w:gridSpan w:val="2"/>
            <w:tcBorders>
              <w:top w:val="single" w:color="auto" w:sz="6" w:space="0"/>
              <w:left w:val="single" w:color="auto" w:sz="4" w:space="0"/>
              <w:bottom w:val="single" w:color="auto" w:sz="6" w:space="0"/>
              <w:right w:val="single" w:color="auto" w:sz="6" w:space="0"/>
            </w:tcBorders>
            <w:vAlign w:val="center"/>
          </w:tcPr>
          <w:p w14:paraId="1F34F94D">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甲方地址</w:t>
            </w:r>
          </w:p>
        </w:tc>
        <w:tc>
          <w:tcPr>
            <w:tcW w:w="6257" w:type="dxa"/>
            <w:tcBorders>
              <w:top w:val="single" w:color="auto" w:sz="6" w:space="0"/>
              <w:left w:val="single" w:color="auto" w:sz="6" w:space="0"/>
              <w:bottom w:val="single" w:color="auto" w:sz="6" w:space="0"/>
              <w:right w:val="single" w:color="auto" w:sz="4" w:space="0"/>
            </w:tcBorders>
            <w:vAlign w:val="center"/>
          </w:tcPr>
          <w:p w14:paraId="67827163">
            <w:pPr>
              <w:keepNext w:val="0"/>
              <w:keepLines w:val="0"/>
              <w:pageBreakBefore w:val="0"/>
              <w:tabs>
                <w:tab w:val="left" w:pos="700"/>
              </w:tabs>
              <w:kinsoku/>
              <w:wordWrap/>
              <w:overflowPunct/>
              <w:bidi w:val="0"/>
              <w:adjustRightInd w:val="0"/>
              <w:snapToGrid w:val="0"/>
              <w:spacing w:line="24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昆明市官渡区宝海路519号</w:t>
            </w:r>
          </w:p>
        </w:tc>
      </w:tr>
      <w:tr w14:paraId="2C1EA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8" w:type="dxa"/>
            <w:vMerge w:val="continue"/>
            <w:tcBorders>
              <w:left w:val="single" w:color="auto" w:sz="4" w:space="0"/>
              <w:right w:val="single" w:color="auto" w:sz="4" w:space="0"/>
            </w:tcBorders>
            <w:vAlign w:val="center"/>
          </w:tcPr>
          <w:p w14:paraId="6B1C0157">
            <w:pPr>
              <w:keepNext w:val="0"/>
              <w:keepLines w:val="0"/>
              <w:pageBreakBefore w:val="0"/>
              <w:widowControl/>
              <w:kinsoku/>
              <w:wordWrap/>
              <w:overflowPunct/>
              <w:bidi w:val="0"/>
              <w:adjustRightInd w:val="0"/>
              <w:snapToGrid w:val="0"/>
              <w:spacing w:line="240" w:lineRule="auto"/>
              <w:rPr>
                <w:rFonts w:hint="eastAsia" w:ascii="宋体" w:hAnsi="宋体" w:eastAsia="宋体" w:cs="宋体"/>
                <w:color w:val="auto"/>
                <w:sz w:val="21"/>
                <w:szCs w:val="21"/>
                <w:highlight w:val="none"/>
              </w:rPr>
            </w:pPr>
          </w:p>
        </w:tc>
        <w:tc>
          <w:tcPr>
            <w:tcW w:w="447" w:type="dxa"/>
            <w:vMerge w:val="restart"/>
            <w:tcBorders>
              <w:top w:val="single" w:color="auto" w:sz="6" w:space="0"/>
              <w:left w:val="single" w:color="auto" w:sz="4" w:space="0"/>
              <w:right w:val="single" w:color="auto" w:sz="4" w:space="0"/>
            </w:tcBorders>
            <w:vAlign w:val="center"/>
          </w:tcPr>
          <w:p w14:paraId="500D7372">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甲方相关部门</w:t>
            </w:r>
          </w:p>
        </w:tc>
        <w:tc>
          <w:tcPr>
            <w:tcW w:w="1530" w:type="dxa"/>
            <w:tcBorders>
              <w:top w:val="single" w:color="auto" w:sz="6" w:space="0"/>
              <w:left w:val="single" w:color="auto" w:sz="4" w:space="0"/>
              <w:bottom w:val="single" w:color="auto" w:sz="6" w:space="0"/>
              <w:right w:val="single" w:color="auto" w:sz="6" w:space="0"/>
            </w:tcBorders>
            <w:vAlign w:val="center"/>
          </w:tcPr>
          <w:p w14:paraId="4D893FEA">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甲方采购部门</w:t>
            </w:r>
          </w:p>
        </w:tc>
        <w:tc>
          <w:tcPr>
            <w:tcW w:w="6257" w:type="dxa"/>
            <w:tcBorders>
              <w:top w:val="single" w:color="auto" w:sz="6" w:space="0"/>
              <w:left w:val="single" w:color="auto" w:sz="6" w:space="0"/>
              <w:bottom w:val="single" w:color="auto" w:sz="6" w:space="0"/>
              <w:right w:val="single" w:color="auto" w:sz="4" w:space="0"/>
            </w:tcBorders>
            <w:vAlign w:val="center"/>
          </w:tcPr>
          <w:p w14:paraId="25C9C890">
            <w:pPr>
              <w:keepNext w:val="0"/>
              <w:keepLines w:val="0"/>
              <w:pageBreakBefore w:val="0"/>
              <w:tabs>
                <w:tab w:val="left" w:pos="700"/>
              </w:tabs>
              <w:kinsoku/>
              <w:wordWrap/>
              <w:overflowPunct/>
              <w:bidi w:val="0"/>
              <w:adjustRightInd w:val="0"/>
              <w:snapToGrid w:val="0"/>
              <w:spacing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办公室（党委办公室）</w:t>
            </w:r>
          </w:p>
        </w:tc>
      </w:tr>
      <w:tr w14:paraId="0F8BF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8" w:type="dxa"/>
            <w:vMerge w:val="continue"/>
            <w:tcBorders>
              <w:left w:val="single" w:color="auto" w:sz="4" w:space="0"/>
              <w:right w:val="single" w:color="auto" w:sz="4" w:space="0"/>
            </w:tcBorders>
            <w:vAlign w:val="center"/>
          </w:tcPr>
          <w:p w14:paraId="0A2992BB">
            <w:pPr>
              <w:keepNext w:val="0"/>
              <w:keepLines w:val="0"/>
              <w:pageBreakBefore w:val="0"/>
              <w:widowControl/>
              <w:kinsoku/>
              <w:wordWrap/>
              <w:overflowPunct/>
              <w:bidi w:val="0"/>
              <w:adjustRightInd w:val="0"/>
              <w:snapToGrid w:val="0"/>
              <w:spacing w:line="240" w:lineRule="auto"/>
              <w:rPr>
                <w:rFonts w:hint="eastAsia" w:ascii="宋体" w:hAnsi="宋体" w:eastAsia="宋体" w:cs="宋体"/>
                <w:color w:val="auto"/>
                <w:sz w:val="21"/>
                <w:szCs w:val="21"/>
                <w:highlight w:val="none"/>
              </w:rPr>
            </w:pPr>
          </w:p>
        </w:tc>
        <w:tc>
          <w:tcPr>
            <w:tcW w:w="447" w:type="dxa"/>
            <w:vMerge w:val="continue"/>
            <w:tcBorders>
              <w:left w:val="single" w:color="auto" w:sz="4" w:space="0"/>
              <w:right w:val="single" w:color="auto" w:sz="4" w:space="0"/>
            </w:tcBorders>
            <w:vAlign w:val="center"/>
          </w:tcPr>
          <w:p w14:paraId="2E19C5AF">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p>
        </w:tc>
        <w:tc>
          <w:tcPr>
            <w:tcW w:w="1530" w:type="dxa"/>
            <w:tcBorders>
              <w:top w:val="single" w:color="auto" w:sz="6" w:space="0"/>
              <w:left w:val="single" w:color="auto" w:sz="4" w:space="0"/>
              <w:bottom w:val="single" w:color="auto" w:sz="6" w:space="0"/>
              <w:right w:val="single" w:color="auto" w:sz="6" w:space="0"/>
            </w:tcBorders>
            <w:vAlign w:val="center"/>
          </w:tcPr>
          <w:p w14:paraId="4A61FE26">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p>
        </w:tc>
        <w:tc>
          <w:tcPr>
            <w:tcW w:w="6257" w:type="dxa"/>
            <w:tcBorders>
              <w:top w:val="single" w:color="auto" w:sz="6" w:space="0"/>
              <w:left w:val="single" w:color="auto" w:sz="6" w:space="0"/>
              <w:bottom w:val="single" w:color="auto" w:sz="6" w:space="0"/>
              <w:right w:val="single" w:color="auto" w:sz="4" w:space="0"/>
            </w:tcBorders>
            <w:vAlign w:val="center"/>
          </w:tcPr>
          <w:p w14:paraId="2D4931A1">
            <w:pPr>
              <w:keepNext w:val="0"/>
              <w:keepLines w:val="0"/>
              <w:pageBreakBefore w:val="0"/>
              <w:tabs>
                <w:tab w:val="left" w:pos="700"/>
              </w:tabs>
              <w:kinsoku/>
              <w:wordWrap/>
              <w:overflowPunct/>
              <w:bidi w:val="0"/>
              <w:adjustRightInd w:val="0"/>
              <w:snapToGrid w:val="0"/>
              <w:spacing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赵老师</w:t>
            </w:r>
          </w:p>
        </w:tc>
      </w:tr>
      <w:tr w14:paraId="68275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exact"/>
        </w:trPr>
        <w:tc>
          <w:tcPr>
            <w:tcW w:w="678" w:type="dxa"/>
            <w:vMerge w:val="continue"/>
            <w:tcBorders>
              <w:left w:val="single" w:color="auto" w:sz="4" w:space="0"/>
              <w:right w:val="single" w:color="auto" w:sz="4" w:space="0"/>
            </w:tcBorders>
            <w:vAlign w:val="center"/>
          </w:tcPr>
          <w:p w14:paraId="699D94B6">
            <w:pPr>
              <w:keepNext w:val="0"/>
              <w:keepLines w:val="0"/>
              <w:pageBreakBefore w:val="0"/>
              <w:widowControl/>
              <w:kinsoku/>
              <w:wordWrap/>
              <w:overflowPunct/>
              <w:bidi w:val="0"/>
              <w:adjustRightInd w:val="0"/>
              <w:snapToGrid w:val="0"/>
              <w:spacing w:line="240" w:lineRule="auto"/>
              <w:rPr>
                <w:rFonts w:hint="eastAsia" w:ascii="宋体" w:hAnsi="宋体" w:eastAsia="宋体" w:cs="宋体"/>
                <w:color w:val="auto"/>
                <w:sz w:val="21"/>
                <w:szCs w:val="21"/>
                <w:highlight w:val="none"/>
              </w:rPr>
            </w:pPr>
          </w:p>
        </w:tc>
        <w:tc>
          <w:tcPr>
            <w:tcW w:w="447" w:type="dxa"/>
            <w:vMerge w:val="continue"/>
            <w:tcBorders>
              <w:left w:val="single" w:color="auto" w:sz="4" w:space="0"/>
              <w:right w:val="single" w:color="auto" w:sz="4" w:space="0"/>
            </w:tcBorders>
            <w:vAlign w:val="center"/>
          </w:tcPr>
          <w:p w14:paraId="221C2A58">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p>
        </w:tc>
        <w:tc>
          <w:tcPr>
            <w:tcW w:w="1530" w:type="dxa"/>
            <w:tcBorders>
              <w:top w:val="single" w:color="auto" w:sz="6" w:space="0"/>
              <w:left w:val="single" w:color="auto" w:sz="4" w:space="0"/>
              <w:bottom w:val="single" w:color="auto" w:sz="4" w:space="0"/>
              <w:right w:val="single" w:color="auto" w:sz="6" w:space="0"/>
            </w:tcBorders>
            <w:vAlign w:val="center"/>
          </w:tcPr>
          <w:p w14:paraId="6A903771">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6257" w:type="dxa"/>
            <w:tcBorders>
              <w:top w:val="single" w:color="auto" w:sz="6" w:space="0"/>
              <w:left w:val="single" w:color="auto" w:sz="6" w:space="0"/>
              <w:bottom w:val="single" w:color="auto" w:sz="4" w:space="0"/>
              <w:right w:val="single" w:color="auto" w:sz="4" w:space="0"/>
            </w:tcBorders>
            <w:vAlign w:val="center"/>
          </w:tcPr>
          <w:p w14:paraId="13D3FFAD">
            <w:pPr>
              <w:keepNext w:val="0"/>
              <w:keepLines w:val="0"/>
              <w:pageBreakBefore w:val="0"/>
              <w:tabs>
                <w:tab w:val="left" w:pos="700"/>
              </w:tabs>
              <w:kinsoku/>
              <w:wordWrap/>
              <w:overflowPunct/>
              <w:bidi w:val="0"/>
              <w:adjustRightInd w:val="0"/>
              <w:snapToGrid w:val="0"/>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0871-67156980</w:t>
            </w:r>
          </w:p>
        </w:tc>
      </w:tr>
      <w:tr w14:paraId="18BEA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8" w:type="dxa"/>
            <w:vMerge w:val="continue"/>
            <w:tcBorders>
              <w:left w:val="single" w:color="auto" w:sz="4" w:space="0"/>
              <w:right w:val="single" w:color="auto" w:sz="4" w:space="0"/>
            </w:tcBorders>
            <w:vAlign w:val="center"/>
          </w:tcPr>
          <w:p w14:paraId="3F5BD20E">
            <w:pPr>
              <w:keepNext w:val="0"/>
              <w:keepLines w:val="0"/>
              <w:pageBreakBefore w:val="0"/>
              <w:widowControl/>
              <w:kinsoku/>
              <w:wordWrap/>
              <w:overflowPunct/>
              <w:bidi w:val="0"/>
              <w:adjustRightInd w:val="0"/>
              <w:snapToGrid w:val="0"/>
              <w:spacing w:line="240" w:lineRule="auto"/>
              <w:rPr>
                <w:rFonts w:hint="eastAsia" w:ascii="宋体" w:hAnsi="宋体" w:eastAsia="宋体" w:cs="宋体"/>
                <w:color w:val="auto"/>
                <w:sz w:val="21"/>
                <w:szCs w:val="21"/>
                <w:highlight w:val="none"/>
              </w:rPr>
            </w:pPr>
          </w:p>
        </w:tc>
        <w:tc>
          <w:tcPr>
            <w:tcW w:w="447" w:type="dxa"/>
            <w:vMerge w:val="continue"/>
            <w:tcBorders>
              <w:left w:val="single" w:color="auto" w:sz="4" w:space="0"/>
              <w:right w:val="single" w:color="auto" w:sz="4" w:space="0"/>
            </w:tcBorders>
            <w:vAlign w:val="center"/>
          </w:tcPr>
          <w:p w14:paraId="6E6613A9">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p>
        </w:tc>
        <w:tc>
          <w:tcPr>
            <w:tcW w:w="1530" w:type="dxa"/>
            <w:tcBorders>
              <w:top w:val="single" w:color="auto" w:sz="6" w:space="0"/>
              <w:left w:val="single" w:color="auto" w:sz="4" w:space="0"/>
              <w:bottom w:val="single" w:color="auto" w:sz="4" w:space="0"/>
              <w:right w:val="single" w:color="auto" w:sz="6" w:space="0"/>
            </w:tcBorders>
            <w:vAlign w:val="center"/>
          </w:tcPr>
          <w:p w14:paraId="492B7E4A">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eastAsia="zh-CN"/>
              </w:rPr>
              <w:t>需求部门</w:t>
            </w:r>
          </w:p>
        </w:tc>
        <w:tc>
          <w:tcPr>
            <w:tcW w:w="6257" w:type="dxa"/>
            <w:tcBorders>
              <w:top w:val="single" w:color="auto" w:sz="6" w:space="0"/>
              <w:left w:val="single" w:color="auto" w:sz="6" w:space="0"/>
              <w:bottom w:val="single" w:color="auto" w:sz="4" w:space="0"/>
              <w:right w:val="single" w:color="auto" w:sz="4" w:space="0"/>
            </w:tcBorders>
            <w:vAlign w:val="center"/>
          </w:tcPr>
          <w:p w14:paraId="5EE2A9D2">
            <w:pPr>
              <w:keepNext w:val="0"/>
              <w:keepLines w:val="0"/>
              <w:pageBreakBefore w:val="0"/>
              <w:tabs>
                <w:tab w:val="left" w:pos="700"/>
              </w:tabs>
              <w:kinsoku/>
              <w:wordWrap/>
              <w:overflowPunct/>
              <w:bidi w:val="0"/>
              <w:adjustRightInd w:val="0"/>
              <w:snapToGrid w:val="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办公室（党委办公室）</w:t>
            </w:r>
          </w:p>
        </w:tc>
      </w:tr>
      <w:tr w14:paraId="7B1CC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8" w:type="dxa"/>
            <w:vMerge w:val="continue"/>
            <w:tcBorders>
              <w:left w:val="single" w:color="auto" w:sz="4" w:space="0"/>
              <w:right w:val="single" w:color="auto" w:sz="4" w:space="0"/>
            </w:tcBorders>
            <w:vAlign w:val="center"/>
          </w:tcPr>
          <w:p w14:paraId="6A3DBD6F">
            <w:pPr>
              <w:keepNext w:val="0"/>
              <w:keepLines w:val="0"/>
              <w:pageBreakBefore w:val="0"/>
              <w:widowControl/>
              <w:kinsoku/>
              <w:wordWrap/>
              <w:overflowPunct/>
              <w:bidi w:val="0"/>
              <w:adjustRightInd w:val="0"/>
              <w:snapToGrid w:val="0"/>
              <w:spacing w:line="240" w:lineRule="auto"/>
              <w:rPr>
                <w:rFonts w:hint="eastAsia" w:ascii="宋体" w:hAnsi="宋体" w:eastAsia="宋体" w:cs="宋体"/>
                <w:color w:val="auto"/>
                <w:sz w:val="21"/>
                <w:szCs w:val="21"/>
                <w:highlight w:val="none"/>
              </w:rPr>
            </w:pPr>
          </w:p>
        </w:tc>
        <w:tc>
          <w:tcPr>
            <w:tcW w:w="447" w:type="dxa"/>
            <w:vMerge w:val="continue"/>
            <w:tcBorders>
              <w:left w:val="single" w:color="auto" w:sz="4" w:space="0"/>
              <w:right w:val="single" w:color="auto" w:sz="4" w:space="0"/>
            </w:tcBorders>
            <w:vAlign w:val="center"/>
          </w:tcPr>
          <w:p w14:paraId="671E168C">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p>
        </w:tc>
        <w:tc>
          <w:tcPr>
            <w:tcW w:w="1530" w:type="dxa"/>
            <w:tcBorders>
              <w:top w:val="single" w:color="auto" w:sz="6" w:space="0"/>
              <w:left w:val="single" w:color="auto" w:sz="4" w:space="0"/>
              <w:bottom w:val="single" w:color="auto" w:sz="4" w:space="0"/>
              <w:right w:val="single" w:color="auto" w:sz="6" w:space="0"/>
            </w:tcBorders>
            <w:vAlign w:val="center"/>
          </w:tcPr>
          <w:p w14:paraId="086D8F60">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p>
        </w:tc>
        <w:tc>
          <w:tcPr>
            <w:tcW w:w="6257" w:type="dxa"/>
            <w:tcBorders>
              <w:top w:val="single" w:color="auto" w:sz="6" w:space="0"/>
              <w:left w:val="single" w:color="auto" w:sz="6" w:space="0"/>
              <w:bottom w:val="single" w:color="auto" w:sz="4" w:space="0"/>
              <w:right w:val="single" w:color="auto" w:sz="4" w:space="0"/>
            </w:tcBorders>
            <w:vAlign w:val="center"/>
          </w:tcPr>
          <w:p w14:paraId="2E49A223">
            <w:pPr>
              <w:keepNext w:val="0"/>
              <w:keepLines w:val="0"/>
              <w:pageBreakBefore w:val="0"/>
              <w:tabs>
                <w:tab w:val="left" w:pos="700"/>
              </w:tabs>
              <w:kinsoku/>
              <w:wordWrap/>
              <w:overflowPunct/>
              <w:bidi w:val="0"/>
              <w:adjustRightInd w:val="0"/>
              <w:snapToGrid w:val="0"/>
              <w:spacing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郭老师</w:t>
            </w:r>
          </w:p>
        </w:tc>
      </w:tr>
      <w:tr w14:paraId="60CF1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8" w:type="dxa"/>
            <w:vMerge w:val="continue"/>
            <w:tcBorders>
              <w:left w:val="single" w:color="auto" w:sz="4" w:space="0"/>
              <w:bottom w:val="single" w:color="auto" w:sz="4" w:space="0"/>
              <w:right w:val="single" w:color="auto" w:sz="4" w:space="0"/>
            </w:tcBorders>
            <w:vAlign w:val="center"/>
          </w:tcPr>
          <w:p w14:paraId="65049FEE">
            <w:pPr>
              <w:keepNext w:val="0"/>
              <w:keepLines w:val="0"/>
              <w:pageBreakBefore w:val="0"/>
              <w:widowControl/>
              <w:kinsoku/>
              <w:wordWrap/>
              <w:overflowPunct/>
              <w:bidi w:val="0"/>
              <w:adjustRightInd w:val="0"/>
              <w:snapToGrid w:val="0"/>
              <w:spacing w:line="240" w:lineRule="auto"/>
              <w:rPr>
                <w:rFonts w:hint="eastAsia" w:ascii="宋体" w:hAnsi="宋体" w:eastAsia="宋体" w:cs="宋体"/>
                <w:color w:val="auto"/>
                <w:sz w:val="21"/>
                <w:szCs w:val="21"/>
                <w:highlight w:val="none"/>
              </w:rPr>
            </w:pPr>
          </w:p>
        </w:tc>
        <w:tc>
          <w:tcPr>
            <w:tcW w:w="447" w:type="dxa"/>
            <w:vMerge w:val="continue"/>
            <w:tcBorders>
              <w:left w:val="single" w:color="auto" w:sz="4" w:space="0"/>
              <w:bottom w:val="single" w:color="auto" w:sz="4" w:space="0"/>
              <w:right w:val="single" w:color="auto" w:sz="4" w:space="0"/>
            </w:tcBorders>
            <w:vAlign w:val="center"/>
          </w:tcPr>
          <w:p w14:paraId="327D8AE1">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p>
        </w:tc>
        <w:tc>
          <w:tcPr>
            <w:tcW w:w="1530" w:type="dxa"/>
            <w:tcBorders>
              <w:top w:val="single" w:color="auto" w:sz="6" w:space="0"/>
              <w:left w:val="single" w:color="auto" w:sz="4" w:space="0"/>
              <w:bottom w:val="single" w:color="auto" w:sz="4" w:space="0"/>
              <w:right w:val="single" w:color="auto" w:sz="6" w:space="0"/>
            </w:tcBorders>
            <w:vAlign w:val="center"/>
          </w:tcPr>
          <w:p w14:paraId="2DDE1012">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6257" w:type="dxa"/>
            <w:tcBorders>
              <w:top w:val="single" w:color="auto" w:sz="6" w:space="0"/>
              <w:left w:val="single" w:color="auto" w:sz="6" w:space="0"/>
              <w:bottom w:val="single" w:color="auto" w:sz="4" w:space="0"/>
              <w:right w:val="single" w:color="auto" w:sz="4" w:space="0"/>
            </w:tcBorders>
            <w:vAlign w:val="center"/>
          </w:tcPr>
          <w:p w14:paraId="35030A94">
            <w:pPr>
              <w:keepNext w:val="0"/>
              <w:keepLines w:val="0"/>
              <w:pageBreakBefore w:val="0"/>
              <w:tabs>
                <w:tab w:val="left" w:pos="700"/>
              </w:tabs>
              <w:kinsoku/>
              <w:wordWrap/>
              <w:overflowPunct/>
              <w:bidi w:val="0"/>
              <w:adjustRightInd w:val="0"/>
              <w:snapToGrid w:val="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0871-67156980</w:t>
            </w:r>
          </w:p>
        </w:tc>
      </w:tr>
      <w:tr w14:paraId="1F48A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8" w:type="dxa"/>
            <w:vMerge w:val="restart"/>
            <w:tcBorders>
              <w:top w:val="single" w:color="auto" w:sz="4" w:space="0"/>
              <w:left w:val="single" w:color="auto" w:sz="4" w:space="0"/>
              <w:bottom w:val="single" w:color="auto" w:sz="4" w:space="0"/>
              <w:right w:val="single" w:color="auto" w:sz="4" w:space="0"/>
            </w:tcBorders>
            <w:vAlign w:val="center"/>
          </w:tcPr>
          <w:p w14:paraId="1C5D55E6">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p>
        </w:tc>
        <w:tc>
          <w:tcPr>
            <w:tcW w:w="1977" w:type="dxa"/>
            <w:gridSpan w:val="2"/>
            <w:tcBorders>
              <w:top w:val="single" w:color="auto" w:sz="4" w:space="0"/>
              <w:left w:val="single" w:color="auto" w:sz="4" w:space="0"/>
              <w:bottom w:val="single" w:color="auto" w:sz="4" w:space="0"/>
              <w:right w:val="single" w:color="auto" w:sz="4" w:space="0"/>
            </w:tcBorders>
            <w:vAlign w:val="center"/>
          </w:tcPr>
          <w:p w14:paraId="17615B45">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乙方名称</w:t>
            </w:r>
          </w:p>
        </w:tc>
        <w:tc>
          <w:tcPr>
            <w:tcW w:w="6257" w:type="dxa"/>
            <w:tcBorders>
              <w:top w:val="single" w:color="auto" w:sz="4" w:space="0"/>
              <w:left w:val="single" w:color="auto" w:sz="4" w:space="0"/>
              <w:bottom w:val="single" w:color="auto" w:sz="4" w:space="0"/>
              <w:right w:val="single" w:color="auto" w:sz="4" w:space="0"/>
            </w:tcBorders>
            <w:vAlign w:val="center"/>
          </w:tcPr>
          <w:p w14:paraId="203A5332">
            <w:pPr>
              <w:keepNext w:val="0"/>
              <w:keepLines w:val="0"/>
              <w:pageBreakBefore w:val="0"/>
              <w:tabs>
                <w:tab w:val="left" w:pos="700"/>
              </w:tabs>
              <w:kinsoku/>
              <w:wordWrap/>
              <w:overflowPunct/>
              <w:bidi w:val="0"/>
              <w:adjustRightInd w:val="0"/>
              <w:snapToGrid w:val="0"/>
              <w:spacing w:line="240" w:lineRule="auto"/>
              <w:rPr>
                <w:rFonts w:hint="eastAsia" w:ascii="宋体" w:hAnsi="宋体" w:eastAsia="宋体" w:cs="宋体"/>
                <w:color w:val="auto"/>
                <w:sz w:val="21"/>
                <w:szCs w:val="21"/>
                <w:highlight w:val="none"/>
              </w:rPr>
            </w:pPr>
          </w:p>
        </w:tc>
      </w:tr>
      <w:tr w14:paraId="38053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exact"/>
        </w:trPr>
        <w:tc>
          <w:tcPr>
            <w:tcW w:w="678" w:type="dxa"/>
            <w:vMerge w:val="continue"/>
            <w:tcBorders>
              <w:top w:val="single" w:color="auto" w:sz="4" w:space="0"/>
              <w:left w:val="single" w:color="auto" w:sz="4" w:space="0"/>
              <w:bottom w:val="single" w:color="auto" w:sz="4" w:space="0"/>
              <w:right w:val="single" w:color="auto" w:sz="4" w:space="0"/>
            </w:tcBorders>
            <w:vAlign w:val="center"/>
          </w:tcPr>
          <w:p w14:paraId="132535D7">
            <w:pPr>
              <w:keepNext w:val="0"/>
              <w:keepLines w:val="0"/>
              <w:pageBreakBefore w:val="0"/>
              <w:widowControl/>
              <w:kinsoku/>
              <w:wordWrap/>
              <w:overflowPunct/>
              <w:bidi w:val="0"/>
              <w:adjustRightInd w:val="0"/>
              <w:snapToGrid w:val="0"/>
              <w:spacing w:line="240" w:lineRule="auto"/>
              <w:rPr>
                <w:rFonts w:hint="eastAsia" w:ascii="宋体" w:hAnsi="宋体" w:eastAsia="宋体" w:cs="宋体"/>
                <w:color w:val="auto"/>
                <w:sz w:val="21"/>
                <w:szCs w:val="21"/>
                <w:highlight w:val="none"/>
              </w:rPr>
            </w:pPr>
          </w:p>
        </w:tc>
        <w:tc>
          <w:tcPr>
            <w:tcW w:w="1977" w:type="dxa"/>
            <w:gridSpan w:val="2"/>
            <w:tcBorders>
              <w:top w:val="single" w:color="auto" w:sz="4" w:space="0"/>
              <w:left w:val="single" w:color="auto" w:sz="4" w:space="0"/>
              <w:bottom w:val="single" w:color="auto" w:sz="4" w:space="0"/>
              <w:right w:val="single" w:color="auto" w:sz="4" w:space="0"/>
            </w:tcBorders>
            <w:vAlign w:val="center"/>
          </w:tcPr>
          <w:p w14:paraId="7F6F00C9">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乙方企业性质</w:t>
            </w:r>
          </w:p>
        </w:tc>
        <w:tc>
          <w:tcPr>
            <w:tcW w:w="6257" w:type="dxa"/>
            <w:tcBorders>
              <w:top w:val="single" w:color="auto" w:sz="4" w:space="0"/>
              <w:left w:val="single" w:color="auto" w:sz="4" w:space="0"/>
              <w:bottom w:val="single" w:color="auto" w:sz="4" w:space="0"/>
              <w:right w:val="single" w:color="auto" w:sz="4" w:space="0"/>
            </w:tcBorders>
            <w:vAlign w:val="center"/>
          </w:tcPr>
          <w:p w14:paraId="07AEDAB1">
            <w:pPr>
              <w:keepNext w:val="0"/>
              <w:keepLines w:val="0"/>
              <w:pageBreakBefore w:val="0"/>
              <w:tabs>
                <w:tab w:val="left" w:pos="700"/>
              </w:tabs>
              <w:kinsoku/>
              <w:wordWrap/>
              <w:overflowPunct/>
              <w:bidi w:val="0"/>
              <w:adjustRightInd w:val="0"/>
              <w:snapToGrid w:val="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 xml:space="preserve">中型企业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 xml:space="preserve">小型企业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 xml:space="preserve">微型企业    </w:t>
            </w:r>
          </w:p>
          <w:p w14:paraId="520BF394">
            <w:pPr>
              <w:keepNext w:val="0"/>
              <w:keepLines w:val="0"/>
              <w:pageBreakBefore w:val="0"/>
              <w:tabs>
                <w:tab w:val="left" w:pos="700"/>
              </w:tabs>
              <w:kinsoku/>
              <w:wordWrap/>
              <w:overflowPunct/>
              <w:bidi w:val="0"/>
              <w:adjustRightInd w:val="0"/>
              <w:snapToGrid w:val="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监狱企业</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 xml:space="preserve">残疾人福利性单位    </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其他</w:t>
            </w:r>
          </w:p>
        </w:tc>
      </w:tr>
      <w:tr w14:paraId="55217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8" w:type="dxa"/>
            <w:vMerge w:val="continue"/>
            <w:tcBorders>
              <w:top w:val="single" w:color="auto" w:sz="4" w:space="0"/>
              <w:left w:val="single" w:color="auto" w:sz="4" w:space="0"/>
              <w:bottom w:val="single" w:color="auto" w:sz="4" w:space="0"/>
              <w:right w:val="single" w:color="auto" w:sz="4" w:space="0"/>
            </w:tcBorders>
            <w:vAlign w:val="center"/>
          </w:tcPr>
          <w:p w14:paraId="75FB4789">
            <w:pPr>
              <w:keepNext w:val="0"/>
              <w:keepLines w:val="0"/>
              <w:pageBreakBefore w:val="0"/>
              <w:widowControl/>
              <w:kinsoku/>
              <w:wordWrap/>
              <w:overflowPunct/>
              <w:bidi w:val="0"/>
              <w:adjustRightInd w:val="0"/>
              <w:snapToGrid w:val="0"/>
              <w:spacing w:line="240" w:lineRule="auto"/>
              <w:rPr>
                <w:rFonts w:hint="eastAsia" w:ascii="宋体" w:hAnsi="宋体" w:eastAsia="宋体" w:cs="宋体"/>
                <w:color w:val="auto"/>
                <w:sz w:val="21"/>
                <w:szCs w:val="21"/>
                <w:highlight w:val="none"/>
              </w:rPr>
            </w:pPr>
          </w:p>
        </w:tc>
        <w:tc>
          <w:tcPr>
            <w:tcW w:w="1977" w:type="dxa"/>
            <w:gridSpan w:val="2"/>
            <w:tcBorders>
              <w:top w:val="single" w:color="auto" w:sz="4" w:space="0"/>
              <w:left w:val="single" w:color="auto" w:sz="4" w:space="0"/>
              <w:bottom w:val="single" w:color="auto" w:sz="4" w:space="0"/>
              <w:right w:val="single" w:color="auto" w:sz="4" w:space="0"/>
            </w:tcBorders>
            <w:vAlign w:val="center"/>
          </w:tcPr>
          <w:p w14:paraId="0095B3CB">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乙方地址</w:t>
            </w:r>
          </w:p>
        </w:tc>
        <w:tc>
          <w:tcPr>
            <w:tcW w:w="6257" w:type="dxa"/>
            <w:tcBorders>
              <w:top w:val="single" w:color="auto" w:sz="4" w:space="0"/>
              <w:left w:val="single" w:color="auto" w:sz="4" w:space="0"/>
              <w:bottom w:val="single" w:color="auto" w:sz="4" w:space="0"/>
              <w:right w:val="single" w:color="auto" w:sz="4" w:space="0"/>
            </w:tcBorders>
            <w:vAlign w:val="center"/>
          </w:tcPr>
          <w:p w14:paraId="487DC1DA">
            <w:pPr>
              <w:keepNext w:val="0"/>
              <w:keepLines w:val="0"/>
              <w:pageBreakBefore w:val="0"/>
              <w:tabs>
                <w:tab w:val="left" w:pos="700"/>
              </w:tabs>
              <w:kinsoku/>
              <w:wordWrap/>
              <w:overflowPunct/>
              <w:bidi w:val="0"/>
              <w:adjustRightInd w:val="0"/>
              <w:snapToGrid w:val="0"/>
              <w:spacing w:line="240" w:lineRule="auto"/>
              <w:rPr>
                <w:rFonts w:hint="eastAsia" w:ascii="宋体" w:hAnsi="宋体" w:eastAsia="宋体" w:cs="宋体"/>
                <w:color w:val="auto"/>
                <w:sz w:val="21"/>
                <w:szCs w:val="21"/>
                <w:highlight w:val="none"/>
                <w:lang w:val="en-US" w:eastAsia="zh-CN"/>
              </w:rPr>
            </w:pPr>
          </w:p>
        </w:tc>
      </w:tr>
      <w:tr w14:paraId="12E0D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8" w:type="dxa"/>
            <w:vMerge w:val="continue"/>
            <w:tcBorders>
              <w:top w:val="single" w:color="auto" w:sz="4" w:space="0"/>
              <w:left w:val="single" w:color="auto" w:sz="4" w:space="0"/>
              <w:bottom w:val="single" w:color="auto" w:sz="4" w:space="0"/>
              <w:right w:val="single" w:color="auto" w:sz="4" w:space="0"/>
            </w:tcBorders>
            <w:vAlign w:val="center"/>
          </w:tcPr>
          <w:p w14:paraId="61ABF651">
            <w:pPr>
              <w:keepNext w:val="0"/>
              <w:keepLines w:val="0"/>
              <w:pageBreakBefore w:val="0"/>
              <w:widowControl/>
              <w:kinsoku/>
              <w:wordWrap/>
              <w:overflowPunct/>
              <w:bidi w:val="0"/>
              <w:adjustRightInd w:val="0"/>
              <w:snapToGrid w:val="0"/>
              <w:spacing w:line="240" w:lineRule="auto"/>
              <w:rPr>
                <w:rFonts w:hint="eastAsia" w:ascii="宋体" w:hAnsi="宋体" w:eastAsia="宋体" w:cs="宋体"/>
                <w:color w:val="auto"/>
                <w:sz w:val="21"/>
                <w:szCs w:val="21"/>
                <w:highlight w:val="none"/>
              </w:rPr>
            </w:pPr>
          </w:p>
        </w:tc>
        <w:tc>
          <w:tcPr>
            <w:tcW w:w="1977" w:type="dxa"/>
            <w:gridSpan w:val="2"/>
            <w:tcBorders>
              <w:top w:val="single" w:color="auto" w:sz="4" w:space="0"/>
              <w:left w:val="single" w:color="auto" w:sz="4" w:space="0"/>
              <w:bottom w:val="single" w:color="auto" w:sz="4" w:space="0"/>
              <w:right w:val="single" w:color="auto" w:sz="4" w:space="0"/>
            </w:tcBorders>
            <w:vAlign w:val="center"/>
          </w:tcPr>
          <w:p w14:paraId="5ED621C7">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乙方联系人</w:t>
            </w:r>
          </w:p>
        </w:tc>
        <w:tc>
          <w:tcPr>
            <w:tcW w:w="6257" w:type="dxa"/>
            <w:tcBorders>
              <w:top w:val="single" w:color="auto" w:sz="4" w:space="0"/>
              <w:left w:val="single" w:color="auto" w:sz="4" w:space="0"/>
              <w:bottom w:val="single" w:color="auto" w:sz="4" w:space="0"/>
              <w:right w:val="single" w:color="auto" w:sz="4" w:space="0"/>
            </w:tcBorders>
            <w:vAlign w:val="center"/>
          </w:tcPr>
          <w:p w14:paraId="0B27D525">
            <w:pPr>
              <w:keepNext w:val="0"/>
              <w:keepLines w:val="0"/>
              <w:pageBreakBefore w:val="0"/>
              <w:tabs>
                <w:tab w:val="left" w:pos="700"/>
              </w:tabs>
              <w:kinsoku/>
              <w:wordWrap/>
              <w:overflowPunct/>
              <w:bidi w:val="0"/>
              <w:adjustRightInd w:val="0"/>
              <w:snapToGrid w:val="0"/>
              <w:spacing w:line="240" w:lineRule="auto"/>
              <w:rPr>
                <w:rFonts w:hint="eastAsia" w:ascii="宋体" w:hAnsi="宋体" w:eastAsia="宋体" w:cs="宋体"/>
                <w:color w:val="auto"/>
                <w:sz w:val="21"/>
                <w:szCs w:val="21"/>
                <w:highlight w:val="none"/>
                <w:lang w:eastAsia="zh-CN"/>
              </w:rPr>
            </w:pPr>
          </w:p>
        </w:tc>
      </w:tr>
      <w:tr w14:paraId="40813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8" w:type="dxa"/>
            <w:vMerge w:val="continue"/>
            <w:tcBorders>
              <w:top w:val="single" w:color="auto" w:sz="4" w:space="0"/>
              <w:left w:val="single" w:color="auto" w:sz="4" w:space="0"/>
              <w:bottom w:val="single" w:color="auto" w:sz="4" w:space="0"/>
              <w:right w:val="single" w:color="auto" w:sz="4" w:space="0"/>
            </w:tcBorders>
            <w:vAlign w:val="center"/>
          </w:tcPr>
          <w:p w14:paraId="166DB414">
            <w:pPr>
              <w:keepNext w:val="0"/>
              <w:keepLines w:val="0"/>
              <w:pageBreakBefore w:val="0"/>
              <w:widowControl/>
              <w:kinsoku/>
              <w:wordWrap/>
              <w:overflowPunct/>
              <w:bidi w:val="0"/>
              <w:adjustRightInd w:val="0"/>
              <w:snapToGrid w:val="0"/>
              <w:spacing w:line="240" w:lineRule="auto"/>
              <w:rPr>
                <w:rFonts w:hint="eastAsia" w:ascii="宋体" w:hAnsi="宋体" w:eastAsia="宋体" w:cs="宋体"/>
                <w:color w:val="auto"/>
                <w:sz w:val="21"/>
                <w:szCs w:val="21"/>
                <w:highlight w:val="none"/>
              </w:rPr>
            </w:pPr>
          </w:p>
        </w:tc>
        <w:tc>
          <w:tcPr>
            <w:tcW w:w="1977" w:type="dxa"/>
            <w:gridSpan w:val="2"/>
            <w:tcBorders>
              <w:top w:val="single" w:color="auto" w:sz="4" w:space="0"/>
              <w:left w:val="single" w:color="auto" w:sz="4" w:space="0"/>
              <w:bottom w:val="single" w:color="auto" w:sz="4" w:space="0"/>
              <w:right w:val="single" w:color="auto" w:sz="4" w:space="0"/>
            </w:tcBorders>
            <w:vAlign w:val="center"/>
          </w:tcPr>
          <w:p w14:paraId="6B539DC2">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6257" w:type="dxa"/>
            <w:tcBorders>
              <w:top w:val="single" w:color="auto" w:sz="4" w:space="0"/>
              <w:left w:val="single" w:color="auto" w:sz="4" w:space="0"/>
              <w:bottom w:val="single" w:color="auto" w:sz="4" w:space="0"/>
              <w:right w:val="single" w:color="auto" w:sz="4" w:space="0"/>
            </w:tcBorders>
            <w:vAlign w:val="center"/>
          </w:tcPr>
          <w:p w14:paraId="41B7C86C">
            <w:pPr>
              <w:keepNext w:val="0"/>
              <w:keepLines w:val="0"/>
              <w:pageBreakBefore w:val="0"/>
              <w:tabs>
                <w:tab w:val="left" w:pos="700"/>
              </w:tabs>
              <w:kinsoku/>
              <w:wordWrap/>
              <w:overflowPunct/>
              <w:bidi w:val="0"/>
              <w:adjustRightInd w:val="0"/>
              <w:snapToGrid w:val="0"/>
              <w:spacing w:line="240" w:lineRule="auto"/>
              <w:rPr>
                <w:rFonts w:hint="eastAsia" w:ascii="宋体" w:hAnsi="宋体" w:eastAsia="宋体" w:cs="宋体"/>
                <w:color w:val="auto"/>
                <w:sz w:val="21"/>
                <w:szCs w:val="21"/>
                <w:highlight w:val="none"/>
                <w:lang w:val="en-US" w:eastAsia="zh-CN"/>
              </w:rPr>
            </w:pPr>
          </w:p>
        </w:tc>
      </w:tr>
      <w:tr w14:paraId="1E78D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8" w:type="dxa"/>
            <w:vMerge w:val="continue"/>
            <w:tcBorders>
              <w:top w:val="single" w:color="auto" w:sz="4" w:space="0"/>
              <w:left w:val="single" w:color="auto" w:sz="4" w:space="0"/>
              <w:bottom w:val="single" w:color="auto" w:sz="4" w:space="0"/>
              <w:right w:val="single" w:color="auto" w:sz="4" w:space="0"/>
            </w:tcBorders>
            <w:vAlign w:val="center"/>
          </w:tcPr>
          <w:p w14:paraId="32942180">
            <w:pPr>
              <w:keepNext w:val="0"/>
              <w:keepLines w:val="0"/>
              <w:pageBreakBefore w:val="0"/>
              <w:widowControl/>
              <w:kinsoku/>
              <w:wordWrap/>
              <w:overflowPunct/>
              <w:bidi w:val="0"/>
              <w:adjustRightInd w:val="0"/>
              <w:snapToGrid w:val="0"/>
              <w:spacing w:line="240" w:lineRule="auto"/>
              <w:rPr>
                <w:rFonts w:hint="eastAsia" w:ascii="宋体" w:hAnsi="宋体" w:eastAsia="宋体" w:cs="宋体"/>
                <w:color w:val="auto"/>
                <w:sz w:val="21"/>
                <w:szCs w:val="21"/>
                <w:highlight w:val="none"/>
              </w:rPr>
            </w:pPr>
          </w:p>
        </w:tc>
        <w:tc>
          <w:tcPr>
            <w:tcW w:w="1977" w:type="dxa"/>
            <w:gridSpan w:val="2"/>
            <w:tcBorders>
              <w:top w:val="single" w:color="auto" w:sz="4" w:space="0"/>
              <w:left w:val="single" w:color="auto" w:sz="4" w:space="0"/>
              <w:bottom w:val="single" w:color="auto" w:sz="4" w:space="0"/>
              <w:right w:val="single" w:color="auto" w:sz="4" w:space="0"/>
            </w:tcBorders>
            <w:vAlign w:val="center"/>
          </w:tcPr>
          <w:p w14:paraId="5856D89E">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p>
        </w:tc>
        <w:tc>
          <w:tcPr>
            <w:tcW w:w="6257" w:type="dxa"/>
            <w:tcBorders>
              <w:top w:val="single" w:color="auto" w:sz="4" w:space="0"/>
              <w:left w:val="single" w:color="auto" w:sz="4" w:space="0"/>
              <w:bottom w:val="single" w:color="auto" w:sz="4" w:space="0"/>
              <w:right w:val="single" w:color="auto" w:sz="4" w:space="0"/>
            </w:tcBorders>
            <w:vAlign w:val="center"/>
          </w:tcPr>
          <w:p w14:paraId="5F699894">
            <w:pPr>
              <w:keepNext w:val="0"/>
              <w:keepLines w:val="0"/>
              <w:pageBreakBefore w:val="0"/>
              <w:tabs>
                <w:tab w:val="left" w:pos="700"/>
              </w:tabs>
              <w:kinsoku/>
              <w:wordWrap/>
              <w:overflowPunct/>
              <w:bidi w:val="0"/>
              <w:adjustRightInd w:val="0"/>
              <w:snapToGrid w:val="0"/>
              <w:spacing w:line="240" w:lineRule="auto"/>
              <w:rPr>
                <w:rFonts w:hint="eastAsia" w:ascii="宋体" w:hAnsi="宋体" w:eastAsia="宋体" w:cs="宋体"/>
                <w:color w:val="auto"/>
                <w:sz w:val="21"/>
                <w:szCs w:val="21"/>
                <w:highlight w:val="none"/>
              </w:rPr>
            </w:pPr>
          </w:p>
        </w:tc>
      </w:tr>
      <w:tr w14:paraId="08879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78" w:type="dxa"/>
            <w:tcBorders>
              <w:top w:val="single" w:color="auto" w:sz="4" w:space="0"/>
              <w:left w:val="single" w:color="auto" w:sz="4" w:space="0"/>
              <w:bottom w:val="single" w:color="auto" w:sz="4" w:space="0"/>
              <w:right w:val="single" w:color="auto" w:sz="4" w:space="0"/>
            </w:tcBorders>
            <w:vAlign w:val="center"/>
          </w:tcPr>
          <w:p w14:paraId="296C8A78">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7</w:t>
            </w:r>
          </w:p>
        </w:tc>
        <w:tc>
          <w:tcPr>
            <w:tcW w:w="1977" w:type="dxa"/>
            <w:gridSpan w:val="2"/>
            <w:tcBorders>
              <w:top w:val="single" w:color="auto" w:sz="4" w:space="0"/>
              <w:left w:val="single" w:color="auto" w:sz="4" w:space="0"/>
              <w:bottom w:val="single" w:color="auto" w:sz="4" w:space="0"/>
              <w:right w:val="single" w:color="auto" w:sz="4" w:space="0"/>
            </w:tcBorders>
            <w:vAlign w:val="center"/>
          </w:tcPr>
          <w:p w14:paraId="77DE3933">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合同金额</w:t>
            </w:r>
          </w:p>
        </w:tc>
        <w:tc>
          <w:tcPr>
            <w:tcW w:w="6257" w:type="dxa"/>
            <w:tcBorders>
              <w:top w:val="single" w:color="auto" w:sz="4" w:space="0"/>
              <w:left w:val="single" w:color="auto" w:sz="4" w:space="0"/>
              <w:bottom w:val="single" w:color="auto" w:sz="4" w:space="0"/>
              <w:right w:val="single" w:color="auto" w:sz="4" w:space="0"/>
            </w:tcBorders>
            <w:vAlign w:val="center"/>
          </w:tcPr>
          <w:p w14:paraId="0DDCF565">
            <w:pPr>
              <w:keepNext w:val="0"/>
              <w:keepLines w:val="0"/>
              <w:pageBreakBefore w:val="0"/>
              <w:tabs>
                <w:tab w:val="left" w:pos="700"/>
              </w:tabs>
              <w:kinsoku/>
              <w:wordWrap/>
              <w:overflowPunct/>
              <w:bidi w:val="0"/>
              <w:adjustRightInd w:val="0"/>
              <w:snapToGrid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rPr>
              <w:t>元</w:t>
            </w:r>
            <w:r>
              <w:rPr>
                <w:rFonts w:hint="eastAsia" w:ascii="宋体" w:hAnsi="宋体" w:eastAsia="宋体" w:cs="宋体"/>
                <w:color w:val="auto"/>
                <w:sz w:val="21"/>
                <w:szCs w:val="21"/>
                <w:highlight w:val="none"/>
              </w:rPr>
              <w:t>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tc>
      </w:tr>
      <w:tr w14:paraId="6F0E1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678" w:type="dxa"/>
            <w:tcBorders>
              <w:top w:val="single" w:color="auto" w:sz="4" w:space="0"/>
              <w:left w:val="single" w:color="auto" w:sz="4" w:space="0"/>
              <w:bottom w:val="single" w:color="auto" w:sz="4" w:space="0"/>
              <w:right w:val="single" w:color="auto" w:sz="4" w:space="0"/>
            </w:tcBorders>
            <w:vAlign w:val="center"/>
          </w:tcPr>
          <w:p w14:paraId="4F77D16A">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8</w:t>
            </w:r>
          </w:p>
        </w:tc>
        <w:tc>
          <w:tcPr>
            <w:tcW w:w="1977" w:type="dxa"/>
            <w:gridSpan w:val="2"/>
            <w:tcBorders>
              <w:top w:val="single" w:color="auto" w:sz="4" w:space="0"/>
              <w:left w:val="single" w:color="auto" w:sz="4" w:space="0"/>
              <w:bottom w:val="single" w:color="auto" w:sz="4" w:space="0"/>
              <w:right w:val="single" w:color="auto" w:sz="4" w:space="0"/>
            </w:tcBorders>
            <w:vAlign w:val="center"/>
          </w:tcPr>
          <w:p w14:paraId="483B67DC">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服务内容</w:t>
            </w:r>
          </w:p>
        </w:tc>
        <w:tc>
          <w:tcPr>
            <w:tcW w:w="6257" w:type="dxa"/>
            <w:tcBorders>
              <w:top w:val="single" w:color="auto" w:sz="4" w:space="0"/>
              <w:left w:val="single" w:color="auto" w:sz="4" w:space="0"/>
              <w:bottom w:val="single" w:color="auto" w:sz="4" w:space="0"/>
              <w:right w:val="single" w:color="auto" w:sz="4" w:space="0"/>
            </w:tcBorders>
            <w:vAlign w:val="center"/>
          </w:tcPr>
          <w:p w14:paraId="308AA09B">
            <w:pPr>
              <w:pStyle w:val="50"/>
              <w:keepNext w:val="0"/>
              <w:keepLines w:val="0"/>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物业管理</w:t>
            </w:r>
            <w:r>
              <w:rPr>
                <w:rFonts w:hint="eastAsia" w:ascii="宋体" w:hAnsi="宋体" w:eastAsia="宋体" w:cs="宋体"/>
                <w:color w:val="auto"/>
                <w:kern w:val="0"/>
                <w:sz w:val="21"/>
                <w:szCs w:val="21"/>
                <w:highlight w:val="none"/>
                <w:lang w:val="en-US" w:eastAsia="zh-CN" w:bidi="ar-SA"/>
              </w:rPr>
              <w:t>服务</w:t>
            </w:r>
          </w:p>
        </w:tc>
      </w:tr>
      <w:tr w14:paraId="78B7D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678" w:type="dxa"/>
            <w:tcBorders>
              <w:top w:val="single" w:color="auto" w:sz="4" w:space="0"/>
              <w:left w:val="single" w:color="auto" w:sz="4" w:space="0"/>
              <w:bottom w:val="single" w:color="auto" w:sz="4" w:space="0"/>
              <w:right w:val="single" w:color="auto" w:sz="4" w:space="0"/>
            </w:tcBorders>
            <w:vAlign w:val="center"/>
          </w:tcPr>
          <w:p w14:paraId="66E65F89">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9</w:t>
            </w:r>
          </w:p>
        </w:tc>
        <w:tc>
          <w:tcPr>
            <w:tcW w:w="1977" w:type="dxa"/>
            <w:gridSpan w:val="2"/>
            <w:tcBorders>
              <w:top w:val="single" w:color="auto" w:sz="4" w:space="0"/>
              <w:left w:val="single" w:color="auto" w:sz="4" w:space="0"/>
              <w:bottom w:val="single" w:color="auto" w:sz="4" w:space="0"/>
              <w:right w:val="single" w:color="auto" w:sz="4" w:space="0"/>
            </w:tcBorders>
            <w:vAlign w:val="center"/>
          </w:tcPr>
          <w:p w14:paraId="0E2A3A64">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合同付款</w:t>
            </w:r>
          </w:p>
        </w:tc>
        <w:tc>
          <w:tcPr>
            <w:tcW w:w="6257" w:type="dxa"/>
            <w:tcBorders>
              <w:top w:val="single" w:color="auto" w:sz="4" w:space="0"/>
              <w:left w:val="single" w:color="auto" w:sz="4" w:space="0"/>
              <w:bottom w:val="single" w:color="auto" w:sz="4" w:space="0"/>
              <w:right w:val="single" w:color="auto" w:sz="4" w:space="0"/>
            </w:tcBorders>
            <w:vAlign w:val="center"/>
          </w:tcPr>
          <w:p w14:paraId="093351AE">
            <w:pPr>
              <w:pStyle w:val="35"/>
              <w:keepNext w:val="0"/>
              <w:keepLines w:val="0"/>
              <w:pageBreakBefore w:val="0"/>
              <w:widowControl w:val="0"/>
              <w:numPr>
                <w:ilvl w:val="0"/>
                <w:numId w:val="0"/>
              </w:numPr>
              <w:tabs>
                <w:tab w:val="left" w:pos="840"/>
              </w:tabs>
              <w:kinsoku/>
              <w:wordWrap/>
              <w:overflowPunct/>
              <w:topLinePunct w:val="0"/>
              <w:autoSpaceDE/>
              <w:autoSpaceDN/>
              <w:bidi w:val="0"/>
              <w:adjustRightInd w:val="0"/>
              <w:snapToGrid w:val="0"/>
              <w:spacing w:line="440" w:lineRule="exact"/>
              <w:ind w:firstLine="420" w:firstLineChars="200"/>
              <w:jc w:val="both"/>
              <w:textAlignment w:val="baseline"/>
              <w:outlineLvl w:val="9"/>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1、付款方式按月度支付。物业管理服务费按月支付，当月支付上月考核后实际应付的物业管理费。</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lang w:val="en-US" w:eastAsia="zh-CN"/>
              </w:rPr>
              <w:t xml:space="preserve">    </w:t>
            </w:r>
            <w:r>
              <w:rPr>
                <w:rFonts w:hint="eastAsia" w:ascii="宋体" w:hAnsi="宋体" w:eastAsia="宋体" w:cs="宋体"/>
                <w:b w:val="0"/>
                <w:bCs w:val="0"/>
                <w:i w:val="0"/>
                <w:iCs w:val="0"/>
                <w:smallCaps w:val="0"/>
                <w:color w:val="auto"/>
                <w:sz w:val="21"/>
                <w:szCs w:val="21"/>
                <w:highlight w:val="none"/>
              </w:rPr>
              <w:t>2、</w:t>
            </w:r>
            <w:r>
              <w:rPr>
                <w:rFonts w:hint="eastAsia" w:ascii="宋体" w:hAnsi="宋体" w:eastAsia="宋体" w:cs="宋体"/>
                <w:b w:val="0"/>
                <w:bCs w:val="0"/>
                <w:i w:val="0"/>
                <w:iCs w:val="0"/>
                <w:smallCaps w:val="0"/>
                <w:color w:val="auto"/>
                <w:sz w:val="21"/>
                <w:szCs w:val="21"/>
                <w:highlight w:val="none"/>
                <w:lang w:eastAsia="zh-CN"/>
              </w:rPr>
              <w:t>甲方</w:t>
            </w:r>
            <w:r>
              <w:rPr>
                <w:rFonts w:hint="eastAsia" w:ascii="宋体" w:hAnsi="宋体" w:eastAsia="宋体" w:cs="宋体"/>
                <w:b w:val="0"/>
                <w:bCs w:val="0"/>
                <w:i w:val="0"/>
                <w:iCs w:val="0"/>
                <w:smallCaps w:val="0"/>
                <w:color w:val="auto"/>
                <w:sz w:val="21"/>
                <w:szCs w:val="21"/>
                <w:highlight w:val="none"/>
              </w:rPr>
              <w:t>收到供应商提供的正规等额发票后，</w:t>
            </w:r>
            <w:r>
              <w:rPr>
                <w:rFonts w:hint="eastAsia" w:ascii="宋体" w:hAnsi="宋体" w:eastAsia="宋体" w:cs="宋体"/>
                <w:b w:val="0"/>
                <w:bCs w:val="0"/>
                <w:i w:val="0"/>
                <w:iCs w:val="0"/>
                <w:smallCaps w:val="0"/>
                <w:color w:val="auto"/>
                <w:sz w:val="21"/>
                <w:szCs w:val="21"/>
                <w:highlight w:val="none"/>
                <w:lang w:eastAsia="zh-CN"/>
              </w:rPr>
              <w:t>甲方</w:t>
            </w:r>
            <w:r>
              <w:rPr>
                <w:rFonts w:hint="eastAsia" w:ascii="宋体" w:hAnsi="宋体" w:eastAsia="宋体" w:cs="宋体"/>
                <w:b w:val="0"/>
                <w:bCs w:val="0"/>
                <w:i w:val="0"/>
                <w:iCs w:val="0"/>
                <w:smallCaps w:val="0"/>
                <w:color w:val="auto"/>
                <w:sz w:val="21"/>
                <w:szCs w:val="21"/>
                <w:highlight w:val="none"/>
              </w:rPr>
              <w:t>在15个工作日内，向供应商提供的银行和账号支付物业管理服务费。</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如果供应商未达到所承诺及合同约定的服务标准，</w:t>
            </w:r>
            <w:r>
              <w:rPr>
                <w:rFonts w:hint="eastAsia" w:ascii="宋体" w:hAnsi="宋体" w:eastAsia="宋体" w:cs="宋体"/>
                <w:b w:val="0"/>
                <w:bCs w:val="0"/>
                <w:i w:val="0"/>
                <w:iCs w:val="0"/>
                <w:smallCaps w:val="0"/>
                <w:color w:val="auto"/>
                <w:sz w:val="21"/>
                <w:szCs w:val="21"/>
                <w:highlight w:val="none"/>
                <w:lang w:eastAsia="zh-CN"/>
              </w:rPr>
              <w:t>甲方</w:t>
            </w:r>
            <w:r>
              <w:rPr>
                <w:rFonts w:hint="eastAsia" w:ascii="宋体" w:hAnsi="宋体" w:eastAsia="宋体" w:cs="宋体"/>
                <w:b w:val="0"/>
                <w:bCs w:val="0"/>
                <w:i w:val="0"/>
                <w:iCs w:val="0"/>
                <w:smallCaps w:val="0"/>
                <w:color w:val="auto"/>
                <w:sz w:val="21"/>
                <w:szCs w:val="21"/>
                <w:highlight w:val="none"/>
              </w:rPr>
              <w:t>有权根据考核结果扣减相应物业费并延迟支付费用</w:t>
            </w:r>
            <w:r>
              <w:rPr>
                <w:rFonts w:hint="eastAsia" w:ascii="宋体" w:hAnsi="宋体" w:eastAsia="宋体" w:cs="宋体"/>
                <w:b w:val="0"/>
                <w:bCs w:val="0"/>
                <w:i w:val="0"/>
                <w:iCs w:val="0"/>
                <w:smallCaps w:val="0"/>
                <w:color w:val="auto"/>
                <w:sz w:val="21"/>
                <w:szCs w:val="21"/>
                <w:highlight w:val="none"/>
                <w:lang w:eastAsia="zh-CN"/>
              </w:rPr>
              <w:t>直至供应商解决相应问题</w:t>
            </w:r>
            <w:r>
              <w:rPr>
                <w:rFonts w:hint="eastAsia" w:ascii="宋体" w:hAnsi="宋体" w:eastAsia="宋体" w:cs="宋体"/>
                <w:b w:val="0"/>
                <w:bCs w:val="0"/>
                <w:i w:val="0"/>
                <w:iCs w:val="0"/>
                <w:smallCaps w:val="0"/>
                <w:color w:val="auto"/>
                <w:sz w:val="21"/>
                <w:szCs w:val="21"/>
                <w:highlight w:val="none"/>
              </w:rPr>
              <w:t>（考核标准详见合同附件《考核管理办法》）。</w:t>
            </w:r>
          </w:p>
          <w:p w14:paraId="6158C6D7">
            <w:pPr>
              <w:pStyle w:val="35"/>
              <w:keepNext w:val="0"/>
              <w:keepLines w:val="0"/>
              <w:pageBreakBefore w:val="0"/>
              <w:widowControl w:val="0"/>
              <w:numPr>
                <w:ilvl w:val="0"/>
                <w:numId w:val="0"/>
              </w:numPr>
              <w:tabs>
                <w:tab w:val="left" w:pos="840"/>
              </w:tabs>
              <w:kinsoku/>
              <w:wordWrap/>
              <w:overflowPunct/>
              <w:topLinePunct w:val="0"/>
              <w:autoSpaceDE/>
              <w:autoSpaceDN/>
              <w:bidi w:val="0"/>
              <w:adjustRightInd w:val="0"/>
              <w:snapToGrid w:val="0"/>
              <w:spacing w:line="440" w:lineRule="exact"/>
              <w:ind w:firstLine="420" w:firstLineChars="200"/>
              <w:jc w:val="both"/>
              <w:textAlignment w:val="baseline"/>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smallCaps w:val="0"/>
                <w:color w:val="auto"/>
                <w:sz w:val="21"/>
                <w:szCs w:val="21"/>
                <w:highlight w:val="none"/>
              </w:rPr>
              <w:t>付款提示：在达到约定的</w:t>
            </w:r>
            <w:r>
              <w:rPr>
                <w:rFonts w:hint="eastAsia" w:ascii="宋体" w:hAnsi="宋体" w:eastAsia="宋体" w:cs="宋体"/>
                <w:b w:val="0"/>
                <w:bCs w:val="0"/>
                <w:i w:val="0"/>
                <w:iCs w:val="0"/>
                <w:smallCaps w:val="0"/>
                <w:color w:val="auto"/>
                <w:sz w:val="21"/>
                <w:szCs w:val="21"/>
                <w:highlight w:val="none"/>
                <w:lang w:eastAsia="zh-CN"/>
              </w:rPr>
              <w:t>甲方</w:t>
            </w:r>
            <w:r>
              <w:rPr>
                <w:rFonts w:hint="eastAsia" w:ascii="宋体" w:hAnsi="宋体" w:eastAsia="宋体" w:cs="宋体"/>
                <w:b w:val="0"/>
                <w:bCs w:val="0"/>
                <w:i w:val="0"/>
                <w:iCs w:val="0"/>
                <w:smallCaps w:val="0"/>
                <w:color w:val="auto"/>
                <w:sz w:val="21"/>
                <w:szCs w:val="21"/>
                <w:highlight w:val="none"/>
              </w:rPr>
              <w:t>付款进度时，供应商应提前向</w:t>
            </w:r>
            <w:r>
              <w:rPr>
                <w:rFonts w:hint="eastAsia" w:ascii="宋体" w:hAnsi="宋体" w:eastAsia="宋体" w:cs="宋体"/>
                <w:b w:val="0"/>
                <w:bCs w:val="0"/>
                <w:i w:val="0"/>
                <w:iCs w:val="0"/>
                <w:smallCaps w:val="0"/>
                <w:color w:val="auto"/>
                <w:sz w:val="21"/>
                <w:szCs w:val="21"/>
                <w:highlight w:val="none"/>
                <w:lang w:eastAsia="zh-CN"/>
              </w:rPr>
              <w:t>甲方</w:t>
            </w:r>
            <w:r>
              <w:rPr>
                <w:rFonts w:hint="eastAsia" w:ascii="宋体" w:hAnsi="宋体" w:eastAsia="宋体" w:cs="宋体"/>
                <w:b w:val="0"/>
                <w:bCs w:val="0"/>
                <w:i w:val="0"/>
                <w:iCs w:val="0"/>
                <w:smallCaps w:val="0"/>
                <w:color w:val="auto"/>
                <w:sz w:val="21"/>
                <w:szCs w:val="21"/>
                <w:highlight w:val="none"/>
              </w:rPr>
              <w:t>发出提示付款的书面通知和依法开具的正式、有效发票。</w:t>
            </w:r>
          </w:p>
        </w:tc>
      </w:tr>
      <w:tr w14:paraId="1AE4D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78" w:type="dxa"/>
            <w:tcBorders>
              <w:top w:val="single" w:color="auto" w:sz="4" w:space="0"/>
              <w:left w:val="single" w:color="auto" w:sz="4" w:space="0"/>
              <w:bottom w:val="single" w:color="auto" w:sz="4" w:space="0"/>
              <w:right w:val="single" w:color="auto" w:sz="4" w:space="0"/>
            </w:tcBorders>
            <w:vAlign w:val="center"/>
          </w:tcPr>
          <w:p w14:paraId="6D262E5C">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977" w:type="dxa"/>
            <w:gridSpan w:val="2"/>
            <w:tcBorders>
              <w:top w:val="single" w:color="auto" w:sz="4" w:space="0"/>
              <w:left w:val="single" w:color="auto" w:sz="4" w:space="0"/>
              <w:bottom w:val="single" w:color="auto" w:sz="4" w:space="0"/>
              <w:right w:val="single" w:color="auto" w:sz="4" w:space="0"/>
            </w:tcBorders>
            <w:vAlign w:val="center"/>
          </w:tcPr>
          <w:p w14:paraId="6F4C0A92">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履约保证金及返还</w:t>
            </w:r>
          </w:p>
        </w:tc>
        <w:tc>
          <w:tcPr>
            <w:tcW w:w="6257" w:type="dxa"/>
            <w:tcBorders>
              <w:top w:val="single" w:color="auto" w:sz="4" w:space="0"/>
              <w:left w:val="single" w:color="auto" w:sz="4" w:space="0"/>
              <w:bottom w:val="single" w:color="auto" w:sz="4" w:space="0"/>
              <w:right w:val="single" w:color="auto" w:sz="4" w:space="0"/>
            </w:tcBorders>
            <w:vAlign w:val="center"/>
          </w:tcPr>
          <w:p w14:paraId="699BA490">
            <w:pPr>
              <w:keepNext w:val="0"/>
              <w:keepLines w:val="0"/>
              <w:pageBreakBefore w:val="0"/>
              <w:tabs>
                <w:tab w:val="left" w:pos="700"/>
              </w:tabs>
              <w:kinsoku/>
              <w:wordWrap/>
              <w:overflowPunct/>
              <w:bidi w:val="0"/>
              <w:adjustRightInd w:val="0"/>
              <w:snapToGrid w:val="0"/>
              <w:spacing w:line="240" w:lineRule="auto"/>
              <w:jc w:val="both"/>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☑本项目不要求提供履约保证金。</w:t>
            </w:r>
          </w:p>
        </w:tc>
      </w:tr>
      <w:tr w14:paraId="37D61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678" w:type="dxa"/>
            <w:tcBorders>
              <w:top w:val="single" w:color="auto" w:sz="4" w:space="0"/>
              <w:left w:val="single" w:color="auto" w:sz="4" w:space="0"/>
              <w:bottom w:val="single" w:color="auto" w:sz="4" w:space="0"/>
              <w:right w:val="single" w:color="auto" w:sz="4" w:space="0"/>
            </w:tcBorders>
            <w:vAlign w:val="center"/>
          </w:tcPr>
          <w:p w14:paraId="6E521F6C">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1977" w:type="dxa"/>
            <w:gridSpan w:val="2"/>
            <w:tcBorders>
              <w:top w:val="single" w:color="auto" w:sz="4" w:space="0"/>
              <w:left w:val="single" w:color="auto" w:sz="4" w:space="0"/>
              <w:bottom w:val="single" w:color="auto" w:sz="4" w:space="0"/>
              <w:right w:val="single" w:color="auto" w:sz="4" w:space="0"/>
            </w:tcBorders>
            <w:vAlign w:val="center"/>
          </w:tcPr>
          <w:p w14:paraId="466053F8">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合同履行期限</w:t>
            </w:r>
          </w:p>
        </w:tc>
        <w:tc>
          <w:tcPr>
            <w:tcW w:w="6257" w:type="dxa"/>
            <w:tcBorders>
              <w:top w:val="single" w:color="auto" w:sz="4" w:space="0"/>
              <w:left w:val="single" w:color="auto" w:sz="4" w:space="0"/>
              <w:bottom w:val="single" w:color="auto" w:sz="4" w:space="0"/>
              <w:right w:val="single" w:color="auto" w:sz="4" w:space="0"/>
            </w:tcBorders>
            <w:vAlign w:val="center"/>
          </w:tcPr>
          <w:p w14:paraId="29D8F1A2">
            <w:pPr>
              <w:keepNext w:val="0"/>
              <w:keepLines w:val="0"/>
              <w:pageBreakBefore w:val="0"/>
              <w:tabs>
                <w:tab w:val="left" w:pos="700"/>
              </w:tabs>
              <w:kinsoku/>
              <w:wordWrap/>
              <w:overflowPunct/>
              <w:bidi w:val="0"/>
              <w:adjustRightInd w:val="0"/>
              <w:snapToGrid w:val="0"/>
              <w:spacing w:line="240" w:lineRule="auto"/>
              <w:jc w:val="both"/>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合同生效之日起至合同全部权利义务履行完毕之日止</w:t>
            </w:r>
          </w:p>
        </w:tc>
      </w:tr>
      <w:tr w14:paraId="1C662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678" w:type="dxa"/>
            <w:tcBorders>
              <w:top w:val="single" w:color="auto" w:sz="4" w:space="0"/>
              <w:left w:val="single" w:color="auto" w:sz="4" w:space="0"/>
              <w:bottom w:val="single" w:color="auto" w:sz="4" w:space="0"/>
              <w:right w:val="single" w:color="auto" w:sz="4" w:space="0"/>
            </w:tcBorders>
            <w:vAlign w:val="center"/>
          </w:tcPr>
          <w:p w14:paraId="095D4B6B">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p>
        </w:tc>
        <w:tc>
          <w:tcPr>
            <w:tcW w:w="1977" w:type="dxa"/>
            <w:gridSpan w:val="2"/>
            <w:tcBorders>
              <w:top w:val="single" w:color="auto" w:sz="4" w:space="0"/>
              <w:left w:val="single" w:color="auto" w:sz="4" w:space="0"/>
              <w:bottom w:val="single" w:color="auto" w:sz="4" w:space="0"/>
              <w:right w:val="single" w:color="auto" w:sz="4" w:space="0"/>
            </w:tcBorders>
            <w:vAlign w:val="center"/>
          </w:tcPr>
          <w:p w14:paraId="1EC52861">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服务期限</w:t>
            </w:r>
          </w:p>
        </w:tc>
        <w:tc>
          <w:tcPr>
            <w:tcW w:w="6257" w:type="dxa"/>
            <w:tcBorders>
              <w:top w:val="single" w:color="auto" w:sz="4" w:space="0"/>
              <w:left w:val="single" w:color="auto" w:sz="4" w:space="0"/>
              <w:bottom w:val="single" w:color="auto" w:sz="4" w:space="0"/>
              <w:right w:val="single" w:color="auto" w:sz="4" w:space="0"/>
            </w:tcBorders>
            <w:vAlign w:val="center"/>
          </w:tcPr>
          <w:p w14:paraId="49F6267C">
            <w:pPr>
              <w:keepNext w:val="0"/>
              <w:keepLines w:val="0"/>
              <w:pageBreakBefore w:val="0"/>
              <w:tabs>
                <w:tab w:val="left" w:pos="700"/>
              </w:tabs>
              <w:kinsoku/>
              <w:wordWrap/>
              <w:overflowPunct/>
              <w:bidi w:val="0"/>
              <w:adjustRightInd w:val="0"/>
              <w:snapToGrid w:val="0"/>
              <w:spacing w:line="240" w:lineRule="auto"/>
              <w:jc w:val="left"/>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一年，自合同签订生效之日起至合同全部权利义务履行完毕。</w:t>
            </w:r>
          </w:p>
        </w:tc>
      </w:tr>
      <w:tr w14:paraId="04186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678" w:type="dxa"/>
            <w:tcBorders>
              <w:top w:val="single" w:color="auto" w:sz="4" w:space="0"/>
              <w:left w:val="single" w:color="auto" w:sz="4" w:space="0"/>
              <w:bottom w:val="single" w:color="auto" w:sz="4" w:space="0"/>
              <w:right w:val="single" w:color="auto" w:sz="4" w:space="0"/>
            </w:tcBorders>
            <w:vAlign w:val="center"/>
          </w:tcPr>
          <w:p w14:paraId="32683F5C">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p>
        </w:tc>
        <w:tc>
          <w:tcPr>
            <w:tcW w:w="1977" w:type="dxa"/>
            <w:gridSpan w:val="2"/>
            <w:tcBorders>
              <w:top w:val="single" w:color="auto" w:sz="4" w:space="0"/>
              <w:left w:val="single" w:color="auto" w:sz="4" w:space="0"/>
              <w:bottom w:val="single" w:color="auto" w:sz="4" w:space="0"/>
              <w:right w:val="single" w:color="auto" w:sz="4" w:space="0"/>
            </w:tcBorders>
            <w:vAlign w:val="center"/>
          </w:tcPr>
          <w:p w14:paraId="3818D357">
            <w:pPr>
              <w:keepNext w:val="0"/>
              <w:keepLines w:val="0"/>
              <w:pageBreakBefore w:val="0"/>
              <w:tabs>
                <w:tab w:val="left" w:pos="700"/>
              </w:tabs>
              <w:kinsoku/>
              <w:wordWrap/>
              <w:overflowPunct/>
              <w:bidi w:val="0"/>
              <w:adjustRightInd w:val="0"/>
              <w:snapToGrid w:val="0"/>
              <w:spacing w:line="240" w:lineRule="auto"/>
              <w:jc w:val="center"/>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 w:eastAsia="zh-CN"/>
              </w:rPr>
              <w:t>合同履约地点</w:t>
            </w:r>
          </w:p>
        </w:tc>
        <w:tc>
          <w:tcPr>
            <w:tcW w:w="6257" w:type="dxa"/>
            <w:tcBorders>
              <w:top w:val="single" w:color="auto" w:sz="4" w:space="0"/>
              <w:left w:val="single" w:color="auto" w:sz="4" w:space="0"/>
              <w:bottom w:val="single" w:color="auto" w:sz="4" w:space="0"/>
              <w:right w:val="single" w:color="auto" w:sz="4" w:space="0"/>
            </w:tcBorders>
            <w:vAlign w:val="center"/>
          </w:tcPr>
          <w:p w14:paraId="2AD18EE4">
            <w:pPr>
              <w:keepNext w:val="0"/>
              <w:keepLines w:val="0"/>
              <w:pageBreakBefore w:val="0"/>
              <w:tabs>
                <w:tab w:val="left" w:pos="700"/>
              </w:tabs>
              <w:kinsoku/>
              <w:wordWrap/>
              <w:overflowPunct/>
              <w:bidi w:val="0"/>
              <w:adjustRightInd w:val="0"/>
              <w:snapToGrid w:val="0"/>
              <w:spacing w:line="240" w:lineRule="auto"/>
              <w:jc w:val="both"/>
              <w:rPr>
                <w:rFonts w:hint="eastAsia" w:ascii="宋体" w:hAnsi="宋体" w:eastAsia="宋体" w:cs="宋体"/>
                <w:b w:val="0"/>
                <w:bCs w:val="0"/>
                <w:color w:val="auto"/>
                <w:kern w:val="2"/>
                <w:sz w:val="21"/>
                <w:szCs w:val="21"/>
                <w:highlight w:val="none"/>
                <w:lang w:val="en" w:eastAsia="zh-CN" w:bidi="ar-SA"/>
              </w:rPr>
            </w:pPr>
            <w:r>
              <w:rPr>
                <w:rFonts w:hint="eastAsia" w:ascii="宋体" w:hAnsi="宋体" w:eastAsia="宋体" w:cs="宋体"/>
                <w:b w:val="0"/>
                <w:bCs w:val="0"/>
                <w:color w:val="auto"/>
                <w:kern w:val="2"/>
                <w:sz w:val="21"/>
                <w:szCs w:val="21"/>
                <w:highlight w:val="none"/>
                <w:lang w:val="en" w:eastAsia="zh-CN" w:bidi="ar-SA"/>
              </w:rPr>
              <w:t>昆明市官渡区宝海路519号、日新路1263号、螺蛳湾国际商贸城3期28区3楼</w:t>
            </w:r>
          </w:p>
        </w:tc>
      </w:tr>
    </w:tbl>
    <w:p w14:paraId="1B320C7D">
      <w:pPr>
        <w:tabs>
          <w:tab w:val="left" w:pos="700"/>
        </w:tabs>
        <w:topLinePunct/>
        <w:autoSpaceDE w:val="0"/>
        <w:autoSpaceDN w:val="0"/>
        <w:spacing w:line="460" w:lineRule="exact"/>
        <w:rPr>
          <w:rFonts w:hint="eastAsia" w:ascii="宋体" w:hAnsi="宋体" w:cs="宋体"/>
          <w:b/>
          <w:color w:val="auto"/>
          <w:sz w:val="24"/>
          <w:highlight w:val="none"/>
        </w:rPr>
      </w:pPr>
      <w:r>
        <w:rPr>
          <w:rFonts w:hint="eastAsia" w:ascii="宋体" w:hAnsi="宋体" w:cs="宋体"/>
          <w:b/>
          <w:color w:val="auto"/>
          <w:sz w:val="28"/>
          <w:highlight w:val="none"/>
        </w:rPr>
        <w:br w:type="page"/>
      </w:r>
    </w:p>
    <w:p w14:paraId="60B6F40B">
      <w:pPr>
        <w:keepNext w:val="0"/>
        <w:keepLines w:val="0"/>
        <w:pageBreakBefore w:val="0"/>
        <w:widowControl w:val="0"/>
        <w:tabs>
          <w:tab w:val="left" w:pos="0"/>
        </w:tabs>
        <w:kinsoku/>
        <w:wordWrap/>
        <w:overflowPunct/>
        <w:topLinePunct/>
        <w:autoSpaceDE w:val="0"/>
        <w:autoSpaceDN w:val="0"/>
        <w:bidi w:val="0"/>
        <w:adjustRightInd/>
        <w:snapToGrid/>
        <w:spacing w:line="440" w:lineRule="exact"/>
        <w:jc w:val="center"/>
        <w:textAlignment w:val="auto"/>
        <w:outlineLvl w:val="2"/>
        <w:rPr>
          <w:rFonts w:hint="eastAsia" w:ascii="宋体" w:hAnsi="宋体" w:cs="宋体"/>
          <w:b/>
          <w:color w:val="auto"/>
          <w:sz w:val="24"/>
          <w:highlight w:val="none"/>
        </w:rPr>
      </w:pPr>
      <w:r>
        <w:rPr>
          <w:rFonts w:hint="eastAsia" w:ascii="宋体" w:hAnsi="宋体" w:cs="宋体"/>
          <w:b/>
          <w:color w:val="auto"/>
          <w:sz w:val="24"/>
          <w:highlight w:val="none"/>
        </w:rPr>
        <w:t xml:space="preserve">一   合  同 </w:t>
      </w:r>
    </w:p>
    <w:p w14:paraId="62D384B4">
      <w:pPr>
        <w:keepNext w:val="0"/>
        <w:keepLines w:val="0"/>
        <w:pageBreakBefore w:val="0"/>
        <w:widowControl w:val="0"/>
        <w:tabs>
          <w:tab w:val="left" w:pos="540"/>
        </w:tabs>
        <w:kinsoku/>
        <w:wordWrap/>
        <w:overflowPunct/>
        <w:topLinePunct/>
        <w:autoSpaceDE w:val="0"/>
        <w:autoSpaceDN w:val="0"/>
        <w:bidi w:val="0"/>
        <w:spacing w:line="440" w:lineRule="exact"/>
        <w:rPr>
          <w:rFonts w:hint="default" w:ascii="Times New Roman" w:hAnsi="Times New Roman" w:cs="Times New Roman"/>
          <w:b/>
          <w:color w:val="auto"/>
          <w:sz w:val="24"/>
          <w:highlight w:val="none"/>
        </w:rPr>
      </w:pPr>
    </w:p>
    <w:p w14:paraId="6ECDD549">
      <w:pPr>
        <w:keepNext w:val="0"/>
        <w:keepLines w:val="0"/>
        <w:pageBreakBefore w:val="0"/>
        <w:widowControl w:val="0"/>
        <w:tabs>
          <w:tab w:val="left" w:pos="700"/>
        </w:tabs>
        <w:kinsoku/>
        <w:wordWrap/>
        <w:overflowPunct/>
        <w:topLinePunct/>
        <w:autoSpaceDE w:val="0"/>
        <w:autoSpaceDN w:val="0"/>
        <w:bidi w:val="0"/>
        <w:snapToGrid w:val="0"/>
        <w:spacing w:line="440" w:lineRule="exact"/>
        <w:ind w:firstLine="420" w:firstLineChars="200"/>
        <w:outlineLvl w:val="9"/>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国家税务总局昆明市官渡区税务局</w:t>
      </w:r>
      <w:r>
        <w:rPr>
          <w:rFonts w:hint="eastAsia" w:ascii="宋体" w:hAnsi="宋体" w:eastAsia="宋体" w:cs="宋体"/>
          <w:color w:val="auto"/>
          <w:sz w:val="21"/>
          <w:szCs w:val="21"/>
          <w:highlight w:val="none"/>
        </w:rPr>
        <w:t>（以下简称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公开招标</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方式采</w:t>
      </w:r>
      <w:r>
        <w:rPr>
          <w:rFonts w:hint="eastAsia" w:ascii="宋体" w:hAnsi="宋体" w:eastAsia="宋体" w:cs="宋体"/>
          <w:color w:val="auto"/>
          <w:sz w:val="21"/>
          <w:szCs w:val="21"/>
          <w:highlight w:val="none"/>
        </w:rPr>
        <w:t>购</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确定__________公司（以下简称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）为《</w:t>
      </w:r>
      <w:r>
        <w:rPr>
          <w:rFonts w:hint="eastAsia" w:ascii="宋体" w:hAnsi="宋体" w:cs="宋体"/>
          <w:color w:val="auto"/>
          <w:sz w:val="21"/>
          <w:szCs w:val="21"/>
          <w:highlight w:val="none"/>
          <w:lang w:eastAsia="zh-CN"/>
        </w:rPr>
        <w:t>国家税务总局昆明市官渡区税务局2026年物业管理服务项目（二次）</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中标（成交）供应商</w:t>
      </w:r>
      <w:r>
        <w:rPr>
          <w:rFonts w:hint="eastAsia" w:ascii="宋体" w:hAnsi="宋体" w:eastAsia="宋体" w:cs="宋体"/>
          <w:color w:val="auto"/>
          <w:sz w:val="21"/>
          <w:szCs w:val="21"/>
          <w:highlight w:val="none"/>
        </w:rPr>
        <w:t>。甲乙双方同意按照该项目</w:t>
      </w:r>
      <w:r>
        <w:rPr>
          <w:rFonts w:hint="eastAsia" w:ascii="宋体" w:hAnsi="宋体" w:eastAsia="宋体" w:cs="宋体"/>
          <w:color w:val="auto"/>
          <w:sz w:val="21"/>
          <w:szCs w:val="21"/>
          <w:highlight w:val="none"/>
          <w:lang w:eastAsia="zh-CN"/>
        </w:rPr>
        <w:t>招标（采购）文件</w:t>
      </w:r>
      <w:r>
        <w:rPr>
          <w:rFonts w:hint="eastAsia" w:ascii="宋体" w:hAnsi="宋体" w:eastAsia="宋体" w:cs="宋体"/>
          <w:color w:val="auto"/>
          <w:sz w:val="21"/>
          <w:szCs w:val="21"/>
          <w:highlight w:val="none"/>
        </w:rPr>
        <w:t>约定的内容</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签署《</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合同书》（合同编号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以下简称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4798259A">
      <w:pPr>
        <w:keepNext w:val="0"/>
        <w:keepLines w:val="0"/>
        <w:pageBreakBefore w:val="0"/>
        <w:widowControl w:val="0"/>
        <w:kinsoku/>
        <w:wordWrap/>
        <w:overflowPunct/>
        <w:topLinePunct/>
        <w:autoSpaceDE w:val="0"/>
        <w:autoSpaceDN w:val="0"/>
        <w:bidi w:val="0"/>
        <w:snapToGrid w:val="0"/>
        <w:spacing w:line="440" w:lineRule="exact"/>
        <w:ind w:left="482"/>
        <w:outlineLvl w:val="9"/>
        <w:rPr>
          <w:rFonts w:hint="eastAsia" w:ascii="宋体" w:hAnsi="宋体" w:eastAsia="宋体" w:cs="宋体"/>
          <w:b/>
          <w:color w:val="auto"/>
          <w:sz w:val="21"/>
          <w:szCs w:val="21"/>
          <w:highlight w:val="none"/>
        </w:rPr>
      </w:pPr>
      <w:bookmarkStart w:id="111" w:name="_Toc29032"/>
      <w:r>
        <w:rPr>
          <w:rFonts w:hint="eastAsia" w:ascii="宋体" w:hAnsi="宋体" w:eastAsia="宋体" w:cs="宋体"/>
          <w:b/>
          <w:color w:val="auto"/>
          <w:sz w:val="21"/>
          <w:szCs w:val="21"/>
          <w:highlight w:val="none"/>
        </w:rPr>
        <w:t>1. 合同文件</w:t>
      </w:r>
      <w:bookmarkEnd w:id="111"/>
    </w:p>
    <w:p w14:paraId="76DE7623">
      <w:pPr>
        <w:keepNext w:val="0"/>
        <w:keepLines w:val="0"/>
        <w:pageBreakBefore w:val="0"/>
        <w:widowControl w:val="0"/>
        <w:tabs>
          <w:tab w:val="left" w:pos="700"/>
        </w:tabs>
        <w:kinsoku/>
        <w:wordWrap/>
        <w:overflowPunct/>
        <w:topLinePunct/>
        <w:autoSpaceDE w:val="0"/>
        <w:autoSpaceDN w:val="0"/>
        <w:bidi w:val="0"/>
        <w:snapToGrid w:val="0"/>
        <w:spacing w:line="440" w:lineRule="exact"/>
        <w:ind w:firstLine="420" w:firstLineChars="20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本合同所附下列文件是构成本合同不可分割的部分</w:t>
      </w:r>
      <w:r>
        <w:rPr>
          <w:rFonts w:hint="eastAsia" w:ascii="宋体" w:hAnsi="宋体" w:cs="宋体"/>
          <w:color w:val="auto"/>
          <w:sz w:val="21"/>
          <w:szCs w:val="21"/>
          <w:highlight w:val="none"/>
          <w:lang w:eastAsia="zh-CN"/>
        </w:rPr>
        <w:t>：</w:t>
      </w:r>
    </w:p>
    <w:p w14:paraId="755040FC">
      <w:pPr>
        <w:keepNext w:val="0"/>
        <w:keepLines w:val="0"/>
        <w:pageBreakBefore w:val="0"/>
        <w:widowControl w:val="0"/>
        <w:tabs>
          <w:tab w:val="left" w:pos="700"/>
        </w:tabs>
        <w:kinsoku/>
        <w:wordWrap/>
        <w:overflowPunct/>
        <w:topLinePunct/>
        <w:autoSpaceDE w:val="0"/>
        <w:autoSpaceDN w:val="0"/>
        <w:bidi w:val="0"/>
        <w:snapToGrid w:val="0"/>
        <w:spacing w:line="440" w:lineRule="exact"/>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（1）合同通用条款；</w:t>
      </w:r>
    </w:p>
    <w:p w14:paraId="047215BC">
      <w:pPr>
        <w:keepNext w:val="0"/>
        <w:keepLines w:val="0"/>
        <w:pageBreakBefore w:val="0"/>
        <w:widowControl w:val="0"/>
        <w:tabs>
          <w:tab w:val="left" w:pos="700"/>
        </w:tabs>
        <w:kinsoku/>
        <w:wordWrap/>
        <w:overflowPunct/>
        <w:topLinePunct/>
        <w:autoSpaceDE w:val="0"/>
        <w:autoSpaceDN w:val="0"/>
        <w:bidi w:val="0"/>
        <w:snapToGrid w:val="0"/>
        <w:spacing w:line="440" w:lineRule="exact"/>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（2）报价表（总报价表）；</w:t>
      </w:r>
    </w:p>
    <w:p w14:paraId="1BAC23D9">
      <w:pPr>
        <w:keepNext w:val="0"/>
        <w:keepLines w:val="0"/>
        <w:pageBreakBefore w:val="0"/>
        <w:widowControl w:val="0"/>
        <w:tabs>
          <w:tab w:val="left" w:pos="700"/>
        </w:tabs>
        <w:kinsoku/>
        <w:wordWrap/>
        <w:overflowPunct/>
        <w:topLinePunct/>
        <w:autoSpaceDE w:val="0"/>
        <w:autoSpaceDN w:val="0"/>
        <w:bidi w:val="0"/>
        <w:snapToGrid w:val="0"/>
        <w:spacing w:line="440" w:lineRule="exact"/>
        <w:ind w:firstLine="420" w:firstLineChars="20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）招标（采购）文件；</w:t>
      </w:r>
    </w:p>
    <w:p w14:paraId="761D35E5">
      <w:pPr>
        <w:keepNext w:val="0"/>
        <w:keepLines w:val="0"/>
        <w:pageBreakBefore w:val="0"/>
        <w:widowControl w:val="0"/>
        <w:tabs>
          <w:tab w:val="left" w:pos="700"/>
        </w:tabs>
        <w:kinsoku/>
        <w:wordWrap/>
        <w:overflowPunct/>
        <w:topLinePunct/>
        <w:autoSpaceDE w:val="0"/>
        <w:autoSpaceDN w:val="0"/>
        <w:bidi w:val="0"/>
        <w:snapToGrid w:val="0"/>
        <w:spacing w:line="440" w:lineRule="exact"/>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投标（响应）</w:t>
      </w:r>
      <w:r>
        <w:rPr>
          <w:rFonts w:hint="eastAsia" w:ascii="宋体" w:hAnsi="宋体" w:eastAsia="宋体" w:cs="宋体"/>
          <w:color w:val="auto"/>
          <w:sz w:val="21"/>
          <w:szCs w:val="21"/>
          <w:highlight w:val="none"/>
        </w:rPr>
        <w:t>文件。</w:t>
      </w:r>
    </w:p>
    <w:p w14:paraId="6EEFDFE0">
      <w:pPr>
        <w:keepNext w:val="0"/>
        <w:keepLines w:val="0"/>
        <w:pageBreakBefore w:val="0"/>
        <w:widowControl w:val="0"/>
        <w:kinsoku/>
        <w:wordWrap/>
        <w:overflowPunct/>
        <w:topLinePunct/>
        <w:autoSpaceDE w:val="0"/>
        <w:autoSpaceDN w:val="0"/>
        <w:bidi w:val="0"/>
        <w:snapToGrid w:val="0"/>
        <w:spacing w:line="440" w:lineRule="exact"/>
        <w:ind w:left="482"/>
        <w:outlineLvl w:val="9"/>
        <w:rPr>
          <w:rFonts w:hint="eastAsia" w:ascii="宋体" w:hAnsi="宋体" w:eastAsia="宋体" w:cs="宋体"/>
          <w:b/>
          <w:color w:val="auto"/>
          <w:sz w:val="21"/>
          <w:szCs w:val="21"/>
          <w:highlight w:val="none"/>
        </w:rPr>
      </w:pPr>
      <w:bookmarkStart w:id="112" w:name="_Toc27783"/>
      <w:r>
        <w:rPr>
          <w:rFonts w:hint="eastAsia" w:ascii="宋体" w:hAnsi="宋体" w:eastAsia="宋体" w:cs="宋体"/>
          <w:b/>
          <w:color w:val="auto"/>
          <w:sz w:val="21"/>
          <w:szCs w:val="21"/>
          <w:highlight w:val="none"/>
        </w:rPr>
        <w:t>2. 合同范围和条件</w:t>
      </w:r>
      <w:bookmarkEnd w:id="112"/>
    </w:p>
    <w:p w14:paraId="3D7A7867">
      <w:pPr>
        <w:keepNext w:val="0"/>
        <w:keepLines w:val="0"/>
        <w:pageBreakBefore w:val="0"/>
        <w:widowControl w:val="0"/>
        <w:tabs>
          <w:tab w:val="left" w:pos="700"/>
        </w:tabs>
        <w:kinsoku/>
        <w:wordWrap/>
        <w:overflowPunct/>
        <w:topLinePunct/>
        <w:autoSpaceDE w:val="0"/>
        <w:autoSpaceDN w:val="0"/>
        <w:bidi w:val="0"/>
        <w:snapToGrid w:val="0"/>
        <w:spacing w:line="440" w:lineRule="exact"/>
        <w:ind w:firstLine="420" w:firstLineChars="200"/>
        <w:outlineLvl w:val="9"/>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rPr>
        <w:t>本合同的范围和条件应与上述合同文件的规定相一致。</w:t>
      </w:r>
      <w:bookmarkStart w:id="113" w:name="_Toc21889"/>
    </w:p>
    <w:p w14:paraId="2FF0C962">
      <w:pPr>
        <w:pStyle w:val="35"/>
        <w:numPr>
          <w:ilvl w:val="0"/>
          <w:numId w:val="0"/>
        </w:numPr>
        <w:tabs>
          <w:tab w:val="left" w:pos="840"/>
        </w:tabs>
        <w:topLinePunct w:val="0"/>
        <w:autoSpaceDE/>
        <w:autoSpaceDN/>
        <w:adjustRightInd w:val="0"/>
        <w:spacing w:line="440" w:lineRule="exact"/>
        <w:ind w:firstLine="420" w:firstLineChars="200"/>
        <w:jc w:val="both"/>
        <w:textAlignment w:val="baseline"/>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主要内容如下：</w:t>
      </w:r>
    </w:p>
    <w:p w14:paraId="6128936F">
      <w:pPr>
        <w:keepNext w:val="0"/>
        <w:keepLines w:val="0"/>
        <w:pageBreakBefore w:val="0"/>
        <w:widowControl/>
        <w:kinsoku/>
        <w:wordWrap/>
        <w:overflowPunct/>
        <w:topLinePunct w:val="0"/>
        <w:autoSpaceDE/>
        <w:autoSpaceDN/>
        <w:bidi w:val="0"/>
        <w:adjustRightInd/>
        <w:spacing w:before="0" w:after="0" w:line="440" w:lineRule="exact"/>
        <w:ind w:firstLine="422" w:firstLineChars="200"/>
        <w:textAlignment w:val="auto"/>
        <w:outlineLvl w:val="3"/>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i w:val="0"/>
          <w:iCs w:val="0"/>
          <w:color w:val="auto"/>
          <w:sz w:val="21"/>
          <w:szCs w:val="21"/>
          <w:highlight w:val="none"/>
          <w:lang w:val="en-US" w:eastAsia="zh-CN" w:bidi="ar-SA"/>
        </w:rPr>
        <w:t>2.1</w:t>
      </w:r>
      <w:r>
        <w:rPr>
          <w:rFonts w:hint="eastAsia" w:ascii="宋体" w:hAnsi="宋体" w:cs="宋体"/>
          <w:b/>
          <w:bCs/>
          <w:color w:val="auto"/>
          <w:sz w:val="21"/>
          <w:szCs w:val="21"/>
          <w:highlight w:val="none"/>
          <w:lang w:val="en-US" w:eastAsia="zh-CN" w:bidi="ar-SA"/>
        </w:rPr>
        <w:t>合同服务</w:t>
      </w:r>
      <w:r>
        <w:rPr>
          <w:rFonts w:hint="eastAsia" w:ascii="宋体" w:hAnsi="宋体" w:eastAsia="宋体" w:cs="宋体"/>
          <w:b/>
          <w:bCs/>
          <w:color w:val="auto"/>
          <w:sz w:val="21"/>
          <w:szCs w:val="21"/>
          <w:highlight w:val="none"/>
          <w:lang w:val="en-US" w:eastAsia="en-US" w:bidi="ar-SA"/>
        </w:rPr>
        <w:t>内容</w:t>
      </w:r>
    </w:p>
    <w:p w14:paraId="10F2CBB8">
      <w:pPr>
        <w:spacing w:before="0" w:after="0" w:line="480" w:lineRule="exact"/>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2.1.1</w:t>
      </w:r>
      <w:r>
        <w:rPr>
          <w:rFonts w:hint="eastAsia" w:ascii="宋体" w:hAnsi="宋体" w:eastAsia="宋体" w:cs="宋体"/>
          <w:color w:val="auto"/>
          <w:sz w:val="21"/>
          <w:szCs w:val="21"/>
          <w:highlight w:val="none"/>
        </w:rPr>
        <w:t>物业服务内容</w:t>
      </w:r>
    </w:p>
    <w:p w14:paraId="0F6A432A">
      <w:pPr>
        <w:spacing w:before="0" w:after="0" w:line="480" w:lineRule="exact"/>
        <w:ind w:firstLine="0" w:firstLineChars="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2.1.1.1</w:t>
      </w:r>
      <w:r>
        <w:rPr>
          <w:rFonts w:hint="eastAsia" w:ascii="宋体" w:hAnsi="宋体" w:eastAsia="宋体" w:cs="宋体"/>
          <w:color w:val="auto"/>
          <w:sz w:val="21"/>
          <w:szCs w:val="21"/>
          <w:highlight w:val="none"/>
        </w:rPr>
        <w:t>公共综合服务</w:t>
      </w:r>
    </w:p>
    <w:p w14:paraId="3374A866">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秩序维护与安全服务</w:t>
      </w:r>
    </w:p>
    <w:p w14:paraId="653948F8">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环境维护服务</w:t>
      </w:r>
    </w:p>
    <w:p w14:paraId="14F70768">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房屋共用部位、共用设施设备运行、维修维护服务</w:t>
      </w:r>
    </w:p>
    <w:p w14:paraId="137C1177">
      <w:pPr>
        <w:spacing w:before="0" w:after="0" w:line="480" w:lineRule="exact"/>
        <w:ind w:firstLine="0" w:firstLineChars="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2.1.1.2</w:t>
      </w:r>
      <w:r>
        <w:rPr>
          <w:rFonts w:hint="eastAsia" w:ascii="宋体" w:hAnsi="宋体" w:eastAsia="宋体" w:cs="宋体"/>
          <w:color w:val="auto"/>
          <w:sz w:val="21"/>
          <w:szCs w:val="21"/>
          <w:highlight w:val="none"/>
        </w:rPr>
        <w:t>特约服务</w:t>
      </w:r>
    </w:p>
    <w:p w14:paraId="06C0B8B3">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会议保障服务</w:t>
      </w:r>
    </w:p>
    <w:p w14:paraId="715A0442">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化粪池和隔油池疏通清理</w:t>
      </w:r>
    </w:p>
    <w:p w14:paraId="6C8D97F1">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饮水池清洗</w:t>
      </w:r>
    </w:p>
    <w:p w14:paraId="636DC81E">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简单的搬运服务</w:t>
      </w:r>
    </w:p>
    <w:p w14:paraId="7698457C">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公共区域固定资产管理服务</w:t>
      </w:r>
    </w:p>
    <w:p w14:paraId="0C10D75D">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报刊、杂志配送服务</w:t>
      </w:r>
    </w:p>
    <w:p w14:paraId="669F4F9F">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文件资料邮寄服务</w:t>
      </w:r>
    </w:p>
    <w:p w14:paraId="27240981">
      <w:pPr>
        <w:spacing w:before="0" w:after="0" w:line="480" w:lineRule="exact"/>
        <w:ind w:firstLine="420" w:firstLineChars="200"/>
        <w:jc w:val="lef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负一楼</w:t>
      </w:r>
      <w:r>
        <w:rPr>
          <w:rFonts w:hint="eastAsia" w:ascii="宋体" w:hAnsi="宋体" w:cs="宋体"/>
          <w:color w:val="auto"/>
          <w:sz w:val="21"/>
          <w:szCs w:val="21"/>
          <w:highlight w:val="none"/>
          <w:lang w:eastAsia="zh-CN"/>
        </w:rPr>
        <w:t>管理</w:t>
      </w:r>
      <w:r>
        <w:rPr>
          <w:rFonts w:hint="eastAsia" w:ascii="宋体" w:hAnsi="宋体" w:eastAsia="宋体" w:cs="宋体"/>
          <w:color w:val="auto"/>
          <w:sz w:val="21"/>
          <w:szCs w:val="21"/>
          <w:highlight w:val="none"/>
        </w:rPr>
        <w:t>服务</w:t>
      </w:r>
    </w:p>
    <w:p w14:paraId="18754CE9">
      <w:pPr>
        <w:keepNext w:val="0"/>
        <w:keepLines w:val="0"/>
        <w:pageBreakBefore w:val="0"/>
        <w:widowControl/>
        <w:kinsoku/>
        <w:wordWrap/>
        <w:overflowPunct/>
        <w:topLinePunct w:val="0"/>
        <w:autoSpaceDE/>
        <w:autoSpaceDN/>
        <w:bidi w:val="0"/>
        <w:adjustRightInd/>
        <w:spacing w:before="0" w:after="0" w:line="440" w:lineRule="exact"/>
        <w:ind w:firstLine="422" w:firstLineChars="200"/>
        <w:textAlignment w:val="auto"/>
        <w:outlineLvl w:val="4"/>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color w:val="auto"/>
          <w:sz w:val="21"/>
          <w:szCs w:val="21"/>
          <w:highlight w:val="none"/>
          <w:lang w:val="en-US" w:eastAsia="zh-CN" w:bidi="ar-SA"/>
        </w:rPr>
        <w:t>2.2</w:t>
      </w:r>
      <w:r>
        <w:rPr>
          <w:rFonts w:hint="eastAsia" w:ascii="宋体" w:hAnsi="宋体" w:eastAsia="宋体" w:cs="宋体"/>
          <w:b/>
          <w:bCs/>
          <w:color w:val="auto"/>
          <w:sz w:val="21"/>
          <w:szCs w:val="21"/>
          <w:highlight w:val="none"/>
          <w:lang w:val="en-US" w:eastAsia="en-US" w:bidi="ar-SA"/>
        </w:rPr>
        <w:t>实施地点要求</w:t>
      </w:r>
    </w:p>
    <w:p w14:paraId="77A65081">
      <w:pPr>
        <w:keepNext w:val="0"/>
        <w:keepLines w:val="0"/>
        <w:pageBreakBefore w:val="0"/>
        <w:widowControl/>
        <w:kinsoku/>
        <w:wordWrap/>
        <w:overflowPunct/>
        <w:topLinePunct w:val="0"/>
        <w:autoSpaceDE/>
        <w:autoSpaceDN/>
        <w:bidi w:val="0"/>
        <w:adjustRightInd/>
        <w:snapToGrid w:val="0"/>
        <w:spacing w:after="0" w:line="440" w:lineRule="exact"/>
        <w:ind w:firstLine="420" w:firstLineChars="200"/>
        <w:textAlignment w:val="auto"/>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bidi="ar-SA"/>
        </w:rPr>
        <w:t>昆明市官渡区宝海路519号、日新路1263号、螺蛳湾国际商贸城3期28区3楼</w:t>
      </w:r>
      <w:r>
        <w:rPr>
          <w:rFonts w:hint="eastAsia" w:ascii="宋体" w:hAnsi="宋体" w:eastAsia="宋体" w:cs="宋体"/>
          <w:color w:val="auto"/>
          <w:sz w:val="21"/>
          <w:szCs w:val="21"/>
          <w:highlight w:val="none"/>
          <w:lang w:val="en-US" w:eastAsia="en-US" w:bidi="ar-SA"/>
        </w:rPr>
        <w:t>。</w:t>
      </w:r>
    </w:p>
    <w:p w14:paraId="79EB95A3">
      <w:pPr>
        <w:keepNext w:val="0"/>
        <w:keepLines w:val="0"/>
        <w:pageBreakBefore w:val="0"/>
        <w:widowControl/>
        <w:kinsoku/>
        <w:wordWrap/>
        <w:overflowPunct/>
        <w:topLinePunct w:val="0"/>
        <w:autoSpaceDE/>
        <w:autoSpaceDN/>
        <w:bidi w:val="0"/>
        <w:adjustRightInd/>
        <w:spacing w:before="0" w:after="0" w:line="440" w:lineRule="exact"/>
        <w:ind w:firstLine="422" w:firstLineChars="200"/>
        <w:jc w:val="both"/>
        <w:textAlignment w:val="auto"/>
        <w:outlineLvl w:val="1"/>
        <w:rPr>
          <w:rFonts w:hint="eastAsia" w:ascii="宋体" w:hAnsi="宋体" w:eastAsia="宋体" w:cs="宋体"/>
          <w:color w:val="auto"/>
          <w:sz w:val="21"/>
          <w:szCs w:val="21"/>
          <w:highlight w:val="none"/>
        </w:rPr>
      </w:pPr>
      <w:r>
        <w:rPr>
          <w:rFonts w:hint="eastAsia" w:ascii="宋体" w:hAnsi="宋体" w:eastAsia="宋体" w:cs="宋体"/>
          <w:b/>
          <w:bCs/>
          <w:color w:val="auto"/>
          <w:kern w:val="36"/>
          <w:sz w:val="21"/>
          <w:szCs w:val="21"/>
          <w:highlight w:val="none"/>
          <w:lang w:val="en-US" w:eastAsia="zh-CN" w:bidi="ar-SA"/>
        </w:rPr>
        <w:t>2.</w:t>
      </w:r>
      <w:r>
        <w:rPr>
          <w:rFonts w:hint="eastAsia" w:ascii="宋体" w:hAnsi="宋体" w:eastAsia="宋体" w:cs="宋体"/>
          <w:b/>
          <w:bCs/>
          <w:color w:val="auto"/>
          <w:kern w:val="36"/>
          <w:sz w:val="21"/>
          <w:szCs w:val="21"/>
          <w:highlight w:val="none"/>
          <w:lang w:val="en-US" w:eastAsia="en-US" w:bidi="ar-SA"/>
        </w:rPr>
        <w:t>3</w:t>
      </w:r>
      <w:r>
        <w:rPr>
          <w:rFonts w:hint="eastAsia" w:ascii="宋体" w:hAnsi="宋体" w:eastAsia="宋体" w:cs="宋体"/>
          <w:b/>
          <w:bCs/>
          <w:color w:val="auto"/>
          <w:kern w:val="36"/>
          <w:sz w:val="21"/>
          <w:szCs w:val="21"/>
          <w:highlight w:val="none"/>
          <w:lang w:val="en-US" w:eastAsia="zh-CN" w:bidi="ar-SA"/>
        </w:rPr>
        <w:t>.</w:t>
      </w:r>
      <w:r>
        <w:rPr>
          <w:rFonts w:hint="eastAsia" w:ascii="宋体" w:hAnsi="宋体" w:cs="宋体"/>
          <w:b/>
          <w:bCs/>
          <w:color w:val="auto"/>
          <w:kern w:val="36"/>
          <w:sz w:val="21"/>
          <w:szCs w:val="21"/>
          <w:highlight w:val="none"/>
          <w:lang w:val="en-US" w:eastAsia="zh-CN" w:bidi="ar-SA"/>
        </w:rPr>
        <w:t>合同服务要求</w:t>
      </w:r>
    </w:p>
    <w:p w14:paraId="0429E53C">
      <w:pPr>
        <w:pStyle w:val="4"/>
        <w:spacing w:line="480" w:lineRule="exact"/>
        <w:jc w:val="left"/>
        <w:rPr>
          <w:rFonts w:hint="eastAsia" w:ascii="宋体" w:hAnsi="宋体" w:eastAsia="宋体" w:cs="宋体"/>
          <w:b/>
          <w:bCs w:val="0"/>
          <w:color w:val="auto"/>
          <w:kern w:val="2"/>
          <w:sz w:val="21"/>
          <w:szCs w:val="21"/>
          <w:highlight w:val="none"/>
          <w:lang w:eastAsia="en-US"/>
        </w:rPr>
      </w:pPr>
      <w:r>
        <w:rPr>
          <w:rFonts w:hint="eastAsia" w:ascii="宋体" w:hAnsi="宋体" w:cs="宋体"/>
          <w:b/>
          <w:bCs w:val="0"/>
          <w:i w:val="0"/>
          <w:iCs w:val="0"/>
          <w:color w:val="auto"/>
          <w:kern w:val="2"/>
          <w:sz w:val="21"/>
          <w:szCs w:val="21"/>
          <w:highlight w:val="none"/>
          <w:lang w:val="en-US" w:eastAsia="en-US"/>
        </w:rPr>
        <w:t>2.</w:t>
      </w:r>
      <w:r>
        <w:rPr>
          <w:rFonts w:hint="eastAsia" w:ascii="宋体" w:hAnsi="宋体" w:eastAsia="宋体" w:cs="宋体"/>
          <w:b/>
          <w:bCs w:val="0"/>
          <w:i w:val="0"/>
          <w:iCs w:val="0"/>
          <w:color w:val="auto"/>
          <w:kern w:val="2"/>
          <w:sz w:val="21"/>
          <w:szCs w:val="21"/>
          <w:highlight w:val="none"/>
          <w:lang w:eastAsia="en-US"/>
        </w:rPr>
        <w:t>3.1总体要求</w:t>
      </w:r>
    </w:p>
    <w:p w14:paraId="3B12F617">
      <w:pPr>
        <w:pStyle w:val="4"/>
        <w:spacing w:line="480" w:lineRule="exact"/>
        <w:jc w:val="left"/>
        <w:rPr>
          <w:rFonts w:hint="eastAsia" w:ascii="宋体" w:hAnsi="宋体" w:eastAsia="宋体" w:cs="宋体"/>
          <w:b/>
          <w:bCs w:val="0"/>
          <w:color w:val="auto"/>
          <w:kern w:val="2"/>
          <w:sz w:val="21"/>
          <w:szCs w:val="21"/>
          <w:highlight w:val="none"/>
          <w:lang w:eastAsia="en-US"/>
        </w:rPr>
      </w:pPr>
      <w:r>
        <w:rPr>
          <w:rFonts w:hint="eastAsia" w:ascii="宋体" w:hAnsi="宋体" w:cs="宋体"/>
          <w:b/>
          <w:bCs w:val="0"/>
          <w:color w:val="auto"/>
          <w:kern w:val="2"/>
          <w:sz w:val="21"/>
          <w:szCs w:val="21"/>
          <w:highlight w:val="none"/>
          <w:lang w:val="en-US" w:eastAsia="zh-CN"/>
        </w:rPr>
        <w:t>2.</w:t>
      </w:r>
      <w:r>
        <w:rPr>
          <w:rFonts w:hint="eastAsia" w:ascii="宋体" w:hAnsi="宋体" w:cs="宋体"/>
          <w:b/>
          <w:bCs w:val="0"/>
          <w:color w:val="auto"/>
          <w:kern w:val="2"/>
          <w:sz w:val="21"/>
          <w:szCs w:val="21"/>
          <w:highlight w:val="none"/>
          <w:lang w:val="en-US" w:eastAsia="en-US"/>
        </w:rPr>
        <w:t>3.1.1</w:t>
      </w:r>
      <w:r>
        <w:rPr>
          <w:rFonts w:hint="eastAsia" w:ascii="宋体" w:hAnsi="宋体" w:eastAsia="宋体" w:cs="宋体"/>
          <w:b/>
          <w:bCs w:val="0"/>
          <w:color w:val="auto"/>
          <w:kern w:val="2"/>
          <w:sz w:val="21"/>
          <w:szCs w:val="21"/>
          <w:highlight w:val="none"/>
          <w:lang w:eastAsia="en-US"/>
        </w:rPr>
        <w:t>服务内容及要求</w:t>
      </w:r>
    </w:p>
    <w:p w14:paraId="3880CA60">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（1）制订有切实可行的物业管理服务方案，有较为完整的管理服务制度和作业标准；</w:t>
      </w:r>
    </w:p>
    <w:p w14:paraId="632BD7CB">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（2）打扫卫生、安保、维修等各类保障用具（品）和洗涤剂、光亮剂、花草树肥料、农药等应符合国家安全标准。房屋共用部位完好，共用设施设备正常运行；</w:t>
      </w:r>
    </w:p>
    <w:p w14:paraId="27D68214">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（3）公示24小时服务电话；</w:t>
      </w:r>
    </w:p>
    <w:p w14:paraId="442DAC86">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（4）有服务受理、投诉、回访处理程序；</w:t>
      </w:r>
    </w:p>
    <w:p w14:paraId="4BD060A2">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（5）主要管理人员和专业技术人员持证上岗，服务人员着装统一整齐，佩戴标志，行为规范，服务热情；</w:t>
      </w:r>
    </w:p>
    <w:p w14:paraId="1F4DC277">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（6）管理服务中的相关作业记录完整，可追溯。</w:t>
      </w:r>
    </w:p>
    <w:p w14:paraId="042E6E19">
      <w:pPr>
        <w:pStyle w:val="4"/>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3.2具体要求</w:t>
      </w:r>
    </w:p>
    <w:p w14:paraId="048EC0F8">
      <w:pPr>
        <w:spacing w:before="0" w:after="0" w:line="480" w:lineRule="exact"/>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2.3.2.1</w:t>
      </w:r>
      <w:r>
        <w:rPr>
          <w:rFonts w:hint="eastAsia" w:ascii="宋体" w:hAnsi="宋体" w:eastAsia="宋体" w:cs="宋体"/>
          <w:color w:val="auto"/>
          <w:sz w:val="21"/>
          <w:szCs w:val="21"/>
          <w:highlight w:val="none"/>
        </w:rPr>
        <w:t>服务标准及要求</w:t>
      </w:r>
    </w:p>
    <w:p w14:paraId="05D1F6EF">
      <w:pPr>
        <w:spacing w:before="0" w:after="0" w:line="480" w:lineRule="exact"/>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2.3.2.1.1</w:t>
      </w:r>
      <w:r>
        <w:rPr>
          <w:rFonts w:hint="eastAsia" w:ascii="宋体" w:hAnsi="宋体" w:eastAsia="宋体" w:cs="宋体"/>
          <w:color w:val="auto"/>
          <w:sz w:val="21"/>
          <w:szCs w:val="21"/>
          <w:highlight w:val="none"/>
        </w:rPr>
        <w:t>公共综合服务：</w:t>
      </w:r>
    </w:p>
    <w:p w14:paraId="44CEEDCD">
      <w:pPr>
        <w:spacing w:before="0" w:after="0" w:line="48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（1）秩序维护与安全服务</w:t>
      </w:r>
    </w:p>
    <w:tbl>
      <w:tblPr>
        <w:tblStyle w:val="52"/>
        <w:tblW w:w="8439" w:type="dxa"/>
        <w:tblInd w:w="128" w:type="dxa"/>
        <w:tblLayout w:type="autofit"/>
        <w:tblCellMar>
          <w:top w:w="15" w:type="dxa"/>
          <w:left w:w="15" w:type="dxa"/>
          <w:bottom w:w="15" w:type="dxa"/>
          <w:right w:w="15" w:type="dxa"/>
        </w:tblCellMar>
      </w:tblPr>
      <w:tblGrid>
        <w:gridCol w:w="906"/>
        <w:gridCol w:w="1493"/>
        <w:gridCol w:w="6040"/>
      </w:tblGrid>
      <w:tr w14:paraId="614ABDA8">
        <w:tblPrEx>
          <w:tblCellMar>
            <w:top w:w="15" w:type="dxa"/>
            <w:left w:w="15" w:type="dxa"/>
            <w:bottom w:w="15" w:type="dxa"/>
            <w:right w:w="15" w:type="dxa"/>
          </w:tblCellMar>
        </w:tblPrEx>
        <w:trPr>
          <w:trHeight w:val="563" w:hRule="atLeast"/>
        </w:trPr>
        <w:tc>
          <w:tcPr>
            <w:tcW w:w="954" w:type="dxa"/>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3934F210">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序号</w:t>
            </w:r>
          </w:p>
        </w:tc>
        <w:tc>
          <w:tcPr>
            <w:tcW w:w="1602"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14:paraId="42763886">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项目</w:t>
            </w:r>
          </w:p>
        </w:tc>
        <w:tc>
          <w:tcPr>
            <w:tcW w:w="660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14:paraId="752677A6">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服务要求</w:t>
            </w:r>
          </w:p>
        </w:tc>
      </w:tr>
      <w:tr w14:paraId="0F42BECC">
        <w:tblPrEx>
          <w:tblCellMar>
            <w:top w:w="15" w:type="dxa"/>
            <w:left w:w="15" w:type="dxa"/>
            <w:bottom w:w="15" w:type="dxa"/>
            <w:right w:w="15" w:type="dxa"/>
          </w:tblCellMar>
        </w:tblPrEx>
        <w:trPr>
          <w:trHeight w:val="567" w:hRule="atLeast"/>
        </w:trPr>
        <w:tc>
          <w:tcPr>
            <w:tcW w:w="95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1D87C9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w:t>
            </w:r>
          </w:p>
        </w:tc>
        <w:tc>
          <w:tcPr>
            <w:tcW w:w="1602" w:type="dxa"/>
            <w:tcBorders>
              <w:bottom w:val="single" w:color="000000" w:sz="8" w:space="0"/>
              <w:right w:val="single" w:color="000000" w:sz="8" w:space="0"/>
            </w:tcBorders>
            <w:noWrap w:val="0"/>
            <w:tcMar>
              <w:top w:w="0" w:type="dxa"/>
              <w:left w:w="113" w:type="dxa"/>
              <w:bottom w:w="0" w:type="dxa"/>
              <w:right w:w="118" w:type="dxa"/>
            </w:tcMar>
            <w:vAlign w:val="center"/>
          </w:tcPr>
          <w:p w14:paraId="196CAA79">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门卫</w:t>
            </w:r>
          </w:p>
        </w:tc>
        <w:tc>
          <w:tcPr>
            <w:tcW w:w="6601" w:type="dxa"/>
            <w:tcBorders>
              <w:bottom w:val="single" w:color="000000" w:sz="8" w:space="0"/>
              <w:right w:val="single" w:color="000000" w:sz="8" w:space="0"/>
            </w:tcBorders>
            <w:noWrap w:val="0"/>
            <w:tcMar>
              <w:top w:w="0" w:type="dxa"/>
              <w:left w:w="113" w:type="dxa"/>
              <w:bottom w:w="0" w:type="dxa"/>
              <w:right w:w="118" w:type="dxa"/>
            </w:tcMar>
            <w:vAlign w:val="center"/>
          </w:tcPr>
          <w:p w14:paraId="21AA67C5">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1.主出入口24小时值岗；</w:t>
            </w:r>
          </w:p>
          <w:p w14:paraId="076DB4D2">
            <w:pPr>
              <w:spacing w:before="280" w:after="280" w:line="480" w:lineRule="exact"/>
              <w:jc w:val="left"/>
              <w:rPr>
                <w:rFonts w:hint="eastAsia" w:ascii="宋体" w:hAnsi="宋体" w:eastAsia="宋体" w:cs="宋体"/>
                <w:b w:val="0"/>
                <w:bCs w:val="0"/>
                <w:i w:val="0"/>
                <w:iCs w:val="0"/>
                <w:smallCaps w:val="0"/>
                <w:color w:val="auto"/>
                <w:sz w:val="21"/>
                <w:szCs w:val="21"/>
                <w:highlight w:val="none"/>
                <w:lang w:eastAsia="zh-CN"/>
              </w:rPr>
            </w:pPr>
            <w:r>
              <w:rPr>
                <w:rFonts w:hint="eastAsia" w:ascii="宋体" w:hAnsi="宋体" w:eastAsia="宋体" w:cs="宋体"/>
                <w:b w:val="0"/>
                <w:bCs w:val="0"/>
                <w:i w:val="0"/>
                <w:iCs w:val="0"/>
                <w:smallCaps w:val="0"/>
                <w:color w:val="auto"/>
                <w:sz w:val="21"/>
                <w:szCs w:val="21"/>
                <w:highlight w:val="none"/>
              </w:rPr>
              <w:t>2.外来人员（施工、送货、参观等）实行进出管理；</w:t>
            </w:r>
            <w:r>
              <w:rPr>
                <w:rFonts w:hint="eastAsia" w:ascii="宋体" w:hAnsi="宋体" w:cs="宋体"/>
                <w:b w:val="0"/>
                <w:bCs w:val="0"/>
                <w:i w:val="0"/>
                <w:iCs w:val="0"/>
                <w:smallCaps w:val="0"/>
                <w:color w:val="auto"/>
                <w:sz w:val="21"/>
                <w:szCs w:val="21"/>
                <w:highlight w:val="none"/>
                <w:lang w:eastAsia="zh-CN"/>
              </w:rPr>
              <w:t>进行询问、登记</w:t>
            </w:r>
          </w:p>
          <w:p w14:paraId="0FEC2EEC">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3.对物品进出实施分类管理，对大件物品进出审验制度，拒绝危险物品进入；</w:t>
            </w:r>
          </w:p>
          <w:p w14:paraId="0CA9FA9D">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4.对进出物业管理区域的各类车辆进行有效疏导，保持出入口的畅通</w:t>
            </w:r>
            <w:r>
              <w:rPr>
                <w:rFonts w:hint="eastAsia" w:ascii="宋体" w:hAnsi="宋体" w:cs="宋体"/>
                <w:b w:val="0"/>
                <w:bCs w:val="0"/>
                <w:i w:val="0"/>
                <w:iCs w:val="0"/>
                <w:smallCaps w:val="0"/>
                <w:color w:val="auto"/>
                <w:sz w:val="21"/>
                <w:szCs w:val="21"/>
                <w:highlight w:val="none"/>
                <w:lang w:eastAsia="zh-CN"/>
              </w:rPr>
              <w:t>、安全</w:t>
            </w:r>
            <w:r>
              <w:rPr>
                <w:rFonts w:hint="eastAsia" w:ascii="宋体" w:hAnsi="宋体" w:eastAsia="宋体" w:cs="宋体"/>
                <w:b w:val="0"/>
                <w:bCs w:val="0"/>
                <w:i w:val="0"/>
                <w:iCs w:val="0"/>
                <w:smallCaps w:val="0"/>
                <w:color w:val="auto"/>
                <w:sz w:val="21"/>
                <w:szCs w:val="21"/>
                <w:highlight w:val="none"/>
              </w:rPr>
              <w:t>。</w:t>
            </w:r>
          </w:p>
        </w:tc>
      </w:tr>
      <w:tr w14:paraId="547FBA4B">
        <w:tblPrEx>
          <w:tblCellMar>
            <w:top w:w="15" w:type="dxa"/>
            <w:left w:w="15" w:type="dxa"/>
            <w:bottom w:w="15" w:type="dxa"/>
            <w:right w:w="15" w:type="dxa"/>
          </w:tblCellMar>
        </w:tblPrEx>
        <w:trPr>
          <w:trHeight w:val="844" w:hRule="atLeast"/>
        </w:trPr>
        <w:tc>
          <w:tcPr>
            <w:tcW w:w="95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50B50E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w:t>
            </w:r>
          </w:p>
        </w:tc>
        <w:tc>
          <w:tcPr>
            <w:tcW w:w="1602" w:type="dxa"/>
            <w:tcBorders>
              <w:bottom w:val="single" w:color="000000" w:sz="8" w:space="0"/>
              <w:right w:val="single" w:color="000000" w:sz="8" w:space="0"/>
            </w:tcBorders>
            <w:noWrap w:val="0"/>
            <w:tcMar>
              <w:top w:w="0" w:type="dxa"/>
              <w:left w:w="113" w:type="dxa"/>
              <w:bottom w:w="0" w:type="dxa"/>
              <w:right w:w="118" w:type="dxa"/>
            </w:tcMar>
            <w:vAlign w:val="center"/>
          </w:tcPr>
          <w:p w14:paraId="3BEA802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巡逻</w:t>
            </w:r>
          </w:p>
        </w:tc>
        <w:tc>
          <w:tcPr>
            <w:tcW w:w="6601" w:type="dxa"/>
            <w:tcBorders>
              <w:bottom w:val="single" w:color="000000" w:sz="8" w:space="0"/>
              <w:right w:val="single" w:color="000000" w:sz="8" w:space="0"/>
            </w:tcBorders>
            <w:noWrap w:val="0"/>
            <w:tcMar>
              <w:top w:w="0" w:type="dxa"/>
              <w:left w:w="113" w:type="dxa"/>
              <w:bottom w:w="0" w:type="dxa"/>
              <w:right w:w="118" w:type="dxa"/>
            </w:tcMar>
            <w:vAlign w:val="center"/>
          </w:tcPr>
          <w:p w14:paraId="281841F7">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科学、合理安排巡逻路线，重点、要害部位每3小时至少巡逻一次，发现违法、违章行为应及时制止。</w:t>
            </w:r>
          </w:p>
        </w:tc>
      </w:tr>
      <w:tr w14:paraId="1659BD5D">
        <w:tblPrEx>
          <w:tblCellMar>
            <w:top w:w="15" w:type="dxa"/>
            <w:left w:w="15" w:type="dxa"/>
            <w:bottom w:w="15" w:type="dxa"/>
            <w:right w:w="15" w:type="dxa"/>
          </w:tblCellMar>
        </w:tblPrEx>
        <w:trPr>
          <w:trHeight w:val="897" w:hRule="atLeast"/>
        </w:trPr>
        <w:tc>
          <w:tcPr>
            <w:tcW w:w="95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D573970">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w:t>
            </w:r>
          </w:p>
        </w:tc>
        <w:tc>
          <w:tcPr>
            <w:tcW w:w="1602" w:type="dxa"/>
            <w:tcBorders>
              <w:bottom w:val="single" w:color="000000" w:sz="8" w:space="0"/>
              <w:right w:val="single" w:color="000000" w:sz="8" w:space="0"/>
            </w:tcBorders>
            <w:noWrap w:val="0"/>
            <w:tcMar>
              <w:top w:w="0" w:type="dxa"/>
              <w:left w:w="113" w:type="dxa"/>
              <w:bottom w:w="0" w:type="dxa"/>
              <w:right w:w="118" w:type="dxa"/>
            </w:tcMar>
            <w:vAlign w:val="center"/>
          </w:tcPr>
          <w:p w14:paraId="504DFF09">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安全监控</w:t>
            </w:r>
          </w:p>
        </w:tc>
        <w:tc>
          <w:tcPr>
            <w:tcW w:w="6601" w:type="dxa"/>
            <w:tcBorders>
              <w:bottom w:val="single" w:color="000000" w:sz="8" w:space="0"/>
              <w:right w:val="single" w:color="000000" w:sz="8" w:space="0"/>
            </w:tcBorders>
            <w:noWrap w:val="0"/>
            <w:tcMar>
              <w:top w:w="0" w:type="dxa"/>
              <w:left w:w="113" w:type="dxa"/>
              <w:bottom w:w="0" w:type="dxa"/>
              <w:right w:w="118" w:type="dxa"/>
            </w:tcMar>
            <w:vAlign w:val="center"/>
          </w:tcPr>
          <w:p w14:paraId="4601E1A6">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1.监控设施应24小时开通，保证对安全出入口、内部重点区域的安全监控，保持完整的监控记录；</w:t>
            </w:r>
          </w:p>
          <w:p w14:paraId="1FC6DE37">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2.监控中心收到火情、险情及其他异常情况报警信号后，应及时通知相关人员及时赶到现场进行处理；</w:t>
            </w:r>
          </w:p>
          <w:p w14:paraId="27B5CAAB">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3.监控的录入资料应至少保持15天以上，有特殊要求的参照相关规定或行业标准执行。</w:t>
            </w:r>
          </w:p>
        </w:tc>
      </w:tr>
      <w:tr w14:paraId="125AAD1E">
        <w:tblPrEx>
          <w:tblCellMar>
            <w:top w:w="15" w:type="dxa"/>
            <w:left w:w="15" w:type="dxa"/>
            <w:bottom w:w="15" w:type="dxa"/>
            <w:right w:w="15" w:type="dxa"/>
          </w:tblCellMar>
        </w:tblPrEx>
        <w:trPr>
          <w:trHeight w:val="951" w:hRule="atLeast"/>
        </w:trPr>
        <w:tc>
          <w:tcPr>
            <w:tcW w:w="95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B3A61E3">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w:t>
            </w:r>
          </w:p>
        </w:tc>
        <w:tc>
          <w:tcPr>
            <w:tcW w:w="1602" w:type="dxa"/>
            <w:tcBorders>
              <w:bottom w:val="single" w:color="000000" w:sz="8" w:space="0"/>
              <w:right w:val="single" w:color="000000" w:sz="8" w:space="0"/>
            </w:tcBorders>
            <w:noWrap w:val="0"/>
            <w:tcMar>
              <w:top w:w="0" w:type="dxa"/>
              <w:left w:w="113" w:type="dxa"/>
              <w:bottom w:w="0" w:type="dxa"/>
              <w:right w:w="118" w:type="dxa"/>
            </w:tcMar>
            <w:vAlign w:val="center"/>
          </w:tcPr>
          <w:p w14:paraId="096E17DF">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交通和车辆停放管理</w:t>
            </w:r>
          </w:p>
        </w:tc>
        <w:tc>
          <w:tcPr>
            <w:tcW w:w="6601" w:type="dxa"/>
            <w:tcBorders>
              <w:bottom w:val="single" w:color="000000" w:sz="8" w:space="0"/>
              <w:right w:val="single" w:color="000000" w:sz="8" w:space="0"/>
            </w:tcBorders>
            <w:noWrap w:val="0"/>
            <w:tcMar>
              <w:top w:w="0" w:type="dxa"/>
              <w:left w:w="113" w:type="dxa"/>
              <w:bottom w:w="0" w:type="dxa"/>
              <w:right w:w="118" w:type="dxa"/>
            </w:tcMar>
            <w:vAlign w:val="center"/>
          </w:tcPr>
          <w:p w14:paraId="3A678F20">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1.根据实际情况设置行车指示标志，规定车辆行驶路线，指定车辆停放区域；</w:t>
            </w:r>
          </w:p>
          <w:p w14:paraId="33BC18A4">
            <w:pPr>
              <w:spacing w:before="280" w:after="280" w:line="480" w:lineRule="exact"/>
              <w:jc w:val="left"/>
              <w:rPr>
                <w:rFonts w:hint="eastAsia" w:ascii="宋体" w:hAnsi="宋体" w:eastAsia="宋体" w:cs="宋体"/>
                <w:b w:val="0"/>
                <w:bCs w:val="0"/>
                <w:i w:val="0"/>
                <w:iCs w:val="0"/>
                <w:smallCaps w:val="0"/>
                <w:color w:val="auto"/>
                <w:sz w:val="21"/>
                <w:szCs w:val="21"/>
                <w:highlight w:val="none"/>
                <w:lang w:eastAsia="zh-CN"/>
              </w:rPr>
            </w:pPr>
            <w:r>
              <w:rPr>
                <w:rFonts w:hint="eastAsia" w:ascii="宋体" w:hAnsi="宋体" w:eastAsia="宋体" w:cs="宋体"/>
                <w:b w:val="0"/>
                <w:bCs w:val="0"/>
                <w:i w:val="0"/>
                <w:iCs w:val="0"/>
                <w:smallCaps w:val="0"/>
                <w:color w:val="auto"/>
                <w:sz w:val="21"/>
                <w:szCs w:val="21"/>
                <w:highlight w:val="none"/>
              </w:rPr>
              <w:t>2.车辆管理人员应对进出的各类车辆进行管理，维护交通秩序，保证车辆便于通行、易于停放；</w:t>
            </w:r>
            <w:r>
              <w:rPr>
                <w:rFonts w:hint="eastAsia" w:ascii="宋体" w:hAnsi="宋体" w:cs="宋体"/>
                <w:b w:val="0"/>
                <w:bCs w:val="0"/>
                <w:i w:val="0"/>
                <w:iCs w:val="0"/>
                <w:smallCaps w:val="0"/>
                <w:color w:val="auto"/>
                <w:sz w:val="21"/>
                <w:szCs w:val="21"/>
                <w:highlight w:val="none"/>
                <w:lang w:eastAsia="zh-CN"/>
              </w:rPr>
              <w:t>停车场须有专人指挥车辆停放。</w:t>
            </w:r>
          </w:p>
          <w:p w14:paraId="60974771">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3.非机动车应于指定地点停放。</w:t>
            </w:r>
          </w:p>
        </w:tc>
      </w:tr>
      <w:tr w14:paraId="22459FED">
        <w:tblPrEx>
          <w:tblCellMar>
            <w:top w:w="15" w:type="dxa"/>
            <w:left w:w="15" w:type="dxa"/>
            <w:bottom w:w="15" w:type="dxa"/>
            <w:right w:w="15" w:type="dxa"/>
          </w:tblCellMar>
        </w:tblPrEx>
        <w:trPr>
          <w:trHeight w:val="729" w:hRule="atLeast"/>
        </w:trPr>
        <w:tc>
          <w:tcPr>
            <w:tcW w:w="95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55846E3">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5</w:t>
            </w:r>
          </w:p>
        </w:tc>
        <w:tc>
          <w:tcPr>
            <w:tcW w:w="1602" w:type="dxa"/>
            <w:tcBorders>
              <w:bottom w:val="single" w:color="000000" w:sz="8" w:space="0"/>
              <w:right w:val="single" w:color="000000" w:sz="8" w:space="0"/>
            </w:tcBorders>
            <w:noWrap w:val="0"/>
            <w:tcMar>
              <w:top w:w="0" w:type="dxa"/>
              <w:left w:w="113" w:type="dxa"/>
              <w:bottom w:w="0" w:type="dxa"/>
              <w:right w:w="118" w:type="dxa"/>
            </w:tcMar>
            <w:vAlign w:val="center"/>
          </w:tcPr>
          <w:p w14:paraId="3A276E58">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消防安全管理</w:t>
            </w:r>
          </w:p>
        </w:tc>
        <w:tc>
          <w:tcPr>
            <w:tcW w:w="6601" w:type="dxa"/>
            <w:tcBorders>
              <w:bottom w:val="single" w:color="000000" w:sz="8" w:space="0"/>
              <w:right w:val="single" w:color="000000" w:sz="8" w:space="0"/>
            </w:tcBorders>
            <w:noWrap w:val="0"/>
            <w:tcMar>
              <w:top w:w="0" w:type="dxa"/>
              <w:left w:w="113" w:type="dxa"/>
              <w:bottom w:w="0" w:type="dxa"/>
              <w:right w:w="118" w:type="dxa"/>
            </w:tcMar>
            <w:vAlign w:val="center"/>
          </w:tcPr>
          <w:p w14:paraId="5D1DCA4C">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1.应建立健全消防管理制度，建立消防责任制；</w:t>
            </w:r>
          </w:p>
          <w:p w14:paraId="6F334FDC">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2.楼内应设置消防设施，保持消防通道畅通，在楼内明显位置设置消防疏散示意图；</w:t>
            </w:r>
          </w:p>
          <w:p w14:paraId="43DF12C8">
            <w:pPr>
              <w:spacing w:before="280" w:after="280" w:line="480" w:lineRule="exact"/>
              <w:jc w:val="left"/>
              <w:rPr>
                <w:rFonts w:hint="eastAsia" w:ascii="宋体" w:hAnsi="宋体" w:eastAsia="宋体" w:cs="宋体"/>
                <w:b w:val="0"/>
                <w:bCs w:val="0"/>
                <w:i w:val="0"/>
                <w:iCs w:val="0"/>
                <w:smallCaps w:val="0"/>
                <w:color w:val="auto"/>
                <w:sz w:val="21"/>
                <w:szCs w:val="21"/>
                <w:highlight w:val="none"/>
                <w:lang w:eastAsia="zh-CN"/>
              </w:rPr>
            </w:pPr>
            <w:r>
              <w:rPr>
                <w:rFonts w:hint="eastAsia" w:ascii="宋体" w:hAnsi="宋体" w:eastAsia="宋体" w:cs="宋体"/>
                <w:b w:val="0"/>
                <w:bCs w:val="0"/>
                <w:i w:val="0"/>
                <w:iCs w:val="0"/>
                <w:smallCaps w:val="0"/>
                <w:color w:val="auto"/>
                <w:sz w:val="21"/>
                <w:szCs w:val="21"/>
                <w:highlight w:val="none"/>
              </w:rPr>
              <w:t>3.定期对消防设备设施进行巡视、检查和维护，保持其完整、完好，能正常使用；检查记录详细；每个</w:t>
            </w:r>
            <w:r>
              <w:rPr>
                <w:rFonts w:hint="eastAsia" w:ascii="宋体" w:hAnsi="宋体" w:cs="宋体"/>
                <w:b w:val="0"/>
                <w:bCs w:val="0"/>
                <w:i w:val="0"/>
                <w:iCs w:val="0"/>
                <w:smallCaps w:val="0"/>
                <w:color w:val="auto"/>
                <w:sz w:val="21"/>
                <w:szCs w:val="21"/>
                <w:highlight w:val="none"/>
                <w:lang w:eastAsia="zh-CN"/>
              </w:rPr>
              <w:t>月</w:t>
            </w:r>
            <w:r>
              <w:rPr>
                <w:rFonts w:hint="eastAsia" w:ascii="宋体" w:hAnsi="宋体" w:eastAsia="宋体" w:cs="宋体"/>
                <w:b w:val="0"/>
                <w:bCs w:val="0"/>
                <w:i w:val="0"/>
                <w:iCs w:val="0"/>
                <w:smallCaps w:val="0"/>
                <w:color w:val="auto"/>
                <w:sz w:val="21"/>
                <w:szCs w:val="21"/>
                <w:highlight w:val="none"/>
              </w:rPr>
              <w:t>需由具备消防维保资质的单位提供消防维保记录。</w:t>
            </w:r>
            <w:r>
              <w:rPr>
                <w:rFonts w:hint="eastAsia" w:ascii="宋体" w:hAnsi="宋体" w:cs="宋体"/>
                <w:b w:val="0"/>
                <w:bCs w:val="0"/>
                <w:i w:val="0"/>
                <w:iCs w:val="0"/>
                <w:smallCaps w:val="0"/>
                <w:color w:val="auto"/>
                <w:sz w:val="21"/>
                <w:szCs w:val="21"/>
                <w:highlight w:val="none"/>
                <w:lang w:eastAsia="zh-CN"/>
              </w:rPr>
              <w:t>所涉及的相关消防费用由中标人承担。</w:t>
            </w:r>
          </w:p>
          <w:p w14:paraId="2ADC5872">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4.制订火险应急预案，定期进行消防宣传和消防演习。</w:t>
            </w:r>
          </w:p>
        </w:tc>
      </w:tr>
      <w:tr w14:paraId="0E9A60C1">
        <w:tblPrEx>
          <w:tblCellMar>
            <w:top w:w="15" w:type="dxa"/>
            <w:left w:w="15" w:type="dxa"/>
            <w:bottom w:w="15" w:type="dxa"/>
            <w:right w:w="15" w:type="dxa"/>
          </w:tblCellMar>
        </w:tblPrEx>
        <w:trPr>
          <w:trHeight w:val="932" w:hRule="atLeast"/>
        </w:trPr>
        <w:tc>
          <w:tcPr>
            <w:tcW w:w="95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07A971C">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6</w:t>
            </w:r>
          </w:p>
        </w:tc>
        <w:tc>
          <w:tcPr>
            <w:tcW w:w="1602" w:type="dxa"/>
            <w:tcBorders>
              <w:bottom w:val="single" w:color="000000" w:sz="8" w:space="0"/>
              <w:right w:val="single" w:color="000000" w:sz="8" w:space="0"/>
            </w:tcBorders>
            <w:noWrap w:val="0"/>
            <w:tcMar>
              <w:top w:w="0" w:type="dxa"/>
              <w:left w:w="113" w:type="dxa"/>
              <w:bottom w:w="0" w:type="dxa"/>
              <w:right w:w="118" w:type="dxa"/>
            </w:tcMar>
            <w:vAlign w:val="center"/>
          </w:tcPr>
          <w:p w14:paraId="7FB2C1FB">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cs="宋体"/>
                <w:b w:val="0"/>
                <w:bCs w:val="0"/>
                <w:i w:val="0"/>
                <w:iCs w:val="0"/>
                <w:smallCaps w:val="0"/>
                <w:color w:val="auto"/>
                <w:sz w:val="21"/>
                <w:szCs w:val="21"/>
                <w:highlight w:val="none"/>
                <w:lang w:eastAsia="zh-CN"/>
              </w:rPr>
              <w:t>秩序维护</w:t>
            </w:r>
            <w:r>
              <w:rPr>
                <w:rFonts w:hint="eastAsia" w:ascii="宋体" w:hAnsi="宋体" w:eastAsia="宋体" w:cs="宋体"/>
                <w:b w:val="0"/>
                <w:bCs w:val="0"/>
                <w:i w:val="0"/>
                <w:iCs w:val="0"/>
                <w:smallCaps w:val="0"/>
                <w:color w:val="auto"/>
                <w:sz w:val="21"/>
                <w:szCs w:val="21"/>
                <w:highlight w:val="none"/>
              </w:rPr>
              <w:t>管理</w:t>
            </w:r>
          </w:p>
        </w:tc>
        <w:tc>
          <w:tcPr>
            <w:tcW w:w="6601" w:type="dxa"/>
            <w:tcBorders>
              <w:bottom w:val="single" w:color="000000" w:sz="8" w:space="0"/>
              <w:right w:val="single" w:color="000000" w:sz="8" w:space="0"/>
            </w:tcBorders>
            <w:noWrap w:val="0"/>
            <w:tcMar>
              <w:top w:w="0" w:type="dxa"/>
              <w:left w:w="113" w:type="dxa"/>
              <w:bottom w:w="0" w:type="dxa"/>
              <w:right w:w="118" w:type="dxa"/>
            </w:tcMar>
            <w:vAlign w:val="center"/>
          </w:tcPr>
          <w:p w14:paraId="57CF7719">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cs="宋体"/>
                <w:b w:val="0"/>
                <w:bCs w:val="0"/>
                <w:i w:val="0"/>
                <w:iCs w:val="0"/>
                <w:smallCaps w:val="0"/>
                <w:color w:val="auto"/>
                <w:sz w:val="21"/>
                <w:szCs w:val="21"/>
                <w:highlight w:val="none"/>
                <w:lang w:eastAsia="zh-CN"/>
              </w:rPr>
              <w:t>应协助甲方做好办公区域及周边的秩序维护服务，预防和化解争议，协助解决办公场所的矛盾纠纷</w:t>
            </w:r>
            <w:r>
              <w:rPr>
                <w:rFonts w:hint="eastAsia" w:ascii="宋体" w:hAnsi="宋体" w:eastAsia="宋体" w:cs="宋体"/>
                <w:b w:val="0"/>
                <w:bCs w:val="0"/>
                <w:i w:val="0"/>
                <w:iCs w:val="0"/>
                <w:smallCaps w:val="0"/>
                <w:color w:val="auto"/>
                <w:sz w:val="21"/>
                <w:szCs w:val="21"/>
                <w:highlight w:val="none"/>
              </w:rPr>
              <w:t>。</w:t>
            </w:r>
            <w:r>
              <w:rPr>
                <w:rFonts w:hint="eastAsia" w:ascii="宋体" w:hAnsi="宋体" w:cs="宋体"/>
                <w:b w:val="0"/>
                <w:bCs w:val="0"/>
                <w:i w:val="0"/>
                <w:iCs w:val="0"/>
                <w:smallCaps w:val="0"/>
                <w:color w:val="auto"/>
                <w:sz w:val="21"/>
                <w:szCs w:val="21"/>
                <w:highlight w:val="none"/>
                <w:lang w:eastAsia="zh-CN"/>
              </w:rPr>
              <w:t>控制好办公区域的秩序，防止发生冲击办公区域、损坏公共设施的情况。</w:t>
            </w:r>
          </w:p>
        </w:tc>
      </w:tr>
    </w:tbl>
    <w:p w14:paraId="22D7A342">
      <w:pPr>
        <w:spacing w:before="0" w:after="0" w:line="480" w:lineRule="exact"/>
        <w:jc w:val="left"/>
        <w:rPr>
          <w:rFonts w:hint="eastAsia" w:ascii="宋体" w:hAnsi="宋体" w:eastAsia="宋体" w:cs="宋体"/>
          <w:color w:val="auto"/>
          <w:sz w:val="21"/>
          <w:szCs w:val="21"/>
          <w:highlight w:val="none"/>
        </w:rPr>
      </w:pPr>
    </w:p>
    <w:p w14:paraId="16912E57">
      <w:pPr>
        <w:spacing w:before="0" w:after="0" w:line="48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（2）环境维护</w:t>
      </w:r>
    </w:p>
    <w:p w14:paraId="118C276A">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物业服务公司使用的保洁用品、消杀用品等易耗品必须符合国家相关规定及标准，相关费用由</w:t>
      </w:r>
      <w:r>
        <w:rPr>
          <w:rFonts w:hint="eastAsia" w:ascii="宋体" w:hAnsi="宋体" w:cs="宋体"/>
          <w:color w:val="auto"/>
          <w:sz w:val="21"/>
          <w:szCs w:val="21"/>
          <w:highlight w:val="none"/>
          <w:lang w:eastAsia="zh-CN"/>
        </w:rPr>
        <w:t>乙方</w:t>
      </w:r>
      <w:r>
        <w:rPr>
          <w:rFonts w:hint="eastAsia" w:ascii="宋体" w:hAnsi="宋体" w:eastAsia="宋体" w:cs="宋体"/>
          <w:color w:val="auto"/>
          <w:sz w:val="21"/>
          <w:szCs w:val="21"/>
          <w:highlight w:val="none"/>
        </w:rPr>
        <w:t>承担。</w:t>
      </w:r>
    </w:p>
    <w:tbl>
      <w:tblPr>
        <w:tblStyle w:val="52"/>
        <w:tblW w:w="8438" w:type="dxa"/>
        <w:tblInd w:w="128" w:type="dxa"/>
        <w:tblLayout w:type="autofit"/>
        <w:tblCellMar>
          <w:top w:w="15" w:type="dxa"/>
          <w:left w:w="15" w:type="dxa"/>
          <w:bottom w:w="15" w:type="dxa"/>
          <w:right w:w="15" w:type="dxa"/>
        </w:tblCellMar>
      </w:tblPr>
      <w:tblGrid>
        <w:gridCol w:w="907"/>
        <w:gridCol w:w="1516"/>
        <w:gridCol w:w="6015"/>
      </w:tblGrid>
      <w:tr w14:paraId="5B00BE03">
        <w:trPr>
          <w:trHeight w:val="282" w:hRule="atLeast"/>
        </w:trPr>
        <w:tc>
          <w:tcPr>
            <w:tcW w:w="958" w:type="dxa"/>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ACD0A1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序号</w:t>
            </w:r>
          </w:p>
        </w:tc>
        <w:tc>
          <w:tcPr>
            <w:tcW w:w="1610"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14:paraId="1456209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项目</w:t>
            </w:r>
          </w:p>
        </w:tc>
        <w:tc>
          <w:tcPr>
            <w:tcW w:w="6588"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14:paraId="56B003F6">
            <w:pPr>
              <w:spacing w:line="480" w:lineRule="exact"/>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Cs w:val="21"/>
                <w:highlight w:val="none"/>
              </w:rPr>
              <w:t>服务要求</w:t>
            </w:r>
          </w:p>
        </w:tc>
      </w:tr>
      <w:tr w14:paraId="2E64E53E">
        <w:tblPrEx>
          <w:tblCellMar>
            <w:top w:w="15" w:type="dxa"/>
            <w:left w:w="15" w:type="dxa"/>
            <w:bottom w:w="15" w:type="dxa"/>
            <w:right w:w="15" w:type="dxa"/>
          </w:tblCellMar>
        </w:tblPrEx>
        <w:trPr>
          <w:trHeight w:val="82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798034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54F31D4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外围及周边道路</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665A2F7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地面干净无杂物、无积水，无明显污迹、油渍；花台表面干净无污渍；每季度深度清洗地面1次。按照有关规定严格进行消杀，必须使用符合国家有关单位规定及标准的清洁、消杀物品及易耗品，相关消杀消耗品费用由中标人承担。</w:t>
            </w:r>
          </w:p>
        </w:tc>
      </w:tr>
      <w:tr w14:paraId="4CC83932">
        <w:tblPrEx>
          <w:tblCellMar>
            <w:top w:w="15" w:type="dxa"/>
            <w:left w:w="15" w:type="dxa"/>
            <w:bottom w:w="15" w:type="dxa"/>
            <w:right w:w="15" w:type="dxa"/>
          </w:tblCellMar>
        </w:tblPrEx>
        <w:trPr>
          <w:trHeight w:val="2874"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5D2ED30">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015BA63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大厅、楼内、公共通道</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39853793">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地面干净、无污渍，有光泽，保持地面材质原貌；门框、窗框、窗台、金属件表面光亮、无灰尘、无污渍；门窗玻璃干净无尘，透光性好，无明显印迹；各种金属件表面干净，无污渍，有金属光泽；门把手干净、无印迹、定时消毒；天花板干净，无污渍、无蛛网；灯具干净无积尘，中央空调风口干净，无污迹，进出口地垫摆放整齐，表面干净无杂物；水池内水质清澈，池内无漂浮物，水池无异味，每两个月清洗1次。</w:t>
            </w:r>
          </w:p>
        </w:tc>
      </w:tr>
      <w:tr w14:paraId="1D9A92CD">
        <w:tblPrEx>
          <w:tblCellMar>
            <w:top w:w="15" w:type="dxa"/>
            <w:left w:w="15" w:type="dxa"/>
            <w:bottom w:w="15" w:type="dxa"/>
            <w:right w:w="15" w:type="dxa"/>
          </w:tblCellMar>
        </w:tblPrEx>
        <w:trPr>
          <w:trHeight w:val="82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BFFA61B">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40E53B48">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会议室、活动室</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0BF563F0">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地面、墙面、干净，无灰尘、污渍；天花板、风口目视无灰尘、污渍；设施设备干净，物品摆放整齐、有序。</w:t>
            </w:r>
          </w:p>
        </w:tc>
      </w:tr>
      <w:tr w14:paraId="1B3B0C32">
        <w:tblPrEx>
          <w:tblCellMar>
            <w:top w:w="15" w:type="dxa"/>
            <w:left w:w="15" w:type="dxa"/>
            <w:bottom w:w="15" w:type="dxa"/>
            <w:right w:w="15" w:type="dxa"/>
          </w:tblCellMar>
        </w:tblPrEx>
        <w:trPr>
          <w:trHeight w:val="82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9C3842C">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2623FAAF">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楼梯及楼梯间</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3466944C">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梯步表面干净无污渍，扶手栏杆表面干净无灰尘，防火门及闭门器表面干净无污渍，墙面、天花板无积尘、蛛网。</w:t>
            </w:r>
          </w:p>
        </w:tc>
      </w:tr>
      <w:tr w14:paraId="3758C62A">
        <w:tblPrEx>
          <w:tblCellMar>
            <w:top w:w="15" w:type="dxa"/>
            <w:left w:w="15" w:type="dxa"/>
            <w:bottom w:w="15" w:type="dxa"/>
            <w:right w:w="15" w:type="dxa"/>
          </w:tblCellMar>
        </w:tblPrEx>
        <w:trPr>
          <w:trHeight w:val="1140"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85A6148">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5</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1AF4B7B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公共卫生间</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41509BDB">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每日打扫频次不低于2次，地面干净，无污渍、无积水，大小便器表面干净，无污渍，有光泽；各种隔断表面干净，无乱写乱画，金属饰件表面干净，无污迹，有金属光泽；墙壁表面干净，天花板无污渍、蛛网；风口或换气扇表面干净无积尘；门窗表面干净，窗台无灰尘；玻璃干净无水渍；洗手台干净无积水，面盆无污垢；各种管道表面干净无污渍；各种物品摆放整齐规范；废纸篓杂物超过2/3应及时倾倒，卫生间内空气流通并且无明显异味。采取合理方法对卫生间进行蚊虫消杀，达到基本无蚊虫。及时为卫生间更换卫生纸、擦手纸等清洁用品，卫生间所需的卫生纸、擦手纸、洗手液、肥皂等易耗品由</w:t>
            </w:r>
            <w:r>
              <w:rPr>
                <w:rFonts w:hint="eastAsia" w:ascii="宋体" w:hAnsi="宋体" w:cs="宋体"/>
                <w:b w:val="0"/>
                <w:bCs w:val="0"/>
                <w:i w:val="0"/>
                <w:iCs w:val="0"/>
                <w:smallCaps w:val="0"/>
                <w:color w:val="auto"/>
                <w:sz w:val="21"/>
                <w:szCs w:val="21"/>
                <w:highlight w:val="none"/>
                <w:lang w:eastAsia="zh-CN"/>
              </w:rPr>
              <w:t>乙方</w:t>
            </w:r>
            <w:r>
              <w:rPr>
                <w:rFonts w:hint="eastAsia" w:ascii="宋体" w:hAnsi="宋体" w:eastAsia="宋体" w:cs="宋体"/>
                <w:b w:val="0"/>
                <w:bCs w:val="0"/>
                <w:i w:val="0"/>
                <w:iCs w:val="0"/>
                <w:smallCaps w:val="0"/>
                <w:color w:val="auto"/>
                <w:sz w:val="21"/>
                <w:szCs w:val="21"/>
                <w:highlight w:val="none"/>
              </w:rPr>
              <w:t>提供。</w:t>
            </w:r>
          </w:p>
        </w:tc>
      </w:tr>
      <w:tr w14:paraId="21FECDE5">
        <w:tblPrEx>
          <w:tblCellMar>
            <w:top w:w="15" w:type="dxa"/>
            <w:left w:w="15" w:type="dxa"/>
            <w:bottom w:w="15" w:type="dxa"/>
            <w:right w:w="15" w:type="dxa"/>
          </w:tblCellMar>
        </w:tblPrEx>
        <w:trPr>
          <w:trHeight w:val="1237"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3FE10DC">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6</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4AE6C4C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停车场</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4499CD48">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地面干净，无杂物，无明显油渍、污渍；顶部各种管网、灯具表面干净无积尘、蛛网；墙面干净无积尘，各种指示牌表面干净有光泽；减速带表面干净无明显污迹，各种道闸表面无灰尘。</w:t>
            </w:r>
          </w:p>
        </w:tc>
      </w:tr>
      <w:tr w14:paraId="5B811AE3">
        <w:tblPrEx>
          <w:tblCellMar>
            <w:top w:w="15" w:type="dxa"/>
            <w:left w:w="15" w:type="dxa"/>
            <w:bottom w:w="15" w:type="dxa"/>
            <w:right w:w="15" w:type="dxa"/>
          </w:tblCellMar>
        </w:tblPrEx>
        <w:trPr>
          <w:trHeight w:val="1237"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3230A178">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7</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7E757A0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电梯及电梯厅</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2914FA79">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电梯轿厢四壁光洁明亮，操作面板无污迹、无灰尘、无印迹，地面干净，空气清新、无异味；电梯凹槽内无垃圾无杂物，按钮表面干净无印迹；厅内地面干净有光泽。</w:t>
            </w:r>
          </w:p>
        </w:tc>
      </w:tr>
      <w:tr w14:paraId="381113A5">
        <w:tblPrEx>
          <w:tblCellMar>
            <w:top w:w="15" w:type="dxa"/>
            <w:left w:w="15" w:type="dxa"/>
            <w:bottom w:w="15" w:type="dxa"/>
            <w:right w:w="15" w:type="dxa"/>
          </w:tblCellMar>
        </w:tblPrEx>
        <w:trPr>
          <w:trHeight w:val="82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FD577F0">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8</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4D99ED6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电器设施</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7F5F6DC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灯泡、灯管、灯罩无积尘、无污迹；装饰件无积尘、无污迹；开关、插座、配电箱无积尘、无明显污迹。</w:t>
            </w:r>
          </w:p>
        </w:tc>
      </w:tr>
      <w:tr w14:paraId="65E37B84">
        <w:trPr>
          <w:trHeight w:val="82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3F8B01DA">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9</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2345B357">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垃圾桶及果皮箱</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5A6B7D98">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桶、箱按指定位置摆放，桶身表面干净无污渍无痰迹，垃圾不应超过2/3，内胆应定期清洁、消毒。</w:t>
            </w:r>
          </w:p>
        </w:tc>
      </w:tr>
      <w:tr w14:paraId="7FF8E2AD">
        <w:tblPrEx>
          <w:tblCellMar>
            <w:top w:w="15" w:type="dxa"/>
            <w:left w:w="15" w:type="dxa"/>
            <w:bottom w:w="15" w:type="dxa"/>
            <w:right w:w="15" w:type="dxa"/>
          </w:tblCellMar>
        </w:tblPrEx>
        <w:trPr>
          <w:trHeight w:val="82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9C4C34F">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10</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258ED54E">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消防栓、消防箱、公共设施</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43CF91CA">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保持表面干净，无灰尘、无污渍。报警器、火警通讯电话插座、灭火器表面光亮、无积尘、无污迹；喷淋盖、烟感器、扬声器无积尘、无污渍。监控摄像头表面光亮、无积尘、无斑点；消防栓外表面光亮、无印迹、无积尘，内侧无积尘、无污迹。</w:t>
            </w:r>
          </w:p>
        </w:tc>
      </w:tr>
      <w:tr w14:paraId="604A92FD">
        <w:tblPrEx>
          <w:tblCellMar>
            <w:top w:w="15" w:type="dxa"/>
            <w:left w:w="15" w:type="dxa"/>
            <w:bottom w:w="15" w:type="dxa"/>
            <w:right w:w="15" w:type="dxa"/>
          </w:tblCellMar>
        </w:tblPrEx>
        <w:trPr>
          <w:trHeight w:val="41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76A311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11</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6FDC84CC">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垃圾中转房</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5C501584">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地面无明显垃圾，无污水外溢，无明显异味，垃圾日产日清。</w:t>
            </w:r>
          </w:p>
        </w:tc>
      </w:tr>
      <w:tr w14:paraId="098175BC">
        <w:tblPrEx>
          <w:tblCellMar>
            <w:top w:w="15" w:type="dxa"/>
            <w:left w:w="15" w:type="dxa"/>
            <w:bottom w:w="15" w:type="dxa"/>
            <w:right w:w="15" w:type="dxa"/>
          </w:tblCellMar>
        </w:tblPrEx>
        <w:trPr>
          <w:trHeight w:val="82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54DEB3D">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12</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4089BA8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设备机房、管道、指示牌</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7A50E0D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无卫生死角、无垃圾堆积，无积尘、目视无蜘蛛网、无明显污渍、无水渍；指示牌无灰尘、无污迹，金属件表面光亮，无痕迹。</w:t>
            </w:r>
          </w:p>
        </w:tc>
      </w:tr>
      <w:tr w14:paraId="670EA7A9">
        <w:tblPrEx>
          <w:tblCellMar>
            <w:top w:w="15" w:type="dxa"/>
            <w:left w:w="15" w:type="dxa"/>
            <w:bottom w:w="15" w:type="dxa"/>
            <w:right w:w="15" w:type="dxa"/>
          </w:tblCellMar>
        </w:tblPrEx>
        <w:trPr>
          <w:trHeight w:val="82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71FADCB">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13</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0473248C">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地毯清洗</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2DF7A093">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办公楼内</w:t>
            </w:r>
            <w:r>
              <w:rPr>
                <w:rFonts w:hint="eastAsia" w:ascii="宋体" w:hAnsi="宋体" w:cs="宋体"/>
                <w:b w:val="0"/>
                <w:bCs w:val="0"/>
                <w:i w:val="0"/>
                <w:iCs w:val="0"/>
                <w:smallCaps w:val="0"/>
                <w:color w:val="auto"/>
                <w:sz w:val="21"/>
                <w:szCs w:val="21"/>
                <w:highlight w:val="none"/>
                <w:lang w:eastAsia="zh-CN"/>
              </w:rPr>
              <w:t>所有</w:t>
            </w:r>
            <w:r>
              <w:rPr>
                <w:rFonts w:hint="eastAsia" w:ascii="宋体" w:hAnsi="宋体" w:eastAsia="宋体" w:cs="宋体"/>
                <w:b w:val="0"/>
                <w:bCs w:val="0"/>
                <w:i w:val="0"/>
                <w:iCs w:val="0"/>
                <w:smallCaps w:val="0"/>
                <w:color w:val="auto"/>
                <w:sz w:val="21"/>
                <w:szCs w:val="21"/>
                <w:highlight w:val="none"/>
              </w:rPr>
              <w:t>地毯清洗工作；保持地毯表面无污渍，清洁、干净。</w:t>
            </w:r>
          </w:p>
        </w:tc>
      </w:tr>
      <w:tr w14:paraId="34AF98C4">
        <w:tblPrEx>
          <w:tblCellMar>
            <w:top w:w="15" w:type="dxa"/>
            <w:left w:w="15" w:type="dxa"/>
            <w:bottom w:w="15" w:type="dxa"/>
            <w:right w:w="15" w:type="dxa"/>
          </w:tblCellMar>
        </w:tblPrEx>
        <w:trPr>
          <w:trHeight w:val="82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A673877">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14</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4EE99916">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环境消杀</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1E60484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消毒工作应在不影响物业使用人工作的前提下进行，如上班前、下班后或者利用节假日等；每月至少开展一次消毒，消毒后需及时开展通风，并形成作业台账供</w:t>
            </w:r>
            <w:r>
              <w:rPr>
                <w:rFonts w:hint="eastAsia" w:ascii="宋体" w:hAnsi="宋体" w:cs="宋体"/>
                <w:b w:val="0"/>
                <w:bCs w:val="0"/>
                <w:i w:val="0"/>
                <w:iCs w:val="0"/>
                <w:smallCaps w:val="0"/>
                <w:color w:val="auto"/>
                <w:sz w:val="21"/>
                <w:szCs w:val="21"/>
                <w:highlight w:val="none"/>
                <w:lang w:eastAsia="zh-CN"/>
              </w:rPr>
              <w:t>甲方</w:t>
            </w:r>
            <w:r>
              <w:rPr>
                <w:rFonts w:hint="eastAsia" w:ascii="宋体" w:hAnsi="宋体" w:eastAsia="宋体" w:cs="宋体"/>
                <w:b w:val="0"/>
                <w:bCs w:val="0"/>
                <w:i w:val="0"/>
                <w:iCs w:val="0"/>
                <w:smallCaps w:val="0"/>
                <w:color w:val="auto"/>
                <w:sz w:val="21"/>
                <w:szCs w:val="21"/>
                <w:highlight w:val="none"/>
              </w:rPr>
              <w:t>留存备查。采取综合措施消灭老鼠、蟑螂，每季度至少开展一次作业。</w:t>
            </w:r>
          </w:p>
        </w:tc>
      </w:tr>
      <w:tr w14:paraId="7CD5DB1C">
        <w:tblPrEx>
          <w:tblCellMar>
            <w:top w:w="15" w:type="dxa"/>
            <w:left w:w="15" w:type="dxa"/>
            <w:bottom w:w="15" w:type="dxa"/>
            <w:right w:w="15" w:type="dxa"/>
          </w:tblCellMar>
        </w:tblPrEx>
        <w:trPr>
          <w:trHeight w:val="1237"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37E0D74">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15</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77074479">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绿化养护</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1CFD2E7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对各类树、草皮、灌木等维护、保养、美化、浇水、施肥、灭虫、防冻等工作事项和材料保障；保证各类树、花和植物能健康生长，符合季节要求，杜绝无故枯死现象，绿化养护所需的肥料、杀虫剂、农药等材料及工具由物业公司提供。</w:t>
            </w:r>
          </w:p>
        </w:tc>
      </w:tr>
      <w:tr w14:paraId="7FA1356E">
        <w:tblPrEx>
          <w:tblCellMar>
            <w:top w:w="15" w:type="dxa"/>
            <w:left w:w="15" w:type="dxa"/>
            <w:bottom w:w="15" w:type="dxa"/>
            <w:right w:w="15" w:type="dxa"/>
          </w:tblCellMar>
        </w:tblPrEx>
        <w:trPr>
          <w:trHeight w:val="1647"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3DF884C">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16</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32568EA7">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外墙清洗服务</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63141D46">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1.外墙清洗每</w:t>
            </w:r>
            <w:r>
              <w:rPr>
                <w:rFonts w:hint="eastAsia" w:ascii="宋体" w:hAnsi="宋体" w:cs="宋体"/>
                <w:b w:val="0"/>
                <w:bCs w:val="0"/>
                <w:i w:val="0"/>
                <w:iCs w:val="0"/>
                <w:smallCaps w:val="0"/>
                <w:color w:val="auto"/>
                <w:sz w:val="21"/>
                <w:szCs w:val="21"/>
                <w:highlight w:val="none"/>
                <w:lang w:eastAsia="zh-CN"/>
              </w:rPr>
              <w:t>半</w:t>
            </w:r>
            <w:r>
              <w:rPr>
                <w:rFonts w:hint="eastAsia" w:ascii="宋体" w:hAnsi="宋体" w:eastAsia="宋体" w:cs="宋体"/>
                <w:b w:val="0"/>
                <w:bCs w:val="0"/>
                <w:i w:val="0"/>
                <w:iCs w:val="0"/>
                <w:smallCaps w:val="0"/>
                <w:color w:val="auto"/>
                <w:sz w:val="21"/>
                <w:szCs w:val="21"/>
                <w:highlight w:val="none"/>
              </w:rPr>
              <w:t>年至少一次，清洗工作必须由具备专业资质条件的公司进行，清洗人员必须全部经过专业技术培训，并持国家认可的资格证书上岗；</w:t>
            </w:r>
          </w:p>
          <w:p w14:paraId="60230B01">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2.外墙清洗后达到无尘、无垢、色调一致；玻璃清洁后达到无垢、无尘、光洁明亮；铝合金框恢复原色；清洗后无损坏现象。</w:t>
            </w:r>
          </w:p>
        </w:tc>
      </w:tr>
      <w:tr w14:paraId="7B7F5D99">
        <w:tblPrEx>
          <w:tblCellMar>
            <w:top w:w="15" w:type="dxa"/>
            <w:left w:w="15" w:type="dxa"/>
            <w:bottom w:w="15" w:type="dxa"/>
            <w:right w:w="15" w:type="dxa"/>
          </w:tblCellMar>
        </w:tblPrEx>
        <w:trPr>
          <w:trHeight w:val="2874"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97F3F6D">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17</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4EF6FCA3">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办公室保洁服务</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6C40AEDE">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1.办公室保洁服务。保洁时间受时间制约，主要工作必须在办公时间前或后进行，通常是在室内无办公人员时作业；</w:t>
            </w:r>
          </w:p>
          <w:p w14:paraId="53B758D2">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日常清洁频次1次/天；在服务过程当中严禁翻阅业主办公桌上的文件及资料，严禁使用业主的办公电脑，清洁完毕后将文件及资料放归原来位置；在服务过程中，做到不该看的不看，不该听的不听，做好保密规定；办公室钥匙必须有严格的管理制度</w:t>
            </w:r>
          </w:p>
          <w:p w14:paraId="29BB23AE">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3.每周进行1次办公室精细保洁；地面、墙面、柜顶，干净，无灰尘、污渍，设施设备干净。清洁易耗品必须使用符合国家相关标准的物品。</w:t>
            </w:r>
          </w:p>
        </w:tc>
      </w:tr>
      <w:tr w14:paraId="4D829542">
        <w:tblPrEx>
          <w:tblCellMar>
            <w:top w:w="15" w:type="dxa"/>
            <w:left w:w="15" w:type="dxa"/>
            <w:bottom w:w="15" w:type="dxa"/>
            <w:right w:w="15" w:type="dxa"/>
          </w:tblCellMar>
        </w:tblPrEx>
        <w:trPr>
          <w:trHeight w:val="83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E6AC03C">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18</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4847050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室内玻璃窗户清洗</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695464F6">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所有办公室室内玻璃窗户清洗每</w:t>
            </w:r>
            <w:r>
              <w:rPr>
                <w:rFonts w:hint="eastAsia" w:ascii="宋体" w:hAnsi="宋体" w:cs="宋体"/>
                <w:b w:val="0"/>
                <w:bCs w:val="0"/>
                <w:i w:val="0"/>
                <w:iCs w:val="0"/>
                <w:smallCaps w:val="0"/>
                <w:color w:val="auto"/>
                <w:sz w:val="21"/>
                <w:szCs w:val="21"/>
                <w:highlight w:val="none"/>
                <w:lang w:eastAsia="zh-CN"/>
              </w:rPr>
              <w:t>半</w:t>
            </w:r>
            <w:r>
              <w:rPr>
                <w:rFonts w:hint="eastAsia" w:ascii="宋体" w:hAnsi="宋体" w:eastAsia="宋体" w:cs="宋体"/>
                <w:b w:val="0"/>
                <w:bCs w:val="0"/>
                <w:i w:val="0"/>
                <w:iCs w:val="0"/>
                <w:smallCaps w:val="0"/>
                <w:color w:val="auto"/>
                <w:sz w:val="21"/>
                <w:szCs w:val="21"/>
                <w:highlight w:val="none"/>
              </w:rPr>
              <w:t>年至少1次；玻璃清洁后达到无垢、无尘、光洁明亮；清洗后无损坏现象。</w:t>
            </w:r>
          </w:p>
        </w:tc>
      </w:tr>
    </w:tbl>
    <w:p w14:paraId="43BE3B83">
      <w:pPr>
        <w:spacing w:before="0" w:after="0" w:line="480" w:lineRule="exact"/>
        <w:jc w:val="left"/>
        <w:rPr>
          <w:rFonts w:hint="eastAsia" w:ascii="宋体" w:hAnsi="宋体" w:eastAsia="宋体" w:cs="宋体"/>
          <w:color w:val="auto"/>
          <w:sz w:val="21"/>
          <w:szCs w:val="21"/>
          <w:highlight w:val="none"/>
        </w:rPr>
      </w:pPr>
    </w:p>
    <w:p w14:paraId="511979E4">
      <w:pPr>
        <w:spacing w:before="0" w:after="0" w:line="48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（3）房屋共用部位、共用设施设备运行、维护服务</w:t>
      </w:r>
    </w:p>
    <w:p w14:paraId="40EACA2F">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物业公司负责</w:t>
      </w:r>
      <w:r>
        <w:rPr>
          <w:rFonts w:hint="eastAsia" w:ascii="宋体" w:hAnsi="宋体" w:cs="宋体"/>
          <w:color w:val="auto"/>
          <w:sz w:val="21"/>
          <w:szCs w:val="21"/>
          <w:highlight w:val="none"/>
          <w:lang w:eastAsia="zh-CN"/>
        </w:rPr>
        <w:t>甲方</w:t>
      </w:r>
      <w:r>
        <w:rPr>
          <w:rFonts w:hint="eastAsia" w:ascii="宋体" w:hAnsi="宋体" w:eastAsia="宋体" w:cs="宋体"/>
          <w:color w:val="auto"/>
          <w:sz w:val="21"/>
          <w:szCs w:val="21"/>
          <w:highlight w:val="none"/>
        </w:rPr>
        <w:t>委托物业服务区域内设施设备、</w:t>
      </w:r>
      <w:r>
        <w:rPr>
          <w:rFonts w:hint="eastAsia" w:ascii="宋体" w:hAnsi="宋体" w:cs="宋体"/>
          <w:color w:val="auto"/>
          <w:sz w:val="21"/>
          <w:szCs w:val="21"/>
          <w:highlight w:val="none"/>
          <w:lang w:eastAsia="zh-CN"/>
        </w:rPr>
        <w:t>甲方</w:t>
      </w:r>
      <w:r>
        <w:rPr>
          <w:rFonts w:hint="eastAsia" w:ascii="宋体" w:hAnsi="宋体" w:eastAsia="宋体" w:cs="宋体"/>
          <w:color w:val="auto"/>
          <w:sz w:val="21"/>
          <w:szCs w:val="21"/>
          <w:highlight w:val="none"/>
        </w:rPr>
        <w:t>形象标志、各种照明灯具、用水、点阀门的日常巡查、零星维修、维护，其中物业维修中</w:t>
      </w:r>
      <w:r>
        <w:rPr>
          <w:rFonts w:hint="eastAsia" w:ascii="宋体" w:hAnsi="宋体" w:cs="宋体"/>
          <w:color w:val="auto"/>
          <w:sz w:val="21"/>
          <w:szCs w:val="21"/>
          <w:highlight w:val="none"/>
          <w:lang w:eastAsia="zh-CN"/>
        </w:rPr>
        <w:t>所涉及的零星维修</w:t>
      </w:r>
      <w:r>
        <w:rPr>
          <w:rFonts w:hint="eastAsia" w:ascii="宋体" w:hAnsi="宋体" w:cs="宋体"/>
          <w:color w:val="auto"/>
          <w:sz w:val="21"/>
          <w:szCs w:val="21"/>
          <w:highlight w:val="none"/>
          <w:lang w:val="en-US" w:eastAsia="zh-CN"/>
        </w:rPr>
        <w:t>200元以内（含200元）</w:t>
      </w:r>
      <w:r>
        <w:rPr>
          <w:rFonts w:hint="eastAsia" w:ascii="宋体" w:hAnsi="宋体" w:eastAsia="宋体" w:cs="宋体"/>
          <w:color w:val="auto"/>
          <w:sz w:val="21"/>
          <w:szCs w:val="21"/>
          <w:highlight w:val="none"/>
        </w:rPr>
        <w:t>的材料由</w:t>
      </w:r>
      <w:r>
        <w:rPr>
          <w:rFonts w:hint="eastAsia" w:ascii="宋体" w:hAnsi="宋体" w:cs="宋体"/>
          <w:color w:val="auto"/>
          <w:sz w:val="21"/>
          <w:szCs w:val="21"/>
          <w:highlight w:val="none"/>
          <w:lang w:eastAsia="zh-CN"/>
        </w:rPr>
        <w:t>中标人承担；</w:t>
      </w:r>
      <w:r>
        <w:rPr>
          <w:rFonts w:hint="eastAsia" w:ascii="宋体" w:hAnsi="宋体" w:cs="宋体"/>
          <w:color w:val="auto"/>
          <w:sz w:val="21"/>
          <w:szCs w:val="21"/>
          <w:highlight w:val="none"/>
          <w:lang w:val="en-US" w:eastAsia="zh-CN"/>
        </w:rPr>
        <w:t>200元以上的材料费用由</w:t>
      </w:r>
      <w:r>
        <w:rPr>
          <w:rFonts w:hint="eastAsia" w:ascii="宋体" w:hAnsi="宋体" w:cs="宋体"/>
          <w:color w:val="auto"/>
          <w:sz w:val="21"/>
          <w:szCs w:val="21"/>
          <w:highlight w:val="none"/>
          <w:lang w:eastAsia="zh-CN"/>
        </w:rPr>
        <w:t>甲方</w:t>
      </w:r>
      <w:r>
        <w:rPr>
          <w:rFonts w:hint="eastAsia" w:ascii="宋体" w:hAnsi="宋体" w:eastAsia="宋体" w:cs="宋体"/>
          <w:color w:val="auto"/>
          <w:sz w:val="21"/>
          <w:szCs w:val="21"/>
          <w:highlight w:val="none"/>
        </w:rPr>
        <w:t>提供，</w:t>
      </w:r>
      <w:r>
        <w:rPr>
          <w:rFonts w:hint="eastAsia" w:ascii="宋体" w:hAnsi="宋体" w:cs="宋体"/>
          <w:color w:val="auto"/>
          <w:sz w:val="21"/>
          <w:szCs w:val="21"/>
          <w:highlight w:val="none"/>
          <w:lang w:eastAsia="zh-CN"/>
        </w:rPr>
        <w:t>需</w:t>
      </w:r>
      <w:r>
        <w:rPr>
          <w:rFonts w:hint="eastAsia" w:ascii="宋体" w:hAnsi="宋体" w:eastAsia="宋体" w:cs="宋体"/>
          <w:color w:val="auto"/>
          <w:sz w:val="21"/>
          <w:szCs w:val="21"/>
          <w:highlight w:val="none"/>
        </w:rPr>
        <w:t>由使用部门领导签字认可。</w:t>
      </w:r>
    </w:p>
    <w:tbl>
      <w:tblPr>
        <w:tblStyle w:val="52"/>
        <w:tblW w:w="8359" w:type="dxa"/>
        <w:tblInd w:w="128" w:type="dxa"/>
        <w:tblLayout w:type="autofit"/>
        <w:tblCellMar>
          <w:top w:w="15" w:type="dxa"/>
          <w:left w:w="15" w:type="dxa"/>
          <w:bottom w:w="15" w:type="dxa"/>
          <w:right w:w="15" w:type="dxa"/>
        </w:tblCellMar>
      </w:tblPr>
      <w:tblGrid>
        <w:gridCol w:w="902"/>
        <w:gridCol w:w="1485"/>
        <w:gridCol w:w="5972"/>
      </w:tblGrid>
      <w:tr w14:paraId="56B1B49E">
        <w:tblPrEx>
          <w:tblCellMar>
            <w:top w:w="15" w:type="dxa"/>
            <w:left w:w="15" w:type="dxa"/>
            <w:bottom w:w="15" w:type="dxa"/>
            <w:right w:w="15" w:type="dxa"/>
          </w:tblCellMar>
        </w:tblPrEx>
        <w:trPr>
          <w:trHeight w:val="413" w:hRule="atLeast"/>
        </w:trPr>
        <w:tc>
          <w:tcPr>
            <w:tcW w:w="952" w:type="dxa"/>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3C55503">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序号</w:t>
            </w:r>
          </w:p>
        </w:tc>
        <w:tc>
          <w:tcPr>
            <w:tcW w:w="1598"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14:paraId="04FED1EA">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项目</w:t>
            </w:r>
          </w:p>
        </w:tc>
        <w:tc>
          <w:tcPr>
            <w:tcW w:w="6527"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14:paraId="5959D8A4">
            <w:pPr>
              <w:spacing w:line="480" w:lineRule="exact"/>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Cs w:val="21"/>
                <w:highlight w:val="none"/>
              </w:rPr>
              <w:t>服务要求</w:t>
            </w:r>
          </w:p>
        </w:tc>
      </w:tr>
      <w:tr w14:paraId="40280420">
        <w:tblPrEx>
          <w:tblCellMar>
            <w:top w:w="15" w:type="dxa"/>
            <w:left w:w="15" w:type="dxa"/>
            <w:bottom w:w="15" w:type="dxa"/>
            <w:right w:w="15" w:type="dxa"/>
          </w:tblCellMar>
        </w:tblPrEx>
        <w:trPr>
          <w:trHeight w:val="2040" w:hRule="atLeast"/>
        </w:trPr>
        <w:tc>
          <w:tcPr>
            <w:tcW w:w="952"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9ABA96D">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w:t>
            </w:r>
          </w:p>
        </w:tc>
        <w:tc>
          <w:tcPr>
            <w:tcW w:w="1598" w:type="dxa"/>
            <w:tcBorders>
              <w:bottom w:val="single" w:color="000000" w:sz="8" w:space="0"/>
              <w:right w:val="single" w:color="000000" w:sz="8" w:space="0"/>
            </w:tcBorders>
            <w:noWrap w:val="0"/>
            <w:tcMar>
              <w:top w:w="0" w:type="dxa"/>
              <w:left w:w="113" w:type="dxa"/>
              <w:bottom w:w="0" w:type="dxa"/>
              <w:right w:w="118" w:type="dxa"/>
            </w:tcMar>
            <w:vAlign w:val="center"/>
          </w:tcPr>
          <w:p w14:paraId="4F05297D">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变配电系统</w:t>
            </w:r>
          </w:p>
        </w:tc>
        <w:tc>
          <w:tcPr>
            <w:tcW w:w="6527" w:type="dxa"/>
            <w:tcBorders>
              <w:bottom w:val="single" w:color="000000" w:sz="8" w:space="0"/>
              <w:right w:val="single" w:color="000000" w:sz="8" w:space="0"/>
            </w:tcBorders>
            <w:noWrap w:val="0"/>
            <w:tcMar>
              <w:top w:w="0" w:type="dxa"/>
              <w:left w:w="113" w:type="dxa"/>
              <w:bottom w:w="0" w:type="dxa"/>
              <w:right w:w="118" w:type="dxa"/>
            </w:tcMar>
            <w:vAlign w:val="top"/>
          </w:tcPr>
          <w:p w14:paraId="5DBBD98A">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1.按照规定周期对变配电设施设备进行检查、维护、清洁，并做好记录；</w:t>
            </w:r>
          </w:p>
          <w:p w14:paraId="4A0DA51F">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2.高低压配电柜运行正常、操作灵活，仪表显示准确；</w:t>
            </w:r>
          </w:p>
          <w:p w14:paraId="59C77F29">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3.制定突发事件应急处理程序和临时用电管理措施，明确停、送审批权限，停、送电按规定提前通知；</w:t>
            </w:r>
          </w:p>
          <w:p w14:paraId="3F6D4CF2">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4.制定配电室人员出入管理制度，配电室实行封闭管理，无鼠洞，配备符合要求的灭火器材；</w:t>
            </w:r>
          </w:p>
          <w:p w14:paraId="661A03D8">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5.高压防护用具、验电器按规定每半年检定一次，计量器具、检测仪表按规定周期送计检局检定。</w:t>
            </w:r>
          </w:p>
        </w:tc>
      </w:tr>
      <w:tr w14:paraId="2A8E5CF7">
        <w:tblPrEx>
          <w:tblCellMar>
            <w:top w:w="15" w:type="dxa"/>
            <w:left w:w="15" w:type="dxa"/>
            <w:bottom w:w="15" w:type="dxa"/>
            <w:right w:w="15" w:type="dxa"/>
          </w:tblCellMar>
        </w:tblPrEx>
        <w:trPr>
          <w:trHeight w:val="1916" w:hRule="atLeast"/>
        </w:trPr>
        <w:tc>
          <w:tcPr>
            <w:tcW w:w="952"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3D34867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w:t>
            </w:r>
          </w:p>
        </w:tc>
        <w:tc>
          <w:tcPr>
            <w:tcW w:w="1598" w:type="dxa"/>
            <w:tcBorders>
              <w:bottom w:val="single" w:color="000000" w:sz="8" w:space="0"/>
              <w:right w:val="single" w:color="000000" w:sz="8" w:space="0"/>
            </w:tcBorders>
            <w:noWrap w:val="0"/>
            <w:tcMar>
              <w:top w:w="0" w:type="dxa"/>
              <w:left w:w="113" w:type="dxa"/>
              <w:bottom w:w="0" w:type="dxa"/>
              <w:right w:w="118" w:type="dxa"/>
            </w:tcMar>
            <w:vAlign w:val="center"/>
          </w:tcPr>
          <w:p w14:paraId="07362A28">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给排水系统</w:t>
            </w:r>
          </w:p>
        </w:tc>
        <w:tc>
          <w:tcPr>
            <w:tcW w:w="6527" w:type="dxa"/>
            <w:tcBorders>
              <w:bottom w:val="single" w:color="000000" w:sz="8" w:space="0"/>
              <w:right w:val="single" w:color="000000" w:sz="8" w:space="0"/>
            </w:tcBorders>
            <w:noWrap w:val="0"/>
            <w:tcMar>
              <w:top w:w="0" w:type="dxa"/>
              <w:left w:w="113" w:type="dxa"/>
              <w:bottom w:w="0" w:type="dxa"/>
              <w:right w:w="118" w:type="dxa"/>
            </w:tcMar>
            <w:vAlign w:val="top"/>
          </w:tcPr>
          <w:p w14:paraId="6C5E5D29">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1.按要求进行巡检并依照维修保养计划进行相应的维护保养工作，确保设备始终处于良好的工作状态；</w:t>
            </w:r>
          </w:p>
          <w:p w14:paraId="6B668CA1">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2.排除给排水设备故障一般不超过8小时，若8小时内无法解决的重要部位故障，应将故障原因、解决方案、解决时间书面上报；</w:t>
            </w:r>
          </w:p>
          <w:p w14:paraId="1E4394A4">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3.水泵房及机组设备、地面、墙壁无积尘、油渍；各供水泵的主泵和备用泵规定定期轮换一次；</w:t>
            </w:r>
          </w:p>
          <w:p w14:paraId="78D4D329">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4.生活水箱（池）检修口封闭、加锁，通气口需设隔离网，环境卫生，无污染物；</w:t>
            </w:r>
          </w:p>
          <w:p w14:paraId="17C3CDB9">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5.制定停水、爆管等应急处理程序，计划停水按规定提前通知。</w:t>
            </w:r>
          </w:p>
        </w:tc>
      </w:tr>
      <w:tr w14:paraId="20906BF2">
        <w:tblPrEx>
          <w:tblCellMar>
            <w:top w:w="15" w:type="dxa"/>
            <w:left w:w="15" w:type="dxa"/>
            <w:bottom w:w="15" w:type="dxa"/>
            <w:right w:w="15" w:type="dxa"/>
          </w:tblCellMar>
        </w:tblPrEx>
        <w:trPr>
          <w:trHeight w:val="1954" w:hRule="atLeast"/>
        </w:trPr>
        <w:tc>
          <w:tcPr>
            <w:tcW w:w="952"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6141244">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w:t>
            </w:r>
          </w:p>
        </w:tc>
        <w:tc>
          <w:tcPr>
            <w:tcW w:w="1598" w:type="dxa"/>
            <w:tcBorders>
              <w:bottom w:val="single" w:color="000000" w:sz="8" w:space="0"/>
              <w:right w:val="single" w:color="000000" w:sz="8" w:space="0"/>
            </w:tcBorders>
            <w:noWrap w:val="0"/>
            <w:tcMar>
              <w:top w:w="0" w:type="dxa"/>
              <w:left w:w="113" w:type="dxa"/>
              <w:bottom w:w="0" w:type="dxa"/>
              <w:right w:w="118" w:type="dxa"/>
            </w:tcMar>
            <w:vAlign w:val="center"/>
          </w:tcPr>
          <w:p w14:paraId="1325DDA0">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安全防范系统</w:t>
            </w:r>
          </w:p>
        </w:tc>
        <w:tc>
          <w:tcPr>
            <w:tcW w:w="6527" w:type="dxa"/>
            <w:tcBorders>
              <w:bottom w:val="single" w:color="000000" w:sz="8" w:space="0"/>
              <w:right w:val="single" w:color="000000" w:sz="8" w:space="0"/>
            </w:tcBorders>
            <w:noWrap w:val="0"/>
            <w:tcMar>
              <w:top w:w="0" w:type="dxa"/>
              <w:left w:w="113" w:type="dxa"/>
              <w:bottom w:w="0" w:type="dxa"/>
              <w:right w:w="118" w:type="dxa"/>
            </w:tcMar>
            <w:vAlign w:val="top"/>
          </w:tcPr>
          <w:p w14:paraId="0CFD0131">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1.系统设置时间、日期准确，摄像机编号有逻辑性；</w:t>
            </w:r>
          </w:p>
          <w:p w14:paraId="786DCAE7">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2.录入资料应保持15天以上，并应有时间、日期及摄像机编号，有特殊要求的参照相关规定；</w:t>
            </w:r>
          </w:p>
          <w:p w14:paraId="115EB5E5">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3.非受权专业人员不得擅自更改安防设置及对主机开盖检测箱内元件；</w:t>
            </w:r>
          </w:p>
          <w:p w14:paraId="34E30228">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4.设立监控资料调用、查阅权限，调用、查阅需经</w:t>
            </w:r>
            <w:r>
              <w:rPr>
                <w:rFonts w:hint="eastAsia" w:ascii="宋体" w:hAnsi="宋体" w:cs="宋体"/>
                <w:b w:val="0"/>
                <w:bCs w:val="0"/>
                <w:i w:val="0"/>
                <w:iCs w:val="0"/>
                <w:smallCaps w:val="0"/>
                <w:color w:val="auto"/>
                <w:sz w:val="21"/>
                <w:szCs w:val="21"/>
                <w:highlight w:val="none"/>
                <w:lang w:eastAsia="zh-CN"/>
              </w:rPr>
              <w:t>甲方管理部门</w:t>
            </w:r>
            <w:r>
              <w:rPr>
                <w:rFonts w:hint="eastAsia" w:ascii="宋体" w:hAnsi="宋体" w:eastAsia="宋体" w:cs="宋体"/>
                <w:b w:val="0"/>
                <w:bCs w:val="0"/>
                <w:i w:val="0"/>
                <w:iCs w:val="0"/>
                <w:smallCaps w:val="0"/>
                <w:color w:val="auto"/>
                <w:sz w:val="21"/>
                <w:szCs w:val="21"/>
                <w:highlight w:val="none"/>
              </w:rPr>
              <w:t>受权；</w:t>
            </w:r>
          </w:p>
          <w:p w14:paraId="5EB6619A">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5.制定应急处理程序，出现重大安全隐患时应采取必要补救措施；</w:t>
            </w:r>
          </w:p>
          <w:p w14:paraId="06D588D9">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6..每年由物业公司对安全防范系统进行一次全面检查，对安全防范方面存在的漏洞、隐患等情况及时报告并提出整改建议。</w:t>
            </w:r>
          </w:p>
        </w:tc>
      </w:tr>
      <w:tr w14:paraId="11887CEB">
        <w:tblPrEx>
          <w:tblCellMar>
            <w:top w:w="15" w:type="dxa"/>
            <w:left w:w="15" w:type="dxa"/>
            <w:bottom w:w="15" w:type="dxa"/>
            <w:right w:w="15" w:type="dxa"/>
          </w:tblCellMar>
        </w:tblPrEx>
        <w:trPr>
          <w:trHeight w:val="1219" w:hRule="atLeast"/>
        </w:trPr>
        <w:tc>
          <w:tcPr>
            <w:tcW w:w="952"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7305E5E">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w:t>
            </w:r>
          </w:p>
        </w:tc>
        <w:tc>
          <w:tcPr>
            <w:tcW w:w="1598" w:type="dxa"/>
            <w:tcBorders>
              <w:bottom w:val="single" w:color="000000" w:sz="8" w:space="0"/>
              <w:right w:val="single" w:color="000000" w:sz="8" w:space="0"/>
            </w:tcBorders>
            <w:noWrap w:val="0"/>
            <w:tcMar>
              <w:top w:w="0" w:type="dxa"/>
              <w:left w:w="113" w:type="dxa"/>
              <w:bottom w:w="0" w:type="dxa"/>
              <w:right w:w="118" w:type="dxa"/>
            </w:tcMar>
            <w:vAlign w:val="center"/>
          </w:tcPr>
          <w:p w14:paraId="39FCACB4">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公共照明系统</w:t>
            </w:r>
          </w:p>
        </w:tc>
        <w:tc>
          <w:tcPr>
            <w:tcW w:w="6527" w:type="dxa"/>
            <w:tcBorders>
              <w:bottom w:val="single" w:color="000000" w:sz="8" w:space="0"/>
              <w:right w:val="single" w:color="000000" w:sz="8" w:space="0"/>
            </w:tcBorders>
            <w:noWrap w:val="0"/>
            <w:tcMar>
              <w:top w:w="0" w:type="dxa"/>
              <w:left w:w="113" w:type="dxa"/>
              <w:bottom w:w="0" w:type="dxa"/>
              <w:right w:w="118" w:type="dxa"/>
            </w:tcMar>
            <w:vAlign w:val="top"/>
          </w:tcPr>
          <w:p w14:paraId="4F51F23D">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1.制定公共照明节能管理制度；</w:t>
            </w:r>
          </w:p>
          <w:p w14:paraId="068DAAF0">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2.定期巡检大厅、电梯间、停车场、通道、景观照明等公共部位照明，有效亮灯率98％以上，如有缺损及时报请更换；</w:t>
            </w:r>
          </w:p>
          <w:p w14:paraId="6C185B74">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3.每周一次巡检公共照明电源柜，如有问题及时处理，保证设备正常运行和安全用电。</w:t>
            </w:r>
          </w:p>
        </w:tc>
      </w:tr>
      <w:tr w14:paraId="3B5DA0DD">
        <w:tblPrEx>
          <w:tblCellMar>
            <w:top w:w="15" w:type="dxa"/>
            <w:left w:w="15" w:type="dxa"/>
            <w:bottom w:w="15" w:type="dxa"/>
            <w:right w:w="15" w:type="dxa"/>
          </w:tblCellMar>
        </w:tblPrEx>
        <w:trPr>
          <w:trHeight w:val="804" w:hRule="atLeast"/>
        </w:trPr>
        <w:tc>
          <w:tcPr>
            <w:tcW w:w="952"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4C61B3C">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5</w:t>
            </w:r>
          </w:p>
        </w:tc>
        <w:tc>
          <w:tcPr>
            <w:tcW w:w="1598" w:type="dxa"/>
            <w:tcBorders>
              <w:bottom w:val="single" w:color="000000" w:sz="8" w:space="0"/>
              <w:right w:val="single" w:color="000000" w:sz="8" w:space="0"/>
            </w:tcBorders>
            <w:noWrap w:val="0"/>
            <w:tcMar>
              <w:top w:w="0" w:type="dxa"/>
              <w:left w:w="113" w:type="dxa"/>
              <w:bottom w:w="0" w:type="dxa"/>
              <w:right w:w="118" w:type="dxa"/>
            </w:tcMar>
            <w:vAlign w:val="center"/>
          </w:tcPr>
          <w:p w14:paraId="455EF74F">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电梯及消防系统</w:t>
            </w:r>
          </w:p>
        </w:tc>
        <w:tc>
          <w:tcPr>
            <w:tcW w:w="6527" w:type="dxa"/>
            <w:tcBorders>
              <w:bottom w:val="single" w:color="000000" w:sz="8" w:space="0"/>
              <w:right w:val="single" w:color="000000" w:sz="8" w:space="0"/>
            </w:tcBorders>
            <w:noWrap w:val="0"/>
            <w:tcMar>
              <w:top w:w="0" w:type="dxa"/>
              <w:left w:w="113" w:type="dxa"/>
              <w:bottom w:w="0" w:type="dxa"/>
              <w:right w:w="118" w:type="dxa"/>
            </w:tcMar>
            <w:vAlign w:val="top"/>
          </w:tcPr>
          <w:p w14:paraId="50CAFEB2">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配合专业维保公司做好维修保养工作，保持与维保方的日常沟通联络衔接工作，一旦出现故障，及时联系维保方并派人现场陪同并确认需更换的配件及数量情况。</w:t>
            </w:r>
          </w:p>
          <w:p w14:paraId="54B710E3">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监督维保方按合同约定履行维护保养义务。</w:t>
            </w:r>
          </w:p>
        </w:tc>
      </w:tr>
      <w:tr w14:paraId="014BE318">
        <w:tblPrEx>
          <w:tblCellMar>
            <w:top w:w="15" w:type="dxa"/>
            <w:left w:w="15" w:type="dxa"/>
            <w:bottom w:w="15" w:type="dxa"/>
            <w:right w:w="15" w:type="dxa"/>
          </w:tblCellMar>
        </w:tblPrEx>
        <w:trPr>
          <w:trHeight w:val="416" w:hRule="atLeast"/>
        </w:trPr>
        <w:tc>
          <w:tcPr>
            <w:tcW w:w="952"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30C67E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6</w:t>
            </w:r>
          </w:p>
        </w:tc>
        <w:tc>
          <w:tcPr>
            <w:tcW w:w="1598" w:type="dxa"/>
            <w:tcBorders>
              <w:bottom w:val="single" w:color="000000" w:sz="8" w:space="0"/>
              <w:right w:val="single" w:color="000000" w:sz="8" w:space="0"/>
            </w:tcBorders>
            <w:noWrap w:val="0"/>
            <w:tcMar>
              <w:top w:w="0" w:type="dxa"/>
              <w:left w:w="113" w:type="dxa"/>
              <w:bottom w:w="0" w:type="dxa"/>
              <w:right w:w="118" w:type="dxa"/>
            </w:tcMar>
            <w:vAlign w:val="center"/>
          </w:tcPr>
          <w:p w14:paraId="6C81A6FF">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空调系统</w:t>
            </w:r>
          </w:p>
        </w:tc>
        <w:tc>
          <w:tcPr>
            <w:tcW w:w="6527" w:type="dxa"/>
            <w:tcBorders>
              <w:bottom w:val="single" w:color="000000" w:sz="8" w:space="0"/>
              <w:right w:val="single" w:color="000000" w:sz="8" w:space="0"/>
            </w:tcBorders>
            <w:noWrap w:val="0"/>
            <w:tcMar>
              <w:top w:w="0" w:type="dxa"/>
              <w:left w:w="113" w:type="dxa"/>
              <w:bottom w:w="0" w:type="dxa"/>
              <w:right w:w="118" w:type="dxa"/>
            </w:tcMar>
            <w:vAlign w:val="top"/>
          </w:tcPr>
          <w:p w14:paraId="55CA5640">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1.建立空调系统运行管理制度和安全操作规程，保证空调系统安全运行和正常使用，运行中无超标噪音和严重滴漏水现象；</w:t>
            </w:r>
          </w:p>
          <w:p w14:paraId="477ACE90">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2.制定科学合理的经济运行和节能降耗措施；定期对冷冻水、冷却水系统进行杀菌灭藻处理及除浮锈、除油化学清洗；</w:t>
            </w:r>
          </w:p>
          <w:p w14:paraId="60F0FBAC">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3.定期检修养护空调设备，定期清洗过滤网，保证空调设备、设施处于良好状态；</w:t>
            </w:r>
          </w:p>
          <w:p w14:paraId="3ECF3457">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4.空调系统出现运行故障后，维修人员应及时到达现场维修，并做好记录。</w:t>
            </w:r>
          </w:p>
        </w:tc>
      </w:tr>
    </w:tbl>
    <w:p w14:paraId="7277B635">
      <w:pPr>
        <w:spacing w:before="0" w:after="0" w:line="480" w:lineRule="exact"/>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3.2.1.2</w:t>
      </w:r>
      <w:r>
        <w:rPr>
          <w:rFonts w:hint="eastAsia" w:ascii="宋体" w:hAnsi="宋体" w:eastAsia="宋体" w:cs="宋体"/>
          <w:color w:val="auto"/>
          <w:sz w:val="21"/>
          <w:szCs w:val="21"/>
          <w:highlight w:val="none"/>
        </w:rPr>
        <w:t>特约服务</w:t>
      </w:r>
    </w:p>
    <w:tbl>
      <w:tblPr>
        <w:tblStyle w:val="52"/>
        <w:tblW w:w="8319" w:type="dxa"/>
        <w:tblInd w:w="128" w:type="dxa"/>
        <w:tblLayout w:type="autofit"/>
        <w:tblCellMar>
          <w:top w:w="15" w:type="dxa"/>
          <w:left w:w="15" w:type="dxa"/>
          <w:bottom w:w="15" w:type="dxa"/>
          <w:right w:w="15" w:type="dxa"/>
        </w:tblCellMar>
      </w:tblPr>
      <w:tblGrid>
        <w:gridCol w:w="866"/>
        <w:gridCol w:w="1457"/>
        <w:gridCol w:w="5996"/>
      </w:tblGrid>
      <w:tr w14:paraId="56AE548E">
        <w:tblPrEx>
          <w:tblCellMar>
            <w:top w:w="15" w:type="dxa"/>
            <w:left w:w="15" w:type="dxa"/>
            <w:bottom w:w="15" w:type="dxa"/>
            <w:right w:w="15" w:type="dxa"/>
          </w:tblCellMar>
        </w:tblPrEx>
        <w:trPr>
          <w:trHeight w:val="420" w:hRule="atLeast"/>
        </w:trPr>
        <w:tc>
          <w:tcPr>
            <w:tcW w:w="915" w:type="dxa"/>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0789550">
            <w:pPr>
              <w:pStyle w:val="50"/>
              <w:spacing w:line="480" w:lineRule="exact"/>
              <w:ind w:firstLine="0"/>
              <w:jc w:val="left"/>
              <w:rPr>
                <w:rFonts w:hint="eastAsia" w:ascii="宋体" w:hAnsi="宋体" w:eastAsia="宋体" w:cs="宋体"/>
                <w:b w:val="0"/>
                <w:bCs w:val="0"/>
                <w:i w:val="0"/>
                <w:iCs w:val="0"/>
                <w:smallCaps w:val="0"/>
                <w:color w:val="auto"/>
                <w:szCs w:val="21"/>
                <w:highlight w:val="none"/>
              </w:rPr>
            </w:pPr>
            <w:r>
              <w:rPr>
                <w:rFonts w:ascii="宋体" w:hAnsi="宋体" w:eastAsia="宋体" w:cs="宋体"/>
                <w:b/>
                <w:bCs/>
                <w:i w:val="0"/>
                <w:iCs w:val="0"/>
                <w:smallCaps w:val="0"/>
                <w:color w:val="auto"/>
                <w:sz w:val="21"/>
                <w:szCs w:val="21"/>
                <w:highlight w:val="none"/>
              </w:rPr>
              <w:t>序号</w:t>
            </w:r>
          </w:p>
        </w:tc>
        <w:tc>
          <w:tcPr>
            <w:tcW w:w="155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14:paraId="46424DBB">
            <w:pPr>
              <w:pStyle w:val="50"/>
              <w:spacing w:line="480" w:lineRule="exact"/>
              <w:jc w:val="left"/>
              <w:rPr>
                <w:rFonts w:hint="eastAsia" w:ascii="宋体" w:hAnsi="宋体" w:eastAsia="宋体" w:cs="宋体"/>
                <w:b w:val="0"/>
                <w:bCs w:val="0"/>
                <w:i w:val="0"/>
                <w:iCs w:val="0"/>
                <w:smallCaps w:val="0"/>
                <w:color w:val="auto"/>
                <w:szCs w:val="21"/>
                <w:highlight w:val="none"/>
              </w:rPr>
            </w:pPr>
            <w:r>
              <w:rPr>
                <w:rFonts w:ascii="宋体" w:hAnsi="宋体" w:eastAsia="宋体" w:cs="宋体"/>
                <w:b/>
                <w:bCs/>
                <w:i w:val="0"/>
                <w:iCs w:val="0"/>
                <w:smallCaps w:val="0"/>
                <w:color w:val="auto"/>
                <w:sz w:val="21"/>
                <w:szCs w:val="21"/>
                <w:highlight w:val="none"/>
              </w:rPr>
              <w:t>项目</w:t>
            </w:r>
          </w:p>
        </w:tc>
        <w:tc>
          <w:tcPr>
            <w:tcW w:w="657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14:paraId="729B9BF7">
            <w:pPr>
              <w:pStyle w:val="50"/>
              <w:spacing w:line="480" w:lineRule="exact"/>
              <w:ind w:firstLine="422"/>
              <w:jc w:val="left"/>
              <w:rPr>
                <w:rFonts w:hint="eastAsia" w:ascii="宋体" w:hAnsi="宋体" w:eastAsia="宋体" w:cs="宋体"/>
                <w:b w:val="0"/>
                <w:bCs w:val="0"/>
                <w:i w:val="0"/>
                <w:iCs w:val="0"/>
                <w:smallCaps w:val="0"/>
                <w:color w:val="auto"/>
                <w:szCs w:val="21"/>
                <w:highlight w:val="none"/>
              </w:rPr>
            </w:pPr>
            <w:r>
              <w:rPr>
                <w:rFonts w:ascii="宋体" w:hAnsi="宋体" w:eastAsia="宋体" w:cs="宋体"/>
                <w:b/>
                <w:bCs/>
                <w:i w:val="0"/>
                <w:iCs w:val="0"/>
                <w:smallCaps w:val="0"/>
                <w:color w:val="auto"/>
                <w:sz w:val="21"/>
                <w:szCs w:val="21"/>
                <w:highlight w:val="none"/>
              </w:rPr>
              <w:t>服务要求</w:t>
            </w:r>
          </w:p>
        </w:tc>
      </w:tr>
      <w:tr w14:paraId="3DD052CA">
        <w:tblPrEx>
          <w:tblCellMar>
            <w:top w:w="15" w:type="dxa"/>
            <w:left w:w="15" w:type="dxa"/>
            <w:bottom w:w="15" w:type="dxa"/>
            <w:right w:w="15" w:type="dxa"/>
          </w:tblCellMar>
        </w:tblPrEx>
        <w:trPr>
          <w:trHeight w:val="3711" w:hRule="atLeast"/>
        </w:trPr>
        <w:tc>
          <w:tcPr>
            <w:tcW w:w="915"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6FC430E">
            <w:pPr>
              <w:pStyle w:val="50"/>
              <w:spacing w:line="480" w:lineRule="exact"/>
              <w:ind w:firstLine="0"/>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 w:val="21"/>
                <w:szCs w:val="21"/>
                <w:highlight w:val="none"/>
              </w:rPr>
              <w:t>1</w:t>
            </w:r>
          </w:p>
        </w:tc>
        <w:tc>
          <w:tcPr>
            <w:tcW w:w="1551" w:type="dxa"/>
            <w:tcBorders>
              <w:bottom w:val="single" w:color="000000" w:sz="8" w:space="0"/>
              <w:right w:val="single" w:color="000000" w:sz="8" w:space="0"/>
            </w:tcBorders>
            <w:noWrap w:val="0"/>
            <w:tcMar>
              <w:top w:w="0" w:type="dxa"/>
              <w:left w:w="113" w:type="dxa"/>
              <w:bottom w:w="0" w:type="dxa"/>
              <w:right w:w="118" w:type="dxa"/>
            </w:tcMar>
            <w:vAlign w:val="center"/>
          </w:tcPr>
          <w:p w14:paraId="74CD9754">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会议服务</w:t>
            </w:r>
          </w:p>
        </w:tc>
        <w:tc>
          <w:tcPr>
            <w:tcW w:w="6571" w:type="dxa"/>
            <w:tcBorders>
              <w:bottom w:val="single" w:color="000000" w:sz="8" w:space="0"/>
              <w:right w:val="single" w:color="000000" w:sz="8" w:space="0"/>
            </w:tcBorders>
            <w:noWrap w:val="0"/>
            <w:tcMar>
              <w:top w:w="0" w:type="dxa"/>
              <w:left w:w="113" w:type="dxa"/>
              <w:bottom w:w="0" w:type="dxa"/>
              <w:right w:w="118" w:type="dxa"/>
            </w:tcMar>
            <w:vAlign w:val="top"/>
          </w:tcPr>
          <w:p w14:paraId="4C1840A5">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1.会议服务员应具有良好的仪态仪表，熟知所有会议场所的分布状况，掌握各类服务的基本技能，着装整洁，文明礼貌、现场操作规范；</w:t>
            </w:r>
          </w:p>
          <w:p w14:paraId="07C2BC5E">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2.会议室、接待室、操作间等管理区域整洁整齐，无垃圾、杂物，无污渍、破损，设施设备完好率≥95%；</w:t>
            </w:r>
          </w:p>
          <w:p w14:paraId="47621611">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3.临时（紧急）会议及时布置，一般会议提前半天布置，重要会议提前一天布置，大型会议按领导和主办单位要求布置，会场（会议室）布置整体效果符合单位要求；</w:t>
            </w:r>
          </w:p>
          <w:p w14:paraId="14E19BE0">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4.提供茶水服务，满足会议要求，会议用茶由物业公司承担；</w:t>
            </w:r>
          </w:p>
          <w:p w14:paraId="3433379C">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5.会议服务人员必须提前到达会场（会议室），做好会议服务的各项准备。</w:t>
            </w:r>
          </w:p>
        </w:tc>
      </w:tr>
      <w:tr w14:paraId="41F8AD64">
        <w:tblPrEx>
          <w:tblCellMar>
            <w:top w:w="15" w:type="dxa"/>
            <w:left w:w="15" w:type="dxa"/>
            <w:bottom w:w="15" w:type="dxa"/>
            <w:right w:w="15" w:type="dxa"/>
          </w:tblCellMar>
        </w:tblPrEx>
        <w:trPr>
          <w:trHeight w:val="832" w:hRule="atLeast"/>
        </w:trPr>
        <w:tc>
          <w:tcPr>
            <w:tcW w:w="915"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9F26FC9">
            <w:pPr>
              <w:pStyle w:val="50"/>
              <w:spacing w:line="480" w:lineRule="exact"/>
              <w:ind w:firstLine="0"/>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 w:val="21"/>
                <w:szCs w:val="21"/>
                <w:highlight w:val="none"/>
              </w:rPr>
              <w:t>2</w:t>
            </w:r>
          </w:p>
        </w:tc>
        <w:tc>
          <w:tcPr>
            <w:tcW w:w="1551" w:type="dxa"/>
            <w:tcBorders>
              <w:bottom w:val="single" w:color="000000" w:sz="8" w:space="0"/>
              <w:right w:val="single" w:color="000000" w:sz="8" w:space="0"/>
            </w:tcBorders>
            <w:noWrap w:val="0"/>
            <w:tcMar>
              <w:top w:w="0" w:type="dxa"/>
              <w:left w:w="113" w:type="dxa"/>
              <w:bottom w:w="0" w:type="dxa"/>
              <w:right w:w="118" w:type="dxa"/>
            </w:tcMar>
            <w:vAlign w:val="center"/>
          </w:tcPr>
          <w:p w14:paraId="2E81D806">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化粪池和隔油池疏通清理</w:t>
            </w:r>
          </w:p>
        </w:tc>
        <w:tc>
          <w:tcPr>
            <w:tcW w:w="6596" w:type="dxa"/>
            <w:tcBorders>
              <w:top w:val="inset" w:color="808080" w:sz="24" w:space="0"/>
              <w:left w:val="inset" w:color="808080" w:sz="24" w:space="0"/>
              <w:bottom w:val="inset" w:color="808080" w:sz="8" w:space="0"/>
              <w:right w:val="inset" w:color="808080" w:sz="8" w:space="0"/>
            </w:tcBorders>
            <w:noWrap w:val="0"/>
            <w:tcMar>
              <w:top w:w="0" w:type="dxa"/>
              <w:left w:w="138" w:type="dxa"/>
              <w:bottom w:w="0" w:type="dxa"/>
              <w:right w:w="118" w:type="dxa"/>
            </w:tcMar>
            <w:vAlign w:val="top"/>
          </w:tcPr>
          <w:p w14:paraId="41D25A4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宝海路519号和日新路1263号办公区化粪池、隔油池清渣和疏通，每半年至少清理一次，根据实际做到排污畅通、无堵塞、无反水，无油渣大量沉积。</w:t>
            </w:r>
          </w:p>
        </w:tc>
      </w:tr>
      <w:tr w14:paraId="160DA924">
        <w:tblPrEx>
          <w:tblCellMar>
            <w:top w:w="15" w:type="dxa"/>
            <w:left w:w="15" w:type="dxa"/>
            <w:bottom w:w="15" w:type="dxa"/>
            <w:right w:w="15" w:type="dxa"/>
          </w:tblCellMar>
        </w:tblPrEx>
        <w:trPr>
          <w:trHeight w:val="832" w:hRule="atLeast"/>
        </w:trPr>
        <w:tc>
          <w:tcPr>
            <w:tcW w:w="915"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0156A2D">
            <w:pPr>
              <w:pStyle w:val="50"/>
              <w:spacing w:line="480" w:lineRule="exact"/>
              <w:ind w:firstLine="0"/>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 w:val="21"/>
                <w:szCs w:val="21"/>
                <w:highlight w:val="none"/>
              </w:rPr>
              <w:t>3</w:t>
            </w:r>
          </w:p>
        </w:tc>
        <w:tc>
          <w:tcPr>
            <w:tcW w:w="1551" w:type="dxa"/>
            <w:tcBorders>
              <w:bottom w:val="single" w:color="000000" w:sz="8" w:space="0"/>
              <w:right w:val="single" w:color="000000" w:sz="8" w:space="0"/>
            </w:tcBorders>
            <w:noWrap w:val="0"/>
            <w:tcMar>
              <w:top w:w="0" w:type="dxa"/>
              <w:left w:w="113" w:type="dxa"/>
              <w:bottom w:w="0" w:type="dxa"/>
              <w:right w:w="118" w:type="dxa"/>
            </w:tcMar>
            <w:vAlign w:val="center"/>
          </w:tcPr>
          <w:p w14:paraId="56E59CFA">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饮水池清洗</w:t>
            </w:r>
          </w:p>
        </w:tc>
        <w:tc>
          <w:tcPr>
            <w:tcW w:w="6571" w:type="dxa"/>
            <w:tcBorders>
              <w:bottom w:val="single" w:color="000000" w:sz="8" w:space="0"/>
              <w:right w:val="single" w:color="000000" w:sz="8" w:space="0"/>
            </w:tcBorders>
            <w:noWrap w:val="0"/>
            <w:tcMar>
              <w:top w:w="0" w:type="dxa"/>
              <w:left w:w="113" w:type="dxa"/>
              <w:bottom w:w="0" w:type="dxa"/>
              <w:right w:w="118" w:type="dxa"/>
            </w:tcMar>
            <w:vAlign w:val="top"/>
          </w:tcPr>
          <w:p w14:paraId="3A6AD386">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宝海路519号和日新路1263号办公区饮水池，每半年清洗一次，并达到政府职能部门验收标准。</w:t>
            </w:r>
          </w:p>
        </w:tc>
      </w:tr>
      <w:tr w14:paraId="4EF2784A">
        <w:tblPrEx>
          <w:tblCellMar>
            <w:top w:w="15" w:type="dxa"/>
            <w:left w:w="15" w:type="dxa"/>
            <w:bottom w:w="15" w:type="dxa"/>
            <w:right w:w="15" w:type="dxa"/>
          </w:tblCellMar>
        </w:tblPrEx>
        <w:trPr>
          <w:trHeight w:val="842" w:hRule="atLeast"/>
        </w:trPr>
        <w:tc>
          <w:tcPr>
            <w:tcW w:w="915"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20AA25E">
            <w:pPr>
              <w:pStyle w:val="50"/>
              <w:spacing w:line="480" w:lineRule="exact"/>
              <w:ind w:firstLine="0"/>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 w:val="21"/>
                <w:szCs w:val="21"/>
                <w:highlight w:val="none"/>
              </w:rPr>
              <w:t>4</w:t>
            </w:r>
          </w:p>
        </w:tc>
        <w:tc>
          <w:tcPr>
            <w:tcW w:w="1551" w:type="dxa"/>
            <w:tcBorders>
              <w:bottom w:val="single" w:color="000000" w:sz="8" w:space="0"/>
              <w:right w:val="single" w:color="000000" w:sz="8" w:space="0"/>
            </w:tcBorders>
            <w:noWrap w:val="0"/>
            <w:tcMar>
              <w:top w:w="0" w:type="dxa"/>
              <w:left w:w="113" w:type="dxa"/>
              <w:bottom w:w="0" w:type="dxa"/>
              <w:right w:w="118" w:type="dxa"/>
            </w:tcMar>
            <w:vAlign w:val="center"/>
          </w:tcPr>
          <w:p w14:paraId="0D3C0F7B">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简单搬运服务</w:t>
            </w:r>
          </w:p>
        </w:tc>
        <w:tc>
          <w:tcPr>
            <w:tcW w:w="6571" w:type="dxa"/>
            <w:tcBorders>
              <w:bottom w:val="single" w:color="000000" w:sz="8" w:space="0"/>
              <w:right w:val="single" w:color="000000" w:sz="8" w:space="0"/>
            </w:tcBorders>
            <w:noWrap w:val="0"/>
            <w:tcMar>
              <w:top w:w="0" w:type="dxa"/>
              <w:left w:w="113" w:type="dxa"/>
              <w:bottom w:w="0" w:type="dxa"/>
              <w:right w:w="118" w:type="dxa"/>
            </w:tcMar>
            <w:vAlign w:val="top"/>
          </w:tcPr>
          <w:p w14:paraId="7B7F08D8">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票证、报刊杂志、印刷制品、办公家具、废旧等少量物品的临时搬运，保证物品的安全、完整，搬运人员的安全。</w:t>
            </w:r>
          </w:p>
        </w:tc>
      </w:tr>
      <w:tr w14:paraId="5812A3ED">
        <w:tblPrEx>
          <w:tblCellMar>
            <w:top w:w="15" w:type="dxa"/>
            <w:left w:w="15" w:type="dxa"/>
            <w:bottom w:w="15" w:type="dxa"/>
            <w:right w:w="15" w:type="dxa"/>
          </w:tblCellMar>
        </w:tblPrEx>
        <w:trPr>
          <w:trHeight w:val="842" w:hRule="atLeast"/>
        </w:trPr>
        <w:tc>
          <w:tcPr>
            <w:tcW w:w="915"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73213B8">
            <w:pPr>
              <w:pStyle w:val="50"/>
              <w:spacing w:line="480" w:lineRule="exact"/>
              <w:ind w:firstLine="0"/>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 w:val="21"/>
                <w:szCs w:val="21"/>
                <w:highlight w:val="none"/>
              </w:rPr>
              <w:t>5</w:t>
            </w:r>
          </w:p>
        </w:tc>
        <w:tc>
          <w:tcPr>
            <w:tcW w:w="1551" w:type="dxa"/>
            <w:tcBorders>
              <w:bottom w:val="single" w:color="000000" w:sz="8" w:space="0"/>
              <w:right w:val="single" w:color="000000" w:sz="8" w:space="0"/>
            </w:tcBorders>
            <w:noWrap w:val="0"/>
            <w:tcMar>
              <w:top w:w="0" w:type="dxa"/>
              <w:left w:w="113" w:type="dxa"/>
              <w:bottom w:w="0" w:type="dxa"/>
              <w:right w:w="118" w:type="dxa"/>
            </w:tcMar>
            <w:vAlign w:val="center"/>
          </w:tcPr>
          <w:p w14:paraId="05A357E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公共区域固定资产管理</w:t>
            </w:r>
          </w:p>
        </w:tc>
        <w:tc>
          <w:tcPr>
            <w:tcW w:w="6571" w:type="dxa"/>
            <w:tcBorders>
              <w:bottom w:val="single" w:color="000000" w:sz="8" w:space="0"/>
              <w:right w:val="single" w:color="000000" w:sz="8" w:space="0"/>
            </w:tcBorders>
            <w:noWrap w:val="0"/>
            <w:tcMar>
              <w:top w:w="0" w:type="dxa"/>
              <w:left w:w="113" w:type="dxa"/>
              <w:bottom w:w="0" w:type="dxa"/>
              <w:right w:w="118" w:type="dxa"/>
            </w:tcMar>
            <w:vAlign w:val="top"/>
          </w:tcPr>
          <w:p w14:paraId="7467E768">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保管公共区域固定资产，保证公共区域资产安全，不随意搬动资产，并对公共区域资产进行登记清册，根据</w:t>
            </w:r>
            <w:r>
              <w:rPr>
                <w:rFonts w:hint="eastAsia" w:ascii="宋体" w:hAnsi="宋体" w:cs="宋体"/>
                <w:b w:val="0"/>
                <w:bCs w:val="0"/>
                <w:i w:val="0"/>
                <w:iCs w:val="0"/>
                <w:smallCaps w:val="0"/>
                <w:color w:val="auto"/>
                <w:sz w:val="21"/>
                <w:szCs w:val="21"/>
                <w:highlight w:val="none"/>
                <w:lang w:eastAsia="zh-CN"/>
              </w:rPr>
              <w:t>甲方</w:t>
            </w:r>
            <w:r>
              <w:rPr>
                <w:rFonts w:hint="eastAsia" w:ascii="宋体" w:hAnsi="宋体" w:eastAsia="宋体" w:cs="宋体"/>
                <w:b w:val="0"/>
                <w:bCs w:val="0"/>
                <w:i w:val="0"/>
                <w:iCs w:val="0"/>
                <w:smallCaps w:val="0"/>
                <w:color w:val="auto"/>
                <w:sz w:val="21"/>
                <w:szCs w:val="21"/>
                <w:highlight w:val="none"/>
              </w:rPr>
              <w:t>要求协助</w:t>
            </w:r>
            <w:r>
              <w:rPr>
                <w:rFonts w:hint="eastAsia" w:ascii="宋体" w:hAnsi="宋体" w:cs="宋体"/>
                <w:b w:val="0"/>
                <w:bCs w:val="0"/>
                <w:i w:val="0"/>
                <w:iCs w:val="0"/>
                <w:smallCaps w:val="0"/>
                <w:color w:val="auto"/>
                <w:sz w:val="21"/>
                <w:szCs w:val="21"/>
                <w:highlight w:val="none"/>
                <w:lang w:eastAsia="zh-CN"/>
              </w:rPr>
              <w:t>甲方</w:t>
            </w:r>
            <w:r>
              <w:rPr>
                <w:rFonts w:hint="eastAsia" w:ascii="宋体" w:hAnsi="宋体" w:eastAsia="宋体" w:cs="宋体"/>
                <w:b w:val="0"/>
                <w:bCs w:val="0"/>
                <w:i w:val="0"/>
                <w:iCs w:val="0"/>
                <w:smallCaps w:val="0"/>
                <w:color w:val="auto"/>
                <w:sz w:val="21"/>
                <w:szCs w:val="21"/>
                <w:highlight w:val="none"/>
              </w:rPr>
              <w:t>进行资产管理。</w:t>
            </w:r>
          </w:p>
        </w:tc>
      </w:tr>
      <w:tr w14:paraId="2EDB44BC">
        <w:tblPrEx>
          <w:tblCellMar>
            <w:top w:w="15" w:type="dxa"/>
            <w:left w:w="15" w:type="dxa"/>
            <w:bottom w:w="15" w:type="dxa"/>
            <w:right w:w="15" w:type="dxa"/>
          </w:tblCellMar>
        </w:tblPrEx>
        <w:trPr>
          <w:trHeight w:val="842" w:hRule="atLeast"/>
        </w:trPr>
        <w:tc>
          <w:tcPr>
            <w:tcW w:w="915"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B6E13CE">
            <w:pPr>
              <w:pStyle w:val="50"/>
              <w:spacing w:line="480" w:lineRule="exact"/>
              <w:ind w:firstLine="0"/>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 w:val="21"/>
                <w:szCs w:val="21"/>
                <w:highlight w:val="none"/>
              </w:rPr>
              <w:t>6</w:t>
            </w:r>
          </w:p>
        </w:tc>
        <w:tc>
          <w:tcPr>
            <w:tcW w:w="1551" w:type="dxa"/>
            <w:tcBorders>
              <w:bottom w:val="single" w:color="000000" w:sz="8" w:space="0"/>
              <w:right w:val="single" w:color="000000" w:sz="8" w:space="0"/>
            </w:tcBorders>
            <w:noWrap w:val="0"/>
            <w:tcMar>
              <w:top w:w="0" w:type="dxa"/>
              <w:left w:w="113" w:type="dxa"/>
              <w:bottom w:w="0" w:type="dxa"/>
              <w:right w:w="118" w:type="dxa"/>
            </w:tcMar>
            <w:vAlign w:val="center"/>
          </w:tcPr>
          <w:p w14:paraId="26408C2F">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邮政寄递服务</w:t>
            </w:r>
          </w:p>
        </w:tc>
        <w:tc>
          <w:tcPr>
            <w:tcW w:w="6571" w:type="dxa"/>
            <w:tcBorders>
              <w:bottom w:val="single" w:color="000000" w:sz="8" w:space="0"/>
              <w:right w:val="single" w:color="000000" w:sz="8" w:space="0"/>
            </w:tcBorders>
            <w:noWrap w:val="0"/>
            <w:tcMar>
              <w:top w:w="0" w:type="dxa"/>
              <w:left w:w="113" w:type="dxa"/>
              <w:bottom w:w="0" w:type="dxa"/>
              <w:right w:w="118" w:type="dxa"/>
            </w:tcMar>
            <w:vAlign w:val="top"/>
          </w:tcPr>
          <w:p w14:paraId="4016FC74">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协助办公室对全局邮件进行收发服务，对本单位邮件登记清册，可供</w:t>
            </w:r>
            <w:r>
              <w:rPr>
                <w:rFonts w:hint="eastAsia" w:ascii="宋体" w:hAnsi="宋体" w:cs="宋体"/>
                <w:b w:val="0"/>
                <w:bCs w:val="0"/>
                <w:i w:val="0"/>
                <w:iCs w:val="0"/>
                <w:smallCaps w:val="0"/>
                <w:color w:val="auto"/>
                <w:sz w:val="21"/>
                <w:szCs w:val="21"/>
                <w:highlight w:val="none"/>
                <w:lang w:eastAsia="zh-CN"/>
              </w:rPr>
              <w:t>甲方</w:t>
            </w:r>
            <w:r>
              <w:rPr>
                <w:rFonts w:hint="eastAsia" w:ascii="宋体" w:hAnsi="宋体" w:eastAsia="宋体" w:cs="宋体"/>
                <w:b w:val="0"/>
                <w:bCs w:val="0"/>
                <w:i w:val="0"/>
                <w:iCs w:val="0"/>
                <w:smallCaps w:val="0"/>
                <w:color w:val="auto"/>
                <w:sz w:val="21"/>
                <w:szCs w:val="21"/>
                <w:highlight w:val="none"/>
              </w:rPr>
              <w:t>随时查看。无特殊情况，邮件寄递和分发本单位所收邮件均需在当天内完成。</w:t>
            </w:r>
          </w:p>
        </w:tc>
      </w:tr>
      <w:tr w14:paraId="1BC6C2DE">
        <w:tblPrEx>
          <w:tblCellMar>
            <w:top w:w="15" w:type="dxa"/>
            <w:left w:w="15" w:type="dxa"/>
            <w:bottom w:w="15" w:type="dxa"/>
            <w:right w:w="15" w:type="dxa"/>
          </w:tblCellMar>
        </w:tblPrEx>
        <w:trPr>
          <w:trHeight w:val="842" w:hRule="atLeast"/>
        </w:trPr>
        <w:tc>
          <w:tcPr>
            <w:tcW w:w="915"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488B873">
            <w:pPr>
              <w:pStyle w:val="50"/>
              <w:spacing w:line="480" w:lineRule="exact"/>
              <w:ind w:firstLine="0"/>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 w:val="21"/>
                <w:szCs w:val="21"/>
                <w:highlight w:val="none"/>
              </w:rPr>
              <w:t>7</w:t>
            </w:r>
          </w:p>
        </w:tc>
        <w:tc>
          <w:tcPr>
            <w:tcW w:w="1551" w:type="dxa"/>
            <w:tcBorders>
              <w:bottom w:val="single" w:color="000000" w:sz="8" w:space="0"/>
              <w:right w:val="single" w:color="000000" w:sz="8" w:space="0"/>
            </w:tcBorders>
            <w:noWrap w:val="0"/>
            <w:tcMar>
              <w:top w:w="0" w:type="dxa"/>
              <w:left w:w="113" w:type="dxa"/>
              <w:bottom w:w="0" w:type="dxa"/>
              <w:right w:w="118" w:type="dxa"/>
            </w:tcMar>
            <w:vAlign w:val="center"/>
          </w:tcPr>
          <w:p w14:paraId="7495BF58">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报刊、杂志分配服务</w:t>
            </w:r>
          </w:p>
        </w:tc>
        <w:tc>
          <w:tcPr>
            <w:tcW w:w="6571" w:type="dxa"/>
            <w:tcBorders>
              <w:bottom w:val="single" w:color="000000" w:sz="8" w:space="0"/>
              <w:right w:val="single" w:color="000000" w:sz="8" w:space="0"/>
            </w:tcBorders>
            <w:noWrap w:val="0"/>
            <w:tcMar>
              <w:top w:w="0" w:type="dxa"/>
              <w:left w:w="113" w:type="dxa"/>
              <w:bottom w:w="0" w:type="dxa"/>
              <w:right w:w="118" w:type="dxa"/>
            </w:tcMar>
            <w:vAlign w:val="top"/>
          </w:tcPr>
          <w:p w14:paraId="7C5BAD30">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为</w:t>
            </w:r>
            <w:r>
              <w:rPr>
                <w:rFonts w:hint="eastAsia" w:ascii="宋体" w:hAnsi="宋体" w:cs="宋体"/>
                <w:b w:val="0"/>
                <w:bCs w:val="0"/>
                <w:i w:val="0"/>
                <w:iCs w:val="0"/>
                <w:smallCaps w:val="0"/>
                <w:color w:val="auto"/>
                <w:sz w:val="21"/>
                <w:szCs w:val="21"/>
                <w:highlight w:val="none"/>
                <w:lang w:eastAsia="zh-CN"/>
              </w:rPr>
              <w:t>甲方</w:t>
            </w:r>
            <w:r>
              <w:rPr>
                <w:rFonts w:hint="eastAsia" w:ascii="宋体" w:hAnsi="宋体" w:eastAsia="宋体" w:cs="宋体"/>
                <w:b w:val="0"/>
                <w:bCs w:val="0"/>
                <w:i w:val="0"/>
                <w:iCs w:val="0"/>
                <w:smallCaps w:val="0"/>
                <w:color w:val="auto"/>
                <w:sz w:val="21"/>
                <w:szCs w:val="21"/>
                <w:highlight w:val="none"/>
              </w:rPr>
              <w:t>收取、搬运、分发报刊杂志，各部门报刊杂志需根据</w:t>
            </w:r>
            <w:r>
              <w:rPr>
                <w:rFonts w:hint="eastAsia" w:ascii="宋体" w:hAnsi="宋体" w:cs="宋体"/>
                <w:b w:val="0"/>
                <w:bCs w:val="0"/>
                <w:i w:val="0"/>
                <w:iCs w:val="0"/>
                <w:smallCaps w:val="0"/>
                <w:color w:val="auto"/>
                <w:sz w:val="21"/>
                <w:szCs w:val="21"/>
                <w:highlight w:val="none"/>
                <w:lang w:eastAsia="zh-CN"/>
              </w:rPr>
              <w:t>甲方</w:t>
            </w:r>
            <w:r>
              <w:rPr>
                <w:rFonts w:hint="eastAsia" w:ascii="宋体" w:hAnsi="宋体" w:eastAsia="宋体" w:cs="宋体"/>
                <w:b w:val="0"/>
                <w:bCs w:val="0"/>
                <w:i w:val="0"/>
                <w:iCs w:val="0"/>
                <w:smallCaps w:val="0"/>
                <w:color w:val="auto"/>
                <w:sz w:val="21"/>
                <w:szCs w:val="21"/>
                <w:highlight w:val="none"/>
              </w:rPr>
              <w:t>要求及时分配到位。</w:t>
            </w:r>
          </w:p>
        </w:tc>
      </w:tr>
      <w:tr w14:paraId="375424A7">
        <w:tblPrEx>
          <w:tblCellMar>
            <w:top w:w="15" w:type="dxa"/>
            <w:left w:w="15" w:type="dxa"/>
            <w:bottom w:w="15" w:type="dxa"/>
            <w:right w:w="15" w:type="dxa"/>
          </w:tblCellMar>
        </w:tblPrEx>
        <w:trPr>
          <w:trHeight w:val="842" w:hRule="atLeast"/>
        </w:trPr>
        <w:tc>
          <w:tcPr>
            <w:tcW w:w="915"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304595C">
            <w:pPr>
              <w:pStyle w:val="50"/>
              <w:spacing w:line="480" w:lineRule="exact"/>
              <w:ind w:firstLine="0"/>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 w:val="21"/>
                <w:szCs w:val="21"/>
                <w:highlight w:val="none"/>
              </w:rPr>
              <w:t>8</w:t>
            </w:r>
          </w:p>
        </w:tc>
        <w:tc>
          <w:tcPr>
            <w:tcW w:w="1551" w:type="dxa"/>
            <w:tcBorders>
              <w:bottom w:val="single" w:color="000000" w:sz="8" w:space="0"/>
              <w:right w:val="single" w:color="000000" w:sz="8" w:space="0"/>
            </w:tcBorders>
            <w:noWrap w:val="0"/>
            <w:tcMar>
              <w:top w:w="0" w:type="dxa"/>
              <w:left w:w="113" w:type="dxa"/>
              <w:bottom w:w="0" w:type="dxa"/>
              <w:right w:w="118" w:type="dxa"/>
            </w:tcMar>
            <w:vAlign w:val="center"/>
          </w:tcPr>
          <w:p w14:paraId="41C55429">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负一楼</w:t>
            </w:r>
            <w:r>
              <w:rPr>
                <w:rFonts w:hint="eastAsia" w:ascii="宋体" w:hAnsi="宋体" w:cs="宋体"/>
                <w:b w:val="0"/>
                <w:bCs w:val="0"/>
                <w:i w:val="0"/>
                <w:iCs w:val="0"/>
                <w:smallCaps w:val="0"/>
                <w:color w:val="auto"/>
                <w:sz w:val="21"/>
                <w:szCs w:val="21"/>
                <w:highlight w:val="none"/>
                <w:lang w:eastAsia="zh-CN"/>
              </w:rPr>
              <w:t>管理服务</w:t>
            </w:r>
          </w:p>
        </w:tc>
        <w:tc>
          <w:tcPr>
            <w:tcW w:w="6571" w:type="dxa"/>
            <w:tcBorders>
              <w:bottom w:val="single" w:color="000000" w:sz="8" w:space="0"/>
              <w:right w:val="single" w:color="000000" w:sz="8" w:space="0"/>
            </w:tcBorders>
            <w:noWrap w:val="0"/>
            <w:tcMar>
              <w:top w:w="0" w:type="dxa"/>
              <w:left w:w="113" w:type="dxa"/>
              <w:bottom w:w="0" w:type="dxa"/>
              <w:right w:w="118" w:type="dxa"/>
            </w:tcMar>
            <w:vAlign w:val="top"/>
          </w:tcPr>
          <w:p w14:paraId="09A17210">
            <w:pPr>
              <w:pStyle w:val="9"/>
              <w:keepNext w:val="0"/>
              <w:keepLines w:val="0"/>
              <w:widowControl/>
              <w:suppressLineNumbers w:val="0"/>
              <w:spacing w:line="480" w:lineRule="exact"/>
              <w:rPr>
                <w:rFonts w:hint="eastAsia" w:ascii="宋体" w:hAnsi="宋体" w:eastAsia="宋体" w:cs="宋体"/>
                <w:color w:val="auto"/>
                <w:sz w:val="21"/>
                <w:szCs w:val="21"/>
                <w:highlight w:val="none"/>
                <w:lang w:val="en-US" w:eastAsia="zh-CN"/>
              </w:rPr>
            </w:pPr>
            <w:r>
              <w:rPr>
                <w:rFonts w:hint="eastAsia" w:cs="宋体"/>
                <w:b w:val="0"/>
                <w:bCs w:val="0"/>
                <w:i w:val="0"/>
                <w:iCs w:val="0"/>
                <w:smallCaps w:val="0"/>
                <w:color w:val="auto"/>
                <w:sz w:val="21"/>
                <w:szCs w:val="21"/>
                <w:highlight w:val="none"/>
                <w:lang w:eastAsia="zh-CN"/>
              </w:rPr>
              <w:t>乙方</w:t>
            </w:r>
            <w:r>
              <w:rPr>
                <w:rFonts w:hint="eastAsia" w:cs="宋体"/>
                <w:color w:val="auto"/>
                <w:sz w:val="21"/>
                <w:szCs w:val="21"/>
                <w:highlight w:val="none"/>
                <w:lang w:val="en-US" w:eastAsia="zh-CN"/>
              </w:rPr>
              <w:t>对甲方办公楼负一楼提供日常管理及日常巡检服务，管理工作包括但不限于以下内容：为负一楼水泵房、配电房，仓库提供管理服务；每周对负一楼进行卫生打扫，保证负一楼干净整洁；为确保负一楼配电、水泵，车场等设施设备的正常使用，加强定期巡检，确保不发生漏水、漏电等安全隐患；定期检查负一楼防汛物资，汛期及时处理雨水倒灌等问题。</w:t>
            </w:r>
          </w:p>
          <w:p w14:paraId="540C9285">
            <w:pPr>
              <w:pStyle w:val="9"/>
              <w:widowControl/>
              <w:rPr>
                <w:rFonts w:hint="eastAsia" w:ascii="宋体" w:hAnsi="宋体" w:eastAsia="宋体" w:cs="宋体"/>
                <w:b w:val="0"/>
                <w:bCs w:val="0"/>
                <w:i w:val="0"/>
                <w:iCs w:val="0"/>
                <w:smallCaps w:val="0"/>
                <w:color w:val="auto"/>
                <w:sz w:val="21"/>
                <w:szCs w:val="21"/>
                <w:highlight w:val="none"/>
              </w:rPr>
            </w:pPr>
          </w:p>
        </w:tc>
      </w:tr>
    </w:tbl>
    <w:p w14:paraId="541B8C5B">
      <w:pPr>
        <w:keepNext w:val="0"/>
        <w:keepLines w:val="0"/>
        <w:pageBreakBefore w:val="0"/>
        <w:widowControl/>
        <w:kinsoku/>
        <w:wordWrap/>
        <w:overflowPunct/>
        <w:topLinePunct w:val="0"/>
        <w:autoSpaceDE/>
        <w:autoSpaceDN/>
        <w:bidi w:val="0"/>
        <w:adjustRightInd/>
        <w:spacing w:before="0" w:after="0" w:line="440" w:lineRule="exact"/>
        <w:ind w:firstLine="422" w:firstLineChars="200"/>
        <w:textAlignment w:val="auto"/>
        <w:outlineLvl w:val="2"/>
        <w:rPr>
          <w:rFonts w:hint="eastAsia" w:ascii="宋体" w:hAnsi="宋体" w:eastAsia="宋体" w:cs="宋体"/>
          <w:b/>
          <w:bCs/>
          <w:i w:val="0"/>
          <w:iCs w:val="0"/>
          <w:color w:val="auto"/>
          <w:sz w:val="21"/>
          <w:szCs w:val="21"/>
          <w:highlight w:val="none"/>
          <w:lang w:val="en-US" w:eastAsia="en-US" w:bidi="ar-SA"/>
        </w:rPr>
      </w:pPr>
      <w:r>
        <w:rPr>
          <w:rFonts w:hint="eastAsia" w:ascii="宋体" w:hAnsi="宋体" w:eastAsia="宋体" w:cs="宋体"/>
          <w:b/>
          <w:bCs/>
          <w:i w:val="0"/>
          <w:iCs w:val="0"/>
          <w:color w:val="auto"/>
          <w:sz w:val="21"/>
          <w:szCs w:val="21"/>
          <w:highlight w:val="none"/>
          <w:lang w:val="en-US" w:eastAsia="zh-CN" w:bidi="ar-SA"/>
        </w:rPr>
        <w:t>2.</w:t>
      </w:r>
      <w:r>
        <w:rPr>
          <w:rFonts w:hint="eastAsia" w:ascii="宋体" w:hAnsi="宋体" w:eastAsia="宋体" w:cs="宋体"/>
          <w:b/>
          <w:bCs/>
          <w:i w:val="0"/>
          <w:iCs w:val="0"/>
          <w:color w:val="auto"/>
          <w:sz w:val="21"/>
          <w:szCs w:val="21"/>
          <w:highlight w:val="none"/>
          <w:lang w:val="en-US" w:eastAsia="en-US" w:bidi="ar-SA"/>
        </w:rPr>
        <w:t>4</w:t>
      </w:r>
      <w:r>
        <w:rPr>
          <w:rFonts w:hint="eastAsia" w:ascii="宋体" w:hAnsi="宋体" w:cs="宋体"/>
          <w:b/>
          <w:bCs/>
          <w:i w:val="0"/>
          <w:iCs w:val="0"/>
          <w:color w:val="auto"/>
          <w:sz w:val="21"/>
          <w:szCs w:val="21"/>
          <w:highlight w:val="none"/>
          <w:lang w:val="en-US" w:eastAsia="zh-CN" w:bidi="ar-SA"/>
        </w:rPr>
        <w:t>岗位</w:t>
      </w:r>
      <w:r>
        <w:rPr>
          <w:rFonts w:hint="eastAsia" w:ascii="宋体" w:hAnsi="宋体" w:eastAsia="宋体" w:cs="宋体"/>
          <w:b/>
          <w:bCs/>
          <w:i w:val="0"/>
          <w:iCs w:val="0"/>
          <w:color w:val="auto"/>
          <w:sz w:val="21"/>
          <w:szCs w:val="21"/>
          <w:highlight w:val="none"/>
          <w:lang w:val="en-US" w:eastAsia="en-US" w:bidi="ar-SA"/>
        </w:rPr>
        <w:t>要求</w:t>
      </w:r>
    </w:p>
    <w:p w14:paraId="4F4FA961">
      <w:pPr>
        <w:keepNext w:val="0"/>
        <w:keepLines w:val="0"/>
        <w:pageBreakBefore w:val="0"/>
        <w:widowControl/>
        <w:kinsoku/>
        <w:wordWrap/>
        <w:overflowPunct/>
        <w:topLinePunct w:val="0"/>
        <w:autoSpaceDE/>
        <w:autoSpaceDN/>
        <w:bidi w:val="0"/>
        <w:adjustRightInd/>
        <w:spacing w:before="0" w:after="0" w:line="440" w:lineRule="exact"/>
        <w:ind w:firstLine="422" w:firstLineChars="200"/>
        <w:textAlignment w:val="auto"/>
        <w:outlineLvl w:val="2"/>
        <w:rPr>
          <w:rFonts w:hint="eastAsia" w:ascii="宋体" w:hAnsi="宋体" w:eastAsia="宋体" w:cs="宋体"/>
          <w:b/>
          <w:bCs/>
          <w:i/>
          <w:iCs/>
          <w:color w:val="auto"/>
          <w:sz w:val="21"/>
          <w:szCs w:val="21"/>
          <w:highlight w:val="none"/>
          <w:lang w:val="en-US" w:eastAsia="en-US" w:bidi="ar-SA"/>
        </w:rPr>
      </w:pPr>
      <w:r>
        <w:rPr>
          <w:rFonts w:hint="eastAsia" w:ascii="宋体" w:hAnsi="宋体" w:eastAsia="宋体" w:cs="宋体"/>
          <w:b/>
          <w:bCs/>
          <w:i w:val="0"/>
          <w:iCs w:val="0"/>
          <w:color w:val="auto"/>
          <w:sz w:val="21"/>
          <w:szCs w:val="21"/>
          <w:highlight w:val="none"/>
          <w:lang w:val="en-US" w:eastAsia="zh-CN" w:bidi="ar-SA"/>
        </w:rPr>
        <w:t>2.</w:t>
      </w:r>
      <w:r>
        <w:rPr>
          <w:rFonts w:hint="eastAsia" w:ascii="宋体" w:hAnsi="宋体" w:eastAsia="宋体" w:cs="宋体"/>
          <w:b/>
          <w:bCs/>
          <w:i w:val="0"/>
          <w:iCs w:val="0"/>
          <w:color w:val="auto"/>
          <w:sz w:val="21"/>
          <w:szCs w:val="21"/>
          <w:highlight w:val="none"/>
          <w:lang w:val="en-US" w:eastAsia="en-US" w:bidi="ar-SA"/>
        </w:rPr>
        <w:t>4.1团队要求</w:t>
      </w:r>
    </w:p>
    <w:p w14:paraId="34D199A0">
      <w:pPr>
        <w:pStyle w:val="5"/>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4.1.1</w:t>
      </w:r>
      <w:r>
        <w:rPr>
          <w:rFonts w:hint="eastAsia" w:ascii="宋体" w:hAnsi="宋体" w:eastAsia="宋体" w:cs="宋体"/>
          <w:color w:val="auto"/>
          <w:sz w:val="21"/>
          <w:szCs w:val="21"/>
          <w:highlight w:val="none"/>
          <w:lang w:eastAsia="zh-CN"/>
        </w:rPr>
        <w:t>岗位</w:t>
      </w:r>
      <w:r>
        <w:rPr>
          <w:rFonts w:hint="eastAsia" w:ascii="宋体" w:hAnsi="宋体" w:eastAsia="宋体" w:cs="宋体"/>
          <w:color w:val="auto"/>
          <w:sz w:val="21"/>
          <w:szCs w:val="21"/>
          <w:highlight w:val="none"/>
        </w:rPr>
        <w:t>配置要求</w:t>
      </w:r>
    </w:p>
    <w:p w14:paraId="496BFF47">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服务配置总</w:t>
      </w:r>
      <w:r>
        <w:rPr>
          <w:rFonts w:hint="eastAsia" w:ascii="宋体" w:hAnsi="宋体" w:cs="宋体"/>
          <w:color w:val="auto"/>
          <w:sz w:val="21"/>
          <w:szCs w:val="21"/>
          <w:highlight w:val="none"/>
          <w:lang w:eastAsia="zh-CN"/>
        </w:rPr>
        <w:t>岗位</w:t>
      </w:r>
      <w:r>
        <w:rPr>
          <w:rFonts w:hint="eastAsia" w:ascii="宋体" w:hAnsi="宋体" w:eastAsia="宋体" w:cs="宋体"/>
          <w:color w:val="auto"/>
          <w:sz w:val="21"/>
          <w:szCs w:val="21"/>
          <w:highlight w:val="none"/>
        </w:rPr>
        <w:t>数</w:t>
      </w: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lang w:eastAsia="zh-CN"/>
        </w:rPr>
        <w:t>个</w:t>
      </w:r>
      <w:r>
        <w:rPr>
          <w:rFonts w:hint="eastAsia" w:ascii="宋体" w:hAnsi="宋体" w:eastAsia="宋体" w:cs="宋体"/>
          <w:color w:val="auto"/>
          <w:sz w:val="21"/>
          <w:szCs w:val="21"/>
          <w:highlight w:val="none"/>
        </w:rPr>
        <w:t>，其中物业经理</w:t>
      </w:r>
      <w:r>
        <w:rPr>
          <w:rFonts w:hint="eastAsia" w:ascii="宋体" w:hAnsi="宋体" w:cs="宋体"/>
          <w:color w:val="auto"/>
          <w:sz w:val="21"/>
          <w:szCs w:val="21"/>
          <w:highlight w:val="none"/>
          <w:lang w:eastAsia="zh-CN"/>
        </w:rPr>
        <w:t>岗</w:t>
      </w: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个</w:t>
      </w:r>
      <w:r>
        <w:rPr>
          <w:rFonts w:hint="eastAsia" w:ascii="宋体" w:hAnsi="宋体" w:eastAsia="宋体" w:cs="宋体"/>
          <w:color w:val="auto"/>
          <w:sz w:val="21"/>
          <w:szCs w:val="21"/>
          <w:highlight w:val="none"/>
        </w:rPr>
        <w:t>，会议服务员</w:t>
      </w:r>
      <w:r>
        <w:rPr>
          <w:rFonts w:hint="eastAsia" w:ascii="宋体" w:hAnsi="宋体" w:cs="宋体"/>
          <w:color w:val="auto"/>
          <w:sz w:val="21"/>
          <w:szCs w:val="21"/>
          <w:highlight w:val="none"/>
          <w:lang w:eastAsia="zh-CN"/>
        </w:rPr>
        <w:t>岗</w:t>
      </w: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个</w:t>
      </w:r>
      <w:r>
        <w:rPr>
          <w:rFonts w:hint="eastAsia" w:ascii="宋体" w:hAnsi="宋体" w:eastAsia="宋体" w:cs="宋体"/>
          <w:color w:val="auto"/>
          <w:sz w:val="21"/>
          <w:szCs w:val="21"/>
          <w:highlight w:val="none"/>
        </w:rPr>
        <w:t>，工程人员</w:t>
      </w:r>
      <w:r>
        <w:rPr>
          <w:rFonts w:hint="eastAsia" w:ascii="宋体" w:hAnsi="宋体" w:cs="宋体"/>
          <w:color w:val="auto"/>
          <w:sz w:val="21"/>
          <w:szCs w:val="21"/>
          <w:highlight w:val="none"/>
          <w:lang w:eastAsia="zh-CN"/>
        </w:rPr>
        <w:t>岗</w:t>
      </w: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个</w:t>
      </w:r>
      <w:r>
        <w:rPr>
          <w:rFonts w:hint="eastAsia" w:ascii="宋体" w:hAnsi="宋体" w:eastAsia="宋体" w:cs="宋体"/>
          <w:color w:val="auto"/>
          <w:sz w:val="21"/>
          <w:szCs w:val="21"/>
          <w:highlight w:val="none"/>
        </w:rPr>
        <w:t>，保洁员</w:t>
      </w:r>
      <w:r>
        <w:rPr>
          <w:rFonts w:hint="eastAsia" w:ascii="宋体" w:hAnsi="宋体" w:cs="宋体"/>
          <w:color w:val="auto"/>
          <w:sz w:val="21"/>
          <w:szCs w:val="21"/>
          <w:highlight w:val="none"/>
          <w:lang w:eastAsia="zh-CN"/>
        </w:rPr>
        <w:t>岗</w:t>
      </w:r>
      <w:r>
        <w:rPr>
          <w:rFonts w:hint="eastAsia" w:ascii="宋体" w:hAnsi="宋体" w:cs="宋体"/>
          <w:color w:val="auto"/>
          <w:sz w:val="21"/>
          <w:szCs w:val="21"/>
          <w:highlight w:val="none"/>
          <w:lang w:val="en-US" w:eastAsia="zh-CN"/>
        </w:rPr>
        <w:t>8个，</w:t>
      </w:r>
      <w:r>
        <w:rPr>
          <w:rFonts w:hint="eastAsia" w:ascii="宋体" w:hAnsi="宋体" w:eastAsia="宋体" w:cs="宋体"/>
          <w:color w:val="auto"/>
          <w:sz w:val="21"/>
          <w:szCs w:val="21"/>
          <w:highlight w:val="none"/>
        </w:rPr>
        <w:t>保安员</w:t>
      </w:r>
      <w:r>
        <w:rPr>
          <w:rFonts w:hint="eastAsia" w:ascii="宋体" w:hAnsi="宋体" w:cs="宋体"/>
          <w:color w:val="auto"/>
          <w:sz w:val="21"/>
          <w:szCs w:val="21"/>
          <w:highlight w:val="none"/>
          <w:lang w:eastAsia="zh-CN"/>
        </w:rPr>
        <w:t>岗</w:t>
      </w:r>
      <w:r>
        <w:rPr>
          <w:rFonts w:hint="eastAsia" w:ascii="宋体" w:hAnsi="宋体" w:cs="宋体"/>
          <w:color w:val="auto"/>
          <w:sz w:val="21"/>
          <w:szCs w:val="21"/>
          <w:highlight w:val="none"/>
          <w:lang w:val="en-US" w:eastAsia="zh-CN"/>
        </w:rPr>
        <w:t>11个</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绿化员</w:t>
      </w:r>
      <w:r>
        <w:rPr>
          <w:rFonts w:hint="eastAsia" w:ascii="宋体" w:hAnsi="宋体" w:cs="宋体"/>
          <w:color w:val="auto"/>
          <w:sz w:val="21"/>
          <w:szCs w:val="21"/>
          <w:highlight w:val="none"/>
          <w:lang w:eastAsia="zh-CN"/>
        </w:rPr>
        <w:t>岗</w:t>
      </w: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个</w:t>
      </w:r>
      <w:r>
        <w:rPr>
          <w:rFonts w:hint="eastAsia" w:ascii="宋体" w:hAnsi="宋体" w:eastAsia="宋体" w:cs="宋体"/>
          <w:color w:val="auto"/>
          <w:sz w:val="21"/>
          <w:szCs w:val="21"/>
          <w:highlight w:val="none"/>
        </w:rPr>
        <w:t>。</w:t>
      </w:r>
    </w:p>
    <w:p w14:paraId="6BB2F5B2">
      <w:pPr>
        <w:pStyle w:val="50"/>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工程人员</w:t>
      </w:r>
      <w:r>
        <w:rPr>
          <w:rFonts w:hint="eastAsia" w:ascii="宋体" w:hAnsi="宋体" w:cs="宋体"/>
          <w:color w:val="auto"/>
          <w:sz w:val="21"/>
          <w:szCs w:val="21"/>
          <w:highlight w:val="none"/>
          <w:lang w:eastAsia="zh-CN"/>
        </w:rPr>
        <w:t>岗位</w:t>
      </w: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个</w:t>
      </w:r>
      <w:r>
        <w:rPr>
          <w:rFonts w:hint="eastAsia" w:ascii="宋体" w:hAnsi="宋体" w:eastAsia="宋体" w:cs="宋体"/>
          <w:color w:val="auto"/>
          <w:sz w:val="21"/>
          <w:szCs w:val="21"/>
          <w:highlight w:val="none"/>
        </w:rPr>
        <w:t>，需具有相应水电维修和设备管理经验，均需持有《特种作业操作证》作业类别：电工作业、准</w:t>
      </w:r>
      <w:r>
        <w:rPr>
          <w:rFonts w:hint="eastAsia" w:ascii="宋体" w:hAnsi="宋体" w:cs="宋体"/>
          <w:color w:val="auto"/>
          <w:sz w:val="21"/>
          <w:szCs w:val="21"/>
          <w:highlight w:val="none"/>
          <w:lang w:eastAsia="zh-CN"/>
        </w:rPr>
        <w:t>操</w:t>
      </w:r>
      <w:r>
        <w:rPr>
          <w:rFonts w:hint="eastAsia" w:ascii="宋体" w:hAnsi="宋体" w:eastAsia="宋体" w:cs="宋体"/>
          <w:color w:val="auto"/>
          <w:sz w:val="21"/>
          <w:szCs w:val="21"/>
          <w:highlight w:val="none"/>
        </w:rPr>
        <w:t>项目：高压电作业；</w:t>
      </w:r>
    </w:p>
    <w:p w14:paraId="69131578">
      <w:pPr>
        <w:pStyle w:val="50"/>
        <w:spacing w:before="0" w:after="0" w:line="480" w:lineRule="exact"/>
        <w:ind w:firstLine="420" w:firstLineChars="200"/>
        <w:jc w:val="left"/>
        <w:rPr>
          <w:rFonts w:hint="eastAsia" w:ascii="宋体" w:hAnsi="宋体" w:eastAsia="宋体" w:cs="宋体"/>
          <w:color w:val="auto"/>
          <w:szCs w:val="21"/>
          <w:highlight w:val="none"/>
        </w:rPr>
      </w:pPr>
      <w:r>
        <w:rPr>
          <w:rFonts w:hint="eastAsia" w:ascii="宋体" w:hAnsi="宋体" w:cs="宋体"/>
          <w:color w:val="auto"/>
          <w:sz w:val="21"/>
          <w:szCs w:val="21"/>
          <w:highlight w:val="none"/>
          <w:lang w:eastAsia="zh-CN"/>
        </w:rPr>
        <w:t>从事</w:t>
      </w:r>
      <w:r>
        <w:rPr>
          <w:rFonts w:hint="eastAsia" w:ascii="宋体" w:hAnsi="宋体" w:eastAsia="宋体" w:cs="宋体"/>
          <w:color w:val="auto"/>
          <w:szCs w:val="21"/>
          <w:highlight w:val="none"/>
        </w:rPr>
        <w:t>消防控制室</w:t>
      </w:r>
      <w:r>
        <w:rPr>
          <w:rFonts w:hint="eastAsia" w:ascii="宋体" w:hAnsi="宋体" w:cs="宋体"/>
          <w:color w:val="auto"/>
          <w:szCs w:val="21"/>
          <w:highlight w:val="none"/>
          <w:lang w:eastAsia="zh-CN"/>
        </w:rPr>
        <w:t>工作的岗位</w:t>
      </w:r>
      <w:r>
        <w:rPr>
          <w:rFonts w:hint="eastAsia" w:ascii="宋体" w:hAnsi="宋体" w:eastAsia="宋体" w:cs="宋体"/>
          <w:color w:val="auto"/>
          <w:szCs w:val="21"/>
          <w:highlight w:val="none"/>
        </w:rPr>
        <w:t>人员</w:t>
      </w:r>
      <w:r>
        <w:rPr>
          <w:rFonts w:hint="eastAsia" w:ascii="宋体" w:hAnsi="宋体" w:cs="宋体"/>
          <w:color w:val="auto"/>
          <w:szCs w:val="21"/>
          <w:highlight w:val="none"/>
          <w:lang w:eastAsia="zh-CN"/>
        </w:rPr>
        <w:t>需</w:t>
      </w:r>
      <w:r>
        <w:rPr>
          <w:rFonts w:hint="eastAsia" w:ascii="宋体" w:hAnsi="宋体" w:eastAsia="宋体" w:cs="宋体"/>
          <w:color w:val="auto"/>
          <w:szCs w:val="21"/>
          <w:highlight w:val="none"/>
        </w:rPr>
        <w:t>持有建（构）筑物消防员五级</w:t>
      </w:r>
      <w:r>
        <w:rPr>
          <w:rFonts w:hint="eastAsia" w:ascii="宋体" w:hAnsi="宋体" w:eastAsia="宋体" w:cs="宋体"/>
          <w:color w:val="auto"/>
          <w:szCs w:val="21"/>
          <w:highlight w:val="none"/>
          <w:lang w:val="en-US" w:eastAsia="zh-CN"/>
        </w:rPr>
        <w:t>及以上</w:t>
      </w:r>
      <w:r>
        <w:rPr>
          <w:rFonts w:hint="eastAsia" w:ascii="宋体" w:hAnsi="宋体" w:eastAsia="宋体" w:cs="宋体"/>
          <w:color w:val="auto"/>
          <w:szCs w:val="21"/>
          <w:highlight w:val="none"/>
        </w:rPr>
        <w:t>职业资格证书</w:t>
      </w:r>
      <w:r>
        <w:rPr>
          <w:rFonts w:hint="eastAsia" w:ascii="宋体" w:hAnsi="宋体" w:cs="宋体"/>
          <w:color w:val="auto"/>
          <w:szCs w:val="21"/>
          <w:highlight w:val="none"/>
          <w:lang w:val="en-US" w:eastAsia="zh-CN"/>
        </w:rPr>
        <w:t>或初级及以上《消防设施操作员</w:t>
      </w:r>
      <w:r>
        <w:rPr>
          <w:rFonts w:hint="eastAsia" w:ascii="宋体" w:hAnsi="宋体" w:eastAsia="宋体" w:cs="宋体"/>
          <w:color w:val="auto"/>
          <w:szCs w:val="21"/>
          <w:highlight w:val="none"/>
        </w:rPr>
        <w:t>》职业资格证书。</w:t>
      </w:r>
    </w:p>
    <w:p w14:paraId="679E4F97">
      <w:pPr>
        <w:pStyle w:val="5"/>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2.4.1.2基本要求</w:t>
      </w:r>
    </w:p>
    <w:p w14:paraId="6B92F50C">
      <w:pPr>
        <w:pStyle w:val="50"/>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乙方</w:t>
      </w:r>
      <w:r>
        <w:rPr>
          <w:rFonts w:hint="eastAsia" w:ascii="宋体" w:hAnsi="宋体" w:eastAsia="宋体" w:cs="宋体"/>
          <w:color w:val="auto"/>
          <w:sz w:val="21"/>
          <w:szCs w:val="21"/>
          <w:highlight w:val="none"/>
        </w:rPr>
        <w:t>提供的服务人员应当相对稳定，按要求合理配置服务人员，优先派遣有类似工作经验的服务团队。确保做好物业管理服务（合同签订时</w:t>
      </w:r>
      <w:r>
        <w:rPr>
          <w:rFonts w:hint="eastAsia" w:ascii="宋体" w:hAnsi="宋体" w:cs="宋体"/>
          <w:color w:val="auto"/>
          <w:sz w:val="21"/>
          <w:szCs w:val="21"/>
          <w:highlight w:val="none"/>
          <w:lang w:eastAsia="zh-CN"/>
        </w:rPr>
        <w:t>乙方</w:t>
      </w:r>
      <w:r>
        <w:rPr>
          <w:rFonts w:hint="eastAsia" w:ascii="宋体" w:hAnsi="宋体" w:eastAsia="宋体" w:cs="宋体"/>
          <w:color w:val="auto"/>
          <w:sz w:val="21"/>
          <w:szCs w:val="21"/>
          <w:highlight w:val="none"/>
        </w:rPr>
        <w:t>须提供服务人员具体信息资料、岗位配置书面材料）。且应无条件配合</w:t>
      </w:r>
      <w:r>
        <w:rPr>
          <w:rFonts w:hint="eastAsia" w:ascii="宋体" w:hAnsi="宋体" w:cs="宋体"/>
          <w:color w:val="auto"/>
          <w:sz w:val="21"/>
          <w:szCs w:val="21"/>
          <w:highlight w:val="none"/>
          <w:lang w:eastAsia="zh-CN"/>
        </w:rPr>
        <w:t>甲方</w:t>
      </w:r>
      <w:r>
        <w:rPr>
          <w:rFonts w:hint="eastAsia" w:ascii="宋体" w:hAnsi="宋体" w:eastAsia="宋体" w:cs="宋体"/>
          <w:color w:val="auto"/>
          <w:sz w:val="21"/>
          <w:szCs w:val="21"/>
          <w:highlight w:val="none"/>
        </w:rPr>
        <w:t>人事部门及需求服务部门的需要，对人员进行档案、考勤等方面的管理。</w:t>
      </w:r>
      <w:r>
        <w:rPr>
          <w:rFonts w:hint="default" w:ascii="宋体" w:hAnsi="宋体" w:eastAsia="宋体" w:cs="宋体"/>
          <w:color w:val="auto"/>
          <w:sz w:val="21"/>
          <w:szCs w:val="21"/>
          <w:highlight w:val="none"/>
        </w:rPr>
        <w:t>（投标时提供承诺书）。</w:t>
      </w:r>
    </w:p>
    <w:p w14:paraId="2EF2C952">
      <w:pPr>
        <w:pStyle w:val="50"/>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业公司对派驻的各岗位人员应能提供相关证明材料以清晰反应物业公司与派驻人员之间的劳动聘用关系。派驻的各岗位人员相关待遇不能低于昆明当地劳动保障部门规定的最低工资标准要求及依法购买社会保险，劳动用工不得有任何违反国家、省、市有关法律法规的规定。派驻的所有人员须持有无犯罪证明和持有本人身体健康证明 （县级以上医院体检证明）且体检取得的健康证明时间应为入职当年。（投标时提供承诺书）。</w:t>
      </w:r>
    </w:p>
    <w:p w14:paraId="137CA461">
      <w:pPr>
        <w:pStyle w:val="5"/>
        <w:keepNext w:val="0"/>
        <w:spacing w:before="0" w:after="0" w:line="4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4.1.3</w:t>
      </w:r>
      <w:r>
        <w:rPr>
          <w:rFonts w:hint="eastAsia" w:ascii="宋体" w:hAnsi="宋体" w:eastAsia="宋体" w:cs="宋体"/>
          <w:color w:val="auto"/>
          <w:sz w:val="21"/>
          <w:szCs w:val="21"/>
          <w:highlight w:val="none"/>
          <w:lang w:eastAsia="zh-CN"/>
        </w:rPr>
        <w:t>岗位配备</w:t>
      </w:r>
      <w:r>
        <w:rPr>
          <w:rFonts w:hint="eastAsia" w:ascii="宋体" w:hAnsi="宋体" w:eastAsia="宋体" w:cs="宋体"/>
          <w:color w:val="auto"/>
          <w:sz w:val="21"/>
          <w:szCs w:val="21"/>
          <w:highlight w:val="none"/>
        </w:rPr>
        <w:t>指标</w:t>
      </w:r>
    </w:p>
    <w:tbl>
      <w:tblPr>
        <w:tblStyle w:val="25"/>
        <w:tblW w:w="4388" w:type="pct"/>
        <w:tblInd w:w="30" w:type="dxa"/>
        <w:tblLayout w:type="autofit"/>
        <w:tblCellMar>
          <w:top w:w="15" w:type="dxa"/>
          <w:left w:w="15" w:type="dxa"/>
          <w:bottom w:w="15" w:type="dxa"/>
          <w:right w:w="15" w:type="dxa"/>
        </w:tblCellMar>
      </w:tblPr>
      <w:tblGrid>
        <w:gridCol w:w="590"/>
        <w:gridCol w:w="1068"/>
        <w:gridCol w:w="1033"/>
        <w:gridCol w:w="4913"/>
      </w:tblGrid>
      <w:tr w14:paraId="22FC83FE">
        <w:tblPrEx>
          <w:tblCellMar>
            <w:top w:w="15" w:type="dxa"/>
            <w:left w:w="15" w:type="dxa"/>
            <w:bottom w:w="15" w:type="dxa"/>
            <w:right w:w="15" w:type="dxa"/>
          </w:tblCellMar>
        </w:tblPrEx>
        <w:tc>
          <w:tcPr>
            <w:tcW w:w="388"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0D7A11E6">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序号</w:t>
            </w:r>
          </w:p>
        </w:tc>
        <w:tc>
          <w:tcPr>
            <w:tcW w:w="702"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30B2D53">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人员类别</w:t>
            </w:r>
          </w:p>
        </w:tc>
        <w:tc>
          <w:tcPr>
            <w:tcW w:w="679"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24B92A4">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人员岗位</w:t>
            </w:r>
          </w:p>
        </w:tc>
        <w:tc>
          <w:tcPr>
            <w:tcW w:w="3229"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CB0EF61">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人员要求</w:t>
            </w:r>
          </w:p>
        </w:tc>
      </w:tr>
      <w:tr w14:paraId="353E12EF">
        <w:tblPrEx>
          <w:tblCellMar>
            <w:top w:w="15" w:type="dxa"/>
            <w:left w:w="15" w:type="dxa"/>
            <w:bottom w:w="15" w:type="dxa"/>
            <w:right w:w="15" w:type="dxa"/>
          </w:tblCellMar>
        </w:tblPrEx>
        <w:tc>
          <w:tcPr>
            <w:tcW w:w="38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A1D7F56">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w:t>
            </w:r>
          </w:p>
        </w:tc>
        <w:tc>
          <w:tcPr>
            <w:tcW w:w="70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7FDEA7F">
            <w:pPr>
              <w:spacing w:line="480" w:lineRule="exact"/>
              <w:jc w:val="left"/>
              <w:rPr>
                <w:rFonts w:hint="eastAsia" w:ascii="宋体" w:hAnsi="宋体" w:eastAsia="宋体" w:cs="宋体"/>
                <w:b w:val="0"/>
                <w:bCs w:val="0"/>
                <w:i w:val="0"/>
                <w:iCs w:val="0"/>
                <w:smallCaps w:val="0"/>
                <w:color w:val="auto"/>
                <w:sz w:val="21"/>
                <w:szCs w:val="21"/>
                <w:highlight w:val="none"/>
                <w:lang w:eastAsia="zh-CN"/>
              </w:rPr>
            </w:pPr>
            <w:r>
              <w:rPr>
                <w:rFonts w:hint="eastAsia" w:ascii="宋体" w:hAnsi="宋体" w:eastAsia="宋体" w:cs="宋体"/>
                <w:b w:val="0"/>
                <w:bCs w:val="0"/>
                <w:i w:val="0"/>
                <w:iCs w:val="0"/>
                <w:smallCaps w:val="0"/>
                <w:color w:val="auto"/>
                <w:sz w:val="21"/>
                <w:szCs w:val="21"/>
                <w:highlight w:val="none"/>
              </w:rPr>
              <w:t>物业经理</w:t>
            </w:r>
            <w:r>
              <w:rPr>
                <w:rFonts w:hint="eastAsia" w:ascii="宋体" w:hAnsi="宋体" w:cs="宋体"/>
                <w:b w:val="0"/>
                <w:bCs w:val="0"/>
                <w:i w:val="0"/>
                <w:iCs w:val="0"/>
                <w:smallCaps w:val="0"/>
                <w:color w:val="auto"/>
                <w:sz w:val="21"/>
                <w:szCs w:val="21"/>
                <w:highlight w:val="none"/>
                <w:lang w:eastAsia="zh-CN"/>
              </w:rPr>
              <w:t>岗</w:t>
            </w:r>
          </w:p>
        </w:tc>
        <w:tc>
          <w:tcPr>
            <w:tcW w:w="67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41C691F">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w:t>
            </w:r>
          </w:p>
        </w:tc>
        <w:tc>
          <w:tcPr>
            <w:tcW w:w="322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C568733">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（一）思想品德好，遵纪守法，品行端正，无违法违纪等行为。</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（二）诚实守信，品行兼优，有较强的事业心和责任感，有良好的职业道德。</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（三）年满18周岁以上。</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（四）身体健康，无传染性疾病，持有本人身体健康证明 （县级以上医院体检证明）且体检取得的健康证明时间应为入职当年。</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（六）持有本人身份证、学历证明、户籍所辖派出所出具的无犯罪记录证明及需要提供的其他证件等。</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（七）人员从事本岗位工作3年及以上；有较强的管理能力和工作经验，能够充分调动全体员工的积极性，善于管理、善于沟通。</w:t>
            </w:r>
          </w:p>
        </w:tc>
      </w:tr>
      <w:tr w14:paraId="06DACC4E">
        <w:tblPrEx>
          <w:tblCellMar>
            <w:top w:w="15" w:type="dxa"/>
            <w:left w:w="15" w:type="dxa"/>
            <w:bottom w:w="15" w:type="dxa"/>
            <w:right w:w="15" w:type="dxa"/>
          </w:tblCellMar>
        </w:tblPrEx>
        <w:tc>
          <w:tcPr>
            <w:tcW w:w="38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A1BA9CB">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w:t>
            </w:r>
          </w:p>
        </w:tc>
        <w:tc>
          <w:tcPr>
            <w:tcW w:w="70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8DB34F3">
            <w:pPr>
              <w:spacing w:line="480" w:lineRule="exact"/>
              <w:jc w:val="left"/>
              <w:rPr>
                <w:rFonts w:hint="eastAsia" w:ascii="宋体" w:hAnsi="宋体" w:eastAsia="宋体" w:cs="宋体"/>
                <w:b w:val="0"/>
                <w:bCs w:val="0"/>
                <w:i w:val="0"/>
                <w:iCs w:val="0"/>
                <w:smallCaps w:val="0"/>
                <w:color w:val="auto"/>
                <w:sz w:val="21"/>
                <w:szCs w:val="21"/>
                <w:highlight w:val="none"/>
                <w:lang w:eastAsia="zh-CN"/>
              </w:rPr>
            </w:pPr>
            <w:r>
              <w:rPr>
                <w:rFonts w:hint="eastAsia" w:ascii="宋体" w:hAnsi="宋体" w:eastAsia="宋体" w:cs="宋体"/>
                <w:b w:val="0"/>
                <w:bCs w:val="0"/>
                <w:i w:val="0"/>
                <w:iCs w:val="0"/>
                <w:smallCaps w:val="0"/>
                <w:color w:val="auto"/>
                <w:sz w:val="21"/>
                <w:szCs w:val="21"/>
                <w:highlight w:val="none"/>
              </w:rPr>
              <w:t>会议服务员</w:t>
            </w:r>
            <w:r>
              <w:rPr>
                <w:rFonts w:hint="eastAsia" w:ascii="宋体" w:hAnsi="宋体" w:cs="宋体"/>
                <w:b w:val="0"/>
                <w:bCs w:val="0"/>
                <w:i w:val="0"/>
                <w:iCs w:val="0"/>
                <w:smallCaps w:val="0"/>
                <w:color w:val="auto"/>
                <w:sz w:val="21"/>
                <w:szCs w:val="21"/>
                <w:highlight w:val="none"/>
                <w:lang w:eastAsia="zh-CN"/>
              </w:rPr>
              <w:t>岗</w:t>
            </w:r>
          </w:p>
        </w:tc>
        <w:tc>
          <w:tcPr>
            <w:tcW w:w="67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E11D1AB">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w:t>
            </w:r>
          </w:p>
        </w:tc>
        <w:tc>
          <w:tcPr>
            <w:tcW w:w="322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7D1799E">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（一）思想品德好，遵纪守法，品行端正，无违法违纪等行为。</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（二）诚实守信，品行兼优，有较强的事业心和责任感，有良好的职业道德。</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（三）年满18周岁以上。</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（四）身体健康，无传染性疾病，持有本人身体健康证明 （县级以上医院体检证明）且体检取得的健康证明时间应为入职当年。</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（六）持有本人身份证、学历证明、户籍所辖派出所出具的无犯罪记录证明及需要提供的其他证件等。</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（七）会务保障、报纸分发、邮件登记；做到及时，细致，高效，优质，安全，全面。女性，学历初中以上，具备相关的礼仪知识，服务得体大方，礼貌热情，形象好。</w:t>
            </w:r>
          </w:p>
        </w:tc>
      </w:tr>
      <w:tr w14:paraId="43C49981">
        <w:tblPrEx>
          <w:tblCellMar>
            <w:top w:w="15" w:type="dxa"/>
            <w:left w:w="15" w:type="dxa"/>
            <w:bottom w:w="15" w:type="dxa"/>
            <w:right w:w="15" w:type="dxa"/>
          </w:tblCellMar>
        </w:tblPrEx>
        <w:tc>
          <w:tcPr>
            <w:tcW w:w="38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098A97E">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w:t>
            </w:r>
          </w:p>
        </w:tc>
        <w:tc>
          <w:tcPr>
            <w:tcW w:w="70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2D1CDAD">
            <w:pPr>
              <w:spacing w:line="480" w:lineRule="exact"/>
              <w:jc w:val="left"/>
              <w:rPr>
                <w:rFonts w:hint="eastAsia" w:ascii="宋体" w:hAnsi="宋体" w:eastAsia="宋体" w:cs="宋体"/>
                <w:b w:val="0"/>
                <w:bCs w:val="0"/>
                <w:i w:val="0"/>
                <w:iCs w:val="0"/>
                <w:smallCaps w:val="0"/>
                <w:color w:val="auto"/>
                <w:sz w:val="21"/>
                <w:szCs w:val="21"/>
                <w:highlight w:val="none"/>
                <w:lang w:eastAsia="zh-CN"/>
              </w:rPr>
            </w:pPr>
            <w:r>
              <w:rPr>
                <w:rFonts w:hint="eastAsia" w:ascii="宋体" w:hAnsi="宋体" w:eastAsia="宋体" w:cs="宋体"/>
                <w:b w:val="0"/>
                <w:bCs w:val="0"/>
                <w:i w:val="0"/>
                <w:iCs w:val="0"/>
                <w:smallCaps w:val="0"/>
                <w:color w:val="auto"/>
                <w:sz w:val="21"/>
                <w:szCs w:val="21"/>
                <w:highlight w:val="none"/>
              </w:rPr>
              <w:t>工程人员</w:t>
            </w:r>
            <w:r>
              <w:rPr>
                <w:rFonts w:hint="eastAsia" w:ascii="宋体" w:hAnsi="宋体" w:cs="宋体"/>
                <w:b w:val="0"/>
                <w:bCs w:val="0"/>
                <w:i w:val="0"/>
                <w:iCs w:val="0"/>
                <w:smallCaps w:val="0"/>
                <w:color w:val="auto"/>
                <w:sz w:val="21"/>
                <w:szCs w:val="21"/>
                <w:highlight w:val="none"/>
                <w:lang w:eastAsia="zh-CN"/>
              </w:rPr>
              <w:t>岗</w:t>
            </w:r>
          </w:p>
        </w:tc>
        <w:tc>
          <w:tcPr>
            <w:tcW w:w="67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54B6EFD">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w:t>
            </w:r>
          </w:p>
        </w:tc>
        <w:tc>
          <w:tcPr>
            <w:tcW w:w="322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929063B">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（一）思想品德好，遵纪守法，品行端正，无违法违纪等行为。</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（二）诚实守信，品行兼优，有较强的事业心和责任感，有良好的职业道德。</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（三）年满18周岁以上。</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（四）身体健康，无传染性疾病，持有本人身体健康证明 （县级以上医院体检证明）且体检取得的健康证明时间应为入职当年。</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（六）持有本人身份证、学历证明、户籍所辖派出所出具的无犯罪记录证明及需要提供的其他证件等。</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七）随时保障水、电畅通维护，对配电房、水泵房和各条水、电路日常检查及时发现问题，做到小型维修不过夜（更换的材料由甲方负责），并对大型维修提出建议；配合电梯维护保养公司、消防维护保养公司和大楼相关维修公司进行修缮工作中做好相关保障工作；配合安保巡逻和日常检查，对大楼的结构性安全做巡视，平时对检查情况进行登记，每年对大楼提出合理的保护和修缮建议；保障人员男性，身体健康，无违法犯罪记录，工作态度严谨，具有高度责任心，维修员需具有相应水电维修和设备维修经验。</w:t>
            </w:r>
          </w:p>
        </w:tc>
      </w:tr>
      <w:tr w14:paraId="76A1D430">
        <w:tblPrEx>
          <w:tblCellMar>
            <w:top w:w="15" w:type="dxa"/>
            <w:left w:w="15" w:type="dxa"/>
            <w:bottom w:w="15" w:type="dxa"/>
            <w:right w:w="15" w:type="dxa"/>
          </w:tblCellMar>
        </w:tblPrEx>
        <w:tc>
          <w:tcPr>
            <w:tcW w:w="38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5816EA7">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w:t>
            </w:r>
          </w:p>
        </w:tc>
        <w:tc>
          <w:tcPr>
            <w:tcW w:w="70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41C82B8">
            <w:pPr>
              <w:spacing w:line="480" w:lineRule="exact"/>
              <w:jc w:val="left"/>
              <w:rPr>
                <w:rFonts w:hint="eastAsia" w:ascii="宋体" w:hAnsi="宋体" w:eastAsia="宋体" w:cs="宋体"/>
                <w:b w:val="0"/>
                <w:bCs w:val="0"/>
                <w:i w:val="0"/>
                <w:iCs w:val="0"/>
                <w:smallCaps w:val="0"/>
                <w:color w:val="auto"/>
                <w:sz w:val="21"/>
                <w:szCs w:val="21"/>
                <w:highlight w:val="none"/>
                <w:lang w:eastAsia="zh-CN"/>
              </w:rPr>
            </w:pPr>
            <w:r>
              <w:rPr>
                <w:rFonts w:hint="eastAsia" w:ascii="宋体" w:hAnsi="宋体" w:eastAsia="宋体" w:cs="宋体"/>
                <w:b w:val="0"/>
                <w:bCs w:val="0"/>
                <w:i w:val="0"/>
                <w:iCs w:val="0"/>
                <w:smallCaps w:val="0"/>
                <w:color w:val="auto"/>
                <w:sz w:val="21"/>
                <w:szCs w:val="21"/>
                <w:highlight w:val="none"/>
              </w:rPr>
              <w:t>保洁员</w:t>
            </w:r>
            <w:r>
              <w:rPr>
                <w:rFonts w:hint="eastAsia" w:ascii="宋体" w:hAnsi="宋体" w:cs="宋体"/>
                <w:b w:val="0"/>
                <w:bCs w:val="0"/>
                <w:i w:val="0"/>
                <w:iCs w:val="0"/>
                <w:smallCaps w:val="0"/>
                <w:color w:val="auto"/>
                <w:sz w:val="21"/>
                <w:szCs w:val="21"/>
                <w:highlight w:val="none"/>
                <w:lang w:eastAsia="zh-CN"/>
              </w:rPr>
              <w:t>岗</w:t>
            </w:r>
          </w:p>
        </w:tc>
        <w:tc>
          <w:tcPr>
            <w:tcW w:w="67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09FADAE">
            <w:pPr>
              <w:spacing w:line="480" w:lineRule="exact"/>
              <w:jc w:val="left"/>
              <w:rPr>
                <w:rFonts w:hint="default" w:ascii="宋体" w:hAnsi="宋体" w:eastAsia="宋体" w:cs="宋体"/>
                <w:b w:val="0"/>
                <w:bCs w:val="0"/>
                <w:i w:val="0"/>
                <w:iCs w:val="0"/>
                <w:smallCaps w:val="0"/>
                <w:color w:val="auto"/>
                <w:sz w:val="21"/>
                <w:szCs w:val="21"/>
                <w:highlight w:val="none"/>
                <w:lang w:val="en-US" w:eastAsia="zh-CN"/>
              </w:rPr>
            </w:pPr>
            <w:r>
              <w:rPr>
                <w:rFonts w:hint="eastAsia" w:ascii="宋体" w:hAnsi="宋体" w:cs="宋体"/>
                <w:b w:val="0"/>
                <w:bCs w:val="0"/>
                <w:i w:val="0"/>
                <w:iCs w:val="0"/>
                <w:smallCaps w:val="0"/>
                <w:color w:val="auto"/>
                <w:sz w:val="21"/>
                <w:szCs w:val="21"/>
                <w:highlight w:val="none"/>
                <w:lang w:val="en-US" w:eastAsia="zh-CN"/>
              </w:rPr>
              <w:t>8</w:t>
            </w:r>
          </w:p>
        </w:tc>
        <w:tc>
          <w:tcPr>
            <w:tcW w:w="322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DE66DE0">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（一）思想品德好，遵纪守法，品行端正，无违法违纪等行为。</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（二）诚实守信，品行兼优，有较强的事业心和责任感，有良好的职业道德。</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（三）年满18周岁以上。</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（四）身体健康，无传染性疾病，持有本人身体健康证明 （县级以上医院体检证明）且体检取得的健康证明时间应为入职当年。</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（六）持有本人身份证、学历证明、户籍所辖派出所出具的无犯罪记录证明及需要提供的其他证件等。</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七）办公区所有道路、地面、房顶、内墙面等随时维护和保持卫生；做到卫生无死角，整洁干净。男女不限，学历初中以上，身体健康，无违法犯罪记录，有从事过办公楼保洁工作经验，仪表整洁，礼貌和蔼，有良好素养和职业道德。</w:t>
            </w:r>
          </w:p>
        </w:tc>
      </w:tr>
      <w:tr w14:paraId="2DDF0CB4">
        <w:tblPrEx>
          <w:tblCellMar>
            <w:top w:w="15" w:type="dxa"/>
            <w:left w:w="15" w:type="dxa"/>
            <w:bottom w:w="15" w:type="dxa"/>
            <w:right w:w="15" w:type="dxa"/>
          </w:tblCellMar>
        </w:tblPrEx>
        <w:tc>
          <w:tcPr>
            <w:tcW w:w="38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7F6D8E8">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5</w:t>
            </w:r>
          </w:p>
        </w:tc>
        <w:tc>
          <w:tcPr>
            <w:tcW w:w="70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EDD266B">
            <w:pPr>
              <w:spacing w:line="480" w:lineRule="exact"/>
              <w:jc w:val="left"/>
              <w:rPr>
                <w:rFonts w:hint="eastAsia" w:ascii="宋体" w:hAnsi="宋体" w:eastAsia="宋体" w:cs="宋体"/>
                <w:b w:val="0"/>
                <w:bCs w:val="0"/>
                <w:i w:val="0"/>
                <w:iCs w:val="0"/>
                <w:smallCaps w:val="0"/>
                <w:color w:val="auto"/>
                <w:sz w:val="21"/>
                <w:szCs w:val="21"/>
                <w:highlight w:val="none"/>
                <w:lang w:eastAsia="zh-CN"/>
              </w:rPr>
            </w:pPr>
            <w:r>
              <w:rPr>
                <w:rFonts w:hint="eastAsia" w:ascii="宋体" w:hAnsi="宋体" w:eastAsia="宋体" w:cs="宋体"/>
                <w:b w:val="0"/>
                <w:bCs w:val="0"/>
                <w:i w:val="0"/>
                <w:iCs w:val="0"/>
                <w:smallCaps w:val="0"/>
                <w:color w:val="auto"/>
                <w:sz w:val="21"/>
                <w:szCs w:val="21"/>
                <w:highlight w:val="none"/>
              </w:rPr>
              <w:t>保安员</w:t>
            </w:r>
            <w:r>
              <w:rPr>
                <w:rFonts w:hint="eastAsia" w:ascii="宋体" w:hAnsi="宋体" w:cs="宋体"/>
                <w:b w:val="0"/>
                <w:bCs w:val="0"/>
                <w:i w:val="0"/>
                <w:iCs w:val="0"/>
                <w:smallCaps w:val="0"/>
                <w:color w:val="auto"/>
                <w:sz w:val="21"/>
                <w:szCs w:val="21"/>
                <w:highlight w:val="none"/>
                <w:lang w:eastAsia="zh-CN"/>
              </w:rPr>
              <w:t>岗</w:t>
            </w:r>
          </w:p>
        </w:tc>
        <w:tc>
          <w:tcPr>
            <w:tcW w:w="67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5A5DEF8">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val="en-US" w:eastAsia="zh-CN"/>
              </w:rPr>
              <w:t>1</w:t>
            </w:r>
            <w:r>
              <w:rPr>
                <w:rFonts w:hint="eastAsia" w:ascii="宋体" w:hAnsi="宋体" w:cs="宋体"/>
                <w:b w:val="0"/>
                <w:bCs w:val="0"/>
                <w:i w:val="0"/>
                <w:iCs w:val="0"/>
                <w:smallCaps w:val="0"/>
                <w:color w:val="auto"/>
                <w:sz w:val="21"/>
                <w:szCs w:val="21"/>
                <w:highlight w:val="none"/>
                <w:lang w:val="en-US" w:eastAsia="zh-CN"/>
              </w:rPr>
              <w:t>1</w:t>
            </w:r>
          </w:p>
        </w:tc>
        <w:tc>
          <w:tcPr>
            <w:tcW w:w="322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E8809E4">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（一）思想品德好，遵纪守法，品行端正，无违法违纪等行为。</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（二）诚实守信，品行兼优，有较强的事业心和责任感，有良好的职业道德。</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（三）年满18周岁以上。</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（四）身体健康，无传染性疾病，持有本人身体健康证明 （县级以上医院体检证明）且体检取得的健康证明时间应为入职当年。</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（六）持有本人身份证、学历证明、户籍所辖派出所出具的无犯罪记录证明及需要提供的其他证件等。</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七）办公大楼和室外巡逻，消防器材的检查登记，熟练使用消防器材和安保器械，处理消防误报和使用监控设备等，及时发现问题，主动解决问题，对暂时无法解决的问题及时报告，做到小问题不过夜，大问题报告及时，下班打卡时间后和节假日人员车辆（自动抬杆除外）进出登记，确保大楼安全无事故。男性，学历初中以上，身体健康，无违法犯罪记录，有处理突发事故的经验和办公楼秩序维护工作经历。</w:t>
            </w:r>
          </w:p>
        </w:tc>
      </w:tr>
      <w:tr w14:paraId="21205CEC">
        <w:tblPrEx>
          <w:tblCellMar>
            <w:top w:w="15" w:type="dxa"/>
            <w:left w:w="15" w:type="dxa"/>
            <w:bottom w:w="15" w:type="dxa"/>
            <w:right w:w="15" w:type="dxa"/>
          </w:tblCellMar>
        </w:tblPrEx>
        <w:tc>
          <w:tcPr>
            <w:tcW w:w="38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B380F49">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6</w:t>
            </w:r>
          </w:p>
        </w:tc>
        <w:tc>
          <w:tcPr>
            <w:tcW w:w="70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ED6E1A7">
            <w:pPr>
              <w:spacing w:line="480" w:lineRule="exact"/>
              <w:jc w:val="left"/>
              <w:rPr>
                <w:rFonts w:hint="eastAsia" w:ascii="宋体" w:hAnsi="宋体" w:eastAsia="宋体" w:cs="宋体"/>
                <w:b w:val="0"/>
                <w:bCs w:val="0"/>
                <w:i w:val="0"/>
                <w:iCs w:val="0"/>
                <w:smallCaps w:val="0"/>
                <w:color w:val="auto"/>
                <w:sz w:val="21"/>
                <w:szCs w:val="21"/>
                <w:highlight w:val="none"/>
                <w:lang w:eastAsia="zh-CN"/>
              </w:rPr>
            </w:pPr>
            <w:r>
              <w:rPr>
                <w:rFonts w:hint="eastAsia" w:ascii="宋体" w:hAnsi="宋体" w:eastAsia="宋体" w:cs="宋体"/>
                <w:b w:val="0"/>
                <w:bCs w:val="0"/>
                <w:i w:val="0"/>
                <w:iCs w:val="0"/>
                <w:smallCaps w:val="0"/>
                <w:color w:val="auto"/>
                <w:sz w:val="21"/>
                <w:szCs w:val="21"/>
                <w:highlight w:val="none"/>
              </w:rPr>
              <w:t>绿化员</w:t>
            </w:r>
            <w:r>
              <w:rPr>
                <w:rFonts w:hint="eastAsia" w:ascii="宋体" w:hAnsi="宋体" w:cs="宋体"/>
                <w:b w:val="0"/>
                <w:bCs w:val="0"/>
                <w:i w:val="0"/>
                <w:iCs w:val="0"/>
                <w:smallCaps w:val="0"/>
                <w:color w:val="auto"/>
                <w:sz w:val="21"/>
                <w:szCs w:val="21"/>
                <w:highlight w:val="none"/>
                <w:lang w:eastAsia="zh-CN"/>
              </w:rPr>
              <w:t>岗</w:t>
            </w:r>
          </w:p>
        </w:tc>
        <w:tc>
          <w:tcPr>
            <w:tcW w:w="67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BB7E1A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w:t>
            </w:r>
          </w:p>
        </w:tc>
        <w:tc>
          <w:tcPr>
            <w:tcW w:w="322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1F58969">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（一）思想品德好，遵纪守法，品行端正，无违法违纪等行为。</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（二）诚实守信，品行兼优，有较强的事业心和责任感，有良好的职业道德。</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（三）年满18周岁以上。</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（四）身体健康，无传染性疾病，持有本人身体健康证明 （县级以上医院体检证明）且体检取得的健康证明时间应为入职当年。</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（六）持有本人身份证、学历证明、户籍所辖派出所出具的无犯罪记录证明及需要提供的其他证件等。</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七）对各类树、草皮、灌木等维护、保养、美化、浇水、施肥、灭虫、防冻等工作事项和材料保障；保证各类树、花和植物能健康生长，符合季节要求，杜绝无故枯死现象。身体健康，无违法犯罪记录，绿化养护经验丰富。</w:t>
            </w:r>
          </w:p>
        </w:tc>
      </w:tr>
    </w:tbl>
    <w:p w14:paraId="5DCD127A">
      <w:pPr>
        <w:keepNext w:val="0"/>
        <w:keepLines w:val="0"/>
        <w:pageBreakBefore w:val="0"/>
        <w:widowControl/>
        <w:kinsoku/>
        <w:wordWrap/>
        <w:overflowPunct/>
        <w:topLinePunct w:val="0"/>
        <w:autoSpaceDE/>
        <w:autoSpaceDN/>
        <w:bidi w:val="0"/>
        <w:adjustRightInd/>
        <w:snapToGrid/>
        <w:spacing w:before="0" w:after="0" w:line="440" w:lineRule="exact"/>
        <w:ind w:firstLine="422" w:firstLineChars="200"/>
        <w:jc w:val="both"/>
        <w:textAlignment w:val="auto"/>
        <w:outlineLvl w:val="1"/>
        <w:rPr>
          <w:rFonts w:hint="eastAsia" w:ascii="宋体" w:hAnsi="宋体" w:eastAsia="宋体" w:cs="宋体"/>
          <w:b/>
          <w:bCs/>
          <w:color w:val="auto"/>
          <w:kern w:val="32"/>
          <w:sz w:val="21"/>
          <w:szCs w:val="21"/>
          <w:highlight w:val="none"/>
          <w:lang w:val="en-US" w:eastAsia="en-US" w:bidi="ar-SA"/>
        </w:rPr>
      </w:pPr>
      <w:r>
        <w:rPr>
          <w:rFonts w:hint="eastAsia" w:ascii="宋体" w:hAnsi="宋体" w:eastAsia="宋体" w:cs="宋体"/>
          <w:b/>
          <w:bCs/>
          <w:color w:val="auto"/>
          <w:kern w:val="36"/>
          <w:sz w:val="21"/>
          <w:szCs w:val="21"/>
          <w:highlight w:val="none"/>
          <w:lang w:val="en-US" w:eastAsia="zh-CN" w:bidi="ar-SA"/>
        </w:rPr>
        <w:t>2.</w:t>
      </w:r>
      <w:r>
        <w:rPr>
          <w:rFonts w:hint="eastAsia" w:ascii="宋体" w:hAnsi="宋体" w:eastAsia="宋体" w:cs="宋体"/>
          <w:b/>
          <w:bCs/>
          <w:color w:val="auto"/>
          <w:kern w:val="36"/>
          <w:sz w:val="21"/>
          <w:szCs w:val="21"/>
          <w:highlight w:val="none"/>
          <w:lang w:val="en-US" w:eastAsia="en-US" w:bidi="ar-SA"/>
        </w:rPr>
        <w:t>5管理实施要求</w:t>
      </w:r>
    </w:p>
    <w:p w14:paraId="6DCCCA44">
      <w:pPr>
        <w:spacing w:line="480" w:lineRule="exact"/>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lang w:val="en-US" w:eastAsia="zh-CN"/>
        </w:rPr>
        <w:t>5.1智能化管理服务要求</w:t>
      </w:r>
    </w:p>
    <w:p w14:paraId="07480913">
      <w:pPr>
        <w:spacing w:line="480" w:lineRule="exact"/>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lang w:val="en-US" w:eastAsia="zh-CN"/>
        </w:rPr>
        <w:t>5.1.1机械化保洁作业</w:t>
      </w:r>
    </w:p>
    <w:p w14:paraId="0495E198">
      <w:pPr>
        <w:spacing w:line="480" w:lineRule="exact"/>
        <w:ind w:firstLine="420" w:firstLineChars="200"/>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乙方若</w:t>
      </w:r>
      <w:r>
        <w:rPr>
          <w:rFonts w:hint="eastAsia" w:ascii="宋体" w:hAnsi="宋体" w:eastAsia="宋体" w:cs="宋体"/>
          <w:b w:val="0"/>
          <w:bCs w:val="0"/>
          <w:color w:val="auto"/>
          <w:szCs w:val="21"/>
          <w:highlight w:val="none"/>
          <w:lang w:val="en-US" w:eastAsia="zh-CN"/>
        </w:rPr>
        <w:t>根据本项目特点以及保洁作业需求，配备</w:t>
      </w:r>
      <w:r>
        <w:rPr>
          <w:rFonts w:hint="eastAsia" w:ascii="宋体" w:hAnsi="宋体" w:cs="宋体"/>
          <w:b w:val="0"/>
          <w:bCs w:val="0"/>
          <w:color w:val="auto"/>
          <w:szCs w:val="21"/>
          <w:highlight w:val="none"/>
          <w:lang w:val="en-US" w:eastAsia="zh-CN"/>
        </w:rPr>
        <w:t>了</w:t>
      </w:r>
      <w:r>
        <w:rPr>
          <w:rFonts w:hint="eastAsia" w:ascii="宋体" w:hAnsi="宋体" w:eastAsia="宋体" w:cs="宋体"/>
          <w:b w:val="0"/>
          <w:bCs w:val="0"/>
          <w:color w:val="auto"/>
          <w:szCs w:val="21"/>
          <w:highlight w:val="none"/>
          <w:lang w:val="en-US" w:eastAsia="zh-CN"/>
        </w:rPr>
        <w:t>机械化保洁设备（不限于手推式洗地机、商用清洁机器人等设备）。注：设备可为自有、租赁等方式，需提供的证明材料可为以下二者之一：a.设备清单和购买发票（自有设备提供）。b.设备清单和租赁协议。</w:t>
      </w:r>
      <w:r>
        <w:rPr>
          <w:rFonts w:hint="eastAsia" w:ascii="宋体" w:hAnsi="宋体" w:cs="宋体"/>
          <w:b w:val="0"/>
          <w:bCs w:val="0"/>
          <w:color w:val="auto"/>
          <w:szCs w:val="21"/>
          <w:highlight w:val="none"/>
          <w:lang w:val="en-US" w:eastAsia="zh-CN"/>
        </w:rPr>
        <w:t>需按采购文件和投标文件约定投入本项目使用。</w:t>
      </w:r>
    </w:p>
    <w:p w14:paraId="1E86930A">
      <w:pPr>
        <w:spacing w:line="480" w:lineRule="exact"/>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lang w:val="en-US" w:eastAsia="zh-CN"/>
        </w:rPr>
        <w:t>5.1.2智能化物业管理</w:t>
      </w:r>
    </w:p>
    <w:p w14:paraId="3E9EA7CD">
      <w:pPr>
        <w:pStyle w:val="50"/>
        <w:spacing w:before="0" w:after="0" w:line="480" w:lineRule="exact"/>
        <w:ind w:firstLine="420" w:firstLineChars="200"/>
        <w:jc w:val="left"/>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乙方若</w:t>
      </w:r>
      <w:r>
        <w:rPr>
          <w:rFonts w:hint="eastAsia" w:ascii="宋体" w:hAnsi="宋体" w:eastAsia="宋体" w:cs="宋体"/>
          <w:b w:val="0"/>
          <w:bCs w:val="0"/>
          <w:color w:val="auto"/>
          <w:szCs w:val="21"/>
          <w:highlight w:val="none"/>
          <w:lang w:val="en-US" w:eastAsia="zh-CN"/>
        </w:rPr>
        <w:t>具有智能化物业管理软件（提供软件网页截图）。并提供</w:t>
      </w:r>
      <w:r>
        <w:rPr>
          <w:rFonts w:hint="eastAsia" w:ascii="宋体" w:hAnsi="宋体" w:cs="宋体"/>
          <w:b w:val="0"/>
          <w:bCs w:val="0"/>
          <w:color w:val="auto"/>
          <w:szCs w:val="21"/>
          <w:highlight w:val="none"/>
          <w:lang w:val="en-US" w:eastAsia="zh-CN"/>
        </w:rPr>
        <w:t>了</w:t>
      </w:r>
      <w:r>
        <w:rPr>
          <w:rFonts w:hint="eastAsia" w:ascii="宋体" w:hAnsi="宋体" w:eastAsia="宋体" w:cs="宋体"/>
          <w:b w:val="0"/>
          <w:bCs w:val="0"/>
          <w:color w:val="auto"/>
          <w:szCs w:val="21"/>
          <w:highlight w:val="none"/>
          <w:lang w:val="en-US" w:eastAsia="zh-CN"/>
        </w:rPr>
        <w:t>智能化物业管理方案，</w:t>
      </w:r>
      <w:r>
        <w:rPr>
          <w:rFonts w:hint="eastAsia" w:ascii="宋体" w:hAnsi="宋体" w:cs="宋体"/>
          <w:b w:val="0"/>
          <w:bCs w:val="0"/>
          <w:color w:val="auto"/>
          <w:szCs w:val="21"/>
          <w:highlight w:val="none"/>
          <w:lang w:val="en-US" w:eastAsia="zh-CN"/>
        </w:rPr>
        <w:t>需按采购文件和投标文件约定投入本项目使用。若管理软件有用网需求，需提前向采购人审核、报备。智能化物业管理软件须符甲方网络管理、网络安全的相关要求，若发生网络安全、违法违规等相关问题，乙方承担全部责任，甲方有权解除合同。</w:t>
      </w:r>
    </w:p>
    <w:p w14:paraId="191D9B50">
      <w:pPr>
        <w:spacing w:line="480" w:lineRule="exact"/>
        <w:ind w:firstLine="420" w:firstLineChars="200"/>
        <w:rPr>
          <w:rFonts w:hint="eastAsia" w:ascii="宋体" w:hAnsi="宋体" w:eastAsia="宋体" w:cs="宋体"/>
          <w:b w:val="0"/>
          <w:bCs w:val="0"/>
          <w:color w:val="auto"/>
          <w:szCs w:val="21"/>
          <w:highlight w:val="none"/>
          <w:lang w:val="en-US" w:eastAsia="zh-CN"/>
        </w:rPr>
      </w:pPr>
    </w:p>
    <w:p w14:paraId="790B6915">
      <w:pPr>
        <w:spacing w:line="480" w:lineRule="exact"/>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lang w:val="en-US" w:eastAsia="zh-CN"/>
        </w:rPr>
        <w:t>5.2其他管理实施要求</w:t>
      </w:r>
    </w:p>
    <w:p w14:paraId="149D2E95">
      <w:pPr>
        <w:spacing w:line="480" w:lineRule="exact"/>
        <w:ind w:firstLine="420" w:firstLineChars="200"/>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（1）物业公司内部管理机构健全，制度体系完善、人员综合素质和专业能力强。 </w:t>
      </w:r>
    </w:p>
    <w:p w14:paraId="38D7BA65">
      <w:pPr>
        <w:spacing w:line="480" w:lineRule="exact"/>
        <w:ind w:firstLine="420" w:firstLineChars="20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（3）物业公司提供服务的服务人员应具有合法的劳动关系。 </w:t>
      </w:r>
    </w:p>
    <w:p w14:paraId="5DCFF130">
      <w:pPr>
        <w:spacing w:line="480" w:lineRule="exact"/>
        <w:ind w:firstLine="420" w:firstLineChars="20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（4）如遇疫情、自然灾害等不可抗力因素，物业服务公司必须严格按照国家有关要求及标准，及时应对处置相关费用视实际情况据实支付。 </w:t>
      </w:r>
    </w:p>
    <w:p w14:paraId="622228DE">
      <w:pPr>
        <w:spacing w:line="480" w:lineRule="exact"/>
        <w:ind w:firstLine="420" w:firstLineChars="20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（5）“服务要求”中内容与要求，中标者需细化工作台账及痕迹记录，以便业主监督考核。</w:t>
      </w:r>
    </w:p>
    <w:p w14:paraId="271570CF">
      <w:pPr>
        <w:spacing w:line="480" w:lineRule="exact"/>
        <w:ind w:firstLine="420" w:firstLineChars="20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（6）未尽的服务内容及有关事项由双方共同协商，另行约定。 </w:t>
      </w:r>
    </w:p>
    <w:p w14:paraId="3ACD6951">
      <w:pPr>
        <w:keepNext w:val="0"/>
        <w:keepLines w:val="0"/>
        <w:pageBreakBefore w:val="0"/>
        <w:widowControl/>
        <w:kinsoku/>
        <w:wordWrap/>
        <w:overflowPunct/>
        <w:topLinePunct w:val="0"/>
        <w:autoSpaceDE/>
        <w:autoSpaceDN/>
        <w:bidi w:val="0"/>
        <w:adjustRightInd/>
        <w:snapToGrid/>
        <w:spacing w:before="0" w:after="0" w:line="440" w:lineRule="exact"/>
        <w:ind w:firstLine="422" w:firstLineChars="200"/>
        <w:jc w:val="both"/>
        <w:textAlignment w:val="auto"/>
        <w:outlineLvl w:val="1"/>
        <w:rPr>
          <w:rFonts w:hint="eastAsia" w:ascii="宋体" w:hAnsi="宋体" w:eastAsia="宋体" w:cs="宋体"/>
          <w:b/>
          <w:bCs/>
          <w:color w:val="auto"/>
          <w:kern w:val="32"/>
          <w:sz w:val="21"/>
          <w:szCs w:val="21"/>
          <w:highlight w:val="none"/>
          <w:lang w:val="en-US" w:eastAsia="en-US" w:bidi="ar-SA"/>
        </w:rPr>
      </w:pPr>
      <w:r>
        <w:rPr>
          <w:rFonts w:hint="eastAsia" w:ascii="宋体" w:hAnsi="宋体" w:eastAsia="宋体" w:cs="宋体"/>
          <w:b/>
          <w:bCs/>
          <w:color w:val="auto"/>
          <w:kern w:val="36"/>
          <w:sz w:val="21"/>
          <w:szCs w:val="21"/>
          <w:highlight w:val="none"/>
          <w:lang w:val="en-US" w:eastAsia="zh-CN" w:bidi="ar-SA"/>
        </w:rPr>
        <w:t>2.</w:t>
      </w:r>
      <w:r>
        <w:rPr>
          <w:rFonts w:hint="eastAsia" w:ascii="宋体" w:hAnsi="宋体" w:eastAsia="宋体" w:cs="宋体"/>
          <w:b/>
          <w:bCs/>
          <w:color w:val="auto"/>
          <w:kern w:val="36"/>
          <w:sz w:val="21"/>
          <w:szCs w:val="21"/>
          <w:highlight w:val="none"/>
          <w:lang w:val="en-US" w:eastAsia="en-US" w:bidi="ar-SA"/>
        </w:rPr>
        <w:t>6风险管控要求</w:t>
      </w:r>
    </w:p>
    <w:p w14:paraId="32C6A651">
      <w:pPr>
        <w:pStyle w:val="50"/>
        <w:spacing w:line="480" w:lineRule="exact"/>
        <w:ind w:firstLine="420" w:firstLineChars="200"/>
        <w:rPr>
          <w:rFonts w:hint="eastAsia" w:ascii="宋体" w:hAnsi="宋体" w:eastAsia="宋体" w:cs="宋体"/>
          <w:color w:val="auto"/>
          <w:sz w:val="21"/>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治安安全管理。</w:t>
      </w:r>
      <w:r>
        <w:rPr>
          <w:rFonts w:hint="eastAsia" w:ascii="宋体" w:hAnsi="宋体" w:cs="宋体"/>
          <w:color w:val="auto"/>
          <w:szCs w:val="21"/>
          <w:highlight w:val="none"/>
          <w:lang w:eastAsia="zh-CN"/>
        </w:rPr>
        <w:t>乙方</w:t>
      </w:r>
      <w:r>
        <w:rPr>
          <w:rFonts w:hint="eastAsia" w:ascii="宋体" w:hAnsi="宋体" w:eastAsia="宋体" w:cs="宋体"/>
          <w:color w:val="auto"/>
          <w:szCs w:val="21"/>
          <w:highlight w:val="none"/>
        </w:rPr>
        <w:t>须制定完善的物业管理区域治安安全管理制度和巡查巡检方案，做好物业管理区域内的日常秩序维护工作，防范治安事件发生。服务人员须熟练掌握应急预案，遇有突发治安事件能够迅速响应、妥善处置，确保机关办公秩序不受影响。</w:t>
      </w:r>
    </w:p>
    <w:p w14:paraId="64D62F48">
      <w:pPr>
        <w:pStyle w:val="50"/>
        <w:spacing w:line="480" w:lineRule="exact"/>
        <w:ind w:firstLine="420" w:firstLineChars="200"/>
        <w:rPr>
          <w:rFonts w:hint="eastAsia" w:ascii="宋体" w:hAnsi="宋体" w:eastAsia="宋体" w:cs="宋体"/>
          <w:color w:val="auto"/>
          <w:sz w:val="21"/>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消防安全管理。</w:t>
      </w:r>
      <w:r>
        <w:rPr>
          <w:rFonts w:hint="eastAsia" w:ascii="宋体" w:hAnsi="宋体" w:cs="宋体"/>
          <w:color w:val="auto"/>
          <w:szCs w:val="21"/>
          <w:highlight w:val="none"/>
          <w:lang w:eastAsia="zh-CN"/>
        </w:rPr>
        <w:t>乙方</w:t>
      </w:r>
      <w:r>
        <w:rPr>
          <w:rFonts w:hint="eastAsia" w:ascii="宋体" w:hAnsi="宋体" w:eastAsia="宋体" w:cs="宋体"/>
          <w:color w:val="auto"/>
          <w:szCs w:val="21"/>
          <w:highlight w:val="none"/>
        </w:rPr>
        <w:t>须建立健全消防安全管理制度，制定消防应急预案并定期组织演练，明确消防安全责任人、管理人及各岗位人员的消防职责。服务人员须按照</w:t>
      </w:r>
      <w:r>
        <w:rPr>
          <w:rFonts w:hint="eastAsia" w:ascii="宋体" w:hAnsi="宋体" w:cs="宋体"/>
          <w:color w:val="auto"/>
          <w:szCs w:val="21"/>
          <w:highlight w:val="none"/>
          <w:lang w:eastAsia="zh-CN"/>
        </w:rPr>
        <w:t>甲方</w:t>
      </w:r>
      <w:r>
        <w:rPr>
          <w:rFonts w:hint="eastAsia" w:ascii="宋体" w:hAnsi="宋体" w:eastAsia="宋体" w:cs="宋体"/>
          <w:color w:val="auto"/>
          <w:szCs w:val="21"/>
          <w:highlight w:val="none"/>
        </w:rPr>
        <w:t>要求配备</w:t>
      </w:r>
      <w:r>
        <w:rPr>
          <w:rFonts w:hint="eastAsia" w:ascii="宋体" w:hAnsi="宋体" w:cs="宋体"/>
          <w:color w:val="auto"/>
          <w:szCs w:val="21"/>
          <w:highlight w:val="none"/>
          <w:lang w:eastAsia="zh-CN"/>
        </w:rPr>
        <w:t>消防控制室工作人员、</w:t>
      </w:r>
      <w:r>
        <w:rPr>
          <w:rFonts w:hint="eastAsia" w:ascii="宋体" w:hAnsi="宋体" w:eastAsia="宋体" w:cs="宋体"/>
          <w:color w:val="auto"/>
          <w:szCs w:val="21"/>
          <w:highlight w:val="none"/>
        </w:rPr>
        <w:t>消防设备巡检人员和义务消防员，每日对消防通道、灭火器材、应急照明、疏散指示标志等进行检查，确保消防设施完好有效、疏散通道畅通无阻。经检查发现消防隐患的，须立即报告并采取有效措施进行处置。</w:t>
      </w:r>
    </w:p>
    <w:p w14:paraId="49494A97">
      <w:pPr>
        <w:pStyle w:val="50"/>
        <w:spacing w:line="480" w:lineRule="exact"/>
        <w:ind w:firstLine="420" w:firstLineChars="200"/>
        <w:rPr>
          <w:rFonts w:hint="eastAsia" w:ascii="宋体" w:hAnsi="宋体" w:eastAsia="宋体" w:cs="宋体"/>
          <w:color w:val="auto"/>
          <w:sz w:val="21"/>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设施设备安全管理。投标人须建立电梯、供电、供水、供气、空调、消防监控等设施设备的安全管理制度和巡查检查台账，明确巡检频次、检查标准和处置流程。对在检查中发现的设施设备隐患，须及时记录并报告</w:t>
      </w:r>
      <w:r>
        <w:rPr>
          <w:rFonts w:hint="eastAsia" w:ascii="宋体" w:hAnsi="宋体" w:cs="宋体"/>
          <w:color w:val="auto"/>
          <w:szCs w:val="21"/>
          <w:highlight w:val="none"/>
          <w:lang w:eastAsia="zh-CN"/>
        </w:rPr>
        <w:t>甲方</w:t>
      </w:r>
      <w:r>
        <w:rPr>
          <w:rFonts w:hint="eastAsia" w:ascii="宋体" w:hAnsi="宋体" w:eastAsia="宋体" w:cs="宋体"/>
          <w:color w:val="auto"/>
          <w:szCs w:val="21"/>
          <w:highlight w:val="none"/>
        </w:rPr>
        <w:t>，同步组织专业力量进行处理。因</w:t>
      </w:r>
      <w:r>
        <w:rPr>
          <w:rFonts w:hint="eastAsia" w:ascii="宋体" w:hAnsi="宋体" w:cs="宋体"/>
          <w:color w:val="auto"/>
          <w:szCs w:val="21"/>
          <w:highlight w:val="none"/>
          <w:lang w:eastAsia="zh-CN"/>
        </w:rPr>
        <w:t>乙方</w:t>
      </w:r>
      <w:r>
        <w:rPr>
          <w:rFonts w:hint="eastAsia" w:ascii="宋体" w:hAnsi="宋体" w:eastAsia="宋体" w:cs="宋体"/>
          <w:color w:val="auto"/>
          <w:szCs w:val="21"/>
          <w:highlight w:val="none"/>
        </w:rPr>
        <w:t>管理不当导致设施设备损坏或发生安全事故的，由</w:t>
      </w:r>
      <w:r>
        <w:rPr>
          <w:rFonts w:hint="eastAsia" w:ascii="宋体" w:hAnsi="宋体" w:cs="宋体"/>
          <w:color w:val="auto"/>
          <w:szCs w:val="21"/>
          <w:highlight w:val="none"/>
          <w:lang w:eastAsia="zh-CN"/>
        </w:rPr>
        <w:t>乙方</w:t>
      </w:r>
      <w:r>
        <w:rPr>
          <w:rFonts w:hint="eastAsia" w:ascii="宋体" w:hAnsi="宋体" w:eastAsia="宋体" w:cs="宋体"/>
          <w:color w:val="auto"/>
          <w:szCs w:val="21"/>
          <w:highlight w:val="none"/>
        </w:rPr>
        <w:t>承担相应责任。</w:t>
      </w:r>
    </w:p>
    <w:p w14:paraId="6A41AD11">
      <w:pPr>
        <w:pStyle w:val="50"/>
        <w:spacing w:line="480" w:lineRule="exact"/>
        <w:ind w:firstLine="420" w:firstLineChars="200"/>
        <w:rPr>
          <w:rFonts w:hint="eastAsia" w:ascii="宋体" w:hAnsi="宋体" w:eastAsia="宋体" w:cs="宋体"/>
          <w:color w:val="auto"/>
          <w:sz w:val="21"/>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应急管理。</w:t>
      </w:r>
      <w:r>
        <w:rPr>
          <w:rFonts w:hint="eastAsia" w:ascii="宋体" w:hAnsi="宋体" w:cs="宋体"/>
          <w:color w:val="auto"/>
          <w:szCs w:val="21"/>
          <w:highlight w:val="none"/>
          <w:lang w:eastAsia="zh-CN"/>
        </w:rPr>
        <w:t>乙方</w:t>
      </w:r>
      <w:r>
        <w:rPr>
          <w:rFonts w:hint="eastAsia" w:ascii="宋体" w:hAnsi="宋体" w:eastAsia="宋体" w:cs="宋体"/>
          <w:color w:val="auto"/>
          <w:szCs w:val="21"/>
          <w:highlight w:val="none"/>
        </w:rPr>
        <w:t>须制定各类突发事件应急预案（含火灾事故、电梯困人、停电停水、自然灾害、公共卫生事件等），明确应急组织指挥体系、处置流程、资源保障和信息报送渠道。配备满足应急管理需要的物资和器材，每年至少组织两次应急演练，演练记录报</w:t>
      </w:r>
      <w:r>
        <w:rPr>
          <w:rFonts w:hint="eastAsia" w:ascii="宋体" w:hAnsi="宋体" w:cs="宋体"/>
          <w:color w:val="auto"/>
          <w:szCs w:val="21"/>
          <w:highlight w:val="none"/>
          <w:lang w:eastAsia="zh-CN"/>
        </w:rPr>
        <w:t>甲方</w:t>
      </w:r>
      <w:r>
        <w:rPr>
          <w:rFonts w:hint="eastAsia" w:ascii="宋体" w:hAnsi="宋体" w:eastAsia="宋体" w:cs="宋体"/>
          <w:color w:val="auto"/>
          <w:szCs w:val="21"/>
          <w:highlight w:val="none"/>
        </w:rPr>
        <w:t>备案。</w:t>
      </w:r>
    </w:p>
    <w:p w14:paraId="48595BD3">
      <w:pPr>
        <w:keepNext w:val="0"/>
        <w:keepLines w:val="0"/>
        <w:pageBreakBefore w:val="0"/>
        <w:widowControl w:val="0"/>
        <w:tabs>
          <w:tab w:val="left" w:pos="700"/>
        </w:tabs>
        <w:kinsoku/>
        <w:wordWrap/>
        <w:overflowPunct/>
        <w:topLinePunct/>
        <w:autoSpaceDE w:val="0"/>
        <w:autoSpaceDN w:val="0"/>
        <w:bidi w:val="0"/>
        <w:snapToGrid w:val="0"/>
        <w:spacing w:line="440" w:lineRule="exact"/>
        <w:ind w:firstLine="413" w:firstLineChars="196"/>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 合同金额</w:t>
      </w:r>
      <w:bookmarkEnd w:id="113"/>
    </w:p>
    <w:p w14:paraId="44D4A84C">
      <w:pPr>
        <w:keepNext w:val="0"/>
        <w:keepLines w:val="0"/>
        <w:pageBreakBefore w:val="0"/>
        <w:widowControl w:val="0"/>
        <w:tabs>
          <w:tab w:val="left" w:pos="700"/>
        </w:tabs>
        <w:kinsoku/>
        <w:wordWrap/>
        <w:overflowPunct/>
        <w:topLinePunct/>
        <w:autoSpaceDE w:val="0"/>
        <w:autoSpaceDN w:val="0"/>
        <w:bidi w:val="0"/>
        <w:snapToGrid w:val="0"/>
        <w:spacing w:line="440" w:lineRule="exact"/>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本合同金额为人民币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rPr>
        <w:t>元</w:t>
      </w:r>
      <w:r>
        <w:rPr>
          <w:rFonts w:hint="eastAsia" w:ascii="宋体" w:hAnsi="宋体" w:eastAsia="宋体" w:cs="宋体"/>
          <w:color w:val="auto"/>
          <w:sz w:val="21"/>
          <w:szCs w:val="21"/>
          <w:highlight w:val="none"/>
        </w:rPr>
        <w:t>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27FF1E2E">
      <w:pPr>
        <w:keepNext w:val="0"/>
        <w:keepLines w:val="0"/>
        <w:pageBreakBefore w:val="0"/>
        <w:widowControl w:val="0"/>
        <w:tabs>
          <w:tab w:val="left" w:pos="700"/>
        </w:tabs>
        <w:kinsoku/>
        <w:wordWrap/>
        <w:overflowPunct/>
        <w:topLinePunct/>
        <w:autoSpaceDE w:val="0"/>
        <w:autoSpaceDN w:val="0"/>
        <w:bidi w:val="0"/>
        <w:snapToGrid w:val="0"/>
        <w:spacing w:line="440" w:lineRule="exact"/>
        <w:ind w:firstLine="420" w:firstLineChars="20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合同</w:t>
      </w:r>
      <w:r>
        <w:rPr>
          <w:rFonts w:hint="eastAsia" w:ascii="宋体" w:hAnsi="宋体" w:eastAsia="宋体" w:cs="宋体"/>
          <w:color w:val="auto"/>
          <w:sz w:val="21"/>
          <w:szCs w:val="21"/>
          <w:highlight w:val="none"/>
        </w:rPr>
        <w:t>金额包括本服务项目服务期限内完成工作内容所涉及的全部费用</w:t>
      </w:r>
      <w:r>
        <w:rPr>
          <w:rFonts w:hint="eastAsia" w:ascii="宋体" w:hAnsi="宋体" w:eastAsia="宋体" w:cs="宋体"/>
          <w:color w:val="auto"/>
          <w:sz w:val="21"/>
          <w:szCs w:val="21"/>
          <w:highlight w:val="none"/>
          <w:lang w:eastAsia="zh-CN"/>
        </w:rPr>
        <w:t>。</w:t>
      </w:r>
    </w:p>
    <w:p w14:paraId="105F0393">
      <w:pPr>
        <w:keepNext w:val="0"/>
        <w:keepLines w:val="0"/>
        <w:pageBreakBefore w:val="0"/>
        <w:widowControl w:val="0"/>
        <w:numPr>
          <w:ilvl w:val="0"/>
          <w:numId w:val="0"/>
        </w:numPr>
        <w:tabs>
          <w:tab w:val="left" w:pos="700"/>
        </w:tabs>
        <w:kinsoku/>
        <w:wordWrap/>
        <w:overflowPunct/>
        <w:topLinePunct/>
        <w:autoSpaceDE w:val="0"/>
        <w:autoSpaceDN w:val="0"/>
        <w:bidi w:val="0"/>
        <w:snapToGrid w:val="0"/>
        <w:spacing w:line="440" w:lineRule="exact"/>
        <w:ind w:firstLine="422" w:firstLineChars="200"/>
        <w:outlineLvl w:val="9"/>
        <w:rPr>
          <w:rFonts w:hint="eastAsia" w:ascii="宋体" w:hAnsi="宋体" w:eastAsia="宋体" w:cs="宋体"/>
          <w:b/>
          <w:color w:val="auto"/>
          <w:sz w:val="21"/>
          <w:szCs w:val="21"/>
          <w:highlight w:val="none"/>
        </w:rPr>
      </w:pPr>
      <w:bookmarkStart w:id="114" w:name="_Toc15486"/>
      <w:r>
        <w:rPr>
          <w:rFonts w:hint="eastAsia" w:ascii="宋体" w:hAnsi="宋体" w:eastAsia="宋体" w:cs="宋体"/>
          <w:b/>
          <w:color w:val="auto"/>
          <w:sz w:val="21"/>
          <w:szCs w:val="21"/>
          <w:highlight w:val="none"/>
          <w:lang w:val="en"/>
        </w:rPr>
        <w:t>4.</w:t>
      </w:r>
      <w:r>
        <w:rPr>
          <w:rFonts w:hint="eastAsia" w:ascii="宋体" w:hAnsi="宋体" w:eastAsia="宋体" w:cs="宋体"/>
          <w:b/>
          <w:color w:val="auto"/>
          <w:sz w:val="21"/>
          <w:szCs w:val="21"/>
          <w:highlight w:val="none"/>
        </w:rPr>
        <w:t>付款条件</w:t>
      </w:r>
      <w:bookmarkEnd w:id="114"/>
    </w:p>
    <w:tbl>
      <w:tblPr>
        <w:tblStyle w:val="25"/>
        <w:tblW w:w="5000" w:type="pct"/>
        <w:tblInd w:w="30" w:type="dxa"/>
        <w:tblLayout w:type="autofit"/>
        <w:tblCellMar>
          <w:top w:w="15" w:type="dxa"/>
          <w:left w:w="15" w:type="dxa"/>
          <w:bottom w:w="15" w:type="dxa"/>
          <w:right w:w="15" w:type="dxa"/>
        </w:tblCellMar>
      </w:tblPr>
      <w:tblGrid>
        <w:gridCol w:w="1272"/>
        <w:gridCol w:w="6089"/>
        <w:gridCol w:w="1303"/>
      </w:tblGrid>
      <w:tr w14:paraId="2BBF7268">
        <w:tblPrEx>
          <w:tblCellMar>
            <w:top w:w="15" w:type="dxa"/>
            <w:left w:w="15" w:type="dxa"/>
            <w:bottom w:w="15" w:type="dxa"/>
            <w:right w:w="15" w:type="dxa"/>
          </w:tblCellMar>
        </w:tblPrEx>
        <w:tc>
          <w:tcPr>
            <w:tcW w:w="734"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148A7A89">
            <w:pPr>
              <w:spacing w:line="480" w:lineRule="exact"/>
              <w:jc w:val="left"/>
              <w:rPr>
                <w:rFonts w:hint="eastAsia" w:ascii="宋体" w:hAnsi="宋体" w:eastAsia="宋体" w:cs="宋体"/>
                <w:b/>
                <w:bCs/>
                <w:i w:val="0"/>
                <w:iCs w:val="0"/>
                <w:smallCaps w:val="0"/>
                <w:color w:val="auto"/>
                <w:sz w:val="21"/>
                <w:szCs w:val="21"/>
                <w:highlight w:val="none"/>
              </w:rPr>
            </w:pPr>
            <w:bookmarkStart w:id="115" w:name="_Toc20218"/>
            <w:r>
              <w:rPr>
                <w:rFonts w:hint="eastAsia" w:ascii="宋体" w:hAnsi="宋体" w:eastAsia="宋体" w:cs="宋体"/>
                <w:b/>
                <w:bCs/>
                <w:i w:val="0"/>
                <w:iCs w:val="0"/>
                <w:smallCaps w:val="0"/>
                <w:color w:val="auto"/>
                <w:sz w:val="21"/>
                <w:szCs w:val="21"/>
                <w:highlight w:val="none"/>
              </w:rPr>
              <w:t>付款名称</w:t>
            </w:r>
          </w:p>
        </w:tc>
        <w:tc>
          <w:tcPr>
            <w:tcW w:w="3513"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00810C6B">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付款要求</w:t>
            </w:r>
          </w:p>
        </w:tc>
        <w:tc>
          <w:tcPr>
            <w:tcW w:w="751"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F6FFDF8">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付款比例(%)</w:t>
            </w:r>
          </w:p>
        </w:tc>
      </w:tr>
      <w:tr w14:paraId="0434E886">
        <w:tblPrEx>
          <w:tblCellMar>
            <w:top w:w="15" w:type="dxa"/>
            <w:left w:w="15" w:type="dxa"/>
            <w:bottom w:w="15" w:type="dxa"/>
            <w:right w:w="15" w:type="dxa"/>
          </w:tblCellMar>
        </w:tblPrEx>
        <w:tc>
          <w:tcPr>
            <w:tcW w:w="73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38A0C7F">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第1</w:t>
            </w:r>
            <w:r>
              <w:rPr>
                <w:rFonts w:hint="eastAsia" w:ascii="宋体" w:hAnsi="宋体" w:cs="宋体"/>
                <w:b w:val="0"/>
                <w:bCs w:val="0"/>
                <w:i w:val="0"/>
                <w:iCs w:val="0"/>
                <w:smallCaps w:val="0"/>
                <w:color w:val="auto"/>
                <w:sz w:val="21"/>
                <w:szCs w:val="21"/>
                <w:highlight w:val="none"/>
                <w:lang w:val="en-US" w:eastAsia="zh-CN"/>
              </w:rPr>
              <w:t>-12</w:t>
            </w:r>
            <w:r>
              <w:rPr>
                <w:rFonts w:hint="eastAsia" w:ascii="宋体" w:hAnsi="宋体" w:eastAsia="宋体" w:cs="宋体"/>
                <w:b w:val="0"/>
                <w:bCs w:val="0"/>
                <w:i w:val="0"/>
                <w:iCs w:val="0"/>
                <w:smallCaps w:val="0"/>
                <w:color w:val="auto"/>
                <w:sz w:val="21"/>
                <w:szCs w:val="21"/>
                <w:highlight w:val="none"/>
              </w:rPr>
              <w:t>次付款</w:t>
            </w:r>
          </w:p>
        </w:tc>
        <w:tc>
          <w:tcPr>
            <w:tcW w:w="351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CFA81C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1、付款方式按月度支付。物业管理服务费按月支付，当月支付上月考核后实际应付的物业管理费。</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2、</w:t>
            </w:r>
            <w:r>
              <w:rPr>
                <w:rFonts w:hint="eastAsia" w:ascii="宋体" w:hAnsi="宋体" w:cs="宋体"/>
                <w:b w:val="0"/>
                <w:bCs w:val="0"/>
                <w:i w:val="0"/>
                <w:iCs w:val="0"/>
                <w:smallCaps w:val="0"/>
                <w:color w:val="auto"/>
                <w:sz w:val="21"/>
                <w:szCs w:val="21"/>
                <w:highlight w:val="none"/>
                <w:lang w:eastAsia="zh-CN"/>
              </w:rPr>
              <w:t>甲方</w:t>
            </w:r>
            <w:r>
              <w:rPr>
                <w:rFonts w:hint="eastAsia" w:ascii="宋体" w:hAnsi="宋体" w:eastAsia="宋体" w:cs="宋体"/>
                <w:b w:val="0"/>
                <w:bCs w:val="0"/>
                <w:i w:val="0"/>
                <w:iCs w:val="0"/>
                <w:smallCaps w:val="0"/>
                <w:color w:val="auto"/>
                <w:sz w:val="21"/>
                <w:szCs w:val="21"/>
                <w:highlight w:val="none"/>
              </w:rPr>
              <w:t>收到</w:t>
            </w:r>
            <w:r>
              <w:rPr>
                <w:rFonts w:hint="eastAsia" w:ascii="宋体" w:hAnsi="宋体" w:cs="宋体"/>
                <w:b w:val="0"/>
                <w:bCs w:val="0"/>
                <w:i w:val="0"/>
                <w:iCs w:val="0"/>
                <w:smallCaps w:val="0"/>
                <w:color w:val="auto"/>
                <w:sz w:val="21"/>
                <w:szCs w:val="21"/>
                <w:highlight w:val="none"/>
                <w:lang w:eastAsia="zh-CN"/>
              </w:rPr>
              <w:t>乙方</w:t>
            </w:r>
            <w:r>
              <w:rPr>
                <w:rFonts w:hint="eastAsia" w:ascii="宋体" w:hAnsi="宋体" w:eastAsia="宋体" w:cs="宋体"/>
                <w:b w:val="0"/>
                <w:bCs w:val="0"/>
                <w:i w:val="0"/>
                <w:iCs w:val="0"/>
                <w:smallCaps w:val="0"/>
                <w:color w:val="auto"/>
                <w:sz w:val="21"/>
                <w:szCs w:val="21"/>
                <w:highlight w:val="none"/>
              </w:rPr>
              <w:t>提供的正规等额发票后，</w:t>
            </w:r>
            <w:r>
              <w:rPr>
                <w:rFonts w:hint="eastAsia" w:ascii="宋体" w:hAnsi="宋体" w:cs="宋体"/>
                <w:b w:val="0"/>
                <w:bCs w:val="0"/>
                <w:i w:val="0"/>
                <w:iCs w:val="0"/>
                <w:smallCaps w:val="0"/>
                <w:color w:val="auto"/>
                <w:sz w:val="21"/>
                <w:szCs w:val="21"/>
                <w:highlight w:val="none"/>
                <w:lang w:eastAsia="zh-CN"/>
              </w:rPr>
              <w:t>甲方</w:t>
            </w:r>
            <w:r>
              <w:rPr>
                <w:rFonts w:hint="eastAsia" w:ascii="宋体" w:hAnsi="宋体" w:eastAsia="宋体" w:cs="宋体"/>
                <w:b w:val="0"/>
                <w:bCs w:val="0"/>
                <w:i w:val="0"/>
                <w:iCs w:val="0"/>
                <w:smallCaps w:val="0"/>
                <w:color w:val="auto"/>
                <w:sz w:val="21"/>
                <w:szCs w:val="21"/>
                <w:highlight w:val="none"/>
              </w:rPr>
              <w:t>在15个工作日内，向</w:t>
            </w:r>
            <w:r>
              <w:rPr>
                <w:rFonts w:hint="eastAsia" w:ascii="宋体" w:hAnsi="宋体" w:cs="宋体"/>
                <w:b w:val="0"/>
                <w:bCs w:val="0"/>
                <w:i w:val="0"/>
                <w:iCs w:val="0"/>
                <w:smallCaps w:val="0"/>
                <w:color w:val="auto"/>
                <w:sz w:val="21"/>
                <w:szCs w:val="21"/>
                <w:highlight w:val="none"/>
                <w:lang w:eastAsia="zh-CN"/>
              </w:rPr>
              <w:t>乙方</w:t>
            </w:r>
            <w:r>
              <w:rPr>
                <w:rFonts w:hint="eastAsia" w:ascii="宋体" w:hAnsi="宋体" w:eastAsia="宋体" w:cs="宋体"/>
                <w:b w:val="0"/>
                <w:bCs w:val="0"/>
                <w:i w:val="0"/>
                <w:iCs w:val="0"/>
                <w:smallCaps w:val="0"/>
                <w:color w:val="auto"/>
                <w:sz w:val="21"/>
                <w:szCs w:val="21"/>
                <w:highlight w:val="none"/>
              </w:rPr>
              <w:t>提供的银行和账号支付物业管理服务费。</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如果</w:t>
            </w:r>
            <w:r>
              <w:rPr>
                <w:rFonts w:hint="eastAsia" w:ascii="宋体" w:hAnsi="宋体" w:cs="宋体"/>
                <w:b w:val="0"/>
                <w:bCs w:val="0"/>
                <w:i w:val="0"/>
                <w:iCs w:val="0"/>
                <w:smallCaps w:val="0"/>
                <w:color w:val="auto"/>
                <w:sz w:val="21"/>
                <w:szCs w:val="21"/>
                <w:highlight w:val="none"/>
                <w:lang w:eastAsia="zh-CN"/>
              </w:rPr>
              <w:t>乙方</w:t>
            </w:r>
            <w:r>
              <w:rPr>
                <w:rFonts w:hint="eastAsia" w:ascii="宋体" w:hAnsi="宋体" w:eastAsia="宋体" w:cs="宋体"/>
                <w:b w:val="0"/>
                <w:bCs w:val="0"/>
                <w:i w:val="0"/>
                <w:iCs w:val="0"/>
                <w:smallCaps w:val="0"/>
                <w:color w:val="auto"/>
                <w:sz w:val="21"/>
                <w:szCs w:val="21"/>
                <w:highlight w:val="none"/>
              </w:rPr>
              <w:t>未达到所承诺及合同约定的服务标准，</w:t>
            </w:r>
            <w:r>
              <w:rPr>
                <w:rFonts w:hint="eastAsia" w:ascii="宋体" w:hAnsi="宋体" w:cs="宋体"/>
                <w:b w:val="0"/>
                <w:bCs w:val="0"/>
                <w:i w:val="0"/>
                <w:iCs w:val="0"/>
                <w:smallCaps w:val="0"/>
                <w:color w:val="auto"/>
                <w:sz w:val="21"/>
                <w:szCs w:val="21"/>
                <w:highlight w:val="none"/>
                <w:lang w:eastAsia="zh-CN"/>
              </w:rPr>
              <w:t>甲方</w:t>
            </w:r>
            <w:r>
              <w:rPr>
                <w:rFonts w:hint="eastAsia" w:ascii="宋体" w:hAnsi="宋体" w:eastAsia="宋体" w:cs="宋体"/>
                <w:b w:val="0"/>
                <w:bCs w:val="0"/>
                <w:i w:val="0"/>
                <w:iCs w:val="0"/>
                <w:smallCaps w:val="0"/>
                <w:color w:val="auto"/>
                <w:sz w:val="21"/>
                <w:szCs w:val="21"/>
                <w:highlight w:val="none"/>
              </w:rPr>
              <w:t>有权根据考核结果扣减相应物业费并延迟支付费用</w:t>
            </w:r>
            <w:r>
              <w:rPr>
                <w:rFonts w:hint="eastAsia" w:ascii="宋体" w:hAnsi="宋体" w:cs="宋体"/>
                <w:b w:val="0"/>
                <w:bCs w:val="0"/>
                <w:i w:val="0"/>
                <w:iCs w:val="0"/>
                <w:smallCaps w:val="0"/>
                <w:color w:val="auto"/>
                <w:sz w:val="21"/>
                <w:szCs w:val="21"/>
                <w:highlight w:val="none"/>
                <w:lang w:eastAsia="zh-CN"/>
              </w:rPr>
              <w:t>直至供应商解决相应问题</w:t>
            </w:r>
            <w:r>
              <w:rPr>
                <w:rFonts w:hint="eastAsia" w:ascii="宋体" w:hAnsi="宋体" w:eastAsia="宋体" w:cs="宋体"/>
                <w:b w:val="0"/>
                <w:bCs w:val="0"/>
                <w:i w:val="0"/>
                <w:iCs w:val="0"/>
                <w:smallCaps w:val="0"/>
                <w:color w:val="auto"/>
                <w:sz w:val="21"/>
                <w:szCs w:val="21"/>
                <w:highlight w:val="none"/>
              </w:rPr>
              <w:t>（考核标准详见合同附件《考核管理办法》）。</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付款提示：在达到约定的</w:t>
            </w:r>
            <w:r>
              <w:rPr>
                <w:rFonts w:hint="eastAsia" w:ascii="宋体" w:hAnsi="宋体" w:cs="宋体"/>
                <w:b w:val="0"/>
                <w:bCs w:val="0"/>
                <w:i w:val="0"/>
                <w:iCs w:val="0"/>
                <w:smallCaps w:val="0"/>
                <w:color w:val="auto"/>
                <w:sz w:val="21"/>
                <w:szCs w:val="21"/>
                <w:highlight w:val="none"/>
                <w:lang w:eastAsia="zh-CN"/>
              </w:rPr>
              <w:t>甲方</w:t>
            </w:r>
            <w:r>
              <w:rPr>
                <w:rFonts w:hint="eastAsia" w:ascii="宋体" w:hAnsi="宋体" w:eastAsia="宋体" w:cs="宋体"/>
                <w:b w:val="0"/>
                <w:bCs w:val="0"/>
                <w:i w:val="0"/>
                <w:iCs w:val="0"/>
                <w:smallCaps w:val="0"/>
                <w:color w:val="auto"/>
                <w:sz w:val="21"/>
                <w:szCs w:val="21"/>
                <w:highlight w:val="none"/>
              </w:rPr>
              <w:t>付款进度时，</w:t>
            </w:r>
            <w:r>
              <w:rPr>
                <w:rFonts w:hint="eastAsia" w:ascii="宋体" w:hAnsi="宋体" w:cs="宋体"/>
                <w:b w:val="0"/>
                <w:bCs w:val="0"/>
                <w:i w:val="0"/>
                <w:iCs w:val="0"/>
                <w:smallCaps w:val="0"/>
                <w:color w:val="auto"/>
                <w:sz w:val="21"/>
                <w:szCs w:val="21"/>
                <w:highlight w:val="none"/>
                <w:lang w:eastAsia="zh-CN"/>
              </w:rPr>
              <w:t>乙方</w:t>
            </w:r>
            <w:r>
              <w:rPr>
                <w:rFonts w:hint="eastAsia" w:ascii="宋体" w:hAnsi="宋体" w:eastAsia="宋体" w:cs="宋体"/>
                <w:b w:val="0"/>
                <w:bCs w:val="0"/>
                <w:i w:val="0"/>
                <w:iCs w:val="0"/>
                <w:smallCaps w:val="0"/>
                <w:color w:val="auto"/>
                <w:sz w:val="21"/>
                <w:szCs w:val="21"/>
                <w:highlight w:val="none"/>
              </w:rPr>
              <w:t>应提前向</w:t>
            </w:r>
            <w:r>
              <w:rPr>
                <w:rFonts w:hint="eastAsia" w:ascii="宋体" w:hAnsi="宋体" w:cs="宋体"/>
                <w:b w:val="0"/>
                <w:bCs w:val="0"/>
                <w:i w:val="0"/>
                <w:iCs w:val="0"/>
                <w:smallCaps w:val="0"/>
                <w:color w:val="auto"/>
                <w:sz w:val="21"/>
                <w:szCs w:val="21"/>
                <w:highlight w:val="none"/>
                <w:lang w:eastAsia="zh-CN"/>
              </w:rPr>
              <w:t>甲方</w:t>
            </w:r>
            <w:r>
              <w:rPr>
                <w:rFonts w:hint="eastAsia" w:ascii="宋体" w:hAnsi="宋体" w:eastAsia="宋体" w:cs="宋体"/>
                <w:b w:val="0"/>
                <w:bCs w:val="0"/>
                <w:i w:val="0"/>
                <w:iCs w:val="0"/>
                <w:smallCaps w:val="0"/>
                <w:color w:val="auto"/>
                <w:sz w:val="21"/>
                <w:szCs w:val="21"/>
                <w:highlight w:val="none"/>
              </w:rPr>
              <w:t>发出提示付款的书面通知和依法开具的正式、有效发票。</w:t>
            </w:r>
          </w:p>
        </w:tc>
        <w:tc>
          <w:tcPr>
            <w:tcW w:w="75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0E450FC">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8.33</w:t>
            </w:r>
          </w:p>
        </w:tc>
      </w:tr>
    </w:tbl>
    <w:p w14:paraId="59C7CCF0">
      <w:pPr>
        <w:keepNext w:val="0"/>
        <w:keepLines w:val="0"/>
        <w:pageBreakBefore w:val="0"/>
        <w:widowControl w:val="0"/>
        <w:kinsoku/>
        <w:wordWrap/>
        <w:overflowPunct/>
        <w:topLinePunct/>
        <w:autoSpaceDE w:val="0"/>
        <w:autoSpaceDN w:val="0"/>
        <w:bidi w:val="0"/>
        <w:snapToGrid w:val="0"/>
        <w:spacing w:line="440" w:lineRule="exact"/>
        <w:ind w:left="482"/>
        <w:outlineLvl w:val="9"/>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5. 合同签订</w:t>
      </w:r>
      <w:r>
        <w:rPr>
          <w:rFonts w:hint="eastAsia" w:ascii="宋体" w:hAnsi="宋体" w:eastAsia="宋体" w:cs="宋体"/>
          <w:b/>
          <w:color w:val="auto"/>
          <w:sz w:val="21"/>
          <w:szCs w:val="21"/>
          <w:highlight w:val="none"/>
          <w:lang w:eastAsia="zh-CN"/>
        </w:rPr>
        <w:t>及生效</w:t>
      </w:r>
      <w:bookmarkEnd w:id="115"/>
    </w:p>
    <w:p w14:paraId="3549A93C">
      <w:pPr>
        <w:pStyle w:val="35"/>
        <w:keepNext w:val="0"/>
        <w:keepLines w:val="0"/>
        <w:pageBreakBefore w:val="0"/>
        <w:widowControl w:val="0"/>
        <w:numPr>
          <w:ilvl w:val="0"/>
          <w:numId w:val="0"/>
        </w:numPr>
        <w:tabs>
          <w:tab w:val="left" w:pos="840"/>
        </w:tabs>
        <w:kinsoku/>
        <w:wordWrap/>
        <w:overflowPunct/>
        <w:bidi w:val="0"/>
        <w:snapToGrid w:val="0"/>
        <w:spacing w:line="440" w:lineRule="exact"/>
        <w:ind w:firstLine="420" w:firstLineChars="200"/>
        <w:jc w:val="both"/>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本合同一式</w:t>
      </w:r>
      <w:r>
        <w:rPr>
          <w:rFonts w:hint="eastAsia" w:ascii="宋体" w:hAnsi="宋体" w:eastAsia="宋体" w:cs="宋体"/>
          <w:color w:val="auto"/>
          <w:sz w:val="21"/>
          <w:szCs w:val="21"/>
          <w:highlight w:val="none"/>
          <w:u w:val="single"/>
          <w:lang w:val="en"/>
        </w:rPr>
        <w:t xml:space="preserve">   </w:t>
      </w:r>
      <w:r>
        <w:rPr>
          <w:rFonts w:hint="eastAsia" w:ascii="宋体" w:hAnsi="宋体" w:eastAsia="宋体" w:cs="宋体"/>
          <w:color w:val="auto"/>
          <w:sz w:val="21"/>
          <w:szCs w:val="21"/>
          <w:highlight w:val="none"/>
        </w:rPr>
        <w:t>份</w:t>
      </w:r>
      <w:r>
        <w:rPr>
          <w:rFonts w:hint="eastAsia" w:ascii="宋体" w:hAnsi="宋体" w:eastAsia="宋体" w:cs="宋体"/>
          <w:color w:val="auto"/>
          <w:sz w:val="21"/>
          <w:szCs w:val="21"/>
          <w:highlight w:val="none"/>
          <w:lang w:eastAsia="zh-CN"/>
        </w:rPr>
        <w:t>，甲方持</w:t>
      </w:r>
      <w:r>
        <w:rPr>
          <w:rFonts w:hint="eastAsia" w:ascii="宋体" w:hAnsi="宋体" w:eastAsia="宋体" w:cs="宋体"/>
          <w:color w:val="auto"/>
          <w:sz w:val="21"/>
          <w:szCs w:val="21"/>
          <w:highlight w:val="none"/>
          <w:u w:val="single"/>
          <w:lang w:val="en"/>
        </w:rPr>
        <w:t xml:space="preserve">   </w:t>
      </w:r>
      <w:r>
        <w:rPr>
          <w:rFonts w:hint="eastAsia" w:ascii="宋体" w:hAnsi="宋体" w:eastAsia="宋体" w:cs="宋体"/>
          <w:color w:val="auto"/>
          <w:sz w:val="21"/>
          <w:szCs w:val="21"/>
          <w:highlight w:val="none"/>
        </w:rPr>
        <w:t>份</w:t>
      </w:r>
      <w:r>
        <w:rPr>
          <w:rFonts w:hint="eastAsia" w:ascii="宋体" w:hAnsi="宋体" w:eastAsia="宋体" w:cs="宋体"/>
          <w:color w:val="auto"/>
          <w:sz w:val="21"/>
          <w:szCs w:val="21"/>
          <w:highlight w:val="none"/>
          <w:lang w:eastAsia="zh-CN"/>
        </w:rPr>
        <w:t>，乙方持</w:t>
      </w:r>
      <w:r>
        <w:rPr>
          <w:rFonts w:hint="eastAsia" w:ascii="宋体" w:hAnsi="宋体" w:eastAsia="宋体" w:cs="宋体"/>
          <w:color w:val="auto"/>
          <w:sz w:val="21"/>
          <w:szCs w:val="21"/>
          <w:highlight w:val="none"/>
          <w:u w:val="single"/>
          <w:lang w:val="en"/>
        </w:rPr>
        <w:t xml:space="preserve">   </w:t>
      </w:r>
      <w:r>
        <w:rPr>
          <w:rFonts w:hint="eastAsia" w:ascii="宋体" w:hAnsi="宋体" w:eastAsia="宋体" w:cs="宋体"/>
          <w:color w:val="auto"/>
          <w:sz w:val="21"/>
          <w:szCs w:val="21"/>
          <w:highlight w:val="none"/>
        </w:rPr>
        <w:t>份由甲乙双方</w:t>
      </w:r>
      <w:r>
        <w:rPr>
          <w:rFonts w:hint="eastAsia" w:ascii="宋体" w:hAnsi="宋体" w:eastAsia="宋体" w:cs="宋体"/>
          <w:color w:val="auto"/>
          <w:sz w:val="21"/>
          <w:szCs w:val="21"/>
          <w:highlight w:val="none"/>
          <w:lang w:eastAsia="zh-CN"/>
        </w:rPr>
        <w:t>法定代表人或被</w:t>
      </w:r>
      <w:r>
        <w:rPr>
          <w:rFonts w:hint="eastAsia" w:ascii="宋体" w:hAnsi="宋体" w:eastAsia="宋体" w:cs="宋体"/>
          <w:color w:val="auto"/>
          <w:sz w:val="21"/>
          <w:szCs w:val="21"/>
          <w:highlight w:val="none"/>
        </w:rPr>
        <w:t>授权</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签字</w:t>
      </w:r>
      <w:r>
        <w:rPr>
          <w:rFonts w:hint="eastAsia" w:ascii="宋体" w:hAnsi="宋体" w:eastAsia="宋体" w:cs="宋体"/>
          <w:color w:val="auto"/>
          <w:sz w:val="21"/>
          <w:szCs w:val="21"/>
          <w:highlight w:val="none"/>
          <w:lang w:eastAsia="zh-CN"/>
        </w:rPr>
        <w:t>并</w:t>
      </w:r>
      <w:r>
        <w:rPr>
          <w:rFonts w:hint="eastAsia" w:ascii="宋体" w:hAnsi="宋体" w:eastAsia="宋体" w:cs="宋体"/>
          <w:color w:val="auto"/>
          <w:sz w:val="21"/>
          <w:szCs w:val="21"/>
          <w:highlight w:val="none"/>
        </w:rPr>
        <w:t>盖章</w:t>
      </w:r>
      <w:r>
        <w:rPr>
          <w:rFonts w:hint="eastAsia" w:ascii="宋体" w:hAnsi="宋体" w:eastAsia="宋体" w:cs="宋体"/>
          <w:color w:val="auto"/>
          <w:sz w:val="21"/>
          <w:szCs w:val="21"/>
          <w:highlight w:val="none"/>
          <w:lang w:eastAsia="zh-CN"/>
        </w:rPr>
        <w:t>后生效。</w:t>
      </w:r>
    </w:p>
    <w:p w14:paraId="704D7887">
      <w:pPr>
        <w:pStyle w:val="35"/>
        <w:keepNext w:val="0"/>
        <w:keepLines w:val="0"/>
        <w:pageBreakBefore w:val="0"/>
        <w:widowControl w:val="0"/>
        <w:numPr>
          <w:ilvl w:val="0"/>
          <w:numId w:val="0"/>
        </w:numPr>
        <w:tabs>
          <w:tab w:val="left" w:pos="840"/>
        </w:tabs>
        <w:kinsoku/>
        <w:wordWrap/>
        <w:overflowPunct/>
        <w:bidi w:val="0"/>
        <w:snapToGrid w:val="0"/>
        <w:spacing w:line="440" w:lineRule="exact"/>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乙方由</w:t>
      </w:r>
      <w:r>
        <w:rPr>
          <w:rFonts w:hint="eastAsia" w:ascii="宋体" w:hAnsi="宋体" w:eastAsia="宋体" w:cs="宋体"/>
          <w:color w:val="auto"/>
          <w:sz w:val="21"/>
          <w:szCs w:val="21"/>
          <w:highlight w:val="none"/>
          <w:lang w:eastAsia="zh-CN"/>
        </w:rPr>
        <w:t>法定代表人</w:t>
      </w:r>
      <w:r>
        <w:rPr>
          <w:rFonts w:hint="eastAsia" w:ascii="宋体" w:hAnsi="宋体" w:eastAsia="宋体" w:cs="宋体"/>
          <w:color w:val="auto"/>
          <w:sz w:val="21"/>
          <w:szCs w:val="21"/>
          <w:highlight w:val="none"/>
        </w:rPr>
        <w:t>签订合同的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应提供</w:t>
      </w:r>
      <w:r>
        <w:rPr>
          <w:rFonts w:hint="eastAsia" w:ascii="宋体" w:hAnsi="宋体" w:eastAsia="宋体" w:cs="宋体"/>
          <w:color w:val="auto"/>
          <w:sz w:val="21"/>
          <w:szCs w:val="21"/>
          <w:highlight w:val="none"/>
          <w:lang w:eastAsia="zh-CN"/>
        </w:rPr>
        <w:t>法定代表人</w:t>
      </w:r>
      <w:r>
        <w:rPr>
          <w:rFonts w:hint="eastAsia" w:ascii="宋体" w:hAnsi="宋体" w:eastAsia="宋体" w:cs="宋体"/>
          <w:color w:val="auto"/>
          <w:sz w:val="21"/>
          <w:szCs w:val="21"/>
          <w:highlight w:val="none"/>
        </w:rPr>
        <w:t>身份证复印件；乙方由</w:t>
      </w:r>
      <w:r>
        <w:rPr>
          <w:rFonts w:hint="eastAsia" w:ascii="宋体" w:hAnsi="宋体" w:eastAsia="宋体" w:cs="宋体"/>
          <w:color w:val="auto"/>
          <w:sz w:val="21"/>
          <w:szCs w:val="21"/>
          <w:highlight w:val="none"/>
          <w:lang w:eastAsia="zh-CN"/>
        </w:rPr>
        <w:t>被</w:t>
      </w:r>
      <w:r>
        <w:rPr>
          <w:rFonts w:hint="eastAsia" w:ascii="宋体" w:hAnsi="宋体" w:eastAsia="宋体" w:cs="宋体"/>
          <w:color w:val="auto"/>
          <w:sz w:val="21"/>
          <w:szCs w:val="21"/>
          <w:highlight w:val="none"/>
        </w:rPr>
        <w:t>授权</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签订合同的</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提供授权</w:t>
      </w:r>
      <w:r>
        <w:rPr>
          <w:rFonts w:hint="eastAsia" w:ascii="宋体" w:hAnsi="宋体" w:eastAsia="宋体" w:cs="宋体"/>
          <w:color w:val="auto"/>
          <w:sz w:val="21"/>
          <w:szCs w:val="21"/>
          <w:highlight w:val="none"/>
          <w:lang w:eastAsia="zh-CN"/>
        </w:rPr>
        <w:t>委托</w:t>
      </w:r>
      <w:r>
        <w:rPr>
          <w:rFonts w:hint="eastAsia" w:ascii="宋体" w:hAnsi="宋体" w:eastAsia="宋体" w:cs="宋体"/>
          <w:color w:val="auto"/>
          <w:sz w:val="21"/>
          <w:szCs w:val="21"/>
          <w:highlight w:val="none"/>
        </w:rPr>
        <w:t>书和</w:t>
      </w:r>
      <w:r>
        <w:rPr>
          <w:rFonts w:hint="eastAsia" w:ascii="宋体" w:hAnsi="宋体" w:eastAsia="宋体" w:cs="宋体"/>
          <w:color w:val="auto"/>
          <w:sz w:val="21"/>
          <w:szCs w:val="21"/>
          <w:highlight w:val="none"/>
          <w:lang w:eastAsia="zh-CN"/>
        </w:rPr>
        <w:t>法定代表人及被</w:t>
      </w:r>
      <w:r>
        <w:rPr>
          <w:rFonts w:hint="eastAsia" w:ascii="宋体" w:hAnsi="宋体" w:eastAsia="宋体" w:cs="宋体"/>
          <w:color w:val="auto"/>
          <w:sz w:val="21"/>
          <w:szCs w:val="21"/>
          <w:highlight w:val="none"/>
        </w:rPr>
        <w:t>授权</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身份证复印件。</w:t>
      </w:r>
    </w:p>
    <w:tbl>
      <w:tblPr>
        <w:tblStyle w:val="25"/>
        <w:tblW w:w="5069"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13"/>
        <w:gridCol w:w="2183"/>
        <w:gridCol w:w="2500"/>
        <w:gridCol w:w="2262"/>
      </w:tblGrid>
      <w:tr w14:paraId="6FCDCC0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08" w:hRule="atLeast"/>
        </w:trPr>
        <w:tc>
          <w:tcPr>
            <w:tcW w:w="2342" w:type="pct"/>
            <w:gridSpan w:val="2"/>
            <w:tcBorders>
              <w:bottom w:val="single" w:color="auto" w:sz="2" w:space="0"/>
              <w:right w:val="single" w:color="auto" w:sz="2" w:space="0"/>
            </w:tcBorders>
            <w:vAlign w:val="center"/>
          </w:tcPr>
          <w:p w14:paraId="48C81AC7">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r>
              <w:rPr>
                <w:rFonts w:hint="eastAsia" w:ascii="宋体" w:hAnsi="宋体" w:cs="宋体"/>
                <w:color w:val="auto"/>
                <w:sz w:val="21"/>
                <w:szCs w:val="21"/>
                <w:highlight w:val="none"/>
                <w:lang w:eastAsia="zh-CN"/>
              </w:rPr>
              <w:t>甲方</w:t>
            </w:r>
            <w:r>
              <w:rPr>
                <w:rFonts w:hint="eastAsia" w:ascii="宋体" w:hAnsi="宋体" w:eastAsia="宋体" w:cs="宋体"/>
                <w:color w:val="auto"/>
                <w:sz w:val="21"/>
                <w:szCs w:val="21"/>
                <w:highlight w:val="none"/>
                <w:lang w:eastAsia="zh-CN"/>
              </w:rPr>
              <w:t>、受</w:t>
            </w:r>
            <w:r>
              <w:rPr>
                <w:rFonts w:hint="eastAsia" w:ascii="宋体" w:hAnsi="宋体" w:cs="宋体"/>
                <w:color w:val="auto"/>
                <w:sz w:val="21"/>
                <w:szCs w:val="21"/>
                <w:highlight w:val="none"/>
                <w:lang w:eastAsia="zh-CN"/>
              </w:rPr>
              <w:t>采购人</w:t>
            </w:r>
            <w:r>
              <w:rPr>
                <w:rFonts w:hint="eastAsia" w:ascii="宋体" w:hAnsi="宋体" w:eastAsia="宋体" w:cs="宋体"/>
                <w:color w:val="auto"/>
                <w:sz w:val="21"/>
                <w:szCs w:val="21"/>
                <w:highlight w:val="none"/>
                <w:lang w:eastAsia="zh-CN"/>
              </w:rPr>
              <w:t>委托签订合同的单位</w:t>
            </w:r>
            <w:r>
              <w:rPr>
                <w:rFonts w:hint="eastAsia" w:ascii="宋体" w:hAnsi="宋体" w:eastAsia="宋体" w:cs="宋体"/>
                <w:color w:val="auto"/>
                <w:sz w:val="21"/>
                <w:szCs w:val="21"/>
                <w:highlight w:val="none"/>
              </w:rPr>
              <w:t>或采购文件约定的合同甲方）</w:t>
            </w:r>
          </w:p>
        </w:tc>
        <w:tc>
          <w:tcPr>
            <w:tcW w:w="2657" w:type="pct"/>
            <w:gridSpan w:val="2"/>
            <w:tcBorders>
              <w:left w:val="single" w:color="auto" w:sz="2" w:space="0"/>
              <w:bottom w:val="single" w:color="auto" w:sz="2" w:space="0"/>
            </w:tcBorders>
            <w:vAlign w:val="center"/>
          </w:tcPr>
          <w:p w14:paraId="4E1F6057">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cs="宋体"/>
                <w:color w:val="auto"/>
                <w:sz w:val="21"/>
                <w:szCs w:val="21"/>
                <w:highlight w:val="none"/>
                <w:lang w:eastAsia="zh-CN"/>
              </w:rPr>
              <w:t>（供应商）</w:t>
            </w:r>
          </w:p>
        </w:tc>
      </w:tr>
      <w:tr w14:paraId="65E2C94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03" w:hRule="atLeast"/>
        </w:trPr>
        <w:tc>
          <w:tcPr>
            <w:tcW w:w="1124" w:type="pct"/>
            <w:tcBorders>
              <w:top w:val="single" w:color="auto" w:sz="2" w:space="0"/>
              <w:bottom w:val="single" w:color="auto" w:sz="2" w:space="0"/>
              <w:right w:val="single" w:color="auto" w:sz="2" w:space="0"/>
            </w:tcBorders>
            <w:vAlign w:val="center"/>
          </w:tcPr>
          <w:p w14:paraId="769A817B">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w:t>
            </w:r>
          </w:p>
          <w:p w14:paraId="5473B683">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（公章</w:t>
            </w:r>
            <w:r>
              <w:rPr>
                <w:rFonts w:hint="eastAsia" w:ascii="宋体" w:hAnsi="宋体" w:eastAsia="宋体" w:cs="宋体"/>
                <w:color w:val="auto"/>
                <w:sz w:val="21"/>
                <w:szCs w:val="21"/>
                <w:highlight w:val="none"/>
                <w:lang w:eastAsia="zh-CN"/>
              </w:rPr>
              <w:t>或合同章</w:t>
            </w:r>
            <w:r>
              <w:rPr>
                <w:rFonts w:hint="eastAsia" w:ascii="宋体" w:hAnsi="宋体" w:eastAsia="宋体" w:cs="宋体"/>
                <w:color w:val="auto"/>
                <w:sz w:val="21"/>
                <w:szCs w:val="21"/>
                <w:highlight w:val="none"/>
              </w:rPr>
              <w:t>）</w:t>
            </w:r>
          </w:p>
        </w:tc>
        <w:tc>
          <w:tcPr>
            <w:tcW w:w="1218" w:type="pct"/>
            <w:tcBorders>
              <w:top w:val="single" w:color="auto" w:sz="2" w:space="0"/>
              <w:left w:val="single" w:color="auto" w:sz="2" w:space="0"/>
              <w:bottom w:val="single" w:color="auto" w:sz="2" w:space="0"/>
              <w:right w:val="single" w:color="auto" w:sz="2" w:space="0"/>
            </w:tcBorders>
            <w:vAlign w:val="center"/>
          </w:tcPr>
          <w:p w14:paraId="04042FD6">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z w:val="21"/>
                <w:szCs w:val="21"/>
                <w:highlight w:val="none"/>
              </w:rPr>
            </w:pPr>
          </w:p>
        </w:tc>
        <w:tc>
          <w:tcPr>
            <w:tcW w:w="1395" w:type="pct"/>
            <w:tcBorders>
              <w:top w:val="single" w:color="auto" w:sz="2" w:space="0"/>
              <w:left w:val="single" w:color="auto" w:sz="2" w:space="0"/>
              <w:bottom w:val="single" w:color="auto" w:sz="2" w:space="0"/>
              <w:right w:val="single" w:color="auto" w:sz="2" w:space="0"/>
            </w:tcBorders>
            <w:vAlign w:val="center"/>
          </w:tcPr>
          <w:p w14:paraId="09BFE99D">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w:t>
            </w:r>
          </w:p>
          <w:p w14:paraId="6F119805">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（公章</w:t>
            </w:r>
            <w:r>
              <w:rPr>
                <w:rFonts w:hint="eastAsia" w:ascii="宋体" w:hAnsi="宋体" w:eastAsia="宋体" w:cs="宋体"/>
                <w:color w:val="auto"/>
                <w:sz w:val="21"/>
                <w:szCs w:val="21"/>
                <w:highlight w:val="none"/>
                <w:lang w:eastAsia="zh-CN"/>
              </w:rPr>
              <w:t>或合同章</w:t>
            </w:r>
            <w:r>
              <w:rPr>
                <w:rFonts w:hint="eastAsia" w:ascii="宋体" w:hAnsi="宋体" w:eastAsia="宋体" w:cs="宋体"/>
                <w:color w:val="auto"/>
                <w:sz w:val="21"/>
                <w:szCs w:val="21"/>
                <w:highlight w:val="none"/>
              </w:rPr>
              <w:t>）</w:t>
            </w:r>
          </w:p>
        </w:tc>
        <w:tc>
          <w:tcPr>
            <w:tcW w:w="1261" w:type="pct"/>
            <w:tcBorders>
              <w:top w:val="single" w:color="auto" w:sz="2" w:space="0"/>
              <w:left w:val="single" w:color="auto" w:sz="2" w:space="0"/>
              <w:bottom w:val="single" w:color="auto" w:sz="2" w:space="0"/>
            </w:tcBorders>
            <w:vAlign w:val="center"/>
          </w:tcPr>
          <w:p w14:paraId="29828261">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pacing w:val="20"/>
                <w:sz w:val="21"/>
                <w:szCs w:val="21"/>
                <w:highlight w:val="none"/>
              </w:rPr>
            </w:pPr>
          </w:p>
        </w:tc>
      </w:tr>
      <w:tr w14:paraId="5D79500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03" w:hRule="atLeast"/>
        </w:trPr>
        <w:tc>
          <w:tcPr>
            <w:tcW w:w="1124" w:type="pct"/>
            <w:vMerge w:val="restart"/>
            <w:tcBorders>
              <w:top w:val="single" w:color="auto" w:sz="2" w:space="0"/>
              <w:right w:val="single" w:color="auto" w:sz="2" w:space="0"/>
            </w:tcBorders>
            <w:vAlign w:val="center"/>
          </w:tcPr>
          <w:p w14:paraId="589FEB65">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p w14:paraId="34031DCF">
            <w:pPr>
              <w:keepNext w:val="0"/>
              <w:keepLines w:val="0"/>
              <w:pageBreakBefore w:val="0"/>
              <w:widowControl w:val="0"/>
              <w:kinsoku/>
              <w:wordWrap/>
              <w:overflowPunct/>
              <w:bidi w:val="0"/>
              <w:adjustRightInd w:val="0"/>
              <w:snapToGrid w:val="0"/>
              <w:spacing w:line="440" w:lineRule="exact"/>
              <w:ind w:firstLine="100" w:firstLineChars="48"/>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或其委托代理人（签章）</w:t>
            </w:r>
          </w:p>
        </w:tc>
        <w:tc>
          <w:tcPr>
            <w:tcW w:w="1218" w:type="pct"/>
            <w:vMerge w:val="restart"/>
            <w:tcBorders>
              <w:top w:val="single" w:color="auto" w:sz="2" w:space="0"/>
              <w:left w:val="single" w:color="auto" w:sz="2" w:space="0"/>
              <w:right w:val="single" w:color="auto" w:sz="2" w:space="0"/>
            </w:tcBorders>
            <w:vAlign w:val="center"/>
          </w:tcPr>
          <w:p w14:paraId="28005FF2">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z w:val="21"/>
                <w:szCs w:val="21"/>
                <w:highlight w:val="none"/>
              </w:rPr>
            </w:pPr>
          </w:p>
        </w:tc>
        <w:tc>
          <w:tcPr>
            <w:tcW w:w="1395" w:type="pct"/>
            <w:tcBorders>
              <w:top w:val="single" w:color="auto" w:sz="2" w:space="0"/>
              <w:left w:val="single" w:color="auto" w:sz="2" w:space="0"/>
              <w:right w:val="single" w:color="auto" w:sz="2" w:space="0"/>
            </w:tcBorders>
            <w:vAlign w:val="center"/>
          </w:tcPr>
          <w:p w14:paraId="35E00C15">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p w14:paraId="0A80F091">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或其委托代理人（签章）</w:t>
            </w:r>
          </w:p>
        </w:tc>
        <w:tc>
          <w:tcPr>
            <w:tcW w:w="1261" w:type="pct"/>
            <w:tcBorders>
              <w:top w:val="single" w:color="auto" w:sz="2" w:space="0"/>
              <w:left w:val="single" w:color="auto" w:sz="2" w:space="0"/>
              <w:bottom w:val="single" w:color="auto" w:sz="2" w:space="0"/>
            </w:tcBorders>
            <w:vAlign w:val="center"/>
          </w:tcPr>
          <w:p w14:paraId="1A90D4FA">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z w:val="21"/>
                <w:szCs w:val="21"/>
                <w:highlight w:val="none"/>
              </w:rPr>
            </w:pPr>
          </w:p>
        </w:tc>
      </w:tr>
      <w:tr w14:paraId="4A709B8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53" w:hRule="atLeast"/>
        </w:trPr>
        <w:tc>
          <w:tcPr>
            <w:tcW w:w="1124" w:type="pct"/>
            <w:vMerge w:val="continue"/>
            <w:tcBorders>
              <w:bottom w:val="single" w:color="auto" w:sz="2" w:space="0"/>
              <w:right w:val="single" w:color="auto" w:sz="2" w:space="0"/>
            </w:tcBorders>
            <w:vAlign w:val="center"/>
          </w:tcPr>
          <w:p w14:paraId="7BCBC9B4">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z w:val="21"/>
                <w:szCs w:val="21"/>
                <w:highlight w:val="none"/>
              </w:rPr>
            </w:pPr>
          </w:p>
        </w:tc>
        <w:tc>
          <w:tcPr>
            <w:tcW w:w="1218" w:type="pct"/>
            <w:vMerge w:val="continue"/>
            <w:tcBorders>
              <w:left w:val="single" w:color="auto" w:sz="2" w:space="0"/>
              <w:bottom w:val="single" w:color="auto" w:sz="2" w:space="0"/>
              <w:right w:val="single" w:color="auto" w:sz="2" w:space="0"/>
            </w:tcBorders>
            <w:vAlign w:val="center"/>
          </w:tcPr>
          <w:p w14:paraId="67CF5E5F">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z w:val="21"/>
                <w:szCs w:val="21"/>
                <w:highlight w:val="none"/>
              </w:rPr>
            </w:pPr>
          </w:p>
        </w:tc>
        <w:tc>
          <w:tcPr>
            <w:tcW w:w="1395" w:type="pct"/>
            <w:tcBorders>
              <w:top w:val="single" w:color="auto" w:sz="2" w:space="0"/>
              <w:left w:val="single" w:color="auto" w:sz="2" w:space="0"/>
              <w:bottom w:val="single" w:color="auto" w:sz="2" w:space="0"/>
              <w:right w:val="single" w:color="auto" w:sz="2" w:space="0"/>
            </w:tcBorders>
            <w:vAlign w:val="center"/>
          </w:tcPr>
          <w:p w14:paraId="5427AA8A">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拥有者性别</w:t>
            </w:r>
          </w:p>
        </w:tc>
        <w:tc>
          <w:tcPr>
            <w:tcW w:w="1261" w:type="pct"/>
            <w:tcBorders>
              <w:top w:val="single" w:color="auto" w:sz="2" w:space="0"/>
              <w:left w:val="single" w:color="auto" w:sz="2" w:space="0"/>
              <w:bottom w:val="single" w:color="auto" w:sz="2" w:space="0"/>
            </w:tcBorders>
            <w:vAlign w:val="center"/>
          </w:tcPr>
          <w:p w14:paraId="68FA541F">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pacing w:val="20"/>
                <w:sz w:val="21"/>
                <w:szCs w:val="21"/>
                <w:highlight w:val="none"/>
              </w:rPr>
            </w:pPr>
          </w:p>
        </w:tc>
      </w:tr>
      <w:tr w14:paraId="384E3B8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53" w:hRule="atLeast"/>
        </w:trPr>
        <w:tc>
          <w:tcPr>
            <w:tcW w:w="1124" w:type="pct"/>
            <w:tcBorders>
              <w:top w:val="single" w:color="auto" w:sz="2" w:space="0"/>
              <w:bottom w:val="single" w:color="auto" w:sz="2" w:space="0"/>
              <w:right w:val="single" w:color="auto" w:sz="2" w:space="0"/>
            </w:tcBorders>
            <w:vAlign w:val="center"/>
          </w:tcPr>
          <w:p w14:paraId="1A924DE2">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所</w:t>
            </w:r>
          </w:p>
        </w:tc>
        <w:tc>
          <w:tcPr>
            <w:tcW w:w="1218" w:type="pct"/>
            <w:tcBorders>
              <w:top w:val="single" w:color="auto" w:sz="2" w:space="0"/>
              <w:left w:val="single" w:color="auto" w:sz="2" w:space="0"/>
              <w:bottom w:val="single" w:color="auto" w:sz="2" w:space="0"/>
              <w:right w:val="single" w:color="auto" w:sz="2" w:space="0"/>
            </w:tcBorders>
            <w:vAlign w:val="center"/>
          </w:tcPr>
          <w:p w14:paraId="01280C59">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z w:val="21"/>
                <w:szCs w:val="21"/>
                <w:highlight w:val="none"/>
              </w:rPr>
            </w:pPr>
          </w:p>
        </w:tc>
        <w:tc>
          <w:tcPr>
            <w:tcW w:w="1395" w:type="pct"/>
            <w:tcBorders>
              <w:top w:val="single" w:color="auto" w:sz="2" w:space="0"/>
              <w:left w:val="single" w:color="auto" w:sz="2" w:space="0"/>
              <w:bottom w:val="single" w:color="auto" w:sz="2" w:space="0"/>
              <w:right w:val="single" w:color="auto" w:sz="2" w:space="0"/>
            </w:tcBorders>
            <w:vAlign w:val="center"/>
          </w:tcPr>
          <w:p w14:paraId="57AC4D02">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所</w:t>
            </w:r>
          </w:p>
        </w:tc>
        <w:tc>
          <w:tcPr>
            <w:tcW w:w="1261" w:type="pct"/>
            <w:tcBorders>
              <w:top w:val="single" w:color="auto" w:sz="2" w:space="0"/>
              <w:left w:val="single" w:color="auto" w:sz="2" w:space="0"/>
              <w:bottom w:val="single" w:color="auto" w:sz="2" w:space="0"/>
            </w:tcBorders>
            <w:vAlign w:val="center"/>
          </w:tcPr>
          <w:p w14:paraId="72A89D01">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pacing w:val="20"/>
                <w:sz w:val="21"/>
                <w:szCs w:val="21"/>
                <w:highlight w:val="none"/>
              </w:rPr>
            </w:pPr>
          </w:p>
        </w:tc>
      </w:tr>
      <w:tr w14:paraId="18A4B43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53" w:hRule="atLeast"/>
        </w:trPr>
        <w:tc>
          <w:tcPr>
            <w:tcW w:w="1124" w:type="pct"/>
            <w:tcBorders>
              <w:top w:val="single" w:color="auto" w:sz="2" w:space="0"/>
              <w:bottom w:val="single" w:color="auto" w:sz="2" w:space="0"/>
              <w:right w:val="single" w:color="auto" w:sz="2" w:space="0"/>
            </w:tcBorders>
            <w:vAlign w:val="center"/>
          </w:tcPr>
          <w:p w14:paraId="42570F43">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 系 人</w:t>
            </w:r>
          </w:p>
        </w:tc>
        <w:tc>
          <w:tcPr>
            <w:tcW w:w="1218" w:type="pct"/>
            <w:tcBorders>
              <w:top w:val="single" w:color="auto" w:sz="2" w:space="0"/>
              <w:left w:val="single" w:color="auto" w:sz="2" w:space="0"/>
              <w:bottom w:val="single" w:color="auto" w:sz="2" w:space="0"/>
              <w:right w:val="single" w:color="auto" w:sz="2" w:space="0"/>
            </w:tcBorders>
            <w:vAlign w:val="center"/>
          </w:tcPr>
          <w:p w14:paraId="342A4831">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z w:val="21"/>
                <w:szCs w:val="21"/>
                <w:highlight w:val="none"/>
              </w:rPr>
            </w:pPr>
          </w:p>
        </w:tc>
        <w:tc>
          <w:tcPr>
            <w:tcW w:w="1395" w:type="pct"/>
            <w:tcBorders>
              <w:top w:val="single" w:color="auto" w:sz="2" w:space="0"/>
              <w:left w:val="single" w:color="auto" w:sz="2" w:space="0"/>
              <w:bottom w:val="single" w:color="auto" w:sz="2" w:space="0"/>
              <w:right w:val="single" w:color="auto" w:sz="2" w:space="0"/>
            </w:tcBorders>
            <w:vAlign w:val="center"/>
          </w:tcPr>
          <w:p w14:paraId="7C1E51A1">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 系 人</w:t>
            </w:r>
          </w:p>
        </w:tc>
        <w:tc>
          <w:tcPr>
            <w:tcW w:w="1261" w:type="pct"/>
            <w:tcBorders>
              <w:top w:val="single" w:color="auto" w:sz="2" w:space="0"/>
              <w:left w:val="single" w:color="auto" w:sz="2" w:space="0"/>
              <w:bottom w:val="single" w:color="auto" w:sz="2" w:space="0"/>
            </w:tcBorders>
            <w:vAlign w:val="center"/>
          </w:tcPr>
          <w:p w14:paraId="6A067255">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pacing w:val="20"/>
                <w:sz w:val="21"/>
                <w:szCs w:val="21"/>
                <w:highlight w:val="none"/>
              </w:rPr>
            </w:pPr>
          </w:p>
        </w:tc>
      </w:tr>
      <w:tr w14:paraId="5885ECA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53" w:hRule="atLeast"/>
        </w:trPr>
        <w:tc>
          <w:tcPr>
            <w:tcW w:w="1124" w:type="pct"/>
            <w:tcBorders>
              <w:top w:val="single" w:color="auto" w:sz="2" w:space="0"/>
              <w:bottom w:val="single" w:color="auto" w:sz="2" w:space="0"/>
              <w:right w:val="single" w:color="auto" w:sz="2" w:space="0"/>
            </w:tcBorders>
            <w:vAlign w:val="center"/>
          </w:tcPr>
          <w:p w14:paraId="712E5B41">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1218" w:type="pct"/>
            <w:tcBorders>
              <w:top w:val="single" w:color="auto" w:sz="2" w:space="0"/>
              <w:left w:val="single" w:color="auto" w:sz="2" w:space="0"/>
              <w:bottom w:val="single" w:color="auto" w:sz="2" w:space="0"/>
              <w:right w:val="single" w:color="auto" w:sz="2" w:space="0"/>
            </w:tcBorders>
            <w:vAlign w:val="center"/>
          </w:tcPr>
          <w:p w14:paraId="497CCA87">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z w:val="21"/>
                <w:szCs w:val="21"/>
                <w:highlight w:val="none"/>
              </w:rPr>
            </w:pPr>
          </w:p>
        </w:tc>
        <w:tc>
          <w:tcPr>
            <w:tcW w:w="1395" w:type="pct"/>
            <w:tcBorders>
              <w:top w:val="single" w:color="auto" w:sz="2" w:space="0"/>
              <w:left w:val="single" w:color="auto" w:sz="2" w:space="0"/>
              <w:bottom w:val="single" w:color="auto" w:sz="2" w:space="0"/>
              <w:right w:val="single" w:color="auto" w:sz="2" w:space="0"/>
            </w:tcBorders>
            <w:vAlign w:val="center"/>
          </w:tcPr>
          <w:p w14:paraId="6653CA9B">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1261" w:type="pct"/>
            <w:tcBorders>
              <w:top w:val="single" w:color="auto" w:sz="2" w:space="0"/>
              <w:left w:val="single" w:color="auto" w:sz="2" w:space="0"/>
              <w:bottom w:val="single" w:color="auto" w:sz="2" w:space="0"/>
            </w:tcBorders>
            <w:vAlign w:val="center"/>
          </w:tcPr>
          <w:p w14:paraId="7F4CFC69">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pacing w:val="20"/>
                <w:sz w:val="21"/>
                <w:szCs w:val="21"/>
                <w:highlight w:val="none"/>
              </w:rPr>
            </w:pPr>
          </w:p>
        </w:tc>
      </w:tr>
      <w:tr w14:paraId="1E58F6A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53" w:hRule="atLeast"/>
        </w:trPr>
        <w:tc>
          <w:tcPr>
            <w:tcW w:w="1124" w:type="pct"/>
            <w:tcBorders>
              <w:top w:val="single" w:color="auto" w:sz="2" w:space="0"/>
              <w:bottom w:val="single" w:color="auto" w:sz="2" w:space="0"/>
              <w:right w:val="single" w:color="auto" w:sz="2" w:space="0"/>
            </w:tcBorders>
            <w:vAlign w:val="center"/>
          </w:tcPr>
          <w:p w14:paraId="5CF5037F">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通信地址</w:t>
            </w:r>
          </w:p>
        </w:tc>
        <w:tc>
          <w:tcPr>
            <w:tcW w:w="1218" w:type="pct"/>
            <w:tcBorders>
              <w:top w:val="single" w:color="auto" w:sz="2" w:space="0"/>
              <w:left w:val="single" w:color="auto" w:sz="2" w:space="0"/>
              <w:bottom w:val="single" w:color="auto" w:sz="2" w:space="0"/>
              <w:right w:val="single" w:color="auto" w:sz="2" w:space="0"/>
            </w:tcBorders>
            <w:vAlign w:val="center"/>
          </w:tcPr>
          <w:p w14:paraId="5DDBFD00">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z w:val="21"/>
                <w:szCs w:val="21"/>
                <w:highlight w:val="none"/>
              </w:rPr>
            </w:pPr>
          </w:p>
        </w:tc>
        <w:tc>
          <w:tcPr>
            <w:tcW w:w="1395" w:type="pct"/>
            <w:tcBorders>
              <w:top w:val="single" w:color="auto" w:sz="2" w:space="0"/>
              <w:left w:val="single" w:color="auto" w:sz="2" w:space="0"/>
              <w:bottom w:val="single" w:color="auto" w:sz="2" w:space="0"/>
              <w:right w:val="single" w:color="auto" w:sz="2" w:space="0"/>
            </w:tcBorders>
            <w:vAlign w:val="center"/>
          </w:tcPr>
          <w:p w14:paraId="59CD851C">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通信地址</w:t>
            </w:r>
          </w:p>
        </w:tc>
        <w:tc>
          <w:tcPr>
            <w:tcW w:w="1261" w:type="pct"/>
            <w:tcBorders>
              <w:top w:val="single" w:color="auto" w:sz="2" w:space="0"/>
              <w:left w:val="single" w:color="auto" w:sz="2" w:space="0"/>
              <w:bottom w:val="single" w:color="auto" w:sz="2" w:space="0"/>
            </w:tcBorders>
            <w:vAlign w:val="center"/>
          </w:tcPr>
          <w:p w14:paraId="39777D56">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pacing w:val="20"/>
                <w:sz w:val="21"/>
                <w:szCs w:val="21"/>
                <w:highlight w:val="none"/>
              </w:rPr>
            </w:pPr>
          </w:p>
        </w:tc>
      </w:tr>
      <w:tr w14:paraId="31720AC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53" w:hRule="atLeast"/>
        </w:trPr>
        <w:tc>
          <w:tcPr>
            <w:tcW w:w="1124" w:type="pct"/>
            <w:tcBorders>
              <w:top w:val="single" w:color="auto" w:sz="2" w:space="0"/>
              <w:bottom w:val="single" w:color="auto" w:sz="2" w:space="0"/>
              <w:right w:val="single" w:color="auto" w:sz="2" w:space="0"/>
            </w:tcBorders>
            <w:vAlign w:val="center"/>
          </w:tcPr>
          <w:p w14:paraId="789F9BD8">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1218" w:type="pct"/>
            <w:tcBorders>
              <w:top w:val="single" w:color="auto" w:sz="2" w:space="0"/>
              <w:left w:val="single" w:color="auto" w:sz="2" w:space="0"/>
              <w:bottom w:val="single" w:color="auto" w:sz="2" w:space="0"/>
              <w:right w:val="single" w:color="auto" w:sz="2" w:space="0"/>
            </w:tcBorders>
            <w:vAlign w:val="center"/>
          </w:tcPr>
          <w:p w14:paraId="3BC271AB">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z w:val="21"/>
                <w:szCs w:val="21"/>
                <w:highlight w:val="none"/>
              </w:rPr>
            </w:pPr>
          </w:p>
        </w:tc>
        <w:tc>
          <w:tcPr>
            <w:tcW w:w="1395" w:type="pct"/>
            <w:tcBorders>
              <w:top w:val="single" w:color="auto" w:sz="2" w:space="0"/>
              <w:left w:val="single" w:color="auto" w:sz="2" w:space="0"/>
              <w:bottom w:val="single" w:color="auto" w:sz="2" w:space="0"/>
              <w:right w:val="single" w:color="auto" w:sz="2" w:space="0"/>
            </w:tcBorders>
            <w:vAlign w:val="center"/>
          </w:tcPr>
          <w:p w14:paraId="50EDBD2B">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1261" w:type="pct"/>
            <w:tcBorders>
              <w:top w:val="single" w:color="auto" w:sz="2" w:space="0"/>
              <w:left w:val="single" w:color="auto" w:sz="2" w:space="0"/>
              <w:bottom w:val="single" w:color="auto" w:sz="2" w:space="0"/>
            </w:tcBorders>
            <w:vAlign w:val="center"/>
          </w:tcPr>
          <w:p w14:paraId="134500E7">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pacing w:val="20"/>
                <w:sz w:val="21"/>
                <w:szCs w:val="21"/>
                <w:highlight w:val="none"/>
              </w:rPr>
            </w:pPr>
          </w:p>
        </w:tc>
      </w:tr>
      <w:tr w14:paraId="77A4D62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53" w:hRule="atLeast"/>
        </w:trPr>
        <w:tc>
          <w:tcPr>
            <w:tcW w:w="1124" w:type="pct"/>
            <w:tcBorders>
              <w:top w:val="single" w:color="auto" w:sz="2" w:space="0"/>
              <w:bottom w:val="single" w:color="auto" w:sz="2" w:space="0"/>
              <w:right w:val="single" w:color="auto" w:sz="2" w:space="0"/>
            </w:tcBorders>
            <w:vAlign w:val="center"/>
          </w:tcPr>
          <w:p w14:paraId="5A35CE2A">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tc>
        <w:tc>
          <w:tcPr>
            <w:tcW w:w="1218" w:type="pct"/>
            <w:tcBorders>
              <w:top w:val="single" w:color="auto" w:sz="2" w:space="0"/>
              <w:left w:val="single" w:color="auto" w:sz="2" w:space="0"/>
              <w:bottom w:val="single" w:color="auto" w:sz="2" w:space="0"/>
              <w:right w:val="single" w:color="auto" w:sz="2" w:space="0"/>
            </w:tcBorders>
            <w:vAlign w:val="center"/>
          </w:tcPr>
          <w:p w14:paraId="0CB42280">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z w:val="21"/>
                <w:szCs w:val="21"/>
                <w:highlight w:val="none"/>
              </w:rPr>
            </w:pPr>
          </w:p>
        </w:tc>
        <w:tc>
          <w:tcPr>
            <w:tcW w:w="1395" w:type="pct"/>
            <w:tcBorders>
              <w:top w:val="single" w:color="auto" w:sz="2" w:space="0"/>
              <w:left w:val="single" w:color="auto" w:sz="2" w:space="0"/>
              <w:bottom w:val="single" w:color="auto" w:sz="2" w:space="0"/>
              <w:right w:val="single" w:color="auto" w:sz="2" w:space="0"/>
            </w:tcBorders>
            <w:vAlign w:val="center"/>
          </w:tcPr>
          <w:p w14:paraId="33AFF581">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tc>
        <w:tc>
          <w:tcPr>
            <w:tcW w:w="1261" w:type="pct"/>
            <w:tcBorders>
              <w:top w:val="single" w:color="auto" w:sz="2" w:space="0"/>
              <w:left w:val="single" w:color="auto" w:sz="2" w:space="0"/>
              <w:bottom w:val="single" w:color="auto" w:sz="2" w:space="0"/>
            </w:tcBorders>
            <w:vAlign w:val="center"/>
          </w:tcPr>
          <w:p w14:paraId="6066C7C1">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pacing w:val="20"/>
                <w:sz w:val="21"/>
                <w:szCs w:val="21"/>
                <w:highlight w:val="none"/>
              </w:rPr>
            </w:pPr>
          </w:p>
        </w:tc>
      </w:tr>
      <w:tr w14:paraId="3AF6808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53" w:hRule="atLeast"/>
        </w:trPr>
        <w:tc>
          <w:tcPr>
            <w:tcW w:w="1124" w:type="pct"/>
            <w:tcBorders>
              <w:top w:val="single" w:color="auto" w:sz="2" w:space="0"/>
              <w:bottom w:val="single" w:color="auto" w:sz="2" w:space="0"/>
              <w:right w:val="single" w:color="auto" w:sz="2" w:space="0"/>
            </w:tcBorders>
            <w:vAlign w:val="center"/>
          </w:tcPr>
          <w:p w14:paraId="29E4E4E6">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p>
        </w:tc>
        <w:tc>
          <w:tcPr>
            <w:tcW w:w="1218" w:type="pct"/>
            <w:tcBorders>
              <w:top w:val="single" w:color="auto" w:sz="2" w:space="0"/>
              <w:left w:val="single" w:color="auto" w:sz="2" w:space="0"/>
              <w:bottom w:val="single" w:color="auto" w:sz="2" w:space="0"/>
              <w:right w:val="single" w:color="auto" w:sz="2" w:space="0"/>
            </w:tcBorders>
            <w:vAlign w:val="center"/>
          </w:tcPr>
          <w:p w14:paraId="205DCD02">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z w:val="21"/>
                <w:szCs w:val="21"/>
                <w:highlight w:val="none"/>
              </w:rPr>
            </w:pPr>
          </w:p>
        </w:tc>
        <w:tc>
          <w:tcPr>
            <w:tcW w:w="1395" w:type="pct"/>
            <w:tcBorders>
              <w:top w:val="single" w:color="auto" w:sz="2" w:space="0"/>
              <w:left w:val="single" w:color="auto" w:sz="2" w:space="0"/>
              <w:bottom w:val="single" w:color="auto" w:sz="2" w:space="0"/>
              <w:right w:val="single" w:color="auto" w:sz="2" w:space="0"/>
            </w:tcBorders>
            <w:vAlign w:val="center"/>
          </w:tcPr>
          <w:p w14:paraId="2FD84DBC">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p>
        </w:tc>
        <w:tc>
          <w:tcPr>
            <w:tcW w:w="1261" w:type="pct"/>
            <w:tcBorders>
              <w:top w:val="single" w:color="auto" w:sz="2" w:space="0"/>
              <w:left w:val="single" w:color="auto" w:sz="2" w:space="0"/>
              <w:bottom w:val="single" w:color="auto" w:sz="2" w:space="0"/>
            </w:tcBorders>
            <w:vAlign w:val="center"/>
          </w:tcPr>
          <w:p w14:paraId="258525C5">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pacing w:val="20"/>
                <w:sz w:val="21"/>
                <w:szCs w:val="21"/>
                <w:highlight w:val="none"/>
              </w:rPr>
            </w:pPr>
          </w:p>
        </w:tc>
      </w:tr>
      <w:tr w14:paraId="28C9EDF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53" w:hRule="atLeast"/>
        </w:trPr>
        <w:tc>
          <w:tcPr>
            <w:tcW w:w="1124" w:type="pct"/>
            <w:tcBorders>
              <w:top w:val="single" w:color="auto" w:sz="2" w:space="0"/>
              <w:bottom w:val="single" w:color="auto" w:sz="2" w:space="0"/>
              <w:right w:val="single" w:color="auto" w:sz="2" w:space="0"/>
            </w:tcBorders>
            <w:vAlign w:val="center"/>
          </w:tcPr>
          <w:p w14:paraId="26F6D326">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z w:val="21"/>
                <w:szCs w:val="21"/>
                <w:highlight w:val="none"/>
              </w:rPr>
            </w:pPr>
          </w:p>
        </w:tc>
        <w:tc>
          <w:tcPr>
            <w:tcW w:w="1218" w:type="pct"/>
            <w:tcBorders>
              <w:top w:val="single" w:color="auto" w:sz="2" w:space="0"/>
              <w:left w:val="single" w:color="auto" w:sz="2" w:space="0"/>
              <w:bottom w:val="single" w:color="auto" w:sz="2" w:space="0"/>
              <w:right w:val="single" w:color="auto" w:sz="2" w:space="0"/>
            </w:tcBorders>
            <w:vAlign w:val="center"/>
          </w:tcPr>
          <w:p w14:paraId="139EC70B">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z w:val="21"/>
                <w:szCs w:val="21"/>
                <w:highlight w:val="none"/>
              </w:rPr>
            </w:pPr>
          </w:p>
        </w:tc>
        <w:tc>
          <w:tcPr>
            <w:tcW w:w="1395" w:type="pct"/>
            <w:tcBorders>
              <w:top w:val="single" w:color="auto" w:sz="2" w:space="0"/>
              <w:left w:val="single" w:color="auto" w:sz="2" w:space="0"/>
              <w:bottom w:val="single" w:color="auto" w:sz="2" w:space="0"/>
              <w:right w:val="single" w:color="auto" w:sz="2" w:space="0"/>
            </w:tcBorders>
            <w:vAlign w:val="center"/>
          </w:tcPr>
          <w:p w14:paraId="763AE3E6">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开户名称</w:t>
            </w:r>
          </w:p>
        </w:tc>
        <w:tc>
          <w:tcPr>
            <w:tcW w:w="1261" w:type="pct"/>
            <w:tcBorders>
              <w:top w:val="single" w:color="auto" w:sz="2" w:space="0"/>
              <w:left w:val="single" w:color="auto" w:sz="2" w:space="0"/>
              <w:bottom w:val="single" w:color="auto" w:sz="2" w:space="0"/>
            </w:tcBorders>
            <w:vAlign w:val="center"/>
          </w:tcPr>
          <w:p w14:paraId="75F73187">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pacing w:val="20"/>
                <w:sz w:val="21"/>
                <w:szCs w:val="21"/>
                <w:highlight w:val="none"/>
              </w:rPr>
            </w:pPr>
          </w:p>
        </w:tc>
      </w:tr>
      <w:tr w14:paraId="74EE583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53" w:hRule="atLeast"/>
        </w:trPr>
        <w:tc>
          <w:tcPr>
            <w:tcW w:w="1124" w:type="pct"/>
            <w:tcBorders>
              <w:top w:val="single" w:color="auto" w:sz="2" w:space="0"/>
              <w:bottom w:val="single" w:color="auto" w:sz="2" w:space="0"/>
              <w:right w:val="single" w:color="auto" w:sz="2" w:space="0"/>
            </w:tcBorders>
            <w:vAlign w:val="center"/>
          </w:tcPr>
          <w:p w14:paraId="2126004A">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z w:val="21"/>
                <w:szCs w:val="21"/>
                <w:highlight w:val="none"/>
              </w:rPr>
            </w:pPr>
          </w:p>
        </w:tc>
        <w:tc>
          <w:tcPr>
            <w:tcW w:w="1218" w:type="pct"/>
            <w:tcBorders>
              <w:top w:val="single" w:color="auto" w:sz="2" w:space="0"/>
              <w:left w:val="single" w:color="auto" w:sz="2" w:space="0"/>
              <w:bottom w:val="single" w:color="auto" w:sz="2" w:space="0"/>
              <w:right w:val="single" w:color="auto" w:sz="2" w:space="0"/>
            </w:tcBorders>
            <w:vAlign w:val="center"/>
          </w:tcPr>
          <w:p w14:paraId="105CA2DE">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z w:val="21"/>
                <w:szCs w:val="21"/>
                <w:highlight w:val="none"/>
              </w:rPr>
            </w:pPr>
          </w:p>
        </w:tc>
        <w:tc>
          <w:tcPr>
            <w:tcW w:w="1395" w:type="pct"/>
            <w:tcBorders>
              <w:top w:val="single" w:color="auto" w:sz="2" w:space="0"/>
              <w:left w:val="single" w:color="auto" w:sz="2" w:space="0"/>
              <w:bottom w:val="single" w:color="auto" w:sz="2" w:space="0"/>
              <w:right w:val="single" w:color="auto" w:sz="2" w:space="0"/>
            </w:tcBorders>
            <w:vAlign w:val="center"/>
          </w:tcPr>
          <w:p w14:paraId="1382D41B">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p>
        </w:tc>
        <w:tc>
          <w:tcPr>
            <w:tcW w:w="1261" w:type="pct"/>
            <w:tcBorders>
              <w:top w:val="single" w:color="auto" w:sz="2" w:space="0"/>
              <w:left w:val="single" w:color="auto" w:sz="2" w:space="0"/>
              <w:bottom w:val="single" w:color="auto" w:sz="2" w:space="0"/>
            </w:tcBorders>
            <w:vAlign w:val="center"/>
          </w:tcPr>
          <w:p w14:paraId="403AF1D4">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pacing w:val="20"/>
                <w:sz w:val="21"/>
                <w:szCs w:val="21"/>
                <w:highlight w:val="none"/>
              </w:rPr>
            </w:pPr>
          </w:p>
        </w:tc>
      </w:tr>
      <w:tr w14:paraId="27B0CE6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59" w:hRule="atLeast"/>
        </w:trPr>
        <w:tc>
          <w:tcPr>
            <w:tcW w:w="1124" w:type="pct"/>
            <w:tcBorders>
              <w:top w:val="single" w:color="auto" w:sz="2" w:space="0"/>
              <w:bottom w:val="single" w:color="auto" w:sz="2" w:space="0"/>
              <w:right w:val="single" w:color="auto" w:sz="2" w:space="0"/>
            </w:tcBorders>
            <w:vAlign w:val="center"/>
          </w:tcPr>
          <w:p w14:paraId="27B4E23F">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z w:val="21"/>
                <w:szCs w:val="21"/>
                <w:highlight w:val="none"/>
              </w:rPr>
            </w:pPr>
          </w:p>
        </w:tc>
        <w:tc>
          <w:tcPr>
            <w:tcW w:w="1218" w:type="pct"/>
            <w:tcBorders>
              <w:top w:val="single" w:color="auto" w:sz="2" w:space="0"/>
              <w:left w:val="single" w:color="auto" w:sz="2" w:space="0"/>
              <w:bottom w:val="single" w:color="auto" w:sz="2" w:space="0"/>
              <w:right w:val="single" w:color="auto" w:sz="2" w:space="0"/>
            </w:tcBorders>
            <w:vAlign w:val="center"/>
          </w:tcPr>
          <w:p w14:paraId="1BBB4CFB">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z w:val="21"/>
                <w:szCs w:val="21"/>
                <w:highlight w:val="none"/>
              </w:rPr>
            </w:pPr>
          </w:p>
        </w:tc>
        <w:tc>
          <w:tcPr>
            <w:tcW w:w="1395" w:type="pct"/>
            <w:tcBorders>
              <w:top w:val="single" w:color="auto" w:sz="2" w:space="0"/>
              <w:left w:val="single" w:color="auto" w:sz="2" w:space="0"/>
              <w:bottom w:val="single" w:color="auto" w:sz="2" w:space="0"/>
              <w:right w:val="single" w:color="auto" w:sz="2" w:space="0"/>
            </w:tcBorders>
            <w:vAlign w:val="center"/>
          </w:tcPr>
          <w:p w14:paraId="02E7B14A">
            <w:pPr>
              <w:keepNext w:val="0"/>
              <w:keepLines w:val="0"/>
              <w:pageBreakBefore w:val="0"/>
              <w:widowControl w:val="0"/>
              <w:kinsoku/>
              <w:wordWrap/>
              <w:overflowPunct/>
              <w:bidi w:val="0"/>
              <w:adjustRightInd w:val="0"/>
              <w:snapToGrid w:val="0"/>
              <w:spacing w:line="440" w:lineRule="exact"/>
              <w:jc w:val="center"/>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银行账号</w:t>
            </w:r>
          </w:p>
        </w:tc>
        <w:tc>
          <w:tcPr>
            <w:tcW w:w="1261" w:type="pct"/>
            <w:tcBorders>
              <w:top w:val="single" w:color="auto" w:sz="2" w:space="0"/>
              <w:left w:val="single" w:color="auto" w:sz="2" w:space="0"/>
              <w:bottom w:val="single" w:color="auto" w:sz="2" w:space="0"/>
            </w:tcBorders>
            <w:vAlign w:val="center"/>
          </w:tcPr>
          <w:p w14:paraId="46CA13A6">
            <w:pPr>
              <w:keepNext w:val="0"/>
              <w:keepLines w:val="0"/>
              <w:pageBreakBefore w:val="0"/>
              <w:widowControl w:val="0"/>
              <w:kinsoku/>
              <w:wordWrap/>
              <w:overflowPunct/>
              <w:bidi w:val="0"/>
              <w:adjustRightInd w:val="0"/>
              <w:snapToGrid w:val="0"/>
              <w:spacing w:line="440" w:lineRule="exact"/>
              <w:jc w:val="center"/>
              <w:outlineLvl w:val="9"/>
              <w:rPr>
                <w:rFonts w:hint="eastAsia" w:ascii="宋体" w:hAnsi="宋体" w:eastAsia="宋体" w:cs="宋体"/>
                <w:color w:val="auto"/>
                <w:spacing w:val="20"/>
                <w:sz w:val="21"/>
                <w:szCs w:val="21"/>
                <w:highlight w:val="none"/>
              </w:rPr>
            </w:pPr>
          </w:p>
        </w:tc>
      </w:tr>
    </w:tbl>
    <w:p w14:paraId="24D78729">
      <w:pPr>
        <w:keepNext w:val="0"/>
        <w:keepLines w:val="0"/>
        <w:pageBreakBefore w:val="0"/>
        <w:widowControl w:val="0"/>
        <w:kinsoku/>
        <w:wordWrap/>
        <w:overflowPunct/>
        <w:topLinePunct/>
        <w:autoSpaceDE w:val="0"/>
        <w:autoSpaceDN w:val="0"/>
        <w:bidi w:val="0"/>
        <w:adjustRightInd/>
        <w:snapToGrid/>
        <w:spacing w:line="360" w:lineRule="auto"/>
        <w:jc w:val="center"/>
        <w:textAlignment w:val="auto"/>
        <w:outlineLvl w:val="2"/>
        <w:rPr>
          <w:rFonts w:hint="eastAsia" w:ascii="宋体" w:hAnsi="宋体" w:cs="宋体"/>
          <w:b/>
          <w:color w:val="auto"/>
          <w:sz w:val="24"/>
          <w:highlight w:val="none"/>
        </w:rPr>
      </w:pPr>
      <w:r>
        <w:rPr>
          <w:rFonts w:hint="eastAsia" w:ascii="宋体" w:hAnsi="宋体" w:eastAsia="宋体" w:cs="宋体"/>
          <w:b/>
          <w:color w:val="auto"/>
          <w:sz w:val="21"/>
          <w:szCs w:val="21"/>
          <w:highlight w:val="none"/>
        </w:rPr>
        <w:br w:type="page"/>
      </w:r>
      <w:r>
        <w:rPr>
          <w:rFonts w:hint="eastAsia" w:ascii="宋体" w:hAnsi="宋体" w:cs="宋体"/>
          <w:b/>
          <w:color w:val="auto"/>
          <w:sz w:val="24"/>
          <w:highlight w:val="none"/>
        </w:rPr>
        <w:t>二   合 同 通 用 条 款</w:t>
      </w:r>
    </w:p>
    <w:p w14:paraId="7C4649C7">
      <w:pPr>
        <w:keepNext w:val="0"/>
        <w:keepLines w:val="0"/>
        <w:pageBreakBefore w:val="0"/>
        <w:widowControl w:val="0"/>
        <w:kinsoku/>
        <w:wordWrap/>
        <w:overflowPunct/>
        <w:topLinePunct/>
        <w:autoSpaceDE w:val="0"/>
        <w:autoSpaceDN w:val="0"/>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bookmarkStart w:id="116" w:name="_Toc31132"/>
      <w:r>
        <w:rPr>
          <w:rFonts w:hint="eastAsia" w:ascii="宋体" w:hAnsi="宋体" w:eastAsia="宋体" w:cs="宋体"/>
          <w:b/>
          <w:color w:val="auto"/>
          <w:sz w:val="21"/>
          <w:szCs w:val="21"/>
          <w:highlight w:val="none"/>
        </w:rPr>
        <w:t>1. 定义</w:t>
      </w:r>
      <w:bookmarkEnd w:id="116"/>
    </w:p>
    <w:p w14:paraId="79C827A9">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本合同下列术语应解释为</w:t>
      </w:r>
      <w:r>
        <w:rPr>
          <w:rFonts w:hint="eastAsia" w:ascii="宋体" w:hAnsi="宋体" w:eastAsia="宋体" w:cs="宋体"/>
          <w:color w:val="auto"/>
          <w:sz w:val="21"/>
          <w:szCs w:val="21"/>
          <w:highlight w:val="none"/>
          <w:lang w:eastAsia="zh-CN"/>
        </w:rPr>
        <w:t>：</w:t>
      </w:r>
    </w:p>
    <w:p w14:paraId="6ADCA09A">
      <w:pPr>
        <w:keepNext w:val="0"/>
        <w:keepLines w:val="0"/>
        <w:pageBreakBefore w:val="0"/>
        <w:widowControl w:val="0"/>
        <w:tabs>
          <w:tab w:val="left" w:pos="700"/>
        </w:tabs>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是指</w:t>
      </w:r>
      <w:r>
        <w:rPr>
          <w:rFonts w:hint="eastAsia" w:ascii="宋体" w:hAnsi="宋体" w:cs="宋体"/>
          <w:color w:val="auto"/>
          <w:sz w:val="21"/>
          <w:szCs w:val="21"/>
          <w:highlight w:val="none"/>
          <w:lang w:val="en-US" w:eastAsia="zh-CN"/>
        </w:rPr>
        <w:t>国家税务总局昆明市官渡区税务局</w:t>
      </w:r>
      <w:r>
        <w:rPr>
          <w:rFonts w:hint="eastAsia" w:ascii="宋体" w:hAnsi="宋体" w:eastAsia="宋体" w:cs="宋体"/>
          <w:color w:val="auto"/>
          <w:sz w:val="21"/>
          <w:szCs w:val="21"/>
          <w:highlight w:val="none"/>
        </w:rPr>
        <w:t>。</w:t>
      </w:r>
    </w:p>
    <w:p w14:paraId="1BCDB316">
      <w:pPr>
        <w:keepNext w:val="0"/>
        <w:keepLines w:val="0"/>
        <w:pageBreakBefore w:val="0"/>
        <w:widowControl w:val="0"/>
        <w:tabs>
          <w:tab w:val="left" w:pos="700"/>
        </w:tabs>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甲方采购部门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合同条款前附表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甲方采购部门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21282CA5">
      <w:pPr>
        <w:keepNext w:val="0"/>
        <w:keepLines w:val="0"/>
        <w:pageBreakBefore w:val="0"/>
        <w:widowControl w:val="0"/>
        <w:tabs>
          <w:tab w:val="left" w:pos="700"/>
        </w:tabs>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eastAsia="zh-CN"/>
        </w:rPr>
        <w:t>需求部门”</w:t>
      </w:r>
      <w:r>
        <w:rPr>
          <w:rFonts w:hint="eastAsia" w:ascii="宋体" w:hAnsi="宋体" w:eastAsia="宋体" w:cs="宋体"/>
          <w:color w:val="auto"/>
          <w:sz w:val="21"/>
          <w:szCs w:val="21"/>
          <w:highlight w:val="none"/>
        </w:rPr>
        <w:t>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合同条款前附表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eastAsia="zh-CN"/>
        </w:rPr>
        <w:t>需求部门”</w:t>
      </w:r>
      <w:r>
        <w:rPr>
          <w:rFonts w:hint="eastAsia" w:ascii="宋体" w:hAnsi="宋体" w:eastAsia="宋体" w:cs="宋体"/>
          <w:color w:val="auto"/>
          <w:sz w:val="21"/>
          <w:szCs w:val="21"/>
          <w:highlight w:val="none"/>
        </w:rPr>
        <w:t>。</w:t>
      </w:r>
    </w:p>
    <w:p w14:paraId="44133287">
      <w:pPr>
        <w:keepNext w:val="0"/>
        <w:keepLines w:val="0"/>
        <w:pageBreakBefore w:val="0"/>
        <w:widowControl w:val="0"/>
        <w:tabs>
          <w:tab w:val="left" w:pos="700"/>
        </w:tabs>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合同条款前附表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乙方名称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42BA1DEB">
      <w:pPr>
        <w:keepNext w:val="0"/>
        <w:keepLines w:val="0"/>
        <w:pageBreakBefore w:val="0"/>
        <w:widowControl w:val="0"/>
        <w:tabs>
          <w:tab w:val="left" w:pos="700"/>
        </w:tabs>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系指甲乙双方签订的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合同格式中载明的甲乙双方所达成的协议</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包括所有的附件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附录和上述文件所提到的构成合同的所有文件。</w:t>
      </w:r>
    </w:p>
    <w:p w14:paraId="51269850">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除非特别指出</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均为自然天。</w:t>
      </w:r>
    </w:p>
    <w:p w14:paraId="62D0D572">
      <w:pPr>
        <w:keepNext w:val="0"/>
        <w:keepLines w:val="0"/>
        <w:pageBreakBefore w:val="0"/>
        <w:widowControl w:val="0"/>
        <w:kinsoku/>
        <w:wordWrap/>
        <w:overflowPunct/>
        <w:topLinePunct/>
        <w:autoSpaceDE w:val="0"/>
        <w:autoSpaceDN w:val="0"/>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bookmarkStart w:id="117" w:name="_Toc27171"/>
      <w:r>
        <w:rPr>
          <w:rFonts w:hint="eastAsia" w:ascii="宋体" w:hAnsi="宋体" w:eastAsia="宋体" w:cs="宋体"/>
          <w:b/>
          <w:color w:val="auto"/>
          <w:sz w:val="21"/>
          <w:szCs w:val="21"/>
          <w:highlight w:val="none"/>
        </w:rPr>
        <w:t>2. 标准</w:t>
      </w:r>
      <w:bookmarkEnd w:id="117"/>
    </w:p>
    <w:p w14:paraId="64E27694">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乙方为甲方</w:t>
      </w:r>
      <w:r>
        <w:rPr>
          <w:rFonts w:hint="eastAsia" w:ascii="宋体" w:hAnsi="宋体" w:eastAsia="宋体" w:cs="宋体"/>
          <w:color w:val="auto"/>
          <w:sz w:val="21"/>
          <w:szCs w:val="21"/>
          <w:highlight w:val="none"/>
          <w:lang w:eastAsia="zh-CN"/>
        </w:rPr>
        <w:t>交付或</w:t>
      </w:r>
      <w:r>
        <w:rPr>
          <w:rFonts w:hint="eastAsia" w:ascii="宋体" w:hAnsi="宋体" w:eastAsia="宋体" w:cs="宋体"/>
          <w:color w:val="auto"/>
          <w:sz w:val="21"/>
          <w:szCs w:val="21"/>
          <w:highlight w:val="none"/>
        </w:rPr>
        <w:t>提供的服务应符合</w:t>
      </w:r>
      <w:r>
        <w:rPr>
          <w:rFonts w:hint="eastAsia" w:ascii="宋体" w:hAnsi="宋体" w:eastAsia="宋体" w:cs="宋体"/>
          <w:color w:val="auto"/>
          <w:sz w:val="21"/>
          <w:szCs w:val="21"/>
          <w:highlight w:val="none"/>
          <w:lang w:eastAsia="zh-CN"/>
        </w:rPr>
        <w:t>招标（采购）文件</w:t>
      </w:r>
      <w:r>
        <w:rPr>
          <w:rFonts w:hint="eastAsia" w:ascii="宋体" w:hAnsi="宋体" w:eastAsia="宋体" w:cs="宋体"/>
          <w:color w:val="auto"/>
          <w:sz w:val="21"/>
          <w:szCs w:val="21"/>
          <w:highlight w:val="none"/>
        </w:rPr>
        <w:t>所述的</w:t>
      </w:r>
      <w:r>
        <w:rPr>
          <w:rFonts w:hint="eastAsia" w:ascii="宋体" w:hAnsi="宋体" w:eastAsia="宋体" w:cs="宋体"/>
          <w:color w:val="auto"/>
          <w:sz w:val="21"/>
          <w:szCs w:val="21"/>
          <w:highlight w:val="none"/>
          <w:lang w:eastAsia="zh-CN"/>
        </w:rPr>
        <w:t>标准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如果没有提及适用标准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则应符合相应的国家标准。这些标准必须是有关机构发布的最新版本的标准。</w:t>
      </w:r>
    </w:p>
    <w:p w14:paraId="39E8276B">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除非技术要求中另有规定</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计量单位均采用中华人民共和国法定计量单位。</w:t>
      </w:r>
    </w:p>
    <w:p w14:paraId="481A0AEE">
      <w:pPr>
        <w:keepNext w:val="0"/>
        <w:keepLines w:val="0"/>
        <w:pageBreakBefore w:val="0"/>
        <w:widowControl w:val="0"/>
        <w:kinsoku/>
        <w:wordWrap/>
        <w:overflowPunct/>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bookmarkStart w:id="118" w:name="_Toc17204"/>
      <w:r>
        <w:rPr>
          <w:rFonts w:hint="eastAsia" w:ascii="宋体" w:hAnsi="宋体" w:eastAsia="宋体" w:cs="宋体"/>
          <w:b/>
          <w:color w:val="auto"/>
          <w:sz w:val="21"/>
          <w:szCs w:val="21"/>
          <w:highlight w:val="none"/>
        </w:rPr>
        <w:t>3. 服务</w:t>
      </w:r>
      <w:bookmarkEnd w:id="118"/>
    </w:p>
    <w:p w14:paraId="03D86EE8">
      <w:pPr>
        <w:keepNext w:val="0"/>
        <w:keepLines w:val="0"/>
        <w:pageBreakBefore w:val="0"/>
        <w:widowControl w:val="0"/>
        <w:tabs>
          <w:tab w:val="left" w:pos="700"/>
        </w:tabs>
        <w:kinsoku/>
        <w:wordWrap/>
        <w:overflowPunct/>
        <w:bidi w:val="0"/>
        <w:adjustRightInd/>
        <w:snapToGrid/>
        <w:spacing w:line="360" w:lineRule="auto"/>
        <w:ind w:firstLine="420" w:firstLineChars="200"/>
        <w:textAlignment w:val="auto"/>
        <w:outlineLvl w:val="9"/>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3.1 本项目的</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服务</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见</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合同条款前附表</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第</w:t>
      </w: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rPr>
        <w:t>项</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服务内容</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w:t>
      </w:r>
    </w:p>
    <w:p w14:paraId="3546CE5E">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乙方应保证所提供的服务符合合同规定的技术要求。如不符时</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乙方应负全责并尽快处理解决</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由此造成的损失和相关费用由乙方负责</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甲方保留终止合同及索赔的权利。</w:t>
      </w:r>
    </w:p>
    <w:p w14:paraId="3BBFF674">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乙方应保证通过执行合同中全部方案后</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可以取得本合同</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的结果</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达到本合同</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的预期目标。对任何情况下出现的问题</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应尽快提出解决方案。</w:t>
      </w:r>
    </w:p>
    <w:p w14:paraId="262B3AB9">
      <w:pPr>
        <w:keepNext w:val="0"/>
        <w:keepLines w:val="0"/>
        <w:pageBreakBefore w:val="0"/>
        <w:widowControl w:val="0"/>
        <w:tabs>
          <w:tab w:val="left" w:pos="0"/>
          <w:tab w:val="left" w:pos="540"/>
        </w:tabs>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 如果乙方提供的服务和解决方案不符合甲方要求</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或在规定的时间内没有弥补缺陷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甲方有权采取一切必要的补救措施</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由此产生的费用全部由乙方负责。</w:t>
      </w:r>
    </w:p>
    <w:p w14:paraId="37244D87">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 除合同条款另行规定外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伴随服务的费用应含在合同价中</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不单独进行支付。</w:t>
      </w:r>
    </w:p>
    <w:p w14:paraId="139C2BB7">
      <w:pPr>
        <w:keepNext w:val="0"/>
        <w:keepLines w:val="0"/>
        <w:pageBreakBefore w:val="0"/>
        <w:widowControl w:val="0"/>
        <w:tabs>
          <w:tab w:val="left" w:pos="0"/>
          <w:tab w:val="left" w:pos="540"/>
        </w:tabs>
        <w:kinsoku/>
        <w:wordWrap/>
        <w:overflowPunct/>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bookmarkStart w:id="119" w:name="_Toc1090"/>
      <w:r>
        <w:rPr>
          <w:rFonts w:hint="eastAsia" w:ascii="宋体" w:hAnsi="宋体" w:eastAsia="宋体" w:cs="宋体"/>
          <w:b/>
          <w:color w:val="auto"/>
          <w:sz w:val="21"/>
          <w:szCs w:val="21"/>
          <w:highlight w:val="none"/>
        </w:rPr>
        <w:t>4. 知识产权</w:t>
      </w:r>
      <w:bookmarkEnd w:id="119"/>
    </w:p>
    <w:p w14:paraId="437249D1">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乙方应保证所提供</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服务免受第三方提出侵犯其知识产权（专利权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商标权</w:t>
      </w:r>
      <w:r>
        <w:rPr>
          <w:rFonts w:hint="eastAsia" w:ascii="宋体" w:hAnsi="宋体" w:eastAsia="宋体" w:cs="宋体"/>
          <w:color w:val="auto"/>
          <w:sz w:val="21"/>
          <w:szCs w:val="21"/>
          <w:highlight w:val="none"/>
          <w:lang w:eastAsia="zh-CN"/>
        </w:rPr>
        <w:t>、软件著作权、</w:t>
      </w:r>
      <w:r>
        <w:rPr>
          <w:rFonts w:hint="eastAsia" w:ascii="宋体" w:hAnsi="宋体" w:eastAsia="宋体" w:cs="宋体"/>
          <w:color w:val="auto"/>
          <w:sz w:val="21"/>
          <w:szCs w:val="21"/>
          <w:highlight w:val="none"/>
        </w:rPr>
        <w:t>版权等）的起诉。</w:t>
      </w:r>
    </w:p>
    <w:p w14:paraId="33E50503">
      <w:pPr>
        <w:keepNext w:val="0"/>
        <w:keepLines w:val="0"/>
        <w:pageBreakBefore w:val="0"/>
        <w:widowControl w:val="0"/>
        <w:tabs>
          <w:tab w:val="left" w:pos="0"/>
          <w:tab w:val="left" w:pos="540"/>
        </w:tabs>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甲方对项目实施过程中所产生的所有成果（包括发明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可运行系统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源代码及相关技术资料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文档等）享有永久使用权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复制权和修改权</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其专利申请权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专利权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软件著作权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技术秘密的所有权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使用权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转让权等知识产权归甲方所有。</w:t>
      </w:r>
    </w:p>
    <w:p w14:paraId="01A78065">
      <w:pPr>
        <w:keepNext w:val="0"/>
        <w:keepLines w:val="0"/>
        <w:pageBreakBefore w:val="0"/>
        <w:widowControl w:val="0"/>
        <w:tabs>
          <w:tab w:val="left" w:pos="0"/>
          <w:tab w:val="left" w:pos="540"/>
        </w:tabs>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 乙方不得利用本项目实施过程中所产生的成果（包括发明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可运行系统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源代码及相关技术资料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文档等）</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另行自行开发本合同业务范围内供纳税人</w:t>
      </w:r>
      <w:r>
        <w:rPr>
          <w:rFonts w:hint="eastAsia" w:ascii="宋体" w:hAnsi="宋体" w:eastAsia="宋体" w:cs="宋体"/>
          <w:color w:val="auto"/>
          <w:sz w:val="21"/>
          <w:szCs w:val="21"/>
          <w:highlight w:val="none"/>
          <w:lang w:eastAsia="zh-CN"/>
        </w:rPr>
        <w:t>缴费人</w:t>
      </w:r>
      <w:r>
        <w:rPr>
          <w:rFonts w:hint="eastAsia" w:ascii="宋体" w:hAnsi="宋体" w:eastAsia="宋体" w:cs="宋体"/>
          <w:color w:val="auto"/>
          <w:sz w:val="21"/>
          <w:szCs w:val="21"/>
          <w:highlight w:val="none"/>
        </w:rPr>
        <w:t>使用的软件或产品</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不得利用开发便利变相收费或搭车收费。</w:t>
      </w:r>
    </w:p>
    <w:p w14:paraId="7438C382">
      <w:pPr>
        <w:keepNext w:val="0"/>
        <w:keepLines w:val="0"/>
        <w:pageBreakBefore w:val="0"/>
        <w:widowControl w:val="0"/>
        <w:kinsoku/>
        <w:wordWrap/>
        <w:overflowPunct/>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bookmarkStart w:id="120" w:name="_Toc14278"/>
      <w:r>
        <w:rPr>
          <w:rFonts w:hint="eastAsia" w:ascii="宋体" w:hAnsi="宋体" w:eastAsia="宋体" w:cs="宋体"/>
          <w:b/>
          <w:color w:val="auto"/>
          <w:sz w:val="21"/>
          <w:szCs w:val="21"/>
          <w:highlight w:val="none"/>
        </w:rPr>
        <w:t>5. 保密条款</w:t>
      </w:r>
      <w:bookmarkEnd w:id="120"/>
    </w:p>
    <w:p w14:paraId="15BAE734">
      <w:pPr>
        <w:keepNext w:val="0"/>
        <w:keepLines w:val="0"/>
        <w:pageBreakBefore w:val="0"/>
        <w:widowControl w:val="0"/>
        <w:kinsoku/>
        <w:wordWrap/>
        <w:overflowPunct/>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甲乙双方应对在本合同签订或履行过程中所接触的对方信息</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包括但不限于知识产权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技术资料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技术诀窍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内部管理及其他相关信息</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负有保密义务。</w:t>
      </w:r>
    </w:p>
    <w:p w14:paraId="30F5A5E8">
      <w:pPr>
        <w:keepNext w:val="0"/>
        <w:keepLines w:val="0"/>
        <w:pageBreakBefore w:val="0"/>
        <w:widowControl w:val="0"/>
        <w:kinsoku/>
        <w:wordWrap/>
        <w:overflowPunct/>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5.2 乙方在使用甲方为乙方及其工作人员提供的数据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程序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用户名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口令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资料及甲方相关的业务和技术文档</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包括税收政策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方案设计细节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程序文件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数据结构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以及相关业务系统的软硬件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文档</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测试和测试产生的数据时</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应遵循以下规定</w:t>
      </w:r>
      <w:r>
        <w:rPr>
          <w:rFonts w:hint="eastAsia" w:ascii="宋体" w:hAnsi="宋体" w:eastAsia="宋体" w:cs="宋体"/>
          <w:color w:val="auto"/>
          <w:sz w:val="21"/>
          <w:szCs w:val="21"/>
          <w:highlight w:val="none"/>
          <w:lang w:eastAsia="zh-CN"/>
        </w:rPr>
        <w:t>：</w:t>
      </w:r>
    </w:p>
    <w:p w14:paraId="704B17F6">
      <w:pPr>
        <w:keepNext w:val="0"/>
        <w:keepLines w:val="0"/>
        <w:pageBreakBefore w:val="0"/>
        <w:widowControl w:val="0"/>
        <w:kinsoku/>
        <w:wordWrap/>
        <w:overflowPunct/>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应以审慎态度避免泄漏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公开或传播甲方的信息；</w:t>
      </w:r>
    </w:p>
    <w:p w14:paraId="4AFB4844">
      <w:pPr>
        <w:keepNext w:val="0"/>
        <w:keepLines w:val="0"/>
        <w:pageBreakBefore w:val="0"/>
        <w:widowControl w:val="0"/>
        <w:kinsoku/>
        <w:wordWrap/>
        <w:overflowPunct/>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在开发过程中对数据的处理方式应事先得到甲方的许可；</w:t>
      </w:r>
    </w:p>
    <w:p w14:paraId="2420216F">
      <w:pPr>
        <w:keepNext w:val="0"/>
        <w:keepLines w:val="0"/>
        <w:pageBreakBefore w:val="0"/>
        <w:widowControl w:val="0"/>
        <w:kinsoku/>
        <w:wordWrap/>
        <w:overflowPunct/>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未经甲方书面许可</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不得对有关信息进行修改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补充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复制；</w:t>
      </w:r>
    </w:p>
    <w:p w14:paraId="46FFD06D">
      <w:pPr>
        <w:keepNext w:val="0"/>
        <w:keepLines w:val="0"/>
        <w:pageBreakBefore w:val="0"/>
        <w:widowControl w:val="0"/>
        <w:kinsoku/>
        <w:wordWrap/>
        <w:overflowPunct/>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未经甲方书面许可</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不得将信息以任何方式（如E-mail）携带出甲方场所；</w:t>
      </w:r>
    </w:p>
    <w:p w14:paraId="52C9DDC2">
      <w:pPr>
        <w:keepNext w:val="0"/>
        <w:keepLines w:val="0"/>
        <w:pageBreakBefore w:val="0"/>
        <w:widowControl w:val="0"/>
        <w:kinsoku/>
        <w:wordWrap/>
        <w:overflowPunct/>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未经甲方书面许可</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 xml:space="preserve">不得将信息透露给任何其他人； </w:t>
      </w:r>
    </w:p>
    <w:p w14:paraId="05FCA83C">
      <w:pPr>
        <w:keepNext w:val="0"/>
        <w:keepLines w:val="0"/>
        <w:pageBreakBefore w:val="0"/>
        <w:widowControl w:val="0"/>
        <w:kinsoku/>
        <w:wordWrap/>
        <w:overflowPunct/>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严禁在提交的软件</w:t>
      </w:r>
      <w:r>
        <w:rPr>
          <w:rFonts w:hint="eastAsia" w:ascii="宋体" w:hAnsi="宋体" w:eastAsia="宋体" w:cs="宋体"/>
          <w:color w:val="auto"/>
          <w:sz w:val="21"/>
          <w:szCs w:val="21"/>
          <w:highlight w:val="none"/>
          <w:lang w:eastAsia="zh-CN"/>
        </w:rPr>
        <w:t>产品</w:t>
      </w:r>
      <w:r>
        <w:rPr>
          <w:rFonts w:hint="eastAsia" w:ascii="宋体" w:hAnsi="宋体" w:eastAsia="宋体" w:cs="宋体"/>
          <w:color w:val="auto"/>
          <w:sz w:val="21"/>
          <w:szCs w:val="21"/>
          <w:highlight w:val="none"/>
        </w:rPr>
        <w:t>中设置远程维护接口和后门程序；</w:t>
      </w:r>
    </w:p>
    <w:p w14:paraId="3D4C0BD0">
      <w:pPr>
        <w:keepNext w:val="0"/>
        <w:keepLines w:val="0"/>
        <w:pageBreakBefore w:val="0"/>
        <w:widowControl w:val="0"/>
        <w:kinsoku/>
        <w:wordWrap/>
        <w:overflowPunct/>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不得进行系统软硬件设备的远程维护；</w:t>
      </w:r>
    </w:p>
    <w:p w14:paraId="5F6B28BE">
      <w:pPr>
        <w:keepNext w:val="0"/>
        <w:keepLines w:val="0"/>
        <w:pageBreakBefore w:val="0"/>
        <w:widowControl w:val="0"/>
        <w:kinsoku/>
        <w:wordWrap/>
        <w:overflowPunct/>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 甲方以书面形式提出的其他保密措施。</w:t>
      </w:r>
    </w:p>
    <w:p w14:paraId="5FBDC354">
      <w:pPr>
        <w:keepNext w:val="0"/>
        <w:keepLines w:val="0"/>
        <w:pageBreakBefore w:val="0"/>
        <w:widowControl w:val="0"/>
        <w:kinsoku/>
        <w:wordWrap/>
        <w:overflowPunct/>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 保密期限不受合同有效期的限制</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在合同有效期结束后</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信息接受方仍应承担保密义务</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直至该等信息成为公开信息。</w:t>
      </w:r>
    </w:p>
    <w:p w14:paraId="182BAD91">
      <w:pPr>
        <w:keepNext w:val="0"/>
        <w:keepLines w:val="0"/>
        <w:pageBreakBefore w:val="0"/>
        <w:widowControl w:val="0"/>
        <w:kinsoku/>
        <w:wordWrap/>
        <w:overflowPunct/>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 甲乙双方如出现泄密行为</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泄密方应承担相关的法律责任</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包括但是不限于对由此给对方造成的经济损失进行赔偿。</w:t>
      </w:r>
    </w:p>
    <w:p w14:paraId="06CB5033">
      <w:pPr>
        <w:keepNext w:val="0"/>
        <w:keepLines w:val="0"/>
        <w:pageBreakBefore w:val="0"/>
        <w:widowControl w:val="0"/>
        <w:kinsoku/>
        <w:wordWrap/>
        <w:overflowPunct/>
        <w:topLinePunct/>
        <w:autoSpaceDE w:val="0"/>
        <w:autoSpaceDN w:val="0"/>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bookmarkStart w:id="121" w:name="_Toc26332"/>
      <w:r>
        <w:rPr>
          <w:rFonts w:hint="eastAsia" w:ascii="宋体" w:hAnsi="宋体" w:eastAsia="宋体" w:cs="宋体"/>
          <w:b/>
          <w:color w:val="auto"/>
          <w:sz w:val="21"/>
          <w:szCs w:val="21"/>
          <w:highlight w:val="none"/>
          <w:lang w:val="en-US" w:eastAsia="zh-CN"/>
        </w:rPr>
        <w:t>6</w:t>
      </w: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1"/>
          <w:szCs w:val="21"/>
          <w:highlight w:val="none"/>
          <w:lang w:eastAsia="zh-CN"/>
        </w:rPr>
        <w:t>履约</w:t>
      </w:r>
      <w:r>
        <w:rPr>
          <w:rFonts w:hint="eastAsia" w:ascii="宋体" w:hAnsi="宋体" w:eastAsia="宋体" w:cs="宋体"/>
          <w:b/>
          <w:color w:val="auto"/>
          <w:sz w:val="21"/>
          <w:szCs w:val="21"/>
          <w:highlight w:val="none"/>
        </w:rPr>
        <w:t>验收要求</w:t>
      </w:r>
      <w:bookmarkEnd w:id="121"/>
    </w:p>
    <w:p w14:paraId="7CB1580A">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 甲方</w:t>
      </w:r>
      <w:r>
        <w:rPr>
          <w:rFonts w:hint="eastAsia" w:ascii="宋体" w:hAnsi="宋体" w:eastAsia="宋体" w:cs="宋体"/>
          <w:color w:val="auto"/>
          <w:sz w:val="21"/>
          <w:szCs w:val="21"/>
          <w:highlight w:val="none"/>
          <w:lang w:eastAsia="zh-CN"/>
        </w:rPr>
        <w:t>需求部门</w:t>
      </w:r>
      <w:r>
        <w:rPr>
          <w:rFonts w:hint="eastAsia" w:ascii="宋体" w:hAnsi="宋体" w:eastAsia="宋体" w:cs="宋体"/>
          <w:color w:val="auto"/>
          <w:sz w:val="21"/>
          <w:szCs w:val="21"/>
          <w:highlight w:val="none"/>
        </w:rPr>
        <w:t>严格按照采购合同开展履约验收。验收时,</w:t>
      </w:r>
      <w:r>
        <w:rPr>
          <w:rFonts w:hint="eastAsia" w:ascii="宋体" w:hAnsi="宋体" w:eastAsia="宋体" w:cs="宋体"/>
          <w:color w:val="auto"/>
          <w:sz w:val="21"/>
          <w:szCs w:val="21"/>
          <w:highlight w:val="none"/>
          <w:lang w:eastAsia="zh-CN"/>
        </w:rPr>
        <w:t>应当按照本合同约定的技术、服务和安全标准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对</w:t>
      </w:r>
      <w:r>
        <w:rPr>
          <w:rFonts w:hint="eastAsia" w:ascii="宋体" w:hAnsi="宋体" w:cs="宋体"/>
          <w:color w:val="auto"/>
          <w:sz w:val="21"/>
          <w:szCs w:val="21"/>
          <w:highlight w:val="none"/>
          <w:lang w:eastAsia="zh-CN"/>
        </w:rPr>
        <w:t>乙方</w:t>
      </w:r>
      <w:r>
        <w:rPr>
          <w:rFonts w:hint="eastAsia" w:ascii="宋体" w:hAnsi="宋体" w:eastAsia="宋体" w:cs="宋体"/>
          <w:color w:val="auto"/>
          <w:sz w:val="21"/>
          <w:szCs w:val="21"/>
          <w:highlight w:val="none"/>
          <w:lang w:eastAsia="zh-CN"/>
        </w:rPr>
        <w:t>各项义务履行情况进行验收确认。未约定相关标准的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应当按照国家强制性规定、政策要求、安全标准和行业有关标准进行验收确认。</w:t>
      </w:r>
      <w:r>
        <w:rPr>
          <w:rFonts w:hint="eastAsia" w:ascii="宋体" w:hAnsi="宋体" w:eastAsia="宋体" w:cs="宋体"/>
          <w:color w:val="auto"/>
          <w:sz w:val="21"/>
          <w:szCs w:val="21"/>
          <w:highlight w:val="none"/>
        </w:rPr>
        <w:t>验收结束后</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应当出具验收意见</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列明合同事项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验收标准及验收情况</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由全体验收人员签字</w:t>
      </w:r>
      <w:r>
        <w:rPr>
          <w:rFonts w:hint="eastAsia" w:ascii="宋体" w:hAnsi="宋体" w:eastAsia="宋体" w:cs="宋体"/>
          <w:color w:val="auto"/>
          <w:sz w:val="21"/>
          <w:szCs w:val="21"/>
          <w:highlight w:val="none"/>
        </w:rPr>
        <w:t>。</w:t>
      </w:r>
    </w:p>
    <w:p w14:paraId="16D10964">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.2具体</w:t>
      </w:r>
      <w:r>
        <w:rPr>
          <w:rFonts w:hint="eastAsia" w:ascii="宋体" w:hAnsi="宋体" w:eastAsia="宋体" w:cs="宋体"/>
          <w:color w:val="auto"/>
          <w:sz w:val="21"/>
          <w:szCs w:val="21"/>
          <w:highlight w:val="none"/>
          <w:lang w:eastAsia="zh-CN"/>
        </w:rPr>
        <w:t>履约</w:t>
      </w:r>
      <w:r>
        <w:rPr>
          <w:rFonts w:hint="eastAsia" w:ascii="宋体" w:hAnsi="宋体" w:eastAsia="宋体" w:cs="宋体"/>
          <w:color w:val="auto"/>
          <w:sz w:val="21"/>
          <w:szCs w:val="21"/>
          <w:highlight w:val="none"/>
        </w:rPr>
        <w:t>验收要求</w:t>
      </w:r>
      <w:r>
        <w:rPr>
          <w:rFonts w:hint="eastAsia" w:ascii="宋体" w:hAnsi="宋体" w:eastAsia="宋体" w:cs="宋体"/>
          <w:color w:val="auto"/>
          <w:sz w:val="21"/>
          <w:szCs w:val="21"/>
          <w:highlight w:val="none"/>
          <w:lang w:eastAsia="zh-CN"/>
        </w:rPr>
        <w:t>：</w:t>
      </w:r>
    </w:p>
    <w:p w14:paraId="1D70E7AD">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6.2.1总体要求</w:t>
      </w:r>
    </w:p>
    <w:p w14:paraId="4B620502">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b w:val="0"/>
          <w:bCs w:val="0"/>
          <w:i w:val="0"/>
          <w:iCs w:val="0"/>
          <w:smallCaps w:val="0"/>
          <w:color w:val="auto"/>
          <w:kern w:val="0"/>
          <w:sz w:val="21"/>
          <w:szCs w:val="21"/>
          <w:highlight w:val="none"/>
          <w:lang w:eastAsia="zh-CN"/>
        </w:rPr>
        <w:t>甲方</w:t>
      </w:r>
      <w:r>
        <w:rPr>
          <w:rFonts w:hint="eastAsia" w:ascii="宋体" w:hAnsi="宋体" w:eastAsia="宋体" w:cs="宋体"/>
          <w:b w:val="0"/>
          <w:bCs w:val="0"/>
          <w:i w:val="0"/>
          <w:iCs w:val="0"/>
          <w:smallCaps w:val="0"/>
          <w:color w:val="auto"/>
          <w:kern w:val="0"/>
          <w:sz w:val="21"/>
          <w:szCs w:val="21"/>
          <w:highlight w:val="none"/>
          <w:lang w:eastAsia="en-US"/>
        </w:rPr>
        <w:t>对</w:t>
      </w:r>
      <w:r>
        <w:rPr>
          <w:rFonts w:hint="eastAsia" w:ascii="宋体" w:hAnsi="宋体" w:cs="宋体"/>
          <w:b w:val="0"/>
          <w:bCs w:val="0"/>
          <w:i w:val="0"/>
          <w:iCs w:val="0"/>
          <w:smallCaps w:val="0"/>
          <w:color w:val="auto"/>
          <w:kern w:val="0"/>
          <w:sz w:val="21"/>
          <w:szCs w:val="21"/>
          <w:highlight w:val="none"/>
          <w:lang w:eastAsia="zh-CN"/>
        </w:rPr>
        <w:t>乙方</w:t>
      </w:r>
      <w:r>
        <w:rPr>
          <w:rFonts w:hint="eastAsia" w:ascii="宋体" w:hAnsi="宋体" w:eastAsia="宋体" w:cs="宋体"/>
          <w:b w:val="0"/>
          <w:bCs w:val="0"/>
          <w:i w:val="0"/>
          <w:iCs w:val="0"/>
          <w:smallCaps w:val="0"/>
          <w:color w:val="auto"/>
          <w:kern w:val="0"/>
          <w:sz w:val="21"/>
          <w:szCs w:val="21"/>
          <w:highlight w:val="none"/>
          <w:lang w:eastAsia="en-US"/>
        </w:rPr>
        <w:t>所提供服务进行月度考核和日常不定期抽查，并将考核结果作为月度支付服务费用依据，考核标准按照《考核评分表》执行</w:t>
      </w:r>
      <w:r>
        <w:rPr>
          <w:rFonts w:hint="eastAsia" w:ascii="宋体" w:hAnsi="宋体" w:eastAsia="宋体" w:cs="宋体"/>
          <w:b w:val="0"/>
          <w:bCs w:val="0"/>
          <w:i w:val="0"/>
          <w:iCs w:val="0"/>
          <w:smallCaps w:val="0"/>
          <w:color w:val="auto"/>
          <w:kern w:val="0"/>
          <w:sz w:val="21"/>
          <w:szCs w:val="21"/>
          <w:highlight w:val="none"/>
          <w:lang w:eastAsia="zh-CN"/>
        </w:rPr>
        <w:t>。</w:t>
      </w:r>
    </w:p>
    <w:p w14:paraId="6B6CF59F">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outlineLvl w:val="9"/>
        <w:rPr>
          <w:rFonts w:hint="eastAsia" w:ascii="宋体" w:hAnsi="宋体" w:eastAsia="宋体" w:cs="宋体"/>
          <w:b w:val="0"/>
          <w:bCs w:val="0"/>
          <w:i/>
          <w:iCs/>
          <w:color w:val="auto"/>
          <w:sz w:val="21"/>
          <w:szCs w:val="21"/>
          <w:highlight w:val="none"/>
          <w:lang w:val="en-US" w:eastAsia="en-US" w:bidi="ar-SA"/>
        </w:rPr>
      </w:pPr>
      <w:bookmarkStart w:id="122" w:name="_Toc13223"/>
      <w:r>
        <w:rPr>
          <w:rFonts w:hint="eastAsia" w:ascii="宋体" w:hAnsi="宋体" w:eastAsia="宋体" w:cs="宋体"/>
          <w:b w:val="0"/>
          <w:bCs w:val="0"/>
          <w:color w:val="auto"/>
          <w:sz w:val="21"/>
          <w:szCs w:val="21"/>
          <w:highlight w:val="none"/>
          <w:lang w:val="en-US" w:eastAsia="zh-CN"/>
        </w:rPr>
        <w:t>6.2.2</w:t>
      </w:r>
      <w:r>
        <w:rPr>
          <w:rFonts w:hint="eastAsia" w:ascii="宋体" w:hAnsi="宋体" w:eastAsia="宋体" w:cs="宋体"/>
          <w:b w:val="0"/>
          <w:bCs w:val="0"/>
          <w:i w:val="0"/>
          <w:iCs w:val="0"/>
          <w:color w:val="auto"/>
          <w:sz w:val="21"/>
          <w:szCs w:val="21"/>
          <w:highlight w:val="none"/>
          <w:lang w:val="en-US" w:eastAsia="en-US" w:bidi="ar-SA"/>
        </w:rPr>
        <w:t>具体要求</w:t>
      </w:r>
    </w:p>
    <w:p w14:paraId="0074FEF4">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1.考核方式</w:t>
      </w:r>
    </w:p>
    <w:p w14:paraId="44DB2D64">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月度考核和不定期抽查相结合。</w:t>
      </w:r>
      <w:r>
        <w:rPr>
          <w:rFonts w:hint="eastAsia" w:ascii="宋体" w:hAnsi="宋体" w:cs="宋体"/>
          <w:color w:val="auto"/>
          <w:sz w:val="21"/>
          <w:szCs w:val="21"/>
          <w:highlight w:val="none"/>
          <w:lang w:val="en-US" w:eastAsia="zh-CN" w:bidi="ar-SA"/>
        </w:rPr>
        <w:t>甲方</w:t>
      </w:r>
      <w:r>
        <w:rPr>
          <w:rFonts w:hint="eastAsia" w:ascii="宋体" w:hAnsi="宋体" w:eastAsia="宋体" w:cs="宋体"/>
          <w:color w:val="auto"/>
          <w:sz w:val="21"/>
          <w:szCs w:val="21"/>
          <w:highlight w:val="none"/>
          <w:lang w:val="en-US" w:eastAsia="en-US" w:bidi="ar-SA"/>
        </w:rPr>
        <w:t>按月度对</w:t>
      </w:r>
      <w:r>
        <w:rPr>
          <w:rFonts w:hint="eastAsia" w:ascii="宋体" w:hAnsi="宋体" w:cs="宋体"/>
          <w:color w:val="auto"/>
          <w:sz w:val="21"/>
          <w:szCs w:val="21"/>
          <w:highlight w:val="none"/>
          <w:lang w:val="en-US" w:eastAsia="zh-CN" w:bidi="ar-SA"/>
        </w:rPr>
        <w:t>乙方</w:t>
      </w:r>
      <w:r>
        <w:rPr>
          <w:rFonts w:hint="eastAsia" w:ascii="宋体" w:hAnsi="宋体" w:eastAsia="宋体" w:cs="宋体"/>
          <w:color w:val="auto"/>
          <w:sz w:val="21"/>
          <w:szCs w:val="21"/>
          <w:highlight w:val="none"/>
          <w:lang w:val="en-US" w:eastAsia="en-US" w:bidi="ar-SA"/>
        </w:rPr>
        <w:t>服务进行全面考核，平时加强不定期抽查。</w:t>
      </w:r>
    </w:p>
    <w:p w14:paraId="3CE162EF">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2.考核办法</w:t>
      </w:r>
    </w:p>
    <w:p w14:paraId="37BEA1B4">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实行量化考核。月度考核实行按100分制计算，不定期抽查中发现问题的限期整改，到期整改不到位的双倍扣除对应计分标准，并计入食堂所属月度考核结果。</w:t>
      </w:r>
    </w:p>
    <w:p w14:paraId="02300CA5">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3.考核管理办法</w:t>
      </w:r>
    </w:p>
    <w:p w14:paraId="00475BE3">
      <w:pPr>
        <w:ind w:firstLine="562"/>
        <w:rPr>
          <w:b/>
          <w:bCs/>
          <w:color w:val="auto"/>
          <w:sz w:val="28"/>
          <w:szCs w:val="28"/>
          <w:highlight w:val="none"/>
        </w:rPr>
      </w:pPr>
      <w:r>
        <w:rPr>
          <w:b/>
          <w:bCs/>
          <w:color w:val="auto"/>
          <w:sz w:val="28"/>
          <w:szCs w:val="28"/>
          <w:highlight w:val="none"/>
        </w:rPr>
        <w:t>考核管理办法</w:t>
      </w:r>
    </w:p>
    <w:p w14:paraId="41C27B21">
      <w:pPr>
        <w:rPr>
          <w:color w:val="auto"/>
          <w:highlight w:val="none"/>
        </w:rPr>
      </w:pPr>
      <w:r>
        <w:rPr>
          <w:rFonts w:hint="eastAsia"/>
          <w:color w:val="auto"/>
          <w:highlight w:val="none"/>
        </w:rPr>
        <w:t>（1）甲方对物业管理工作达标情况实行月度考核。</w:t>
      </w:r>
    </w:p>
    <w:p w14:paraId="1AE72A22">
      <w:pPr>
        <w:rPr>
          <w:color w:val="auto"/>
          <w:highlight w:val="none"/>
        </w:rPr>
      </w:pPr>
      <w:r>
        <w:rPr>
          <w:rFonts w:hint="eastAsia"/>
          <w:color w:val="auto"/>
          <w:highlight w:val="none"/>
        </w:rPr>
        <w:t>（2）甲方对物业管理服务情况不定期抽查，抽查结果纳入月度考核成绩。</w:t>
      </w:r>
    </w:p>
    <w:p w14:paraId="4DE56A73">
      <w:pPr>
        <w:rPr>
          <w:color w:val="auto"/>
          <w:highlight w:val="none"/>
        </w:rPr>
      </w:pPr>
      <w:r>
        <w:rPr>
          <w:rFonts w:hint="eastAsia"/>
          <w:color w:val="auto"/>
          <w:highlight w:val="none"/>
        </w:rPr>
        <w:t>（3）考核结果不合格时，甲方按照物业公司投标时承诺的条款或按照合同约定条款进行处罚。</w:t>
      </w:r>
    </w:p>
    <w:p w14:paraId="1C343813">
      <w:pPr>
        <w:rPr>
          <w:color w:val="auto"/>
          <w:highlight w:val="none"/>
        </w:rPr>
      </w:pPr>
      <w:r>
        <w:rPr>
          <w:rFonts w:hint="eastAsia"/>
          <w:color w:val="auto"/>
          <w:highlight w:val="none"/>
        </w:rPr>
        <w:t>（4）考核验收参考标准</w:t>
      </w:r>
    </w:p>
    <w:tbl>
      <w:tblPr>
        <w:tblStyle w:val="25"/>
        <w:tblW w:w="4920" w:type="pct"/>
        <w:jc w:val="center"/>
        <w:tblLayout w:type="fixed"/>
        <w:tblCellMar>
          <w:top w:w="0" w:type="dxa"/>
          <w:left w:w="108" w:type="dxa"/>
          <w:bottom w:w="0" w:type="dxa"/>
          <w:right w:w="108" w:type="dxa"/>
        </w:tblCellMar>
      </w:tblPr>
      <w:tblGrid>
        <w:gridCol w:w="1096"/>
        <w:gridCol w:w="5198"/>
        <w:gridCol w:w="881"/>
        <w:gridCol w:w="1520"/>
      </w:tblGrid>
      <w:tr w14:paraId="3D03EB9C">
        <w:tblPrEx>
          <w:tblCellMar>
            <w:top w:w="0" w:type="dxa"/>
            <w:left w:w="108" w:type="dxa"/>
            <w:bottom w:w="0" w:type="dxa"/>
            <w:right w:w="108" w:type="dxa"/>
          </w:tblCellMar>
        </w:tblPrEx>
        <w:trPr>
          <w:trHeight w:val="90" w:hRule="atLeast"/>
          <w:jc w:val="center"/>
        </w:trPr>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41371">
            <w:pPr>
              <w:spacing w:line="240" w:lineRule="auto"/>
              <w:ind w:firstLine="0" w:firstLineChars="0"/>
              <w:rPr>
                <w:color w:val="auto"/>
                <w:highlight w:val="none"/>
              </w:rPr>
            </w:pPr>
            <w:r>
              <w:rPr>
                <w:rFonts w:hint="eastAsia"/>
                <w:color w:val="auto"/>
                <w:highlight w:val="none"/>
              </w:rPr>
              <w:t>被考核人</w:t>
            </w: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24776">
            <w:pPr>
              <w:spacing w:line="240" w:lineRule="auto"/>
              <w:rPr>
                <w:color w:val="auto"/>
                <w:highlight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FCC73">
            <w:pPr>
              <w:spacing w:line="240" w:lineRule="auto"/>
              <w:ind w:firstLine="0" w:firstLineChars="0"/>
              <w:rPr>
                <w:color w:val="auto"/>
                <w:highlight w:val="none"/>
              </w:rPr>
            </w:pPr>
            <w:r>
              <w:rPr>
                <w:rFonts w:hint="eastAsia"/>
                <w:color w:val="auto"/>
                <w:highlight w:val="none"/>
              </w:rPr>
              <w:t>检查时间</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C2556">
            <w:pPr>
              <w:spacing w:line="240" w:lineRule="auto"/>
              <w:rPr>
                <w:color w:val="auto"/>
                <w:highlight w:val="none"/>
              </w:rPr>
            </w:pPr>
          </w:p>
        </w:tc>
      </w:tr>
      <w:tr w14:paraId="3998DDDC">
        <w:tblPrEx>
          <w:tblCellMar>
            <w:top w:w="0" w:type="dxa"/>
            <w:left w:w="108" w:type="dxa"/>
            <w:bottom w:w="0" w:type="dxa"/>
            <w:right w:w="108" w:type="dxa"/>
          </w:tblCellMar>
        </w:tblPrEx>
        <w:trPr>
          <w:trHeight w:val="90" w:hRule="atLeast"/>
          <w:jc w:val="center"/>
        </w:trPr>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21558">
            <w:pPr>
              <w:spacing w:line="240" w:lineRule="auto"/>
              <w:ind w:firstLine="0" w:firstLineChars="0"/>
              <w:rPr>
                <w:color w:val="auto"/>
                <w:highlight w:val="none"/>
              </w:rPr>
            </w:pPr>
            <w:r>
              <w:rPr>
                <w:rFonts w:hint="eastAsia"/>
                <w:color w:val="auto"/>
                <w:highlight w:val="none"/>
              </w:rPr>
              <w:t>考核项目</w:t>
            </w: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3F363">
            <w:pPr>
              <w:spacing w:line="240" w:lineRule="auto"/>
              <w:ind w:firstLine="0" w:firstLineChars="0"/>
              <w:rPr>
                <w:color w:val="auto"/>
                <w:highlight w:val="none"/>
              </w:rPr>
            </w:pPr>
            <w:r>
              <w:rPr>
                <w:rFonts w:hint="eastAsia"/>
                <w:color w:val="auto"/>
                <w:highlight w:val="none"/>
              </w:rPr>
              <w:t xml:space="preserve"> 考核评分标准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7B853">
            <w:pPr>
              <w:spacing w:line="240" w:lineRule="auto"/>
              <w:ind w:firstLine="0" w:firstLineChars="0"/>
              <w:rPr>
                <w:color w:val="auto"/>
                <w:highlight w:val="none"/>
              </w:rPr>
            </w:pPr>
            <w:r>
              <w:rPr>
                <w:rFonts w:hint="eastAsia"/>
                <w:color w:val="auto"/>
                <w:highlight w:val="none"/>
              </w:rPr>
              <w:t>扣分</w:t>
            </w: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AABD7">
            <w:pPr>
              <w:spacing w:line="240" w:lineRule="auto"/>
              <w:ind w:firstLine="0" w:firstLineChars="0"/>
              <w:rPr>
                <w:color w:val="auto"/>
                <w:highlight w:val="none"/>
              </w:rPr>
            </w:pPr>
            <w:r>
              <w:rPr>
                <w:rFonts w:hint="eastAsia"/>
                <w:color w:val="auto"/>
                <w:highlight w:val="none"/>
              </w:rPr>
              <w:t>扣分简要说明</w:t>
            </w:r>
          </w:p>
        </w:tc>
      </w:tr>
      <w:tr w14:paraId="3211333D">
        <w:tblPrEx>
          <w:tblCellMar>
            <w:top w:w="0" w:type="dxa"/>
            <w:left w:w="108" w:type="dxa"/>
            <w:bottom w:w="0" w:type="dxa"/>
            <w:right w:w="108" w:type="dxa"/>
          </w:tblCellMar>
        </w:tblPrEx>
        <w:trPr>
          <w:trHeight w:val="90" w:hRule="atLeast"/>
          <w:jc w:val="center"/>
        </w:trPr>
        <w:tc>
          <w:tcPr>
            <w:tcW w:w="630" w:type="pct"/>
            <w:vMerge w:val="restart"/>
            <w:tcBorders>
              <w:top w:val="single" w:color="000000" w:sz="4" w:space="0"/>
              <w:left w:val="single" w:color="000000" w:sz="4" w:space="0"/>
              <w:right w:val="single" w:color="000000" w:sz="4" w:space="0"/>
            </w:tcBorders>
            <w:shd w:val="clear" w:color="auto" w:fill="auto"/>
            <w:vAlign w:val="center"/>
          </w:tcPr>
          <w:p w14:paraId="704CE2C3">
            <w:pPr>
              <w:spacing w:line="240" w:lineRule="auto"/>
              <w:ind w:firstLine="0" w:firstLineChars="0"/>
              <w:rPr>
                <w:color w:val="auto"/>
                <w:highlight w:val="none"/>
              </w:rPr>
            </w:pPr>
            <w:r>
              <w:rPr>
                <w:rFonts w:hint="eastAsia"/>
                <w:color w:val="auto"/>
                <w:highlight w:val="none"/>
              </w:rPr>
              <w:t>1.</w:t>
            </w:r>
            <w:r>
              <w:rPr>
                <w:rFonts w:hint="eastAsia"/>
                <w:color w:val="auto"/>
                <w:highlight w:val="none"/>
                <w:lang w:eastAsia="zh-CN"/>
              </w:rPr>
              <w:t>总体</w:t>
            </w:r>
            <w:r>
              <w:rPr>
                <w:rFonts w:hint="eastAsia"/>
                <w:color w:val="auto"/>
                <w:highlight w:val="none"/>
              </w:rPr>
              <w:t>服务</w:t>
            </w:r>
            <w:r>
              <w:rPr>
                <w:rFonts w:hint="eastAsia"/>
                <w:color w:val="auto"/>
                <w:highlight w:val="none"/>
                <w:lang w:eastAsia="zh-CN"/>
              </w:rPr>
              <w:t>管理</w:t>
            </w:r>
            <w:r>
              <w:rPr>
                <w:rFonts w:hint="eastAsia"/>
                <w:color w:val="auto"/>
                <w:highlight w:val="none"/>
              </w:rPr>
              <w:t>评分（20 分）</w:t>
            </w: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30BB8">
            <w:pPr>
              <w:spacing w:line="240" w:lineRule="auto"/>
              <w:ind w:firstLine="0" w:firstLineChars="0"/>
              <w:rPr>
                <w:color w:val="auto"/>
                <w:highlight w:val="none"/>
              </w:rPr>
            </w:pPr>
            <w:r>
              <w:rPr>
                <w:rFonts w:hint="eastAsia"/>
                <w:color w:val="auto"/>
                <w:highlight w:val="none"/>
              </w:rPr>
              <w:t>（1）未按要求制订物业服务相关方案制度，缺少一个扣 1 分，未落实到位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24BDC">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FAF6C">
            <w:pPr>
              <w:spacing w:line="240" w:lineRule="auto"/>
              <w:rPr>
                <w:color w:val="auto"/>
                <w:highlight w:val="none"/>
              </w:rPr>
            </w:pPr>
          </w:p>
        </w:tc>
      </w:tr>
      <w:tr w14:paraId="286553B0">
        <w:tblPrEx>
          <w:tblCellMar>
            <w:top w:w="0" w:type="dxa"/>
            <w:left w:w="108" w:type="dxa"/>
            <w:bottom w:w="0" w:type="dxa"/>
            <w:right w:w="108" w:type="dxa"/>
          </w:tblCellMar>
        </w:tblPrEx>
        <w:trPr>
          <w:trHeight w:val="90" w:hRule="atLeast"/>
          <w:jc w:val="center"/>
        </w:trPr>
        <w:tc>
          <w:tcPr>
            <w:tcW w:w="630" w:type="pct"/>
            <w:vMerge w:val="continue"/>
            <w:tcBorders>
              <w:left w:val="single" w:color="000000" w:sz="4" w:space="0"/>
              <w:right w:val="single" w:color="000000" w:sz="4" w:space="0"/>
            </w:tcBorders>
            <w:shd w:val="clear" w:color="auto" w:fill="auto"/>
            <w:vAlign w:val="center"/>
          </w:tcPr>
          <w:p w14:paraId="2FBFF61A">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C6A46">
            <w:pPr>
              <w:spacing w:line="240" w:lineRule="auto"/>
              <w:ind w:firstLine="0" w:firstLineChars="0"/>
              <w:rPr>
                <w:color w:val="auto"/>
                <w:highlight w:val="none"/>
              </w:rPr>
            </w:pPr>
            <w:r>
              <w:rPr>
                <w:rFonts w:hint="eastAsia"/>
                <w:color w:val="auto"/>
                <w:highlight w:val="none"/>
              </w:rPr>
              <w:t>（2）内部设施设备运行不正常一次扣 1 分，由于设施设备不正常运行影响工作开展一次扣 5 分，造成单位财产损失 5000 元及以上或人员伤亡一次扣 15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7FC5B">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48793">
            <w:pPr>
              <w:spacing w:line="240" w:lineRule="auto"/>
              <w:rPr>
                <w:color w:val="auto"/>
                <w:highlight w:val="none"/>
              </w:rPr>
            </w:pPr>
          </w:p>
        </w:tc>
      </w:tr>
      <w:tr w14:paraId="63DA0A23">
        <w:tblPrEx>
          <w:tblCellMar>
            <w:top w:w="0" w:type="dxa"/>
            <w:left w:w="108" w:type="dxa"/>
            <w:bottom w:w="0" w:type="dxa"/>
            <w:right w:w="108" w:type="dxa"/>
          </w:tblCellMar>
        </w:tblPrEx>
        <w:trPr>
          <w:trHeight w:val="90" w:hRule="atLeast"/>
          <w:jc w:val="center"/>
        </w:trPr>
        <w:tc>
          <w:tcPr>
            <w:tcW w:w="630" w:type="pct"/>
            <w:vMerge w:val="continue"/>
            <w:tcBorders>
              <w:left w:val="single" w:color="000000" w:sz="4" w:space="0"/>
              <w:right w:val="single" w:color="000000" w:sz="4" w:space="0"/>
            </w:tcBorders>
            <w:shd w:val="clear" w:color="auto" w:fill="auto"/>
            <w:vAlign w:val="center"/>
          </w:tcPr>
          <w:p w14:paraId="17C50B81">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C047B">
            <w:pPr>
              <w:spacing w:line="240" w:lineRule="auto"/>
              <w:ind w:firstLine="0" w:firstLineChars="0"/>
              <w:rPr>
                <w:color w:val="auto"/>
                <w:highlight w:val="none"/>
              </w:rPr>
            </w:pPr>
            <w:r>
              <w:rPr>
                <w:rFonts w:hint="eastAsia"/>
                <w:color w:val="auto"/>
                <w:highlight w:val="none"/>
              </w:rPr>
              <w:t>（3）24 小时服务电话未接听一次扣 1 分，接听电话后未及时提供服务一次扣 2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C3458">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CE39D">
            <w:pPr>
              <w:spacing w:line="240" w:lineRule="auto"/>
              <w:rPr>
                <w:color w:val="auto"/>
                <w:highlight w:val="none"/>
              </w:rPr>
            </w:pPr>
          </w:p>
        </w:tc>
      </w:tr>
      <w:tr w14:paraId="473B27DE">
        <w:tblPrEx>
          <w:tblCellMar>
            <w:top w:w="0" w:type="dxa"/>
            <w:left w:w="108" w:type="dxa"/>
            <w:bottom w:w="0" w:type="dxa"/>
            <w:right w:w="108" w:type="dxa"/>
          </w:tblCellMar>
        </w:tblPrEx>
        <w:trPr>
          <w:trHeight w:val="90" w:hRule="atLeast"/>
          <w:jc w:val="center"/>
        </w:trPr>
        <w:tc>
          <w:tcPr>
            <w:tcW w:w="630" w:type="pct"/>
            <w:vMerge w:val="continue"/>
            <w:tcBorders>
              <w:left w:val="single" w:color="000000" w:sz="4" w:space="0"/>
              <w:right w:val="single" w:color="000000" w:sz="4" w:space="0"/>
            </w:tcBorders>
            <w:shd w:val="clear" w:color="auto" w:fill="auto"/>
            <w:vAlign w:val="center"/>
          </w:tcPr>
          <w:p w14:paraId="0764673D">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7870A">
            <w:pPr>
              <w:spacing w:line="240" w:lineRule="auto"/>
              <w:ind w:firstLine="0" w:firstLineChars="0"/>
              <w:rPr>
                <w:color w:val="auto"/>
                <w:highlight w:val="none"/>
              </w:rPr>
            </w:pPr>
            <w:r>
              <w:rPr>
                <w:rFonts w:hint="eastAsia"/>
                <w:color w:val="auto"/>
                <w:highlight w:val="none"/>
              </w:rPr>
              <w:t>（</w:t>
            </w:r>
            <w:r>
              <w:rPr>
                <w:color w:val="auto"/>
                <w:highlight w:val="none"/>
              </w:rPr>
              <w:t>4</w:t>
            </w:r>
            <w:r>
              <w:rPr>
                <w:rFonts w:hint="eastAsia"/>
                <w:color w:val="auto"/>
                <w:highlight w:val="none"/>
              </w:rPr>
              <w:t>）无服务受理、投诉、回访处理程序扣 2 分，对于服务投诉受理及回访处理不及时一项次扣 1 分，对于回访处理后同一问题再次被投诉一项次扣 2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DD36E">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F21AB">
            <w:pPr>
              <w:spacing w:line="240" w:lineRule="auto"/>
              <w:rPr>
                <w:color w:val="auto"/>
                <w:highlight w:val="none"/>
              </w:rPr>
            </w:pPr>
          </w:p>
        </w:tc>
      </w:tr>
      <w:tr w14:paraId="7068863B">
        <w:tblPrEx>
          <w:tblCellMar>
            <w:top w:w="0" w:type="dxa"/>
            <w:left w:w="108" w:type="dxa"/>
            <w:bottom w:w="0" w:type="dxa"/>
            <w:right w:w="108" w:type="dxa"/>
          </w:tblCellMar>
        </w:tblPrEx>
        <w:trPr>
          <w:trHeight w:val="90" w:hRule="atLeast"/>
          <w:jc w:val="center"/>
        </w:trPr>
        <w:tc>
          <w:tcPr>
            <w:tcW w:w="630" w:type="pct"/>
            <w:vMerge w:val="continue"/>
            <w:tcBorders>
              <w:left w:val="single" w:color="000000" w:sz="4" w:space="0"/>
              <w:right w:val="single" w:color="000000" w:sz="4" w:space="0"/>
            </w:tcBorders>
            <w:shd w:val="clear" w:color="auto" w:fill="auto"/>
            <w:vAlign w:val="center"/>
          </w:tcPr>
          <w:p w14:paraId="6797B089">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BD60D">
            <w:pPr>
              <w:spacing w:line="240" w:lineRule="auto"/>
              <w:ind w:firstLine="0" w:firstLineChars="0"/>
              <w:rPr>
                <w:color w:val="auto"/>
                <w:highlight w:val="none"/>
              </w:rPr>
            </w:pPr>
            <w:r>
              <w:rPr>
                <w:rFonts w:hint="eastAsia"/>
                <w:color w:val="auto"/>
                <w:highlight w:val="none"/>
              </w:rPr>
              <w:t>（</w:t>
            </w:r>
            <w:r>
              <w:rPr>
                <w:color w:val="auto"/>
                <w:highlight w:val="none"/>
              </w:rPr>
              <w:t>5</w:t>
            </w:r>
            <w:r>
              <w:rPr>
                <w:rFonts w:hint="eastAsia"/>
                <w:color w:val="auto"/>
                <w:highlight w:val="none"/>
              </w:rPr>
              <w:t>）主要管理人员和专业技术人员持证上岗，服务人员着装统一整齐，佩戴标志，行为规范，服务热情。未按服务要求做到，一项次扣 2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0E664">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E00DA">
            <w:pPr>
              <w:spacing w:line="240" w:lineRule="auto"/>
              <w:rPr>
                <w:color w:val="auto"/>
                <w:highlight w:val="none"/>
              </w:rPr>
            </w:pPr>
          </w:p>
        </w:tc>
      </w:tr>
      <w:tr w14:paraId="5DC05A16">
        <w:tblPrEx>
          <w:tblCellMar>
            <w:top w:w="0" w:type="dxa"/>
            <w:left w:w="108" w:type="dxa"/>
            <w:bottom w:w="0" w:type="dxa"/>
            <w:right w:w="108" w:type="dxa"/>
          </w:tblCellMar>
        </w:tblPrEx>
        <w:trPr>
          <w:trHeight w:val="90" w:hRule="atLeast"/>
          <w:jc w:val="center"/>
        </w:trPr>
        <w:tc>
          <w:tcPr>
            <w:tcW w:w="630" w:type="pct"/>
            <w:vMerge w:val="continue"/>
            <w:tcBorders>
              <w:left w:val="single" w:color="000000" w:sz="4" w:space="0"/>
              <w:bottom w:val="single" w:color="000000" w:sz="4" w:space="0"/>
              <w:right w:val="single" w:color="000000" w:sz="4" w:space="0"/>
            </w:tcBorders>
            <w:shd w:val="clear" w:color="auto" w:fill="auto"/>
            <w:vAlign w:val="center"/>
          </w:tcPr>
          <w:p w14:paraId="2998E05F">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3867C">
            <w:pPr>
              <w:spacing w:line="240" w:lineRule="auto"/>
              <w:ind w:firstLine="0" w:firstLineChars="0"/>
              <w:rPr>
                <w:color w:val="auto"/>
                <w:highlight w:val="none"/>
              </w:rPr>
            </w:pPr>
            <w:r>
              <w:rPr>
                <w:rFonts w:hint="eastAsia"/>
                <w:color w:val="auto"/>
                <w:highlight w:val="none"/>
              </w:rPr>
              <w:t>（</w:t>
            </w:r>
            <w:r>
              <w:rPr>
                <w:color w:val="auto"/>
                <w:highlight w:val="none"/>
              </w:rPr>
              <w:t>6</w:t>
            </w:r>
            <w:r>
              <w:rPr>
                <w:rFonts w:hint="eastAsia"/>
                <w:color w:val="auto"/>
                <w:highlight w:val="none"/>
              </w:rPr>
              <w:t>）管理服务中的相关作业记录不完整一项次扣 1分，被外单位检查相关作业记录不完整一项次扣 2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2A72E">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CE5B3">
            <w:pPr>
              <w:spacing w:line="240" w:lineRule="auto"/>
              <w:rPr>
                <w:color w:val="auto"/>
                <w:highlight w:val="none"/>
              </w:rPr>
            </w:pPr>
          </w:p>
        </w:tc>
      </w:tr>
      <w:tr w14:paraId="2D111C4D">
        <w:tblPrEx>
          <w:tblCellMar>
            <w:top w:w="0" w:type="dxa"/>
            <w:left w:w="108" w:type="dxa"/>
            <w:bottom w:w="0" w:type="dxa"/>
            <w:right w:w="108" w:type="dxa"/>
          </w:tblCellMar>
        </w:tblPrEx>
        <w:trPr>
          <w:trHeight w:val="90" w:hRule="atLeast"/>
          <w:jc w:val="center"/>
        </w:trPr>
        <w:tc>
          <w:tcPr>
            <w:tcW w:w="6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EF6084">
            <w:pPr>
              <w:spacing w:line="240" w:lineRule="auto"/>
              <w:ind w:firstLine="0" w:firstLineChars="0"/>
              <w:rPr>
                <w:color w:val="auto"/>
                <w:highlight w:val="none"/>
              </w:rPr>
            </w:pPr>
            <w:r>
              <w:rPr>
                <w:rFonts w:hint="eastAsia"/>
                <w:color w:val="auto"/>
                <w:highlight w:val="none"/>
              </w:rPr>
              <w:t>2.秩序维护与安全服务评分（20分）</w:t>
            </w: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2081A">
            <w:pPr>
              <w:spacing w:line="240" w:lineRule="auto"/>
              <w:ind w:firstLine="0" w:firstLineChars="0"/>
              <w:rPr>
                <w:color w:val="auto"/>
                <w:highlight w:val="none"/>
              </w:rPr>
            </w:pPr>
            <w:r>
              <w:rPr>
                <w:rFonts w:hint="eastAsia"/>
                <w:color w:val="auto"/>
                <w:highlight w:val="none"/>
              </w:rPr>
              <w:t>（1）门卫，未达到服务要求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5279F">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C1B89">
            <w:pPr>
              <w:spacing w:line="240" w:lineRule="auto"/>
              <w:rPr>
                <w:color w:val="auto"/>
                <w:highlight w:val="none"/>
              </w:rPr>
            </w:pPr>
          </w:p>
        </w:tc>
      </w:tr>
      <w:tr w14:paraId="2DA9DA87">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0AD00">
            <w:pPr>
              <w:spacing w:line="240" w:lineRule="auto"/>
              <w:ind w:firstLine="0" w:firstLineChars="0"/>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AD9C2">
            <w:pPr>
              <w:spacing w:line="240" w:lineRule="auto"/>
              <w:ind w:firstLine="0" w:firstLineChars="0"/>
              <w:rPr>
                <w:color w:val="auto"/>
                <w:highlight w:val="none"/>
              </w:rPr>
            </w:pPr>
            <w:r>
              <w:rPr>
                <w:rFonts w:hint="eastAsia"/>
                <w:color w:val="auto"/>
                <w:highlight w:val="none"/>
              </w:rPr>
              <w:t>（2）巡逻，未达到服务要求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C52A9">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F984C">
            <w:pPr>
              <w:spacing w:line="240" w:lineRule="auto"/>
              <w:rPr>
                <w:color w:val="auto"/>
                <w:highlight w:val="none"/>
              </w:rPr>
            </w:pPr>
          </w:p>
        </w:tc>
      </w:tr>
      <w:tr w14:paraId="3F464CE5">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8FC3C6">
            <w:pPr>
              <w:spacing w:line="240" w:lineRule="auto"/>
              <w:ind w:firstLine="0" w:firstLineChars="0"/>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894E7">
            <w:pPr>
              <w:spacing w:line="240" w:lineRule="auto"/>
              <w:ind w:firstLine="0" w:firstLineChars="0"/>
              <w:rPr>
                <w:color w:val="auto"/>
                <w:highlight w:val="none"/>
              </w:rPr>
            </w:pPr>
            <w:r>
              <w:rPr>
                <w:rFonts w:hint="eastAsia"/>
                <w:color w:val="auto"/>
                <w:highlight w:val="none"/>
              </w:rPr>
              <w:t>（3）安全监控，未达到服务要求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04401">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CDDFA">
            <w:pPr>
              <w:spacing w:line="240" w:lineRule="auto"/>
              <w:rPr>
                <w:color w:val="auto"/>
                <w:highlight w:val="none"/>
              </w:rPr>
            </w:pPr>
          </w:p>
        </w:tc>
      </w:tr>
      <w:tr w14:paraId="5CAC904E">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47220">
            <w:pPr>
              <w:spacing w:line="240" w:lineRule="auto"/>
              <w:ind w:firstLine="0" w:firstLineChars="0"/>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A9B94">
            <w:pPr>
              <w:spacing w:line="240" w:lineRule="auto"/>
              <w:ind w:firstLine="0" w:firstLineChars="0"/>
              <w:rPr>
                <w:color w:val="auto"/>
                <w:highlight w:val="none"/>
              </w:rPr>
            </w:pPr>
            <w:r>
              <w:rPr>
                <w:rFonts w:hint="eastAsia"/>
                <w:color w:val="auto"/>
                <w:highlight w:val="none"/>
              </w:rPr>
              <w:t xml:space="preserve">（4） </w:t>
            </w:r>
            <w:r>
              <w:rPr>
                <w:rFonts w:hint="eastAsia" w:ascii="宋体" w:hAnsi="宋体" w:eastAsia="宋体" w:cs="宋体"/>
                <w:b w:val="0"/>
                <w:bCs w:val="0"/>
                <w:i w:val="0"/>
                <w:iCs w:val="0"/>
                <w:smallCaps w:val="0"/>
                <w:color w:val="auto"/>
                <w:sz w:val="21"/>
                <w:szCs w:val="21"/>
                <w:highlight w:val="none"/>
              </w:rPr>
              <w:t>交通和车辆停放管理</w:t>
            </w:r>
            <w:r>
              <w:rPr>
                <w:rFonts w:hint="eastAsia" w:ascii="宋体" w:hAnsi="宋体" w:cs="宋体"/>
                <w:b w:val="0"/>
                <w:bCs w:val="0"/>
                <w:color w:val="auto"/>
                <w:highlight w:val="none"/>
                <w:lang w:val="en-US" w:eastAsia="zh-CN"/>
              </w:rPr>
              <w:t>工作服务，</w:t>
            </w:r>
            <w:r>
              <w:rPr>
                <w:rFonts w:hint="eastAsia"/>
                <w:color w:val="auto"/>
                <w:highlight w:val="none"/>
              </w:rPr>
              <w:t>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4DA3C">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B5378">
            <w:pPr>
              <w:spacing w:line="240" w:lineRule="auto"/>
              <w:rPr>
                <w:color w:val="auto"/>
                <w:highlight w:val="none"/>
              </w:rPr>
            </w:pPr>
          </w:p>
        </w:tc>
      </w:tr>
      <w:tr w14:paraId="2F5CF90E">
        <w:tblPrEx>
          <w:tblCellMar>
            <w:top w:w="0" w:type="dxa"/>
            <w:left w:w="108" w:type="dxa"/>
            <w:bottom w:w="0" w:type="dxa"/>
            <w:right w:w="108" w:type="dxa"/>
          </w:tblCellMar>
        </w:tblPrEx>
        <w:trPr>
          <w:trHeight w:val="151"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2CF5E3">
            <w:pPr>
              <w:spacing w:line="240" w:lineRule="auto"/>
              <w:ind w:firstLine="0" w:firstLineChars="0"/>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24F19">
            <w:pPr>
              <w:spacing w:line="240" w:lineRule="auto"/>
              <w:ind w:firstLine="0" w:firstLineChars="0"/>
              <w:rPr>
                <w:color w:val="auto"/>
                <w:highlight w:val="none"/>
              </w:rPr>
            </w:pPr>
            <w:r>
              <w:rPr>
                <w:rFonts w:hint="eastAsia"/>
                <w:color w:val="auto"/>
                <w:highlight w:val="none"/>
              </w:rPr>
              <w:t>（5）消防安全管理，未达到服务要求 1 项次扣 3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E1A3B">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F4DD1">
            <w:pPr>
              <w:spacing w:line="240" w:lineRule="auto"/>
              <w:rPr>
                <w:color w:val="auto"/>
                <w:highlight w:val="none"/>
              </w:rPr>
            </w:pPr>
          </w:p>
        </w:tc>
      </w:tr>
      <w:tr w14:paraId="3AA86970">
        <w:tblPrEx>
          <w:tblCellMar>
            <w:top w:w="0" w:type="dxa"/>
            <w:left w:w="108" w:type="dxa"/>
            <w:bottom w:w="0" w:type="dxa"/>
            <w:right w:w="108" w:type="dxa"/>
          </w:tblCellMar>
        </w:tblPrEx>
        <w:trPr>
          <w:trHeight w:val="151" w:hRule="atLeast"/>
          <w:jc w:val="center"/>
        </w:trPr>
        <w:tc>
          <w:tcPr>
            <w:tcW w:w="630" w:type="pct"/>
            <w:vMerge w:val="continue"/>
            <w:tcBorders>
              <w:left w:val="single" w:color="000000" w:sz="4" w:space="0"/>
              <w:bottom w:val="single" w:color="000000" w:sz="4" w:space="0"/>
              <w:right w:val="single" w:color="000000" w:sz="4" w:space="0"/>
            </w:tcBorders>
            <w:shd w:val="clear" w:color="auto" w:fill="auto"/>
            <w:vAlign w:val="center"/>
          </w:tcPr>
          <w:p w14:paraId="6F0E2094">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098CA">
            <w:pPr>
              <w:spacing w:line="240" w:lineRule="auto"/>
              <w:rPr>
                <w:rFonts w:hint="eastAsia"/>
                <w:color w:val="auto"/>
                <w:highlight w:val="none"/>
              </w:rPr>
            </w:pPr>
            <w:r>
              <w:rPr>
                <w:rFonts w:hint="eastAsia"/>
                <w:color w:val="auto"/>
                <w:highlight w:val="none"/>
                <w:lang w:eastAsia="zh-CN"/>
              </w:rPr>
              <w:t>（</w:t>
            </w:r>
            <w:r>
              <w:rPr>
                <w:rFonts w:hint="eastAsia"/>
                <w:color w:val="auto"/>
                <w:highlight w:val="none"/>
                <w:lang w:val="en-US" w:eastAsia="zh-CN"/>
              </w:rPr>
              <w:t>6）</w:t>
            </w:r>
            <w:r>
              <w:rPr>
                <w:rFonts w:hint="eastAsia"/>
                <w:color w:val="auto"/>
                <w:highlight w:val="none"/>
                <w:lang w:eastAsia="zh-CN"/>
              </w:rPr>
              <w:t>秩序维护</w:t>
            </w:r>
            <w:r>
              <w:rPr>
                <w:rFonts w:hint="eastAsia"/>
                <w:color w:val="auto"/>
                <w:highlight w:val="none"/>
              </w:rPr>
              <w:t>管理，未达到服务要求 1 项次扣 3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623CD">
            <w:pPr>
              <w:spacing w:line="240" w:lineRule="auto"/>
              <w:rPr>
                <w:rFonts w:hint="eastAsia"/>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60465">
            <w:pPr>
              <w:spacing w:line="240" w:lineRule="auto"/>
              <w:rPr>
                <w:rFonts w:hint="eastAsia"/>
                <w:color w:val="auto"/>
                <w:highlight w:val="none"/>
              </w:rPr>
            </w:pPr>
          </w:p>
        </w:tc>
      </w:tr>
      <w:tr w14:paraId="6B140250">
        <w:tblPrEx>
          <w:tblCellMar>
            <w:top w:w="0" w:type="dxa"/>
            <w:left w:w="108" w:type="dxa"/>
            <w:bottom w:w="0" w:type="dxa"/>
            <w:right w:w="108" w:type="dxa"/>
          </w:tblCellMar>
        </w:tblPrEx>
        <w:trPr>
          <w:trHeight w:val="90" w:hRule="atLeast"/>
          <w:jc w:val="center"/>
        </w:trPr>
        <w:tc>
          <w:tcPr>
            <w:tcW w:w="6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E1B893">
            <w:pPr>
              <w:spacing w:line="240" w:lineRule="auto"/>
              <w:ind w:firstLine="0" w:firstLineChars="0"/>
              <w:rPr>
                <w:color w:val="auto"/>
                <w:highlight w:val="none"/>
              </w:rPr>
            </w:pPr>
            <w:r>
              <w:rPr>
                <w:rFonts w:hint="eastAsia"/>
                <w:color w:val="auto"/>
                <w:highlight w:val="none"/>
              </w:rPr>
              <w:t>3.环境维护服务（20分）</w:t>
            </w: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B283F">
            <w:pPr>
              <w:spacing w:line="240" w:lineRule="auto"/>
              <w:ind w:firstLine="0" w:firstLineChars="0"/>
              <w:rPr>
                <w:color w:val="auto"/>
                <w:highlight w:val="none"/>
              </w:rPr>
            </w:pPr>
            <w:r>
              <w:rPr>
                <w:rFonts w:hint="eastAsia"/>
                <w:color w:val="auto"/>
                <w:highlight w:val="none"/>
              </w:rPr>
              <w:t>（1）外围及周边道路，未达到服务要求 1 项次</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14811">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70417">
            <w:pPr>
              <w:spacing w:line="240" w:lineRule="auto"/>
              <w:rPr>
                <w:color w:val="auto"/>
                <w:highlight w:val="none"/>
              </w:rPr>
            </w:pPr>
          </w:p>
        </w:tc>
      </w:tr>
      <w:tr w14:paraId="4C47F1C6">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203C6">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CA0C8">
            <w:pPr>
              <w:spacing w:line="240" w:lineRule="auto"/>
              <w:ind w:firstLine="0" w:firstLineChars="0"/>
              <w:rPr>
                <w:color w:val="auto"/>
                <w:highlight w:val="none"/>
              </w:rPr>
            </w:pPr>
            <w:r>
              <w:rPr>
                <w:rFonts w:hint="eastAsia"/>
                <w:color w:val="auto"/>
                <w:highlight w:val="none"/>
              </w:rPr>
              <w:t>（2）大厅、楼内、公共通道，未达到服务要求 1 项次</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DCDFA">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3B054">
            <w:pPr>
              <w:spacing w:line="240" w:lineRule="auto"/>
              <w:rPr>
                <w:color w:val="auto"/>
                <w:highlight w:val="none"/>
              </w:rPr>
            </w:pPr>
          </w:p>
        </w:tc>
      </w:tr>
      <w:tr w14:paraId="72100FB0">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D1AF81">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93120">
            <w:pPr>
              <w:spacing w:line="240" w:lineRule="auto"/>
              <w:ind w:firstLine="0" w:firstLineChars="0"/>
              <w:rPr>
                <w:color w:val="auto"/>
                <w:highlight w:val="none"/>
              </w:rPr>
            </w:pPr>
            <w:r>
              <w:rPr>
                <w:rFonts w:hint="eastAsia"/>
                <w:color w:val="auto"/>
                <w:highlight w:val="none"/>
              </w:rPr>
              <w:t>（3）会议室和活动室，未达到服务要求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D1316">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B5E5A">
            <w:pPr>
              <w:spacing w:line="240" w:lineRule="auto"/>
              <w:rPr>
                <w:color w:val="auto"/>
                <w:highlight w:val="none"/>
              </w:rPr>
            </w:pPr>
          </w:p>
        </w:tc>
      </w:tr>
      <w:tr w14:paraId="01D04664">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EC6BE">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ED773">
            <w:pPr>
              <w:spacing w:line="240" w:lineRule="auto"/>
              <w:ind w:firstLine="0" w:firstLineChars="0"/>
              <w:rPr>
                <w:color w:val="auto"/>
                <w:highlight w:val="none"/>
              </w:rPr>
            </w:pPr>
            <w:r>
              <w:rPr>
                <w:rFonts w:hint="eastAsia"/>
                <w:color w:val="auto"/>
                <w:highlight w:val="none"/>
              </w:rPr>
              <w:t>（4）楼梯及楼梯间，未达到服务要求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4363C">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69040">
            <w:pPr>
              <w:spacing w:line="240" w:lineRule="auto"/>
              <w:rPr>
                <w:color w:val="auto"/>
                <w:highlight w:val="none"/>
              </w:rPr>
            </w:pPr>
          </w:p>
        </w:tc>
      </w:tr>
      <w:tr w14:paraId="7EFDFD37">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301D0">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7555A">
            <w:pPr>
              <w:spacing w:line="240" w:lineRule="auto"/>
              <w:ind w:firstLine="0" w:firstLineChars="0"/>
              <w:rPr>
                <w:color w:val="auto"/>
                <w:highlight w:val="none"/>
              </w:rPr>
            </w:pPr>
            <w:r>
              <w:rPr>
                <w:rFonts w:hint="eastAsia"/>
                <w:color w:val="auto"/>
                <w:highlight w:val="none"/>
              </w:rPr>
              <w:t>（5）公共卫生间，未达到服务要求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D2FC0">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01381">
            <w:pPr>
              <w:spacing w:line="240" w:lineRule="auto"/>
              <w:rPr>
                <w:color w:val="auto"/>
                <w:highlight w:val="none"/>
              </w:rPr>
            </w:pPr>
          </w:p>
        </w:tc>
      </w:tr>
      <w:tr w14:paraId="7C3969CB">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4E704">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B581F">
            <w:pPr>
              <w:spacing w:line="240" w:lineRule="auto"/>
              <w:ind w:firstLine="0" w:firstLineChars="0"/>
              <w:rPr>
                <w:color w:val="auto"/>
                <w:highlight w:val="none"/>
              </w:rPr>
            </w:pPr>
            <w:r>
              <w:rPr>
                <w:rFonts w:hint="eastAsia"/>
                <w:color w:val="auto"/>
                <w:highlight w:val="none"/>
              </w:rPr>
              <w:t>（6）停车场，未达到服务要求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701F1">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E1E33">
            <w:pPr>
              <w:spacing w:line="240" w:lineRule="auto"/>
              <w:rPr>
                <w:color w:val="auto"/>
                <w:highlight w:val="none"/>
              </w:rPr>
            </w:pPr>
          </w:p>
        </w:tc>
      </w:tr>
      <w:tr w14:paraId="1EF42908">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98F94">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34B60">
            <w:pPr>
              <w:spacing w:line="240" w:lineRule="auto"/>
              <w:ind w:firstLine="0" w:firstLineChars="0"/>
              <w:rPr>
                <w:color w:val="auto"/>
                <w:highlight w:val="none"/>
              </w:rPr>
            </w:pPr>
            <w:r>
              <w:rPr>
                <w:rFonts w:hint="eastAsia"/>
                <w:color w:val="auto"/>
                <w:highlight w:val="none"/>
              </w:rPr>
              <w:t>（7）电梯及电梯厅，未达到服务要求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BCCDC">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A7B1B">
            <w:pPr>
              <w:spacing w:line="240" w:lineRule="auto"/>
              <w:rPr>
                <w:color w:val="auto"/>
                <w:highlight w:val="none"/>
              </w:rPr>
            </w:pPr>
          </w:p>
        </w:tc>
      </w:tr>
      <w:tr w14:paraId="3B6FB8B0">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116CA">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46471">
            <w:pPr>
              <w:spacing w:line="240" w:lineRule="auto"/>
              <w:ind w:firstLine="0" w:firstLineChars="0"/>
              <w:rPr>
                <w:color w:val="auto"/>
                <w:highlight w:val="none"/>
              </w:rPr>
            </w:pPr>
            <w:r>
              <w:rPr>
                <w:rFonts w:hint="eastAsia"/>
                <w:color w:val="auto"/>
                <w:highlight w:val="none"/>
              </w:rPr>
              <w:t>（8）电器设施，未达到服务要求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56CE4">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616CC">
            <w:pPr>
              <w:spacing w:line="240" w:lineRule="auto"/>
              <w:rPr>
                <w:color w:val="auto"/>
                <w:highlight w:val="none"/>
              </w:rPr>
            </w:pPr>
          </w:p>
        </w:tc>
      </w:tr>
      <w:tr w14:paraId="5F3B94E8">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989B1">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A0632">
            <w:pPr>
              <w:spacing w:line="240" w:lineRule="auto"/>
              <w:ind w:firstLine="0" w:firstLineChars="0"/>
              <w:rPr>
                <w:color w:val="auto"/>
                <w:highlight w:val="none"/>
              </w:rPr>
            </w:pPr>
            <w:r>
              <w:rPr>
                <w:rFonts w:hint="eastAsia"/>
                <w:color w:val="auto"/>
                <w:highlight w:val="none"/>
              </w:rPr>
              <w:t>（9）垃圾桶及果皮箱，未达到服务要求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3463B">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35CB9">
            <w:pPr>
              <w:spacing w:line="240" w:lineRule="auto"/>
              <w:rPr>
                <w:color w:val="auto"/>
                <w:highlight w:val="none"/>
              </w:rPr>
            </w:pPr>
          </w:p>
        </w:tc>
      </w:tr>
      <w:tr w14:paraId="4FB73277">
        <w:tblPrEx>
          <w:tblCellMar>
            <w:top w:w="0" w:type="dxa"/>
            <w:left w:w="108" w:type="dxa"/>
            <w:bottom w:w="0" w:type="dxa"/>
            <w:right w:w="108" w:type="dxa"/>
          </w:tblCellMar>
        </w:tblPrEx>
        <w:trPr>
          <w:trHeight w:val="90" w:hRule="atLeast"/>
          <w:jc w:val="center"/>
        </w:trPr>
        <w:tc>
          <w:tcPr>
            <w:tcW w:w="630" w:type="pct"/>
            <w:vMerge w:val="restart"/>
            <w:tcBorders>
              <w:top w:val="single" w:color="000000" w:sz="4" w:space="0"/>
              <w:left w:val="single" w:color="000000" w:sz="4" w:space="0"/>
              <w:right w:val="single" w:color="000000" w:sz="4" w:space="0"/>
            </w:tcBorders>
            <w:shd w:val="clear" w:color="auto" w:fill="auto"/>
            <w:vAlign w:val="center"/>
          </w:tcPr>
          <w:p w14:paraId="5D48AD50">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F0F3C">
            <w:pPr>
              <w:spacing w:line="240" w:lineRule="auto"/>
              <w:ind w:firstLine="0" w:firstLineChars="0"/>
              <w:rPr>
                <w:color w:val="auto"/>
                <w:highlight w:val="none"/>
              </w:rPr>
            </w:pPr>
            <w:r>
              <w:rPr>
                <w:rFonts w:hint="eastAsia"/>
                <w:color w:val="auto"/>
                <w:highlight w:val="none"/>
              </w:rPr>
              <w:t>（10）消防栓、消防箱、公共设施，未达到服务要求 1项次扣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0117A">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60D74">
            <w:pPr>
              <w:spacing w:line="240" w:lineRule="auto"/>
              <w:rPr>
                <w:color w:val="auto"/>
                <w:highlight w:val="none"/>
              </w:rPr>
            </w:pPr>
          </w:p>
        </w:tc>
      </w:tr>
      <w:tr w14:paraId="6213F250">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F3DBD">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4E973">
            <w:pPr>
              <w:spacing w:line="240" w:lineRule="auto"/>
              <w:ind w:firstLine="0" w:firstLineChars="0"/>
              <w:rPr>
                <w:color w:val="auto"/>
                <w:highlight w:val="none"/>
              </w:rPr>
            </w:pPr>
            <w:r>
              <w:rPr>
                <w:rFonts w:hint="eastAsia"/>
                <w:color w:val="auto"/>
                <w:highlight w:val="none"/>
              </w:rPr>
              <w:t>（11）垃圾中转房，未达到服务要求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04B26">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48369">
            <w:pPr>
              <w:spacing w:line="240" w:lineRule="auto"/>
              <w:rPr>
                <w:color w:val="auto"/>
                <w:highlight w:val="none"/>
              </w:rPr>
            </w:pPr>
          </w:p>
        </w:tc>
      </w:tr>
      <w:tr w14:paraId="67A136D6">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FA73F">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10926">
            <w:pPr>
              <w:spacing w:line="240" w:lineRule="auto"/>
              <w:ind w:firstLine="0" w:firstLineChars="0"/>
              <w:rPr>
                <w:color w:val="auto"/>
                <w:highlight w:val="none"/>
              </w:rPr>
            </w:pPr>
            <w:r>
              <w:rPr>
                <w:rFonts w:hint="eastAsia"/>
                <w:color w:val="auto"/>
                <w:highlight w:val="none"/>
              </w:rPr>
              <w:t>（12）设备机房、管道、指示牌，未达到服务要求 1项次扣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11F4A">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C06C3">
            <w:pPr>
              <w:spacing w:line="240" w:lineRule="auto"/>
              <w:rPr>
                <w:color w:val="auto"/>
                <w:highlight w:val="none"/>
              </w:rPr>
            </w:pPr>
          </w:p>
        </w:tc>
      </w:tr>
      <w:tr w14:paraId="2267FE10">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6C160">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643FA">
            <w:pPr>
              <w:spacing w:line="240" w:lineRule="auto"/>
              <w:ind w:firstLine="0" w:firstLineChars="0"/>
              <w:rPr>
                <w:color w:val="auto"/>
                <w:highlight w:val="none"/>
              </w:rPr>
            </w:pPr>
            <w:r>
              <w:rPr>
                <w:rFonts w:hint="eastAsia"/>
                <w:color w:val="auto"/>
                <w:highlight w:val="none"/>
              </w:rPr>
              <w:t>（13）地毯清洗，未达到服务要求 1 项次扣 0.5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B1F97">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4B907">
            <w:pPr>
              <w:spacing w:line="240" w:lineRule="auto"/>
              <w:rPr>
                <w:color w:val="auto"/>
                <w:highlight w:val="none"/>
              </w:rPr>
            </w:pPr>
          </w:p>
        </w:tc>
      </w:tr>
      <w:tr w14:paraId="411742AE">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A36C2A">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8364E">
            <w:pPr>
              <w:spacing w:line="240" w:lineRule="auto"/>
              <w:ind w:firstLine="0" w:firstLineChars="0"/>
              <w:rPr>
                <w:color w:val="auto"/>
                <w:highlight w:val="none"/>
              </w:rPr>
            </w:pPr>
            <w:r>
              <w:rPr>
                <w:rFonts w:hint="eastAsia"/>
                <w:color w:val="auto"/>
                <w:highlight w:val="none"/>
              </w:rPr>
              <w:t>（14）环境消</w:t>
            </w:r>
            <w:r>
              <w:rPr>
                <w:rFonts w:hint="eastAsia"/>
                <w:color w:val="auto"/>
                <w:highlight w:val="none"/>
                <w:lang w:eastAsia="zh-CN"/>
              </w:rPr>
              <w:t>杀</w:t>
            </w:r>
            <w:r>
              <w:rPr>
                <w:rFonts w:hint="eastAsia"/>
                <w:color w:val="auto"/>
                <w:highlight w:val="none"/>
              </w:rPr>
              <w:t xml:space="preserve">，未达到服务要求 1 项次扣 </w:t>
            </w:r>
            <w:r>
              <w:rPr>
                <w:rFonts w:hint="eastAsia"/>
                <w:color w:val="auto"/>
                <w:highlight w:val="none"/>
                <w:lang w:val="en-US" w:eastAsia="zh-CN"/>
              </w:rPr>
              <w:t>1</w:t>
            </w:r>
            <w:r>
              <w:rPr>
                <w:rFonts w:hint="eastAsia"/>
                <w:color w:val="auto"/>
                <w:highlight w:val="none"/>
              </w:rPr>
              <w:t xml:space="preserve">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0DE9A">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7D622">
            <w:pPr>
              <w:spacing w:line="240" w:lineRule="auto"/>
              <w:rPr>
                <w:color w:val="auto"/>
                <w:highlight w:val="none"/>
              </w:rPr>
            </w:pPr>
          </w:p>
        </w:tc>
      </w:tr>
      <w:tr w14:paraId="3BF2A24F">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45809">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63901">
            <w:pPr>
              <w:spacing w:line="240" w:lineRule="auto"/>
              <w:ind w:firstLine="0" w:firstLineChars="0"/>
              <w:rPr>
                <w:color w:val="auto"/>
                <w:highlight w:val="none"/>
              </w:rPr>
            </w:pPr>
            <w:r>
              <w:rPr>
                <w:rFonts w:hint="eastAsia"/>
                <w:color w:val="auto"/>
                <w:highlight w:val="none"/>
              </w:rPr>
              <w:t>（15）绿化养护，未达到服务要求 1 项次扣 1分。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D0B7C">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515D8">
            <w:pPr>
              <w:spacing w:line="240" w:lineRule="auto"/>
              <w:rPr>
                <w:color w:val="auto"/>
                <w:highlight w:val="none"/>
              </w:rPr>
            </w:pPr>
          </w:p>
        </w:tc>
      </w:tr>
      <w:tr w14:paraId="74105D77">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1D947">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B6049">
            <w:pPr>
              <w:spacing w:line="240" w:lineRule="auto"/>
              <w:ind w:firstLine="0" w:firstLineChars="0"/>
              <w:rPr>
                <w:color w:val="auto"/>
                <w:highlight w:val="none"/>
              </w:rPr>
            </w:pPr>
            <w:r>
              <w:rPr>
                <w:rFonts w:hint="eastAsia"/>
                <w:color w:val="auto"/>
                <w:highlight w:val="none"/>
              </w:rPr>
              <w:t xml:space="preserve">（16）外墙清洗，未达到服务要求 1 项次扣 </w:t>
            </w:r>
            <w:r>
              <w:rPr>
                <w:rFonts w:hint="eastAsia"/>
                <w:color w:val="auto"/>
                <w:highlight w:val="none"/>
                <w:lang w:val="en-US" w:eastAsia="zh-CN"/>
              </w:rPr>
              <w:t>6</w:t>
            </w:r>
            <w:r>
              <w:rPr>
                <w:rFonts w:hint="eastAsia"/>
                <w:color w:val="auto"/>
                <w:highlight w:val="none"/>
              </w:rPr>
              <w:t>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841A0">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C3FE8">
            <w:pPr>
              <w:spacing w:line="240" w:lineRule="auto"/>
              <w:rPr>
                <w:color w:val="auto"/>
                <w:highlight w:val="none"/>
              </w:rPr>
            </w:pPr>
          </w:p>
        </w:tc>
      </w:tr>
      <w:tr w14:paraId="28C77BF6">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DEB1C">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105AB">
            <w:pPr>
              <w:spacing w:line="240" w:lineRule="auto"/>
              <w:ind w:firstLine="0" w:firstLineChars="0"/>
              <w:rPr>
                <w:color w:val="auto"/>
                <w:highlight w:val="none"/>
              </w:rPr>
            </w:pPr>
            <w:r>
              <w:rPr>
                <w:rFonts w:hint="eastAsia"/>
                <w:color w:val="auto"/>
                <w:highlight w:val="none"/>
              </w:rPr>
              <w:t>（17）办公室保洁，未达到服务要求 1 项次扣 1分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18EE5">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C7777">
            <w:pPr>
              <w:spacing w:line="240" w:lineRule="auto"/>
              <w:rPr>
                <w:color w:val="auto"/>
                <w:highlight w:val="none"/>
              </w:rPr>
            </w:pPr>
          </w:p>
        </w:tc>
      </w:tr>
      <w:tr w14:paraId="3D478CED">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86B3BE">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F0EAA">
            <w:pPr>
              <w:spacing w:line="240" w:lineRule="auto"/>
              <w:ind w:firstLine="0" w:firstLineChars="0"/>
              <w:rPr>
                <w:color w:val="auto"/>
                <w:highlight w:val="none"/>
              </w:rPr>
            </w:pPr>
            <w:r>
              <w:rPr>
                <w:rFonts w:hint="eastAsia"/>
                <w:color w:val="auto"/>
                <w:highlight w:val="none"/>
              </w:rPr>
              <w:t>（18）室内玻璃窗户清洗，未达到服务要求 1 项次扣</w:t>
            </w:r>
            <w:r>
              <w:rPr>
                <w:rFonts w:hint="eastAsia"/>
                <w:color w:val="auto"/>
                <w:highlight w:val="none"/>
                <w:lang w:val="en-US" w:eastAsia="zh-CN"/>
              </w:rPr>
              <w:t>5</w:t>
            </w:r>
            <w:r>
              <w:rPr>
                <w:rFonts w:hint="eastAsia"/>
                <w:color w:val="auto"/>
                <w:highlight w:val="none"/>
              </w:rPr>
              <w:t>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630C0">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7A434">
            <w:pPr>
              <w:spacing w:line="240" w:lineRule="auto"/>
              <w:rPr>
                <w:color w:val="auto"/>
                <w:highlight w:val="none"/>
              </w:rPr>
            </w:pPr>
          </w:p>
        </w:tc>
      </w:tr>
      <w:tr w14:paraId="5628B826">
        <w:tblPrEx>
          <w:tblCellMar>
            <w:top w:w="0" w:type="dxa"/>
            <w:left w:w="108" w:type="dxa"/>
            <w:bottom w:w="0" w:type="dxa"/>
            <w:right w:w="108" w:type="dxa"/>
          </w:tblCellMar>
        </w:tblPrEx>
        <w:trPr>
          <w:trHeight w:val="90" w:hRule="atLeast"/>
          <w:jc w:val="center"/>
        </w:trPr>
        <w:tc>
          <w:tcPr>
            <w:tcW w:w="6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017B16">
            <w:pPr>
              <w:spacing w:line="240" w:lineRule="auto"/>
              <w:ind w:firstLine="0" w:firstLineChars="0"/>
              <w:rPr>
                <w:color w:val="auto"/>
                <w:highlight w:val="none"/>
              </w:rPr>
            </w:pPr>
            <w:r>
              <w:rPr>
                <w:rFonts w:hint="eastAsia"/>
                <w:color w:val="auto"/>
                <w:highlight w:val="none"/>
              </w:rPr>
              <w:t>4.房屋共用部位、共用设施设备运行、维护服务评分（20分）</w:t>
            </w: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E4CB2">
            <w:pPr>
              <w:spacing w:line="240" w:lineRule="auto"/>
              <w:ind w:firstLine="0" w:firstLineChars="0"/>
              <w:rPr>
                <w:color w:val="auto"/>
                <w:highlight w:val="none"/>
              </w:rPr>
            </w:pPr>
            <w:r>
              <w:rPr>
                <w:rFonts w:hint="eastAsia"/>
                <w:color w:val="auto"/>
                <w:highlight w:val="none"/>
              </w:rPr>
              <w:t>（1）物业区域内设施设备、</w:t>
            </w:r>
            <w:r>
              <w:rPr>
                <w:rFonts w:hint="eastAsia"/>
                <w:color w:val="auto"/>
                <w:highlight w:val="none"/>
                <w:lang w:eastAsia="zh-CN"/>
              </w:rPr>
              <w:t>甲方</w:t>
            </w:r>
            <w:r>
              <w:rPr>
                <w:rFonts w:hint="eastAsia"/>
                <w:color w:val="auto"/>
                <w:highlight w:val="none"/>
              </w:rPr>
              <w:t>形象标志、各种照明灯具、用水、点阀门的日常巡查、零星维修、维护和灯具、用水、点阀门的日常巡查、零星维修、维护和管理,未达到服务要求每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78B29">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13344">
            <w:pPr>
              <w:spacing w:line="240" w:lineRule="auto"/>
              <w:rPr>
                <w:color w:val="auto"/>
                <w:highlight w:val="none"/>
              </w:rPr>
            </w:pPr>
          </w:p>
        </w:tc>
      </w:tr>
      <w:tr w14:paraId="5C3F61CC">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5E1987">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99BA2">
            <w:pPr>
              <w:spacing w:line="240" w:lineRule="auto"/>
              <w:ind w:firstLine="0" w:firstLineChars="0"/>
              <w:rPr>
                <w:color w:val="auto"/>
                <w:highlight w:val="none"/>
              </w:rPr>
            </w:pPr>
            <w:r>
              <w:rPr>
                <w:rFonts w:hint="eastAsia"/>
                <w:color w:val="auto"/>
                <w:highlight w:val="none"/>
              </w:rPr>
              <w:t>（2）变配电系统，未达到服务要求 1 项次扣 3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D9AAA">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7A26F">
            <w:pPr>
              <w:spacing w:line="240" w:lineRule="auto"/>
              <w:rPr>
                <w:color w:val="auto"/>
                <w:highlight w:val="none"/>
              </w:rPr>
            </w:pPr>
          </w:p>
        </w:tc>
      </w:tr>
      <w:tr w14:paraId="406A747A">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6A268">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85D13">
            <w:pPr>
              <w:spacing w:line="240" w:lineRule="auto"/>
              <w:ind w:firstLine="0" w:firstLineChars="0"/>
              <w:rPr>
                <w:color w:val="auto"/>
                <w:highlight w:val="none"/>
              </w:rPr>
            </w:pPr>
            <w:r>
              <w:rPr>
                <w:rFonts w:hint="eastAsia"/>
                <w:color w:val="auto"/>
                <w:highlight w:val="none"/>
              </w:rPr>
              <w:t>（3）给排水系统，未达到服务要求 1 项次扣 2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6E34C">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8DD6F">
            <w:pPr>
              <w:spacing w:line="240" w:lineRule="auto"/>
              <w:rPr>
                <w:color w:val="auto"/>
                <w:highlight w:val="none"/>
              </w:rPr>
            </w:pPr>
          </w:p>
        </w:tc>
      </w:tr>
      <w:tr w14:paraId="12C31774">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D45C6">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2C8B1">
            <w:pPr>
              <w:spacing w:line="240" w:lineRule="auto"/>
              <w:ind w:firstLine="0" w:firstLineChars="0"/>
              <w:rPr>
                <w:color w:val="auto"/>
                <w:highlight w:val="none"/>
              </w:rPr>
            </w:pPr>
            <w:r>
              <w:rPr>
                <w:rFonts w:hint="eastAsia"/>
                <w:color w:val="auto"/>
                <w:highlight w:val="none"/>
              </w:rPr>
              <w:t>（4）安全防范系统，未达到服务要求 1 项次扣 3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3B16F">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236A8">
            <w:pPr>
              <w:spacing w:line="240" w:lineRule="auto"/>
              <w:rPr>
                <w:color w:val="auto"/>
                <w:highlight w:val="none"/>
              </w:rPr>
            </w:pPr>
          </w:p>
        </w:tc>
      </w:tr>
      <w:tr w14:paraId="461EA5DE">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BD7C5">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78CD4">
            <w:pPr>
              <w:spacing w:line="240" w:lineRule="auto"/>
              <w:ind w:firstLine="0" w:firstLineChars="0"/>
              <w:rPr>
                <w:color w:val="auto"/>
                <w:highlight w:val="none"/>
              </w:rPr>
            </w:pPr>
            <w:r>
              <w:rPr>
                <w:rFonts w:hint="eastAsia"/>
                <w:color w:val="auto"/>
                <w:highlight w:val="none"/>
              </w:rPr>
              <w:t>（5）公共照明系统，未达到服务要求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4400E">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D61AC">
            <w:pPr>
              <w:spacing w:line="240" w:lineRule="auto"/>
              <w:rPr>
                <w:color w:val="auto"/>
                <w:highlight w:val="none"/>
              </w:rPr>
            </w:pPr>
          </w:p>
        </w:tc>
      </w:tr>
      <w:tr w14:paraId="6FA245E9">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D9D20">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66EC9">
            <w:pPr>
              <w:spacing w:line="240" w:lineRule="auto"/>
              <w:ind w:firstLine="0" w:firstLineChars="0"/>
              <w:rPr>
                <w:color w:val="auto"/>
                <w:highlight w:val="none"/>
              </w:rPr>
            </w:pPr>
            <w:r>
              <w:rPr>
                <w:rFonts w:hint="eastAsia"/>
                <w:color w:val="auto"/>
                <w:highlight w:val="none"/>
              </w:rPr>
              <w:t>（6）电梯及消防系统，未达到服务要求 1 项次扣2分。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1327B">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4DD24">
            <w:pPr>
              <w:spacing w:line="240" w:lineRule="auto"/>
              <w:rPr>
                <w:color w:val="auto"/>
                <w:highlight w:val="none"/>
              </w:rPr>
            </w:pPr>
          </w:p>
        </w:tc>
      </w:tr>
      <w:tr w14:paraId="3C3E7FD2">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52A37">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B10D1">
            <w:pPr>
              <w:spacing w:line="240" w:lineRule="auto"/>
              <w:ind w:firstLine="0" w:firstLineChars="0"/>
              <w:rPr>
                <w:color w:val="auto"/>
                <w:highlight w:val="none"/>
              </w:rPr>
            </w:pPr>
            <w:r>
              <w:rPr>
                <w:rFonts w:hint="eastAsia"/>
                <w:color w:val="auto"/>
                <w:highlight w:val="none"/>
              </w:rPr>
              <w:t>（7）空调系统，未达到服务要求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F89E0">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5E4FA">
            <w:pPr>
              <w:spacing w:line="240" w:lineRule="auto"/>
              <w:rPr>
                <w:color w:val="auto"/>
                <w:highlight w:val="none"/>
              </w:rPr>
            </w:pPr>
          </w:p>
        </w:tc>
      </w:tr>
      <w:tr w14:paraId="7CB9F415">
        <w:tblPrEx>
          <w:tblCellMar>
            <w:top w:w="0" w:type="dxa"/>
            <w:left w:w="108" w:type="dxa"/>
            <w:bottom w:w="0" w:type="dxa"/>
            <w:right w:w="108" w:type="dxa"/>
          </w:tblCellMar>
        </w:tblPrEx>
        <w:trPr>
          <w:trHeight w:val="90" w:hRule="atLeast"/>
          <w:jc w:val="center"/>
        </w:trPr>
        <w:tc>
          <w:tcPr>
            <w:tcW w:w="6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0DD39F">
            <w:pPr>
              <w:spacing w:line="240" w:lineRule="auto"/>
              <w:ind w:firstLine="0" w:firstLineChars="0"/>
              <w:rPr>
                <w:color w:val="auto"/>
                <w:highlight w:val="none"/>
              </w:rPr>
            </w:pPr>
            <w:r>
              <w:rPr>
                <w:rFonts w:hint="eastAsia"/>
                <w:color w:val="auto"/>
                <w:highlight w:val="none"/>
              </w:rPr>
              <w:t>5.特约服务评分（20分）</w:t>
            </w: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9F5A6">
            <w:pPr>
              <w:spacing w:line="240" w:lineRule="auto"/>
              <w:ind w:firstLine="0" w:firstLineChars="0"/>
              <w:rPr>
                <w:color w:val="auto"/>
                <w:highlight w:val="none"/>
              </w:rPr>
            </w:pPr>
            <w:r>
              <w:rPr>
                <w:rFonts w:hint="eastAsia"/>
                <w:color w:val="auto"/>
                <w:highlight w:val="none"/>
              </w:rPr>
              <w:t>（1）会议服务，未达到服务要求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9107B">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C6624">
            <w:pPr>
              <w:spacing w:line="240" w:lineRule="auto"/>
              <w:rPr>
                <w:color w:val="auto"/>
                <w:highlight w:val="none"/>
              </w:rPr>
            </w:pPr>
          </w:p>
        </w:tc>
      </w:tr>
      <w:tr w14:paraId="4CFEA7AD">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05B47">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2FA12">
            <w:pPr>
              <w:spacing w:line="240" w:lineRule="auto"/>
              <w:ind w:firstLine="0" w:firstLineChars="0"/>
              <w:rPr>
                <w:color w:val="auto"/>
                <w:highlight w:val="none"/>
              </w:rPr>
            </w:pPr>
            <w:r>
              <w:rPr>
                <w:rFonts w:hint="eastAsia"/>
                <w:color w:val="auto"/>
                <w:highlight w:val="none"/>
              </w:rPr>
              <w:t>（2）化粪池和隔油池疏通清理，未达到服务要求 1 项次扣 2分。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BEA53">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19D5B">
            <w:pPr>
              <w:spacing w:line="240" w:lineRule="auto"/>
              <w:rPr>
                <w:color w:val="auto"/>
                <w:highlight w:val="none"/>
              </w:rPr>
            </w:pPr>
          </w:p>
        </w:tc>
      </w:tr>
      <w:tr w14:paraId="7E56AE11">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F2B06">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B10E9">
            <w:pPr>
              <w:spacing w:line="240" w:lineRule="auto"/>
              <w:ind w:firstLine="0" w:firstLineChars="0"/>
              <w:rPr>
                <w:color w:val="auto"/>
                <w:highlight w:val="none"/>
              </w:rPr>
            </w:pPr>
            <w:r>
              <w:rPr>
                <w:rFonts w:hint="eastAsia"/>
                <w:color w:val="auto"/>
                <w:highlight w:val="none"/>
              </w:rPr>
              <w:t>（3）饮水池清洗，未达到服务要求 1 项次扣 3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D302E">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C90A1">
            <w:pPr>
              <w:spacing w:line="240" w:lineRule="auto"/>
              <w:rPr>
                <w:color w:val="auto"/>
                <w:highlight w:val="none"/>
              </w:rPr>
            </w:pPr>
          </w:p>
        </w:tc>
      </w:tr>
      <w:tr w14:paraId="48D81557">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8B8D7">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60848">
            <w:pPr>
              <w:spacing w:line="240" w:lineRule="auto"/>
              <w:ind w:firstLine="0" w:firstLineChars="0"/>
              <w:rPr>
                <w:color w:val="auto"/>
                <w:highlight w:val="none"/>
              </w:rPr>
            </w:pPr>
            <w:r>
              <w:rPr>
                <w:rFonts w:hint="eastAsia"/>
                <w:color w:val="auto"/>
                <w:highlight w:val="none"/>
              </w:rPr>
              <w:t>（4）简单搬运服务，未达到服务要求 1 项次扣 1 分，出现物品缺失、人员安全等重大问题时1项次扣15分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65BF6">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AADC5">
            <w:pPr>
              <w:spacing w:line="240" w:lineRule="auto"/>
              <w:rPr>
                <w:color w:val="auto"/>
                <w:highlight w:val="none"/>
              </w:rPr>
            </w:pPr>
          </w:p>
        </w:tc>
      </w:tr>
      <w:tr w14:paraId="1C9826EF">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839F7">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29749">
            <w:pPr>
              <w:spacing w:line="240" w:lineRule="auto"/>
              <w:ind w:firstLine="0" w:firstLineChars="0"/>
              <w:rPr>
                <w:rFonts w:hint="eastAsia" w:eastAsiaTheme="minorEastAsia"/>
                <w:color w:val="auto"/>
                <w:highlight w:val="none"/>
                <w:lang w:eastAsia="zh-CN"/>
              </w:rPr>
            </w:pPr>
            <w:r>
              <w:rPr>
                <w:rFonts w:hint="eastAsia"/>
                <w:color w:val="auto"/>
                <w:highlight w:val="none"/>
              </w:rPr>
              <w:t>（5）</w:t>
            </w:r>
            <w:r>
              <w:rPr>
                <w:rFonts w:hint="eastAsia"/>
                <w:color w:val="auto"/>
                <w:highlight w:val="none"/>
                <w:lang w:eastAsia="zh-CN"/>
              </w:rPr>
              <w:t>公共区域固定资产管理服务，</w:t>
            </w:r>
            <w:r>
              <w:rPr>
                <w:rFonts w:hint="eastAsia"/>
                <w:color w:val="auto"/>
                <w:highlight w:val="none"/>
              </w:rPr>
              <w:t>未达到服务要求 1 项次扣 1 分，出现物品缺失时1项次扣1</w:t>
            </w:r>
            <w:r>
              <w:rPr>
                <w:rFonts w:hint="eastAsia"/>
                <w:color w:val="auto"/>
                <w:highlight w:val="none"/>
                <w:lang w:val="en-US" w:eastAsia="zh-CN"/>
              </w:rPr>
              <w:t>0</w:t>
            </w:r>
            <w:r>
              <w:rPr>
                <w:rFonts w:hint="eastAsia"/>
                <w:color w:val="auto"/>
                <w:highlight w:val="none"/>
              </w:rPr>
              <w:t>分</w:t>
            </w:r>
            <w:r>
              <w:rPr>
                <w:rFonts w:hint="eastAsia"/>
                <w:color w:val="auto"/>
                <w:highlight w:val="none"/>
                <w:lang w:eastAsia="zh-CN"/>
              </w:rPr>
              <w:t>。</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8753D">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C9303">
            <w:pPr>
              <w:spacing w:line="240" w:lineRule="auto"/>
              <w:rPr>
                <w:color w:val="auto"/>
                <w:highlight w:val="none"/>
              </w:rPr>
            </w:pPr>
          </w:p>
        </w:tc>
      </w:tr>
      <w:tr w14:paraId="4D14BE4A">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6CB4A">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67BDE">
            <w:pPr>
              <w:spacing w:line="240" w:lineRule="auto"/>
              <w:ind w:firstLine="0" w:firstLineChars="0"/>
              <w:rPr>
                <w:rFonts w:hint="eastAsia" w:eastAsia="仿宋_GB2312"/>
                <w:color w:val="auto"/>
                <w:highlight w:val="none"/>
                <w:lang w:eastAsia="zh-CN"/>
              </w:rPr>
            </w:pPr>
            <w:r>
              <w:rPr>
                <w:rFonts w:hint="eastAsia"/>
                <w:color w:val="auto"/>
                <w:highlight w:val="none"/>
              </w:rPr>
              <w:t>（6）报刊、杂志配送服务</w:t>
            </w:r>
            <w:r>
              <w:rPr>
                <w:rFonts w:hint="eastAsia"/>
                <w:color w:val="auto"/>
                <w:highlight w:val="none"/>
                <w:lang w:eastAsia="zh-CN"/>
              </w:rPr>
              <w:t>，未达到要求</w:t>
            </w:r>
            <w:r>
              <w:rPr>
                <w:rFonts w:hint="eastAsia"/>
                <w:color w:val="auto"/>
                <w:highlight w:val="none"/>
              </w:rPr>
              <w:t xml:space="preserve"> 1 项次扣 1 分，</w:t>
            </w:r>
            <w:r>
              <w:rPr>
                <w:rFonts w:hint="eastAsia"/>
                <w:color w:val="auto"/>
                <w:highlight w:val="none"/>
                <w:lang w:eastAsia="zh-CN"/>
              </w:rPr>
              <w:t>出现未及时配送导致甲方相关工作逾期</w:t>
            </w:r>
            <w:r>
              <w:rPr>
                <w:rFonts w:hint="eastAsia"/>
                <w:color w:val="auto"/>
                <w:highlight w:val="none"/>
              </w:rPr>
              <w:t>1项次扣15分</w:t>
            </w:r>
            <w:r>
              <w:rPr>
                <w:rFonts w:hint="eastAsia"/>
                <w:color w:val="auto"/>
                <w:highlight w:val="none"/>
                <w:lang w:eastAsia="zh-CN"/>
              </w:rPr>
              <w:t>。</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80FA6">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23C01">
            <w:pPr>
              <w:spacing w:line="240" w:lineRule="auto"/>
              <w:rPr>
                <w:color w:val="auto"/>
                <w:highlight w:val="none"/>
              </w:rPr>
            </w:pPr>
          </w:p>
        </w:tc>
      </w:tr>
      <w:tr w14:paraId="2DB19CA7">
        <w:tblPrEx>
          <w:tblCellMar>
            <w:top w:w="0" w:type="dxa"/>
            <w:left w:w="108" w:type="dxa"/>
            <w:bottom w:w="0" w:type="dxa"/>
            <w:right w:w="108" w:type="dxa"/>
          </w:tblCellMar>
        </w:tblPrEx>
        <w:trPr>
          <w:trHeight w:val="604"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A4313">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CDFCB">
            <w:pPr>
              <w:spacing w:line="240" w:lineRule="auto"/>
              <w:ind w:firstLine="0" w:firstLineChars="0"/>
              <w:rPr>
                <w:rFonts w:hint="eastAsia" w:eastAsiaTheme="minorEastAsia"/>
                <w:color w:val="auto"/>
                <w:highlight w:val="none"/>
                <w:lang w:eastAsia="zh-CN"/>
              </w:rPr>
            </w:pPr>
            <w:r>
              <w:rPr>
                <w:rFonts w:hint="eastAsia"/>
                <w:color w:val="auto"/>
                <w:highlight w:val="none"/>
              </w:rPr>
              <w:t>（</w:t>
            </w:r>
            <w:r>
              <w:rPr>
                <w:rFonts w:hint="eastAsia"/>
                <w:color w:val="auto"/>
                <w:highlight w:val="none"/>
                <w:lang w:val="en-US" w:eastAsia="zh-CN"/>
              </w:rPr>
              <w:t>7</w:t>
            </w:r>
            <w:r>
              <w:rPr>
                <w:rFonts w:hint="eastAsia"/>
                <w:color w:val="auto"/>
                <w:highlight w:val="none"/>
              </w:rPr>
              <w:t>）文件资料邮寄服务</w:t>
            </w:r>
            <w:r>
              <w:rPr>
                <w:rFonts w:hint="eastAsia"/>
                <w:color w:val="auto"/>
                <w:highlight w:val="none"/>
                <w:lang w:eastAsia="zh-CN"/>
              </w:rPr>
              <w:t>未达到要求</w:t>
            </w:r>
            <w:r>
              <w:rPr>
                <w:rFonts w:hint="eastAsia"/>
                <w:color w:val="auto"/>
                <w:highlight w:val="none"/>
              </w:rPr>
              <w:t xml:space="preserve"> 1 项次扣 1 分</w:t>
            </w:r>
            <w:r>
              <w:rPr>
                <w:rFonts w:hint="eastAsia"/>
                <w:color w:val="auto"/>
                <w:highlight w:val="none"/>
                <w:lang w:eastAsia="zh-CN"/>
              </w:rPr>
              <w:t>。</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FFD11">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B7F40">
            <w:pPr>
              <w:spacing w:line="240" w:lineRule="auto"/>
              <w:rPr>
                <w:color w:val="auto"/>
                <w:highlight w:val="none"/>
              </w:rPr>
            </w:pPr>
          </w:p>
        </w:tc>
      </w:tr>
      <w:tr w14:paraId="23F81736">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01D76F">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F0951">
            <w:pPr>
              <w:spacing w:line="240" w:lineRule="auto"/>
              <w:ind w:firstLine="0" w:firstLineChars="0"/>
              <w:rPr>
                <w:rFonts w:hint="default" w:eastAsiaTheme="minorEastAsia"/>
                <w:color w:val="auto"/>
                <w:highlight w:val="none"/>
                <w:lang w:val="en-US" w:eastAsia="zh-CN"/>
              </w:rPr>
            </w:pPr>
            <w:r>
              <w:rPr>
                <w:rFonts w:hint="eastAsia"/>
                <w:color w:val="auto"/>
                <w:highlight w:val="none"/>
              </w:rPr>
              <w:t>（8）负一楼</w:t>
            </w:r>
            <w:r>
              <w:rPr>
                <w:rFonts w:hint="eastAsia"/>
                <w:color w:val="auto"/>
                <w:highlight w:val="none"/>
                <w:lang w:eastAsia="zh-CN"/>
              </w:rPr>
              <w:t>管理</w:t>
            </w:r>
            <w:r>
              <w:rPr>
                <w:rFonts w:hint="eastAsia"/>
                <w:color w:val="auto"/>
                <w:highlight w:val="none"/>
              </w:rPr>
              <w:t>服务</w:t>
            </w:r>
            <w:r>
              <w:rPr>
                <w:rFonts w:hint="eastAsia"/>
                <w:color w:val="auto"/>
                <w:highlight w:val="none"/>
                <w:lang w:eastAsia="zh-CN"/>
              </w:rPr>
              <w:t>，未达到要求</w:t>
            </w:r>
            <w:r>
              <w:rPr>
                <w:rFonts w:hint="eastAsia"/>
                <w:color w:val="auto"/>
                <w:highlight w:val="none"/>
                <w:lang w:val="en-US" w:eastAsia="zh-CN"/>
              </w:rPr>
              <w:t>1项次</w:t>
            </w:r>
            <w:r>
              <w:rPr>
                <w:rFonts w:hint="eastAsia"/>
                <w:color w:val="auto"/>
                <w:highlight w:val="none"/>
              </w:rPr>
              <w:t>扣</w:t>
            </w:r>
            <w:r>
              <w:rPr>
                <w:rFonts w:hint="eastAsia"/>
                <w:color w:val="auto"/>
                <w:highlight w:val="none"/>
                <w:lang w:val="en-US" w:eastAsia="zh-CN"/>
              </w:rPr>
              <w:t>1分</w:t>
            </w:r>
            <w:r>
              <w:rPr>
                <w:rFonts w:hint="eastAsia"/>
                <w:color w:val="auto"/>
                <w:highlight w:val="none"/>
                <w:lang w:eastAsia="zh-CN"/>
              </w:rPr>
              <w:t>。</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546FD">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29FC3">
            <w:pPr>
              <w:spacing w:line="240" w:lineRule="auto"/>
              <w:rPr>
                <w:color w:val="auto"/>
                <w:highlight w:val="none"/>
              </w:rPr>
            </w:pPr>
          </w:p>
        </w:tc>
      </w:tr>
      <w:tr w14:paraId="6048A282">
        <w:tblPrEx>
          <w:tblCellMar>
            <w:top w:w="0" w:type="dxa"/>
            <w:left w:w="108" w:type="dxa"/>
            <w:bottom w:w="0" w:type="dxa"/>
            <w:right w:w="108" w:type="dxa"/>
          </w:tblCellMar>
        </w:tblPrEx>
        <w:trPr>
          <w:trHeight w:val="90" w:hRule="atLeast"/>
          <w:jc w:val="center"/>
        </w:trPr>
        <w:tc>
          <w:tcPr>
            <w:tcW w:w="361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49282">
            <w:pPr>
              <w:spacing w:line="240" w:lineRule="auto"/>
              <w:ind w:firstLine="0" w:firstLineChars="0"/>
              <w:rPr>
                <w:rFonts w:hint="eastAsia"/>
                <w:color w:val="auto"/>
                <w:highlight w:val="none"/>
              </w:rPr>
            </w:pPr>
            <w:r>
              <w:rPr>
                <w:rFonts w:hint="eastAsia"/>
                <w:color w:val="auto"/>
                <w:highlight w:val="none"/>
              </w:rPr>
              <w:t>考核综合得分</w:t>
            </w:r>
          </w:p>
        </w:tc>
        <w:tc>
          <w:tcPr>
            <w:tcW w:w="138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E201A">
            <w:pPr>
              <w:spacing w:line="240" w:lineRule="auto"/>
              <w:rPr>
                <w:color w:val="auto"/>
                <w:highlight w:val="none"/>
              </w:rPr>
            </w:pPr>
          </w:p>
        </w:tc>
      </w:tr>
      <w:tr w14:paraId="5BAE5384">
        <w:tblPrEx>
          <w:tblCellMar>
            <w:top w:w="0" w:type="dxa"/>
            <w:left w:w="108" w:type="dxa"/>
            <w:bottom w:w="0" w:type="dxa"/>
            <w:right w:w="108" w:type="dxa"/>
          </w:tblCellMar>
        </w:tblPrEx>
        <w:trPr>
          <w:trHeight w:val="90" w:hRule="atLeast"/>
          <w:jc w:val="center"/>
        </w:trPr>
        <w:tc>
          <w:tcPr>
            <w:tcW w:w="630"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7972C055">
            <w:pPr>
              <w:wordWrap w:val="0"/>
              <w:ind w:left="0" w:leftChars="0" w:firstLine="0" w:firstLineChars="0"/>
              <w:jc w:val="both"/>
              <w:rPr>
                <w:rFonts w:hint="eastAsia"/>
                <w:color w:val="auto"/>
                <w:highlight w:val="none"/>
                <w:u w:val="none"/>
                <w:lang w:eastAsia="zh-CN"/>
              </w:rPr>
            </w:pPr>
            <w:r>
              <w:rPr>
                <w:rFonts w:hint="eastAsia"/>
                <w:color w:val="auto"/>
                <w:highlight w:val="none"/>
                <w:u w:val="none"/>
                <w:lang w:eastAsia="zh-CN"/>
              </w:rPr>
              <w:t>考核成员</w:t>
            </w:r>
          </w:p>
        </w:tc>
        <w:tc>
          <w:tcPr>
            <w:tcW w:w="2989"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078E4344">
            <w:pPr>
              <w:spacing w:line="240" w:lineRule="auto"/>
              <w:ind w:firstLine="0" w:firstLineChars="0"/>
              <w:rPr>
                <w:rFonts w:hint="eastAsia"/>
                <w:color w:val="auto"/>
                <w:highlight w:val="none"/>
              </w:rPr>
            </w:pPr>
          </w:p>
        </w:tc>
        <w:tc>
          <w:tcPr>
            <w:tcW w:w="506"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3A2C9E15">
            <w:pPr>
              <w:spacing w:line="240" w:lineRule="auto"/>
              <w:ind w:left="0" w:leftChars="0" w:firstLine="0" w:firstLineChars="0"/>
              <w:rPr>
                <w:rFonts w:hint="eastAsia" w:eastAsia="宋体"/>
                <w:color w:val="auto"/>
                <w:highlight w:val="none"/>
                <w:lang w:eastAsia="zh-CN"/>
              </w:rPr>
            </w:pPr>
            <w:r>
              <w:rPr>
                <w:rFonts w:hint="eastAsia"/>
                <w:color w:val="auto"/>
                <w:highlight w:val="none"/>
                <w:lang w:eastAsia="zh-CN"/>
              </w:rPr>
              <w:t>考核结果</w:t>
            </w:r>
          </w:p>
        </w:tc>
        <w:tc>
          <w:tcPr>
            <w:tcW w:w="874"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298987A6">
            <w:pPr>
              <w:spacing w:line="240" w:lineRule="auto"/>
              <w:rPr>
                <w:color w:val="auto"/>
                <w:highlight w:val="none"/>
              </w:rPr>
            </w:pPr>
          </w:p>
        </w:tc>
      </w:tr>
      <w:tr w14:paraId="07B4440D">
        <w:tblPrEx>
          <w:tblCellMar>
            <w:top w:w="0" w:type="dxa"/>
            <w:left w:w="108" w:type="dxa"/>
            <w:bottom w:w="0" w:type="dxa"/>
            <w:right w:w="108" w:type="dxa"/>
          </w:tblCellMar>
        </w:tblPrEx>
        <w:trPr>
          <w:trHeight w:val="90" w:hRule="atLeast"/>
          <w:jc w:val="center"/>
        </w:trPr>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06208">
            <w:pPr>
              <w:keepNext w:val="0"/>
              <w:keepLines w:val="0"/>
              <w:pageBreakBefore w:val="0"/>
              <w:widowControl/>
              <w:kinsoku/>
              <w:wordWrap w:val="0"/>
              <w:overflowPunct/>
              <w:topLinePunct w:val="0"/>
              <w:autoSpaceDE/>
              <w:autoSpaceDN/>
              <w:bidi w:val="0"/>
              <w:adjustRightInd w:val="0"/>
              <w:snapToGrid w:val="0"/>
              <w:spacing w:line="260" w:lineRule="exact"/>
              <w:ind w:left="0" w:leftChars="0" w:firstLine="0" w:firstLineChars="0"/>
              <w:textAlignment w:val="baseline"/>
              <w:rPr>
                <w:rFonts w:hint="eastAsia"/>
                <w:color w:val="auto"/>
                <w:highlight w:val="none"/>
                <w:u w:val="none"/>
                <w:lang w:eastAsia="zh-CN"/>
              </w:rPr>
            </w:pPr>
            <w:r>
              <w:rPr>
                <w:rFonts w:hint="eastAsia"/>
                <w:color w:val="auto"/>
                <w:sz w:val="21"/>
                <w:szCs w:val="21"/>
                <w:highlight w:val="none"/>
                <w:u w:val="none"/>
                <w:lang w:eastAsia="zh-CN"/>
              </w:rPr>
              <w:t>考核部门负责人签字</w:t>
            </w: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861E6">
            <w:pPr>
              <w:wordWrap w:val="0"/>
              <w:ind w:firstLine="422"/>
              <w:rPr>
                <w:rFonts w:hint="eastAsia"/>
                <w:color w:val="auto"/>
                <w:highlight w:val="none"/>
                <w:u w:val="none"/>
                <w:lang w:eastAsia="zh-CN"/>
              </w:rPr>
            </w:pPr>
          </w:p>
        </w:tc>
        <w:tc>
          <w:tcPr>
            <w:tcW w:w="506"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4F6BD587">
            <w:pPr>
              <w:spacing w:line="240" w:lineRule="auto"/>
              <w:ind w:firstLine="0" w:firstLineChars="0"/>
              <w:rPr>
                <w:color w:val="auto"/>
                <w:highlight w:val="none"/>
              </w:rPr>
            </w:pPr>
            <w:r>
              <w:rPr>
                <w:rFonts w:hint="eastAsia"/>
                <w:color w:val="auto"/>
                <w:highlight w:val="none"/>
              </w:rPr>
              <w:t>被考核人代表签字</w:t>
            </w:r>
          </w:p>
        </w:tc>
        <w:tc>
          <w:tcPr>
            <w:tcW w:w="874"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7699AFBA">
            <w:pPr>
              <w:spacing w:line="240" w:lineRule="auto"/>
              <w:rPr>
                <w:color w:val="auto"/>
                <w:highlight w:val="none"/>
              </w:rPr>
            </w:pPr>
          </w:p>
        </w:tc>
      </w:tr>
      <w:tr w14:paraId="3D848BEC">
        <w:tblPrEx>
          <w:tblCellMar>
            <w:top w:w="0" w:type="dxa"/>
            <w:left w:w="108" w:type="dxa"/>
            <w:bottom w:w="0" w:type="dxa"/>
            <w:right w:w="108" w:type="dxa"/>
          </w:tblCellMar>
        </w:tblPrEx>
        <w:trPr>
          <w:trHeight w:val="90"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F0BD5EE">
            <w:pPr>
              <w:spacing w:line="240" w:lineRule="auto"/>
              <w:ind w:firstLine="0" w:firstLineChars="0"/>
              <w:rPr>
                <w:color w:val="auto"/>
                <w:highlight w:val="none"/>
              </w:rPr>
            </w:pPr>
            <w:r>
              <w:rPr>
                <w:rFonts w:hint="eastAsia"/>
                <w:color w:val="auto"/>
                <w:highlight w:val="none"/>
              </w:rPr>
              <w:t>备注：考评总分100分，考核综合得分=100-各项目考核扣分之和，月度考核综合得分在85分以上（≧85）为合格，85分以下（&lt;85）为不合格</w:t>
            </w:r>
          </w:p>
        </w:tc>
      </w:tr>
    </w:tbl>
    <w:p w14:paraId="5AFC3E69">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4.考核结果应用</w:t>
      </w:r>
    </w:p>
    <w:p w14:paraId="69125FA3">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（1）月度考核结果≥95分，按月度服务费的100%进行支付。 </w:t>
      </w:r>
    </w:p>
    <w:p w14:paraId="27A18130">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（2）月度考核结果低于95分的，每扣1分按次扣该服务周期合同金额的2%。</w:t>
      </w:r>
    </w:p>
    <w:p w14:paraId="094E592B">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（3）引导发矛盾纠纷造成不良影响的，按次扣该服务周期合同金额的5%。</w:t>
      </w:r>
    </w:p>
    <w:p w14:paraId="292445ED">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（4）月度考核结果两次&lt;70分的，</w:t>
      </w:r>
      <w:r>
        <w:rPr>
          <w:rFonts w:hint="eastAsia" w:ascii="宋体" w:hAnsi="宋体" w:cs="宋体"/>
          <w:color w:val="auto"/>
          <w:sz w:val="21"/>
          <w:szCs w:val="21"/>
          <w:highlight w:val="none"/>
          <w:lang w:val="en-US" w:eastAsia="zh-CN" w:bidi="ar-SA"/>
        </w:rPr>
        <w:t>甲方</w:t>
      </w:r>
      <w:r>
        <w:rPr>
          <w:rFonts w:hint="eastAsia" w:ascii="宋体" w:hAnsi="宋体" w:eastAsia="宋体" w:cs="宋体"/>
          <w:color w:val="auto"/>
          <w:sz w:val="21"/>
          <w:szCs w:val="21"/>
          <w:highlight w:val="none"/>
          <w:lang w:val="en-US" w:eastAsia="en-US" w:bidi="ar-SA"/>
        </w:rPr>
        <w:t>可单方面终止合同。</w:t>
      </w:r>
    </w:p>
    <w:p w14:paraId="04EE5893">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5.</w:t>
      </w:r>
      <w:r>
        <w:rPr>
          <w:rFonts w:hint="eastAsia" w:ascii="宋体" w:hAnsi="宋体" w:cs="宋体"/>
          <w:color w:val="auto"/>
          <w:sz w:val="21"/>
          <w:szCs w:val="21"/>
          <w:highlight w:val="none"/>
          <w:lang w:val="en-US" w:eastAsia="zh-CN" w:bidi="ar-SA"/>
        </w:rPr>
        <w:t>乙方</w:t>
      </w:r>
      <w:r>
        <w:rPr>
          <w:rFonts w:hint="eastAsia" w:ascii="宋体" w:hAnsi="宋体" w:eastAsia="宋体" w:cs="宋体"/>
          <w:color w:val="auto"/>
          <w:sz w:val="21"/>
          <w:szCs w:val="21"/>
          <w:highlight w:val="none"/>
          <w:lang w:val="en-US" w:eastAsia="en-US" w:bidi="ar-SA"/>
        </w:rPr>
        <w:t>必须及时对</w:t>
      </w:r>
      <w:r>
        <w:rPr>
          <w:rFonts w:hint="eastAsia" w:ascii="宋体" w:hAnsi="宋体" w:cs="宋体"/>
          <w:color w:val="auto"/>
          <w:sz w:val="21"/>
          <w:szCs w:val="21"/>
          <w:highlight w:val="none"/>
          <w:lang w:val="en-US" w:eastAsia="zh-CN" w:bidi="ar-SA"/>
        </w:rPr>
        <w:t>甲方</w:t>
      </w:r>
      <w:r>
        <w:rPr>
          <w:rFonts w:hint="eastAsia" w:ascii="宋体" w:hAnsi="宋体" w:eastAsia="宋体" w:cs="宋体"/>
          <w:color w:val="auto"/>
          <w:sz w:val="21"/>
          <w:szCs w:val="21"/>
          <w:highlight w:val="none"/>
          <w:lang w:val="en-US" w:eastAsia="en-US" w:bidi="ar-SA"/>
        </w:rPr>
        <w:t>反映存在的问题进行整改，若不进行及时整改或整改不到位，</w:t>
      </w:r>
      <w:r>
        <w:rPr>
          <w:rFonts w:hint="eastAsia" w:ascii="宋体" w:hAnsi="宋体" w:cs="宋体"/>
          <w:color w:val="auto"/>
          <w:sz w:val="21"/>
          <w:szCs w:val="21"/>
          <w:highlight w:val="none"/>
          <w:lang w:val="en-US" w:eastAsia="zh-CN" w:bidi="ar-SA"/>
        </w:rPr>
        <w:t>甲方</w:t>
      </w:r>
      <w:r>
        <w:rPr>
          <w:rFonts w:hint="eastAsia" w:ascii="宋体" w:hAnsi="宋体" w:eastAsia="宋体" w:cs="宋体"/>
          <w:color w:val="auto"/>
          <w:sz w:val="21"/>
          <w:szCs w:val="21"/>
          <w:highlight w:val="none"/>
          <w:lang w:val="en-US" w:eastAsia="en-US" w:bidi="ar-SA"/>
        </w:rPr>
        <w:t>有权要求</w:t>
      </w:r>
      <w:r>
        <w:rPr>
          <w:rFonts w:hint="eastAsia" w:ascii="宋体" w:hAnsi="宋体" w:cs="宋体"/>
          <w:color w:val="auto"/>
          <w:sz w:val="21"/>
          <w:szCs w:val="21"/>
          <w:highlight w:val="none"/>
          <w:lang w:val="en-US" w:eastAsia="zh-CN" w:bidi="ar-SA"/>
        </w:rPr>
        <w:t>乙方</w:t>
      </w:r>
      <w:r>
        <w:rPr>
          <w:rFonts w:hint="eastAsia" w:ascii="宋体" w:hAnsi="宋体" w:eastAsia="宋体" w:cs="宋体"/>
          <w:color w:val="auto"/>
          <w:sz w:val="21"/>
          <w:szCs w:val="21"/>
          <w:highlight w:val="none"/>
          <w:lang w:val="en-US" w:eastAsia="en-US" w:bidi="ar-SA"/>
        </w:rPr>
        <w:t>及时更换相关服务人员、限定时间整改到位，若</w:t>
      </w:r>
      <w:r>
        <w:rPr>
          <w:rFonts w:hint="eastAsia" w:ascii="宋体" w:hAnsi="宋体" w:cs="宋体"/>
          <w:color w:val="auto"/>
          <w:sz w:val="21"/>
          <w:szCs w:val="21"/>
          <w:highlight w:val="none"/>
          <w:lang w:val="en-US" w:eastAsia="zh-CN" w:bidi="ar-SA"/>
        </w:rPr>
        <w:t>乙方</w:t>
      </w:r>
      <w:r>
        <w:rPr>
          <w:rFonts w:hint="eastAsia" w:ascii="宋体" w:hAnsi="宋体" w:eastAsia="宋体" w:cs="宋体"/>
          <w:color w:val="auto"/>
          <w:sz w:val="21"/>
          <w:szCs w:val="21"/>
          <w:highlight w:val="none"/>
          <w:lang w:val="en-US" w:eastAsia="en-US" w:bidi="ar-SA"/>
        </w:rPr>
        <w:t>拒不执行，</w:t>
      </w:r>
      <w:r>
        <w:rPr>
          <w:rFonts w:hint="eastAsia" w:ascii="宋体" w:hAnsi="宋体" w:cs="宋体"/>
          <w:color w:val="auto"/>
          <w:sz w:val="21"/>
          <w:szCs w:val="21"/>
          <w:highlight w:val="none"/>
          <w:lang w:val="en-US" w:eastAsia="zh-CN" w:bidi="ar-SA"/>
        </w:rPr>
        <w:t>甲方</w:t>
      </w:r>
      <w:r>
        <w:rPr>
          <w:rFonts w:hint="eastAsia" w:ascii="宋体" w:hAnsi="宋体" w:eastAsia="宋体" w:cs="宋体"/>
          <w:color w:val="auto"/>
          <w:sz w:val="21"/>
          <w:szCs w:val="21"/>
          <w:highlight w:val="none"/>
          <w:lang w:val="en-US" w:eastAsia="en-US" w:bidi="ar-SA"/>
        </w:rPr>
        <w:t>有权单方面解除终止合同并要求</w:t>
      </w:r>
      <w:r>
        <w:rPr>
          <w:rFonts w:hint="eastAsia" w:ascii="宋体" w:hAnsi="宋体" w:cs="宋体"/>
          <w:color w:val="auto"/>
          <w:sz w:val="21"/>
          <w:szCs w:val="21"/>
          <w:highlight w:val="none"/>
          <w:lang w:val="en-US" w:eastAsia="zh-CN" w:bidi="ar-SA"/>
        </w:rPr>
        <w:t>乙方</w:t>
      </w:r>
      <w:r>
        <w:rPr>
          <w:rFonts w:hint="eastAsia" w:ascii="宋体" w:hAnsi="宋体" w:eastAsia="宋体" w:cs="宋体"/>
          <w:color w:val="auto"/>
          <w:sz w:val="21"/>
          <w:szCs w:val="21"/>
          <w:highlight w:val="none"/>
          <w:lang w:val="en-US" w:eastAsia="en-US" w:bidi="ar-SA"/>
        </w:rPr>
        <w:t>赔偿所造成的全部损失。</w:t>
      </w:r>
    </w:p>
    <w:p w14:paraId="257090E1">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outlineLvl w:val="9"/>
        <w:rPr>
          <w:rFonts w:hint="eastAsia" w:ascii="宋体" w:hAnsi="宋体" w:eastAsia="宋体" w:cs="宋体"/>
          <w:b w:val="0"/>
          <w:bCs w:val="0"/>
          <w:i/>
          <w:iCs/>
          <w:color w:val="auto"/>
          <w:sz w:val="21"/>
          <w:szCs w:val="21"/>
          <w:highlight w:val="none"/>
          <w:lang w:val="en-US" w:eastAsia="en-US" w:bidi="ar-SA"/>
        </w:rPr>
      </w:pPr>
      <w:r>
        <w:rPr>
          <w:rFonts w:hint="eastAsia" w:ascii="宋体" w:hAnsi="宋体" w:eastAsia="宋体" w:cs="宋体"/>
          <w:b w:val="0"/>
          <w:bCs w:val="0"/>
          <w:i w:val="0"/>
          <w:iCs w:val="0"/>
          <w:color w:val="auto"/>
          <w:sz w:val="21"/>
          <w:szCs w:val="21"/>
          <w:highlight w:val="none"/>
          <w:lang w:val="en-US" w:eastAsia="zh-CN" w:bidi="ar-SA"/>
        </w:rPr>
        <w:t>6.2.3</w:t>
      </w:r>
      <w:r>
        <w:rPr>
          <w:rFonts w:hint="eastAsia" w:ascii="宋体" w:hAnsi="宋体" w:eastAsia="宋体" w:cs="宋体"/>
          <w:b w:val="0"/>
          <w:bCs w:val="0"/>
          <w:i w:val="0"/>
          <w:iCs w:val="0"/>
          <w:color w:val="auto"/>
          <w:sz w:val="21"/>
          <w:szCs w:val="21"/>
          <w:highlight w:val="none"/>
          <w:lang w:val="en-US" w:eastAsia="en-US" w:bidi="ar-SA"/>
        </w:rPr>
        <w:t>资金支付违约责任</w:t>
      </w:r>
    </w:p>
    <w:p w14:paraId="23D4CB3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color w:val="auto"/>
          <w:sz w:val="21"/>
          <w:szCs w:val="21"/>
          <w:highlight w:val="none"/>
          <w:lang w:val="en-US" w:eastAsia="zh-CN"/>
        </w:rPr>
      </w:pPr>
      <w:r>
        <w:rPr>
          <w:rFonts w:hint="eastAsia" w:ascii="宋体" w:hAnsi="宋体" w:cs="宋体"/>
          <w:color w:val="auto"/>
          <w:sz w:val="21"/>
          <w:szCs w:val="21"/>
          <w:highlight w:val="none"/>
          <w:lang w:val="en-US" w:eastAsia="zh-CN" w:bidi="ar-SA"/>
        </w:rPr>
        <w:t>甲方</w:t>
      </w:r>
      <w:r>
        <w:rPr>
          <w:rFonts w:hint="eastAsia" w:ascii="宋体" w:hAnsi="宋体" w:eastAsia="宋体" w:cs="宋体"/>
          <w:color w:val="auto"/>
          <w:sz w:val="21"/>
          <w:szCs w:val="21"/>
          <w:highlight w:val="none"/>
          <w:lang w:val="en-US" w:eastAsia="en-US" w:bidi="ar-SA"/>
        </w:rPr>
        <w:t>在收到发票等合同约定的资料后，进行核实。满足合同约定支付条件的，</w:t>
      </w:r>
      <w:r>
        <w:rPr>
          <w:rFonts w:hint="eastAsia" w:ascii="宋体" w:hAnsi="宋体" w:cs="宋体"/>
          <w:color w:val="auto"/>
          <w:sz w:val="21"/>
          <w:szCs w:val="21"/>
          <w:highlight w:val="none"/>
          <w:lang w:val="en-US" w:eastAsia="zh-CN" w:bidi="ar-SA"/>
        </w:rPr>
        <w:t>甲方</w:t>
      </w:r>
      <w:r>
        <w:rPr>
          <w:rFonts w:hint="eastAsia" w:ascii="宋体" w:hAnsi="宋体" w:eastAsia="宋体" w:cs="宋体"/>
          <w:color w:val="auto"/>
          <w:sz w:val="21"/>
          <w:szCs w:val="21"/>
          <w:highlight w:val="none"/>
          <w:lang w:val="en-US" w:eastAsia="en-US" w:bidi="ar-SA"/>
        </w:rPr>
        <w:t>应按时依照合同约定价格进行付款。逾期未付款，</w:t>
      </w:r>
      <w:r>
        <w:rPr>
          <w:rFonts w:hint="eastAsia" w:ascii="宋体" w:hAnsi="宋体" w:cs="宋体"/>
          <w:color w:val="auto"/>
          <w:sz w:val="21"/>
          <w:szCs w:val="21"/>
          <w:highlight w:val="none"/>
          <w:lang w:val="en-US" w:eastAsia="zh-CN" w:bidi="ar-SA"/>
        </w:rPr>
        <w:t>甲方</w:t>
      </w:r>
      <w:r>
        <w:rPr>
          <w:rFonts w:hint="eastAsia" w:ascii="宋体" w:hAnsi="宋体" w:eastAsia="宋体" w:cs="宋体"/>
          <w:color w:val="auto"/>
          <w:sz w:val="21"/>
          <w:szCs w:val="21"/>
          <w:highlight w:val="none"/>
          <w:lang w:val="en-US" w:eastAsia="en-US" w:bidi="ar-SA"/>
        </w:rPr>
        <w:t>应按逾期天数，支付人民币100元/天的违约金，但不超过合同总价款的1%。如因</w:t>
      </w:r>
      <w:r>
        <w:rPr>
          <w:rFonts w:hint="eastAsia" w:ascii="宋体" w:hAnsi="宋体" w:cs="宋体"/>
          <w:color w:val="auto"/>
          <w:sz w:val="21"/>
          <w:szCs w:val="21"/>
          <w:highlight w:val="none"/>
          <w:lang w:val="en-US" w:eastAsia="zh-CN" w:bidi="ar-SA"/>
        </w:rPr>
        <w:t>乙方</w:t>
      </w:r>
      <w:r>
        <w:rPr>
          <w:rFonts w:hint="eastAsia" w:ascii="宋体" w:hAnsi="宋体" w:eastAsia="宋体" w:cs="宋体"/>
          <w:color w:val="auto"/>
          <w:sz w:val="21"/>
          <w:szCs w:val="21"/>
          <w:highlight w:val="none"/>
          <w:lang w:val="en-US" w:eastAsia="en-US" w:bidi="ar-SA"/>
        </w:rPr>
        <w:t>自身原因导致</w:t>
      </w:r>
      <w:r>
        <w:rPr>
          <w:rFonts w:hint="eastAsia" w:ascii="宋体" w:hAnsi="宋体" w:cs="宋体"/>
          <w:color w:val="auto"/>
          <w:sz w:val="21"/>
          <w:szCs w:val="21"/>
          <w:highlight w:val="none"/>
          <w:lang w:val="en-US" w:eastAsia="zh-CN" w:bidi="ar-SA"/>
        </w:rPr>
        <w:t>甲方</w:t>
      </w:r>
      <w:r>
        <w:rPr>
          <w:rFonts w:hint="eastAsia" w:ascii="宋体" w:hAnsi="宋体" w:eastAsia="宋体" w:cs="宋体"/>
          <w:color w:val="auto"/>
          <w:sz w:val="21"/>
          <w:szCs w:val="21"/>
          <w:highlight w:val="none"/>
          <w:lang w:val="en-US" w:eastAsia="en-US" w:bidi="ar-SA"/>
        </w:rPr>
        <w:t>无法按时支付的，所产生的责任由</w:t>
      </w:r>
      <w:r>
        <w:rPr>
          <w:rFonts w:hint="eastAsia" w:ascii="宋体" w:hAnsi="宋体" w:cs="宋体"/>
          <w:color w:val="auto"/>
          <w:sz w:val="21"/>
          <w:szCs w:val="21"/>
          <w:highlight w:val="none"/>
          <w:lang w:val="en-US" w:eastAsia="zh-CN" w:bidi="ar-SA"/>
        </w:rPr>
        <w:t>乙方</w:t>
      </w:r>
      <w:r>
        <w:rPr>
          <w:rFonts w:hint="eastAsia" w:ascii="宋体" w:hAnsi="宋体" w:eastAsia="宋体" w:cs="宋体"/>
          <w:color w:val="auto"/>
          <w:sz w:val="21"/>
          <w:szCs w:val="21"/>
          <w:highlight w:val="none"/>
          <w:lang w:val="en-US" w:eastAsia="en-US" w:bidi="ar-SA"/>
        </w:rPr>
        <w:t>自行承担。因财政拨款延后导致逾期付款的，</w:t>
      </w:r>
      <w:r>
        <w:rPr>
          <w:rFonts w:hint="eastAsia" w:ascii="宋体" w:hAnsi="宋体" w:cs="宋体"/>
          <w:color w:val="auto"/>
          <w:sz w:val="21"/>
          <w:szCs w:val="21"/>
          <w:highlight w:val="none"/>
          <w:lang w:val="en-US" w:eastAsia="zh-CN" w:bidi="ar-SA"/>
        </w:rPr>
        <w:t>甲方</w:t>
      </w:r>
      <w:r>
        <w:rPr>
          <w:rFonts w:hint="eastAsia" w:ascii="宋体" w:hAnsi="宋体" w:eastAsia="宋体" w:cs="宋体"/>
          <w:color w:val="auto"/>
          <w:sz w:val="21"/>
          <w:szCs w:val="21"/>
          <w:highlight w:val="none"/>
          <w:lang w:val="en-US" w:eastAsia="en-US" w:bidi="ar-SA"/>
        </w:rPr>
        <w:t>不承担违约责任。</w:t>
      </w:r>
    </w:p>
    <w:p w14:paraId="3C87A5D3">
      <w:pPr>
        <w:keepNext w:val="0"/>
        <w:keepLines w:val="0"/>
        <w:pageBreakBefore w:val="0"/>
        <w:widowControl w:val="0"/>
        <w:kinsoku/>
        <w:wordWrap/>
        <w:overflowPunct/>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w:t>
      </w:r>
      <w:r>
        <w:rPr>
          <w:rFonts w:hint="eastAsia" w:ascii="宋体" w:hAnsi="宋体" w:eastAsia="宋体" w:cs="宋体"/>
          <w:b/>
          <w:color w:val="auto"/>
          <w:sz w:val="21"/>
          <w:szCs w:val="21"/>
          <w:highlight w:val="none"/>
        </w:rPr>
        <w:t>. 履约保证金</w:t>
      </w:r>
      <w:bookmarkEnd w:id="122"/>
    </w:p>
    <w:p w14:paraId="4666D6AF">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本项目不要求提供履约保证金。</w:t>
      </w:r>
    </w:p>
    <w:p w14:paraId="6ADC4F64">
      <w:pPr>
        <w:keepNext w:val="0"/>
        <w:keepLines w:val="0"/>
        <w:pageBreakBefore w:val="0"/>
        <w:widowControl w:val="0"/>
        <w:tabs>
          <w:tab w:val="left" w:pos="0"/>
          <w:tab w:val="left" w:pos="540"/>
        </w:tabs>
        <w:kinsoku/>
        <w:wordWrap/>
        <w:overflowPunct/>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bookmarkStart w:id="123" w:name="_Toc23120"/>
      <w:r>
        <w:rPr>
          <w:rFonts w:hint="eastAsia" w:ascii="宋体" w:hAnsi="宋体" w:eastAsia="宋体" w:cs="宋体"/>
          <w:b/>
          <w:color w:val="auto"/>
          <w:sz w:val="21"/>
          <w:szCs w:val="21"/>
          <w:highlight w:val="none"/>
          <w:lang w:val="en-US" w:eastAsia="zh-CN"/>
        </w:rPr>
        <w:t>8</w:t>
      </w:r>
      <w:r>
        <w:rPr>
          <w:rFonts w:hint="eastAsia" w:ascii="宋体" w:hAnsi="宋体" w:cs="宋体"/>
          <w:b/>
          <w:color w:val="auto"/>
          <w:sz w:val="21"/>
          <w:szCs w:val="21"/>
          <w:highlight w:val="none"/>
          <w:lang w:eastAsia="zh-CN"/>
        </w:rPr>
        <w:t>.</w:t>
      </w:r>
      <w:r>
        <w:rPr>
          <w:rFonts w:hint="eastAsia" w:ascii="宋体" w:hAnsi="宋体" w:eastAsia="宋体" w:cs="宋体"/>
          <w:b/>
          <w:color w:val="auto"/>
          <w:sz w:val="21"/>
          <w:szCs w:val="21"/>
          <w:highlight w:val="none"/>
        </w:rPr>
        <w:t>履约延误</w:t>
      </w:r>
      <w:bookmarkEnd w:id="123"/>
    </w:p>
    <w:p w14:paraId="404052F0">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.1 乙方应按照本合同的规定提供服务。</w:t>
      </w:r>
    </w:p>
    <w:p w14:paraId="47EE7A6D">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 如乙方迟延履行合同义务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甲方将从应付合同金额中扣除误期违约金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每延误一天误期违约金按合同总金额的万分之三（0.03%）计收。乙方支付的误期违约金不足以弥补甲方损失的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应继续承担赔偿责任。本合同约定的损失</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包括但不限于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直接损失</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调查取证费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诉讼费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律师费等。</w:t>
      </w:r>
    </w:p>
    <w:p w14:paraId="6F81F545">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.3 在履行合同过程中</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如果乙方可能遇到妨碍按时提供服务的情况时</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应及时以书面形式将拖延的事实</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可能拖延的期限和理由通知甲方。甲方在收到乙方通知后</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应尽快对情况进行评估</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并确定是否酌情延长工期以及是否收取误期赔偿费。</w:t>
      </w:r>
    </w:p>
    <w:p w14:paraId="13043AAD">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.4 除不可抗力和根据合同规定延期取得甲方同意而不收取误期赔偿费之外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乙方延误工期</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将</w:t>
      </w:r>
      <w:bookmarkStart w:id="124" w:name="_Toc19982_WPSOffice_Level2"/>
      <w:r>
        <w:rPr>
          <w:rFonts w:hint="eastAsia" w:ascii="宋体" w:hAnsi="宋体" w:eastAsia="宋体" w:cs="宋体"/>
          <w:color w:val="auto"/>
          <w:sz w:val="21"/>
          <w:szCs w:val="21"/>
          <w:highlight w:val="none"/>
        </w:rPr>
        <w:t>按合同规定被收取误期赔偿费。</w:t>
      </w:r>
    </w:p>
    <w:p w14:paraId="2DFC0FCC">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.5 逾期退还履约保证金的违约责</w:t>
      </w:r>
      <w:bookmarkEnd w:id="124"/>
      <w:r>
        <w:rPr>
          <w:rFonts w:hint="eastAsia" w:ascii="宋体" w:hAnsi="宋体" w:eastAsia="宋体" w:cs="宋体"/>
          <w:color w:val="auto"/>
          <w:sz w:val="21"/>
          <w:szCs w:val="21"/>
          <w:highlight w:val="none"/>
        </w:rPr>
        <w:t>任。满足履约保</w:t>
      </w:r>
      <w:bookmarkStart w:id="125" w:name="_Toc17780_WPSOffice_Level2"/>
      <w:r>
        <w:rPr>
          <w:rFonts w:hint="eastAsia" w:ascii="宋体" w:hAnsi="宋体" w:eastAsia="宋体" w:cs="宋体"/>
          <w:color w:val="auto"/>
          <w:sz w:val="21"/>
          <w:szCs w:val="21"/>
          <w:highlight w:val="none"/>
        </w:rPr>
        <w:t>证金返还条件的</w:t>
      </w:r>
      <w:bookmarkEnd w:id="125"/>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甲方在收到返还相关信息等合</w:t>
      </w:r>
      <w:bookmarkStart w:id="126" w:name="_Toc19537_WPSOffice_Level2"/>
      <w:r>
        <w:rPr>
          <w:rFonts w:hint="eastAsia" w:ascii="宋体" w:hAnsi="宋体" w:eastAsia="宋体" w:cs="宋体"/>
          <w:color w:val="auto"/>
          <w:sz w:val="21"/>
          <w:szCs w:val="21"/>
          <w:highlight w:val="none"/>
        </w:rPr>
        <w:t>同约定资料后</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进行核实。对核实结果无异议的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应当自完成核实之日起30日内返还履约保证金。无特殊原因逾期</w:t>
      </w:r>
      <w:bookmarkEnd w:id="126"/>
      <w:r>
        <w:rPr>
          <w:rFonts w:hint="eastAsia" w:ascii="宋体" w:hAnsi="宋体" w:eastAsia="宋体" w:cs="宋体"/>
          <w:color w:val="auto"/>
          <w:sz w:val="21"/>
          <w:szCs w:val="21"/>
          <w:highlight w:val="none"/>
        </w:rPr>
        <w:t>退还</w:t>
      </w:r>
      <w:bookmarkStart w:id="127" w:name="_Toc10426_WPSOffice_Level2"/>
      <w:r>
        <w:rPr>
          <w:rFonts w:hint="eastAsia" w:ascii="宋体" w:hAnsi="宋体" w:eastAsia="宋体" w:cs="宋体"/>
          <w:color w:val="auto"/>
          <w:sz w:val="21"/>
          <w:szCs w:val="21"/>
          <w:highlight w:val="none"/>
        </w:rPr>
        <w:t>履约保证金</w:t>
      </w:r>
      <w:r>
        <w:rPr>
          <w:rFonts w:hint="eastAsia" w:ascii="宋体" w:hAnsi="宋体" w:eastAsia="宋体" w:cs="宋体"/>
          <w:color w:val="auto"/>
          <w:sz w:val="21"/>
          <w:szCs w:val="21"/>
          <w:highlight w:val="none"/>
          <w:lang w:eastAsia="zh-CN"/>
        </w:rPr>
        <w:t>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乙方可要求</w:t>
      </w:r>
      <w:r>
        <w:rPr>
          <w:rFonts w:hint="eastAsia" w:ascii="宋体" w:hAnsi="宋体" w:eastAsia="宋体" w:cs="宋体"/>
          <w:color w:val="auto"/>
          <w:sz w:val="21"/>
          <w:szCs w:val="21"/>
          <w:highlight w:val="none"/>
          <w:lang w:eastAsia="zh-CN"/>
        </w:rPr>
        <w:t>甲方按</w:t>
      </w:r>
      <w:r>
        <w:rPr>
          <w:rFonts w:hint="eastAsia" w:ascii="宋体" w:hAnsi="宋体" w:eastAsia="宋体" w:cs="宋体"/>
          <w:color w:val="auto"/>
          <w:sz w:val="21"/>
          <w:szCs w:val="21"/>
          <w:highlight w:val="none"/>
        </w:rPr>
        <w:t>银行</w:t>
      </w:r>
      <w:r>
        <w:rPr>
          <w:rFonts w:hint="eastAsia" w:ascii="宋体" w:hAnsi="宋体" w:eastAsia="宋体" w:cs="宋体"/>
          <w:color w:val="auto"/>
          <w:sz w:val="21"/>
          <w:szCs w:val="21"/>
          <w:highlight w:val="none"/>
          <w:lang w:eastAsia="zh-CN"/>
        </w:rPr>
        <w:t>同期</w:t>
      </w:r>
      <w:r>
        <w:rPr>
          <w:rFonts w:hint="eastAsia" w:ascii="宋体" w:hAnsi="宋体" w:eastAsia="宋体" w:cs="宋体"/>
          <w:color w:val="auto"/>
          <w:sz w:val="21"/>
          <w:szCs w:val="21"/>
          <w:highlight w:val="none"/>
        </w:rPr>
        <w:t>活期存款</w:t>
      </w:r>
      <w:r>
        <w:rPr>
          <w:rFonts w:hint="eastAsia" w:ascii="宋体" w:hAnsi="宋体" w:eastAsia="宋体" w:cs="宋体"/>
          <w:color w:val="auto"/>
          <w:sz w:val="21"/>
          <w:szCs w:val="21"/>
          <w:highlight w:val="none"/>
          <w:lang w:eastAsia="zh-CN"/>
        </w:rPr>
        <w:t>利率</w:t>
      </w:r>
      <w:bookmarkEnd w:id="127"/>
      <w:r>
        <w:rPr>
          <w:rFonts w:hint="eastAsia" w:ascii="宋体" w:hAnsi="宋体" w:eastAsia="宋体" w:cs="宋体"/>
          <w:color w:val="auto"/>
          <w:sz w:val="21"/>
          <w:szCs w:val="21"/>
          <w:highlight w:val="none"/>
          <w:lang w:eastAsia="zh-CN"/>
        </w:rPr>
        <w:t>支付逾期利息</w:t>
      </w:r>
      <w:r>
        <w:rPr>
          <w:rFonts w:hint="eastAsia" w:ascii="宋体" w:hAnsi="宋体" w:eastAsia="宋体" w:cs="宋体"/>
          <w:color w:val="auto"/>
          <w:sz w:val="21"/>
          <w:szCs w:val="21"/>
          <w:highlight w:val="none"/>
        </w:rPr>
        <w:t>。特殊原因逾期返还的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双方</w:t>
      </w:r>
      <w:bookmarkStart w:id="128" w:name="_Toc22513_WPSOffice_Level2"/>
      <w:r>
        <w:rPr>
          <w:rFonts w:hint="eastAsia" w:ascii="宋体" w:hAnsi="宋体" w:eastAsia="宋体" w:cs="宋体"/>
          <w:color w:val="auto"/>
          <w:sz w:val="21"/>
          <w:szCs w:val="21"/>
          <w:highlight w:val="none"/>
        </w:rPr>
        <w:t>协商解决。</w:t>
      </w:r>
    </w:p>
    <w:p w14:paraId="44618B4F">
      <w:pPr>
        <w:keepNext w:val="0"/>
        <w:keepLines w:val="0"/>
        <w:pageBreakBefore w:val="0"/>
        <w:widowControl w:val="0"/>
        <w:kinsoku/>
        <w:wordWrap/>
        <w:overflowPunct/>
        <w:topLinePunct/>
        <w:autoSpaceDE w:val="0"/>
        <w:autoSpaceDN w:val="0"/>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bookmarkStart w:id="129" w:name="_Toc11690"/>
      <w:r>
        <w:rPr>
          <w:rFonts w:hint="eastAsia" w:ascii="宋体" w:hAnsi="宋体" w:eastAsia="宋体" w:cs="宋体"/>
          <w:b/>
          <w:color w:val="auto"/>
          <w:sz w:val="21"/>
          <w:szCs w:val="21"/>
          <w:highlight w:val="none"/>
          <w:lang w:val="en-US" w:eastAsia="zh-CN"/>
        </w:rPr>
        <w:t>9</w:t>
      </w:r>
      <w:r>
        <w:rPr>
          <w:rFonts w:hint="eastAsia" w:ascii="宋体" w:hAnsi="宋体" w:eastAsia="宋体" w:cs="宋体"/>
          <w:b/>
          <w:color w:val="auto"/>
          <w:sz w:val="21"/>
          <w:szCs w:val="21"/>
          <w:highlight w:val="none"/>
        </w:rPr>
        <w:t>. 违约责任</w:t>
      </w:r>
      <w:bookmarkEnd w:id="129"/>
    </w:p>
    <w:bookmarkEnd w:id="128"/>
    <w:p w14:paraId="2A5CAE54">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.1 除本合同另有约定</w:t>
      </w:r>
      <w:bookmarkStart w:id="130" w:name="_Toc30372_WPSOffice_Level2"/>
      <w:r>
        <w:rPr>
          <w:rFonts w:hint="eastAsia" w:ascii="宋体" w:hAnsi="宋体" w:eastAsia="宋体" w:cs="宋体"/>
          <w:color w:val="auto"/>
          <w:sz w:val="21"/>
          <w:szCs w:val="21"/>
          <w:highlight w:val="none"/>
        </w:rPr>
        <w:t>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乙方不履行合同义</w:t>
      </w:r>
      <w:bookmarkEnd w:id="130"/>
      <w:r>
        <w:rPr>
          <w:rFonts w:hint="eastAsia" w:ascii="宋体" w:hAnsi="宋体" w:eastAsia="宋体" w:cs="宋体"/>
          <w:color w:val="auto"/>
          <w:sz w:val="21"/>
          <w:szCs w:val="21"/>
          <w:highlight w:val="none"/>
        </w:rPr>
        <w:t>务或者履行合同义务不符合合同约定的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按每违反一次从</w:t>
      </w:r>
      <w:bookmarkStart w:id="131" w:name="_Toc26738_WPSOffice_Level2"/>
      <w:r>
        <w:rPr>
          <w:rFonts w:hint="eastAsia" w:ascii="宋体" w:hAnsi="宋体" w:eastAsia="宋体" w:cs="宋体"/>
          <w:color w:val="auto"/>
          <w:sz w:val="21"/>
          <w:szCs w:val="21"/>
          <w:highlight w:val="none"/>
        </w:rPr>
        <w:t>应付款项中扣除合同总金额的</w:t>
      </w:r>
      <w:bookmarkEnd w:id="131"/>
      <w:r>
        <w:rPr>
          <w:rFonts w:hint="eastAsia" w:ascii="宋体" w:hAnsi="宋体" w:eastAsia="宋体" w:cs="宋体"/>
          <w:color w:val="auto"/>
          <w:sz w:val="21"/>
          <w:szCs w:val="21"/>
          <w:highlight w:val="none"/>
        </w:rPr>
        <w:t>百分之一（1%）作为违约金</w:t>
      </w:r>
      <w:r>
        <w:rPr>
          <w:rFonts w:hint="eastAsia" w:ascii="宋体" w:hAnsi="宋体" w:eastAsia="宋体" w:cs="宋体"/>
          <w:color w:val="auto"/>
          <w:sz w:val="21"/>
          <w:szCs w:val="21"/>
          <w:highlight w:val="none"/>
          <w:lang w:val="en-US" w:eastAsia="zh-CN"/>
        </w:rPr>
        <w:t>(延迟履约按8.2要求执行）</w:t>
      </w:r>
      <w:r>
        <w:rPr>
          <w:rFonts w:hint="eastAsia" w:ascii="宋体" w:hAnsi="宋体" w:eastAsia="宋体" w:cs="宋体"/>
          <w:color w:val="auto"/>
          <w:sz w:val="21"/>
          <w:szCs w:val="21"/>
          <w:highlight w:val="none"/>
        </w:rPr>
        <w:t>；此外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应当承担继续履行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采取补救措施或者赔偿损失等违约责任。乙方支付的上述违约金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赔偿金等不足以弥补甲方损失的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应继续承担赔偿责任。本合同约定的损失</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包括但不限于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直接损失</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调查取证费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诉讼费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律师费等。</w:t>
      </w:r>
    </w:p>
    <w:p w14:paraId="4094F034">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.2 乙方没有按照时限要求提供服务</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且在甲方指定的延长期限内没有采取补救措施</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甲方有权自行采取其他方式进行补救</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乙方除按合同第</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条约定向甲方支付误期违约金外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另外甲方所发生的一切费用和甲方损失</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甲方有权从应付的乙方的合同款项中扣除</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不足扣除的乙方应另行支付。</w:t>
      </w:r>
    </w:p>
    <w:p w14:paraId="3416B26C">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.3 除应支付甲方违约金等外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甲方有权根据合同或有关部门出具的检验证书向乙方提出索赔。</w:t>
      </w:r>
    </w:p>
    <w:p w14:paraId="14B488BF">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.4 如果乙方对差异负有责任而甲方提出索赔</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乙方同意按照下列方式解决索赔事宜</w:t>
      </w:r>
      <w:r>
        <w:rPr>
          <w:rFonts w:hint="eastAsia" w:ascii="宋体" w:hAnsi="宋体" w:eastAsia="宋体" w:cs="宋体"/>
          <w:color w:val="auto"/>
          <w:sz w:val="21"/>
          <w:szCs w:val="21"/>
          <w:highlight w:val="none"/>
          <w:lang w:eastAsia="zh-CN"/>
        </w:rPr>
        <w:t>：</w:t>
      </w:r>
    </w:p>
    <w:p w14:paraId="706564FF">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如果在甲方发出索赔通知后5个工作日内</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乙方未作书面答复</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上述索赔应视为已被乙方接受。如乙方未能在甲方发出索赔通知后5个工作日内或甲方同意的延长期限内着手解决索赔事宜</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甲方有权从乙方的合同款项中扣除索赔金额。</w:t>
      </w:r>
    </w:p>
    <w:p w14:paraId="247877C7">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.5 乙方利用本项目实施过程中所产生的成果（包括发明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可运行系统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源代码及相关技术资料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文档等）</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另行自行开发本合同业务范围内供纳税人</w:t>
      </w:r>
      <w:r>
        <w:rPr>
          <w:rFonts w:hint="eastAsia" w:ascii="宋体" w:hAnsi="宋体" w:eastAsia="宋体" w:cs="宋体"/>
          <w:color w:val="auto"/>
          <w:sz w:val="21"/>
          <w:szCs w:val="21"/>
          <w:highlight w:val="none"/>
          <w:lang w:eastAsia="zh-CN"/>
        </w:rPr>
        <w:t>缴费人</w:t>
      </w:r>
      <w:r>
        <w:rPr>
          <w:rFonts w:hint="eastAsia" w:ascii="宋体" w:hAnsi="宋体" w:eastAsia="宋体" w:cs="宋体"/>
          <w:color w:val="auto"/>
          <w:sz w:val="21"/>
          <w:szCs w:val="21"/>
          <w:highlight w:val="none"/>
        </w:rPr>
        <w:t>使用的软件或产品</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或利用</w:t>
      </w:r>
      <w:r>
        <w:rPr>
          <w:rFonts w:hint="eastAsia" w:ascii="宋体" w:hAnsi="宋体" w:eastAsia="宋体" w:cs="宋体"/>
          <w:color w:val="auto"/>
          <w:sz w:val="21"/>
          <w:szCs w:val="21"/>
          <w:highlight w:val="none"/>
          <w:lang w:eastAsia="zh-CN"/>
        </w:rPr>
        <w:t>为税务机关提供信息化服务的</w:t>
      </w:r>
      <w:r>
        <w:rPr>
          <w:rFonts w:hint="eastAsia" w:ascii="宋体" w:hAnsi="宋体" w:eastAsia="宋体" w:cs="宋体"/>
          <w:color w:val="auto"/>
          <w:sz w:val="21"/>
          <w:szCs w:val="21"/>
          <w:highlight w:val="none"/>
        </w:rPr>
        <w:t>便利</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向纳税人缴费人</w:t>
      </w:r>
      <w:r>
        <w:rPr>
          <w:rFonts w:hint="eastAsia" w:ascii="宋体" w:hAnsi="宋体" w:eastAsia="宋体" w:cs="宋体"/>
          <w:color w:val="auto"/>
          <w:sz w:val="21"/>
          <w:szCs w:val="21"/>
          <w:highlight w:val="none"/>
        </w:rPr>
        <w:t>搭车收费或</w:t>
      </w:r>
      <w:bookmarkStart w:id="132" w:name="_Toc28801_WPSOffice_Level2"/>
      <w:r>
        <w:rPr>
          <w:rFonts w:hint="eastAsia" w:ascii="宋体" w:hAnsi="宋体" w:eastAsia="宋体" w:cs="宋体"/>
          <w:color w:val="auto"/>
          <w:sz w:val="21"/>
          <w:szCs w:val="21"/>
          <w:highlight w:val="none"/>
        </w:rPr>
        <w:t>变相收费的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或有其他失信行为的</w:t>
      </w:r>
      <w:bookmarkEnd w:id="132"/>
      <w:bookmarkStart w:id="133" w:name="_Toc10846_WPSOffice_Level2"/>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纳入国家税务总局失信名单。</w:t>
      </w:r>
    </w:p>
    <w:bookmarkEnd w:id="133"/>
    <w:p w14:paraId="75E16F84">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对于影响恶劣的严重违法失信行为</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推送财政部纳入政府采购严重违法失信行为记录名单。</w:t>
      </w:r>
    </w:p>
    <w:p w14:paraId="3989F2A3">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 对于本协议未约定的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招标（采购）文件（技术部分）中约定的违约处理条款</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按招标（采购）文件（技术部分）相关约定执行；对本协议与招标（采购）文件（技术部分）约定不同的违约处理条款</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以本协议约定为准。</w:t>
      </w:r>
    </w:p>
    <w:p w14:paraId="130FC32A">
      <w:pPr>
        <w:keepNext w:val="0"/>
        <w:keepLines w:val="0"/>
        <w:pageBreakBefore w:val="0"/>
        <w:widowControl w:val="0"/>
        <w:kinsoku/>
        <w:wordWrap/>
        <w:overflowPunct/>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bookmarkStart w:id="134" w:name="_Toc21068"/>
      <w:r>
        <w:rPr>
          <w:rFonts w:hint="eastAsia" w:ascii="宋体" w:hAnsi="宋体" w:eastAsia="宋体" w:cs="宋体"/>
          <w:b/>
          <w:color w:val="auto"/>
          <w:sz w:val="21"/>
          <w:szCs w:val="21"/>
          <w:highlight w:val="none"/>
          <w:lang w:val="en-US" w:eastAsia="zh-CN"/>
        </w:rPr>
        <w:t>10.</w:t>
      </w:r>
      <w:r>
        <w:rPr>
          <w:rFonts w:hint="eastAsia" w:ascii="宋体" w:hAnsi="宋体" w:eastAsia="宋体" w:cs="宋体"/>
          <w:b/>
          <w:color w:val="auto"/>
          <w:sz w:val="21"/>
          <w:szCs w:val="21"/>
          <w:highlight w:val="none"/>
        </w:rPr>
        <w:t xml:space="preserve"> 不可抗力</w:t>
      </w:r>
      <w:bookmarkEnd w:id="134"/>
    </w:p>
    <w:p w14:paraId="43911DEA">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10.1</w:t>
      </w:r>
      <w:r>
        <w:rPr>
          <w:rFonts w:hint="eastAsia" w:ascii="宋体" w:hAnsi="宋体" w:eastAsia="宋体" w:cs="宋体"/>
          <w:color w:val="auto"/>
          <w:sz w:val="21"/>
          <w:szCs w:val="21"/>
          <w:highlight w:val="none"/>
        </w:rPr>
        <w:t xml:space="preserve"> 本条所述的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不可抗力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系指双方不可预见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不可避免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不可克服的客观情况</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但不包括双方的违约或疏忽。这些事件包括但不限于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战争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严重火灾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洪水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台风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地震等。</w:t>
      </w:r>
    </w:p>
    <w:p w14:paraId="48AFF557">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10.2</w:t>
      </w:r>
      <w:r>
        <w:rPr>
          <w:rFonts w:hint="eastAsia" w:ascii="宋体" w:hAnsi="宋体" w:eastAsia="宋体" w:cs="宋体"/>
          <w:color w:val="auto"/>
          <w:sz w:val="21"/>
          <w:szCs w:val="21"/>
          <w:highlight w:val="none"/>
        </w:rPr>
        <w:t xml:space="preserve"> 如果乙方因不可抗力而导致合同实施延误或不能履行合同义务</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不应承担误期赔偿或终止合同的责任。</w:t>
      </w:r>
    </w:p>
    <w:p w14:paraId="2FF34697">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3 在不可抗力事件发生后</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当事方应及时将不可抗力情况通知合同对方</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在不可抗力事件结束后3日内以书面形式将不可抗力的情况和原</w:t>
      </w:r>
      <w:bookmarkStart w:id="135" w:name="_Toc9375_WPSOffice_Level2"/>
      <w:r>
        <w:rPr>
          <w:rFonts w:hint="eastAsia" w:ascii="宋体" w:hAnsi="宋体" w:eastAsia="宋体" w:cs="宋体"/>
          <w:color w:val="auto"/>
          <w:sz w:val="21"/>
          <w:szCs w:val="21"/>
          <w:highlight w:val="none"/>
        </w:rPr>
        <w:t>因通知合同对方</w:t>
      </w:r>
      <w:bookmarkEnd w:id="135"/>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并提供相应的证明文件。合同各方应尽可能继续履行合同义务</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并积极寻求采取合理的措施履行不受不可抗力影响的其他事项。合同各方应通过友好协商在合理的时间内达成进一步履行的协议。</w:t>
      </w:r>
    </w:p>
    <w:p w14:paraId="632C3B0A">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4 如因国家政策变化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技术实施所需的客观环境发生变化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重大技术变化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国家调减预算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乙方在执行合同的过程中发生对履行合同有直接影响的重大事故或变故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甲方工作计划调整及推广使用新应用系统导致本项目相关服务停止等原因</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本合同不能继续全部或部分履行</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甲方有权通知乙方解除本合同的全部或部分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双方将按已经实际履行并验收合格的合同内容进行结算。</w:t>
      </w:r>
    </w:p>
    <w:p w14:paraId="6DC2F26C">
      <w:pPr>
        <w:keepNext w:val="0"/>
        <w:keepLines w:val="0"/>
        <w:pageBreakBefore w:val="0"/>
        <w:widowControl w:val="0"/>
        <w:kinsoku/>
        <w:wordWrap/>
        <w:overflowPunct/>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bookmarkStart w:id="136" w:name="_Toc27208"/>
      <w:r>
        <w:rPr>
          <w:rFonts w:hint="eastAsia" w:ascii="宋体" w:hAnsi="宋体" w:eastAsia="宋体" w:cs="宋体"/>
          <w:b/>
          <w:color w:val="auto"/>
          <w:sz w:val="21"/>
          <w:szCs w:val="21"/>
          <w:highlight w:val="none"/>
        </w:rPr>
        <w:t>1</w:t>
      </w: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 争端的解决</w:t>
      </w:r>
      <w:bookmarkEnd w:id="136"/>
    </w:p>
    <w:p w14:paraId="1F0CC568">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甲乙双方应首先通过友好协商解决在执行本合同中所发生的或与本合同有关的一切争端。如协商不能解决</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可以向甲方所在地人民法院提起诉讼。</w:t>
      </w:r>
    </w:p>
    <w:p w14:paraId="09937D60">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诉讼费除人民法院另有判决外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应由败诉方负担。</w:t>
      </w:r>
    </w:p>
    <w:p w14:paraId="6F70E09D">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在诉讼期间</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除正在进行诉讼部分外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本合同的其它部分应继续执行。</w:t>
      </w:r>
    </w:p>
    <w:p w14:paraId="105246E9">
      <w:pPr>
        <w:keepNext w:val="0"/>
        <w:keepLines w:val="0"/>
        <w:pageBreakBefore w:val="0"/>
        <w:widowControl w:val="0"/>
        <w:kinsoku/>
        <w:wordWrap/>
        <w:overflowPunct/>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bookmarkStart w:id="137" w:name="_Toc10977"/>
      <w:r>
        <w:rPr>
          <w:rFonts w:hint="eastAsia" w:ascii="宋体" w:hAnsi="宋体" w:eastAsia="宋体" w:cs="宋体"/>
          <w:b/>
          <w:color w:val="auto"/>
          <w:sz w:val="21"/>
          <w:szCs w:val="21"/>
          <w:highlight w:val="none"/>
        </w:rPr>
        <w:t>1</w:t>
      </w: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 违约终止合同</w:t>
      </w:r>
      <w:bookmarkEnd w:id="137"/>
    </w:p>
    <w:p w14:paraId="4779E37D">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 若出现如下情况</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在甲方对乙方违约行为而采取的任何补救措施不受影响的情况下</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甲方可向乙方发出书面通知书</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提出解除部分或全部合同。自甲方发出书面通知书之日起30日内</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乙方应支付甲方合同总金额20%的违约金</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并根据合同执行情况返还部分或全部已收取款项。乙方支付的违约金不足以弥补甲方损失的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应继续承担赔偿责任。本合同约定的损失</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包括但不限于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直接损失</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调查取证费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诉讼费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律师费等。</w:t>
      </w:r>
    </w:p>
    <w:p w14:paraId="62F9A180">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12.1.1 </w:t>
      </w:r>
      <w:r>
        <w:rPr>
          <w:rFonts w:hint="eastAsia" w:ascii="宋体" w:hAnsi="宋体" w:eastAsia="宋体" w:cs="宋体"/>
          <w:color w:val="auto"/>
          <w:sz w:val="21"/>
          <w:szCs w:val="21"/>
          <w:highlight w:val="none"/>
          <w:lang w:eastAsia="zh-CN"/>
        </w:rPr>
        <w:t>乙方不履行合同业务或者履行合同义务不符合合同约定；</w:t>
      </w:r>
    </w:p>
    <w:p w14:paraId="120BD6D4">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如果乙方未能在合同规定的期限或甲方同意延长的期限内提供服务；</w:t>
      </w:r>
    </w:p>
    <w:p w14:paraId="18538FCA">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因乙方人员自身技术能力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经验不足等问题造成甲方发生重大紧急故障</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带来重大影响和损失的；</w:t>
      </w:r>
    </w:p>
    <w:p w14:paraId="287740A2">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 乙方对重大紧急故障没有及时响应</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或不能在规定时间内解决处理故障</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恢复正常运行的；</w:t>
      </w:r>
    </w:p>
    <w:p w14:paraId="14A3037A">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 不能满足本项目技术需求的管理要求和规范</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且经多次整改无明显改进的</w:t>
      </w:r>
      <w:r>
        <w:rPr>
          <w:rFonts w:hint="eastAsia" w:ascii="宋体" w:hAnsi="宋体" w:eastAsia="宋体" w:cs="宋体"/>
          <w:color w:val="auto"/>
          <w:sz w:val="21"/>
          <w:szCs w:val="21"/>
          <w:highlight w:val="none"/>
          <w:lang w:eastAsia="zh-CN"/>
        </w:rPr>
        <w:t>；</w:t>
      </w:r>
    </w:p>
    <w:p w14:paraId="2B0A3606">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 在合同服务期内</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同一个应用系统在升级完善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运行维护支持服务过程中</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出现5次经甲乙双方确认的用户投诉的</w:t>
      </w:r>
      <w:r>
        <w:rPr>
          <w:rFonts w:hint="eastAsia" w:ascii="宋体" w:hAnsi="宋体" w:eastAsia="宋体" w:cs="宋体"/>
          <w:color w:val="auto"/>
          <w:sz w:val="21"/>
          <w:szCs w:val="21"/>
          <w:highlight w:val="none"/>
          <w:lang w:eastAsia="zh-CN"/>
        </w:rPr>
        <w:t>；</w:t>
      </w:r>
    </w:p>
    <w:p w14:paraId="61F9BF3B">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12.1.7 </w:t>
      </w:r>
      <w:r>
        <w:rPr>
          <w:rFonts w:hint="eastAsia" w:ascii="宋体" w:hAnsi="宋体" w:eastAsia="宋体" w:cs="宋体"/>
          <w:color w:val="auto"/>
          <w:sz w:val="21"/>
          <w:szCs w:val="21"/>
          <w:highlight w:val="none"/>
        </w:rPr>
        <w:t>乙方利用本</w:t>
      </w:r>
      <w:bookmarkStart w:id="138" w:name="_Toc3291_WPSOffice_Level2"/>
      <w:r>
        <w:rPr>
          <w:rFonts w:hint="eastAsia" w:ascii="宋体" w:hAnsi="宋体" w:eastAsia="宋体" w:cs="宋体"/>
          <w:color w:val="auto"/>
          <w:sz w:val="21"/>
          <w:szCs w:val="21"/>
          <w:highlight w:val="none"/>
        </w:rPr>
        <w:t>项目实施过程中所产生</w:t>
      </w:r>
      <w:bookmarkEnd w:id="138"/>
      <w:r>
        <w:rPr>
          <w:rFonts w:hint="eastAsia" w:ascii="宋体" w:hAnsi="宋体" w:eastAsia="宋体" w:cs="宋体"/>
          <w:color w:val="auto"/>
          <w:sz w:val="21"/>
          <w:szCs w:val="21"/>
          <w:highlight w:val="none"/>
        </w:rPr>
        <w:t>的成果（包括发明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可运行</w:t>
      </w:r>
      <w:bookmarkStart w:id="139" w:name="_Toc3225_WPSOffice_Level2"/>
      <w:r>
        <w:rPr>
          <w:rFonts w:hint="eastAsia" w:ascii="宋体" w:hAnsi="宋体" w:eastAsia="宋体" w:cs="宋体"/>
          <w:color w:val="auto"/>
          <w:sz w:val="21"/>
          <w:szCs w:val="21"/>
          <w:highlight w:val="none"/>
        </w:rPr>
        <w:t>系统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源代码及相关</w:t>
      </w:r>
      <w:bookmarkEnd w:id="139"/>
      <w:r>
        <w:rPr>
          <w:rFonts w:hint="eastAsia" w:ascii="宋体" w:hAnsi="宋体" w:eastAsia="宋体" w:cs="宋体"/>
          <w:color w:val="auto"/>
          <w:sz w:val="21"/>
          <w:szCs w:val="21"/>
          <w:highlight w:val="none"/>
        </w:rPr>
        <w:t>技术资料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文档等）</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另行自行开发本合同业务范围内供纳税人</w:t>
      </w:r>
      <w:r>
        <w:rPr>
          <w:rFonts w:hint="eastAsia" w:ascii="宋体" w:hAnsi="宋体" w:eastAsia="宋体" w:cs="宋体"/>
          <w:color w:val="auto"/>
          <w:sz w:val="21"/>
          <w:szCs w:val="21"/>
          <w:highlight w:val="none"/>
          <w:lang w:eastAsia="zh-CN"/>
        </w:rPr>
        <w:t>缴费人</w:t>
      </w:r>
      <w:r>
        <w:rPr>
          <w:rFonts w:hint="eastAsia" w:ascii="宋体" w:hAnsi="宋体" w:eastAsia="宋体" w:cs="宋体"/>
          <w:color w:val="auto"/>
          <w:sz w:val="21"/>
          <w:szCs w:val="21"/>
          <w:highlight w:val="none"/>
        </w:rPr>
        <w:t>使用的软件或产品的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或利用</w:t>
      </w:r>
      <w:r>
        <w:rPr>
          <w:rFonts w:hint="eastAsia" w:ascii="宋体" w:hAnsi="宋体" w:eastAsia="宋体" w:cs="宋体"/>
          <w:color w:val="auto"/>
          <w:sz w:val="21"/>
          <w:szCs w:val="21"/>
          <w:highlight w:val="none"/>
          <w:lang w:eastAsia="zh-CN"/>
        </w:rPr>
        <w:t>为税务机关提供信息化服务的</w:t>
      </w:r>
      <w:r>
        <w:rPr>
          <w:rFonts w:hint="eastAsia" w:ascii="宋体" w:hAnsi="宋体" w:eastAsia="宋体" w:cs="宋体"/>
          <w:color w:val="auto"/>
          <w:sz w:val="21"/>
          <w:szCs w:val="21"/>
          <w:highlight w:val="none"/>
        </w:rPr>
        <w:t>便利</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向纳税人缴费人</w:t>
      </w:r>
      <w:r>
        <w:rPr>
          <w:rFonts w:hint="eastAsia" w:ascii="宋体" w:hAnsi="宋体" w:eastAsia="宋体" w:cs="宋体"/>
          <w:color w:val="auto"/>
          <w:sz w:val="21"/>
          <w:szCs w:val="21"/>
          <w:highlight w:val="none"/>
        </w:rPr>
        <w:t>搭车收费或变相收费的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或有其他失信行为的；</w:t>
      </w:r>
    </w:p>
    <w:p w14:paraId="4D6380CE">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12.1.8 乙方在本项目实施过程中发生违反网络安全规定行为造成不良后果的。</w:t>
      </w:r>
    </w:p>
    <w:p w14:paraId="2E8BCD2F">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 xml:space="preserve"> 乙方提供的服务侵犯甲方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第三方知识产权等合法权益的；</w:t>
      </w:r>
    </w:p>
    <w:p w14:paraId="4D7AA90E">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 xml:space="preserve"> 乙方或乙方人员造成甲方或第三方经济损失而拒不赔偿的；</w:t>
      </w:r>
    </w:p>
    <w:p w14:paraId="06A938FE">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 xml:space="preserve"> 乙方转让其应履行的合同义务</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或未经甲方同意采取分包方式履行合同</w:t>
      </w:r>
    </w:p>
    <w:p w14:paraId="0915B157">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的；</w:t>
      </w:r>
    </w:p>
    <w:p w14:paraId="168F2EA1">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乙方有其他严重违约行为的。</w:t>
      </w:r>
    </w:p>
    <w:p w14:paraId="11DC71F9">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.2 如果甲方根据上述第1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.1条的规定</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终止了全</w:t>
      </w:r>
      <w:bookmarkStart w:id="140" w:name="_Toc31997_WPSOffice_Level2"/>
      <w:r>
        <w:rPr>
          <w:rFonts w:hint="eastAsia" w:ascii="宋体" w:hAnsi="宋体" w:eastAsia="宋体" w:cs="宋体"/>
          <w:color w:val="auto"/>
          <w:sz w:val="21"/>
          <w:szCs w:val="21"/>
          <w:highlight w:val="none"/>
        </w:rPr>
        <w:t>部或部分合同</w:t>
      </w:r>
      <w:bookmarkEnd w:id="140"/>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甲方可以适当的条件和方法购买乙方未能提供的服务</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乙方应对甲方购买类似服务所超出的费用负责。同时</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乙方应继续执行合同中未终止的部分。</w:t>
      </w:r>
    </w:p>
    <w:p w14:paraId="1A82A6A5">
      <w:pPr>
        <w:keepNext w:val="0"/>
        <w:keepLines w:val="0"/>
        <w:pageBreakBefore w:val="0"/>
        <w:widowControl w:val="0"/>
        <w:kinsoku/>
        <w:wordWrap/>
        <w:overflowPunct/>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bookmarkStart w:id="141" w:name="_Toc16605"/>
      <w:r>
        <w:rPr>
          <w:rFonts w:hint="eastAsia" w:ascii="宋体" w:hAnsi="宋体" w:eastAsia="宋体" w:cs="宋体"/>
          <w:b/>
          <w:color w:val="auto"/>
          <w:sz w:val="21"/>
          <w:szCs w:val="21"/>
          <w:highlight w:val="none"/>
        </w:rPr>
        <w:t>1</w:t>
      </w:r>
      <w:r>
        <w:rPr>
          <w:rFonts w:hint="eastAsia" w:ascii="宋体" w:hAnsi="宋体" w:eastAsia="宋体" w:cs="宋体"/>
          <w:b/>
          <w:color w:val="auto"/>
          <w:sz w:val="21"/>
          <w:szCs w:val="21"/>
          <w:highlight w:val="none"/>
          <w:lang w:val="en-US" w:eastAsia="zh-CN"/>
        </w:rPr>
        <w:t>3</w:t>
      </w:r>
      <w:r>
        <w:rPr>
          <w:rFonts w:hint="eastAsia" w:ascii="宋体" w:hAnsi="宋体" w:eastAsia="宋体" w:cs="宋体"/>
          <w:b/>
          <w:color w:val="auto"/>
          <w:sz w:val="21"/>
          <w:szCs w:val="21"/>
          <w:highlight w:val="none"/>
        </w:rPr>
        <w:t>. 破产终止合同</w:t>
      </w:r>
      <w:bookmarkEnd w:id="141"/>
    </w:p>
    <w:p w14:paraId="2D1288FC">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.1 如果乙方破产或无清偿能力</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甲方可在任何时候以书面形式通知乙方终止合同而不给乙方补偿。如因乙方无法继续履行合同</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造成甲方损失的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乙方应承担赔付责任。</w:t>
      </w:r>
    </w:p>
    <w:p w14:paraId="70C15869">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.2该终止合同将不损害或影响甲方已经采取或将要采取的任何行动或补救措施的权力。</w:t>
      </w:r>
    </w:p>
    <w:p w14:paraId="33695F3A">
      <w:pPr>
        <w:keepNext w:val="0"/>
        <w:keepLines w:val="0"/>
        <w:pageBreakBefore w:val="0"/>
        <w:widowControl w:val="0"/>
        <w:kinsoku/>
        <w:wordWrap/>
        <w:overflowPunct/>
        <w:topLinePunct/>
        <w:autoSpaceDE w:val="0"/>
        <w:autoSpaceDN w:val="0"/>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bookmarkStart w:id="142" w:name="_Toc25411"/>
      <w:r>
        <w:rPr>
          <w:rFonts w:hint="eastAsia" w:ascii="宋体" w:hAnsi="宋体" w:eastAsia="宋体" w:cs="宋体"/>
          <w:b/>
          <w:color w:val="auto"/>
          <w:sz w:val="21"/>
          <w:szCs w:val="21"/>
          <w:highlight w:val="none"/>
        </w:rPr>
        <w:t>1</w:t>
      </w:r>
      <w:r>
        <w:rPr>
          <w:rFonts w:hint="eastAsia" w:ascii="宋体" w:hAnsi="宋体" w:eastAsia="宋体" w:cs="宋体"/>
          <w:b/>
          <w:color w:val="auto"/>
          <w:sz w:val="21"/>
          <w:szCs w:val="21"/>
          <w:highlight w:val="none"/>
          <w:lang w:val="en-US" w:eastAsia="zh-CN"/>
        </w:rPr>
        <w:t>4</w:t>
      </w:r>
      <w:r>
        <w:rPr>
          <w:rFonts w:hint="eastAsia" w:ascii="宋体" w:hAnsi="宋体" w:eastAsia="宋体" w:cs="宋体"/>
          <w:b/>
          <w:color w:val="auto"/>
          <w:sz w:val="21"/>
          <w:szCs w:val="21"/>
          <w:highlight w:val="none"/>
        </w:rPr>
        <w:t>. 其他情况的终止合同</w:t>
      </w:r>
      <w:bookmarkEnd w:id="142"/>
    </w:p>
    <w:p w14:paraId="0406E0F3">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.1 乙方在执行合同的过程中发生重大事故或变故</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对履行合同有直接影响的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甲方可以提出终止合同而不给予乙方任何补偿。</w:t>
      </w:r>
    </w:p>
    <w:p w14:paraId="3180409B">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 在服务期内</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由于甲方工作计划调整</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推广使用新应用系统导致本项目相关服务停止的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甲方可以提出终止合同而不给予乙方任何补偿。</w:t>
      </w:r>
    </w:p>
    <w:p w14:paraId="7A1C624E">
      <w:pPr>
        <w:keepNext w:val="0"/>
        <w:keepLines w:val="0"/>
        <w:pageBreakBefore w:val="0"/>
        <w:widowControl w:val="0"/>
        <w:tabs>
          <w:tab w:val="left" w:pos="700"/>
        </w:tabs>
        <w:kinsoku/>
        <w:wordWrap/>
        <w:overflowPunct/>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bookmarkStart w:id="143" w:name="_Toc19440"/>
      <w:r>
        <w:rPr>
          <w:rFonts w:hint="eastAsia" w:ascii="宋体" w:hAnsi="宋体" w:eastAsia="宋体" w:cs="宋体"/>
          <w:b/>
          <w:color w:val="auto"/>
          <w:sz w:val="21"/>
          <w:szCs w:val="21"/>
          <w:highlight w:val="none"/>
        </w:rPr>
        <w:t>1</w:t>
      </w:r>
      <w:r>
        <w:rPr>
          <w:rFonts w:hint="eastAsia" w:ascii="宋体" w:hAnsi="宋体" w:eastAsia="宋体" w:cs="宋体"/>
          <w:b/>
          <w:color w:val="auto"/>
          <w:sz w:val="21"/>
          <w:szCs w:val="21"/>
          <w:highlight w:val="none"/>
          <w:lang w:val="en-US" w:eastAsia="zh-CN"/>
        </w:rPr>
        <w:t>5</w:t>
      </w:r>
      <w:r>
        <w:rPr>
          <w:rFonts w:hint="eastAsia" w:ascii="宋体" w:hAnsi="宋体" w:eastAsia="宋体" w:cs="宋体"/>
          <w:b/>
          <w:color w:val="auto"/>
          <w:sz w:val="21"/>
          <w:szCs w:val="21"/>
          <w:highlight w:val="none"/>
        </w:rPr>
        <w:t>. 合同修改或变更</w:t>
      </w:r>
      <w:bookmarkEnd w:id="143"/>
    </w:p>
    <w:p w14:paraId="5F24BF29">
      <w:pPr>
        <w:keepNext w:val="0"/>
        <w:keepLines w:val="0"/>
        <w:pageBreakBefore w:val="0"/>
        <w:widowControl w:val="0"/>
        <w:kinsoku/>
        <w:wordWrap/>
        <w:overflowPunct/>
        <w:bidi w:val="0"/>
        <w:adjustRightInd/>
        <w:snapToGrid/>
        <w:spacing w:line="360" w:lineRule="auto"/>
        <w:ind w:firstLine="482"/>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.1 合同如有未尽事宜</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须经甲乙双方共同协商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做出补充约定</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并签订书面补充合同或变更协议。补充合同或变更协议作为本合同的一部分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与本合同具有同等效力。</w:t>
      </w:r>
    </w:p>
    <w:p w14:paraId="546CA579">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.2 除了双方签署书面修改或变更协议</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并成为本合同不可分割的一部分的情况之外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本合同的条款不得有任何变化或修改。</w:t>
      </w:r>
    </w:p>
    <w:p w14:paraId="61065725">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.3 由于</w:t>
      </w:r>
      <w:r>
        <w:rPr>
          <w:rFonts w:hint="eastAsia" w:ascii="宋体" w:hAnsi="宋体" w:cs="宋体"/>
          <w:color w:val="auto"/>
          <w:sz w:val="21"/>
          <w:szCs w:val="21"/>
          <w:highlight w:val="none"/>
          <w:lang w:eastAsia="zh-CN"/>
        </w:rPr>
        <w:t>甲方</w:t>
      </w:r>
      <w:r>
        <w:rPr>
          <w:rFonts w:hint="eastAsia" w:ascii="宋体" w:hAnsi="宋体" w:eastAsia="宋体" w:cs="宋体"/>
          <w:color w:val="auto"/>
          <w:sz w:val="21"/>
          <w:szCs w:val="21"/>
          <w:highlight w:val="none"/>
        </w:rPr>
        <w:t>项目统一规划等原因导致本项目停止部分服务的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甲方将启动合同变更程序</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与乙方协商变更相关合同条款。</w:t>
      </w:r>
    </w:p>
    <w:p w14:paraId="5A8E5634">
      <w:pPr>
        <w:keepNext w:val="0"/>
        <w:keepLines w:val="0"/>
        <w:pageBreakBefore w:val="0"/>
        <w:widowControl w:val="0"/>
        <w:kinsoku/>
        <w:wordWrap/>
        <w:overflowPunct/>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bookmarkStart w:id="144" w:name="_Toc27512"/>
      <w:r>
        <w:rPr>
          <w:rFonts w:hint="eastAsia" w:ascii="宋体" w:hAnsi="宋体" w:eastAsia="宋体" w:cs="宋体"/>
          <w:b/>
          <w:color w:val="auto"/>
          <w:sz w:val="21"/>
          <w:szCs w:val="21"/>
          <w:highlight w:val="none"/>
        </w:rPr>
        <w:t>1</w:t>
      </w:r>
      <w:r>
        <w:rPr>
          <w:rFonts w:hint="eastAsia" w:ascii="宋体" w:hAnsi="宋体" w:eastAsia="宋体" w:cs="宋体"/>
          <w:b/>
          <w:color w:val="auto"/>
          <w:sz w:val="21"/>
          <w:szCs w:val="21"/>
          <w:highlight w:val="none"/>
          <w:lang w:val="en-US" w:eastAsia="zh-CN"/>
        </w:rPr>
        <w:t>6</w:t>
      </w:r>
      <w:r>
        <w:rPr>
          <w:rFonts w:hint="eastAsia" w:ascii="宋体" w:hAnsi="宋体" w:eastAsia="宋体" w:cs="宋体"/>
          <w:b/>
          <w:color w:val="auto"/>
          <w:sz w:val="21"/>
          <w:szCs w:val="21"/>
          <w:highlight w:val="none"/>
        </w:rPr>
        <w:t>. 转让和分包</w:t>
      </w:r>
      <w:bookmarkEnd w:id="144"/>
    </w:p>
    <w:p w14:paraId="65A0CF29">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 除甲方事先书面同意外</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乙方不得部分转让或全部转让其应履行的合同义务。</w:t>
      </w:r>
    </w:p>
    <w:p w14:paraId="5C64B94A">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16.2 未经甲方同意</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乙方不得采取分包方式履行合同。经甲方同意分包履行合同的</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乙方就采购项目及分包项目向甲方负责</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分包供应商就分包项目承担责任。</w:t>
      </w:r>
    </w:p>
    <w:p w14:paraId="12172B6F">
      <w:pPr>
        <w:keepNext w:val="0"/>
        <w:keepLines w:val="0"/>
        <w:pageBreakBefore w:val="0"/>
        <w:widowControl w:val="0"/>
        <w:kinsoku/>
        <w:wordWrap/>
        <w:overflowPunct/>
        <w:topLinePunct/>
        <w:autoSpaceDE w:val="0"/>
        <w:autoSpaceDN w:val="0"/>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bookmarkStart w:id="145" w:name="_Toc25766"/>
      <w:r>
        <w:rPr>
          <w:rFonts w:hint="eastAsia" w:ascii="宋体" w:hAnsi="宋体" w:eastAsia="宋体" w:cs="宋体"/>
          <w:b/>
          <w:color w:val="auto"/>
          <w:sz w:val="21"/>
          <w:szCs w:val="21"/>
          <w:highlight w:val="none"/>
        </w:rPr>
        <w:t>1</w:t>
      </w:r>
      <w:r>
        <w:rPr>
          <w:rFonts w:hint="eastAsia" w:ascii="宋体" w:hAnsi="宋体" w:eastAsia="宋体" w:cs="宋体"/>
          <w:b/>
          <w:color w:val="auto"/>
          <w:sz w:val="21"/>
          <w:szCs w:val="21"/>
          <w:highlight w:val="none"/>
          <w:lang w:val="en-US" w:eastAsia="zh-CN"/>
        </w:rPr>
        <w:t>7</w:t>
      </w:r>
      <w:r>
        <w:rPr>
          <w:rFonts w:hint="eastAsia" w:ascii="宋体" w:hAnsi="宋体" w:eastAsia="宋体" w:cs="宋体"/>
          <w:b/>
          <w:color w:val="auto"/>
          <w:sz w:val="21"/>
          <w:szCs w:val="21"/>
          <w:highlight w:val="none"/>
        </w:rPr>
        <w:t>. 合同语言</w:t>
      </w:r>
      <w:bookmarkEnd w:id="145"/>
    </w:p>
    <w:p w14:paraId="3AB12FDE">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.1 本合同语言为中文。</w:t>
      </w:r>
    </w:p>
    <w:p w14:paraId="0BFD0CE8">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.2 双方交换的与合同有关的信件和其他文件应用合同语言书写。</w:t>
      </w:r>
    </w:p>
    <w:p w14:paraId="28AA1575">
      <w:pPr>
        <w:keepNext w:val="0"/>
        <w:keepLines w:val="0"/>
        <w:pageBreakBefore w:val="0"/>
        <w:widowControl w:val="0"/>
        <w:kinsoku/>
        <w:wordWrap/>
        <w:overflowPunct/>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bookmarkStart w:id="146" w:name="_Toc1148"/>
      <w:r>
        <w:rPr>
          <w:rFonts w:hint="eastAsia" w:ascii="宋体" w:hAnsi="宋体" w:eastAsia="宋体" w:cs="宋体"/>
          <w:b/>
          <w:color w:val="auto"/>
          <w:sz w:val="21"/>
          <w:szCs w:val="21"/>
          <w:highlight w:val="none"/>
          <w:lang w:val="en-US" w:eastAsia="zh-CN"/>
        </w:rPr>
        <w:t>18</w:t>
      </w:r>
      <w:r>
        <w:rPr>
          <w:rFonts w:hint="eastAsia" w:ascii="宋体" w:hAnsi="宋体" w:eastAsia="宋体" w:cs="宋体"/>
          <w:b/>
          <w:color w:val="auto"/>
          <w:sz w:val="21"/>
          <w:szCs w:val="21"/>
          <w:highlight w:val="none"/>
        </w:rPr>
        <w:t>. 适用法律</w:t>
      </w:r>
      <w:bookmarkEnd w:id="146"/>
    </w:p>
    <w:p w14:paraId="6697ED28">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.1 本合同按照中华人民共和国现行法律进行解释。</w:t>
      </w:r>
    </w:p>
    <w:p w14:paraId="01A1824D">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.2 本合同的履行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违约责任和解决争议的方法等适用《中华人民共和国</w:t>
      </w:r>
      <w:r>
        <w:rPr>
          <w:rFonts w:hint="eastAsia" w:ascii="宋体" w:hAnsi="宋体" w:eastAsia="宋体" w:cs="宋体"/>
          <w:color w:val="auto"/>
          <w:sz w:val="21"/>
          <w:szCs w:val="21"/>
          <w:highlight w:val="none"/>
          <w:lang w:eastAsia="zh-CN"/>
        </w:rPr>
        <w:t>民法典（合同编）</w:t>
      </w:r>
      <w:r>
        <w:rPr>
          <w:rFonts w:hint="eastAsia" w:ascii="宋体" w:hAnsi="宋体" w:eastAsia="宋体" w:cs="宋体"/>
          <w:color w:val="auto"/>
          <w:sz w:val="21"/>
          <w:szCs w:val="21"/>
          <w:highlight w:val="none"/>
        </w:rPr>
        <w:t>》。</w:t>
      </w:r>
    </w:p>
    <w:p w14:paraId="44FF2E2A">
      <w:pPr>
        <w:keepNext w:val="0"/>
        <w:keepLines w:val="0"/>
        <w:pageBreakBefore w:val="0"/>
        <w:widowControl w:val="0"/>
        <w:kinsoku/>
        <w:wordWrap/>
        <w:overflowPunct/>
        <w:topLinePunct/>
        <w:autoSpaceDE w:val="0"/>
        <w:autoSpaceDN w:val="0"/>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bookmarkStart w:id="147" w:name="_Toc2759"/>
      <w:r>
        <w:rPr>
          <w:rFonts w:hint="eastAsia" w:ascii="宋体" w:hAnsi="宋体" w:eastAsia="宋体" w:cs="宋体"/>
          <w:b/>
          <w:color w:val="auto"/>
          <w:sz w:val="21"/>
          <w:szCs w:val="21"/>
          <w:highlight w:val="none"/>
          <w:lang w:val="en-US" w:eastAsia="zh-CN"/>
        </w:rPr>
        <w:t>19</w:t>
      </w:r>
      <w:r>
        <w:rPr>
          <w:rFonts w:hint="eastAsia" w:ascii="宋体" w:hAnsi="宋体" w:eastAsia="宋体" w:cs="宋体"/>
          <w:b/>
          <w:color w:val="auto"/>
          <w:sz w:val="21"/>
          <w:szCs w:val="21"/>
          <w:highlight w:val="none"/>
        </w:rPr>
        <w:t>. 税费</w:t>
      </w:r>
      <w:bookmarkEnd w:id="147"/>
    </w:p>
    <w:p w14:paraId="2BE95C99">
      <w:pPr>
        <w:keepNext w:val="0"/>
        <w:keepLines w:val="0"/>
        <w:pageBreakBefore w:val="0"/>
        <w:widowControl w:val="0"/>
        <w:kinsoku/>
        <w:wordWrap/>
        <w:overflowPunct/>
        <w:topLinePunct/>
        <w:autoSpaceDE w:val="0"/>
        <w:autoSpaceDN w:val="0"/>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.1 合同服务的所有税费均已包含于合同价中</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甲方不再另行支付。</w:t>
      </w:r>
    </w:p>
    <w:p w14:paraId="3E6D9CE8">
      <w:pPr>
        <w:keepNext w:val="0"/>
        <w:keepLines w:val="0"/>
        <w:pageBreakBefore w:val="0"/>
        <w:widowControl w:val="0"/>
        <w:tabs>
          <w:tab w:val="left" w:pos="700"/>
        </w:tabs>
        <w:kinsoku/>
        <w:wordWrap/>
        <w:overflowPunct/>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rPr>
      </w:pPr>
      <w:bookmarkStart w:id="148" w:name="_Toc28336"/>
      <w:r>
        <w:rPr>
          <w:rFonts w:hint="eastAsia" w:ascii="宋体" w:hAnsi="宋体" w:eastAsia="宋体" w:cs="宋体"/>
          <w:b/>
          <w:color w:val="auto"/>
          <w:sz w:val="21"/>
          <w:szCs w:val="21"/>
          <w:highlight w:val="none"/>
          <w:lang w:val="en-US" w:eastAsia="zh-CN"/>
        </w:rPr>
        <w:t>20</w:t>
      </w:r>
      <w:r>
        <w:rPr>
          <w:rFonts w:hint="eastAsia" w:ascii="宋体" w:hAnsi="宋体" w:eastAsia="宋体" w:cs="宋体"/>
          <w:b/>
          <w:color w:val="auto"/>
          <w:sz w:val="21"/>
          <w:szCs w:val="21"/>
          <w:highlight w:val="none"/>
        </w:rPr>
        <w:t>. 合同生效</w:t>
      </w:r>
      <w:bookmarkEnd w:id="148"/>
    </w:p>
    <w:p w14:paraId="1C824816">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20.1 本合同一式    份</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由甲乙双方法定代表人或被授权人签字并盖章后生效。</w:t>
      </w:r>
    </w:p>
    <w:p w14:paraId="71AAD9CE">
      <w:pPr>
        <w:keepNext w:val="0"/>
        <w:keepLines w:val="0"/>
        <w:pageBreakBefore w:val="0"/>
        <w:widowControl w:val="0"/>
        <w:kinsoku/>
        <w:wordWrap/>
        <w:overflowPunct/>
        <w:bidi w:val="0"/>
        <w:adjustRightInd/>
        <w:snapToGrid/>
        <w:spacing w:line="360" w:lineRule="auto"/>
        <w:ind w:firstLine="422" w:firstLineChars="200"/>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w:t>
      </w:r>
      <w:r>
        <w:rPr>
          <w:rFonts w:hint="eastAsia" w:ascii="宋体" w:hAnsi="宋体" w:cs="宋体"/>
          <w:b/>
          <w:bCs/>
          <w:color w:val="auto"/>
          <w:sz w:val="21"/>
          <w:szCs w:val="21"/>
          <w:highlight w:val="none"/>
          <w:lang w:val="en-US" w:eastAsia="zh-CN"/>
        </w:rPr>
        <w:t xml:space="preserve">1. </w:t>
      </w:r>
      <w:r>
        <w:rPr>
          <w:rFonts w:hint="eastAsia" w:ascii="宋体" w:hAnsi="宋体" w:eastAsia="宋体" w:cs="宋体"/>
          <w:b/>
          <w:bCs/>
          <w:color w:val="auto"/>
          <w:sz w:val="21"/>
          <w:szCs w:val="21"/>
          <w:highlight w:val="none"/>
          <w:lang w:val="en-US" w:eastAsia="zh-CN"/>
        </w:rPr>
        <w:t>通知和送达</w:t>
      </w:r>
    </w:p>
    <w:p w14:paraId="2EE8F08C">
      <w:pPr>
        <w:keepNext w:val="0"/>
        <w:keepLines w:val="0"/>
        <w:pageBreakBefore w:val="0"/>
        <w:widowControl w:val="0"/>
        <w:kinsoku/>
        <w:wordWrap/>
        <w:overflowPunct/>
        <w:bidi w:val="0"/>
        <w:adjustRightInd/>
        <w:snapToGrid/>
        <w:spacing w:line="360" w:lineRule="auto"/>
        <w:ind w:firstLine="420" w:firstLineChars="200"/>
        <w:textAlignment w:val="auto"/>
        <w:outlineLvl w:val="9"/>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1"/>
          <w:szCs w:val="21"/>
          <w:highlight w:val="none"/>
          <w:lang w:val="en-US" w:eastAsia="zh-CN"/>
        </w:rPr>
        <w:t>本合同所载双方的地址、手机号码、电子邮件等均作为双方和司法程序送达的有效联系方式。直接送达以签收回执确定的时间为送达时间；手机短信、QQ、微信及电子邮件一经发出</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即视为送达；以传真方式送达的</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传真发送后收到传真回执时送达；以EMS等邮寄方式送达至对方本合同所载的地址的</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交邮3日后即默认已送达。任何一方变更联系方式的</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应提前5日书面通知对</w:t>
      </w:r>
      <w:r>
        <w:rPr>
          <w:rFonts w:hint="eastAsia"/>
          <w:color w:val="auto"/>
          <w:highlight w:val="none"/>
        </w:rPr>
        <w:t>方</w:t>
      </w:r>
      <w:r>
        <w:rPr>
          <w:rFonts w:hint="eastAsia"/>
          <w:color w:val="auto"/>
          <w:highlight w:val="none"/>
          <w:lang w:eastAsia="zh-CN"/>
        </w:rPr>
        <w:t>，</w:t>
      </w:r>
      <w:r>
        <w:rPr>
          <w:rFonts w:hint="eastAsia"/>
          <w:color w:val="auto"/>
          <w:highlight w:val="none"/>
        </w:rPr>
        <w:t>否则按照原送达方式送达的</w:t>
      </w:r>
      <w:r>
        <w:rPr>
          <w:rFonts w:hint="eastAsia"/>
          <w:color w:val="auto"/>
          <w:highlight w:val="none"/>
          <w:lang w:eastAsia="zh-CN"/>
        </w:rPr>
        <w:t>，</w:t>
      </w:r>
      <w:r>
        <w:rPr>
          <w:rFonts w:hint="eastAsia"/>
          <w:color w:val="auto"/>
          <w:highlight w:val="none"/>
        </w:rPr>
        <w:t>如文件因无法联系收件人或被拒收退回的</w:t>
      </w:r>
      <w:r>
        <w:rPr>
          <w:rFonts w:hint="eastAsia"/>
          <w:color w:val="auto"/>
          <w:highlight w:val="none"/>
          <w:lang w:eastAsia="zh-CN"/>
        </w:rPr>
        <w:t>，</w:t>
      </w:r>
      <w:r>
        <w:rPr>
          <w:rFonts w:hint="eastAsia"/>
          <w:color w:val="auto"/>
          <w:highlight w:val="none"/>
        </w:rPr>
        <w:t>退件日期即为送达之日。</w:t>
      </w:r>
    </w:p>
    <w:p w14:paraId="0EF6894E">
      <w:pPr>
        <w:keepNext w:val="0"/>
        <w:keepLines w:val="0"/>
        <w:pageBreakBefore w:val="0"/>
        <w:widowControl w:val="0"/>
        <w:tabs>
          <w:tab w:val="left" w:pos="0"/>
        </w:tabs>
        <w:kinsoku/>
        <w:wordWrap/>
        <w:overflowPunct/>
        <w:topLinePunct/>
        <w:autoSpaceDE w:val="0"/>
        <w:autoSpaceDN w:val="0"/>
        <w:bidi w:val="0"/>
        <w:adjustRightInd/>
        <w:snapToGrid/>
        <w:spacing w:line="360" w:lineRule="auto"/>
        <w:jc w:val="both"/>
        <w:textAlignment w:val="auto"/>
        <w:outlineLvl w:val="9"/>
        <w:rPr>
          <w:rFonts w:hint="eastAsia" w:ascii="宋体" w:hAnsi="宋体" w:eastAsia="宋体" w:cs="宋体"/>
          <w:b/>
          <w:color w:val="auto"/>
          <w:sz w:val="24"/>
          <w:highlight w:val="none"/>
          <w:lang w:eastAsia="zh-CN"/>
        </w:rPr>
      </w:pPr>
    </w:p>
    <w:p w14:paraId="6F370C5F">
      <w:pPr>
        <w:keepNext w:val="0"/>
        <w:keepLines w:val="0"/>
        <w:pageBreakBefore w:val="0"/>
        <w:widowControl w:val="0"/>
        <w:tabs>
          <w:tab w:val="left" w:pos="0"/>
        </w:tabs>
        <w:kinsoku/>
        <w:wordWrap/>
        <w:overflowPunct/>
        <w:topLinePunct/>
        <w:autoSpaceDE w:val="0"/>
        <w:autoSpaceDN w:val="0"/>
        <w:bidi w:val="0"/>
        <w:adjustRightInd/>
        <w:snapToGrid/>
        <w:spacing w:line="360" w:lineRule="auto"/>
        <w:jc w:val="both"/>
        <w:textAlignment w:val="auto"/>
        <w:outlineLvl w:val="2"/>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三</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lang w:eastAsia="zh-CN"/>
        </w:rPr>
        <w:t>报价表</w:t>
      </w:r>
    </w:p>
    <w:p w14:paraId="2F7E5816">
      <w:pPr>
        <w:rPr>
          <w:rFonts w:hint="eastAsia" w:ascii="华文中宋" w:hAnsi="华文中宋" w:eastAsia="华文中宋" w:cs="华文中宋"/>
          <w:color w:val="auto"/>
          <w:sz w:val="28"/>
          <w:szCs w:val="28"/>
          <w:highlight w:val="none"/>
        </w:rPr>
      </w:pPr>
      <w:r>
        <w:rPr>
          <w:rFonts w:hint="eastAsia" w:ascii="华文中宋" w:hAnsi="华文中宋" w:eastAsia="华文中宋" w:cs="华文中宋"/>
          <w:color w:val="auto"/>
          <w:sz w:val="28"/>
          <w:szCs w:val="28"/>
          <w:highlight w:val="none"/>
        </w:rPr>
        <w:br w:type="page"/>
      </w:r>
    </w:p>
    <w:p w14:paraId="66ECF9C4">
      <w:pPr>
        <w:bidi w:val="0"/>
        <w:jc w:val="center"/>
        <w:outlineLvl w:val="0"/>
        <w:rPr>
          <w:rFonts w:hint="eastAsia" w:ascii="宋体" w:hAnsi="宋体" w:eastAsia="宋体" w:cs="宋体"/>
          <w:b/>
          <w:bCs/>
          <w:color w:val="auto"/>
          <w:sz w:val="28"/>
          <w:szCs w:val="28"/>
          <w:highlight w:val="none"/>
        </w:rPr>
      </w:pPr>
      <w:bookmarkStart w:id="149" w:name="_Toc16520"/>
      <w:r>
        <w:rPr>
          <w:rFonts w:hint="eastAsia" w:ascii="宋体" w:hAnsi="宋体" w:eastAsia="宋体" w:cs="宋体"/>
          <w:b/>
          <w:bCs/>
          <w:color w:val="auto"/>
          <w:sz w:val="28"/>
          <w:szCs w:val="28"/>
          <w:highlight w:val="none"/>
        </w:rPr>
        <w:t>第五章</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投标文件格式</w:t>
      </w:r>
      <w:bookmarkEnd w:id="103"/>
      <w:bookmarkEnd w:id="149"/>
    </w:p>
    <w:p w14:paraId="4A88D20B">
      <w:pPr>
        <w:keepNext w:val="0"/>
        <w:keepLines w:val="0"/>
        <w:pageBreakBefore w:val="0"/>
        <w:widowControl w:val="0"/>
        <w:kinsoku/>
        <w:wordWrap/>
        <w:overflowPunct/>
        <w:topLinePunct/>
        <w:autoSpaceDE w:val="0"/>
        <w:autoSpaceDN w:val="0"/>
        <w:bidi w:val="0"/>
        <w:adjustRightInd w:val="0"/>
        <w:snapToGrid w:val="0"/>
        <w:spacing w:after="0"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投标人必须按下列文本格式</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如实提供具有法律效力的资格证明文件和真实有效的其他文件资料</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任何不按下列文本格式提供或有实质性变更将由投标人承担风险。</w:t>
      </w:r>
    </w:p>
    <w:p w14:paraId="716BD285">
      <w:pPr>
        <w:keepNext w:val="0"/>
        <w:keepLines w:val="0"/>
        <w:pageBreakBefore w:val="0"/>
        <w:widowControl w:val="0"/>
        <w:kinsoku/>
        <w:wordWrap/>
        <w:overflowPunct/>
        <w:topLinePunct/>
        <w:autoSpaceDE w:val="0"/>
        <w:autoSpaceDN w:val="0"/>
        <w:bidi w:val="0"/>
        <w:adjustRightInd w:val="0"/>
        <w:snapToGrid w:val="0"/>
        <w:spacing w:after="0"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1.投标人应严格按照本章规定填写和提交全部格式文件以及其他有关资料</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混乱的编排导致投标文件被误读或查找不到</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后果由投标人承担。</w:t>
      </w:r>
    </w:p>
    <w:p w14:paraId="6692E112">
      <w:pPr>
        <w:keepNext w:val="0"/>
        <w:keepLines w:val="0"/>
        <w:pageBreakBefore w:val="0"/>
        <w:widowControl w:val="0"/>
        <w:kinsoku/>
        <w:wordWrap/>
        <w:overflowPunct/>
        <w:topLinePunct/>
        <w:autoSpaceDE w:val="0"/>
        <w:autoSpaceDN w:val="0"/>
        <w:bidi w:val="0"/>
        <w:adjustRightInd w:val="0"/>
        <w:snapToGrid w:val="0"/>
        <w:spacing w:after="0" w:line="360" w:lineRule="auto"/>
        <w:ind w:firstLine="420" w:firstLineChars="200"/>
        <w:textAlignment w:val="auto"/>
        <w:outlineLvl w:val="9"/>
        <w:rPr>
          <w:rFonts w:hint="eastAsia" w:ascii="宋体" w:hAnsi="宋体" w:eastAsia="宋体" w:cs="宋体"/>
          <w:color w:val="auto"/>
          <w:sz w:val="21"/>
          <w:szCs w:val="21"/>
          <w:highlight w:val="none"/>
        </w:rPr>
      </w:pPr>
      <w:bookmarkStart w:id="150" w:name="_Toc12902"/>
      <w:r>
        <w:rPr>
          <w:rFonts w:hint="eastAsia" w:ascii="宋体" w:hAnsi="宋体" w:eastAsia="宋体" w:cs="宋体"/>
          <w:color w:val="auto"/>
          <w:sz w:val="21"/>
          <w:szCs w:val="21"/>
          <w:highlight w:val="none"/>
        </w:rPr>
        <w:t>2.所附表格中要求回答的全部问题和信息都必须正面回答。</w:t>
      </w:r>
      <w:bookmarkEnd w:id="150"/>
    </w:p>
    <w:p w14:paraId="0A66E356">
      <w:pPr>
        <w:keepNext w:val="0"/>
        <w:keepLines w:val="0"/>
        <w:pageBreakBefore w:val="0"/>
        <w:widowControl w:val="0"/>
        <w:kinsoku/>
        <w:wordWrap/>
        <w:overflowPunct/>
        <w:topLinePunct/>
        <w:autoSpaceDE w:val="0"/>
        <w:autoSpaceDN w:val="0"/>
        <w:bidi w:val="0"/>
        <w:adjustRightInd w:val="0"/>
        <w:snapToGrid w:val="0"/>
        <w:spacing w:after="0"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3.资格声明文件的签字人应保证全部声明和问题的回答是真实的和准确的。</w:t>
      </w:r>
    </w:p>
    <w:p w14:paraId="44004903">
      <w:pPr>
        <w:keepNext w:val="0"/>
        <w:keepLines w:val="0"/>
        <w:pageBreakBefore w:val="0"/>
        <w:widowControl w:val="0"/>
        <w:kinsoku/>
        <w:wordWrap/>
        <w:overflowPunct/>
        <w:topLinePunct/>
        <w:autoSpaceDE w:val="0"/>
        <w:autoSpaceDN w:val="0"/>
        <w:bidi w:val="0"/>
        <w:adjustRightInd w:val="0"/>
        <w:snapToGrid w:val="0"/>
        <w:spacing w:after="0"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4.评标委员会将应用投标人提交的资料并根据自己的判断</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决定投标人履行合同的合格性及能力。</w:t>
      </w:r>
    </w:p>
    <w:p w14:paraId="4A619FC2">
      <w:pPr>
        <w:keepNext w:val="0"/>
        <w:keepLines w:val="0"/>
        <w:pageBreakBefore w:val="0"/>
        <w:widowControl w:val="0"/>
        <w:kinsoku/>
        <w:wordWrap/>
        <w:overflowPunct/>
        <w:topLinePunct/>
        <w:autoSpaceDE w:val="0"/>
        <w:autoSpaceDN w:val="0"/>
        <w:bidi w:val="0"/>
        <w:adjustRightInd w:val="0"/>
        <w:snapToGrid w:val="0"/>
        <w:spacing w:after="0" w:line="360" w:lineRule="auto"/>
        <w:ind w:firstLine="420" w:firstLineChars="200"/>
        <w:textAlignment w:val="auto"/>
        <w:outlineLvl w:val="9"/>
        <w:rPr>
          <w:rFonts w:hint="eastAsia" w:ascii="宋体" w:hAnsi="宋体" w:eastAsia="宋体" w:cs="宋体"/>
          <w:color w:val="auto"/>
          <w:sz w:val="21"/>
          <w:szCs w:val="21"/>
          <w:highlight w:val="none"/>
        </w:rPr>
      </w:pPr>
      <w:bookmarkStart w:id="151" w:name="_Toc20432"/>
      <w:r>
        <w:rPr>
          <w:rFonts w:hint="eastAsia" w:ascii="宋体" w:hAnsi="宋体" w:eastAsia="宋体" w:cs="宋体"/>
          <w:color w:val="auto"/>
          <w:sz w:val="21"/>
          <w:szCs w:val="21"/>
          <w:highlight w:val="none"/>
        </w:rPr>
        <w:t>5.全部文件应按投标人须知中规定的语言提交。</w:t>
      </w:r>
      <w:bookmarkEnd w:id="151"/>
    </w:p>
    <w:p w14:paraId="3749E05F">
      <w:pPr>
        <w:keepNext w:val="0"/>
        <w:keepLines w:val="0"/>
        <w:pageBreakBefore w:val="0"/>
        <w:widowControl w:val="0"/>
        <w:kinsoku/>
        <w:wordWrap/>
        <w:overflowPunct/>
        <w:topLinePunct/>
        <w:autoSpaceDE w:val="0"/>
        <w:autoSpaceDN w:val="0"/>
        <w:bidi w:val="0"/>
        <w:adjustRightInd w:val="0"/>
        <w:snapToGrid w:val="0"/>
        <w:spacing w:after="0"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6.以下格式文件为要求填写内容的固定格式</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投标人不得擅自修改格式</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其他未提供格式的文件和资料由投标人自行设计编制格式填写。</w:t>
      </w:r>
    </w:p>
    <w:p w14:paraId="3BC93137">
      <w:pPr>
        <w:adjustRightInd w:val="0"/>
        <w:snapToGrid w:val="0"/>
        <w:spacing w:after="0" w:line="360" w:lineRule="auto"/>
        <w:jc w:val="center"/>
        <w:rPr>
          <w:b/>
          <w:bCs/>
          <w:color w:val="auto"/>
          <w:highlight w:val="none"/>
        </w:rPr>
      </w:pPr>
      <w:r>
        <w:rPr>
          <w:rFonts w:hint="eastAsia"/>
          <w:b/>
          <w:bCs/>
          <w:color w:val="auto"/>
          <w:highlight w:val="none"/>
        </w:rPr>
        <w:br w:type="page"/>
      </w:r>
    </w:p>
    <w:p w14:paraId="1BECAD6B">
      <w:pPr>
        <w:spacing w:line="720" w:lineRule="auto"/>
        <w:jc w:val="center"/>
        <w:rPr>
          <w:rFonts w:hint="eastAsia" w:ascii="宋体" w:hAnsi="宋体" w:eastAsia="宋体" w:cs="宋体"/>
          <w:b/>
          <w:bCs/>
          <w:color w:val="auto"/>
          <w:sz w:val="52"/>
          <w:szCs w:val="56"/>
          <w:highlight w:val="none"/>
          <w:lang w:eastAsia="zh-CN"/>
        </w:rPr>
      </w:pPr>
    </w:p>
    <w:p w14:paraId="0C570A8D">
      <w:pPr>
        <w:spacing w:line="720" w:lineRule="auto"/>
        <w:jc w:val="center"/>
        <w:rPr>
          <w:rFonts w:hint="eastAsia" w:ascii="宋体" w:hAnsi="宋体" w:eastAsia="宋体" w:cs="宋体"/>
          <w:b/>
          <w:bCs/>
          <w:color w:val="auto"/>
          <w:sz w:val="56"/>
          <w:szCs w:val="60"/>
          <w:highlight w:val="none"/>
          <w:lang w:eastAsia="zh-CN"/>
        </w:rPr>
      </w:pPr>
      <w:bookmarkStart w:id="152" w:name="_Toc21038_WPSOffice_Level2"/>
      <w:r>
        <w:rPr>
          <w:rFonts w:hint="eastAsia" w:ascii="宋体" w:hAnsi="宋体" w:cs="宋体"/>
          <w:b/>
          <w:bCs/>
          <w:color w:val="auto"/>
          <w:sz w:val="56"/>
          <w:szCs w:val="60"/>
          <w:highlight w:val="none"/>
          <w:lang w:eastAsia="zh-CN"/>
        </w:rPr>
        <w:t>国家税务总局昆明市官渡区税务局2026年物业管理服务项目（二次）</w:t>
      </w:r>
    </w:p>
    <w:p w14:paraId="7FB56FB9">
      <w:pPr>
        <w:pStyle w:val="15"/>
        <w:spacing w:line="500" w:lineRule="exact"/>
        <w:jc w:val="center"/>
        <w:rPr>
          <w:rFonts w:hint="eastAsia" w:hAnsi="宋体" w:cs="Times New Roman"/>
          <w:b/>
          <w:color w:val="auto"/>
          <w:sz w:val="48"/>
          <w:szCs w:val="48"/>
          <w:highlight w:val="none"/>
          <w:lang w:val="en-US" w:eastAsia="zh-CN"/>
        </w:rPr>
      </w:pPr>
    </w:p>
    <w:p w14:paraId="27559232">
      <w:pPr>
        <w:pStyle w:val="15"/>
        <w:spacing w:line="500" w:lineRule="exact"/>
        <w:jc w:val="center"/>
        <w:rPr>
          <w:rFonts w:hint="eastAsia" w:ascii="宋体" w:hAnsi="宋体" w:eastAsia="宋体" w:cs="Times New Roman"/>
          <w:b/>
          <w:color w:val="auto"/>
          <w:sz w:val="32"/>
          <w:szCs w:val="32"/>
          <w:highlight w:val="none"/>
        </w:rPr>
      </w:pPr>
    </w:p>
    <w:p w14:paraId="6A3DBBFE">
      <w:pPr>
        <w:pStyle w:val="15"/>
        <w:spacing w:line="500" w:lineRule="exact"/>
        <w:jc w:val="center"/>
        <w:rPr>
          <w:rFonts w:hint="eastAsia" w:ascii="宋体" w:hAnsi="宋体" w:eastAsia="宋体" w:cs="Times New Roman"/>
          <w:b/>
          <w:color w:val="auto"/>
          <w:sz w:val="32"/>
          <w:szCs w:val="32"/>
          <w:highlight w:val="none"/>
        </w:rPr>
      </w:pPr>
    </w:p>
    <w:p w14:paraId="03B07FF1">
      <w:pPr>
        <w:pStyle w:val="15"/>
        <w:spacing w:line="500" w:lineRule="exact"/>
        <w:jc w:val="center"/>
        <w:rPr>
          <w:rFonts w:hint="eastAsia" w:ascii="宋体" w:hAnsi="宋体" w:eastAsia="宋体" w:cs="Times New Roman"/>
          <w:b/>
          <w:color w:val="auto"/>
          <w:sz w:val="32"/>
          <w:szCs w:val="32"/>
          <w:highlight w:val="none"/>
        </w:rPr>
      </w:pPr>
    </w:p>
    <w:p w14:paraId="66205869">
      <w:pPr>
        <w:pStyle w:val="15"/>
        <w:spacing w:line="500" w:lineRule="exact"/>
        <w:jc w:val="center"/>
        <w:rPr>
          <w:rFonts w:hint="eastAsia" w:ascii="宋体" w:hAnsi="宋体" w:eastAsia="宋体" w:cs="Times New Roman"/>
          <w:b/>
          <w:color w:val="auto"/>
          <w:sz w:val="32"/>
          <w:szCs w:val="32"/>
          <w:highlight w:val="none"/>
        </w:rPr>
      </w:pPr>
    </w:p>
    <w:p w14:paraId="6C5D629C">
      <w:pPr>
        <w:pStyle w:val="15"/>
        <w:spacing w:line="500" w:lineRule="exact"/>
        <w:jc w:val="center"/>
        <w:rPr>
          <w:rFonts w:hint="eastAsia" w:ascii="宋体" w:hAnsi="宋体" w:eastAsia="宋体" w:cs="Times New Roman"/>
          <w:b/>
          <w:color w:val="auto"/>
          <w:sz w:val="32"/>
          <w:szCs w:val="32"/>
          <w:highlight w:val="none"/>
        </w:rPr>
      </w:pPr>
    </w:p>
    <w:p w14:paraId="38A252BB">
      <w:pPr>
        <w:pStyle w:val="15"/>
        <w:spacing w:line="780" w:lineRule="exact"/>
        <w:jc w:val="center"/>
        <w:rPr>
          <w:rFonts w:hint="eastAsia" w:hAnsi="宋体"/>
          <w:b/>
          <w:color w:val="auto"/>
          <w:sz w:val="72"/>
          <w:szCs w:val="72"/>
          <w:highlight w:val="none"/>
        </w:rPr>
      </w:pPr>
      <w:bookmarkStart w:id="153" w:name="_Toc13383_WPSOffice_Level2"/>
      <w:r>
        <w:rPr>
          <w:rFonts w:hint="eastAsia" w:hAnsi="宋体"/>
          <w:b/>
          <w:color w:val="auto"/>
          <w:sz w:val="72"/>
          <w:szCs w:val="72"/>
          <w:highlight w:val="none"/>
          <w:lang w:val="en-US" w:eastAsia="zh-CN"/>
        </w:rPr>
        <w:t xml:space="preserve">投 </w:t>
      </w:r>
      <w:r>
        <w:rPr>
          <w:rFonts w:hint="eastAsia" w:hAnsi="宋体"/>
          <w:b/>
          <w:color w:val="auto"/>
          <w:sz w:val="72"/>
          <w:szCs w:val="72"/>
          <w:highlight w:val="none"/>
          <w:lang w:eastAsia="zh-CN"/>
        </w:rPr>
        <w:t>标</w:t>
      </w:r>
      <w:r>
        <w:rPr>
          <w:rFonts w:hint="eastAsia" w:hAnsi="宋体"/>
          <w:b/>
          <w:color w:val="auto"/>
          <w:sz w:val="72"/>
          <w:szCs w:val="72"/>
          <w:highlight w:val="none"/>
          <w:lang w:val="en-US" w:eastAsia="zh-CN"/>
        </w:rPr>
        <w:t xml:space="preserve"> </w:t>
      </w:r>
      <w:r>
        <w:rPr>
          <w:rFonts w:hint="eastAsia" w:hAnsi="宋体"/>
          <w:b/>
          <w:color w:val="auto"/>
          <w:sz w:val="72"/>
          <w:szCs w:val="72"/>
          <w:highlight w:val="none"/>
          <w:lang w:eastAsia="zh-CN"/>
        </w:rPr>
        <w:t>文</w:t>
      </w:r>
      <w:r>
        <w:rPr>
          <w:rFonts w:hint="eastAsia" w:hAnsi="宋体"/>
          <w:b/>
          <w:color w:val="auto"/>
          <w:sz w:val="72"/>
          <w:szCs w:val="72"/>
          <w:highlight w:val="none"/>
          <w:lang w:val="en-US" w:eastAsia="zh-CN"/>
        </w:rPr>
        <w:t xml:space="preserve"> </w:t>
      </w:r>
      <w:r>
        <w:rPr>
          <w:rFonts w:hint="eastAsia" w:hAnsi="宋体"/>
          <w:b/>
          <w:color w:val="auto"/>
          <w:sz w:val="72"/>
          <w:szCs w:val="72"/>
          <w:highlight w:val="none"/>
          <w:lang w:eastAsia="zh-CN"/>
        </w:rPr>
        <w:t>件</w:t>
      </w:r>
      <w:bookmarkEnd w:id="153"/>
    </w:p>
    <w:p w14:paraId="5290545D">
      <w:pPr>
        <w:pStyle w:val="15"/>
        <w:spacing w:line="500" w:lineRule="exact"/>
        <w:jc w:val="center"/>
        <w:rPr>
          <w:rFonts w:hint="eastAsia" w:hAnsi="宋体"/>
          <w:b/>
          <w:color w:val="auto"/>
          <w:sz w:val="72"/>
          <w:szCs w:val="72"/>
          <w:highlight w:val="none"/>
        </w:rPr>
      </w:pPr>
    </w:p>
    <w:p w14:paraId="6693F587">
      <w:pPr>
        <w:rPr>
          <w:rFonts w:hint="eastAsia"/>
          <w:color w:val="auto"/>
          <w:highlight w:val="none"/>
        </w:rPr>
      </w:pPr>
    </w:p>
    <w:p w14:paraId="41CFF5A3">
      <w:pPr>
        <w:pStyle w:val="15"/>
        <w:spacing w:line="500" w:lineRule="exact"/>
        <w:jc w:val="center"/>
        <w:rPr>
          <w:rFonts w:hint="eastAsia" w:hAnsi="宋体" w:eastAsia="宋体" w:cs="Times New Roman"/>
          <w:b/>
          <w:color w:val="auto"/>
          <w:sz w:val="32"/>
          <w:szCs w:val="32"/>
          <w:highlight w:val="none"/>
          <w:lang w:eastAsia="zh-CN"/>
        </w:rPr>
      </w:pPr>
      <w:r>
        <w:rPr>
          <w:rFonts w:hint="eastAsia" w:hAnsi="宋体"/>
          <w:b/>
          <w:color w:val="auto"/>
          <w:sz w:val="28"/>
          <w:szCs w:val="28"/>
          <w:highlight w:val="none"/>
        </w:rPr>
        <w:t>项目编</w:t>
      </w:r>
      <w:bookmarkEnd w:id="152"/>
      <w:r>
        <w:rPr>
          <w:rFonts w:hint="eastAsia" w:hAnsi="宋体"/>
          <w:b/>
          <w:color w:val="auto"/>
          <w:sz w:val="28"/>
          <w:szCs w:val="28"/>
          <w:highlight w:val="none"/>
        </w:rPr>
        <w:t>号</w:t>
      </w:r>
      <w:r>
        <w:rPr>
          <w:rFonts w:hint="eastAsia" w:hAnsi="宋体"/>
          <w:b/>
          <w:color w:val="auto"/>
          <w:sz w:val="28"/>
          <w:szCs w:val="28"/>
          <w:highlight w:val="none"/>
          <w:lang w:eastAsia="zh-CN"/>
        </w:rPr>
        <w:t>：</w:t>
      </w:r>
    </w:p>
    <w:p w14:paraId="6CC0DE93">
      <w:pPr>
        <w:pStyle w:val="15"/>
        <w:spacing w:line="500" w:lineRule="exact"/>
        <w:jc w:val="center"/>
        <w:rPr>
          <w:rFonts w:hint="eastAsia" w:hAnsi="宋体" w:eastAsia="宋体" w:cs="Times New Roman"/>
          <w:b/>
          <w:color w:val="auto"/>
          <w:sz w:val="32"/>
          <w:szCs w:val="32"/>
          <w:highlight w:val="none"/>
        </w:rPr>
      </w:pPr>
    </w:p>
    <w:p w14:paraId="429E47DC">
      <w:pPr>
        <w:pStyle w:val="15"/>
        <w:spacing w:line="500" w:lineRule="exact"/>
        <w:jc w:val="center"/>
        <w:rPr>
          <w:rFonts w:hint="eastAsia" w:hAnsi="宋体" w:eastAsia="宋体" w:cs="Times New Roman"/>
          <w:b/>
          <w:color w:val="auto"/>
          <w:sz w:val="32"/>
          <w:szCs w:val="32"/>
          <w:highlight w:val="none"/>
        </w:rPr>
      </w:pPr>
    </w:p>
    <w:p w14:paraId="7E53D44C">
      <w:pPr>
        <w:pStyle w:val="15"/>
        <w:spacing w:line="500" w:lineRule="exact"/>
        <w:jc w:val="center"/>
        <w:rPr>
          <w:rFonts w:hint="eastAsia" w:hAnsi="宋体" w:eastAsia="宋体" w:cs="Times New Roman"/>
          <w:b/>
          <w:color w:val="auto"/>
          <w:sz w:val="32"/>
          <w:szCs w:val="32"/>
          <w:highlight w:val="none"/>
        </w:rPr>
      </w:pPr>
    </w:p>
    <w:p w14:paraId="4E869C39">
      <w:pPr>
        <w:pStyle w:val="15"/>
        <w:spacing w:line="500" w:lineRule="exact"/>
        <w:jc w:val="center"/>
        <w:rPr>
          <w:rFonts w:hint="eastAsia" w:hAnsi="宋体" w:eastAsia="宋体" w:cs="Times New Roman"/>
          <w:b/>
          <w:color w:val="auto"/>
          <w:sz w:val="32"/>
          <w:szCs w:val="32"/>
          <w:highlight w:val="none"/>
        </w:rPr>
      </w:pPr>
    </w:p>
    <w:p w14:paraId="563D63EC">
      <w:pPr>
        <w:pStyle w:val="15"/>
        <w:spacing w:line="500" w:lineRule="exact"/>
        <w:jc w:val="center"/>
        <w:rPr>
          <w:rFonts w:hint="eastAsia" w:hAnsi="宋体" w:eastAsia="宋体" w:cs="Times New Roman"/>
          <w:b/>
          <w:color w:val="auto"/>
          <w:sz w:val="32"/>
          <w:szCs w:val="32"/>
          <w:highlight w:val="none"/>
        </w:rPr>
      </w:pPr>
    </w:p>
    <w:p w14:paraId="2F4750B2">
      <w:pPr>
        <w:spacing w:line="360" w:lineRule="auto"/>
        <w:jc w:val="center"/>
        <w:rPr>
          <w:rFonts w:hint="eastAsia" w:ascii="宋体" w:hAnsi="宋体" w:eastAsia="宋体" w:cs="宋体"/>
          <w:b/>
          <w:bCs/>
          <w:color w:val="auto"/>
          <w:sz w:val="24"/>
          <w:szCs w:val="24"/>
          <w:highlight w:val="none"/>
        </w:rPr>
      </w:pPr>
      <w:bookmarkStart w:id="154" w:name="_Toc15265_WPSOffice_Level2"/>
      <w:r>
        <w:rPr>
          <w:rFonts w:hint="eastAsia" w:ascii="宋体" w:hAnsi="宋体" w:cs="宋体"/>
          <w:b/>
          <w:bCs/>
          <w:color w:val="auto"/>
          <w:sz w:val="24"/>
          <w:szCs w:val="24"/>
          <w:highlight w:val="none"/>
          <w:lang w:eastAsia="zh-CN"/>
        </w:rPr>
        <w:t>投标人名称：</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加盖投标人公章</w:t>
      </w:r>
      <w:r>
        <w:rPr>
          <w:rFonts w:hint="eastAsia" w:ascii="宋体" w:hAnsi="宋体" w:eastAsia="宋体" w:cs="宋体"/>
          <w:b/>
          <w:bCs/>
          <w:color w:val="auto"/>
          <w:sz w:val="24"/>
          <w:szCs w:val="24"/>
          <w:highlight w:val="none"/>
        </w:rPr>
        <w:t>)</w:t>
      </w:r>
      <w:bookmarkEnd w:id="154"/>
    </w:p>
    <w:p w14:paraId="59D52674">
      <w:pPr>
        <w:pStyle w:val="15"/>
        <w:spacing w:line="500" w:lineRule="exact"/>
        <w:jc w:val="center"/>
        <w:rPr>
          <w:rFonts w:hint="eastAsia" w:ascii="宋体" w:hAnsi="宋体" w:eastAsia="宋体" w:cs="宋体"/>
          <w:b/>
          <w:bCs/>
          <w:color w:val="auto"/>
          <w:sz w:val="24"/>
          <w:szCs w:val="24"/>
          <w:highlight w:val="none"/>
        </w:rPr>
      </w:pPr>
    </w:p>
    <w:p w14:paraId="71B70F80">
      <w:pPr>
        <w:pStyle w:val="15"/>
        <w:spacing w:line="500" w:lineRule="exact"/>
        <w:ind w:firstLine="241" w:firstLineChars="100"/>
        <w:jc w:val="both"/>
        <w:rPr>
          <w:rFonts w:hint="default" w:ascii="宋体" w:hAnsi="宋体" w:eastAsia="宋体" w:cs="宋体"/>
          <w:b/>
          <w:bCs/>
          <w:color w:val="auto"/>
          <w:sz w:val="24"/>
          <w:szCs w:val="24"/>
          <w:highlight w:val="none"/>
          <w:u w:val="single"/>
          <w:lang w:val="en-US"/>
        </w:rPr>
      </w:pPr>
      <w:bookmarkStart w:id="155" w:name="_Toc1570_WPSOffice_Level2"/>
      <w:r>
        <w:rPr>
          <w:rFonts w:hint="eastAsia" w:ascii="宋体" w:hAnsi="宋体" w:eastAsia="宋体" w:cs="宋体"/>
          <w:b/>
          <w:bCs/>
          <w:color w:val="auto"/>
          <w:kern w:val="2"/>
          <w:sz w:val="24"/>
          <w:szCs w:val="24"/>
          <w:highlight w:val="none"/>
          <w:lang w:val="en-US" w:eastAsia="zh-CN" w:bidi="ar-SA"/>
        </w:rPr>
        <w:t>法定代表人（签字或签章）/被授权投标代表（签字）</w:t>
      </w:r>
      <w:bookmarkEnd w:id="155"/>
      <w:r>
        <w:rPr>
          <w:rFonts w:hint="eastAsia"/>
          <w:b/>
          <w:bCs/>
          <w:color w:val="auto"/>
          <w:highlight w:val="none"/>
          <w:lang w:eastAsia="zh-CN"/>
        </w:rPr>
        <w:t>：</w:t>
      </w:r>
      <w:r>
        <w:rPr>
          <w:rFonts w:hint="eastAsia" w:hAnsi="宋体" w:cs="宋体"/>
          <w:b/>
          <w:bCs/>
          <w:color w:val="auto"/>
          <w:sz w:val="24"/>
          <w:szCs w:val="24"/>
          <w:highlight w:val="none"/>
          <w:u w:val="single"/>
          <w:lang w:val="en-US" w:eastAsia="zh-CN"/>
        </w:rPr>
        <w:t xml:space="preserve">          </w:t>
      </w:r>
    </w:p>
    <w:p w14:paraId="0C5D0ED3">
      <w:pPr>
        <w:pStyle w:val="15"/>
        <w:spacing w:line="500" w:lineRule="exact"/>
        <w:jc w:val="center"/>
        <w:rPr>
          <w:rFonts w:hint="eastAsia" w:ascii="宋体" w:hAnsi="宋体" w:eastAsia="宋体" w:cs="宋体"/>
          <w:b/>
          <w:bCs/>
          <w:color w:val="auto"/>
          <w:sz w:val="24"/>
          <w:szCs w:val="24"/>
          <w:highlight w:val="none"/>
          <w:u w:val="single"/>
        </w:rPr>
      </w:pPr>
    </w:p>
    <w:p w14:paraId="6C72EC68">
      <w:pPr>
        <w:jc w:val="center"/>
        <w:rPr>
          <w:rFonts w:hAnsi="宋体"/>
          <w:b/>
          <w:bCs/>
          <w:color w:val="auto"/>
          <w:sz w:val="24"/>
          <w:highlight w:val="none"/>
        </w:rPr>
      </w:pPr>
      <w:r>
        <w:rPr>
          <w:rFonts w:hint="eastAsia" w:ascii="宋体" w:hAnsi="宋体" w:cs="宋体"/>
          <w:b/>
          <w:bCs/>
          <w:color w:val="auto"/>
          <w:sz w:val="24"/>
          <w:szCs w:val="24"/>
          <w:highlight w:val="none"/>
          <w:u w:val="none"/>
          <w:lang w:val="en-US" w:eastAsia="zh-CN"/>
        </w:rPr>
        <w:t>日期：</w:t>
      </w:r>
      <w:r>
        <w:rPr>
          <w:rFonts w:hint="eastAsia" w:ascii="宋体" w:hAnsi="宋体" w:eastAsia="宋体" w:cs="宋体"/>
          <w:b/>
          <w:bCs/>
          <w:color w:val="auto"/>
          <w:sz w:val="24"/>
          <w:szCs w:val="24"/>
          <w:highlight w:val="none"/>
          <w:u w:val="single"/>
        </w:rPr>
        <w:t xml:space="preserve">       </w:t>
      </w:r>
      <w:bookmarkStart w:id="156" w:name="_Toc24993_WPSOffice_Level2"/>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月</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日</w:t>
      </w:r>
      <w:bookmarkEnd w:id="156"/>
    </w:p>
    <w:p w14:paraId="5137315D">
      <w:pPr>
        <w:widowControl/>
        <w:spacing w:after="0" w:line="240" w:lineRule="auto"/>
        <w:jc w:val="left"/>
        <w:rPr>
          <w:rFonts w:ascii="宋体" w:hAnsi="宋体" w:cs="宋体"/>
          <w:b/>
          <w:bCs/>
          <w:color w:val="auto"/>
          <w:sz w:val="36"/>
          <w:szCs w:val="36"/>
          <w:highlight w:val="none"/>
        </w:rPr>
      </w:pPr>
      <w:r>
        <w:rPr>
          <w:rFonts w:ascii="宋体" w:hAnsi="宋体" w:cs="宋体"/>
          <w:b/>
          <w:bCs/>
          <w:color w:val="auto"/>
          <w:sz w:val="36"/>
          <w:szCs w:val="36"/>
          <w:highlight w:val="none"/>
        </w:rPr>
        <w:br w:type="page"/>
      </w:r>
    </w:p>
    <w:p w14:paraId="58BC8F45">
      <w:pPr>
        <w:pStyle w:val="15"/>
        <w:spacing w:line="600" w:lineRule="exact"/>
        <w:jc w:val="center"/>
        <w:rPr>
          <w:rFonts w:hint="eastAsia" w:ascii="宋体" w:hAnsi="宋体" w:eastAsia="宋体" w:cs="宋体"/>
          <w:b/>
          <w:bCs/>
          <w:color w:val="auto"/>
          <w:sz w:val="28"/>
          <w:szCs w:val="28"/>
          <w:highlight w:val="none"/>
          <w:lang w:val="en-US" w:eastAsia="zh-CN"/>
        </w:rPr>
      </w:pPr>
      <w:r>
        <w:rPr>
          <w:rFonts w:hint="eastAsia" w:hAnsi="宋体" w:cs="宋体"/>
          <w:b/>
          <w:bCs/>
          <w:color w:val="auto"/>
          <w:sz w:val="28"/>
          <w:szCs w:val="28"/>
          <w:highlight w:val="none"/>
          <w:lang w:val="en-US" w:eastAsia="zh-CN"/>
        </w:rPr>
        <w:t>目录</w:t>
      </w:r>
    </w:p>
    <w:p w14:paraId="6A571314">
      <w:pPr>
        <w:pStyle w:val="15"/>
        <w:spacing w:line="600" w:lineRule="exact"/>
        <w:jc w:val="distribute"/>
        <w:rPr>
          <w:rFonts w:hint="eastAsia" w:ascii="宋体" w:hAnsi="宋体"/>
          <w:color w:val="auto"/>
          <w:szCs w:val="32"/>
          <w:highlight w:val="none"/>
        </w:rPr>
      </w:pPr>
      <w:bookmarkStart w:id="157" w:name="_Toc2705"/>
      <w:r>
        <w:rPr>
          <w:rFonts w:hint="eastAsia" w:ascii="宋体" w:hAnsi="宋体" w:eastAsia="宋体" w:cs="宋体"/>
          <w:color w:val="auto"/>
          <w:sz w:val="24"/>
          <w:szCs w:val="24"/>
          <w:highlight w:val="none"/>
          <w:lang w:eastAsia="zh-CN"/>
        </w:rPr>
        <w:t>格式1</w:t>
      </w:r>
      <w:r>
        <w:rPr>
          <w:rFonts w:hint="eastAsia" w:hAnsi="宋体" w:cs="宋体"/>
          <w:color w:val="auto"/>
          <w:sz w:val="24"/>
          <w:szCs w:val="24"/>
          <w:highlight w:val="none"/>
          <w:lang w:val="en-US" w:eastAsia="zh-CN"/>
        </w:rPr>
        <w:t xml:space="preserve"> 资格证明文件</w:t>
      </w:r>
      <w:r>
        <w:rPr>
          <w:rFonts w:hint="eastAsia" w:ascii="宋体" w:hAnsi="宋体"/>
          <w:color w:val="auto"/>
          <w:szCs w:val="32"/>
          <w:highlight w:val="none"/>
        </w:rPr>
        <w:t>……………………………………………………………………（）</w:t>
      </w:r>
    </w:p>
    <w:p w14:paraId="106E1B58">
      <w:pPr>
        <w:pStyle w:val="15"/>
        <w:spacing w:line="600" w:lineRule="exact"/>
        <w:jc w:val="distribute"/>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格式</w:t>
      </w:r>
      <w:r>
        <w:rPr>
          <w:rFonts w:hint="eastAsia" w:hAnsi="宋体" w:cs="宋体"/>
          <w:color w:val="auto"/>
          <w:sz w:val="24"/>
          <w:szCs w:val="24"/>
          <w:highlight w:val="none"/>
          <w:lang w:val="en-US" w:eastAsia="zh-CN"/>
        </w:rPr>
        <w:t>2 投标报价表</w:t>
      </w:r>
      <w:r>
        <w:rPr>
          <w:rFonts w:hint="eastAsia" w:ascii="宋体" w:hAnsi="宋体"/>
          <w:color w:val="auto"/>
          <w:szCs w:val="32"/>
          <w:highlight w:val="none"/>
        </w:rPr>
        <w:t>………………………………………………………………………（）</w:t>
      </w:r>
    </w:p>
    <w:p w14:paraId="0610684F">
      <w:pPr>
        <w:pStyle w:val="15"/>
        <w:spacing w:line="600" w:lineRule="exact"/>
        <w:jc w:val="distribute"/>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格式3 投标函 </w:t>
      </w:r>
      <w:r>
        <w:rPr>
          <w:rFonts w:hint="eastAsia" w:ascii="宋体" w:hAnsi="宋体"/>
          <w:color w:val="auto"/>
          <w:szCs w:val="32"/>
          <w:highlight w:val="none"/>
        </w:rPr>
        <w:t>……………………………………………………………………………（）</w:t>
      </w:r>
    </w:p>
    <w:p w14:paraId="6047327E">
      <w:pPr>
        <w:pStyle w:val="15"/>
        <w:spacing w:line="600" w:lineRule="exact"/>
        <w:jc w:val="distribute"/>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格式</w:t>
      </w:r>
      <w:r>
        <w:rPr>
          <w:rFonts w:hint="eastAsia" w:hAnsi="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lang w:eastAsia="zh-CN"/>
        </w:rPr>
        <w:t>授权委托书</w:t>
      </w:r>
      <w:r>
        <w:rPr>
          <w:rFonts w:hint="eastAsia" w:ascii="宋体" w:hAnsi="宋体"/>
          <w:color w:val="auto"/>
          <w:szCs w:val="32"/>
          <w:highlight w:val="none"/>
        </w:rPr>
        <w:t>………………………………………………………………………（）</w:t>
      </w:r>
    </w:p>
    <w:p w14:paraId="498EA87C">
      <w:pPr>
        <w:pStyle w:val="15"/>
        <w:spacing w:line="600" w:lineRule="exact"/>
        <w:jc w:val="distribute"/>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格式</w:t>
      </w:r>
      <w:r>
        <w:rPr>
          <w:rFonts w:hint="eastAsia" w:hAnsi="宋体" w:cs="宋体"/>
          <w:color w:val="auto"/>
          <w:sz w:val="24"/>
          <w:szCs w:val="24"/>
          <w:highlight w:val="none"/>
          <w:lang w:val="en-US" w:eastAsia="zh-CN"/>
        </w:rPr>
        <w:t>5 商务条款偏离表</w:t>
      </w:r>
      <w:r>
        <w:rPr>
          <w:rFonts w:hint="eastAsia" w:ascii="宋体" w:hAnsi="宋体"/>
          <w:color w:val="auto"/>
          <w:szCs w:val="32"/>
          <w:highlight w:val="none"/>
        </w:rPr>
        <w:t>…………………………………………………………………（）</w:t>
      </w:r>
    </w:p>
    <w:p w14:paraId="1F72DEF5">
      <w:pPr>
        <w:pStyle w:val="15"/>
        <w:spacing w:line="600" w:lineRule="exact"/>
        <w:jc w:val="distribut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格式</w:t>
      </w:r>
      <w:r>
        <w:rPr>
          <w:rFonts w:hint="eastAsia"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 xml:space="preserve"> 智能化管理</w:t>
      </w:r>
      <w:r>
        <w:rPr>
          <w:rFonts w:hint="eastAsia" w:hAnsi="宋体" w:cs="宋体"/>
          <w:color w:val="auto"/>
          <w:sz w:val="24"/>
          <w:szCs w:val="24"/>
          <w:highlight w:val="none"/>
          <w:lang w:val="en-US" w:eastAsia="zh-CN"/>
        </w:rPr>
        <w:t xml:space="preserve"> </w:t>
      </w:r>
      <w:r>
        <w:rPr>
          <w:rFonts w:hint="eastAsia" w:ascii="宋体" w:hAnsi="宋体"/>
          <w:color w:val="auto"/>
          <w:szCs w:val="32"/>
          <w:highlight w:val="none"/>
        </w:rPr>
        <w:t>……………………………………………………………（）</w:t>
      </w:r>
    </w:p>
    <w:p w14:paraId="3AB55B78">
      <w:pPr>
        <w:pStyle w:val="15"/>
        <w:spacing w:line="600" w:lineRule="exact"/>
        <w:jc w:val="distribut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格式</w:t>
      </w:r>
      <w:r>
        <w:rPr>
          <w:rFonts w:hint="eastAsia"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 xml:space="preserve"> 技术力量</w:t>
      </w:r>
      <w:r>
        <w:rPr>
          <w:rFonts w:hint="eastAsia" w:hAnsi="宋体" w:cs="宋体"/>
          <w:color w:val="auto"/>
          <w:sz w:val="24"/>
          <w:szCs w:val="24"/>
          <w:highlight w:val="none"/>
          <w:lang w:val="en-US" w:eastAsia="zh-CN"/>
        </w:rPr>
        <w:t xml:space="preserve"> </w:t>
      </w:r>
      <w:r>
        <w:rPr>
          <w:rFonts w:hint="eastAsia" w:ascii="宋体" w:hAnsi="宋体"/>
          <w:color w:val="auto"/>
          <w:szCs w:val="32"/>
          <w:highlight w:val="none"/>
        </w:rPr>
        <w:t>……………………………………………………………（）</w:t>
      </w:r>
    </w:p>
    <w:p w14:paraId="09C2E26B">
      <w:pPr>
        <w:pStyle w:val="15"/>
        <w:spacing w:line="600" w:lineRule="exact"/>
        <w:jc w:val="distribut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格式</w:t>
      </w:r>
      <w:r>
        <w:rPr>
          <w:rFonts w:hint="eastAsia" w:hAnsi="宋体" w:cs="宋体"/>
          <w:color w:val="auto"/>
          <w:sz w:val="24"/>
          <w:szCs w:val="24"/>
          <w:highlight w:val="none"/>
          <w:lang w:val="en-US" w:eastAsia="zh-CN"/>
        </w:rPr>
        <w:t>8 类似项目业绩表</w:t>
      </w:r>
      <w:r>
        <w:rPr>
          <w:rFonts w:hint="eastAsia" w:ascii="宋体" w:hAnsi="宋体"/>
          <w:color w:val="auto"/>
          <w:szCs w:val="32"/>
          <w:highlight w:val="none"/>
        </w:rPr>
        <w:t>………………………………………………………………（）</w:t>
      </w:r>
    </w:p>
    <w:p w14:paraId="2B96685F">
      <w:pPr>
        <w:pStyle w:val="15"/>
        <w:spacing w:line="600" w:lineRule="exact"/>
        <w:jc w:val="distribut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格式</w:t>
      </w:r>
      <w:r>
        <w:rPr>
          <w:rFonts w:hint="eastAsia" w:hAnsi="宋体" w:cs="宋体"/>
          <w:color w:val="auto"/>
          <w:sz w:val="24"/>
          <w:szCs w:val="24"/>
          <w:highlight w:val="none"/>
          <w:lang w:val="en-US" w:eastAsia="zh-CN"/>
        </w:rPr>
        <w:t>9 本项目需求理解和响应</w:t>
      </w:r>
      <w:r>
        <w:rPr>
          <w:rFonts w:hint="eastAsia" w:ascii="宋体" w:hAnsi="宋体"/>
          <w:color w:val="auto"/>
          <w:szCs w:val="32"/>
          <w:highlight w:val="none"/>
        </w:rPr>
        <w:t>………………………………………………………（）</w:t>
      </w:r>
    </w:p>
    <w:p w14:paraId="383B7867">
      <w:pPr>
        <w:pStyle w:val="15"/>
        <w:spacing w:line="600" w:lineRule="exact"/>
        <w:jc w:val="distribut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格式</w:t>
      </w:r>
      <w:r>
        <w:rPr>
          <w:rFonts w:hint="eastAsia" w:hAnsi="宋体" w:cs="宋体"/>
          <w:color w:val="auto"/>
          <w:sz w:val="24"/>
          <w:szCs w:val="24"/>
          <w:highlight w:val="none"/>
          <w:lang w:val="en-US" w:eastAsia="zh-CN"/>
        </w:rPr>
        <w:t>10 物业服务工作总体方案</w:t>
      </w:r>
      <w:r>
        <w:rPr>
          <w:rFonts w:hint="eastAsia" w:ascii="宋体" w:hAnsi="宋体"/>
          <w:color w:val="auto"/>
          <w:szCs w:val="32"/>
          <w:highlight w:val="none"/>
        </w:rPr>
        <w:t>……………………………………………………（）</w:t>
      </w:r>
    </w:p>
    <w:p w14:paraId="44DB085B">
      <w:pPr>
        <w:pStyle w:val="15"/>
        <w:spacing w:line="600" w:lineRule="exact"/>
        <w:jc w:val="distribut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格式</w:t>
      </w:r>
      <w:r>
        <w:rPr>
          <w:rFonts w:hint="eastAsia" w:hAnsi="宋体" w:cs="宋体"/>
          <w:color w:val="auto"/>
          <w:sz w:val="24"/>
          <w:szCs w:val="24"/>
          <w:highlight w:val="none"/>
          <w:lang w:val="en-US" w:eastAsia="zh-CN"/>
        </w:rPr>
        <w:t>11</w:t>
      </w:r>
      <w:r>
        <w:rPr>
          <w:rFonts w:hint="eastAsia" w:ascii="宋体" w:hAnsi="宋体" w:eastAsia="宋体" w:cs="宋体"/>
          <w:color w:val="auto"/>
          <w:sz w:val="24"/>
          <w:szCs w:val="24"/>
          <w:highlight w:val="none"/>
          <w:lang w:val="en-US" w:eastAsia="zh-CN"/>
        </w:rPr>
        <w:t>创新服务方案……………………………………………………（）</w:t>
      </w:r>
    </w:p>
    <w:p w14:paraId="656789D4">
      <w:pPr>
        <w:pStyle w:val="15"/>
        <w:spacing w:line="600" w:lineRule="exact"/>
        <w:jc w:val="distribut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格式1</w:t>
      </w: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公共综合服务方案……………………………………………………（）</w:t>
      </w:r>
    </w:p>
    <w:p w14:paraId="395B79D2">
      <w:pPr>
        <w:pStyle w:val="15"/>
        <w:spacing w:line="600" w:lineRule="exact"/>
        <w:jc w:val="distribut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格式</w:t>
      </w:r>
      <w:r>
        <w:rPr>
          <w:rFonts w:hint="eastAsia" w:hAnsi="宋体" w:cs="宋体"/>
          <w:color w:val="auto"/>
          <w:sz w:val="24"/>
          <w:szCs w:val="24"/>
          <w:highlight w:val="none"/>
          <w:lang w:val="en-US" w:eastAsia="zh-CN"/>
        </w:rPr>
        <w:t>13特约服务方案</w:t>
      </w:r>
      <w:r>
        <w:rPr>
          <w:rFonts w:hint="eastAsia" w:ascii="宋体" w:hAnsi="宋体"/>
          <w:color w:val="auto"/>
          <w:szCs w:val="32"/>
          <w:highlight w:val="none"/>
        </w:rPr>
        <w:t>……………………………………………………（）</w:t>
      </w:r>
    </w:p>
    <w:p w14:paraId="36547B4E">
      <w:pPr>
        <w:pStyle w:val="15"/>
        <w:spacing w:line="600" w:lineRule="exact"/>
        <w:jc w:val="distribut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格式</w:t>
      </w:r>
      <w:r>
        <w:rPr>
          <w:rFonts w:hint="eastAsia" w:hAnsi="宋体" w:cs="宋体"/>
          <w:color w:val="auto"/>
          <w:sz w:val="24"/>
          <w:szCs w:val="24"/>
          <w:highlight w:val="none"/>
          <w:lang w:val="en-US" w:eastAsia="zh-CN"/>
        </w:rPr>
        <w:t>14项目团队人员管理方案</w:t>
      </w:r>
      <w:r>
        <w:rPr>
          <w:rFonts w:hint="eastAsia" w:ascii="宋体" w:hAnsi="宋体"/>
          <w:color w:val="auto"/>
          <w:szCs w:val="32"/>
          <w:highlight w:val="none"/>
        </w:rPr>
        <w:t>…………………………………………………（）</w:t>
      </w:r>
    </w:p>
    <w:p w14:paraId="132B347D">
      <w:pPr>
        <w:pStyle w:val="15"/>
        <w:spacing w:line="600" w:lineRule="exact"/>
        <w:jc w:val="distribut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格式</w:t>
      </w:r>
      <w:r>
        <w:rPr>
          <w:rFonts w:hint="eastAsia" w:hAnsi="宋体" w:cs="宋体"/>
          <w:color w:val="auto"/>
          <w:sz w:val="24"/>
          <w:szCs w:val="24"/>
          <w:highlight w:val="none"/>
          <w:lang w:val="en-US" w:eastAsia="zh-CN"/>
        </w:rPr>
        <w:t>15风险管控方案</w:t>
      </w:r>
      <w:r>
        <w:rPr>
          <w:rFonts w:hint="eastAsia" w:ascii="宋体" w:hAnsi="宋体"/>
          <w:color w:val="auto"/>
          <w:szCs w:val="32"/>
          <w:highlight w:val="none"/>
        </w:rPr>
        <w:t>…………………………………………………（）</w:t>
      </w:r>
    </w:p>
    <w:p w14:paraId="1EB078C0">
      <w:pPr>
        <w:pStyle w:val="15"/>
        <w:spacing w:line="600" w:lineRule="exact"/>
        <w:jc w:val="distribut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格式</w:t>
      </w:r>
      <w:r>
        <w:rPr>
          <w:rFonts w:hint="eastAsia" w:hAnsi="宋体" w:cs="宋体"/>
          <w:color w:val="auto"/>
          <w:sz w:val="24"/>
          <w:szCs w:val="24"/>
          <w:highlight w:val="none"/>
          <w:lang w:val="en-US" w:eastAsia="zh-CN"/>
        </w:rPr>
        <w:t>16构成投标文件的其它资料</w:t>
      </w:r>
      <w:r>
        <w:rPr>
          <w:rFonts w:hint="eastAsia" w:ascii="宋体" w:hAnsi="宋体"/>
          <w:color w:val="auto"/>
          <w:szCs w:val="32"/>
          <w:highlight w:val="none"/>
        </w:rPr>
        <w:t>…………………………………………………（）</w:t>
      </w:r>
    </w:p>
    <w:p w14:paraId="3A906431">
      <w:pPr>
        <w:keepNext/>
        <w:keepLines/>
        <w:pageBreakBefore w:val="0"/>
        <w:widowControl w:val="0"/>
        <w:kinsoku/>
        <w:wordWrap/>
        <w:overflowPunct/>
        <w:topLinePunct w:val="0"/>
        <w:autoSpaceDE/>
        <w:autoSpaceDN/>
        <w:bidi w:val="0"/>
        <w:adjustRightInd/>
        <w:snapToGrid/>
        <w:spacing w:before="313" w:beforeLines="100" w:after="120" w:line="360" w:lineRule="auto"/>
        <w:jc w:val="left"/>
        <w:textAlignment w:val="auto"/>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w:t>
      </w:r>
      <w:r>
        <w:rPr>
          <w:rFonts w:hint="eastAsia" w:ascii="宋体" w:hAnsi="宋体" w:eastAsia="宋体" w:cs="宋体"/>
          <w:b/>
          <w:color w:val="auto"/>
          <w:szCs w:val="21"/>
          <w:highlight w:val="none"/>
          <w:lang w:eastAsia="zh-CN"/>
        </w:rPr>
        <w:t>投标</w:t>
      </w:r>
      <w:r>
        <w:rPr>
          <w:rFonts w:hint="eastAsia" w:ascii="宋体" w:hAnsi="宋体" w:eastAsia="宋体" w:cs="宋体"/>
          <w:b/>
          <w:color w:val="auto"/>
          <w:szCs w:val="21"/>
          <w:highlight w:val="none"/>
        </w:rPr>
        <w:t>文件内容需按照以上目录顺序进行装订</w:t>
      </w:r>
      <w:r>
        <w:rPr>
          <w:rFonts w:hint="eastAsia" w:ascii="宋体" w:hAnsi="宋体" w:cs="宋体"/>
          <w:b/>
          <w:color w:val="auto"/>
          <w:szCs w:val="21"/>
          <w:highlight w:val="none"/>
          <w:lang w:eastAsia="zh-CN"/>
        </w:rPr>
        <w:t>，</w:t>
      </w:r>
      <w:r>
        <w:rPr>
          <w:rFonts w:hint="eastAsia" w:ascii="宋体" w:hAnsi="宋体" w:eastAsia="宋体" w:cs="宋体"/>
          <w:b/>
          <w:color w:val="auto"/>
          <w:szCs w:val="21"/>
          <w:highlight w:val="none"/>
        </w:rPr>
        <w:t>并每页连续标注页码。</w:t>
      </w:r>
    </w:p>
    <w:p w14:paraId="2D4D6826">
      <w:pPr>
        <w:rPr>
          <w:rFonts w:hint="eastAsia" w:ascii="华文中宋" w:hAnsi="华文中宋" w:eastAsia="华文中宋" w:cs="华文中宋"/>
          <w:b w:val="0"/>
          <w:bCs/>
          <w:color w:val="auto"/>
          <w:kern w:val="0"/>
          <w:sz w:val="40"/>
          <w:szCs w:val="40"/>
          <w:highlight w:val="none"/>
          <w:lang w:val="en-US" w:eastAsia="zh-CN"/>
        </w:rPr>
      </w:pPr>
      <w:r>
        <w:rPr>
          <w:rFonts w:hint="eastAsia" w:ascii="华文中宋" w:hAnsi="华文中宋" w:eastAsia="华文中宋" w:cs="华文中宋"/>
          <w:b w:val="0"/>
          <w:bCs/>
          <w:color w:val="auto"/>
          <w:kern w:val="0"/>
          <w:sz w:val="40"/>
          <w:szCs w:val="40"/>
          <w:highlight w:val="none"/>
          <w:lang w:val="en-US" w:eastAsia="zh-CN"/>
        </w:rPr>
        <w:br w:type="page"/>
      </w:r>
    </w:p>
    <w:bookmarkEnd w:id="157"/>
    <w:p w14:paraId="7EB5A980">
      <w:pPr>
        <w:outlineLvl w:val="1"/>
        <w:rPr>
          <w:rFonts w:hint="eastAsia" w:ascii="Times New Roman" w:hAnsi="Times New Roman" w:cs="Times New Roman"/>
          <w:b/>
          <w:bCs/>
          <w:color w:val="auto"/>
          <w:sz w:val="28"/>
          <w:szCs w:val="28"/>
          <w:highlight w:val="none"/>
          <w:lang w:val="en-US" w:eastAsia="zh-CN"/>
        </w:rPr>
      </w:pPr>
      <w:r>
        <w:rPr>
          <w:rFonts w:hint="default" w:ascii="Times New Roman" w:hAnsi="Times New Roman" w:cs="Times New Roman"/>
          <w:b/>
          <w:bCs/>
          <w:color w:val="auto"/>
          <w:sz w:val="28"/>
          <w:szCs w:val="28"/>
          <w:highlight w:val="none"/>
        </w:rPr>
        <w:t>格式</w:t>
      </w:r>
      <w:r>
        <w:rPr>
          <w:rFonts w:hint="eastAsia" w:ascii="Times New Roman" w:hAnsi="Times New Roman" w:cs="Times New Roman"/>
          <w:b/>
          <w:bCs/>
          <w:color w:val="auto"/>
          <w:sz w:val="28"/>
          <w:szCs w:val="28"/>
          <w:highlight w:val="none"/>
          <w:lang w:val="en-US" w:eastAsia="zh-CN"/>
        </w:rPr>
        <w:t>1</w:t>
      </w:r>
    </w:p>
    <w:p w14:paraId="159B23B6">
      <w:pPr>
        <w:tabs>
          <w:tab w:val="left" w:pos="1230"/>
        </w:tabs>
        <w:topLinePunct/>
        <w:autoSpaceDE w:val="0"/>
        <w:autoSpaceDN w:val="0"/>
        <w:adjustRightInd w:val="0"/>
        <w:snapToGrid w:val="0"/>
        <w:spacing w:after="0" w:line="360" w:lineRule="auto"/>
        <w:jc w:val="center"/>
        <w:outlineLvl w:val="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资格证明文件</w:t>
      </w:r>
    </w:p>
    <w:p w14:paraId="0F946691">
      <w:pPr>
        <w:adjustRightInd w:val="0"/>
        <w:snapToGrid w:val="0"/>
        <w:spacing w:after="0" w:line="360" w:lineRule="auto"/>
        <w:jc w:val="center"/>
        <w:outlineLvl w:val="9"/>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投标人基本情况</w:t>
      </w:r>
    </w:p>
    <w:tbl>
      <w:tblPr>
        <w:tblStyle w:val="2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2"/>
        <w:gridCol w:w="1542"/>
        <w:gridCol w:w="1682"/>
        <w:gridCol w:w="2666"/>
      </w:tblGrid>
      <w:tr w14:paraId="181BF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2" w:type="dxa"/>
            <w:vAlign w:val="center"/>
          </w:tcPr>
          <w:p w14:paraId="7E8212CA">
            <w:pPr>
              <w:pStyle w:val="15"/>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供应商名称</w:t>
            </w:r>
          </w:p>
        </w:tc>
        <w:tc>
          <w:tcPr>
            <w:tcW w:w="1542" w:type="dxa"/>
            <w:vAlign w:val="center"/>
          </w:tcPr>
          <w:p w14:paraId="482446D1">
            <w:pPr>
              <w:pStyle w:val="15"/>
              <w:spacing w:line="360" w:lineRule="auto"/>
              <w:jc w:val="center"/>
              <w:rPr>
                <w:rFonts w:ascii="Times New Roman" w:hAnsi="Times New Roman"/>
                <w:color w:val="auto"/>
                <w:sz w:val="21"/>
                <w:szCs w:val="21"/>
                <w:highlight w:val="none"/>
              </w:rPr>
            </w:pPr>
          </w:p>
        </w:tc>
        <w:tc>
          <w:tcPr>
            <w:tcW w:w="1682" w:type="dxa"/>
            <w:vAlign w:val="center"/>
          </w:tcPr>
          <w:p w14:paraId="5B93DC20">
            <w:pPr>
              <w:pStyle w:val="15"/>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法定代表人</w:t>
            </w:r>
          </w:p>
        </w:tc>
        <w:tc>
          <w:tcPr>
            <w:tcW w:w="2666" w:type="dxa"/>
            <w:vAlign w:val="center"/>
          </w:tcPr>
          <w:p w14:paraId="37FEA624">
            <w:pPr>
              <w:pStyle w:val="15"/>
              <w:spacing w:line="360" w:lineRule="auto"/>
              <w:jc w:val="center"/>
              <w:rPr>
                <w:rFonts w:ascii="Times New Roman" w:hAnsi="Times New Roman"/>
                <w:color w:val="auto"/>
                <w:sz w:val="21"/>
                <w:szCs w:val="21"/>
                <w:highlight w:val="none"/>
              </w:rPr>
            </w:pPr>
          </w:p>
        </w:tc>
      </w:tr>
      <w:tr w14:paraId="0B1D2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2" w:type="dxa"/>
            <w:vAlign w:val="center"/>
          </w:tcPr>
          <w:p w14:paraId="59AE961A">
            <w:pPr>
              <w:pStyle w:val="15"/>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统一社会信用代码</w:t>
            </w:r>
          </w:p>
        </w:tc>
        <w:tc>
          <w:tcPr>
            <w:tcW w:w="1542" w:type="dxa"/>
            <w:vAlign w:val="center"/>
          </w:tcPr>
          <w:p w14:paraId="5FD58028">
            <w:pPr>
              <w:pStyle w:val="15"/>
              <w:spacing w:line="360" w:lineRule="auto"/>
              <w:jc w:val="center"/>
              <w:rPr>
                <w:rFonts w:ascii="Times New Roman" w:hAnsi="Times New Roman"/>
                <w:color w:val="auto"/>
                <w:sz w:val="21"/>
                <w:szCs w:val="21"/>
                <w:highlight w:val="none"/>
              </w:rPr>
            </w:pPr>
          </w:p>
        </w:tc>
        <w:tc>
          <w:tcPr>
            <w:tcW w:w="1682" w:type="dxa"/>
            <w:vAlign w:val="center"/>
          </w:tcPr>
          <w:p w14:paraId="48C0AF60">
            <w:pPr>
              <w:pStyle w:val="15"/>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邮政编码</w:t>
            </w:r>
          </w:p>
        </w:tc>
        <w:tc>
          <w:tcPr>
            <w:tcW w:w="2666" w:type="dxa"/>
            <w:vAlign w:val="center"/>
          </w:tcPr>
          <w:p w14:paraId="5E20801B">
            <w:pPr>
              <w:pStyle w:val="15"/>
              <w:spacing w:line="360" w:lineRule="auto"/>
              <w:jc w:val="center"/>
              <w:rPr>
                <w:rFonts w:ascii="Times New Roman" w:hAnsi="Times New Roman"/>
                <w:color w:val="auto"/>
                <w:sz w:val="21"/>
                <w:szCs w:val="21"/>
                <w:highlight w:val="none"/>
              </w:rPr>
            </w:pPr>
          </w:p>
        </w:tc>
      </w:tr>
      <w:tr w14:paraId="34DC4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2" w:type="dxa"/>
            <w:vAlign w:val="center"/>
          </w:tcPr>
          <w:p w14:paraId="11A7F8AE">
            <w:pPr>
              <w:pStyle w:val="15"/>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授权代表</w:t>
            </w:r>
          </w:p>
        </w:tc>
        <w:tc>
          <w:tcPr>
            <w:tcW w:w="1542" w:type="dxa"/>
            <w:vAlign w:val="center"/>
          </w:tcPr>
          <w:p w14:paraId="26F7C81C">
            <w:pPr>
              <w:pStyle w:val="15"/>
              <w:spacing w:line="360" w:lineRule="auto"/>
              <w:jc w:val="center"/>
              <w:rPr>
                <w:rFonts w:ascii="Times New Roman" w:hAnsi="Times New Roman"/>
                <w:color w:val="auto"/>
                <w:sz w:val="21"/>
                <w:szCs w:val="21"/>
                <w:highlight w:val="none"/>
              </w:rPr>
            </w:pPr>
          </w:p>
        </w:tc>
        <w:tc>
          <w:tcPr>
            <w:tcW w:w="1682" w:type="dxa"/>
            <w:vAlign w:val="center"/>
          </w:tcPr>
          <w:p w14:paraId="647D7F1F">
            <w:pPr>
              <w:pStyle w:val="15"/>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联系电话</w:t>
            </w:r>
          </w:p>
        </w:tc>
        <w:tc>
          <w:tcPr>
            <w:tcW w:w="2666" w:type="dxa"/>
            <w:vAlign w:val="center"/>
          </w:tcPr>
          <w:p w14:paraId="5F83403E">
            <w:pPr>
              <w:pStyle w:val="15"/>
              <w:spacing w:line="360" w:lineRule="auto"/>
              <w:jc w:val="center"/>
              <w:rPr>
                <w:rFonts w:ascii="Times New Roman" w:hAnsi="Times New Roman"/>
                <w:color w:val="auto"/>
                <w:sz w:val="21"/>
                <w:szCs w:val="21"/>
                <w:highlight w:val="none"/>
              </w:rPr>
            </w:pPr>
          </w:p>
        </w:tc>
      </w:tr>
      <w:tr w14:paraId="45387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2" w:type="dxa"/>
            <w:vAlign w:val="center"/>
          </w:tcPr>
          <w:p w14:paraId="1AD7D7D4">
            <w:pPr>
              <w:pStyle w:val="15"/>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电子邮箱</w:t>
            </w:r>
          </w:p>
        </w:tc>
        <w:tc>
          <w:tcPr>
            <w:tcW w:w="1542" w:type="dxa"/>
            <w:vAlign w:val="center"/>
          </w:tcPr>
          <w:p w14:paraId="318CA1B1">
            <w:pPr>
              <w:pStyle w:val="15"/>
              <w:spacing w:line="360" w:lineRule="auto"/>
              <w:jc w:val="center"/>
              <w:rPr>
                <w:rFonts w:ascii="Times New Roman" w:hAnsi="Times New Roman"/>
                <w:color w:val="auto"/>
                <w:sz w:val="21"/>
                <w:szCs w:val="21"/>
                <w:highlight w:val="none"/>
              </w:rPr>
            </w:pPr>
          </w:p>
        </w:tc>
        <w:tc>
          <w:tcPr>
            <w:tcW w:w="1682" w:type="dxa"/>
            <w:vAlign w:val="center"/>
          </w:tcPr>
          <w:p w14:paraId="7BE1CD2B">
            <w:pPr>
              <w:pStyle w:val="15"/>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传真</w:t>
            </w:r>
          </w:p>
        </w:tc>
        <w:tc>
          <w:tcPr>
            <w:tcW w:w="2666" w:type="dxa"/>
            <w:vAlign w:val="center"/>
          </w:tcPr>
          <w:p w14:paraId="54A7A2C0">
            <w:pPr>
              <w:pStyle w:val="15"/>
              <w:spacing w:line="360" w:lineRule="auto"/>
              <w:jc w:val="center"/>
              <w:rPr>
                <w:rFonts w:ascii="Times New Roman" w:hAnsi="Times New Roman"/>
                <w:color w:val="auto"/>
                <w:sz w:val="21"/>
                <w:szCs w:val="21"/>
                <w:highlight w:val="none"/>
              </w:rPr>
            </w:pPr>
          </w:p>
        </w:tc>
      </w:tr>
      <w:tr w14:paraId="6DABD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2" w:type="dxa"/>
            <w:vAlign w:val="center"/>
          </w:tcPr>
          <w:p w14:paraId="05296B07">
            <w:pPr>
              <w:pStyle w:val="15"/>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上年营业收入</w:t>
            </w:r>
          </w:p>
        </w:tc>
        <w:tc>
          <w:tcPr>
            <w:tcW w:w="1542" w:type="dxa"/>
            <w:vAlign w:val="center"/>
          </w:tcPr>
          <w:p w14:paraId="5601B87A">
            <w:pPr>
              <w:pStyle w:val="15"/>
              <w:spacing w:line="360" w:lineRule="auto"/>
              <w:jc w:val="center"/>
              <w:rPr>
                <w:rFonts w:ascii="Times New Roman" w:hAnsi="Times New Roman"/>
                <w:color w:val="auto"/>
                <w:sz w:val="21"/>
                <w:szCs w:val="21"/>
                <w:highlight w:val="none"/>
              </w:rPr>
            </w:pPr>
          </w:p>
        </w:tc>
        <w:tc>
          <w:tcPr>
            <w:tcW w:w="1682" w:type="dxa"/>
            <w:vAlign w:val="center"/>
          </w:tcPr>
          <w:p w14:paraId="716338BE">
            <w:pPr>
              <w:pStyle w:val="15"/>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员工总人数</w:t>
            </w:r>
          </w:p>
        </w:tc>
        <w:tc>
          <w:tcPr>
            <w:tcW w:w="2666" w:type="dxa"/>
            <w:vAlign w:val="center"/>
          </w:tcPr>
          <w:p w14:paraId="7E897B15">
            <w:pPr>
              <w:pStyle w:val="15"/>
              <w:spacing w:line="360" w:lineRule="auto"/>
              <w:jc w:val="center"/>
              <w:rPr>
                <w:rFonts w:ascii="Times New Roman" w:hAnsi="Times New Roman"/>
                <w:color w:val="auto"/>
                <w:sz w:val="21"/>
                <w:szCs w:val="21"/>
                <w:highlight w:val="none"/>
              </w:rPr>
            </w:pPr>
          </w:p>
        </w:tc>
      </w:tr>
      <w:tr w14:paraId="5592A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2" w:type="dxa"/>
            <w:vAlign w:val="center"/>
          </w:tcPr>
          <w:p w14:paraId="1253F253">
            <w:pPr>
              <w:pStyle w:val="15"/>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基本账户开户行及账号</w:t>
            </w:r>
          </w:p>
        </w:tc>
        <w:tc>
          <w:tcPr>
            <w:tcW w:w="5890" w:type="dxa"/>
            <w:gridSpan w:val="3"/>
            <w:vAlign w:val="center"/>
          </w:tcPr>
          <w:p w14:paraId="3B52ABDF">
            <w:pPr>
              <w:pStyle w:val="15"/>
              <w:spacing w:line="360" w:lineRule="auto"/>
              <w:jc w:val="center"/>
              <w:rPr>
                <w:rFonts w:ascii="Times New Roman" w:hAnsi="Times New Roman"/>
                <w:color w:val="auto"/>
                <w:sz w:val="21"/>
                <w:szCs w:val="21"/>
                <w:highlight w:val="none"/>
              </w:rPr>
            </w:pPr>
          </w:p>
        </w:tc>
      </w:tr>
      <w:tr w14:paraId="0A862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2" w:type="dxa"/>
            <w:vAlign w:val="center"/>
          </w:tcPr>
          <w:p w14:paraId="300B6F7D">
            <w:pPr>
              <w:pStyle w:val="15"/>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税务登记机关</w:t>
            </w:r>
          </w:p>
        </w:tc>
        <w:tc>
          <w:tcPr>
            <w:tcW w:w="5890" w:type="dxa"/>
            <w:gridSpan w:val="3"/>
            <w:vAlign w:val="center"/>
          </w:tcPr>
          <w:p w14:paraId="70F59C16">
            <w:pPr>
              <w:pStyle w:val="15"/>
              <w:spacing w:line="360" w:lineRule="auto"/>
              <w:jc w:val="center"/>
              <w:rPr>
                <w:rFonts w:ascii="Times New Roman" w:hAnsi="Times New Roman"/>
                <w:color w:val="auto"/>
                <w:sz w:val="21"/>
                <w:szCs w:val="21"/>
                <w:highlight w:val="none"/>
              </w:rPr>
            </w:pPr>
          </w:p>
        </w:tc>
      </w:tr>
      <w:tr w14:paraId="6171A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2" w:type="dxa"/>
            <w:vAlign w:val="center"/>
          </w:tcPr>
          <w:p w14:paraId="2AFAC0E6">
            <w:pPr>
              <w:pStyle w:val="15"/>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资质名称</w:t>
            </w:r>
          </w:p>
        </w:tc>
        <w:tc>
          <w:tcPr>
            <w:tcW w:w="1542" w:type="dxa"/>
            <w:vAlign w:val="center"/>
          </w:tcPr>
          <w:p w14:paraId="209B2784">
            <w:pPr>
              <w:pStyle w:val="15"/>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等级</w:t>
            </w:r>
          </w:p>
        </w:tc>
        <w:tc>
          <w:tcPr>
            <w:tcW w:w="1682" w:type="dxa"/>
            <w:vAlign w:val="center"/>
          </w:tcPr>
          <w:p w14:paraId="1E293E3F">
            <w:pPr>
              <w:pStyle w:val="15"/>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发证机关</w:t>
            </w:r>
          </w:p>
        </w:tc>
        <w:tc>
          <w:tcPr>
            <w:tcW w:w="2666" w:type="dxa"/>
            <w:vAlign w:val="center"/>
          </w:tcPr>
          <w:p w14:paraId="7BF48F9B">
            <w:pPr>
              <w:pStyle w:val="15"/>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有效期</w:t>
            </w:r>
          </w:p>
        </w:tc>
      </w:tr>
      <w:tr w14:paraId="5FE28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2" w:type="dxa"/>
            <w:vAlign w:val="center"/>
          </w:tcPr>
          <w:p w14:paraId="2F3A9F76">
            <w:pPr>
              <w:pStyle w:val="15"/>
              <w:spacing w:line="360" w:lineRule="auto"/>
              <w:jc w:val="center"/>
              <w:rPr>
                <w:rFonts w:ascii="Times New Roman" w:hAnsi="Times New Roman"/>
                <w:color w:val="auto"/>
                <w:sz w:val="21"/>
                <w:szCs w:val="21"/>
                <w:highlight w:val="none"/>
              </w:rPr>
            </w:pPr>
          </w:p>
        </w:tc>
        <w:tc>
          <w:tcPr>
            <w:tcW w:w="1542" w:type="dxa"/>
            <w:vAlign w:val="center"/>
          </w:tcPr>
          <w:p w14:paraId="2222AE34">
            <w:pPr>
              <w:pStyle w:val="15"/>
              <w:spacing w:line="360" w:lineRule="auto"/>
              <w:jc w:val="center"/>
              <w:rPr>
                <w:rFonts w:ascii="Times New Roman" w:hAnsi="Times New Roman"/>
                <w:color w:val="auto"/>
                <w:sz w:val="21"/>
                <w:szCs w:val="21"/>
                <w:highlight w:val="none"/>
              </w:rPr>
            </w:pPr>
          </w:p>
        </w:tc>
        <w:tc>
          <w:tcPr>
            <w:tcW w:w="1682" w:type="dxa"/>
            <w:vAlign w:val="center"/>
          </w:tcPr>
          <w:p w14:paraId="06F8A884">
            <w:pPr>
              <w:pStyle w:val="15"/>
              <w:spacing w:line="360" w:lineRule="auto"/>
              <w:jc w:val="center"/>
              <w:rPr>
                <w:rFonts w:ascii="Times New Roman" w:hAnsi="Times New Roman"/>
                <w:color w:val="auto"/>
                <w:sz w:val="21"/>
                <w:szCs w:val="21"/>
                <w:highlight w:val="none"/>
              </w:rPr>
            </w:pPr>
          </w:p>
        </w:tc>
        <w:tc>
          <w:tcPr>
            <w:tcW w:w="2666" w:type="dxa"/>
            <w:vAlign w:val="center"/>
          </w:tcPr>
          <w:p w14:paraId="6429FC9F">
            <w:pPr>
              <w:pStyle w:val="15"/>
              <w:spacing w:line="360" w:lineRule="auto"/>
              <w:jc w:val="center"/>
              <w:rPr>
                <w:rFonts w:ascii="Times New Roman" w:hAnsi="Times New Roman"/>
                <w:color w:val="auto"/>
                <w:sz w:val="21"/>
                <w:szCs w:val="21"/>
                <w:highlight w:val="none"/>
              </w:rPr>
            </w:pPr>
          </w:p>
        </w:tc>
      </w:tr>
      <w:tr w14:paraId="76BA6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2" w:type="dxa"/>
            <w:vAlign w:val="center"/>
          </w:tcPr>
          <w:p w14:paraId="1A74D507">
            <w:pPr>
              <w:pStyle w:val="15"/>
              <w:spacing w:line="360" w:lineRule="auto"/>
              <w:jc w:val="center"/>
              <w:rPr>
                <w:rFonts w:ascii="Times New Roman" w:hAnsi="Times New Roman"/>
                <w:color w:val="auto"/>
                <w:sz w:val="21"/>
                <w:szCs w:val="21"/>
                <w:highlight w:val="none"/>
              </w:rPr>
            </w:pPr>
          </w:p>
        </w:tc>
        <w:tc>
          <w:tcPr>
            <w:tcW w:w="1542" w:type="dxa"/>
            <w:vAlign w:val="center"/>
          </w:tcPr>
          <w:p w14:paraId="15D7D958">
            <w:pPr>
              <w:pStyle w:val="15"/>
              <w:spacing w:line="360" w:lineRule="auto"/>
              <w:jc w:val="center"/>
              <w:rPr>
                <w:rFonts w:ascii="Times New Roman" w:hAnsi="Times New Roman"/>
                <w:color w:val="auto"/>
                <w:sz w:val="21"/>
                <w:szCs w:val="21"/>
                <w:highlight w:val="none"/>
              </w:rPr>
            </w:pPr>
          </w:p>
        </w:tc>
        <w:tc>
          <w:tcPr>
            <w:tcW w:w="1682" w:type="dxa"/>
            <w:vAlign w:val="center"/>
          </w:tcPr>
          <w:p w14:paraId="5564B990">
            <w:pPr>
              <w:pStyle w:val="15"/>
              <w:spacing w:line="360" w:lineRule="auto"/>
              <w:jc w:val="center"/>
              <w:rPr>
                <w:rFonts w:ascii="Times New Roman" w:hAnsi="Times New Roman"/>
                <w:color w:val="auto"/>
                <w:sz w:val="21"/>
                <w:szCs w:val="21"/>
                <w:highlight w:val="none"/>
              </w:rPr>
            </w:pPr>
          </w:p>
        </w:tc>
        <w:tc>
          <w:tcPr>
            <w:tcW w:w="2666" w:type="dxa"/>
            <w:vAlign w:val="center"/>
          </w:tcPr>
          <w:p w14:paraId="770F4B5D">
            <w:pPr>
              <w:pStyle w:val="15"/>
              <w:spacing w:line="360" w:lineRule="auto"/>
              <w:jc w:val="center"/>
              <w:rPr>
                <w:rFonts w:ascii="Times New Roman" w:hAnsi="Times New Roman"/>
                <w:color w:val="auto"/>
                <w:sz w:val="21"/>
                <w:szCs w:val="21"/>
                <w:highlight w:val="none"/>
              </w:rPr>
            </w:pPr>
          </w:p>
        </w:tc>
      </w:tr>
      <w:tr w14:paraId="1476D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2" w:type="dxa"/>
            <w:vAlign w:val="center"/>
          </w:tcPr>
          <w:p w14:paraId="3900CF59">
            <w:pPr>
              <w:pStyle w:val="15"/>
              <w:spacing w:line="360" w:lineRule="auto"/>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备注</w:t>
            </w:r>
          </w:p>
        </w:tc>
        <w:tc>
          <w:tcPr>
            <w:tcW w:w="5890" w:type="dxa"/>
            <w:gridSpan w:val="3"/>
            <w:vAlign w:val="center"/>
          </w:tcPr>
          <w:p w14:paraId="5BB27C97">
            <w:pPr>
              <w:pStyle w:val="15"/>
              <w:spacing w:line="360" w:lineRule="auto"/>
              <w:jc w:val="center"/>
              <w:rPr>
                <w:rFonts w:ascii="Times New Roman" w:hAnsi="Times New Roman"/>
                <w:color w:val="auto"/>
                <w:sz w:val="21"/>
                <w:szCs w:val="21"/>
                <w:highlight w:val="none"/>
              </w:rPr>
            </w:pPr>
          </w:p>
        </w:tc>
      </w:tr>
    </w:tbl>
    <w:p w14:paraId="6934A26D">
      <w:pPr>
        <w:tabs>
          <w:tab w:val="left" w:pos="1230"/>
        </w:tabs>
        <w:topLinePunct/>
        <w:autoSpaceDE w:val="0"/>
        <w:autoSpaceDN w:val="0"/>
        <w:adjustRightInd w:val="0"/>
        <w:snapToGrid w:val="0"/>
        <w:spacing w:after="0" w:line="360" w:lineRule="auto"/>
        <w:ind w:firstLine="420" w:firstLineChars="200"/>
        <w:rPr>
          <w:rFonts w:hint="eastAsia" w:ascii="宋体" w:hAnsi="宋体" w:cs="宋体"/>
          <w:color w:val="auto"/>
          <w:sz w:val="21"/>
          <w:szCs w:val="21"/>
          <w:highlight w:val="none"/>
        </w:rPr>
      </w:pPr>
    </w:p>
    <w:p w14:paraId="5CB259BB">
      <w:pPr>
        <w:tabs>
          <w:tab w:val="left" w:pos="1230"/>
        </w:tabs>
        <w:topLinePunct/>
        <w:autoSpaceDE w:val="0"/>
        <w:autoSpaceDN w:val="0"/>
        <w:adjustRightInd w:val="0"/>
        <w:snapToGrid w:val="0"/>
        <w:spacing w:after="0" w:line="360" w:lineRule="auto"/>
        <w:ind w:firstLine="420" w:firstLineChars="200"/>
        <w:rPr>
          <w:rFonts w:hint="eastAsia" w:ascii="宋体" w:hAnsi="宋体" w:cs="宋体"/>
          <w:color w:val="auto"/>
          <w:sz w:val="21"/>
          <w:szCs w:val="21"/>
          <w:highlight w:val="none"/>
        </w:rPr>
      </w:pPr>
    </w:p>
    <w:p w14:paraId="07FB9938">
      <w:pPr>
        <w:tabs>
          <w:tab w:val="left" w:pos="1230"/>
        </w:tabs>
        <w:topLinePunct/>
        <w:autoSpaceDE w:val="0"/>
        <w:autoSpaceDN w:val="0"/>
        <w:adjustRightInd w:val="0"/>
        <w:snapToGrid w:val="0"/>
        <w:spacing w:after="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投标人</w:t>
      </w:r>
      <w:r>
        <w:rPr>
          <w:rFonts w:ascii="宋体" w:hAnsi="宋体"/>
          <w:color w:val="auto"/>
          <w:kern w:val="0"/>
          <w:sz w:val="21"/>
          <w:szCs w:val="21"/>
          <w:highlight w:val="none"/>
        </w:rPr>
        <w:t>（全称并加盖公章</w:t>
      </w:r>
      <w:r>
        <w:rPr>
          <w:rFonts w:hint="eastAsia" w:ascii="宋体" w:hAnsi="宋体" w:cs="宋体"/>
          <w:color w:val="auto"/>
          <w:sz w:val="21"/>
          <w:szCs w:val="21"/>
          <w:highlight w:val="none"/>
        </w:rPr>
        <w:t>）</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u w:val="single"/>
        </w:rPr>
        <w:t xml:space="preserve">             </w:t>
      </w:r>
    </w:p>
    <w:p w14:paraId="241032AD">
      <w:pPr>
        <w:tabs>
          <w:tab w:val="left" w:pos="1230"/>
        </w:tabs>
        <w:topLinePunct/>
        <w:autoSpaceDE w:val="0"/>
        <w:autoSpaceDN w:val="0"/>
        <w:adjustRightInd w:val="0"/>
        <w:snapToGrid w:val="0"/>
        <w:spacing w:after="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lang w:eastAsia="zh-CN"/>
        </w:rPr>
        <w:t>法定代表人（签字或签章）/被授权投标代表（签字）：</w:t>
      </w:r>
      <w:r>
        <w:rPr>
          <w:rFonts w:hint="eastAsia" w:ascii="宋体" w:hAnsi="宋体" w:cs="宋体"/>
          <w:color w:val="auto"/>
          <w:sz w:val="21"/>
          <w:szCs w:val="21"/>
          <w:highlight w:val="none"/>
          <w:u w:val="single"/>
        </w:rPr>
        <w:t xml:space="preserve">             </w:t>
      </w:r>
    </w:p>
    <w:p w14:paraId="53695BCE">
      <w:pPr>
        <w:tabs>
          <w:tab w:val="left" w:pos="1230"/>
        </w:tabs>
        <w:topLinePunct/>
        <w:autoSpaceDE w:val="0"/>
        <w:autoSpaceDN w:val="0"/>
        <w:adjustRightInd w:val="0"/>
        <w:snapToGrid w:val="0"/>
        <w:spacing w:after="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日期</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u w:val="single"/>
        </w:rPr>
        <w:t xml:space="preserve">                                 </w:t>
      </w:r>
    </w:p>
    <w:p w14:paraId="178CBE0C">
      <w:pPr>
        <w:spacing w:line="360" w:lineRule="auto"/>
        <w:jc w:val="left"/>
        <w:outlineLvl w:val="2"/>
        <w:rPr>
          <w:rFonts w:hint="eastAsia" w:ascii="宋体" w:hAnsi="宋体" w:eastAsia="宋体" w:cs="宋体"/>
          <w:b/>
          <w:bCs/>
          <w:color w:val="auto"/>
          <w:sz w:val="24"/>
          <w:szCs w:val="24"/>
          <w:highlight w:val="none"/>
          <w:lang w:val="en-US" w:eastAsia="zh-CN"/>
        </w:rPr>
      </w:pPr>
      <w:r>
        <w:rPr>
          <w:rFonts w:ascii="宋体" w:hAnsi="宋体" w:cs="宋体"/>
          <w:b/>
          <w:bCs/>
          <w:color w:val="auto"/>
          <w:sz w:val="36"/>
          <w:szCs w:val="36"/>
          <w:highlight w:val="none"/>
        </w:rPr>
        <w:br w:type="page"/>
      </w:r>
      <w:r>
        <w:rPr>
          <w:rFonts w:hint="eastAsia" w:ascii="宋体" w:hAnsi="宋体" w:eastAsia="宋体" w:cs="宋体"/>
          <w:b/>
          <w:bCs/>
          <w:color w:val="auto"/>
          <w:sz w:val="24"/>
          <w:szCs w:val="24"/>
          <w:highlight w:val="none"/>
          <w:lang w:val="en-US" w:eastAsia="zh-CN"/>
        </w:rPr>
        <w:t>格式</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-1</w:t>
      </w:r>
    </w:p>
    <w:p w14:paraId="44B581E2">
      <w:pPr>
        <w:spacing w:line="360" w:lineRule="auto"/>
        <w:jc w:val="left"/>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具有独立承担民事责任的能力：</w:t>
      </w:r>
      <w:r>
        <w:rPr>
          <w:rFonts w:hint="eastAsia" w:ascii="宋体" w:hAnsi="宋体" w:cs="宋体"/>
          <w:b w:val="0"/>
          <w:bCs w:val="0"/>
          <w:color w:val="auto"/>
          <w:sz w:val="21"/>
          <w:szCs w:val="21"/>
          <w:highlight w:val="none"/>
          <w:lang w:eastAsia="zh-CN"/>
        </w:rPr>
        <w:t>提供法人或者其他组织的营业执照等证明文件；若为自然人的，提供自然人的身份证明（加盖投标人公章）</w:t>
      </w:r>
      <w:r>
        <w:rPr>
          <w:rFonts w:hint="eastAsia" w:ascii="宋体" w:hAnsi="宋体" w:eastAsia="宋体" w:cs="宋体"/>
          <w:b w:val="0"/>
          <w:bCs w:val="0"/>
          <w:color w:val="auto"/>
          <w:sz w:val="21"/>
          <w:szCs w:val="21"/>
          <w:highlight w:val="none"/>
        </w:rPr>
        <w:t>。</w:t>
      </w:r>
    </w:p>
    <w:p w14:paraId="78E260D1">
      <w:pPr>
        <w:spacing w:line="360" w:lineRule="auto"/>
        <w:jc w:val="left"/>
        <w:rPr>
          <w:rFonts w:hint="eastAsia" w:ascii="宋体" w:hAnsi="宋体" w:eastAsia="宋体" w:cs="宋体"/>
          <w:b/>
          <w:bCs/>
          <w:color w:val="auto"/>
          <w:sz w:val="21"/>
          <w:szCs w:val="21"/>
          <w:highlight w:val="none"/>
          <w:lang w:val="en-US" w:eastAsia="zh-CN"/>
        </w:rPr>
      </w:pPr>
    </w:p>
    <w:p w14:paraId="0EDC8B85">
      <w:pPr>
        <w:spacing w:line="360" w:lineRule="auto"/>
        <w:jc w:val="left"/>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格式1-2</w:t>
      </w:r>
    </w:p>
    <w:p w14:paraId="7568BE07">
      <w:pPr>
        <w:spacing w:line="36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具有良好的商业信誉和健全的财务会计制度</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内容可为以下</w:t>
      </w:r>
      <w:r>
        <w:rPr>
          <w:rFonts w:hint="eastAsia" w:ascii="宋体" w:hAnsi="宋体" w:cs="宋体"/>
          <w:b w:val="0"/>
          <w:bCs w:val="0"/>
          <w:color w:val="auto"/>
          <w:sz w:val="21"/>
          <w:szCs w:val="21"/>
          <w:highlight w:val="none"/>
          <w:lang w:val="en-US" w:eastAsia="zh-CN"/>
        </w:rPr>
        <w:t>二</w:t>
      </w:r>
      <w:r>
        <w:rPr>
          <w:rFonts w:hint="eastAsia" w:ascii="宋体" w:hAnsi="宋体" w:eastAsia="宋体" w:cs="宋体"/>
          <w:b w:val="0"/>
          <w:bCs w:val="0"/>
          <w:color w:val="auto"/>
          <w:sz w:val="21"/>
          <w:szCs w:val="21"/>
          <w:highlight w:val="none"/>
        </w:rPr>
        <w:t>者之一：</w:t>
      </w:r>
    </w:p>
    <w:p w14:paraId="2A5C9BA2">
      <w:pPr>
        <w:spacing w:line="36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①</w:t>
      </w:r>
      <w:r>
        <w:rPr>
          <w:rFonts w:hint="eastAsia" w:ascii="宋体" w:hAnsi="宋体" w:cs="宋体"/>
          <w:b w:val="0"/>
          <w:bCs w:val="0"/>
          <w:color w:val="auto"/>
          <w:sz w:val="21"/>
          <w:szCs w:val="21"/>
          <w:highlight w:val="none"/>
          <w:lang w:eastAsia="zh-CN"/>
        </w:rPr>
        <w:t>投标人须提供2024年度或2025年度经审计的财务会计报告及报表资料（至少包括：财务审计报告、资产负债表、利润表、现金流量表并附注册会计师行业统一监管平台验证码），如投标人执行的财政部门印发的会计制度或准则有其他要求的，以其要求为准；新成立不满1年的投标人提供自成立至今的财务报表（复印件加盖投标人公章）</w:t>
      </w:r>
      <w:r>
        <w:rPr>
          <w:rFonts w:hint="eastAsia" w:ascii="宋体" w:hAnsi="宋体" w:eastAsia="宋体" w:cs="宋体"/>
          <w:b w:val="0"/>
          <w:bCs w:val="0"/>
          <w:color w:val="auto"/>
          <w:sz w:val="21"/>
          <w:szCs w:val="21"/>
          <w:highlight w:val="none"/>
        </w:rPr>
        <w:t>；</w:t>
      </w:r>
    </w:p>
    <w:p w14:paraId="2A45A840">
      <w:pPr>
        <w:spacing w:line="360" w:lineRule="auto"/>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②提供自投标文件提交截止时间前三个月内基本开户银行出具的资信证明（加盖投标人公章）</w:t>
      </w:r>
      <w:r>
        <w:rPr>
          <w:rFonts w:hint="eastAsia" w:ascii="宋体" w:hAnsi="宋体" w:cs="宋体"/>
          <w:b w:val="0"/>
          <w:bCs w:val="0"/>
          <w:color w:val="auto"/>
          <w:sz w:val="21"/>
          <w:szCs w:val="21"/>
          <w:highlight w:val="none"/>
          <w:lang w:eastAsia="zh-CN"/>
        </w:rPr>
        <w:t>。</w:t>
      </w:r>
    </w:p>
    <w:p w14:paraId="1C8DA091">
      <w:pPr>
        <w:spacing w:line="360" w:lineRule="auto"/>
        <w:ind w:firstLine="422" w:firstLineChars="200"/>
        <w:jc w:val="left"/>
        <w:rPr>
          <w:rFonts w:hint="eastAsia" w:ascii="宋体" w:hAnsi="宋体" w:eastAsia="宋体" w:cs="宋体"/>
          <w:b/>
          <w:bCs/>
          <w:color w:val="auto"/>
          <w:sz w:val="21"/>
          <w:szCs w:val="21"/>
          <w:highlight w:val="none"/>
          <w:lang w:val="en-US" w:eastAsia="zh-CN"/>
        </w:rPr>
      </w:pPr>
    </w:p>
    <w:p w14:paraId="7AC41370">
      <w:pPr>
        <w:spacing w:line="360" w:lineRule="auto"/>
        <w:jc w:val="left"/>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格式1-3</w:t>
      </w:r>
    </w:p>
    <w:p w14:paraId="5EE221FC">
      <w:pPr>
        <w:spacing w:line="36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具有履行合同所必需的设备和专业技术能力：提供投标人具有履行合同所必需的设备和专业技术能力证明材料（加盖投标人公章）或书面声明（加盖投标人公章）；</w:t>
      </w:r>
    </w:p>
    <w:p w14:paraId="1B676215">
      <w:pPr>
        <w:spacing w:line="360" w:lineRule="auto"/>
        <w:ind w:firstLine="422" w:firstLineChars="200"/>
        <w:jc w:val="left"/>
        <w:rPr>
          <w:rFonts w:hint="eastAsia" w:ascii="宋体" w:hAnsi="宋体" w:eastAsia="宋体" w:cs="宋体"/>
          <w:b/>
          <w:bCs/>
          <w:color w:val="auto"/>
          <w:sz w:val="21"/>
          <w:szCs w:val="21"/>
          <w:highlight w:val="none"/>
          <w:lang w:val="en-US" w:eastAsia="zh-CN"/>
        </w:rPr>
      </w:pPr>
    </w:p>
    <w:p w14:paraId="3FCD60BE">
      <w:pPr>
        <w:spacing w:line="360" w:lineRule="auto"/>
        <w:jc w:val="left"/>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格式1-4</w:t>
      </w:r>
    </w:p>
    <w:p w14:paraId="74CCF392">
      <w:pPr>
        <w:spacing w:line="36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有依法缴纳税收和社会保障资金的良好记录：</w:t>
      </w:r>
    </w:p>
    <w:p w14:paraId="032865FD">
      <w:pPr>
        <w:spacing w:line="36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1.4.1</w:t>
      </w:r>
      <w:r>
        <w:rPr>
          <w:rFonts w:hint="eastAsia" w:ascii="宋体" w:hAnsi="宋体" w:cs="宋体"/>
          <w:b w:val="0"/>
          <w:bCs w:val="0"/>
          <w:color w:val="auto"/>
          <w:sz w:val="21"/>
          <w:szCs w:val="21"/>
          <w:highlight w:val="none"/>
          <w:lang w:eastAsia="zh-CN"/>
        </w:rPr>
        <w:t>提供投标人缴税所属时间在2025年5月至本项目提交投标文件截止时间前任意1个月的税务局税收通用缴款书或银行电子缴税（费）凭证或税务局出具纳税情况的相关证明；依法免税或免缴的，应提供相关证明文件（加盖投标人公章）或说明（加盖投标人公章）；新成立未满1个月的投标人，依法免税或免缴的，应提供相关证明文件（加盖投标人公章）或说明（加盖投标人公章）</w:t>
      </w:r>
      <w:r>
        <w:rPr>
          <w:rFonts w:hint="eastAsia" w:ascii="宋体" w:hAnsi="宋体" w:eastAsia="宋体" w:cs="宋体"/>
          <w:b w:val="0"/>
          <w:bCs w:val="0"/>
          <w:color w:val="auto"/>
          <w:sz w:val="21"/>
          <w:szCs w:val="21"/>
          <w:highlight w:val="none"/>
        </w:rPr>
        <w:t>；</w:t>
      </w:r>
    </w:p>
    <w:p w14:paraId="0AB8CBC1">
      <w:pPr>
        <w:spacing w:line="360" w:lineRule="auto"/>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1.4.2</w:t>
      </w:r>
      <w:r>
        <w:rPr>
          <w:rFonts w:hint="eastAsia" w:ascii="宋体" w:hAnsi="宋体" w:cs="宋体"/>
          <w:b w:val="0"/>
          <w:bCs w:val="0"/>
          <w:color w:val="auto"/>
          <w:sz w:val="21"/>
          <w:szCs w:val="21"/>
          <w:highlight w:val="none"/>
          <w:lang w:eastAsia="zh-CN"/>
        </w:rPr>
        <w:t>提供投标人缴费所属时间在2025年5月至本项目提交投标文件截止时间前任意1个月的社会保险费缴款书或银行电子缴税（费）凭证或社保管理部门出具的有效的缴款证明；依法免缴的，应提供依法免缴的相关证明文件（加盖投标人公章）或说明（加盖投标人公章）；新成立未满1个月的投标人，依法免缴的，应提供依法免缴的相关证明文件（加盖投标人公章）或说明（加盖投标人公章）。</w:t>
      </w:r>
    </w:p>
    <w:p w14:paraId="26609FF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br w:type="page"/>
      </w:r>
    </w:p>
    <w:p w14:paraId="4694B3F4">
      <w:pPr>
        <w:spacing w:line="360" w:lineRule="auto"/>
        <w:jc w:val="left"/>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格式1-5</w:t>
      </w:r>
    </w:p>
    <w:p w14:paraId="52C7E61D">
      <w:pPr>
        <w:spacing w:line="36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参加政府采购活动前三年内</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在经营活动中没有重大违法记录：提供投标人参加政府采购活动前三年内</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在经营活动中没有重大违法记录（重大违法记录</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是指投标人因违法经营受到刑事处罚或者责令停产停业、吊销许可证或者执照、较大数额罚款等行政处罚）的书面声明（加盖投标人公章）；</w:t>
      </w:r>
    </w:p>
    <w:p w14:paraId="3B239432">
      <w:pPr>
        <w:adjustRightInd w:val="0"/>
        <w:snapToGrid w:val="0"/>
        <w:spacing w:after="0" w:line="360" w:lineRule="auto"/>
        <w:jc w:val="center"/>
        <w:rPr>
          <w:rFonts w:hint="default" w:ascii="Times New Roman" w:hAnsi="Times New Roman" w:cs="Times New Roman"/>
          <w:b/>
          <w:bCs/>
          <w:color w:val="auto"/>
          <w:sz w:val="28"/>
          <w:szCs w:val="28"/>
          <w:highlight w:val="none"/>
        </w:rPr>
      </w:pPr>
    </w:p>
    <w:p w14:paraId="65650675">
      <w:pPr>
        <w:adjustRightInd w:val="0"/>
        <w:snapToGrid w:val="0"/>
        <w:spacing w:after="0" w:line="360" w:lineRule="auto"/>
        <w:jc w:val="center"/>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参加本次政府采购活动前三年内在经营活动中</w:t>
      </w:r>
    </w:p>
    <w:p w14:paraId="28F1331A">
      <w:pPr>
        <w:snapToGrid w:val="0"/>
        <w:spacing w:after="0" w:line="360" w:lineRule="auto"/>
        <w:jc w:val="center"/>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没有重大违法记录的书面声明</w:t>
      </w:r>
    </w:p>
    <w:p w14:paraId="148FA8C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致________（采购人或采购代理机构）：</w:t>
      </w:r>
    </w:p>
    <w:p w14:paraId="039618E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我单位在参加本次采购活动前三年内在经营活动中没有《政府采购法》第二十二条第一款第（五）项所称重大违法记录</w:t>
      </w:r>
      <w:r>
        <w:rPr>
          <w:rFonts w:hint="eastAsia" w:ascii="宋体" w:hAnsi="宋体" w:cs="宋体"/>
          <w:color w:val="auto"/>
          <w:highlight w:val="none"/>
          <w:lang w:eastAsia="zh-CN"/>
        </w:rPr>
        <w:t>，</w:t>
      </w:r>
      <w:r>
        <w:rPr>
          <w:rFonts w:hint="eastAsia" w:ascii="宋体" w:hAnsi="宋体" w:eastAsia="宋体" w:cs="宋体"/>
          <w:color w:val="auto"/>
          <w:highlight w:val="none"/>
        </w:rPr>
        <w:t>包括：</w:t>
      </w:r>
    </w:p>
    <w:p w14:paraId="0F88E6E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我单位未因经营活动中的违法行为受到刑事处罚或者责令停产停业、吊销许可证或者执照、较大数额罚款等行政处罚。</w:t>
      </w:r>
    </w:p>
    <w:p w14:paraId="6FA1AF8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特此声明！</w:t>
      </w:r>
    </w:p>
    <w:p w14:paraId="776E58CE">
      <w:pPr>
        <w:tabs>
          <w:tab w:val="left" w:pos="1230"/>
        </w:tabs>
        <w:topLinePunct/>
        <w:autoSpaceDE w:val="0"/>
        <w:autoSpaceDN w:val="0"/>
        <w:adjustRightInd w:val="0"/>
        <w:snapToGrid w:val="0"/>
        <w:spacing w:after="0" w:line="360" w:lineRule="auto"/>
        <w:ind w:firstLine="420" w:firstLineChars="200"/>
        <w:rPr>
          <w:rFonts w:hint="eastAsia" w:ascii="宋体" w:hAnsi="宋体" w:eastAsia="宋体" w:cs="宋体"/>
          <w:color w:val="auto"/>
          <w:sz w:val="21"/>
          <w:szCs w:val="21"/>
          <w:highlight w:val="none"/>
        </w:rPr>
      </w:pPr>
    </w:p>
    <w:p w14:paraId="249BE027">
      <w:pPr>
        <w:tabs>
          <w:tab w:val="left" w:pos="1230"/>
        </w:tabs>
        <w:topLinePunct/>
        <w:autoSpaceDE w:val="0"/>
        <w:autoSpaceDN w:val="0"/>
        <w:adjustRightInd w:val="0"/>
        <w:snapToGrid w:val="0"/>
        <w:spacing w:after="0" w:line="360" w:lineRule="auto"/>
        <w:ind w:firstLine="420" w:firstLineChars="200"/>
        <w:rPr>
          <w:rFonts w:hint="eastAsia" w:ascii="宋体" w:hAnsi="宋体" w:eastAsia="宋体" w:cs="宋体"/>
          <w:color w:val="auto"/>
          <w:sz w:val="21"/>
          <w:szCs w:val="21"/>
          <w:highlight w:val="none"/>
        </w:rPr>
      </w:pPr>
    </w:p>
    <w:p w14:paraId="73AE8C6B">
      <w:pPr>
        <w:tabs>
          <w:tab w:val="left" w:pos="1230"/>
        </w:tabs>
        <w:topLinePunct/>
        <w:autoSpaceDE w:val="0"/>
        <w:autoSpaceDN w:val="0"/>
        <w:adjustRightInd w:val="0"/>
        <w:snapToGrid w:val="0"/>
        <w:spacing w:after="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kern w:val="0"/>
          <w:sz w:val="21"/>
          <w:szCs w:val="21"/>
          <w:highlight w:val="none"/>
        </w:rPr>
        <w:t>（全称并加盖公章</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p>
    <w:p w14:paraId="09C0DB2C">
      <w:pPr>
        <w:tabs>
          <w:tab w:val="left" w:pos="1230"/>
        </w:tabs>
        <w:topLinePunct/>
        <w:autoSpaceDE w:val="0"/>
        <w:autoSpaceDN w:val="0"/>
        <w:adjustRightInd w:val="0"/>
        <w:snapToGrid w:val="0"/>
        <w:spacing w:after="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法定代表人（签字或签章）/被授权投标代表（签字）：</w:t>
      </w:r>
      <w:r>
        <w:rPr>
          <w:rFonts w:hint="eastAsia" w:ascii="宋体" w:hAnsi="宋体" w:eastAsia="宋体" w:cs="宋体"/>
          <w:color w:val="auto"/>
          <w:sz w:val="21"/>
          <w:szCs w:val="21"/>
          <w:highlight w:val="none"/>
          <w:u w:val="single"/>
        </w:rPr>
        <w:t xml:space="preserve">             </w:t>
      </w:r>
    </w:p>
    <w:p w14:paraId="1D97A421">
      <w:pPr>
        <w:tabs>
          <w:tab w:val="left" w:pos="1230"/>
        </w:tabs>
        <w:topLinePunct/>
        <w:autoSpaceDE w:val="0"/>
        <w:autoSpaceDN w:val="0"/>
        <w:adjustRightInd w:val="0"/>
        <w:snapToGrid w:val="0"/>
        <w:spacing w:after="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p>
    <w:p w14:paraId="00A22E15">
      <w:pPr>
        <w:spacing w:line="360" w:lineRule="auto"/>
        <w:ind w:firstLine="422" w:firstLineChars="200"/>
        <w:jc w:val="left"/>
        <w:rPr>
          <w:rFonts w:hint="eastAsia" w:ascii="宋体" w:hAnsi="宋体" w:eastAsia="宋体" w:cs="宋体"/>
          <w:b/>
          <w:bCs/>
          <w:color w:val="auto"/>
          <w:sz w:val="21"/>
          <w:szCs w:val="21"/>
          <w:highlight w:val="none"/>
          <w:lang w:val="en-US" w:eastAsia="zh-CN"/>
        </w:rPr>
      </w:pPr>
    </w:p>
    <w:p w14:paraId="1ADBE56E">
      <w:pPr>
        <w:spacing w:line="360" w:lineRule="auto"/>
        <w:ind w:firstLine="422" w:firstLineChars="200"/>
        <w:jc w:val="left"/>
        <w:rPr>
          <w:rFonts w:hint="eastAsia" w:ascii="宋体" w:hAnsi="宋体" w:eastAsia="宋体" w:cs="宋体"/>
          <w:b/>
          <w:bCs/>
          <w:color w:val="auto"/>
          <w:sz w:val="21"/>
          <w:szCs w:val="21"/>
          <w:highlight w:val="none"/>
          <w:lang w:val="en-US" w:eastAsia="zh-CN"/>
        </w:rPr>
      </w:pPr>
    </w:p>
    <w:p w14:paraId="02C523B9">
      <w:pPr>
        <w:spacing w:line="360" w:lineRule="auto"/>
        <w:jc w:val="left"/>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格式1-6</w:t>
      </w:r>
    </w:p>
    <w:p w14:paraId="4C4A19A6">
      <w:pPr>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法律、行政法规规定的其他条件：</w:t>
      </w:r>
    </w:p>
    <w:p w14:paraId="19FE3E65">
      <w:pPr>
        <w:spacing w:line="36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1.6.1单位负责人为同一人或者存在直接控股、管理关系的不同供应商</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不得参加同一合同项下的政府采购活动（提供承诺函加盖投标人公章）；</w:t>
      </w:r>
    </w:p>
    <w:p w14:paraId="325DE2A3">
      <w:pPr>
        <w:spacing w:line="36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1.6.2为本采购项目提供整体设计、规范编制或者项目管理、监理、检测等服务的投标人</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不得再参加本采购项目的其他采购活动的书面声明（提供书面声明函加盖投标人公章）；</w:t>
      </w:r>
    </w:p>
    <w:p w14:paraId="503EB085">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type="page"/>
      </w:r>
    </w:p>
    <w:p w14:paraId="151B61A7">
      <w:pPr>
        <w:spacing w:line="360" w:lineRule="auto"/>
        <w:jc w:val="left"/>
        <w:outlineLvl w:val="2"/>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格式1-7</w:t>
      </w:r>
    </w:p>
    <w:p w14:paraId="5131F218">
      <w:pPr>
        <w:keepNext w:val="0"/>
        <w:keepLines w:val="0"/>
        <w:pageBreakBefore w:val="0"/>
        <w:tabs>
          <w:tab w:val="left" w:pos="720"/>
          <w:tab w:val="left" w:pos="8295"/>
        </w:tabs>
        <w:kinsoku/>
        <w:wordWrap w:val="0"/>
        <w:overflowPunct/>
        <w:topLinePunct w:val="0"/>
        <w:autoSpaceDE/>
        <w:autoSpaceDN/>
        <w:bidi w:val="0"/>
        <w:adjustRightInd/>
        <w:snapToGrid/>
        <w:spacing w:line="440" w:lineRule="exact"/>
        <w:ind w:firstLine="422" w:firstLineChars="200"/>
        <w:outlineLvl w:val="9"/>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落实政府采购政策需满足的资格要求</w:t>
      </w:r>
      <w:r>
        <w:rPr>
          <w:rFonts w:hint="eastAsia" w:ascii="宋体" w:hAnsi="宋体" w:cs="宋体"/>
          <w:b/>
          <w:bCs/>
          <w:color w:val="auto"/>
          <w:sz w:val="21"/>
          <w:szCs w:val="21"/>
          <w:highlight w:val="none"/>
          <w:lang w:eastAsia="zh-CN"/>
        </w:rPr>
        <w:t>：</w:t>
      </w:r>
      <w:r>
        <w:rPr>
          <w:rFonts w:hint="eastAsia" w:ascii="宋体" w:hAnsi="宋体" w:cs="宋体"/>
          <w:b w:val="0"/>
          <w:bCs w:val="0"/>
          <w:color w:val="auto"/>
          <w:szCs w:val="21"/>
          <w:highlight w:val="none"/>
        </w:rPr>
        <w:t>本项目专门面向中小企业采购</w:t>
      </w: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投标人必须为中型企业或小型企业或微型企业；监狱企业、残疾人福利性单位视同小型企业或微型企业</w:t>
      </w:r>
      <w:r>
        <w:rPr>
          <w:rFonts w:hint="eastAsia" w:ascii="宋体" w:hAnsi="宋体" w:cs="宋体"/>
          <w:b w:val="0"/>
          <w:bCs w:val="0"/>
          <w:color w:val="auto"/>
          <w:szCs w:val="21"/>
          <w:highlight w:val="none"/>
          <w:lang w:eastAsia="zh-CN"/>
        </w:rPr>
        <w:t>。本项目所属行业为</w:t>
      </w:r>
      <w:r>
        <w:rPr>
          <w:rFonts w:hint="eastAsia" w:ascii="宋体" w:hAnsi="宋体" w:cs="宋体"/>
          <w:b/>
          <w:bCs/>
          <w:color w:val="auto"/>
          <w:szCs w:val="21"/>
          <w:highlight w:val="none"/>
          <w:lang w:eastAsia="zh-CN"/>
        </w:rPr>
        <w:t>物业管理</w:t>
      </w:r>
      <w:r>
        <w:rPr>
          <w:rFonts w:hint="eastAsia" w:ascii="宋体" w:hAnsi="宋体" w:cs="宋体"/>
          <w:b w:val="0"/>
          <w:bCs w:val="0"/>
          <w:color w:val="auto"/>
          <w:szCs w:val="21"/>
          <w:highlight w:val="none"/>
          <w:lang w:eastAsia="zh-CN"/>
        </w:rPr>
        <w:t>，符合条件的投标人应根据《关于印发中小企业划型标准规定的通知》（工信部联企业〔2011〕300号）中</w:t>
      </w:r>
      <w:r>
        <w:rPr>
          <w:rFonts w:hint="eastAsia" w:ascii="宋体" w:hAnsi="宋体" w:cs="宋体"/>
          <w:b/>
          <w:bCs/>
          <w:color w:val="auto"/>
          <w:szCs w:val="21"/>
          <w:highlight w:val="none"/>
          <w:lang w:eastAsia="zh-CN"/>
        </w:rPr>
        <w:t>物业管理</w:t>
      </w:r>
      <w:r>
        <w:rPr>
          <w:rFonts w:hint="eastAsia" w:ascii="宋体" w:hAnsi="宋体" w:cs="宋体"/>
          <w:b w:val="0"/>
          <w:bCs w:val="0"/>
          <w:color w:val="auto"/>
          <w:szCs w:val="21"/>
          <w:highlight w:val="none"/>
          <w:lang w:eastAsia="zh-CN"/>
        </w:rPr>
        <w:t>划型标准进行划型</w:t>
      </w:r>
      <w:r>
        <w:rPr>
          <w:rFonts w:hint="eastAsia" w:ascii="宋体" w:hAnsi="宋体" w:cs="宋体"/>
          <w:b w:val="0"/>
          <w:bCs w:val="0"/>
          <w:color w:val="auto"/>
          <w:sz w:val="21"/>
          <w:szCs w:val="21"/>
          <w:highlight w:val="none"/>
          <w:lang w:val="en-US" w:eastAsia="zh-CN"/>
        </w:rPr>
        <w:t>。</w:t>
      </w:r>
    </w:p>
    <w:p w14:paraId="3D00B309">
      <w:pPr>
        <w:rPr>
          <w:rFonts w:hint="eastAsia" w:ascii="宋体" w:hAnsi="宋体" w:eastAsia="宋体" w:cs="宋体"/>
          <w:color w:val="auto"/>
          <w:sz w:val="21"/>
          <w:szCs w:val="21"/>
          <w:highlight w:val="none"/>
          <w:lang w:eastAsia="zh-CN"/>
        </w:rPr>
      </w:pPr>
    </w:p>
    <w:p w14:paraId="0FE55194">
      <w:pPr>
        <w:snapToGrid w:val="0"/>
        <w:spacing w:after="0" w:line="360" w:lineRule="auto"/>
        <w:jc w:val="left"/>
        <w:outlineLvl w:val="9"/>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格式</w:t>
      </w:r>
      <w:r>
        <w:rPr>
          <w:rFonts w:hint="eastAsia" w:ascii="宋体" w:hAnsi="宋体" w:cs="宋体"/>
          <w:b/>
          <w:bCs/>
          <w:color w:val="auto"/>
          <w:sz w:val="24"/>
          <w:szCs w:val="24"/>
          <w:highlight w:val="none"/>
          <w:lang w:val="en-US" w:eastAsia="zh-CN"/>
        </w:rPr>
        <w:t>1-7-1</w:t>
      </w:r>
      <w:r>
        <w:rPr>
          <w:rFonts w:hint="eastAsia" w:ascii="宋体" w:hAnsi="宋体" w:cs="宋体"/>
          <w:b/>
          <w:bCs/>
          <w:color w:val="auto"/>
          <w:sz w:val="24"/>
          <w:szCs w:val="24"/>
          <w:highlight w:val="none"/>
        </w:rPr>
        <w:t xml:space="preserve">  《中小企业声明函》</w:t>
      </w:r>
    </w:p>
    <w:p w14:paraId="1D88113B">
      <w:pPr>
        <w:widowControl/>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中小企业声明函（服务）</w:t>
      </w:r>
    </w:p>
    <w:p w14:paraId="7CCAD7D5">
      <w:pPr>
        <w:snapToGrid w:val="0"/>
        <w:spacing w:after="0" w:line="360" w:lineRule="auto"/>
        <w:jc w:val="center"/>
        <w:outlineLvl w:val="9"/>
        <w:rPr>
          <w:rFonts w:ascii="宋体" w:hAnsi="宋体" w:cs="宋体"/>
          <w:b/>
          <w:bCs/>
          <w:color w:val="auto"/>
          <w:sz w:val="21"/>
          <w:szCs w:val="21"/>
          <w:highlight w:val="none"/>
        </w:rPr>
      </w:pPr>
      <w:r>
        <w:rPr>
          <w:rFonts w:hint="eastAsia" w:ascii="宋体" w:hAnsi="宋体" w:cs="宋体"/>
          <w:b/>
          <w:bCs/>
          <w:color w:val="auto"/>
          <w:sz w:val="21"/>
          <w:szCs w:val="21"/>
          <w:highlight w:val="none"/>
        </w:rPr>
        <w:t>（符合《关于印发&lt;政府采购促进中小企业发展管理办法&gt;的通知》（财库〔2020〕46号）</w:t>
      </w:r>
      <w:r>
        <w:rPr>
          <w:rFonts w:hint="eastAsia" w:ascii="宋体" w:hAnsi="宋体" w:cs="宋体"/>
          <w:b/>
          <w:bCs/>
          <w:color w:val="auto"/>
          <w:sz w:val="21"/>
          <w:szCs w:val="21"/>
          <w:highlight w:val="none"/>
          <w:lang w:eastAsia="zh-CN"/>
        </w:rPr>
        <w:t>、《关于印发中小企业划型标准规定的通知》（工信部联企业〔2011〕300号）</w:t>
      </w:r>
      <w:r>
        <w:rPr>
          <w:rFonts w:hint="eastAsia" w:ascii="宋体" w:hAnsi="宋体" w:cs="宋体"/>
          <w:b/>
          <w:bCs/>
          <w:color w:val="auto"/>
          <w:sz w:val="21"/>
          <w:szCs w:val="21"/>
          <w:highlight w:val="none"/>
        </w:rPr>
        <w:t>条件的</w:t>
      </w:r>
      <w:r>
        <w:rPr>
          <w:rFonts w:hint="eastAsia" w:ascii="宋体" w:hAnsi="宋体" w:cs="宋体"/>
          <w:b/>
          <w:bCs/>
          <w:color w:val="auto"/>
          <w:sz w:val="21"/>
          <w:szCs w:val="21"/>
          <w:highlight w:val="none"/>
          <w:lang w:eastAsia="zh-CN"/>
        </w:rPr>
        <w:t>中、小、微企业</w:t>
      </w:r>
      <w:r>
        <w:rPr>
          <w:rFonts w:hint="eastAsia" w:ascii="宋体" w:hAnsi="宋体" w:cs="宋体"/>
          <w:b/>
          <w:bCs/>
          <w:color w:val="auto"/>
          <w:sz w:val="21"/>
          <w:szCs w:val="21"/>
          <w:highlight w:val="none"/>
        </w:rPr>
        <w:t>需提交</w:t>
      </w:r>
      <w:r>
        <w:rPr>
          <w:rFonts w:hint="eastAsia" w:ascii="宋体" w:hAnsi="宋体" w:cs="宋体"/>
          <w:b/>
          <w:bCs/>
          <w:color w:val="auto"/>
          <w:sz w:val="21"/>
          <w:szCs w:val="21"/>
          <w:highlight w:val="none"/>
          <w:lang w:eastAsia="zh-CN"/>
        </w:rPr>
        <w:t>，其余</w:t>
      </w:r>
      <w:r>
        <w:rPr>
          <w:rFonts w:hint="eastAsia" w:ascii="宋体" w:hAnsi="宋体" w:cs="宋体"/>
          <w:b/>
          <w:bCs/>
          <w:color w:val="auto"/>
          <w:sz w:val="21"/>
          <w:szCs w:val="21"/>
          <w:highlight w:val="none"/>
          <w:lang w:val="en-US" w:eastAsia="zh-CN"/>
        </w:rPr>
        <w:t>投标人</w:t>
      </w:r>
      <w:r>
        <w:rPr>
          <w:rFonts w:hint="eastAsia" w:ascii="宋体" w:hAnsi="宋体" w:cs="宋体"/>
          <w:b/>
          <w:bCs/>
          <w:color w:val="auto"/>
          <w:sz w:val="21"/>
          <w:szCs w:val="21"/>
          <w:highlight w:val="none"/>
          <w:lang w:eastAsia="zh-CN"/>
        </w:rPr>
        <w:t>无需提交</w:t>
      </w:r>
      <w:r>
        <w:rPr>
          <w:rFonts w:hint="eastAsia" w:ascii="宋体" w:hAnsi="宋体" w:cs="宋体"/>
          <w:b/>
          <w:bCs/>
          <w:color w:val="auto"/>
          <w:sz w:val="21"/>
          <w:szCs w:val="21"/>
          <w:highlight w:val="none"/>
        </w:rPr>
        <w:t>）</w:t>
      </w:r>
    </w:p>
    <w:p w14:paraId="1B350080">
      <w:pPr>
        <w:pStyle w:val="2"/>
        <w:rPr>
          <w:color w:val="auto"/>
          <w:highlight w:val="none"/>
        </w:rPr>
      </w:pPr>
    </w:p>
    <w:p w14:paraId="6124F741">
      <w:pPr>
        <w:pStyle w:val="15"/>
        <w:keepNext w:val="0"/>
        <w:keepLines w:val="0"/>
        <w:pageBreakBefore w:val="0"/>
        <w:kinsoku/>
        <w:wordWrap/>
        <w:overflowPunct/>
        <w:bidi w:val="0"/>
        <w:snapToGrid w:val="0"/>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本公司（联合体）郑重声明</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根据《政府采购促进中小企业发展管理办法》（财库﹝2020﹞46 号）的规定</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本公司（联合体）参加</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eastAsia="zh-CN"/>
        </w:rPr>
        <w:t>国家税务总局昆明市官渡区税务局</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的</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eastAsia="zh-CN"/>
        </w:rPr>
        <w:t>国家税务总局昆明市官渡区税务局2026年物业管理服务项目（二次）</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采购活动</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服务全部由符合政策要求的中小企业承接。相关企业（含联合体中的中小企业、签订分包意向协议的中小企业）的具体情况如下：</w:t>
      </w:r>
    </w:p>
    <w:p w14:paraId="4FA7D571">
      <w:pPr>
        <w:pStyle w:val="15"/>
        <w:keepNext w:val="0"/>
        <w:keepLines w:val="0"/>
        <w:pageBreakBefore w:val="0"/>
        <w:kinsoku/>
        <w:wordWrap/>
        <w:overflowPunct/>
        <w:bidi w:val="0"/>
        <w:snapToGrid w:val="0"/>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eastAsia="zh-CN"/>
        </w:rPr>
        <w:t>国家税务总局昆明市官渡区税务局2026年物业管理服务项目（二次）</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属于</w:t>
      </w:r>
      <w:r>
        <w:rPr>
          <w:rFonts w:hint="eastAsia" w:ascii="宋体" w:hAnsi="宋体" w:eastAsia="宋体" w:cs="宋体"/>
          <w:b/>
          <w:bCs/>
          <w:color w:val="auto"/>
          <w:sz w:val="21"/>
          <w:szCs w:val="21"/>
          <w:highlight w:val="none"/>
          <w:u w:val="single"/>
          <w:lang w:eastAsia="zh-CN"/>
        </w:rPr>
        <w:t>物业管理</w:t>
      </w:r>
      <w:r>
        <w:rPr>
          <w:rFonts w:hint="eastAsia" w:ascii="宋体" w:hAnsi="宋体" w:eastAsia="宋体" w:cs="宋体"/>
          <w:b/>
          <w:bCs/>
          <w:color w:val="auto"/>
          <w:sz w:val="21"/>
          <w:szCs w:val="21"/>
          <w:highlight w:val="none"/>
          <w:u w:val="single"/>
        </w:rPr>
        <w:t>业</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；承建（承接）企业为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（企业名称）</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营业收入为</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资产总额为</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万元1</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属于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（中型企业、小型企业、微型企业）； </w:t>
      </w:r>
    </w:p>
    <w:p w14:paraId="38172261">
      <w:pPr>
        <w:pStyle w:val="15"/>
        <w:keepNext w:val="0"/>
        <w:keepLines w:val="0"/>
        <w:pageBreakBefore w:val="0"/>
        <w:kinsoku/>
        <w:wordWrap/>
        <w:overflowPunct/>
        <w:bidi w:val="0"/>
        <w:snapToGrid w:val="0"/>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以上企业</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不属于大企业的分支机构</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不存在控股股东为大企业的情形</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也不存在与大企业的负责人为同一人的情形。</w:t>
      </w:r>
    </w:p>
    <w:p w14:paraId="55E9F208">
      <w:pPr>
        <w:pStyle w:val="15"/>
        <w:keepNext w:val="0"/>
        <w:keepLines w:val="0"/>
        <w:pageBreakBefore w:val="0"/>
        <w:kinsoku/>
        <w:wordWrap/>
        <w:overflowPunct/>
        <w:bidi w:val="0"/>
        <w:snapToGrid w:val="0"/>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本企业对上述声明内容的真实性负责。如有虚假</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 xml:space="preserve">将依法承担相应责任。 </w:t>
      </w:r>
    </w:p>
    <w:p w14:paraId="3212C746">
      <w:pPr>
        <w:pStyle w:val="15"/>
        <w:keepNext w:val="0"/>
        <w:keepLines w:val="0"/>
        <w:pageBreakBefore w:val="0"/>
        <w:kinsoku/>
        <w:wordWrap/>
        <w:overflowPunct/>
        <w:bidi w:val="0"/>
        <w:snapToGrid w:val="0"/>
        <w:spacing w:line="440" w:lineRule="exact"/>
        <w:ind w:firstLine="420" w:firstLineChars="200"/>
        <w:textAlignment w:val="auto"/>
        <w:rPr>
          <w:rFonts w:hint="eastAsia" w:ascii="宋体" w:hAnsi="宋体" w:eastAsia="宋体" w:cs="宋体"/>
          <w:color w:val="auto"/>
          <w:sz w:val="21"/>
          <w:szCs w:val="21"/>
          <w:highlight w:val="none"/>
        </w:rPr>
      </w:pPr>
    </w:p>
    <w:p w14:paraId="33731449">
      <w:pPr>
        <w:pStyle w:val="15"/>
        <w:keepNext w:val="0"/>
        <w:keepLines w:val="0"/>
        <w:pageBreakBefore w:val="0"/>
        <w:kinsoku/>
        <w:wordWrap/>
        <w:overflowPunct/>
        <w:bidi w:val="0"/>
        <w:snapToGrid w:val="0"/>
        <w:spacing w:line="440" w:lineRule="exact"/>
        <w:ind w:firstLine="420" w:firstLineChars="200"/>
        <w:textAlignment w:val="auto"/>
        <w:rPr>
          <w:rFonts w:hint="eastAsia" w:ascii="宋体" w:hAnsi="宋体" w:eastAsia="宋体" w:cs="宋体"/>
          <w:color w:val="auto"/>
          <w:sz w:val="21"/>
          <w:szCs w:val="21"/>
          <w:highlight w:val="none"/>
        </w:rPr>
      </w:pPr>
    </w:p>
    <w:p w14:paraId="18E75DA3">
      <w:pPr>
        <w:keepNext w:val="0"/>
        <w:keepLines w:val="0"/>
        <w:pageBreakBefore w:val="0"/>
        <w:tabs>
          <w:tab w:val="left" w:pos="1230"/>
        </w:tabs>
        <w:kinsoku/>
        <w:wordWrap/>
        <w:overflowPunct/>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kern w:val="0"/>
          <w:sz w:val="21"/>
          <w:szCs w:val="21"/>
          <w:highlight w:val="none"/>
        </w:rPr>
        <w:t>（全称并加盖公章</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p>
    <w:p w14:paraId="020E3757">
      <w:pPr>
        <w:keepNext w:val="0"/>
        <w:keepLines w:val="0"/>
        <w:pageBreakBefore w:val="0"/>
        <w:tabs>
          <w:tab w:val="left" w:pos="1230"/>
        </w:tabs>
        <w:kinsoku/>
        <w:wordWrap/>
        <w:overflowPunct/>
        <w:topLinePunct/>
        <w:autoSpaceDE w:val="0"/>
        <w:autoSpaceDN w:val="0"/>
        <w:bidi w:val="0"/>
        <w:adjustRightInd w:val="0"/>
        <w:snapToGrid w:val="0"/>
        <w:spacing w:after="0"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p>
    <w:p w14:paraId="012EF943">
      <w:pPr>
        <w:pStyle w:val="15"/>
        <w:keepNext w:val="0"/>
        <w:keepLines w:val="0"/>
        <w:pageBreakBefore w:val="0"/>
        <w:kinsoku/>
        <w:wordWrap/>
        <w:overflowPunct/>
        <w:bidi w:val="0"/>
        <w:snapToGrid w:val="0"/>
        <w:spacing w:line="440" w:lineRule="exact"/>
        <w:ind w:firstLine="480" w:firstLineChars="200"/>
        <w:textAlignment w:val="auto"/>
        <w:rPr>
          <w:rFonts w:hint="eastAsia" w:ascii="宋体" w:hAnsi="宋体" w:eastAsia="宋体" w:cs="宋体"/>
          <w:color w:val="auto"/>
          <w:sz w:val="24"/>
          <w:szCs w:val="24"/>
          <w:highlight w:val="none"/>
        </w:rPr>
      </w:pPr>
    </w:p>
    <w:p w14:paraId="59E6D80E">
      <w:pPr>
        <w:pStyle w:val="15"/>
        <w:keepNext w:val="0"/>
        <w:keepLines w:val="0"/>
        <w:pageBreakBefore w:val="0"/>
        <w:kinsoku/>
        <w:wordWrap/>
        <w:overflowPunct/>
        <w:bidi w:val="0"/>
        <w:snapToGrid w:val="0"/>
        <w:spacing w:line="440" w:lineRule="exact"/>
        <w:ind w:firstLine="480" w:firstLineChars="200"/>
        <w:textAlignment w:val="auto"/>
        <w:rPr>
          <w:rFonts w:hint="eastAsia" w:ascii="宋体" w:hAnsi="宋体" w:eastAsia="宋体" w:cs="宋体"/>
          <w:color w:val="auto"/>
          <w:sz w:val="24"/>
          <w:szCs w:val="24"/>
          <w:highlight w:val="none"/>
        </w:rPr>
      </w:pPr>
    </w:p>
    <w:p w14:paraId="432741DC">
      <w:pPr>
        <w:keepNext w:val="0"/>
        <w:keepLines w:val="0"/>
        <w:pageBreakBefore w:val="0"/>
        <w:widowControl/>
        <w:kinsoku/>
        <w:wordWrap/>
        <w:overflowPunct/>
        <w:bidi w:val="0"/>
        <w:spacing w:line="440" w:lineRule="exact"/>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18"/>
          <w:szCs w:val="18"/>
          <w:highlight w:val="none"/>
        </w:rPr>
        <w:t>从业人员、营业收入、资产总额填报上一年度数据</w:t>
      </w:r>
      <w:r>
        <w:rPr>
          <w:rFonts w:hint="eastAsia" w:ascii="宋体" w:hAnsi="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无上一年度数据的新成立企业可不填报。</w:t>
      </w:r>
    </w:p>
    <w:p w14:paraId="15FD666A">
      <w:pPr>
        <w:snapToGrid w:val="0"/>
        <w:spacing w:after="0" w:line="360" w:lineRule="auto"/>
        <w:jc w:val="left"/>
        <w:outlineLvl w:val="9"/>
        <w:rPr>
          <w:rFonts w:ascii="宋体"/>
          <w:b/>
          <w:color w:val="auto"/>
          <w:sz w:val="28"/>
          <w:highlight w:val="none"/>
        </w:rPr>
      </w:pPr>
      <w:r>
        <w:rPr>
          <w:rFonts w:hint="eastAsia"/>
          <w:color w:val="auto"/>
          <w:sz w:val="24"/>
          <w:highlight w:val="none"/>
        </w:rPr>
        <w:br w:type="page"/>
      </w:r>
      <w:r>
        <w:rPr>
          <w:rFonts w:hint="eastAsia" w:ascii="宋体" w:hAnsi="宋体" w:eastAsia="宋体" w:cs="宋体"/>
          <w:b/>
          <w:bCs/>
          <w:color w:val="auto"/>
          <w:sz w:val="24"/>
          <w:szCs w:val="24"/>
          <w:highlight w:val="none"/>
        </w:rPr>
        <w:t>格式</w:t>
      </w:r>
      <w:r>
        <w:rPr>
          <w:rFonts w:hint="eastAsia" w:ascii="宋体" w:hAnsi="宋体" w:eastAsia="宋体" w:cs="宋体"/>
          <w:b/>
          <w:bCs/>
          <w:color w:val="auto"/>
          <w:sz w:val="24"/>
          <w:szCs w:val="24"/>
          <w:highlight w:val="none"/>
          <w:lang w:val="en-US" w:eastAsia="zh-CN"/>
        </w:rPr>
        <w:t>1-7-2</w:t>
      </w:r>
      <w:r>
        <w:rPr>
          <w:rFonts w:hint="default" w:ascii="宋体" w:hAnsi="宋体" w:eastAsia="宋体" w:cs="宋体"/>
          <w:b/>
          <w:bCs/>
          <w:color w:val="auto"/>
          <w:sz w:val="24"/>
          <w:szCs w:val="24"/>
          <w:highlight w:val="none"/>
        </w:rPr>
        <w:t xml:space="preserve">  </w:t>
      </w:r>
      <w:bookmarkStart w:id="158" w:name="_Toc1652355655"/>
      <w:bookmarkStart w:id="159" w:name="_Toc38030071"/>
      <w:bookmarkStart w:id="160" w:name="_Toc113393336"/>
      <w:bookmarkStart w:id="161" w:name="_Toc386861148"/>
      <w:bookmarkStart w:id="162" w:name="_Toc38030154"/>
      <w:bookmarkStart w:id="163" w:name="_Toc1403531177"/>
      <w:r>
        <w:rPr>
          <w:rFonts w:hint="eastAsia" w:ascii="宋体" w:hAnsi="宋体" w:eastAsia="宋体" w:cs="宋体"/>
          <w:b/>
          <w:bCs/>
          <w:color w:val="auto"/>
          <w:sz w:val="24"/>
          <w:szCs w:val="24"/>
          <w:highlight w:val="none"/>
        </w:rPr>
        <w:t>《监狱企业证明文件》</w:t>
      </w:r>
    </w:p>
    <w:p w14:paraId="68B496E8">
      <w:pPr>
        <w:keepNext w:val="0"/>
        <w:keepLines w:val="0"/>
        <w:pageBreakBefore w:val="0"/>
        <w:widowControl/>
        <w:kinsoku/>
        <w:wordWrap/>
        <w:overflowPunct/>
        <w:topLinePunct w:val="0"/>
        <w:autoSpaceDE/>
        <w:autoSpaceDN/>
        <w:bidi w:val="0"/>
        <w:adjustRightInd/>
        <w:spacing w:line="420" w:lineRule="exact"/>
        <w:jc w:val="center"/>
        <w:textAlignment w:val="auto"/>
        <w:rPr>
          <w:rFonts w:hint="eastAsia" w:ascii="宋体" w:hAnsi="宋体" w:eastAsia="宋体" w:cs="宋体"/>
          <w:b/>
          <w:bCs/>
          <w:color w:val="auto"/>
          <w:sz w:val="28"/>
          <w:szCs w:val="28"/>
          <w:highlight w:val="none"/>
        </w:rPr>
      </w:pPr>
      <w:bookmarkStart w:id="164" w:name="_Toc27375"/>
      <w:bookmarkStart w:id="165" w:name="_Toc14049"/>
      <w:bookmarkStart w:id="166" w:name="_Toc525059000"/>
      <w:bookmarkStart w:id="167" w:name="_Toc19938"/>
      <w:bookmarkStart w:id="168" w:name="_Toc525059486"/>
      <w:bookmarkStart w:id="169" w:name="_Toc24905"/>
      <w:bookmarkStart w:id="170" w:name="_Toc23485"/>
      <w:bookmarkStart w:id="171" w:name="_Toc20273"/>
      <w:bookmarkStart w:id="172" w:name="_Toc18943"/>
      <w:bookmarkStart w:id="173" w:name="_Toc9498"/>
      <w:r>
        <w:rPr>
          <w:rFonts w:hint="eastAsia" w:ascii="宋体" w:hAnsi="宋体" w:eastAsia="宋体" w:cs="宋体"/>
          <w:b/>
          <w:bCs/>
          <w:color w:val="auto"/>
          <w:sz w:val="28"/>
          <w:szCs w:val="28"/>
          <w:highlight w:val="none"/>
        </w:rPr>
        <w:t>监狱企业证明文件</w:t>
      </w:r>
      <w:bookmarkEnd w:id="164"/>
      <w:bookmarkEnd w:id="165"/>
      <w:bookmarkEnd w:id="166"/>
      <w:bookmarkEnd w:id="167"/>
      <w:bookmarkEnd w:id="168"/>
      <w:bookmarkEnd w:id="169"/>
      <w:bookmarkEnd w:id="170"/>
      <w:bookmarkEnd w:id="171"/>
      <w:bookmarkEnd w:id="172"/>
      <w:bookmarkEnd w:id="173"/>
    </w:p>
    <w:p w14:paraId="01E39936">
      <w:pPr>
        <w:keepNext w:val="0"/>
        <w:keepLines w:val="0"/>
        <w:pageBreakBefore w:val="0"/>
        <w:kinsoku/>
        <w:wordWrap/>
        <w:overflowPunct/>
        <w:topLinePunct w:val="0"/>
        <w:autoSpaceDE/>
        <w:autoSpaceDN/>
        <w:bidi w:val="0"/>
        <w:adjustRightInd/>
        <w:snapToGrid w:val="0"/>
        <w:spacing w:after="0" w:line="420" w:lineRule="exact"/>
        <w:jc w:val="center"/>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（符合《财政部司法部关于政府采购支持监狱企业发展有关问题的通知》（财库[2014]68号）条件的投标人需提交）</w:t>
      </w:r>
    </w:p>
    <w:p w14:paraId="78A9C0B8">
      <w:pPr>
        <w:keepNext w:val="0"/>
        <w:keepLines w:val="0"/>
        <w:pageBreakBefore w:val="0"/>
        <w:kinsoku/>
        <w:wordWrap/>
        <w:overflowPunct/>
        <w:topLinePunct w:val="0"/>
        <w:autoSpaceDE/>
        <w:autoSpaceDN/>
        <w:bidi w:val="0"/>
        <w:adjustRightInd/>
        <w:spacing w:line="420" w:lineRule="exact"/>
        <w:ind w:firstLine="420" w:firstLineChars="200"/>
        <w:jc w:val="left"/>
        <w:textAlignment w:val="auto"/>
        <w:rPr>
          <w:rFonts w:ascii="宋体"/>
          <w:color w:val="auto"/>
          <w:szCs w:val="21"/>
          <w:highlight w:val="none"/>
        </w:rPr>
      </w:pPr>
      <w:r>
        <w:rPr>
          <w:rFonts w:hint="eastAsia" w:hAnsi="宋体"/>
          <w:color w:val="auto"/>
          <w:szCs w:val="21"/>
          <w:highlight w:val="none"/>
        </w:rPr>
        <w:t>根据《财政部司法部关于政府采购支持监狱企业发展有关问题的通知》（财库〔</w:t>
      </w:r>
      <w:r>
        <w:rPr>
          <w:rFonts w:hAnsi="宋体"/>
          <w:color w:val="auto"/>
          <w:szCs w:val="21"/>
          <w:highlight w:val="none"/>
        </w:rPr>
        <w:t>2014</w:t>
      </w:r>
      <w:r>
        <w:rPr>
          <w:rFonts w:hint="eastAsia" w:hAnsi="宋体"/>
          <w:color w:val="auto"/>
          <w:szCs w:val="21"/>
          <w:highlight w:val="none"/>
        </w:rPr>
        <w:t>〕</w:t>
      </w:r>
      <w:r>
        <w:rPr>
          <w:rFonts w:hAnsi="宋体"/>
          <w:color w:val="auto"/>
          <w:szCs w:val="21"/>
          <w:highlight w:val="none"/>
        </w:rPr>
        <w:t>68</w:t>
      </w:r>
      <w:r>
        <w:rPr>
          <w:rFonts w:hint="eastAsia" w:hAnsi="宋体"/>
          <w:color w:val="auto"/>
          <w:szCs w:val="21"/>
          <w:highlight w:val="none"/>
        </w:rPr>
        <w:t>号）的规定</w:t>
      </w:r>
      <w:r>
        <w:rPr>
          <w:rFonts w:hint="eastAsia" w:hAnsi="宋体"/>
          <w:color w:val="auto"/>
          <w:szCs w:val="21"/>
          <w:highlight w:val="none"/>
          <w:lang w:eastAsia="zh-CN"/>
        </w:rPr>
        <w:t>，</w:t>
      </w:r>
      <w:r>
        <w:rPr>
          <w:rFonts w:hint="eastAsia" w:hAnsi="宋体"/>
          <w:color w:val="auto"/>
          <w:szCs w:val="21"/>
          <w:highlight w:val="none"/>
        </w:rPr>
        <w:t>监狱企业是指由司法部认定的为罪犯、戒毒人员提供生产项目和劳动对象</w:t>
      </w:r>
      <w:r>
        <w:rPr>
          <w:rFonts w:hint="eastAsia" w:hAnsi="宋体"/>
          <w:color w:val="auto"/>
          <w:szCs w:val="21"/>
          <w:highlight w:val="none"/>
          <w:lang w:eastAsia="zh-CN"/>
        </w:rPr>
        <w:t>，</w:t>
      </w:r>
      <w:r>
        <w:rPr>
          <w:rFonts w:hint="eastAsia" w:hAnsi="宋体"/>
          <w:color w:val="auto"/>
          <w:szCs w:val="21"/>
          <w:highlight w:val="none"/>
        </w:rPr>
        <w:t>且全部产权属于司法部监狱管理局、戒毒管理局、直属煤矿管理局</w:t>
      </w:r>
      <w:r>
        <w:rPr>
          <w:rFonts w:hint="eastAsia" w:hAnsi="宋体"/>
          <w:color w:val="auto"/>
          <w:szCs w:val="21"/>
          <w:highlight w:val="none"/>
          <w:lang w:eastAsia="zh-CN"/>
        </w:rPr>
        <w:t>，</w:t>
      </w:r>
      <w:r>
        <w:rPr>
          <w:rFonts w:hint="eastAsia" w:hAnsi="宋体"/>
          <w:color w:val="auto"/>
          <w:szCs w:val="21"/>
          <w:highlight w:val="none"/>
        </w:rPr>
        <w:t>各省、自治区、直辖市监狱管理局、戒毒管理局</w:t>
      </w:r>
      <w:r>
        <w:rPr>
          <w:rFonts w:hint="eastAsia" w:hAnsi="宋体"/>
          <w:color w:val="auto"/>
          <w:szCs w:val="21"/>
          <w:highlight w:val="none"/>
          <w:lang w:eastAsia="zh-CN"/>
        </w:rPr>
        <w:t>，</w:t>
      </w:r>
      <w:r>
        <w:rPr>
          <w:rFonts w:hint="eastAsia" w:hAnsi="宋体"/>
          <w:color w:val="auto"/>
          <w:szCs w:val="21"/>
          <w:highlight w:val="none"/>
        </w:rPr>
        <w:t>各地（设区的市）监狱、强制隔离戒毒所、戒毒康复所</w:t>
      </w:r>
      <w:r>
        <w:rPr>
          <w:rFonts w:hint="eastAsia" w:hAnsi="宋体"/>
          <w:color w:val="auto"/>
          <w:szCs w:val="21"/>
          <w:highlight w:val="none"/>
          <w:lang w:eastAsia="zh-CN"/>
        </w:rPr>
        <w:t>，</w:t>
      </w:r>
      <w:r>
        <w:rPr>
          <w:rFonts w:hint="eastAsia" w:hAnsi="宋体"/>
          <w:color w:val="auto"/>
          <w:szCs w:val="21"/>
          <w:highlight w:val="none"/>
        </w:rPr>
        <w:t>以及新疆生产建设兵团监狱管理局、戒毒管理局的企业。</w:t>
      </w:r>
    </w:p>
    <w:p w14:paraId="1C834A44">
      <w:pPr>
        <w:keepNext w:val="0"/>
        <w:keepLines w:val="0"/>
        <w:pageBreakBefore w:val="0"/>
        <w:widowControl/>
        <w:kinsoku/>
        <w:wordWrap/>
        <w:overflowPunct/>
        <w:topLinePunct w:val="0"/>
        <w:autoSpaceDE/>
        <w:autoSpaceDN/>
        <w:bidi w:val="0"/>
        <w:adjustRightInd/>
        <w:spacing w:line="420" w:lineRule="exact"/>
        <w:ind w:firstLine="420" w:firstLineChars="200"/>
        <w:jc w:val="left"/>
        <w:textAlignment w:val="auto"/>
        <w:rPr>
          <w:rFonts w:ascii="宋体"/>
          <w:b/>
          <w:color w:val="auto"/>
          <w:szCs w:val="21"/>
          <w:highlight w:val="none"/>
        </w:rPr>
      </w:pPr>
      <w:r>
        <w:rPr>
          <w:rFonts w:hint="eastAsia" w:hAnsi="宋体"/>
          <w:color w:val="auto"/>
          <w:szCs w:val="21"/>
          <w:highlight w:val="none"/>
        </w:rPr>
        <w:t>监狱企业参加政府采购活动时</w:t>
      </w:r>
      <w:r>
        <w:rPr>
          <w:rFonts w:hint="eastAsia" w:hAnsi="宋体"/>
          <w:color w:val="auto"/>
          <w:szCs w:val="21"/>
          <w:highlight w:val="none"/>
          <w:lang w:eastAsia="zh-CN"/>
        </w:rPr>
        <w:t>，</w:t>
      </w:r>
      <w:r>
        <w:rPr>
          <w:rFonts w:hint="eastAsia" w:hAnsi="宋体"/>
          <w:color w:val="auto"/>
          <w:szCs w:val="21"/>
          <w:highlight w:val="none"/>
        </w:rPr>
        <w:t>应当提供由省级以上监狱管理局、戒毒管理局（含新疆生产建设兵团）出具的属于监狱企业的证明文件。</w:t>
      </w:r>
    </w:p>
    <w:p w14:paraId="7DF82DB8">
      <w:pPr>
        <w:keepNext w:val="0"/>
        <w:keepLines w:val="0"/>
        <w:pageBreakBefore w:val="0"/>
        <w:widowControl/>
        <w:kinsoku/>
        <w:wordWrap/>
        <w:overflowPunct/>
        <w:topLinePunct w:val="0"/>
        <w:autoSpaceDE/>
        <w:autoSpaceDN/>
        <w:bidi w:val="0"/>
        <w:adjustRightInd/>
        <w:spacing w:line="420" w:lineRule="exact"/>
        <w:jc w:val="left"/>
        <w:textAlignment w:val="auto"/>
        <w:rPr>
          <w:rFonts w:hAnsi="宋体"/>
          <w:b/>
          <w:color w:val="auto"/>
          <w:sz w:val="28"/>
          <w:szCs w:val="28"/>
          <w:highlight w:val="none"/>
        </w:rPr>
      </w:pPr>
    </w:p>
    <w:p w14:paraId="0D2F3DE6">
      <w:pPr>
        <w:keepNext w:val="0"/>
        <w:keepLines w:val="0"/>
        <w:pageBreakBefore w:val="0"/>
        <w:kinsoku/>
        <w:wordWrap/>
        <w:overflowPunct/>
        <w:topLinePunct w:val="0"/>
        <w:autoSpaceDE/>
        <w:autoSpaceDN/>
        <w:bidi w:val="0"/>
        <w:adjustRightInd/>
        <w:spacing w:line="420" w:lineRule="exact"/>
        <w:textAlignment w:val="auto"/>
        <w:outlineLvl w:val="9"/>
        <w:rPr>
          <w:rFonts w:hint="eastAsia" w:hAnsi="宋体" w:eastAsia="宋体"/>
          <w:b w:val="0"/>
          <w:bCs/>
          <w:color w:val="auto"/>
          <w:szCs w:val="21"/>
          <w:highlight w:val="none"/>
          <w:lang w:eastAsia="zh-CN"/>
        </w:rPr>
      </w:pPr>
      <w:r>
        <w:rPr>
          <w:rFonts w:hint="eastAsia" w:hAnsi="宋体"/>
          <w:b w:val="0"/>
          <w:bCs/>
          <w:color w:val="auto"/>
          <w:szCs w:val="21"/>
          <w:highlight w:val="none"/>
        </w:rPr>
        <w:t>注：符合条件的监狱企业在参加政府采购活动时</w:t>
      </w:r>
      <w:r>
        <w:rPr>
          <w:rFonts w:hint="eastAsia" w:hAnsi="宋体"/>
          <w:b w:val="0"/>
          <w:bCs/>
          <w:color w:val="auto"/>
          <w:szCs w:val="21"/>
          <w:highlight w:val="none"/>
          <w:lang w:eastAsia="zh-CN"/>
        </w:rPr>
        <w:t>，</w:t>
      </w:r>
      <w:r>
        <w:rPr>
          <w:rFonts w:hint="eastAsia" w:hAnsi="宋体"/>
          <w:b w:val="0"/>
          <w:bCs/>
          <w:color w:val="auto"/>
          <w:szCs w:val="21"/>
          <w:highlight w:val="none"/>
        </w:rPr>
        <w:t>应当按《财政部司法部关于政府采购支持监狱企业发展有关问题的通知》（财库</w:t>
      </w:r>
      <w:r>
        <w:rPr>
          <w:rFonts w:hAnsi="宋体"/>
          <w:b w:val="0"/>
          <w:bCs/>
          <w:color w:val="auto"/>
          <w:szCs w:val="21"/>
          <w:highlight w:val="none"/>
        </w:rPr>
        <w:t>[2014]68</w:t>
      </w:r>
      <w:r>
        <w:rPr>
          <w:rFonts w:hint="eastAsia" w:hAnsi="宋体"/>
          <w:b w:val="0"/>
          <w:bCs/>
          <w:color w:val="auto"/>
          <w:szCs w:val="21"/>
          <w:highlight w:val="none"/>
        </w:rPr>
        <w:t>号）提供规定的《监狱企业证明文件》</w:t>
      </w:r>
      <w:r>
        <w:rPr>
          <w:rFonts w:hint="eastAsia" w:hAnsi="宋体"/>
          <w:b w:val="0"/>
          <w:bCs/>
          <w:color w:val="auto"/>
          <w:szCs w:val="21"/>
          <w:highlight w:val="none"/>
          <w:lang w:eastAsia="zh-CN"/>
        </w:rPr>
        <w:t>，</w:t>
      </w:r>
      <w:r>
        <w:rPr>
          <w:rFonts w:hint="eastAsia" w:hAnsi="宋体"/>
          <w:b w:val="0"/>
          <w:bCs/>
          <w:color w:val="auto"/>
          <w:szCs w:val="21"/>
          <w:highlight w:val="none"/>
        </w:rPr>
        <w:t>并对证明文件的真实性负责</w:t>
      </w:r>
      <w:r>
        <w:rPr>
          <w:rFonts w:hint="eastAsia" w:hAnsi="宋体"/>
          <w:b w:val="0"/>
          <w:bCs/>
          <w:color w:val="auto"/>
          <w:szCs w:val="21"/>
          <w:highlight w:val="none"/>
          <w:lang w:eastAsia="zh-CN"/>
        </w:rPr>
        <w:t>。</w:t>
      </w:r>
    </w:p>
    <w:p w14:paraId="1F0B3238">
      <w:pPr>
        <w:rPr>
          <w:rFonts w:hint="eastAsia" w:hAnsi="宋体"/>
          <w:b/>
          <w:color w:val="auto"/>
          <w:szCs w:val="21"/>
          <w:highlight w:val="none"/>
        </w:rPr>
      </w:pPr>
    </w:p>
    <w:p w14:paraId="44550F62">
      <w:pPr>
        <w:pStyle w:val="2"/>
        <w:rPr>
          <w:rFonts w:hint="eastAsia"/>
          <w:color w:val="auto"/>
          <w:highlight w:val="none"/>
        </w:rPr>
      </w:pPr>
    </w:p>
    <w:p w14:paraId="2D3A5D01">
      <w:pPr>
        <w:snapToGrid w:val="0"/>
        <w:spacing w:after="0" w:line="360" w:lineRule="auto"/>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格式</w:t>
      </w:r>
      <w:r>
        <w:rPr>
          <w:rFonts w:hint="eastAsia" w:ascii="宋体" w:hAnsi="宋体" w:eastAsia="宋体" w:cs="宋体"/>
          <w:b/>
          <w:bCs/>
          <w:color w:val="auto"/>
          <w:sz w:val="24"/>
          <w:szCs w:val="24"/>
          <w:highlight w:val="none"/>
          <w:lang w:val="en-US" w:eastAsia="zh-CN"/>
        </w:rPr>
        <w:t>1-7-3</w:t>
      </w:r>
      <w:r>
        <w:rPr>
          <w:rFonts w:hint="default"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rPr>
        <w:t>《残疾人福利性单位声明函》</w:t>
      </w:r>
    </w:p>
    <w:p w14:paraId="71A0DCEA">
      <w:pPr>
        <w:keepNext w:val="0"/>
        <w:keepLines w:val="0"/>
        <w:pageBreakBefore w:val="0"/>
        <w:widowControl/>
        <w:kinsoku/>
        <w:wordWrap/>
        <w:overflowPunct/>
        <w:topLinePunct w:val="0"/>
        <w:autoSpaceDE/>
        <w:autoSpaceDN/>
        <w:bidi w:val="0"/>
        <w:adjustRightInd/>
        <w:spacing w:line="420" w:lineRule="exact"/>
        <w:jc w:val="center"/>
        <w:textAlignment w:val="auto"/>
        <w:rPr>
          <w:rFonts w:hint="eastAsia" w:ascii="宋体" w:hAnsi="宋体" w:eastAsia="宋体" w:cs="宋体"/>
          <w:b/>
          <w:bCs/>
          <w:color w:val="auto"/>
          <w:sz w:val="28"/>
          <w:szCs w:val="28"/>
          <w:highlight w:val="none"/>
        </w:rPr>
      </w:pPr>
      <w:bookmarkStart w:id="174" w:name="_Toc872"/>
      <w:bookmarkStart w:id="175" w:name="_Toc5151"/>
      <w:bookmarkStart w:id="176" w:name="_Toc12979"/>
      <w:bookmarkStart w:id="177" w:name="_Toc525059487"/>
      <w:bookmarkStart w:id="178" w:name="_Toc525059001"/>
      <w:bookmarkStart w:id="179" w:name="_Toc11149"/>
      <w:bookmarkStart w:id="180" w:name="_Toc11295"/>
      <w:bookmarkStart w:id="181" w:name="_Toc16890"/>
      <w:bookmarkStart w:id="182" w:name="_Toc15056"/>
      <w:bookmarkStart w:id="183" w:name="_Toc26885"/>
      <w:bookmarkStart w:id="184" w:name="OLE_LINK14"/>
      <w:bookmarkStart w:id="185" w:name="OLE_LINK13"/>
      <w:r>
        <w:rPr>
          <w:rFonts w:hint="eastAsia" w:ascii="宋体" w:hAnsi="宋体" w:eastAsia="宋体" w:cs="宋体"/>
          <w:b/>
          <w:bCs/>
          <w:color w:val="auto"/>
          <w:sz w:val="28"/>
          <w:szCs w:val="28"/>
          <w:highlight w:val="none"/>
        </w:rPr>
        <w:t>残疾人福利性单位声明函</w:t>
      </w:r>
      <w:bookmarkEnd w:id="174"/>
      <w:bookmarkEnd w:id="175"/>
      <w:bookmarkEnd w:id="176"/>
      <w:bookmarkEnd w:id="177"/>
      <w:bookmarkEnd w:id="178"/>
      <w:bookmarkEnd w:id="179"/>
      <w:bookmarkEnd w:id="180"/>
      <w:bookmarkEnd w:id="181"/>
      <w:bookmarkEnd w:id="182"/>
      <w:bookmarkEnd w:id="183"/>
    </w:p>
    <w:p w14:paraId="7592D864">
      <w:pPr>
        <w:keepNext w:val="0"/>
        <w:keepLines w:val="0"/>
        <w:pageBreakBefore w:val="0"/>
        <w:kinsoku/>
        <w:wordWrap/>
        <w:overflowPunct/>
        <w:topLinePunct w:val="0"/>
        <w:autoSpaceDE/>
        <w:autoSpaceDN/>
        <w:bidi w:val="0"/>
        <w:adjustRightInd/>
        <w:snapToGrid w:val="0"/>
        <w:spacing w:after="0" w:line="420" w:lineRule="exact"/>
        <w:jc w:val="center"/>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（符合《三部门联合发布关于促进残疾人就业政府采购政策的通知》（财库〔2017〕141号）条件的投标人需提交）</w:t>
      </w:r>
    </w:p>
    <w:bookmarkEnd w:id="184"/>
    <w:bookmarkEnd w:id="185"/>
    <w:p w14:paraId="443C4310">
      <w:pPr>
        <w:keepNext w:val="0"/>
        <w:keepLines w:val="0"/>
        <w:pageBreakBefore w:val="0"/>
        <w:kinsoku/>
        <w:wordWrap/>
        <w:overflowPunct/>
        <w:topLinePunct w:val="0"/>
        <w:autoSpaceDE/>
        <w:autoSpaceDN/>
        <w:bidi w:val="0"/>
        <w:adjustRightInd/>
        <w:spacing w:line="420" w:lineRule="exact"/>
        <w:ind w:firstLine="444" w:firstLineChars="200"/>
        <w:textAlignment w:val="auto"/>
        <w:rPr>
          <w:rFonts w:ascii="宋体"/>
          <w:color w:val="auto"/>
          <w:spacing w:val="6"/>
          <w:szCs w:val="21"/>
          <w:highlight w:val="none"/>
        </w:rPr>
      </w:pPr>
      <w:r>
        <w:rPr>
          <w:rFonts w:hint="eastAsia" w:ascii="宋体" w:hAnsi="宋体"/>
          <w:color w:val="auto"/>
          <w:spacing w:val="6"/>
          <w:szCs w:val="21"/>
          <w:highlight w:val="none"/>
        </w:rPr>
        <w:t>本单位郑重声明</w:t>
      </w:r>
      <w:r>
        <w:rPr>
          <w:rFonts w:hint="eastAsia" w:ascii="宋体" w:hAnsi="宋体"/>
          <w:color w:val="auto"/>
          <w:spacing w:val="6"/>
          <w:szCs w:val="21"/>
          <w:highlight w:val="none"/>
          <w:lang w:eastAsia="zh-CN"/>
        </w:rPr>
        <w:t>，</w:t>
      </w:r>
      <w:r>
        <w:rPr>
          <w:rFonts w:hint="eastAsia" w:ascii="宋体" w:hAnsi="宋体"/>
          <w:color w:val="auto"/>
          <w:spacing w:val="6"/>
          <w:szCs w:val="21"/>
          <w:highlight w:val="none"/>
        </w:rPr>
        <w:t>根据《财政部民政部中国残疾人联合会关于促进残疾人就业政府采购政策的通知》（财库</w:t>
      </w:r>
      <w:r>
        <w:rPr>
          <w:rFonts w:hint="eastAsia" w:ascii="宋体" w:hAnsi="宋体"/>
          <w:color w:val="auto"/>
          <w:szCs w:val="21"/>
          <w:highlight w:val="none"/>
        </w:rPr>
        <w:t>〔</w:t>
      </w:r>
      <w:r>
        <w:rPr>
          <w:rFonts w:ascii="宋体" w:hAnsi="宋体"/>
          <w:color w:val="auto"/>
          <w:szCs w:val="21"/>
          <w:highlight w:val="none"/>
        </w:rPr>
        <w:t>2017</w:t>
      </w:r>
      <w:r>
        <w:rPr>
          <w:rFonts w:hint="eastAsia" w:ascii="宋体" w:hAnsi="宋体"/>
          <w:color w:val="auto"/>
          <w:szCs w:val="21"/>
          <w:highlight w:val="none"/>
        </w:rPr>
        <w:t>〕</w:t>
      </w:r>
      <w:r>
        <w:rPr>
          <w:rFonts w:ascii="宋体" w:hAnsi="宋体"/>
          <w:color w:val="auto"/>
          <w:szCs w:val="21"/>
          <w:highlight w:val="none"/>
        </w:rPr>
        <w:t xml:space="preserve"> 141</w:t>
      </w:r>
      <w:r>
        <w:rPr>
          <w:rFonts w:hint="eastAsia" w:ascii="宋体" w:hAnsi="宋体"/>
          <w:color w:val="auto"/>
          <w:spacing w:val="6"/>
          <w:szCs w:val="21"/>
          <w:highlight w:val="none"/>
        </w:rPr>
        <w:t>号）的规定</w:t>
      </w:r>
      <w:r>
        <w:rPr>
          <w:rFonts w:hint="eastAsia" w:ascii="宋体" w:hAnsi="宋体"/>
          <w:color w:val="auto"/>
          <w:spacing w:val="6"/>
          <w:szCs w:val="21"/>
          <w:highlight w:val="none"/>
          <w:lang w:eastAsia="zh-CN"/>
        </w:rPr>
        <w:t>，</w:t>
      </w:r>
      <w:r>
        <w:rPr>
          <w:rFonts w:hint="eastAsia" w:ascii="宋体" w:hAnsi="宋体"/>
          <w:color w:val="auto"/>
          <w:spacing w:val="6"/>
          <w:szCs w:val="21"/>
          <w:highlight w:val="none"/>
        </w:rPr>
        <w:t>本单位为符合条件的残疾人福利性单位</w:t>
      </w:r>
      <w:r>
        <w:rPr>
          <w:rFonts w:hint="eastAsia" w:ascii="宋体" w:hAnsi="宋体"/>
          <w:color w:val="auto"/>
          <w:spacing w:val="6"/>
          <w:szCs w:val="21"/>
          <w:highlight w:val="none"/>
          <w:lang w:eastAsia="zh-CN"/>
        </w:rPr>
        <w:t>，</w:t>
      </w:r>
      <w:r>
        <w:rPr>
          <w:rFonts w:hint="eastAsia" w:ascii="宋体" w:hAnsi="宋体"/>
          <w:color w:val="auto"/>
          <w:spacing w:val="6"/>
          <w:szCs w:val="21"/>
          <w:highlight w:val="none"/>
        </w:rPr>
        <w:t>且本单位参加</w:t>
      </w:r>
      <w:r>
        <w:rPr>
          <w:rFonts w:ascii="宋体" w:hAnsi="宋体"/>
          <w:color w:val="auto"/>
          <w:spacing w:val="6"/>
          <w:szCs w:val="21"/>
          <w:highlight w:val="none"/>
        </w:rPr>
        <w:t>______</w:t>
      </w:r>
      <w:r>
        <w:rPr>
          <w:rFonts w:hint="eastAsia" w:ascii="宋体" w:hAnsi="宋体"/>
          <w:color w:val="auto"/>
          <w:spacing w:val="6"/>
          <w:szCs w:val="21"/>
          <w:highlight w:val="none"/>
        </w:rPr>
        <w:t>单位的</w:t>
      </w:r>
      <w:r>
        <w:rPr>
          <w:rFonts w:ascii="宋体" w:hAnsi="宋体"/>
          <w:color w:val="auto"/>
          <w:spacing w:val="6"/>
          <w:szCs w:val="21"/>
          <w:highlight w:val="none"/>
        </w:rPr>
        <w:t>______</w:t>
      </w:r>
      <w:r>
        <w:rPr>
          <w:rFonts w:hint="eastAsia" w:ascii="宋体" w:hAnsi="宋体"/>
          <w:color w:val="auto"/>
          <w:spacing w:val="6"/>
          <w:szCs w:val="21"/>
          <w:highlight w:val="none"/>
        </w:rPr>
        <w:t>项目采购活动提供本单位制造的货物（由本单位承担工程</w:t>
      </w:r>
      <w:r>
        <w:rPr>
          <w:rFonts w:ascii="宋体" w:hAnsi="宋体"/>
          <w:color w:val="auto"/>
          <w:spacing w:val="6"/>
          <w:szCs w:val="21"/>
          <w:highlight w:val="none"/>
        </w:rPr>
        <w:t>/</w:t>
      </w:r>
      <w:r>
        <w:rPr>
          <w:rFonts w:hint="eastAsia" w:ascii="宋体" w:hAnsi="宋体"/>
          <w:color w:val="auto"/>
          <w:spacing w:val="6"/>
          <w:szCs w:val="21"/>
          <w:highlight w:val="none"/>
        </w:rPr>
        <w:t>提供服务）</w:t>
      </w:r>
      <w:r>
        <w:rPr>
          <w:rFonts w:hint="eastAsia" w:ascii="宋体" w:hAnsi="宋体"/>
          <w:color w:val="auto"/>
          <w:spacing w:val="6"/>
          <w:szCs w:val="21"/>
          <w:highlight w:val="none"/>
          <w:lang w:eastAsia="zh-CN"/>
        </w:rPr>
        <w:t>，</w:t>
      </w:r>
      <w:r>
        <w:rPr>
          <w:rFonts w:hint="eastAsia" w:ascii="宋体" w:hAnsi="宋体"/>
          <w:color w:val="auto"/>
          <w:spacing w:val="6"/>
          <w:szCs w:val="21"/>
          <w:highlight w:val="none"/>
        </w:rPr>
        <w:t>或者提供其他残疾人福利性单位制造的货物（不包括使用非残疾人福利性单位注册商标的货物）。</w:t>
      </w:r>
    </w:p>
    <w:p w14:paraId="764B3ACF">
      <w:pPr>
        <w:keepNext w:val="0"/>
        <w:keepLines w:val="0"/>
        <w:pageBreakBefore w:val="0"/>
        <w:kinsoku/>
        <w:wordWrap/>
        <w:overflowPunct/>
        <w:topLinePunct w:val="0"/>
        <w:autoSpaceDE/>
        <w:autoSpaceDN/>
        <w:bidi w:val="0"/>
        <w:adjustRightInd/>
        <w:spacing w:line="420" w:lineRule="exact"/>
        <w:ind w:firstLine="444" w:firstLineChars="200"/>
        <w:textAlignment w:val="auto"/>
        <w:rPr>
          <w:rFonts w:ascii="宋体"/>
          <w:color w:val="auto"/>
          <w:spacing w:val="6"/>
          <w:szCs w:val="21"/>
          <w:highlight w:val="none"/>
        </w:rPr>
      </w:pPr>
      <w:r>
        <w:rPr>
          <w:rFonts w:hint="eastAsia" w:ascii="宋体" w:hAnsi="宋体"/>
          <w:color w:val="auto"/>
          <w:spacing w:val="6"/>
          <w:szCs w:val="21"/>
          <w:highlight w:val="none"/>
        </w:rPr>
        <w:t>本单位对上述声明的真实性负责。如有虚假</w:t>
      </w:r>
      <w:r>
        <w:rPr>
          <w:rFonts w:hint="eastAsia" w:ascii="宋体" w:hAnsi="宋体"/>
          <w:color w:val="auto"/>
          <w:spacing w:val="6"/>
          <w:szCs w:val="21"/>
          <w:highlight w:val="none"/>
          <w:lang w:eastAsia="zh-CN"/>
        </w:rPr>
        <w:t>，</w:t>
      </w:r>
      <w:r>
        <w:rPr>
          <w:rFonts w:hint="eastAsia" w:ascii="宋体" w:hAnsi="宋体"/>
          <w:color w:val="auto"/>
          <w:spacing w:val="6"/>
          <w:szCs w:val="21"/>
          <w:highlight w:val="none"/>
        </w:rPr>
        <w:t>将依法承担相应责任。</w:t>
      </w:r>
    </w:p>
    <w:p w14:paraId="089FEBD3">
      <w:pPr>
        <w:keepNext w:val="0"/>
        <w:keepLines w:val="0"/>
        <w:pageBreakBefore w:val="0"/>
        <w:kinsoku/>
        <w:wordWrap/>
        <w:overflowPunct/>
        <w:topLinePunct w:val="0"/>
        <w:autoSpaceDE/>
        <w:autoSpaceDN/>
        <w:bidi w:val="0"/>
        <w:adjustRightInd/>
        <w:spacing w:line="420" w:lineRule="exact"/>
        <w:ind w:firstLine="444" w:firstLineChars="200"/>
        <w:textAlignment w:val="auto"/>
        <w:rPr>
          <w:rFonts w:ascii="宋体"/>
          <w:color w:val="auto"/>
          <w:spacing w:val="6"/>
          <w:szCs w:val="21"/>
          <w:highlight w:val="none"/>
        </w:rPr>
      </w:pPr>
    </w:p>
    <w:p w14:paraId="4CD36BBD">
      <w:pPr>
        <w:keepNext w:val="0"/>
        <w:keepLines w:val="0"/>
        <w:pageBreakBefore w:val="0"/>
        <w:tabs>
          <w:tab w:val="left" w:pos="4860"/>
        </w:tabs>
        <w:kinsoku/>
        <w:wordWrap/>
        <w:overflowPunct/>
        <w:topLinePunct w:val="0"/>
        <w:autoSpaceDE/>
        <w:autoSpaceDN/>
        <w:bidi w:val="0"/>
        <w:adjustRightInd/>
        <w:spacing w:line="420" w:lineRule="exact"/>
        <w:ind w:right="1560" w:firstLine="444" w:firstLineChars="200"/>
        <w:jc w:val="center"/>
        <w:textAlignment w:val="auto"/>
        <w:rPr>
          <w:rFonts w:ascii="宋体"/>
          <w:color w:val="auto"/>
          <w:spacing w:val="6"/>
          <w:szCs w:val="21"/>
          <w:highlight w:val="none"/>
        </w:rPr>
      </w:pPr>
      <w:r>
        <w:rPr>
          <w:rFonts w:hint="eastAsia" w:ascii="宋体" w:hAnsi="宋体"/>
          <w:color w:val="auto"/>
          <w:spacing w:val="6"/>
          <w:szCs w:val="21"/>
          <w:highlight w:val="none"/>
        </w:rPr>
        <w:t>单位名称（盖章）：</w:t>
      </w:r>
    </w:p>
    <w:p w14:paraId="29894AAF">
      <w:pPr>
        <w:keepNext w:val="0"/>
        <w:keepLines w:val="0"/>
        <w:pageBreakBefore w:val="0"/>
        <w:tabs>
          <w:tab w:val="left" w:pos="4860"/>
        </w:tabs>
        <w:kinsoku/>
        <w:wordWrap/>
        <w:overflowPunct/>
        <w:topLinePunct w:val="0"/>
        <w:autoSpaceDE/>
        <w:autoSpaceDN/>
        <w:bidi w:val="0"/>
        <w:adjustRightInd/>
        <w:spacing w:line="420" w:lineRule="exact"/>
        <w:ind w:right="1560" w:firstLine="444" w:firstLineChars="200"/>
        <w:jc w:val="center"/>
        <w:textAlignment w:val="auto"/>
        <w:rPr>
          <w:rFonts w:ascii="宋体"/>
          <w:color w:val="auto"/>
          <w:spacing w:val="6"/>
          <w:szCs w:val="21"/>
          <w:highlight w:val="none"/>
        </w:rPr>
      </w:pPr>
      <w:r>
        <w:rPr>
          <w:rFonts w:hint="eastAsia" w:ascii="宋体" w:hAnsi="宋体"/>
          <w:color w:val="auto"/>
          <w:spacing w:val="6"/>
          <w:szCs w:val="21"/>
          <w:highlight w:val="none"/>
        </w:rPr>
        <w:t>日期：</w:t>
      </w:r>
    </w:p>
    <w:p w14:paraId="219399BC">
      <w:pPr>
        <w:keepNext w:val="0"/>
        <w:keepLines w:val="0"/>
        <w:pageBreakBefore w:val="0"/>
        <w:kinsoku/>
        <w:wordWrap/>
        <w:overflowPunct/>
        <w:topLinePunct w:val="0"/>
        <w:autoSpaceDE/>
        <w:autoSpaceDN/>
        <w:bidi w:val="0"/>
        <w:adjustRightInd/>
        <w:spacing w:line="420" w:lineRule="exact"/>
        <w:textAlignment w:val="auto"/>
        <w:outlineLvl w:val="9"/>
        <w:rPr>
          <w:rFonts w:hint="eastAsia" w:hAnsi="宋体"/>
          <w:b w:val="0"/>
          <w:bCs/>
          <w:color w:val="auto"/>
          <w:szCs w:val="21"/>
          <w:highlight w:val="none"/>
        </w:rPr>
      </w:pPr>
      <w:r>
        <w:rPr>
          <w:rFonts w:hint="eastAsia" w:hAnsi="宋体"/>
          <w:b w:val="0"/>
          <w:bCs/>
          <w:color w:val="auto"/>
          <w:szCs w:val="21"/>
          <w:highlight w:val="none"/>
        </w:rPr>
        <w:t>注：符合条件的残疾人福利性单位在参加政府采购活动时</w:t>
      </w:r>
      <w:r>
        <w:rPr>
          <w:rFonts w:hint="eastAsia" w:hAnsi="宋体"/>
          <w:b w:val="0"/>
          <w:bCs/>
          <w:color w:val="auto"/>
          <w:szCs w:val="21"/>
          <w:highlight w:val="none"/>
          <w:lang w:eastAsia="zh-CN"/>
        </w:rPr>
        <w:t>，</w:t>
      </w:r>
      <w:r>
        <w:rPr>
          <w:rFonts w:hint="eastAsia" w:hAnsi="宋体"/>
          <w:b w:val="0"/>
          <w:bCs/>
          <w:color w:val="auto"/>
          <w:szCs w:val="21"/>
          <w:highlight w:val="none"/>
        </w:rPr>
        <w:t>应当按《三部门联合发布关于促进残疾人就业政府采购政策的通知》（财库〔</w:t>
      </w:r>
      <w:r>
        <w:rPr>
          <w:rFonts w:hAnsi="宋体"/>
          <w:b w:val="0"/>
          <w:bCs/>
          <w:color w:val="auto"/>
          <w:szCs w:val="21"/>
          <w:highlight w:val="none"/>
        </w:rPr>
        <w:t>2017</w:t>
      </w:r>
      <w:r>
        <w:rPr>
          <w:rFonts w:hint="eastAsia" w:hAnsi="宋体"/>
          <w:b w:val="0"/>
          <w:bCs/>
          <w:color w:val="auto"/>
          <w:szCs w:val="21"/>
          <w:highlight w:val="none"/>
        </w:rPr>
        <w:t>〕</w:t>
      </w:r>
      <w:r>
        <w:rPr>
          <w:rFonts w:hAnsi="宋体"/>
          <w:b w:val="0"/>
          <w:bCs/>
          <w:color w:val="auto"/>
          <w:szCs w:val="21"/>
          <w:highlight w:val="none"/>
        </w:rPr>
        <w:t>141</w:t>
      </w:r>
      <w:r>
        <w:rPr>
          <w:rFonts w:hint="eastAsia" w:hAnsi="宋体"/>
          <w:b w:val="0"/>
          <w:bCs/>
          <w:color w:val="auto"/>
          <w:szCs w:val="21"/>
          <w:highlight w:val="none"/>
        </w:rPr>
        <w:t>号）提供规定的《残疾人福利性单位声明函》</w:t>
      </w:r>
      <w:r>
        <w:rPr>
          <w:rFonts w:hint="eastAsia" w:hAnsi="宋体"/>
          <w:b w:val="0"/>
          <w:bCs/>
          <w:color w:val="auto"/>
          <w:szCs w:val="21"/>
          <w:highlight w:val="none"/>
          <w:lang w:eastAsia="zh-CN"/>
        </w:rPr>
        <w:t>，</w:t>
      </w:r>
      <w:r>
        <w:rPr>
          <w:rFonts w:hint="eastAsia" w:hAnsi="宋体"/>
          <w:b w:val="0"/>
          <w:bCs/>
          <w:color w:val="auto"/>
          <w:szCs w:val="21"/>
          <w:highlight w:val="none"/>
        </w:rPr>
        <w:t>并对声明的真实性负责。</w:t>
      </w:r>
    </w:p>
    <w:p w14:paraId="56A80A24">
      <w:pPr>
        <w:spacing w:line="588" w:lineRule="exact"/>
        <w:rPr>
          <w:rFonts w:hint="default" w:ascii="Times New Roman" w:hAnsi="Times New Roman" w:eastAsia="宋体" w:cs="Times New Roman"/>
          <w:b/>
          <w:bCs/>
          <w:color w:val="auto"/>
          <w:kern w:val="2"/>
          <w:sz w:val="28"/>
          <w:szCs w:val="28"/>
          <w:highlight w:val="none"/>
          <w:lang w:val="en-US" w:eastAsia="zh-CN" w:bidi="ar-SA"/>
        </w:rPr>
      </w:pPr>
      <w:bookmarkStart w:id="186" w:name="_Toc598152851"/>
      <w:bookmarkStart w:id="187" w:name="_Toc1749127877"/>
      <w:bookmarkStart w:id="188" w:name="_Toc78504842"/>
      <w:bookmarkStart w:id="189" w:name="_Toc1615545750"/>
      <w:bookmarkStart w:id="190" w:name="_Toc681730266"/>
      <w:bookmarkStart w:id="191" w:name="_Toc680706022"/>
      <w:bookmarkStart w:id="192" w:name="_Toc220361175"/>
      <w:bookmarkStart w:id="193" w:name="_Toc1097421187"/>
      <w:bookmarkStart w:id="194" w:name="_Toc1381122819"/>
    </w:p>
    <w:bookmarkEnd w:id="158"/>
    <w:bookmarkEnd w:id="159"/>
    <w:bookmarkEnd w:id="160"/>
    <w:bookmarkEnd w:id="161"/>
    <w:bookmarkEnd w:id="162"/>
    <w:bookmarkEnd w:id="163"/>
    <w:bookmarkEnd w:id="186"/>
    <w:bookmarkEnd w:id="187"/>
    <w:bookmarkEnd w:id="188"/>
    <w:bookmarkEnd w:id="189"/>
    <w:bookmarkEnd w:id="190"/>
    <w:bookmarkEnd w:id="191"/>
    <w:bookmarkEnd w:id="192"/>
    <w:bookmarkEnd w:id="193"/>
    <w:bookmarkEnd w:id="194"/>
    <w:p w14:paraId="26D64E67">
      <w:pPr>
        <w:spacing w:line="360" w:lineRule="auto"/>
        <w:jc w:val="left"/>
        <w:outlineLvl w:val="2"/>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格式1-8</w:t>
      </w:r>
    </w:p>
    <w:p w14:paraId="760F921E">
      <w:pPr>
        <w:keepNext w:val="0"/>
        <w:keepLines w:val="0"/>
        <w:pageBreakBefore w:val="0"/>
        <w:tabs>
          <w:tab w:val="left" w:pos="720"/>
          <w:tab w:val="left" w:pos="8295"/>
        </w:tabs>
        <w:kinsoku/>
        <w:wordWrap w:val="0"/>
        <w:overflowPunct/>
        <w:topLinePunct w:val="0"/>
        <w:autoSpaceDE/>
        <w:autoSpaceDN/>
        <w:bidi w:val="0"/>
        <w:adjustRightInd/>
        <w:snapToGrid/>
        <w:spacing w:line="440" w:lineRule="exact"/>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本项目的特定资格要求</w:t>
      </w:r>
      <w:r>
        <w:rPr>
          <w:rFonts w:hint="eastAsia" w:ascii="宋体" w:hAnsi="宋体" w:cs="宋体"/>
          <w:b/>
          <w:bCs/>
          <w:color w:val="auto"/>
          <w:sz w:val="21"/>
          <w:szCs w:val="21"/>
          <w:highlight w:val="none"/>
          <w:lang w:eastAsia="zh-CN"/>
        </w:rPr>
        <w:t>：</w:t>
      </w:r>
      <w:r>
        <w:rPr>
          <w:rFonts w:hint="eastAsia" w:hAnsi="宋体" w:cs="宋体"/>
          <w:color w:val="auto"/>
          <w:sz w:val="21"/>
          <w:szCs w:val="21"/>
          <w:highlight w:val="none"/>
          <w:lang w:val="en-US" w:eastAsia="zh-CN"/>
        </w:rPr>
        <w:t>无</w:t>
      </w:r>
      <w:r>
        <w:rPr>
          <w:rFonts w:hint="eastAsia" w:ascii="宋体" w:hAnsi="宋体" w:eastAsia="宋体" w:cs="宋体"/>
          <w:color w:val="auto"/>
          <w:sz w:val="21"/>
          <w:szCs w:val="21"/>
          <w:highlight w:val="none"/>
          <w:lang w:eastAsia="zh-CN"/>
        </w:rPr>
        <w:t>。</w:t>
      </w:r>
    </w:p>
    <w:p w14:paraId="41DCD1B6">
      <w:pPr>
        <w:spacing w:line="360" w:lineRule="auto"/>
        <w:jc w:val="left"/>
        <w:rPr>
          <w:rFonts w:hint="eastAsia" w:ascii="宋体" w:hAnsi="宋体" w:eastAsia="宋体" w:cs="宋体"/>
          <w:b/>
          <w:bCs/>
          <w:color w:val="auto"/>
          <w:kern w:val="2"/>
          <w:sz w:val="28"/>
          <w:szCs w:val="28"/>
          <w:highlight w:val="none"/>
          <w:lang w:val="en-US" w:eastAsia="zh-CN" w:bidi="ar-SA"/>
        </w:rPr>
      </w:pPr>
    </w:p>
    <w:p w14:paraId="2CA36929">
      <w:pPr>
        <w:spacing w:line="360" w:lineRule="auto"/>
        <w:jc w:val="left"/>
        <w:outlineLvl w:val="2"/>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格式1-9</w:t>
      </w:r>
    </w:p>
    <w:p w14:paraId="57D1437A">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本项目不接受联合体投标。</w:t>
      </w:r>
    </w:p>
    <w:p w14:paraId="061A34C7">
      <w:pPr>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br w:type="page"/>
      </w:r>
    </w:p>
    <w:p w14:paraId="5BD119C7">
      <w:pPr>
        <w:adjustRightInd w:val="0"/>
        <w:snapToGrid w:val="0"/>
        <w:spacing w:after="0" w:line="360" w:lineRule="auto"/>
        <w:jc w:val="left"/>
        <w:outlineLvl w:val="1"/>
        <w:rPr>
          <w:rFonts w:hint="eastAsia" w:ascii="Times New Roman" w:hAnsi="Times New Roman" w:cs="Times New Roman"/>
          <w:b/>
          <w:bCs/>
          <w:color w:val="auto"/>
          <w:sz w:val="28"/>
          <w:szCs w:val="28"/>
          <w:highlight w:val="none"/>
          <w:lang w:val="en-US" w:eastAsia="zh-CN"/>
        </w:rPr>
      </w:pPr>
      <w:r>
        <w:rPr>
          <w:rFonts w:hint="default" w:ascii="Times New Roman" w:hAnsi="Times New Roman" w:cs="Times New Roman"/>
          <w:b/>
          <w:bCs/>
          <w:color w:val="auto"/>
          <w:sz w:val="28"/>
          <w:szCs w:val="28"/>
          <w:highlight w:val="none"/>
        </w:rPr>
        <w:t>格式</w:t>
      </w:r>
      <w:r>
        <w:rPr>
          <w:rFonts w:hint="eastAsia" w:ascii="Times New Roman" w:hAnsi="Times New Roman" w:cs="Times New Roman"/>
          <w:b/>
          <w:bCs/>
          <w:color w:val="auto"/>
          <w:sz w:val="28"/>
          <w:szCs w:val="28"/>
          <w:highlight w:val="none"/>
          <w:lang w:val="en-US" w:eastAsia="zh-CN"/>
        </w:rPr>
        <w:t>2</w:t>
      </w:r>
    </w:p>
    <w:p w14:paraId="4BDBFC5C">
      <w:pPr>
        <w:adjustRightInd w:val="0"/>
        <w:snapToGrid w:val="0"/>
        <w:spacing w:after="0" w:line="360" w:lineRule="auto"/>
        <w:jc w:val="center"/>
        <w:outlineLvl w:val="2"/>
        <w:rPr>
          <w:rFonts w:hint="eastAsia" w:ascii="Times New Roman" w:hAnsi="Times New Roman" w:eastAsia="宋体" w:cs="Times New Roman"/>
          <w:b/>
          <w:bCs/>
          <w:color w:val="auto"/>
          <w:sz w:val="28"/>
          <w:szCs w:val="28"/>
          <w:highlight w:val="none"/>
          <w:lang w:eastAsia="zh-CN"/>
        </w:rPr>
      </w:pPr>
      <w:r>
        <w:rPr>
          <w:rFonts w:hint="default" w:ascii="Times New Roman" w:hAnsi="Times New Roman" w:eastAsia="宋体" w:cs="Times New Roman"/>
          <w:b/>
          <w:bCs/>
          <w:color w:val="auto"/>
          <w:sz w:val="28"/>
          <w:szCs w:val="28"/>
          <w:highlight w:val="none"/>
        </w:rPr>
        <w:t>投标报价表</w:t>
      </w:r>
    </w:p>
    <w:p w14:paraId="1818C1D0">
      <w:pPr>
        <w:pStyle w:val="15"/>
        <w:rPr>
          <w:rFonts w:hint="eastAsia" w:hAnsi="宋体" w:eastAsia="宋体"/>
          <w:b/>
          <w:color w:val="auto"/>
          <w:szCs w:val="21"/>
          <w:highlight w:val="none"/>
          <w:u w:val="single"/>
          <w:lang w:eastAsia="zh-CN"/>
        </w:rPr>
      </w:pPr>
      <w:r>
        <w:rPr>
          <w:rFonts w:hint="eastAsia" w:hAnsi="宋体"/>
          <w:b/>
          <w:color w:val="auto"/>
          <w:szCs w:val="21"/>
          <w:highlight w:val="none"/>
        </w:rPr>
        <w:t>项目名称</w:t>
      </w:r>
      <w:r>
        <w:rPr>
          <w:rFonts w:hint="eastAsia" w:hAnsi="宋体"/>
          <w:b/>
          <w:color w:val="auto"/>
          <w:szCs w:val="21"/>
          <w:highlight w:val="none"/>
          <w:lang w:eastAsia="zh-CN"/>
        </w:rPr>
        <w:t>：</w:t>
      </w:r>
    </w:p>
    <w:p w14:paraId="7AC275DE">
      <w:pPr>
        <w:pStyle w:val="15"/>
        <w:rPr>
          <w:rFonts w:hint="eastAsia" w:hAnsi="宋体"/>
          <w:b/>
          <w:color w:val="auto"/>
          <w:szCs w:val="21"/>
          <w:highlight w:val="none"/>
          <w:lang w:eastAsia="zh-CN"/>
        </w:rPr>
      </w:pPr>
      <w:r>
        <w:rPr>
          <w:rFonts w:hint="eastAsia" w:hAnsi="宋体"/>
          <w:b/>
          <w:color w:val="auto"/>
          <w:szCs w:val="21"/>
          <w:highlight w:val="none"/>
        </w:rPr>
        <w:t>项目编号</w:t>
      </w:r>
      <w:r>
        <w:rPr>
          <w:rFonts w:hint="eastAsia" w:hAnsi="宋体"/>
          <w:b/>
          <w:color w:val="auto"/>
          <w:szCs w:val="21"/>
          <w:highlight w:val="none"/>
          <w:lang w:eastAsia="zh-CN"/>
        </w:rPr>
        <w:t>：</w:t>
      </w:r>
    </w:p>
    <w:tbl>
      <w:tblPr>
        <w:tblStyle w:val="25"/>
        <w:tblW w:w="85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4"/>
        <w:gridCol w:w="5937"/>
      </w:tblGrid>
      <w:tr w14:paraId="1B67B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2644" w:type="dxa"/>
            <w:vAlign w:val="center"/>
          </w:tcPr>
          <w:p w14:paraId="45B67570">
            <w:pPr>
              <w:spacing w:line="320" w:lineRule="exact"/>
              <w:jc w:val="center"/>
              <w:rPr>
                <w:rFonts w:ascii="宋体" w:cs="宋体"/>
                <w:color w:val="auto"/>
                <w:szCs w:val="21"/>
                <w:highlight w:val="none"/>
              </w:rPr>
            </w:pPr>
            <w:r>
              <w:rPr>
                <w:rFonts w:hint="eastAsia" w:hAnsi="宋体"/>
                <w:color w:val="auto"/>
                <w:szCs w:val="21"/>
                <w:highlight w:val="none"/>
              </w:rPr>
              <w:t>投标人名称</w:t>
            </w:r>
          </w:p>
        </w:tc>
        <w:tc>
          <w:tcPr>
            <w:tcW w:w="5937" w:type="dxa"/>
            <w:vAlign w:val="center"/>
          </w:tcPr>
          <w:p w14:paraId="5857B989">
            <w:pPr>
              <w:spacing w:line="360" w:lineRule="auto"/>
              <w:jc w:val="center"/>
              <w:rPr>
                <w:rFonts w:ascii="宋体" w:cs="宋体"/>
                <w:color w:val="auto"/>
                <w:szCs w:val="21"/>
                <w:highlight w:val="none"/>
              </w:rPr>
            </w:pPr>
          </w:p>
        </w:tc>
      </w:tr>
      <w:tr w14:paraId="6D441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atLeast"/>
          <w:jc w:val="center"/>
        </w:trPr>
        <w:tc>
          <w:tcPr>
            <w:tcW w:w="2644" w:type="dxa"/>
            <w:vAlign w:val="center"/>
          </w:tcPr>
          <w:p w14:paraId="5AB93969">
            <w:pPr>
              <w:pStyle w:val="15"/>
              <w:jc w:val="center"/>
              <w:rPr>
                <w:rFonts w:hint="eastAsia" w:eastAsia="宋体"/>
                <w:color w:val="auto"/>
                <w:highlight w:val="none"/>
                <w:lang w:eastAsia="zh-CN"/>
              </w:rPr>
            </w:pPr>
            <w:r>
              <w:rPr>
                <w:rFonts w:hint="eastAsia"/>
                <w:color w:val="auto"/>
                <w:highlight w:val="none"/>
              </w:rPr>
              <w:t>投标报价</w:t>
            </w:r>
            <w:r>
              <w:rPr>
                <w:rFonts w:hint="eastAsia"/>
                <w:color w:val="auto"/>
                <w:highlight w:val="none"/>
                <w:lang w:eastAsia="zh-CN"/>
              </w:rPr>
              <w:t>（</w:t>
            </w:r>
            <w:r>
              <w:rPr>
                <w:rFonts w:hint="eastAsia"/>
                <w:color w:val="auto"/>
                <w:highlight w:val="none"/>
                <w:lang w:val="en-US" w:eastAsia="zh-CN"/>
              </w:rPr>
              <w:t>元</w:t>
            </w:r>
            <w:r>
              <w:rPr>
                <w:rFonts w:hint="eastAsia"/>
                <w:color w:val="auto"/>
                <w:highlight w:val="none"/>
                <w:lang w:eastAsia="zh-CN"/>
              </w:rPr>
              <w:t>）</w:t>
            </w:r>
          </w:p>
        </w:tc>
        <w:tc>
          <w:tcPr>
            <w:tcW w:w="5937" w:type="dxa"/>
            <w:vAlign w:val="center"/>
          </w:tcPr>
          <w:p w14:paraId="08B342DB">
            <w:pPr>
              <w:spacing w:line="360" w:lineRule="auto"/>
              <w:rPr>
                <w:rFonts w:ascii="宋体" w:cs="宋体"/>
                <w:color w:val="auto"/>
                <w:szCs w:val="21"/>
                <w:highlight w:val="none"/>
              </w:rPr>
            </w:pPr>
            <w:r>
              <w:rPr>
                <w:rFonts w:hint="eastAsia" w:ascii="宋体" w:hAnsi="宋体" w:cs="宋体"/>
                <w:color w:val="auto"/>
                <w:szCs w:val="21"/>
                <w:highlight w:val="none"/>
              </w:rPr>
              <w:t>小写</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p>
          <w:p w14:paraId="0AC70B97">
            <w:pPr>
              <w:spacing w:line="360" w:lineRule="auto"/>
              <w:rPr>
                <w:rFonts w:hint="default" w:ascii="宋体" w:hAnsi="宋体" w:cs="宋体"/>
                <w:color w:val="auto"/>
                <w:szCs w:val="21"/>
                <w:highlight w:val="none"/>
                <w:lang w:val="en-US"/>
              </w:rPr>
            </w:pPr>
            <w:r>
              <w:rPr>
                <w:rFonts w:hint="eastAsia" w:ascii="宋体" w:hAnsi="宋体" w:cs="宋体"/>
                <w:color w:val="auto"/>
                <w:szCs w:val="21"/>
                <w:highlight w:val="none"/>
              </w:rPr>
              <w:t>大写</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p>
        </w:tc>
      </w:tr>
      <w:tr w14:paraId="35980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2644" w:type="dxa"/>
            <w:vAlign w:val="center"/>
          </w:tcPr>
          <w:p w14:paraId="69C63705">
            <w:pPr>
              <w:jc w:val="center"/>
              <w:rPr>
                <w:rFonts w:ascii="宋体" w:cs="宋体"/>
                <w:color w:val="auto"/>
                <w:szCs w:val="21"/>
                <w:highlight w:val="none"/>
              </w:rPr>
            </w:pPr>
            <w:r>
              <w:rPr>
                <w:rFonts w:hint="eastAsia" w:ascii="宋体" w:cs="宋体"/>
                <w:color w:val="auto"/>
                <w:szCs w:val="21"/>
                <w:highlight w:val="none"/>
              </w:rPr>
              <w:t>服务期限</w:t>
            </w:r>
          </w:p>
        </w:tc>
        <w:tc>
          <w:tcPr>
            <w:tcW w:w="5937" w:type="dxa"/>
            <w:vAlign w:val="center"/>
          </w:tcPr>
          <w:p w14:paraId="2F6B1B42">
            <w:pPr>
              <w:spacing w:line="360" w:lineRule="auto"/>
              <w:rPr>
                <w:rFonts w:ascii="宋体" w:cs="宋体"/>
                <w:color w:val="auto"/>
                <w:szCs w:val="21"/>
                <w:highlight w:val="none"/>
              </w:rPr>
            </w:pPr>
          </w:p>
        </w:tc>
      </w:tr>
      <w:tr w14:paraId="00F22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2644" w:type="dxa"/>
            <w:vAlign w:val="center"/>
          </w:tcPr>
          <w:p w14:paraId="467BD973">
            <w:pPr>
              <w:jc w:val="center"/>
              <w:rPr>
                <w:rFonts w:hint="eastAsia" w:ascii="宋体" w:cs="宋体"/>
                <w:color w:val="auto"/>
                <w:szCs w:val="21"/>
                <w:highlight w:val="none"/>
                <w:lang w:val="en-US" w:eastAsia="zh-CN"/>
              </w:rPr>
            </w:pPr>
            <w:r>
              <w:rPr>
                <w:rFonts w:hint="eastAsia" w:ascii="宋体" w:cs="宋体"/>
                <w:color w:val="auto"/>
                <w:szCs w:val="21"/>
                <w:highlight w:val="none"/>
                <w:lang w:val="en-US" w:eastAsia="zh-CN"/>
              </w:rPr>
              <w:t>服务地点</w:t>
            </w:r>
          </w:p>
        </w:tc>
        <w:tc>
          <w:tcPr>
            <w:tcW w:w="5937" w:type="dxa"/>
            <w:vAlign w:val="center"/>
          </w:tcPr>
          <w:p w14:paraId="42AD3D12">
            <w:pPr>
              <w:spacing w:line="360" w:lineRule="auto"/>
              <w:rPr>
                <w:rFonts w:ascii="宋体" w:cs="宋体"/>
                <w:color w:val="auto"/>
                <w:szCs w:val="21"/>
                <w:highlight w:val="none"/>
              </w:rPr>
            </w:pPr>
          </w:p>
        </w:tc>
      </w:tr>
      <w:tr w14:paraId="2F9F3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jc w:val="center"/>
        </w:trPr>
        <w:tc>
          <w:tcPr>
            <w:tcW w:w="8581" w:type="dxa"/>
            <w:gridSpan w:val="2"/>
            <w:vAlign w:val="center"/>
          </w:tcPr>
          <w:p w14:paraId="327EE85D">
            <w:pPr>
              <w:spacing w:line="360" w:lineRule="auto"/>
              <w:jc w:val="left"/>
              <w:rPr>
                <w:rFonts w:ascii="宋体" w:cs="宋体"/>
                <w:color w:val="auto"/>
                <w:szCs w:val="21"/>
                <w:highlight w:val="none"/>
                <w:u w:val="single"/>
              </w:rPr>
            </w:pPr>
            <w:r>
              <w:rPr>
                <w:rFonts w:hint="eastAsia" w:ascii="宋体" w:hAnsi="宋体" w:cs="宋体"/>
                <w:color w:val="auto"/>
                <w:szCs w:val="21"/>
                <w:highlight w:val="none"/>
              </w:rPr>
              <w:t>备注</w:t>
            </w:r>
          </w:p>
        </w:tc>
      </w:tr>
    </w:tbl>
    <w:p w14:paraId="4481A368">
      <w:pPr>
        <w:topLinePunct/>
        <w:autoSpaceDE w:val="0"/>
        <w:autoSpaceDN w:val="0"/>
        <w:spacing w:after="0"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特别说明</w:t>
      </w:r>
      <w:r>
        <w:rPr>
          <w:rFonts w:hint="eastAsia" w:ascii="宋体" w:hAnsi="宋体" w:cs="宋体"/>
          <w:color w:val="auto"/>
          <w:szCs w:val="21"/>
          <w:highlight w:val="none"/>
          <w:lang w:eastAsia="zh-CN"/>
        </w:rPr>
        <w:t>：</w:t>
      </w:r>
    </w:p>
    <w:p w14:paraId="6335A21F">
      <w:pPr>
        <w:topLinePunct/>
        <w:autoSpaceDE w:val="0"/>
        <w:autoSpaceDN w:val="0"/>
        <w:spacing w:after="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1.本项目总价不接受任何形式的赠送</w:t>
      </w:r>
      <w:r>
        <w:rPr>
          <w:rFonts w:hint="eastAsia" w:ascii="宋体" w:hAnsi="宋体" w:cs="宋体"/>
          <w:color w:val="auto"/>
          <w:szCs w:val="21"/>
          <w:highlight w:val="none"/>
          <w:lang w:eastAsia="zh-CN"/>
        </w:rPr>
        <w:t>、“</w:t>
      </w:r>
      <w:r>
        <w:rPr>
          <w:rFonts w:hint="eastAsia" w:ascii="宋体" w:hAnsi="宋体" w:cs="宋体"/>
          <w:color w:val="auto"/>
          <w:szCs w:val="21"/>
          <w:highlight w:val="none"/>
        </w:rPr>
        <w:t>零</w:t>
      </w:r>
      <w:r>
        <w:rPr>
          <w:rFonts w:hint="eastAsia" w:ascii="宋体" w:hAnsi="宋体" w:cs="宋体"/>
          <w:color w:val="auto"/>
          <w:szCs w:val="21"/>
          <w:highlight w:val="none"/>
          <w:lang w:eastAsia="zh-CN"/>
        </w:rPr>
        <w:t>”</w:t>
      </w:r>
      <w:r>
        <w:rPr>
          <w:rFonts w:hint="eastAsia" w:ascii="宋体" w:hAnsi="宋体" w:cs="宋体"/>
          <w:color w:val="auto"/>
          <w:szCs w:val="21"/>
          <w:highlight w:val="none"/>
        </w:rPr>
        <w:t>报价。</w:t>
      </w:r>
    </w:p>
    <w:p w14:paraId="675B7368">
      <w:pPr>
        <w:topLinePunct/>
        <w:autoSpaceDE w:val="0"/>
        <w:autoSpaceDN w:val="0"/>
        <w:spacing w:after="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2.本项目执行中所发生的所有费用均计入投标报价中</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采购人不再另行支付其他任何费用。</w:t>
      </w:r>
    </w:p>
    <w:p w14:paraId="431F0304">
      <w:pPr>
        <w:tabs>
          <w:tab w:val="left" w:pos="1230"/>
        </w:tabs>
        <w:topLinePunct/>
        <w:autoSpaceDE w:val="0"/>
        <w:autoSpaceDN w:val="0"/>
        <w:adjustRightInd w:val="0"/>
        <w:snapToGrid w:val="0"/>
        <w:spacing w:after="0" w:line="360" w:lineRule="auto"/>
        <w:ind w:firstLine="420" w:firstLineChars="200"/>
        <w:rPr>
          <w:rFonts w:hint="eastAsia" w:ascii="宋体" w:hAnsi="宋体" w:cs="宋体"/>
          <w:color w:val="auto"/>
          <w:sz w:val="21"/>
          <w:szCs w:val="21"/>
          <w:highlight w:val="none"/>
        </w:rPr>
      </w:pPr>
    </w:p>
    <w:p w14:paraId="01612561">
      <w:pPr>
        <w:tabs>
          <w:tab w:val="left" w:pos="1230"/>
        </w:tabs>
        <w:topLinePunct/>
        <w:autoSpaceDE w:val="0"/>
        <w:autoSpaceDN w:val="0"/>
        <w:adjustRightInd w:val="0"/>
        <w:snapToGrid w:val="0"/>
        <w:spacing w:after="0"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投标人</w:t>
      </w:r>
      <w:r>
        <w:rPr>
          <w:rFonts w:ascii="宋体" w:hAnsi="宋体"/>
          <w:color w:val="auto"/>
          <w:kern w:val="0"/>
          <w:sz w:val="21"/>
          <w:szCs w:val="21"/>
          <w:highlight w:val="none"/>
        </w:rPr>
        <w:t>（全称并加盖公章</w:t>
      </w:r>
      <w:r>
        <w:rPr>
          <w:rFonts w:hint="eastAsia" w:ascii="宋体" w:hAnsi="宋体" w:cs="宋体"/>
          <w:color w:val="auto"/>
          <w:sz w:val="21"/>
          <w:szCs w:val="21"/>
          <w:highlight w:val="none"/>
        </w:rPr>
        <w:t>）</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u w:val="single"/>
        </w:rPr>
        <w:t xml:space="preserve">             </w:t>
      </w:r>
    </w:p>
    <w:p w14:paraId="6FFD46A5">
      <w:pPr>
        <w:tabs>
          <w:tab w:val="left" w:pos="1230"/>
        </w:tabs>
        <w:topLinePunct/>
        <w:autoSpaceDE w:val="0"/>
        <w:autoSpaceDN w:val="0"/>
        <w:adjustRightInd w:val="0"/>
        <w:snapToGrid w:val="0"/>
        <w:spacing w:after="0" w:line="360" w:lineRule="auto"/>
        <w:ind w:firstLine="420" w:firstLineChars="200"/>
        <w:rPr>
          <w:rFonts w:ascii="宋体" w:hAnsi="宋体" w:cs="宋体"/>
          <w:color w:val="auto"/>
          <w:sz w:val="21"/>
          <w:szCs w:val="21"/>
          <w:highlight w:val="none"/>
        </w:rPr>
      </w:pPr>
      <w:r>
        <w:rPr>
          <w:rFonts w:hint="eastAsia" w:ascii="宋体" w:hAnsi="宋体"/>
          <w:color w:val="auto"/>
          <w:kern w:val="0"/>
          <w:sz w:val="21"/>
          <w:szCs w:val="21"/>
          <w:highlight w:val="none"/>
        </w:rPr>
        <w:t>法定代表人（签字或签章）/被授权投标代表（签字）</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u w:val="single"/>
        </w:rPr>
        <w:t xml:space="preserve">             </w:t>
      </w:r>
    </w:p>
    <w:p w14:paraId="1AC071B4">
      <w:pPr>
        <w:tabs>
          <w:tab w:val="left" w:pos="1230"/>
        </w:tabs>
        <w:topLinePunct/>
        <w:autoSpaceDE w:val="0"/>
        <w:autoSpaceDN w:val="0"/>
        <w:adjustRightInd w:val="0"/>
        <w:snapToGrid w:val="0"/>
        <w:spacing w:after="0"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日期</w:t>
      </w:r>
      <w:r>
        <w:rPr>
          <w:rFonts w:hint="eastAsia" w:ascii="宋体" w:hAnsi="宋体" w:cs="宋体"/>
          <w:color w:val="auto"/>
          <w:sz w:val="21"/>
          <w:szCs w:val="21"/>
          <w:highlight w:val="none"/>
          <w:lang w:eastAsia="zh-CN"/>
        </w:rPr>
        <w:t>：</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p>
    <w:p w14:paraId="31DFF2E9">
      <w:pPr>
        <w:rPr>
          <w:rFonts w:ascii="宋体" w:hAnsi="宋体" w:cs="宋体"/>
          <w:color w:val="auto"/>
          <w:sz w:val="21"/>
          <w:szCs w:val="21"/>
          <w:highlight w:val="none"/>
          <w:u w:val="single"/>
        </w:rPr>
      </w:pPr>
      <w:r>
        <w:rPr>
          <w:rFonts w:ascii="宋体" w:hAnsi="宋体" w:cs="宋体"/>
          <w:color w:val="auto"/>
          <w:sz w:val="21"/>
          <w:szCs w:val="21"/>
          <w:highlight w:val="none"/>
          <w:u w:val="single"/>
        </w:rPr>
        <w:br w:type="page"/>
      </w:r>
    </w:p>
    <w:p w14:paraId="4AEBF53C">
      <w:pPr>
        <w:adjustRightInd w:val="0"/>
        <w:snapToGrid w:val="0"/>
        <w:spacing w:after="0" w:line="360" w:lineRule="auto"/>
        <w:jc w:val="left"/>
        <w:outlineLvl w:val="1"/>
        <w:rPr>
          <w:rFonts w:hint="eastAsia" w:ascii="宋体" w:hAnsi="宋体" w:eastAsia="宋体" w:cs="宋体"/>
          <w:b/>
          <w:bCs/>
          <w:color w:val="auto"/>
          <w:sz w:val="28"/>
          <w:szCs w:val="28"/>
          <w:highlight w:val="none"/>
          <w:lang w:eastAsia="zh-CN"/>
        </w:rPr>
      </w:pPr>
      <w:bookmarkStart w:id="195" w:name="_Toc31477_WPSOffice_Level2"/>
      <w:r>
        <w:rPr>
          <w:rFonts w:hint="eastAsia" w:ascii="宋体" w:hAnsi="宋体" w:cs="宋体"/>
          <w:b/>
          <w:bCs/>
          <w:color w:val="auto"/>
          <w:sz w:val="28"/>
          <w:szCs w:val="28"/>
          <w:highlight w:val="none"/>
        </w:rPr>
        <w:t>格式</w:t>
      </w:r>
      <w:r>
        <w:rPr>
          <w:rFonts w:hint="eastAsia" w:ascii="宋体" w:hAnsi="宋体" w:cs="宋体"/>
          <w:b/>
          <w:bCs/>
          <w:color w:val="auto"/>
          <w:sz w:val="28"/>
          <w:szCs w:val="28"/>
          <w:highlight w:val="none"/>
          <w:lang w:val="en-US" w:eastAsia="zh-CN"/>
        </w:rPr>
        <w:t>3</w:t>
      </w:r>
    </w:p>
    <w:p w14:paraId="5BC5526E">
      <w:pPr>
        <w:adjustRightInd w:val="0"/>
        <w:snapToGrid w:val="0"/>
        <w:spacing w:after="0" w:line="360" w:lineRule="auto"/>
        <w:jc w:val="center"/>
        <w:outlineLvl w:val="2"/>
        <w:rPr>
          <w:rFonts w:ascii="宋体" w:hAnsi="宋体" w:cs="宋体"/>
          <w:b/>
          <w:bCs/>
          <w:color w:val="auto"/>
          <w:sz w:val="28"/>
          <w:szCs w:val="28"/>
          <w:highlight w:val="none"/>
        </w:rPr>
      </w:pPr>
      <w:r>
        <w:rPr>
          <w:rFonts w:hint="eastAsia" w:ascii="宋体" w:hAnsi="宋体" w:cs="宋体"/>
          <w:b/>
          <w:bCs/>
          <w:color w:val="auto"/>
          <w:sz w:val="28"/>
          <w:szCs w:val="28"/>
          <w:highlight w:val="none"/>
        </w:rPr>
        <w:t>投标函</w:t>
      </w:r>
      <w:bookmarkEnd w:id="195"/>
    </w:p>
    <w:p w14:paraId="689E02B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致________（采购人或采购代理机构）</w:t>
      </w:r>
      <w:r>
        <w:rPr>
          <w:rFonts w:hint="eastAsia" w:ascii="宋体" w:hAnsi="宋体" w:eastAsia="宋体" w:cs="宋体"/>
          <w:color w:val="auto"/>
          <w:highlight w:val="none"/>
          <w:lang w:eastAsia="zh-CN"/>
        </w:rPr>
        <w:t>：</w:t>
      </w:r>
    </w:p>
    <w:p w14:paraId="45D3FA5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根据______（项目名称）（项目编号</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______）的招标公告</w:t>
      </w:r>
      <w:r>
        <w:rPr>
          <w:rFonts w:hint="eastAsia" w:ascii="宋体" w:hAnsi="宋体" w:cs="宋体"/>
          <w:color w:val="auto"/>
          <w:highlight w:val="none"/>
          <w:lang w:eastAsia="zh-CN"/>
        </w:rPr>
        <w:t>，</w:t>
      </w:r>
      <w:r>
        <w:rPr>
          <w:rFonts w:hint="eastAsia" w:ascii="宋体" w:hAnsi="宋体" w:eastAsia="宋体" w:cs="宋体"/>
          <w:color w:val="auto"/>
          <w:highlight w:val="none"/>
        </w:rPr>
        <w:t>______（姓名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职务）代表投标人______（投标人名称</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地址）参加项目招标的有关活动。据此函</w:t>
      </w:r>
      <w:r>
        <w:rPr>
          <w:rFonts w:hint="eastAsia" w:ascii="宋体" w:hAnsi="宋体" w:cs="宋体"/>
          <w:color w:val="auto"/>
          <w:highlight w:val="none"/>
          <w:lang w:eastAsia="zh-CN"/>
        </w:rPr>
        <w:t>，</w:t>
      </w:r>
      <w:r>
        <w:rPr>
          <w:rFonts w:hint="eastAsia" w:ascii="宋体" w:hAnsi="宋体" w:eastAsia="宋体" w:cs="宋体"/>
          <w:color w:val="auto"/>
          <w:highlight w:val="none"/>
        </w:rPr>
        <w:t>作如下承诺</w:t>
      </w:r>
      <w:r>
        <w:rPr>
          <w:rFonts w:hint="eastAsia" w:ascii="宋体" w:hAnsi="宋体" w:eastAsia="宋体" w:cs="宋体"/>
          <w:color w:val="auto"/>
          <w:highlight w:val="none"/>
          <w:lang w:eastAsia="zh-CN"/>
        </w:rPr>
        <w:t>：</w:t>
      </w:r>
    </w:p>
    <w:p w14:paraId="51AD254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1.同意在本项目招标文件中规定的开标日起</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90</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天遵守本投标文件中的承诺</w:t>
      </w:r>
      <w:r>
        <w:rPr>
          <w:rFonts w:hint="eastAsia" w:ascii="宋体" w:hAnsi="宋体" w:cs="宋体"/>
          <w:color w:val="auto"/>
          <w:highlight w:val="none"/>
          <w:lang w:eastAsia="zh-CN"/>
        </w:rPr>
        <w:t>，</w:t>
      </w:r>
      <w:r>
        <w:rPr>
          <w:rFonts w:hint="eastAsia" w:ascii="宋体" w:hAnsi="宋体" w:eastAsia="宋体" w:cs="宋体"/>
          <w:color w:val="auto"/>
          <w:highlight w:val="none"/>
        </w:rPr>
        <w:t>且在期满之前均具有约束力。</w:t>
      </w:r>
    </w:p>
    <w:p w14:paraId="01E4254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2.具备政府采购相关法律法规规定的参加政府采购活动的供应商应当具备的条件</w:t>
      </w:r>
      <w:r>
        <w:rPr>
          <w:rFonts w:hint="eastAsia" w:ascii="宋体" w:hAnsi="宋体" w:eastAsia="宋体" w:cs="宋体"/>
          <w:color w:val="auto"/>
          <w:highlight w:val="none"/>
          <w:lang w:eastAsia="zh-CN"/>
        </w:rPr>
        <w:t>：</w:t>
      </w:r>
    </w:p>
    <w:p w14:paraId="7164854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（1）具有独立承担民事责任的能力；</w:t>
      </w:r>
    </w:p>
    <w:p w14:paraId="15125E1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（2）具有良好的商业信誉和健全的财务会计制度；</w:t>
      </w:r>
    </w:p>
    <w:p w14:paraId="33F0CFF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（3）具有履行合同所必需的设备和专业技术能力；</w:t>
      </w:r>
    </w:p>
    <w:p w14:paraId="3A3778F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（4）有依法缴纳税收和社会保障资金的良好记录；</w:t>
      </w:r>
    </w:p>
    <w:p w14:paraId="63881EE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（5）参加此项采购活动前三年内</w:t>
      </w:r>
      <w:r>
        <w:rPr>
          <w:rFonts w:hint="eastAsia" w:ascii="宋体" w:hAnsi="宋体" w:cs="宋体"/>
          <w:color w:val="auto"/>
          <w:highlight w:val="none"/>
          <w:lang w:eastAsia="zh-CN"/>
        </w:rPr>
        <w:t>，</w:t>
      </w:r>
      <w:r>
        <w:rPr>
          <w:rFonts w:hint="eastAsia" w:ascii="宋体" w:hAnsi="宋体" w:eastAsia="宋体" w:cs="宋体"/>
          <w:color w:val="auto"/>
          <w:highlight w:val="none"/>
        </w:rPr>
        <w:t>在经营活动中没有重大违法记录。</w:t>
      </w:r>
    </w:p>
    <w:p w14:paraId="1C03D0B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（6）法律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 xml:space="preserve">行政法规规定的其他条件。 </w:t>
      </w:r>
    </w:p>
    <w:p w14:paraId="3FF48DB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3.具备本项目招标文件中规定的其他要求和资质条件。</w:t>
      </w:r>
    </w:p>
    <w:p w14:paraId="4C8D450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4.提供投标人须知规定的全部投标文件。</w:t>
      </w:r>
    </w:p>
    <w:p w14:paraId="124D58A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5.已详细审阅全部招标文件（包括招标文件澄清函）</w:t>
      </w:r>
      <w:r>
        <w:rPr>
          <w:rFonts w:hint="eastAsia" w:ascii="宋体" w:hAnsi="宋体" w:cs="宋体"/>
          <w:color w:val="auto"/>
          <w:highlight w:val="none"/>
          <w:lang w:eastAsia="zh-CN"/>
        </w:rPr>
        <w:t>，</w:t>
      </w:r>
      <w:r>
        <w:rPr>
          <w:rFonts w:hint="eastAsia" w:ascii="宋体" w:hAnsi="宋体" w:eastAsia="宋体" w:cs="宋体"/>
          <w:color w:val="auto"/>
          <w:highlight w:val="none"/>
        </w:rPr>
        <w:t>理解投标人须知的所有条款。</w:t>
      </w:r>
    </w:p>
    <w:p w14:paraId="6691535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highlight w:val="none"/>
        </w:rPr>
      </w:pPr>
      <w:bookmarkStart w:id="196" w:name="_Toc10760"/>
      <w:r>
        <w:rPr>
          <w:rFonts w:hint="eastAsia" w:ascii="宋体" w:hAnsi="宋体" w:eastAsia="宋体" w:cs="宋体"/>
          <w:color w:val="auto"/>
          <w:highlight w:val="none"/>
        </w:rPr>
        <w:t>6.完全理解贵方</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最低报价不能作为中标的保证</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的规定。</w:t>
      </w:r>
      <w:bookmarkEnd w:id="196"/>
    </w:p>
    <w:p w14:paraId="6A9603F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7.接受招标文件中全部合同条款</w:t>
      </w:r>
      <w:r>
        <w:rPr>
          <w:rFonts w:hint="eastAsia" w:ascii="宋体" w:hAnsi="宋体" w:cs="宋体"/>
          <w:color w:val="auto"/>
          <w:highlight w:val="none"/>
          <w:lang w:eastAsia="zh-CN"/>
        </w:rPr>
        <w:t>，</w:t>
      </w:r>
      <w:r>
        <w:rPr>
          <w:rFonts w:hint="eastAsia" w:ascii="宋体" w:hAnsi="宋体" w:eastAsia="宋体" w:cs="宋体"/>
          <w:color w:val="auto"/>
          <w:highlight w:val="none"/>
        </w:rPr>
        <w:t>且无任何异议；保证忠实地执行双方所签订的合同</w:t>
      </w:r>
      <w:r>
        <w:rPr>
          <w:rFonts w:hint="eastAsia" w:ascii="宋体" w:hAnsi="宋体" w:cs="宋体"/>
          <w:color w:val="auto"/>
          <w:highlight w:val="none"/>
          <w:lang w:eastAsia="zh-CN"/>
        </w:rPr>
        <w:t>，</w:t>
      </w:r>
      <w:r>
        <w:rPr>
          <w:rFonts w:hint="eastAsia" w:ascii="宋体" w:hAnsi="宋体" w:eastAsia="宋体" w:cs="宋体"/>
          <w:color w:val="auto"/>
          <w:highlight w:val="none"/>
        </w:rPr>
        <w:t>并承担合同规定的责任和义务。</w:t>
      </w:r>
    </w:p>
    <w:p w14:paraId="08EC8AC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8.完全满足和响应招标文件中的各项商务和技术要求</w:t>
      </w:r>
      <w:r>
        <w:rPr>
          <w:rFonts w:hint="eastAsia" w:ascii="宋体" w:hAnsi="宋体" w:cs="宋体"/>
          <w:color w:val="auto"/>
          <w:highlight w:val="none"/>
          <w:lang w:eastAsia="zh-CN"/>
        </w:rPr>
        <w:t>，</w:t>
      </w:r>
      <w:r>
        <w:rPr>
          <w:rFonts w:hint="eastAsia" w:ascii="宋体" w:hAnsi="宋体" w:eastAsia="宋体" w:cs="宋体"/>
          <w:color w:val="auto"/>
          <w:highlight w:val="none"/>
        </w:rPr>
        <w:t>若有偏差</w:t>
      </w:r>
      <w:r>
        <w:rPr>
          <w:rFonts w:hint="eastAsia" w:ascii="宋体" w:hAnsi="宋体" w:cs="宋体"/>
          <w:color w:val="auto"/>
          <w:highlight w:val="none"/>
          <w:lang w:eastAsia="zh-CN"/>
        </w:rPr>
        <w:t>，</w:t>
      </w:r>
      <w:r>
        <w:rPr>
          <w:rFonts w:hint="eastAsia" w:ascii="宋体" w:hAnsi="宋体" w:eastAsia="宋体" w:cs="宋体"/>
          <w:color w:val="auto"/>
          <w:highlight w:val="none"/>
        </w:rPr>
        <w:t>已在投标文件中明确说明。</w:t>
      </w:r>
    </w:p>
    <w:p w14:paraId="2480CD6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9.愿意提供任何与投标有关的数据</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情况和技术资料等。若贵方需要</w:t>
      </w:r>
      <w:r>
        <w:rPr>
          <w:rFonts w:hint="eastAsia" w:ascii="宋体" w:hAnsi="宋体" w:cs="宋体"/>
          <w:color w:val="auto"/>
          <w:highlight w:val="none"/>
          <w:lang w:eastAsia="zh-CN"/>
        </w:rPr>
        <w:t>，</w:t>
      </w:r>
      <w:r>
        <w:rPr>
          <w:rFonts w:hint="eastAsia" w:ascii="宋体" w:hAnsi="宋体" w:eastAsia="宋体" w:cs="宋体"/>
          <w:color w:val="auto"/>
          <w:highlight w:val="none"/>
        </w:rPr>
        <w:t>愿意提供一切证明材料。</w:t>
      </w:r>
    </w:p>
    <w:p w14:paraId="7EF459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我方已详细审核全部投标文件</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参考资料及有关附件</w:t>
      </w:r>
      <w:r>
        <w:rPr>
          <w:rFonts w:hint="eastAsia" w:ascii="宋体" w:hAnsi="宋体" w:cs="宋体"/>
          <w:color w:val="auto"/>
          <w:highlight w:val="none"/>
          <w:lang w:eastAsia="zh-CN"/>
        </w:rPr>
        <w:t>，</w:t>
      </w:r>
      <w:r>
        <w:rPr>
          <w:rFonts w:hint="eastAsia" w:ascii="宋体" w:hAnsi="宋体" w:eastAsia="宋体" w:cs="宋体"/>
          <w:color w:val="auto"/>
          <w:highlight w:val="none"/>
        </w:rPr>
        <w:t>确认无误。</w:t>
      </w:r>
    </w:p>
    <w:p w14:paraId="1CE4283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11.对本次招标内容及与本项目有关的知识产权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技术资料</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商业秘密及相关信息保密。</w:t>
      </w:r>
    </w:p>
    <w:p w14:paraId="179294E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p>
    <w:p w14:paraId="6A08635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p>
    <w:p w14:paraId="2D62E24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投标人名称（公章）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____________</w:t>
      </w:r>
    </w:p>
    <w:p w14:paraId="16925BA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法定代表人（签字或签章）/被授权投标代表（签字）</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____________</w:t>
      </w:r>
    </w:p>
    <w:p w14:paraId="2B1EE12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投标人地址</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____________</w:t>
      </w:r>
    </w:p>
    <w:p w14:paraId="2FFFAAB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____________</w:t>
      </w:r>
    </w:p>
    <w:p w14:paraId="437A6E3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电话</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____________</w:t>
      </w:r>
    </w:p>
    <w:p w14:paraId="65668D8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传真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____________</w:t>
      </w:r>
    </w:p>
    <w:p w14:paraId="382EFDF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日  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____________</w:t>
      </w:r>
    </w:p>
    <w:p w14:paraId="4ABFB18D">
      <w:pPr>
        <w:ind w:firstLine="480" w:firstLineChars="200"/>
        <w:rPr>
          <w:rFonts w:hint="eastAsia" w:ascii="宋体" w:hAnsi="宋体" w:eastAsia="宋体" w:cs="宋体"/>
          <w:color w:val="auto"/>
          <w:sz w:val="24"/>
          <w:highlight w:val="none"/>
        </w:rPr>
      </w:pPr>
    </w:p>
    <w:p w14:paraId="079117BC">
      <w:pPr>
        <w:adjustRightInd w:val="0"/>
        <w:snapToGrid w:val="0"/>
        <w:spacing w:after="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特别说明</w:t>
      </w:r>
      <w:r>
        <w:rPr>
          <w:rFonts w:hint="eastAsia" w:ascii="宋体" w:hAnsi="宋体" w:eastAsia="宋体" w:cs="宋体"/>
          <w:color w:val="auto"/>
          <w:highlight w:val="none"/>
          <w:lang w:eastAsia="zh-CN"/>
        </w:rPr>
        <w:t>：</w:t>
      </w:r>
    </w:p>
    <w:p w14:paraId="7BD7746C">
      <w:pPr>
        <w:adjustRightInd w:val="0"/>
        <w:snapToGrid w:val="0"/>
        <w:spacing w:after="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投标人应当按上述格式要求加盖与投标人名称全称一致的标准公章</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并签署法定代表人或</w:t>
      </w:r>
      <w:r>
        <w:rPr>
          <w:rFonts w:hint="eastAsia" w:ascii="宋体" w:hAnsi="宋体" w:eastAsia="宋体" w:cs="宋体"/>
          <w:bCs/>
          <w:color w:val="auto"/>
          <w:szCs w:val="21"/>
          <w:highlight w:val="none"/>
        </w:rPr>
        <w:t>被授权投标代表</w:t>
      </w:r>
      <w:r>
        <w:rPr>
          <w:rFonts w:hint="eastAsia" w:ascii="宋体" w:hAnsi="宋体" w:eastAsia="宋体" w:cs="宋体"/>
          <w:color w:val="auto"/>
          <w:szCs w:val="21"/>
          <w:highlight w:val="none"/>
        </w:rPr>
        <w:t>的全名或加盖名章。</w:t>
      </w:r>
    </w:p>
    <w:p w14:paraId="2D60B9F5">
      <w:pPr>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br w:type="page"/>
      </w:r>
    </w:p>
    <w:p w14:paraId="4E265DFF">
      <w:pPr>
        <w:adjustRightInd w:val="0"/>
        <w:snapToGrid w:val="0"/>
        <w:spacing w:after="0" w:line="360" w:lineRule="auto"/>
        <w:jc w:val="left"/>
        <w:outlineLvl w:val="1"/>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格式</w:t>
      </w:r>
      <w:r>
        <w:rPr>
          <w:rFonts w:hint="eastAsia" w:ascii="宋体" w:hAnsi="宋体" w:eastAsia="宋体" w:cs="宋体"/>
          <w:b/>
          <w:bCs/>
          <w:color w:val="auto"/>
          <w:sz w:val="28"/>
          <w:szCs w:val="28"/>
          <w:highlight w:val="none"/>
          <w:lang w:val="en-US" w:eastAsia="zh-CN"/>
        </w:rPr>
        <w:t>4</w:t>
      </w:r>
    </w:p>
    <w:p w14:paraId="77DC9FB4">
      <w:pPr>
        <w:adjustRightInd w:val="0"/>
        <w:snapToGrid w:val="0"/>
        <w:spacing w:after="0" w:line="360" w:lineRule="auto"/>
        <w:jc w:val="center"/>
        <w:outlineLvl w:val="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授权委托书</w:t>
      </w:r>
    </w:p>
    <w:p w14:paraId="02390F60">
      <w:pPr>
        <w:adjustRightInd w:val="0"/>
        <w:snapToGrid w:val="0"/>
        <w:spacing w:after="0" w:line="360" w:lineRule="auto"/>
        <w:jc w:val="left"/>
        <w:outlineLvl w:val="2"/>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格式</w:t>
      </w:r>
      <w:r>
        <w:rPr>
          <w:rFonts w:hint="eastAsia" w:ascii="宋体" w:hAnsi="宋体" w:eastAsia="宋体" w:cs="宋体"/>
          <w:b/>
          <w:bCs/>
          <w:color w:val="auto"/>
          <w:sz w:val="28"/>
          <w:szCs w:val="28"/>
          <w:highlight w:val="none"/>
          <w:lang w:val="en-US" w:eastAsia="zh-CN"/>
        </w:rPr>
        <w:t>4-1</w:t>
      </w:r>
    </w:p>
    <w:p w14:paraId="181EAABC">
      <w:pPr>
        <w:adjustRightInd w:val="0"/>
        <w:snapToGrid w:val="0"/>
        <w:spacing w:after="0" w:line="360" w:lineRule="auto"/>
        <w:jc w:val="center"/>
        <w:outlineLvl w:val="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法定代表人身份证明书</w:t>
      </w:r>
    </w:p>
    <w:p w14:paraId="40AEE017">
      <w:pPr>
        <w:spacing w:line="360" w:lineRule="auto"/>
        <w:rPr>
          <w:rFonts w:ascii="宋体"/>
          <w:color w:val="auto"/>
          <w:szCs w:val="21"/>
          <w:highlight w:val="none"/>
        </w:rPr>
      </w:pPr>
      <w:r>
        <w:rPr>
          <w:rFonts w:hint="eastAsia" w:ascii="宋体" w:hAnsi="宋体"/>
          <w:color w:val="auto"/>
          <w:szCs w:val="21"/>
          <w:highlight w:val="none"/>
        </w:rPr>
        <w:t>投标人名称：</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22CE1212">
      <w:pPr>
        <w:spacing w:line="360" w:lineRule="auto"/>
        <w:rPr>
          <w:rFonts w:ascii="宋体"/>
          <w:color w:val="auto"/>
          <w:szCs w:val="21"/>
          <w:highlight w:val="none"/>
        </w:rPr>
      </w:pPr>
      <w:r>
        <w:rPr>
          <w:rFonts w:hint="eastAsia" w:ascii="宋体" w:hAnsi="宋体"/>
          <w:color w:val="auto"/>
          <w:szCs w:val="21"/>
          <w:highlight w:val="none"/>
        </w:rPr>
        <w:t>单位性质：</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69388D33">
      <w:pPr>
        <w:spacing w:line="360" w:lineRule="auto"/>
        <w:rPr>
          <w:rFonts w:ascii="宋体"/>
          <w:color w:val="auto"/>
          <w:szCs w:val="21"/>
          <w:highlight w:val="none"/>
        </w:rPr>
      </w:pPr>
      <w:r>
        <w:rPr>
          <w:rFonts w:hint="eastAsia" w:ascii="宋体" w:hAnsi="宋体"/>
          <w:color w:val="auto"/>
          <w:szCs w:val="21"/>
          <w:highlight w:val="none"/>
        </w:rPr>
        <w:t>成立时间：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52A5C319">
      <w:pPr>
        <w:spacing w:line="360" w:lineRule="auto"/>
        <w:rPr>
          <w:rFonts w:ascii="宋体"/>
          <w:color w:val="auto"/>
          <w:szCs w:val="21"/>
          <w:highlight w:val="none"/>
        </w:rPr>
      </w:pPr>
      <w:r>
        <w:rPr>
          <w:rFonts w:hint="eastAsia" w:ascii="宋体" w:hAnsi="宋体"/>
          <w:color w:val="auto"/>
          <w:szCs w:val="21"/>
          <w:highlight w:val="none"/>
        </w:rPr>
        <w:t>经营期限：</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0B886876">
      <w:pPr>
        <w:spacing w:line="360" w:lineRule="auto"/>
        <w:rPr>
          <w:rFonts w:hint="eastAsia" w:ascii="宋体" w:hAnsi="宋体"/>
          <w:color w:val="auto"/>
          <w:szCs w:val="21"/>
          <w:highlight w:val="none"/>
          <w:u w:val="single"/>
          <w:lang w:val="en-US" w:eastAsia="zh-CN"/>
        </w:rPr>
      </w:pPr>
      <w:r>
        <w:rPr>
          <w:rFonts w:hint="eastAsia" w:ascii="宋体" w:hAnsi="宋体"/>
          <w:color w:val="auto"/>
          <w:szCs w:val="21"/>
          <w:highlight w:val="none"/>
        </w:rPr>
        <w:t>姓名：</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none"/>
          <w:lang w:val="en-US" w:eastAsia="zh-CN"/>
        </w:rPr>
        <w:t>身份证号码：</w:t>
      </w:r>
      <w:r>
        <w:rPr>
          <w:rFonts w:hint="eastAsia" w:ascii="宋体" w:hAnsi="宋体"/>
          <w:color w:val="auto"/>
          <w:szCs w:val="21"/>
          <w:highlight w:val="none"/>
          <w:u w:val="single"/>
          <w:lang w:val="en-US" w:eastAsia="zh-CN"/>
        </w:rPr>
        <w:t xml:space="preserve">                      </w:t>
      </w:r>
    </w:p>
    <w:p w14:paraId="5251D57D">
      <w:pPr>
        <w:spacing w:line="360" w:lineRule="auto"/>
        <w:rPr>
          <w:rFonts w:ascii="宋体"/>
          <w:color w:val="auto"/>
          <w:szCs w:val="21"/>
          <w:highlight w:val="none"/>
          <w:u w:val="single"/>
        </w:rPr>
      </w:pPr>
      <w:r>
        <w:rPr>
          <w:rFonts w:hint="eastAsia" w:ascii="宋体" w:hAnsi="宋体"/>
          <w:color w:val="auto"/>
          <w:szCs w:val="21"/>
          <w:highlight w:val="none"/>
        </w:rPr>
        <w:t>性别：</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年龄：</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职务</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2BB2853C">
      <w:pPr>
        <w:spacing w:line="360" w:lineRule="auto"/>
        <w:rPr>
          <w:rFonts w:ascii="宋体"/>
          <w:color w:val="auto"/>
          <w:szCs w:val="21"/>
          <w:highlight w:val="none"/>
        </w:rPr>
      </w:pPr>
      <w:r>
        <w:rPr>
          <w:rFonts w:hint="eastAsia" w:ascii="宋体" w:hAnsi="宋体"/>
          <w:color w:val="auto"/>
          <w:szCs w:val="21"/>
          <w:highlight w:val="none"/>
        </w:rPr>
        <w:t>系</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（投标人名称）</w:t>
      </w:r>
      <w:r>
        <w:rPr>
          <w:rFonts w:hint="eastAsia" w:ascii="宋体" w:hAnsi="宋体"/>
          <w:color w:val="auto"/>
          <w:szCs w:val="21"/>
          <w:highlight w:val="none"/>
        </w:rPr>
        <w:t>的法定代表人。</w:t>
      </w:r>
    </w:p>
    <w:p w14:paraId="11E6F5BA">
      <w:pPr>
        <w:spacing w:line="360" w:lineRule="auto"/>
        <w:ind w:firstLine="420" w:firstLineChars="200"/>
        <w:rPr>
          <w:rFonts w:ascii="宋体"/>
          <w:color w:val="auto"/>
          <w:szCs w:val="21"/>
          <w:highlight w:val="none"/>
        </w:rPr>
      </w:pPr>
      <w:r>
        <w:rPr>
          <w:rFonts w:hint="eastAsia" w:ascii="宋体" w:hAnsi="宋体"/>
          <w:color w:val="auto"/>
          <w:szCs w:val="21"/>
          <w:highlight w:val="none"/>
        </w:rPr>
        <w:t>特此证明。</w:t>
      </w:r>
    </w:p>
    <w:p w14:paraId="6DD2EF41">
      <w:pPr>
        <w:spacing w:line="360" w:lineRule="auto"/>
        <w:rPr>
          <w:rFonts w:ascii="宋体"/>
          <w:color w:val="auto"/>
          <w:szCs w:val="21"/>
          <w:highlight w:val="none"/>
        </w:rPr>
      </w:pPr>
    </w:p>
    <w:p w14:paraId="000A6051">
      <w:pPr>
        <w:keepNext w:val="0"/>
        <w:keepLines w:val="0"/>
        <w:pageBreakBefore w:val="0"/>
        <w:widowControl w:val="0"/>
        <w:tabs>
          <w:tab w:val="left" w:pos="1230"/>
        </w:tabs>
        <w:kinsoku/>
        <w:wordWrap/>
        <w:overflowPunct/>
        <w:topLinePunct/>
        <w:autoSpaceDE w:val="0"/>
        <w:autoSpaceDN w:val="0"/>
        <w:bidi w:val="0"/>
        <w:adjustRightInd w:val="0"/>
        <w:snapToGrid w:val="0"/>
        <w:spacing w:after="0" w:line="360" w:lineRule="auto"/>
        <w:ind w:left="363"/>
        <w:jc w:val="righ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投标人名称（公章）</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______________</w:t>
      </w:r>
    </w:p>
    <w:p w14:paraId="2852AB92">
      <w:pPr>
        <w:keepNext w:val="0"/>
        <w:keepLines w:val="0"/>
        <w:pageBreakBefore w:val="0"/>
        <w:widowControl w:val="0"/>
        <w:tabs>
          <w:tab w:val="left" w:pos="1230"/>
        </w:tabs>
        <w:kinsoku/>
        <w:wordWrap/>
        <w:overflowPunct/>
        <w:topLinePunct/>
        <w:autoSpaceDE w:val="0"/>
        <w:autoSpaceDN w:val="0"/>
        <w:bidi w:val="0"/>
        <w:adjustRightInd w:val="0"/>
        <w:snapToGrid w:val="0"/>
        <w:spacing w:after="0" w:line="360" w:lineRule="auto"/>
        <w:ind w:left="363"/>
        <w:jc w:val="right"/>
        <w:textAlignment w:val="auto"/>
        <w:rPr>
          <w:rFonts w:ascii="宋体"/>
          <w:color w:val="auto"/>
          <w:szCs w:val="21"/>
          <w:highlight w:val="none"/>
        </w:rPr>
      </w:pPr>
      <w:r>
        <w:rPr>
          <w:rFonts w:hint="eastAsia" w:ascii="宋体" w:hAnsi="宋体"/>
          <w:color w:val="auto"/>
          <w:szCs w:val="21"/>
          <w:highlight w:val="none"/>
        </w:rPr>
        <w:t>日期：</w:t>
      </w:r>
      <w:r>
        <w:rPr>
          <w:rFonts w:hint="eastAsia" w:ascii="宋体" w:hAnsi="宋体" w:cs="宋体"/>
          <w:color w:val="auto"/>
          <w:sz w:val="21"/>
          <w:szCs w:val="21"/>
          <w:highlight w:val="none"/>
        </w:rPr>
        <w:t>________________</w:t>
      </w:r>
    </w:p>
    <w:p w14:paraId="0B82E0B1">
      <w:pPr>
        <w:topLinePunct/>
        <w:autoSpaceDE w:val="0"/>
        <w:autoSpaceDN w:val="0"/>
        <w:adjustRightInd w:val="0"/>
        <w:snapToGrid w:val="0"/>
        <w:spacing w:after="0" w:line="360" w:lineRule="auto"/>
        <w:ind w:firstLine="420" w:firstLineChars="200"/>
        <w:rPr>
          <w:color w:val="auto"/>
          <w:highlight w:val="none"/>
        </w:rPr>
      </w:pPr>
    </w:p>
    <w:tbl>
      <w:tblPr>
        <w:tblStyle w:val="25"/>
        <w:tblW w:w="7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9"/>
      </w:tblGrid>
      <w:tr w14:paraId="1AB36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9" w:type="dxa"/>
            <w:vAlign w:val="center"/>
          </w:tcPr>
          <w:p w14:paraId="6990274C">
            <w:pPr>
              <w:pStyle w:val="15"/>
              <w:adjustRightInd w:val="0"/>
              <w:snapToGrid w:val="0"/>
              <w:spacing w:line="360" w:lineRule="auto"/>
              <w:jc w:val="center"/>
              <w:rPr>
                <w:rFonts w:hAnsi="宋体" w:cs="宋体"/>
                <w:color w:val="auto"/>
                <w:highlight w:val="none"/>
              </w:rPr>
            </w:pPr>
          </w:p>
          <w:p w14:paraId="06018352">
            <w:pPr>
              <w:pStyle w:val="15"/>
              <w:adjustRightInd w:val="0"/>
              <w:snapToGrid w:val="0"/>
              <w:spacing w:line="360" w:lineRule="auto"/>
              <w:jc w:val="center"/>
              <w:rPr>
                <w:rFonts w:hAnsi="宋体" w:cs="宋体"/>
                <w:color w:val="auto"/>
                <w:highlight w:val="none"/>
              </w:rPr>
            </w:pPr>
          </w:p>
          <w:p w14:paraId="6CE99033">
            <w:pPr>
              <w:pStyle w:val="15"/>
              <w:adjustRightInd w:val="0"/>
              <w:snapToGrid w:val="0"/>
              <w:spacing w:line="360" w:lineRule="auto"/>
              <w:jc w:val="center"/>
              <w:rPr>
                <w:rFonts w:hAnsi="宋体" w:cs="宋体"/>
                <w:color w:val="auto"/>
                <w:highlight w:val="none"/>
              </w:rPr>
            </w:pPr>
          </w:p>
          <w:p w14:paraId="75AA49CA">
            <w:pPr>
              <w:pStyle w:val="15"/>
              <w:adjustRightInd w:val="0"/>
              <w:snapToGrid w:val="0"/>
              <w:spacing w:line="360" w:lineRule="auto"/>
              <w:jc w:val="center"/>
              <w:rPr>
                <w:rFonts w:hAnsi="宋体" w:cs="宋体"/>
                <w:color w:val="auto"/>
                <w:highlight w:val="none"/>
              </w:rPr>
            </w:pPr>
            <w:r>
              <w:rPr>
                <w:rFonts w:hAnsi="宋体" w:cs="宋体"/>
                <w:color w:val="auto"/>
                <w:highlight w:val="none"/>
              </w:rPr>
              <w:t>法定代表人身份证明复印件</w:t>
            </w:r>
          </w:p>
          <w:p w14:paraId="1AF50B18">
            <w:pPr>
              <w:pStyle w:val="15"/>
              <w:adjustRightInd w:val="0"/>
              <w:snapToGrid w:val="0"/>
              <w:spacing w:line="360" w:lineRule="auto"/>
              <w:jc w:val="center"/>
              <w:rPr>
                <w:rFonts w:hAnsi="宋体" w:cs="宋体"/>
                <w:color w:val="auto"/>
                <w:highlight w:val="none"/>
              </w:rPr>
            </w:pPr>
          </w:p>
          <w:p w14:paraId="597F171E">
            <w:pPr>
              <w:pStyle w:val="15"/>
              <w:adjustRightInd w:val="0"/>
              <w:snapToGrid w:val="0"/>
              <w:spacing w:line="360" w:lineRule="auto"/>
              <w:jc w:val="center"/>
              <w:rPr>
                <w:rFonts w:hAnsi="宋体" w:cs="宋体"/>
                <w:color w:val="auto"/>
                <w:highlight w:val="none"/>
              </w:rPr>
            </w:pPr>
          </w:p>
          <w:p w14:paraId="6C3EFF9F">
            <w:pPr>
              <w:pStyle w:val="15"/>
              <w:adjustRightInd w:val="0"/>
              <w:snapToGrid w:val="0"/>
              <w:spacing w:line="360" w:lineRule="auto"/>
              <w:jc w:val="center"/>
              <w:rPr>
                <w:rFonts w:hAnsi="宋体" w:cs="宋体"/>
                <w:color w:val="auto"/>
                <w:highlight w:val="none"/>
              </w:rPr>
            </w:pPr>
          </w:p>
        </w:tc>
      </w:tr>
    </w:tbl>
    <w:p w14:paraId="2E9747FB">
      <w:pPr>
        <w:topLinePunct/>
        <w:autoSpaceDE w:val="0"/>
        <w:autoSpaceDN w:val="0"/>
        <w:adjustRightInd w:val="0"/>
        <w:snapToGrid w:val="0"/>
        <w:spacing w:after="0" w:line="360" w:lineRule="auto"/>
        <w:jc w:val="left"/>
        <w:rPr>
          <w:rFonts w:eastAsia="仿宋_GB2312"/>
          <w:color w:val="auto"/>
          <w:highlight w:val="none"/>
        </w:rPr>
      </w:pPr>
    </w:p>
    <w:p w14:paraId="44ABAD09">
      <w:pPr>
        <w:topLinePunct/>
        <w:autoSpaceDE w:val="0"/>
        <w:autoSpaceDN w:val="0"/>
        <w:adjustRightInd w:val="0"/>
        <w:snapToGrid w:val="0"/>
        <w:spacing w:after="0" w:line="360" w:lineRule="auto"/>
        <w:jc w:val="left"/>
        <w:rPr>
          <w:rFonts w:hint="eastAsia" w:ascii="宋体" w:hAnsi="宋体" w:eastAsia="宋体" w:cs="宋体"/>
          <w:i/>
          <w:iCs/>
          <w:color w:val="auto"/>
          <w:highlight w:val="none"/>
          <w:lang w:eastAsia="zh-CN"/>
        </w:rPr>
      </w:pPr>
      <w:r>
        <w:rPr>
          <w:rFonts w:hint="eastAsia" w:ascii="宋体" w:hAnsi="宋体" w:cs="宋体"/>
          <w:color w:val="auto"/>
          <w:highlight w:val="none"/>
        </w:rPr>
        <w:t>特别说明</w:t>
      </w:r>
      <w:r>
        <w:rPr>
          <w:rFonts w:hint="eastAsia" w:ascii="宋体" w:hAnsi="宋体" w:cs="宋体"/>
          <w:color w:val="auto"/>
          <w:highlight w:val="none"/>
          <w:lang w:eastAsia="zh-CN"/>
        </w:rPr>
        <w:t>：</w:t>
      </w:r>
    </w:p>
    <w:p w14:paraId="52DEE880">
      <w:pPr>
        <w:tabs>
          <w:tab w:val="left" w:pos="312"/>
        </w:tabs>
        <w:topLinePunct/>
        <w:autoSpaceDE w:val="0"/>
        <w:autoSpaceDN w:val="0"/>
        <w:adjustRightInd w:val="0"/>
        <w:snapToGrid w:val="0"/>
        <w:spacing w:after="0" w:line="360" w:lineRule="auto"/>
        <w:ind w:firstLine="422" w:firstLineChars="200"/>
        <w:rPr>
          <w:rFonts w:hint="eastAsia" w:ascii="宋体" w:hAnsi="宋体" w:eastAsia="宋体" w:cs="宋体"/>
          <w:b/>
          <w:bCs/>
          <w:color w:val="auto"/>
          <w:highlight w:val="none"/>
        </w:rPr>
      </w:pPr>
      <w:r>
        <w:rPr>
          <w:rFonts w:hint="eastAsia" w:ascii="宋体" w:hAnsi="宋体" w:cs="宋体"/>
          <w:b/>
          <w:bCs/>
          <w:color w:val="auto"/>
          <w:highlight w:val="none"/>
        </w:rPr>
        <w:t>投标人如</w:t>
      </w:r>
      <w:r>
        <w:rPr>
          <w:rFonts w:hint="eastAsia" w:ascii="宋体" w:hAnsi="宋体" w:eastAsia="宋体" w:cs="宋体"/>
          <w:b/>
          <w:bCs/>
          <w:color w:val="auto"/>
          <w:highlight w:val="none"/>
        </w:rPr>
        <w:t>由法定代表人作为投标代表参与投标活动的</w:t>
      </w:r>
      <w:r>
        <w:rPr>
          <w:rFonts w:hint="eastAsia" w:ascii="宋体" w:hAnsi="宋体" w:cs="宋体"/>
          <w:b/>
          <w:bCs/>
          <w:color w:val="auto"/>
          <w:highlight w:val="none"/>
          <w:lang w:eastAsia="zh-CN"/>
        </w:rPr>
        <w:t>，</w:t>
      </w:r>
      <w:r>
        <w:rPr>
          <w:rFonts w:hint="eastAsia" w:ascii="宋体" w:hAnsi="宋体" w:eastAsia="宋体" w:cs="宋体"/>
          <w:b/>
          <w:bCs/>
          <w:color w:val="auto"/>
          <w:highlight w:val="none"/>
        </w:rPr>
        <w:t>仅须提供法定代表人身份证明书</w:t>
      </w:r>
      <w:r>
        <w:rPr>
          <w:rFonts w:hint="eastAsia" w:ascii="宋体" w:hAnsi="宋体" w:cs="宋体"/>
          <w:b/>
          <w:bCs/>
          <w:color w:val="auto"/>
          <w:highlight w:val="none"/>
          <w:lang w:eastAsia="zh-CN"/>
        </w:rPr>
        <w:t>，</w:t>
      </w:r>
      <w:r>
        <w:rPr>
          <w:rFonts w:hint="eastAsia" w:ascii="宋体" w:hAnsi="宋体" w:eastAsia="宋体" w:cs="宋体"/>
          <w:b/>
          <w:bCs/>
          <w:color w:val="auto"/>
          <w:highlight w:val="none"/>
          <w:lang w:val="en-US" w:eastAsia="zh-CN"/>
        </w:rPr>
        <w:t>并注明</w:t>
      </w:r>
      <w:r>
        <w:rPr>
          <w:rFonts w:hint="eastAsia" w:ascii="宋体" w:hAnsi="宋体" w:eastAsia="宋体" w:cs="宋体"/>
          <w:b/>
          <w:bCs/>
          <w:color w:val="auto"/>
          <w:highlight w:val="none"/>
        </w:rPr>
        <w:t>由法定代表人作为投标代表参与投标活动。</w:t>
      </w:r>
    </w:p>
    <w:p w14:paraId="488EE813">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4F64A54C">
      <w:pPr>
        <w:adjustRightInd w:val="0"/>
        <w:snapToGrid w:val="0"/>
        <w:spacing w:after="0" w:line="360" w:lineRule="auto"/>
        <w:jc w:val="left"/>
        <w:outlineLvl w:val="2"/>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格式</w:t>
      </w:r>
      <w:r>
        <w:rPr>
          <w:rFonts w:hint="eastAsia" w:ascii="宋体" w:hAnsi="宋体" w:eastAsia="宋体" w:cs="宋体"/>
          <w:b/>
          <w:bCs/>
          <w:color w:val="auto"/>
          <w:sz w:val="28"/>
          <w:szCs w:val="28"/>
          <w:highlight w:val="none"/>
          <w:lang w:val="en-US" w:eastAsia="zh-CN"/>
        </w:rPr>
        <w:t>4-2</w:t>
      </w:r>
    </w:p>
    <w:p w14:paraId="342920D8">
      <w:pPr>
        <w:adjustRightInd w:val="0"/>
        <w:snapToGrid w:val="0"/>
        <w:spacing w:after="0" w:line="360" w:lineRule="auto"/>
        <w:jc w:val="center"/>
        <w:outlineLvl w:val="2"/>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法定代表人授权委托书</w:t>
      </w:r>
    </w:p>
    <w:p w14:paraId="2F18FB10">
      <w:pPr>
        <w:adjustRightInd w:val="0"/>
        <w:snapToGrid w:val="0"/>
        <w:spacing w:after="0" w:line="360" w:lineRule="auto"/>
        <w:jc w:val="center"/>
        <w:rPr>
          <w:rFonts w:hint="eastAsia" w:ascii="宋体" w:hAnsi="宋体" w:eastAsia="宋体" w:cs="宋体"/>
          <w:b/>
          <w:bCs/>
          <w:color w:val="auto"/>
          <w:sz w:val="24"/>
          <w:highlight w:val="none"/>
        </w:rPr>
      </w:pPr>
      <w:bookmarkStart w:id="197" w:name="_Toc29416_WPSOffice_Level2"/>
      <w:r>
        <w:rPr>
          <w:rFonts w:hint="eastAsia" w:ascii="宋体" w:hAnsi="宋体" w:eastAsia="宋体" w:cs="宋体"/>
          <w:b w:val="0"/>
          <w:bCs w:val="0"/>
          <w:color w:val="auto"/>
          <w:sz w:val="21"/>
          <w:szCs w:val="21"/>
          <w:highlight w:val="none"/>
        </w:rPr>
        <w:t>(适用于授权代表参加投标)</w:t>
      </w:r>
      <w:bookmarkEnd w:id="197"/>
    </w:p>
    <w:p w14:paraId="00BC80AB">
      <w:pPr>
        <w:pStyle w:val="15"/>
        <w:rPr>
          <w:rFonts w:hint="eastAsia" w:ascii="宋体" w:hAnsi="宋体" w:eastAsia="宋体" w:cs="宋体"/>
          <w:color w:val="auto"/>
          <w:highlight w:val="none"/>
        </w:rPr>
      </w:pPr>
    </w:p>
    <w:p w14:paraId="1DE45F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致____________(采购人或采购代理机构)</w:t>
      </w:r>
      <w:r>
        <w:rPr>
          <w:rFonts w:hint="eastAsia" w:ascii="宋体" w:hAnsi="宋体" w:eastAsia="宋体" w:cs="宋体"/>
          <w:color w:val="auto"/>
          <w:highlight w:val="none"/>
          <w:lang w:eastAsia="zh-CN"/>
        </w:rPr>
        <w:t>：</w:t>
      </w:r>
    </w:p>
    <w:p w14:paraId="77736F88">
      <w:pPr>
        <w:keepNext w:val="0"/>
        <w:keepLines w:val="0"/>
        <w:pageBreakBefore w:val="0"/>
        <w:widowControl w:val="0"/>
        <w:kinsoku/>
        <w:wordWrap/>
        <w:overflowPunct/>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本授权书声明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注册于___________（投标人住址）的___________（投标人名称）法定代表人_______（姓名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职务）代表本公司授权_______（被授权投标代表姓名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职务）为本公司的合法投标代表</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就贵方组织的《</w:t>
      </w:r>
      <w:r>
        <w:rPr>
          <w:rFonts w:hint="eastAsia" w:ascii="宋体" w:hAnsi="宋体" w:eastAsia="宋体" w:cs="宋体"/>
          <w:color w:val="auto"/>
          <w:sz w:val="21"/>
          <w:szCs w:val="21"/>
          <w:highlight w:val="none"/>
          <w:u w:val="single"/>
        </w:rPr>
        <w:t xml:space="preserve">          项目</w:t>
      </w: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_______）投标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合同的执行</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以本公司名义处理一切与之有关的事务。</w:t>
      </w:r>
    </w:p>
    <w:p w14:paraId="64CB2D50">
      <w:pPr>
        <w:keepNext w:val="0"/>
        <w:keepLines w:val="0"/>
        <w:pageBreakBefore w:val="0"/>
        <w:widowControl w:val="0"/>
        <w:kinsoku/>
        <w:wordWrap/>
        <w:overflowPunct/>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本授权书于______年______月_____日生效</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特此声明。</w:t>
      </w:r>
    </w:p>
    <w:p w14:paraId="135880EA">
      <w:pPr>
        <w:pStyle w:val="15"/>
        <w:keepNext w:val="0"/>
        <w:keepLines w:val="0"/>
        <w:pageBreakBefore w:val="0"/>
        <w:widowControl w:val="0"/>
        <w:kinsoku/>
        <w:wordWrap/>
        <w:overflowPunct/>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被授权投标代表无转委托权。</w:t>
      </w:r>
    </w:p>
    <w:tbl>
      <w:tblPr>
        <w:tblStyle w:val="25"/>
        <w:tblW w:w="7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9"/>
      </w:tblGrid>
      <w:tr w14:paraId="6F7B0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9" w:type="dxa"/>
            <w:vAlign w:val="center"/>
          </w:tcPr>
          <w:p w14:paraId="566964AC">
            <w:pPr>
              <w:pStyle w:val="15"/>
              <w:adjustRightInd w:val="0"/>
              <w:snapToGrid w:val="0"/>
              <w:spacing w:line="360" w:lineRule="auto"/>
              <w:jc w:val="center"/>
              <w:rPr>
                <w:rFonts w:hAnsi="宋体" w:cs="宋体"/>
                <w:color w:val="auto"/>
                <w:highlight w:val="none"/>
              </w:rPr>
            </w:pPr>
          </w:p>
          <w:p w14:paraId="0EEFF469">
            <w:pPr>
              <w:pStyle w:val="15"/>
              <w:adjustRightInd w:val="0"/>
              <w:snapToGrid w:val="0"/>
              <w:spacing w:line="360" w:lineRule="auto"/>
              <w:jc w:val="center"/>
              <w:rPr>
                <w:rFonts w:hAnsi="宋体" w:cs="宋体"/>
                <w:b/>
                <w:bCs/>
                <w:color w:val="auto"/>
                <w:highlight w:val="none"/>
              </w:rPr>
            </w:pPr>
          </w:p>
          <w:p w14:paraId="6C27411D">
            <w:pPr>
              <w:pStyle w:val="15"/>
              <w:adjustRightInd w:val="0"/>
              <w:snapToGrid w:val="0"/>
              <w:spacing w:line="360" w:lineRule="auto"/>
              <w:jc w:val="center"/>
              <w:rPr>
                <w:rFonts w:hAnsi="宋体" w:cs="宋体"/>
                <w:b/>
                <w:bCs/>
                <w:color w:val="auto"/>
                <w:highlight w:val="none"/>
              </w:rPr>
            </w:pPr>
            <w:r>
              <w:rPr>
                <w:rFonts w:hint="eastAsia" w:hAnsi="宋体" w:cs="宋体"/>
                <w:b/>
                <w:bCs/>
                <w:color w:val="auto"/>
                <w:highlight w:val="none"/>
              </w:rPr>
              <w:t>被授权投标代表身份证复印件</w:t>
            </w:r>
          </w:p>
          <w:p w14:paraId="54ABAA51">
            <w:pPr>
              <w:pStyle w:val="15"/>
              <w:adjustRightInd w:val="0"/>
              <w:snapToGrid w:val="0"/>
              <w:spacing w:line="360" w:lineRule="auto"/>
              <w:jc w:val="center"/>
              <w:rPr>
                <w:rFonts w:hAnsi="宋体" w:cs="宋体"/>
                <w:color w:val="auto"/>
                <w:highlight w:val="none"/>
              </w:rPr>
            </w:pPr>
          </w:p>
          <w:p w14:paraId="1CE3565F">
            <w:pPr>
              <w:pStyle w:val="15"/>
              <w:adjustRightInd w:val="0"/>
              <w:snapToGrid w:val="0"/>
              <w:spacing w:line="360" w:lineRule="auto"/>
              <w:jc w:val="center"/>
              <w:rPr>
                <w:rFonts w:hAnsi="宋体" w:cs="宋体"/>
                <w:color w:val="auto"/>
                <w:highlight w:val="none"/>
              </w:rPr>
            </w:pPr>
          </w:p>
        </w:tc>
      </w:tr>
    </w:tbl>
    <w:p w14:paraId="4678B879">
      <w:pPr>
        <w:pStyle w:val="15"/>
        <w:adjustRightInd w:val="0"/>
        <w:snapToGrid w:val="0"/>
        <w:spacing w:line="360" w:lineRule="auto"/>
        <w:jc w:val="left"/>
        <w:rPr>
          <w:rFonts w:hAnsi="宋体" w:cs="宋体"/>
          <w:color w:val="auto"/>
          <w:highlight w:val="none"/>
        </w:rPr>
      </w:pPr>
    </w:p>
    <w:p w14:paraId="3BF57C17">
      <w:pPr>
        <w:keepNext w:val="0"/>
        <w:keepLines w:val="0"/>
        <w:pageBreakBefore w:val="0"/>
        <w:widowControl w:val="0"/>
        <w:tabs>
          <w:tab w:val="left" w:pos="1230"/>
        </w:tabs>
        <w:kinsoku/>
        <w:wordWrap/>
        <w:overflowPunct/>
        <w:topLinePunct/>
        <w:autoSpaceDE w:val="0"/>
        <w:autoSpaceDN w:val="0"/>
        <w:bidi w:val="0"/>
        <w:adjustRightInd w:val="0"/>
        <w:snapToGrid w:val="0"/>
        <w:spacing w:after="0" w:line="360" w:lineRule="auto"/>
        <w:ind w:left="363"/>
        <w:textAlignment w:val="auto"/>
        <w:rPr>
          <w:rFonts w:ascii="宋体" w:hAnsi="宋体" w:cs="宋体"/>
          <w:color w:val="auto"/>
          <w:sz w:val="21"/>
          <w:szCs w:val="21"/>
          <w:highlight w:val="none"/>
        </w:rPr>
      </w:pPr>
      <w:r>
        <w:rPr>
          <w:rFonts w:hint="eastAsia" w:ascii="宋体" w:hAnsi="宋体" w:cs="宋体"/>
          <w:color w:val="auto"/>
          <w:sz w:val="21"/>
          <w:szCs w:val="21"/>
          <w:highlight w:val="none"/>
        </w:rPr>
        <w:t>投标人名称（公章）</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________________</w:t>
      </w:r>
    </w:p>
    <w:p w14:paraId="7DDB6540">
      <w:pPr>
        <w:keepNext w:val="0"/>
        <w:keepLines w:val="0"/>
        <w:pageBreakBefore w:val="0"/>
        <w:widowControl w:val="0"/>
        <w:tabs>
          <w:tab w:val="left" w:pos="1230"/>
        </w:tabs>
        <w:kinsoku/>
        <w:wordWrap/>
        <w:overflowPunct/>
        <w:topLinePunct/>
        <w:autoSpaceDE w:val="0"/>
        <w:autoSpaceDN w:val="0"/>
        <w:bidi w:val="0"/>
        <w:adjustRightInd w:val="0"/>
        <w:snapToGrid w:val="0"/>
        <w:spacing w:after="0" w:line="360" w:lineRule="auto"/>
        <w:ind w:left="363"/>
        <w:textAlignment w:val="auto"/>
        <w:rPr>
          <w:rFonts w:ascii="宋体" w:hAnsi="宋体" w:cs="宋体"/>
          <w:color w:val="auto"/>
          <w:sz w:val="21"/>
          <w:szCs w:val="21"/>
          <w:highlight w:val="none"/>
        </w:rPr>
      </w:pPr>
      <w:r>
        <w:rPr>
          <w:rFonts w:hint="eastAsia" w:ascii="宋体" w:hAnsi="宋体" w:cs="宋体"/>
          <w:color w:val="auto"/>
          <w:sz w:val="21"/>
          <w:szCs w:val="21"/>
          <w:highlight w:val="none"/>
        </w:rPr>
        <w:t>法定代表人（签字或签章）</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________________</w:t>
      </w:r>
    </w:p>
    <w:p w14:paraId="646BA778">
      <w:pPr>
        <w:keepNext w:val="0"/>
        <w:keepLines w:val="0"/>
        <w:pageBreakBefore w:val="0"/>
        <w:widowControl w:val="0"/>
        <w:tabs>
          <w:tab w:val="left" w:pos="1230"/>
        </w:tabs>
        <w:kinsoku/>
        <w:wordWrap/>
        <w:overflowPunct/>
        <w:topLinePunct/>
        <w:autoSpaceDE w:val="0"/>
        <w:autoSpaceDN w:val="0"/>
        <w:bidi w:val="0"/>
        <w:adjustRightInd w:val="0"/>
        <w:snapToGrid w:val="0"/>
        <w:spacing w:after="0" w:line="360" w:lineRule="auto"/>
        <w:ind w:left="363"/>
        <w:textAlignment w:val="auto"/>
        <w:rPr>
          <w:rFonts w:ascii="宋体" w:hAnsi="宋体" w:cs="宋体"/>
          <w:color w:val="auto"/>
          <w:sz w:val="21"/>
          <w:szCs w:val="21"/>
          <w:highlight w:val="none"/>
        </w:rPr>
      </w:pPr>
      <w:r>
        <w:rPr>
          <w:rFonts w:hint="eastAsia" w:ascii="宋体" w:hAnsi="宋体" w:cs="宋体"/>
          <w:color w:val="auto"/>
          <w:sz w:val="21"/>
          <w:szCs w:val="21"/>
          <w:highlight w:val="none"/>
        </w:rPr>
        <w:t>被授权投标代表（签字）</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________________</w:t>
      </w:r>
    </w:p>
    <w:p w14:paraId="38A9E6FE">
      <w:pPr>
        <w:keepNext w:val="0"/>
        <w:keepLines w:val="0"/>
        <w:pageBreakBefore w:val="0"/>
        <w:widowControl w:val="0"/>
        <w:tabs>
          <w:tab w:val="left" w:pos="1230"/>
        </w:tabs>
        <w:kinsoku/>
        <w:wordWrap/>
        <w:overflowPunct/>
        <w:topLinePunct/>
        <w:autoSpaceDE w:val="0"/>
        <w:autoSpaceDN w:val="0"/>
        <w:bidi w:val="0"/>
        <w:adjustRightInd w:val="0"/>
        <w:snapToGrid w:val="0"/>
        <w:spacing w:after="0" w:line="360" w:lineRule="auto"/>
        <w:ind w:left="363"/>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被授权投标代表</w:t>
      </w:r>
      <w:r>
        <w:rPr>
          <w:rFonts w:hint="eastAsia" w:ascii="宋体" w:hAnsi="宋体" w:cs="宋体"/>
          <w:color w:val="auto"/>
          <w:sz w:val="21"/>
          <w:szCs w:val="21"/>
          <w:highlight w:val="none"/>
          <w:lang w:val="en-US" w:eastAsia="zh-CN"/>
        </w:rPr>
        <w:t>身份证号码</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____________</w:t>
      </w:r>
    </w:p>
    <w:p w14:paraId="56B3EBA7">
      <w:pPr>
        <w:keepNext w:val="0"/>
        <w:keepLines w:val="0"/>
        <w:pageBreakBefore w:val="0"/>
        <w:widowControl w:val="0"/>
        <w:tabs>
          <w:tab w:val="left" w:pos="1230"/>
        </w:tabs>
        <w:kinsoku/>
        <w:wordWrap/>
        <w:overflowPunct/>
        <w:topLinePunct/>
        <w:autoSpaceDE w:val="0"/>
        <w:autoSpaceDN w:val="0"/>
        <w:bidi w:val="0"/>
        <w:adjustRightInd w:val="0"/>
        <w:snapToGrid w:val="0"/>
        <w:spacing w:after="0" w:line="360" w:lineRule="auto"/>
        <w:ind w:left="363"/>
        <w:textAlignment w:val="auto"/>
        <w:rPr>
          <w:rFonts w:ascii="宋体" w:hAnsi="宋体" w:cs="宋体"/>
          <w:color w:val="auto"/>
          <w:sz w:val="21"/>
          <w:szCs w:val="21"/>
          <w:highlight w:val="none"/>
        </w:rPr>
      </w:pPr>
      <w:r>
        <w:rPr>
          <w:rFonts w:hint="eastAsia" w:ascii="宋体" w:hAnsi="宋体" w:cs="宋体"/>
          <w:color w:val="auto"/>
          <w:sz w:val="21"/>
          <w:szCs w:val="21"/>
          <w:highlight w:val="none"/>
        </w:rPr>
        <w:t>被授权投标代表联系电话</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____________</w:t>
      </w:r>
    </w:p>
    <w:p w14:paraId="1236ECD2">
      <w:pPr>
        <w:keepNext w:val="0"/>
        <w:keepLines w:val="0"/>
        <w:pageBreakBefore w:val="0"/>
        <w:widowControl w:val="0"/>
        <w:tabs>
          <w:tab w:val="left" w:pos="1230"/>
        </w:tabs>
        <w:kinsoku/>
        <w:wordWrap/>
        <w:overflowPunct/>
        <w:topLinePunct/>
        <w:autoSpaceDE w:val="0"/>
        <w:autoSpaceDN w:val="0"/>
        <w:bidi w:val="0"/>
        <w:adjustRightInd w:val="0"/>
        <w:snapToGrid w:val="0"/>
        <w:spacing w:after="0" w:line="360" w:lineRule="auto"/>
        <w:ind w:left="363"/>
        <w:textAlignment w:val="auto"/>
        <w:rPr>
          <w:rFonts w:ascii="宋体" w:hAnsi="宋体" w:cs="宋体"/>
          <w:color w:val="auto"/>
          <w:sz w:val="21"/>
          <w:szCs w:val="21"/>
          <w:highlight w:val="none"/>
        </w:rPr>
      </w:pPr>
      <w:r>
        <w:rPr>
          <w:rFonts w:hint="eastAsia" w:ascii="宋体" w:hAnsi="宋体" w:cs="宋体"/>
          <w:color w:val="auto"/>
          <w:sz w:val="21"/>
          <w:szCs w:val="21"/>
          <w:highlight w:val="none"/>
        </w:rPr>
        <w:t>日期</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____________</w:t>
      </w:r>
    </w:p>
    <w:p w14:paraId="2EB5EA03">
      <w:pPr>
        <w:topLinePunct/>
        <w:autoSpaceDE w:val="0"/>
        <w:autoSpaceDN w:val="0"/>
        <w:adjustRightInd w:val="0"/>
        <w:snapToGrid w:val="0"/>
        <w:spacing w:after="0" w:line="360" w:lineRule="auto"/>
        <w:jc w:val="center"/>
        <w:rPr>
          <w:rFonts w:hint="eastAsia" w:hAnsi="宋体" w:cs="宋体"/>
          <w:b/>
          <w:bCs/>
          <w:color w:val="auto"/>
          <w:highlight w:val="none"/>
        </w:rPr>
      </w:pPr>
    </w:p>
    <w:p w14:paraId="6BC3B49C">
      <w:pPr>
        <w:topLinePunct/>
        <w:autoSpaceDE w:val="0"/>
        <w:autoSpaceDN w:val="0"/>
        <w:adjustRightInd w:val="0"/>
        <w:snapToGrid w:val="0"/>
        <w:spacing w:after="0" w:line="360" w:lineRule="auto"/>
        <w:jc w:val="center"/>
        <w:rPr>
          <w:rFonts w:hint="eastAsia" w:ascii="Times New Roman" w:hAnsi="Times New Roman" w:eastAsia="宋体" w:cs="Times New Roman"/>
          <w:color w:val="auto"/>
          <w:highlight w:val="none"/>
          <w:lang w:val="en-US" w:eastAsia="zh-CN"/>
        </w:rPr>
      </w:pPr>
      <w:r>
        <w:rPr>
          <w:rFonts w:hint="eastAsia" w:hAnsi="宋体" w:cs="宋体"/>
          <w:b/>
          <w:bCs/>
          <w:color w:val="auto"/>
          <w:highlight w:val="none"/>
          <w:lang w:val="en-US" w:eastAsia="zh-CN"/>
        </w:rPr>
        <w:t>附：</w:t>
      </w:r>
      <w:r>
        <w:rPr>
          <w:rFonts w:hint="eastAsia" w:hAnsi="宋体" w:cs="宋体"/>
          <w:b/>
          <w:bCs/>
          <w:color w:val="auto"/>
          <w:highlight w:val="none"/>
        </w:rPr>
        <w:t>被授权投标代表</w:t>
      </w:r>
      <w:r>
        <w:rPr>
          <w:rFonts w:hint="eastAsia" w:hAnsi="宋体" w:cs="宋体"/>
          <w:b/>
          <w:bCs/>
          <w:color w:val="auto"/>
          <w:highlight w:val="none"/>
          <w:lang w:val="en-US" w:eastAsia="zh-CN"/>
        </w:rPr>
        <w:t>在</w:t>
      </w:r>
      <w:r>
        <w:rPr>
          <w:rFonts w:hint="eastAsia" w:hAnsi="宋体" w:cs="宋体"/>
          <w:b/>
          <w:bCs/>
          <w:color w:val="auto"/>
          <w:highlight w:val="none"/>
        </w:rPr>
        <w:t>投标截止时间前三个月内的任意一个月的社保缴纳证明材料</w:t>
      </w:r>
      <w:r>
        <w:rPr>
          <w:rFonts w:hint="eastAsia" w:hAnsi="宋体" w:cs="宋体"/>
          <w:b/>
          <w:bCs/>
          <w:color w:val="auto"/>
          <w:highlight w:val="none"/>
          <w:lang w:val="en-US" w:eastAsia="zh-CN"/>
        </w:rPr>
        <w:t>复印件</w:t>
      </w:r>
    </w:p>
    <w:p w14:paraId="2E34C6A6">
      <w:pPr>
        <w:pStyle w:val="32"/>
        <w:rPr>
          <w:rFonts w:hint="eastAsia" w:ascii="宋体" w:hAnsi="宋体" w:eastAsia="宋体" w:cs="宋体"/>
          <w:color w:val="auto"/>
          <w:highlight w:val="none"/>
        </w:rPr>
      </w:pPr>
    </w:p>
    <w:p w14:paraId="738059CD">
      <w:pPr>
        <w:pStyle w:val="32"/>
        <w:rPr>
          <w:rFonts w:hint="eastAsia"/>
          <w:color w:val="auto"/>
          <w:highlight w:val="none"/>
        </w:rPr>
      </w:pPr>
    </w:p>
    <w:p w14:paraId="47D840C1">
      <w:pPr>
        <w:topLinePunct/>
        <w:autoSpaceDE w:val="0"/>
        <w:autoSpaceDN w:val="0"/>
        <w:adjustRightInd w:val="0"/>
        <w:snapToGrid w:val="0"/>
        <w:spacing w:after="0" w:line="360" w:lineRule="auto"/>
        <w:jc w:val="left"/>
        <w:rPr>
          <w:rFonts w:hint="eastAsia" w:ascii="宋体" w:hAnsi="宋体" w:eastAsia="宋体" w:cs="宋体"/>
          <w:i/>
          <w:iCs/>
          <w:color w:val="auto"/>
          <w:highlight w:val="none"/>
          <w:lang w:eastAsia="zh-CN"/>
        </w:rPr>
      </w:pPr>
      <w:r>
        <w:rPr>
          <w:rFonts w:hint="eastAsia" w:ascii="宋体" w:hAnsi="宋体" w:eastAsia="宋体" w:cs="宋体"/>
          <w:color w:val="auto"/>
          <w:highlight w:val="none"/>
        </w:rPr>
        <w:t>特别说明</w:t>
      </w:r>
      <w:r>
        <w:rPr>
          <w:rFonts w:hint="eastAsia" w:ascii="宋体" w:hAnsi="宋体" w:eastAsia="宋体" w:cs="宋体"/>
          <w:color w:val="auto"/>
          <w:highlight w:val="none"/>
          <w:lang w:eastAsia="zh-CN"/>
        </w:rPr>
        <w:t>：</w:t>
      </w:r>
    </w:p>
    <w:p w14:paraId="108CD410">
      <w:pPr>
        <w:tabs>
          <w:tab w:val="left" w:pos="312"/>
        </w:tabs>
        <w:topLinePunct/>
        <w:autoSpaceDE w:val="0"/>
        <w:autoSpaceDN w:val="0"/>
        <w:adjustRightInd w:val="0"/>
        <w:snapToGrid w:val="0"/>
        <w:spacing w:after="0" w:line="360" w:lineRule="auto"/>
        <w:ind w:firstLine="420" w:firstLineChars="200"/>
        <w:rPr>
          <w:rFonts w:hint="default" w:ascii="宋体" w:hAnsi="宋体" w:eastAsia="宋体" w:cs="宋体"/>
          <w:color w:val="auto"/>
          <w:highlight w:val="none"/>
          <w:lang w:val="en-US" w:eastAsia="zh-CN"/>
        </w:rPr>
      </w:pPr>
      <w:r>
        <w:rPr>
          <w:rFonts w:hint="eastAsia" w:ascii="宋体" w:hAnsi="宋体" w:eastAsia="宋体" w:cs="宋体"/>
          <w:color w:val="auto"/>
          <w:highlight w:val="none"/>
        </w:rPr>
        <w:t>投标人如由被授权投标代表参与投标活动的</w:t>
      </w:r>
      <w:r>
        <w:rPr>
          <w:rFonts w:hint="eastAsia" w:ascii="宋体" w:hAnsi="宋体" w:cs="宋体"/>
          <w:color w:val="auto"/>
          <w:highlight w:val="none"/>
          <w:lang w:eastAsia="zh-CN"/>
        </w:rPr>
        <w:t>，</w:t>
      </w:r>
      <w:r>
        <w:rPr>
          <w:rFonts w:hint="eastAsia" w:ascii="宋体" w:hAnsi="宋体" w:eastAsia="宋体" w:cs="宋体"/>
          <w:color w:val="auto"/>
          <w:highlight w:val="none"/>
        </w:rPr>
        <w:t>须同时提供《法定代表人授权委托书》和</w:t>
      </w:r>
      <w:r>
        <w:rPr>
          <w:rFonts w:hint="eastAsia" w:ascii="宋体" w:hAnsi="宋体" w:cs="宋体"/>
          <w:color w:val="auto"/>
          <w:highlight w:val="none"/>
          <w:lang w:eastAsia="zh-CN"/>
        </w:rPr>
        <w:t>《</w:t>
      </w:r>
      <w:r>
        <w:rPr>
          <w:rFonts w:hint="eastAsia" w:ascii="宋体" w:hAnsi="宋体" w:eastAsia="宋体" w:cs="宋体"/>
          <w:color w:val="auto"/>
          <w:highlight w:val="none"/>
        </w:rPr>
        <w:t>法定代表人身份证明书</w:t>
      </w:r>
      <w:r>
        <w:rPr>
          <w:rFonts w:hint="eastAsia" w:ascii="宋体" w:hAnsi="宋体" w:cs="宋体"/>
          <w:color w:val="auto"/>
          <w:highlight w:val="none"/>
          <w:lang w:eastAsia="zh-CN"/>
        </w:rPr>
        <w:t>》</w:t>
      </w:r>
      <w:r>
        <w:rPr>
          <w:rFonts w:hint="eastAsia" w:ascii="宋体" w:hAnsi="宋体" w:eastAsia="宋体" w:cs="宋体"/>
          <w:color w:val="auto"/>
          <w:highlight w:val="none"/>
        </w:rPr>
        <w:t>。《法定代表人授权委托书》应当按本格式要求加盖与投标人名称全称一致的标准公章</w:t>
      </w:r>
      <w:r>
        <w:rPr>
          <w:rFonts w:hint="eastAsia" w:ascii="宋体" w:hAnsi="宋体" w:cs="宋体"/>
          <w:color w:val="auto"/>
          <w:highlight w:val="none"/>
          <w:lang w:eastAsia="zh-CN"/>
        </w:rPr>
        <w:t>，</w:t>
      </w:r>
      <w:r>
        <w:rPr>
          <w:rFonts w:hint="eastAsia" w:ascii="宋体" w:hAnsi="宋体" w:eastAsia="宋体" w:cs="宋体"/>
          <w:color w:val="auto"/>
          <w:highlight w:val="none"/>
        </w:rPr>
        <w:t>并签署法定代表人</w:t>
      </w:r>
      <w:r>
        <w:rPr>
          <w:rFonts w:hint="eastAsia" w:ascii="宋体" w:hAnsi="宋体" w:cs="宋体"/>
          <w:color w:val="auto"/>
          <w:highlight w:val="none"/>
          <w:lang w:val="en-US" w:eastAsia="zh-CN"/>
        </w:rPr>
        <w:t>及</w:t>
      </w:r>
      <w:r>
        <w:rPr>
          <w:rFonts w:hint="eastAsia" w:ascii="宋体" w:hAnsi="宋体" w:eastAsia="宋体" w:cs="宋体"/>
          <w:color w:val="auto"/>
          <w:highlight w:val="none"/>
        </w:rPr>
        <w:t>被授权投标代表的全名或加盖名章</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以及被授权投标代表</w:t>
      </w:r>
      <w:r>
        <w:rPr>
          <w:rFonts w:hint="eastAsia" w:ascii="宋体" w:hAnsi="宋体" w:cs="宋体"/>
          <w:color w:val="auto"/>
          <w:szCs w:val="21"/>
          <w:highlight w:val="none"/>
          <w:lang w:val="en-US" w:eastAsia="zh-CN"/>
        </w:rPr>
        <w:t>的身份证复印件和在</w:t>
      </w:r>
      <w:r>
        <w:rPr>
          <w:rFonts w:hint="eastAsia" w:ascii="宋体" w:hAnsi="宋体" w:eastAsia="宋体" w:cs="宋体"/>
          <w:color w:val="auto"/>
          <w:szCs w:val="21"/>
          <w:highlight w:val="none"/>
        </w:rPr>
        <w:t>投标</w:t>
      </w:r>
      <w:r>
        <w:rPr>
          <w:rFonts w:hint="eastAsia" w:ascii="宋体" w:hAnsi="宋体" w:cs="宋体"/>
          <w:color w:val="auto"/>
          <w:szCs w:val="21"/>
          <w:highlight w:val="none"/>
          <w:lang w:val="en-US" w:eastAsia="zh-CN"/>
        </w:rPr>
        <w:t>截止时间</w:t>
      </w:r>
      <w:r>
        <w:rPr>
          <w:rFonts w:hint="eastAsia" w:ascii="宋体" w:hAnsi="宋体" w:eastAsia="宋体" w:cs="宋体"/>
          <w:color w:val="auto"/>
          <w:szCs w:val="21"/>
          <w:highlight w:val="none"/>
        </w:rPr>
        <w:t>前三个月内的任意一个月的社保</w:t>
      </w:r>
      <w:r>
        <w:rPr>
          <w:rFonts w:hint="eastAsia" w:ascii="宋体" w:hAnsi="宋体" w:cs="宋体"/>
          <w:color w:val="auto"/>
          <w:szCs w:val="21"/>
          <w:highlight w:val="none"/>
          <w:lang w:val="en-US" w:eastAsia="zh-CN"/>
        </w:rPr>
        <w:t>缴纳</w:t>
      </w:r>
      <w:r>
        <w:rPr>
          <w:rFonts w:hint="eastAsia" w:ascii="宋体" w:hAnsi="宋体" w:eastAsia="宋体" w:cs="宋体"/>
          <w:color w:val="auto"/>
          <w:szCs w:val="21"/>
          <w:highlight w:val="none"/>
        </w:rPr>
        <w:t>证明材料。</w:t>
      </w:r>
    </w:p>
    <w:p w14:paraId="20A9F668">
      <w:pPr>
        <w:adjustRightInd w:val="0"/>
        <w:snapToGrid w:val="0"/>
        <w:spacing w:after="0" w:line="360" w:lineRule="auto"/>
        <w:jc w:val="left"/>
        <w:outlineLvl w:val="2"/>
        <w:rPr>
          <w:rFonts w:hint="default" w:ascii="宋体" w:hAnsi="宋体" w:eastAsia="宋体" w:cs="宋体"/>
          <w:b/>
          <w:bCs/>
          <w:color w:val="auto"/>
          <w:sz w:val="28"/>
          <w:szCs w:val="28"/>
          <w:highlight w:val="none"/>
          <w:lang w:val="en-US" w:eastAsia="zh-CN"/>
        </w:rPr>
      </w:pPr>
      <w:bookmarkStart w:id="198" w:name="_Toc294_WPSOffice_Level2"/>
      <w:r>
        <w:rPr>
          <w:rFonts w:hint="eastAsia" w:ascii="宋体" w:hAnsi="宋体" w:eastAsia="宋体" w:cs="宋体"/>
          <w:b/>
          <w:bCs/>
          <w:color w:val="auto"/>
          <w:sz w:val="28"/>
          <w:szCs w:val="28"/>
          <w:highlight w:val="none"/>
        </w:rPr>
        <w:t>格式</w:t>
      </w:r>
      <w:r>
        <w:rPr>
          <w:rFonts w:hint="eastAsia" w:ascii="宋体" w:hAnsi="宋体" w:eastAsia="宋体" w:cs="宋体"/>
          <w:b/>
          <w:bCs/>
          <w:color w:val="auto"/>
          <w:sz w:val="28"/>
          <w:szCs w:val="28"/>
          <w:highlight w:val="none"/>
          <w:lang w:val="en-US" w:eastAsia="zh-CN"/>
        </w:rPr>
        <w:t>4-3</w:t>
      </w:r>
    </w:p>
    <w:p w14:paraId="770B45FB">
      <w:pPr>
        <w:adjustRightInd w:val="0"/>
        <w:snapToGrid w:val="0"/>
        <w:spacing w:after="0" w:line="360" w:lineRule="auto"/>
        <w:jc w:val="center"/>
        <w:outlineLvl w:val="2"/>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自然人授权委托书</w:t>
      </w:r>
      <w:bookmarkEnd w:id="198"/>
    </w:p>
    <w:p w14:paraId="681986C0">
      <w:pPr>
        <w:adjustRightInd w:val="0"/>
        <w:snapToGrid w:val="0"/>
        <w:spacing w:after="0" w:line="360" w:lineRule="auto"/>
        <w:jc w:val="center"/>
        <w:rPr>
          <w:rFonts w:hint="eastAsia" w:ascii="宋体" w:hAnsi="宋体" w:eastAsia="宋体" w:cs="宋体"/>
          <w:b w:val="0"/>
          <w:bCs w:val="0"/>
          <w:color w:val="auto"/>
          <w:sz w:val="21"/>
          <w:szCs w:val="21"/>
          <w:highlight w:val="none"/>
        </w:rPr>
      </w:pPr>
      <w:bookmarkStart w:id="199" w:name="_Toc4792_WPSOffice_Level2"/>
      <w:r>
        <w:rPr>
          <w:rFonts w:hint="eastAsia" w:ascii="宋体" w:hAnsi="宋体" w:eastAsia="宋体" w:cs="宋体"/>
          <w:b w:val="0"/>
          <w:bCs w:val="0"/>
          <w:color w:val="auto"/>
          <w:sz w:val="21"/>
          <w:szCs w:val="21"/>
          <w:highlight w:val="none"/>
        </w:rPr>
        <w:t>(适用于自然人投标)</w:t>
      </w:r>
      <w:bookmarkEnd w:id="199"/>
    </w:p>
    <w:p w14:paraId="48A7AF0B">
      <w:pPr>
        <w:pStyle w:val="15"/>
        <w:rPr>
          <w:rFonts w:hint="eastAsia" w:ascii="宋体" w:hAnsi="宋体" w:eastAsia="宋体" w:cs="宋体"/>
          <w:color w:val="auto"/>
          <w:highlight w:val="none"/>
        </w:rPr>
      </w:pPr>
    </w:p>
    <w:p w14:paraId="2F95846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致____________(采购人或采购代理机构)</w:t>
      </w:r>
      <w:r>
        <w:rPr>
          <w:rFonts w:hint="eastAsia" w:ascii="宋体" w:hAnsi="宋体" w:eastAsia="宋体" w:cs="宋体"/>
          <w:color w:val="auto"/>
          <w:highlight w:val="none"/>
          <w:lang w:eastAsia="zh-CN"/>
        </w:rPr>
        <w:t>：</w:t>
      </w:r>
    </w:p>
    <w:p w14:paraId="29DFF98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本授权书声明</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我________(姓名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身份证号码)系自然人</w:t>
      </w:r>
      <w:r>
        <w:rPr>
          <w:rFonts w:hint="eastAsia" w:ascii="宋体" w:hAnsi="宋体" w:cs="宋体"/>
          <w:color w:val="auto"/>
          <w:highlight w:val="none"/>
          <w:lang w:eastAsia="zh-CN"/>
        </w:rPr>
        <w:t>，</w:t>
      </w:r>
      <w:r>
        <w:rPr>
          <w:rFonts w:hint="eastAsia" w:ascii="宋体" w:hAnsi="宋体" w:eastAsia="宋体" w:cs="宋体"/>
          <w:color w:val="auto"/>
          <w:highlight w:val="none"/>
        </w:rPr>
        <w:t>现授权委托____________(姓名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身份证号码)以本人名义参加《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项目》（项目编号</w:t>
      </w:r>
      <w:r>
        <w:rPr>
          <w:rFonts w:hint="eastAsia" w:ascii="宋体" w:hAnsi="宋体" w:eastAsia="宋体" w:cs="宋体"/>
          <w:color w:val="auto"/>
          <w:highlight w:val="none"/>
          <w:lang w:eastAsia="zh-CN"/>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）的投标活动</w:t>
      </w:r>
      <w:r>
        <w:rPr>
          <w:rFonts w:hint="eastAsia" w:ascii="宋体" w:hAnsi="宋体" w:cs="宋体"/>
          <w:color w:val="auto"/>
          <w:highlight w:val="none"/>
          <w:lang w:eastAsia="zh-CN"/>
        </w:rPr>
        <w:t>，</w:t>
      </w:r>
      <w:r>
        <w:rPr>
          <w:rFonts w:hint="eastAsia" w:ascii="宋体" w:hAnsi="宋体" w:eastAsia="宋体" w:cs="宋体"/>
          <w:color w:val="auto"/>
          <w:highlight w:val="none"/>
        </w:rPr>
        <w:t>并代表本人全权办理针对上述项目的投标</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签约等具体事务和签署相关文件。</w:t>
      </w:r>
    </w:p>
    <w:p w14:paraId="33B9657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本人对被授权人的签字事项负全部责任。</w:t>
      </w:r>
    </w:p>
    <w:p w14:paraId="26BD254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授权委托代理期限</w:t>
      </w:r>
      <w:r>
        <w:rPr>
          <w:rFonts w:hint="eastAsia" w:ascii="宋体" w:hAnsi="宋体" w:eastAsia="宋体" w:cs="宋体"/>
          <w:color w:val="auto"/>
          <w:highlight w:val="none"/>
          <w:lang w:eastAsia="zh-CN"/>
        </w:rPr>
        <w:t>：</w:t>
      </w:r>
      <w:r>
        <w:rPr>
          <w:rFonts w:hint="eastAsia" w:ascii="宋体" w:hAnsi="宋体" w:eastAsia="宋体" w:cs="宋体"/>
          <w:color w:val="auto"/>
          <w:highlight w:val="none"/>
          <w:u w:val="single"/>
        </w:rPr>
        <w:t>从　　年　　月　　日</w:t>
      </w:r>
      <w:r>
        <w:rPr>
          <w:rFonts w:hint="eastAsia" w:ascii="宋体" w:hAnsi="宋体" w:eastAsia="宋体" w:cs="宋体"/>
          <w:color w:val="auto"/>
          <w:highlight w:val="none"/>
        </w:rPr>
        <w:t>起至</w:t>
      </w:r>
      <w:r>
        <w:rPr>
          <w:rFonts w:hint="eastAsia" w:ascii="宋体" w:hAnsi="宋体" w:eastAsia="宋体" w:cs="宋体"/>
          <w:color w:val="auto"/>
          <w:highlight w:val="none"/>
          <w:u w:val="single"/>
        </w:rPr>
        <w:t>　　年　　月　　日止</w:t>
      </w:r>
      <w:r>
        <w:rPr>
          <w:rFonts w:hint="eastAsia" w:ascii="宋体" w:hAnsi="宋体" w:eastAsia="宋体" w:cs="宋体"/>
          <w:color w:val="auto"/>
          <w:highlight w:val="none"/>
        </w:rPr>
        <w:t>。</w:t>
      </w:r>
    </w:p>
    <w:p w14:paraId="6E5F02F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p>
    <w:p w14:paraId="55B8446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代理人无转委托权</w:t>
      </w:r>
      <w:r>
        <w:rPr>
          <w:rFonts w:hint="eastAsia" w:ascii="宋体" w:hAnsi="宋体" w:cs="宋体"/>
          <w:color w:val="auto"/>
          <w:highlight w:val="none"/>
          <w:lang w:eastAsia="zh-CN"/>
        </w:rPr>
        <w:t>，</w:t>
      </w:r>
      <w:r>
        <w:rPr>
          <w:rFonts w:hint="eastAsia" w:ascii="宋体" w:hAnsi="宋体" w:eastAsia="宋体" w:cs="宋体"/>
          <w:color w:val="auto"/>
          <w:highlight w:val="none"/>
        </w:rPr>
        <w:t>特此委托。</w:t>
      </w:r>
    </w:p>
    <w:p w14:paraId="1A2F13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p>
    <w:p w14:paraId="6B6C59E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我已在下面签字</w:t>
      </w:r>
      <w:r>
        <w:rPr>
          <w:rFonts w:hint="eastAsia" w:ascii="宋体" w:hAnsi="宋体" w:cs="宋体"/>
          <w:color w:val="auto"/>
          <w:highlight w:val="none"/>
          <w:lang w:eastAsia="zh-CN"/>
        </w:rPr>
        <w:t>，</w:t>
      </w:r>
      <w:r>
        <w:rPr>
          <w:rFonts w:hint="eastAsia" w:ascii="宋体" w:hAnsi="宋体" w:eastAsia="宋体" w:cs="宋体"/>
          <w:color w:val="auto"/>
          <w:highlight w:val="none"/>
        </w:rPr>
        <w:t>以资证明。</w:t>
      </w:r>
    </w:p>
    <w:p w14:paraId="594CED0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p>
    <w:p w14:paraId="67BBB9F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自然人签字并在签名处加盖食指指印</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　　　　年　　月　　日</w:t>
      </w:r>
    </w:p>
    <w:p w14:paraId="4C2A96D8">
      <w:pPr>
        <w:pStyle w:val="15"/>
        <w:spacing w:line="360" w:lineRule="auto"/>
        <w:ind w:firstLine="480" w:firstLineChars="200"/>
        <w:rPr>
          <w:rFonts w:hint="eastAsia" w:ascii="宋体" w:hAnsi="宋体" w:eastAsia="宋体" w:cs="宋体"/>
          <w:color w:val="auto"/>
          <w:sz w:val="24"/>
          <w:szCs w:val="24"/>
          <w:highlight w:val="none"/>
        </w:rPr>
      </w:pPr>
    </w:p>
    <w:p w14:paraId="2B76A2B4">
      <w:pPr>
        <w:topLinePunct/>
        <w:autoSpaceDE w:val="0"/>
        <w:autoSpaceDN w:val="0"/>
        <w:adjustRightInd w:val="0"/>
        <w:snapToGrid w:val="0"/>
        <w:spacing w:after="0" w:line="360" w:lineRule="auto"/>
        <w:jc w:val="left"/>
        <w:rPr>
          <w:rFonts w:hint="eastAsia" w:ascii="宋体" w:hAnsi="宋体" w:eastAsia="宋体" w:cs="宋体"/>
          <w:color w:val="auto"/>
          <w:highlight w:val="none"/>
        </w:rPr>
      </w:pPr>
    </w:p>
    <w:p w14:paraId="0695DEC5">
      <w:pPr>
        <w:topLinePunct/>
        <w:autoSpaceDE w:val="0"/>
        <w:autoSpaceDN w:val="0"/>
        <w:adjustRightInd w:val="0"/>
        <w:snapToGrid w:val="0"/>
        <w:spacing w:after="0" w:line="360" w:lineRule="auto"/>
        <w:jc w:val="left"/>
        <w:rPr>
          <w:rFonts w:hint="eastAsia" w:ascii="宋体" w:hAnsi="宋体" w:eastAsia="宋体" w:cs="宋体"/>
          <w:i/>
          <w:iCs/>
          <w:color w:val="auto"/>
          <w:highlight w:val="none"/>
          <w:lang w:eastAsia="zh-CN"/>
        </w:rPr>
      </w:pPr>
      <w:r>
        <w:rPr>
          <w:rFonts w:hint="eastAsia" w:ascii="宋体" w:hAnsi="宋体" w:eastAsia="宋体" w:cs="宋体"/>
          <w:color w:val="auto"/>
          <w:highlight w:val="none"/>
        </w:rPr>
        <w:t>特别说明</w:t>
      </w:r>
      <w:r>
        <w:rPr>
          <w:rFonts w:hint="eastAsia" w:ascii="宋体" w:hAnsi="宋体" w:eastAsia="宋体" w:cs="宋体"/>
          <w:color w:val="auto"/>
          <w:highlight w:val="none"/>
          <w:lang w:eastAsia="zh-CN"/>
        </w:rPr>
        <w:t>：</w:t>
      </w:r>
    </w:p>
    <w:p w14:paraId="4EDD8911">
      <w:pPr>
        <w:tabs>
          <w:tab w:val="left" w:pos="312"/>
        </w:tabs>
        <w:topLinePunct/>
        <w:autoSpaceDE w:val="0"/>
        <w:autoSpaceDN w:val="0"/>
        <w:adjustRightInd w:val="0"/>
        <w:snapToGrid w:val="0"/>
        <w:spacing w:after="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投标人如由</w:t>
      </w:r>
      <w:r>
        <w:rPr>
          <w:rFonts w:hint="eastAsia" w:ascii="宋体" w:hAnsi="宋体" w:eastAsia="宋体" w:cs="宋体"/>
          <w:b/>
          <w:bCs/>
          <w:color w:val="auto"/>
          <w:highlight w:val="none"/>
        </w:rPr>
        <w:t>被授权人参与投标活动的</w:t>
      </w:r>
      <w:r>
        <w:rPr>
          <w:rFonts w:hint="eastAsia" w:ascii="宋体" w:hAnsi="宋体" w:cs="宋体"/>
          <w:b/>
          <w:bCs/>
          <w:color w:val="auto"/>
          <w:highlight w:val="none"/>
          <w:lang w:eastAsia="zh-CN"/>
        </w:rPr>
        <w:t>，</w:t>
      </w:r>
      <w:r>
        <w:rPr>
          <w:rFonts w:hint="eastAsia" w:ascii="宋体" w:hAnsi="宋体" w:eastAsia="宋体" w:cs="宋体"/>
          <w:color w:val="auto"/>
          <w:highlight w:val="none"/>
        </w:rPr>
        <w:t>须提供《自然人授权委托书》</w:t>
      </w:r>
      <w:r>
        <w:rPr>
          <w:rFonts w:hint="eastAsia" w:ascii="宋体" w:hAnsi="宋体" w:cs="宋体"/>
          <w:color w:val="auto"/>
          <w:highlight w:val="none"/>
          <w:lang w:eastAsia="zh-CN"/>
        </w:rPr>
        <w:t>，</w:t>
      </w:r>
      <w:r>
        <w:rPr>
          <w:rFonts w:hint="eastAsia" w:ascii="宋体" w:hAnsi="宋体" w:eastAsia="宋体" w:cs="宋体"/>
          <w:color w:val="auto"/>
          <w:highlight w:val="none"/>
        </w:rPr>
        <w:t>《自然人授权委托书》应当按本格式要求签字并由自然人在签名处加盖食指指印</w:t>
      </w:r>
      <w:r>
        <w:rPr>
          <w:rFonts w:hint="eastAsia" w:ascii="宋体" w:hAnsi="宋体" w:eastAsia="宋体" w:cs="宋体"/>
          <w:color w:val="auto"/>
          <w:szCs w:val="21"/>
          <w:highlight w:val="none"/>
        </w:rPr>
        <w:t>。</w:t>
      </w:r>
    </w:p>
    <w:p w14:paraId="7C703979">
      <w:pPr>
        <w:pStyle w:val="15"/>
        <w:ind w:firstLine="420" w:firstLineChars="200"/>
        <w:rPr>
          <w:rFonts w:hAnsi="宋体" w:cs="宋体"/>
          <w:b/>
          <w:bCs/>
          <w:color w:val="auto"/>
          <w:sz w:val="36"/>
          <w:szCs w:val="36"/>
          <w:highlight w:val="none"/>
        </w:rPr>
      </w:pPr>
      <w:r>
        <w:rPr>
          <w:rFonts w:ascii="Times New Roman" w:hAnsi="Times New Roman" w:eastAsia="仿宋_GB2312"/>
          <w:color w:val="auto"/>
          <w:highlight w:val="none"/>
        </w:rPr>
        <w:br w:type="page"/>
      </w:r>
    </w:p>
    <w:p w14:paraId="09FDEB9C">
      <w:pPr>
        <w:pStyle w:val="4"/>
        <w:keepNext/>
        <w:keepLines/>
        <w:pageBreakBefore w:val="0"/>
        <w:widowControl w:val="0"/>
        <w:kinsoku/>
        <w:wordWrap/>
        <w:overflowPunct/>
        <w:topLinePunct w:val="0"/>
        <w:autoSpaceDE/>
        <w:autoSpaceDN/>
        <w:bidi w:val="0"/>
        <w:adjustRightInd/>
        <w:snapToGrid/>
        <w:spacing w:after="0" w:afterLines="100"/>
        <w:jc w:val="both"/>
        <w:textAlignment w:val="auto"/>
        <w:outlineLvl w:val="1"/>
        <w:rPr>
          <w:rFonts w:hint="eastAsia" w:ascii="宋体" w:hAnsi="宋体" w:eastAsia="宋体" w:cs="宋体"/>
          <w:b/>
          <w:bCs/>
          <w:color w:val="auto"/>
          <w:sz w:val="28"/>
          <w:szCs w:val="28"/>
          <w:highlight w:val="none"/>
          <w:lang w:eastAsia="zh-CN"/>
        </w:rPr>
      </w:pPr>
      <w:bookmarkStart w:id="200" w:name="_Toc4475"/>
      <w:bookmarkStart w:id="201" w:name="_Toc15186_WPSOffice_Level2"/>
      <w:bookmarkStart w:id="202" w:name="_Toc8860"/>
      <w:bookmarkStart w:id="203" w:name="_Toc18153"/>
      <w:r>
        <w:rPr>
          <w:rFonts w:hint="eastAsia" w:ascii="宋体" w:hAnsi="宋体" w:eastAsia="宋体" w:cs="宋体"/>
          <w:b/>
          <w:bCs/>
          <w:color w:val="auto"/>
          <w:spacing w:val="0"/>
          <w:kern w:val="2"/>
          <w:sz w:val="28"/>
          <w:szCs w:val="28"/>
          <w:highlight w:val="none"/>
          <w:lang w:val="en-US" w:eastAsia="zh-CN" w:bidi="ar-SA"/>
        </w:rPr>
        <w:t>格式</w:t>
      </w:r>
      <w:r>
        <w:rPr>
          <w:rFonts w:hint="eastAsia" w:ascii="宋体" w:hAnsi="宋体" w:cs="宋体"/>
          <w:b/>
          <w:bCs/>
          <w:color w:val="auto"/>
          <w:spacing w:val="0"/>
          <w:kern w:val="2"/>
          <w:sz w:val="28"/>
          <w:szCs w:val="28"/>
          <w:highlight w:val="none"/>
          <w:lang w:val="en-US" w:eastAsia="zh-CN" w:bidi="ar-SA"/>
        </w:rPr>
        <w:t>5</w:t>
      </w:r>
    </w:p>
    <w:p w14:paraId="3AD0C15D">
      <w:pPr>
        <w:pStyle w:val="5"/>
        <w:keepNext/>
        <w:keepLines/>
        <w:pageBreakBefore w:val="0"/>
        <w:widowControl w:val="0"/>
        <w:kinsoku/>
        <w:wordWrap/>
        <w:overflowPunct/>
        <w:topLinePunct w:val="0"/>
        <w:autoSpaceDE/>
        <w:autoSpaceDN/>
        <w:bidi w:val="0"/>
        <w:adjustRightInd/>
        <w:snapToGrid/>
        <w:spacing w:after="0" w:afterLines="100" w:line="440" w:lineRule="exact"/>
        <w:jc w:val="center"/>
        <w:textAlignment w:val="auto"/>
        <w:outlineLvl w:val="2"/>
        <w:rPr>
          <w:rFonts w:hint="eastAsia" w:ascii="宋体" w:hAnsi="宋体" w:eastAsia="宋体" w:cs="Times New Roman"/>
          <w:b/>
          <w:bCs w:val="0"/>
          <w:color w:val="auto"/>
          <w:szCs w:val="32"/>
          <w:highlight w:val="none"/>
          <w:lang w:val="en-US" w:eastAsia="zh-CN"/>
        </w:rPr>
      </w:pPr>
      <w:r>
        <w:rPr>
          <w:rFonts w:hint="eastAsia" w:ascii="宋体" w:hAnsi="宋体" w:eastAsia="宋体" w:cs="Times New Roman"/>
          <w:b/>
          <w:bCs w:val="0"/>
          <w:color w:val="auto"/>
          <w:szCs w:val="32"/>
          <w:highlight w:val="none"/>
          <w:lang w:val="en-US" w:eastAsia="zh-CN"/>
        </w:rPr>
        <w:t>商务条款偏离表</w:t>
      </w:r>
    </w:p>
    <w:tbl>
      <w:tblPr>
        <w:tblStyle w:val="25"/>
        <w:tblW w:w="8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4893"/>
        <w:gridCol w:w="1301"/>
        <w:gridCol w:w="1183"/>
        <w:gridCol w:w="739"/>
      </w:tblGrid>
      <w:tr w14:paraId="7E57D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21" w:hRule="atLeast"/>
          <w:jc w:val="center"/>
        </w:trPr>
        <w:tc>
          <w:tcPr>
            <w:tcW w:w="742" w:type="dxa"/>
            <w:tcBorders>
              <w:top w:val="single" w:color="auto" w:sz="4" w:space="0"/>
              <w:left w:val="single" w:color="auto" w:sz="4" w:space="0"/>
              <w:bottom w:val="single" w:color="auto" w:sz="4" w:space="0"/>
              <w:right w:val="single" w:color="auto" w:sz="4" w:space="0"/>
            </w:tcBorders>
            <w:noWrap/>
            <w:vAlign w:val="center"/>
          </w:tcPr>
          <w:p w14:paraId="77FCE860">
            <w:pPr>
              <w:pageBreakBefore w:val="0"/>
              <w:widowControl w:val="0"/>
              <w:kinsoku/>
              <w:wordWrap/>
              <w:overflowPunct/>
              <w:topLinePunct/>
              <w:autoSpaceDE w:val="0"/>
              <w:autoSpaceDN w:val="0"/>
              <w:bidi w:val="0"/>
              <w:spacing w:beforeLines="20" w:after="4" w:line="440" w:lineRule="exact"/>
              <w:jc w:val="center"/>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序号</w:t>
            </w:r>
          </w:p>
        </w:tc>
        <w:tc>
          <w:tcPr>
            <w:tcW w:w="4893" w:type="dxa"/>
            <w:tcBorders>
              <w:top w:val="single" w:color="auto" w:sz="4" w:space="0"/>
              <w:left w:val="single" w:color="auto" w:sz="4" w:space="0"/>
              <w:bottom w:val="single" w:color="auto" w:sz="4" w:space="0"/>
              <w:right w:val="single" w:color="auto" w:sz="4" w:space="0"/>
            </w:tcBorders>
            <w:noWrap/>
            <w:vAlign w:val="center"/>
          </w:tcPr>
          <w:p w14:paraId="5A85A5E7">
            <w:pPr>
              <w:pageBreakBefore w:val="0"/>
              <w:widowControl w:val="0"/>
              <w:kinsoku/>
              <w:wordWrap/>
              <w:overflowPunct/>
              <w:topLinePunct/>
              <w:autoSpaceDE w:val="0"/>
              <w:autoSpaceDN w:val="0"/>
              <w:bidi w:val="0"/>
              <w:spacing w:beforeLines="20" w:after="4" w:line="440" w:lineRule="exact"/>
              <w:jc w:val="center"/>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招标文件</w:t>
            </w:r>
          </w:p>
          <w:p w14:paraId="3B062907">
            <w:pPr>
              <w:pageBreakBefore w:val="0"/>
              <w:widowControl w:val="0"/>
              <w:kinsoku/>
              <w:wordWrap/>
              <w:overflowPunct/>
              <w:topLinePunct/>
              <w:autoSpaceDE w:val="0"/>
              <w:autoSpaceDN w:val="0"/>
              <w:bidi w:val="0"/>
              <w:spacing w:beforeLines="20" w:after="4" w:line="440" w:lineRule="exact"/>
              <w:jc w:val="center"/>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技术部分内容要求</w:t>
            </w:r>
          </w:p>
        </w:tc>
        <w:tc>
          <w:tcPr>
            <w:tcW w:w="1301" w:type="dxa"/>
            <w:tcBorders>
              <w:top w:val="single" w:color="auto" w:sz="4" w:space="0"/>
              <w:left w:val="single" w:color="auto" w:sz="4" w:space="0"/>
              <w:bottom w:val="single" w:color="auto" w:sz="4" w:space="0"/>
              <w:right w:val="single" w:color="auto" w:sz="4" w:space="0"/>
            </w:tcBorders>
            <w:noWrap/>
            <w:vAlign w:val="center"/>
          </w:tcPr>
          <w:p w14:paraId="0C8D6F3B">
            <w:pPr>
              <w:pageBreakBefore w:val="0"/>
              <w:widowControl w:val="0"/>
              <w:kinsoku/>
              <w:wordWrap/>
              <w:overflowPunct/>
              <w:topLinePunct/>
              <w:autoSpaceDE w:val="0"/>
              <w:autoSpaceDN w:val="0"/>
              <w:bidi w:val="0"/>
              <w:spacing w:beforeLines="20" w:after="4" w:line="440" w:lineRule="exact"/>
              <w:jc w:val="center"/>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投标文件商务条款</w:t>
            </w:r>
          </w:p>
        </w:tc>
        <w:tc>
          <w:tcPr>
            <w:tcW w:w="1183" w:type="dxa"/>
            <w:tcBorders>
              <w:top w:val="single" w:color="auto" w:sz="4" w:space="0"/>
              <w:left w:val="single" w:color="auto" w:sz="4" w:space="0"/>
              <w:bottom w:val="single" w:color="auto" w:sz="4" w:space="0"/>
              <w:right w:val="single" w:color="auto" w:sz="4" w:space="0"/>
            </w:tcBorders>
            <w:noWrap/>
            <w:vAlign w:val="center"/>
          </w:tcPr>
          <w:p w14:paraId="63A87D2D">
            <w:pPr>
              <w:pageBreakBefore w:val="0"/>
              <w:widowControl w:val="0"/>
              <w:kinsoku/>
              <w:wordWrap/>
              <w:overflowPunct/>
              <w:topLinePunct/>
              <w:autoSpaceDE w:val="0"/>
              <w:autoSpaceDN w:val="0"/>
              <w:bidi w:val="0"/>
              <w:spacing w:beforeLines="20" w:after="4" w:line="440" w:lineRule="exact"/>
              <w:jc w:val="center"/>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偏离</w:t>
            </w:r>
          </w:p>
          <w:p w14:paraId="45A66871">
            <w:pPr>
              <w:pageBreakBefore w:val="0"/>
              <w:widowControl w:val="0"/>
              <w:kinsoku/>
              <w:wordWrap/>
              <w:overflowPunct/>
              <w:topLinePunct/>
              <w:autoSpaceDE w:val="0"/>
              <w:autoSpaceDN w:val="0"/>
              <w:bidi w:val="0"/>
              <w:spacing w:beforeLines="20" w:after="4" w:line="440" w:lineRule="exact"/>
              <w:jc w:val="center"/>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（无/正/负）</w:t>
            </w:r>
          </w:p>
        </w:tc>
        <w:tc>
          <w:tcPr>
            <w:tcW w:w="739" w:type="dxa"/>
            <w:tcBorders>
              <w:top w:val="single" w:color="auto" w:sz="4" w:space="0"/>
              <w:left w:val="single" w:color="auto" w:sz="4" w:space="0"/>
              <w:bottom w:val="single" w:color="auto" w:sz="4" w:space="0"/>
              <w:right w:val="single" w:color="auto" w:sz="4" w:space="0"/>
            </w:tcBorders>
            <w:noWrap/>
            <w:vAlign w:val="center"/>
          </w:tcPr>
          <w:p w14:paraId="1AD148E9">
            <w:pPr>
              <w:pageBreakBefore w:val="0"/>
              <w:widowControl w:val="0"/>
              <w:kinsoku/>
              <w:wordWrap/>
              <w:overflowPunct/>
              <w:topLinePunct/>
              <w:autoSpaceDE w:val="0"/>
              <w:autoSpaceDN w:val="0"/>
              <w:bidi w:val="0"/>
              <w:spacing w:beforeLines="20" w:after="4" w:line="440" w:lineRule="exact"/>
              <w:jc w:val="center"/>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说明</w:t>
            </w:r>
          </w:p>
        </w:tc>
      </w:tr>
      <w:tr w14:paraId="7D632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42" w:type="dxa"/>
            <w:tcBorders>
              <w:top w:val="single" w:color="auto" w:sz="4" w:space="0"/>
              <w:left w:val="single" w:color="auto" w:sz="4" w:space="0"/>
              <w:bottom w:val="single" w:color="auto" w:sz="4" w:space="0"/>
              <w:right w:val="single" w:color="auto" w:sz="4" w:space="0"/>
            </w:tcBorders>
            <w:noWrap/>
            <w:vAlign w:val="center"/>
          </w:tcPr>
          <w:p w14:paraId="3C919EB7">
            <w:pPr>
              <w:pageBreakBefore w:val="0"/>
              <w:widowControl w:val="0"/>
              <w:kinsoku/>
              <w:wordWrap/>
              <w:overflowPunct/>
              <w:topLinePunct/>
              <w:autoSpaceDE w:val="0"/>
              <w:autoSpaceDN w:val="0"/>
              <w:bidi w:val="0"/>
              <w:spacing w:beforeLines="20" w:after="4" w:line="440" w:lineRule="exact"/>
              <w:jc w:val="center"/>
              <w:textAlignment w:val="auto"/>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1</w:t>
            </w:r>
          </w:p>
        </w:tc>
        <w:tc>
          <w:tcPr>
            <w:tcW w:w="4893" w:type="dxa"/>
            <w:tcBorders>
              <w:top w:val="single" w:color="auto" w:sz="4" w:space="0"/>
              <w:left w:val="single" w:color="auto" w:sz="4" w:space="0"/>
              <w:bottom w:val="single" w:color="auto" w:sz="4" w:space="0"/>
              <w:right w:val="single" w:color="auto" w:sz="4" w:space="0"/>
            </w:tcBorders>
            <w:noWrap/>
            <w:vAlign w:val="center"/>
          </w:tcPr>
          <w:p w14:paraId="382B731D">
            <w:pPr>
              <w:pageBreakBefore w:val="0"/>
              <w:widowControl w:val="0"/>
              <w:kinsoku/>
              <w:wordWrap/>
              <w:overflowPunct/>
              <w:topLinePunct/>
              <w:autoSpaceDE w:val="0"/>
              <w:autoSpaceDN w:val="0"/>
              <w:bidi w:val="0"/>
              <w:spacing w:beforeLines="20" w:after="4" w:line="440" w:lineRule="exact"/>
              <w:jc w:val="left"/>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服务期限：</w:t>
            </w:r>
            <w:r>
              <w:rPr>
                <w:rFonts w:hint="eastAsia" w:asciiTheme="minorEastAsia" w:hAnsiTheme="minorEastAsia" w:eastAsiaTheme="minorEastAsia" w:cstheme="minorEastAsia"/>
                <w:b w:val="0"/>
                <w:bCs/>
                <w:color w:val="auto"/>
                <w:sz w:val="21"/>
                <w:szCs w:val="21"/>
                <w:highlight w:val="none"/>
                <w:lang w:val="en-US" w:eastAsia="zh-CN"/>
              </w:rPr>
              <w:t>一年，自合同签订生效之日起至合同全部权利义务履行完毕。</w:t>
            </w:r>
          </w:p>
          <w:p w14:paraId="1F6C3C67">
            <w:pPr>
              <w:pageBreakBefore w:val="0"/>
              <w:widowControl w:val="0"/>
              <w:kinsoku/>
              <w:wordWrap/>
              <w:overflowPunct/>
              <w:topLinePunct/>
              <w:autoSpaceDE w:val="0"/>
              <w:autoSpaceDN w:val="0"/>
              <w:bidi w:val="0"/>
              <w:spacing w:beforeLines="20" w:after="4" w:line="440" w:lineRule="exact"/>
              <w:jc w:val="left"/>
              <w:textAlignment w:val="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bCs w:val="0"/>
                <w:color w:val="auto"/>
                <w:sz w:val="21"/>
                <w:szCs w:val="21"/>
                <w:highlight w:val="none"/>
                <w:lang w:eastAsia="zh-CN"/>
              </w:rPr>
              <w:t>服务地点：</w:t>
            </w:r>
            <w:r>
              <w:rPr>
                <w:rFonts w:hint="eastAsia" w:asciiTheme="minorEastAsia" w:hAnsiTheme="minorEastAsia" w:eastAsiaTheme="minorEastAsia" w:cstheme="minorEastAsia"/>
                <w:b w:val="0"/>
                <w:bCs/>
                <w:color w:val="auto"/>
                <w:sz w:val="21"/>
                <w:szCs w:val="21"/>
                <w:highlight w:val="none"/>
                <w:lang w:eastAsia="zh-CN"/>
              </w:rPr>
              <w:t>昆明市官渡区宝海路519号、日新路1263号、螺蛳湾国际商贸城3期28区3楼。</w:t>
            </w:r>
          </w:p>
          <w:p w14:paraId="12F61BC4">
            <w:pPr>
              <w:pageBreakBefore w:val="0"/>
              <w:widowControl w:val="0"/>
              <w:kinsoku/>
              <w:wordWrap/>
              <w:overflowPunct/>
              <w:topLinePunct/>
              <w:autoSpaceDE w:val="0"/>
              <w:autoSpaceDN w:val="0"/>
              <w:bidi w:val="0"/>
              <w:spacing w:beforeLines="20" w:after="4" w:line="440" w:lineRule="exact"/>
              <w:jc w:val="left"/>
              <w:textAlignment w:val="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合同履行期限</w:t>
            </w:r>
            <w:r>
              <w:rPr>
                <w:rFonts w:hint="eastAsia" w:asciiTheme="minorEastAsia" w:hAnsiTheme="minorEastAsia" w:eastAsiaTheme="minorEastAsia" w:cstheme="minorEastAsia"/>
                <w:b/>
                <w:bCs w:val="0"/>
                <w:color w:val="auto"/>
                <w:sz w:val="21"/>
                <w:szCs w:val="21"/>
                <w:highlight w:val="none"/>
                <w:lang w:eastAsia="zh-CN"/>
              </w:rPr>
              <w:t>：</w:t>
            </w:r>
            <w:r>
              <w:rPr>
                <w:rFonts w:hint="eastAsia" w:asciiTheme="minorEastAsia" w:hAnsiTheme="minorEastAsia" w:eastAsiaTheme="minorEastAsia" w:cstheme="minorEastAsia"/>
                <w:b w:val="0"/>
                <w:bCs/>
                <w:color w:val="auto"/>
                <w:sz w:val="21"/>
                <w:szCs w:val="21"/>
                <w:highlight w:val="none"/>
                <w:lang w:eastAsia="zh-CN"/>
              </w:rPr>
              <w:t>一年，自合同签订生效之日起至合同全部权利义务履行完毕。</w:t>
            </w:r>
          </w:p>
        </w:tc>
        <w:tc>
          <w:tcPr>
            <w:tcW w:w="1301" w:type="dxa"/>
            <w:tcBorders>
              <w:top w:val="single" w:color="auto" w:sz="4" w:space="0"/>
              <w:left w:val="single" w:color="auto" w:sz="4" w:space="0"/>
              <w:bottom w:val="single" w:color="auto" w:sz="4" w:space="0"/>
              <w:right w:val="single" w:color="auto" w:sz="4" w:space="0"/>
            </w:tcBorders>
            <w:noWrap/>
            <w:vAlign w:val="center"/>
          </w:tcPr>
          <w:p w14:paraId="3D0C3650">
            <w:pPr>
              <w:pageBreakBefore w:val="0"/>
              <w:widowControl w:val="0"/>
              <w:kinsoku/>
              <w:wordWrap/>
              <w:overflowPunct/>
              <w:topLinePunct/>
              <w:autoSpaceDE w:val="0"/>
              <w:autoSpaceDN w:val="0"/>
              <w:bidi w:val="0"/>
              <w:spacing w:beforeLines="20" w:after="4" w:line="440" w:lineRule="exact"/>
              <w:jc w:val="center"/>
              <w:textAlignment w:val="auto"/>
              <w:rPr>
                <w:rFonts w:hint="eastAsia" w:asciiTheme="minorEastAsia" w:hAnsiTheme="minorEastAsia" w:eastAsiaTheme="minorEastAsia" w:cstheme="minorEastAsia"/>
                <w:b/>
                <w:color w:val="auto"/>
                <w:sz w:val="21"/>
                <w:szCs w:val="21"/>
                <w:highlight w:val="none"/>
              </w:rPr>
            </w:pPr>
          </w:p>
        </w:tc>
        <w:tc>
          <w:tcPr>
            <w:tcW w:w="1183" w:type="dxa"/>
            <w:tcBorders>
              <w:top w:val="single" w:color="auto" w:sz="4" w:space="0"/>
              <w:left w:val="single" w:color="auto" w:sz="4" w:space="0"/>
              <w:bottom w:val="single" w:color="auto" w:sz="4" w:space="0"/>
              <w:right w:val="single" w:color="auto" w:sz="4" w:space="0"/>
            </w:tcBorders>
            <w:noWrap/>
            <w:vAlign w:val="center"/>
          </w:tcPr>
          <w:p w14:paraId="29624002">
            <w:pPr>
              <w:pageBreakBefore w:val="0"/>
              <w:widowControl w:val="0"/>
              <w:kinsoku/>
              <w:wordWrap/>
              <w:overflowPunct/>
              <w:topLinePunct/>
              <w:autoSpaceDE w:val="0"/>
              <w:autoSpaceDN w:val="0"/>
              <w:bidi w:val="0"/>
              <w:spacing w:beforeLines="20" w:after="4" w:line="440" w:lineRule="exact"/>
              <w:jc w:val="center"/>
              <w:textAlignment w:val="auto"/>
              <w:rPr>
                <w:rFonts w:hint="eastAsia" w:asciiTheme="minorEastAsia" w:hAnsiTheme="minorEastAsia" w:eastAsiaTheme="minorEastAsia" w:cstheme="minorEastAsia"/>
                <w:b/>
                <w:color w:val="auto"/>
                <w:sz w:val="21"/>
                <w:szCs w:val="21"/>
                <w:highlight w:val="none"/>
              </w:rPr>
            </w:pPr>
          </w:p>
        </w:tc>
        <w:tc>
          <w:tcPr>
            <w:tcW w:w="739" w:type="dxa"/>
            <w:tcBorders>
              <w:top w:val="single" w:color="auto" w:sz="4" w:space="0"/>
              <w:left w:val="single" w:color="auto" w:sz="4" w:space="0"/>
              <w:bottom w:val="single" w:color="auto" w:sz="4" w:space="0"/>
              <w:right w:val="single" w:color="auto" w:sz="4" w:space="0"/>
            </w:tcBorders>
            <w:noWrap/>
            <w:vAlign w:val="center"/>
          </w:tcPr>
          <w:p w14:paraId="3317E138">
            <w:pPr>
              <w:pageBreakBefore w:val="0"/>
              <w:widowControl w:val="0"/>
              <w:kinsoku/>
              <w:wordWrap/>
              <w:overflowPunct/>
              <w:topLinePunct/>
              <w:autoSpaceDE w:val="0"/>
              <w:autoSpaceDN w:val="0"/>
              <w:bidi w:val="0"/>
              <w:spacing w:beforeLines="20" w:after="4" w:line="440" w:lineRule="exact"/>
              <w:jc w:val="center"/>
              <w:textAlignment w:val="auto"/>
              <w:rPr>
                <w:rFonts w:hint="eastAsia" w:asciiTheme="minorEastAsia" w:hAnsiTheme="minorEastAsia" w:eastAsiaTheme="minorEastAsia" w:cstheme="minorEastAsia"/>
                <w:b/>
                <w:color w:val="auto"/>
                <w:sz w:val="21"/>
                <w:szCs w:val="21"/>
                <w:highlight w:val="none"/>
              </w:rPr>
            </w:pPr>
          </w:p>
        </w:tc>
      </w:tr>
      <w:tr w14:paraId="627B6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42" w:type="dxa"/>
            <w:tcBorders>
              <w:top w:val="single" w:color="auto" w:sz="4" w:space="0"/>
              <w:left w:val="single" w:color="auto" w:sz="4" w:space="0"/>
              <w:bottom w:val="single" w:color="auto" w:sz="4" w:space="0"/>
              <w:right w:val="single" w:color="auto" w:sz="4" w:space="0"/>
            </w:tcBorders>
            <w:noWrap/>
            <w:vAlign w:val="center"/>
          </w:tcPr>
          <w:p w14:paraId="745B794D">
            <w:pPr>
              <w:pageBreakBefore w:val="0"/>
              <w:widowControl w:val="0"/>
              <w:kinsoku/>
              <w:wordWrap/>
              <w:overflowPunct/>
              <w:topLinePunct/>
              <w:autoSpaceDE w:val="0"/>
              <w:autoSpaceDN w:val="0"/>
              <w:bidi w:val="0"/>
              <w:spacing w:beforeLines="20" w:after="4" w:line="440" w:lineRule="exact"/>
              <w:jc w:val="center"/>
              <w:textAlignment w:val="auto"/>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2</w:t>
            </w:r>
          </w:p>
        </w:tc>
        <w:tc>
          <w:tcPr>
            <w:tcW w:w="4893" w:type="dxa"/>
            <w:tcBorders>
              <w:top w:val="single" w:color="auto" w:sz="4" w:space="0"/>
              <w:left w:val="single" w:color="auto" w:sz="4" w:space="0"/>
              <w:bottom w:val="single" w:color="auto" w:sz="4" w:space="0"/>
              <w:right w:val="single" w:color="auto" w:sz="4" w:space="0"/>
            </w:tcBorders>
            <w:noWrap/>
            <w:vAlign w:val="center"/>
          </w:tcPr>
          <w:p w14:paraId="0F6BCA67">
            <w:pPr>
              <w:pageBreakBefore w:val="0"/>
              <w:widowControl w:val="0"/>
              <w:kinsoku/>
              <w:wordWrap/>
              <w:overflowPunct/>
              <w:topLinePunct/>
              <w:autoSpaceDE w:val="0"/>
              <w:autoSpaceDN w:val="0"/>
              <w:bidi w:val="0"/>
              <w:spacing w:beforeLines="20" w:after="4" w:line="440" w:lineRule="exact"/>
              <w:jc w:val="left"/>
              <w:textAlignment w:val="auto"/>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rPr>
              <w:t>履约验收要求</w:t>
            </w:r>
            <w:r>
              <w:rPr>
                <w:rFonts w:hint="eastAsia" w:asciiTheme="minorEastAsia" w:hAnsiTheme="minorEastAsia" w:eastAsiaTheme="minorEastAsia" w:cstheme="minorEastAsia"/>
                <w:b/>
                <w:color w:val="auto"/>
                <w:sz w:val="21"/>
                <w:szCs w:val="21"/>
                <w:highlight w:val="none"/>
                <w:lang w:eastAsia="zh-CN"/>
              </w:rPr>
              <w:t>：</w:t>
            </w:r>
          </w:p>
          <w:p w14:paraId="6CE0DFDC">
            <w:pPr>
              <w:pStyle w:val="4"/>
              <w:keepNext w:val="0"/>
              <w:spacing w:before="0" w:after="0" w:line="360" w:lineRule="auto"/>
              <w:jc w:val="left"/>
              <w:rPr>
                <w:rFonts w:hint="eastAsia" w:ascii="宋体" w:hAnsi="宋体" w:eastAsia="宋体" w:cs="宋体"/>
                <w:b/>
                <w:bCs/>
                <w:color w:val="auto"/>
                <w:sz w:val="21"/>
                <w:szCs w:val="21"/>
                <w:highlight w:val="none"/>
              </w:rPr>
            </w:pPr>
            <w:r>
              <w:rPr>
                <w:rFonts w:hint="eastAsia" w:ascii="宋体" w:hAnsi="宋体" w:eastAsia="宋体" w:cs="宋体"/>
                <w:i w:val="0"/>
                <w:iCs w:val="0"/>
                <w:color w:val="auto"/>
                <w:sz w:val="21"/>
                <w:szCs w:val="21"/>
                <w:highlight w:val="none"/>
              </w:rPr>
              <w:t>1总体要求</w:t>
            </w:r>
          </w:p>
          <w:tbl>
            <w:tblPr>
              <w:tblStyle w:val="25"/>
              <w:tblW w:w="4369" w:type="dxa"/>
              <w:tblInd w:w="30" w:type="dxa"/>
              <w:tblLayout w:type="fixed"/>
              <w:tblCellMar>
                <w:top w:w="15" w:type="dxa"/>
                <w:left w:w="15" w:type="dxa"/>
                <w:bottom w:w="15" w:type="dxa"/>
                <w:right w:w="15" w:type="dxa"/>
              </w:tblCellMar>
            </w:tblPr>
            <w:tblGrid>
              <w:gridCol w:w="918"/>
              <w:gridCol w:w="3451"/>
            </w:tblGrid>
            <w:tr w14:paraId="4375B68B">
              <w:tblPrEx>
                <w:tblCellMar>
                  <w:top w:w="15" w:type="dxa"/>
                  <w:left w:w="15" w:type="dxa"/>
                  <w:bottom w:w="15" w:type="dxa"/>
                  <w:right w:w="15" w:type="dxa"/>
                </w:tblCellMar>
              </w:tblPrEx>
              <w:tc>
                <w:tcPr>
                  <w:tcW w:w="918" w:type="dxa"/>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7CC96D2">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验收名称</w:t>
                  </w:r>
                </w:p>
              </w:tc>
              <w:tc>
                <w:tcPr>
                  <w:tcW w:w="3451" w:type="dxa"/>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F92452B">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验收要求</w:t>
                  </w:r>
                </w:p>
              </w:tc>
            </w:tr>
            <w:tr w14:paraId="60F49F89">
              <w:tblPrEx>
                <w:tblCellMar>
                  <w:top w:w="15" w:type="dxa"/>
                  <w:left w:w="15" w:type="dxa"/>
                  <w:bottom w:w="15" w:type="dxa"/>
                  <w:right w:w="15" w:type="dxa"/>
                </w:tblCellMar>
              </w:tblPrEx>
              <w:tc>
                <w:tcPr>
                  <w:tcW w:w="918"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F4A4BC3">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第1</w:t>
                  </w:r>
                  <w:r>
                    <w:rPr>
                      <w:rFonts w:hint="eastAsia" w:ascii="宋体" w:hAnsi="宋体" w:cs="宋体"/>
                      <w:b w:val="0"/>
                      <w:bCs w:val="0"/>
                      <w:i w:val="0"/>
                      <w:iCs w:val="0"/>
                      <w:smallCaps w:val="0"/>
                      <w:color w:val="auto"/>
                      <w:sz w:val="21"/>
                      <w:szCs w:val="21"/>
                      <w:highlight w:val="none"/>
                      <w:lang w:val="en-US" w:eastAsia="zh-CN"/>
                    </w:rPr>
                    <w:t>-12</w:t>
                  </w:r>
                  <w:r>
                    <w:rPr>
                      <w:rFonts w:hint="eastAsia" w:ascii="宋体" w:hAnsi="宋体" w:eastAsia="宋体" w:cs="宋体"/>
                      <w:b w:val="0"/>
                      <w:bCs w:val="0"/>
                      <w:i w:val="0"/>
                      <w:iCs w:val="0"/>
                      <w:smallCaps w:val="0"/>
                      <w:color w:val="auto"/>
                      <w:sz w:val="21"/>
                      <w:szCs w:val="21"/>
                      <w:highlight w:val="none"/>
                    </w:rPr>
                    <w:t>次验收</w:t>
                  </w:r>
                </w:p>
              </w:tc>
              <w:tc>
                <w:tcPr>
                  <w:tcW w:w="3451"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0109C76">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（1）采购人对物业管理工作达标情况实行月度考核。</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（2）采购人对物业管理服务情况不定期抽查，抽查结果纳入月度考核成绩。</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（3）考核结果不合格时，采购人按照物业公司投标时承诺的条款或按照合同约定条款进行处罚。</w:t>
                  </w:r>
                </w:p>
              </w:tc>
            </w:tr>
          </w:tbl>
          <w:p w14:paraId="5497F237">
            <w:pPr>
              <w:pageBreakBefore w:val="0"/>
              <w:widowControl w:val="0"/>
              <w:kinsoku/>
              <w:wordWrap/>
              <w:overflowPunct/>
              <w:topLinePunct/>
              <w:autoSpaceDE w:val="0"/>
              <w:autoSpaceDN w:val="0"/>
              <w:bidi w:val="0"/>
              <w:spacing w:beforeLines="20" w:after="4" w:line="440" w:lineRule="exact"/>
              <w:jc w:val="left"/>
              <w:textAlignment w:val="auto"/>
              <w:rPr>
                <w:rFonts w:hint="eastAsia" w:asciiTheme="minorEastAsia" w:hAnsiTheme="minorEastAsia" w:eastAsiaTheme="minorEastAsia" w:cstheme="minorEastAsia"/>
                <w:b/>
                <w:color w:val="auto"/>
                <w:sz w:val="21"/>
                <w:szCs w:val="21"/>
                <w:highlight w:val="none"/>
                <w:lang w:eastAsia="zh-CN"/>
              </w:rPr>
            </w:pPr>
          </w:p>
        </w:tc>
        <w:tc>
          <w:tcPr>
            <w:tcW w:w="1301" w:type="dxa"/>
            <w:tcBorders>
              <w:top w:val="single" w:color="auto" w:sz="4" w:space="0"/>
              <w:left w:val="single" w:color="auto" w:sz="4" w:space="0"/>
              <w:bottom w:val="single" w:color="auto" w:sz="4" w:space="0"/>
              <w:right w:val="single" w:color="auto" w:sz="4" w:space="0"/>
            </w:tcBorders>
            <w:noWrap/>
            <w:vAlign w:val="center"/>
          </w:tcPr>
          <w:p w14:paraId="48D2BFD3">
            <w:pPr>
              <w:pageBreakBefore w:val="0"/>
              <w:widowControl w:val="0"/>
              <w:kinsoku/>
              <w:wordWrap/>
              <w:overflowPunct/>
              <w:topLinePunct/>
              <w:autoSpaceDE w:val="0"/>
              <w:autoSpaceDN w:val="0"/>
              <w:bidi w:val="0"/>
              <w:spacing w:beforeLines="20" w:after="4" w:line="440" w:lineRule="exact"/>
              <w:jc w:val="center"/>
              <w:textAlignment w:val="auto"/>
              <w:rPr>
                <w:rFonts w:hint="eastAsia" w:asciiTheme="minorEastAsia" w:hAnsiTheme="minorEastAsia" w:eastAsiaTheme="minorEastAsia" w:cstheme="minorEastAsia"/>
                <w:b/>
                <w:color w:val="auto"/>
                <w:sz w:val="21"/>
                <w:szCs w:val="21"/>
                <w:highlight w:val="none"/>
              </w:rPr>
            </w:pPr>
          </w:p>
        </w:tc>
        <w:tc>
          <w:tcPr>
            <w:tcW w:w="1183" w:type="dxa"/>
            <w:tcBorders>
              <w:top w:val="single" w:color="auto" w:sz="4" w:space="0"/>
              <w:left w:val="single" w:color="auto" w:sz="4" w:space="0"/>
              <w:bottom w:val="single" w:color="auto" w:sz="4" w:space="0"/>
              <w:right w:val="single" w:color="auto" w:sz="4" w:space="0"/>
            </w:tcBorders>
            <w:noWrap/>
            <w:vAlign w:val="center"/>
          </w:tcPr>
          <w:p w14:paraId="2CDC43C6">
            <w:pPr>
              <w:pageBreakBefore w:val="0"/>
              <w:widowControl w:val="0"/>
              <w:kinsoku/>
              <w:wordWrap/>
              <w:overflowPunct/>
              <w:topLinePunct/>
              <w:autoSpaceDE w:val="0"/>
              <w:autoSpaceDN w:val="0"/>
              <w:bidi w:val="0"/>
              <w:spacing w:beforeLines="20" w:after="4" w:line="440" w:lineRule="exact"/>
              <w:jc w:val="center"/>
              <w:textAlignment w:val="auto"/>
              <w:rPr>
                <w:rFonts w:hint="eastAsia" w:asciiTheme="minorEastAsia" w:hAnsiTheme="minorEastAsia" w:eastAsiaTheme="minorEastAsia" w:cstheme="minorEastAsia"/>
                <w:b/>
                <w:color w:val="auto"/>
                <w:sz w:val="21"/>
                <w:szCs w:val="21"/>
                <w:highlight w:val="none"/>
              </w:rPr>
            </w:pPr>
          </w:p>
        </w:tc>
        <w:tc>
          <w:tcPr>
            <w:tcW w:w="739" w:type="dxa"/>
            <w:tcBorders>
              <w:top w:val="single" w:color="auto" w:sz="4" w:space="0"/>
              <w:left w:val="single" w:color="auto" w:sz="4" w:space="0"/>
              <w:bottom w:val="single" w:color="auto" w:sz="4" w:space="0"/>
              <w:right w:val="single" w:color="auto" w:sz="4" w:space="0"/>
            </w:tcBorders>
            <w:noWrap/>
            <w:vAlign w:val="center"/>
          </w:tcPr>
          <w:p w14:paraId="15A1FCA6">
            <w:pPr>
              <w:pageBreakBefore w:val="0"/>
              <w:widowControl w:val="0"/>
              <w:kinsoku/>
              <w:wordWrap/>
              <w:overflowPunct/>
              <w:topLinePunct/>
              <w:autoSpaceDE w:val="0"/>
              <w:autoSpaceDN w:val="0"/>
              <w:bidi w:val="0"/>
              <w:spacing w:beforeLines="20" w:after="4" w:line="440" w:lineRule="exact"/>
              <w:jc w:val="center"/>
              <w:textAlignment w:val="auto"/>
              <w:rPr>
                <w:rFonts w:hint="eastAsia" w:asciiTheme="minorEastAsia" w:hAnsiTheme="minorEastAsia" w:eastAsiaTheme="minorEastAsia" w:cstheme="minorEastAsia"/>
                <w:b/>
                <w:color w:val="auto"/>
                <w:sz w:val="21"/>
                <w:szCs w:val="21"/>
                <w:highlight w:val="none"/>
              </w:rPr>
            </w:pPr>
          </w:p>
        </w:tc>
      </w:tr>
      <w:tr w14:paraId="4DD7D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42" w:type="dxa"/>
            <w:tcBorders>
              <w:top w:val="single" w:color="auto" w:sz="4" w:space="0"/>
              <w:left w:val="single" w:color="auto" w:sz="4" w:space="0"/>
              <w:bottom w:val="single" w:color="auto" w:sz="4" w:space="0"/>
              <w:right w:val="single" w:color="auto" w:sz="4" w:space="0"/>
            </w:tcBorders>
            <w:noWrap/>
            <w:vAlign w:val="center"/>
          </w:tcPr>
          <w:p w14:paraId="1C264D6E">
            <w:pPr>
              <w:pageBreakBefore w:val="0"/>
              <w:widowControl w:val="0"/>
              <w:kinsoku/>
              <w:wordWrap/>
              <w:overflowPunct/>
              <w:topLinePunct/>
              <w:autoSpaceDE w:val="0"/>
              <w:autoSpaceDN w:val="0"/>
              <w:bidi w:val="0"/>
              <w:spacing w:beforeLines="20" w:after="4" w:line="440" w:lineRule="exact"/>
              <w:jc w:val="center"/>
              <w:textAlignment w:val="auto"/>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3</w:t>
            </w:r>
          </w:p>
        </w:tc>
        <w:tc>
          <w:tcPr>
            <w:tcW w:w="4893" w:type="dxa"/>
            <w:tcBorders>
              <w:top w:val="single" w:color="auto" w:sz="4" w:space="0"/>
              <w:left w:val="single" w:color="auto" w:sz="4" w:space="0"/>
              <w:bottom w:val="single" w:color="auto" w:sz="4" w:space="0"/>
              <w:right w:val="single" w:color="auto" w:sz="4" w:space="0"/>
            </w:tcBorders>
            <w:noWrap/>
            <w:vAlign w:val="center"/>
          </w:tcPr>
          <w:p w14:paraId="1DAA3677">
            <w:pPr>
              <w:pageBreakBefore w:val="0"/>
              <w:widowControl w:val="0"/>
              <w:kinsoku/>
              <w:wordWrap/>
              <w:overflowPunct/>
              <w:topLinePunct/>
              <w:autoSpaceDE w:val="0"/>
              <w:autoSpaceDN w:val="0"/>
              <w:bidi w:val="0"/>
              <w:spacing w:beforeLines="20" w:after="4" w:line="440" w:lineRule="exact"/>
              <w:jc w:val="left"/>
              <w:textAlignment w:val="auto"/>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rPr>
              <w:t>其他要求</w:t>
            </w:r>
            <w:r>
              <w:rPr>
                <w:rFonts w:hint="eastAsia" w:asciiTheme="minorEastAsia" w:hAnsiTheme="minorEastAsia" w:eastAsiaTheme="minorEastAsia" w:cstheme="minorEastAsia"/>
                <w:b/>
                <w:color w:val="auto"/>
                <w:sz w:val="21"/>
                <w:szCs w:val="21"/>
                <w:highlight w:val="none"/>
                <w:lang w:eastAsia="zh-CN"/>
              </w:rPr>
              <w:t>：</w:t>
            </w:r>
          </w:p>
          <w:p w14:paraId="37DE44D2">
            <w:pPr>
              <w:pStyle w:val="4"/>
              <w:keepNext w:val="0"/>
              <w:spacing w:before="0" w:after="0" w:line="360" w:lineRule="auto"/>
              <w:jc w:val="left"/>
              <w:rPr>
                <w:rFonts w:hint="eastAsia" w:ascii="宋体" w:hAnsi="宋体" w:eastAsia="宋体" w:cs="宋体"/>
                <w:b/>
                <w:bCs/>
                <w:color w:val="auto"/>
                <w:sz w:val="21"/>
                <w:szCs w:val="21"/>
                <w:highlight w:val="none"/>
              </w:rPr>
            </w:pPr>
            <w:r>
              <w:rPr>
                <w:rFonts w:hint="eastAsia" w:ascii="宋体" w:hAnsi="宋体" w:eastAsia="宋体" w:cs="宋体"/>
                <w:i w:val="0"/>
                <w:iCs w:val="0"/>
                <w:color w:val="auto"/>
                <w:sz w:val="21"/>
                <w:szCs w:val="21"/>
                <w:highlight w:val="none"/>
              </w:rPr>
              <w:t>1付款安排建议</w:t>
            </w:r>
          </w:p>
          <w:tbl>
            <w:tblPr>
              <w:tblStyle w:val="25"/>
              <w:tblW w:w="4677" w:type="dxa"/>
              <w:tblInd w:w="30" w:type="dxa"/>
              <w:tblLayout w:type="fixed"/>
              <w:tblCellMar>
                <w:top w:w="15" w:type="dxa"/>
                <w:left w:w="15" w:type="dxa"/>
                <w:bottom w:w="15" w:type="dxa"/>
                <w:right w:w="15" w:type="dxa"/>
              </w:tblCellMar>
            </w:tblPr>
            <w:tblGrid>
              <w:gridCol w:w="936"/>
              <w:gridCol w:w="2805"/>
              <w:gridCol w:w="936"/>
            </w:tblGrid>
            <w:tr w14:paraId="67B8F7CA">
              <w:tblPrEx>
                <w:tblCellMar>
                  <w:top w:w="15" w:type="dxa"/>
                  <w:left w:w="15" w:type="dxa"/>
                  <w:bottom w:w="15" w:type="dxa"/>
                  <w:right w:w="15" w:type="dxa"/>
                </w:tblCellMar>
              </w:tblPrEx>
              <w:tc>
                <w:tcPr>
                  <w:tcW w:w="936" w:type="dxa"/>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20DAD0E">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付款名称</w:t>
                  </w:r>
                </w:p>
              </w:tc>
              <w:tc>
                <w:tcPr>
                  <w:tcW w:w="2805" w:type="dxa"/>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11FFE8FB">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付款要求</w:t>
                  </w:r>
                </w:p>
              </w:tc>
              <w:tc>
                <w:tcPr>
                  <w:tcW w:w="936" w:type="dxa"/>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DD84BE7">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付款比例(%)</w:t>
                  </w:r>
                </w:p>
              </w:tc>
            </w:tr>
            <w:tr w14:paraId="2CB10F95">
              <w:tblPrEx>
                <w:tblCellMar>
                  <w:top w:w="15" w:type="dxa"/>
                  <w:left w:w="15" w:type="dxa"/>
                  <w:bottom w:w="15" w:type="dxa"/>
                  <w:right w:w="15" w:type="dxa"/>
                </w:tblCellMar>
              </w:tblPrEx>
              <w:tc>
                <w:tcPr>
                  <w:tcW w:w="936"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094DADE">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第1</w:t>
                  </w:r>
                  <w:r>
                    <w:rPr>
                      <w:rFonts w:hint="eastAsia" w:ascii="宋体" w:hAnsi="宋体" w:cs="宋体"/>
                      <w:b w:val="0"/>
                      <w:bCs w:val="0"/>
                      <w:i w:val="0"/>
                      <w:iCs w:val="0"/>
                      <w:smallCaps w:val="0"/>
                      <w:color w:val="auto"/>
                      <w:sz w:val="21"/>
                      <w:szCs w:val="21"/>
                      <w:highlight w:val="none"/>
                      <w:lang w:val="en-US" w:eastAsia="zh-CN"/>
                    </w:rPr>
                    <w:t>-12</w:t>
                  </w:r>
                  <w:r>
                    <w:rPr>
                      <w:rFonts w:hint="eastAsia" w:ascii="宋体" w:hAnsi="宋体" w:eastAsia="宋体" w:cs="宋体"/>
                      <w:b w:val="0"/>
                      <w:bCs w:val="0"/>
                      <w:i w:val="0"/>
                      <w:iCs w:val="0"/>
                      <w:smallCaps w:val="0"/>
                      <w:color w:val="auto"/>
                      <w:sz w:val="21"/>
                      <w:szCs w:val="21"/>
                      <w:highlight w:val="none"/>
                    </w:rPr>
                    <w:t>次付款</w:t>
                  </w:r>
                </w:p>
              </w:tc>
              <w:tc>
                <w:tcPr>
                  <w:tcW w:w="280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8297609">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1、付款方式按月度支付。物业管理服务费按月支付，当月支付上月考核后实际应付的物业管理费。</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2、采购人收到供应商提供的正规等额发票后，采购人在15个工作日内，向供应商提供的银行和账号支付物业管理服务费。</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如果供应商未达到所承诺及合同约定的服务标准，采购人有权根据考核结果扣减相应物业费并延迟支付费用</w:t>
                  </w:r>
                  <w:r>
                    <w:rPr>
                      <w:rFonts w:hint="eastAsia" w:ascii="宋体" w:hAnsi="宋体" w:cs="宋体"/>
                      <w:b w:val="0"/>
                      <w:bCs w:val="0"/>
                      <w:i w:val="0"/>
                      <w:iCs w:val="0"/>
                      <w:smallCaps w:val="0"/>
                      <w:color w:val="auto"/>
                      <w:sz w:val="21"/>
                      <w:szCs w:val="21"/>
                      <w:highlight w:val="none"/>
                      <w:lang w:eastAsia="zh-CN"/>
                    </w:rPr>
                    <w:t>直至供应商解决相应问题</w:t>
                  </w:r>
                  <w:r>
                    <w:rPr>
                      <w:rFonts w:hint="eastAsia" w:ascii="宋体" w:hAnsi="宋体" w:eastAsia="宋体" w:cs="宋体"/>
                      <w:b w:val="0"/>
                      <w:bCs w:val="0"/>
                      <w:i w:val="0"/>
                      <w:iCs w:val="0"/>
                      <w:smallCaps w:val="0"/>
                      <w:color w:val="auto"/>
                      <w:sz w:val="21"/>
                      <w:szCs w:val="21"/>
                      <w:highlight w:val="none"/>
                    </w:rPr>
                    <w:t>（考核标准详见合同附件《考核管理办法》）。</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付款提示：在达到约定的采购人付款进度时，供应商应提前向采购人发出提示付款的书面通知和依法开具的正式、有效发票。</w:t>
                  </w:r>
                </w:p>
              </w:tc>
              <w:tc>
                <w:tcPr>
                  <w:tcW w:w="936"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295A45D">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8.33</w:t>
                  </w:r>
                </w:p>
              </w:tc>
            </w:tr>
          </w:tbl>
          <w:p w14:paraId="7AB4EAA6">
            <w:pPr>
              <w:pageBreakBefore w:val="0"/>
              <w:widowControl w:val="0"/>
              <w:kinsoku/>
              <w:wordWrap/>
              <w:overflowPunct/>
              <w:topLinePunct/>
              <w:autoSpaceDE w:val="0"/>
              <w:autoSpaceDN w:val="0"/>
              <w:bidi w:val="0"/>
              <w:spacing w:beforeLines="20" w:after="4" w:line="440" w:lineRule="exact"/>
              <w:jc w:val="left"/>
              <w:textAlignment w:val="auto"/>
              <w:rPr>
                <w:rFonts w:hint="eastAsia" w:asciiTheme="minorEastAsia" w:hAnsiTheme="minorEastAsia" w:eastAsiaTheme="minorEastAsia" w:cstheme="minorEastAsia"/>
                <w:b/>
                <w:color w:val="auto"/>
                <w:sz w:val="21"/>
                <w:szCs w:val="21"/>
                <w:highlight w:val="none"/>
                <w:lang w:eastAsia="zh-CN"/>
              </w:rPr>
            </w:pPr>
          </w:p>
        </w:tc>
        <w:tc>
          <w:tcPr>
            <w:tcW w:w="1301" w:type="dxa"/>
            <w:tcBorders>
              <w:top w:val="single" w:color="auto" w:sz="4" w:space="0"/>
              <w:left w:val="single" w:color="auto" w:sz="4" w:space="0"/>
              <w:bottom w:val="single" w:color="auto" w:sz="4" w:space="0"/>
              <w:right w:val="single" w:color="auto" w:sz="4" w:space="0"/>
            </w:tcBorders>
            <w:noWrap/>
            <w:vAlign w:val="center"/>
          </w:tcPr>
          <w:p w14:paraId="7B92E5E3">
            <w:pPr>
              <w:pageBreakBefore w:val="0"/>
              <w:widowControl w:val="0"/>
              <w:kinsoku/>
              <w:wordWrap/>
              <w:overflowPunct/>
              <w:topLinePunct/>
              <w:autoSpaceDE w:val="0"/>
              <w:autoSpaceDN w:val="0"/>
              <w:bidi w:val="0"/>
              <w:spacing w:beforeLines="20" w:after="4" w:line="440" w:lineRule="exact"/>
              <w:jc w:val="center"/>
              <w:textAlignment w:val="auto"/>
              <w:rPr>
                <w:rFonts w:hint="eastAsia" w:asciiTheme="minorEastAsia" w:hAnsiTheme="minorEastAsia" w:eastAsiaTheme="minorEastAsia" w:cstheme="minorEastAsia"/>
                <w:b/>
                <w:color w:val="auto"/>
                <w:sz w:val="21"/>
                <w:szCs w:val="21"/>
                <w:highlight w:val="none"/>
              </w:rPr>
            </w:pPr>
          </w:p>
        </w:tc>
        <w:tc>
          <w:tcPr>
            <w:tcW w:w="1183" w:type="dxa"/>
            <w:tcBorders>
              <w:top w:val="single" w:color="auto" w:sz="4" w:space="0"/>
              <w:left w:val="single" w:color="auto" w:sz="4" w:space="0"/>
              <w:bottom w:val="single" w:color="auto" w:sz="4" w:space="0"/>
              <w:right w:val="single" w:color="auto" w:sz="4" w:space="0"/>
            </w:tcBorders>
            <w:noWrap/>
            <w:vAlign w:val="center"/>
          </w:tcPr>
          <w:p w14:paraId="5132641E">
            <w:pPr>
              <w:pageBreakBefore w:val="0"/>
              <w:widowControl w:val="0"/>
              <w:kinsoku/>
              <w:wordWrap/>
              <w:overflowPunct/>
              <w:topLinePunct/>
              <w:autoSpaceDE w:val="0"/>
              <w:autoSpaceDN w:val="0"/>
              <w:bidi w:val="0"/>
              <w:spacing w:beforeLines="20" w:after="4" w:line="440" w:lineRule="exact"/>
              <w:jc w:val="center"/>
              <w:textAlignment w:val="auto"/>
              <w:rPr>
                <w:rFonts w:hint="eastAsia" w:asciiTheme="minorEastAsia" w:hAnsiTheme="minorEastAsia" w:eastAsiaTheme="minorEastAsia" w:cstheme="minorEastAsia"/>
                <w:b/>
                <w:color w:val="auto"/>
                <w:sz w:val="21"/>
                <w:szCs w:val="21"/>
                <w:highlight w:val="none"/>
              </w:rPr>
            </w:pPr>
          </w:p>
        </w:tc>
        <w:tc>
          <w:tcPr>
            <w:tcW w:w="739" w:type="dxa"/>
            <w:tcBorders>
              <w:top w:val="single" w:color="auto" w:sz="4" w:space="0"/>
              <w:left w:val="single" w:color="auto" w:sz="4" w:space="0"/>
              <w:bottom w:val="single" w:color="auto" w:sz="4" w:space="0"/>
              <w:right w:val="single" w:color="auto" w:sz="4" w:space="0"/>
            </w:tcBorders>
            <w:noWrap/>
            <w:vAlign w:val="center"/>
          </w:tcPr>
          <w:p w14:paraId="061BE7EE">
            <w:pPr>
              <w:pageBreakBefore w:val="0"/>
              <w:widowControl w:val="0"/>
              <w:kinsoku/>
              <w:wordWrap/>
              <w:overflowPunct/>
              <w:topLinePunct/>
              <w:autoSpaceDE w:val="0"/>
              <w:autoSpaceDN w:val="0"/>
              <w:bidi w:val="0"/>
              <w:spacing w:beforeLines="20" w:after="4" w:line="440" w:lineRule="exact"/>
              <w:jc w:val="center"/>
              <w:textAlignment w:val="auto"/>
              <w:rPr>
                <w:rFonts w:hint="eastAsia" w:asciiTheme="minorEastAsia" w:hAnsiTheme="minorEastAsia" w:eastAsiaTheme="minorEastAsia" w:cstheme="minorEastAsia"/>
                <w:b/>
                <w:color w:val="auto"/>
                <w:sz w:val="21"/>
                <w:szCs w:val="21"/>
                <w:highlight w:val="none"/>
              </w:rPr>
            </w:pPr>
          </w:p>
        </w:tc>
      </w:tr>
    </w:tbl>
    <w:p w14:paraId="3F0D5F7B">
      <w:pPr>
        <w:pageBreakBefore w:val="0"/>
        <w:widowControl w:val="0"/>
        <w:kinsoku/>
        <w:wordWrap/>
        <w:overflowPunct/>
        <w:topLinePunct/>
        <w:autoSpaceDE w:val="0"/>
        <w:autoSpaceDN w:val="0"/>
        <w:bidi w:val="0"/>
        <w:spacing w:after="0" w:line="440" w:lineRule="exact"/>
        <w:textAlignment w:val="auto"/>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特别说明：</w:t>
      </w:r>
    </w:p>
    <w:p w14:paraId="133F3428">
      <w:pPr>
        <w:pageBreakBefore w:val="0"/>
        <w:widowControl w:val="0"/>
        <w:kinsoku/>
        <w:wordWrap/>
        <w:overflowPunct/>
        <w:topLinePunct/>
        <w:autoSpaceDE w:val="0"/>
        <w:autoSpaceDN w:val="0"/>
        <w:bidi w:val="0"/>
        <w:spacing w:after="0" w:line="440" w:lineRule="exact"/>
        <w:ind w:firstLine="360" w:firstLineChars="20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eastAsia" w:ascii="宋体" w:hAnsi="宋体" w:cs="宋体"/>
          <w:color w:val="auto"/>
          <w:sz w:val="18"/>
          <w:szCs w:val="18"/>
          <w:highlight w:val="none"/>
          <w:lang w:val="en-US" w:eastAsia="zh-CN"/>
        </w:rPr>
        <w:t>商务</w:t>
      </w:r>
      <w:r>
        <w:rPr>
          <w:rFonts w:hint="eastAsia" w:ascii="宋体" w:hAnsi="宋体" w:eastAsia="宋体" w:cs="宋体"/>
          <w:color w:val="auto"/>
          <w:sz w:val="18"/>
          <w:szCs w:val="18"/>
          <w:highlight w:val="none"/>
        </w:rPr>
        <w:t>条款需条对条应答</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none"/>
        </w:rPr>
        <w:t>如无偏离</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none"/>
        </w:rPr>
        <w:t>请在此表中填写“无偏离”；如有偏离</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none"/>
        </w:rPr>
        <w:t>请在此表中应答为“正/负偏离”并说明偏离情况。</w:t>
      </w:r>
    </w:p>
    <w:p w14:paraId="703DC312">
      <w:pPr>
        <w:pageBreakBefore w:val="0"/>
        <w:widowControl w:val="0"/>
        <w:kinsoku/>
        <w:wordWrap/>
        <w:overflowPunct/>
        <w:topLinePunct/>
        <w:autoSpaceDE w:val="0"/>
        <w:autoSpaceDN w:val="0"/>
        <w:bidi w:val="0"/>
        <w:spacing w:after="0" w:line="440" w:lineRule="exact"/>
        <w:ind w:firstLine="360" w:firstLineChars="200"/>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2.标注★号的</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none"/>
        </w:rPr>
        <w:t>则为实质性要求</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none"/>
        </w:rPr>
        <w:t>必须满足</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none"/>
        </w:rPr>
        <w:t>如应答为“负偏离”</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none"/>
        </w:rPr>
        <w:t>将导致投标无效。</w:t>
      </w:r>
    </w:p>
    <w:p w14:paraId="1C91A0E3">
      <w:pPr>
        <w:pageBreakBefore w:val="0"/>
        <w:widowControl w:val="0"/>
        <w:tabs>
          <w:tab w:val="left" w:pos="1230"/>
        </w:tabs>
        <w:kinsoku/>
        <w:wordWrap/>
        <w:overflowPunct/>
        <w:topLinePunct/>
        <w:autoSpaceDE w:val="0"/>
        <w:autoSpaceDN w:val="0"/>
        <w:bidi w:val="0"/>
        <w:adjustRightInd w:val="0"/>
        <w:snapToGrid w:val="0"/>
        <w:spacing w:after="0" w:line="440" w:lineRule="exact"/>
        <w:textAlignment w:val="auto"/>
        <w:rPr>
          <w:rFonts w:ascii="宋体" w:hAnsi="宋体" w:cs="宋体"/>
          <w:color w:val="auto"/>
          <w:sz w:val="21"/>
          <w:szCs w:val="21"/>
          <w:highlight w:val="none"/>
        </w:rPr>
      </w:pPr>
      <w:r>
        <w:rPr>
          <w:rFonts w:hint="eastAsia" w:ascii="宋体" w:hAnsi="宋体" w:cs="宋体"/>
          <w:color w:val="auto"/>
          <w:sz w:val="21"/>
          <w:szCs w:val="21"/>
          <w:highlight w:val="none"/>
        </w:rPr>
        <w:t>投标人</w:t>
      </w:r>
      <w:r>
        <w:rPr>
          <w:rFonts w:ascii="宋体" w:hAnsi="宋体"/>
          <w:color w:val="auto"/>
          <w:kern w:val="0"/>
          <w:sz w:val="21"/>
          <w:szCs w:val="21"/>
          <w:highlight w:val="none"/>
        </w:rPr>
        <w:t>（全称并加盖公章</w:t>
      </w:r>
      <w:r>
        <w:rPr>
          <w:rFonts w:hint="eastAsia" w:ascii="宋体" w:hAnsi="宋体" w:cs="宋体"/>
          <w:color w:val="auto"/>
          <w:sz w:val="21"/>
          <w:szCs w:val="21"/>
          <w:highlight w:val="none"/>
        </w:rPr>
        <w:t>）</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u w:val="single"/>
        </w:rPr>
        <w:t xml:space="preserve">             </w:t>
      </w:r>
    </w:p>
    <w:p w14:paraId="064CB2F3">
      <w:pPr>
        <w:pageBreakBefore w:val="0"/>
        <w:widowControl w:val="0"/>
        <w:tabs>
          <w:tab w:val="left" w:pos="1230"/>
        </w:tabs>
        <w:kinsoku/>
        <w:wordWrap/>
        <w:overflowPunct/>
        <w:topLinePunct/>
        <w:autoSpaceDE w:val="0"/>
        <w:autoSpaceDN w:val="0"/>
        <w:bidi w:val="0"/>
        <w:adjustRightInd w:val="0"/>
        <w:snapToGrid w:val="0"/>
        <w:spacing w:after="0" w:line="440" w:lineRule="exact"/>
        <w:textAlignment w:val="auto"/>
        <w:rPr>
          <w:rFonts w:ascii="宋体" w:hAnsi="宋体" w:cs="宋体"/>
          <w:color w:val="auto"/>
          <w:sz w:val="21"/>
          <w:szCs w:val="21"/>
          <w:highlight w:val="none"/>
        </w:rPr>
      </w:pPr>
      <w:r>
        <w:rPr>
          <w:rFonts w:hint="eastAsia" w:ascii="宋体" w:hAnsi="宋体"/>
          <w:color w:val="auto"/>
          <w:kern w:val="0"/>
          <w:sz w:val="21"/>
          <w:szCs w:val="21"/>
          <w:highlight w:val="none"/>
        </w:rPr>
        <w:t>法定代表人（签字或签章）/被授权投标代表（签字）</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u w:val="single"/>
        </w:rPr>
        <w:t xml:space="preserve">             </w:t>
      </w:r>
    </w:p>
    <w:p w14:paraId="19FC93D3">
      <w:pPr>
        <w:pageBreakBefore w:val="0"/>
        <w:widowControl w:val="0"/>
        <w:tabs>
          <w:tab w:val="left" w:pos="1230"/>
        </w:tabs>
        <w:kinsoku/>
        <w:wordWrap/>
        <w:overflowPunct/>
        <w:topLinePunct/>
        <w:autoSpaceDE w:val="0"/>
        <w:autoSpaceDN w:val="0"/>
        <w:bidi w:val="0"/>
        <w:adjustRightInd w:val="0"/>
        <w:snapToGrid w:val="0"/>
        <w:spacing w:after="0" w:line="440" w:lineRule="exact"/>
        <w:textAlignment w:val="auto"/>
        <w:rPr>
          <w:rFonts w:ascii="宋体" w:hAnsi="宋体" w:cs="宋体"/>
          <w:color w:val="auto"/>
          <w:sz w:val="21"/>
          <w:szCs w:val="21"/>
          <w:highlight w:val="none"/>
        </w:rPr>
      </w:pPr>
      <w:r>
        <w:rPr>
          <w:rFonts w:hint="eastAsia" w:ascii="宋体" w:hAnsi="宋体" w:cs="宋体"/>
          <w:color w:val="auto"/>
          <w:sz w:val="21"/>
          <w:szCs w:val="21"/>
          <w:highlight w:val="none"/>
        </w:rPr>
        <w:t>日期</w:t>
      </w:r>
      <w:r>
        <w:rPr>
          <w:rFonts w:hint="eastAsia" w:ascii="宋体" w:hAnsi="宋体" w:cs="宋体"/>
          <w:color w:val="auto"/>
          <w:sz w:val="21"/>
          <w:szCs w:val="21"/>
          <w:highlight w:val="none"/>
          <w:lang w:eastAsia="zh-CN"/>
        </w:rPr>
        <w:t>：</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p>
    <w:p w14:paraId="62A57460">
      <w:pPr>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br w:type="page"/>
      </w:r>
    </w:p>
    <w:p w14:paraId="533391F1">
      <w:pPr>
        <w:numPr>
          <w:ilvl w:val="0"/>
          <w:numId w:val="0"/>
        </w:numPr>
        <w:topLinePunct/>
        <w:autoSpaceDE w:val="0"/>
        <w:autoSpaceDN w:val="0"/>
        <w:spacing w:after="0" w:line="360" w:lineRule="auto"/>
        <w:outlineLvl w:val="1"/>
        <w:rPr>
          <w:rFonts w:hint="default" w:ascii="Times New Roman" w:hAnsi="Times New Roman" w:cs="Times New Roman"/>
          <w:b/>
          <w:bCs/>
          <w:color w:val="auto"/>
          <w:sz w:val="28"/>
          <w:szCs w:val="28"/>
          <w:highlight w:val="none"/>
          <w:lang w:val="en-US" w:eastAsia="zh-CN"/>
        </w:rPr>
      </w:pPr>
      <w:r>
        <w:rPr>
          <w:rFonts w:hint="eastAsia" w:ascii="宋体" w:hAnsi="宋体" w:eastAsia="宋体"/>
          <w:b/>
          <w:bCs/>
          <w:color w:val="auto"/>
          <w:sz w:val="28"/>
          <w:szCs w:val="28"/>
          <w:highlight w:val="none"/>
        </w:rPr>
        <w:t>格式</w:t>
      </w:r>
      <w:r>
        <w:rPr>
          <w:rFonts w:hint="eastAsia" w:ascii="Times New Roman" w:hAnsi="Times New Roman" w:cs="Times New Roman"/>
          <w:b/>
          <w:bCs/>
          <w:color w:val="auto"/>
          <w:sz w:val="28"/>
          <w:szCs w:val="28"/>
          <w:highlight w:val="none"/>
          <w:lang w:val="en-US" w:eastAsia="zh-CN"/>
        </w:rPr>
        <w:t>6</w:t>
      </w:r>
    </w:p>
    <w:p w14:paraId="568F13E5">
      <w:pPr>
        <w:numPr>
          <w:ilvl w:val="0"/>
          <w:numId w:val="0"/>
        </w:numPr>
        <w:topLinePunct/>
        <w:autoSpaceDE w:val="0"/>
        <w:autoSpaceDN w:val="0"/>
        <w:spacing w:after="0" w:line="360" w:lineRule="auto"/>
        <w:jc w:val="center"/>
        <w:outlineLvl w:val="2"/>
        <w:rPr>
          <w:rFonts w:hint="eastAsia" w:ascii="Times New Roman" w:hAnsi="Times New Roman" w:cs="Times New Roman"/>
          <w:b/>
          <w:bCs/>
          <w:color w:val="auto"/>
          <w:sz w:val="28"/>
          <w:szCs w:val="28"/>
          <w:highlight w:val="none"/>
          <w:lang w:val="en-US" w:eastAsia="zh-CN"/>
        </w:rPr>
      </w:pPr>
      <w:r>
        <w:rPr>
          <w:rFonts w:hint="eastAsia" w:ascii="Times New Roman" w:hAnsi="Times New Roman" w:cs="Times New Roman"/>
          <w:b/>
          <w:bCs/>
          <w:color w:val="auto"/>
          <w:sz w:val="28"/>
          <w:szCs w:val="28"/>
          <w:highlight w:val="none"/>
          <w:lang w:val="en-US" w:eastAsia="zh-CN"/>
        </w:rPr>
        <w:t>智能化管理</w:t>
      </w:r>
    </w:p>
    <w:p w14:paraId="35BEF9A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cs="宋体"/>
          <w:b/>
          <w:bCs/>
          <w:color w:val="auto"/>
          <w:highlight w:val="none"/>
          <w:lang w:val="en-US" w:eastAsia="zh-CN"/>
        </w:rPr>
      </w:pPr>
      <w:r>
        <w:rPr>
          <w:rFonts w:hint="eastAsia"/>
          <w:b/>
          <w:bCs/>
          <w:color w:val="auto"/>
          <w:szCs w:val="21"/>
          <w:highlight w:val="none"/>
          <w:lang w:val="en-US" w:eastAsia="zh-CN"/>
        </w:rPr>
        <w:t>含：机械化保洁设备，智能化物业管理软件（提供软件网页截图）</w:t>
      </w:r>
    </w:p>
    <w:p w14:paraId="152E19B0">
      <w:pPr>
        <w:numPr>
          <w:ilvl w:val="0"/>
          <w:numId w:val="0"/>
        </w:numPr>
        <w:topLinePunct/>
        <w:autoSpaceDE w:val="0"/>
        <w:autoSpaceDN w:val="0"/>
        <w:spacing w:after="0" w:line="360" w:lineRule="auto"/>
        <w:rPr>
          <w:rFonts w:hint="eastAsia"/>
          <w:color w:val="auto"/>
          <w:szCs w:val="21"/>
          <w:highlight w:val="none"/>
        </w:rPr>
      </w:pPr>
    </w:p>
    <w:p w14:paraId="3839090B">
      <w:pPr>
        <w:numPr>
          <w:ilvl w:val="0"/>
          <w:numId w:val="0"/>
        </w:numPr>
        <w:topLinePunct/>
        <w:autoSpaceDE w:val="0"/>
        <w:autoSpaceDN w:val="0"/>
        <w:spacing w:after="0" w:line="360" w:lineRule="auto"/>
        <w:rPr>
          <w:rFonts w:hint="eastAsia" w:ascii="宋体" w:hAnsi="宋体" w:eastAsia="宋体"/>
          <w:b/>
          <w:bCs/>
          <w:color w:val="auto"/>
          <w:sz w:val="28"/>
          <w:szCs w:val="28"/>
          <w:highlight w:val="none"/>
          <w:lang w:eastAsia="zh-CN"/>
        </w:rPr>
      </w:pPr>
      <w:r>
        <w:rPr>
          <w:rFonts w:hint="eastAsia"/>
          <w:color w:val="auto"/>
          <w:szCs w:val="21"/>
          <w:highlight w:val="none"/>
        </w:rPr>
        <w:t>由投标人按第五章《采购需求》相关要求自行填写</w:t>
      </w:r>
      <w:r>
        <w:rPr>
          <w:rFonts w:hint="eastAsia"/>
          <w:color w:val="auto"/>
          <w:szCs w:val="21"/>
          <w:highlight w:val="none"/>
          <w:lang w:eastAsia="zh-CN"/>
        </w:rPr>
        <w:t>，</w:t>
      </w:r>
      <w:r>
        <w:rPr>
          <w:rFonts w:hint="eastAsia"/>
          <w:color w:val="auto"/>
          <w:szCs w:val="21"/>
          <w:highlight w:val="none"/>
        </w:rPr>
        <w:t>内容自拟</w:t>
      </w:r>
      <w:r>
        <w:rPr>
          <w:rFonts w:hint="eastAsia" w:ascii="Times New Roman" w:hAnsi="Times New Roman" w:cs="Times New Roman"/>
          <w:color w:val="auto"/>
          <w:kern w:val="0"/>
          <w:sz w:val="21"/>
          <w:szCs w:val="21"/>
          <w:highlight w:val="none"/>
          <w:lang w:eastAsia="zh-CN"/>
        </w:rPr>
        <w:t>。</w:t>
      </w:r>
    </w:p>
    <w:p w14:paraId="511810F8">
      <w:pPr>
        <w:numPr>
          <w:ilvl w:val="0"/>
          <w:numId w:val="0"/>
        </w:numPr>
        <w:topLinePunct/>
        <w:autoSpaceDE w:val="0"/>
        <w:autoSpaceDN w:val="0"/>
        <w:spacing w:after="0" w:line="360" w:lineRule="auto"/>
        <w:outlineLvl w:val="1"/>
        <w:rPr>
          <w:rFonts w:hint="eastAsia" w:ascii="宋体" w:hAnsi="宋体" w:eastAsia="宋体"/>
          <w:b/>
          <w:bCs/>
          <w:color w:val="auto"/>
          <w:sz w:val="28"/>
          <w:szCs w:val="28"/>
          <w:highlight w:val="none"/>
        </w:rPr>
      </w:pPr>
    </w:p>
    <w:p w14:paraId="3E9A2BE8">
      <w:pPr>
        <w:pStyle w:val="2"/>
        <w:rPr>
          <w:rFonts w:hint="eastAsia"/>
          <w:color w:val="auto"/>
          <w:highlight w:val="none"/>
        </w:rPr>
      </w:pPr>
    </w:p>
    <w:p w14:paraId="0B1550A3">
      <w:pPr>
        <w:pStyle w:val="2"/>
        <w:rPr>
          <w:rFonts w:hint="eastAsia"/>
          <w:color w:val="auto"/>
          <w:highlight w:val="none"/>
        </w:rPr>
      </w:pPr>
    </w:p>
    <w:p w14:paraId="64BC5DD0">
      <w:pPr>
        <w:pStyle w:val="2"/>
        <w:rPr>
          <w:rFonts w:hint="eastAsia"/>
          <w:color w:val="auto"/>
          <w:highlight w:val="none"/>
        </w:rPr>
      </w:pPr>
    </w:p>
    <w:p w14:paraId="1ECDD448">
      <w:pPr>
        <w:pStyle w:val="2"/>
        <w:rPr>
          <w:rFonts w:hint="eastAsia"/>
          <w:color w:val="auto"/>
          <w:highlight w:val="none"/>
        </w:rPr>
      </w:pPr>
    </w:p>
    <w:p w14:paraId="12EFD666">
      <w:pPr>
        <w:pStyle w:val="2"/>
        <w:rPr>
          <w:rFonts w:hint="eastAsia"/>
          <w:color w:val="auto"/>
          <w:highlight w:val="none"/>
        </w:rPr>
      </w:pPr>
    </w:p>
    <w:p w14:paraId="68A5772A">
      <w:pPr>
        <w:pStyle w:val="2"/>
        <w:rPr>
          <w:rFonts w:hint="eastAsia"/>
          <w:color w:val="auto"/>
          <w:highlight w:val="none"/>
        </w:rPr>
      </w:pPr>
    </w:p>
    <w:p w14:paraId="23F37E38">
      <w:pPr>
        <w:pStyle w:val="2"/>
        <w:rPr>
          <w:rFonts w:hint="eastAsia"/>
          <w:color w:val="auto"/>
          <w:highlight w:val="none"/>
        </w:rPr>
      </w:pPr>
    </w:p>
    <w:p w14:paraId="718878F6">
      <w:pPr>
        <w:pStyle w:val="2"/>
        <w:rPr>
          <w:rFonts w:hint="eastAsia"/>
          <w:color w:val="auto"/>
          <w:highlight w:val="none"/>
        </w:rPr>
      </w:pPr>
    </w:p>
    <w:p w14:paraId="5B1CD9A2">
      <w:pPr>
        <w:pStyle w:val="2"/>
        <w:rPr>
          <w:rFonts w:hint="eastAsia"/>
          <w:color w:val="auto"/>
          <w:highlight w:val="none"/>
        </w:rPr>
      </w:pPr>
    </w:p>
    <w:p w14:paraId="600AB7A6">
      <w:pPr>
        <w:pStyle w:val="2"/>
        <w:rPr>
          <w:rFonts w:hint="eastAsia"/>
          <w:color w:val="auto"/>
          <w:highlight w:val="none"/>
        </w:rPr>
      </w:pPr>
    </w:p>
    <w:p w14:paraId="7481913D">
      <w:pPr>
        <w:pStyle w:val="2"/>
        <w:rPr>
          <w:rFonts w:hint="eastAsia"/>
          <w:color w:val="auto"/>
          <w:highlight w:val="none"/>
        </w:rPr>
      </w:pPr>
    </w:p>
    <w:p w14:paraId="1A515B59">
      <w:pPr>
        <w:pStyle w:val="2"/>
        <w:rPr>
          <w:rFonts w:hint="eastAsia"/>
          <w:color w:val="auto"/>
          <w:highlight w:val="none"/>
        </w:rPr>
      </w:pPr>
    </w:p>
    <w:p w14:paraId="21AA9822">
      <w:pPr>
        <w:pStyle w:val="2"/>
        <w:rPr>
          <w:rFonts w:hint="eastAsia"/>
          <w:color w:val="auto"/>
          <w:highlight w:val="none"/>
        </w:rPr>
      </w:pPr>
    </w:p>
    <w:p w14:paraId="01FA92E1">
      <w:pPr>
        <w:pStyle w:val="2"/>
        <w:rPr>
          <w:rFonts w:hint="eastAsia"/>
          <w:color w:val="auto"/>
          <w:highlight w:val="none"/>
        </w:rPr>
      </w:pPr>
    </w:p>
    <w:p w14:paraId="02C4CD47">
      <w:pPr>
        <w:pStyle w:val="2"/>
        <w:rPr>
          <w:rFonts w:hint="eastAsia"/>
          <w:color w:val="auto"/>
          <w:highlight w:val="none"/>
        </w:rPr>
      </w:pPr>
    </w:p>
    <w:p w14:paraId="55CF099D">
      <w:pPr>
        <w:pStyle w:val="2"/>
        <w:rPr>
          <w:rFonts w:hint="eastAsia"/>
          <w:color w:val="auto"/>
          <w:highlight w:val="none"/>
        </w:rPr>
      </w:pPr>
    </w:p>
    <w:p w14:paraId="3ADF4DE9">
      <w:pPr>
        <w:pStyle w:val="2"/>
        <w:rPr>
          <w:rFonts w:hint="eastAsia"/>
          <w:color w:val="auto"/>
          <w:highlight w:val="none"/>
        </w:rPr>
      </w:pPr>
    </w:p>
    <w:p w14:paraId="68A255E4">
      <w:pPr>
        <w:pStyle w:val="2"/>
        <w:rPr>
          <w:rFonts w:hint="eastAsia"/>
          <w:color w:val="auto"/>
          <w:highlight w:val="none"/>
        </w:rPr>
      </w:pPr>
    </w:p>
    <w:p w14:paraId="529C1880">
      <w:pPr>
        <w:pStyle w:val="2"/>
        <w:rPr>
          <w:rFonts w:hint="eastAsia"/>
          <w:color w:val="auto"/>
          <w:highlight w:val="none"/>
        </w:rPr>
      </w:pPr>
    </w:p>
    <w:p w14:paraId="286FDDB3">
      <w:pPr>
        <w:pStyle w:val="2"/>
        <w:rPr>
          <w:rFonts w:hint="eastAsia"/>
          <w:color w:val="auto"/>
          <w:highlight w:val="none"/>
        </w:rPr>
      </w:pPr>
    </w:p>
    <w:p w14:paraId="3FEA2996">
      <w:pPr>
        <w:pStyle w:val="2"/>
        <w:rPr>
          <w:rFonts w:hint="eastAsia"/>
          <w:color w:val="auto"/>
          <w:highlight w:val="none"/>
        </w:rPr>
      </w:pPr>
    </w:p>
    <w:p w14:paraId="121B2305">
      <w:pPr>
        <w:pStyle w:val="2"/>
        <w:rPr>
          <w:rFonts w:hint="eastAsia"/>
          <w:color w:val="auto"/>
          <w:highlight w:val="none"/>
        </w:rPr>
      </w:pPr>
    </w:p>
    <w:p w14:paraId="20EECBA0">
      <w:pPr>
        <w:pStyle w:val="2"/>
        <w:rPr>
          <w:rFonts w:hint="eastAsia"/>
          <w:color w:val="auto"/>
          <w:highlight w:val="none"/>
        </w:rPr>
      </w:pPr>
    </w:p>
    <w:p w14:paraId="1DB46144">
      <w:pPr>
        <w:pStyle w:val="2"/>
        <w:rPr>
          <w:rFonts w:hint="eastAsia"/>
          <w:color w:val="auto"/>
          <w:highlight w:val="none"/>
        </w:rPr>
      </w:pPr>
    </w:p>
    <w:p w14:paraId="2CB5D758">
      <w:pPr>
        <w:pStyle w:val="2"/>
        <w:rPr>
          <w:rFonts w:hint="eastAsia"/>
          <w:color w:val="auto"/>
          <w:highlight w:val="none"/>
        </w:rPr>
      </w:pPr>
    </w:p>
    <w:p w14:paraId="497567B6">
      <w:pPr>
        <w:pStyle w:val="2"/>
        <w:rPr>
          <w:rFonts w:hint="eastAsia"/>
          <w:color w:val="auto"/>
          <w:highlight w:val="none"/>
        </w:rPr>
      </w:pPr>
    </w:p>
    <w:p w14:paraId="3144A111">
      <w:pPr>
        <w:pStyle w:val="2"/>
        <w:rPr>
          <w:rFonts w:hint="eastAsia"/>
          <w:color w:val="auto"/>
          <w:highlight w:val="none"/>
        </w:rPr>
      </w:pPr>
    </w:p>
    <w:p w14:paraId="57A68359">
      <w:pPr>
        <w:pStyle w:val="2"/>
        <w:rPr>
          <w:rFonts w:hint="eastAsia"/>
          <w:color w:val="auto"/>
          <w:highlight w:val="none"/>
        </w:rPr>
      </w:pPr>
    </w:p>
    <w:p w14:paraId="7169E537">
      <w:pPr>
        <w:pStyle w:val="2"/>
        <w:rPr>
          <w:rFonts w:hint="eastAsia"/>
          <w:color w:val="auto"/>
          <w:highlight w:val="none"/>
        </w:rPr>
      </w:pPr>
    </w:p>
    <w:p w14:paraId="4B406C98">
      <w:pPr>
        <w:pStyle w:val="2"/>
        <w:rPr>
          <w:rFonts w:hint="eastAsia"/>
          <w:color w:val="auto"/>
          <w:highlight w:val="none"/>
        </w:rPr>
      </w:pPr>
    </w:p>
    <w:p w14:paraId="2DD95634">
      <w:pPr>
        <w:pStyle w:val="2"/>
        <w:rPr>
          <w:rFonts w:hint="eastAsia"/>
          <w:color w:val="auto"/>
          <w:highlight w:val="none"/>
        </w:rPr>
      </w:pPr>
    </w:p>
    <w:p w14:paraId="418A804A">
      <w:pPr>
        <w:pStyle w:val="2"/>
        <w:rPr>
          <w:rFonts w:hint="eastAsia"/>
          <w:color w:val="auto"/>
          <w:highlight w:val="none"/>
        </w:rPr>
      </w:pPr>
    </w:p>
    <w:p w14:paraId="1FB77A82">
      <w:pPr>
        <w:pStyle w:val="2"/>
        <w:rPr>
          <w:rFonts w:hint="eastAsia"/>
          <w:color w:val="auto"/>
          <w:highlight w:val="none"/>
        </w:rPr>
      </w:pPr>
    </w:p>
    <w:p w14:paraId="48C3E178">
      <w:pPr>
        <w:numPr>
          <w:ilvl w:val="0"/>
          <w:numId w:val="0"/>
        </w:numPr>
        <w:topLinePunct/>
        <w:autoSpaceDE w:val="0"/>
        <w:autoSpaceDN w:val="0"/>
        <w:spacing w:after="0" w:line="360" w:lineRule="auto"/>
        <w:outlineLvl w:val="1"/>
        <w:rPr>
          <w:rFonts w:hint="default" w:ascii="Times New Roman" w:hAnsi="Times New Roman" w:cs="Times New Roman"/>
          <w:b/>
          <w:bCs/>
          <w:color w:val="auto"/>
          <w:sz w:val="28"/>
          <w:szCs w:val="28"/>
          <w:highlight w:val="none"/>
          <w:lang w:val="en-US" w:eastAsia="zh-CN"/>
        </w:rPr>
      </w:pPr>
      <w:r>
        <w:rPr>
          <w:rFonts w:hint="eastAsia" w:ascii="宋体" w:hAnsi="宋体" w:eastAsia="宋体"/>
          <w:b/>
          <w:bCs/>
          <w:color w:val="auto"/>
          <w:sz w:val="28"/>
          <w:szCs w:val="28"/>
          <w:highlight w:val="none"/>
        </w:rPr>
        <w:t>格式</w:t>
      </w:r>
      <w:r>
        <w:rPr>
          <w:rFonts w:hint="eastAsia" w:ascii="Times New Roman" w:hAnsi="Times New Roman" w:cs="Times New Roman"/>
          <w:b/>
          <w:bCs/>
          <w:color w:val="auto"/>
          <w:sz w:val="28"/>
          <w:szCs w:val="28"/>
          <w:highlight w:val="none"/>
          <w:lang w:val="en-US" w:eastAsia="zh-CN"/>
        </w:rPr>
        <w:t>7</w:t>
      </w:r>
    </w:p>
    <w:p w14:paraId="69B4EF90">
      <w:pPr>
        <w:numPr>
          <w:ilvl w:val="0"/>
          <w:numId w:val="0"/>
        </w:numPr>
        <w:topLinePunct/>
        <w:autoSpaceDE w:val="0"/>
        <w:autoSpaceDN w:val="0"/>
        <w:spacing w:after="0" w:line="360" w:lineRule="auto"/>
        <w:jc w:val="center"/>
        <w:outlineLvl w:val="2"/>
        <w:rPr>
          <w:rFonts w:hint="eastAsia" w:ascii="Times New Roman" w:hAnsi="Times New Roman" w:cs="Times New Roman"/>
          <w:b/>
          <w:bCs/>
          <w:color w:val="auto"/>
          <w:sz w:val="28"/>
          <w:szCs w:val="28"/>
          <w:highlight w:val="none"/>
          <w:lang w:val="en-US" w:eastAsia="zh-CN"/>
        </w:rPr>
      </w:pPr>
      <w:r>
        <w:rPr>
          <w:rFonts w:hint="eastAsia" w:ascii="Times New Roman" w:hAnsi="Times New Roman" w:cs="Times New Roman"/>
          <w:b/>
          <w:bCs/>
          <w:color w:val="auto"/>
          <w:sz w:val="28"/>
          <w:szCs w:val="28"/>
          <w:highlight w:val="none"/>
          <w:lang w:val="en-US" w:eastAsia="zh-CN"/>
        </w:rPr>
        <w:t>技术力量</w:t>
      </w:r>
    </w:p>
    <w:p w14:paraId="24B5DB46">
      <w:pPr>
        <w:pStyle w:val="50"/>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服务配置总</w:t>
      </w:r>
      <w:r>
        <w:rPr>
          <w:rFonts w:hint="eastAsia" w:ascii="宋体" w:hAnsi="宋体" w:cs="宋体"/>
          <w:color w:val="auto"/>
          <w:sz w:val="21"/>
          <w:szCs w:val="21"/>
          <w:highlight w:val="none"/>
          <w:lang w:eastAsia="zh-CN"/>
        </w:rPr>
        <w:t>岗位</w:t>
      </w:r>
      <w:r>
        <w:rPr>
          <w:rFonts w:hint="eastAsia" w:ascii="宋体" w:hAnsi="宋体" w:eastAsia="宋体" w:cs="宋体"/>
          <w:color w:val="auto"/>
          <w:sz w:val="21"/>
          <w:szCs w:val="21"/>
          <w:highlight w:val="none"/>
        </w:rPr>
        <w:t>数</w:t>
      </w:r>
      <w:r>
        <w:rPr>
          <w:rFonts w:hint="eastAsia" w:ascii="宋体" w:hAnsi="宋体" w:cs="宋体"/>
          <w:color w:val="auto"/>
          <w:sz w:val="21"/>
          <w:szCs w:val="21"/>
          <w:highlight w:val="none"/>
          <w:lang w:val="en-US" w:eastAsia="zh-CN"/>
        </w:rPr>
        <w:t>25个，其中物业经理岗1个，会议服务员岗2个，工程人员2个，保洁员岗8个，保安员岗11个</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绿化员</w:t>
      </w:r>
      <w:r>
        <w:rPr>
          <w:rFonts w:hint="eastAsia" w:ascii="宋体" w:hAnsi="宋体" w:cs="宋体"/>
          <w:color w:val="auto"/>
          <w:sz w:val="21"/>
          <w:szCs w:val="21"/>
          <w:highlight w:val="none"/>
          <w:lang w:eastAsia="zh-CN"/>
        </w:rPr>
        <w:t>岗</w:t>
      </w: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个</w:t>
      </w:r>
      <w:r>
        <w:rPr>
          <w:rFonts w:hint="eastAsia" w:ascii="宋体" w:hAnsi="宋体" w:eastAsia="宋体" w:cs="宋体"/>
          <w:color w:val="auto"/>
          <w:sz w:val="21"/>
          <w:szCs w:val="21"/>
          <w:highlight w:val="none"/>
        </w:rPr>
        <w:t>。</w:t>
      </w:r>
    </w:p>
    <w:p w14:paraId="6CA8734E">
      <w:pPr>
        <w:pStyle w:val="50"/>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color w:val="auto"/>
          <w:sz w:val="21"/>
          <w:szCs w:val="21"/>
          <w:highlight w:val="none"/>
        </w:rPr>
      </w:pPr>
    </w:p>
    <w:tbl>
      <w:tblPr>
        <w:tblStyle w:val="25"/>
        <w:tblW w:w="85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295"/>
        <w:gridCol w:w="1134"/>
        <w:gridCol w:w="1449"/>
        <w:gridCol w:w="1181"/>
        <w:gridCol w:w="2740"/>
      </w:tblGrid>
      <w:tr w14:paraId="54862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758" w:type="dxa"/>
            <w:tcBorders>
              <w:top w:val="single" w:color="auto" w:sz="4" w:space="0"/>
              <w:left w:val="single" w:color="auto" w:sz="4" w:space="0"/>
              <w:bottom w:val="single" w:color="auto" w:sz="4" w:space="0"/>
              <w:right w:val="single" w:color="auto" w:sz="4" w:space="0"/>
            </w:tcBorders>
            <w:noWrap/>
            <w:vAlign w:val="center"/>
          </w:tcPr>
          <w:p w14:paraId="44483775">
            <w:pPr>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295" w:type="dxa"/>
            <w:tcBorders>
              <w:top w:val="single" w:color="auto" w:sz="4" w:space="0"/>
              <w:left w:val="single" w:color="auto" w:sz="4" w:space="0"/>
              <w:bottom w:val="single" w:color="auto" w:sz="4" w:space="0"/>
              <w:right w:val="single" w:color="auto" w:sz="4" w:space="0"/>
            </w:tcBorders>
            <w:noWrap/>
            <w:vAlign w:val="center"/>
          </w:tcPr>
          <w:p w14:paraId="1B6E9656">
            <w:pPr>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姓 名</w:t>
            </w:r>
          </w:p>
        </w:tc>
        <w:tc>
          <w:tcPr>
            <w:tcW w:w="1134" w:type="dxa"/>
            <w:tcBorders>
              <w:top w:val="single" w:color="auto" w:sz="4" w:space="0"/>
              <w:left w:val="single" w:color="auto" w:sz="4" w:space="0"/>
              <w:bottom w:val="single" w:color="auto" w:sz="4" w:space="0"/>
              <w:right w:val="single" w:color="auto" w:sz="4" w:space="0"/>
            </w:tcBorders>
            <w:noWrap/>
            <w:vAlign w:val="center"/>
          </w:tcPr>
          <w:p w14:paraId="1443F05A">
            <w:pPr>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技术职称</w:t>
            </w:r>
          </w:p>
        </w:tc>
        <w:tc>
          <w:tcPr>
            <w:tcW w:w="1449" w:type="dxa"/>
            <w:tcBorders>
              <w:top w:val="single" w:color="auto" w:sz="4" w:space="0"/>
              <w:left w:val="single" w:color="auto" w:sz="4" w:space="0"/>
              <w:bottom w:val="single" w:color="auto" w:sz="4" w:space="0"/>
              <w:right w:val="single" w:color="auto" w:sz="4" w:space="0"/>
            </w:tcBorders>
            <w:noWrap/>
            <w:vAlign w:val="center"/>
          </w:tcPr>
          <w:p w14:paraId="636A2468">
            <w:pPr>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工作年限</w:t>
            </w:r>
          </w:p>
        </w:tc>
        <w:tc>
          <w:tcPr>
            <w:tcW w:w="1181" w:type="dxa"/>
            <w:tcBorders>
              <w:top w:val="single" w:color="auto" w:sz="4" w:space="0"/>
              <w:left w:val="single" w:color="auto" w:sz="4" w:space="0"/>
              <w:bottom w:val="single" w:color="auto" w:sz="4" w:space="0"/>
              <w:right w:val="single" w:color="auto" w:sz="4" w:space="0"/>
            </w:tcBorders>
            <w:noWrap/>
            <w:vAlign w:val="center"/>
          </w:tcPr>
          <w:p w14:paraId="243D6238">
            <w:pPr>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本项目中担任职务</w:t>
            </w:r>
          </w:p>
        </w:tc>
        <w:tc>
          <w:tcPr>
            <w:tcW w:w="2740" w:type="dxa"/>
            <w:tcBorders>
              <w:top w:val="single" w:color="auto" w:sz="4" w:space="0"/>
              <w:left w:val="single" w:color="auto" w:sz="4" w:space="0"/>
              <w:bottom w:val="single" w:color="auto" w:sz="4" w:space="0"/>
              <w:right w:val="single" w:color="auto" w:sz="4" w:space="0"/>
            </w:tcBorders>
            <w:noWrap/>
            <w:vAlign w:val="center"/>
          </w:tcPr>
          <w:p w14:paraId="5A901F76">
            <w:pPr>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工作经验</w:t>
            </w:r>
          </w:p>
        </w:tc>
      </w:tr>
      <w:tr w14:paraId="1A729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557" w:type="dxa"/>
            <w:gridSpan w:val="6"/>
            <w:tcBorders>
              <w:top w:val="single" w:color="auto" w:sz="4" w:space="0"/>
              <w:left w:val="single" w:color="auto" w:sz="4" w:space="0"/>
              <w:bottom w:val="single" w:color="auto" w:sz="4" w:space="0"/>
              <w:right w:val="single" w:color="auto" w:sz="4" w:space="0"/>
            </w:tcBorders>
            <w:noWrap/>
            <w:vAlign w:val="center"/>
          </w:tcPr>
          <w:p w14:paraId="6C4B7325">
            <w:pPr>
              <w:adjustRightIn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一、项目管理人员</w:t>
            </w:r>
          </w:p>
          <w:p w14:paraId="5129DB97">
            <w:pPr>
              <w:adjustRightInd w:val="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（一）物业经理</w:t>
            </w:r>
          </w:p>
        </w:tc>
      </w:tr>
      <w:tr w14:paraId="24687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58" w:type="dxa"/>
            <w:tcBorders>
              <w:top w:val="single" w:color="auto" w:sz="4" w:space="0"/>
              <w:left w:val="single" w:color="auto" w:sz="4" w:space="0"/>
              <w:bottom w:val="single" w:color="auto" w:sz="4" w:space="0"/>
              <w:right w:val="single" w:color="auto" w:sz="4" w:space="0"/>
            </w:tcBorders>
            <w:noWrap/>
            <w:vAlign w:val="center"/>
          </w:tcPr>
          <w:p w14:paraId="5CAB7F27">
            <w:pPr>
              <w:adjustRightIn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295" w:type="dxa"/>
            <w:tcBorders>
              <w:top w:val="single" w:color="auto" w:sz="4" w:space="0"/>
              <w:left w:val="single" w:color="auto" w:sz="4" w:space="0"/>
              <w:bottom w:val="single" w:color="auto" w:sz="4" w:space="0"/>
              <w:right w:val="single" w:color="auto" w:sz="4" w:space="0"/>
            </w:tcBorders>
            <w:noWrap/>
            <w:vAlign w:val="center"/>
          </w:tcPr>
          <w:p w14:paraId="1BF3F2F6">
            <w:pPr>
              <w:adjustRightInd w:val="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ign w:val="center"/>
          </w:tcPr>
          <w:p w14:paraId="06377076">
            <w:pPr>
              <w:adjustRightInd w:val="0"/>
              <w:jc w:val="center"/>
              <w:rPr>
                <w:rFonts w:hint="eastAsia" w:ascii="宋体" w:hAnsi="宋体" w:eastAsia="宋体" w:cs="宋体"/>
                <w:color w:val="auto"/>
                <w:szCs w:val="21"/>
                <w:highlight w:val="none"/>
              </w:rPr>
            </w:pPr>
          </w:p>
        </w:tc>
        <w:tc>
          <w:tcPr>
            <w:tcW w:w="1449" w:type="dxa"/>
            <w:tcBorders>
              <w:top w:val="single" w:color="auto" w:sz="4" w:space="0"/>
              <w:left w:val="single" w:color="auto" w:sz="4" w:space="0"/>
              <w:bottom w:val="single" w:color="auto" w:sz="4" w:space="0"/>
              <w:right w:val="single" w:color="auto" w:sz="4" w:space="0"/>
            </w:tcBorders>
            <w:noWrap/>
            <w:vAlign w:val="center"/>
          </w:tcPr>
          <w:p w14:paraId="444FDED9">
            <w:pPr>
              <w:adjustRightInd w:val="0"/>
              <w:jc w:val="center"/>
              <w:rPr>
                <w:rFonts w:hint="eastAsia" w:ascii="宋体" w:hAnsi="宋体" w:eastAsia="宋体" w:cs="宋体"/>
                <w:color w:val="auto"/>
                <w:szCs w:val="21"/>
                <w:highlight w:val="none"/>
              </w:rPr>
            </w:pPr>
          </w:p>
        </w:tc>
        <w:tc>
          <w:tcPr>
            <w:tcW w:w="1181" w:type="dxa"/>
            <w:tcBorders>
              <w:top w:val="single" w:color="auto" w:sz="4" w:space="0"/>
              <w:left w:val="single" w:color="auto" w:sz="4" w:space="0"/>
              <w:bottom w:val="single" w:color="auto" w:sz="4" w:space="0"/>
              <w:right w:val="single" w:color="auto" w:sz="4" w:space="0"/>
            </w:tcBorders>
            <w:noWrap/>
            <w:vAlign w:val="center"/>
          </w:tcPr>
          <w:p w14:paraId="127688C3">
            <w:pPr>
              <w:adjustRightInd w:val="0"/>
              <w:jc w:val="center"/>
              <w:rPr>
                <w:rFonts w:hint="eastAsia" w:ascii="宋体" w:hAnsi="宋体" w:eastAsia="宋体" w:cs="宋体"/>
                <w:color w:val="auto"/>
                <w:szCs w:val="21"/>
                <w:highlight w:val="none"/>
              </w:rPr>
            </w:pPr>
          </w:p>
        </w:tc>
        <w:tc>
          <w:tcPr>
            <w:tcW w:w="2740" w:type="dxa"/>
            <w:tcBorders>
              <w:top w:val="single" w:color="auto" w:sz="4" w:space="0"/>
              <w:left w:val="single" w:color="auto" w:sz="4" w:space="0"/>
              <w:bottom w:val="single" w:color="auto" w:sz="4" w:space="0"/>
              <w:right w:val="single" w:color="auto" w:sz="4" w:space="0"/>
            </w:tcBorders>
            <w:noWrap/>
            <w:vAlign w:val="center"/>
          </w:tcPr>
          <w:p w14:paraId="60E9D36D">
            <w:pPr>
              <w:adjustRightInd w:val="0"/>
              <w:jc w:val="center"/>
              <w:rPr>
                <w:rFonts w:hint="eastAsia" w:ascii="宋体" w:hAnsi="宋体" w:eastAsia="宋体" w:cs="宋体"/>
                <w:color w:val="auto"/>
                <w:szCs w:val="21"/>
                <w:highlight w:val="none"/>
              </w:rPr>
            </w:pPr>
          </w:p>
        </w:tc>
      </w:tr>
      <w:tr w14:paraId="5D12A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58" w:type="dxa"/>
            <w:tcBorders>
              <w:top w:val="single" w:color="auto" w:sz="4" w:space="0"/>
              <w:left w:val="single" w:color="auto" w:sz="4" w:space="0"/>
              <w:bottom w:val="single" w:color="auto" w:sz="4" w:space="0"/>
              <w:right w:val="single" w:color="auto" w:sz="4" w:space="0"/>
            </w:tcBorders>
            <w:noWrap/>
            <w:vAlign w:val="center"/>
          </w:tcPr>
          <w:p w14:paraId="56A32416">
            <w:pPr>
              <w:adjustRightIn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295" w:type="dxa"/>
            <w:tcBorders>
              <w:top w:val="single" w:color="auto" w:sz="4" w:space="0"/>
              <w:left w:val="single" w:color="auto" w:sz="4" w:space="0"/>
              <w:bottom w:val="single" w:color="auto" w:sz="4" w:space="0"/>
              <w:right w:val="single" w:color="auto" w:sz="4" w:space="0"/>
            </w:tcBorders>
            <w:noWrap/>
            <w:vAlign w:val="center"/>
          </w:tcPr>
          <w:p w14:paraId="6CE7CC6D">
            <w:pPr>
              <w:adjustRightInd w:val="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ign w:val="center"/>
          </w:tcPr>
          <w:p w14:paraId="07C6BE27">
            <w:pPr>
              <w:adjustRightInd w:val="0"/>
              <w:jc w:val="center"/>
              <w:rPr>
                <w:rFonts w:hint="eastAsia" w:ascii="宋体" w:hAnsi="宋体" w:eastAsia="宋体" w:cs="宋体"/>
                <w:color w:val="auto"/>
                <w:szCs w:val="21"/>
                <w:highlight w:val="none"/>
              </w:rPr>
            </w:pPr>
          </w:p>
        </w:tc>
        <w:tc>
          <w:tcPr>
            <w:tcW w:w="1449" w:type="dxa"/>
            <w:tcBorders>
              <w:top w:val="single" w:color="auto" w:sz="4" w:space="0"/>
              <w:left w:val="single" w:color="auto" w:sz="4" w:space="0"/>
              <w:bottom w:val="single" w:color="auto" w:sz="4" w:space="0"/>
              <w:right w:val="single" w:color="auto" w:sz="4" w:space="0"/>
            </w:tcBorders>
            <w:noWrap/>
            <w:vAlign w:val="center"/>
          </w:tcPr>
          <w:p w14:paraId="6A2C00A3">
            <w:pPr>
              <w:adjustRightInd w:val="0"/>
              <w:jc w:val="center"/>
              <w:rPr>
                <w:rFonts w:hint="eastAsia" w:ascii="宋体" w:hAnsi="宋体" w:eastAsia="宋体" w:cs="宋体"/>
                <w:color w:val="auto"/>
                <w:szCs w:val="21"/>
                <w:highlight w:val="none"/>
              </w:rPr>
            </w:pPr>
          </w:p>
        </w:tc>
        <w:tc>
          <w:tcPr>
            <w:tcW w:w="1181" w:type="dxa"/>
            <w:tcBorders>
              <w:top w:val="single" w:color="auto" w:sz="4" w:space="0"/>
              <w:left w:val="single" w:color="auto" w:sz="4" w:space="0"/>
              <w:bottom w:val="single" w:color="auto" w:sz="4" w:space="0"/>
              <w:right w:val="single" w:color="auto" w:sz="4" w:space="0"/>
            </w:tcBorders>
            <w:noWrap/>
            <w:vAlign w:val="center"/>
          </w:tcPr>
          <w:p w14:paraId="772EFE9B">
            <w:pPr>
              <w:adjustRightInd w:val="0"/>
              <w:jc w:val="center"/>
              <w:rPr>
                <w:rFonts w:hint="eastAsia" w:ascii="宋体" w:hAnsi="宋体" w:eastAsia="宋体" w:cs="宋体"/>
                <w:color w:val="auto"/>
                <w:szCs w:val="21"/>
                <w:highlight w:val="none"/>
              </w:rPr>
            </w:pPr>
          </w:p>
        </w:tc>
        <w:tc>
          <w:tcPr>
            <w:tcW w:w="2740" w:type="dxa"/>
            <w:tcBorders>
              <w:top w:val="single" w:color="auto" w:sz="4" w:space="0"/>
              <w:left w:val="single" w:color="auto" w:sz="4" w:space="0"/>
              <w:bottom w:val="single" w:color="auto" w:sz="4" w:space="0"/>
              <w:right w:val="single" w:color="auto" w:sz="4" w:space="0"/>
            </w:tcBorders>
            <w:noWrap/>
            <w:vAlign w:val="center"/>
          </w:tcPr>
          <w:p w14:paraId="5FE5923E">
            <w:pPr>
              <w:adjustRightInd w:val="0"/>
              <w:jc w:val="center"/>
              <w:rPr>
                <w:rFonts w:hint="eastAsia" w:ascii="宋体" w:hAnsi="宋体" w:eastAsia="宋体" w:cs="宋体"/>
                <w:color w:val="auto"/>
                <w:szCs w:val="21"/>
                <w:highlight w:val="none"/>
              </w:rPr>
            </w:pPr>
          </w:p>
        </w:tc>
      </w:tr>
    </w:tbl>
    <w:p w14:paraId="3DEEB4F6">
      <w:pPr>
        <w:rPr>
          <w:color w:val="auto"/>
          <w:highlight w:val="none"/>
        </w:rPr>
      </w:pPr>
    </w:p>
    <w:tbl>
      <w:tblPr>
        <w:tblStyle w:val="25"/>
        <w:tblW w:w="85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295"/>
        <w:gridCol w:w="1134"/>
        <w:gridCol w:w="1468"/>
        <w:gridCol w:w="1144"/>
        <w:gridCol w:w="2758"/>
      </w:tblGrid>
      <w:tr w14:paraId="6D16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58" w:type="dxa"/>
            <w:tcBorders>
              <w:top w:val="single" w:color="auto" w:sz="4" w:space="0"/>
              <w:left w:val="single" w:color="auto" w:sz="4" w:space="0"/>
              <w:bottom w:val="single" w:color="auto" w:sz="4" w:space="0"/>
              <w:right w:val="single" w:color="auto" w:sz="4" w:space="0"/>
            </w:tcBorders>
            <w:noWrap/>
            <w:vAlign w:val="center"/>
          </w:tcPr>
          <w:p w14:paraId="61C1EC48">
            <w:pPr>
              <w:adjustRightInd w:val="0"/>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序号</w:t>
            </w:r>
          </w:p>
        </w:tc>
        <w:tc>
          <w:tcPr>
            <w:tcW w:w="1295" w:type="dxa"/>
            <w:tcBorders>
              <w:top w:val="single" w:color="auto" w:sz="4" w:space="0"/>
              <w:left w:val="single" w:color="auto" w:sz="4" w:space="0"/>
              <w:bottom w:val="single" w:color="auto" w:sz="4" w:space="0"/>
              <w:right w:val="single" w:color="auto" w:sz="4" w:space="0"/>
            </w:tcBorders>
            <w:noWrap/>
            <w:vAlign w:val="center"/>
          </w:tcPr>
          <w:p w14:paraId="1F04DEA6">
            <w:pPr>
              <w:adjustRightInd w:val="0"/>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姓 名</w:t>
            </w:r>
          </w:p>
        </w:tc>
        <w:tc>
          <w:tcPr>
            <w:tcW w:w="1134" w:type="dxa"/>
            <w:tcBorders>
              <w:top w:val="single" w:color="auto" w:sz="4" w:space="0"/>
              <w:left w:val="single" w:color="auto" w:sz="4" w:space="0"/>
              <w:bottom w:val="single" w:color="auto" w:sz="4" w:space="0"/>
              <w:right w:val="single" w:color="auto" w:sz="4" w:space="0"/>
            </w:tcBorders>
            <w:noWrap/>
            <w:vAlign w:val="center"/>
          </w:tcPr>
          <w:p w14:paraId="540469A4">
            <w:pPr>
              <w:adjustRightInd w:val="0"/>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技术职称</w:t>
            </w:r>
          </w:p>
        </w:tc>
        <w:tc>
          <w:tcPr>
            <w:tcW w:w="1468" w:type="dxa"/>
            <w:tcBorders>
              <w:top w:val="single" w:color="auto" w:sz="4" w:space="0"/>
              <w:left w:val="single" w:color="auto" w:sz="4" w:space="0"/>
              <w:bottom w:val="single" w:color="auto" w:sz="4" w:space="0"/>
              <w:right w:val="single" w:color="auto" w:sz="4" w:space="0"/>
            </w:tcBorders>
            <w:noWrap/>
            <w:vAlign w:val="center"/>
          </w:tcPr>
          <w:p w14:paraId="277FB1B6">
            <w:pPr>
              <w:adjustRightInd w:val="0"/>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工作年限</w:t>
            </w:r>
          </w:p>
        </w:tc>
        <w:tc>
          <w:tcPr>
            <w:tcW w:w="1144" w:type="dxa"/>
            <w:tcBorders>
              <w:top w:val="single" w:color="auto" w:sz="4" w:space="0"/>
              <w:left w:val="single" w:color="auto" w:sz="4" w:space="0"/>
              <w:bottom w:val="single" w:color="auto" w:sz="4" w:space="0"/>
              <w:right w:val="single" w:color="auto" w:sz="4" w:space="0"/>
            </w:tcBorders>
            <w:noWrap/>
            <w:vAlign w:val="center"/>
          </w:tcPr>
          <w:p w14:paraId="4138BDC4">
            <w:pPr>
              <w:adjustRightInd w:val="0"/>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本项目中担任职务</w:t>
            </w:r>
          </w:p>
        </w:tc>
        <w:tc>
          <w:tcPr>
            <w:tcW w:w="2758" w:type="dxa"/>
            <w:tcBorders>
              <w:top w:val="single" w:color="auto" w:sz="4" w:space="0"/>
              <w:left w:val="single" w:color="auto" w:sz="4" w:space="0"/>
              <w:bottom w:val="single" w:color="auto" w:sz="4" w:space="0"/>
              <w:right w:val="single" w:color="auto" w:sz="4" w:space="0"/>
            </w:tcBorders>
            <w:noWrap/>
            <w:vAlign w:val="center"/>
          </w:tcPr>
          <w:p w14:paraId="4CA23265">
            <w:pPr>
              <w:adjustRightInd w:val="0"/>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val="en-US" w:eastAsia="zh-CN"/>
              </w:rPr>
              <w:t>工作经验</w:t>
            </w:r>
          </w:p>
        </w:tc>
      </w:tr>
      <w:tr w14:paraId="199CA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8557" w:type="dxa"/>
            <w:gridSpan w:val="6"/>
            <w:tcBorders>
              <w:top w:val="single" w:color="auto" w:sz="4" w:space="0"/>
              <w:left w:val="single" w:color="auto" w:sz="4" w:space="0"/>
              <w:bottom w:val="single" w:color="auto" w:sz="4" w:space="0"/>
              <w:right w:val="single" w:color="auto" w:sz="4" w:space="0"/>
            </w:tcBorders>
            <w:noWrap/>
            <w:vAlign w:val="center"/>
          </w:tcPr>
          <w:p w14:paraId="23C3351A">
            <w:pPr>
              <w:adjustRightIn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二、XX人员</w:t>
            </w:r>
          </w:p>
        </w:tc>
      </w:tr>
      <w:tr w14:paraId="049E5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58" w:type="dxa"/>
            <w:tcBorders>
              <w:top w:val="single" w:color="auto" w:sz="4" w:space="0"/>
              <w:left w:val="single" w:color="auto" w:sz="4" w:space="0"/>
              <w:bottom w:val="single" w:color="auto" w:sz="4" w:space="0"/>
              <w:right w:val="single" w:color="auto" w:sz="4" w:space="0"/>
            </w:tcBorders>
            <w:noWrap/>
            <w:vAlign w:val="center"/>
          </w:tcPr>
          <w:p w14:paraId="64C2FF28">
            <w:pPr>
              <w:adjustRightIn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295" w:type="dxa"/>
            <w:tcBorders>
              <w:top w:val="single" w:color="auto" w:sz="4" w:space="0"/>
              <w:left w:val="single" w:color="auto" w:sz="4" w:space="0"/>
              <w:bottom w:val="single" w:color="auto" w:sz="4" w:space="0"/>
              <w:right w:val="single" w:color="auto" w:sz="4" w:space="0"/>
            </w:tcBorders>
            <w:noWrap/>
            <w:vAlign w:val="center"/>
          </w:tcPr>
          <w:p w14:paraId="0998E071">
            <w:pPr>
              <w:adjustRightInd w:val="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ign w:val="center"/>
          </w:tcPr>
          <w:p w14:paraId="08C2D2D1">
            <w:pPr>
              <w:adjustRightInd w:val="0"/>
              <w:jc w:val="center"/>
              <w:rPr>
                <w:rFonts w:hint="eastAsia" w:ascii="宋体" w:hAnsi="宋体" w:eastAsia="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noWrap/>
            <w:vAlign w:val="center"/>
          </w:tcPr>
          <w:p w14:paraId="2532D463">
            <w:pPr>
              <w:adjustRightInd w:val="0"/>
              <w:jc w:val="center"/>
              <w:rPr>
                <w:rFonts w:hint="eastAsia" w:ascii="宋体" w:hAnsi="宋体" w:eastAsia="宋体" w:cs="宋体"/>
                <w:color w:val="auto"/>
                <w:szCs w:val="21"/>
                <w:highlight w:val="none"/>
              </w:rPr>
            </w:pPr>
          </w:p>
        </w:tc>
        <w:tc>
          <w:tcPr>
            <w:tcW w:w="1144" w:type="dxa"/>
            <w:tcBorders>
              <w:top w:val="single" w:color="auto" w:sz="4" w:space="0"/>
              <w:left w:val="single" w:color="auto" w:sz="4" w:space="0"/>
              <w:bottom w:val="single" w:color="auto" w:sz="4" w:space="0"/>
              <w:right w:val="single" w:color="auto" w:sz="4" w:space="0"/>
            </w:tcBorders>
            <w:noWrap/>
            <w:vAlign w:val="center"/>
          </w:tcPr>
          <w:p w14:paraId="4C0B283F">
            <w:pPr>
              <w:adjustRightInd w:val="0"/>
              <w:jc w:val="center"/>
              <w:rPr>
                <w:rFonts w:hint="eastAsia" w:ascii="宋体" w:hAnsi="宋体" w:eastAsia="宋体" w:cs="宋体"/>
                <w:color w:val="auto"/>
                <w:szCs w:val="21"/>
                <w:highlight w:val="none"/>
              </w:rPr>
            </w:pPr>
          </w:p>
        </w:tc>
        <w:tc>
          <w:tcPr>
            <w:tcW w:w="2758" w:type="dxa"/>
            <w:tcBorders>
              <w:top w:val="single" w:color="auto" w:sz="4" w:space="0"/>
              <w:left w:val="single" w:color="auto" w:sz="4" w:space="0"/>
              <w:bottom w:val="single" w:color="auto" w:sz="4" w:space="0"/>
              <w:right w:val="single" w:color="auto" w:sz="4" w:space="0"/>
            </w:tcBorders>
            <w:noWrap/>
            <w:vAlign w:val="center"/>
          </w:tcPr>
          <w:p w14:paraId="398F424C">
            <w:pPr>
              <w:adjustRightInd w:val="0"/>
              <w:jc w:val="center"/>
              <w:rPr>
                <w:rFonts w:hint="eastAsia" w:ascii="宋体" w:hAnsi="宋体" w:eastAsia="宋体" w:cs="宋体"/>
                <w:color w:val="auto"/>
                <w:szCs w:val="21"/>
                <w:highlight w:val="none"/>
              </w:rPr>
            </w:pPr>
          </w:p>
        </w:tc>
      </w:tr>
      <w:tr w14:paraId="64EEB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58" w:type="dxa"/>
            <w:tcBorders>
              <w:top w:val="single" w:color="auto" w:sz="4" w:space="0"/>
              <w:left w:val="single" w:color="auto" w:sz="4" w:space="0"/>
              <w:bottom w:val="single" w:color="auto" w:sz="4" w:space="0"/>
              <w:right w:val="single" w:color="auto" w:sz="4" w:space="0"/>
            </w:tcBorders>
            <w:noWrap/>
            <w:vAlign w:val="center"/>
          </w:tcPr>
          <w:p w14:paraId="5DE003A2">
            <w:pPr>
              <w:adjustRightInd w:val="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1295" w:type="dxa"/>
            <w:tcBorders>
              <w:top w:val="single" w:color="auto" w:sz="4" w:space="0"/>
              <w:left w:val="single" w:color="auto" w:sz="4" w:space="0"/>
              <w:bottom w:val="single" w:color="auto" w:sz="4" w:space="0"/>
              <w:right w:val="single" w:color="auto" w:sz="4" w:space="0"/>
            </w:tcBorders>
            <w:noWrap/>
            <w:vAlign w:val="center"/>
          </w:tcPr>
          <w:p w14:paraId="384AC4DE">
            <w:pPr>
              <w:adjustRightInd w:val="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ign w:val="center"/>
          </w:tcPr>
          <w:p w14:paraId="19ACEC9D">
            <w:pPr>
              <w:adjustRightInd w:val="0"/>
              <w:jc w:val="center"/>
              <w:rPr>
                <w:rFonts w:hint="eastAsia" w:ascii="宋体" w:hAnsi="宋体" w:eastAsia="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noWrap/>
            <w:vAlign w:val="center"/>
          </w:tcPr>
          <w:p w14:paraId="5D6AFFD6">
            <w:pPr>
              <w:adjustRightInd w:val="0"/>
              <w:jc w:val="center"/>
              <w:rPr>
                <w:rFonts w:hint="eastAsia" w:ascii="宋体" w:hAnsi="宋体" w:eastAsia="宋体" w:cs="宋体"/>
                <w:color w:val="auto"/>
                <w:szCs w:val="21"/>
                <w:highlight w:val="none"/>
              </w:rPr>
            </w:pPr>
          </w:p>
        </w:tc>
        <w:tc>
          <w:tcPr>
            <w:tcW w:w="1144" w:type="dxa"/>
            <w:tcBorders>
              <w:top w:val="single" w:color="auto" w:sz="4" w:space="0"/>
              <w:left w:val="single" w:color="auto" w:sz="4" w:space="0"/>
              <w:bottom w:val="single" w:color="auto" w:sz="4" w:space="0"/>
              <w:right w:val="single" w:color="auto" w:sz="4" w:space="0"/>
            </w:tcBorders>
            <w:noWrap/>
            <w:vAlign w:val="center"/>
          </w:tcPr>
          <w:p w14:paraId="670C0955">
            <w:pPr>
              <w:adjustRightInd w:val="0"/>
              <w:jc w:val="center"/>
              <w:rPr>
                <w:rFonts w:hint="eastAsia" w:ascii="宋体" w:hAnsi="宋体" w:eastAsia="宋体" w:cs="宋体"/>
                <w:color w:val="auto"/>
                <w:szCs w:val="21"/>
                <w:highlight w:val="none"/>
              </w:rPr>
            </w:pPr>
          </w:p>
        </w:tc>
        <w:tc>
          <w:tcPr>
            <w:tcW w:w="2758" w:type="dxa"/>
            <w:tcBorders>
              <w:top w:val="single" w:color="auto" w:sz="4" w:space="0"/>
              <w:left w:val="single" w:color="auto" w:sz="4" w:space="0"/>
              <w:bottom w:val="single" w:color="auto" w:sz="4" w:space="0"/>
              <w:right w:val="single" w:color="auto" w:sz="4" w:space="0"/>
            </w:tcBorders>
            <w:noWrap/>
            <w:vAlign w:val="center"/>
          </w:tcPr>
          <w:p w14:paraId="074507AF">
            <w:pPr>
              <w:adjustRightInd w:val="0"/>
              <w:jc w:val="center"/>
              <w:rPr>
                <w:rFonts w:hint="eastAsia" w:ascii="宋体" w:hAnsi="宋体" w:eastAsia="宋体" w:cs="宋体"/>
                <w:color w:val="auto"/>
                <w:szCs w:val="21"/>
                <w:highlight w:val="none"/>
              </w:rPr>
            </w:pPr>
          </w:p>
        </w:tc>
      </w:tr>
      <w:tr w14:paraId="435F0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58" w:type="dxa"/>
            <w:tcBorders>
              <w:top w:val="single" w:color="auto" w:sz="4" w:space="0"/>
              <w:left w:val="single" w:color="auto" w:sz="4" w:space="0"/>
              <w:bottom w:val="single" w:color="auto" w:sz="4" w:space="0"/>
              <w:right w:val="single" w:color="auto" w:sz="4" w:space="0"/>
            </w:tcBorders>
            <w:noWrap/>
            <w:vAlign w:val="center"/>
          </w:tcPr>
          <w:p w14:paraId="329D6903">
            <w:pPr>
              <w:adjustRightInd w:val="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1295" w:type="dxa"/>
            <w:tcBorders>
              <w:top w:val="single" w:color="auto" w:sz="4" w:space="0"/>
              <w:left w:val="single" w:color="auto" w:sz="4" w:space="0"/>
              <w:bottom w:val="single" w:color="auto" w:sz="4" w:space="0"/>
              <w:right w:val="single" w:color="auto" w:sz="4" w:space="0"/>
            </w:tcBorders>
            <w:noWrap/>
            <w:vAlign w:val="center"/>
          </w:tcPr>
          <w:p w14:paraId="3597F6CA">
            <w:pPr>
              <w:adjustRightInd w:val="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ign w:val="center"/>
          </w:tcPr>
          <w:p w14:paraId="7D524A8A">
            <w:pPr>
              <w:adjustRightInd w:val="0"/>
              <w:jc w:val="center"/>
              <w:rPr>
                <w:rFonts w:hint="eastAsia" w:ascii="宋体" w:hAnsi="宋体" w:eastAsia="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noWrap/>
            <w:vAlign w:val="center"/>
          </w:tcPr>
          <w:p w14:paraId="6FCF572E">
            <w:pPr>
              <w:adjustRightInd w:val="0"/>
              <w:jc w:val="center"/>
              <w:rPr>
                <w:rFonts w:hint="eastAsia" w:ascii="宋体" w:hAnsi="宋体" w:eastAsia="宋体" w:cs="宋体"/>
                <w:color w:val="auto"/>
                <w:szCs w:val="21"/>
                <w:highlight w:val="none"/>
              </w:rPr>
            </w:pPr>
          </w:p>
        </w:tc>
        <w:tc>
          <w:tcPr>
            <w:tcW w:w="1144" w:type="dxa"/>
            <w:tcBorders>
              <w:top w:val="single" w:color="auto" w:sz="4" w:space="0"/>
              <w:left w:val="single" w:color="auto" w:sz="4" w:space="0"/>
              <w:bottom w:val="single" w:color="auto" w:sz="4" w:space="0"/>
              <w:right w:val="single" w:color="auto" w:sz="4" w:space="0"/>
            </w:tcBorders>
            <w:noWrap/>
            <w:vAlign w:val="center"/>
          </w:tcPr>
          <w:p w14:paraId="4D0FFB75">
            <w:pPr>
              <w:adjustRightInd w:val="0"/>
              <w:jc w:val="center"/>
              <w:rPr>
                <w:rFonts w:hint="eastAsia" w:ascii="宋体" w:hAnsi="宋体" w:eastAsia="宋体" w:cs="宋体"/>
                <w:color w:val="auto"/>
                <w:szCs w:val="21"/>
                <w:highlight w:val="none"/>
              </w:rPr>
            </w:pPr>
          </w:p>
        </w:tc>
        <w:tc>
          <w:tcPr>
            <w:tcW w:w="2758" w:type="dxa"/>
            <w:tcBorders>
              <w:top w:val="single" w:color="auto" w:sz="4" w:space="0"/>
              <w:left w:val="single" w:color="auto" w:sz="4" w:space="0"/>
              <w:bottom w:val="single" w:color="auto" w:sz="4" w:space="0"/>
              <w:right w:val="single" w:color="auto" w:sz="4" w:space="0"/>
            </w:tcBorders>
            <w:noWrap/>
            <w:vAlign w:val="center"/>
          </w:tcPr>
          <w:p w14:paraId="0DAFE7B8">
            <w:pPr>
              <w:adjustRightInd w:val="0"/>
              <w:jc w:val="center"/>
              <w:rPr>
                <w:rFonts w:hint="eastAsia" w:ascii="宋体" w:hAnsi="宋体" w:eastAsia="宋体" w:cs="宋体"/>
                <w:color w:val="auto"/>
                <w:szCs w:val="21"/>
                <w:highlight w:val="none"/>
              </w:rPr>
            </w:pPr>
          </w:p>
        </w:tc>
      </w:tr>
      <w:tr w14:paraId="5E288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58" w:type="dxa"/>
            <w:tcBorders>
              <w:top w:val="single" w:color="auto" w:sz="4" w:space="0"/>
              <w:left w:val="single" w:color="auto" w:sz="4" w:space="0"/>
              <w:bottom w:val="single" w:color="auto" w:sz="4" w:space="0"/>
              <w:right w:val="single" w:color="auto" w:sz="4" w:space="0"/>
            </w:tcBorders>
            <w:noWrap/>
            <w:vAlign w:val="center"/>
          </w:tcPr>
          <w:p w14:paraId="024A8F75">
            <w:pPr>
              <w:adjustRightInd w:val="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c>
          <w:tcPr>
            <w:tcW w:w="1295" w:type="dxa"/>
            <w:tcBorders>
              <w:top w:val="single" w:color="auto" w:sz="4" w:space="0"/>
              <w:left w:val="single" w:color="auto" w:sz="4" w:space="0"/>
              <w:bottom w:val="single" w:color="auto" w:sz="4" w:space="0"/>
              <w:right w:val="single" w:color="auto" w:sz="4" w:space="0"/>
            </w:tcBorders>
            <w:noWrap/>
            <w:vAlign w:val="center"/>
          </w:tcPr>
          <w:p w14:paraId="2FF35493">
            <w:pPr>
              <w:adjustRightInd w:val="0"/>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ign w:val="center"/>
          </w:tcPr>
          <w:p w14:paraId="444BB472">
            <w:pPr>
              <w:adjustRightInd w:val="0"/>
              <w:jc w:val="center"/>
              <w:rPr>
                <w:rFonts w:hint="eastAsia" w:ascii="宋体" w:hAnsi="宋体" w:eastAsia="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noWrap/>
            <w:vAlign w:val="center"/>
          </w:tcPr>
          <w:p w14:paraId="163EE159">
            <w:pPr>
              <w:adjustRightInd w:val="0"/>
              <w:jc w:val="center"/>
              <w:rPr>
                <w:rFonts w:hint="eastAsia" w:ascii="宋体" w:hAnsi="宋体" w:eastAsia="宋体" w:cs="宋体"/>
                <w:color w:val="auto"/>
                <w:szCs w:val="21"/>
                <w:highlight w:val="none"/>
              </w:rPr>
            </w:pPr>
          </w:p>
        </w:tc>
        <w:tc>
          <w:tcPr>
            <w:tcW w:w="1144" w:type="dxa"/>
            <w:tcBorders>
              <w:top w:val="single" w:color="auto" w:sz="4" w:space="0"/>
              <w:left w:val="single" w:color="auto" w:sz="4" w:space="0"/>
              <w:bottom w:val="single" w:color="auto" w:sz="4" w:space="0"/>
              <w:right w:val="single" w:color="auto" w:sz="4" w:space="0"/>
            </w:tcBorders>
            <w:noWrap/>
            <w:vAlign w:val="center"/>
          </w:tcPr>
          <w:p w14:paraId="0CAD86E4">
            <w:pPr>
              <w:adjustRightInd w:val="0"/>
              <w:jc w:val="center"/>
              <w:rPr>
                <w:rFonts w:hint="eastAsia" w:ascii="宋体" w:hAnsi="宋体" w:eastAsia="宋体" w:cs="宋体"/>
                <w:color w:val="auto"/>
                <w:szCs w:val="21"/>
                <w:highlight w:val="none"/>
              </w:rPr>
            </w:pPr>
          </w:p>
        </w:tc>
        <w:tc>
          <w:tcPr>
            <w:tcW w:w="2758" w:type="dxa"/>
            <w:tcBorders>
              <w:top w:val="single" w:color="auto" w:sz="4" w:space="0"/>
              <w:left w:val="single" w:color="auto" w:sz="4" w:space="0"/>
              <w:bottom w:val="single" w:color="auto" w:sz="4" w:space="0"/>
              <w:right w:val="single" w:color="auto" w:sz="4" w:space="0"/>
            </w:tcBorders>
            <w:noWrap/>
            <w:vAlign w:val="center"/>
          </w:tcPr>
          <w:p w14:paraId="2079647C">
            <w:pPr>
              <w:adjustRightInd w:val="0"/>
              <w:jc w:val="center"/>
              <w:rPr>
                <w:rFonts w:hint="eastAsia" w:ascii="宋体" w:hAnsi="宋体" w:eastAsia="宋体" w:cs="宋体"/>
                <w:color w:val="auto"/>
                <w:szCs w:val="21"/>
                <w:highlight w:val="none"/>
              </w:rPr>
            </w:pPr>
          </w:p>
        </w:tc>
      </w:tr>
    </w:tbl>
    <w:p w14:paraId="46ABFA4B">
      <w:pPr>
        <w:keepNext w:val="0"/>
        <w:keepLines w:val="0"/>
        <w:pageBreakBefore w:val="0"/>
        <w:kinsoku/>
        <w:overflowPunct/>
        <w:topLinePunct w:val="0"/>
        <w:autoSpaceDE/>
        <w:autoSpaceDN/>
        <w:bidi w:val="0"/>
        <w:adjustRightInd w:val="0"/>
        <w:snapToGrid w:val="0"/>
        <w:spacing w:after="0" w:afterAutospacing="0"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特别说明：</w:t>
      </w:r>
    </w:p>
    <w:p w14:paraId="6557869F">
      <w:pPr>
        <w:keepNext w:val="0"/>
        <w:keepLines w:val="0"/>
        <w:pageBreakBefore w:val="0"/>
        <w:kinsoku/>
        <w:overflowPunct/>
        <w:topLinePunct w:val="0"/>
        <w:autoSpaceDE/>
        <w:autoSpaceDN/>
        <w:bidi w:val="0"/>
        <w:adjustRightInd w:val="0"/>
        <w:snapToGrid w:val="0"/>
        <w:spacing w:after="0" w:afterAutospacing="0"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1.须按照上述格式填写投入本项目所有人员的相关信息。</w:t>
      </w:r>
    </w:p>
    <w:p w14:paraId="5796E53D">
      <w:pPr>
        <w:keepNext w:val="0"/>
        <w:keepLines w:val="0"/>
        <w:pageBreakBefore w:val="0"/>
        <w:kinsoku/>
        <w:overflowPunct/>
        <w:topLinePunct w:val="0"/>
        <w:autoSpaceDE/>
        <w:autoSpaceDN/>
        <w:bidi w:val="0"/>
        <w:adjustRightInd w:val="0"/>
        <w:snapToGrid w:val="0"/>
        <w:spacing w:after="0" w:afterAutospacing="0"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按项目采购需求要求、评标方法及标准附相关证明材料</w:t>
      </w:r>
      <w:r>
        <w:rPr>
          <w:rFonts w:hint="eastAsia" w:ascii="宋体" w:hAnsi="宋体" w:eastAsia="宋体" w:cs="宋体"/>
          <w:color w:val="auto"/>
          <w:sz w:val="21"/>
          <w:szCs w:val="21"/>
          <w:highlight w:val="none"/>
        </w:rPr>
        <w:t>。</w:t>
      </w:r>
    </w:p>
    <w:p w14:paraId="793D79CE">
      <w:pPr>
        <w:pStyle w:val="50"/>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color w:val="auto"/>
          <w:sz w:val="21"/>
          <w:szCs w:val="21"/>
          <w:highlight w:val="none"/>
        </w:rPr>
      </w:pPr>
    </w:p>
    <w:p w14:paraId="178D2549">
      <w:pPr>
        <w:pStyle w:val="50"/>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color w:val="auto"/>
          <w:sz w:val="21"/>
          <w:szCs w:val="21"/>
          <w:highlight w:val="none"/>
        </w:rPr>
      </w:pPr>
    </w:p>
    <w:p w14:paraId="4C3B77E7">
      <w:pPr>
        <w:pStyle w:val="50"/>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color w:val="auto"/>
          <w:sz w:val="21"/>
          <w:szCs w:val="21"/>
          <w:highlight w:val="none"/>
        </w:rPr>
      </w:pPr>
    </w:p>
    <w:p w14:paraId="5E500C79">
      <w:pPr>
        <w:pStyle w:val="50"/>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color w:val="auto"/>
          <w:sz w:val="21"/>
          <w:szCs w:val="21"/>
          <w:highlight w:val="none"/>
        </w:rPr>
      </w:pPr>
    </w:p>
    <w:p w14:paraId="6D2F5280">
      <w:pPr>
        <w:pStyle w:val="50"/>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color w:val="auto"/>
          <w:sz w:val="21"/>
          <w:szCs w:val="21"/>
          <w:highlight w:val="none"/>
        </w:rPr>
      </w:pPr>
    </w:p>
    <w:p w14:paraId="212AF228">
      <w:pPr>
        <w:pStyle w:val="50"/>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color w:val="auto"/>
          <w:sz w:val="21"/>
          <w:szCs w:val="21"/>
          <w:highlight w:val="none"/>
        </w:rPr>
      </w:pPr>
    </w:p>
    <w:p w14:paraId="3A6D74EF">
      <w:pPr>
        <w:pStyle w:val="50"/>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color w:val="auto"/>
          <w:sz w:val="21"/>
          <w:szCs w:val="21"/>
          <w:highlight w:val="none"/>
        </w:rPr>
      </w:pPr>
    </w:p>
    <w:p w14:paraId="0E11FAB5">
      <w:pPr>
        <w:pStyle w:val="50"/>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color w:val="auto"/>
          <w:sz w:val="21"/>
          <w:szCs w:val="21"/>
          <w:highlight w:val="none"/>
        </w:rPr>
      </w:pPr>
    </w:p>
    <w:p w14:paraId="15EE335B">
      <w:pPr>
        <w:pStyle w:val="50"/>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color w:val="auto"/>
          <w:sz w:val="21"/>
          <w:szCs w:val="21"/>
          <w:highlight w:val="none"/>
        </w:rPr>
      </w:pPr>
    </w:p>
    <w:p w14:paraId="259FCCD4">
      <w:pPr>
        <w:pStyle w:val="50"/>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color w:val="auto"/>
          <w:sz w:val="21"/>
          <w:szCs w:val="21"/>
          <w:highlight w:val="none"/>
        </w:rPr>
      </w:pPr>
    </w:p>
    <w:p w14:paraId="7BEC21A9">
      <w:pPr>
        <w:pStyle w:val="50"/>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★工程人员</w:t>
      </w:r>
      <w:r>
        <w:rPr>
          <w:rFonts w:hint="eastAsia" w:ascii="宋体" w:hAnsi="宋体" w:cs="宋体"/>
          <w:color w:val="auto"/>
          <w:sz w:val="21"/>
          <w:szCs w:val="21"/>
          <w:highlight w:val="none"/>
          <w:lang w:eastAsia="zh-CN"/>
        </w:rPr>
        <w:t>岗位</w:t>
      </w:r>
      <w:r>
        <w:rPr>
          <w:rFonts w:hint="eastAsia" w:ascii="宋体" w:hAnsi="宋体" w:cs="宋体"/>
          <w:color w:val="auto"/>
          <w:sz w:val="21"/>
          <w:szCs w:val="21"/>
          <w:highlight w:val="none"/>
          <w:lang w:val="en-US" w:eastAsia="zh-CN"/>
        </w:rPr>
        <w:t>2个</w:t>
      </w:r>
      <w:r>
        <w:rPr>
          <w:rFonts w:hint="eastAsia" w:ascii="宋体" w:hAnsi="宋体" w:eastAsia="宋体" w:cs="宋体"/>
          <w:color w:val="auto"/>
          <w:sz w:val="21"/>
          <w:szCs w:val="21"/>
          <w:highlight w:val="none"/>
        </w:rPr>
        <w:t>，需具有相应水电维修和设备管理经验，均需持有《特种作业操作证》作业类别：电工作业、准</w:t>
      </w:r>
      <w:r>
        <w:rPr>
          <w:rFonts w:hint="eastAsia" w:ascii="宋体" w:hAnsi="宋体" w:cs="宋体"/>
          <w:color w:val="auto"/>
          <w:sz w:val="21"/>
          <w:szCs w:val="21"/>
          <w:highlight w:val="none"/>
          <w:lang w:eastAsia="zh-CN"/>
        </w:rPr>
        <w:t>操</w:t>
      </w:r>
      <w:r>
        <w:rPr>
          <w:rFonts w:hint="eastAsia" w:ascii="宋体" w:hAnsi="宋体" w:eastAsia="宋体" w:cs="宋体"/>
          <w:color w:val="auto"/>
          <w:sz w:val="21"/>
          <w:szCs w:val="21"/>
          <w:highlight w:val="none"/>
        </w:rPr>
        <w:t>项目：高压电作业；</w:t>
      </w:r>
    </w:p>
    <w:p w14:paraId="4B054102">
      <w:pPr>
        <w:pStyle w:val="50"/>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color w:val="auto"/>
          <w:sz w:val="21"/>
          <w:szCs w:val="21"/>
          <w:highlight w:val="none"/>
        </w:rPr>
      </w:pPr>
    </w:p>
    <w:p w14:paraId="627B033D">
      <w:pPr>
        <w:pStyle w:val="50"/>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从事</w:t>
      </w:r>
      <w:r>
        <w:rPr>
          <w:rFonts w:hint="eastAsia" w:ascii="宋体" w:hAnsi="宋体" w:eastAsia="宋体" w:cs="宋体"/>
          <w:color w:val="auto"/>
          <w:szCs w:val="21"/>
          <w:highlight w:val="none"/>
        </w:rPr>
        <w:t>消防控制室</w:t>
      </w:r>
      <w:r>
        <w:rPr>
          <w:rFonts w:hint="eastAsia" w:ascii="宋体" w:hAnsi="宋体" w:cs="宋体"/>
          <w:color w:val="auto"/>
          <w:szCs w:val="21"/>
          <w:highlight w:val="none"/>
          <w:lang w:eastAsia="zh-CN"/>
        </w:rPr>
        <w:t>工作的岗位</w:t>
      </w:r>
      <w:r>
        <w:rPr>
          <w:rFonts w:hint="eastAsia" w:ascii="宋体" w:hAnsi="宋体" w:eastAsia="宋体" w:cs="宋体"/>
          <w:color w:val="auto"/>
          <w:szCs w:val="21"/>
          <w:highlight w:val="none"/>
        </w:rPr>
        <w:t>人员</w:t>
      </w:r>
      <w:r>
        <w:rPr>
          <w:rFonts w:hint="eastAsia" w:ascii="宋体" w:hAnsi="宋体" w:cs="宋体"/>
          <w:color w:val="auto"/>
          <w:szCs w:val="21"/>
          <w:highlight w:val="none"/>
          <w:lang w:eastAsia="zh-CN"/>
        </w:rPr>
        <w:t>需</w:t>
      </w:r>
      <w:r>
        <w:rPr>
          <w:rFonts w:hint="eastAsia" w:ascii="宋体" w:hAnsi="宋体" w:eastAsia="宋体" w:cs="宋体"/>
          <w:color w:val="auto"/>
          <w:szCs w:val="21"/>
          <w:highlight w:val="none"/>
        </w:rPr>
        <w:t>持有建（构）筑物消防员五级</w:t>
      </w:r>
      <w:r>
        <w:rPr>
          <w:rFonts w:hint="eastAsia" w:ascii="宋体" w:hAnsi="宋体" w:eastAsia="宋体" w:cs="宋体"/>
          <w:color w:val="auto"/>
          <w:szCs w:val="21"/>
          <w:highlight w:val="none"/>
          <w:lang w:val="en-US" w:eastAsia="zh-CN"/>
        </w:rPr>
        <w:t>及以上</w:t>
      </w:r>
      <w:r>
        <w:rPr>
          <w:rFonts w:hint="eastAsia" w:ascii="宋体" w:hAnsi="宋体" w:eastAsia="宋体" w:cs="宋体"/>
          <w:color w:val="auto"/>
          <w:szCs w:val="21"/>
          <w:highlight w:val="none"/>
        </w:rPr>
        <w:t>职业资格证书</w:t>
      </w:r>
      <w:r>
        <w:rPr>
          <w:rFonts w:hint="eastAsia" w:ascii="宋体" w:hAnsi="宋体" w:cs="宋体"/>
          <w:color w:val="auto"/>
          <w:szCs w:val="21"/>
          <w:highlight w:val="none"/>
          <w:lang w:val="en-US" w:eastAsia="zh-CN"/>
        </w:rPr>
        <w:t>或初级及以上《消防设施操作员</w:t>
      </w:r>
      <w:r>
        <w:rPr>
          <w:rFonts w:hint="eastAsia" w:ascii="宋体" w:hAnsi="宋体" w:eastAsia="宋体" w:cs="宋体"/>
          <w:color w:val="auto"/>
          <w:szCs w:val="21"/>
          <w:highlight w:val="none"/>
        </w:rPr>
        <w:t>》职业资格证书</w:t>
      </w:r>
      <w:r>
        <w:rPr>
          <w:rFonts w:hint="eastAsia" w:ascii="宋体" w:hAnsi="宋体" w:cs="宋体"/>
          <w:color w:val="auto"/>
          <w:sz w:val="21"/>
          <w:szCs w:val="21"/>
          <w:highlight w:val="none"/>
          <w:lang w:eastAsia="zh-CN"/>
        </w:rPr>
        <w:t>。</w:t>
      </w:r>
    </w:p>
    <w:p w14:paraId="17ED8A5F">
      <w:pPr>
        <w:pStyle w:val="50"/>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color w:val="auto"/>
          <w:sz w:val="21"/>
          <w:szCs w:val="21"/>
          <w:highlight w:val="none"/>
        </w:rPr>
      </w:pPr>
    </w:p>
    <w:p w14:paraId="0F66BCAA">
      <w:pPr>
        <w:pStyle w:val="50"/>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提供的服务人员应当相对稳定，按要求合理配置服务人员，优先派遣有类似工作经验的服务团队。确保做好物业管理服务（合同签订时供应商须提供服务人员具体信息资料、岗位配置书面材料）。且应无条件配合采购人人事部门及需求服务部门的需要，对人员进行档案、考勤等方面的管理。（投标时提供承诺书）</w:t>
      </w:r>
      <w:r>
        <w:rPr>
          <w:rFonts w:hint="eastAsia" w:ascii="宋体" w:hAnsi="宋体" w:cs="宋体"/>
          <w:color w:val="auto"/>
          <w:sz w:val="21"/>
          <w:szCs w:val="21"/>
          <w:highlight w:val="none"/>
          <w:lang w:eastAsia="zh-CN"/>
        </w:rPr>
        <w:t>。</w:t>
      </w:r>
    </w:p>
    <w:p w14:paraId="3D1219B4">
      <w:pPr>
        <w:pStyle w:val="50"/>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color w:val="auto"/>
          <w:sz w:val="21"/>
          <w:szCs w:val="21"/>
          <w:highlight w:val="none"/>
        </w:rPr>
      </w:pPr>
    </w:p>
    <w:p w14:paraId="6626305F">
      <w:pPr>
        <w:pStyle w:val="50"/>
        <w:keepNext w:val="0"/>
        <w:pageBreakBefore w:val="0"/>
        <w:widowControl w:val="0"/>
        <w:kinsoku/>
        <w:wordWrap/>
        <w:overflowPunct/>
        <w:topLinePunct w:val="0"/>
        <w:autoSpaceDE/>
        <w:autoSpaceDN/>
        <w:bidi w:val="0"/>
        <w:snapToGrid/>
        <w:spacing w:before="0" w:after="0" w:line="48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业公司对派驻的各岗位人员应能提供相关证明材料以清晰反应物业公司与派驻人员之间的劳动聘用关系。派驻的各岗位人员相关待遇不能低于昆明当地劳动保障部门规定的最低工资标准要求及依法购买社会保险，劳动用工不得有任何违反国家、省、市有关法律法规的规定。派驻的所有人员须持有无犯罪证明和持有本人身体健康证明 （县级以上医院体检证明）且体检取得的健康证明时间应为入职当年。（投标时提供承诺书）。</w:t>
      </w:r>
    </w:p>
    <w:p w14:paraId="373DE776">
      <w:pPr>
        <w:pStyle w:val="31"/>
        <w:rPr>
          <w:rFonts w:hint="default"/>
          <w:color w:val="auto"/>
          <w:highlight w:val="none"/>
          <w:lang w:val="en-US" w:eastAsia="zh-CN"/>
        </w:rPr>
      </w:pPr>
    </w:p>
    <w:p w14:paraId="25CF6DC7">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r>
    </w:p>
    <w:p w14:paraId="43556987">
      <w:pPr>
        <w:pStyle w:val="35"/>
        <w:numPr>
          <w:ilvl w:val="0"/>
          <w:numId w:val="0"/>
        </w:numPr>
        <w:tabs>
          <w:tab w:val="left" w:pos="420"/>
        </w:tabs>
        <w:snapToGrid w:val="0"/>
        <w:spacing w:line="460" w:lineRule="atLeast"/>
        <w:jc w:val="both"/>
        <w:outlineLvl w:val="1"/>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格式8</w:t>
      </w:r>
    </w:p>
    <w:p w14:paraId="2BBA37D8">
      <w:pPr>
        <w:numPr>
          <w:ilvl w:val="0"/>
          <w:numId w:val="0"/>
        </w:numPr>
        <w:topLinePunct/>
        <w:autoSpaceDE w:val="0"/>
        <w:autoSpaceDN w:val="0"/>
        <w:spacing w:after="0" w:line="360" w:lineRule="auto"/>
        <w:jc w:val="center"/>
        <w:outlineLvl w:val="2"/>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t>类似项目业绩表</w:t>
      </w:r>
    </w:p>
    <w:tbl>
      <w:tblPr>
        <w:tblStyle w:val="25"/>
        <w:tblW w:w="8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826"/>
        <w:gridCol w:w="871"/>
        <w:gridCol w:w="713"/>
        <w:gridCol w:w="750"/>
        <w:gridCol w:w="1231"/>
        <w:gridCol w:w="1171"/>
        <w:gridCol w:w="1074"/>
        <w:gridCol w:w="1192"/>
      </w:tblGrid>
      <w:tr w14:paraId="60104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14:paraId="0B7B2724">
            <w:pPr>
              <w:topLinePunct/>
              <w:autoSpaceDE w:val="0"/>
              <w:autoSpaceDN w:val="0"/>
              <w:adjustRightInd w:val="0"/>
              <w:snapToGrid w:val="0"/>
              <w:spacing w:after="0"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826" w:type="dxa"/>
            <w:tcBorders>
              <w:top w:val="single" w:color="auto" w:sz="4" w:space="0"/>
              <w:left w:val="single" w:color="auto" w:sz="4" w:space="0"/>
              <w:bottom w:val="single" w:color="auto" w:sz="4" w:space="0"/>
              <w:right w:val="single" w:color="auto" w:sz="4" w:space="0"/>
            </w:tcBorders>
            <w:vAlign w:val="center"/>
          </w:tcPr>
          <w:p w14:paraId="650639E3">
            <w:pPr>
              <w:topLinePunct/>
              <w:autoSpaceDE w:val="0"/>
              <w:autoSpaceDN w:val="0"/>
              <w:adjustRightInd w:val="0"/>
              <w:snapToGrid w:val="0"/>
              <w:spacing w:after="0"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w:t>
            </w:r>
          </w:p>
          <w:p w14:paraId="6E21B23C">
            <w:pPr>
              <w:topLinePunct/>
              <w:autoSpaceDE w:val="0"/>
              <w:autoSpaceDN w:val="0"/>
              <w:adjustRightInd w:val="0"/>
              <w:snapToGrid w:val="0"/>
              <w:spacing w:after="0"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名称</w:t>
            </w:r>
          </w:p>
        </w:tc>
        <w:tc>
          <w:tcPr>
            <w:tcW w:w="871" w:type="dxa"/>
            <w:tcBorders>
              <w:top w:val="single" w:color="auto" w:sz="4" w:space="0"/>
              <w:left w:val="single" w:color="auto" w:sz="4" w:space="0"/>
              <w:bottom w:val="single" w:color="auto" w:sz="4" w:space="0"/>
              <w:right w:val="single" w:color="auto" w:sz="4" w:space="0"/>
            </w:tcBorders>
            <w:vAlign w:val="center"/>
          </w:tcPr>
          <w:p w14:paraId="4839FB3F">
            <w:pPr>
              <w:topLinePunct/>
              <w:autoSpaceDE w:val="0"/>
              <w:autoSpaceDN w:val="0"/>
              <w:adjustRightInd w:val="0"/>
              <w:snapToGrid w:val="0"/>
              <w:spacing w:after="0"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w:t>
            </w:r>
          </w:p>
          <w:p w14:paraId="63CC122C">
            <w:pPr>
              <w:topLinePunct/>
              <w:autoSpaceDE w:val="0"/>
              <w:autoSpaceDN w:val="0"/>
              <w:adjustRightInd w:val="0"/>
              <w:snapToGrid w:val="0"/>
              <w:spacing w:after="0"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甲方</w:t>
            </w:r>
          </w:p>
        </w:tc>
        <w:tc>
          <w:tcPr>
            <w:tcW w:w="713" w:type="dxa"/>
            <w:tcBorders>
              <w:top w:val="single" w:color="auto" w:sz="4" w:space="0"/>
              <w:left w:val="single" w:color="auto" w:sz="4" w:space="0"/>
              <w:bottom w:val="single" w:color="auto" w:sz="4" w:space="0"/>
              <w:right w:val="single" w:color="auto" w:sz="4" w:space="0"/>
            </w:tcBorders>
            <w:vAlign w:val="center"/>
          </w:tcPr>
          <w:p w14:paraId="32DB01F4">
            <w:pPr>
              <w:topLinePunct/>
              <w:autoSpaceDE w:val="0"/>
              <w:autoSpaceDN w:val="0"/>
              <w:adjustRightInd w:val="0"/>
              <w:snapToGrid w:val="0"/>
              <w:spacing w:after="0"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合同时间</w:t>
            </w:r>
          </w:p>
        </w:tc>
        <w:tc>
          <w:tcPr>
            <w:tcW w:w="750" w:type="dxa"/>
            <w:tcBorders>
              <w:top w:val="single" w:color="auto" w:sz="4" w:space="0"/>
              <w:left w:val="single" w:color="auto" w:sz="4" w:space="0"/>
              <w:bottom w:val="single" w:color="auto" w:sz="4" w:space="0"/>
              <w:right w:val="single" w:color="auto" w:sz="4" w:space="0"/>
            </w:tcBorders>
            <w:vAlign w:val="center"/>
          </w:tcPr>
          <w:p w14:paraId="3AA9105C">
            <w:pPr>
              <w:topLinePunct/>
              <w:autoSpaceDE w:val="0"/>
              <w:autoSpaceDN w:val="0"/>
              <w:adjustRightInd w:val="0"/>
              <w:snapToGrid w:val="0"/>
              <w:spacing w:after="0"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w:t>
            </w:r>
          </w:p>
          <w:p w14:paraId="58043533">
            <w:pPr>
              <w:topLinePunct/>
              <w:autoSpaceDE w:val="0"/>
              <w:autoSpaceDN w:val="0"/>
              <w:adjustRightInd w:val="0"/>
              <w:snapToGrid w:val="0"/>
              <w:spacing w:after="0"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金额</w:t>
            </w:r>
          </w:p>
        </w:tc>
        <w:tc>
          <w:tcPr>
            <w:tcW w:w="1231" w:type="dxa"/>
            <w:tcBorders>
              <w:top w:val="single" w:color="auto" w:sz="4" w:space="0"/>
              <w:left w:val="single" w:color="auto" w:sz="4" w:space="0"/>
              <w:bottom w:val="single" w:color="auto" w:sz="4" w:space="0"/>
              <w:right w:val="single" w:color="auto" w:sz="4" w:space="0"/>
            </w:tcBorders>
            <w:vAlign w:val="center"/>
          </w:tcPr>
          <w:p w14:paraId="40ACECA0">
            <w:pPr>
              <w:topLinePunct/>
              <w:autoSpaceDE w:val="0"/>
              <w:autoSpaceDN w:val="0"/>
              <w:adjustRightInd w:val="0"/>
              <w:snapToGrid w:val="0"/>
              <w:spacing w:after="0"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合同主要</w:t>
            </w:r>
          </w:p>
          <w:p w14:paraId="4F2435A6">
            <w:pPr>
              <w:topLinePunct/>
              <w:autoSpaceDE w:val="0"/>
              <w:autoSpaceDN w:val="0"/>
              <w:adjustRightInd w:val="0"/>
              <w:snapToGrid w:val="0"/>
              <w:spacing w:after="0"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内容</w:t>
            </w:r>
          </w:p>
        </w:tc>
        <w:tc>
          <w:tcPr>
            <w:tcW w:w="1171" w:type="dxa"/>
            <w:tcBorders>
              <w:top w:val="single" w:color="auto" w:sz="4" w:space="0"/>
              <w:left w:val="single" w:color="auto" w:sz="4" w:space="0"/>
              <w:bottom w:val="single" w:color="auto" w:sz="4" w:space="0"/>
              <w:right w:val="single" w:color="auto" w:sz="4" w:space="0"/>
            </w:tcBorders>
            <w:vAlign w:val="center"/>
          </w:tcPr>
          <w:p w14:paraId="47E7CA87">
            <w:pPr>
              <w:topLinePunct/>
              <w:autoSpaceDE w:val="0"/>
              <w:autoSpaceDN w:val="0"/>
              <w:adjustRightInd w:val="0"/>
              <w:snapToGrid w:val="0"/>
              <w:spacing w:after="0"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用  户</w:t>
            </w:r>
          </w:p>
          <w:p w14:paraId="29515BEE">
            <w:pPr>
              <w:topLinePunct/>
              <w:autoSpaceDE w:val="0"/>
              <w:autoSpaceDN w:val="0"/>
              <w:adjustRightInd w:val="0"/>
              <w:snapToGrid w:val="0"/>
              <w:spacing w:after="0"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联系人</w:t>
            </w:r>
          </w:p>
        </w:tc>
        <w:tc>
          <w:tcPr>
            <w:tcW w:w="1074" w:type="dxa"/>
            <w:tcBorders>
              <w:top w:val="single" w:color="auto" w:sz="4" w:space="0"/>
              <w:left w:val="single" w:color="auto" w:sz="4" w:space="0"/>
              <w:bottom w:val="single" w:color="auto" w:sz="4" w:space="0"/>
              <w:right w:val="single" w:color="auto" w:sz="4" w:space="0"/>
            </w:tcBorders>
            <w:vAlign w:val="center"/>
          </w:tcPr>
          <w:p w14:paraId="3AF7F66B">
            <w:pPr>
              <w:topLinePunct/>
              <w:autoSpaceDE w:val="0"/>
              <w:autoSpaceDN w:val="0"/>
              <w:adjustRightInd w:val="0"/>
              <w:snapToGrid w:val="0"/>
              <w:spacing w:after="0"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用户联</w:t>
            </w:r>
          </w:p>
          <w:p w14:paraId="31DC9656">
            <w:pPr>
              <w:topLinePunct/>
              <w:autoSpaceDE w:val="0"/>
              <w:autoSpaceDN w:val="0"/>
              <w:adjustRightInd w:val="0"/>
              <w:snapToGrid w:val="0"/>
              <w:spacing w:after="0"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系电话</w:t>
            </w:r>
          </w:p>
        </w:tc>
        <w:tc>
          <w:tcPr>
            <w:tcW w:w="1192" w:type="dxa"/>
            <w:tcBorders>
              <w:top w:val="single" w:color="auto" w:sz="4" w:space="0"/>
              <w:left w:val="single" w:color="auto" w:sz="4" w:space="0"/>
              <w:bottom w:val="single" w:color="auto" w:sz="4" w:space="0"/>
              <w:right w:val="single" w:color="auto" w:sz="4" w:space="0"/>
            </w:tcBorders>
            <w:vAlign w:val="center"/>
          </w:tcPr>
          <w:p w14:paraId="03076756">
            <w:pPr>
              <w:topLinePunct/>
              <w:autoSpaceDE w:val="0"/>
              <w:autoSpaceDN w:val="0"/>
              <w:adjustRightInd w:val="0"/>
              <w:snapToGrid w:val="0"/>
              <w:spacing w:after="0" w:line="24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备注</w:t>
            </w:r>
          </w:p>
        </w:tc>
      </w:tr>
      <w:tr w14:paraId="3A4B4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14:paraId="2698A250">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826" w:type="dxa"/>
            <w:tcBorders>
              <w:top w:val="single" w:color="auto" w:sz="4" w:space="0"/>
              <w:left w:val="single" w:color="auto" w:sz="4" w:space="0"/>
              <w:bottom w:val="single" w:color="auto" w:sz="4" w:space="0"/>
              <w:right w:val="single" w:color="auto" w:sz="4" w:space="0"/>
            </w:tcBorders>
            <w:vAlign w:val="center"/>
          </w:tcPr>
          <w:p w14:paraId="71BAE827">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871" w:type="dxa"/>
            <w:tcBorders>
              <w:top w:val="single" w:color="auto" w:sz="4" w:space="0"/>
              <w:left w:val="single" w:color="auto" w:sz="4" w:space="0"/>
              <w:bottom w:val="single" w:color="auto" w:sz="4" w:space="0"/>
              <w:right w:val="single" w:color="auto" w:sz="4" w:space="0"/>
            </w:tcBorders>
            <w:vAlign w:val="center"/>
          </w:tcPr>
          <w:p w14:paraId="6C5FE7D0">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713" w:type="dxa"/>
            <w:tcBorders>
              <w:top w:val="single" w:color="auto" w:sz="4" w:space="0"/>
              <w:left w:val="single" w:color="auto" w:sz="4" w:space="0"/>
              <w:bottom w:val="single" w:color="auto" w:sz="4" w:space="0"/>
              <w:right w:val="single" w:color="auto" w:sz="4" w:space="0"/>
            </w:tcBorders>
            <w:vAlign w:val="top"/>
          </w:tcPr>
          <w:p w14:paraId="66DE9D75">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28ADEAF7">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11224CB3">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171" w:type="dxa"/>
            <w:tcBorders>
              <w:top w:val="single" w:color="auto" w:sz="4" w:space="0"/>
              <w:left w:val="single" w:color="auto" w:sz="4" w:space="0"/>
              <w:bottom w:val="single" w:color="auto" w:sz="4" w:space="0"/>
              <w:right w:val="single" w:color="auto" w:sz="4" w:space="0"/>
            </w:tcBorders>
            <w:vAlign w:val="center"/>
          </w:tcPr>
          <w:p w14:paraId="6D1A6EEA">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3B68105F">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192" w:type="dxa"/>
            <w:tcBorders>
              <w:top w:val="single" w:color="auto" w:sz="4" w:space="0"/>
              <w:left w:val="single" w:color="auto" w:sz="4" w:space="0"/>
              <w:bottom w:val="single" w:color="auto" w:sz="4" w:space="0"/>
              <w:right w:val="single" w:color="auto" w:sz="4" w:space="0"/>
            </w:tcBorders>
            <w:vAlign w:val="center"/>
          </w:tcPr>
          <w:p w14:paraId="46CC5BFE">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r>
      <w:tr w14:paraId="3BCFF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14:paraId="374BD220">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826" w:type="dxa"/>
            <w:tcBorders>
              <w:top w:val="single" w:color="auto" w:sz="4" w:space="0"/>
              <w:left w:val="single" w:color="auto" w:sz="4" w:space="0"/>
              <w:bottom w:val="single" w:color="auto" w:sz="4" w:space="0"/>
              <w:right w:val="single" w:color="auto" w:sz="4" w:space="0"/>
            </w:tcBorders>
            <w:vAlign w:val="center"/>
          </w:tcPr>
          <w:p w14:paraId="6177E99C">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871" w:type="dxa"/>
            <w:tcBorders>
              <w:top w:val="single" w:color="auto" w:sz="4" w:space="0"/>
              <w:left w:val="single" w:color="auto" w:sz="4" w:space="0"/>
              <w:bottom w:val="single" w:color="auto" w:sz="4" w:space="0"/>
              <w:right w:val="single" w:color="auto" w:sz="4" w:space="0"/>
            </w:tcBorders>
            <w:vAlign w:val="center"/>
          </w:tcPr>
          <w:p w14:paraId="0990191F">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713" w:type="dxa"/>
            <w:tcBorders>
              <w:top w:val="single" w:color="auto" w:sz="4" w:space="0"/>
              <w:left w:val="single" w:color="auto" w:sz="4" w:space="0"/>
              <w:bottom w:val="single" w:color="auto" w:sz="4" w:space="0"/>
              <w:right w:val="single" w:color="auto" w:sz="4" w:space="0"/>
            </w:tcBorders>
            <w:vAlign w:val="top"/>
          </w:tcPr>
          <w:p w14:paraId="097DF099">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7A8F6C13">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1C7F3547">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171" w:type="dxa"/>
            <w:tcBorders>
              <w:top w:val="single" w:color="auto" w:sz="4" w:space="0"/>
              <w:left w:val="single" w:color="auto" w:sz="4" w:space="0"/>
              <w:bottom w:val="single" w:color="auto" w:sz="4" w:space="0"/>
              <w:right w:val="single" w:color="auto" w:sz="4" w:space="0"/>
            </w:tcBorders>
            <w:vAlign w:val="center"/>
          </w:tcPr>
          <w:p w14:paraId="79884C8E">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244A000A">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192" w:type="dxa"/>
            <w:tcBorders>
              <w:top w:val="single" w:color="auto" w:sz="4" w:space="0"/>
              <w:left w:val="single" w:color="auto" w:sz="4" w:space="0"/>
              <w:bottom w:val="single" w:color="auto" w:sz="4" w:space="0"/>
              <w:right w:val="single" w:color="auto" w:sz="4" w:space="0"/>
            </w:tcBorders>
            <w:vAlign w:val="center"/>
          </w:tcPr>
          <w:p w14:paraId="39CDC32D">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r>
      <w:tr w14:paraId="30DFE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14:paraId="4045A3DE">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826" w:type="dxa"/>
            <w:tcBorders>
              <w:top w:val="single" w:color="auto" w:sz="4" w:space="0"/>
              <w:left w:val="single" w:color="auto" w:sz="4" w:space="0"/>
              <w:bottom w:val="single" w:color="auto" w:sz="4" w:space="0"/>
              <w:right w:val="single" w:color="auto" w:sz="4" w:space="0"/>
            </w:tcBorders>
            <w:vAlign w:val="center"/>
          </w:tcPr>
          <w:p w14:paraId="71935128">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871" w:type="dxa"/>
            <w:tcBorders>
              <w:top w:val="single" w:color="auto" w:sz="4" w:space="0"/>
              <w:left w:val="single" w:color="auto" w:sz="4" w:space="0"/>
              <w:bottom w:val="single" w:color="auto" w:sz="4" w:space="0"/>
              <w:right w:val="single" w:color="auto" w:sz="4" w:space="0"/>
            </w:tcBorders>
            <w:vAlign w:val="center"/>
          </w:tcPr>
          <w:p w14:paraId="62AFF712">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713" w:type="dxa"/>
            <w:tcBorders>
              <w:top w:val="single" w:color="auto" w:sz="4" w:space="0"/>
              <w:left w:val="single" w:color="auto" w:sz="4" w:space="0"/>
              <w:bottom w:val="single" w:color="auto" w:sz="4" w:space="0"/>
              <w:right w:val="single" w:color="auto" w:sz="4" w:space="0"/>
            </w:tcBorders>
            <w:vAlign w:val="top"/>
          </w:tcPr>
          <w:p w14:paraId="70257E6C">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55206E8A">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5282DF3F">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171" w:type="dxa"/>
            <w:tcBorders>
              <w:top w:val="single" w:color="auto" w:sz="4" w:space="0"/>
              <w:left w:val="single" w:color="auto" w:sz="4" w:space="0"/>
              <w:bottom w:val="single" w:color="auto" w:sz="4" w:space="0"/>
              <w:right w:val="single" w:color="auto" w:sz="4" w:space="0"/>
            </w:tcBorders>
            <w:vAlign w:val="center"/>
          </w:tcPr>
          <w:p w14:paraId="2077C947">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67B0F3BE">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192" w:type="dxa"/>
            <w:tcBorders>
              <w:top w:val="single" w:color="auto" w:sz="4" w:space="0"/>
              <w:left w:val="single" w:color="auto" w:sz="4" w:space="0"/>
              <w:bottom w:val="single" w:color="auto" w:sz="4" w:space="0"/>
              <w:right w:val="single" w:color="auto" w:sz="4" w:space="0"/>
            </w:tcBorders>
            <w:vAlign w:val="center"/>
          </w:tcPr>
          <w:p w14:paraId="6E513A3B">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r>
      <w:tr w14:paraId="143DE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14:paraId="5C8031BB">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826" w:type="dxa"/>
            <w:tcBorders>
              <w:top w:val="single" w:color="auto" w:sz="4" w:space="0"/>
              <w:left w:val="single" w:color="auto" w:sz="4" w:space="0"/>
              <w:bottom w:val="single" w:color="auto" w:sz="4" w:space="0"/>
              <w:right w:val="single" w:color="auto" w:sz="4" w:space="0"/>
            </w:tcBorders>
            <w:vAlign w:val="center"/>
          </w:tcPr>
          <w:p w14:paraId="6D9E7EF6">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871" w:type="dxa"/>
            <w:tcBorders>
              <w:top w:val="single" w:color="auto" w:sz="4" w:space="0"/>
              <w:left w:val="single" w:color="auto" w:sz="4" w:space="0"/>
              <w:bottom w:val="single" w:color="auto" w:sz="4" w:space="0"/>
              <w:right w:val="single" w:color="auto" w:sz="4" w:space="0"/>
            </w:tcBorders>
            <w:vAlign w:val="center"/>
          </w:tcPr>
          <w:p w14:paraId="5926DED6">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713" w:type="dxa"/>
            <w:tcBorders>
              <w:top w:val="single" w:color="auto" w:sz="4" w:space="0"/>
              <w:left w:val="single" w:color="auto" w:sz="4" w:space="0"/>
              <w:bottom w:val="single" w:color="auto" w:sz="4" w:space="0"/>
              <w:right w:val="single" w:color="auto" w:sz="4" w:space="0"/>
            </w:tcBorders>
            <w:vAlign w:val="top"/>
          </w:tcPr>
          <w:p w14:paraId="08276F6B">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00C51E43">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2447C9B3">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171" w:type="dxa"/>
            <w:tcBorders>
              <w:top w:val="single" w:color="auto" w:sz="4" w:space="0"/>
              <w:left w:val="single" w:color="auto" w:sz="4" w:space="0"/>
              <w:bottom w:val="single" w:color="auto" w:sz="4" w:space="0"/>
              <w:right w:val="single" w:color="auto" w:sz="4" w:space="0"/>
            </w:tcBorders>
            <w:vAlign w:val="center"/>
          </w:tcPr>
          <w:p w14:paraId="1D0E9CF6">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42CA31E1">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192" w:type="dxa"/>
            <w:tcBorders>
              <w:top w:val="single" w:color="auto" w:sz="4" w:space="0"/>
              <w:left w:val="single" w:color="auto" w:sz="4" w:space="0"/>
              <w:bottom w:val="single" w:color="auto" w:sz="4" w:space="0"/>
              <w:right w:val="single" w:color="auto" w:sz="4" w:space="0"/>
            </w:tcBorders>
            <w:vAlign w:val="center"/>
          </w:tcPr>
          <w:p w14:paraId="5532C1C7">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r>
      <w:tr w14:paraId="67B6D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14:paraId="425E9653">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826" w:type="dxa"/>
            <w:tcBorders>
              <w:top w:val="single" w:color="auto" w:sz="4" w:space="0"/>
              <w:left w:val="single" w:color="auto" w:sz="4" w:space="0"/>
              <w:bottom w:val="single" w:color="auto" w:sz="4" w:space="0"/>
              <w:right w:val="single" w:color="auto" w:sz="4" w:space="0"/>
            </w:tcBorders>
            <w:vAlign w:val="center"/>
          </w:tcPr>
          <w:p w14:paraId="3AE4801E">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871" w:type="dxa"/>
            <w:tcBorders>
              <w:top w:val="single" w:color="auto" w:sz="4" w:space="0"/>
              <w:left w:val="single" w:color="auto" w:sz="4" w:space="0"/>
              <w:bottom w:val="single" w:color="auto" w:sz="4" w:space="0"/>
              <w:right w:val="single" w:color="auto" w:sz="4" w:space="0"/>
            </w:tcBorders>
            <w:vAlign w:val="center"/>
          </w:tcPr>
          <w:p w14:paraId="0F2B15C0">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713" w:type="dxa"/>
            <w:tcBorders>
              <w:top w:val="single" w:color="auto" w:sz="4" w:space="0"/>
              <w:left w:val="single" w:color="auto" w:sz="4" w:space="0"/>
              <w:bottom w:val="single" w:color="auto" w:sz="4" w:space="0"/>
              <w:right w:val="single" w:color="auto" w:sz="4" w:space="0"/>
            </w:tcBorders>
            <w:vAlign w:val="top"/>
          </w:tcPr>
          <w:p w14:paraId="196A4E1E">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3C9AE878">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6CE261FD">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171" w:type="dxa"/>
            <w:tcBorders>
              <w:top w:val="single" w:color="auto" w:sz="4" w:space="0"/>
              <w:left w:val="single" w:color="auto" w:sz="4" w:space="0"/>
              <w:bottom w:val="single" w:color="auto" w:sz="4" w:space="0"/>
              <w:right w:val="single" w:color="auto" w:sz="4" w:space="0"/>
            </w:tcBorders>
            <w:vAlign w:val="center"/>
          </w:tcPr>
          <w:p w14:paraId="54321800">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72C5FEC2">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192" w:type="dxa"/>
            <w:tcBorders>
              <w:top w:val="single" w:color="auto" w:sz="4" w:space="0"/>
              <w:left w:val="single" w:color="auto" w:sz="4" w:space="0"/>
              <w:bottom w:val="single" w:color="auto" w:sz="4" w:space="0"/>
              <w:right w:val="single" w:color="auto" w:sz="4" w:space="0"/>
            </w:tcBorders>
            <w:vAlign w:val="center"/>
          </w:tcPr>
          <w:p w14:paraId="5282C116">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r>
      <w:tr w14:paraId="3D91D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14:paraId="4F8BA059">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p>
        </w:tc>
        <w:tc>
          <w:tcPr>
            <w:tcW w:w="826" w:type="dxa"/>
            <w:tcBorders>
              <w:top w:val="single" w:color="auto" w:sz="4" w:space="0"/>
              <w:left w:val="single" w:color="auto" w:sz="4" w:space="0"/>
              <w:bottom w:val="single" w:color="auto" w:sz="4" w:space="0"/>
              <w:right w:val="single" w:color="auto" w:sz="4" w:space="0"/>
            </w:tcBorders>
            <w:vAlign w:val="center"/>
          </w:tcPr>
          <w:p w14:paraId="6B8B4CF6">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871" w:type="dxa"/>
            <w:tcBorders>
              <w:top w:val="single" w:color="auto" w:sz="4" w:space="0"/>
              <w:left w:val="single" w:color="auto" w:sz="4" w:space="0"/>
              <w:bottom w:val="single" w:color="auto" w:sz="4" w:space="0"/>
              <w:right w:val="single" w:color="auto" w:sz="4" w:space="0"/>
            </w:tcBorders>
            <w:vAlign w:val="center"/>
          </w:tcPr>
          <w:p w14:paraId="605BF2A5">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713" w:type="dxa"/>
            <w:tcBorders>
              <w:top w:val="single" w:color="auto" w:sz="4" w:space="0"/>
              <w:left w:val="single" w:color="auto" w:sz="4" w:space="0"/>
              <w:bottom w:val="single" w:color="auto" w:sz="4" w:space="0"/>
              <w:right w:val="single" w:color="auto" w:sz="4" w:space="0"/>
            </w:tcBorders>
            <w:vAlign w:val="top"/>
          </w:tcPr>
          <w:p w14:paraId="09BABEC9">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34711409">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6418AA3D">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171" w:type="dxa"/>
            <w:tcBorders>
              <w:top w:val="single" w:color="auto" w:sz="4" w:space="0"/>
              <w:left w:val="single" w:color="auto" w:sz="4" w:space="0"/>
              <w:bottom w:val="single" w:color="auto" w:sz="4" w:space="0"/>
              <w:right w:val="single" w:color="auto" w:sz="4" w:space="0"/>
            </w:tcBorders>
            <w:vAlign w:val="center"/>
          </w:tcPr>
          <w:p w14:paraId="01757939">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074" w:type="dxa"/>
            <w:tcBorders>
              <w:top w:val="single" w:color="auto" w:sz="4" w:space="0"/>
              <w:left w:val="single" w:color="auto" w:sz="4" w:space="0"/>
              <w:bottom w:val="single" w:color="auto" w:sz="4" w:space="0"/>
              <w:right w:val="single" w:color="auto" w:sz="4" w:space="0"/>
            </w:tcBorders>
            <w:vAlign w:val="center"/>
          </w:tcPr>
          <w:p w14:paraId="2241A2BF">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c>
          <w:tcPr>
            <w:tcW w:w="1192" w:type="dxa"/>
            <w:tcBorders>
              <w:top w:val="single" w:color="auto" w:sz="4" w:space="0"/>
              <w:left w:val="single" w:color="auto" w:sz="4" w:space="0"/>
              <w:bottom w:val="single" w:color="auto" w:sz="4" w:space="0"/>
              <w:right w:val="single" w:color="auto" w:sz="4" w:space="0"/>
            </w:tcBorders>
            <w:vAlign w:val="center"/>
          </w:tcPr>
          <w:p w14:paraId="02D607E1">
            <w:pPr>
              <w:topLinePunct/>
              <w:autoSpaceDE w:val="0"/>
              <w:autoSpaceDN w:val="0"/>
              <w:adjustRightInd w:val="0"/>
              <w:snapToGrid w:val="0"/>
              <w:spacing w:after="0" w:line="240" w:lineRule="auto"/>
              <w:jc w:val="center"/>
              <w:rPr>
                <w:rFonts w:hint="eastAsia" w:ascii="宋体" w:hAnsi="宋体" w:eastAsia="宋体" w:cs="宋体"/>
                <w:color w:val="auto"/>
                <w:sz w:val="21"/>
                <w:szCs w:val="21"/>
                <w:highlight w:val="none"/>
              </w:rPr>
            </w:pPr>
          </w:p>
        </w:tc>
      </w:tr>
    </w:tbl>
    <w:p w14:paraId="14547AC3">
      <w:pPr>
        <w:topLinePunct/>
        <w:autoSpaceDE w:val="0"/>
        <w:autoSpaceDN w:val="0"/>
        <w:spacing w:after="0"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特别说明</w:t>
      </w:r>
      <w:r>
        <w:rPr>
          <w:rFonts w:hint="eastAsia" w:ascii="Times New Roman" w:hAnsi="Times New Roman" w:cs="Times New Roman"/>
          <w:color w:val="auto"/>
          <w:szCs w:val="21"/>
          <w:highlight w:val="none"/>
          <w:lang w:eastAsia="zh-CN"/>
        </w:rPr>
        <w:t>：</w:t>
      </w:r>
      <w:r>
        <w:rPr>
          <w:rFonts w:hint="eastAsia" w:ascii="Times New Roman" w:hAnsi="Times New Roman" w:cs="Times New Roman"/>
          <w:color w:val="auto"/>
          <w:szCs w:val="21"/>
          <w:highlight w:val="none"/>
          <w:lang w:val="en-US" w:eastAsia="zh-CN"/>
        </w:rPr>
        <w:t>须按第三章资格审查、评标方法及标准 二、评标方法及标准要求提供证明材料；无证明材料或证明材料不明确或无法体现服务内容的，视为无效证明材料</w:t>
      </w:r>
      <w:r>
        <w:rPr>
          <w:rFonts w:hint="eastAsia" w:ascii="宋体" w:hAnsi="宋体" w:eastAsia="宋体" w:cs="宋体"/>
          <w:color w:val="auto"/>
          <w:szCs w:val="22"/>
          <w:highlight w:val="none"/>
          <w:lang w:val="en-US" w:eastAsia="zh-CN"/>
        </w:rPr>
        <w:t>。</w:t>
      </w:r>
    </w:p>
    <w:p w14:paraId="53A2B413">
      <w:pPr>
        <w:adjustRightInd w:val="0"/>
        <w:snapToGrid w:val="0"/>
        <w:spacing w:after="0" w:line="360" w:lineRule="auto"/>
        <w:jc w:val="left"/>
        <w:outlineLvl w:val="9"/>
        <w:rPr>
          <w:rFonts w:hint="default" w:ascii="Times New Roman" w:hAnsi="Times New Roman" w:cs="Times New Roman"/>
          <w:b/>
          <w:bCs/>
          <w:color w:val="auto"/>
          <w:sz w:val="28"/>
          <w:szCs w:val="28"/>
          <w:highlight w:val="none"/>
        </w:rPr>
      </w:pPr>
    </w:p>
    <w:p w14:paraId="02F506D9">
      <w:pPr>
        <w:rPr>
          <w:rFonts w:hint="eastAsia" w:ascii="宋体" w:hAnsi="宋体" w:eastAsia="宋体"/>
          <w:b/>
          <w:bCs/>
          <w:color w:val="auto"/>
          <w:sz w:val="28"/>
          <w:szCs w:val="28"/>
          <w:highlight w:val="none"/>
        </w:rPr>
      </w:pPr>
      <w:r>
        <w:rPr>
          <w:rFonts w:hint="eastAsia" w:ascii="宋体" w:hAnsi="宋体" w:eastAsia="宋体"/>
          <w:b/>
          <w:bCs/>
          <w:color w:val="auto"/>
          <w:sz w:val="28"/>
          <w:szCs w:val="28"/>
          <w:highlight w:val="none"/>
        </w:rPr>
        <w:br w:type="page"/>
      </w:r>
    </w:p>
    <w:p w14:paraId="53111F03">
      <w:pPr>
        <w:numPr>
          <w:ilvl w:val="0"/>
          <w:numId w:val="0"/>
        </w:numPr>
        <w:topLinePunct/>
        <w:autoSpaceDE w:val="0"/>
        <w:autoSpaceDN w:val="0"/>
        <w:spacing w:after="0" w:line="360" w:lineRule="auto"/>
        <w:outlineLvl w:val="1"/>
        <w:rPr>
          <w:rFonts w:hint="default" w:ascii="Times New Roman" w:hAnsi="Times New Roman" w:cs="Times New Roman"/>
          <w:b/>
          <w:bCs/>
          <w:color w:val="auto"/>
          <w:sz w:val="28"/>
          <w:szCs w:val="28"/>
          <w:highlight w:val="none"/>
          <w:lang w:val="en-US" w:eastAsia="zh-CN"/>
        </w:rPr>
      </w:pPr>
      <w:r>
        <w:rPr>
          <w:rFonts w:hint="eastAsia" w:ascii="宋体" w:hAnsi="宋体" w:eastAsia="宋体"/>
          <w:b/>
          <w:bCs/>
          <w:color w:val="auto"/>
          <w:sz w:val="28"/>
          <w:szCs w:val="28"/>
          <w:highlight w:val="none"/>
        </w:rPr>
        <w:t>格式</w:t>
      </w:r>
      <w:bookmarkEnd w:id="200"/>
      <w:r>
        <w:rPr>
          <w:rFonts w:hint="eastAsia" w:ascii="Times New Roman" w:hAnsi="Times New Roman" w:cs="Times New Roman"/>
          <w:b/>
          <w:bCs/>
          <w:color w:val="auto"/>
          <w:sz w:val="28"/>
          <w:szCs w:val="28"/>
          <w:highlight w:val="none"/>
          <w:lang w:val="en-US" w:eastAsia="zh-CN"/>
        </w:rPr>
        <w:t>9</w:t>
      </w:r>
    </w:p>
    <w:p w14:paraId="4F6BD604">
      <w:pPr>
        <w:numPr>
          <w:ilvl w:val="0"/>
          <w:numId w:val="0"/>
        </w:numPr>
        <w:topLinePunct/>
        <w:autoSpaceDE w:val="0"/>
        <w:autoSpaceDN w:val="0"/>
        <w:spacing w:after="0" w:line="360" w:lineRule="auto"/>
        <w:jc w:val="center"/>
        <w:outlineLvl w:val="2"/>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t>本项目需求理解和响应</w:t>
      </w:r>
    </w:p>
    <w:p w14:paraId="6616A55A">
      <w:pPr>
        <w:numPr>
          <w:ilvl w:val="0"/>
          <w:numId w:val="0"/>
        </w:numPr>
        <w:topLinePunct/>
        <w:autoSpaceDE w:val="0"/>
        <w:autoSpaceDN w:val="0"/>
        <w:spacing w:after="0" w:line="360" w:lineRule="auto"/>
        <w:rPr>
          <w:rFonts w:hint="eastAsia" w:ascii="宋体" w:hAnsi="宋体" w:eastAsia="宋体"/>
          <w:b/>
          <w:bCs/>
          <w:color w:val="auto"/>
          <w:sz w:val="28"/>
          <w:szCs w:val="28"/>
          <w:highlight w:val="none"/>
          <w:lang w:eastAsia="zh-CN"/>
        </w:rPr>
      </w:pPr>
      <w:r>
        <w:rPr>
          <w:rFonts w:hint="eastAsia"/>
          <w:color w:val="auto"/>
          <w:szCs w:val="21"/>
          <w:highlight w:val="none"/>
        </w:rPr>
        <w:t>由投标人按第五章《采购需求》相关要求自行填写</w:t>
      </w:r>
      <w:r>
        <w:rPr>
          <w:rFonts w:hint="eastAsia"/>
          <w:color w:val="auto"/>
          <w:szCs w:val="21"/>
          <w:highlight w:val="none"/>
          <w:lang w:eastAsia="zh-CN"/>
        </w:rPr>
        <w:t>，</w:t>
      </w:r>
      <w:r>
        <w:rPr>
          <w:rFonts w:hint="eastAsia"/>
          <w:color w:val="auto"/>
          <w:szCs w:val="21"/>
          <w:highlight w:val="none"/>
        </w:rPr>
        <w:t>内容自拟</w:t>
      </w:r>
      <w:r>
        <w:rPr>
          <w:rFonts w:hint="eastAsia" w:ascii="Times New Roman" w:hAnsi="Times New Roman" w:cs="Times New Roman"/>
          <w:color w:val="auto"/>
          <w:kern w:val="0"/>
          <w:sz w:val="21"/>
          <w:szCs w:val="21"/>
          <w:highlight w:val="none"/>
          <w:lang w:eastAsia="zh-CN"/>
        </w:rPr>
        <w:t>。</w:t>
      </w:r>
    </w:p>
    <w:p w14:paraId="132F0E4A">
      <w:pPr>
        <w:numPr>
          <w:ilvl w:val="0"/>
          <w:numId w:val="0"/>
        </w:numPr>
        <w:topLinePunct/>
        <w:autoSpaceDE w:val="0"/>
        <w:autoSpaceDN w:val="0"/>
        <w:spacing w:after="0" w:line="360" w:lineRule="auto"/>
        <w:rPr>
          <w:rFonts w:hint="eastAsia"/>
          <w:color w:val="auto"/>
          <w:highlight w:val="none"/>
        </w:rPr>
      </w:pPr>
    </w:p>
    <w:p w14:paraId="451C0B94">
      <w:pPr>
        <w:numPr>
          <w:ilvl w:val="0"/>
          <w:numId w:val="0"/>
        </w:numPr>
        <w:topLinePunct/>
        <w:autoSpaceDE w:val="0"/>
        <w:autoSpaceDN w:val="0"/>
        <w:spacing w:after="0" w:line="360" w:lineRule="auto"/>
        <w:outlineLvl w:val="1"/>
        <w:rPr>
          <w:rFonts w:hint="default" w:ascii="宋体" w:hAnsi="宋体" w:eastAsia="宋体"/>
          <w:b/>
          <w:bCs/>
          <w:color w:val="auto"/>
          <w:sz w:val="28"/>
          <w:szCs w:val="28"/>
          <w:highlight w:val="none"/>
          <w:lang w:val="en-US" w:eastAsia="zh-CN"/>
        </w:rPr>
      </w:pPr>
      <w:r>
        <w:rPr>
          <w:rFonts w:hint="eastAsia" w:ascii="宋体" w:hAnsi="宋体" w:eastAsia="宋体"/>
          <w:b/>
          <w:bCs/>
          <w:color w:val="auto"/>
          <w:sz w:val="28"/>
          <w:szCs w:val="28"/>
          <w:highlight w:val="none"/>
        </w:rPr>
        <w:t>格式</w:t>
      </w:r>
      <w:r>
        <w:rPr>
          <w:rFonts w:hint="eastAsia" w:ascii="宋体" w:hAnsi="宋体"/>
          <w:b/>
          <w:bCs/>
          <w:color w:val="auto"/>
          <w:sz w:val="28"/>
          <w:szCs w:val="28"/>
          <w:highlight w:val="none"/>
          <w:lang w:val="en-US" w:eastAsia="zh-CN"/>
        </w:rPr>
        <w:t>10</w:t>
      </w:r>
    </w:p>
    <w:p w14:paraId="2A32CE6B">
      <w:pPr>
        <w:numPr>
          <w:ilvl w:val="0"/>
          <w:numId w:val="0"/>
        </w:numPr>
        <w:topLinePunct/>
        <w:autoSpaceDE w:val="0"/>
        <w:autoSpaceDN w:val="0"/>
        <w:spacing w:after="0" w:line="360" w:lineRule="auto"/>
        <w:jc w:val="center"/>
        <w:outlineLvl w:val="2"/>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t>物业服务工作总体方案</w:t>
      </w:r>
    </w:p>
    <w:p w14:paraId="19DA4FF6">
      <w:pPr>
        <w:numPr>
          <w:ilvl w:val="0"/>
          <w:numId w:val="0"/>
        </w:numPr>
        <w:topLinePunct/>
        <w:autoSpaceDE w:val="0"/>
        <w:autoSpaceDN w:val="0"/>
        <w:spacing w:after="0" w:line="360" w:lineRule="auto"/>
        <w:rPr>
          <w:rFonts w:hint="eastAsia" w:ascii="宋体" w:hAnsi="宋体" w:eastAsia="宋体"/>
          <w:b/>
          <w:bCs/>
          <w:color w:val="auto"/>
          <w:sz w:val="28"/>
          <w:szCs w:val="28"/>
          <w:highlight w:val="none"/>
          <w:lang w:eastAsia="zh-CN"/>
        </w:rPr>
      </w:pPr>
      <w:r>
        <w:rPr>
          <w:rFonts w:hint="eastAsia"/>
          <w:color w:val="auto"/>
          <w:szCs w:val="21"/>
          <w:highlight w:val="none"/>
        </w:rPr>
        <w:t>由投标人按第五章《采购需求》相关要求自行填写</w:t>
      </w:r>
      <w:r>
        <w:rPr>
          <w:rFonts w:hint="eastAsia"/>
          <w:color w:val="auto"/>
          <w:szCs w:val="21"/>
          <w:highlight w:val="none"/>
          <w:lang w:eastAsia="zh-CN"/>
        </w:rPr>
        <w:t>，</w:t>
      </w:r>
      <w:r>
        <w:rPr>
          <w:rFonts w:hint="eastAsia"/>
          <w:color w:val="auto"/>
          <w:szCs w:val="21"/>
          <w:highlight w:val="none"/>
        </w:rPr>
        <w:t>内容自拟</w:t>
      </w:r>
      <w:r>
        <w:rPr>
          <w:rFonts w:hint="eastAsia" w:ascii="Times New Roman" w:hAnsi="Times New Roman" w:cs="Times New Roman"/>
          <w:color w:val="auto"/>
          <w:kern w:val="0"/>
          <w:sz w:val="21"/>
          <w:szCs w:val="21"/>
          <w:highlight w:val="none"/>
          <w:lang w:eastAsia="zh-CN"/>
        </w:rPr>
        <w:t>。</w:t>
      </w:r>
    </w:p>
    <w:p w14:paraId="6011D723">
      <w:pPr>
        <w:numPr>
          <w:ilvl w:val="0"/>
          <w:numId w:val="0"/>
        </w:numPr>
        <w:topLinePunct/>
        <w:autoSpaceDE w:val="0"/>
        <w:autoSpaceDN w:val="0"/>
        <w:spacing w:after="0" w:line="360" w:lineRule="auto"/>
        <w:rPr>
          <w:rFonts w:hint="eastAsia" w:ascii="宋体" w:hAnsi="宋体" w:eastAsia="宋体" w:cs="Times New Roman"/>
          <w:b/>
          <w:bCs/>
          <w:color w:val="auto"/>
          <w:sz w:val="28"/>
          <w:szCs w:val="28"/>
          <w:highlight w:val="none"/>
          <w:lang w:val="en-US" w:eastAsia="zh-CN"/>
        </w:rPr>
      </w:pPr>
    </w:p>
    <w:p w14:paraId="17A940AA">
      <w:pPr>
        <w:numPr>
          <w:ilvl w:val="0"/>
          <w:numId w:val="0"/>
        </w:numPr>
        <w:topLinePunct/>
        <w:autoSpaceDE w:val="0"/>
        <w:autoSpaceDN w:val="0"/>
        <w:spacing w:after="0" w:line="360" w:lineRule="auto"/>
        <w:outlineLvl w:val="1"/>
        <w:rPr>
          <w:rFonts w:hint="default" w:ascii="宋体" w:hAnsi="宋体" w:eastAsia="宋体"/>
          <w:b/>
          <w:bCs/>
          <w:color w:val="auto"/>
          <w:sz w:val="28"/>
          <w:szCs w:val="28"/>
          <w:highlight w:val="none"/>
          <w:lang w:val="en-US" w:eastAsia="zh-CN"/>
        </w:rPr>
      </w:pPr>
      <w:r>
        <w:rPr>
          <w:rFonts w:hint="eastAsia" w:ascii="宋体" w:hAnsi="宋体" w:eastAsia="宋体"/>
          <w:b/>
          <w:bCs/>
          <w:color w:val="auto"/>
          <w:sz w:val="28"/>
          <w:szCs w:val="28"/>
          <w:highlight w:val="none"/>
        </w:rPr>
        <w:t>格式</w:t>
      </w:r>
      <w:r>
        <w:rPr>
          <w:rFonts w:hint="eastAsia" w:ascii="宋体" w:hAnsi="宋体"/>
          <w:b/>
          <w:bCs/>
          <w:color w:val="auto"/>
          <w:sz w:val="28"/>
          <w:szCs w:val="28"/>
          <w:highlight w:val="none"/>
          <w:lang w:val="en-US" w:eastAsia="zh-CN"/>
        </w:rPr>
        <w:t>11</w:t>
      </w:r>
    </w:p>
    <w:p w14:paraId="03EBB177">
      <w:pPr>
        <w:numPr>
          <w:ilvl w:val="0"/>
          <w:numId w:val="0"/>
        </w:numPr>
        <w:topLinePunct/>
        <w:autoSpaceDE w:val="0"/>
        <w:autoSpaceDN w:val="0"/>
        <w:spacing w:after="0" w:line="360" w:lineRule="auto"/>
        <w:jc w:val="center"/>
        <w:outlineLvl w:val="2"/>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t>创新服务方案</w:t>
      </w:r>
    </w:p>
    <w:p w14:paraId="252427B0">
      <w:pPr>
        <w:numPr>
          <w:ilvl w:val="0"/>
          <w:numId w:val="0"/>
        </w:numPr>
        <w:topLinePunct/>
        <w:autoSpaceDE w:val="0"/>
        <w:autoSpaceDN w:val="0"/>
        <w:spacing w:after="0" w:line="360" w:lineRule="auto"/>
        <w:rPr>
          <w:rFonts w:hint="eastAsia" w:ascii="宋体" w:hAnsi="宋体" w:eastAsia="宋体"/>
          <w:b/>
          <w:bCs/>
          <w:color w:val="auto"/>
          <w:sz w:val="28"/>
          <w:szCs w:val="28"/>
          <w:highlight w:val="none"/>
          <w:lang w:eastAsia="zh-CN"/>
        </w:rPr>
      </w:pPr>
      <w:r>
        <w:rPr>
          <w:rFonts w:hint="eastAsia"/>
          <w:color w:val="auto"/>
          <w:szCs w:val="21"/>
          <w:highlight w:val="none"/>
        </w:rPr>
        <w:t>由投标人按第五章《采购需求》相关要求自行填写</w:t>
      </w:r>
      <w:r>
        <w:rPr>
          <w:rFonts w:hint="eastAsia"/>
          <w:color w:val="auto"/>
          <w:szCs w:val="21"/>
          <w:highlight w:val="none"/>
          <w:lang w:eastAsia="zh-CN"/>
        </w:rPr>
        <w:t>，</w:t>
      </w:r>
      <w:r>
        <w:rPr>
          <w:rFonts w:hint="eastAsia"/>
          <w:color w:val="auto"/>
          <w:szCs w:val="21"/>
          <w:highlight w:val="none"/>
        </w:rPr>
        <w:t>内容自拟</w:t>
      </w:r>
      <w:r>
        <w:rPr>
          <w:rFonts w:hint="eastAsia" w:ascii="Times New Roman" w:hAnsi="Times New Roman" w:cs="Times New Roman"/>
          <w:color w:val="auto"/>
          <w:kern w:val="0"/>
          <w:sz w:val="21"/>
          <w:szCs w:val="21"/>
          <w:highlight w:val="none"/>
          <w:lang w:eastAsia="zh-CN"/>
        </w:rPr>
        <w:t>。</w:t>
      </w:r>
    </w:p>
    <w:bookmarkEnd w:id="201"/>
    <w:bookmarkEnd w:id="202"/>
    <w:bookmarkEnd w:id="203"/>
    <w:p w14:paraId="5A3F1F82">
      <w:pPr>
        <w:numPr>
          <w:ilvl w:val="0"/>
          <w:numId w:val="0"/>
        </w:numPr>
        <w:topLinePunct/>
        <w:autoSpaceDE w:val="0"/>
        <w:autoSpaceDN w:val="0"/>
        <w:spacing w:after="0" w:line="360" w:lineRule="auto"/>
        <w:rPr>
          <w:rFonts w:hint="eastAsia" w:ascii="宋体" w:hAnsi="宋体" w:eastAsia="宋体" w:cs="Times New Roman"/>
          <w:b/>
          <w:bCs/>
          <w:color w:val="auto"/>
          <w:sz w:val="28"/>
          <w:szCs w:val="28"/>
          <w:highlight w:val="none"/>
          <w:lang w:val="en-US" w:eastAsia="zh-CN"/>
        </w:rPr>
      </w:pPr>
    </w:p>
    <w:p w14:paraId="325E2849">
      <w:pPr>
        <w:numPr>
          <w:ilvl w:val="0"/>
          <w:numId w:val="0"/>
        </w:numPr>
        <w:topLinePunct/>
        <w:autoSpaceDE w:val="0"/>
        <w:autoSpaceDN w:val="0"/>
        <w:spacing w:after="0" w:line="360" w:lineRule="auto"/>
        <w:outlineLvl w:val="1"/>
        <w:rPr>
          <w:rFonts w:hint="default" w:ascii="宋体" w:hAnsi="宋体" w:eastAsia="宋体"/>
          <w:b/>
          <w:bCs/>
          <w:color w:val="auto"/>
          <w:sz w:val="28"/>
          <w:szCs w:val="28"/>
          <w:highlight w:val="none"/>
          <w:lang w:val="en-US" w:eastAsia="zh-CN"/>
        </w:rPr>
      </w:pPr>
      <w:r>
        <w:rPr>
          <w:rFonts w:hint="eastAsia" w:ascii="宋体" w:hAnsi="宋体" w:eastAsia="宋体"/>
          <w:b/>
          <w:bCs/>
          <w:color w:val="auto"/>
          <w:sz w:val="28"/>
          <w:szCs w:val="28"/>
          <w:highlight w:val="none"/>
        </w:rPr>
        <w:t>格式</w:t>
      </w:r>
      <w:r>
        <w:rPr>
          <w:rFonts w:hint="eastAsia" w:ascii="宋体" w:hAnsi="宋体"/>
          <w:b/>
          <w:bCs/>
          <w:color w:val="auto"/>
          <w:sz w:val="28"/>
          <w:szCs w:val="28"/>
          <w:highlight w:val="none"/>
          <w:lang w:val="en-US" w:eastAsia="zh-CN"/>
        </w:rPr>
        <w:t>12</w:t>
      </w:r>
    </w:p>
    <w:p w14:paraId="038DAC2B">
      <w:pPr>
        <w:numPr>
          <w:ilvl w:val="0"/>
          <w:numId w:val="0"/>
        </w:numPr>
        <w:topLinePunct/>
        <w:autoSpaceDE w:val="0"/>
        <w:autoSpaceDN w:val="0"/>
        <w:spacing w:after="0" w:line="360" w:lineRule="auto"/>
        <w:jc w:val="center"/>
        <w:outlineLvl w:val="2"/>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t>公共综合服务方案</w:t>
      </w:r>
    </w:p>
    <w:p w14:paraId="098E39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b/>
          <w:bCs/>
          <w:color w:val="auto"/>
          <w:szCs w:val="21"/>
          <w:highlight w:val="none"/>
          <w:lang w:val="en-US" w:eastAsia="zh-CN"/>
        </w:rPr>
      </w:pPr>
    </w:p>
    <w:p w14:paraId="2ADA58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textAlignment w:val="auto"/>
        <w:rPr>
          <w:rFonts w:hint="eastAsia" w:ascii="宋体" w:hAnsi="宋体" w:cs="宋体"/>
          <w:b/>
          <w:bCs/>
          <w:color w:val="auto"/>
          <w:highlight w:val="none"/>
          <w:lang w:val="en-US" w:eastAsia="zh-CN"/>
        </w:rPr>
      </w:pPr>
      <w:r>
        <w:rPr>
          <w:rFonts w:hint="eastAsia"/>
          <w:b/>
          <w:bCs/>
          <w:color w:val="auto"/>
          <w:szCs w:val="21"/>
          <w:highlight w:val="none"/>
          <w:lang w:val="en-US" w:eastAsia="zh-CN"/>
        </w:rPr>
        <w:t>含：秩序维护与安全服务方案，</w:t>
      </w:r>
      <w:r>
        <w:rPr>
          <w:rFonts w:hint="eastAsia" w:ascii="宋体" w:hAnsi="宋体" w:cs="宋体"/>
          <w:b/>
          <w:bCs/>
          <w:color w:val="auto"/>
          <w:highlight w:val="none"/>
          <w:lang w:val="en-US" w:eastAsia="zh-CN"/>
        </w:rPr>
        <w:t>环境维护服务方案，房屋共用部位、共用设施设备运行、维护服务方案</w:t>
      </w:r>
    </w:p>
    <w:p w14:paraId="1717CA73">
      <w:pPr>
        <w:numPr>
          <w:ilvl w:val="0"/>
          <w:numId w:val="0"/>
        </w:numPr>
        <w:topLinePunct/>
        <w:autoSpaceDE w:val="0"/>
        <w:autoSpaceDN w:val="0"/>
        <w:spacing w:after="0" w:line="360" w:lineRule="auto"/>
        <w:rPr>
          <w:rFonts w:hint="eastAsia"/>
          <w:color w:val="auto"/>
          <w:szCs w:val="21"/>
          <w:highlight w:val="none"/>
        </w:rPr>
      </w:pPr>
    </w:p>
    <w:p w14:paraId="0E1D8A83">
      <w:pPr>
        <w:numPr>
          <w:ilvl w:val="0"/>
          <w:numId w:val="0"/>
        </w:numPr>
        <w:topLinePunct/>
        <w:autoSpaceDE w:val="0"/>
        <w:autoSpaceDN w:val="0"/>
        <w:spacing w:after="0" w:line="360" w:lineRule="auto"/>
        <w:rPr>
          <w:rFonts w:hint="eastAsia" w:ascii="宋体" w:hAnsi="宋体" w:eastAsia="宋体"/>
          <w:b/>
          <w:bCs/>
          <w:color w:val="auto"/>
          <w:sz w:val="28"/>
          <w:szCs w:val="28"/>
          <w:highlight w:val="none"/>
          <w:lang w:eastAsia="zh-CN"/>
        </w:rPr>
      </w:pPr>
      <w:r>
        <w:rPr>
          <w:rFonts w:hint="eastAsia"/>
          <w:color w:val="auto"/>
          <w:szCs w:val="21"/>
          <w:highlight w:val="none"/>
        </w:rPr>
        <w:t>由投标人按第五章《采购需求》相关要求自行填写</w:t>
      </w:r>
      <w:r>
        <w:rPr>
          <w:rFonts w:hint="eastAsia"/>
          <w:color w:val="auto"/>
          <w:szCs w:val="21"/>
          <w:highlight w:val="none"/>
          <w:lang w:eastAsia="zh-CN"/>
        </w:rPr>
        <w:t>，</w:t>
      </w:r>
      <w:r>
        <w:rPr>
          <w:rFonts w:hint="eastAsia"/>
          <w:color w:val="auto"/>
          <w:szCs w:val="21"/>
          <w:highlight w:val="none"/>
        </w:rPr>
        <w:t>内容自拟</w:t>
      </w:r>
      <w:r>
        <w:rPr>
          <w:rFonts w:hint="eastAsia" w:ascii="Times New Roman" w:hAnsi="Times New Roman" w:cs="Times New Roman"/>
          <w:color w:val="auto"/>
          <w:kern w:val="0"/>
          <w:sz w:val="21"/>
          <w:szCs w:val="21"/>
          <w:highlight w:val="none"/>
          <w:lang w:eastAsia="zh-CN"/>
        </w:rPr>
        <w:t>。</w:t>
      </w:r>
    </w:p>
    <w:p w14:paraId="7DAF3F79">
      <w:pPr>
        <w:numPr>
          <w:ilvl w:val="0"/>
          <w:numId w:val="0"/>
        </w:numPr>
        <w:topLinePunct/>
        <w:autoSpaceDE w:val="0"/>
        <w:autoSpaceDN w:val="0"/>
        <w:spacing w:after="0" w:line="360" w:lineRule="auto"/>
        <w:rPr>
          <w:rFonts w:hint="eastAsia" w:ascii="宋体" w:hAnsi="宋体" w:eastAsia="宋体" w:cs="Times New Roman"/>
          <w:b/>
          <w:bCs/>
          <w:color w:val="auto"/>
          <w:sz w:val="28"/>
          <w:szCs w:val="28"/>
          <w:highlight w:val="none"/>
          <w:lang w:val="en-US" w:eastAsia="zh-CN"/>
        </w:rPr>
      </w:pPr>
    </w:p>
    <w:p w14:paraId="75EF1BAE">
      <w:pPr>
        <w:numPr>
          <w:ilvl w:val="0"/>
          <w:numId w:val="0"/>
        </w:numPr>
        <w:topLinePunct/>
        <w:autoSpaceDE w:val="0"/>
        <w:autoSpaceDN w:val="0"/>
        <w:spacing w:after="0" w:line="360" w:lineRule="auto"/>
        <w:outlineLvl w:val="1"/>
        <w:rPr>
          <w:rFonts w:hint="default" w:ascii="宋体" w:hAnsi="宋体" w:eastAsia="宋体"/>
          <w:b/>
          <w:bCs/>
          <w:color w:val="auto"/>
          <w:sz w:val="28"/>
          <w:szCs w:val="28"/>
          <w:highlight w:val="none"/>
          <w:lang w:val="en-US" w:eastAsia="zh-CN"/>
        </w:rPr>
      </w:pPr>
      <w:r>
        <w:rPr>
          <w:rFonts w:hint="eastAsia" w:ascii="宋体" w:hAnsi="宋体" w:eastAsia="宋体"/>
          <w:b/>
          <w:bCs/>
          <w:color w:val="auto"/>
          <w:sz w:val="28"/>
          <w:szCs w:val="28"/>
          <w:highlight w:val="none"/>
        </w:rPr>
        <w:t>格式</w:t>
      </w:r>
      <w:r>
        <w:rPr>
          <w:rFonts w:hint="eastAsia" w:ascii="宋体" w:hAnsi="宋体"/>
          <w:b/>
          <w:bCs/>
          <w:color w:val="auto"/>
          <w:sz w:val="28"/>
          <w:szCs w:val="28"/>
          <w:highlight w:val="none"/>
          <w:lang w:val="en-US" w:eastAsia="zh-CN"/>
        </w:rPr>
        <w:t>13</w:t>
      </w:r>
    </w:p>
    <w:p w14:paraId="6B0C07FD">
      <w:pPr>
        <w:numPr>
          <w:ilvl w:val="0"/>
          <w:numId w:val="0"/>
        </w:numPr>
        <w:topLinePunct/>
        <w:autoSpaceDE w:val="0"/>
        <w:autoSpaceDN w:val="0"/>
        <w:spacing w:after="0" w:line="360" w:lineRule="auto"/>
        <w:jc w:val="center"/>
        <w:outlineLvl w:val="2"/>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t>特约服务方案</w:t>
      </w:r>
    </w:p>
    <w:p w14:paraId="4C0C841A">
      <w:pPr>
        <w:numPr>
          <w:ilvl w:val="0"/>
          <w:numId w:val="0"/>
        </w:numPr>
        <w:topLinePunct/>
        <w:autoSpaceDE w:val="0"/>
        <w:autoSpaceDN w:val="0"/>
        <w:spacing w:after="0" w:line="360" w:lineRule="auto"/>
        <w:rPr>
          <w:rFonts w:hint="eastAsia" w:ascii="宋体" w:hAnsi="宋体" w:eastAsia="宋体"/>
          <w:b/>
          <w:bCs/>
          <w:color w:val="auto"/>
          <w:sz w:val="28"/>
          <w:szCs w:val="28"/>
          <w:highlight w:val="none"/>
          <w:lang w:eastAsia="zh-CN"/>
        </w:rPr>
      </w:pPr>
      <w:r>
        <w:rPr>
          <w:rFonts w:hint="eastAsia"/>
          <w:color w:val="auto"/>
          <w:szCs w:val="21"/>
          <w:highlight w:val="none"/>
        </w:rPr>
        <w:t>由投标人按第五章《采购需求》相关要求自行填写</w:t>
      </w:r>
      <w:r>
        <w:rPr>
          <w:rFonts w:hint="eastAsia"/>
          <w:color w:val="auto"/>
          <w:szCs w:val="21"/>
          <w:highlight w:val="none"/>
          <w:lang w:eastAsia="zh-CN"/>
        </w:rPr>
        <w:t>，</w:t>
      </w:r>
      <w:r>
        <w:rPr>
          <w:rFonts w:hint="eastAsia"/>
          <w:color w:val="auto"/>
          <w:szCs w:val="21"/>
          <w:highlight w:val="none"/>
        </w:rPr>
        <w:t>内容自拟</w:t>
      </w:r>
      <w:r>
        <w:rPr>
          <w:rFonts w:hint="eastAsia" w:ascii="Times New Roman" w:hAnsi="Times New Roman" w:cs="Times New Roman"/>
          <w:color w:val="auto"/>
          <w:kern w:val="0"/>
          <w:sz w:val="21"/>
          <w:szCs w:val="21"/>
          <w:highlight w:val="none"/>
          <w:lang w:eastAsia="zh-CN"/>
        </w:rPr>
        <w:t>。</w:t>
      </w:r>
    </w:p>
    <w:p w14:paraId="52850250">
      <w:pPr>
        <w:numPr>
          <w:ilvl w:val="0"/>
          <w:numId w:val="0"/>
        </w:numPr>
        <w:topLinePunct/>
        <w:autoSpaceDE w:val="0"/>
        <w:autoSpaceDN w:val="0"/>
        <w:spacing w:after="0" w:line="360" w:lineRule="auto"/>
        <w:outlineLvl w:val="9"/>
        <w:rPr>
          <w:rFonts w:hint="eastAsia" w:ascii="宋体" w:hAnsi="宋体" w:eastAsia="宋体"/>
          <w:b/>
          <w:bCs/>
          <w:color w:val="auto"/>
          <w:sz w:val="28"/>
          <w:szCs w:val="28"/>
          <w:highlight w:val="none"/>
        </w:rPr>
      </w:pPr>
    </w:p>
    <w:p w14:paraId="7482A249">
      <w:pPr>
        <w:pStyle w:val="2"/>
        <w:rPr>
          <w:rFonts w:hint="eastAsia"/>
          <w:color w:val="auto"/>
          <w:highlight w:val="none"/>
        </w:rPr>
      </w:pPr>
    </w:p>
    <w:p w14:paraId="03351316">
      <w:pPr>
        <w:numPr>
          <w:ilvl w:val="0"/>
          <w:numId w:val="0"/>
        </w:numPr>
        <w:topLinePunct/>
        <w:autoSpaceDE w:val="0"/>
        <w:autoSpaceDN w:val="0"/>
        <w:spacing w:after="0" w:line="360" w:lineRule="auto"/>
        <w:outlineLvl w:val="1"/>
        <w:rPr>
          <w:rFonts w:hint="default" w:ascii="宋体" w:hAnsi="宋体" w:eastAsia="宋体"/>
          <w:b/>
          <w:bCs/>
          <w:color w:val="auto"/>
          <w:sz w:val="28"/>
          <w:szCs w:val="28"/>
          <w:highlight w:val="none"/>
          <w:lang w:val="en-US" w:eastAsia="zh-CN"/>
        </w:rPr>
      </w:pPr>
      <w:r>
        <w:rPr>
          <w:rFonts w:hint="eastAsia" w:ascii="宋体" w:hAnsi="宋体" w:eastAsia="宋体"/>
          <w:b/>
          <w:bCs/>
          <w:color w:val="auto"/>
          <w:sz w:val="28"/>
          <w:szCs w:val="28"/>
          <w:highlight w:val="none"/>
        </w:rPr>
        <w:t>格式</w:t>
      </w:r>
      <w:r>
        <w:rPr>
          <w:rFonts w:hint="eastAsia" w:ascii="宋体" w:hAnsi="宋体"/>
          <w:b/>
          <w:bCs/>
          <w:color w:val="auto"/>
          <w:sz w:val="28"/>
          <w:szCs w:val="28"/>
          <w:highlight w:val="none"/>
          <w:lang w:val="en-US" w:eastAsia="zh-CN"/>
        </w:rPr>
        <w:t>14</w:t>
      </w:r>
    </w:p>
    <w:p w14:paraId="1B57124D">
      <w:pPr>
        <w:numPr>
          <w:ilvl w:val="0"/>
          <w:numId w:val="0"/>
        </w:numPr>
        <w:topLinePunct/>
        <w:autoSpaceDE w:val="0"/>
        <w:autoSpaceDN w:val="0"/>
        <w:spacing w:after="0" w:line="360" w:lineRule="auto"/>
        <w:jc w:val="center"/>
        <w:outlineLvl w:val="2"/>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t>项目团队人员管理方案</w:t>
      </w:r>
    </w:p>
    <w:p w14:paraId="59F67360">
      <w:pPr>
        <w:numPr>
          <w:ilvl w:val="0"/>
          <w:numId w:val="0"/>
        </w:numPr>
        <w:topLinePunct/>
        <w:autoSpaceDE w:val="0"/>
        <w:autoSpaceDN w:val="0"/>
        <w:spacing w:after="0" w:line="360" w:lineRule="auto"/>
        <w:rPr>
          <w:rFonts w:hint="eastAsia" w:ascii="宋体" w:hAnsi="宋体" w:eastAsia="宋体"/>
          <w:b/>
          <w:bCs/>
          <w:color w:val="auto"/>
          <w:sz w:val="28"/>
          <w:szCs w:val="28"/>
          <w:highlight w:val="none"/>
          <w:lang w:eastAsia="zh-CN"/>
        </w:rPr>
      </w:pPr>
      <w:r>
        <w:rPr>
          <w:rFonts w:hint="eastAsia"/>
          <w:color w:val="auto"/>
          <w:szCs w:val="21"/>
          <w:highlight w:val="none"/>
        </w:rPr>
        <w:t>由投标人按第五章《采购需求》相关要求自行填写</w:t>
      </w:r>
      <w:r>
        <w:rPr>
          <w:rFonts w:hint="eastAsia"/>
          <w:color w:val="auto"/>
          <w:szCs w:val="21"/>
          <w:highlight w:val="none"/>
          <w:lang w:eastAsia="zh-CN"/>
        </w:rPr>
        <w:t>，</w:t>
      </w:r>
      <w:r>
        <w:rPr>
          <w:rFonts w:hint="eastAsia"/>
          <w:color w:val="auto"/>
          <w:szCs w:val="21"/>
          <w:highlight w:val="none"/>
        </w:rPr>
        <w:t>内容自拟</w:t>
      </w:r>
      <w:r>
        <w:rPr>
          <w:rFonts w:hint="eastAsia" w:ascii="Times New Roman" w:hAnsi="Times New Roman" w:cs="Times New Roman"/>
          <w:color w:val="auto"/>
          <w:kern w:val="0"/>
          <w:sz w:val="21"/>
          <w:szCs w:val="21"/>
          <w:highlight w:val="none"/>
          <w:lang w:eastAsia="zh-CN"/>
        </w:rPr>
        <w:t>。</w:t>
      </w:r>
    </w:p>
    <w:p w14:paraId="224B4A27">
      <w:pPr>
        <w:numPr>
          <w:ilvl w:val="0"/>
          <w:numId w:val="0"/>
        </w:numPr>
        <w:topLinePunct/>
        <w:autoSpaceDE w:val="0"/>
        <w:autoSpaceDN w:val="0"/>
        <w:spacing w:after="0" w:line="360" w:lineRule="auto"/>
        <w:rPr>
          <w:rFonts w:hint="eastAsia" w:ascii="宋体" w:hAnsi="宋体" w:eastAsia="宋体" w:cs="Times New Roman"/>
          <w:b/>
          <w:bCs/>
          <w:color w:val="auto"/>
          <w:sz w:val="28"/>
          <w:szCs w:val="28"/>
          <w:highlight w:val="none"/>
          <w:lang w:val="en-US" w:eastAsia="zh-CN"/>
        </w:rPr>
      </w:pPr>
    </w:p>
    <w:p w14:paraId="48844777">
      <w:pPr>
        <w:numPr>
          <w:ilvl w:val="0"/>
          <w:numId w:val="0"/>
        </w:numPr>
        <w:topLinePunct/>
        <w:autoSpaceDE w:val="0"/>
        <w:autoSpaceDN w:val="0"/>
        <w:spacing w:after="0" w:line="360" w:lineRule="auto"/>
        <w:outlineLvl w:val="1"/>
        <w:rPr>
          <w:rFonts w:hint="default" w:ascii="宋体" w:hAnsi="宋体" w:eastAsia="宋体"/>
          <w:b/>
          <w:bCs/>
          <w:color w:val="auto"/>
          <w:sz w:val="28"/>
          <w:szCs w:val="28"/>
          <w:highlight w:val="none"/>
          <w:lang w:val="en-US" w:eastAsia="zh-CN"/>
        </w:rPr>
      </w:pPr>
      <w:r>
        <w:rPr>
          <w:rFonts w:hint="eastAsia" w:ascii="宋体" w:hAnsi="宋体" w:eastAsia="宋体"/>
          <w:b/>
          <w:bCs/>
          <w:color w:val="auto"/>
          <w:sz w:val="28"/>
          <w:szCs w:val="28"/>
          <w:highlight w:val="none"/>
        </w:rPr>
        <w:t>格式</w:t>
      </w:r>
      <w:r>
        <w:rPr>
          <w:rFonts w:hint="eastAsia" w:ascii="宋体" w:hAnsi="宋体"/>
          <w:b/>
          <w:bCs/>
          <w:color w:val="auto"/>
          <w:sz w:val="28"/>
          <w:szCs w:val="28"/>
          <w:highlight w:val="none"/>
          <w:lang w:val="en-US" w:eastAsia="zh-CN"/>
        </w:rPr>
        <w:t>15</w:t>
      </w:r>
    </w:p>
    <w:p w14:paraId="44FEBCA0">
      <w:pPr>
        <w:numPr>
          <w:ilvl w:val="0"/>
          <w:numId w:val="0"/>
        </w:numPr>
        <w:topLinePunct/>
        <w:autoSpaceDE w:val="0"/>
        <w:autoSpaceDN w:val="0"/>
        <w:spacing w:after="0" w:line="360" w:lineRule="auto"/>
        <w:jc w:val="center"/>
        <w:outlineLvl w:val="2"/>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t>风险管控方案</w:t>
      </w:r>
    </w:p>
    <w:p w14:paraId="27E52A9A">
      <w:pPr>
        <w:numPr>
          <w:ilvl w:val="0"/>
          <w:numId w:val="0"/>
        </w:numPr>
        <w:topLinePunct/>
        <w:autoSpaceDE w:val="0"/>
        <w:autoSpaceDN w:val="0"/>
        <w:spacing w:after="0" w:line="360" w:lineRule="auto"/>
        <w:rPr>
          <w:rFonts w:hint="eastAsia" w:ascii="宋体" w:hAnsi="宋体" w:eastAsia="宋体"/>
          <w:b/>
          <w:bCs/>
          <w:color w:val="auto"/>
          <w:sz w:val="28"/>
          <w:szCs w:val="28"/>
          <w:highlight w:val="none"/>
          <w:lang w:eastAsia="zh-CN"/>
        </w:rPr>
      </w:pPr>
      <w:r>
        <w:rPr>
          <w:rFonts w:hint="eastAsia"/>
          <w:color w:val="auto"/>
          <w:szCs w:val="21"/>
          <w:highlight w:val="none"/>
        </w:rPr>
        <w:t>由投标人按第五章《采购需求》相关要求自行填写</w:t>
      </w:r>
      <w:r>
        <w:rPr>
          <w:rFonts w:hint="eastAsia"/>
          <w:color w:val="auto"/>
          <w:szCs w:val="21"/>
          <w:highlight w:val="none"/>
          <w:lang w:eastAsia="zh-CN"/>
        </w:rPr>
        <w:t>，</w:t>
      </w:r>
      <w:r>
        <w:rPr>
          <w:rFonts w:hint="eastAsia"/>
          <w:color w:val="auto"/>
          <w:szCs w:val="21"/>
          <w:highlight w:val="none"/>
        </w:rPr>
        <w:t>内容自拟</w:t>
      </w:r>
      <w:r>
        <w:rPr>
          <w:rFonts w:hint="eastAsia" w:ascii="Times New Roman" w:hAnsi="Times New Roman" w:cs="Times New Roman"/>
          <w:color w:val="auto"/>
          <w:kern w:val="0"/>
          <w:sz w:val="21"/>
          <w:szCs w:val="21"/>
          <w:highlight w:val="none"/>
          <w:lang w:eastAsia="zh-CN"/>
        </w:rPr>
        <w:t>。</w:t>
      </w:r>
    </w:p>
    <w:p w14:paraId="41BA425C">
      <w:pPr>
        <w:pStyle w:val="2"/>
        <w:rPr>
          <w:rFonts w:hint="default"/>
          <w:color w:val="auto"/>
          <w:highlight w:val="none"/>
        </w:rPr>
      </w:pPr>
    </w:p>
    <w:p w14:paraId="66B3B605">
      <w:pPr>
        <w:pStyle w:val="2"/>
        <w:rPr>
          <w:rFonts w:hint="default"/>
          <w:color w:val="auto"/>
          <w:highlight w:val="none"/>
        </w:rPr>
      </w:pPr>
    </w:p>
    <w:p w14:paraId="4E42FA2D">
      <w:pPr>
        <w:pStyle w:val="2"/>
        <w:rPr>
          <w:rFonts w:hint="default"/>
          <w:color w:val="auto"/>
          <w:highlight w:val="none"/>
        </w:rPr>
      </w:pPr>
    </w:p>
    <w:p w14:paraId="4EF3AEBC">
      <w:pPr>
        <w:pStyle w:val="2"/>
        <w:rPr>
          <w:rFonts w:hint="default"/>
          <w:color w:val="auto"/>
          <w:highlight w:val="none"/>
        </w:rPr>
      </w:pPr>
    </w:p>
    <w:p w14:paraId="41AF5125">
      <w:pPr>
        <w:pStyle w:val="2"/>
        <w:rPr>
          <w:rFonts w:hint="default"/>
          <w:color w:val="auto"/>
          <w:highlight w:val="none"/>
        </w:rPr>
      </w:pPr>
    </w:p>
    <w:p w14:paraId="108690D0">
      <w:pPr>
        <w:adjustRightInd w:val="0"/>
        <w:snapToGrid w:val="0"/>
        <w:spacing w:after="0" w:line="360" w:lineRule="auto"/>
        <w:jc w:val="left"/>
        <w:outlineLvl w:val="1"/>
        <w:rPr>
          <w:rFonts w:hint="eastAsia" w:ascii="宋体" w:hAnsi="宋体" w:eastAsia="宋体" w:cs="宋体"/>
          <w:b/>
          <w:bCs/>
          <w:color w:val="auto"/>
          <w:kern w:val="2"/>
          <w:sz w:val="28"/>
          <w:szCs w:val="28"/>
          <w:highlight w:val="none"/>
          <w:lang w:val="en-US" w:eastAsia="zh-CN" w:bidi="ar-SA"/>
        </w:rPr>
      </w:pPr>
      <w:r>
        <w:rPr>
          <w:rFonts w:hint="default" w:ascii="Times New Roman" w:hAnsi="Times New Roman" w:cs="Times New Roman"/>
          <w:b/>
          <w:bCs/>
          <w:color w:val="auto"/>
          <w:sz w:val="28"/>
          <w:szCs w:val="28"/>
          <w:highlight w:val="none"/>
        </w:rPr>
        <w:t>格式</w:t>
      </w:r>
      <w:r>
        <w:rPr>
          <w:rFonts w:hint="eastAsia" w:ascii="Times New Roman" w:hAnsi="Times New Roman" w:cs="Times New Roman"/>
          <w:b/>
          <w:bCs/>
          <w:color w:val="auto"/>
          <w:sz w:val="28"/>
          <w:szCs w:val="28"/>
          <w:highlight w:val="none"/>
          <w:lang w:val="en-US" w:eastAsia="zh-CN"/>
        </w:rPr>
        <w:t xml:space="preserve">16  </w:t>
      </w:r>
      <w:r>
        <w:rPr>
          <w:rFonts w:hint="eastAsia" w:ascii="宋体" w:hAnsi="宋体" w:eastAsia="宋体" w:cs="宋体"/>
          <w:b/>
          <w:bCs/>
          <w:color w:val="auto"/>
          <w:kern w:val="2"/>
          <w:sz w:val="28"/>
          <w:szCs w:val="28"/>
          <w:highlight w:val="none"/>
          <w:lang w:val="en-US" w:eastAsia="zh-CN" w:bidi="ar-SA"/>
        </w:rPr>
        <w:t>构成投标文件的其它资料：</w:t>
      </w:r>
    </w:p>
    <w:p w14:paraId="74BC200B">
      <w:pPr>
        <w:spacing w:line="360" w:lineRule="auto"/>
        <w:rPr>
          <w:rFonts w:hint="eastAsia" w:ascii="宋体" w:hAnsi="宋体"/>
          <w:color w:val="auto"/>
          <w:spacing w:val="6"/>
          <w:szCs w:val="21"/>
          <w:highlight w:val="none"/>
          <w:lang w:val="en-US" w:eastAsia="zh-CN"/>
        </w:rPr>
      </w:pPr>
      <w:r>
        <w:rPr>
          <w:rFonts w:hint="eastAsia" w:ascii="宋体" w:hAnsi="宋体"/>
          <w:color w:val="auto"/>
          <w:spacing w:val="6"/>
          <w:szCs w:val="21"/>
          <w:highlight w:val="none"/>
          <w:lang w:val="en-US" w:eastAsia="zh-CN"/>
        </w:rPr>
        <w:t>1.第五章《采购需求》中要求提供的其他资料；</w:t>
      </w:r>
    </w:p>
    <w:p w14:paraId="0F045E6F">
      <w:pPr>
        <w:spacing w:line="360" w:lineRule="auto"/>
        <w:rPr>
          <w:rFonts w:hint="eastAsia" w:ascii="宋体" w:hAnsi="宋体"/>
          <w:color w:val="auto"/>
          <w:spacing w:val="6"/>
          <w:szCs w:val="21"/>
          <w:highlight w:val="none"/>
          <w:lang w:val="en-US" w:eastAsia="zh-CN"/>
        </w:rPr>
      </w:pPr>
      <w:r>
        <w:rPr>
          <w:rFonts w:hint="eastAsia" w:ascii="宋体" w:hAnsi="宋体"/>
          <w:color w:val="auto"/>
          <w:spacing w:val="6"/>
          <w:szCs w:val="21"/>
          <w:highlight w:val="none"/>
          <w:lang w:val="en-US" w:eastAsia="zh-CN"/>
        </w:rPr>
        <w:t>2.招标文件中所涉及到的相关资料及证明文件或投标人认为必须提供的其他相关资料。</w:t>
      </w:r>
    </w:p>
    <w:p w14:paraId="3F86A352">
      <w:pPr>
        <w:spacing w:line="360" w:lineRule="auto"/>
        <w:rPr>
          <w:rFonts w:hint="eastAsia" w:ascii="宋体" w:hAnsi="宋体"/>
          <w:b w:val="0"/>
          <w:bCs w:val="0"/>
          <w:color w:val="auto"/>
          <w:spacing w:val="6"/>
          <w:szCs w:val="21"/>
          <w:highlight w:val="none"/>
          <w:lang w:val="en-US" w:eastAsia="zh-CN"/>
        </w:rPr>
      </w:pPr>
      <w:r>
        <w:rPr>
          <w:rFonts w:hint="eastAsia" w:ascii="宋体" w:hAnsi="宋体"/>
          <w:b w:val="0"/>
          <w:bCs w:val="0"/>
          <w:color w:val="auto"/>
          <w:spacing w:val="6"/>
          <w:szCs w:val="21"/>
          <w:highlight w:val="none"/>
          <w:lang w:val="en-US" w:eastAsia="zh-CN"/>
        </w:rPr>
        <w:t>3.投标人参与本项目投标不得出现以下情形并提供承诺函加盖投标人公章。</w:t>
      </w:r>
    </w:p>
    <w:p w14:paraId="2AC600D9">
      <w:pPr>
        <w:spacing w:line="360" w:lineRule="auto"/>
        <w:ind w:firstLine="444" w:firstLineChars="200"/>
        <w:rPr>
          <w:rFonts w:hint="eastAsia" w:ascii="宋体" w:hAnsi="宋体"/>
          <w:color w:val="auto"/>
          <w:spacing w:val="6"/>
          <w:szCs w:val="21"/>
          <w:highlight w:val="none"/>
          <w:lang w:val="en-US" w:eastAsia="zh-CN"/>
        </w:rPr>
      </w:pPr>
      <w:r>
        <w:rPr>
          <w:rFonts w:hint="eastAsia" w:ascii="宋体" w:hAnsi="宋体"/>
          <w:color w:val="auto"/>
          <w:spacing w:val="6"/>
          <w:szCs w:val="21"/>
          <w:highlight w:val="none"/>
          <w:lang w:val="en-US" w:eastAsia="zh-CN"/>
        </w:rPr>
        <w:t>（1）不同投标人的投标文件由同一单位或者个人编制；</w:t>
      </w:r>
    </w:p>
    <w:p w14:paraId="18BA3103">
      <w:pPr>
        <w:spacing w:line="360" w:lineRule="auto"/>
        <w:ind w:firstLine="444" w:firstLineChars="200"/>
        <w:rPr>
          <w:rFonts w:hint="eastAsia" w:ascii="宋体" w:hAnsi="宋体"/>
          <w:color w:val="auto"/>
          <w:spacing w:val="6"/>
          <w:szCs w:val="21"/>
          <w:highlight w:val="none"/>
          <w:lang w:val="en-US" w:eastAsia="zh-CN"/>
        </w:rPr>
      </w:pPr>
      <w:r>
        <w:rPr>
          <w:rFonts w:hint="eastAsia" w:ascii="宋体" w:hAnsi="宋体"/>
          <w:color w:val="auto"/>
          <w:spacing w:val="6"/>
          <w:szCs w:val="21"/>
          <w:highlight w:val="none"/>
          <w:lang w:val="en-US" w:eastAsia="zh-CN"/>
        </w:rPr>
        <w:t>（2）不同投标人委托同一单位或者个人办理投标事宜；</w:t>
      </w:r>
    </w:p>
    <w:p w14:paraId="4B7B6B2D">
      <w:pPr>
        <w:spacing w:line="360" w:lineRule="auto"/>
        <w:ind w:firstLine="444" w:firstLineChars="200"/>
        <w:rPr>
          <w:rFonts w:hint="eastAsia" w:ascii="宋体" w:hAnsi="宋体"/>
          <w:color w:val="auto"/>
          <w:spacing w:val="6"/>
          <w:szCs w:val="21"/>
          <w:highlight w:val="none"/>
          <w:lang w:val="en-US" w:eastAsia="zh-CN"/>
        </w:rPr>
      </w:pPr>
      <w:r>
        <w:rPr>
          <w:rFonts w:hint="eastAsia" w:ascii="宋体" w:hAnsi="宋体"/>
          <w:color w:val="auto"/>
          <w:spacing w:val="6"/>
          <w:szCs w:val="21"/>
          <w:highlight w:val="none"/>
          <w:lang w:val="en-US" w:eastAsia="zh-CN"/>
        </w:rPr>
        <w:t>（3）不同投标人的投标文件载明的项目管理成员或者联系人员为同一人；</w:t>
      </w:r>
    </w:p>
    <w:p w14:paraId="11552809">
      <w:pPr>
        <w:spacing w:line="360" w:lineRule="auto"/>
        <w:ind w:firstLine="444" w:firstLineChars="200"/>
        <w:rPr>
          <w:rFonts w:hint="eastAsia" w:ascii="宋体" w:hAnsi="宋体"/>
          <w:color w:val="auto"/>
          <w:spacing w:val="6"/>
          <w:szCs w:val="21"/>
          <w:highlight w:val="none"/>
          <w:lang w:val="en-US" w:eastAsia="zh-CN"/>
        </w:rPr>
      </w:pPr>
      <w:r>
        <w:rPr>
          <w:rFonts w:hint="eastAsia" w:ascii="宋体" w:hAnsi="宋体"/>
          <w:color w:val="auto"/>
          <w:spacing w:val="6"/>
          <w:szCs w:val="21"/>
          <w:highlight w:val="none"/>
          <w:lang w:val="en-US" w:eastAsia="zh-CN"/>
        </w:rPr>
        <w:t>（4）不同投标人的投标保证金从同一单位或者个人的账户转出；</w:t>
      </w:r>
    </w:p>
    <w:p w14:paraId="034481C5">
      <w:pPr>
        <w:spacing w:line="360" w:lineRule="auto"/>
        <w:ind w:firstLine="444" w:firstLineChars="200"/>
        <w:rPr>
          <w:rFonts w:hint="eastAsia" w:ascii="宋体" w:hAnsi="宋体"/>
          <w:color w:val="auto"/>
          <w:spacing w:val="6"/>
          <w:szCs w:val="21"/>
          <w:highlight w:val="none"/>
          <w:lang w:val="en-US" w:eastAsia="zh-CN"/>
        </w:rPr>
      </w:pPr>
      <w:r>
        <w:rPr>
          <w:rFonts w:hint="eastAsia" w:ascii="宋体" w:hAnsi="宋体"/>
          <w:color w:val="auto"/>
          <w:spacing w:val="6"/>
          <w:szCs w:val="21"/>
          <w:highlight w:val="none"/>
          <w:lang w:val="en-US" w:eastAsia="zh-CN"/>
        </w:rPr>
        <w:t>（5）不同投标人的被授权投标代表的社会保险参保单位由同一单位缴纳。</w:t>
      </w:r>
    </w:p>
    <w:p w14:paraId="31CC3EE8">
      <w:pPr>
        <w:spacing w:line="360" w:lineRule="auto"/>
        <w:ind w:firstLine="420" w:firstLineChars="200"/>
        <w:rPr>
          <w:rFonts w:ascii="宋体" w:hAnsi="宋体"/>
          <w:color w:val="auto"/>
          <w:kern w:val="0"/>
          <w:sz w:val="21"/>
          <w:szCs w:val="21"/>
          <w:highlight w:val="none"/>
        </w:rPr>
      </w:pPr>
      <w:r>
        <w:rPr>
          <w:rFonts w:ascii="宋体" w:hAnsi="宋体"/>
          <w:color w:val="auto"/>
          <w:kern w:val="0"/>
          <w:sz w:val="21"/>
          <w:szCs w:val="21"/>
          <w:highlight w:val="none"/>
        </w:rPr>
        <w:br w:type="page"/>
      </w:r>
    </w:p>
    <w:p w14:paraId="69098139">
      <w:pPr>
        <w:bidi w:val="0"/>
        <w:jc w:val="center"/>
        <w:outlineLvl w:val="0"/>
        <w:rPr>
          <w:rFonts w:hint="eastAsia" w:asciiTheme="minorEastAsia" w:hAnsiTheme="minorEastAsia" w:eastAsiaTheme="minorEastAsia" w:cstheme="minorEastAsia"/>
          <w:b/>
          <w:bCs/>
          <w:color w:val="auto"/>
          <w:sz w:val="28"/>
          <w:szCs w:val="28"/>
          <w:highlight w:val="none"/>
          <w:lang w:val="en-US" w:eastAsia="zh-CN"/>
        </w:rPr>
      </w:pPr>
      <w:bookmarkStart w:id="204" w:name="_Toc31654"/>
      <w:r>
        <w:rPr>
          <w:rFonts w:hint="eastAsia" w:asciiTheme="minorEastAsia" w:hAnsiTheme="minorEastAsia" w:eastAsiaTheme="minorEastAsia" w:cstheme="minorEastAsia"/>
          <w:b/>
          <w:bCs/>
          <w:color w:val="auto"/>
          <w:sz w:val="28"/>
          <w:szCs w:val="28"/>
          <w:highlight w:val="none"/>
          <w:lang w:val="en-US" w:eastAsia="zh-CN"/>
        </w:rPr>
        <w:t>第六章 项目采购需求</w:t>
      </w:r>
      <w:bookmarkEnd w:id="204"/>
    </w:p>
    <w:p w14:paraId="4671A440">
      <w:pPr>
        <w:pStyle w:val="3"/>
        <w:keepNext w:val="0"/>
        <w:spacing w:before="0" w:after="0" w:line="480" w:lineRule="exact"/>
        <w:jc w:val="left"/>
        <w:rPr>
          <w:rFonts w:hint="eastAsia" w:ascii="宋体" w:hAnsi="宋体" w:eastAsia="宋体" w:cs="宋体"/>
          <w:b/>
          <w:bCs/>
          <w:color w:val="auto"/>
          <w:sz w:val="21"/>
          <w:szCs w:val="21"/>
          <w:highlight w:val="none"/>
        </w:rPr>
      </w:pPr>
      <w:bookmarkStart w:id="205" w:name="_Toc256000000"/>
      <w:r>
        <w:rPr>
          <w:rFonts w:hint="eastAsia" w:ascii="宋体" w:hAnsi="宋体" w:eastAsia="宋体" w:cs="宋体"/>
          <w:color w:val="auto"/>
          <w:kern w:val="36"/>
          <w:sz w:val="21"/>
          <w:szCs w:val="21"/>
          <w:highlight w:val="none"/>
        </w:rPr>
        <w:t>1项目概述</w:t>
      </w:r>
    </w:p>
    <w:p w14:paraId="3F324479">
      <w:pPr>
        <w:pStyle w:val="4"/>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i w:val="0"/>
          <w:iCs w:val="0"/>
          <w:color w:val="auto"/>
          <w:sz w:val="21"/>
          <w:szCs w:val="21"/>
          <w:highlight w:val="none"/>
        </w:rPr>
        <w:t>1.1项目背景</w:t>
      </w:r>
    </w:p>
    <w:p w14:paraId="32E2449F">
      <w:pPr>
        <w:pStyle w:val="5"/>
        <w:keepNext w:val="0"/>
        <w:spacing w:before="0" w:after="0" w:line="4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1.1.1项目目的、意义及背景</w:t>
      </w:r>
    </w:p>
    <w:p w14:paraId="046B33E4">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为保障国家税务总局昆明市官渡区税务局（以下称采购人）办公点工作正常开展，需购买一家供应商为采购人</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个办公区提供物业管理服务，分别是昆明市官渡区宝海路519号、日新路1263号、螺蛳湾国际商贸城3期28区3楼。</w:t>
      </w:r>
    </w:p>
    <w:p w14:paraId="71D99009">
      <w:pPr>
        <w:pStyle w:val="4"/>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i w:val="0"/>
          <w:iCs w:val="0"/>
          <w:color w:val="auto"/>
          <w:sz w:val="21"/>
          <w:szCs w:val="21"/>
          <w:highlight w:val="none"/>
        </w:rPr>
        <w:t>1.2项目内容</w:t>
      </w:r>
    </w:p>
    <w:p w14:paraId="12017600">
      <w:pPr>
        <w:pStyle w:val="5"/>
        <w:keepNext w:val="0"/>
        <w:spacing w:before="0" w:after="0" w:line="4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1.2.1项目建设思路</w:t>
      </w:r>
    </w:p>
    <w:p w14:paraId="1EFA256F">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针对昆明市官渡区宝海路519号、日新路1263号、螺蛳湾国际商贸城3期28区3楼提供公共综合服务、会议保障服务、化粪池和隔油池疏通清理等相关服务。</w:t>
      </w:r>
    </w:p>
    <w:p w14:paraId="49CD508D">
      <w:pPr>
        <w:pStyle w:val="5"/>
        <w:keepNext w:val="0"/>
        <w:spacing w:before="0" w:after="0" w:line="4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1.2.2采购内容</w:t>
      </w:r>
    </w:p>
    <w:p w14:paraId="796B2B20">
      <w:pPr>
        <w:spacing w:before="0" w:after="0" w:line="480" w:lineRule="exact"/>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1.2.2.1</w:t>
      </w:r>
      <w:r>
        <w:rPr>
          <w:rFonts w:hint="eastAsia" w:ascii="宋体" w:hAnsi="宋体" w:eastAsia="宋体" w:cs="宋体"/>
          <w:color w:val="auto"/>
          <w:sz w:val="21"/>
          <w:szCs w:val="21"/>
          <w:highlight w:val="none"/>
        </w:rPr>
        <w:t>物业服务内容</w:t>
      </w:r>
    </w:p>
    <w:p w14:paraId="018F59E4">
      <w:pPr>
        <w:spacing w:before="0" w:after="0" w:line="480" w:lineRule="exact"/>
        <w:ind w:firstLine="0" w:firstLineChars="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公共综合服务</w:t>
      </w:r>
    </w:p>
    <w:p w14:paraId="175EF237">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微软雅黑" w:hAnsi="微软雅黑" w:eastAsia="微软雅黑" w:cs="微软雅黑"/>
          <w:color w:val="auto"/>
          <w:sz w:val="21"/>
          <w:szCs w:val="21"/>
          <w:highlight w:val="none"/>
        </w:rPr>
        <w:t>①</w:t>
      </w:r>
      <w:r>
        <w:rPr>
          <w:rFonts w:hint="eastAsia" w:ascii="宋体" w:hAnsi="宋体" w:eastAsia="宋体" w:cs="宋体"/>
          <w:color w:val="auto"/>
          <w:sz w:val="21"/>
          <w:szCs w:val="21"/>
          <w:highlight w:val="none"/>
        </w:rPr>
        <w:t>秩序维护与安全服务</w:t>
      </w:r>
    </w:p>
    <w:p w14:paraId="486AF1AD">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微软雅黑" w:hAnsi="微软雅黑" w:eastAsia="微软雅黑" w:cs="微软雅黑"/>
          <w:color w:val="auto"/>
          <w:sz w:val="21"/>
          <w:szCs w:val="21"/>
          <w:highlight w:val="none"/>
        </w:rPr>
        <w:t>②</w:t>
      </w:r>
      <w:r>
        <w:rPr>
          <w:rFonts w:hint="eastAsia" w:ascii="宋体" w:hAnsi="宋体" w:eastAsia="宋体" w:cs="宋体"/>
          <w:color w:val="auto"/>
          <w:sz w:val="21"/>
          <w:szCs w:val="21"/>
          <w:highlight w:val="none"/>
        </w:rPr>
        <w:t>环境维护服务</w:t>
      </w:r>
    </w:p>
    <w:p w14:paraId="07663CFE">
      <w:pPr>
        <w:ind w:firstLine="420" w:firstLineChars="200"/>
        <w:rPr>
          <w:rFonts w:hint="eastAsia" w:ascii="宋体" w:hAnsi="宋体" w:eastAsia="宋体" w:cs="宋体"/>
          <w:color w:val="auto"/>
          <w:szCs w:val="21"/>
          <w:highlight w:val="none"/>
        </w:rPr>
      </w:pPr>
      <w:r>
        <w:rPr>
          <w:rFonts w:hint="eastAsia" w:ascii="微软雅黑" w:hAnsi="微软雅黑" w:eastAsia="微软雅黑" w:cs="微软雅黑"/>
          <w:color w:val="auto"/>
          <w:sz w:val="21"/>
          <w:szCs w:val="21"/>
          <w:highlight w:val="none"/>
        </w:rPr>
        <w:t>③</w:t>
      </w:r>
      <w:r>
        <w:rPr>
          <w:rFonts w:hint="eastAsia" w:ascii="宋体" w:hAnsi="宋体" w:eastAsia="宋体" w:cs="宋体"/>
          <w:color w:val="auto"/>
          <w:sz w:val="21"/>
          <w:szCs w:val="21"/>
          <w:highlight w:val="none"/>
        </w:rPr>
        <w:t>房屋共用部位、共用设施设备运行、维修维护服务</w:t>
      </w:r>
    </w:p>
    <w:p w14:paraId="3A8764E6">
      <w:pPr>
        <w:spacing w:before="0" w:after="0" w:line="480" w:lineRule="exact"/>
        <w:ind w:firstLine="0" w:firstLineChars="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特约服务</w:t>
      </w:r>
    </w:p>
    <w:p w14:paraId="6A7863C7">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微软雅黑" w:hAnsi="微软雅黑" w:eastAsia="微软雅黑" w:cs="微软雅黑"/>
          <w:color w:val="auto"/>
          <w:sz w:val="21"/>
          <w:szCs w:val="21"/>
          <w:highlight w:val="none"/>
        </w:rPr>
        <w:t>①</w:t>
      </w:r>
      <w:r>
        <w:rPr>
          <w:rFonts w:hint="eastAsia" w:ascii="宋体" w:hAnsi="宋体" w:eastAsia="宋体" w:cs="宋体"/>
          <w:color w:val="auto"/>
          <w:sz w:val="21"/>
          <w:szCs w:val="21"/>
          <w:highlight w:val="none"/>
        </w:rPr>
        <w:t>会议保障服务</w:t>
      </w:r>
    </w:p>
    <w:p w14:paraId="795B2C8B">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微软雅黑" w:hAnsi="微软雅黑" w:eastAsia="微软雅黑" w:cs="微软雅黑"/>
          <w:color w:val="auto"/>
          <w:sz w:val="21"/>
          <w:szCs w:val="21"/>
          <w:highlight w:val="none"/>
        </w:rPr>
        <w:t>②</w:t>
      </w:r>
      <w:r>
        <w:rPr>
          <w:rFonts w:hint="eastAsia" w:ascii="宋体" w:hAnsi="宋体" w:eastAsia="宋体" w:cs="宋体"/>
          <w:color w:val="auto"/>
          <w:sz w:val="21"/>
          <w:szCs w:val="21"/>
          <w:highlight w:val="none"/>
        </w:rPr>
        <w:t>化粪池和隔油池疏通清理</w:t>
      </w:r>
    </w:p>
    <w:p w14:paraId="0B604924">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微软雅黑" w:hAnsi="微软雅黑" w:eastAsia="微软雅黑" w:cs="微软雅黑"/>
          <w:color w:val="auto"/>
          <w:sz w:val="21"/>
          <w:szCs w:val="21"/>
          <w:highlight w:val="none"/>
        </w:rPr>
        <w:t>③</w:t>
      </w:r>
      <w:r>
        <w:rPr>
          <w:rFonts w:hint="eastAsia" w:ascii="宋体" w:hAnsi="宋体" w:eastAsia="宋体" w:cs="宋体"/>
          <w:color w:val="auto"/>
          <w:sz w:val="21"/>
          <w:szCs w:val="21"/>
          <w:highlight w:val="none"/>
        </w:rPr>
        <w:t>饮水池清洗</w:t>
      </w:r>
    </w:p>
    <w:p w14:paraId="3BCCBB09">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微软雅黑" w:hAnsi="微软雅黑" w:eastAsia="微软雅黑" w:cs="微软雅黑"/>
          <w:color w:val="auto"/>
          <w:sz w:val="21"/>
          <w:szCs w:val="21"/>
          <w:highlight w:val="none"/>
        </w:rPr>
        <w:t>④</w:t>
      </w:r>
      <w:r>
        <w:rPr>
          <w:rFonts w:hint="eastAsia" w:ascii="宋体" w:hAnsi="宋体" w:eastAsia="宋体" w:cs="宋体"/>
          <w:color w:val="auto"/>
          <w:sz w:val="21"/>
          <w:szCs w:val="21"/>
          <w:highlight w:val="none"/>
        </w:rPr>
        <w:t>简单的搬运服务</w:t>
      </w:r>
    </w:p>
    <w:p w14:paraId="708E82F4">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微软雅黑" w:hAnsi="微软雅黑" w:eastAsia="微软雅黑" w:cs="微软雅黑"/>
          <w:color w:val="auto"/>
          <w:sz w:val="21"/>
          <w:szCs w:val="21"/>
          <w:highlight w:val="none"/>
        </w:rPr>
        <w:t>⑤</w:t>
      </w:r>
      <w:r>
        <w:rPr>
          <w:rFonts w:hint="eastAsia" w:ascii="宋体" w:hAnsi="宋体" w:eastAsia="宋体" w:cs="宋体"/>
          <w:color w:val="auto"/>
          <w:sz w:val="21"/>
          <w:szCs w:val="21"/>
          <w:highlight w:val="none"/>
        </w:rPr>
        <w:t>公共区域固定资产管理服务</w:t>
      </w:r>
    </w:p>
    <w:p w14:paraId="25EAD227">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微软雅黑" w:hAnsi="微软雅黑" w:eastAsia="微软雅黑" w:cs="微软雅黑"/>
          <w:color w:val="auto"/>
          <w:sz w:val="21"/>
          <w:szCs w:val="21"/>
          <w:highlight w:val="none"/>
        </w:rPr>
        <w:t>⑥</w:t>
      </w:r>
      <w:r>
        <w:rPr>
          <w:rFonts w:hint="eastAsia" w:ascii="宋体" w:hAnsi="宋体" w:eastAsia="宋体" w:cs="宋体"/>
          <w:color w:val="auto"/>
          <w:sz w:val="21"/>
          <w:szCs w:val="21"/>
          <w:highlight w:val="none"/>
        </w:rPr>
        <w:t>报刊、杂志配送服务</w:t>
      </w:r>
    </w:p>
    <w:p w14:paraId="50566B92">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微软雅黑" w:hAnsi="微软雅黑" w:eastAsia="微软雅黑" w:cs="微软雅黑"/>
          <w:color w:val="auto"/>
          <w:sz w:val="21"/>
          <w:szCs w:val="21"/>
          <w:highlight w:val="none"/>
        </w:rPr>
        <w:t>⑦</w:t>
      </w:r>
      <w:r>
        <w:rPr>
          <w:rFonts w:hint="eastAsia" w:ascii="宋体" w:hAnsi="宋体" w:eastAsia="宋体" w:cs="宋体"/>
          <w:color w:val="auto"/>
          <w:sz w:val="21"/>
          <w:szCs w:val="21"/>
          <w:highlight w:val="none"/>
        </w:rPr>
        <w:t>文件资料邮寄服务</w:t>
      </w:r>
    </w:p>
    <w:p w14:paraId="21733B45">
      <w:pPr>
        <w:ind w:firstLine="420" w:firstLineChars="200"/>
        <w:rPr>
          <w:rFonts w:hint="eastAsia" w:ascii="宋体" w:hAnsi="宋体" w:eastAsia="宋体" w:cs="宋体"/>
          <w:color w:val="auto"/>
          <w:sz w:val="21"/>
          <w:szCs w:val="21"/>
          <w:highlight w:val="none"/>
        </w:rPr>
      </w:pPr>
      <w:r>
        <w:rPr>
          <w:rFonts w:hint="eastAsia" w:ascii="微软雅黑" w:hAnsi="微软雅黑" w:eastAsia="微软雅黑" w:cs="微软雅黑"/>
          <w:color w:val="auto"/>
          <w:sz w:val="21"/>
          <w:szCs w:val="21"/>
          <w:highlight w:val="none"/>
        </w:rPr>
        <w:t>⑧</w:t>
      </w:r>
      <w:r>
        <w:rPr>
          <w:rFonts w:hint="eastAsia" w:ascii="宋体" w:hAnsi="宋体" w:eastAsia="宋体" w:cs="宋体"/>
          <w:color w:val="auto"/>
          <w:sz w:val="21"/>
          <w:szCs w:val="21"/>
          <w:highlight w:val="none"/>
        </w:rPr>
        <w:t>负一楼</w:t>
      </w:r>
      <w:r>
        <w:rPr>
          <w:rFonts w:hint="eastAsia" w:ascii="宋体" w:hAnsi="宋体" w:cs="宋体"/>
          <w:color w:val="auto"/>
          <w:sz w:val="21"/>
          <w:szCs w:val="21"/>
          <w:highlight w:val="none"/>
          <w:lang w:eastAsia="zh-CN"/>
        </w:rPr>
        <w:t>管理</w:t>
      </w:r>
      <w:r>
        <w:rPr>
          <w:rFonts w:hint="eastAsia" w:ascii="宋体" w:hAnsi="宋体" w:eastAsia="宋体" w:cs="宋体"/>
          <w:color w:val="auto"/>
          <w:sz w:val="21"/>
          <w:szCs w:val="21"/>
          <w:highlight w:val="none"/>
        </w:rPr>
        <w:t>服务</w:t>
      </w:r>
    </w:p>
    <w:p w14:paraId="0761ACEB">
      <w:pPr>
        <w:pStyle w:val="5"/>
        <w:keepNext w:val="0"/>
        <w:spacing w:before="0" w:after="0" w:line="4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1.2.3项目实施要求</w:t>
      </w:r>
    </w:p>
    <w:p w14:paraId="01D8AB60">
      <w:pPr>
        <w:pStyle w:val="6"/>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1.2.3.1实施范围要求</w:t>
      </w:r>
    </w:p>
    <w:p w14:paraId="61CC773B">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为采购人昆明市官渡区宝海路519号、日新路1263号、螺蛳湾国际商贸城3期28区3楼提供物业管理服务。</w:t>
      </w:r>
    </w:p>
    <w:p w14:paraId="06BDACE2">
      <w:pPr>
        <w:spacing w:before="0" w:after="0" w:line="48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宝海路519号办公区，2008年建设，占地面积约10亩，建筑面积19032平方米，整座大楼共14层（含负一层），三个消防走廊，提供约450人办公，工作时间大厅服务纳税人平均每天约1200-2000人，室外绿化面积约为2050平方米和停车位108个，负一层停车位57个。大楼内部有四部电梯，地下室有柴油发电机一台。宝海路办公区另有位于小板桥社区居委会大街村420号两处仓库。</w:t>
      </w:r>
      <w:r>
        <w:rPr>
          <w:rFonts w:hint="eastAsia" w:ascii="宋体" w:hAnsi="宋体" w:cs="宋体"/>
          <w:color w:val="auto"/>
          <w:sz w:val="21"/>
          <w:szCs w:val="21"/>
          <w:highlight w:val="none"/>
          <w:lang w:eastAsia="zh-CN"/>
        </w:rPr>
        <w:t>宝海路办公区需提供公共综合服务和特约服务。</w:t>
      </w:r>
    </w:p>
    <w:p w14:paraId="0F3A5CB2">
      <w:pPr>
        <w:spacing w:before="0" w:after="0" w:line="48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日新路1263号办公区，共四层，建筑面积1478.2平方米，办公室30间，会议室3间，电教室1间，机房2间，更衣室2间，仓库3间，档案室2间，值班室1间，露天停车位17个。日新路1263号办公区</w:t>
      </w:r>
      <w:r>
        <w:rPr>
          <w:rFonts w:hint="eastAsia" w:ascii="宋体" w:hAnsi="宋体" w:cs="宋体"/>
          <w:color w:val="auto"/>
          <w:sz w:val="21"/>
          <w:szCs w:val="21"/>
          <w:highlight w:val="none"/>
          <w:lang w:eastAsia="zh-CN"/>
        </w:rPr>
        <w:t>需提供</w:t>
      </w:r>
      <w:r>
        <w:rPr>
          <w:rFonts w:hint="eastAsia" w:ascii="宋体" w:hAnsi="宋体" w:eastAsia="宋体" w:cs="宋体"/>
          <w:color w:val="auto"/>
          <w:sz w:val="21"/>
          <w:szCs w:val="21"/>
          <w:highlight w:val="none"/>
        </w:rPr>
        <w:t>公共综合服务</w:t>
      </w:r>
      <w:r>
        <w:rPr>
          <w:rFonts w:hint="eastAsia" w:ascii="宋体" w:hAnsi="宋体" w:cs="宋体"/>
          <w:color w:val="auto"/>
          <w:sz w:val="21"/>
          <w:szCs w:val="21"/>
          <w:highlight w:val="none"/>
          <w:lang w:eastAsia="zh-CN"/>
        </w:rPr>
        <w:t>以及除</w:t>
      </w:r>
      <w:r>
        <w:rPr>
          <w:rFonts w:hint="eastAsia" w:ascii="宋体" w:hAnsi="宋体" w:eastAsia="宋体" w:cs="宋体"/>
          <w:color w:val="auto"/>
          <w:sz w:val="21"/>
          <w:szCs w:val="21"/>
          <w:highlight w:val="none"/>
        </w:rPr>
        <w:t>饮水池清洗</w:t>
      </w:r>
      <w:r>
        <w:rPr>
          <w:rFonts w:hint="eastAsia" w:ascii="宋体" w:hAnsi="宋体" w:cs="宋体"/>
          <w:color w:val="auto"/>
          <w:sz w:val="21"/>
          <w:szCs w:val="21"/>
          <w:highlight w:val="none"/>
          <w:lang w:eastAsia="zh-CN"/>
        </w:rPr>
        <w:t>以外的特约服务。</w:t>
      </w:r>
    </w:p>
    <w:p w14:paraId="4EE2D2DD">
      <w:pPr>
        <w:spacing w:before="0" w:after="0" w:line="48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螺蛳湾国际商贸城3期28区3楼办公区，打扫办公区卫生。螺蛳湾国际商贸城3期28区3楼办公区</w:t>
      </w:r>
      <w:r>
        <w:rPr>
          <w:rFonts w:hint="eastAsia" w:ascii="宋体" w:hAnsi="宋体" w:cs="宋体"/>
          <w:color w:val="auto"/>
          <w:sz w:val="21"/>
          <w:szCs w:val="21"/>
          <w:highlight w:val="none"/>
          <w:lang w:eastAsia="zh-CN"/>
        </w:rPr>
        <w:t>需提供</w:t>
      </w:r>
      <w:r>
        <w:rPr>
          <w:rFonts w:hint="eastAsia" w:ascii="宋体" w:hAnsi="宋体" w:eastAsia="宋体" w:cs="宋体"/>
          <w:color w:val="auto"/>
          <w:sz w:val="21"/>
          <w:szCs w:val="21"/>
          <w:highlight w:val="none"/>
        </w:rPr>
        <w:t>环境维护服务</w:t>
      </w:r>
      <w:r>
        <w:rPr>
          <w:rFonts w:hint="eastAsia" w:ascii="宋体" w:hAnsi="宋体" w:cs="宋体"/>
          <w:color w:val="auto"/>
          <w:sz w:val="21"/>
          <w:szCs w:val="21"/>
          <w:highlight w:val="none"/>
          <w:lang w:eastAsia="zh-CN"/>
        </w:rPr>
        <w:t>。</w:t>
      </w:r>
    </w:p>
    <w:p w14:paraId="4CCC99E3">
      <w:pPr>
        <w:pStyle w:val="6"/>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1.2.3.2实施时间要求</w:t>
      </w:r>
    </w:p>
    <w:p w14:paraId="3ADE6034">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一年，自合同签订生效之日起至合同全部权利义务履行完毕。</w:t>
      </w:r>
    </w:p>
    <w:p w14:paraId="743D4C2F">
      <w:pPr>
        <w:pStyle w:val="6"/>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1.2.3.3实施地点要求</w:t>
      </w:r>
    </w:p>
    <w:p w14:paraId="7D9C2DA8">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昆明市官渡区宝海路519号、日新路1263号、螺蛳湾国际商贸城3期28区3楼</w:t>
      </w:r>
    </w:p>
    <w:p w14:paraId="572C8044">
      <w:pPr>
        <w:pStyle w:val="4"/>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i w:val="0"/>
          <w:iCs w:val="0"/>
          <w:color w:val="auto"/>
          <w:sz w:val="21"/>
          <w:szCs w:val="21"/>
          <w:highlight w:val="none"/>
        </w:rPr>
        <w:t>1.3其他要求</w:t>
      </w:r>
    </w:p>
    <w:p w14:paraId="385D15BD">
      <w:pPr>
        <w:pStyle w:val="5"/>
        <w:keepNext w:val="0"/>
        <w:spacing w:before="0" w:after="0" w:line="4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1.3.1采购金额</w:t>
      </w:r>
    </w:p>
    <w:p w14:paraId="2E1D19BC">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预算金额(含税）：大写：壹佰肆拾万整，小写：¥1,400,000元。</w:t>
      </w:r>
    </w:p>
    <w:p w14:paraId="60222A77">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预算金额包含但不限于项目直接发生的人员工资、社保、福利、办公费、税金、劳保用品、机械设备费、易耗品、材料工具费和其它成本、风险等服务期限内完成所有工作内容所涉及的全部费用。供应商任何未列明或漏报的项目费用，采购人视为已包含在报价中，采购人不再支付其他任何费用，且所报价格在整个项目期间不得调整。供应商物业服务相关所有人员如发生劳动、社会治安等一切法律纠纷，全部由供应商承担相应法律责任及纠纷赔偿相关费用。</w:t>
      </w:r>
    </w:p>
    <w:p w14:paraId="43812F88">
      <w:pPr>
        <w:pStyle w:val="3"/>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color w:val="auto"/>
          <w:kern w:val="36"/>
          <w:sz w:val="21"/>
          <w:szCs w:val="21"/>
          <w:highlight w:val="none"/>
        </w:rPr>
        <w:t>2投标/响应要求</w:t>
      </w:r>
    </w:p>
    <w:p w14:paraId="199654C2">
      <w:pPr>
        <w:pStyle w:val="4"/>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i w:val="0"/>
          <w:iCs w:val="0"/>
          <w:color w:val="auto"/>
          <w:sz w:val="21"/>
          <w:szCs w:val="21"/>
          <w:highlight w:val="none"/>
        </w:rPr>
        <w:t>2.1对供应商的要求</w:t>
      </w:r>
    </w:p>
    <w:p w14:paraId="4C1C6069">
      <w:pPr>
        <w:pStyle w:val="5"/>
        <w:keepNext w:val="0"/>
        <w:spacing w:before="0" w:after="0" w:line="4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2.1.1必备资质</w:t>
      </w:r>
    </w:p>
    <w:p w14:paraId="3E48A0F0">
      <w:pPr>
        <w:pStyle w:val="6"/>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2.1.1.1投标人应遵守有关国家法律、法规和条例,具备《中华人民共和国政府采购法》第二十二条的规定和本文件中规定的条件。</w:t>
      </w:r>
    </w:p>
    <w:p w14:paraId="0141B3A9">
      <w:pPr>
        <w:pStyle w:val="6"/>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2.1.1.2本项目的特定资格要求</w:t>
      </w:r>
    </w:p>
    <w:p w14:paraId="3F4A3EBA">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p w14:paraId="28ACC090">
      <w:pPr>
        <w:pStyle w:val="5"/>
        <w:keepNext w:val="0"/>
        <w:spacing w:before="0" w:after="0" w:line="4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2.1.2优选资质/优选指标</w:t>
      </w:r>
    </w:p>
    <w:p w14:paraId="7CB1BFBB">
      <w:pPr>
        <w:pStyle w:val="6"/>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2.1.2.1相关证书</w:t>
      </w:r>
    </w:p>
    <w:p w14:paraId="3199D47C">
      <w:pPr>
        <w:pStyle w:val="6"/>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2.1.2.2成功案例</w:t>
      </w:r>
    </w:p>
    <w:p w14:paraId="17370688">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有效案例为2023年1月1日以来（以合同签订日期为准）,供应商独立承担的物业管理项目案例。</w:t>
      </w:r>
    </w:p>
    <w:p w14:paraId="2744965A">
      <w:pPr>
        <w:pStyle w:val="5"/>
        <w:keepNext w:val="0"/>
        <w:spacing w:before="0" w:after="0" w:line="4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2.1.3是否允许联合体</w:t>
      </w:r>
    </w:p>
    <w:p w14:paraId="232382FB">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p w14:paraId="6817EE7C">
      <w:pPr>
        <w:pStyle w:val="5"/>
        <w:keepNext w:val="0"/>
        <w:spacing w:before="0" w:after="0" w:line="4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2.1.4是否专门面向中小企业</w:t>
      </w:r>
    </w:p>
    <w:p w14:paraId="5BF44990">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本项目专门面向中小企业采购项目</w:t>
      </w:r>
    </w:p>
    <w:p w14:paraId="45737DDD">
      <w:pPr>
        <w:pStyle w:val="5"/>
        <w:keepNext w:val="0"/>
        <w:spacing w:before="0" w:after="0" w:line="4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2.1.5其他要求</w:t>
      </w:r>
    </w:p>
    <w:p w14:paraId="22A4CB5F">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p w14:paraId="2EDE6EDC">
      <w:pPr>
        <w:pStyle w:val="4"/>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i w:val="0"/>
          <w:iCs w:val="0"/>
          <w:color w:val="auto"/>
          <w:sz w:val="21"/>
          <w:szCs w:val="21"/>
          <w:highlight w:val="none"/>
        </w:rPr>
        <w:t>2.2技术部分投标/响应内容</w:t>
      </w:r>
    </w:p>
    <w:p w14:paraId="08145440">
      <w:pPr>
        <w:pStyle w:val="5"/>
        <w:keepNext w:val="0"/>
        <w:spacing w:before="0" w:after="0" w:line="4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2.2.1技术投标/响应总要求</w:t>
      </w:r>
    </w:p>
    <w:p w14:paraId="19C29492">
      <w:pPr>
        <w:spacing w:before="0" w:after="0" w:line="480" w:lineRule="exact"/>
        <w:ind w:left="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投标人应对项目需求进行分析，针对服务内容提供详实全面的项目实施方案。</w:t>
      </w:r>
    </w:p>
    <w:p w14:paraId="3150688A">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投标人须充分理解本项目采购需求的内容，承诺按照采购人要求提供服务，并根据项目采购需求的具体要求编制提供详细的项目实施方案。投标人在投标文件中为本项目制定的具体项目实施方案与规划不应作为中标人履约的唯一依据，中标人的合同履行，应同时严格遵从采购人的实际工作安排（提供承诺函加盖投标人公章）。</w:t>
      </w:r>
    </w:p>
    <w:p w14:paraId="3C274C58">
      <w:pPr>
        <w:pStyle w:val="5"/>
        <w:keepNext w:val="0"/>
        <w:spacing w:before="0" w:after="0" w:line="4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2.2.2投标/响应方案要求</w:t>
      </w:r>
    </w:p>
    <w:p w14:paraId="75132702">
      <w:pPr>
        <w:pStyle w:val="50"/>
        <w:spacing w:before="0" w:after="0"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投标方案在满足★关键指标项要求的前提下，根据项目特点和采购需求制定：本项目需求理解和响应、物业服务工作总体方案、</w:t>
      </w:r>
      <w:r>
        <w:rPr>
          <w:rFonts w:hint="eastAsia" w:ascii="宋体" w:hAnsi="宋体" w:cs="宋体"/>
          <w:color w:val="auto"/>
          <w:sz w:val="21"/>
          <w:szCs w:val="21"/>
          <w:highlight w:val="none"/>
          <w:lang w:eastAsia="zh-CN"/>
        </w:rPr>
        <w:t>创新服务方案、</w:t>
      </w:r>
      <w:r>
        <w:rPr>
          <w:rFonts w:hint="eastAsia" w:ascii="宋体" w:hAnsi="宋体" w:eastAsia="宋体" w:cs="宋体"/>
          <w:color w:val="auto"/>
          <w:sz w:val="21"/>
          <w:szCs w:val="21"/>
          <w:highlight w:val="none"/>
        </w:rPr>
        <w:t>公共综合服务方案、特约服务方案、项目团队人员管理方案、风险管控方案等投标方案。</w:t>
      </w:r>
    </w:p>
    <w:p w14:paraId="1A3C3CA8">
      <w:pPr>
        <w:pStyle w:val="3"/>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color w:val="auto"/>
          <w:kern w:val="36"/>
          <w:sz w:val="21"/>
          <w:szCs w:val="21"/>
          <w:highlight w:val="none"/>
        </w:rPr>
        <w:t>3项目需求</w:t>
      </w:r>
    </w:p>
    <w:p w14:paraId="718DD7ED">
      <w:pPr>
        <w:pStyle w:val="4"/>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i w:val="0"/>
          <w:iCs w:val="0"/>
          <w:color w:val="auto"/>
          <w:sz w:val="21"/>
          <w:szCs w:val="21"/>
          <w:highlight w:val="none"/>
        </w:rPr>
        <w:t>3.1总体要求</w:t>
      </w:r>
    </w:p>
    <w:p w14:paraId="0D2F639A">
      <w:pPr>
        <w:spacing w:before="0" w:after="0" w:line="480" w:lineRule="exact"/>
        <w:ind w:firstLine="0" w:firstLineChars="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3.1.1</w:t>
      </w:r>
      <w:r>
        <w:rPr>
          <w:rFonts w:hint="eastAsia" w:ascii="宋体" w:hAnsi="宋体" w:eastAsia="宋体" w:cs="宋体"/>
          <w:color w:val="auto"/>
          <w:sz w:val="21"/>
          <w:szCs w:val="21"/>
          <w:highlight w:val="none"/>
        </w:rPr>
        <w:t>服务内容及要求</w:t>
      </w:r>
    </w:p>
    <w:p w14:paraId="19C7FEE9">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（1）制订有切实可行的物业管理服务方案，有较为完整的管理服务制度和作业标准；</w:t>
      </w:r>
    </w:p>
    <w:p w14:paraId="7D378174">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（2）打扫卫生、安保、维修等各类保障用具（品）和洗涤剂、光亮剂、花草树肥料、农药等应符合国家安全标准。房屋共用部位完好，共用设施设备正常运行；</w:t>
      </w:r>
    </w:p>
    <w:p w14:paraId="2EC89805">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（3）公示24小时服务电话；</w:t>
      </w:r>
    </w:p>
    <w:p w14:paraId="0F742375">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（4）有服务受理、投诉、回访处理程序；</w:t>
      </w:r>
    </w:p>
    <w:p w14:paraId="5C8721FB">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（5）主要管理人员和专业技术人员持证上岗，服务人员着装统一整齐，佩戴标志，行为规范，服务热情；</w:t>
      </w:r>
    </w:p>
    <w:p w14:paraId="5CFC6415">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（6）管理服务中的相关作业记录完整，可追溯。</w:t>
      </w:r>
    </w:p>
    <w:p w14:paraId="088032EB">
      <w:pPr>
        <w:pStyle w:val="4"/>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i w:val="0"/>
          <w:iCs w:val="0"/>
          <w:color w:val="auto"/>
          <w:sz w:val="21"/>
          <w:szCs w:val="21"/>
          <w:highlight w:val="none"/>
        </w:rPr>
        <w:t>3.2具体要求</w:t>
      </w:r>
    </w:p>
    <w:p w14:paraId="3F7637AD">
      <w:pPr>
        <w:spacing w:before="0" w:after="0" w:line="480" w:lineRule="exact"/>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3.2.1</w:t>
      </w:r>
      <w:r>
        <w:rPr>
          <w:rFonts w:hint="eastAsia" w:ascii="宋体" w:hAnsi="宋体" w:eastAsia="宋体" w:cs="宋体"/>
          <w:color w:val="auto"/>
          <w:sz w:val="21"/>
          <w:szCs w:val="21"/>
          <w:highlight w:val="none"/>
        </w:rPr>
        <w:t>服务标准及要求</w:t>
      </w:r>
    </w:p>
    <w:p w14:paraId="68C0FE2F">
      <w:pPr>
        <w:spacing w:before="0" w:after="0" w:line="480" w:lineRule="exact"/>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3.2.1.1</w:t>
      </w:r>
      <w:r>
        <w:rPr>
          <w:rFonts w:hint="eastAsia" w:ascii="宋体" w:hAnsi="宋体" w:eastAsia="宋体" w:cs="宋体"/>
          <w:color w:val="auto"/>
          <w:sz w:val="21"/>
          <w:szCs w:val="21"/>
          <w:highlight w:val="none"/>
        </w:rPr>
        <w:t>公共综合服务：</w:t>
      </w:r>
    </w:p>
    <w:p w14:paraId="70D10CF2">
      <w:pPr>
        <w:spacing w:before="0" w:after="0" w:line="48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（1）秩序维护与安全服务</w:t>
      </w:r>
    </w:p>
    <w:tbl>
      <w:tblPr>
        <w:tblStyle w:val="52"/>
        <w:tblW w:w="8439" w:type="dxa"/>
        <w:tblInd w:w="128" w:type="dxa"/>
        <w:tblLayout w:type="autofit"/>
        <w:tblCellMar>
          <w:top w:w="15" w:type="dxa"/>
          <w:left w:w="15" w:type="dxa"/>
          <w:bottom w:w="15" w:type="dxa"/>
          <w:right w:w="15" w:type="dxa"/>
        </w:tblCellMar>
      </w:tblPr>
      <w:tblGrid>
        <w:gridCol w:w="906"/>
        <w:gridCol w:w="1493"/>
        <w:gridCol w:w="6040"/>
      </w:tblGrid>
      <w:tr w14:paraId="7A2B5B59">
        <w:tblPrEx>
          <w:tblCellMar>
            <w:top w:w="15" w:type="dxa"/>
            <w:left w:w="15" w:type="dxa"/>
            <w:bottom w:w="15" w:type="dxa"/>
            <w:right w:w="15" w:type="dxa"/>
          </w:tblCellMar>
        </w:tblPrEx>
        <w:trPr>
          <w:trHeight w:val="563" w:hRule="atLeast"/>
        </w:trPr>
        <w:tc>
          <w:tcPr>
            <w:tcW w:w="954" w:type="dxa"/>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312373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序号</w:t>
            </w:r>
          </w:p>
        </w:tc>
        <w:tc>
          <w:tcPr>
            <w:tcW w:w="1602"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14:paraId="0414E4F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项目</w:t>
            </w:r>
          </w:p>
        </w:tc>
        <w:tc>
          <w:tcPr>
            <w:tcW w:w="660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14:paraId="6FFD683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服务要求</w:t>
            </w:r>
          </w:p>
        </w:tc>
      </w:tr>
      <w:tr w14:paraId="199EE716">
        <w:tblPrEx>
          <w:tblCellMar>
            <w:top w:w="15" w:type="dxa"/>
            <w:left w:w="15" w:type="dxa"/>
            <w:bottom w:w="15" w:type="dxa"/>
            <w:right w:w="15" w:type="dxa"/>
          </w:tblCellMar>
        </w:tblPrEx>
        <w:trPr>
          <w:trHeight w:val="567" w:hRule="atLeast"/>
        </w:trPr>
        <w:tc>
          <w:tcPr>
            <w:tcW w:w="95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679DA8C">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w:t>
            </w:r>
          </w:p>
        </w:tc>
        <w:tc>
          <w:tcPr>
            <w:tcW w:w="1602" w:type="dxa"/>
            <w:tcBorders>
              <w:bottom w:val="single" w:color="000000" w:sz="8" w:space="0"/>
              <w:right w:val="single" w:color="000000" w:sz="8" w:space="0"/>
            </w:tcBorders>
            <w:noWrap w:val="0"/>
            <w:tcMar>
              <w:top w:w="0" w:type="dxa"/>
              <w:left w:w="113" w:type="dxa"/>
              <w:bottom w:w="0" w:type="dxa"/>
              <w:right w:w="118" w:type="dxa"/>
            </w:tcMar>
            <w:vAlign w:val="center"/>
          </w:tcPr>
          <w:p w14:paraId="7DFACC13">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门卫</w:t>
            </w:r>
          </w:p>
        </w:tc>
        <w:tc>
          <w:tcPr>
            <w:tcW w:w="6601" w:type="dxa"/>
            <w:tcBorders>
              <w:bottom w:val="single" w:color="000000" w:sz="8" w:space="0"/>
              <w:right w:val="single" w:color="000000" w:sz="8" w:space="0"/>
            </w:tcBorders>
            <w:noWrap w:val="0"/>
            <w:tcMar>
              <w:top w:w="0" w:type="dxa"/>
              <w:left w:w="113" w:type="dxa"/>
              <w:bottom w:w="0" w:type="dxa"/>
              <w:right w:w="118" w:type="dxa"/>
            </w:tcMar>
            <w:vAlign w:val="center"/>
          </w:tcPr>
          <w:p w14:paraId="5A3144B6">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1.主出入口24小时值岗；</w:t>
            </w:r>
          </w:p>
          <w:p w14:paraId="6DC47B22">
            <w:pPr>
              <w:spacing w:before="280" w:after="280" w:line="480" w:lineRule="exact"/>
              <w:jc w:val="left"/>
              <w:rPr>
                <w:rFonts w:hint="eastAsia" w:ascii="宋体" w:hAnsi="宋体" w:eastAsia="宋体" w:cs="宋体"/>
                <w:b w:val="0"/>
                <w:bCs w:val="0"/>
                <w:i w:val="0"/>
                <w:iCs w:val="0"/>
                <w:smallCaps w:val="0"/>
                <w:color w:val="auto"/>
                <w:sz w:val="21"/>
                <w:szCs w:val="21"/>
                <w:highlight w:val="none"/>
                <w:lang w:eastAsia="zh-CN"/>
              </w:rPr>
            </w:pPr>
            <w:r>
              <w:rPr>
                <w:rFonts w:hint="eastAsia" w:ascii="宋体" w:hAnsi="宋体" w:eastAsia="宋体" w:cs="宋体"/>
                <w:b w:val="0"/>
                <w:bCs w:val="0"/>
                <w:i w:val="0"/>
                <w:iCs w:val="0"/>
                <w:smallCaps w:val="0"/>
                <w:color w:val="auto"/>
                <w:sz w:val="21"/>
                <w:szCs w:val="21"/>
                <w:highlight w:val="none"/>
              </w:rPr>
              <w:t>2.外来人员（施工、送货、参观等）实行进出管理；</w:t>
            </w:r>
            <w:r>
              <w:rPr>
                <w:rFonts w:hint="eastAsia" w:ascii="宋体" w:hAnsi="宋体" w:cs="宋体"/>
                <w:b w:val="0"/>
                <w:bCs w:val="0"/>
                <w:i w:val="0"/>
                <w:iCs w:val="0"/>
                <w:smallCaps w:val="0"/>
                <w:color w:val="auto"/>
                <w:sz w:val="21"/>
                <w:szCs w:val="21"/>
                <w:highlight w:val="none"/>
                <w:lang w:eastAsia="zh-CN"/>
              </w:rPr>
              <w:t>进行询问、登记</w:t>
            </w:r>
          </w:p>
          <w:p w14:paraId="4B060073">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3.对物品进出实施分类管理，对大件物品进出审验制度，拒绝危险物品进入；</w:t>
            </w:r>
          </w:p>
          <w:p w14:paraId="64266A94">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4.对进出物业管理区域的各类车辆进行有效疏导，保持出入口的畅通</w:t>
            </w:r>
            <w:r>
              <w:rPr>
                <w:rFonts w:hint="eastAsia" w:ascii="宋体" w:hAnsi="宋体" w:cs="宋体"/>
                <w:b w:val="0"/>
                <w:bCs w:val="0"/>
                <w:i w:val="0"/>
                <w:iCs w:val="0"/>
                <w:smallCaps w:val="0"/>
                <w:color w:val="auto"/>
                <w:sz w:val="21"/>
                <w:szCs w:val="21"/>
                <w:highlight w:val="none"/>
                <w:lang w:eastAsia="zh-CN"/>
              </w:rPr>
              <w:t>、安全</w:t>
            </w:r>
            <w:r>
              <w:rPr>
                <w:rFonts w:hint="eastAsia" w:ascii="宋体" w:hAnsi="宋体" w:eastAsia="宋体" w:cs="宋体"/>
                <w:b w:val="0"/>
                <w:bCs w:val="0"/>
                <w:i w:val="0"/>
                <w:iCs w:val="0"/>
                <w:smallCaps w:val="0"/>
                <w:color w:val="auto"/>
                <w:sz w:val="21"/>
                <w:szCs w:val="21"/>
                <w:highlight w:val="none"/>
              </w:rPr>
              <w:t>。</w:t>
            </w:r>
          </w:p>
        </w:tc>
      </w:tr>
      <w:tr w14:paraId="7D3D9106">
        <w:tblPrEx>
          <w:tblCellMar>
            <w:top w:w="15" w:type="dxa"/>
            <w:left w:w="15" w:type="dxa"/>
            <w:bottom w:w="15" w:type="dxa"/>
            <w:right w:w="15" w:type="dxa"/>
          </w:tblCellMar>
        </w:tblPrEx>
        <w:trPr>
          <w:trHeight w:val="844" w:hRule="atLeast"/>
        </w:trPr>
        <w:tc>
          <w:tcPr>
            <w:tcW w:w="95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3A76560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w:t>
            </w:r>
          </w:p>
        </w:tc>
        <w:tc>
          <w:tcPr>
            <w:tcW w:w="1602" w:type="dxa"/>
            <w:tcBorders>
              <w:bottom w:val="single" w:color="000000" w:sz="8" w:space="0"/>
              <w:right w:val="single" w:color="000000" w:sz="8" w:space="0"/>
            </w:tcBorders>
            <w:noWrap w:val="0"/>
            <w:tcMar>
              <w:top w:w="0" w:type="dxa"/>
              <w:left w:w="113" w:type="dxa"/>
              <w:bottom w:w="0" w:type="dxa"/>
              <w:right w:w="118" w:type="dxa"/>
            </w:tcMar>
            <w:vAlign w:val="center"/>
          </w:tcPr>
          <w:p w14:paraId="7408831A">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巡逻</w:t>
            </w:r>
          </w:p>
        </w:tc>
        <w:tc>
          <w:tcPr>
            <w:tcW w:w="6601" w:type="dxa"/>
            <w:tcBorders>
              <w:bottom w:val="single" w:color="000000" w:sz="8" w:space="0"/>
              <w:right w:val="single" w:color="000000" w:sz="8" w:space="0"/>
            </w:tcBorders>
            <w:noWrap w:val="0"/>
            <w:tcMar>
              <w:top w:w="0" w:type="dxa"/>
              <w:left w:w="113" w:type="dxa"/>
              <w:bottom w:w="0" w:type="dxa"/>
              <w:right w:w="118" w:type="dxa"/>
            </w:tcMar>
            <w:vAlign w:val="center"/>
          </w:tcPr>
          <w:p w14:paraId="71A445E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科学、合理安排巡逻路线，重点、要害部位每3小时至少巡逻一次，发现违法、违章行为应及时制止。</w:t>
            </w:r>
          </w:p>
        </w:tc>
      </w:tr>
      <w:tr w14:paraId="18F3359E">
        <w:tblPrEx>
          <w:tblCellMar>
            <w:top w:w="15" w:type="dxa"/>
            <w:left w:w="15" w:type="dxa"/>
            <w:bottom w:w="15" w:type="dxa"/>
            <w:right w:w="15" w:type="dxa"/>
          </w:tblCellMar>
        </w:tblPrEx>
        <w:trPr>
          <w:trHeight w:val="897" w:hRule="atLeast"/>
        </w:trPr>
        <w:tc>
          <w:tcPr>
            <w:tcW w:w="95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321E53F">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w:t>
            </w:r>
          </w:p>
        </w:tc>
        <w:tc>
          <w:tcPr>
            <w:tcW w:w="1602" w:type="dxa"/>
            <w:tcBorders>
              <w:bottom w:val="single" w:color="000000" w:sz="8" w:space="0"/>
              <w:right w:val="single" w:color="000000" w:sz="8" w:space="0"/>
            </w:tcBorders>
            <w:noWrap w:val="0"/>
            <w:tcMar>
              <w:top w:w="0" w:type="dxa"/>
              <w:left w:w="113" w:type="dxa"/>
              <w:bottom w:w="0" w:type="dxa"/>
              <w:right w:w="118" w:type="dxa"/>
            </w:tcMar>
            <w:vAlign w:val="center"/>
          </w:tcPr>
          <w:p w14:paraId="33B2246A">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安全监控</w:t>
            </w:r>
          </w:p>
        </w:tc>
        <w:tc>
          <w:tcPr>
            <w:tcW w:w="6601" w:type="dxa"/>
            <w:tcBorders>
              <w:bottom w:val="single" w:color="000000" w:sz="8" w:space="0"/>
              <w:right w:val="single" w:color="000000" w:sz="8" w:space="0"/>
            </w:tcBorders>
            <w:noWrap w:val="0"/>
            <w:tcMar>
              <w:top w:w="0" w:type="dxa"/>
              <w:left w:w="113" w:type="dxa"/>
              <w:bottom w:w="0" w:type="dxa"/>
              <w:right w:w="118" w:type="dxa"/>
            </w:tcMar>
            <w:vAlign w:val="center"/>
          </w:tcPr>
          <w:p w14:paraId="1755CCF3">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1.监控设施应24小时开通，保证对安全出入口、内部重点区域的安全监控，保持完整的监控记录；</w:t>
            </w:r>
          </w:p>
          <w:p w14:paraId="41CBF301">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2.监控中心收到火情、险情及其他异常情况报警信号后，应及时通知相关人员及时赶到现场进行处理；</w:t>
            </w:r>
          </w:p>
          <w:p w14:paraId="2921875D">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3.监控的录入资料应至少保持15天以上，有特殊要求的参照相关规定或行业标准执行。</w:t>
            </w:r>
          </w:p>
        </w:tc>
      </w:tr>
      <w:tr w14:paraId="1384C860">
        <w:tblPrEx>
          <w:tblCellMar>
            <w:top w:w="15" w:type="dxa"/>
            <w:left w:w="15" w:type="dxa"/>
            <w:bottom w:w="15" w:type="dxa"/>
            <w:right w:w="15" w:type="dxa"/>
          </w:tblCellMar>
        </w:tblPrEx>
        <w:trPr>
          <w:trHeight w:val="951" w:hRule="atLeast"/>
        </w:trPr>
        <w:tc>
          <w:tcPr>
            <w:tcW w:w="95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E7DEDA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w:t>
            </w:r>
          </w:p>
        </w:tc>
        <w:tc>
          <w:tcPr>
            <w:tcW w:w="1602" w:type="dxa"/>
            <w:tcBorders>
              <w:bottom w:val="single" w:color="000000" w:sz="8" w:space="0"/>
              <w:right w:val="single" w:color="000000" w:sz="8" w:space="0"/>
            </w:tcBorders>
            <w:noWrap w:val="0"/>
            <w:tcMar>
              <w:top w:w="0" w:type="dxa"/>
              <w:left w:w="113" w:type="dxa"/>
              <w:bottom w:w="0" w:type="dxa"/>
              <w:right w:w="118" w:type="dxa"/>
            </w:tcMar>
            <w:vAlign w:val="center"/>
          </w:tcPr>
          <w:p w14:paraId="107EA33B">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交通和车辆停放管理</w:t>
            </w:r>
          </w:p>
        </w:tc>
        <w:tc>
          <w:tcPr>
            <w:tcW w:w="6601" w:type="dxa"/>
            <w:tcBorders>
              <w:bottom w:val="single" w:color="000000" w:sz="8" w:space="0"/>
              <w:right w:val="single" w:color="000000" w:sz="8" w:space="0"/>
            </w:tcBorders>
            <w:noWrap w:val="0"/>
            <w:tcMar>
              <w:top w:w="0" w:type="dxa"/>
              <w:left w:w="113" w:type="dxa"/>
              <w:bottom w:w="0" w:type="dxa"/>
              <w:right w:w="118" w:type="dxa"/>
            </w:tcMar>
            <w:vAlign w:val="center"/>
          </w:tcPr>
          <w:p w14:paraId="6A550D7D">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1.根据实际情况设置行车指示标志，规定车辆行驶路线，指定车辆停放区域；</w:t>
            </w:r>
          </w:p>
          <w:p w14:paraId="542A9344">
            <w:pPr>
              <w:spacing w:before="280" w:after="280" w:line="480" w:lineRule="exact"/>
              <w:jc w:val="left"/>
              <w:rPr>
                <w:rFonts w:hint="eastAsia" w:ascii="宋体" w:hAnsi="宋体" w:eastAsia="宋体" w:cs="宋体"/>
                <w:b w:val="0"/>
                <w:bCs w:val="0"/>
                <w:i w:val="0"/>
                <w:iCs w:val="0"/>
                <w:smallCaps w:val="0"/>
                <w:color w:val="auto"/>
                <w:sz w:val="21"/>
                <w:szCs w:val="21"/>
                <w:highlight w:val="none"/>
                <w:lang w:eastAsia="zh-CN"/>
              </w:rPr>
            </w:pPr>
            <w:r>
              <w:rPr>
                <w:rFonts w:hint="eastAsia" w:ascii="宋体" w:hAnsi="宋体" w:eastAsia="宋体" w:cs="宋体"/>
                <w:b w:val="0"/>
                <w:bCs w:val="0"/>
                <w:i w:val="0"/>
                <w:iCs w:val="0"/>
                <w:smallCaps w:val="0"/>
                <w:color w:val="auto"/>
                <w:sz w:val="21"/>
                <w:szCs w:val="21"/>
                <w:highlight w:val="none"/>
              </w:rPr>
              <w:t>2.车辆管理人员应对进出的各类车辆进行管理，维护交通秩序，保证车辆便于通行、易于停放；</w:t>
            </w:r>
            <w:r>
              <w:rPr>
                <w:rFonts w:hint="eastAsia" w:ascii="宋体" w:hAnsi="宋体" w:cs="宋体"/>
                <w:b w:val="0"/>
                <w:bCs w:val="0"/>
                <w:i w:val="0"/>
                <w:iCs w:val="0"/>
                <w:smallCaps w:val="0"/>
                <w:color w:val="auto"/>
                <w:sz w:val="21"/>
                <w:szCs w:val="21"/>
                <w:highlight w:val="none"/>
                <w:lang w:eastAsia="zh-CN"/>
              </w:rPr>
              <w:t>停车场须有专人指挥车辆停放。</w:t>
            </w:r>
          </w:p>
          <w:p w14:paraId="2CF5C1D8">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3.非机动车应于指定地点停放。</w:t>
            </w:r>
          </w:p>
        </w:tc>
      </w:tr>
      <w:tr w14:paraId="6CFCDE29">
        <w:tblPrEx>
          <w:tblCellMar>
            <w:top w:w="15" w:type="dxa"/>
            <w:left w:w="15" w:type="dxa"/>
            <w:bottom w:w="15" w:type="dxa"/>
            <w:right w:w="15" w:type="dxa"/>
          </w:tblCellMar>
        </w:tblPrEx>
        <w:trPr>
          <w:trHeight w:val="729" w:hRule="atLeast"/>
        </w:trPr>
        <w:tc>
          <w:tcPr>
            <w:tcW w:w="95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6F24BBF">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5</w:t>
            </w:r>
          </w:p>
        </w:tc>
        <w:tc>
          <w:tcPr>
            <w:tcW w:w="1602" w:type="dxa"/>
            <w:tcBorders>
              <w:bottom w:val="single" w:color="000000" w:sz="8" w:space="0"/>
              <w:right w:val="single" w:color="000000" w:sz="8" w:space="0"/>
            </w:tcBorders>
            <w:noWrap w:val="0"/>
            <w:tcMar>
              <w:top w:w="0" w:type="dxa"/>
              <w:left w:w="113" w:type="dxa"/>
              <w:bottom w:w="0" w:type="dxa"/>
              <w:right w:w="118" w:type="dxa"/>
            </w:tcMar>
            <w:vAlign w:val="center"/>
          </w:tcPr>
          <w:p w14:paraId="70D22C3B">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消防安全管理</w:t>
            </w:r>
          </w:p>
        </w:tc>
        <w:tc>
          <w:tcPr>
            <w:tcW w:w="6601" w:type="dxa"/>
            <w:tcBorders>
              <w:bottom w:val="single" w:color="000000" w:sz="8" w:space="0"/>
              <w:right w:val="single" w:color="000000" w:sz="8" w:space="0"/>
            </w:tcBorders>
            <w:noWrap w:val="0"/>
            <w:tcMar>
              <w:top w:w="0" w:type="dxa"/>
              <w:left w:w="113" w:type="dxa"/>
              <w:bottom w:w="0" w:type="dxa"/>
              <w:right w:w="118" w:type="dxa"/>
            </w:tcMar>
            <w:vAlign w:val="center"/>
          </w:tcPr>
          <w:p w14:paraId="7F82112D">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1.应建立健全消防管理制度，建立消防责任制；</w:t>
            </w:r>
          </w:p>
          <w:p w14:paraId="12F6017F">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2.楼内应设置消防设施，保持消防通道畅通，在楼内明显位置设置消防疏散示意图；</w:t>
            </w:r>
          </w:p>
          <w:p w14:paraId="7F1461A4">
            <w:pPr>
              <w:spacing w:before="280" w:after="280" w:line="480" w:lineRule="exact"/>
              <w:jc w:val="left"/>
              <w:rPr>
                <w:rFonts w:hint="eastAsia" w:ascii="宋体" w:hAnsi="宋体" w:eastAsia="宋体" w:cs="宋体"/>
                <w:b w:val="0"/>
                <w:bCs w:val="0"/>
                <w:i w:val="0"/>
                <w:iCs w:val="0"/>
                <w:smallCaps w:val="0"/>
                <w:color w:val="auto"/>
                <w:sz w:val="21"/>
                <w:szCs w:val="21"/>
                <w:highlight w:val="none"/>
                <w:lang w:eastAsia="zh-CN"/>
              </w:rPr>
            </w:pPr>
            <w:r>
              <w:rPr>
                <w:rFonts w:hint="eastAsia" w:ascii="宋体" w:hAnsi="宋体" w:eastAsia="宋体" w:cs="宋体"/>
                <w:b w:val="0"/>
                <w:bCs w:val="0"/>
                <w:i w:val="0"/>
                <w:iCs w:val="0"/>
                <w:smallCaps w:val="0"/>
                <w:color w:val="auto"/>
                <w:sz w:val="21"/>
                <w:szCs w:val="21"/>
                <w:highlight w:val="none"/>
              </w:rPr>
              <w:t>3.定期对消防设备设施进行巡视、检查和维护，保持其完整、完好，能正常使用；检查记录详细；每个</w:t>
            </w:r>
            <w:r>
              <w:rPr>
                <w:rFonts w:hint="eastAsia" w:ascii="宋体" w:hAnsi="宋体" w:cs="宋体"/>
                <w:b w:val="0"/>
                <w:bCs w:val="0"/>
                <w:i w:val="0"/>
                <w:iCs w:val="0"/>
                <w:smallCaps w:val="0"/>
                <w:color w:val="auto"/>
                <w:sz w:val="21"/>
                <w:szCs w:val="21"/>
                <w:highlight w:val="none"/>
                <w:lang w:eastAsia="zh-CN"/>
              </w:rPr>
              <w:t>月</w:t>
            </w:r>
            <w:r>
              <w:rPr>
                <w:rFonts w:hint="eastAsia" w:ascii="宋体" w:hAnsi="宋体" w:eastAsia="宋体" w:cs="宋体"/>
                <w:b w:val="0"/>
                <w:bCs w:val="0"/>
                <w:i w:val="0"/>
                <w:iCs w:val="0"/>
                <w:smallCaps w:val="0"/>
                <w:color w:val="auto"/>
                <w:sz w:val="21"/>
                <w:szCs w:val="21"/>
                <w:highlight w:val="none"/>
              </w:rPr>
              <w:t>需由具备消防维保资质的单位提供消防维保记录。</w:t>
            </w:r>
            <w:r>
              <w:rPr>
                <w:rFonts w:hint="eastAsia" w:ascii="宋体" w:hAnsi="宋体" w:cs="宋体"/>
                <w:b w:val="0"/>
                <w:bCs w:val="0"/>
                <w:i w:val="0"/>
                <w:iCs w:val="0"/>
                <w:smallCaps w:val="0"/>
                <w:color w:val="auto"/>
                <w:sz w:val="21"/>
                <w:szCs w:val="21"/>
                <w:highlight w:val="none"/>
                <w:lang w:eastAsia="zh-CN"/>
              </w:rPr>
              <w:t>所涉及的相关消防费用由中标人承担。</w:t>
            </w:r>
          </w:p>
          <w:p w14:paraId="3496A54B">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4.制订火险应急预案，定期进行消防宣传和消防演习。</w:t>
            </w:r>
          </w:p>
        </w:tc>
      </w:tr>
      <w:tr w14:paraId="490346CD">
        <w:tblPrEx>
          <w:tblCellMar>
            <w:top w:w="15" w:type="dxa"/>
            <w:left w:w="15" w:type="dxa"/>
            <w:bottom w:w="15" w:type="dxa"/>
            <w:right w:w="15" w:type="dxa"/>
          </w:tblCellMar>
        </w:tblPrEx>
        <w:trPr>
          <w:trHeight w:val="932" w:hRule="atLeast"/>
        </w:trPr>
        <w:tc>
          <w:tcPr>
            <w:tcW w:w="954"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FB5537E">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6</w:t>
            </w:r>
          </w:p>
        </w:tc>
        <w:tc>
          <w:tcPr>
            <w:tcW w:w="1602" w:type="dxa"/>
            <w:tcBorders>
              <w:bottom w:val="single" w:color="000000" w:sz="8" w:space="0"/>
              <w:right w:val="single" w:color="000000" w:sz="8" w:space="0"/>
            </w:tcBorders>
            <w:noWrap w:val="0"/>
            <w:tcMar>
              <w:top w:w="0" w:type="dxa"/>
              <w:left w:w="113" w:type="dxa"/>
              <w:bottom w:w="0" w:type="dxa"/>
              <w:right w:w="118" w:type="dxa"/>
            </w:tcMar>
            <w:vAlign w:val="center"/>
          </w:tcPr>
          <w:p w14:paraId="042D79FF">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cs="宋体"/>
                <w:b w:val="0"/>
                <w:bCs w:val="0"/>
                <w:i w:val="0"/>
                <w:iCs w:val="0"/>
                <w:smallCaps w:val="0"/>
                <w:color w:val="auto"/>
                <w:sz w:val="21"/>
                <w:szCs w:val="21"/>
                <w:highlight w:val="none"/>
                <w:lang w:eastAsia="zh-CN"/>
              </w:rPr>
              <w:t>秩序维护</w:t>
            </w:r>
            <w:r>
              <w:rPr>
                <w:rFonts w:hint="eastAsia" w:ascii="宋体" w:hAnsi="宋体" w:eastAsia="宋体" w:cs="宋体"/>
                <w:b w:val="0"/>
                <w:bCs w:val="0"/>
                <w:i w:val="0"/>
                <w:iCs w:val="0"/>
                <w:smallCaps w:val="0"/>
                <w:color w:val="auto"/>
                <w:sz w:val="21"/>
                <w:szCs w:val="21"/>
                <w:highlight w:val="none"/>
              </w:rPr>
              <w:t>管理</w:t>
            </w:r>
          </w:p>
        </w:tc>
        <w:tc>
          <w:tcPr>
            <w:tcW w:w="6601" w:type="dxa"/>
            <w:tcBorders>
              <w:bottom w:val="single" w:color="000000" w:sz="8" w:space="0"/>
              <w:right w:val="single" w:color="000000" w:sz="8" w:space="0"/>
            </w:tcBorders>
            <w:noWrap w:val="0"/>
            <w:tcMar>
              <w:top w:w="0" w:type="dxa"/>
              <w:left w:w="113" w:type="dxa"/>
              <w:bottom w:w="0" w:type="dxa"/>
              <w:right w:w="118" w:type="dxa"/>
            </w:tcMar>
            <w:vAlign w:val="center"/>
          </w:tcPr>
          <w:p w14:paraId="272515C6">
            <w:pPr>
              <w:spacing w:line="480" w:lineRule="exact"/>
              <w:jc w:val="left"/>
              <w:rPr>
                <w:rFonts w:hint="default" w:ascii="宋体" w:hAnsi="宋体" w:eastAsia="宋体" w:cs="宋体"/>
                <w:b w:val="0"/>
                <w:bCs w:val="0"/>
                <w:i w:val="0"/>
                <w:iCs w:val="0"/>
                <w:smallCaps w:val="0"/>
                <w:color w:val="auto"/>
                <w:sz w:val="21"/>
                <w:szCs w:val="21"/>
                <w:highlight w:val="none"/>
                <w:lang w:val="en-US" w:eastAsia="zh-CN"/>
              </w:rPr>
            </w:pPr>
            <w:r>
              <w:rPr>
                <w:rFonts w:hint="eastAsia" w:ascii="宋体" w:hAnsi="宋体" w:cs="宋体"/>
                <w:b w:val="0"/>
                <w:bCs w:val="0"/>
                <w:i w:val="0"/>
                <w:iCs w:val="0"/>
                <w:smallCaps w:val="0"/>
                <w:color w:val="auto"/>
                <w:sz w:val="21"/>
                <w:szCs w:val="21"/>
                <w:highlight w:val="none"/>
                <w:lang w:eastAsia="zh-CN"/>
              </w:rPr>
              <w:t>应协助采购人做好办公区域及周边的秩序维护服务，预防和化解争议，协助解决办公场所的矛盾纠纷</w:t>
            </w:r>
            <w:r>
              <w:rPr>
                <w:rFonts w:hint="eastAsia" w:ascii="宋体" w:hAnsi="宋体" w:eastAsia="宋体" w:cs="宋体"/>
                <w:b w:val="0"/>
                <w:bCs w:val="0"/>
                <w:i w:val="0"/>
                <w:iCs w:val="0"/>
                <w:smallCaps w:val="0"/>
                <w:color w:val="auto"/>
                <w:sz w:val="21"/>
                <w:szCs w:val="21"/>
                <w:highlight w:val="none"/>
              </w:rPr>
              <w:t>。</w:t>
            </w:r>
            <w:r>
              <w:rPr>
                <w:rFonts w:hint="eastAsia" w:ascii="宋体" w:hAnsi="宋体" w:cs="宋体"/>
                <w:b w:val="0"/>
                <w:bCs w:val="0"/>
                <w:i w:val="0"/>
                <w:iCs w:val="0"/>
                <w:smallCaps w:val="0"/>
                <w:color w:val="auto"/>
                <w:sz w:val="21"/>
                <w:szCs w:val="21"/>
                <w:highlight w:val="none"/>
                <w:lang w:eastAsia="zh-CN"/>
              </w:rPr>
              <w:t>控制好办公区域的秩序，防止发生冲击办公区域、损坏公共设施的情况。</w:t>
            </w:r>
          </w:p>
        </w:tc>
      </w:tr>
    </w:tbl>
    <w:p w14:paraId="45C6966A">
      <w:pPr>
        <w:spacing w:before="0" w:after="0" w:line="480" w:lineRule="exact"/>
        <w:jc w:val="left"/>
        <w:rPr>
          <w:rFonts w:hint="eastAsia" w:ascii="宋体" w:hAnsi="宋体" w:eastAsia="宋体" w:cs="宋体"/>
          <w:color w:val="auto"/>
          <w:sz w:val="21"/>
          <w:szCs w:val="21"/>
          <w:highlight w:val="none"/>
        </w:rPr>
      </w:pPr>
    </w:p>
    <w:p w14:paraId="2A0AF391">
      <w:pPr>
        <w:spacing w:before="0" w:after="0" w:line="48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（2）环境维护</w:t>
      </w:r>
    </w:p>
    <w:p w14:paraId="16087BDE">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物业服务公司使用的保洁用品、消杀用品等易耗品必须符合国家相关规定及标准，相关费用由中标人承担。</w:t>
      </w:r>
    </w:p>
    <w:tbl>
      <w:tblPr>
        <w:tblStyle w:val="52"/>
        <w:tblW w:w="8438" w:type="dxa"/>
        <w:tblInd w:w="128" w:type="dxa"/>
        <w:tblLayout w:type="autofit"/>
        <w:tblCellMar>
          <w:top w:w="15" w:type="dxa"/>
          <w:left w:w="15" w:type="dxa"/>
          <w:bottom w:w="15" w:type="dxa"/>
          <w:right w:w="15" w:type="dxa"/>
        </w:tblCellMar>
      </w:tblPr>
      <w:tblGrid>
        <w:gridCol w:w="907"/>
        <w:gridCol w:w="1516"/>
        <w:gridCol w:w="6015"/>
      </w:tblGrid>
      <w:tr w14:paraId="427F93CA">
        <w:tblPrEx>
          <w:tblCellMar>
            <w:top w:w="15" w:type="dxa"/>
            <w:left w:w="15" w:type="dxa"/>
            <w:bottom w:w="15" w:type="dxa"/>
            <w:right w:w="15" w:type="dxa"/>
          </w:tblCellMar>
        </w:tblPrEx>
        <w:trPr>
          <w:trHeight w:val="282" w:hRule="atLeast"/>
        </w:trPr>
        <w:tc>
          <w:tcPr>
            <w:tcW w:w="958" w:type="dxa"/>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DD625EA">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序号</w:t>
            </w:r>
          </w:p>
        </w:tc>
        <w:tc>
          <w:tcPr>
            <w:tcW w:w="1610"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14:paraId="5399C71E">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项目</w:t>
            </w:r>
          </w:p>
        </w:tc>
        <w:tc>
          <w:tcPr>
            <w:tcW w:w="6588"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14:paraId="07787FD2">
            <w:pPr>
              <w:spacing w:line="480" w:lineRule="exact"/>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Cs w:val="21"/>
                <w:highlight w:val="none"/>
              </w:rPr>
              <w:t>服务要求</w:t>
            </w:r>
          </w:p>
        </w:tc>
      </w:tr>
      <w:tr w14:paraId="2111F482">
        <w:tblPrEx>
          <w:tblCellMar>
            <w:top w:w="15" w:type="dxa"/>
            <w:left w:w="15" w:type="dxa"/>
            <w:bottom w:w="15" w:type="dxa"/>
            <w:right w:w="15" w:type="dxa"/>
          </w:tblCellMar>
        </w:tblPrEx>
        <w:trPr>
          <w:trHeight w:val="82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F104FDB">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671C3C3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外围及周边道路</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78AE8F9B">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地面干净无杂物、无积水，无明显污迹、油渍；花台表面干净无污渍；每季度深度清洗地面1次。按照有关规定严格进行消杀，必须使用符合国家有关单位规定及标准的清洁、消杀物品及易耗品，相关消杀消耗品费用由中标人承担。</w:t>
            </w:r>
          </w:p>
        </w:tc>
      </w:tr>
      <w:tr w14:paraId="0DA88F3A">
        <w:tblPrEx>
          <w:tblCellMar>
            <w:top w:w="15" w:type="dxa"/>
            <w:left w:w="15" w:type="dxa"/>
            <w:bottom w:w="15" w:type="dxa"/>
            <w:right w:w="15" w:type="dxa"/>
          </w:tblCellMar>
        </w:tblPrEx>
        <w:trPr>
          <w:trHeight w:val="2874"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51E577B">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748C743C">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大厅、楼内、公共通道</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0D76F4B7">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地面干净、无污渍，有光泽，保持地面材质原貌；门框、窗框、窗台、金属件表面光亮、无灰尘、无污渍；门窗玻璃干净无尘，透光性好，无明显印迹；各种金属件表面干净，无污渍，有金属光泽；门把手干净、无印迹、定时消毒；天花板干净，无污渍、无蛛网；灯具干净无积尘，中央空调风口干净，无污迹，进出口地垫摆放整齐，表面干净无杂物；水池内水质清澈，池内无漂浮物，水池无异味，每两个月清洗1次。</w:t>
            </w:r>
          </w:p>
        </w:tc>
      </w:tr>
      <w:tr w14:paraId="76653216">
        <w:tblPrEx>
          <w:tblCellMar>
            <w:top w:w="15" w:type="dxa"/>
            <w:left w:w="15" w:type="dxa"/>
            <w:bottom w:w="15" w:type="dxa"/>
            <w:right w:w="15" w:type="dxa"/>
          </w:tblCellMar>
        </w:tblPrEx>
        <w:trPr>
          <w:trHeight w:val="82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34875FCB">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15E1C883">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会议室、活动室</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7729F28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地面、墙面、干净，无灰尘、污渍；天花板、风口目视无灰尘、污渍；设施设备干净，物品摆放整齐、有序。</w:t>
            </w:r>
          </w:p>
        </w:tc>
      </w:tr>
      <w:tr w14:paraId="782968C0">
        <w:tblPrEx>
          <w:tblCellMar>
            <w:top w:w="15" w:type="dxa"/>
            <w:left w:w="15" w:type="dxa"/>
            <w:bottom w:w="15" w:type="dxa"/>
            <w:right w:w="15" w:type="dxa"/>
          </w:tblCellMar>
        </w:tblPrEx>
        <w:trPr>
          <w:trHeight w:val="82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D8D718A">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505904C9">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楼梯及楼梯间</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48DF023E">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梯步表面干净无污渍，扶手栏杆表面干净无灰尘，防火门及闭门器表面干净无污渍，墙面、天花板无积尘、蛛网。</w:t>
            </w:r>
          </w:p>
        </w:tc>
      </w:tr>
      <w:tr w14:paraId="4931C2C9">
        <w:tblPrEx>
          <w:tblCellMar>
            <w:top w:w="15" w:type="dxa"/>
            <w:left w:w="15" w:type="dxa"/>
            <w:bottom w:w="15" w:type="dxa"/>
            <w:right w:w="15" w:type="dxa"/>
          </w:tblCellMar>
        </w:tblPrEx>
        <w:trPr>
          <w:trHeight w:val="2874"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9BCB317">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5</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3215002C">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公共卫生间</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03D9B9DE">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每日打扫频次不低于2次，地面干净，无污渍、无积水，大小便器表面干净，无污渍，有光泽；各种隔断表面干净，无乱写乱画，金属饰件表面干净，无污迹，有金属光泽；墙壁表面干净，天花板无污渍、蛛网；风口或换气扇表面干净无积尘；门窗表面干净，窗台无灰尘；玻璃干净无水渍；洗手台干净无积水，面盆无污垢；各种管道表面干净无污渍；各种物品摆放整齐规范；废纸篓杂物超过2/3应及时倾倒，卫生间内空气流通并且无明显异味。采取合理方法对卫生间进行蚊虫消杀，达到基本无蚊虫。及时为卫生间更换卫生纸、擦手纸等清洁用品，卫生间所需的卫生纸、擦手纸、洗手液、肥皂等易耗品由中标人提供。</w:t>
            </w:r>
          </w:p>
        </w:tc>
      </w:tr>
      <w:tr w14:paraId="0227A301">
        <w:tblPrEx>
          <w:tblCellMar>
            <w:top w:w="15" w:type="dxa"/>
            <w:left w:w="15" w:type="dxa"/>
            <w:bottom w:w="15" w:type="dxa"/>
            <w:right w:w="15" w:type="dxa"/>
          </w:tblCellMar>
        </w:tblPrEx>
        <w:trPr>
          <w:trHeight w:val="1237"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CDCE558">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6</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10AB92D6">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停车场</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51160828">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地面干净，无杂物，无明显油渍、污渍；顶部各种管网、灯具表面干净无积尘、蛛网；墙面干净无积尘，各种指示牌表面干净有光泽；减速带表面干净无明显污迹，各种道闸表面无灰尘。</w:t>
            </w:r>
          </w:p>
        </w:tc>
      </w:tr>
      <w:tr w14:paraId="0696AF93">
        <w:tblPrEx>
          <w:tblCellMar>
            <w:top w:w="15" w:type="dxa"/>
            <w:left w:w="15" w:type="dxa"/>
            <w:bottom w:w="15" w:type="dxa"/>
            <w:right w:w="15" w:type="dxa"/>
          </w:tblCellMar>
        </w:tblPrEx>
        <w:trPr>
          <w:trHeight w:val="1237"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F6529B3">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7</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35EF1FD8">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电梯及电梯厅</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5B179EDA">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电梯轿厢四壁光洁明亮，操作面板无污迹、无灰尘、无印迹，地面干净，空气清新、无异味；电梯凹槽内无垃圾无杂物，按钮表面干净无印迹；厅内地面干净有光泽。</w:t>
            </w:r>
          </w:p>
        </w:tc>
      </w:tr>
      <w:tr w14:paraId="6A13776D">
        <w:tblPrEx>
          <w:tblCellMar>
            <w:top w:w="15" w:type="dxa"/>
            <w:left w:w="15" w:type="dxa"/>
            <w:bottom w:w="15" w:type="dxa"/>
            <w:right w:w="15" w:type="dxa"/>
          </w:tblCellMar>
        </w:tblPrEx>
        <w:trPr>
          <w:trHeight w:val="82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AA59CF8">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8</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3C6A5DF6">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电器设施</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1D92B66A">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灯泡、灯管、灯罩无积尘、无污迹；装饰件无积尘、无污迹；开关、插座、配电箱无积尘、无明显污迹。</w:t>
            </w:r>
          </w:p>
        </w:tc>
      </w:tr>
      <w:tr w14:paraId="42F8D6CF">
        <w:tblPrEx>
          <w:tblCellMar>
            <w:top w:w="15" w:type="dxa"/>
            <w:left w:w="15" w:type="dxa"/>
            <w:bottom w:w="15" w:type="dxa"/>
            <w:right w:w="15" w:type="dxa"/>
          </w:tblCellMar>
        </w:tblPrEx>
        <w:trPr>
          <w:trHeight w:val="82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746D24D">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9</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2593228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垃圾桶及果皮箱</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62860710">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桶、箱按指定位置摆放，桶身表面干净无污渍无痰迹，垃圾不应超过2/3，内胆应定期清洁、消毒。</w:t>
            </w:r>
          </w:p>
        </w:tc>
      </w:tr>
      <w:tr w14:paraId="773D6C99">
        <w:tblPrEx>
          <w:tblCellMar>
            <w:top w:w="15" w:type="dxa"/>
            <w:left w:w="15" w:type="dxa"/>
            <w:bottom w:w="15" w:type="dxa"/>
            <w:right w:w="15" w:type="dxa"/>
          </w:tblCellMar>
        </w:tblPrEx>
        <w:trPr>
          <w:trHeight w:val="82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DD975D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10</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4C223A1C">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消防栓、消防箱、公共设施</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768E460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保持表面干净，无灰尘、无污渍。报警器、火警通讯电话插座、灭火器表面光亮、无积尘、无污迹；喷淋盖、烟感器、扬声器无积尘、无污渍。监控摄像头表面光亮、无积尘、无斑点；消防栓外表面光亮、无印迹、无积尘，内侧无积尘、无污迹。</w:t>
            </w:r>
          </w:p>
        </w:tc>
      </w:tr>
      <w:tr w14:paraId="0CCAA4CB">
        <w:tblPrEx>
          <w:tblCellMar>
            <w:top w:w="15" w:type="dxa"/>
            <w:left w:w="15" w:type="dxa"/>
            <w:bottom w:w="15" w:type="dxa"/>
            <w:right w:w="15" w:type="dxa"/>
          </w:tblCellMar>
        </w:tblPrEx>
        <w:trPr>
          <w:trHeight w:val="41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D88332A">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11</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2DDB219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垃圾中转房</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3480B12E">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地面无明显垃圾，无污水外溢，无明显异味，垃圾日产日清。</w:t>
            </w:r>
          </w:p>
        </w:tc>
      </w:tr>
      <w:tr w14:paraId="55855590">
        <w:tblPrEx>
          <w:tblCellMar>
            <w:top w:w="15" w:type="dxa"/>
            <w:left w:w="15" w:type="dxa"/>
            <w:bottom w:w="15" w:type="dxa"/>
            <w:right w:w="15" w:type="dxa"/>
          </w:tblCellMar>
        </w:tblPrEx>
        <w:trPr>
          <w:trHeight w:val="82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53A06E7">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12</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0454E99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设备机房、管道、指示牌</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7D65A776">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无卫生死角、无垃圾堆积，无积尘、目视无蜘蛛网、无明显污渍、无水渍；指示牌无灰尘、无污迹，金属件表面光亮，无痕迹。</w:t>
            </w:r>
          </w:p>
        </w:tc>
      </w:tr>
      <w:tr w14:paraId="64CCF238">
        <w:tblPrEx>
          <w:tblCellMar>
            <w:top w:w="15" w:type="dxa"/>
            <w:left w:w="15" w:type="dxa"/>
            <w:bottom w:w="15" w:type="dxa"/>
            <w:right w:w="15" w:type="dxa"/>
          </w:tblCellMar>
        </w:tblPrEx>
        <w:trPr>
          <w:trHeight w:val="82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97C3409">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13</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6BF27534">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地毯清洗</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7ED8A7D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办公楼内</w:t>
            </w:r>
            <w:r>
              <w:rPr>
                <w:rFonts w:hint="eastAsia" w:ascii="宋体" w:hAnsi="宋体" w:cs="宋体"/>
                <w:b w:val="0"/>
                <w:bCs w:val="0"/>
                <w:i w:val="0"/>
                <w:iCs w:val="0"/>
                <w:smallCaps w:val="0"/>
                <w:color w:val="auto"/>
                <w:sz w:val="21"/>
                <w:szCs w:val="21"/>
                <w:highlight w:val="none"/>
                <w:lang w:eastAsia="zh-CN"/>
              </w:rPr>
              <w:t>所有</w:t>
            </w:r>
            <w:r>
              <w:rPr>
                <w:rFonts w:hint="eastAsia" w:ascii="宋体" w:hAnsi="宋体" w:eastAsia="宋体" w:cs="宋体"/>
                <w:b w:val="0"/>
                <w:bCs w:val="0"/>
                <w:i w:val="0"/>
                <w:iCs w:val="0"/>
                <w:smallCaps w:val="0"/>
                <w:color w:val="auto"/>
                <w:sz w:val="21"/>
                <w:szCs w:val="21"/>
                <w:highlight w:val="none"/>
              </w:rPr>
              <w:t>地毯清洗工作；保持地毯表面无污渍，清洁、干净。</w:t>
            </w:r>
          </w:p>
        </w:tc>
      </w:tr>
      <w:tr w14:paraId="7D0A5B6B">
        <w:tblPrEx>
          <w:tblCellMar>
            <w:top w:w="15" w:type="dxa"/>
            <w:left w:w="15" w:type="dxa"/>
            <w:bottom w:w="15" w:type="dxa"/>
            <w:right w:w="15" w:type="dxa"/>
          </w:tblCellMar>
        </w:tblPrEx>
        <w:trPr>
          <w:trHeight w:val="82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885CFBC">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14</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3DFB959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环境消杀</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653FB37F">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消毒工作应在不影响物业使用人工作的前提下进行，如上班前、下班后或者利用节假日等；每月至少开展一次消毒，消毒后需及时开展通风，并形成作业台账供采购人留存备查。采取综合措施消灭老鼠、蟑螂，每季度至少开展一次作业。</w:t>
            </w:r>
          </w:p>
        </w:tc>
      </w:tr>
      <w:tr w14:paraId="43EEBDE0">
        <w:tblPrEx>
          <w:tblCellMar>
            <w:top w:w="15" w:type="dxa"/>
            <w:left w:w="15" w:type="dxa"/>
            <w:bottom w:w="15" w:type="dxa"/>
            <w:right w:w="15" w:type="dxa"/>
          </w:tblCellMar>
        </w:tblPrEx>
        <w:trPr>
          <w:trHeight w:val="1237"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42ADE8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15</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5C498A3F">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绿化养护</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12CB6123">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对各类树、草皮、灌木等维护、保养、美化、浇水、施肥、灭虫、防冻等工作事项和材料保障；保证各类树、花和植物能健康生长，符合季节要求，杜绝无故枯死现象，绿化养护所需的肥料、杀虫剂、农药等材料及工具由物业公司提供。</w:t>
            </w:r>
          </w:p>
        </w:tc>
      </w:tr>
      <w:tr w14:paraId="3DB3097A">
        <w:tblPrEx>
          <w:tblCellMar>
            <w:top w:w="15" w:type="dxa"/>
            <w:left w:w="15" w:type="dxa"/>
            <w:bottom w:w="15" w:type="dxa"/>
            <w:right w:w="15" w:type="dxa"/>
          </w:tblCellMar>
        </w:tblPrEx>
        <w:trPr>
          <w:trHeight w:val="1647"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5454678">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16</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550002A7">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外墙清洗服务</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310548E2">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1.外墙清洗每</w:t>
            </w:r>
            <w:r>
              <w:rPr>
                <w:rFonts w:hint="eastAsia" w:ascii="宋体" w:hAnsi="宋体" w:cs="宋体"/>
                <w:b w:val="0"/>
                <w:bCs w:val="0"/>
                <w:i w:val="0"/>
                <w:iCs w:val="0"/>
                <w:smallCaps w:val="0"/>
                <w:color w:val="auto"/>
                <w:sz w:val="21"/>
                <w:szCs w:val="21"/>
                <w:highlight w:val="none"/>
                <w:lang w:eastAsia="zh-CN"/>
              </w:rPr>
              <w:t>半</w:t>
            </w:r>
            <w:r>
              <w:rPr>
                <w:rFonts w:hint="eastAsia" w:ascii="宋体" w:hAnsi="宋体" w:eastAsia="宋体" w:cs="宋体"/>
                <w:b w:val="0"/>
                <w:bCs w:val="0"/>
                <w:i w:val="0"/>
                <w:iCs w:val="0"/>
                <w:smallCaps w:val="0"/>
                <w:color w:val="auto"/>
                <w:sz w:val="21"/>
                <w:szCs w:val="21"/>
                <w:highlight w:val="none"/>
              </w:rPr>
              <w:t>年至少一次，清洗工作必须由具备专业资质条件的公司进行，清洗人员必须全部经过专业技术培训，并持国家认可的资格证书上岗；</w:t>
            </w:r>
          </w:p>
          <w:p w14:paraId="5FA5D176">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2.外墙清洗后达到无尘、无垢、色调一致；玻璃清洁后达到无垢、无尘、光洁明亮；铝合金框恢复原色；清洗后无损坏现象。</w:t>
            </w:r>
          </w:p>
        </w:tc>
      </w:tr>
      <w:tr w14:paraId="391EF7C3">
        <w:tblPrEx>
          <w:tblCellMar>
            <w:top w:w="15" w:type="dxa"/>
            <w:left w:w="15" w:type="dxa"/>
            <w:bottom w:w="15" w:type="dxa"/>
            <w:right w:w="15" w:type="dxa"/>
          </w:tblCellMar>
        </w:tblPrEx>
        <w:trPr>
          <w:trHeight w:val="2874"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D47550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17</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4049C0EE">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办公室保洁服务</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334A3836">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1.办公室保洁服务。保洁时间受时间制约，主要工作必须在办公时间前或后进行，通常是在室内无办公人员时作业；</w:t>
            </w:r>
          </w:p>
          <w:p w14:paraId="1F60BA72">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日常清洁频次1次/天；在服务过程当中严禁翻阅业主办公桌上的文件及资料，严禁使用业主的办公电脑，清洁完毕后将文件及资料放归原来位置；在服务过程中，做到不该看的不看，不该听的不听，做好保密规定；办公室钥匙必须有严格的管理制度</w:t>
            </w:r>
          </w:p>
          <w:p w14:paraId="4A136868">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3.每周进行1次办公室精细保洁；地面、墙面、柜顶，干净，无灰尘、污渍，设施设备干净。清洁易耗品必须使用符合国家相关标准的物品。</w:t>
            </w:r>
          </w:p>
        </w:tc>
      </w:tr>
      <w:tr w14:paraId="26432751">
        <w:tblPrEx>
          <w:tblCellMar>
            <w:top w:w="15" w:type="dxa"/>
            <w:left w:w="15" w:type="dxa"/>
            <w:bottom w:w="15" w:type="dxa"/>
            <w:right w:w="15" w:type="dxa"/>
          </w:tblCellMar>
        </w:tblPrEx>
        <w:trPr>
          <w:trHeight w:val="838" w:hRule="atLeast"/>
        </w:trPr>
        <w:tc>
          <w:tcPr>
            <w:tcW w:w="958"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2B788C47">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18</w:t>
            </w:r>
          </w:p>
        </w:tc>
        <w:tc>
          <w:tcPr>
            <w:tcW w:w="1610" w:type="dxa"/>
            <w:tcBorders>
              <w:bottom w:val="single" w:color="000000" w:sz="8" w:space="0"/>
              <w:right w:val="single" w:color="000000" w:sz="8" w:space="0"/>
            </w:tcBorders>
            <w:noWrap w:val="0"/>
            <w:tcMar>
              <w:top w:w="0" w:type="dxa"/>
              <w:left w:w="113" w:type="dxa"/>
              <w:bottom w:w="0" w:type="dxa"/>
              <w:right w:w="118" w:type="dxa"/>
            </w:tcMar>
            <w:vAlign w:val="center"/>
          </w:tcPr>
          <w:p w14:paraId="452A0AF3">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室内玻璃窗户清洗</w:t>
            </w:r>
          </w:p>
        </w:tc>
        <w:tc>
          <w:tcPr>
            <w:tcW w:w="6588" w:type="dxa"/>
            <w:tcBorders>
              <w:bottom w:val="single" w:color="000000" w:sz="8" w:space="0"/>
              <w:right w:val="single" w:color="000000" w:sz="8" w:space="0"/>
            </w:tcBorders>
            <w:noWrap w:val="0"/>
            <w:tcMar>
              <w:top w:w="0" w:type="dxa"/>
              <w:left w:w="113" w:type="dxa"/>
              <w:bottom w:w="0" w:type="dxa"/>
              <w:right w:w="118" w:type="dxa"/>
            </w:tcMar>
            <w:vAlign w:val="top"/>
          </w:tcPr>
          <w:p w14:paraId="641E1C8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所有办公室室内玻璃窗户清洗每</w:t>
            </w:r>
            <w:r>
              <w:rPr>
                <w:rFonts w:hint="eastAsia" w:ascii="宋体" w:hAnsi="宋体" w:cs="宋体"/>
                <w:b w:val="0"/>
                <w:bCs w:val="0"/>
                <w:i w:val="0"/>
                <w:iCs w:val="0"/>
                <w:smallCaps w:val="0"/>
                <w:color w:val="auto"/>
                <w:sz w:val="21"/>
                <w:szCs w:val="21"/>
                <w:highlight w:val="none"/>
                <w:lang w:eastAsia="zh-CN"/>
              </w:rPr>
              <w:t>半</w:t>
            </w:r>
            <w:r>
              <w:rPr>
                <w:rFonts w:hint="eastAsia" w:ascii="宋体" w:hAnsi="宋体" w:eastAsia="宋体" w:cs="宋体"/>
                <w:b w:val="0"/>
                <w:bCs w:val="0"/>
                <w:i w:val="0"/>
                <w:iCs w:val="0"/>
                <w:smallCaps w:val="0"/>
                <w:color w:val="auto"/>
                <w:sz w:val="21"/>
                <w:szCs w:val="21"/>
                <w:highlight w:val="none"/>
              </w:rPr>
              <w:t>年至少1次；玻璃清洁后达到无垢、无尘、光洁明亮；清洗后无损坏现象。</w:t>
            </w:r>
          </w:p>
        </w:tc>
      </w:tr>
    </w:tbl>
    <w:p w14:paraId="0FA5DCC2">
      <w:pPr>
        <w:spacing w:before="0" w:after="0" w:line="480" w:lineRule="exact"/>
        <w:jc w:val="left"/>
        <w:rPr>
          <w:rFonts w:hint="eastAsia" w:ascii="宋体" w:hAnsi="宋体" w:eastAsia="宋体" w:cs="宋体"/>
          <w:color w:val="auto"/>
          <w:sz w:val="21"/>
          <w:szCs w:val="21"/>
          <w:highlight w:val="none"/>
        </w:rPr>
      </w:pPr>
    </w:p>
    <w:p w14:paraId="2909D8C4">
      <w:pPr>
        <w:spacing w:before="0" w:after="0" w:line="48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（3）房屋共用部位、共用设施设备运行、维护服务</w:t>
      </w:r>
    </w:p>
    <w:p w14:paraId="2C7BFD5A">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物业公司负责采购人委托物业服务区域内设施设备、采购人形象标志、各种照明灯具、用水、点阀门的日常巡查、零星维修、维护，其中物业维修中</w:t>
      </w:r>
      <w:r>
        <w:rPr>
          <w:rFonts w:hint="eastAsia" w:ascii="宋体" w:hAnsi="宋体" w:cs="宋体"/>
          <w:color w:val="auto"/>
          <w:sz w:val="21"/>
          <w:szCs w:val="21"/>
          <w:highlight w:val="none"/>
          <w:lang w:eastAsia="zh-CN"/>
        </w:rPr>
        <w:t>所涉及的零星维修</w:t>
      </w:r>
      <w:r>
        <w:rPr>
          <w:rFonts w:hint="eastAsia" w:ascii="宋体" w:hAnsi="宋体" w:cs="宋体"/>
          <w:color w:val="auto"/>
          <w:sz w:val="21"/>
          <w:szCs w:val="21"/>
          <w:highlight w:val="none"/>
          <w:lang w:val="en-US" w:eastAsia="zh-CN"/>
        </w:rPr>
        <w:t>200元以内（含200元）</w:t>
      </w:r>
      <w:r>
        <w:rPr>
          <w:rFonts w:hint="eastAsia" w:ascii="宋体" w:hAnsi="宋体" w:eastAsia="宋体" w:cs="宋体"/>
          <w:color w:val="auto"/>
          <w:sz w:val="21"/>
          <w:szCs w:val="21"/>
          <w:highlight w:val="none"/>
        </w:rPr>
        <w:t>的材料由</w:t>
      </w:r>
      <w:r>
        <w:rPr>
          <w:rFonts w:hint="eastAsia" w:ascii="宋体" w:hAnsi="宋体" w:cs="宋体"/>
          <w:color w:val="auto"/>
          <w:sz w:val="21"/>
          <w:szCs w:val="21"/>
          <w:highlight w:val="none"/>
          <w:lang w:eastAsia="zh-CN"/>
        </w:rPr>
        <w:t>中标人承担；</w:t>
      </w:r>
      <w:r>
        <w:rPr>
          <w:rFonts w:hint="eastAsia" w:ascii="宋体" w:hAnsi="宋体" w:cs="宋体"/>
          <w:color w:val="auto"/>
          <w:sz w:val="21"/>
          <w:szCs w:val="21"/>
          <w:highlight w:val="none"/>
          <w:lang w:val="en-US" w:eastAsia="zh-CN"/>
        </w:rPr>
        <w:t>200元以上的材料费用由</w:t>
      </w:r>
      <w:r>
        <w:rPr>
          <w:rFonts w:hint="eastAsia" w:ascii="宋体" w:hAnsi="宋体" w:eastAsia="宋体" w:cs="宋体"/>
          <w:color w:val="auto"/>
          <w:sz w:val="21"/>
          <w:szCs w:val="21"/>
          <w:highlight w:val="none"/>
        </w:rPr>
        <w:t>采购人提供，</w:t>
      </w:r>
      <w:r>
        <w:rPr>
          <w:rFonts w:hint="eastAsia" w:ascii="宋体" w:hAnsi="宋体" w:cs="宋体"/>
          <w:color w:val="auto"/>
          <w:sz w:val="21"/>
          <w:szCs w:val="21"/>
          <w:highlight w:val="none"/>
          <w:lang w:eastAsia="zh-CN"/>
        </w:rPr>
        <w:t>需</w:t>
      </w:r>
      <w:r>
        <w:rPr>
          <w:rFonts w:hint="eastAsia" w:ascii="宋体" w:hAnsi="宋体" w:eastAsia="宋体" w:cs="宋体"/>
          <w:color w:val="auto"/>
          <w:sz w:val="21"/>
          <w:szCs w:val="21"/>
          <w:highlight w:val="none"/>
        </w:rPr>
        <w:t>由使用部门领导签字认可。</w:t>
      </w:r>
    </w:p>
    <w:tbl>
      <w:tblPr>
        <w:tblStyle w:val="52"/>
        <w:tblW w:w="8359" w:type="dxa"/>
        <w:tblInd w:w="128" w:type="dxa"/>
        <w:tblLayout w:type="autofit"/>
        <w:tblCellMar>
          <w:top w:w="15" w:type="dxa"/>
          <w:left w:w="15" w:type="dxa"/>
          <w:bottom w:w="15" w:type="dxa"/>
          <w:right w:w="15" w:type="dxa"/>
        </w:tblCellMar>
      </w:tblPr>
      <w:tblGrid>
        <w:gridCol w:w="902"/>
        <w:gridCol w:w="1485"/>
        <w:gridCol w:w="5972"/>
      </w:tblGrid>
      <w:tr w14:paraId="5B4441EE">
        <w:tblPrEx>
          <w:tblCellMar>
            <w:top w:w="15" w:type="dxa"/>
            <w:left w:w="15" w:type="dxa"/>
            <w:bottom w:w="15" w:type="dxa"/>
            <w:right w:w="15" w:type="dxa"/>
          </w:tblCellMar>
        </w:tblPrEx>
        <w:trPr>
          <w:trHeight w:val="413" w:hRule="atLeast"/>
        </w:trPr>
        <w:tc>
          <w:tcPr>
            <w:tcW w:w="952" w:type="dxa"/>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312EB9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序号</w:t>
            </w:r>
          </w:p>
        </w:tc>
        <w:tc>
          <w:tcPr>
            <w:tcW w:w="1598"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14:paraId="3615B38D">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项目</w:t>
            </w:r>
          </w:p>
        </w:tc>
        <w:tc>
          <w:tcPr>
            <w:tcW w:w="6527"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14:paraId="7241449F">
            <w:pPr>
              <w:spacing w:line="480" w:lineRule="exact"/>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Cs w:val="21"/>
                <w:highlight w:val="none"/>
              </w:rPr>
              <w:t>服务要求</w:t>
            </w:r>
          </w:p>
        </w:tc>
      </w:tr>
      <w:tr w14:paraId="711B7C43">
        <w:tblPrEx>
          <w:tblCellMar>
            <w:top w:w="15" w:type="dxa"/>
            <w:left w:w="15" w:type="dxa"/>
            <w:bottom w:w="15" w:type="dxa"/>
            <w:right w:w="15" w:type="dxa"/>
          </w:tblCellMar>
        </w:tblPrEx>
        <w:trPr>
          <w:trHeight w:val="2040" w:hRule="atLeast"/>
        </w:trPr>
        <w:tc>
          <w:tcPr>
            <w:tcW w:w="952"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62BB7F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w:t>
            </w:r>
          </w:p>
        </w:tc>
        <w:tc>
          <w:tcPr>
            <w:tcW w:w="1598" w:type="dxa"/>
            <w:tcBorders>
              <w:bottom w:val="single" w:color="000000" w:sz="8" w:space="0"/>
              <w:right w:val="single" w:color="000000" w:sz="8" w:space="0"/>
            </w:tcBorders>
            <w:noWrap w:val="0"/>
            <w:tcMar>
              <w:top w:w="0" w:type="dxa"/>
              <w:left w:w="113" w:type="dxa"/>
              <w:bottom w:w="0" w:type="dxa"/>
              <w:right w:w="118" w:type="dxa"/>
            </w:tcMar>
            <w:vAlign w:val="center"/>
          </w:tcPr>
          <w:p w14:paraId="6BC7289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变配电系统</w:t>
            </w:r>
          </w:p>
        </w:tc>
        <w:tc>
          <w:tcPr>
            <w:tcW w:w="6527" w:type="dxa"/>
            <w:tcBorders>
              <w:bottom w:val="single" w:color="000000" w:sz="8" w:space="0"/>
              <w:right w:val="single" w:color="000000" w:sz="8" w:space="0"/>
            </w:tcBorders>
            <w:noWrap w:val="0"/>
            <w:tcMar>
              <w:top w:w="0" w:type="dxa"/>
              <w:left w:w="113" w:type="dxa"/>
              <w:bottom w:w="0" w:type="dxa"/>
              <w:right w:w="118" w:type="dxa"/>
            </w:tcMar>
            <w:vAlign w:val="top"/>
          </w:tcPr>
          <w:p w14:paraId="0254BEF6">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1.按照规定周期对变配电设施设备进行检查、维护、清洁，并做好记录；</w:t>
            </w:r>
          </w:p>
          <w:p w14:paraId="11B3BCD0">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2.高低压配电柜运行正常、操作灵活，仪表显示准确；</w:t>
            </w:r>
          </w:p>
          <w:p w14:paraId="40E5D5A5">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3.制定突发事件应急处理程序和临时用电管理措施，明确停、送审批权限，停、送电按规定提前通知；</w:t>
            </w:r>
          </w:p>
          <w:p w14:paraId="6542C8B3">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4.制定配电室人员出入管理制度，配电室实行封闭管理，无鼠洞，配备符合要求的灭火器材；</w:t>
            </w:r>
          </w:p>
          <w:p w14:paraId="295952F7">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5.高压防护用具、验电器按规定每半年检定一次，计量器具、检测仪表按规定周期送计检局检定。</w:t>
            </w:r>
          </w:p>
        </w:tc>
      </w:tr>
      <w:tr w14:paraId="76953FA2">
        <w:tblPrEx>
          <w:tblCellMar>
            <w:top w:w="15" w:type="dxa"/>
            <w:left w:w="15" w:type="dxa"/>
            <w:bottom w:w="15" w:type="dxa"/>
            <w:right w:w="15" w:type="dxa"/>
          </w:tblCellMar>
        </w:tblPrEx>
        <w:trPr>
          <w:trHeight w:val="1916" w:hRule="atLeast"/>
        </w:trPr>
        <w:tc>
          <w:tcPr>
            <w:tcW w:w="952"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36E5C08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w:t>
            </w:r>
          </w:p>
        </w:tc>
        <w:tc>
          <w:tcPr>
            <w:tcW w:w="1598" w:type="dxa"/>
            <w:tcBorders>
              <w:bottom w:val="single" w:color="000000" w:sz="8" w:space="0"/>
              <w:right w:val="single" w:color="000000" w:sz="8" w:space="0"/>
            </w:tcBorders>
            <w:noWrap w:val="0"/>
            <w:tcMar>
              <w:top w:w="0" w:type="dxa"/>
              <w:left w:w="113" w:type="dxa"/>
              <w:bottom w:w="0" w:type="dxa"/>
              <w:right w:w="118" w:type="dxa"/>
            </w:tcMar>
            <w:vAlign w:val="center"/>
          </w:tcPr>
          <w:p w14:paraId="5EDA718F">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给排水系统</w:t>
            </w:r>
          </w:p>
        </w:tc>
        <w:tc>
          <w:tcPr>
            <w:tcW w:w="6527" w:type="dxa"/>
            <w:tcBorders>
              <w:bottom w:val="single" w:color="000000" w:sz="8" w:space="0"/>
              <w:right w:val="single" w:color="000000" w:sz="8" w:space="0"/>
            </w:tcBorders>
            <w:noWrap w:val="0"/>
            <w:tcMar>
              <w:top w:w="0" w:type="dxa"/>
              <w:left w:w="113" w:type="dxa"/>
              <w:bottom w:w="0" w:type="dxa"/>
              <w:right w:w="118" w:type="dxa"/>
            </w:tcMar>
            <w:vAlign w:val="top"/>
          </w:tcPr>
          <w:p w14:paraId="1589CE9D">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1.按要求进行巡检并依照维修保养计划进行相应的维护保养工作，确保设备始终处于良好的工作状态；</w:t>
            </w:r>
          </w:p>
          <w:p w14:paraId="3451EBE1">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2.排除给排水设备故障一般不超过8小时，若8小时内无法解决的重要部位故障，应将故障原因、解决方案、解决时间书面上报；</w:t>
            </w:r>
          </w:p>
          <w:p w14:paraId="7E5EE558">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3.水泵房及机组设备、地面、墙壁无积尘、油渍；各供水泵的主泵和备用泵规定定期轮换一次；</w:t>
            </w:r>
          </w:p>
          <w:p w14:paraId="21963DA5">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4.生活水箱（池）检修口封闭、加锁，通气口需设隔离网，环境卫生，无污染物；</w:t>
            </w:r>
          </w:p>
          <w:p w14:paraId="364397AE">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5.制定停水、爆管等应急处理程序，计划停水按规定提前通知。</w:t>
            </w:r>
          </w:p>
        </w:tc>
      </w:tr>
      <w:tr w14:paraId="584D0707">
        <w:tblPrEx>
          <w:tblCellMar>
            <w:top w:w="15" w:type="dxa"/>
            <w:left w:w="15" w:type="dxa"/>
            <w:bottom w:w="15" w:type="dxa"/>
            <w:right w:w="15" w:type="dxa"/>
          </w:tblCellMar>
        </w:tblPrEx>
        <w:trPr>
          <w:trHeight w:val="1954" w:hRule="atLeast"/>
        </w:trPr>
        <w:tc>
          <w:tcPr>
            <w:tcW w:w="952"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5DA4B8DE">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w:t>
            </w:r>
          </w:p>
        </w:tc>
        <w:tc>
          <w:tcPr>
            <w:tcW w:w="1598" w:type="dxa"/>
            <w:tcBorders>
              <w:bottom w:val="single" w:color="000000" w:sz="8" w:space="0"/>
              <w:right w:val="single" w:color="000000" w:sz="8" w:space="0"/>
            </w:tcBorders>
            <w:noWrap w:val="0"/>
            <w:tcMar>
              <w:top w:w="0" w:type="dxa"/>
              <w:left w:w="113" w:type="dxa"/>
              <w:bottom w:w="0" w:type="dxa"/>
              <w:right w:w="118" w:type="dxa"/>
            </w:tcMar>
            <w:vAlign w:val="center"/>
          </w:tcPr>
          <w:p w14:paraId="2070A4FD">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安全防范系统</w:t>
            </w:r>
          </w:p>
        </w:tc>
        <w:tc>
          <w:tcPr>
            <w:tcW w:w="6527" w:type="dxa"/>
            <w:tcBorders>
              <w:bottom w:val="single" w:color="000000" w:sz="8" w:space="0"/>
              <w:right w:val="single" w:color="000000" w:sz="8" w:space="0"/>
            </w:tcBorders>
            <w:noWrap w:val="0"/>
            <w:tcMar>
              <w:top w:w="0" w:type="dxa"/>
              <w:left w:w="113" w:type="dxa"/>
              <w:bottom w:w="0" w:type="dxa"/>
              <w:right w:w="118" w:type="dxa"/>
            </w:tcMar>
            <w:vAlign w:val="top"/>
          </w:tcPr>
          <w:p w14:paraId="7F8C512A">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1.系统设置时间、日期准确，摄像机编号有逻辑性；</w:t>
            </w:r>
          </w:p>
          <w:p w14:paraId="0CFA9DD8">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2.录入资料应保持15天以上，并应有时间、日期及摄像机编号，有特殊要求的参照相关规定；</w:t>
            </w:r>
          </w:p>
          <w:p w14:paraId="562F383B">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3.非受权专业人员不得擅自更改安防设置及对主机开盖检测箱内元件；</w:t>
            </w:r>
          </w:p>
          <w:p w14:paraId="6700C7D2">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4.设立监控资料调用、查阅权限，调用、查阅需经</w:t>
            </w:r>
            <w:r>
              <w:rPr>
                <w:rFonts w:hint="eastAsia" w:ascii="宋体" w:hAnsi="宋体" w:cs="宋体"/>
                <w:b w:val="0"/>
                <w:bCs w:val="0"/>
                <w:i w:val="0"/>
                <w:iCs w:val="0"/>
                <w:smallCaps w:val="0"/>
                <w:color w:val="auto"/>
                <w:sz w:val="21"/>
                <w:szCs w:val="21"/>
                <w:highlight w:val="none"/>
                <w:lang w:eastAsia="zh-CN"/>
              </w:rPr>
              <w:t>采购人管理部门</w:t>
            </w:r>
            <w:r>
              <w:rPr>
                <w:rFonts w:hint="eastAsia" w:ascii="宋体" w:hAnsi="宋体" w:eastAsia="宋体" w:cs="宋体"/>
                <w:b w:val="0"/>
                <w:bCs w:val="0"/>
                <w:i w:val="0"/>
                <w:iCs w:val="0"/>
                <w:smallCaps w:val="0"/>
                <w:color w:val="auto"/>
                <w:sz w:val="21"/>
                <w:szCs w:val="21"/>
                <w:highlight w:val="none"/>
              </w:rPr>
              <w:t>受权；</w:t>
            </w:r>
          </w:p>
          <w:p w14:paraId="7C3D2346">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5.制定应急处理程序，出现重大安全隐患时应采取必要补救措施；</w:t>
            </w:r>
          </w:p>
          <w:p w14:paraId="37CAD3FE">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6..每年由物业公司对安全防范系统进行一次全面检查，对安全防范方面存在的漏洞、隐患等情况及时报告并提出整改建议。</w:t>
            </w:r>
          </w:p>
        </w:tc>
      </w:tr>
      <w:tr w14:paraId="63C9855B">
        <w:tblPrEx>
          <w:tblCellMar>
            <w:top w:w="15" w:type="dxa"/>
            <w:left w:w="15" w:type="dxa"/>
            <w:bottom w:w="15" w:type="dxa"/>
            <w:right w:w="15" w:type="dxa"/>
          </w:tblCellMar>
        </w:tblPrEx>
        <w:trPr>
          <w:trHeight w:val="1219" w:hRule="atLeast"/>
        </w:trPr>
        <w:tc>
          <w:tcPr>
            <w:tcW w:w="952"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4614DAB">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w:t>
            </w:r>
          </w:p>
        </w:tc>
        <w:tc>
          <w:tcPr>
            <w:tcW w:w="1598" w:type="dxa"/>
            <w:tcBorders>
              <w:bottom w:val="single" w:color="000000" w:sz="8" w:space="0"/>
              <w:right w:val="single" w:color="000000" w:sz="8" w:space="0"/>
            </w:tcBorders>
            <w:noWrap w:val="0"/>
            <w:tcMar>
              <w:top w:w="0" w:type="dxa"/>
              <w:left w:w="113" w:type="dxa"/>
              <w:bottom w:w="0" w:type="dxa"/>
              <w:right w:w="118" w:type="dxa"/>
            </w:tcMar>
            <w:vAlign w:val="center"/>
          </w:tcPr>
          <w:p w14:paraId="40C742CE">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公共照明系统</w:t>
            </w:r>
          </w:p>
        </w:tc>
        <w:tc>
          <w:tcPr>
            <w:tcW w:w="6527" w:type="dxa"/>
            <w:tcBorders>
              <w:bottom w:val="single" w:color="000000" w:sz="8" w:space="0"/>
              <w:right w:val="single" w:color="000000" w:sz="8" w:space="0"/>
            </w:tcBorders>
            <w:noWrap w:val="0"/>
            <w:tcMar>
              <w:top w:w="0" w:type="dxa"/>
              <w:left w:w="113" w:type="dxa"/>
              <w:bottom w:w="0" w:type="dxa"/>
              <w:right w:w="118" w:type="dxa"/>
            </w:tcMar>
            <w:vAlign w:val="top"/>
          </w:tcPr>
          <w:p w14:paraId="7424A859">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1.制定公共照明节能管理制度；</w:t>
            </w:r>
          </w:p>
          <w:p w14:paraId="2AC8A39B">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2.定期巡检大厅、电梯间、停车场、通道、景观照明等公共部位照明，有效亮灯率98％以上，如有缺损及时报请更换；</w:t>
            </w:r>
          </w:p>
          <w:p w14:paraId="4CE0D3B8">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3.每周一次巡检公共照明电源柜，如有问题及时处理，保证设备正常运行和安全用电。</w:t>
            </w:r>
          </w:p>
        </w:tc>
      </w:tr>
      <w:tr w14:paraId="4C980EFF">
        <w:tblPrEx>
          <w:tblCellMar>
            <w:top w:w="15" w:type="dxa"/>
            <w:left w:w="15" w:type="dxa"/>
            <w:bottom w:w="15" w:type="dxa"/>
            <w:right w:w="15" w:type="dxa"/>
          </w:tblCellMar>
        </w:tblPrEx>
        <w:trPr>
          <w:trHeight w:val="804" w:hRule="atLeast"/>
        </w:trPr>
        <w:tc>
          <w:tcPr>
            <w:tcW w:w="952"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E588BB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5</w:t>
            </w:r>
          </w:p>
        </w:tc>
        <w:tc>
          <w:tcPr>
            <w:tcW w:w="1598" w:type="dxa"/>
            <w:tcBorders>
              <w:bottom w:val="single" w:color="000000" w:sz="8" w:space="0"/>
              <w:right w:val="single" w:color="000000" w:sz="8" w:space="0"/>
            </w:tcBorders>
            <w:noWrap w:val="0"/>
            <w:tcMar>
              <w:top w:w="0" w:type="dxa"/>
              <w:left w:w="113" w:type="dxa"/>
              <w:bottom w:w="0" w:type="dxa"/>
              <w:right w:w="118" w:type="dxa"/>
            </w:tcMar>
            <w:vAlign w:val="center"/>
          </w:tcPr>
          <w:p w14:paraId="07B012B3">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电梯及消防系统</w:t>
            </w:r>
          </w:p>
        </w:tc>
        <w:tc>
          <w:tcPr>
            <w:tcW w:w="6527" w:type="dxa"/>
            <w:tcBorders>
              <w:bottom w:val="single" w:color="000000" w:sz="8" w:space="0"/>
              <w:right w:val="single" w:color="000000" w:sz="8" w:space="0"/>
            </w:tcBorders>
            <w:noWrap w:val="0"/>
            <w:tcMar>
              <w:top w:w="0" w:type="dxa"/>
              <w:left w:w="113" w:type="dxa"/>
              <w:bottom w:w="0" w:type="dxa"/>
              <w:right w:w="118" w:type="dxa"/>
            </w:tcMar>
            <w:vAlign w:val="top"/>
          </w:tcPr>
          <w:p w14:paraId="55890B7E">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配合专业维保公司做好维修保养工作，保持与维保方的日常沟通联络衔接工作，一旦出现故障，及时联系维保方并派人现场陪同并确认需更换的配件及数量情况。</w:t>
            </w:r>
          </w:p>
          <w:p w14:paraId="6DEBE3FE">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监督维保方按合同约定履行维护保养义务。</w:t>
            </w:r>
          </w:p>
        </w:tc>
      </w:tr>
      <w:tr w14:paraId="7E930DA2">
        <w:tblPrEx>
          <w:tblCellMar>
            <w:top w:w="15" w:type="dxa"/>
            <w:left w:w="15" w:type="dxa"/>
            <w:bottom w:w="15" w:type="dxa"/>
            <w:right w:w="15" w:type="dxa"/>
          </w:tblCellMar>
        </w:tblPrEx>
        <w:trPr>
          <w:trHeight w:val="416" w:hRule="atLeast"/>
        </w:trPr>
        <w:tc>
          <w:tcPr>
            <w:tcW w:w="952"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64F8E50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6</w:t>
            </w:r>
          </w:p>
        </w:tc>
        <w:tc>
          <w:tcPr>
            <w:tcW w:w="1598" w:type="dxa"/>
            <w:tcBorders>
              <w:bottom w:val="single" w:color="000000" w:sz="8" w:space="0"/>
              <w:right w:val="single" w:color="000000" w:sz="8" w:space="0"/>
            </w:tcBorders>
            <w:noWrap w:val="0"/>
            <w:tcMar>
              <w:top w:w="0" w:type="dxa"/>
              <w:left w:w="113" w:type="dxa"/>
              <w:bottom w:w="0" w:type="dxa"/>
              <w:right w:w="118" w:type="dxa"/>
            </w:tcMar>
            <w:vAlign w:val="center"/>
          </w:tcPr>
          <w:p w14:paraId="07AE2B8C">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空调系统</w:t>
            </w:r>
          </w:p>
        </w:tc>
        <w:tc>
          <w:tcPr>
            <w:tcW w:w="6527" w:type="dxa"/>
            <w:tcBorders>
              <w:bottom w:val="single" w:color="000000" w:sz="8" w:space="0"/>
              <w:right w:val="single" w:color="000000" w:sz="8" w:space="0"/>
            </w:tcBorders>
            <w:noWrap w:val="0"/>
            <w:tcMar>
              <w:top w:w="0" w:type="dxa"/>
              <w:left w:w="113" w:type="dxa"/>
              <w:bottom w:w="0" w:type="dxa"/>
              <w:right w:w="118" w:type="dxa"/>
            </w:tcMar>
            <w:vAlign w:val="top"/>
          </w:tcPr>
          <w:p w14:paraId="34D1C92F">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1.建立空调系统运行管理制度和安全操作规程，保证空调系统安全运行和正常使用，运行中无超标噪音和严重滴漏水现象；</w:t>
            </w:r>
          </w:p>
          <w:p w14:paraId="155F778F">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2.制定科学合理的经济运行和节能降耗措施；定期对冷冻水、冷却水系统进行杀菌灭藻处理及除浮锈、除油化学清洗；</w:t>
            </w:r>
          </w:p>
          <w:p w14:paraId="65C33CA9">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3.定期检修养护空调设备，定期清洗过滤网，保证空调设备、设施处于良好状态；</w:t>
            </w:r>
          </w:p>
          <w:p w14:paraId="3BC56029">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4.空调系统出现运行故障后，维修人员应及时到达现场维修，并做好记录。</w:t>
            </w:r>
          </w:p>
        </w:tc>
      </w:tr>
    </w:tbl>
    <w:p w14:paraId="30515504">
      <w:pPr>
        <w:spacing w:before="0" w:after="0" w:line="480" w:lineRule="exact"/>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3.2.1.2</w:t>
      </w:r>
      <w:r>
        <w:rPr>
          <w:rFonts w:hint="eastAsia" w:ascii="宋体" w:hAnsi="宋体" w:eastAsia="宋体" w:cs="宋体"/>
          <w:color w:val="auto"/>
          <w:sz w:val="21"/>
          <w:szCs w:val="21"/>
          <w:highlight w:val="none"/>
        </w:rPr>
        <w:t>特约服务</w:t>
      </w:r>
    </w:p>
    <w:tbl>
      <w:tblPr>
        <w:tblStyle w:val="52"/>
        <w:tblW w:w="8319" w:type="dxa"/>
        <w:tblInd w:w="128" w:type="dxa"/>
        <w:tblLayout w:type="autofit"/>
        <w:tblCellMar>
          <w:top w:w="15" w:type="dxa"/>
          <w:left w:w="15" w:type="dxa"/>
          <w:bottom w:w="15" w:type="dxa"/>
          <w:right w:w="15" w:type="dxa"/>
        </w:tblCellMar>
      </w:tblPr>
      <w:tblGrid>
        <w:gridCol w:w="866"/>
        <w:gridCol w:w="1457"/>
        <w:gridCol w:w="5996"/>
      </w:tblGrid>
      <w:tr w14:paraId="77B1F997">
        <w:tblPrEx>
          <w:tblCellMar>
            <w:top w:w="15" w:type="dxa"/>
            <w:left w:w="15" w:type="dxa"/>
            <w:bottom w:w="15" w:type="dxa"/>
            <w:right w:w="15" w:type="dxa"/>
          </w:tblCellMar>
        </w:tblPrEx>
        <w:trPr>
          <w:trHeight w:val="420" w:hRule="atLeast"/>
        </w:trPr>
        <w:tc>
          <w:tcPr>
            <w:tcW w:w="915" w:type="dxa"/>
            <w:tcBorders>
              <w:top w:val="single" w:color="000000" w:sz="8" w:space="0"/>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40AB675">
            <w:pPr>
              <w:pStyle w:val="50"/>
              <w:spacing w:line="480" w:lineRule="exact"/>
              <w:ind w:firstLine="0"/>
              <w:jc w:val="left"/>
              <w:rPr>
                <w:rFonts w:hint="eastAsia" w:ascii="宋体" w:hAnsi="宋体" w:eastAsia="宋体" w:cs="宋体"/>
                <w:b w:val="0"/>
                <w:bCs w:val="0"/>
                <w:i w:val="0"/>
                <w:iCs w:val="0"/>
                <w:smallCaps w:val="0"/>
                <w:color w:val="auto"/>
                <w:szCs w:val="21"/>
                <w:highlight w:val="none"/>
              </w:rPr>
            </w:pPr>
            <w:r>
              <w:rPr>
                <w:rFonts w:ascii="宋体" w:hAnsi="宋体" w:eastAsia="宋体" w:cs="宋体"/>
                <w:b/>
                <w:bCs/>
                <w:i w:val="0"/>
                <w:iCs w:val="0"/>
                <w:smallCaps w:val="0"/>
                <w:color w:val="auto"/>
                <w:sz w:val="21"/>
                <w:szCs w:val="21"/>
                <w:highlight w:val="none"/>
              </w:rPr>
              <w:t>序号</w:t>
            </w:r>
          </w:p>
        </w:tc>
        <w:tc>
          <w:tcPr>
            <w:tcW w:w="155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14:paraId="350F9489">
            <w:pPr>
              <w:pStyle w:val="50"/>
              <w:spacing w:line="480" w:lineRule="exact"/>
              <w:jc w:val="left"/>
              <w:rPr>
                <w:rFonts w:hint="eastAsia" w:ascii="宋体" w:hAnsi="宋体" w:eastAsia="宋体" w:cs="宋体"/>
                <w:b w:val="0"/>
                <w:bCs w:val="0"/>
                <w:i w:val="0"/>
                <w:iCs w:val="0"/>
                <w:smallCaps w:val="0"/>
                <w:color w:val="auto"/>
                <w:szCs w:val="21"/>
                <w:highlight w:val="none"/>
              </w:rPr>
            </w:pPr>
            <w:r>
              <w:rPr>
                <w:rFonts w:ascii="宋体" w:hAnsi="宋体" w:eastAsia="宋体" w:cs="宋体"/>
                <w:b/>
                <w:bCs/>
                <w:i w:val="0"/>
                <w:iCs w:val="0"/>
                <w:smallCaps w:val="0"/>
                <w:color w:val="auto"/>
                <w:sz w:val="21"/>
                <w:szCs w:val="21"/>
                <w:highlight w:val="none"/>
              </w:rPr>
              <w:t>项目</w:t>
            </w:r>
          </w:p>
        </w:tc>
        <w:tc>
          <w:tcPr>
            <w:tcW w:w="6571" w:type="dxa"/>
            <w:tcBorders>
              <w:top w:val="single" w:color="000000" w:sz="8" w:space="0"/>
              <w:bottom w:val="single" w:color="000000" w:sz="8" w:space="0"/>
              <w:right w:val="single" w:color="000000" w:sz="8" w:space="0"/>
            </w:tcBorders>
            <w:noWrap w:val="0"/>
            <w:tcMar>
              <w:top w:w="0" w:type="dxa"/>
              <w:left w:w="113" w:type="dxa"/>
              <w:bottom w:w="0" w:type="dxa"/>
              <w:right w:w="118" w:type="dxa"/>
            </w:tcMar>
            <w:vAlign w:val="center"/>
          </w:tcPr>
          <w:p w14:paraId="190A25DC">
            <w:pPr>
              <w:pStyle w:val="50"/>
              <w:spacing w:line="480" w:lineRule="exact"/>
              <w:ind w:firstLine="422"/>
              <w:jc w:val="left"/>
              <w:rPr>
                <w:rFonts w:hint="eastAsia" w:ascii="宋体" w:hAnsi="宋体" w:eastAsia="宋体" w:cs="宋体"/>
                <w:b w:val="0"/>
                <w:bCs w:val="0"/>
                <w:i w:val="0"/>
                <w:iCs w:val="0"/>
                <w:smallCaps w:val="0"/>
                <w:color w:val="auto"/>
                <w:szCs w:val="21"/>
                <w:highlight w:val="none"/>
              </w:rPr>
            </w:pPr>
            <w:r>
              <w:rPr>
                <w:rFonts w:ascii="宋体" w:hAnsi="宋体" w:eastAsia="宋体" w:cs="宋体"/>
                <w:b/>
                <w:bCs/>
                <w:i w:val="0"/>
                <w:iCs w:val="0"/>
                <w:smallCaps w:val="0"/>
                <w:color w:val="auto"/>
                <w:sz w:val="21"/>
                <w:szCs w:val="21"/>
                <w:highlight w:val="none"/>
              </w:rPr>
              <w:t>服务要求</w:t>
            </w:r>
          </w:p>
        </w:tc>
      </w:tr>
      <w:tr w14:paraId="5D8D2BA5">
        <w:tblPrEx>
          <w:tblCellMar>
            <w:top w:w="15" w:type="dxa"/>
            <w:left w:w="15" w:type="dxa"/>
            <w:bottom w:w="15" w:type="dxa"/>
            <w:right w:w="15" w:type="dxa"/>
          </w:tblCellMar>
        </w:tblPrEx>
        <w:trPr>
          <w:trHeight w:val="3711" w:hRule="atLeast"/>
        </w:trPr>
        <w:tc>
          <w:tcPr>
            <w:tcW w:w="915"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4F3D3052">
            <w:pPr>
              <w:pStyle w:val="50"/>
              <w:spacing w:line="480" w:lineRule="exact"/>
              <w:ind w:firstLine="0"/>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 w:val="21"/>
                <w:szCs w:val="21"/>
                <w:highlight w:val="none"/>
              </w:rPr>
              <w:t>1</w:t>
            </w:r>
          </w:p>
        </w:tc>
        <w:tc>
          <w:tcPr>
            <w:tcW w:w="1551" w:type="dxa"/>
            <w:tcBorders>
              <w:bottom w:val="single" w:color="000000" w:sz="8" w:space="0"/>
              <w:right w:val="single" w:color="000000" w:sz="8" w:space="0"/>
            </w:tcBorders>
            <w:noWrap w:val="0"/>
            <w:tcMar>
              <w:top w:w="0" w:type="dxa"/>
              <w:left w:w="113" w:type="dxa"/>
              <w:bottom w:w="0" w:type="dxa"/>
              <w:right w:w="118" w:type="dxa"/>
            </w:tcMar>
            <w:vAlign w:val="center"/>
          </w:tcPr>
          <w:p w14:paraId="0A5A283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会议服务</w:t>
            </w:r>
          </w:p>
        </w:tc>
        <w:tc>
          <w:tcPr>
            <w:tcW w:w="6571" w:type="dxa"/>
            <w:tcBorders>
              <w:bottom w:val="single" w:color="000000" w:sz="8" w:space="0"/>
              <w:right w:val="single" w:color="000000" w:sz="8" w:space="0"/>
            </w:tcBorders>
            <w:noWrap w:val="0"/>
            <w:tcMar>
              <w:top w:w="0" w:type="dxa"/>
              <w:left w:w="113" w:type="dxa"/>
              <w:bottom w:w="0" w:type="dxa"/>
              <w:right w:w="118" w:type="dxa"/>
            </w:tcMar>
            <w:vAlign w:val="top"/>
          </w:tcPr>
          <w:p w14:paraId="434D296A">
            <w:pPr>
              <w:spacing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1.会议服务员应具有良好的仪态仪表，熟知所有会议场所的分布状况，掌握各类服务的基本技能，着装整洁，文明礼貌、现场操作规范；</w:t>
            </w:r>
          </w:p>
          <w:p w14:paraId="6EC12782">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2.会议室、接待室、操作间等管理区域整洁整齐，无垃圾、杂物，无污渍、破损，设施设备完好率≥95%；</w:t>
            </w:r>
          </w:p>
          <w:p w14:paraId="6FC7A49A">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3.临时（紧急）会议及时布置，一般会议提前半天布置，重要会议提前一天布置，大型会议按领导和主办单位要求布置，会场（会议室）布置整体效果符合单位要求；</w:t>
            </w:r>
          </w:p>
          <w:p w14:paraId="4515930F">
            <w:pPr>
              <w:spacing w:before="280" w:after="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4.提供茶水服务，满足会议要求，会议用茶由物业公司承担；</w:t>
            </w:r>
          </w:p>
          <w:p w14:paraId="27F14F43">
            <w:pPr>
              <w:spacing w:before="280"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5.会议服务人员必须提前到达会场（会议室），做好会议服务的各项准备。</w:t>
            </w:r>
          </w:p>
        </w:tc>
      </w:tr>
      <w:tr w14:paraId="02A84DEF">
        <w:tblPrEx>
          <w:tblCellMar>
            <w:top w:w="15" w:type="dxa"/>
            <w:left w:w="15" w:type="dxa"/>
            <w:bottom w:w="15" w:type="dxa"/>
            <w:right w:w="15" w:type="dxa"/>
          </w:tblCellMar>
        </w:tblPrEx>
        <w:trPr>
          <w:trHeight w:val="832" w:hRule="atLeast"/>
        </w:trPr>
        <w:tc>
          <w:tcPr>
            <w:tcW w:w="915"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67BB55D">
            <w:pPr>
              <w:pStyle w:val="50"/>
              <w:spacing w:line="480" w:lineRule="exact"/>
              <w:ind w:firstLine="0"/>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 w:val="21"/>
                <w:szCs w:val="21"/>
                <w:highlight w:val="none"/>
              </w:rPr>
              <w:t>2</w:t>
            </w:r>
          </w:p>
        </w:tc>
        <w:tc>
          <w:tcPr>
            <w:tcW w:w="1551" w:type="dxa"/>
            <w:tcBorders>
              <w:bottom w:val="single" w:color="000000" w:sz="8" w:space="0"/>
              <w:right w:val="single" w:color="000000" w:sz="8" w:space="0"/>
            </w:tcBorders>
            <w:noWrap w:val="0"/>
            <w:tcMar>
              <w:top w:w="0" w:type="dxa"/>
              <w:left w:w="113" w:type="dxa"/>
              <w:bottom w:w="0" w:type="dxa"/>
              <w:right w:w="118" w:type="dxa"/>
            </w:tcMar>
            <w:vAlign w:val="center"/>
          </w:tcPr>
          <w:p w14:paraId="2599C6D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化粪池和隔油池疏通清理</w:t>
            </w:r>
          </w:p>
        </w:tc>
        <w:tc>
          <w:tcPr>
            <w:tcW w:w="6596" w:type="dxa"/>
            <w:tcBorders>
              <w:top w:val="inset" w:color="808080" w:sz="24" w:space="0"/>
              <w:left w:val="inset" w:color="808080" w:sz="24" w:space="0"/>
              <w:bottom w:val="inset" w:color="808080" w:sz="8" w:space="0"/>
              <w:right w:val="inset" w:color="808080" w:sz="8" w:space="0"/>
            </w:tcBorders>
            <w:noWrap w:val="0"/>
            <w:tcMar>
              <w:top w:w="0" w:type="dxa"/>
              <w:left w:w="138" w:type="dxa"/>
              <w:bottom w:w="0" w:type="dxa"/>
              <w:right w:w="118" w:type="dxa"/>
            </w:tcMar>
            <w:vAlign w:val="top"/>
          </w:tcPr>
          <w:p w14:paraId="085F6F07">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宝海路519号和日新路1263号办公区化粪池、隔油池清渣和疏通，每半年至少清理一次，根据实际做到排污畅通、无堵塞、无反水，无油渣大量沉积。</w:t>
            </w:r>
          </w:p>
        </w:tc>
      </w:tr>
      <w:tr w14:paraId="7ADF8325">
        <w:tblPrEx>
          <w:tblCellMar>
            <w:top w:w="15" w:type="dxa"/>
            <w:left w:w="15" w:type="dxa"/>
            <w:bottom w:w="15" w:type="dxa"/>
            <w:right w:w="15" w:type="dxa"/>
          </w:tblCellMar>
        </w:tblPrEx>
        <w:trPr>
          <w:trHeight w:val="832" w:hRule="atLeast"/>
        </w:trPr>
        <w:tc>
          <w:tcPr>
            <w:tcW w:w="915"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E686E38">
            <w:pPr>
              <w:pStyle w:val="50"/>
              <w:spacing w:line="480" w:lineRule="exact"/>
              <w:ind w:firstLine="0"/>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 w:val="21"/>
                <w:szCs w:val="21"/>
                <w:highlight w:val="none"/>
              </w:rPr>
              <w:t>3</w:t>
            </w:r>
          </w:p>
        </w:tc>
        <w:tc>
          <w:tcPr>
            <w:tcW w:w="1551" w:type="dxa"/>
            <w:tcBorders>
              <w:bottom w:val="single" w:color="000000" w:sz="8" w:space="0"/>
              <w:right w:val="single" w:color="000000" w:sz="8" w:space="0"/>
            </w:tcBorders>
            <w:noWrap w:val="0"/>
            <w:tcMar>
              <w:top w:w="0" w:type="dxa"/>
              <w:left w:w="113" w:type="dxa"/>
              <w:bottom w:w="0" w:type="dxa"/>
              <w:right w:w="118" w:type="dxa"/>
            </w:tcMar>
            <w:vAlign w:val="center"/>
          </w:tcPr>
          <w:p w14:paraId="458325E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饮水池清洗</w:t>
            </w:r>
          </w:p>
        </w:tc>
        <w:tc>
          <w:tcPr>
            <w:tcW w:w="6571" w:type="dxa"/>
            <w:tcBorders>
              <w:bottom w:val="single" w:color="000000" w:sz="8" w:space="0"/>
              <w:right w:val="single" w:color="000000" w:sz="8" w:space="0"/>
            </w:tcBorders>
            <w:noWrap w:val="0"/>
            <w:tcMar>
              <w:top w:w="0" w:type="dxa"/>
              <w:left w:w="113" w:type="dxa"/>
              <w:bottom w:w="0" w:type="dxa"/>
              <w:right w:w="118" w:type="dxa"/>
            </w:tcMar>
            <w:vAlign w:val="top"/>
          </w:tcPr>
          <w:p w14:paraId="662E654F">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宝海路519号和日新路1263号办公区饮水池，每半年清洗一次，并达到政府职能部门验收标准。</w:t>
            </w:r>
          </w:p>
        </w:tc>
      </w:tr>
      <w:tr w14:paraId="2ACDFCED">
        <w:tblPrEx>
          <w:tblCellMar>
            <w:top w:w="15" w:type="dxa"/>
            <w:left w:w="15" w:type="dxa"/>
            <w:bottom w:w="15" w:type="dxa"/>
            <w:right w:w="15" w:type="dxa"/>
          </w:tblCellMar>
        </w:tblPrEx>
        <w:trPr>
          <w:trHeight w:val="842" w:hRule="atLeast"/>
        </w:trPr>
        <w:tc>
          <w:tcPr>
            <w:tcW w:w="915"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89F5ABC">
            <w:pPr>
              <w:pStyle w:val="50"/>
              <w:spacing w:line="480" w:lineRule="exact"/>
              <w:ind w:firstLine="0"/>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 w:val="21"/>
                <w:szCs w:val="21"/>
                <w:highlight w:val="none"/>
              </w:rPr>
              <w:t>4</w:t>
            </w:r>
          </w:p>
        </w:tc>
        <w:tc>
          <w:tcPr>
            <w:tcW w:w="1551" w:type="dxa"/>
            <w:tcBorders>
              <w:bottom w:val="single" w:color="000000" w:sz="8" w:space="0"/>
              <w:right w:val="single" w:color="000000" w:sz="8" w:space="0"/>
            </w:tcBorders>
            <w:noWrap w:val="0"/>
            <w:tcMar>
              <w:top w:w="0" w:type="dxa"/>
              <w:left w:w="113" w:type="dxa"/>
              <w:bottom w:w="0" w:type="dxa"/>
              <w:right w:w="118" w:type="dxa"/>
            </w:tcMar>
            <w:vAlign w:val="center"/>
          </w:tcPr>
          <w:p w14:paraId="613F9513">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简单搬运服务</w:t>
            </w:r>
          </w:p>
        </w:tc>
        <w:tc>
          <w:tcPr>
            <w:tcW w:w="6571" w:type="dxa"/>
            <w:tcBorders>
              <w:bottom w:val="single" w:color="000000" w:sz="8" w:space="0"/>
              <w:right w:val="single" w:color="000000" w:sz="8" w:space="0"/>
            </w:tcBorders>
            <w:noWrap w:val="0"/>
            <w:tcMar>
              <w:top w:w="0" w:type="dxa"/>
              <w:left w:w="113" w:type="dxa"/>
              <w:bottom w:w="0" w:type="dxa"/>
              <w:right w:w="118" w:type="dxa"/>
            </w:tcMar>
            <w:vAlign w:val="top"/>
          </w:tcPr>
          <w:p w14:paraId="496082DA">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票证、报刊杂志、印刷制品、办公家具、废旧等少量物品的临时搬运，保证物品的安全、完整，搬运人员的安全。</w:t>
            </w:r>
          </w:p>
        </w:tc>
      </w:tr>
      <w:tr w14:paraId="5BD32F35">
        <w:tblPrEx>
          <w:tblCellMar>
            <w:top w:w="15" w:type="dxa"/>
            <w:left w:w="15" w:type="dxa"/>
            <w:bottom w:w="15" w:type="dxa"/>
            <w:right w:w="15" w:type="dxa"/>
          </w:tblCellMar>
        </w:tblPrEx>
        <w:trPr>
          <w:trHeight w:val="842" w:hRule="atLeast"/>
        </w:trPr>
        <w:tc>
          <w:tcPr>
            <w:tcW w:w="915"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BD9D3B2">
            <w:pPr>
              <w:pStyle w:val="50"/>
              <w:spacing w:line="480" w:lineRule="exact"/>
              <w:ind w:firstLine="0"/>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 w:val="21"/>
                <w:szCs w:val="21"/>
                <w:highlight w:val="none"/>
              </w:rPr>
              <w:t>5</w:t>
            </w:r>
          </w:p>
        </w:tc>
        <w:tc>
          <w:tcPr>
            <w:tcW w:w="1551" w:type="dxa"/>
            <w:tcBorders>
              <w:bottom w:val="single" w:color="000000" w:sz="8" w:space="0"/>
              <w:right w:val="single" w:color="000000" w:sz="8" w:space="0"/>
            </w:tcBorders>
            <w:noWrap w:val="0"/>
            <w:tcMar>
              <w:top w:w="0" w:type="dxa"/>
              <w:left w:w="113" w:type="dxa"/>
              <w:bottom w:w="0" w:type="dxa"/>
              <w:right w:w="118" w:type="dxa"/>
            </w:tcMar>
            <w:vAlign w:val="center"/>
          </w:tcPr>
          <w:p w14:paraId="20F15DCF">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公共区域固定资产管理</w:t>
            </w:r>
          </w:p>
        </w:tc>
        <w:tc>
          <w:tcPr>
            <w:tcW w:w="6571" w:type="dxa"/>
            <w:tcBorders>
              <w:bottom w:val="single" w:color="000000" w:sz="8" w:space="0"/>
              <w:right w:val="single" w:color="000000" w:sz="8" w:space="0"/>
            </w:tcBorders>
            <w:noWrap w:val="0"/>
            <w:tcMar>
              <w:top w:w="0" w:type="dxa"/>
              <w:left w:w="113" w:type="dxa"/>
              <w:bottom w:w="0" w:type="dxa"/>
              <w:right w:w="118" w:type="dxa"/>
            </w:tcMar>
            <w:vAlign w:val="top"/>
          </w:tcPr>
          <w:p w14:paraId="7F1A5306">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保管公共区域固定资产，保证公共区域资产安全，不随意搬动资产，并对公共区域资产进行登记清册，根据采购人要求协助采购人进行资产管理。</w:t>
            </w:r>
          </w:p>
        </w:tc>
      </w:tr>
      <w:tr w14:paraId="5D3F7A89">
        <w:tblPrEx>
          <w:tblCellMar>
            <w:top w:w="15" w:type="dxa"/>
            <w:left w:w="15" w:type="dxa"/>
            <w:bottom w:w="15" w:type="dxa"/>
            <w:right w:w="15" w:type="dxa"/>
          </w:tblCellMar>
        </w:tblPrEx>
        <w:trPr>
          <w:trHeight w:val="842" w:hRule="atLeast"/>
        </w:trPr>
        <w:tc>
          <w:tcPr>
            <w:tcW w:w="915"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0F5C9CF1">
            <w:pPr>
              <w:pStyle w:val="50"/>
              <w:spacing w:line="480" w:lineRule="exact"/>
              <w:ind w:firstLine="0"/>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 w:val="21"/>
                <w:szCs w:val="21"/>
                <w:highlight w:val="none"/>
              </w:rPr>
              <w:t>6</w:t>
            </w:r>
          </w:p>
        </w:tc>
        <w:tc>
          <w:tcPr>
            <w:tcW w:w="1551" w:type="dxa"/>
            <w:tcBorders>
              <w:bottom w:val="single" w:color="000000" w:sz="8" w:space="0"/>
              <w:right w:val="single" w:color="000000" w:sz="8" w:space="0"/>
            </w:tcBorders>
            <w:noWrap w:val="0"/>
            <w:tcMar>
              <w:top w:w="0" w:type="dxa"/>
              <w:left w:w="113" w:type="dxa"/>
              <w:bottom w:w="0" w:type="dxa"/>
              <w:right w:w="118" w:type="dxa"/>
            </w:tcMar>
            <w:vAlign w:val="center"/>
          </w:tcPr>
          <w:p w14:paraId="0DBC1FEE">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邮政寄递服务</w:t>
            </w:r>
          </w:p>
        </w:tc>
        <w:tc>
          <w:tcPr>
            <w:tcW w:w="6571" w:type="dxa"/>
            <w:tcBorders>
              <w:bottom w:val="single" w:color="000000" w:sz="8" w:space="0"/>
              <w:right w:val="single" w:color="000000" w:sz="8" w:space="0"/>
            </w:tcBorders>
            <w:noWrap w:val="0"/>
            <w:tcMar>
              <w:top w:w="0" w:type="dxa"/>
              <w:left w:w="113" w:type="dxa"/>
              <w:bottom w:w="0" w:type="dxa"/>
              <w:right w:w="118" w:type="dxa"/>
            </w:tcMar>
            <w:vAlign w:val="top"/>
          </w:tcPr>
          <w:p w14:paraId="778582B6">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协助办公室对全局邮件进行收发服务，对本单位邮件登记清册，可供采购人随时查看。无特殊情况，邮件寄递和分发本单位所收邮件均需在当天内完成。</w:t>
            </w:r>
          </w:p>
        </w:tc>
      </w:tr>
      <w:tr w14:paraId="58494397">
        <w:tblPrEx>
          <w:tblCellMar>
            <w:top w:w="15" w:type="dxa"/>
            <w:left w:w="15" w:type="dxa"/>
            <w:bottom w:w="15" w:type="dxa"/>
            <w:right w:w="15" w:type="dxa"/>
          </w:tblCellMar>
        </w:tblPrEx>
        <w:trPr>
          <w:trHeight w:val="842" w:hRule="atLeast"/>
        </w:trPr>
        <w:tc>
          <w:tcPr>
            <w:tcW w:w="915"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79672E32">
            <w:pPr>
              <w:pStyle w:val="50"/>
              <w:spacing w:line="480" w:lineRule="exact"/>
              <w:ind w:firstLine="0"/>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 w:val="21"/>
                <w:szCs w:val="21"/>
                <w:highlight w:val="none"/>
              </w:rPr>
              <w:t>7</w:t>
            </w:r>
          </w:p>
        </w:tc>
        <w:tc>
          <w:tcPr>
            <w:tcW w:w="1551" w:type="dxa"/>
            <w:tcBorders>
              <w:bottom w:val="single" w:color="000000" w:sz="8" w:space="0"/>
              <w:right w:val="single" w:color="000000" w:sz="8" w:space="0"/>
            </w:tcBorders>
            <w:noWrap w:val="0"/>
            <w:tcMar>
              <w:top w:w="0" w:type="dxa"/>
              <w:left w:w="113" w:type="dxa"/>
              <w:bottom w:w="0" w:type="dxa"/>
              <w:right w:w="118" w:type="dxa"/>
            </w:tcMar>
            <w:vAlign w:val="center"/>
          </w:tcPr>
          <w:p w14:paraId="4989B01E">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报刊、杂志分配服务</w:t>
            </w:r>
          </w:p>
        </w:tc>
        <w:tc>
          <w:tcPr>
            <w:tcW w:w="6571" w:type="dxa"/>
            <w:tcBorders>
              <w:bottom w:val="single" w:color="000000" w:sz="8" w:space="0"/>
              <w:right w:val="single" w:color="000000" w:sz="8" w:space="0"/>
            </w:tcBorders>
            <w:noWrap w:val="0"/>
            <w:tcMar>
              <w:top w:w="0" w:type="dxa"/>
              <w:left w:w="113" w:type="dxa"/>
              <w:bottom w:w="0" w:type="dxa"/>
              <w:right w:w="118" w:type="dxa"/>
            </w:tcMar>
            <w:vAlign w:val="top"/>
          </w:tcPr>
          <w:p w14:paraId="12042A60">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为采购人收取、搬运、分发报刊杂志，各部门报刊杂志需根据采购人要求及时分配到位。</w:t>
            </w:r>
          </w:p>
        </w:tc>
      </w:tr>
      <w:tr w14:paraId="19B0CD00">
        <w:tblPrEx>
          <w:tblCellMar>
            <w:top w:w="15" w:type="dxa"/>
            <w:left w:w="15" w:type="dxa"/>
            <w:bottom w:w="15" w:type="dxa"/>
            <w:right w:w="15" w:type="dxa"/>
          </w:tblCellMar>
        </w:tblPrEx>
        <w:trPr>
          <w:trHeight w:val="842" w:hRule="atLeast"/>
        </w:trPr>
        <w:tc>
          <w:tcPr>
            <w:tcW w:w="915" w:type="dxa"/>
            <w:tcBorders>
              <w:left w:val="single" w:color="000000" w:sz="8" w:space="0"/>
              <w:bottom w:val="single" w:color="000000" w:sz="8" w:space="0"/>
              <w:right w:val="single" w:color="000000" w:sz="8" w:space="0"/>
            </w:tcBorders>
            <w:noWrap w:val="0"/>
            <w:tcMar>
              <w:top w:w="0" w:type="dxa"/>
              <w:left w:w="118" w:type="dxa"/>
              <w:bottom w:w="0" w:type="dxa"/>
              <w:right w:w="118" w:type="dxa"/>
            </w:tcMar>
            <w:vAlign w:val="center"/>
          </w:tcPr>
          <w:p w14:paraId="1A437442">
            <w:pPr>
              <w:pStyle w:val="50"/>
              <w:spacing w:line="480" w:lineRule="exact"/>
              <w:ind w:firstLine="0"/>
              <w:jc w:val="left"/>
              <w:rPr>
                <w:rFonts w:hint="eastAsia" w:ascii="宋体" w:hAnsi="宋体" w:eastAsia="宋体" w:cs="宋体"/>
                <w:b w:val="0"/>
                <w:bCs w:val="0"/>
                <w:i w:val="0"/>
                <w:iCs w:val="0"/>
                <w:smallCaps w:val="0"/>
                <w:color w:val="auto"/>
                <w:szCs w:val="21"/>
                <w:highlight w:val="none"/>
              </w:rPr>
            </w:pPr>
            <w:r>
              <w:rPr>
                <w:rFonts w:hint="eastAsia" w:ascii="宋体" w:hAnsi="宋体" w:eastAsia="宋体" w:cs="宋体"/>
                <w:b w:val="0"/>
                <w:bCs w:val="0"/>
                <w:i w:val="0"/>
                <w:iCs w:val="0"/>
                <w:smallCaps w:val="0"/>
                <w:color w:val="auto"/>
                <w:sz w:val="21"/>
                <w:szCs w:val="21"/>
                <w:highlight w:val="none"/>
              </w:rPr>
              <w:t>8</w:t>
            </w:r>
          </w:p>
        </w:tc>
        <w:tc>
          <w:tcPr>
            <w:tcW w:w="1551" w:type="dxa"/>
            <w:tcBorders>
              <w:bottom w:val="single" w:color="000000" w:sz="8" w:space="0"/>
              <w:right w:val="single" w:color="000000" w:sz="8" w:space="0"/>
            </w:tcBorders>
            <w:noWrap w:val="0"/>
            <w:tcMar>
              <w:top w:w="0" w:type="dxa"/>
              <w:left w:w="113" w:type="dxa"/>
              <w:bottom w:w="0" w:type="dxa"/>
              <w:right w:w="118" w:type="dxa"/>
            </w:tcMar>
            <w:vAlign w:val="center"/>
          </w:tcPr>
          <w:p w14:paraId="7F0748AD">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负一楼</w:t>
            </w:r>
            <w:r>
              <w:rPr>
                <w:rFonts w:hint="eastAsia" w:ascii="宋体" w:hAnsi="宋体" w:cs="宋体"/>
                <w:b w:val="0"/>
                <w:bCs w:val="0"/>
                <w:i w:val="0"/>
                <w:iCs w:val="0"/>
                <w:smallCaps w:val="0"/>
                <w:color w:val="auto"/>
                <w:sz w:val="21"/>
                <w:szCs w:val="21"/>
                <w:highlight w:val="none"/>
                <w:lang w:eastAsia="zh-CN"/>
              </w:rPr>
              <w:t>管理服务</w:t>
            </w:r>
          </w:p>
        </w:tc>
        <w:tc>
          <w:tcPr>
            <w:tcW w:w="6571" w:type="dxa"/>
            <w:tcBorders>
              <w:bottom w:val="single" w:color="000000" w:sz="8" w:space="0"/>
              <w:right w:val="single" w:color="000000" w:sz="8" w:space="0"/>
            </w:tcBorders>
            <w:noWrap w:val="0"/>
            <w:tcMar>
              <w:top w:w="0" w:type="dxa"/>
              <w:left w:w="113" w:type="dxa"/>
              <w:bottom w:w="0" w:type="dxa"/>
              <w:right w:w="118" w:type="dxa"/>
            </w:tcMar>
            <w:vAlign w:val="top"/>
          </w:tcPr>
          <w:p w14:paraId="77B2F8B5">
            <w:pPr>
              <w:pStyle w:val="9"/>
              <w:keepNext w:val="0"/>
              <w:keepLines w:val="0"/>
              <w:widowControl/>
              <w:suppressLineNumbers w:val="0"/>
              <w:spacing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smallCaps w:val="0"/>
                <w:color w:val="auto"/>
                <w:sz w:val="21"/>
                <w:szCs w:val="21"/>
                <w:highlight w:val="none"/>
              </w:rPr>
              <w:t>供应商</w:t>
            </w:r>
            <w:r>
              <w:rPr>
                <w:rFonts w:hint="eastAsia" w:cs="宋体"/>
                <w:color w:val="auto"/>
                <w:sz w:val="21"/>
                <w:szCs w:val="21"/>
                <w:highlight w:val="none"/>
                <w:lang w:val="en-US" w:eastAsia="zh-CN"/>
              </w:rPr>
              <w:t>对采购人办公楼负一楼提供日常管理及日常巡检服务，管理工作包括但不限于以下内容：为负一楼水泵房、配电房，仓库提供管理服务；每周对负一楼进行卫生打扫，保证负一楼干净整洁；为确保负一楼配电、水泵，车场等设施设备的正常使用，加强定期巡检，确保不发生漏水、漏电等安全隐患；定期检查负一楼防汛物资，汛期及时处理雨水倒灌等问题。</w:t>
            </w:r>
          </w:p>
          <w:p w14:paraId="2613569E">
            <w:pPr>
              <w:pStyle w:val="9"/>
              <w:widowControl/>
              <w:rPr>
                <w:rFonts w:hint="eastAsia" w:ascii="宋体" w:hAnsi="宋体" w:eastAsia="宋体" w:cs="宋体"/>
                <w:b w:val="0"/>
                <w:bCs w:val="0"/>
                <w:i w:val="0"/>
                <w:iCs w:val="0"/>
                <w:smallCaps w:val="0"/>
                <w:color w:val="auto"/>
                <w:sz w:val="21"/>
                <w:szCs w:val="21"/>
                <w:highlight w:val="none"/>
              </w:rPr>
            </w:pPr>
          </w:p>
        </w:tc>
      </w:tr>
    </w:tbl>
    <w:p w14:paraId="6D989445">
      <w:pPr>
        <w:pStyle w:val="3"/>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color w:val="auto"/>
          <w:kern w:val="36"/>
          <w:sz w:val="21"/>
          <w:szCs w:val="21"/>
          <w:highlight w:val="none"/>
        </w:rPr>
        <w:t>4</w:t>
      </w:r>
      <w:r>
        <w:rPr>
          <w:rFonts w:hint="eastAsia" w:ascii="宋体" w:hAnsi="宋体" w:cs="宋体"/>
          <w:color w:val="auto"/>
          <w:kern w:val="36"/>
          <w:sz w:val="21"/>
          <w:szCs w:val="21"/>
          <w:highlight w:val="none"/>
          <w:lang w:eastAsia="zh-CN"/>
        </w:rPr>
        <w:t>岗位</w:t>
      </w:r>
      <w:r>
        <w:rPr>
          <w:rFonts w:hint="eastAsia" w:ascii="宋体" w:hAnsi="宋体" w:eastAsia="宋体" w:cs="宋体"/>
          <w:color w:val="auto"/>
          <w:kern w:val="36"/>
          <w:sz w:val="21"/>
          <w:szCs w:val="21"/>
          <w:highlight w:val="none"/>
        </w:rPr>
        <w:t>要求</w:t>
      </w:r>
    </w:p>
    <w:p w14:paraId="462704CD">
      <w:pPr>
        <w:pStyle w:val="4"/>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i w:val="0"/>
          <w:iCs w:val="0"/>
          <w:color w:val="auto"/>
          <w:sz w:val="21"/>
          <w:szCs w:val="21"/>
          <w:highlight w:val="none"/>
        </w:rPr>
        <w:t>4.1团队要求</w:t>
      </w:r>
    </w:p>
    <w:p w14:paraId="5B5A4F7D">
      <w:pPr>
        <w:pStyle w:val="5"/>
        <w:keepNext w:val="0"/>
        <w:spacing w:before="0" w:after="0" w:line="4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4.1.1</w:t>
      </w:r>
      <w:r>
        <w:rPr>
          <w:rFonts w:hint="eastAsia" w:ascii="宋体" w:hAnsi="宋体" w:eastAsia="宋体" w:cs="宋体"/>
          <w:color w:val="auto"/>
          <w:sz w:val="21"/>
          <w:szCs w:val="21"/>
          <w:highlight w:val="none"/>
          <w:lang w:eastAsia="zh-CN"/>
        </w:rPr>
        <w:t>岗位</w:t>
      </w:r>
      <w:r>
        <w:rPr>
          <w:rFonts w:hint="eastAsia" w:ascii="宋体" w:hAnsi="宋体" w:eastAsia="宋体" w:cs="宋体"/>
          <w:color w:val="auto"/>
          <w:sz w:val="21"/>
          <w:szCs w:val="21"/>
          <w:highlight w:val="none"/>
        </w:rPr>
        <w:t>配置要求</w:t>
      </w:r>
    </w:p>
    <w:p w14:paraId="5C215F5D">
      <w:pPr>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服务配置总</w:t>
      </w:r>
      <w:r>
        <w:rPr>
          <w:rFonts w:hint="eastAsia" w:ascii="宋体" w:hAnsi="宋体" w:cs="宋体"/>
          <w:color w:val="auto"/>
          <w:sz w:val="21"/>
          <w:szCs w:val="21"/>
          <w:highlight w:val="none"/>
          <w:lang w:eastAsia="zh-CN"/>
        </w:rPr>
        <w:t>岗位</w:t>
      </w:r>
      <w:r>
        <w:rPr>
          <w:rFonts w:hint="eastAsia" w:ascii="宋体" w:hAnsi="宋体" w:eastAsia="宋体" w:cs="宋体"/>
          <w:color w:val="auto"/>
          <w:sz w:val="21"/>
          <w:szCs w:val="21"/>
          <w:highlight w:val="none"/>
        </w:rPr>
        <w:t>数</w:t>
      </w: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lang w:eastAsia="zh-CN"/>
        </w:rPr>
        <w:t>个</w:t>
      </w:r>
      <w:r>
        <w:rPr>
          <w:rFonts w:hint="eastAsia" w:ascii="宋体" w:hAnsi="宋体" w:eastAsia="宋体" w:cs="宋体"/>
          <w:color w:val="auto"/>
          <w:sz w:val="21"/>
          <w:szCs w:val="21"/>
          <w:highlight w:val="none"/>
        </w:rPr>
        <w:t>，其中物业经理</w:t>
      </w:r>
      <w:r>
        <w:rPr>
          <w:rFonts w:hint="eastAsia" w:ascii="宋体" w:hAnsi="宋体" w:cs="宋体"/>
          <w:color w:val="auto"/>
          <w:sz w:val="21"/>
          <w:szCs w:val="21"/>
          <w:highlight w:val="none"/>
          <w:lang w:eastAsia="zh-CN"/>
        </w:rPr>
        <w:t>岗</w:t>
      </w: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个</w:t>
      </w:r>
      <w:r>
        <w:rPr>
          <w:rFonts w:hint="eastAsia" w:ascii="宋体" w:hAnsi="宋体" w:eastAsia="宋体" w:cs="宋体"/>
          <w:color w:val="auto"/>
          <w:sz w:val="21"/>
          <w:szCs w:val="21"/>
          <w:highlight w:val="none"/>
        </w:rPr>
        <w:t>，会议服务员</w:t>
      </w:r>
      <w:r>
        <w:rPr>
          <w:rFonts w:hint="eastAsia" w:ascii="宋体" w:hAnsi="宋体" w:cs="宋体"/>
          <w:color w:val="auto"/>
          <w:sz w:val="21"/>
          <w:szCs w:val="21"/>
          <w:highlight w:val="none"/>
          <w:lang w:eastAsia="zh-CN"/>
        </w:rPr>
        <w:t>岗</w:t>
      </w: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个</w:t>
      </w:r>
      <w:r>
        <w:rPr>
          <w:rFonts w:hint="eastAsia" w:ascii="宋体" w:hAnsi="宋体" w:eastAsia="宋体" w:cs="宋体"/>
          <w:color w:val="auto"/>
          <w:sz w:val="21"/>
          <w:szCs w:val="21"/>
          <w:highlight w:val="none"/>
        </w:rPr>
        <w:t>，工程人员</w:t>
      </w:r>
      <w:r>
        <w:rPr>
          <w:rFonts w:hint="eastAsia" w:ascii="宋体" w:hAnsi="宋体" w:cs="宋体"/>
          <w:color w:val="auto"/>
          <w:sz w:val="21"/>
          <w:szCs w:val="21"/>
          <w:highlight w:val="none"/>
          <w:lang w:eastAsia="zh-CN"/>
        </w:rPr>
        <w:t>岗</w:t>
      </w: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个</w:t>
      </w:r>
      <w:r>
        <w:rPr>
          <w:rFonts w:hint="eastAsia" w:ascii="宋体" w:hAnsi="宋体" w:eastAsia="宋体" w:cs="宋体"/>
          <w:color w:val="auto"/>
          <w:sz w:val="21"/>
          <w:szCs w:val="21"/>
          <w:highlight w:val="none"/>
        </w:rPr>
        <w:t>，保洁员</w:t>
      </w:r>
      <w:r>
        <w:rPr>
          <w:rFonts w:hint="eastAsia" w:ascii="宋体" w:hAnsi="宋体" w:cs="宋体"/>
          <w:color w:val="auto"/>
          <w:sz w:val="21"/>
          <w:szCs w:val="21"/>
          <w:highlight w:val="none"/>
          <w:lang w:eastAsia="zh-CN"/>
        </w:rPr>
        <w:t>岗</w:t>
      </w:r>
      <w:r>
        <w:rPr>
          <w:rFonts w:hint="eastAsia" w:ascii="宋体" w:hAnsi="宋体" w:cs="宋体"/>
          <w:color w:val="auto"/>
          <w:sz w:val="21"/>
          <w:szCs w:val="21"/>
          <w:highlight w:val="none"/>
          <w:lang w:val="en-US" w:eastAsia="zh-CN"/>
        </w:rPr>
        <w:t>8个，</w:t>
      </w:r>
      <w:r>
        <w:rPr>
          <w:rFonts w:hint="eastAsia" w:ascii="宋体" w:hAnsi="宋体" w:eastAsia="宋体" w:cs="宋体"/>
          <w:color w:val="auto"/>
          <w:sz w:val="21"/>
          <w:szCs w:val="21"/>
          <w:highlight w:val="none"/>
        </w:rPr>
        <w:t>保安员</w:t>
      </w:r>
      <w:r>
        <w:rPr>
          <w:rFonts w:hint="eastAsia" w:ascii="宋体" w:hAnsi="宋体" w:cs="宋体"/>
          <w:color w:val="auto"/>
          <w:sz w:val="21"/>
          <w:szCs w:val="21"/>
          <w:highlight w:val="none"/>
          <w:lang w:eastAsia="zh-CN"/>
        </w:rPr>
        <w:t>岗</w:t>
      </w:r>
      <w:r>
        <w:rPr>
          <w:rFonts w:hint="eastAsia" w:ascii="宋体" w:hAnsi="宋体" w:cs="宋体"/>
          <w:color w:val="auto"/>
          <w:sz w:val="21"/>
          <w:szCs w:val="21"/>
          <w:highlight w:val="none"/>
          <w:lang w:val="en-US" w:eastAsia="zh-CN"/>
        </w:rPr>
        <w:t>11个</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绿化员</w:t>
      </w:r>
      <w:r>
        <w:rPr>
          <w:rFonts w:hint="eastAsia" w:ascii="宋体" w:hAnsi="宋体" w:cs="宋体"/>
          <w:color w:val="auto"/>
          <w:sz w:val="21"/>
          <w:szCs w:val="21"/>
          <w:highlight w:val="none"/>
          <w:lang w:eastAsia="zh-CN"/>
        </w:rPr>
        <w:t>岗</w:t>
      </w: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个</w:t>
      </w:r>
      <w:r>
        <w:rPr>
          <w:rFonts w:hint="eastAsia" w:ascii="宋体" w:hAnsi="宋体" w:eastAsia="宋体" w:cs="宋体"/>
          <w:color w:val="auto"/>
          <w:sz w:val="21"/>
          <w:szCs w:val="21"/>
          <w:highlight w:val="none"/>
        </w:rPr>
        <w:t>。</w:t>
      </w:r>
    </w:p>
    <w:p w14:paraId="0368B608">
      <w:pPr>
        <w:pStyle w:val="50"/>
        <w:spacing w:before="0" w:after="0" w:line="480" w:lineRule="exact"/>
        <w:ind w:firstLine="420" w:firstLineChars="200"/>
        <w:jc w:val="left"/>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工程人员</w:t>
      </w:r>
      <w:r>
        <w:rPr>
          <w:rFonts w:hint="eastAsia" w:ascii="宋体" w:hAnsi="宋体" w:cs="宋体"/>
          <w:color w:val="auto"/>
          <w:sz w:val="21"/>
          <w:szCs w:val="21"/>
          <w:highlight w:val="none"/>
          <w:lang w:eastAsia="zh-CN"/>
        </w:rPr>
        <w:t>岗位</w:t>
      </w: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个</w:t>
      </w:r>
      <w:r>
        <w:rPr>
          <w:rFonts w:hint="eastAsia" w:ascii="宋体" w:hAnsi="宋体" w:eastAsia="宋体" w:cs="宋体"/>
          <w:color w:val="auto"/>
          <w:sz w:val="21"/>
          <w:szCs w:val="21"/>
          <w:highlight w:val="none"/>
        </w:rPr>
        <w:t>，需具有相应水电维修和设备管理经验，均需持有《特种作业操作证》作业类别：电工作业、准</w:t>
      </w:r>
      <w:r>
        <w:rPr>
          <w:rFonts w:hint="eastAsia" w:ascii="宋体" w:hAnsi="宋体" w:cs="宋体"/>
          <w:color w:val="auto"/>
          <w:sz w:val="21"/>
          <w:szCs w:val="21"/>
          <w:highlight w:val="none"/>
          <w:lang w:eastAsia="zh-CN"/>
        </w:rPr>
        <w:t>操</w:t>
      </w:r>
      <w:r>
        <w:rPr>
          <w:rFonts w:hint="eastAsia" w:ascii="宋体" w:hAnsi="宋体" w:eastAsia="宋体" w:cs="宋体"/>
          <w:color w:val="auto"/>
          <w:sz w:val="21"/>
          <w:szCs w:val="21"/>
          <w:highlight w:val="none"/>
        </w:rPr>
        <w:t>项目：高压电作业；</w:t>
      </w:r>
    </w:p>
    <w:p w14:paraId="656A7674">
      <w:pPr>
        <w:pStyle w:val="50"/>
        <w:spacing w:before="0" w:after="0" w:line="480" w:lineRule="exact"/>
        <w:ind w:firstLine="420" w:firstLineChars="200"/>
        <w:jc w:val="left"/>
        <w:rPr>
          <w:rFonts w:hint="eastAsia" w:ascii="宋体" w:hAnsi="宋体" w:eastAsia="宋体" w:cs="宋体"/>
          <w:color w:val="auto"/>
          <w:szCs w:val="21"/>
          <w:highlight w:val="none"/>
        </w:rPr>
      </w:pPr>
      <w:r>
        <w:rPr>
          <w:rFonts w:ascii="宋体" w:hAnsi="宋体" w:eastAsia="宋体" w:cs="宋体"/>
          <w:color w:val="auto"/>
          <w:sz w:val="21"/>
          <w:szCs w:val="21"/>
          <w:highlight w:val="none"/>
        </w:rPr>
        <w:t>★</w:t>
      </w:r>
      <w:r>
        <w:rPr>
          <w:rFonts w:hint="eastAsia" w:ascii="宋体" w:hAnsi="宋体" w:cs="宋体"/>
          <w:color w:val="auto"/>
          <w:sz w:val="21"/>
          <w:szCs w:val="21"/>
          <w:highlight w:val="none"/>
          <w:lang w:eastAsia="zh-CN"/>
        </w:rPr>
        <w:t>从事</w:t>
      </w:r>
      <w:r>
        <w:rPr>
          <w:rFonts w:hint="eastAsia" w:ascii="宋体" w:hAnsi="宋体" w:eastAsia="宋体" w:cs="宋体"/>
          <w:color w:val="auto"/>
          <w:szCs w:val="21"/>
          <w:highlight w:val="none"/>
        </w:rPr>
        <w:t>消防控制室</w:t>
      </w:r>
      <w:r>
        <w:rPr>
          <w:rFonts w:hint="eastAsia" w:ascii="宋体" w:hAnsi="宋体" w:cs="宋体"/>
          <w:color w:val="auto"/>
          <w:szCs w:val="21"/>
          <w:highlight w:val="none"/>
          <w:lang w:eastAsia="zh-CN"/>
        </w:rPr>
        <w:t>工作的岗位</w:t>
      </w:r>
      <w:r>
        <w:rPr>
          <w:rFonts w:hint="eastAsia" w:ascii="宋体" w:hAnsi="宋体" w:eastAsia="宋体" w:cs="宋体"/>
          <w:color w:val="auto"/>
          <w:szCs w:val="21"/>
          <w:highlight w:val="none"/>
        </w:rPr>
        <w:t>人员</w:t>
      </w:r>
      <w:r>
        <w:rPr>
          <w:rFonts w:hint="eastAsia" w:ascii="宋体" w:hAnsi="宋体" w:cs="宋体"/>
          <w:color w:val="auto"/>
          <w:szCs w:val="21"/>
          <w:highlight w:val="none"/>
          <w:lang w:eastAsia="zh-CN"/>
        </w:rPr>
        <w:t>需</w:t>
      </w:r>
      <w:r>
        <w:rPr>
          <w:rFonts w:hint="eastAsia" w:ascii="宋体" w:hAnsi="宋体" w:eastAsia="宋体" w:cs="宋体"/>
          <w:color w:val="auto"/>
          <w:szCs w:val="21"/>
          <w:highlight w:val="none"/>
        </w:rPr>
        <w:t>持有建（构）筑物消防员五级</w:t>
      </w:r>
      <w:r>
        <w:rPr>
          <w:rFonts w:hint="eastAsia" w:ascii="宋体" w:hAnsi="宋体" w:eastAsia="宋体" w:cs="宋体"/>
          <w:color w:val="auto"/>
          <w:szCs w:val="21"/>
          <w:highlight w:val="none"/>
          <w:lang w:val="en-US" w:eastAsia="zh-CN"/>
        </w:rPr>
        <w:t>及以上</w:t>
      </w:r>
      <w:r>
        <w:rPr>
          <w:rFonts w:hint="eastAsia" w:ascii="宋体" w:hAnsi="宋体" w:eastAsia="宋体" w:cs="宋体"/>
          <w:color w:val="auto"/>
          <w:szCs w:val="21"/>
          <w:highlight w:val="none"/>
        </w:rPr>
        <w:t>职业资格证书</w:t>
      </w:r>
      <w:r>
        <w:rPr>
          <w:rFonts w:hint="eastAsia" w:ascii="宋体" w:hAnsi="宋体" w:cs="宋体"/>
          <w:color w:val="auto"/>
          <w:szCs w:val="21"/>
          <w:highlight w:val="none"/>
          <w:lang w:val="en-US" w:eastAsia="zh-CN"/>
        </w:rPr>
        <w:t>或初级及以上《消防设施操作员</w:t>
      </w:r>
      <w:r>
        <w:rPr>
          <w:rFonts w:hint="eastAsia" w:ascii="宋体" w:hAnsi="宋体" w:eastAsia="宋体" w:cs="宋体"/>
          <w:color w:val="auto"/>
          <w:szCs w:val="21"/>
          <w:highlight w:val="none"/>
        </w:rPr>
        <w:t>》职业资格证书。</w:t>
      </w:r>
    </w:p>
    <w:p w14:paraId="1C24FC69">
      <w:pPr>
        <w:pStyle w:val="5"/>
        <w:keepNext w:val="0"/>
        <w:spacing w:before="0" w:after="0" w:line="4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4.1.2基本要求</w:t>
      </w:r>
    </w:p>
    <w:p w14:paraId="218AD597">
      <w:pPr>
        <w:pStyle w:val="50"/>
        <w:spacing w:before="0" w:after="0" w:line="480" w:lineRule="exact"/>
        <w:ind w:firstLine="420" w:firstLineChars="200"/>
        <w:jc w:val="left"/>
        <w:rPr>
          <w:rFonts w:hint="default" w:ascii="宋体" w:hAnsi="宋体" w:eastAsia="宋体" w:cs="宋体"/>
          <w:color w:val="auto"/>
          <w:sz w:val="21"/>
          <w:szCs w:val="21"/>
          <w:highlight w:val="none"/>
        </w:rPr>
      </w:pPr>
      <w:r>
        <w:rPr>
          <w:rFonts w:ascii="宋体" w:hAnsi="宋体" w:eastAsia="宋体" w:cs="宋体"/>
          <w:color w:val="auto"/>
          <w:sz w:val="21"/>
          <w:szCs w:val="21"/>
          <w:highlight w:val="none"/>
        </w:rPr>
        <w:t>★</w:t>
      </w:r>
      <w:r>
        <w:rPr>
          <w:rFonts w:hint="default" w:ascii="宋体" w:hAnsi="宋体" w:eastAsia="宋体" w:cs="宋体"/>
          <w:color w:val="auto"/>
          <w:sz w:val="21"/>
          <w:szCs w:val="21"/>
          <w:highlight w:val="none"/>
        </w:rPr>
        <w:t>供应商提供的服务人员应当相对稳定，按要求合理配置服务人员，优先派遣有类似工作经验的服务团队。确保做好物业管理服务（合同签订时供应商须提供服务人员具体信息资料、岗位配置书面材料）。且应无条件配合采购人人事部门及需求服务部门的需要，对人员进行档案、考勤等方面的管理。（投标时提供承诺书）。</w:t>
      </w:r>
    </w:p>
    <w:p w14:paraId="3D1082F6">
      <w:pPr>
        <w:pStyle w:val="50"/>
        <w:spacing w:before="0" w:after="0" w:line="480" w:lineRule="exact"/>
        <w:ind w:firstLine="420" w:firstLineChars="200"/>
        <w:jc w:val="left"/>
        <w:rPr>
          <w:rFonts w:hint="default" w:ascii="宋体" w:hAnsi="宋体" w:eastAsia="宋体" w:cs="宋体"/>
          <w:color w:val="auto"/>
          <w:sz w:val="21"/>
          <w:szCs w:val="21"/>
          <w:highlight w:val="none"/>
        </w:rPr>
      </w:pPr>
      <w:r>
        <w:rPr>
          <w:rFonts w:ascii="宋体" w:hAnsi="宋体" w:eastAsia="宋体" w:cs="宋体"/>
          <w:color w:val="auto"/>
          <w:sz w:val="21"/>
          <w:szCs w:val="21"/>
          <w:highlight w:val="none"/>
        </w:rPr>
        <w:t>★</w:t>
      </w:r>
      <w:r>
        <w:rPr>
          <w:rFonts w:hint="default" w:ascii="宋体" w:hAnsi="宋体" w:eastAsia="宋体" w:cs="宋体"/>
          <w:color w:val="auto"/>
          <w:sz w:val="21"/>
          <w:szCs w:val="21"/>
          <w:highlight w:val="none"/>
        </w:rPr>
        <w:t>物业公司对派驻的各岗位人员应能提供相关证明材料以清晰反应物业公司与派驻人员之间的劳动聘用关系。派驻的各岗位人员相关待遇不能低于昆明当地劳动保障部门规定的最低工资标准要求及依法购买社会保险，劳动用工不得有任何违反国家、省、市有关法律法规的规定。派驻的所有人员须持有无犯罪证明和持有本人身体健康证明（县级以上医院体检证明）且体检取得的健康证明时间应为入职当年。（投标时提供承诺书）。</w:t>
      </w:r>
    </w:p>
    <w:p w14:paraId="79CCB17D">
      <w:pPr>
        <w:pStyle w:val="5"/>
        <w:keepNext w:val="0"/>
        <w:spacing w:before="0" w:after="0" w:line="4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4.1.3优选资质/优选指标</w:t>
      </w:r>
    </w:p>
    <w:tbl>
      <w:tblPr>
        <w:tblStyle w:val="25"/>
        <w:tblW w:w="5000" w:type="pct"/>
        <w:tblInd w:w="30" w:type="dxa"/>
        <w:tblLayout w:type="autofit"/>
        <w:tblCellMar>
          <w:top w:w="15" w:type="dxa"/>
          <w:left w:w="15" w:type="dxa"/>
          <w:bottom w:w="15" w:type="dxa"/>
          <w:right w:w="15" w:type="dxa"/>
        </w:tblCellMar>
      </w:tblPr>
      <w:tblGrid>
        <w:gridCol w:w="591"/>
        <w:gridCol w:w="1068"/>
        <w:gridCol w:w="1033"/>
        <w:gridCol w:w="4912"/>
        <w:gridCol w:w="1060"/>
      </w:tblGrid>
      <w:tr w14:paraId="28EB01EC">
        <w:tblPrEx>
          <w:tblCellMar>
            <w:top w:w="15" w:type="dxa"/>
            <w:left w:w="15" w:type="dxa"/>
            <w:bottom w:w="15" w:type="dxa"/>
            <w:right w:w="15" w:type="dxa"/>
          </w:tblCellMar>
        </w:tblPrEx>
        <w:tc>
          <w:tcPr>
            <w:tcW w:w="341"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5823CB97">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序号</w:t>
            </w:r>
          </w:p>
        </w:tc>
        <w:tc>
          <w:tcPr>
            <w:tcW w:w="616"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2411F3BF">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人员类别</w:t>
            </w:r>
          </w:p>
        </w:tc>
        <w:tc>
          <w:tcPr>
            <w:tcW w:w="596"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2549B1F1">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人员岗位</w:t>
            </w:r>
          </w:p>
        </w:tc>
        <w:tc>
          <w:tcPr>
            <w:tcW w:w="2834"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2291111">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人员要求</w:t>
            </w:r>
          </w:p>
        </w:tc>
        <w:tc>
          <w:tcPr>
            <w:tcW w:w="611"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566E36DB">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是否作为加分项</w:t>
            </w:r>
          </w:p>
        </w:tc>
      </w:tr>
      <w:tr w14:paraId="2B959DB0">
        <w:tblPrEx>
          <w:tblCellMar>
            <w:top w:w="15" w:type="dxa"/>
            <w:left w:w="15" w:type="dxa"/>
            <w:bottom w:w="15" w:type="dxa"/>
            <w:right w:w="15" w:type="dxa"/>
          </w:tblCellMar>
        </w:tblPrEx>
        <w:tc>
          <w:tcPr>
            <w:tcW w:w="34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644C8B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w:t>
            </w:r>
          </w:p>
        </w:tc>
        <w:tc>
          <w:tcPr>
            <w:tcW w:w="61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1EB23C2">
            <w:pPr>
              <w:spacing w:line="480" w:lineRule="exact"/>
              <w:jc w:val="left"/>
              <w:rPr>
                <w:rFonts w:hint="eastAsia" w:ascii="宋体" w:hAnsi="宋体" w:eastAsia="宋体" w:cs="宋体"/>
                <w:b w:val="0"/>
                <w:bCs w:val="0"/>
                <w:i w:val="0"/>
                <w:iCs w:val="0"/>
                <w:smallCaps w:val="0"/>
                <w:color w:val="auto"/>
                <w:sz w:val="21"/>
                <w:szCs w:val="21"/>
                <w:highlight w:val="none"/>
                <w:lang w:eastAsia="zh-CN"/>
              </w:rPr>
            </w:pPr>
            <w:r>
              <w:rPr>
                <w:rFonts w:hint="eastAsia" w:ascii="宋体" w:hAnsi="宋体" w:eastAsia="宋体" w:cs="宋体"/>
                <w:b w:val="0"/>
                <w:bCs w:val="0"/>
                <w:i w:val="0"/>
                <w:iCs w:val="0"/>
                <w:smallCaps w:val="0"/>
                <w:color w:val="auto"/>
                <w:sz w:val="21"/>
                <w:szCs w:val="21"/>
                <w:highlight w:val="none"/>
              </w:rPr>
              <w:t>物业经理</w:t>
            </w:r>
            <w:r>
              <w:rPr>
                <w:rFonts w:hint="eastAsia" w:ascii="宋体" w:hAnsi="宋体" w:cs="宋体"/>
                <w:b w:val="0"/>
                <w:bCs w:val="0"/>
                <w:i w:val="0"/>
                <w:iCs w:val="0"/>
                <w:smallCaps w:val="0"/>
                <w:color w:val="auto"/>
                <w:sz w:val="21"/>
                <w:szCs w:val="21"/>
                <w:highlight w:val="none"/>
                <w:lang w:eastAsia="zh-CN"/>
              </w:rPr>
              <w:t>岗</w:t>
            </w:r>
          </w:p>
        </w:tc>
        <w:tc>
          <w:tcPr>
            <w:tcW w:w="59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BDC3DC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w:t>
            </w:r>
          </w:p>
        </w:tc>
        <w:tc>
          <w:tcPr>
            <w:tcW w:w="283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A0ED41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（一）思想品德好，遵纪守法，品行端正，无违法违纪等行为。</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（二）诚实守信，品行兼优，有较强的事业心和责任感，有良好的职业道德。</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（三）年满18周岁以上。</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（四）身体健康，无传染性疾病，持有本人身体健康证明 （县级以上医院体检证明）且体检取得的健康证明时间应为入职当年。</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w:t>
            </w:r>
            <w:r>
              <w:rPr>
                <w:rFonts w:hint="eastAsia" w:ascii="宋体" w:hAnsi="宋体" w:cs="宋体"/>
                <w:b w:val="0"/>
                <w:bCs w:val="0"/>
                <w:i w:val="0"/>
                <w:iCs w:val="0"/>
                <w:smallCaps w:val="0"/>
                <w:color w:val="auto"/>
                <w:sz w:val="21"/>
                <w:szCs w:val="21"/>
                <w:highlight w:val="none"/>
                <w:lang w:val="en-US" w:eastAsia="zh-CN"/>
              </w:rPr>
              <w:t>五</w:t>
            </w:r>
            <w:r>
              <w:rPr>
                <w:rFonts w:hint="eastAsia" w:ascii="宋体" w:hAnsi="宋体" w:eastAsia="宋体" w:cs="宋体"/>
                <w:b w:val="0"/>
                <w:bCs w:val="0"/>
                <w:i w:val="0"/>
                <w:iCs w:val="0"/>
                <w:smallCaps w:val="0"/>
                <w:color w:val="auto"/>
                <w:sz w:val="21"/>
                <w:szCs w:val="21"/>
                <w:highlight w:val="none"/>
              </w:rPr>
              <w:t>）持有本人身份证、学历证明、户籍所辖派出所出具的无犯罪记录证明及需要提供的其他证件等。</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w:t>
            </w:r>
            <w:r>
              <w:rPr>
                <w:rFonts w:hint="eastAsia" w:ascii="宋体" w:hAnsi="宋体" w:cs="宋体"/>
                <w:b w:val="0"/>
                <w:bCs w:val="0"/>
                <w:i w:val="0"/>
                <w:iCs w:val="0"/>
                <w:smallCaps w:val="0"/>
                <w:color w:val="auto"/>
                <w:sz w:val="21"/>
                <w:szCs w:val="21"/>
                <w:highlight w:val="none"/>
                <w:lang w:val="en-US" w:eastAsia="zh-CN"/>
              </w:rPr>
              <w:t>六</w:t>
            </w:r>
            <w:r>
              <w:rPr>
                <w:rFonts w:hint="eastAsia" w:ascii="宋体" w:hAnsi="宋体" w:eastAsia="宋体" w:cs="宋体"/>
                <w:b w:val="0"/>
                <w:bCs w:val="0"/>
                <w:i w:val="0"/>
                <w:iCs w:val="0"/>
                <w:smallCaps w:val="0"/>
                <w:color w:val="auto"/>
                <w:sz w:val="21"/>
                <w:szCs w:val="21"/>
                <w:highlight w:val="none"/>
              </w:rPr>
              <w:t>）人员从事本岗位工作3年及以上；有较强的管理能力和工作经验，能够充分调动全体员工的积极性，善于管理、善于沟通。</w:t>
            </w:r>
          </w:p>
        </w:tc>
        <w:tc>
          <w:tcPr>
            <w:tcW w:w="61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F2D86A6">
            <w:pPr>
              <w:spacing w:line="480" w:lineRule="exact"/>
              <w:jc w:val="left"/>
              <w:rPr>
                <w:rFonts w:hint="eastAsia" w:ascii="宋体" w:hAnsi="宋体" w:eastAsia="宋体" w:cs="宋体"/>
                <w:b w:val="0"/>
                <w:bCs w:val="0"/>
                <w:i w:val="0"/>
                <w:iCs w:val="0"/>
                <w:smallCaps w:val="0"/>
                <w:color w:val="auto"/>
                <w:sz w:val="21"/>
                <w:szCs w:val="21"/>
                <w:highlight w:val="none"/>
              </w:rPr>
            </w:pPr>
          </w:p>
        </w:tc>
      </w:tr>
      <w:tr w14:paraId="55127EE4">
        <w:tblPrEx>
          <w:tblCellMar>
            <w:top w:w="15" w:type="dxa"/>
            <w:left w:w="15" w:type="dxa"/>
            <w:bottom w:w="15" w:type="dxa"/>
            <w:right w:w="15" w:type="dxa"/>
          </w:tblCellMar>
        </w:tblPrEx>
        <w:tc>
          <w:tcPr>
            <w:tcW w:w="34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3CD1C3E">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w:t>
            </w:r>
          </w:p>
        </w:tc>
        <w:tc>
          <w:tcPr>
            <w:tcW w:w="61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4C21F7F">
            <w:pPr>
              <w:spacing w:line="480" w:lineRule="exact"/>
              <w:jc w:val="left"/>
              <w:rPr>
                <w:rFonts w:hint="eastAsia" w:ascii="宋体" w:hAnsi="宋体" w:eastAsia="宋体" w:cs="宋体"/>
                <w:b w:val="0"/>
                <w:bCs w:val="0"/>
                <w:i w:val="0"/>
                <w:iCs w:val="0"/>
                <w:smallCaps w:val="0"/>
                <w:color w:val="auto"/>
                <w:sz w:val="21"/>
                <w:szCs w:val="21"/>
                <w:highlight w:val="none"/>
                <w:lang w:eastAsia="zh-CN"/>
              </w:rPr>
            </w:pPr>
            <w:r>
              <w:rPr>
                <w:rFonts w:hint="eastAsia" w:ascii="宋体" w:hAnsi="宋体" w:eastAsia="宋体" w:cs="宋体"/>
                <w:b w:val="0"/>
                <w:bCs w:val="0"/>
                <w:i w:val="0"/>
                <w:iCs w:val="0"/>
                <w:smallCaps w:val="0"/>
                <w:color w:val="auto"/>
                <w:sz w:val="21"/>
                <w:szCs w:val="21"/>
                <w:highlight w:val="none"/>
              </w:rPr>
              <w:t>会议服务员</w:t>
            </w:r>
            <w:r>
              <w:rPr>
                <w:rFonts w:hint="eastAsia" w:ascii="宋体" w:hAnsi="宋体" w:cs="宋体"/>
                <w:b w:val="0"/>
                <w:bCs w:val="0"/>
                <w:i w:val="0"/>
                <w:iCs w:val="0"/>
                <w:smallCaps w:val="0"/>
                <w:color w:val="auto"/>
                <w:sz w:val="21"/>
                <w:szCs w:val="21"/>
                <w:highlight w:val="none"/>
                <w:lang w:eastAsia="zh-CN"/>
              </w:rPr>
              <w:t>岗</w:t>
            </w:r>
          </w:p>
        </w:tc>
        <w:tc>
          <w:tcPr>
            <w:tcW w:w="59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401C12D">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w:t>
            </w:r>
          </w:p>
        </w:tc>
        <w:tc>
          <w:tcPr>
            <w:tcW w:w="283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D95BCF4">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（一）思想品德好，遵纪守法，品行端正，无违法违纪等行为。</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（二）诚实守信，品行兼优，有较强的事业心和责任感，有良好的职业道德。</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（三）年满18周岁以上。</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（四）身体健康，无传染性疾病，持有本人身体健康证明 （县级以上医院体检证明）且体检取得的健康证明时间应为入职当年。</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w:t>
            </w:r>
            <w:r>
              <w:rPr>
                <w:rFonts w:hint="eastAsia" w:ascii="宋体" w:hAnsi="宋体" w:cs="宋体"/>
                <w:b w:val="0"/>
                <w:bCs w:val="0"/>
                <w:i w:val="0"/>
                <w:iCs w:val="0"/>
                <w:smallCaps w:val="0"/>
                <w:color w:val="auto"/>
                <w:sz w:val="21"/>
                <w:szCs w:val="21"/>
                <w:highlight w:val="none"/>
                <w:lang w:val="en-US" w:eastAsia="zh-CN"/>
              </w:rPr>
              <w:t>五</w:t>
            </w:r>
            <w:r>
              <w:rPr>
                <w:rFonts w:hint="eastAsia" w:ascii="宋体" w:hAnsi="宋体" w:eastAsia="宋体" w:cs="宋体"/>
                <w:b w:val="0"/>
                <w:bCs w:val="0"/>
                <w:i w:val="0"/>
                <w:iCs w:val="0"/>
                <w:smallCaps w:val="0"/>
                <w:color w:val="auto"/>
                <w:sz w:val="21"/>
                <w:szCs w:val="21"/>
                <w:highlight w:val="none"/>
              </w:rPr>
              <w:t>）持有本人身份证、学历证明、户籍所辖派出所出具的无犯罪记录证明及需要提供的其他证件等。</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w:t>
            </w:r>
            <w:r>
              <w:rPr>
                <w:rFonts w:hint="eastAsia" w:ascii="宋体" w:hAnsi="宋体" w:cs="宋体"/>
                <w:b w:val="0"/>
                <w:bCs w:val="0"/>
                <w:i w:val="0"/>
                <w:iCs w:val="0"/>
                <w:smallCaps w:val="0"/>
                <w:color w:val="auto"/>
                <w:sz w:val="21"/>
                <w:szCs w:val="21"/>
                <w:highlight w:val="none"/>
                <w:lang w:val="en-US" w:eastAsia="zh-CN"/>
              </w:rPr>
              <w:t>六</w:t>
            </w:r>
            <w:r>
              <w:rPr>
                <w:rFonts w:hint="eastAsia" w:ascii="宋体" w:hAnsi="宋体" w:eastAsia="宋体" w:cs="宋体"/>
                <w:b w:val="0"/>
                <w:bCs w:val="0"/>
                <w:i w:val="0"/>
                <w:iCs w:val="0"/>
                <w:smallCaps w:val="0"/>
                <w:color w:val="auto"/>
                <w:sz w:val="21"/>
                <w:szCs w:val="21"/>
                <w:highlight w:val="none"/>
              </w:rPr>
              <w:t>）会务保障、报纸分发、邮件登记；做到及时，细致，高效，优质，安全，全面。女性，学历初中以上，具备相关的礼仪知识，服务得体大方，礼貌热情，形象好。</w:t>
            </w:r>
          </w:p>
        </w:tc>
        <w:tc>
          <w:tcPr>
            <w:tcW w:w="61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2690A8A">
            <w:pPr>
              <w:spacing w:line="480" w:lineRule="exact"/>
              <w:jc w:val="left"/>
              <w:rPr>
                <w:rFonts w:hint="eastAsia" w:ascii="宋体" w:hAnsi="宋体" w:eastAsia="宋体" w:cs="宋体"/>
                <w:b w:val="0"/>
                <w:bCs w:val="0"/>
                <w:i w:val="0"/>
                <w:iCs w:val="0"/>
                <w:smallCaps w:val="0"/>
                <w:color w:val="auto"/>
                <w:sz w:val="21"/>
                <w:szCs w:val="21"/>
                <w:highlight w:val="none"/>
              </w:rPr>
            </w:pPr>
          </w:p>
        </w:tc>
      </w:tr>
      <w:tr w14:paraId="3AD6FEE9">
        <w:tblPrEx>
          <w:tblCellMar>
            <w:top w:w="15" w:type="dxa"/>
            <w:left w:w="15" w:type="dxa"/>
            <w:bottom w:w="15" w:type="dxa"/>
            <w:right w:w="15" w:type="dxa"/>
          </w:tblCellMar>
        </w:tblPrEx>
        <w:tc>
          <w:tcPr>
            <w:tcW w:w="34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74E3AD0">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3</w:t>
            </w:r>
          </w:p>
        </w:tc>
        <w:tc>
          <w:tcPr>
            <w:tcW w:w="61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171CFC4">
            <w:pPr>
              <w:spacing w:line="480" w:lineRule="exact"/>
              <w:jc w:val="left"/>
              <w:rPr>
                <w:rFonts w:hint="eastAsia"/>
                <w:color w:val="auto"/>
                <w:highlight w:val="none"/>
              </w:rPr>
            </w:pPr>
            <w:r>
              <w:rPr>
                <w:rFonts w:hint="eastAsia"/>
                <w:color w:val="auto"/>
                <w:highlight w:val="none"/>
              </w:rPr>
              <w:t>工程人员</w:t>
            </w:r>
          </w:p>
          <w:p w14:paraId="039AAAF2">
            <w:pPr>
              <w:pStyle w:val="2"/>
              <w:rPr>
                <w:rFonts w:hint="eastAsia" w:eastAsia="宋体"/>
                <w:color w:val="auto"/>
                <w:highlight w:val="none"/>
                <w:lang w:eastAsia="zh-CN"/>
              </w:rPr>
            </w:pPr>
            <w:r>
              <w:rPr>
                <w:rFonts w:hint="eastAsia" w:ascii="宋体" w:hAnsi="宋体" w:cs="宋体"/>
                <w:b w:val="0"/>
                <w:bCs w:val="0"/>
                <w:i w:val="0"/>
                <w:iCs w:val="0"/>
                <w:smallCaps w:val="0"/>
                <w:color w:val="auto"/>
                <w:sz w:val="21"/>
                <w:szCs w:val="21"/>
                <w:highlight w:val="none"/>
                <w:lang w:eastAsia="zh-CN"/>
              </w:rPr>
              <w:t>岗</w:t>
            </w:r>
          </w:p>
        </w:tc>
        <w:tc>
          <w:tcPr>
            <w:tcW w:w="59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9331160">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2</w:t>
            </w:r>
          </w:p>
        </w:tc>
        <w:tc>
          <w:tcPr>
            <w:tcW w:w="283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FD12D2">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（一）思想品德好，遵纪守法，品行端正，无违法违纪等行为。</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（二）诚实守信，品行兼优，有较强的事业心和责任感，有良好的职业道德。</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（三）年满18周岁以上。</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（四）身体健康，无传染性疾病，持有本人身体健康证明 （县级以上医院体检证明）且体检取得的健康证明时间应为入职当年。</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w:t>
            </w:r>
            <w:r>
              <w:rPr>
                <w:rFonts w:hint="eastAsia" w:ascii="宋体" w:hAnsi="宋体" w:cs="宋体"/>
                <w:b w:val="0"/>
                <w:bCs w:val="0"/>
                <w:i w:val="0"/>
                <w:iCs w:val="0"/>
                <w:smallCaps w:val="0"/>
                <w:color w:val="auto"/>
                <w:sz w:val="21"/>
                <w:szCs w:val="21"/>
                <w:highlight w:val="none"/>
                <w:lang w:val="en-US" w:eastAsia="zh-CN"/>
              </w:rPr>
              <w:t>五</w:t>
            </w:r>
            <w:r>
              <w:rPr>
                <w:rFonts w:hint="eastAsia" w:ascii="宋体" w:hAnsi="宋体" w:eastAsia="宋体" w:cs="宋体"/>
                <w:b w:val="0"/>
                <w:bCs w:val="0"/>
                <w:i w:val="0"/>
                <w:iCs w:val="0"/>
                <w:smallCaps w:val="0"/>
                <w:color w:val="auto"/>
                <w:sz w:val="21"/>
                <w:szCs w:val="21"/>
                <w:highlight w:val="none"/>
              </w:rPr>
              <w:t>）持有本人身份证、学历证明、户籍所辖派出所出具的无犯罪记录证明及需要提供的其他证件等。</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w:t>
            </w:r>
            <w:r>
              <w:rPr>
                <w:rFonts w:hint="eastAsia" w:ascii="宋体" w:hAnsi="宋体" w:cs="宋体"/>
                <w:b w:val="0"/>
                <w:bCs w:val="0"/>
                <w:i w:val="0"/>
                <w:iCs w:val="0"/>
                <w:smallCaps w:val="0"/>
                <w:color w:val="auto"/>
                <w:sz w:val="21"/>
                <w:szCs w:val="21"/>
                <w:highlight w:val="none"/>
                <w:lang w:val="en-US" w:eastAsia="zh-CN"/>
              </w:rPr>
              <w:t>六</w:t>
            </w:r>
            <w:r>
              <w:rPr>
                <w:rFonts w:hint="eastAsia" w:ascii="宋体" w:hAnsi="宋体" w:eastAsia="宋体" w:cs="宋体"/>
                <w:b w:val="0"/>
                <w:bCs w:val="0"/>
                <w:i w:val="0"/>
                <w:iCs w:val="0"/>
                <w:smallCaps w:val="0"/>
                <w:color w:val="auto"/>
                <w:sz w:val="21"/>
                <w:szCs w:val="21"/>
                <w:highlight w:val="none"/>
              </w:rPr>
              <w:t>）随时保障水、电畅通维护，对配电房、水泵房和各条水、电路日常检查及时发现问题，做到小型维修不过夜（更换的材料由甲方负责），并对大型维修提出建议；配合电梯维护保养公司、消防维护保养公司和大楼相关维修公司进行修缮工作中做好相关保障工作；配合安保巡逻和日常检查，对大楼的结构性安全做巡视，平时对检查情况进行登记，每年对大楼提出合理的保护和修缮建议；保障人员男性，身体健康，无违法犯罪记录，工作态度严谨，具有高度责任心，维修员需具有相应水电维修和设备维修经验。</w:t>
            </w:r>
          </w:p>
        </w:tc>
        <w:tc>
          <w:tcPr>
            <w:tcW w:w="61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F9023F9">
            <w:pPr>
              <w:spacing w:line="480" w:lineRule="exact"/>
              <w:jc w:val="left"/>
              <w:rPr>
                <w:rFonts w:hint="eastAsia" w:ascii="宋体" w:hAnsi="宋体" w:eastAsia="宋体" w:cs="宋体"/>
                <w:b w:val="0"/>
                <w:bCs w:val="0"/>
                <w:i w:val="0"/>
                <w:iCs w:val="0"/>
                <w:smallCaps w:val="0"/>
                <w:color w:val="auto"/>
                <w:sz w:val="21"/>
                <w:szCs w:val="21"/>
                <w:highlight w:val="none"/>
              </w:rPr>
            </w:pPr>
          </w:p>
        </w:tc>
      </w:tr>
      <w:tr w14:paraId="5A491B62">
        <w:tblPrEx>
          <w:tblCellMar>
            <w:top w:w="15" w:type="dxa"/>
            <w:left w:w="15" w:type="dxa"/>
            <w:bottom w:w="15" w:type="dxa"/>
            <w:right w:w="15" w:type="dxa"/>
          </w:tblCellMar>
        </w:tblPrEx>
        <w:tc>
          <w:tcPr>
            <w:tcW w:w="34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B8305DC">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4</w:t>
            </w:r>
          </w:p>
        </w:tc>
        <w:tc>
          <w:tcPr>
            <w:tcW w:w="61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DBBCA6B">
            <w:pPr>
              <w:spacing w:line="480" w:lineRule="exact"/>
              <w:jc w:val="left"/>
              <w:rPr>
                <w:rFonts w:hint="eastAsia" w:ascii="宋体" w:hAnsi="宋体" w:eastAsia="宋体" w:cs="宋体"/>
                <w:b w:val="0"/>
                <w:bCs w:val="0"/>
                <w:i w:val="0"/>
                <w:iCs w:val="0"/>
                <w:smallCaps w:val="0"/>
                <w:color w:val="auto"/>
                <w:sz w:val="21"/>
                <w:szCs w:val="21"/>
                <w:highlight w:val="none"/>
                <w:lang w:eastAsia="zh-CN"/>
              </w:rPr>
            </w:pPr>
            <w:r>
              <w:rPr>
                <w:rFonts w:hint="eastAsia" w:ascii="宋体" w:hAnsi="宋体" w:eastAsia="宋体" w:cs="宋体"/>
                <w:b w:val="0"/>
                <w:bCs w:val="0"/>
                <w:i w:val="0"/>
                <w:iCs w:val="0"/>
                <w:smallCaps w:val="0"/>
                <w:color w:val="auto"/>
                <w:sz w:val="21"/>
                <w:szCs w:val="21"/>
                <w:highlight w:val="none"/>
              </w:rPr>
              <w:t>保洁员</w:t>
            </w:r>
            <w:r>
              <w:rPr>
                <w:rFonts w:hint="eastAsia" w:ascii="宋体" w:hAnsi="宋体" w:cs="宋体"/>
                <w:b w:val="0"/>
                <w:bCs w:val="0"/>
                <w:i w:val="0"/>
                <w:iCs w:val="0"/>
                <w:smallCaps w:val="0"/>
                <w:color w:val="auto"/>
                <w:sz w:val="21"/>
                <w:szCs w:val="21"/>
                <w:highlight w:val="none"/>
                <w:lang w:eastAsia="zh-CN"/>
              </w:rPr>
              <w:t>岗</w:t>
            </w:r>
          </w:p>
        </w:tc>
        <w:tc>
          <w:tcPr>
            <w:tcW w:w="59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15AB9C3">
            <w:pPr>
              <w:spacing w:line="480" w:lineRule="exact"/>
              <w:jc w:val="left"/>
              <w:rPr>
                <w:rFonts w:hint="eastAsia" w:ascii="宋体" w:hAnsi="宋体" w:eastAsia="宋体" w:cs="宋体"/>
                <w:b w:val="0"/>
                <w:bCs w:val="0"/>
                <w:i w:val="0"/>
                <w:iCs w:val="0"/>
                <w:smallCaps w:val="0"/>
                <w:color w:val="auto"/>
                <w:sz w:val="21"/>
                <w:szCs w:val="21"/>
                <w:highlight w:val="none"/>
                <w:lang w:eastAsia="zh-CN"/>
              </w:rPr>
            </w:pPr>
            <w:r>
              <w:rPr>
                <w:rFonts w:hint="eastAsia" w:ascii="宋体" w:hAnsi="宋体" w:cs="宋体"/>
                <w:b w:val="0"/>
                <w:bCs w:val="0"/>
                <w:i w:val="0"/>
                <w:iCs w:val="0"/>
                <w:smallCaps w:val="0"/>
                <w:color w:val="auto"/>
                <w:sz w:val="21"/>
                <w:szCs w:val="21"/>
                <w:highlight w:val="none"/>
                <w:lang w:val="en-US" w:eastAsia="zh-CN"/>
              </w:rPr>
              <w:t>8</w:t>
            </w:r>
          </w:p>
        </w:tc>
        <w:tc>
          <w:tcPr>
            <w:tcW w:w="283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C763CA6">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（一）思想品德好，遵纪守法，品行端正，无违法违纪等行为。</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（二）诚实守信，品行兼优，有较强的事业心和责任感，有良好的职业道德。</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（三）年满18周岁以上。</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（四）身体健康，无传染性疾病，持有本人身体健康证明 （县级以上医院体检证明）且体检取得的健康证明时间应为入职当年。</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w:t>
            </w:r>
            <w:r>
              <w:rPr>
                <w:rFonts w:hint="eastAsia" w:ascii="宋体" w:hAnsi="宋体" w:cs="宋体"/>
                <w:b w:val="0"/>
                <w:bCs w:val="0"/>
                <w:i w:val="0"/>
                <w:iCs w:val="0"/>
                <w:smallCaps w:val="0"/>
                <w:color w:val="auto"/>
                <w:sz w:val="21"/>
                <w:szCs w:val="21"/>
                <w:highlight w:val="none"/>
                <w:lang w:val="en-US" w:eastAsia="zh-CN"/>
              </w:rPr>
              <w:t>五</w:t>
            </w:r>
            <w:r>
              <w:rPr>
                <w:rFonts w:hint="eastAsia" w:ascii="宋体" w:hAnsi="宋体" w:eastAsia="宋体" w:cs="宋体"/>
                <w:b w:val="0"/>
                <w:bCs w:val="0"/>
                <w:i w:val="0"/>
                <w:iCs w:val="0"/>
                <w:smallCaps w:val="0"/>
                <w:color w:val="auto"/>
                <w:sz w:val="21"/>
                <w:szCs w:val="21"/>
                <w:highlight w:val="none"/>
              </w:rPr>
              <w:t>）持有本人身份证、学历证明、户籍所辖派出所出具的无犯罪记录证明及需要提供的其他证件等。</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六）办公区所有道路、地面、房顶、内墙面等随时维护和保持卫生；做到卫生无死角，整洁干净。男女不限，学历初中以上，身体健康，无违法犯罪记录，有从事过办公楼保洁工作经验，仪表整洁，礼貌和蔼，有良好素养和职业道德。</w:t>
            </w:r>
          </w:p>
        </w:tc>
        <w:tc>
          <w:tcPr>
            <w:tcW w:w="61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402D751">
            <w:pPr>
              <w:spacing w:line="480" w:lineRule="exact"/>
              <w:jc w:val="left"/>
              <w:rPr>
                <w:rFonts w:hint="eastAsia" w:ascii="宋体" w:hAnsi="宋体" w:eastAsia="宋体" w:cs="宋体"/>
                <w:b w:val="0"/>
                <w:bCs w:val="0"/>
                <w:i w:val="0"/>
                <w:iCs w:val="0"/>
                <w:smallCaps w:val="0"/>
                <w:color w:val="auto"/>
                <w:sz w:val="21"/>
                <w:szCs w:val="21"/>
                <w:highlight w:val="none"/>
              </w:rPr>
            </w:pPr>
          </w:p>
        </w:tc>
      </w:tr>
      <w:tr w14:paraId="041CDDD5">
        <w:tblPrEx>
          <w:tblCellMar>
            <w:top w:w="15" w:type="dxa"/>
            <w:left w:w="15" w:type="dxa"/>
            <w:bottom w:w="15" w:type="dxa"/>
            <w:right w:w="15" w:type="dxa"/>
          </w:tblCellMar>
        </w:tblPrEx>
        <w:tc>
          <w:tcPr>
            <w:tcW w:w="34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439778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5</w:t>
            </w:r>
          </w:p>
        </w:tc>
        <w:tc>
          <w:tcPr>
            <w:tcW w:w="61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D2CEDD5">
            <w:pPr>
              <w:spacing w:line="480" w:lineRule="exact"/>
              <w:jc w:val="left"/>
              <w:rPr>
                <w:rFonts w:hint="eastAsia" w:ascii="宋体" w:hAnsi="宋体" w:eastAsia="宋体" w:cs="宋体"/>
                <w:b w:val="0"/>
                <w:bCs w:val="0"/>
                <w:i w:val="0"/>
                <w:iCs w:val="0"/>
                <w:smallCaps w:val="0"/>
                <w:color w:val="auto"/>
                <w:sz w:val="21"/>
                <w:szCs w:val="21"/>
                <w:highlight w:val="none"/>
                <w:lang w:eastAsia="zh-CN"/>
              </w:rPr>
            </w:pPr>
            <w:r>
              <w:rPr>
                <w:rFonts w:hint="eastAsia" w:ascii="宋体" w:hAnsi="宋体" w:eastAsia="宋体" w:cs="宋体"/>
                <w:b w:val="0"/>
                <w:bCs w:val="0"/>
                <w:i w:val="0"/>
                <w:iCs w:val="0"/>
                <w:smallCaps w:val="0"/>
                <w:color w:val="auto"/>
                <w:sz w:val="21"/>
                <w:szCs w:val="21"/>
                <w:highlight w:val="none"/>
              </w:rPr>
              <w:t>保安员</w:t>
            </w:r>
            <w:r>
              <w:rPr>
                <w:rFonts w:hint="eastAsia" w:ascii="宋体" w:hAnsi="宋体" w:cs="宋体"/>
                <w:b w:val="0"/>
                <w:bCs w:val="0"/>
                <w:i w:val="0"/>
                <w:iCs w:val="0"/>
                <w:smallCaps w:val="0"/>
                <w:color w:val="auto"/>
                <w:sz w:val="21"/>
                <w:szCs w:val="21"/>
                <w:highlight w:val="none"/>
                <w:lang w:eastAsia="zh-CN"/>
              </w:rPr>
              <w:t>岗</w:t>
            </w:r>
          </w:p>
        </w:tc>
        <w:tc>
          <w:tcPr>
            <w:tcW w:w="59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E94422A">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val="en-US" w:eastAsia="zh-CN"/>
              </w:rPr>
              <w:t>1</w:t>
            </w:r>
            <w:r>
              <w:rPr>
                <w:rFonts w:hint="eastAsia" w:ascii="宋体" w:hAnsi="宋体" w:cs="宋体"/>
                <w:b w:val="0"/>
                <w:bCs w:val="0"/>
                <w:i w:val="0"/>
                <w:iCs w:val="0"/>
                <w:smallCaps w:val="0"/>
                <w:color w:val="auto"/>
                <w:sz w:val="21"/>
                <w:szCs w:val="21"/>
                <w:highlight w:val="none"/>
                <w:lang w:val="en-US" w:eastAsia="zh-CN"/>
              </w:rPr>
              <w:t>1</w:t>
            </w:r>
          </w:p>
        </w:tc>
        <w:tc>
          <w:tcPr>
            <w:tcW w:w="283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0E1792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（一）思想品德好，遵纪守法，品行端正，无违法违纪等行为。</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（二）诚实守信，品行兼优，有较强的事业心和责任感，有良好的职业道德。</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（三）年满18周岁以上。</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（四）身体健康，无传染性疾病，持有本人身体健康证明 （县级以上医院体检证明）且体检取得的健康证明时间应为入职当年。</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w:t>
            </w:r>
            <w:r>
              <w:rPr>
                <w:rFonts w:hint="eastAsia" w:ascii="宋体" w:hAnsi="宋体" w:cs="宋体"/>
                <w:b w:val="0"/>
                <w:bCs w:val="0"/>
                <w:i w:val="0"/>
                <w:iCs w:val="0"/>
                <w:smallCaps w:val="0"/>
                <w:color w:val="auto"/>
                <w:sz w:val="21"/>
                <w:szCs w:val="21"/>
                <w:highlight w:val="none"/>
                <w:lang w:val="en-US" w:eastAsia="zh-CN"/>
              </w:rPr>
              <w:t>五</w:t>
            </w:r>
            <w:r>
              <w:rPr>
                <w:rFonts w:hint="eastAsia" w:ascii="宋体" w:hAnsi="宋体" w:eastAsia="宋体" w:cs="宋体"/>
                <w:b w:val="0"/>
                <w:bCs w:val="0"/>
                <w:i w:val="0"/>
                <w:iCs w:val="0"/>
                <w:smallCaps w:val="0"/>
                <w:color w:val="auto"/>
                <w:sz w:val="21"/>
                <w:szCs w:val="21"/>
                <w:highlight w:val="none"/>
              </w:rPr>
              <w:t>）持有本人身份证、学历证明、户籍所辖派出所出具的无犯罪记录证明及需要提供的其他证件等。</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w:t>
            </w:r>
            <w:r>
              <w:rPr>
                <w:rFonts w:hint="eastAsia" w:ascii="宋体" w:hAnsi="宋体" w:cs="宋体"/>
                <w:b w:val="0"/>
                <w:bCs w:val="0"/>
                <w:i w:val="0"/>
                <w:iCs w:val="0"/>
                <w:smallCaps w:val="0"/>
                <w:color w:val="auto"/>
                <w:sz w:val="21"/>
                <w:szCs w:val="21"/>
                <w:highlight w:val="none"/>
                <w:lang w:val="en-US" w:eastAsia="zh-CN"/>
              </w:rPr>
              <w:t>六</w:t>
            </w:r>
            <w:r>
              <w:rPr>
                <w:rFonts w:hint="eastAsia" w:ascii="宋体" w:hAnsi="宋体" w:eastAsia="宋体" w:cs="宋体"/>
                <w:b w:val="0"/>
                <w:bCs w:val="0"/>
                <w:i w:val="0"/>
                <w:iCs w:val="0"/>
                <w:smallCaps w:val="0"/>
                <w:color w:val="auto"/>
                <w:sz w:val="21"/>
                <w:szCs w:val="21"/>
                <w:highlight w:val="none"/>
              </w:rPr>
              <w:t>）办公大楼和室外巡逻，消防器材的检查登记，熟练使用消防器材和安保器械，处理消防误报和使用监控设备等，及时发现问题，主动解决问题，对暂时无法解决的问题及时报告，做到小问题不过夜，大问题报告及时，下班打卡时间后和节假日人员车辆（自动抬杆除外）进出登记，确保大楼安全无事故。男性，学历初中以上，身体健康，无违法犯罪记录，有处理突发事故的经验和办公楼秩序维护工作经历。</w:t>
            </w:r>
          </w:p>
        </w:tc>
        <w:tc>
          <w:tcPr>
            <w:tcW w:w="61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CC68865">
            <w:pPr>
              <w:spacing w:line="480" w:lineRule="exact"/>
              <w:jc w:val="left"/>
              <w:rPr>
                <w:rFonts w:hint="eastAsia" w:ascii="宋体" w:hAnsi="宋体" w:eastAsia="宋体" w:cs="宋体"/>
                <w:b w:val="0"/>
                <w:bCs w:val="0"/>
                <w:i w:val="0"/>
                <w:iCs w:val="0"/>
                <w:smallCaps w:val="0"/>
                <w:color w:val="auto"/>
                <w:sz w:val="21"/>
                <w:szCs w:val="21"/>
                <w:highlight w:val="none"/>
              </w:rPr>
            </w:pPr>
          </w:p>
        </w:tc>
      </w:tr>
      <w:tr w14:paraId="5A54647E">
        <w:tblPrEx>
          <w:tblCellMar>
            <w:top w:w="15" w:type="dxa"/>
            <w:left w:w="15" w:type="dxa"/>
            <w:bottom w:w="15" w:type="dxa"/>
            <w:right w:w="15" w:type="dxa"/>
          </w:tblCellMar>
        </w:tblPrEx>
        <w:tc>
          <w:tcPr>
            <w:tcW w:w="34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0974E5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6</w:t>
            </w:r>
          </w:p>
        </w:tc>
        <w:tc>
          <w:tcPr>
            <w:tcW w:w="61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C596A66">
            <w:pPr>
              <w:spacing w:line="480" w:lineRule="exact"/>
              <w:jc w:val="left"/>
              <w:rPr>
                <w:rFonts w:hint="eastAsia" w:ascii="宋体" w:hAnsi="宋体" w:eastAsia="宋体" w:cs="宋体"/>
                <w:b w:val="0"/>
                <w:bCs w:val="0"/>
                <w:i w:val="0"/>
                <w:iCs w:val="0"/>
                <w:smallCaps w:val="0"/>
                <w:color w:val="auto"/>
                <w:sz w:val="21"/>
                <w:szCs w:val="21"/>
                <w:highlight w:val="none"/>
                <w:lang w:eastAsia="zh-CN"/>
              </w:rPr>
            </w:pPr>
            <w:r>
              <w:rPr>
                <w:rFonts w:hint="eastAsia" w:ascii="宋体" w:hAnsi="宋体" w:eastAsia="宋体" w:cs="宋体"/>
                <w:b w:val="0"/>
                <w:bCs w:val="0"/>
                <w:i w:val="0"/>
                <w:iCs w:val="0"/>
                <w:smallCaps w:val="0"/>
                <w:color w:val="auto"/>
                <w:sz w:val="21"/>
                <w:szCs w:val="21"/>
                <w:highlight w:val="none"/>
              </w:rPr>
              <w:t>绿化员</w:t>
            </w:r>
            <w:r>
              <w:rPr>
                <w:rFonts w:hint="eastAsia" w:ascii="宋体" w:hAnsi="宋体" w:cs="宋体"/>
                <w:b w:val="0"/>
                <w:bCs w:val="0"/>
                <w:i w:val="0"/>
                <w:iCs w:val="0"/>
                <w:smallCaps w:val="0"/>
                <w:color w:val="auto"/>
                <w:sz w:val="21"/>
                <w:szCs w:val="21"/>
                <w:highlight w:val="none"/>
                <w:lang w:eastAsia="zh-CN"/>
              </w:rPr>
              <w:t>岗</w:t>
            </w:r>
          </w:p>
        </w:tc>
        <w:tc>
          <w:tcPr>
            <w:tcW w:w="59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48A3AD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w:t>
            </w:r>
          </w:p>
        </w:tc>
        <w:tc>
          <w:tcPr>
            <w:tcW w:w="283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9B2819A">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（一）思想品德好，遵纪守法，品行端正，无违法违纪等行为。</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（二）诚实守信，品行兼优，有较强的事业心和责任感，有良好的职业道德。</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（三）年满18周岁以上。</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（四）身体健康，无传染性疾病，持有本人身体健康证明 （县级以上医院体检证明）且体检取得的健康证明时间应为入职当年。</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w:t>
            </w:r>
            <w:r>
              <w:rPr>
                <w:rFonts w:hint="eastAsia" w:ascii="宋体" w:hAnsi="宋体" w:cs="宋体"/>
                <w:b w:val="0"/>
                <w:bCs w:val="0"/>
                <w:i w:val="0"/>
                <w:iCs w:val="0"/>
                <w:smallCaps w:val="0"/>
                <w:color w:val="auto"/>
                <w:sz w:val="21"/>
                <w:szCs w:val="21"/>
                <w:highlight w:val="none"/>
                <w:lang w:val="en-US" w:eastAsia="zh-CN"/>
              </w:rPr>
              <w:t>五</w:t>
            </w:r>
            <w:r>
              <w:rPr>
                <w:rFonts w:hint="eastAsia" w:ascii="宋体" w:hAnsi="宋体" w:eastAsia="宋体" w:cs="宋体"/>
                <w:b w:val="0"/>
                <w:bCs w:val="0"/>
                <w:i w:val="0"/>
                <w:iCs w:val="0"/>
                <w:smallCaps w:val="0"/>
                <w:color w:val="auto"/>
                <w:sz w:val="21"/>
                <w:szCs w:val="21"/>
                <w:highlight w:val="none"/>
              </w:rPr>
              <w:t>）持有本人身份证、学历证明、户籍所辖派出所出具的无犯罪记录证明及需要提供的其他证件等。</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w:t>
            </w:r>
            <w:r>
              <w:rPr>
                <w:rFonts w:hint="eastAsia" w:ascii="宋体" w:hAnsi="宋体" w:cs="宋体"/>
                <w:b w:val="0"/>
                <w:bCs w:val="0"/>
                <w:i w:val="0"/>
                <w:iCs w:val="0"/>
                <w:smallCaps w:val="0"/>
                <w:color w:val="auto"/>
                <w:sz w:val="21"/>
                <w:szCs w:val="21"/>
                <w:highlight w:val="none"/>
                <w:lang w:val="en-US" w:eastAsia="zh-CN"/>
              </w:rPr>
              <w:t>六</w:t>
            </w:r>
            <w:r>
              <w:rPr>
                <w:rFonts w:hint="eastAsia" w:ascii="宋体" w:hAnsi="宋体" w:eastAsia="宋体" w:cs="宋体"/>
                <w:b w:val="0"/>
                <w:bCs w:val="0"/>
                <w:i w:val="0"/>
                <w:iCs w:val="0"/>
                <w:smallCaps w:val="0"/>
                <w:color w:val="auto"/>
                <w:sz w:val="21"/>
                <w:szCs w:val="21"/>
                <w:highlight w:val="none"/>
              </w:rPr>
              <w:t>）对各类树、草皮、灌木等维护、保养、美化、浇水、施肥、灭虫、防冻等工作事项和材料保障；保证各类树、花和植物能健康生长，符合季节要求，杜绝无故枯死现象。身体健康，无违法犯罪记录，绿化养护经验丰富。</w:t>
            </w:r>
          </w:p>
        </w:tc>
        <w:tc>
          <w:tcPr>
            <w:tcW w:w="61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9CCA160">
            <w:pPr>
              <w:spacing w:line="480" w:lineRule="exact"/>
              <w:jc w:val="left"/>
              <w:rPr>
                <w:rFonts w:hint="eastAsia" w:ascii="宋体" w:hAnsi="宋体" w:eastAsia="宋体" w:cs="宋体"/>
                <w:b w:val="0"/>
                <w:bCs w:val="0"/>
                <w:i w:val="0"/>
                <w:iCs w:val="0"/>
                <w:smallCaps w:val="0"/>
                <w:color w:val="auto"/>
                <w:sz w:val="21"/>
                <w:szCs w:val="21"/>
                <w:highlight w:val="none"/>
              </w:rPr>
            </w:pPr>
          </w:p>
        </w:tc>
      </w:tr>
    </w:tbl>
    <w:p w14:paraId="12FF1160">
      <w:pPr>
        <w:pStyle w:val="3"/>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color w:val="auto"/>
          <w:kern w:val="36"/>
          <w:sz w:val="21"/>
          <w:szCs w:val="21"/>
          <w:highlight w:val="none"/>
        </w:rPr>
        <w:t>5管理实施要求</w:t>
      </w:r>
    </w:p>
    <w:p w14:paraId="3A333987">
      <w:pPr>
        <w:pStyle w:val="50"/>
        <w:spacing w:before="0" w:after="0" w:line="480" w:lineRule="exact"/>
        <w:ind w:firstLine="420" w:firstLineChars="200"/>
        <w:jc w:val="left"/>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5.1智能化管理服务要求</w:t>
      </w:r>
    </w:p>
    <w:p w14:paraId="1C60074A">
      <w:pPr>
        <w:pStyle w:val="50"/>
        <w:spacing w:before="0" w:after="0" w:line="480" w:lineRule="exact"/>
        <w:ind w:firstLine="420" w:firstLineChars="200"/>
        <w:jc w:val="left"/>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5.1.1机械化保洁作业</w:t>
      </w:r>
    </w:p>
    <w:p w14:paraId="5B2F26FD">
      <w:pPr>
        <w:pStyle w:val="2"/>
        <w:numPr>
          <w:ilvl w:val="0"/>
          <w:numId w:val="0"/>
        </w:numPr>
        <w:spacing w:before="0" w:after="0" w:line="480" w:lineRule="exact"/>
        <w:ind w:firstLine="420" w:firstLineChars="200"/>
        <w:jc w:val="left"/>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供应商可根据本项目特点以及保洁作业需求，配备机械化保洁设备（不限于手推式洗地机、商用清洁机器人等设备）。</w:t>
      </w:r>
      <w:r>
        <w:rPr>
          <w:rFonts w:hint="eastAsia" w:ascii="宋体" w:hAnsi="宋体" w:cs="宋体"/>
          <w:b w:val="0"/>
          <w:bCs w:val="0"/>
          <w:i w:val="0"/>
          <w:iCs w:val="0"/>
          <w:smallCaps w:val="0"/>
          <w:color w:val="auto"/>
          <w:kern w:val="2"/>
          <w:sz w:val="21"/>
          <w:szCs w:val="21"/>
          <w:highlight w:val="none"/>
          <w:lang w:val="en-US" w:eastAsia="zh-CN" w:bidi="ar-SA"/>
        </w:rPr>
        <w:t>注：</w:t>
      </w:r>
      <w:r>
        <w:rPr>
          <w:rFonts w:hint="eastAsia" w:ascii="宋体" w:hAnsi="宋体" w:cs="宋体"/>
          <w:b w:val="0"/>
          <w:bCs w:val="0"/>
          <w:color w:val="auto"/>
          <w:szCs w:val="21"/>
          <w:highlight w:val="none"/>
          <w:lang w:val="en-US" w:eastAsia="zh-CN"/>
        </w:rPr>
        <w:t>设备可为自有、租赁等方式，需提供的证明材料可为以下二者之一：a.设备清单和购买发票（自有设备提供）。b.设备清单和租赁协议。满足以上要求，予以加分。</w:t>
      </w:r>
    </w:p>
    <w:p w14:paraId="7697FCE4">
      <w:pPr>
        <w:pStyle w:val="50"/>
        <w:spacing w:before="0" w:after="0" w:line="480" w:lineRule="exact"/>
        <w:ind w:firstLine="420" w:firstLineChars="200"/>
        <w:jc w:val="left"/>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5.1.2</w:t>
      </w:r>
      <w:r>
        <w:rPr>
          <w:rFonts w:hint="eastAsia" w:ascii="宋体" w:hAnsi="宋体" w:cs="宋体"/>
          <w:b w:val="0"/>
          <w:bCs w:val="0"/>
          <w:color w:val="auto"/>
          <w:highlight w:val="none"/>
          <w:lang w:val="en-US" w:eastAsia="zh-CN"/>
        </w:rPr>
        <w:t>智能化物业管理</w:t>
      </w:r>
    </w:p>
    <w:p w14:paraId="5467C551">
      <w:pPr>
        <w:pStyle w:val="50"/>
        <w:spacing w:before="0" w:after="0" w:line="480" w:lineRule="exact"/>
        <w:ind w:firstLine="420" w:firstLineChars="200"/>
        <w:jc w:val="left"/>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供应商具有</w:t>
      </w:r>
      <w:r>
        <w:rPr>
          <w:rFonts w:hint="eastAsia" w:ascii="宋体" w:hAnsi="宋体" w:cs="宋体"/>
          <w:b w:val="0"/>
          <w:bCs w:val="0"/>
          <w:color w:val="auto"/>
          <w:highlight w:val="none"/>
          <w:lang w:val="en-US" w:eastAsia="zh-CN"/>
        </w:rPr>
        <w:t>智能化</w:t>
      </w:r>
      <w:r>
        <w:rPr>
          <w:rFonts w:hint="eastAsia" w:ascii="宋体" w:hAnsi="宋体" w:cs="宋体"/>
          <w:b w:val="0"/>
          <w:bCs w:val="0"/>
          <w:color w:val="auto"/>
          <w:szCs w:val="21"/>
          <w:highlight w:val="none"/>
          <w:lang w:val="en-US" w:eastAsia="zh-CN"/>
        </w:rPr>
        <w:t>物业管理软件（提供软件网页截图）。并提供</w:t>
      </w:r>
      <w:r>
        <w:rPr>
          <w:rFonts w:hint="eastAsia" w:ascii="宋体" w:hAnsi="宋体" w:cs="宋体"/>
          <w:b w:val="0"/>
          <w:bCs w:val="0"/>
          <w:color w:val="auto"/>
          <w:highlight w:val="none"/>
          <w:lang w:val="en-US" w:eastAsia="zh-CN"/>
        </w:rPr>
        <w:t>智能化物业管理方案，</w:t>
      </w:r>
      <w:r>
        <w:rPr>
          <w:rFonts w:hint="eastAsia" w:ascii="宋体" w:hAnsi="宋体" w:cs="宋体"/>
          <w:b w:val="0"/>
          <w:bCs w:val="0"/>
          <w:color w:val="auto"/>
          <w:szCs w:val="21"/>
          <w:highlight w:val="none"/>
          <w:lang w:val="en-US" w:eastAsia="zh-CN"/>
        </w:rPr>
        <w:t>可以更好的结合本项目特点提供物业服务。满足以上要求，予以加分。若管理软件有用网需求，需提前向采购人审核、报备。智能化物业管理软件须符合采购人网络管理、网络安全的相关要求，若发生网络安全、违法违规等相关问题，供应商承担全部责任，采购人有权解除合同。</w:t>
      </w:r>
    </w:p>
    <w:p w14:paraId="4FD3ABEB">
      <w:pPr>
        <w:pStyle w:val="50"/>
        <w:spacing w:before="0" w:after="0" w:line="480" w:lineRule="exact"/>
        <w:ind w:firstLine="420" w:firstLineChars="200"/>
        <w:jc w:val="left"/>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5.2其他管理实施要求</w:t>
      </w:r>
    </w:p>
    <w:p w14:paraId="6B94219F">
      <w:pPr>
        <w:pStyle w:val="50"/>
        <w:spacing w:before="0" w:after="0" w:line="480" w:lineRule="exact"/>
        <w:ind w:firstLine="420" w:firstLineChars="200"/>
        <w:jc w:val="left"/>
        <w:rPr>
          <w:rFonts w:hint="eastAsia" w:ascii="宋体" w:hAnsi="宋体" w:eastAsia="宋体" w:cs="宋体"/>
          <w:color w:val="auto"/>
          <w:szCs w:val="21"/>
          <w:highlight w:val="none"/>
          <w:lang w:eastAsia="zh-CN"/>
        </w:rPr>
      </w:pPr>
      <w:r>
        <w:rPr>
          <w:rFonts w:hint="default" w:ascii="宋体" w:hAnsi="宋体" w:eastAsia="宋体" w:cs="宋体"/>
          <w:b w:val="0"/>
          <w:bCs w:val="0"/>
          <w:color w:val="auto"/>
          <w:szCs w:val="21"/>
          <w:highlight w:val="none"/>
        </w:rPr>
        <w:t xml:space="preserve">（1）物业公司内部管理机构健全，制度体系完善、人员综合素质和专业能力强。 </w:t>
      </w:r>
    </w:p>
    <w:p w14:paraId="2D8959D1">
      <w:pPr>
        <w:pStyle w:val="50"/>
        <w:spacing w:before="0" w:after="0"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rPr>
        <w:t xml:space="preserve">（3）物业公司提供服务的服务人员应具有合法的劳动关系。 </w:t>
      </w:r>
    </w:p>
    <w:p w14:paraId="3D4A7B60">
      <w:pPr>
        <w:pStyle w:val="50"/>
        <w:spacing w:before="0" w:after="0"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rPr>
        <w:t xml:space="preserve">（4）如遇疫情、自然灾害等不可抗力因素，物业服务公司必须严格按照国家有关要求及标准，及时应对处置相关费用视实际情况据实支付。 </w:t>
      </w:r>
    </w:p>
    <w:p w14:paraId="332ACFEA">
      <w:pPr>
        <w:pStyle w:val="50"/>
        <w:spacing w:before="0" w:after="0" w:line="48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 w:val="0"/>
          <w:bCs w:val="0"/>
          <w:color w:val="auto"/>
          <w:szCs w:val="21"/>
          <w:highlight w:val="none"/>
        </w:rPr>
        <w:t>（5）“服务要求”中内容与要求，中标者需细化工作台账及痕迹记录，以便业主监督考核。</w:t>
      </w:r>
    </w:p>
    <w:p w14:paraId="4FDF908D">
      <w:pPr>
        <w:pStyle w:val="50"/>
        <w:spacing w:before="0" w:after="0"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rPr>
        <w:t xml:space="preserve">（6）未尽的服务内容及有关事项由双方共同协商，另行约定。 </w:t>
      </w:r>
    </w:p>
    <w:p w14:paraId="49A8E158">
      <w:pPr>
        <w:pStyle w:val="3"/>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color w:val="auto"/>
          <w:kern w:val="36"/>
          <w:sz w:val="21"/>
          <w:szCs w:val="21"/>
          <w:highlight w:val="none"/>
        </w:rPr>
        <w:t>6风险管控要求</w:t>
      </w:r>
    </w:p>
    <w:p w14:paraId="3FCE9FF2">
      <w:pPr>
        <w:pStyle w:val="50"/>
        <w:spacing w:line="480" w:lineRule="exact"/>
        <w:ind w:firstLine="420" w:firstLineChars="200"/>
        <w:rPr>
          <w:rFonts w:hint="eastAsia" w:ascii="宋体" w:hAnsi="宋体" w:eastAsia="宋体" w:cs="宋体"/>
          <w:color w:val="auto"/>
          <w:sz w:val="21"/>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治安安全管理。投标人须制定完善的物业管理区域治安安全管理制度和巡查巡检方案，做好物业管理区域内的日常秩序维护工作，防范治安事件发生。服务人员须熟练掌握应急预案，遇有突发治安事件能够迅速响应、妥善处置，确保机关办公秩序不受影响。</w:t>
      </w:r>
    </w:p>
    <w:p w14:paraId="180DD2F7">
      <w:pPr>
        <w:pStyle w:val="50"/>
        <w:spacing w:line="480" w:lineRule="exact"/>
        <w:ind w:firstLine="420" w:firstLineChars="200"/>
        <w:rPr>
          <w:rFonts w:hint="eastAsia" w:ascii="宋体" w:hAnsi="宋体" w:eastAsia="宋体" w:cs="宋体"/>
          <w:color w:val="auto"/>
          <w:sz w:val="21"/>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消防安全管理。投标人须建立健全消防安全管理制度，制定消防应急预案并定期组织演练，明确消防安全责任人、管理人及各岗位人员的消防职责。服务人员须按照采购人要求配备</w:t>
      </w:r>
      <w:r>
        <w:rPr>
          <w:rFonts w:hint="eastAsia" w:ascii="宋体" w:hAnsi="宋体" w:cs="宋体"/>
          <w:color w:val="auto"/>
          <w:szCs w:val="21"/>
          <w:highlight w:val="none"/>
          <w:lang w:eastAsia="zh-CN"/>
        </w:rPr>
        <w:t>消防控制室工作人员、</w:t>
      </w:r>
      <w:r>
        <w:rPr>
          <w:rFonts w:hint="eastAsia" w:ascii="宋体" w:hAnsi="宋体" w:eastAsia="宋体" w:cs="宋体"/>
          <w:color w:val="auto"/>
          <w:szCs w:val="21"/>
          <w:highlight w:val="none"/>
        </w:rPr>
        <w:t>消防设备巡检人员和义务消防员，每日对消防通道、灭火器材、应急照明、疏散指示标志等进行检查，确保消防设施完好有效、疏散通道畅通无阻。经检查发现消防隐患的，须立即报告并采取有效措施进行处置。</w:t>
      </w:r>
    </w:p>
    <w:p w14:paraId="74AFC57A">
      <w:pPr>
        <w:pStyle w:val="50"/>
        <w:spacing w:line="480" w:lineRule="exact"/>
        <w:ind w:firstLine="420" w:firstLineChars="200"/>
        <w:rPr>
          <w:rFonts w:hint="eastAsia" w:ascii="宋体" w:hAnsi="宋体" w:eastAsia="宋体" w:cs="宋体"/>
          <w:color w:val="auto"/>
          <w:sz w:val="21"/>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设施设备安全管理。投标人须建立电梯、供电、供水、供气、空调、消防监控等设施设备的安全管理制度和巡查检查台账，明确巡检频次、检查标准和处置流程。对在检查中发现的设施设备隐患，须及时记录并报告采购人，同步组织专业力量进行处理。因投标人管理不当导致设施设备损坏或发生安全事故的，由投标人承担相应责任。</w:t>
      </w:r>
    </w:p>
    <w:p w14:paraId="781E5614">
      <w:pPr>
        <w:pStyle w:val="50"/>
        <w:spacing w:line="480" w:lineRule="exact"/>
        <w:ind w:firstLine="420" w:firstLineChars="200"/>
        <w:rPr>
          <w:rFonts w:hint="eastAsia" w:ascii="宋体" w:hAnsi="宋体" w:eastAsia="宋体" w:cs="宋体"/>
          <w:color w:val="auto"/>
          <w:sz w:val="21"/>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应急管理。投标人须制定各类突发事件应急预案（含火灾事故、电梯困人、停电停水、自然灾害、公共卫生事件等），明确应急组织指挥体系、处置流程、资源保障和信息报送渠道。配备满足应急管理需要的物资和器材，每年至少组织两次应急演练，演练记录报采购人备案。</w:t>
      </w:r>
    </w:p>
    <w:p w14:paraId="6B52152F">
      <w:pPr>
        <w:pStyle w:val="3"/>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color w:val="auto"/>
          <w:kern w:val="36"/>
          <w:sz w:val="21"/>
          <w:szCs w:val="21"/>
          <w:highlight w:val="none"/>
        </w:rPr>
        <w:t>7履约验收要求</w:t>
      </w:r>
    </w:p>
    <w:p w14:paraId="73E25F81">
      <w:pPr>
        <w:pStyle w:val="4"/>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i w:val="0"/>
          <w:iCs w:val="0"/>
          <w:color w:val="auto"/>
          <w:sz w:val="21"/>
          <w:szCs w:val="21"/>
          <w:highlight w:val="none"/>
        </w:rPr>
        <w:t>7.1总体要求</w:t>
      </w:r>
    </w:p>
    <w:tbl>
      <w:tblPr>
        <w:tblStyle w:val="25"/>
        <w:tblW w:w="5000" w:type="pct"/>
        <w:tblInd w:w="30" w:type="dxa"/>
        <w:tblLayout w:type="autofit"/>
        <w:tblCellMar>
          <w:top w:w="15" w:type="dxa"/>
          <w:left w:w="15" w:type="dxa"/>
          <w:bottom w:w="15" w:type="dxa"/>
          <w:right w:w="15" w:type="dxa"/>
        </w:tblCellMar>
      </w:tblPr>
      <w:tblGrid>
        <w:gridCol w:w="1359"/>
        <w:gridCol w:w="7305"/>
      </w:tblGrid>
      <w:tr w14:paraId="3208F246">
        <w:tblPrEx>
          <w:tblCellMar>
            <w:top w:w="15" w:type="dxa"/>
            <w:left w:w="15" w:type="dxa"/>
            <w:bottom w:w="15" w:type="dxa"/>
            <w:right w:w="15" w:type="dxa"/>
          </w:tblCellMar>
        </w:tblPrEx>
        <w:tc>
          <w:tcPr>
            <w:tcW w:w="784"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BA60BAE">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验收名称</w:t>
            </w:r>
          </w:p>
        </w:tc>
        <w:tc>
          <w:tcPr>
            <w:tcW w:w="4215"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C4DAC4F">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验收要求</w:t>
            </w:r>
          </w:p>
        </w:tc>
      </w:tr>
      <w:tr w14:paraId="2ECD4D1E">
        <w:tblPrEx>
          <w:tblCellMar>
            <w:top w:w="15" w:type="dxa"/>
            <w:left w:w="15" w:type="dxa"/>
            <w:bottom w:w="15" w:type="dxa"/>
            <w:right w:w="15" w:type="dxa"/>
          </w:tblCellMar>
        </w:tblPrEx>
        <w:tc>
          <w:tcPr>
            <w:tcW w:w="78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E4E1415">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第1</w:t>
            </w:r>
            <w:r>
              <w:rPr>
                <w:rFonts w:hint="eastAsia" w:ascii="宋体" w:hAnsi="宋体" w:cs="宋体"/>
                <w:b w:val="0"/>
                <w:bCs w:val="0"/>
                <w:i w:val="0"/>
                <w:iCs w:val="0"/>
                <w:smallCaps w:val="0"/>
                <w:color w:val="auto"/>
                <w:sz w:val="21"/>
                <w:szCs w:val="21"/>
                <w:highlight w:val="none"/>
                <w:lang w:val="en-US" w:eastAsia="zh-CN"/>
              </w:rPr>
              <w:t>-12</w:t>
            </w:r>
            <w:r>
              <w:rPr>
                <w:rFonts w:hint="eastAsia" w:ascii="宋体" w:hAnsi="宋体" w:eastAsia="宋体" w:cs="宋体"/>
                <w:b w:val="0"/>
                <w:bCs w:val="0"/>
                <w:i w:val="0"/>
                <w:iCs w:val="0"/>
                <w:smallCaps w:val="0"/>
                <w:color w:val="auto"/>
                <w:sz w:val="21"/>
                <w:szCs w:val="21"/>
                <w:highlight w:val="none"/>
              </w:rPr>
              <w:t>次验收</w:t>
            </w:r>
          </w:p>
        </w:tc>
        <w:tc>
          <w:tcPr>
            <w:tcW w:w="4215"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28B5D39">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（1）采购人对物业管理工作达标情况实行月度考核。</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（2）采购人对物业管理服务情况不定期抽查，抽查结果纳入月度考核成绩。</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（3）考核结果不合格时，采购人按照物业公司投标时承诺的条款或按照合同约定条款进行处罚。</w:t>
            </w:r>
          </w:p>
        </w:tc>
      </w:tr>
    </w:tbl>
    <w:p w14:paraId="13728287">
      <w:pPr>
        <w:pStyle w:val="4"/>
        <w:keepNext w:val="0"/>
        <w:spacing w:before="0" w:after="0" w:line="480" w:lineRule="exact"/>
        <w:jc w:val="left"/>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7.</w:t>
      </w:r>
      <w:r>
        <w:rPr>
          <w:rFonts w:hint="eastAsia" w:ascii="宋体" w:hAnsi="宋体" w:eastAsia="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考核管理办法</w:t>
      </w:r>
    </w:p>
    <w:p w14:paraId="63FD3C7F">
      <w:pPr>
        <w:rPr>
          <w:color w:val="auto"/>
          <w:highlight w:val="none"/>
        </w:rPr>
      </w:pPr>
      <w:r>
        <w:rPr>
          <w:rFonts w:hint="eastAsia"/>
          <w:color w:val="auto"/>
          <w:highlight w:val="none"/>
          <w:lang w:val="en-US" w:eastAsia="zh-CN"/>
        </w:rPr>
        <w:t>7.2.1</w:t>
      </w:r>
      <w:r>
        <w:rPr>
          <w:rFonts w:hint="eastAsia"/>
          <w:color w:val="auto"/>
          <w:highlight w:val="none"/>
        </w:rPr>
        <w:t>甲方对物业管理工作达标情况实行月度考核。</w:t>
      </w:r>
    </w:p>
    <w:p w14:paraId="4C47AC7B">
      <w:pPr>
        <w:rPr>
          <w:color w:val="auto"/>
          <w:highlight w:val="none"/>
        </w:rPr>
      </w:pPr>
      <w:r>
        <w:rPr>
          <w:rFonts w:hint="eastAsia"/>
          <w:color w:val="auto"/>
          <w:highlight w:val="none"/>
          <w:lang w:val="en-US" w:eastAsia="zh-CN"/>
        </w:rPr>
        <w:t>7.2.2</w:t>
      </w:r>
      <w:r>
        <w:rPr>
          <w:rFonts w:hint="eastAsia"/>
          <w:color w:val="auto"/>
          <w:highlight w:val="none"/>
        </w:rPr>
        <w:t>甲方对物业管理服务情况不定期抽查，抽查结果纳入月度考核成绩。</w:t>
      </w:r>
    </w:p>
    <w:p w14:paraId="1DD52118">
      <w:pPr>
        <w:rPr>
          <w:color w:val="auto"/>
          <w:highlight w:val="none"/>
        </w:rPr>
      </w:pPr>
      <w:r>
        <w:rPr>
          <w:rFonts w:hint="eastAsia"/>
          <w:color w:val="auto"/>
          <w:highlight w:val="none"/>
          <w:lang w:val="en-US" w:eastAsia="zh-CN"/>
        </w:rPr>
        <w:t>7.2.3</w:t>
      </w:r>
      <w:r>
        <w:rPr>
          <w:rFonts w:hint="eastAsia"/>
          <w:color w:val="auto"/>
          <w:highlight w:val="none"/>
        </w:rPr>
        <w:t>考核结果不合格时，甲方按照物业公司投标时承诺的条款或按照合同约定条款进行处罚。</w:t>
      </w:r>
    </w:p>
    <w:p w14:paraId="3A7A3D63">
      <w:pPr>
        <w:rPr>
          <w:color w:val="auto"/>
          <w:highlight w:val="none"/>
        </w:rPr>
      </w:pPr>
      <w:r>
        <w:rPr>
          <w:rFonts w:hint="eastAsia"/>
          <w:color w:val="auto"/>
          <w:highlight w:val="none"/>
          <w:lang w:val="en-US" w:eastAsia="zh-CN"/>
        </w:rPr>
        <w:t>7.2.4</w:t>
      </w:r>
      <w:r>
        <w:rPr>
          <w:rFonts w:hint="eastAsia"/>
          <w:color w:val="auto"/>
          <w:highlight w:val="none"/>
        </w:rPr>
        <w:t>考核验收参考标准</w:t>
      </w:r>
    </w:p>
    <w:tbl>
      <w:tblPr>
        <w:tblStyle w:val="25"/>
        <w:tblW w:w="4920" w:type="pct"/>
        <w:jc w:val="center"/>
        <w:tblLayout w:type="fixed"/>
        <w:tblCellMar>
          <w:top w:w="0" w:type="dxa"/>
          <w:left w:w="108" w:type="dxa"/>
          <w:bottom w:w="0" w:type="dxa"/>
          <w:right w:w="108" w:type="dxa"/>
        </w:tblCellMar>
      </w:tblPr>
      <w:tblGrid>
        <w:gridCol w:w="1096"/>
        <w:gridCol w:w="5198"/>
        <w:gridCol w:w="881"/>
        <w:gridCol w:w="1520"/>
      </w:tblGrid>
      <w:tr w14:paraId="2B242027">
        <w:tblPrEx>
          <w:tblCellMar>
            <w:top w:w="0" w:type="dxa"/>
            <w:left w:w="108" w:type="dxa"/>
            <w:bottom w:w="0" w:type="dxa"/>
            <w:right w:w="108" w:type="dxa"/>
          </w:tblCellMar>
        </w:tblPrEx>
        <w:trPr>
          <w:trHeight w:val="90" w:hRule="atLeast"/>
          <w:jc w:val="center"/>
        </w:trPr>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5399D">
            <w:pPr>
              <w:spacing w:line="240" w:lineRule="auto"/>
              <w:ind w:firstLine="0" w:firstLineChars="0"/>
              <w:rPr>
                <w:color w:val="auto"/>
                <w:highlight w:val="none"/>
              </w:rPr>
            </w:pPr>
            <w:r>
              <w:rPr>
                <w:rFonts w:hint="eastAsia"/>
                <w:color w:val="auto"/>
                <w:highlight w:val="none"/>
              </w:rPr>
              <w:t>被考核人</w:t>
            </w: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77ADC">
            <w:pPr>
              <w:spacing w:line="240" w:lineRule="auto"/>
              <w:rPr>
                <w:color w:val="auto"/>
                <w:highlight w:val="none"/>
              </w:rPr>
            </w:pPr>
          </w:p>
        </w:tc>
        <w:tc>
          <w:tcPr>
            <w:tcW w:w="5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2EB72">
            <w:pPr>
              <w:spacing w:line="240" w:lineRule="auto"/>
              <w:ind w:firstLine="0" w:firstLineChars="0"/>
              <w:rPr>
                <w:color w:val="auto"/>
                <w:highlight w:val="none"/>
              </w:rPr>
            </w:pPr>
            <w:r>
              <w:rPr>
                <w:rFonts w:hint="eastAsia"/>
                <w:color w:val="auto"/>
                <w:highlight w:val="none"/>
              </w:rPr>
              <w:t>检查时间</w:t>
            </w:r>
          </w:p>
        </w:tc>
        <w:tc>
          <w:tcPr>
            <w:tcW w:w="8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1A336">
            <w:pPr>
              <w:spacing w:line="240" w:lineRule="auto"/>
              <w:rPr>
                <w:color w:val="auto"/>
                <w:highlight w:val="none"/>
              </w:rPr>
            </w:pPr>
          </w:p>
        </w:tc>
      </w:tr>
      <w:tr w14:paraId="5674FB57">
        <w:tblPrEx>
          <w:tblCellMar>
            <w:top w:w="0" w:type="dxa"/>
            <w:left w:w="108" w:type="dxa"/>
            <w:bottom w:w="0" w:type="dxa"/>
            <w:right w:w="108" w:type="dxa"/>
          </w:tblCellMar>
        </w:tblPrEx>
        <w:trPr>
          <w:trHeight w:val="90" w:hRule="atLeast"/>
          <w:jc w:val="center"/>
        </w:trPr>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6005C">
            <w:pPr>
              <w:spacing w:line="240" w:lineRule="auto"/>
              <w:ind w:firstLine="0" w:firstLineChars="0"/>
              <w:rPr>
                <w:color w:val="auto"/>
                <w:highlight w:val="none"/>
              </w:rPr>
            </w:pPr>
            <w:r>
              <w:rPr>
                <w:rFonts w:hint="eastAsia"/>
                <w:color w:val="auto"/>
                <w:highlight w:val="none"/>
              </w:rPr>
              <w:t>考核项目</w:t>
            </w: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376C3">
            <w:pPr>
              <w:spacing w:line="240" w:lineRule="auto"/>
              <w:ind w:firstLine="0" w:firstLineChars="0"/>
              <w:rPr>
                <w:color w:val="auto"/>
                <w:highlight w:val="none"/>
              </w:rPr>
            </w:pPr>
            <w:r>
              <w:rPr>
                <w:rFonts w:hint="eastAsia"/>
                <w:color w:val="auto"/>
                <w:highlight w:val="none"/>
              </w:rPr>
              <w:t xml:space="preserve"> 考核评分标准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2414F">
            <w:pPr>
              <w:spacing w:line="240" w:lineRule="auto"/>
              <w:ind w:firstLine="0" w:firstLineChars="0"/>
              <w:rPr>
                <w:color w:val="auto"/>
                <w:highlight w:val="none"/>
              </w:rPr>
            </w:pPr>
            <w:r>
              <w:rPr>
                <w:rFonts w:hint="eastAsia"/>
                <w:color w:val="auto"/>
                <w:highlight w:val="none"/>
              </w:rPr>
              <w:t>扣分</w:t>
            </w: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B6F54">
            <w:pPr>
              <w:spacing w:line="240" w:lineRule="auto"/>
              <w:ind w:firstLine="0" w:firstLineChars="0"/>
              <w:rPr>
                <w:color w:val="auto"/>
                <w:highlight w:val="none"/>
              </w:rPr>
            </w:pPr>
            <w:r>
              <w:rPr>
                <w:rFonts w:hint="eastAsia"/>
                <w:color w:val="auto"/>
                <w:highlight w:val="none"/>
              </w:rPr>
              <w:t>扣分简要说明</w:t>
            </w:r>
          </w:p>
        </w:tc>
      </w:tr>
      <w:tr w14:paraId="6A808079">
        <w:tblPrEx>
          <w:tblCellMar>
            <w:top w:w="0" w:type="dxa"/>
            <w:left w:w="108" w:type="dxa"/>
            <w:bottom w:w="0" w:type="dxa"/>
            <w:right w:w="108" w:type="dxa"/>
          </w:tblCellMar>
        </w:tblPrEx>
        <w:trPr>
          <w:trHeight w:val="90" w:hRule="atLeast"/>
          <w:jc w:val="center"/>
        </w:trPr>
        <w:tc>
          <w:tcPr>
            <w:tcW w:w="630" w:type="pct"/>
            <w:vMerge w:val="restart"/>
            <w:tcBorders>
              <w:top w:val="single" w:color="000000" w:sz="4" w:space="0"/>
              <w:left w:val="single" w:color="000000" w:sz="4" w:space="0"/>
              <w:right w:val="single" w:color="000000" w:sz="4" w:space="0"/>
            </w:tcBorders>
            <w:shd w:val="clear" w:color="auto" w:fill="auto"/>
            <w:vAlign w:val="center"/>
          </w:tcPr>
          <w:p w14:paraId="24DE79CC">
            <w:pPr>
              <w:spacing w:line="240" w:lineRule="auto"/>
              <w:ind w:firstLine="0" w:firstLineChars="0"/>
              <w:rPr>
                <w:color w:val="auto"/>
                <w:highlight w:val="none"/>
              </w:rPr>
            </w:pPr>
            <w:r>
              <w:rPr>
                <w:rFonts w:hint="eastAsia"/>
                <w:color w:val="auto"/>
                <w:highlight w:val="none"/>
              </w:rPr>
              <w:t>1.</w:t>
            </w:r>
            <w:r>
              <w:rPr>
                <w:rFonts w:hint="eastAsia"/>
                <w:color w:val="auto"/>
                <w:highlight w:val="none"/>
                <w:lang w:eastAsia="zh-CN"/>
              </w:rPr>
              <w:t>总体</w:t>
            </w:r>
            <w:r>
              <w:rPr>
                <w:rFonts w:hint="eastAsia"/>
                <w:color w:val="auto"/>
                <w:highlight w:val="none"/>
              </w:rPr>
              <w:t>服务</w:t>
            </w:r>
            <w:r>
              <w:rPr>
                <w:rFonts w:hint="eastAsia"/>
                <w:color w:val="auto"/>
                <w:highlight w:val="none"/>
                <w:lang w:eastAsia="zh-CN"/>
              </w:rPr>
              <w:t>管理</w:t>
            </w:r>
            <w:r>
              <w:rPr>
                <w:rFonts w:hint="eastAsia"/>
                <w:color w:val="auto"/>
                <w:highlight w:val="none"/>
              </w:rPr>
              <w:t>评分（20 分）</w:t>
            </w: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EB212">
            <w:pPr>
              <w:spacing w:line="240" w:lineRule="auto"/>
              <w:ind w:firstLine="0" w:firstLineChars="0"/>
              <w:rPr>
                <w:color w:val="auto"/>
                <w:highlight w:val="none"/>
              </w:rPr>
            </w:pPr>
            <w:r>
              <w:rPr>
                <w:rFonts w:hint="eastAsia"/>
                <w:color w:val="auto"/>
                <w:highlight w:val="none"/>
              </w:rPr>
              <w:t>（1）未按要求制订物业服务相关方案制度，缺少一个扣 1 分，未落实到位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F5224">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4B38F">
            <w:pPr>
              <w:spacing w:line="240" w:lineRule="auto"/>
              <w:rPr>
                <w:color w:val="auto"/>
                <w:highlight w:val="none"/>
              </w:rPr>
            </w:pPr>
          </w:p>
        </w:tc>
      </w:tr>
      <w:tr w14:paraId="56D8A663">
        <w:tblPrEx>
          <w:tblCellMar>
            <w:top w:w="0" w:type="dxa"/>
            <w:left w:w="108" w:type="dxa"/>
            <w:bottom w:w="0" w:type="dxa"/>
            <w:right w:w="108" w:type="dxa"/>
          </w:tblCellMar>
        </w:tblPrEx>
        <w:trPr>
          <w:trHeight w:val="90" w:hRule="atLeast"/>
          <w:jc w:val="center"/>
        </w:trPr>
        <w:tc>
          <w:tcPr>
            <w:tcW w:w="630" w:type="pct"/>
            <w:vMerge w:val="continue"/>
            <w:tcBorders>
              <w:left w:val="single" w:color="000000" w:sz="4" w:space="0"/>
              <w:right w:val="single" w:color="000000" w:sz="4" w:space="0"/>
            </w:tcBorders>
            <w:shd w:val="clear" w:color="auto" w:fill="auto"/>
            <w:vAlign w:val="center"/>
          </w:tcPr>
          <w:p w14:paraId="77CF01ED">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648E9">
            <w:pPr>
              <w:spacing w:line="240" w:lineRule="auto"/>
              <w:ind w:firstLine="0" w:firstLineChars="0"/>
              <w:rPr>
                <w:color w:val="auto"/>
                <w:highlight w:val="none"/>
              </w:rPr>
            </w:pPr>
            <w:r>
              <w:rPr>
                <w:rFonts w:hint="eastAsia"/>
                <w:color w:val="auto"/>
                <w:highlight w:val="none"/>
              </w:rPr>
              <w:t>（2）内部设施设备运行不正常一次扣 1 分，由于设施设备不正常运行影响工作开展一次扣 5 分，造成单位财产损失 5000 元及以上或人员伤亡一次扣 15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35B09">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4FCDD">
            <w:pPr>
              <w:spacing w:line="240" w:lineRule="auto"/>
              <w:rPr>
                <w:color w:val="auto"/>
                <w:highlight w:val="none"/>
              </w:rPr>
            </w:pPr>
          </w:p>
        </w:tc>
      </w:tr>
      <w:tr w14:paraId="44339A24">
        <w:tblPrEx>
          <w:tblCellMar>
            <w:top w:w="0" w:type="dxa"/>
            <w:left w:w="108" w:type="dxa"/>
            <w:bottom w:w="0" w:type="dxa"/>
            <w:right w:w="108" w:type="dxa"/>
          </w:tblCellMar>
        </w:tblPrEx>
        <w:trPr>
          <w:trHeight w:val="90" w:hRule="atLeast"/>
          <w:jc w:val="center"/>
        </w:trPr>
        <w:tc>
          <w:tcPr>
            <w:tcW w:w="630" w:type="pct"/>
            <w:vMerge w:val="continue"/>
            <w:tcBorders>
              <w:left w:val="single" w:color="000000" w:sz="4" w:space="0"/>
              <w:right w:val="single" w:color="000000" w:sz="4" w:space="0"/>
            </w:tcBorders>
            <w:shd w:val="clear" w:color="auto" w:fill="auto"/>
            <w:vAlign w:val="center"/>
          </w:tcPr>
          <w:p w14:paraId="32E1F530">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781D7">
            <w:pPr>
              <w:spacing w:line="240" w:lineRule="auto"/>
              <w:ind w:firstLine="0" w:firstLineChars="0"/>
              <w:rPr>
                <w:color w:val="auto"/>
                <w:highlight w:val="none"/>
              </w:rPr>
            </w:pPr>
            <w:r>
              <w:rPr>
                <w:rFonts w:hint="eastAsia"/>
                <w:color w:val="auto"/>
                <w:highlight w:val="none"/>
              </w:rPr>
              <w:t>（3）24 小时服务电话未接听一次扣 1 分，接听电话后未及时提供服务一次扣 2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1AB5D">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D38A9">
            <w:pPr>
              <w:spacing w:line="240" w:lineRule="auto"/>
              <w:rPr>
                <w:color w:val="auto"/>
                <w:highlight w:val="none"/>
              </w:rPr>
            </w:pPr>
          </w:p>
        </w:tc>
      </w:tr>
      <w:tr w14:paraId="40DBD019">
        <w:tblPrEx>
          <w:tblCellMar>
            <w:top w:w="0" w:type="dxa"/>
            <w:left w:w="108" w:type="dxa"/>
            <w:bottom w:w="0" w:type="dxa"/>
            <w:right w:w="108" w:type="dxa"/>
          </w:tblCellMar>
        </w:tblPrEx>
        <w:trPr>
          <w:trHeight w:val="90" w:hRule="atLeast"/>
          <w:jc w:val="center"/>
        </w:trPr>
        <w:tc>
          <w:tcPr>
            <w:tcW w:w="630" w:type="pct"/>
            <w:vMerge w:val="continue"/>
            <w:tcBorders>
              <w:left w:val="single" w:color="000000" w:sz="4" w:space="0"/>
              <w:right w:val="single" w:color="000000" w:sz="4" w:space="0"/>
            </w:tcBorders>
            <w:shd w:val="clear" w:color="auto" w:fill="auto"/>
            <w:vAlign w:val="center"/>
          </w:tcPr>
          <w:p w14:paraId="7136AC6F">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81917">
            <w:pPr>
              <w:spacing w:line="240" w:lineRule="auto"/>
              <w:ind w:firstLine="0" w:firstLineChars="0"/>
              <w:rPr>
                <w:color w:val="auto"/>
                <w:highlight w:val="none"/>
              </w:rPr>
            </w:pPr>
            <w:r>
              <w:rPr>
                <w:rFonts w:hint="eastAsia"/>
                <w:color w:val="auto"/>
                <w:highlight w:val="none"/>
              </w:rPr>
              <w:t>（</w:t>
            </w:r>
            <w:r>
              <w:rPr>
                <w:color w:val="auto"/>
                <w:highlight w:val="none"/>
              </w:rPr>
              <w:t>4</w:t>
            </w:r>
            <w:r>
              <w:rPr>
                <w:rFonts w:hint="eastAsia"/>
                <w:color w:val="auto"/>
                <w:highlight w:val="none"/>
              </w:rPr>
              <w:t>）无服务受理、投诉、回访处理程序扣 2 分，对于服务投诉受理及回访处理不及时一项次扣 1 分，对于回访处理后同一问题再次被投诉一项次扣 2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C5B84">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1568C">
            <w:pPr>
              <w:spacing w:line="240" w:lineRule="auto"/>
              <w:rPr>
                <w:color w:val="auto"/>
                <w:highlight w:val="none"/>
              </w:rPr>
            </w:pPr>
          </w:p>
        </w:tc>
      </w:tr>
      <w:tr w14:paraId="0F3B9D62">
        <w:tblPrEx>
          <w:tblCellMar>
            <w:top w:w="0" w:type="dxa"/>
            <w:left w:w="108" w:type="dxa"/>
            <w:bottom w:w="0" w:type="dxa"/>
            <w:right w:w="108" w:type="dxa"/>
          </w:tblCellMar>
        </w:tblPrEx>
        <w:trPr>
          <w:trHeight w:val="90" w:hRule="atLeast"/>
          <w:jc w:val="center"/>
        </w:trPr>
        <w:tc>
          <w:tcPr>
            <w:tcW w:w="630" w:type="pct"/>
            <w:vMerge w:val="continue"/>
            <w:tcBorders>
              <w:left w:val="single" w:color="000000" w:sz="4" w:space="0"/>
              <w:right w:val="single" w:color="000000" w:sz="4" w:space="0"/>
            </w:tcBorders>
            <w:shd w:val="clear" w:color="auto" w:fill="auto"/>
            <w:vAlign w:val="center"/>
          </w:tcPr>
          <w:p w14:paraId="0B0A34AF">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EA776">
            <w:pPr>
              <w:spacing w:line="240" w:lineRule="auto"/>
              <w:ind w:firstLine="0" w:firstLineChars="0"/>
              <w:rPr>
                <w:color w:val="auto"/>
                <w:highlight w:val="none"/>
              </w:rPr>
            </w:pPr>
            <w:r>
              <w:rPr>
                <w:rFonts w:hint="eastAsia"/>
                <w:color w:val="auto"/>
                <w:highlight w:val="none"/>
              </w:rPr>
              <w:t>（</w:t>
            </w:r>
            <w:r>
              <w:rPr>
                <w:color w:val="auto"/>
                <w:highlight w:val="none"/>
              </w:rPr>
              <w:t>5</w:t>
            </w:r>
            <w:r>
              <w:rPr>
                <w:rFonts w:hint="eastAsia"/>
                <w:color w:val="auto"/>
                <w:highlight w:val="none"/>
              </w:rPr>
              <w:t>）主要管理人员和专业技术人员持证上岗，服务人员着装统一整齐，佩戴标志，行为规范，服务热情。未按服务要求做到，一项次扣 2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F8009">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17A84">
            <w:pPr>
              <w:spacing w:line="240" w:lineRule="auto"/>
              <w:rPr>
                <w:color w:val="auto"/>
                <w:highlight w:val="none"/>
              </w:rPr>
            </w:pPr>
          </w:p>
        </w:tc>
      </w:tr>
      <w:tr w14:paraId="523468A0">
        <w:tblPrEx>
          <w:tblCellMar>
            <w:top w:w="0" w:type="dxa"/>
            <w:left w:w="108" w:type="dxa"/>
            <w:bottom w:w="0" w:type="dxa"/>
            <w:right w:w="108" w:type="dxa"/>
          </w:tblCellMar>
        </w:tblPrEx>
        <w:trPr>
          <w:trHeight w:val="90" w:hRule="atLeast"/>
          <w:jc w:val="center"/>
        </w:trPr>
        <w:tc>
          <w:tcPr>
            <w:tcW w:w="630" w:type="pct"/>
            <w:vMerge w:val="continue"/>
            <w:tcBorders>
              <w:left w:val="single" w:color="000000" w:sz="4" w:space="0"/>
              <w:bottom w:val="single" w:color="000000" w:sz="4" w:space="0"/>
              <w:right w:val="single" w:color="000000" w:sz="4" w:space="0"/>
            </w:tcBorders>
            <w:shd w:val="clear" w:color="auto" w:fill="auto"/>
            <w:vAlign w:val="center"/>
          </w:tcPr>
          <w:p w14:paraId="72F0047A">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2075F">
            <w:pPr>
              <w:spacing w:line="240" w:lineRule="auto"/>
              <w:ind w:firstLine="0" w:firstLineChars="0"/>
              <w:rPr>
                <w:color w:val="auto"/>
                <w:highlight w:val="none"/>
              </w:rPr>
            </w:pPr>
            <w:r>
              <w:rPr>
                <w:rFonts w:hint="eastAsia"/>
                <w:color w:val="auto"/>
                <w:highlight w:val="none"/>
              </w:rPr>
              <w:t>（</w:t>
            </w:r>
            <w:r>
              <w:rPr>
                <w:color w:val="auto"/>
                <w:highlight w:val="none"/>
              </w:rPr>
              <w:t>6</w:t>
            </w:r>
            <w:r>
              <w:rPr>
                <w:rFonts w:hint="eastAsia"/>
                <w:color w:val="auto"/>
                <w:highlight w:val="none"/>
              </w:rPr>
              <w:t>）管理服务中的相关作业记录不完整一项次扣 1分，被外单位检查相关作业记录不完整一项次扣 2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31A95">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E2F2D">
            <w:pPr>
              <w:spacing w:line="240" w:lineRule="auto"/>
              <w:rPr>
                <w:color w:val="auto"/>
                <w:highlight w:val="none"/>
              </w:rPr>
            </w:pPr>
          </w:p>
        </w:tc>
      </w:tr>
      <w:tr w14:paraId="2C2C7546">
        <w:tblPrEx>
          <w:tblCellMar>
            <w:top w:w="0" w:type="dxa"/>
            <w:left w:w="108" w:type="dxa"/>
            <w:bottom w:w="0" w:type="dxa"/>
            <w:right w:w="108" w:type="dxa"/>
          </w:tblCellMar>
        </w:tblPrEx>
        <w:trPr>
          <w:trHeight w:val="90" w:hRule="atLeast"/>
          <w:jc w:val="center"/>
        </w:trPr>
        <w:tc>
          <w:tcPr>
            <w:tcW w:w="6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24CFDC">
            <w:pPr>
              <w:spacing w:line="240" w:lineRule="auto"/>
              <w:ind w:firstLine="0" w:firstLineChars="0"/>
              <w:rPr>
                <w:color w:val="auto"/>
                <w:highlight w:val="none"/>
              </w:rPr>
            </w:pPr>
            <w:r>
              <w:rPr>
                <w:rFonts w:hint="eastAsia"/>
                <w:color w:val="auto"/>
                <w:highlight w:val="none"/>
              </w:rPr>
              <w:t>2.秩序维护与安全服务评分（20分）</w:t>
            </w: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1816B">
            <w:pPr>
              <w:spacing w:line="240" w:lineRule="auto"/>
              <w:ind w:firstLine="0" w:firstLineChars="0"/>
              <w:rPr>
                <w:color w:val="auto"/>
                <w:highlight w:val="none"/>
              </w:rPr>
            </w:pPr>
            <w:r>
              <w:rPr>
                <w:rFonts w:hint="eastAsia"/>
                <w:color w:val="auto"/>
                <w:highlight w:val="none"/>
              </w:rPr>
              <w:t>（1）门卫，未达到服务要求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BBC78">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08D54">
            <w:pPr>
              <w:spacing w:line="240" w:lineRule="auto"/>
              <w:rPr>
                <w:color w:val="auto"/>
                <w:highlight w:val="none"/>
              </w:rPr>
            </w:pPr>
          </w:p>
        </w:tc>
      </w:tr>
      <w:tr w14:paraId="6B6203BD">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6D1F6">
            <w:pPr>
              <w:spacing w:line="240" w:lineRule="auto"/>
              <w:ind w:firstLine="0" w:firstLineChars="0"/>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E09E0">
            <w:pPr>
              <w:spacing w:line="240" w:lineRule="auto"/>
              <w:ind w:firstLine="0" w:firstLineChars="0"/>
              <w:rPr>
                <w:color w:val="auto"/>
                <w:highlight w:val="none"/>
              </w:rPr>
            </w:pPr>
            <w:r>
              <w:rPr>
                <w:rFonts w:hint="eastAsia"/>
                <w:color w:val="auto"/>
                <w:highlight w:val="none"/>
              </w:rPr>
              <w:t>（2）巡逻，未达到服务要求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4D27E">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217C5">
            <w:pPr>
              <w:spacing w:line="240" w:lineRule="auto"/>
              <w:rPr>
                <w:color w:val="auto"/>
                <w:highlight w:val="none"/>
              </w:rPr>
            </w:pPr>
          </w:p>
        </w:tc>
      </w:tr>
      <w:tr w14:paraId="79FC04CA">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DDB25F">
            <w:pPr>
              <w:spacing w:line="240" w:lineRule="auto"/>
              <w:ind w:firstLine="0" w:firstLineChars="0"/>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ED998">
            <w:pPr>
              <w:spacing w:line="240" w:lineRule="auto"/>
              <w:ind w:firstLine="0" w:firstLineChars="0"/>
              <w:rPr>
                <w:color w:val="auto"/>
                <w:highlight w:val="none"/>
              </w:rPr>
            </w:pPr>
            <w:r>
              <w:rPr>
                <w:rFonts w:hint="eastAsia"/>
                <w:color w:val="auto"/>
                <w:highlight w:val="none"/>
              </w:rPr>
              <w:t>（3）安全监控，未达到服务要求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67C8A">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EF706">
            <w:pPr>
              <w:spacing w:line="240" w:lineRule="auto"/>
              <w:rPr>
                <w:color w:val="auto"/>
                <w:highlight w:val="none"/>
              </w:rPr>
            </w:pPr>
          </w:p>
        </w:tc>
      </w:tr>
      <w:tr w14:paraId="7CC98441">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C5C2B">
            <w:pPr>
              <w:spacing w:line="240" w:lineRule="auto"/>
              <w:ind w:firstLine="0" w:firstLineChars="0"/>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505BD">
            <w:pPr>
              <w:spacing w:line="240" w:lineRule="auto"/>
              <w:ind w:firstLine="0" w:firstLineChars="0"/>
              <w:rPr>
                <w:color w:val="auto"/>
                <w:highlight w:val="none"/>
              </w:rPr>
            </w:pPr>
            <w:r>
              <w:rPr>
                <w:rFonts w:hint="eastAsia"/>
                <w:color w:val="auto"/>
                <w:highlight w:val="none"/>
                <w:lang w:eastAsia="zh-CN"/>
              </w:rPr>
              <w:t>（</w:t>
            </w:r>
            <w:r>
              <w:rPr>
                <w:rFonts w:hint="eastAsia"/>
                <w:color w:val="auto"/>
                <w:highlight w:val="none"/>
                <w:lang w:val="en-US" w:eastAsia="zh-CN"/>
              </w:rPr>
              <w:t>4）</w:t>
            </w:r>
            <w:r>
              <w:rPr>
                <w:rFonts w:hint="eastAsia" w:ascii="宋体" w:hAnsi="宋体" w:eastAsia="宋体" w:cs="宋体"/>
                <w:b w:val="0"/>
                <w:bCs w:val="0"/>
                <w:i w:val="0"/>
                <w:iCs w:val="0"/>
                <w:smallCaps w:val="0"/>
                <w:color w:val="auto"/>
                <w:sz w:val="21"/>
                <w:szCs w:val="21"/>
                <w:highlight w:val="none"/>
              </w:rPr>
              <w:t>交通和车辆停放管理</w:t>
            </w:r>
            <w:r>
              <w:rPr>
                <w:rFonts w:hint="eastAsia" w:ascii="宋体" w:hAnsi="宋体" w:cs="宋体"/>
                <w:b w:val="0"/>
                <w:bCs w:val="0"/>
                <w:color w:val="auto"/>
                <w:highlight w:val="none"/>
                <w:lang w:val="en-US" w:eastAsia="zh-CN"/>
              </w:rPr>
              <w:t>工作服务，</w:t>
            </w:r>
            <w:r>
              <w:rPr>
                <w:rFonts w:hint="eastAsia"/>
                <w:color w:val="auto"/>
                <w:highlight w:val="none"/>
              </w:rPr>
              <w:t>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AB47F">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56A84">
            <w:pPr>
              <w:spacing w:line="240" w:lineRule="auto"/>
              <w:rPr>
                <w:color w:val="auto"/>
                <w:highlight w:val="none"/>
              </w:rPr>
            </w:pPr>
          </w:p>
        </w:tc>
      </w:tr>
      <w:tr w14:paraId="169CB513">
        <w:tblPrEx>
          <w:tblCellMar>
            <w:top w:w="0" w:type="dxa"/>
            <w:left w:w="108" w:type="dxa"/>
            <w:bottom w:w="0" w:type="dxa"/>
            <w:right w:w="108" w:type="dxa"/>
          </w:tblCellMar>
        </w:tblPrEx>
        <w:trPr>
          <w:trHeight w:val="151"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D4A2E">
            <w:pPr>
              <w:spacing w:line="240" w:lineRule="auto"/>
              <w:ind w:firstLine="0" w:firstLineChars="0"/>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AF5AD">
            <w:pPr>
              <w:spacing w:line="240" w:lineRule="auto"/>
              <w:ind w:firstLine="0" w:firstLineChars="0"/>
              <w:rPr>
                <w:rFonts w:ascii="Calibri" w:hAnsi="Calibri" w:eastAsia="宋体" w:cs="Times New Roman"/>
                <w:color w:val="auto"/>
                <w:kern w:val="2"/>
                <w:sz w:val="21"/>
                <w:szCs w:val="22"/>
                <w:highlight w:val="none"/>
                <w:lang w:val="en-US" w:eastAsia="zh-CN" w:bidi="ar-SA"/>
              </w:rPr>
            </w:pPr>
            <w:r>
              <w:rPr>
                <w:rFonts w:hint="eastAsia"/>
                <w:color w:val="auto"/>
                <w:highlight w:val="none"/>
              </w:rPr>
              <w:t>（</w:t>
            </w:r>
            <w:r>
              <w:rPr>
                <w:rFonts w:hint="eastAsia"/>
                <w:color w:val="auto"/>
                <w:highlight w:val="none"/>
                <w:lang w:val="en-US" w:eastAsia="zh-CN"/>
              </w:rPr>
              <w:t>5</w:t>
            </w:r>
            <w:r>
              <w:rPr>
                <w:rFonts w:hint="eastAsia"/>
                <w:color w:val="auto"/>
                <w:highlight w:val="none"/>
              </w:rPr>
              <w:t xml:space="preserve">）消防安全管理，未达到服务要求 1 项次扣 3 分。 </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A5B7E">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2849E">
            <w:pPr>
              <w:spacing w:line="240" w:lineRule="auto"/>
              <w:rPr>
                <w:color w:val="auto"/>
                <w:highlight w:val="none"/>
              </w:rPr>
            </w:pPr>
          </w:p>
        </w:tc>
      </w:tr>
      <w:tr w14:paraId="20ED332A">
        <w:tblPrEx>
          <w:tblCellMar>
            <w:top w:w="0" w:type="dxa"/>
            <w:left w:w="108" w:type="dxa"/>
            <w:bottom w:w="0" w:type="dxa"/>
            <w:right w:w="108" w:type="dxa"/>
          </w:tblCellMar>
        </w:tblPrEx>
        <w:trPr>
          <w:trHeight w:val="151" w:hRule="atLeast"/>
          <w:jc w:val="center"/>
        </w:trPr>
        <w:tc>
          <w:tcPr>
            <w:tcW w:w="630" w:type="pct"/>
            <w:vMerge w:val="continue"/>
            <w:tcBorders>
              <w:left w:val="single" w:color="000000" w:sz="4" w:space="0"/>
              <w:bottom w:val="single" w:color="000000" w:sz="4" w:space="0"/>
              <w:right w:val="single" w:color="000000" w:sz="4" w:space="0"/>
            </w:tcBorders>
            <w:shd w:val="clear" w:color="auto" w:fill="auto"/>
            <w:vAlign w:val="center"/>
          </w:tcPr>
          <w:p w14:paraId="633D6A0B">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E5A55">
            <w:pPr>
              <w:spacing w:line="240" w:lineRule="auto"/>
              <w:ind w:firstLine="0" w:firstLineChars="0"/>
              <w:rPr>
                <w:rFonts w:hint="eastAsia" w:ascii="Calibri" w:hAnsi="Calibri" w:eastAsia="宋体" w:cs="Times New Roman"/>
                <w:color w:val="auto"/>
                <w:kern w:val="2"/>
                <w:sz w:val="21"/>
                <w:szCs w:val="22"/>
                <w:highlight w:val="none"/>
                <w:lang w:val="en-US" w:eastAsia="zh-CN" w:bidi="ar-SA"/>
              </w:rPr>
            </w:pPr>
            <w:r>
              <w:rPr>
                <w:rFonts w:hint="eastAsia"/>
                <w:color w:val="auto"/>
                <w:highlight w:val="none"/>
              </w:rPr>
              <w:t>（</w:t>
            </w:r>
            <w:r>
              <w:rPr>
                <w:rFonts w:hint="eastAsia"/>
                <w:color w:val="auto"/>
                <w:highlight w:val="none"/>
                <w:lang w:val="en-US" w:eastAsia="zh-CN"/>
              </w:rPr>
              <w:t>6</w:t>
            </w:r>
            <w:r>
              <w:rPr>
                <w:rFonts w:hint="eastAsia"/>
                <w:color w:val="auto"/>
                <w:highlight w:val="none"/>
              </w:rPr>
              <w:t>）</w:t>
            </w:r>
            <w:r>
              <w:rPr>
                <w:rFonts w:hint="eastAsia"/>
                <w:color w:val="auto"/>
                <w:highlight w:val="none"/>
                <w:lang w:eastAsia="zh-CN"/>
              </w:rPr>
              <w:t>秩序维护</w:t>
            </w:r>
            <w:r>
              <w:rPr>
                <w:rFonts w:hint="eastAsia"/>
                <w:color w:val="auto"/>
                <w:highlight w:val="none"/>
              </w:rPr>
              <w:t>管理，未达到服务要求 1 项次扣 3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69512">
            <w:pPr>
              <w:spacing w:line="240" w:lineRule="auto"/>
              <w:rPr>
                <w:rFonts w:hint="eastAsia"/>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ACCEB">
            <w:pPr>
              <w:spacing w:line="240" w:lineRule="auto"/>
              <w:rPr>
                <w:rFonts w:hint="eastAsia"/>
                <w:color w:val="auto"/>
                <w:highlight w:val="none"/>
              </w:rPr>
            </w:pPr>
          </w:p>
        </w:tc>
      </w:tr>
      <w:tr w14:paraId="36CD0714">
        <w:tblPrEx>
          <w:tblCellMar>
            <w:top w:w="0" w:type="dxa"/>
            <w:left w:w="108" w:type="dxa"/>
            <w:bottom w:w="0" w:type="dxa"/>
            <w:right w:w="108" w:type="dxa"/>
          </w:tblCellMar>
        </w:tblPrEx>
        <w:trPr>
          <w:trHeight w:val="90" w:hRule="atLeast"/>
          <w:jc w:val="center"/>
        </w:trPr>
        <w:tc>
          <w:tcPr>
            <w:tcW w:w="6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F01FAE">
            <w:pPr>
              <w:spacing w:line="240" w:lineRule="auto"/>
              <w:ind w:firstLine="0" w:firstLineChars="0"/>
              <w:rPr>
                <w:color w:val="auto"/>
                <w:highlight w:val="none"/>
              </w:rPr>
            </w:pPr>
            <w:r>
              <w:rPr>
                <w:rFonts w:hint="eastAsia"/>
                <w:color w:val="auto"/>
                <w:highlight w:val="none"/>
              </w:rPr>
              <w:t>3.环境维护服务（20分）</w:t>
            </w: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E4D68">
            <w:pPr>
              <w:spacing w:line="240" w:lineRule="auto"/>
              <w:ind w:firstLine="0" w:firstLineChars="0"/>
              <w:rPr>
                <w:color w:val="auto"/>
                <w:highlight w:val="none"/>
              </w:rPr>
            </w:pPr>
            <w:r>
              <w:rPr>
                <w:rFonts w:hint="eastAsia"/>
                <w:color w:val="auto"/>
                <w:highlight w:val="none"/>
              </w:rPr>
              <w:t>（1）外围及周边道路，未达到服务要求 1 项次</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1AF9E">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D6633">
            <w:pPr>
              <w:spacing w:line="240" w:lineRule="auto"/>
              <w:rPr>
                <w:color w:val="auto"/>
                <w:highlight w:val="none"/>
              </w:rPr>
            </w:pPr>
          </w:p>
        </w:tc>
      </w:tr>
      <w:tr w14:paraId="27C34799">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9A730">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79110">
            <w:pPr>
              <w:spacing w:line="240" w:lineRule="auto"/>
              <w:ind w:firstLine="0" w:firstLineChars="0"/>
              <w:rPr>
                <w:color w:val="auto"/>
                <w:highlight w:val="none"/>
              </w:rPr>
            </w:pPr>
            <w:r>
              <w:rPr>
                <w:rFonts w:hint="eastAsia"/>
                <w:color w:val="auto"/>
                <w:highlight w:val="none"/>
              </w:rPr>
              <w:t>（2）大厅、楼内、公共通道，未达到服务要求 1 项次</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39162">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F4D74">
            <w:pPr>
              <w:spacing w:line="240" w:lineRule="auto"/>
              <w:rPr>
                <w:color w:val="auto"/>
                <w:highlight w:val="none"/>
              </w:rPr>
            </w:pPr>
          </w:p>
        </w:tc>
      </w:tr>
      <w:tr w14:paraId="46085B08">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DD427">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38053">
            <w:pPr>
              <w:spacing w:line="240" w:lineRule="auto"/>
              <w:ind w:firstLine="0" w:firstLineChars="0"/>
              <w:rPr>
                <w:color w:val="auto"/>
                <w:highlight w:val="none"/>
              </w:rPr>
            </w:pPr>
            <w:r>
              <w:rPr>
                <w:rFonts w:hint="eastAsia"/>
                <w:color w:val="auto"/>
                <w:highlight w:val="none"/>
              </w:rPr>
              <w:t>（3）会议室和活动室，未达到服务要求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8E5DE">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68D11">
            <w:pPr>
              <w:spacing w:line="240" w:lineRule="auto"/>
              <w:rPr>
                <w:color w:val="auto"/>
                <w:highlight w:val="none"/>
              </w:rPr>
            </w:pPr>
          </w:p>
        </w:tc>
      </w:tr>
      <w:tr w14:paraId="79CD752E">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0C50B0">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29C5E">
            <w:pPr>
              <w:spacing w:line="240" w:lineRule="auto"/>
              <w:ind w:firstLine="0" w:firstLineChars="0"/>
              <w:rPr>
                <w:color w:val="auto"/>
                <w:highlight w:val="none"/>
              </w:rPr>
            </w:pPr>
            <w:r>
              <w:rPr>
                <w:rFonts w:hint="eastAsia"/>
                <w:color w:val="auto"/>
                <w:highlight w:val="none"/>
              </w:rPr>
              <w:t>（4）楼梯及楼梯间，未达到服务要求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BF9C8">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7813C">
            <w:pPr>
              <w:spacing w:line="240" w:lineRule="auto"/>
              <w:rPr>
                <w:color w:val="auto"/>
                <w:highlight w:val="none"/>
              </w:rPr>
            </w:pPr>
          </w:p>
        </w:tc>
      </w:tr>
      <w:tr w14:paraId="35D5AEF7">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928E7">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645E8">
            <w:pPr>
              <w:spacing w:line="240" w:lineRule="auto"/>
              <w:ind w:firstLine="0" w:firstLineChars="0"/>
              <w:rPr>
                <w:color w:val="auto"/>
                <w:highlight w:val="none"/>
              </w:rPr>
            </w:pPr>
            <w:r>
              <w:rPr>
                <w:rFonts w:hint="eastAsia"/>
                <w:color w:val="auto"/>
                <w:highlight w:val="none"/>
              </w:rPr>
              <w:t>（5）公共卫生间，未达到服务要求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2B914">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C61E9">
            <w:pPr>
              <w:spacing w:line="240" w:lineRule="auto"/>
              <w:rPr>
                <w:color w:val="auto"/>
                <w:highlight w:val="none"/>
              </w:rPr>
            </w:pPr>
          </w:p>
        </w:tc>
      </w:tr>
      <w:tr w14:paraId="1380DA10">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B0E01">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32391">
            <w:pPr>
              <w:spacing w:line="240" w:lineRule="auto"/>
              <w:ind w:firstLine="0" w:firstLineChars="0"/>
              <w:rPr>
                <w:color w:val="auto"/>
                <w:highlight w:val="none"/>
              </w:rPr>
            </w:pPr>
            <w:r>
              <w:rPr>
                <w:rFonts w:hint="eastAsia"/>
                <w:color w:val="auto"/>
                <w:highlight w:val="none"/>
              </w:rPr>
              <w:t>（6）停车场，未达到服务要求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9D880">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FCAEE">
            <w:pPr>
              <w:spacing w:line="240" w:lineRule="auto"/>
              <w:rPr>
                <w:color w:val="auto"/>
                <w:highlight w:val="none"/>
              </w:rPr>
            </w:pPr>
          </w:p>
        </w:tc>
      </w:tr>
      <w:tr w14:paraId="00912128">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7AC1F">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ED834">
            <w:pPr>
              <w:spacing w:line="240" w:lineRule="auto"/>
              <w:ind w:firstLine="0" w:firstLineChars="0"/>
              <w:rPr>
                <w:color w:val="auto"/>
                <w:highlight w:val="none"/>
              </w:rPr>
            </w:pPr>
            <w:r>
              <w:rPr>
                <w:rFonts w:hint="eastAsia"/>
                <w:color w:val="auto"/>
                <w:highlight w:val="none"/>
              </w:rPr>
              <w:t>（7）电梯及电梯厅，未达到服务要求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F292F">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18E62">
            <w:pPr>
              <w:spacing w:line="240" w:lineRule="auto"/>
              <w:rPr>
                <w:color w:val="auto"/>
                <w:highlight w:val="none"/>
              </w:rPr>
            </w:pPr>
          </w:p>
        </w:tc>
      </w:tr>
      <w:tr w14:paraId="2285DAFF">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2D7852">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8BDB0">
            <w:pPr>
              <w:spacing w:line="240" w:lineRule="auto"/>
              <w:ind w:firstLine="0" w:firstLineChars="0"/>
              <w:rPr>
                <w:color w:val="auto"/>
                <w:highlight w:val="none"/>
              </w:rPr>
            </w:pPr>
            <w:r>
              <w:rPr>
                <w:rFonts w:hint="eastAsia"/>
                <w:color w:val="auto"/>
                <w:highlight w:val="none"/>
              </w:rPr>
              <w:t>（8）电器设施，未达到服务要求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B90D7">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91B9C">
            <w:pPr>
              <w:spacing w:line="240" w:lineRule="auto"/>
              <w:rPr>
                <w:color w:val="auto"/>
                <w:highlight w:val="none"/>
              </w:rPr>
            </w:pPr>
          </w:p>
        </w:tc>
      </w:tr>
      <w:tr w14:paraId="672A61DD">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9E02C">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5F11B">
            <w:pPr>
              <w:spacing w:line="240" w:lineRule="auto"/>
              <w:ind w:firstLine="0" w:firstLineChars="0"/>
              <w:rPr>
                <w:color w:val="auto"/>
                <w:highlight w:val="none"/>
              </w:rPr>
            </w:pPr>
            <w:r>
              <w:rPr>
                <w:rFonts w:hint="eastAsia"/>
                <w:color w:val="auto"/>
                <w:highlight w:val="none"/>
              </w:rPr>
              <w:t>（9）垃圾桶及果皮箱，未达到服务要求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DF1B8">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EC5D4">
            <w:pPr>
              <w:spacing w:line="240" w:lineRule="auto"/>
              <w:rPr>
                <w:color w:val="auto"/>
                <w:highlight w:val="none"/>
              </w:rPr>
            </w:pPr>
          </w:p>
        </w:tc>
      </w:tr>
      <w:tr w14:paraId="780107EB">
        <w:tblPrEx>
          <w:tblCellMar>
            <w:top w:w="0" w:type="dxa"/>
            <w:left w:w="108" w:type="dxa"/>
            <w:bottom w:w="0" w:type="dxa"/>
            <w:right w:w="108" w:type="dxa"/>
          </w:tblCellMar>
        </w:tblPrEx>
        <w:trPr>
          <w:trHeight w:val="90" w:hRule="atLeast"/>
          <w:jc w:val="center"/>
        </w:trPr>
        <w:tc>
          <w:tcPr>
            <w:tcW w:w="630" w:type="pct"/>
            <w:vMerge w:val="restart"/>
            <w:tcBorders>
              <w:top w:val="single" w:color="000000" w:sz="4" w:space="0"/>
              <w:left w:val="single" w:color="000000" w:sz="4" w:space="0"/>
              <w:right w:val="single" w:color="000000" w:sz="4" w:space="0"/>
            </w:tcBorders>
            <w:shd w:val="clear" w:color="auto" w:fill="auto"/>
            <w:vAlign w:val="center"/>
          </w:tcPr>
          <w:p w14:paraId="012CDB0E">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915BF">
            <w:pPr>
              <w:spacing w:line="240" w:lineRule="auto"/>
              <w:ind w:firstLine="0" w:firstLineChars="0"/>
              <w:rPr>
                <w:color w:val="auto"/>
                <w:highlight w:val="none"/>
              </w:rPr>
            </w:pPr>
            <w:r>
              <w:rPr>
                <w:rFonts w:hint="eastAsia"/>
                <w:color w:val="auto"/>
                <w:highlight w:val="none"/>
              </w:rPr>
              <w:t>（10）消防栓、消防箱、公共设施，未达到服务要求 1项次扣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ADFF7">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22A2A">
            <w:pPr>
              <w:spacing w:line="240" w:lineRule="auto"/>
              <w:rPr>
                <w:color w:val="auto"/>
                <w:highlight w:val="none"/>
              </w:rPr>
            </w:pPr>
          </w:p>
        </w:tc>
      </w:tr>
      <w:tr w14:paraId="12FFC774">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1158E">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55060">
            <w:pPr>
              <w:spacing w:line="240" w:lineRule="auto"/>
              <w:ind w:firstLine="0" w:firstLineChars="0"/>
              <w:rPr>
                <w:color w:val="auto"/>
                <w:highlight w:val="none"/>
              </w:rPr>
            </w:pPr>
            <w:r>
              <w:rPr>
                <w:rFonts w:hint="eastAsia"/>
                <w:color w:val="auto"/>
                <w:highlight w:val="none"/>
              </w:rPr>
              <w:t>（11）垃圾中转房，未达到服务要求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40E0E">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39CA2">
            <w:pPr>
              <w:spacing w:line="240" w:lineRule="auto"/>
              <w:rPr>
                <w:color w:val="auto"/>
                <w:highlight w:val="none"/>
              </w:rPr>
            </w:pPr>
          </w:p>
        </w:tc>
      </w:tr>
      <w:tr w14:paraId="30602A34">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99E41">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C5A32">
            <w:pPr>
              <w:spacing w:line="240" w:lineRule="auto"/>
              <w:ind w:firstLine="0" w:firstLineChars="0"/>
              <w:rPr>
                <w:color w:val="auto"/>
                <w:highlight w:val="none"/>
              </w:rPr>
            </w:pPr>
            <w:r>
              <w:rPr>
                <w:rFonts w:hint="eastAsia"/>
                <w:color w:val="auto"/>
                <w:highlight w:val="none"/>
              </w:rPr>
              <w:t>（12）设备机房、管道、指示牌，未达到服务要求 1项次扣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AAF28">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F0480">
            <w:pPr>
              <w:spacing w:line="240" w:lineRule="auto"/>
              <w:rPr>
                <w:color w:val="auto"/>
                <w:highlight w:val="none"/>
              </w:rPr>
            </w:pPr>
          </w:p>
        </w:tc>
      </w:tr>
      <w:tr w14:paraId="5700CA10">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09A54">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E1568">
            <w:pPr>
              <w:spacing w:line="240" w:lineRule="auto"/>
              <w:ind w:firstLine="0" w:firstLineChars="0"/>
              <w:rPr>
                <w:color w:val="auto"/>
                <w:highlight w:val="none"/>
              </w:rPr>
            </w:pPr>
            <w:r>
              <w:rPr>
                <w:rFonts w:hint="eastAsia"/>
                <w:color w:val="auto"/>
                <w:highlight w:val="none"/>
              </w:rPr>
              <w:t>（13）地毯清洗，未达到服务要求 1 项次扣 0.5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8CC1A">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6F061">
            <w:pPr>
              <w:spacing w:line="240" w:lineRule="auto"/>
              <w:rPr>
                <w:color w:val="auto"/>
                <w:highlight w:val="none"/>
              </w:rPr>
            </w:pPr>
          </w:p>
        </w:tc>
      </w:tr>
      <w:tr w14:paraId="69E2506C">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D092C">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434E2">
            <w:pPr>
              <w:spacing w:line="240" w:lineRule="auto"/>
              <w:ind w:firstLine="0" w:firstLineChars="0"/>
              <w:rPr>
                <w:color w:val="auto"/>
                <w:highlight w:val="none"/>
              </w:rPr>
            </w:pPr>
            <w:r>
              <w:rPr>
                <w:rFonts w:hint="eastAsia"/>
                <w:color w:val="auto"/>
                <w:highlight w:val="none"/>
              </w:rPr>
              <w:t>（14）环境消</w:t>
            </w:r>
            <w:r>
              <w:rPr>
                <w:rFonts w:hint="eastAsia"/>
                <w:color w:val="auto"/>
                <w:highlight w:val="none"/>
                <w:lang w:eastAsia="zh-CN"/>
              </w:rPr>
              <w:t>杀</w:t>
            </w:r>
            <w:r>
              <w:rPr>
                <w:rFonts w:hint="eastAsia"/>
                <w:color w:val="auto"/>
                <w:highlight w:val="none"/>
              </w:rPr>
              <w:t xml:space="preserve">，未达到服务要求 1 项次扣 </w:t>
            </w:r>
            <w:r>
              <w:rPr>
                <w:rFonts w:hint="eastAsia"/>
                <w:color w:val="auto"/>
                <w:highlight w:val="none"/>
                <w:lang w:val="en-US" w:eastAsia="zh-CN"/>
              </w:rPr>
              <w:t>1</w:t>
            </w:r>
            <w:r>
              <w:rPr>
                <w:rFonts w:hint="eastAsia"/>
                <w:color w:val="auto"/>
                <w:highlight w:val="none"/>
              </w:rPr>
              <w:t xml:space="preserve">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770F5">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D6AA7">
            <w:pPr>
              <w:spacing w:line="240" w:lineRule="auto"/>
              <w:rPr>
                <w:color w:val="auto"/>
                <w:highlight w:val="none"/>
              </w:rPr>
            </w:pPr>
          </w:p>
        </w:tc>
      </w:tr>
      <w:tr w14:paraId="322A130B">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D0F4E">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ACA24">
            <w:pPr>
              <w:spacing w:line="240" w:lineRule="auto"/>
              <w:ind w:firstLine="0" w:firstLineChars="0"/>
              <w:rPr>
                <w:color w:val="auto"/>
                <w:highlight w:val="none"/>
              </w:rPr>
            </w:pPr>
            <w:r>
              <w:rPr>
                <w:rFonts w:hint="eastAsia"/>
                <w:color w:val="auto"/>
                <w:highlight w:val="none"/>
              </w:rPr>
              <w:t>（15）绿化养护，未达到服务要求 1 项次扣 1分。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D8A0C">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C03F0">
            <w:pPr>
              <w:spacing w:line="240" w:lineRule="auto"/>
              <w:rPr>
                <w:color w:val="auto"/>
                <w:highlight w:val="none"/>
              </w:rPr>
            </w:pPr>
          </w:p>
        </w:tc>
      </w:tr>
      <w:tr w14:paraId="2D74F078">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A0BC13">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1C6FE">
            <w:pPr>
              <w:spacing w:line="240" w:lineRule="auto"/>
              <w:ind w:firstLine="0" w:firstLineChars="0"/>
              <w:rPr>
                <w:color w:val="auto"/>
                <w:highlight w:val="none"/>
              </w:rPr>
            </w:pPr>
            <w:r>
              <w:rPr>
                <w:rFonts w:hint="eastAsia"/>
                <w:color w:val="auto"/>
                <w:highlight w:val="none"/>
              </w:rPr>
              <w:t xml:space="preserve">（16）外墙清洗，未达到服务要求 1 项次扣 </w:t>
            </w:r>
            <w:r>
              <w:rPr>
                <w:rFonts w:hint="eastAsia"/>
                <w:color w:val="auto"/>
                <w:highlight w:val="none"/>
                <w:lang w:val="en-US" w:eastAsia="zh-CN"/>
              </w:rPr>
              <w:t>6</w:t>
            </w:r>
            <w:r>
              <w:rPr>
                <w:rFonts w:hint="eastAsia"/>
                <w:color w:val="auto"/>
                <w:highlight w:val="none"/>
              </w:rPr>
              <w:t>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65B3C">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DFC40">
            <w:pPr>
              <w:spacing w:line="240" w:lineRule="auto"/>
              <w:rPr>
                <w:color w:val="auto"/>
                <w:highlight w:val="none"/>
              </w:rPr>
            </w:pPr>
          </w:p>
        </w:tc>
      </w:tr>
      <w:tr w14:paraId="57D499A2">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949D7">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B130E">
            <w:pPr>
              <w:spacing w:line="240" w:lineRule="auto"/>
              <w:ind w:firstLine="0" w:firstLineChars="0"/>
              <w:rPr>
                <w:color w:val="auto"/>
                <w:highlight w:val="none"/>
              </w:rPr>
            </w:pPr>
            <w:r>
              <w:rPr>
                <w:rFonts w:hint="eastAsia"/>
                <w:color w:val="auto"/>
                <w:highlight w:val="none"/>
              </w:rPr>
              <w:t>（17）办公室保洁，未达到服务要求 1 项次扣 1分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E170E">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83BA2">
            <w:pPr>
              <w:spacing w:line="240" w:lineRule="auto"/>
              <w:rPr>
                <w:color w:val="auto"/>
                <w:highlight w:val="none"/>
              </w:rPr>
            </w:pPr>
          </w:p>
        </w:tc>
      </w:tr>
      <w:tr w14:paraId="549CCBC0">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26F63">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D3A8D">
            <w:pPr>
              <w:spacing w:line="240" w:lineRule="auto"/>
              <w:ind w:firstLine="0" w:firstLineChars="0"/>
              <w:rPr>
                <w:color w:val="auto"/>
                <w:highlight w:val="none"/>
              </w:rPr>
            </w:pPr>
            <w:r>
              <w:rPr>
                <w:rFonts w:hint="eastAsia"/>
                <w:color w:val="auto"/>
                <w:highlight w:val="none"/>
              </w:rPr>
              <w:t>（18）室内玻璃窗户清洗，未达到服务要求 1 项次扣</w:t>
            </w:r>
            <w:r>
              <w:rPr>
                <w:rFonts w:hint="eastAsia"/>
                <w:color w:val="auto"/>
                <w:highlight w:val="none"/>
                <w:lang w:val="en-US" w:eastAsia="zh-CN"/>
              </w:rPr>
              <w:t>5</w:t>
            </w:r>
            <w:r>
              <w:rPr>
                <w:rFonts w:hint="eastAsia"/>
                <w:color w:val="auto"/>
                <w:highlight w:val="none"/>
              </w:rPr>
              <w:t>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F4B52">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759D1">
            <w:pPr>
              <w:spacing w:line="240" w:lineRule="auto"/>
              <w:rPr>
                <w:color w:val="auto"/>
                <w:highlight w:val="none"/>
              </w:rPr>
            </w:pPr>
          </w:p>
        </w:tc>
      </w:tr>
      <w:tr w14:paraId="508FC4C9">
        <w:tblPrEx>
          <w:tblCellMar>
            <w:top w:w="0" w:type="dxa"/>
            <w:left w:w="108" w:type="dxa"/>
            <w:bottom w:w="0" w:type="dxa"/>
            <w:right w:w="108" w:type="dxa"/>
          </w:tblCellMar>
        </w:tblPrEx>
        <w:trPr>
          <w:trHeight w:val="90" w:hRule="atLeast"/>
          <w:jc w:val="center"/>
        </w:trPr>
        <w:tc>
          <w:tcPr>
            <w:tcW w:w="6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5997D9">
            <w:pPr>
              <w:spacing w:line="240" w:lineRule="auto"/>
              <w:ind w:firstLine="0" w:firstLineChars="0"/>
              <w:rPr>
                <w:color w:val="auto"/>
                <w:highlight w:val="none"/>
              </w:rPr>
            </w:pPr>
            <w:r>
              <w:rPr>
                <w:rFonts w:hint="eastAsia"/>
                <w:color w:val="auto"/>
                <w:highlight w:val="none"/>
              </w:rPr>
              <w:t>4.房屋共用部位、共用设施设备运行、维护服务评分（20分）</w:t>
            </w: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E690A">
            <w:pPr>
              <w:spacing w:line="240" w:lineRule="auto"/>
              <w:ind w:firstLine="0" w:firstLineChars="0"/>
              <w:rPr>
                <w:color w:val="auto"/>
                <w:highlight w:val="none"/>
              </w:rPr>
            </w:pPr>
            <w:r>
              <w:rPr>
                <w:rFonts w:hint="eastAsia"/>
                <w:color w:val="auto"/>
                <w:highlight w:val="none"/>
              </w:rPr>
              <w:t>（1）物业区域内设施设备、采购人形象标志、各种照明灯具、用水、点阀门的日常巡查、零星维修、维护和灯具、用水、点阀门的日常巡查、零星维修、维护和管理,未达到服务要求每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20159">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BB1DB">
            <w:pPr>
              <w:spacing w:line="240" w:lineRule="auto"/>
              <w:rPr>
                <w:color w:val="auto"/>
                <w:highlight w:val="none"/>
              </w:rPr>
            </w:pPr>
          </w:p>
        </w:tc>
      </w:tr>
      <w:tr w14:paraId="36920C5F">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5572E">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EABFB">
            <w:pPr>
              <w:spacing w:line="240" w:lineRule="auto"/>
              <w:ind w:firstLine="0" w:firstLineChars="0"/>
              <w:rPr>
                <w:color w:val="auto"/>
                <w:highlight w:val="none"/>
              </w:rPr>
            </w:pPr>
            <w:r>
              <w:rPr>
                <w:rFonts w:hint="eastAsia"/>
                <w:color w:val="auto"/>
                <w:highlight w:val="none"/>
              </w:rPr>
              <w:t>（2）变配电系统，未达到服务要求 1 项次扣 3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36D90">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1E7F3">
            <w:pPr>
              <w:spacing w:line="240" w:lineRule="auto"/>
              <w:rPr>
                <w:color w:val="auto"/>
                <w:highlight w:val="none"/>
              </w:rPr>
            </w:pPr>
          </w:p>
        </w:tc>
      </w:tr>
      <w:tr w14:paraId="2E43AACD">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C16B6F">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6905F">
            <w:pPr>
              <w:spacing w:line="240" w:lineRule="auto"/>
              <w:ind w:firstLine="0" w:firstLineChars="0"/>
              <w:rPr>
                <w:color w:val="auto"/>
                <w:highlight w:val="none"/>
              </w:rPr>
            </w:pPr>
            <w:r>
              <w:rPr>
                <w:rFonts w:hint="eastAsia"/>
                <w:color w:val="auto"/>
                <w:highlight w:val="none"/>
              </w:rPr>
              <w:t>（3）给排水系统，未达到服务要求 1 项次扣 2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1CD2D">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9A31E">
            <w:pPr>
              <w:spacing w:line="240" w:lineRule="auto"/>
              <w:rPr>
                <w:color w:val="auto"/>
                <w:highlight w:val="none"/>
              </w:rPr>
            </w:pPr>
          </w:p>
        </w:tc>
      </w:tr>
      <w:tr w14:paraId="1E96F53F">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730A6">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FC997">
            <w:pPr>
              <w:spacing w:line="240" w:lineRule="auto"/>
              <w:ind w:firstLine="0" w:firstLineChars="0"/>
              <w:rPr>
                <w:color w:val="auto"/>
                <w:highlight w:val="none"/>
              </w:rPr>
            </w:pPr>
            <w:r>
              <w:rPr>
                <w:rFonts w:hint="eastAsia"/>
                <w:color w:val="auto"/>
                <w:highlight w:val="none"/>
              </w:rPr>
              <w:t>（4）安全防范系统，未达到服务要求 1 项次扣 3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E83ED">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84AAD">
            <w:pPr>
              <w:spacing w:line="240" w:lineRule="auto"/>
              <w:rPr>
                <w:color w:val="auto"/>
                <w:highlight w:val="none"/>
              </w:rPr>
            </w:pPr>
          </w:p>
        </w:tc>
      </w:tr>
      <w:tr w14:paraId="12FD2A3A">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02C05">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B7ACC">
            <w:pPr>
              <w:spacing w:line="240" w:lineRule="auto"/>
              <w:ind w:firstLine="0" w:firstLineChars="0"/>
              <w:rPr>
                <w:color w:val="auto"/>
                <w:highlight w:val="none"/>
              </w:rPr>
            </w:pPr>
            <w:r>
              <w:rPr>
                <w:rFonts w:hint="eastAsia"/>
                <w:color w:val="auto"/>
                <w:highlight w:val="none"/>
              </w:rPr>
              <w:t>（5）公共照明系统，未达到服务要求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5AEF9">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FF67B">
            <w:pPr>
              <w:spacing w:line="240" w:lineRule="auto"/>
              <w:rPr>
                <w:color w:val="auto"/>
                <w:highlight w:val="none"/>
              </w:rPr>
            </w:pPr>
          </w:p>
        </w:tc>
      </w:tr>
      <w:tr w14:paraId="5A90C5C2">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29CEE">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28546">
            <w:pPr>
              <w:spacing w:line="240" w:lineRule="auto"/>
              <w:ind w:firstLine="0" w:firstLineChars="0"/>
              <w:rPr>
                <w:color w:val="auto"/>
                <w:highlight w:val="none"/>
              </w:rPr>
            </w:pPr>
            <w:r>
              <w:rPr>
                <w:rFonts w:hint="eastAsia"/>
                <w:color w:val="auto"/>
                <w:highlight w:val="none"/>
              </w:rPr>
              <w:t>（6）电梯及消防系统，未达到服务要求 1 项次扣2分。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65C70">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A89AF">
            <w:pPr>
              <w:spacing w:line="240" w:lineRule="auto"/>
              <w:rPr>
                <w:color w:val="auto"/>
                <w:highlight w:val="none"/>
              </w:rPr>
            </w:pPr>
          </w:p>
        </w:tc>
      </w:tr>
      <w:tr w14:paraId="3CA43FA1">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669D2">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EF3AE">
            <w:pPr>
              <w:spacing w:line="240" w:lineRule="auto"/>
              <w:ind w:firstLine="0" w:firstLineChars="0"/>
              <w:rPr>
                <w:color w:val="auto"/>
                <w:highlight w:val="none"/>
              </w:rPr>
            </w:pPr>
            <w:r>
              <w:rPr>
                <w:rFonts w:hint="eastAsia"/>
                <w:color w:val="auto"/>
                <w:highlight w:val="none"/>
              </w:rPr>
              <w:t>（7）空调系统，未达到服务要求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8B215">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BFEF1">
            <w:pPr>
              <w:spacing w:line="240" w:lineRule="auto"/>
              <w:rPr>
                <w:color w:val="auto"/>
                <w:highlight w:val="none"/>
              </w:rPr>
            </w:pPr>
          </w:p>
        </w:tc>
      </w:tr>
      <w:tr w14:paraId="16A5CE81">
        <w:tblPrEx>
          <w:tblCellMar>
            <w:top w:w="0" w:type="dxa"/>
            <w:left w:w="108" w:type="dxa"/>
            <w:bottom w:w="0" w:type="dxa"/>
            <w:right w:w="108" w:type="dxa"/>
          </w:tblCellMar>
        </w:tblPrEx>
        <w:trPr>
          <w:trHeight w:val="90" w:hRule="atLeast"/>
          <w:jc w:val="center"/>
        </w:trPr>
        <w:tc>
          <w:tcPr>
            <w:tcW w:w="6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1DCB53">
            <w:pPr>
              <w:spacing w:line="240" w:lineRule="auto"/>
              <w:ind w:firstLine="0" w:firstLineChars="0"/>
              <w:rPr>
                <w:color w:val="auto"/>
                <w:highlight w:val="none"/>
              </w:rPr>
            </w:pPr>
            <w:r>
              <w:rPr>
                <w:rFonts w:hint="eastAsia"/>
                <w:color w:val="auto"/>
                <w:highlight w:val="none"/>
              </w:rPr>
              <w:t>5.特约服务评分（20分）</w:t>
            </w: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7FED1">
            <w:pPr>
              <w:spacing w:line="240" w:lineRule="auto"/>
              <w:ind w:firstLine="0" w:firstLineChars="0"/>
              <w:rPr>
                <w:color w:val="auto"/>
                <w:highlight w:val="none"/>
              </w:rPr>
            </w:pPr>
            <w:r>
              <w:rPr>
                <w:rFonts w:hint="eastAsia"/>
                <w:color w:val="auto"/>
                <w:highlight w:val="none"/>
              </w:rPr>
              <w:t>（1）会议服务，未达到服务要求 1 项次扣 1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8B29A">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457C9">
            <w:pPr>
              <w:spacing w:line="240" w:lineRule="auto"/>
              <w:rPr>
                <w:color w:val="auto"/>
                <w:highlight w:val="none"/>
              </w:rPr>
            </w:pPr>
          </w:p>
        </w:tc>
      </w:tr>
      <w:tr w14:paraId="1B8AF604">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0B7BB8">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425D0">
            <w:pPr>
              <w:spacing w:line="240" w:lineRule="auto"/>
              <w:ind w:firstLine="0" w:firstLineChars="0"/>
              <w:rPr>
                <w:color w:val="auto"/>
                <w:highlight w:val="none"/>
              </w:rPr>
            </w:pPr>
            <w:r>
              <w:rPr>
                <w:rFonts w:hint="eastAsia"/>
                <w:color w:val="auto"/>
                <w:highlight w:val="none"/>
              </w:rPr>
              <w:t>（2）化粪池和隔油池疏通清理，未达到服务要求 1 项次扣 2分。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D201F">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D859F">
            <w:pPr>
              <w:spacing w:line="240" w:lineRule="auto"/>
              <w:rPr>
                <w:color w:val="auto"/>
                <w:highlight w:val="none"/>
              </w:rPr>
            </w:pPr>
          </w:p>
        </w:tc>
      </w:tr>
      <w:tr w14:paraId="322C51F1">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6642E">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F1B64">
            <w:pPr>
              <w:spacing w:line="240" w:lineRule="auto"/>
              <w:ind w:firstLine="0" w:firstLineChars="0"/>
              <w:rPr>
                <w:color w:val="auto"/>
                <w:highlight w:val="none"/>
              </w:rPr>
            </w:pPr>
            <w:r>
              <w:rPr>
                <w:rFonts w:hint="eastAsia"/>
                <w:color w:val="auto"/>
                <w:highlight w:val="none"/>
              </w:rPr>
              <w:t>（3）饮水池清洗，未达到服务要求 1 项次扣 3 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C3769">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50F1A">
            <w:pPr>
              <w:spacing w:line="240" w:lineRule="auto"/>
              <w:rPr>
                <w:color w:val="auto"/>
                <w:highlight w:val="none"/>
              </w:rPr>
            </w:pPr>
          </w:p>
        </w:tc>
      </w:tr>
      <w:tr w14:paraId="027ABB45">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E99378">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7EF83">
            <w:pPr>
              <w:spacing w:line="240" w:lineRule="auto"/>
              <w:ind w:firstLine="0" w:firstLineChars="0"/>
              <w:rPr>
                <w:color w:val="auto"/>
                <w:highlight w:val="none"/>
              </w:rPr>
            </w:pPr>
            <w:r>
              <w:rPr>
                <w:rFonts w:hint="eastAsia"/>
                <w:color w:val="auto"/>
                <w:highlight w:val="none"/>
              </w:rPr>
              <w:t>（4）简单搬运服务，未达到服务要求 1 项次扣 1 分，出现物品缺失、人员安全等重大问题时1项次扣15分</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043A4">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93089">
            <w:pPr>
              <w:spacing w:line="240" w:lineRule="auto"/>
              <w:rPr>
                <w:color w:val="auto"/>
                <w:highlight w:val="none"/>
              </w:rPr>
            </w:pPr>
          </w:p>
        </w:tc>
      </w:tr>
      <w:tr w14:paraId="4DBCBC85">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B7B87">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B133E">
            <w:pPr>
              <w:spacing w:line="240" w:lineRule="auto"/>
              <w:ind w:firstLine="0" w:firstLineChars="0"/>
              <w:rPr>
                <w:rFonts w:hint="eastAsia" w:eastAsiaTheme="minorEastAsia"/>
                <w:color w:val="auto"/>
                <w:highlight w:val="none"/>
                <w:lang w:eastAsia="zh-CN"/>
              </w:rPr>
            </w:pPr>
            <w:r>
              <w:rPr>
                <w:rFonts w:hint="eastAsia"/>
                <w:color w:val="auto"/>
                <w:highlight w:val="none"/>
              </w:rPr>
              <w:t>（5）</w:t>
            </w:r>
            <w:r>
              <w:rPr>
                <w:rFonts w:hint="eastAsia"/>
                <w:color w:val="auto"/>
                <w:highlight w:val="none"/>
                <w:lang w:eastAsia="zh-CN"/>
              </w:rPr>
              <w:t>公共区域固定资产管理服务，</w:t>
            </w:r>
            <w:r>
              <w:rPr>
                <w:rFonts w:hint="eastAsia"/>
                <w:color w:val="auto"/>
                <w:highlight w:val="none"/>
              </w:rPr>
              <w:t>未达到服务要求 1 项次扣 1 分，出现物品缺失时1项次扣1</w:t>
            </w:r>
            <w:r>
              <w:rPr>
                <w:rFonts w:hint="eastAsia"/>
                <w:color w:val="auto"/>
                <w:highlight w:val="none"/>
                <w:lang w:val="en-US" w:eastAsia="zh-CN"/>
              </w:rPr>
              <w:t>0</w:t>
            </w:r>
            <w:r>
              <w:rPr>
                <w:rFonts w:hint="eastAsia"/>
                <w:color w:val="auto"/>
                <w:highlight w:val="none"/>
              </w:rPr>
              <w:t>分</w:t>
            </w:r>
            <w:r>
              <w:rPr>
                <w:rFonts w:hint="eastAsia"/>
                <w:color w:val="auto"/>
                <w:highlight w:val="none"/>
                <w:lang w:eastAsia="zh-CN"/>
              </w:rPr>
              <w:t>。</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BA519">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278DA">
            <w:pPr>
              <w:spacing w:line="240" w:lineRule="auto"/>
              <w:rPr>
                <w:color w:val="auto"/>
                <w:highlight w:val="none"/>
              </w:rPr>
            </w:pPr>
          </w:p>
        </w:tc>
      </w:tr>
      <w:tr w14:paraId="7909675D">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1F939">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2F512">
            <w:pPr>
              <w:spacing w:line="240" w:lineRule="auto"/>
              <w:ind w:firstLine="0" w:firstLineChars="0"/>
              <w:rPr>
                <w:rFonts w:hint="eastAsia" w:eastAsia="仿宋_GB2312"/>
                <w:color w:val="auto"/>
                <w:highlight w:val="none"/>
                <w:lang w:eastAsia="zh-CN"/>
              </w:rPr>
            </w:pPr>
            <w:r>
              <w:rPr>
                <w:rFonts w:hint="eastAsia"/>
                <w:color w:val="auto"/>
                <w:highlight w:val="none"/>
              </w:rPr>
              <w:t>（6）报刊、杂志配送服务</w:t>
            </w:r>
            <w:r>
              <w:rPr>
                <w:rFonts w:hint="eastAsia"/>
                <w:color w:val="auto"/>
                <w:highlight w:val="none"/>
                <w:lang w:eastAsia="zh-CN"/>
              </w:rPr>
              <w:t>，未达到要求</w:t>
            </w:r>
            <w:r>
              <w:rPr>
                <w:rFonts w:hint="eastAsia"/>
                <w:color w:val="auto"/>
                <w:highlight w:val="none"/>
              </w:rPr>
              <w:t xml:space="preserve"> 1 项次扣 1 分，</w:t>
            </w:r>
            <w:r>
              <w:rPr>
                <w:rFonts w:hint="eastAsia"/>
                <w:color w:val="auto"/>
                <w:highlight w:val="none"/>
                <w:lang w:eastAsia="zh-CN"/>
              </w:rPr>
              <w:t>出现未及时配送导致采购人相关工作逾期</w:t>
            </w:r>
            <w:r>
              <w:rPr>
                <w:rFonts w:hint="eastAsia"/>
                <w:color w:val="auto"/>
                <w:highlight w:val="none"/>
              </w:rPr>
              <w:t>1项次扣15分</w:t>
            </w:r>
            <w:r>
              <w:rPr>
                <w:rFonts w:hint="eastAsia"/>
                <w:color w:val="auto"/>
                <w:highlight w:val="none"/>
                <w:lang w:eastAsia="zh-CN"/>
              </w:rPr>
              <w:t>。</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5715A">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74E81">
            <w:pPr>
              <w:spacing w:line="240" w:lineRule="auto"/>
              <w:rPr>
                <w:color w:val="auto"/>
                <w:highlight w:val="none"/>
              </w:rPr>
            </w:pPr>
          </w:p>
        </w:tc>
      </w:tr>
      <w:tr w14:paraId="5AA1898A">
        <w:tblPrEx>
          <w:tblCellMar>
            <w:top w:w="0" w:type="dxa"/>
            <w:left w:w="108" w:type="dxa"/>
            <w:bottom w:w="0" w:type="dxa"/>
            <w:right w:w="108" w:type="dxa"/>
          </w:tblCellMar>
        </w:tblPrEx>
        <w:trPr>
          <w:trHeight w:val="604"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AAA2B">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53BA3">
            <w:pPr>
              <w:spacing w:line="240" w:lineRule="auto"/>
              <w:ind w:firstLine="0" w:firstLineChars="0"/>
              <w:rPr>
                <w:rFonts w:hint="eastAsia" w:eastAsiaTheme="minorEastAsia"/>
                <w:color w:val="auto"/>
                <w:highlight w:val="none"/>
                <w:lang w:eastAsia="zh-CN"/>
              </w:rPr>
            </w:pPr>
            <w:r>
              <w:rPr>
                <w:rFonts w:hint="eastAsia"/>
                <w:color w:val="auto"/>
                <w:highlight w:val="none"/>
              </w:rPr>
              <w:t>（</w:t>
            </w:r>
            <w:r>
              <w:rPr>
                <w:rFonts w:hint="eastAsia"/>
                <w:color w:val="auto"/>
                <w:highlight w:val="none"/>
                <w:lang w:val="en-US" w:eastAsia="zh-CN"/>
              </w:rPr>
              <w:t>7</w:t>
            </w:r>
            <w:r>
              <w:rPr>
                <w:rFonts w:hint="eastAsia"/>
                <w:color w:val="auto"/>
                <w:highlight w:val="none"/>
              </w:rPr>
              <w:t>）文件资料邮寄服务</w:t>
            </w:r>
            <w:r>
              <w:rPr>
                <w:rFonts w:hint="eastAsia"/>
                <w:color w:val="auto"/>
                <w:highlight w:val="none"/>
                <w:lang w:eastAsia="zh-CN"/>
              </w:rPr>
              <w:t>未达到要求</w:t>
            </w:r>
            <w:r>
              <w:rPr>
                <w:rFonts w:hint="eastAsia"/>
                <w:color w:val="auto"/>
                <w:highlight w:val="none"/>
              </w:rPr>
              <w:t xml:space="preserve"> 1 项次扣 1 分</w:t>
            </w:r>
            <w:r>
              <w:rPr>
                <w:rFonts w:hint="eastAsia"/>
                <w:color w:val="auto"/>
                <w:highlight w:val="none"/>
                <w:lang w:eastAsia="zh-CN"/>
              </w:rPr>
              <w:t>。</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D15E0">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80C7C">
            <w:pPr>
              <w:spacing w:line="240" w:lineRule="auto"/>
              <w:rPr>
                <w:color w:val="auto"/>
                <w:highlight w:val="none"/>
              </w:rPr>
            </w:pPr>
          </w:p>
        </w:tc>
      </w:tr>
      <w:tr w14:paraId="208A6277">
        <w:tblPrEx>
          <w:tblCellMar>
            <w:top w:w="0" w:type="dxa"/>
            <w:left w:w="108" w:type="dxa"/>
            <w:bottom w:w="0" w:type="dxa"/>
            <w:right w:w="108" w:type="dxa"/>
          </w:tblCellMar>
        </w:tblPrEx>
        <w:trPr>
          <w:trHeight w:val="90" w:hRule="atLeast"/>
          <w:jc w:val="center"/>
        </w:trPr>
        <w:tc>
          <w:tcPr>
            <w:tcW w:w="6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864ABC">
            <w:pPr>
              <w:spacing w:line="240" w:lineRule="auto"/>
              <w:rPr>
                <w:color w:val="auto"/>
                <w:highlight w:val="none"/>
              </w:rPr>
            </w:pPr>
          </w:p>
        </w:tc>
        <w:tc>
          <w:tcPr>
            <w:tcW w:w="29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2BDE8">
            <w:pPr>
              <w:spacing w:line="240" w:lineRule="auto"/>
              <w:ind w:firstLine="0" w:firstLineChars="0"/>
              <w:rPr>
                <w:rFonts w:hint="default" w:eastAsiaTheme="minorEastAsia"/>
                <w:color w:val="auto"/>
                <w:highlight w:val="none"/>
                <w:lang w:val="en-US" w:eastAsia="zh-CN"/>
              </w:rPr>
            </w:pPr>
            <w:r>
              <w:rPr>
                <w:rFonts w:hint="eastAsia"/>
                <w:color w:val="auto"/>
                <w:highlight w:val="none"/>
              </w:rPr>
              <w:t>（8）负一楼</w:t>
            </w:r>
            <w:r>
              <w:rPr>
                <w:rFonts w:hint="eastAsia"/>
                <w:color w:val="auto"/>
                <w:highlight w:val="none"/>
                <w:lang w:eastAsia="zh-CN"/>
              </w:rPr>
              <w:t>管理</w:t>
            </w:r>
            <w:r>
              <w:rPr>
                <w:rFonts w:hint="eastAsia"/>
                <w:color w:val="auto"/>
                <w:highlight w:val="none"/>
              </w:rPr>
              <w:t>服务</w:t>
            </w:r>
            <w:r>
              <w:rPr>
                <w:rFonts w:hint="eastAsia"/>
                <w:color w:val="auto"/>
                <w:highlight w:val="none"/>
                <w:lang w:eastAsia="zh-CN"/>
              </w:rPr>
              <w:t>，未达到要求</w:t>
            </w:r>
            <w:r>
              <w:rPr>
                <w:rFonts w:hint="eastAsia"/>
                <w:color w:val="auto"/>
                <w:highlight w:val="none"/>
                <w:lang w:val="en-US" w:eastAsia="zh-CN"/>
              </w:rPr>
              <w:t>1项次</w:t>
            </w:r>
            <w:r>
              <w:rPr>
                <w:rFonts w:hint="eastAsia"/>
                <w:color w:val="auto"/>
                <w:highlight w:val="none"/>
              </w:rPr>
              <w:t>扣</w:t>
            </w:r>
            <w:r>
              <w:rPr>
                <w:rFonts w:hint="eastAsia"/>
                <w:color w:val="auto"/>
                <w:highlight w:val="none"/>
                <w:lang w:val="en-US" w:eastAsia="zh-CN"/>
              </w:rPr>
              <w:t>1分</w:t>
            </w:r>
            <w:r>
              <w:rPr>
                <w:rFonts w:hint="eastAsia"/>
                <w:color w:val="auto"/>
                <w:highlight w:val="none"/>
                <w:lang w:eastAsia="zh-CN"/>
              </w:rPr>
              <w:t>。</w:t>
            </w:r>
          </w:p>
        </w:tc>
        <w:tc>
          <w:tcPr>
            <w:tcW w:w="5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DE17A">
            <w:pPr>
              <w:spacing w:line="240" w:lineRule="auto"/>
              <w:rPr>
                <w:color w:val="auto"/>
                <w:highlight w:val="none"/>
              </w:rPr>
            </w:pPr>
          </w:p>
        </w:tc>
        <w:tc>
          <w:tcPr>
            <w:tcW w:w="8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3E8CD">
            <w:pPr>
              <w:spacing w:line="240" w:lineRule="auto"/>
              <w:rPr>
                <w:color w:val="auto"/>
                <w:highlight w:val="none"/>
              </w:rPr>
            </w:pPr>
          </w:p>
        </w:tc>
      </w:tr>
      <w:tr w14:paraId="581FC9C3">
        <w:tblPrEx>
          <w:tblCellMar>
            <w:top w:w="0" w:type="dxa"/>
            <w:left w:w="108" w:type="dxa"/>
            <w:bottom w:w="0" w:type="dxa"/>
            <w:right w:w="108" w:type="dxa"/>
          </w:tblCellMar>
        </w:tblPrEx>
        <w:trPr>
          <w:trHeight w:val="90" w:hRule="atLeast"/>
          <w:jc w:val="center"/>
        </w:trPr>
        <w:tc>
          <w:tcPr>
            <w:tcW w:w="361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65B7D">
            <w:pPr>
              <w:spacing w:line="240" w:lineRule="auto"/>
              <w:ind w:firstLine="0" w:firstLineChars="0"/>
              <w:rPr>
                <w:rFonts w:hint="eastAsia"/>
                <w:color w:val="auto"/>
                <w:highlight w:val="none"/>
              </w:rPr>
            </w:pPr>
            <w:r>
              <w:rPr>
                <w:rFonts w:hint="eastAsia"/>
                <w:color w:val="auto"/>
                <w:highlight w:val="none"/>
              </w:rPr>
              <w:t>考核综合得分</w:t>
            </w:r>
          </w:p>
        </w:tc>
        <w:tc>
          <w:tcPr>
            <w:tcW w:w="138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B3535">
            <w:pPr>
              <w:spacing w:line="240" w:lineRule="auto"/>
              <w:rPr>
                <w:color w:val="auto"/>
                <w:highlight w:val="none"/>
              </w:rPr>
            </w:pPr>
          </w:p>
        </w:tc>
      </w:tr>
      <w:tr w14:paraId="4D973889">
        <w:tblPrEx>
          <w:tblCellMar>
            <w:top w:w="0" w:type="dxa"/>
            <w:left w:w="108" w:type="dxa"/>
            <w:bottom w:w="0" w:type="dxa"/>
            <w:right w:w="108" w:type="dxa"/>
          </w:tblCellMar>
        </w:tblPrEx>
        <w:trPr>
          <w:trHeight w:val="90" w:hRule="atLeast"/>
          <w:jc w:val="center"/>
        </w:trPr>
        <w:tc>
          <w:tcPr>
            <w:tcW w:w="630"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6CD90EA5">
            <w:pPr>
              <w:wordWrap w:val="0"/>
              <w:ind w:left="0" w:leftChars="0" w:firstLine="0" w:firstLineChars="0"/>
              <w:jc w:val="both"/>
              <w:rPr>
                <w:rFonts w:hint="eastAsia"/>
                <w:color w:val="auto"/>
                <w:highlight w:val="none"/>
                <w:u w:val="none"/>
                <w:lang w:eastAsia="zh-CN"/>
              </w:rPr>
            </w:pPr>
            <w:r>
              <w:rPr>
                <w:rFonts w:hint="eastAsia"/>
                <w:color w:val="auto"/>
                <w:highlight w:val="none"/>
                <w:u w:val="none"/>
                <w:lang w:eastAsia="zh-CN"/>
              </w:rPr>
              <w:t>考核成员</w:t>
            </w:r>
          </w:p>
        </w:tc>
        <w:tc>
          <w:tcPr>
            <w:tcW w:w="2989"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2A5F55F9">
            <w:pPr>
              <w:spacing w:line="240" w:lineRule="auto"/>
              <w:ind w:firstLine="0" w:firstLineChars="0"/>
              <w:rPr>
                <w:rFonts w:hint="eastAsia"/>
                <w:color w:val="auto"/>
                <w:highlight w:val="none"/>
              </w:rPr>
            </w:pPr>
          </w:p>
        </w:tc>
        <w:tc>
          <w:tcPr>
            <w:tcW w:w="506"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7E04A837">
            <w:pPr>
              <w:spacing w:line="240" w:lineRule="auto"/>
              <w:ind w:left="0" w:leftChars="0" w:firstLine="0" w:firstLineChars="0"/>
              <w:rPr>
                <w:rFonts w:hint="eastAsia" w:eastAsia="宋体"/>
                <w:color w:val="auto"/>
                <w:highlight w:val="none"/>
                <w:lang w:eastAsia="zh-CN"/>
              </w:rPr>
            </w:pPr>
            <w:r>
              <w:rPr>
                <w:rFonts w:hint="eastAsia"/>
                <w:color w:val="auto"/>
                <w:highlight w:val="none"/>
                <w:lang w:eastAsia="zh-CN"/>
              </w:rPr>
              <w:t>考核结果</w:t>
            </w:r>
          </w:p>
        </w:tc>
        <w:tc>
          <w:tcPr>
            <w:tcW w:w="874"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18FC8D4B">
            <w:pPr>
              <w:spacing w:line="240" w:lineRule="auto"/>
              <w:rPr>
                <w:color w:val="auto"/>
                <w:highlight w:val="none"/>
              </w:rPr>
            </w:pPr>
          </w:p>
        </w:tc>
      </w:tr>
      <w:tr w14:paraId="2C6DA08F">
        <w:tblPrEx>
          <w:tblCellMar>
            <w:top w:w="0" w:type="dxa"/>
            <w:left w:w="108" w:type="dxa"/>
            <w:bottom w:w="0" w:type="dxa"/>
            <w:right w:w="108" w:type="dxa"/>
          </w:tblCellMar>
        </w:tblPrEx>
        <w:trPr>
          <w:trHeight w:val="90" w:hRule="atLeast"/>
          <w:jc w:val="center"/>
        </w:trPr>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810B4">
            <w:pPr>
              <w:keepNext w:val="0"/>
              <w:keepLines w:val="0"/>
              <w:pageBreakBefore w:val="0"/>
              <w:widowControl/>
              <w:kinsoku/>
              <w:wordWrap w:val="0"/>
              <w:overflowPunct/>
              <w:topLinePunct w:val="0"/>
              <w:autoSpaceDE/>
              <w:autoSpaceDN/>
              <w:bidi w:val="0"/>
              <w:adjustRightInd w:val="0"/>
              <w:snapToGrid w:val="0"/>
              <w:spacing w:line="260" w:lineRule="exact"/>
              <w:ind w:left="0" w:leftChars="0" w:firstLine="0" w:firstLineChars="0"/>
              <w:textAlignment w:val="baseline"/>
              <w:rPr>
                <w:rFonts w:hint="eastAsia"/>
                <w:color w:val="auto"/>
                <w:highlight w:val="none"/>
                <w:u w:val="none"/>
                <w:lang w:eastAsia="zh-CN"/>
              </w:rPr>
            </w:pPr>
            <w:r>
              <w:rPr>
                <w:rFonts w:hint="eastAsia"/>
                <w:color w:val="auto"/>
                <w:sz w:val="21"/>
                <w:szCs w:val="21"/>
                <w:highlight w:val="none"/>
                <w:u w:val="none"/>
                <w:lang w:eastAsia="zh-CN"/>
              </w:rPr>
              <w:t>考核部门负责人签字</w:t>
            </w:r>
          </w:p>
        </w:tc>
        <w:tc>
          <w:tcPr>
            <w:tcW w:w="29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B9E08">
            <w:pPr>
              <w:wordWrap w:val="0"/>
              <w:ind w:firstLine="422"/>
              <w:rPr>
                <w:rFonts w:hint="eastAsia"/>
                <w:color w:val="auto"/>
                <w:highlight w:val="none"/>
                <w:u w:val="none"/>
                <w:lang w:eastAsia="zh-CN"/>
              </w:rPr>
            </w:pPr>
          </w:p>
        </w:tc>
        <w:tc>
          <w:tcPr>
            <w:tcW w:w="506"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495087B4">
            <w:pPr>
              <w:spacing w:line="240" w:lineRule="auto"/>
              <w:ind w:firstLine="0" w:firstLineChars="0"/>
              <w:rPr>
                <w:color w:val="auto"/>
                <w:highlight w:val="none"/>
              </w:rPr>
            </w:pPr>
            <w:r>
              <w:rPr>
                <w:rFonts w:hint="eastAsia"/>
                <w:color w:val="auto"/>
                <w:highlight w:val="none"/>
              </w:rPr>
              <w:t>被考核人代表签字</w:t>
            </w:r>
          </w:p>
        </w:tc>
        <w:tc>
          <w:tcPr>
            <w:tcW w:w="874"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3867B1A5">
            <w:pPr>
              <w:spacing w:line="240" w:lineRule="auto"/>
              <w:rPr>
                <w:color w:val="auto"/>
                <w:highlight w:val="none"/>
              </w:rPr>
            </w:pPr>
          </w:p>
        </w:tc>
      </w:tr>
      <w:tr w14:paraId="6DF3C219">
        <w:tblPrEx>
          <w:tblCellMar>
            <w:top w:w="0" w:type="dxa"/>
            <w:left w:w="108" w:type="dxa"/>
            <w:bottom w:w="0" w:type="dxa"/>
            <w:right w:w="108" w:type="dxa"/>
          </w:tblCellMar>
        </w:tblPrEx>
        <w:trPr>
          <w:trHeight w:val="90"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BFEBDEB">
            <w:pPr>
              <w:spacing w:line="240" w:lineRule="auto"/>
              <w:ind w:firstLine="0" w:firstLineChars="0"/>
              <w:rPr>
                <w:color w:val="auto"/>
                <w:highlight w:val="none"/>
              </w:rPr>
            </w:pPr>
            <w:r>
              <w:rPr>
                <w:rFonts w:hint="eastAsia"/>
                <w:color w:val="auto"/>
                <w:highlight w:val="none"/>
              </w:rPr>
              <w:t>备注：考评总分100分，考核综合得分=100-各项目考核扣分之和，月度考核综合得分在85分以上（≧85）为合格，85分以下（&lt;85）为不合格</w:t>
            </w:r>
          </w:p>
        </w:tc>
      </w:tr>
    </w:tbl>
    <w:p w14:paraId="6C6810C8">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bidi="ar-SA"/>
        </w:rPr>
        <w:t>7.2.5</w:t>
      </w:r>
      <w:r>
        <w:rPr>
          <w:rFonts w:hint="eastAsia" w:ascii="宋体" w:hAnsi="宋体" w:eastAsia="宋体" w:cs="宋体"/>
          <w:color w:val="auto"/>
          <w:sz w:val="21"/>
          <w:szCs w:val="21"/>
          <w:highlight w:val="none"/>
          <w:lang w:val="en-US" w:eastAsia="en-US" w:bidi="ar-SA"/>
        </w:rPr>
        <w:t>考核结果应用</w:t>
      </w:r>
    </w:p>
    <w:p w14:paraId="5CE22C5E">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（1）月度考核结果≥95分，按月度服务费的100%进行支付。 </w:t>
      </w:r>
    </w:p>
    <w:p w14:paraId="59EB8836">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（2）月度考核结果低于95分的，每扣1分按次扣该服务周期合同金额的2%。</w:t>
      </w:r>
    </w:p>
    <w:p w14:paraId="17D7512D">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（3）引导发矛盾纠纷造成不良影响的，按次扣该服务周期合同金额的5%。</w:t>
      </w:r>
    </w:p>
    <w:p w14:paraId="3E5C01A4">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（4）月度考核结果两次&lt;70分的，采购</w:t>
      </w:r>
      <w:r>
        <w:rPr>
          <w:rFonts w:hint="eastAsia" w:ascii="宋体" w:hAnsi="宋体" w:cs="宋体"/>
          <w:color w:val="auto"/>
          <w:sz w:val="21"/>
          <w:szCs w:val="21"/>
          <w:highlight w:val="none"/>
          <w:lang w:val="en-US" w:eastAsia="zh-CN" w:bidi="ar-SA"/>
        </w:rPr>
        <w:t>人</w:t>
      </w:r>
      <w:r>
        <w:rPr>
          <w:rFonts w:hint="eastAsia" w:ascii="宋体" w:hAnsi="宋体" w:eastAsia="宋体" w:cs="宋体"/>
          <w:color w:val="auto"/>
          <w:sz w:val="21"/>
          <w:szCs w:val="21"/>
          <w:highlight w:val="none"/>
          <w:lang w:val="en-US" w:eastAsia="en-US" w:bidi="ar-SA"/>
        </w:rPr>
        <w:t>可单方面终止合同。</w:t>
      </w:r>
    </w:p>
    <w:p w14:paraId="5BBC20FB">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bidi="ar-SA"/>
        </w:rPr>
        <w:t>7.2.6</w:t>
      </w:r>
      <w:r>
        <w:rPr>
          <w:rFonts w:hint="eastAsia" w:ascii="宋体" w:hAnsi="宋体" w:eastAsia="宋体" w:cs="宋体"/>
          <w:color w:val="auto"/>
          <w:sz w:val="21"/>
          <w:szCs w:val="21"/>
          <w:highlight w:val="none"/>
          <w:lang w:val="en-US" w:eastAsia="en-US" w:bidi="ar-SA"/>
        </w:rPr>
        <w:t>供应商必须及时对采购人反映存在的问题进行整改，若不进行及时整改或整改不到位，采购人有权要求供应商及时更换相关服务人员、限定时间整改到位，若供应商拒不执行，采购人有权单方面解除终止合同并要求供应商赔偿所造成的全部损失。</w:t>
      </w:r>
    </w:p>
    <w:p w14:paraId="106DD081">
      <w:pPr>
        <w:keepNext w:val="0"/>
        <w:keepLines w:val="0"/>
        <w:pageBreakBefore w:val="0"/>
        <w:widowControl/>
        <w:kinsoku/>
        <w:wordWrap/>
        <w:overflowPunct/>
        <w:topLinePunct w:val="0"/>
        <w:autoSpaceDE/>
        <w:autoSpaceDN/>
        <w:bidi w:val="0"/>
        <w:adjustRightInd/>
        <w:snapToGrid/>
        <w:spacing w:before="0" w:after="0" w:line="440" w:lineRule="exact"/>
        <w:ind w:firstLine="420" w:firstLineChars="200"/>
        <w:textAlignment w:val="auto"/>
        <w:outlineLvl w:val="9"/>
        <w:rPr>
          <w:rFonts w:hint="eastAsia" w:ascii="宋体" w:hAnsi="宋体" w:eastAsia="宋体" w:cs="宋体"/>
          <w:b w:val="0"/>
          <w:bCs w:val="0"/>
          <w:i/>
          <w:iCs/>
          <w:color w:val="auto"/>
          <w:sz w:val="21"/>
          <w:szCs w:val="21"/>
          <w:highlight w:val="none"/>
          <w:lang w:val="en-US" w:eastAsia="en-US" w:bidi="ar-SA"/>
        </w:rPr>
      </w:pPr>
      <w:r>
        <w:rPr>
          <w:rFonts w:hint="eastAsia" w:ascii="宋体" w:hAnsi="宋体" w:cs="宋体"/>
          <w:b w:val="0"/>
          <w:bCs w:val="0"/>
          <w:i w:val="0"/>
          <w:iCs w:val="0"/>
          <w:color w:val="auto"/>
          <w:sz w:val="21"/>
          <w:szCs w:val="21"/>
          <w:highlight w:val="none"/>
          <w:lang w:val="en-US" w:eastAsia="zh-CN" w:bidi="ar-SA"/>
        </w:rPr>
        <w:t>7.2.7</w:t>
      </w:r>
      <w:r>
        <w:rPr>
          <w:rFonts w:hint="eastAsia" w:ascii="宋体" w:hAnsi="宋体" w:eastAsia="宋体" w:cs="宋体"/>
          <w:b w:val="0"/>
          <w:bCs w:val="0"/>
          <w:i w:val="0"/>
          <w:iCs w:val="0"/>
          <w:color w:val="auto"/>
          <w:sz w:val="21"/>
          <w:szCs w:val="21"/>
          <w:highlight w:val="none"/>
          <w:lang w:val="en-US" w:eastAsia="en-US" w:bidi="ar-SA"/>
        </w:rPr>
        <w:t>资金支付违约责任</w:t>
      </w:r>
    </w:p>
    <w:p w14:paraId="308682C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lang w:val="en-US" w:eastAsia="en-US" w:bidi="ar-SA"/>
        </w:rPr>
        <w:t>采购人在收到发票等合同约定的资料后，进行核实。满足合同约定支付条件的，采购人应按时依照合同约定价格进行付款。逾期未付款，采购人应按逾期天数，支付人民币100元/天的违约金，但不超过合同总价款的1%。如因供应商自身原因导致采购人无法按时支付的，所产生的责任由供应商自行承担。因财政拨款延后导致逾期付款的，采购人不承担违约责任。</w:t>
      </w:r>
    </w:p>
    <w:p w14:paraId="289724A7">
      <w:pPr>
        <w:pStyle w:val="3"/>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color w:val="auto"/>
          <w:kern w:val="36"/>
          <w:sz w:val="21"/>
          <w:szCs w:val="21"/>
          <w:highlight w:val="none"/>
        </w:rPr>
        <w:t>8其他要求</w:t>
      </w:r>
    </w:p>
    <w:p w14:paraId="5837DC1A">
      <w:pPr>
        <w:pStyle w:val="4"/>
        <w:keepNext w:val="0"/>
        <w:spacing w:before="0" w:after="0" w:line="480" w:lineRule="exact"/>
        <w:jc w:val="left"/>
        <w:rPr>
          <w:rFonts w:hint="eastAsia" w:ascii="宋体" w:hAnsi="宋体" w:eastAsia="宋体" w:cs="宋体"/>
          <w:b/>
          <w:bCs/>
          <w:color w:val="auto"/>
          <w:sz w:val="21"/>
          <w:szCs w:val="21"/>
          <w:highlight w:val="none"/>
        </w:rPr>
      </w:pPr>
      <w:r>
        <w:rPr>
          <w:rFonts w:hint="eastAsia" w:ascii="宋体" w:hAnsi="宋体" w:eastAsia="宋体" w:cs="宋体"/>
          <w:i w:val="0"/>
          <w:iCs w:val="0"/>
          <w:color w:val="auto"/>
          <w:sz w:val="21"/>
          <w:szCs w:val="21"/>
          <w:highlight w:val="none"/>
        </w:rPr>
        <w:t>8.1付款安排建议</w:t>
      </w:r>
    </w:p>
    <w:tbl>
      <w:tblPr>
        <w:tblStyle w:val="25"/>
        <w:tblW w:w="5000" w:type="pct"/>
        <w:tblInd w:w="30" w:type="dxa"/>
        <w:tblLayout w:type="autofit"/>
        <w:tblCellMar>
          <w:top w:w="15" w:type="dxa"/>
          <w:left w:w="15" w:type="dxa"/>
          <w:bottom w:w="15" w:type="dxa"/>
          <w:right w:w="15" w:type="dxa"/>
        </w:tblCellMar>
      </w:tblPr>
      <w:tblGrid>
        <w:gridCol w:w="1152"/>
        <w:gridCol w:w="6191"/>
        <w:gridCol w:w="1321"/>
      </w:tblGrid>
      <w:tr w14:paraId="5079E01F">
        <w:tblPrEx>
          <w:tblCellMar>
            <w:top w:w="15" w:type="dxa"/>
            <w:left w:w="15" w:type="dxa"/>
            <w:bottom w:w="15" w:type="dxa"/>
            <w:right w:w="15" w:type="dxa"/>
          </w:tblCellMar>
        </w:tblPrEx>
        <w:tc>
          <w:tcPr>
            <w:tcW w:w="665"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09974A45">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付款名称</w:t>
            </w:r>
          </w:p>
        </w:tc>
        <w:tc>
          <w:tcPr>
            <w:tcW w:w="3572"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7615FA6">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付款要求</w:t>
            </w:r>
          </w:p>
        </w:tc>
        <w:tc>
          <w:tcPr>
            <w:tcW w:w="762"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3A42666">
            <w:pPr>
              <w:spacing w:line="480" w:lineRule="exact"/>
              <w:jc w:val="left"/>
              <w:rPr>
                <w:rFonts w:hint="eastAsia" w:ascii="宋体" w:hAnsi="宋体" w:eastAsia="宋体" w:cs="宋体"/>
                <w:b/>
                <w:bCs/>
                <w:i w:val="0"/>
                <w:iCs w:val="0"/>
                <w:smallCaps w:val="0"/>
                <w:color w:val="auto"/>
                <w:sz w:val="21"/>
                <w:szCs w:val="21"/>
                <w:highlight w:val="none"/>
              </w:rPr>
            </w:pPr>
            <w:r>
              <w:rPr>
                <w:rFonts w:hint="eastAsia" w:ascii="宋体" w:hAnsi="宋体" w:eastAsia="宋体" w:cs="宋体"/>
                <w:b/>
                <w:bCs/>
                <w:i w:val="0"/>
                <w:iCs w:val="0"/>
                <w:smallCaps w:val="0"/>
                <w:color w:val="auto"/>
                <w:sz w:val="21"/>
                <w:szCs w:val="21"/>
                <w:highlight w:val="none"/>
              </w:rPr>
              <w:t>付款比例(%)</w:t>
            </w:r>
          </w:p>
        </w:tc>
      </w:tr>
      <w:tr w14:paraId="6318F661">
        <w:tblPrEx>
          <w:tblCellMar>
            <w:top w:w="15" w:type="dxa"/>
            <w:left w:w="15" w:type="dxa"/>
            <w:bottom w:w="15" w:type="dxa"/>
            <w:right w:w="15" w:type="dxa"/>
          </w:tblCellMar>
        </w:tblPrEx>
        <w:tc>
          <w:tcPr>
            <w:tcW w:w="665"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8A1C3B1">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第1</w:t>
            </w:r>
            <w:r>
              <w:rPr>
                <w:rFonts w:hint="eastAsia" w:ascii="宋体" w:hAnsi="宋体" w:cs="宋体"/>
                <w:b w:val="0"/>
                <w:bCs w:val="0"/>
                <w:i w:val="0"/>
                <w:iCs w:val="0"/>
                <w:smallCaps w:val="0"/>
                <w:color w:val="auto"/>
                <w:sz w:val="21"/>
                <w:szCs w:val="21"/>
                <w:highlight w:val="none"/>
                <w:lang w:val="en-US" w:eastAsia="zh-CN"/>
              </w:rPr>
              <w:t>-12</w:t>
            </w:r>
            <w:r>
              <w:rPr>
                <w:rFonts w:hint="eastAsia" w:ascii="宋体" w:hAnsi="宋体" w:eastAsia="宋体" w:cs="宋体"/>
                <w:b w:val="0"/>
                <w:bCs w:val="0"/>
                <w:i w:val="0"/>
                <w:iCs w:val="0"/>
                <w:smallCaps w:val="0"/>
                <w:color w:val="auto"/>
                <w:sz w:val="21"/>
                <w:szCs w:val="21"/>
                <w:highlight w:val="none"/>
              </w:rPr>
              <w:t>次付款</w:t>
            </w:r>
          </w:p>
        </w:tc>
        <w:tc>
          <w:tcPr>
            <w:tcW w:w="357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8997EAB">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1、付款方式按月度支付。物业管理服务费按月支付，当月支付上月考核后实际应付的物业管理费。</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2、采购人收到供应商提供的正规等额发票后，采购人在15个工作日内，向供应商提供的银行和账号支付物业管理服务费。</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如果供应商未达到所承诺及合同约定的服务标准，采购人有权根据考核结果扣减相应物业费并延迟支付费用</w:t>
            </w:r>
            <w:r>
              <w:rPr>
                <w:rFonts w:hint="eastAsia" w:ascii="宋体" w:hAnsi="宋体" w:cs="宋体"/>
                <w:b w:val="0"/>
                <w:bCs w:val="0"/>
                <w:i w:val="0"/>
                <w:iCs w:val="0"/>
                <w:smallCaps w:val="0"/>
                <w:color w:val="auto"/>
                <w:sz w:val="21"/>
                <w:szCs w:val="21"/>
                <w:highlight w:val="none"/>
                <w:lang w:eastAsia="zh-CN"/>
              </w:rPr>
              <w:t>直至供应商解决相应问题</w:t>
            </w:r>
            <w:r>
              <w:rPr>
                <w:rFonts w:hint="eastAsia" w:ascii="宋体" w:hAnsi="宋体" w:eastAsia="宋体" w:cs="宋体"/>
                <w:b w:val="0"/>
                <w:bCs w:val="0"/>
                <w:i w:val="0"/>
                <w:iCs w:val="0"/>
                <w:smallCaps w:val="0"/>
                <w:color w:val="auto"/>
                <w:sz w:val="21"/>
                <w:szCs w:val="21"/>
                <w:highlight w:val="none"/>
              </w:rPr>
              <w:t>（考核标准详见合同附件《考核管理办法》）。</w:t>
            </w:r>
            <w:r>
              <w:rPr>
                <w:rFonts w:hint="eastAsia" w:ascii="宋体" w:hAnsi="宋体" w:eastAsia="宋体" w:cs="宋体"/>
                <w:b w:val="0"/>
                <w:bCs w:val="0"/>
                <w:i w:val="0"/>
                <w:iCs w:val="0"/>
                <w:smallCaps w:val="0"/>
                <w:color w:val="auto"/>
                <w:sz w:val="21"/>
                <w:szCs w:val="21"/>
                <w:highlight w:val="none"/>
              </w:rPr>
              <w:br w:type="textWrapping"/>
            </w:r>
            <w:r>
              <w:rPr>
                <w:rFonts w:hint="eastAsia" w:ascii="宋体" w:hAnsi="宋体" w:eastAsia="宋体" w:cs="宋体"/>
                <w:b w:val="0"/>
                <w:bCs w:val="0"/>
                <w:i w:val="0"/>
                <w:iCs w:val="0"/>
                <w:smallCaps w:val="0"/>
                <w:color w:val="auto"/>
                <w:sz w:val="21"/>
                <w:szCs w:val="21"/>
                <w:highlight w:val="none"/>
              </w:rPr>
              <w:t>付款提示：在达到约定的采购人付款进度时，供应商应提前向采购人发出提示付款的书面通知和依法开具的正式、有效发票。</w:t>
            </w:r>
          </w:p>
        </w:tc>
        <w:tc>
          <w:tcPr>
            <w:tcW w:w="76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C101AB6">
            <w:pPr>
              <w:spacing w:line="480" w:lineRule="exact"/>
              <w:jc w:val="left"/>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8.33</w:t>
            </w:r>
          </w:p>
        </w:tc>
      </w:tr>
    </w:tbl>
    <w:p w14:paraId="4EA98FFE">
      <w:pPr>
        <w:pStyle w:val="4"/>
        <w:keepNext w:val="0"/>
        <w:spacing w:before="0" w:after="0" w:line="480" w:lineRule="exact"/>
        <w:jc w:val="left"/>
        <w:rPr>
          <w:rFonts w:hint="eastAsia" w:ascii="宋体" w:hAnsi="宋体" w:eastAsia="宋体" w:cs="宋体"/>
          <w:b/>
          <w:bCs w:val="0"/>
          <w:color w:val="auto"/>
          <w:sz w:val="21"/>
          <w:szCs w:val="21"/>
          <w:highlight w:val="none"/>
          <w:lang w:val="en-US" w:eastAsia="zh-CN"/>
        </w:rPr>
      </w:pPr>
      <w:r>
        <w:rPr>
          <w:rFonts w:hint="eastAsia" w:ascii="宋体" w:hAnsi="宋体" w:eastAsia="宋体" w:cs="宋体"/>
          <w:i w:val="0"/>
          <w:iCs w:val="0"/>
          <w:color w:val="auto"/>
          <w:sz w:val="21"/>
          <w:szCs w:val="21"/>
          <w:highlight w:val="none"/>
        </w:rPr>
        <w:t>8.2其他要求</w:t>
      </w:r>
      <w:bookmarkEnd w:id="205"/>
    </w:p>
    <w:sectPr>
      <w:footerReference r:id="rId5" w:type="default"/>
      <w:pgSz w:w="11906" w:h="16838"/>
      <w:pgMar w:top="1440" w:right="1486"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2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96A4964-6157-42CA-BECA-799F2EF71EF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9F89DF5A-407F-4F48-B90F-C6DF5B7BF737}"/>
  </w:font>
  <w:font w:name="仿宋_GB2312">
    <w:panose1 w:val="02010609030101010101"/>
    <w:charset w:val="86"/>
    <w:family w:val="auto"/>
    <w:pitch w:val="default"/>
    <w:sig w:usb0="00000001" w:usb1="080E0000" w:usb2="00000000" w:usb3="00000000" w:csb0="00040000" w:csb1="00000000"/>
    <w:embedRegular r:id="rId3" w:fontKey="{DCEE04E7-0F27-4740-8F79-38EB5EED3BA2}"/>
  </w:font>
  <w:font w:name="Roboto Th">
    <w:altName w:val="Segoe Print"/>
    <w:panose1 w:val="00000000000000000000"/>
    <w:charset w:val="00"/>
    <w:family w:val="auto"/>
    <w:pitch w:val="default"/>
    <w:sig w:usb0="00000000" w:usb1="00000000" w:usb2="00000020" w:usb3="00000000" w:csb0="0000019F"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方正大标宋简体">
    <w:altName w:val="微软雅黑"/>
    <w:panose1 w:val="02000000000000000000"/>
    <w:charset w:val="86"/>
    <w:family w:val="script"/>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embedRegular r:id="rId4" w:fontKey="{57785CB2-10C1-4559-82BD-921F9FB578B1}"/>
  </w:font>
  <w:font w:name="Arial Unicode MS">
    <w:altName w:val="宋体"/>
    <w:panose1 w:val="020B0604020202020204"/>
    <w:charset w:val="86"/>
    <w:family w:val="roman"/>
    <w:pitch w:val="default"/>
    <w:sig w:usb0="00000000" w:usb1="00000000" w:usb2="0000003F" w:usb3="00000000" w:csb0="603F01FF" w:csb1="FFFF0000"/>
  </w:font>
  <w:font w:name="华文中宋">
    <w:panose1 w:val="02010600040101010101"/>
    <w:charset w:val="86"/>
    <w:family w:val="auto"/>
    <w:pitch w:val="default"/>
    <w:sig w:usb0="00000287" w:usb1="080F0000" w:usb2="00000000" w:usb3="00000000" w:csb0="0004009F" w:csb1="DFD70000"/>
    <w:embedRegular r:id="rId5" w:fontKey="{0AD7FE73-3696-430F-A4C0-60526A277346}"/>
  </w:font>
  <w:font w:name="Wingdings 2">
    <w:panose1 w:val="05020102010507070707"/>
    <w:charset w:val="02"/>
    <w:family w:val="roman"/>
    <w:pitch w:val="default"/>
    <w:sig w:usb0="00000000" w:usb1="00000000" w:usb2="00000000" w:usb3="00000000" w:csb0="80000000" w:csb1="00000000"/>
    <w:embedRegular r:id="rId6" w:fontKey="{0A468BD1-E74E-4DA2-8946-21AE1661A11A}"/>
  </w:font>
  <w:font w:name="FangSong_GB2312">
    <w:altName w:val="仿宋"/>
    <w:panose1 w:val="02010609030101010101"/>
    <w:charset w:val="86"/>
    <w:family w:val="roman"/>
    <w:pitch w:val="default"/>
    <w:sig w:usb0="00000000" w:usb1="00000000" w:usb2="00000000" w:usb3="00000000" w:csb0="00040000" w:csb1="00000000"/>
    <w:embedRegular r:id="rId7" w:fontKey="{08632D4C-68DE-433A-8F4C-60DCC243C415}"/>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35AD1">
    <w:pPr>
      <w:spacing w:after="0" w:line="240" w:lineRule="auto"/>
      <w:jc w:val="center"/>
      <w:rPr>
        <w:rFonts w:ascii="宋体" w:hAnsi="宋体" w:eastAsia="宋体"/>
        <w:sz w:val="24"/>
      </w:rPr>
    </w:pPr>
  </w:p>
  <w:p w14:paraId="5A1CB645">
    <w:pPr>
      <w:pStyle w:val="2"/>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5E08B">
    <w:pPr>
      <w:tabs>
        <w:tab w:val="left" w:pos="714"/>
        <w:tab w:val="center" w:pos="4213"/>
      </w:tabs>
      <w:spacing w:after="0" w:line="240" w:lineRule="auto"/>
      <w:jc w:val="left"/>
      <w:rPr>
        <w:rFonts w:hint="eastAsia" w:ascii="宋体" w:hAnsi="宋体"/>
        <w:sz w:val="24"/>
        <w:lang w:eastAsia="zh-CN"/>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F730E7">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8F730E7">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p w14:paraId="6903D4D5">
    <w:pPr>
      <w:pStyle w:val="2"/>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7D4E3">
    <w:pPr>
      <w:pStyle w:val="17"/>
      <w:pBdr>
        <w:bottom w:val="single" w:color="auto" w:sz="6" w:space="0"/>
      </w:pBdr>
      <w:jc w:val="center"/>
    </w:pPr>
    <w:r>
      <w:rPr>
        <w:rFonts w:hint="eastAsia" w:hAnsi="宋体"/>
        <w:bCs/>
        <w:sz w:val="16"/>
        <w:szCs w:val="16"/>
        <w:lang w:val="en-US" w:eastAsia="zh-CN"/>
      </w:rPr>
      <w:t xml:space="preserve">国家税务总局昆明市官渡区税务局2026年物业管理服务项目（二次）                                   </w:t>
    </w:r>
    <w:r>
      <w:rPr>
        <w:rFonts w:hint="eastAsia" w:hAnsi="宋体"/>
        <w:bCs/>
        <w:color w:val="000000"/>
        <w:sz w:val="16"/>
        <w:szCs w:val="16"/>
        <w:lang w:eastAsia="zh-CN"/>
      </w:rPr>
      <w:t>招标</w:t>
    </w:r>
    <w:r>
      <w:rPr>
        <w:rFonts w:hint="eastAsia" w:hAnsi="宋体"/>
        <w:bCs/>
        <w:color w:val="000000"/>
        <w:sz w:val="16"/>
        <w:szCs w:val="16"/>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7AF1D5"/>
    <w:multiLevelType w:val="singleLevel"/>
    <w:tmpl w:val="2E7AF1D5"/>
    <w:lvl w:ilvl="0" w:tentative="0">
      <w:start w:val="1"/>
      <w:numFmt w:val="lowerLetter"/>
      <w:lvlText w:val="%1."/>
      <w:lvlJc w:val="left"/>
      <w:pPr>
        <w:tabs>
          <w:tab w:val="left" w:pos="312"/>
        </w:tabs>
      </w:pPr>
    </w:lvl>
  </w:abstractNum>
  <w:abstractNum w:abstractNumId="1">
    <w:nsid w:val="70322B07"/>
    <w:multiLevelType w:val="singleLevel"/>
    <w:tmpl w:val="70322B07"/>
    <w:lvl w:ilvl="0" w:tentative="0">
      <w:start w:val="1"/>
      <w:numFmt w:val="decimal"/>
      <w:pStyle w:val="8"/>
      <w:lvlText w:val="%1."/>
      <w:lvlJc w:val="left"/>
      <w:pPr>
        <w:tabs>
          <w:tab w:val="left" w:pos="780"/>
        </w:tabs>
        <w:ind w:left="7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JmYTY2NWIxMjczY2E4MzdkNzQ5MjhhOGZkNTQyNDcifQ=="/>
  </w:docVars>
  <w:rsids>
    <w:rsidRoot w:val="3B2A6703"/>
    <w:rsid w:val="0005442E"/>
    <w:rsid w:val="000A002F"/>
    <w:rsid w:val="001A64C4"/>
    <w:rsid w:val="002A3D8A"/>
    <w:rsid w:val="00311532"/>
    <w:rsid w:val="004B46FA"/>
    <w:rsid w:val="004D5652"/>
    <w:rsid w:val="005126F1"/>
    <w:rsid w:val="00645991"/>
    <w:rsid w:val="00702CFD"/>
    <w:rsid w:val="0076339E"/>
    <w:rsid w:val="007A7280"/>
    <w:rsid w:val="007C717F"/>
    <w:rsid w:val="00B32474"/>
    <w:rsid w:val="00EF244F"/>
    <w:rsid w:val="01435502"/>
    <w:rsid w:val="014D1A5D"/>
    <w:rsid w:val="018C1178"/>
    <w:rsid w:val="019165BD"/>
    <w:rsid w:val="019329D2"/>
    <w:rsid w:val="019913B2"/>
    <w:rsid w:val="01A55BBB"/>
    <w:rsid w:val="01AF0E16"/>
    <w:rsid w:val="01CF7782"/>
    <w:rsid w:val="01D32DCE"/>
    <w:rsid w:val="01EC5C3E"/>
    <w:rsid w:val="022D757F"/>
    <w:rsid w:val="024919FE"/>
    <w:rsid w:val="02714395"/>
    <w:rsid w:val="027976FD"/>
    <w:rsid w:val="028440C8"/>
    <w:rsid w:val="02862D86"/>
    <w:rsid w:val="02917F74"/>
    <w:rsid w:val="02AF7331"/>
    <w:rsid w:val="02B24304"/>
    <w:rsid w:val="02B72A9F"/>
    <w:rsid w:val="02E46D6A"/>
    <w:rsid w:val="02F23C7E"/>
    <w:rsid w:val="02FF17CC"/>
    <w:rsid w:val="030E7E36"/>
    <w:rsid w:val="036068E4"/>
    <w:rsid w:val="038A1948"/>
    <w:rsid w:val="0393501D"/>
    <w:rsid w:val="039D0A99"/>
    <w:rsid w:val="039F1C8C"/>
    <w:rsid w:val="03A4628D"/>
    <w:rsid w:val="03B721E0"/>
    <w:rsid w:val="03B835CB"/>
    <w:rsid w:val="03BD7838"/>
    <w:rsid w:val="03C9032A"/>
    <w:rsid w:val="03D65D86"/>
    <w:rsid w:val="03D77F9C"/>
    <w:rsid w:val="03E326F1"/>
    <w:rsid w:val="03EA2651"/>
    <w:rsid w:val="03EC63C9"/>
    <w:rsid w:val="03EE2141"/>
    <w:rsid w:val="03F7393E"/>
    <w:rsid w:val="03FF2CBA"/>
    <w:rsid w:val="041577A9"/>
    <w:rsid w:val="042042C5"/>
    <w:rsid w:val="04221DEB"/>
    <w:rsid w:val="042A7BBC"/>
    <w:rsid w:val="04350C47"/>
    <w:rsid w:val="04476B3A"/>
    <w:rsid w:val="04567CE7"/>
    <w:rsid w:val="04581CB1"/>
    <w:rsid w:val="04653A59"/>
    <w:rsid w:val="046C3066"/>
    <w:rsid w:val="047807DC"/>
    <w:rsid w:val="047B1719"/>
    <w:rsid w:val="047B1B1A"/>
    <w:rsid w:val="04A27D9F"/>
    <w:rsid w:val="04B52C5F"/>
    <w:rsid w:val="04C669AD"/>
    <w:rsid w:val="04CD5BA3"/>
    <w:rsid w:val="04D255BF"/>
    <w:rsid w:val="04D53301"/>
    <w:rsid w:val="04FC18D0"/>
    <w:rsid w:val="050E411D"/>
    <w:rsid w:val="052D6C99"/>
    <w:rsid w:val="052F2A11"/>
    <w:rsid w:val="053C79FF"/>
    <w:rsid w:val="05466A9D"/>
    <w:rsid w:val="054A1B88"/>
    <w:rsid w:val="054D2E98"/>
    <w:rsid w:val="054E5BCA"/>
    <w:rsid w:val="054F4E62"/>
    <w:rsid w:val="055A5241"/>
    <w:rsid w:val="055A55B4"/>
    <w:rsid w:val="05AC49DE"/>
    <w:rsid w:val="05BA33D2"/>
    <w:rsid w:val="05BB1A9E"/>
    <w:rsid w:val="05CC3C2F"/>
    <w:rsid w:val="05D22107"/>
    <w:rsid w:val="05EB75E9"/>
    <w:rsid w:val="05F55FD3"/>
    <w:rsid w:val="05FA3274"/>
    <w:rsid w:val="06016235"/>
    <w:rsid w:val="060A20AF"/>
    <w:rsid w:val="06185081"/>
    <w:rsid w:val="061C7986"/>
    <w:rsid w:val="062333E4"/>
    <w:rsid w:val="063302DF"/>
    <w:rsid w:val="063C0338"/>
    <w:rsid w:val="064704BB"/>
    <w:rsid w:val="065E61DF"/>
    <w:rsid w:val="06654D21"/>
    <w:rsid w:val="06897EFF"/>
    <w:rsid w:val="06950889"/>
    <w:rsid w:val="069A0FBD"/>
    <w:rsid w:val="06A0349B"/>
    <w:rsid w:val="06A905A2"/>
    <w:rsid w:val="06B03931"/>
    <w:rsid w:val="06B27578"/>
    <w:rsid w:val="06BD229F"/>
    <w:rsid w:val="06C35C09"/>
    <w:rsid w:val="06D27AF8"/>
    <w:rsid w:val="06D84CC5"/>
    <w:rsid w:val="06DF2215"/>
    <w:rsid w:val="06F153B1"/>
    <w:rsid w:val="06F21F49"/>
    <w:rsid w:val="06F6018B"/>
    <w:rsid w:val="06F74635"/>
    <w:rsid w:val="06FE6B3F"/>
    <w:rsid w:val="07034156"/>
    <w:rsid w:val="073079D3"/>
    <w:rsid w:val="073133BC"/>
    <w:rsid w:val="07343454"/>
    <w:rsid w:val="076D084F"/>
    <w:rsid w:val="07727AEC"/>
    <w:rsid w:val="077B483A"/>
    <w:rsid w:val="077F14C3"/>
    <w:rsid w:val="07814AA8"/>
    <w:rsid w:val="07837610"/>
    <w:rsid w:val="078E2033"/>
    <w:rsid w:val="07927288"/>
    <w:rsid w:val="07A86AAB"/>
    <w:rsid w:val="07C91612"/>
    <w:rsid w:val="07D43F41"/>
    <w:rsid w:val="07EA6448"/>
    <w:rsid w:val="07F053D2"/>
    <w:rsid w:val="07F53D9A"/>
    <w:rsid w:val="07F7572C"/>
    <w:rsid w:val="07F97BC5"/>
    <w:rsid w:val="080D0FCD"/>
    <w:rsid w:val="082C263C"/>
    <w:rsid w:val="082D6FB0"/>
    <w:rsid w:val="085751F0"/>
    <w:rsid w:val="0858715D"/>
    <w:rsid w:val="086C1887"/>
    <w:rsid w:val="08781FA7"/>
    <w:rsid w:val="087B7D1C"/>
    <w:rsid w:val="089870C0"/>
    <w:rsid w:val="08BD6586"/>
    <w:rsid w:val="08BF40AC"/>
    <w:rsid w:val="08BF55C9"/>
    <w:rsid w:val="08C05A2D"/>
    <w:rsid w:val="08D00067"/>
    <w:rsid w:val="08D13DE0"/>
    <w:rsid w:val="08D95C27"/>
    <w:rsid w:val="08DA0EE6"/>
    <w:rsid w:val="08F43AA3"/>
    <w:rsid w:val="08FA6A01"/>
    <w:rsid w:val="08FE21DD"/>
    <w:rsid w:val="09045F63"/>
    <w:rsid w:val="09053299"/>
    <w:rsid w:val="09177ABE"/>
    <w:rsid w:val="0919486E"/>
    <w:rsid w:val="092669FE"/>
    <w:rsid w:val="09615163"/>
    <w:rsid w:val="096643D8"/>
    <w:rsid w:val="09820BAF"/>
    <w:rsid w:val="098B21E0"/>
    <w:rsid w:val="09A6718F"/>
    <w:rsid w:val="09A838A2"/>
    <w:rsid w:val="09B434E5"/>
    <w:rsid w:val="09B713FD"/>
    <w:rsid w:val="09BC2720"/>
    <w:rsid w:val="09D678FF"/>
    <w:rsid w:val="09E704EE"/>
    <w:rsid w:val="0A002BCE"/>
    <w:rsid w:val="0A083831"/>
    <w:rsid w:val="0A0F3B2F"/>
    <w:rsid w:val="0A157CFC"/>
    <w:rsid w:val="0A184DBB"/>
    <w:rsid w:val="0A3B4173"/>
    <w:rsid w:val="0A4D175D"/>
    <w:rsid w:val="0A5B40AC"/>
    <w:rsid w:val="0A6631B9"/>
    <w:rsid w:val="0A835E58"/>
    <w:rsid w:val="0A894972"/>
    <w:rsid w:val="0A976F12"/>
    <w:rsid w:val="0A977BA6"/>
    <w:rsid w:val="0A9D666F"/>
    <w:rsid w:val="0AA736ED"/>
    <w:rsid w:val="0AB3743A"/>
    <w:rsid w:val="0AD0450B"/>
    <w:rsid w:val="0AE123F8"/>
    <w:rsid w:val="0AE47E6C"/>
    <w:rsid w:val="0AEA2F37"/>
    <w:rsid w:val="0AFA13CC"/>
    <w:rsid w:val="0B092BE9"/>
    <w:rsid w:val="0B106B03"/>
    <w:rsid w:val="0B1D50BA"/>
    <w:rsid w:val="0B24469B"/>
    <w:rsid w:val="0B3F59C8"/>
    <w:rsid w:val="0B403648"/>
    <w:rsid w:val="0B437B34"/>
    <w:rsid w:val="0B4D1E43"/>
    <w:rsid w:val="0B61144B"/>
    <w:rsid w:val="0B6638FF"/>
    <w:rsid w:val="0B6A36DE"/>
    <w:rsid w:val="0B717AAC"/>
    <w:rsid w:val="0B742FDC"/>
    <w:rsid w:val="0B7C37D6"/>
    <w:rsid w:val="0B845FD3"/>
    <w:rsid w:val="0B980BE5"/>
    <w:rsid w:val="0B9A2C4C"/>
    <w:rsid w:val="0BA650B0"/>
    <w:rsid w:val="0BAF7B28"/>
    <w:rsid w:val="0BB377CC"/>
    <w:rsid w:val="0BB7550F"/>
    <w:rsid w:val="0C014F8B"/>
    <w:rsid w:val="0C096AEA"/>
    <w:rsid w:val="0C115290"/>
    <w:rsid w:val="0C225AFC"/>
    <w:rsid w:val="0C290785"/>
    <w:rsid w:val="0C300E1D"/>
    <w:rsid w:val="0C312C9B"/>
    <w:rsid w:val="0C391042"/>
    <w:rsid w:val="0C3B7EEE"/>
    <w:rsid w:val="0C402AA0"/>
    <w:rsid w:val="0C550884"/>
    <w:rsid w:val="0C876227"/>
    <w:rsid w:val="0C923115"/>
    <w:rsid w:val="0CBE1A2C"/>
    <w:rsid w:val="0CBF701E"/>
    <w:rsid w:val="0CC3104A"/>
    <w:rsid w:val="0CC5319F"/>
    <w:rsid w:val="0CCF0636"/>
    <w:rsid w:val="0D093B48"/>
    <w:rsid w:val="0D103128"/>
    <w:rsid w:val="0D21577A"/>
    <w:rsid w:val="0D262A26"/>
    <w:rsid w:val="0D270472"/>
    <w:rsid w:val="0D2B1256"/>
    <w:rsid w:val="0D3F2EDF"/>
    <w:rsid w:val="0D663DC5"/>
    <w:rsid w:val="0D6B0078"/>
    <w:rsid w:val="0D6D1D51"/>
    <w:rsid w:val="0D7731A8"/>
    <w:rsid w:val="0D820A5D"/>
    <w:rsid w:val="0D894C89"/>
    <w:rsid w:val="0D8E04F1"/>
    <w:rsid w:val="0D9867D5"/>
    <w:rsid w:val="0D9A29F6"/>
    <w:rsid w:val="0D9D0734"/>
    <w:rsid w:val="0D9F44AC"/>
    <w:rsid w:val="0DA77262"/>
    <w:rsid w:val="0DB74E46"/>
    <w:rsid w:val="0DC363ED"/>
    <w:rsid w:val="0DD26630"/>
    <w:rsid w:val="0DE243B6"/>
    <w:rsid w:val="0DE85E53"/>
    <w:rsid w:val="0DEC1FFB"/>
    <w:rsid w:val="0DED13AD"/>
    <w:rsid w:val="0DF973A1"/>
    <w:rsid w:val="0E0213F2"/>
    <w:rsid w:val="0E266AC3"/>
    <w:rsid w:val="0E2A021A"/>
    <w:rsid w:val="0E3623F7"/>
    <w:rsid w:val="0E4137B5"/>
    <w:rsid w:val="0E424942"/>
    <w:rsid w:val="0E482A4A"/>
    <w:rsid w:val="0E4F6327"/>
    <w:rsid w:val="0E516F28"/>
    <w:rsid w:val="0E5F7530"/>
    <w:rsid w:val="0E822E36"/>
    <w:rsid w:val="0E8B47E0"/>
    <w:rsid w:val="0E910299"/>
    <w:rsid w:val="0E96765D"/>
    <w:rsid w:val="0EA31D7A"/>
    <w:rsid w:val="0EAD49A7"/>
    <w:rsid w:val="0EAF24CD"/>
    <w:rsid w:val="0EBF0344"/>
    <w:rsid w:val="0ECB40C6"/>
    <w:rsid w:val="0EDC57C9"/>
    <w:rsid w:val="0EE859DF"/>
    <w:rsid w:val="0EFB1043"/>
    <w:rsid w:val="0EFC21E7"/>
    <w:rsid w:val="0F0071CD"/>
    <w:rsid w:val="0F052A35"/>
    <w:rsid w:val="0F056591"/>
    <w:rsid w:val="0F113188"/>
    <w:rsid w:val="0F141CD4"/>
    <w:rsid w:val="0F205179"/>
    <w:rsid w:val="0F20786F"/>
    <w:rsid w:val="0F2A5FF8"/>
    <w:rsid w:val="0F57704C"/>
    <w:rsid w:val="0F5B4403"/>
    <w:rsid w:val="0F5C232E"/>
    <w:rsid w:val="0F5C551E"/>
    <w:rsid w:val="0F614920"/>
    <w:rsid w:val="0F684D83"/>
    <w:rsid w:val="0F7A0D2D"/>
    <w:rsid w:val="0FA9406A"/>
    <w:rsid w:val="0FB047DF"/>
    <w:rsid w:val="0FB666DA"/>
    <w:rsid w:val="0FD66324"/>
    <w:rsid w:val="102B0279"/>
    <w:rsid w:val="102F4BD1"/>
    <w:rsid w:val="10364CA4"/>
    <w:rsid w:val="1046648D"/>
    <w:rsid w:val="105B627A"/>
    <w:rsid w:val="105D676B"/>
    <w:rsid w:val="10725CF3"/>
    <w:rsid w:val="1073769E"/>
    <w:rsid w:val="10765998"/>
    <w:rsid w:val="107B0A11"/>
    <w:rsid w:val="108D480E"/>
    <w:rsid w:val="109B53FF"/>
    <w:rsid w:val="10A32505"/>
    <w:rsid w:val="10C75E99"/>
    <w:rsid w:val="10CB3939"/>
    <w:rsid w:val="10DB1C9F"/>
    <w:rsid w:val="10DD4DDE"/>
    <w:rsid w:val="10E326D9"/>
    <w:rsid w:val="10EF2973"/>
    <w:rsid w:val="10F70FD6"/>
    <w:rsid w:val="10FD7E68"/>
    <w:rsid w:val="110411F6"/>
    <w:rsid w:val="11056D1C"/>
    <w:rsid w:val="112415B2"/>
    <w:rsid w:val="112847B9"/>
    <w:rsid w:val="11372E17"/>
    <w:rsid w:val="113A6834"/>
    <w:rsid w:val="113D4691"/>
    <w:rsid w:val="11423ACC"/>
    <w:rsid w:val="114602C5"/>
    <w:rsid w:val="11587F12"/>
    <w:rsid w:val="115A11E9"/>
    <w:rsid w:val="116871F6"/>
    <w:rsid w:val="11695052"/>
    <w:rsid w:val="1173012A"/>
    <w:rsid w:val="117D4ABB"/>
    <w:rsid w:val="1182211B"/>
    <w:rsid w:val="119569CB"/>
    <w:rsid w:val="119A3D32"/>
    <w:rsid w:val="119F6C9D"/>
    <w:rsid w:val="11A12925"/>
    <w:rsid w:val="11AE5AE4"/>
    <w:rsid w:val="11C60141"/>
    <w:rsid w:val="11C75D80"/>
    <w:rsid w:val="11CF074D"/>
    <w:rsid w:val="11DA00A3"/>
    <w:rsid w:val="11F66D8F"/>
    <w:rsid w:val="120976E6"/>
    <w:rsid w:val="12135469"/>
    <w:rsid w:val="12280AC1"/>
    <w:rsid w:val="122B0DA3"/>
    <w:rsid w:val="126F3717"/>
    <w:rsid w:val="1271560F"/>
    <w:rsid w:val="128279B7"/>
    <w:rsid w:val="128B3251"/>
    <w:rsid w:val="128D0534"/>
    <w:rsid w:val="128D6FC9"/>
    <w:rsid w:val="129027FF"/>
    <w:rsid w:val="12940358"/>
    <w:rsid w:val="12C50511"/>
    <w:rsid w:val="12E00FDA"/>
    <w:rsid w:val="12E144AE"/>
    <w:rsid w:val="12F17558"/>
    <w:rsid w:val="130137CE"/>
    <w:rsid w:val="13036801"/>
    <w:rsid w:val="130D362F"/>
    <w:rsid w:val="13113910"/>
    <w:rsid w:val="1319260B"/>
    <w:rsid w:val="13295501"/>
    <w:rsid w:val="134F0723"/>
    <w:rsid w:val="13750189"/>
    <w:rsid w:val="13753589"/>
    <w:rsid w:val="1386437E"/>
    <w:rsid w:val="139B53C4"/>
    <w:rsid w:val="13A1426D"/>
    <w:rsid w:val="13B130B6"/>
    <w:rsid w:val="13C7650B"/>
    <w:rsid w:val="13E25EF4"/>
    <w:rsid w:val="13F876E7"/>
    <w:rsid w:val="14021318"/>
    <w:rsid w:val="141B014F"/>
    <w:rsid w:val="14207AD1"/>
    <w:rsid w:val="144171F6"/>
    <w:rsid w:val="14432035"/>
    <w:rsid w:val="14560F96"/>
    <w:rsid w:val="145853B5"/>
    <w:rsid w:val="145B08FE"/>
    <w:rsid w:val="14627FE2"/>
    <w:rsid w:val="146F55A2"/>
    <w:rsid w:val="147F2942"/>
    <w:rsid w:val="148A26A1"/>
    <w:rsid w:val="1494234E"/>
    <w:rsid w:val="14AD4E8A"/>
    <w:rsid w:val="14AE2DAD"/>
    <w:rsid w:val="14B3682E"/>
    <w:rsid w:val="14B468BF"/>
    <w:rsid w:val="14CB71D7"/>
    <w:rsid w:val="14DD2BDA"/>
    <w:rsid w:val="14F566DB"/>
    <w:rsid w:val="14F72E20"/>
    <w:rsid w:val="15000ED2"/>
    <w:rsid w:val="150A062C"/>
    <w:rsid w:val="151A266A"/>
    <w:rsid w:val="151C5096"/>
    <w:rsid w:val="15354668"/>
    <w:rsid w:val="154B4663"/>
    <w:rsid w:val="155C2C83"/>
    <w:rsid w:val="156D10F1"/>
    <w:rsid w:val="156E634F"/>
    <w:rsid w:val="156F6E5A"/>
    <w:rsid w:val="15772259"/>
    <w:rsid w:val="158C21F7"/>
    <w:rsid w:val="159248FD"/>
    <w:rsid w:val="15977DC9"/>
    <w:rsid w:val="159B3C75"/>
    <w:rsid w:val="15A24A9D"/>
    <w:rsid w:val="15B13F50"/>
    <w:rsid w:val="15BD5E17"/>
    <w:rsid w:val="15CE42CB"/>
    <w:rsid w:val="15DA7F84"/>
    <w:rsid w:val="15DD2016"/>
    <w:rsid w:val="15DE18EA"/>
    <w:rsid w:val="15E038B4"/>
    <w:rsid w:val="15F22A10"/>
    <w:rsid w:val="15F66C34"/>
    <w:rsid w:val="15FC76A4"/>
    <w:rsid w:val="16012AD0"/>
    <w:rsid w:val="160315E4"/>
    <w:rsid w:val="160A26DF"/>
    <w:rsid w:val="16196205"/>
    <w:rsid w:val="161B1156"/>
    <w:rsid w:val="16234165"/>
    <w:rsid w:val="163518A1"/>
    <w:rsid w:val="16367C4C"/>
    <w:rsid w:val="164B51D1"/>
    <w:rsid w:val="164F7A9C"/>
    <w:rsid w:val="16672FE1"/>
    <w:rsid w:val="166D15EC"/>
    <w:rsid w:val="16775FC6"/>
    <w:rsid w:val="16905228"/>
    <w:rsid w:val="16990306"/>
    <w:rsid w:val="16B079F9"/>
    <w:rsid w:val="16B24612"/>
    <w:rsid w:val="16C259D6"/>
    <w:rsid w:val="16CD78F7"/>
    <w:rsid w:val="16CE7A73"/>
    <w:rsid w:val="16D626D4"/>
    <w:rsid w:val="172E4367"/>
    <w:rsid w:val="173F442C"/>
    <w:rsid w:val="1758766A"/>
    <w:rsid w:val="17590E51"/>
    <w:rsid w:val="17750B8F"/>
    <w:rsid w:val="17816B49"/>
    <w:rsid w:val="178A6F7A"/>
    <w:rsid w:val="179A646E"/>
    <w:rsid w:val="17AE3C6A"/>
    <w:rsid w:val="17B35ACD"/>
    <w:rsid w:val="17B9616B"/>
    <w:rsid w:val="17CE1006"/>
    <w:rsid w:val="17D11706"/>
    <w:rsid w:val="17D336D0"/>
    <w:rsid w:val="17D94883"/>
    <w:rsid w:val="17E53404"/>
    <w:rsid w:val="17F31DA1"/>
    <w:rsid w:val="17F330A7"/>
    <w:rsid w:val="180C7E4B"/>
    <w:rsid w:val="18153469"/>
    <w:rsid w:val="18221F62"/>
    <w:rsid w:val="18267AB6"/>
    <w:rsid w:val="18275A6F"/>
    <w:rsid w:val="182C4850"/>
    <w:rsid w:val="18351C95"/>
    <w:rsid w:val="183E1998"/>
    <w:rsid w:val="18420856"/>
    <w:rsid w:val="184617E8"/>
    <w:rsid w:val="184A7E09"/>
    <w:rsid w:val="184E2D57"/>
    <w:rsid w:val="184E6B8A"/>
    <w:rsid w:val="18510A99"/>
    <w:rsid w:val="18622CA6"/>
    <w:rsid w:val="18644328"/>
    <w:rsid w:val="18702E8D"/>
    <w:rsid w:val="187A4A7C"/>
    <w:rsid w:val="18A701A3"/>
    <w:rsid w:val="18AB448D"/>
    <w:rsid w:val="18AD10AB"/>
    <w:rsid w:val="18B10A6F"/>
    <w:rsid w:val="18CA554E"/>
    <w:rsid w:val="18CC0A2E"/>
    <w:rsid w:val="18D90884"/>
    <w:rsid w:val="18ED4334"/>
    <w:rsid w:val="19037CA8"/>
    <w:rsid w:val="1932711D"/>
    <w:rsid w:val="19471B5D"/>
    <w:rsid w:val="19526877"/>
    <w:rsid w:val="195C5947"/>
    <w:rsid w:val="19741F1B"/>
    <w:rsid w:val="197F57AB"/>
    <w:rsid w:val="19800BD8"/>
    <w:rsid w:val="1987662F"/>
    <w:rsid w:val="19B60574"/>
    <w:rsid w:val="19BD63E6"/>
    <w:rsid w:val="19ED3AC9"/>
    <w:rsid w:val="19ED405B"/>
    <w:rsid w:val="19EE47F1"/>
    <w:rsid w:val="19F246D5"/>
    <w:rsid w:val="19FF2DFF"/>
    <w:rsid w:val="1A0635F7"/>
    <w:rsid w:val="1A0C4C78"/>
    <w:rsid w:val="1A165AF6"/>
    <w:rsid w:val="1A191039"/>
    <w:rsid w:val="1A1A1D9C"/>
    <w:rsid w:val="1A340CCE"/>
    <w:rsid w:val="1A342565"/>
    <w:rsid w:val="1A3E458A"/>
    <w:rsid w:val="1A4C68B1"/>
    <w:rsid w:val="1A514D80"/>
    <w:rsid w:val="1A564145"/>
    <w:rsid w:val="1A5F5409"/>
    <w:rsid w:val="1A6A4C5B"/>
    <w:rsid w:val="1A76530F"/>
    <w:rsid w:val="1A845543"/>
    <w:rsid w:val="1A8B2040"/>
    <w:rsid w:val="1A936646"/>
    <w:rsid w:val="1A9D0E28"/>
    <w:rsid w:val="1AA2382E"/>
    <w:rsid w:val="1AA64AC5"/>
    <w:rsid w:val="1AAC5570"/>
    <w:rsid w:val="1AAD5FFC"/>
    <w:rsid w:val="1AB570BD"/>
    <w:rsid w:val="1ABD2416"/>
    <w:rsid w:val="1ABF7EE9"/>
    <w:rsid w:val="1AD67034"/>
    <w:rsid w:val="1AD944D6"/>
    <w:rsid w:val="1ADA4D76"/>
    <w:rsid w:val="1AE0357D"/>
    <w:rsid w:val="1AE479A2"/>
    <w:rsid w:val="1AF00338"/>
    <w:rsid w:val="1AF5010F"/>
    <w:rsid w:val="1B102545"/>
    <w:rsid w:val="1B331F53"/>
    <w:rsid w:val="1B3855F5"/>
    <w:rsid w:val="1B405118"/>
    <w:rsid w:val="1B50328A"/>
    <w:rsid w:val="1B697783"/>
    <w:rsid w:val="1B723200"/>
    <w:rsid w:val="1B851185"/>
    <w:rsid w:val="1B882A24"/>
    <w:rsid w:val="1B910631"/>
    <w:rsid w:val="1BBE4697"/>
    <w:rsid w:val="1BC31CAE"/>
    <w:rsid w:val="1BD43E68"/>
    <w:rsid w:val="1BE3550C"/>
    <w:rsid w:val="1BE54009"/>
    <w:rsid w:val="1BFD0D1C"/>
    <w:rsid w:val="1C0A51E7"/>
    <w:rsid w:val="1C0E5F9A"/>
    <w:rsid w:val="1C2A6A69"/>
    <w:rsid w:val="1C2F22BE"/>
    <w:rsid w:val="1C393D1E"/>
    <w:rsid w:val="1C3D380E"/>
    <w:rsid w:val="1C435D2B"/>
    <w:rsid w:val="1C54028A"/>
    <w:rsid w:val="1C5803F8"/>
    <w:rsid w:val="1C5A43C0"/>
    <w:rsid w:val="1C767B21"/>
    <w:rsid w:val="1C821675"/>
    <w:rsid w:val="1C8C20A0"/>
    <w:rsid w:val="1C9A65B6"/>
    <w:rsid w:val="1CA218C3"/>
    <w:rsid w:val="1CA62009"/>
    <w:rsid w:val="1CA830E4"/>
    <w:rsid w:val="1CAA7140"/>
    <w:rsid w:val="1CAC48A5"/>
    <w:rsid w:val="1CBC0BD7"/>
    <w:rsid w:val="1CC6257D"/>
    <w:rsid w:val="1CD852E5"/>
    <w:rsid w:val="1CE61863"/>
    <w:rsid w:val="1D0324B7"/>
    <w:rsid w:val="1D295B40"/>
    <w:rsid w:val="1D504EC1"/>
    <w:rsid w:val="1D514153"/>
    <w:rsid w:val="1D556C0B"/>
    <w:rsid w:val="1D5F1562"/>
    <w:rsid w:val="1D651413"/>
    <w:rsid w:val="1D6848BB"/>
    <w:rsid w:val="1D752B34"/>
    <w:rsid w:val="1D7E7C3A"/>
    <w:rsid w:val="1D82304D"/>
    <w:rsid w:val="1D8965DF"/>
    <w:rsid w:val="1D8F2EFE"/>
    <w:rsid w:val="1D9D16A1"/>
    <w:rsid w:val="1DA0206C"/>
    <w:rsid w:val="1DA33D00"/>
    <w:rsid w:val="1DCA7323"/>
    <w:rsid w:val="1DD43CFE"/>
    <w:rsid w:val="1DE5057D"/>
    <w:rsid w:val="1DE66E3C"/>
    <w:rsid w:val="1E14074F"/>
    <w:rsid w:val="1E2107FB"/>
    <w:rsid w:val="1E2F3063"/>
    <w:rsid w:val="1E312EFF"/>
    <w:rsid w:val="1E3156E7"/>
    <w:rsid w:val="1E340060"/>
    <w:rsid w:val="1E4351A9"/>
    <w:rsid w:val="1E560BB7"/>
    <w:rsid w:val="1E5703E7"/>
    <w:rsid w:val="1E583466"/>
    <w:rsid w:val="1E58492F"/>
    <w:rsid w:val="1E5906A7"/>
    <w:rsid w:val="1E595FAA"/>
    <w:rsid w:val="1E6A4797"/>
    <w:rsid w:val="1E7B6870"/>
    <w:rsid w:val="1E8474D2"/>
    <w:rsid w:val="1E8A6B36"/>
    <w:rsid w:val="1E8F51B8"/>
    <w:rsid w:val="1E9D0594"/>
    <w:rsid w:val="1E9E5891"/>
    <w:rsid w:val="1EA840ED"/>
    <w:rsid w:val="1EA91422"/>
    <w:rsid w:val="1EAB15D6"/>
    <w:rsid w:val="1EC42003"/>
    <w:rsid w:val="1EC71AB5"/>
    <w:rsid w:val="1EC900FB"/>
    <w:rsid w:val="1ECA3D89"/>
    <w:rsid w:val="1EDC730E"/>
    <w:rsid w:val="1EDD4E34"/>
    <w:rsid w:val="1EDF4F4C"/>
    <w:rsid w:val="1F070103"/>
    <w:rsid w:val="1F071EB1"/>
    <w:rsid w:val="1F10520A"/>
    <w:rsid w:val="1F2A5B39"/>
    <w:rsid w:val="1F343ECD"/>
    <w:rsid w:val="1F364345"/>
    <w:rsid w:val="1F464C8C"/>
    <w:rsid w:val="1F497D1E"/>
    <w:rsid w:val="1F615A66"/>
    <w:rsid w:val="1F6B4BF4"/>
    <w:rsid w:val="1F777037"/>
    <w:rsid w:val="1F9B6FD8"/>
    <w:rsid w:val="1FAF1D24"/>
    <w:rsid w:val="1FBB33C8"/>
    <w:rsid w:val="1FBF7012"/>
    <w:rsid w:val="1FCC5B65"/>
    <w:rsid w:val="1FCD30FB"/>
    <w:rsid w:val="1FCE481E"/>
    <w:rsid w:val="1FD46237"/>
    <w:rsid w:val="1FD93650"/>
    <w:rsid w:val="1FDB75E8"/>
    <w:rsid w:val="1FDD539E"/>
    <w:rsid w:val="20060769"/>
    <w:rsid w:val="200C2A38"/>
    <w:rsid w:val="201D2831"/>
    <w:rsid w:val="20251F86"/>
    <w:rsid w:val="20303980"/>
    <w:rsid w:val="203767C6"/>
    <w:rsid w:val="20390790"/>
    <w:rsid w:val="203C6C8F"/>
    <w:rsid w:val="20457135"/>
    <w:rsid w:val="204D1ECB"/>
    <w:rsid w:val="20542ED4"/>
    <w:rsid w:val="20853052"/>
    <w:rsid w:val="208A2D9A"/>
    <w:rsid w:val="208C49EB"/>
    <w:rsid w:val="20BD4741"/>
    <w:rsid w:val="20C53AC1"/>
    <w:rsid w:val="20C604A4"/>
    <w:rsid w:val="20C94961"/>
    <w:rsid w:val="21044BB4"/>
    <w:rsid w:val="2123408C"/>
    <w:rsid w:val="212919DC"/>
    <w:rsid w:val="214404DA"/>
    <w:rsid w:val="215018EE"/>
    <w:rsid w:val="21555865"/>
    <w:rsid w:val="21565358"/>
    <w:rsid w:val="21625939"/>
    <w:rsid w:val="2167118E"/>
    <w:rsid w:val="21681A4A"/>
    <w:rsid w:val="216A4942"/>
    <w:rsid w:val="2181419D"/>
    <w:rsid w:val="21820366"/>
    <w:rsid w:val="21955B45"/>
    <w:rsid w:val="21A32365"/>
    <w:rsid w:val="21A61119"/>
    <w:rsid w:val="21B6640A"/>
    <w:rsid w:val="21C44A9A"/>
    <w:rsid w:val="21CD1190"/>
    <w:rsid w:val="21DA7CC0"/>
    <w:rsid w:val="21DC7694"/>
    <w:rsid w:val="21DE1823"/>
    <w:rsid w:val="21E96A39"/>
    <w:rsid w:val="21EF4752"/>
    <w:rsid w:val="22114787"/>
    <w:rsid w:val="2214297D"/>
    <w:rsid w:val="221C0C67"/>
    <w:rsid w:val="221C5C74"/>
    <w:rsid w:val="222114DC"/>
    <w:rsid w:val="22364293"/>
    <w:rsid w:val="2245341D"/>
    <w:rsid w:val="22654AD4"/>
    <w:rsid w:val="22800451"/>
    <w:rsid w:val="228029E3"/>
    <w:rsid w:val="228A7653"/>
    <w:rsid w:val="228C2DF9"/>
    <w:rsid w:val="228D6B72"/>
    <w:rsid w:val="22914B82"/>
    <w:rsid w:val="22973DF5"/>
    <w:rsid w:val="22C14B96"/>
    <w:rsid w:val="22C87E82"/>
    <w:rsid w:val="22CA3922"/>
    <w:rsid w:val="22E20C6B"/>
    <w:rsid w:val="22E569AE"/>
    <w:rsid w:val="22E643FB"/>
    <w:rsid w:val="22E96EBA"/>
    <w:rsid w:val="23051A6C"/>
    <w:rsid w:val="230A7B32"/>
    <w:rsid w:val="23360FB7"/>
    <w:rsid w:val="233A6F3A"/>
    <w:rsid w:val="23563407"/>
    <w:rsid w:val="23601BEF"/>
    <w:rsid w:val="23733D30"/>
    <w:rsid w:val="237613B4"/>
    <w:rsid w:val="237A5348"/>
    <w:rsid w:val="239D7097"/>
    <w:rsid w:val="23A15AFC"/>
    <w:rsid w:val="23A8002A"/>
    <w:rsid w:val="23C37FE8"/>
    <w:rsid w:val="23E17175"/>
    <w:rsid w:val="23EC3936"/>
    <w:rsid w:val="240D0FD0"/>
    <w:rsid w:val="244F2331"/>
    <w:rsid w:val="245931AF"/>
    <w:rsid w:val="24650BDC"/>
    <w:rsid w:val="249917FE"/>
    <w:rsid w:val="24A00233"/>
    <w:rsid w:val="24B369D8"/>
    <w:rsid w:val="24B76505"/>
    <w:rsid w:val="24B9237A"/>
    <w:rsid w:val="24BA197B"/>
    <w:rsid w:val="24D107EE"/>
    <w:rsid w:val="24DC16EA"/>
    <w:rsid w:val="24E20A87"/>
    <w:rsid w:val="24F36206"/>
    <w:rsid w:val="24F82E2F"/>
    <w:rsid w:val="24F922FD"/>
    <w:rsid w:val="24FA2B3A"/>
    <w:rsid w:val="25022BDF"/>
    <w:rsid w:val="25023B8C"/>
    <w:rsid w:val="25042F05"/>
    <w:rsid w:val="25070E5D"/>
    <w:rsid w:val="25076767"/>
    <w:rsid w:val="2513335E"/>
    <w:rsid w:val="25300354"/>
    <w:rsid w:val="2533755C"/>
    <w:rsid w:val="25552D38"/>
    <w:rsid w:val="25816F63"/>
    <w:rsid w:val="25872932"/>
    <w:rsid w:val="259326F1"/>
    <w:rsid w:val="259C77F7"/>
    <w:rsid w:val="25AB17E9"/>
    <w:rsid w:val="25B3069D"/>
    <w:rsid w:val="25B867DE"/>
    <w:rsid w:val="25C042AB"/>
    <w:rsid w:val="25CF341E"/>
    <w:rsid w:val="26030CF3"/>
    <w:rsid w:val="26351C53"/>
    <w:rsid w:val="263938D7"/>
    <w:rsid w:val="26405AAC"/>
    <w:rsid w:val="26470A98"/>
    <w:rsid w:val="265655B6"/>
    <w:rsid w:val="2659283B"/>
    <w:rsid w:val="265C0D35"/>
    <w:rsid w:val="2664637B"/>
    <w:rsid w:val="2679737E"/>
    <w:rsid w:val="268A3AF4"/>
    <w:rsid w:val="26AE69E7"/>
    <w:rsid w:val="26CA45F4"/>
    <w:rsid w:val="26E864D7"/>
    <w:rsid w:val="26EA5501"/>
    <w:rsid w:val="26EA6341"/>
    <w:rsid w:val="26F15921"/>
    <w:rsid w:val="270A0791"/>
    <w:rsid w:val="270E26BE"/>
    <w:rsid w:val="272A05EA"/>
    <w:rsid w:val="2734069D"/>
    <w:rsid w:val="27435A51"/>
    <w:rsid w:val="27443E62"/>
    <w:rsid w:val="2745510F"/>
    <w:rsid w:val="274A2B9A"/>
    <w:rsid w:val="27587063"/>
    <w:rsid w:val="27632F91"/>
    <w:rsid w:val="27764078"/>
    <w:rsid w:val="27773728"/>
    <w:rsid w:val="277B343D"/>
    <w:rsid w:val="277E0D9B"/>
    <w:rsid w:val="277F0F7B"/>
    <w:rsid w:val="277F117F"/>
    <w:rsid w:val="278D1FF6"/>
    <w:rsid w:val="2791110F"/>
    <w:rsid w:val="27932534"/>
    <w:rsid w:val="279369D8"/>
    <w:rsid w:val="27B01338"/>
    <w:rsid w:val="27B353BA"/>
    <w:rsid w:val="27BB1E94"/>
    <w:rsid w:val="27C32E9B"/>
    <w:rsid w:val="27C9064C"/>
    <w:rsid w:val="27D91042"/>
    <w:rsid w:val="27E16097"/>
    <w:rsid w:val="27F0474C"/>
    <w:rsid w:val="27F15C1F"/>
    <w:rsid w:val="27F751B9"/>
    <w:rsid w:val="280A062D"/>
    <w:rsid w:val="281C7CF4"/>
    <w:rsid w:val="283B73C3"/>
    <w:rsid w:val="28494F94"/>
    <w:rsid w:val="284F1723"/>
    <w:rsid w:val="28506BFC"/>
    <w:rsid w:val="287C3613"/>
    <w:rsid w:val="288107A0"/>
    <w:rsid w:val="289522DC"/>
    <w:rsid w:val="28AD37B2"/>
    <w:rsid w:val="28B46C06"/>
    <w:rsid w:val="28B707AA"/>
    <w:rsid w:val="28BB1DD1"/>
    <w:rsid w:val="28CB0334"/>
    <w:rsid w:val="28CD2AC0"/>
    <w:rsid w:val="28D1784F"/>
    <w:rsid w:val="28E8569A"/>
    <w:rsid w:val="28EF6FB9"/>
    <w:rsid w:val="28F25980"/>
    <w:rsid w:val="28F80DC5"/>
    <w:rsid w:val="29051210"/>
    <w:rsid w:val="29323FCF"/>
    <w:rsid w:val="293E4055"/>
    <w:rsid w:val="29422464"/>
    <w:rsid w:val="29457BFB"/>
    <w:rsid w:val="294B208E"/>
    <w:rsid w:val="295502AF"/>
    <w:rsid w:val="298C36DF"/>
    <w:rsid w:val="298E7457"/>
    <w:rsid w:val="29A41545"/>
    <w:rsid w:val="29B366D3"/>
    <w:rsid w:val="29BF5492"/>
    <w:rsid w:val="29C6608A"/>
    <w:rsid w:val="29F64FFC"/>
    <w:rsid w:val="29F8561C"/>
    <w:rsid w:val="2A0A00D9"/>
    <w:rsid w:val="2A1D6A2D"/>
    <w:rsid w:val="2A2A16F0"/>
    <w:rsid w:val="2A2D1913"/>
    <w:rsid w:val="2A346F1F"/>
    <w:rsid w:val="2A505DCE"/>
    <w:rsid w:val="2A585A67"/>
    <w:rsid w:val="2A592E11"/>
    <w:rsid w:val="2A741B24"/>
    <w:rsid w:val="2A8F1914"/>
    <w:rsid w:val="2A9860D6"/>
    <w:rsid w:val="2AA33CB7"/>
    <w:rsid w:val="2AA809EC"/>
    <w:rsid w:val="2AB033FD"/>
    <w:rsid w:val="2AB0456A"/>
    <w:rsid w:val="2AB4611E"/>
    <w:rsid w:val="2AC453A0"/>
    <w:rsid w:val="2ACF02AB"/>
    <w:rsid w:val="2ACF7A1E"/>
    <w:rsid w:val="2AE15CAC"/>
    <w:rsid w:val="2AE23330"/>
    <w:rsid w:val="2AE979D5"/>
    <w:rsid w:val="2AEB3C5A"/>
    <w:rsid w:val="2AEF232A"/>
    <w:rsid w:val="2AF15811"/>
    <w:rsid w:val="2AF97139"/>
    <w:rsid w:val="2AFB05C0"/>
    <w:rsid w:val="2B0674C1"/>
    <w:rsid w:val="2B0A6FB1"/>
    <w:rsid w:val="2B0B655A"/>
    <w:rsid w:val="2B2F367F"/>
    <w:rsid w:val="2B2F4C6A"/>
    <w:rsid w:val="2B435EEF"/>
    <w:rsid w:val="2B5B534A"/>
    <w:rsid w:val="2B720C22"/>
    <w:rsid w:val="2B8E40DC"/>
    <w:rsid w:val="2B935881"/>
    <w:rsid w:val="2BA11021"/>
    <w:rsid w:val="2BA73E61"/>
    <w:rsid w:val="2BAD07CB"/>
    <w:rsid w:val="2BBB09F6"/>
    <w:rsid w:val="2BBB1EC1"/>
    <w:rsid w:val="2BBD4024"/>
    <w:rsid w:val="2BC23F09"/>
    <w:rsid w:val="2BC730F4"/>
    <w:rsid w:val="2BCF5E62"/>
    <w:rsid w:val="2BD0253F"/>
    <w:rsid w:val="2BD91045"/>
    <w:rsid w:val="2BE97C44"/>
    <w:rsid w:val="2BEA62D4"/>
    <w:rsid w:val="2BF5433C"/>
    <w:rsid w:val="2BF93690"/>
    <w:rsid w:val="2BFC7FD4"/>
    <w:rsid w:val="2C016606"/>
    <w:rsid w:val="2C156D9B"/>
    <w:rsid w:val="2C2C11A9"/>
    <w:rsid w:val="2C2F09EC"/>
    <w:rsid w:val="2C625CF0"/>
    <w:rsid w:val="2C750C9C"/>
    <w:rsid w:val="2C7C7776"/>
    <w:rsid w:val="2C82701B"/>
    <w:rsid w:val="2C92725E"/>
    <w:rsid w:val="2C976422"/>
    <w:rsid w:val="2CA94F46"/>
    <w:rsid w:val="2CB03B88"/>
    <w:rsid w:val="2CEB49B0"/>
    <w:rsid w:val="2CF55A62"/>
    <w:rsid w:val="2CF82BFB"/>
    <w:rsid w:val="2D41452D"/>
    <w:rsid w:val="2D491DA8"/>
    <w:rsid w:val="2D5F2735"/>
    <w:rsid w:val="2D6316F5"/>
    <w:rsid w:val="2D65293E"/>
    <w:rsid w:val="2D7352E2"/>
    <w:rsid w:val="2D8F7C42"/>
    <w:rsid w:val="2D965824"/>
    <w:rsid w:val="2D995000"/>
    <w:rsid w:val="2DAA468B"/>
    <w:rsid w:val="2DC37CD2"/>
    <w:rsid w:val="2DD815E9"/>
    <w:rsid w:val="2DFE26D1"/>
    <w:rsid w:val="2E0E6DB8"/>
    <w:rsid w:val="2E67586C"/>
    <w:rsid w:val="2E7F6B12"/>
    <w:rsid w:val="2E9E35E0"/>
    <w:rsid w:val="2EA15DDB"/>
    <w:rsid w:val="2EB368C3"/>
    <w:rsid w:val="2EBC05C2"/>
    <w:rsid w:val="2EBD0E37"/>
    <w:rsid w:val="2EBD1E31"/>
    <w:rsid w:val="2EBD4347"/>
    <w:rsid w:val="2EBE0EC9"/>
    <w:rsid w:val="2EC35DF5"/>
    <w:rsid w:val="2ECB21A5"/>
    <w:rsid w:val="2ED95618"/>
    <w:rsid w:val="2EE17C3F"/>
    <w:rsid w:val="2EE326EF"/>
    <w:rsid w:val="2EF02380"/>
    <w:rsid w:val="2EF17707"/>
    <w:rsid w:val="2EF57EF8"/>
    <w:rsid w:val="2F0E04EF"/>
    <w:rsid w:val="2F1070AD"/>
    <w:rsid w:val="2F146650"/>
    <w:rsid w:val="2F2820FC"/>
    <w:rsid w:val="2F364819"/>
    <w:rsid w:val="2F3960B7"/>
    <w:rsid w:val="2F414F6C"/>
    <w:rsid w:val="2F4228CB"/>
    <w:rsid w:val="2F5E167A"/>
    <w:rsid w:val="2F944666"/>
    <w:rsid w:val="2FA61181"/>
    <w:rsid w:val="2FA72217"/>
    <w:rsid w:val="2FAF353A"/>
    <w:rsid w:val="2FC139AB"/>
    <w:rsid w:val="2FCA7101"/>
    <w:rsid w:val="2FEC137B"/>
    <w:rsid w:val="2FEE5271"/>
    <w:rsid w:val="2FEF2C1A"/>
    <w:rsid w:val="2FF358E5"/>
    <w:rsid w:val="2FF91E1A"/>
    <w:rsid w:val="30030473"/>
    <w:rsid w:val="30152361"/>
    <w:rsid w:val="30174468"/>
    <w:rsid w:val="30182689"/>
    <w:rsid w:val="304939D6"/>
    <w:rsid w:val="304E4885"/>
    <w:rsid w:val="30542A7D"/>
    <w:rsid w:val="30553D25"/>
    <w:rsid w:val="30602A30"/>
    <w:rsid w:val="306053DE"/>
    <w:rsid w:val="30653C62"/>
    <w:rsid w:val="30775F83"/>
    <w:rsid w:val="307A49E5"/>
    <w:rsid w:val="30A3374A"/>
    <w:rsid w:val="30A5138C"/>
    <w:rsid w:val="30B17ECF"/>
    <w:rsid w:val="30B73737"/>
    <w:rsid w:val="30B74652"/>
    <w:rsid w:val="30C00A25"/>
    <w:rsid w:val="30CA0EE9"/>
    <w:rsid w:val="30D17478"/>
    <w:rsid w:val="30D176E0"/>
    <w:rsid w:val="30D22704"/>
    <w:rsid w:val="30F46739"/>
    <w:rsid w:val="30FC4759"/>
    <w:rsid w:val="30FE1366"/>
    <w:rsid w:val="3103697D"/>
    <w:rsid w:val="311E5564"/>
    <w:rsid w:val="311E7E5A"/>
    <w:rsid w:val="31280C00"/>
    <w:rsid w:val="313C3DA5"/>
    <w:rsid w:val="315076E8"/>
    <w:rsid w:val="31570A76"/>
    <w:rsid w:val="31786C76"/>
    <w:rsid w:val="318850D4"/>
    <w:rsid w:val="319475D5"/>
    <w:rsid w:val="31A23411"/>
    <w:rsid w:val="31B04B94"/>
    <w:rsid w:val="31B30944"/>
    <w:rsid w:val="31B65786"/>
    <w:rsid w:val="31C511BC"/>
    <w:rsid w:val="31C815BD"/>
    <w:rsid w:val="31CA3E7E"/>
    <w:rsid w:val="31D62629"/>
    <w:rsid w:val="31D66F01"/>
    <w:rsid w:val="31D96738"/>
    <w:rsid w:val="31F04B2D"/>
    <w:rsid w:val="320A148D"/>
    <w:rsid w:val="320C7AB3"/>
    <w:rsid w:val="32180206"/>
    <w:rsid w:val="321A1D54"/>
    <w:rsid w:val="321C62EF"/>
    <w:rsid w:val="32221084"/>
    <w:rsid w:val="32247147"/>
    <w:rsid w:val="322E257B"/>
    <w:rsid w:val="32317519"/>
    <w:rsid w:val="323D31E1"/>
    <w:rsid w:val="323F269D"/>
    <w:rsid w:val="32487A4D"/>
    <w:rsid w:val="324C6101"/>
    <w:rsid w:val="324E5095"/>
    <w:rsid w:val="327F403E"/>
    <w:rsid w:val="32880DCE"/>
    <w:rsid w:val="328A6C2A"/>
    <w:rsid w:val="328C5757"/>
    <w:rsid w:val="328D4906"/>
    <w:rsid w:val="32A25D21"/>
    <w:rsid w:val="32AB5E44"/>
    <w:rsid w:val="32BD3A5C"/>
    <w:rsid w:val="32CE668A"/>
    <w:rsid w:val="32D95982"/>
    <w:rsid w:val="32DA22BD"/>
    <w:rsid w:val="32E0684A"/>
    <w:rsid w:val="32ED7014"/>
    <w:rsid w:val="32FA1F04"/>
    <w:rsid w:val="33044C2E"/>
    <w:rsid w:val="33123327"/>
    <w:rsid w:val="33272EB3"/>
    <w:rsid w:val="33296443"/>
    <w:rsid w:val="33310A59"/>
    <w:rsid w:val="333450F4"/>
    <w:rsid w:val="33500F39"/>
    <w:rsid w:val="3353526D"/>
    <w:rsid w:val="33574CDF"/>
    <w:rsid w:val="335D7E9A"/>
    <w:rsid w:val="336262ED"/>
    <w:rsid w:val="336D27D3"/>
    <w:rsid w:val="33775400"/>
    <w:rsid w:val="337F6063"/>
    <w:rsid w:val="338F274A"/>
    <w:rsid w:val="338F44F8"/>
    <w:rsid w:val="33E27402"/>
    <w:rsid w:val="33E671C5"/>
    <w:rsid w:val="33F7209D"/>
    <w:rsid w:val="34120113"/>
    <w:rsid w:val="342A4121"/>
    <w:rsid w:val="343B7960"/>
    <w:rsid w:val="3442156A"/>
    <w:rsid w:val="344B1D12"/>
    <w:rsid w:val="344C23E9"/>
    <w:rsid w:val="34573442"/>
    <w:rsid w:val="34591787"/>
    <w:rsid w:val="34675474"/>
    <w:rsid w:val="347831DE"/>
    <w:rsid w:val="34810E85"/>
    <w:rsid w:val="348D5B0F"/>
    <w:rsid w:val="34996126"/>
    <w:rsid w:val="34A62C4B"/>
    <w:rsid w:val="34A8314F"/>
    <w:rsid w:val="34AF5E9D"/>
    <w:rsid w:val="34B166F0"/>
    <w:rsid w:val="34B82BA6"/>
    <w:rsid w:val="34CA155F"/>
    <w:rsid w:val="34CB23CC"/>
    <w:rsid w:val="34D003F3"/>
    <w:rsid w:val="34DD6C8D"/>
    <w:rsid w:val="34F565DC"/>
    <w:rsid w:val="34FE035F"/>
    <w:rsid w:val="35081822"/>
    <w:rsid w:val="350D5450"/>
    <w:rsid w:val="351033B6"/>
    <w:rsid w:val="35163581"/>
    <w:rsid w:val="351709D5"/>
    <w:rsid w:val="353678DB"/>
    <w:rsid w:val="353F5AA9"/>
    <w:rsid w:val="35541A83"/>
    <w:rsid w:val="35643762"/>
    <w:rsid w:val="356577F5"/>
    <w:rsid w:val="35667A04"/>
    <w:rsid w:val="35681C00"/>
    <w:rsid w:val="35884863"/>
    <w:rsid w:val="35910787"/>
    <w:rsid w:val="35A072C3"/>
    <w:rsid w:val="35A52F95"/>
    <w:rsid w:val="35B26DE2"/>
    <w:rsid w:val="35C97A69"/>
    <w:rsid w:val="35DA3A24"/>
    <w:rsid w:val="35F5260C"/>
    <w:rsid w:val="35F66AB0"/>
    <w:rsid w:val="360D5EF3"/>
    <w:rsid w:val="36102196"/>
    <w:rsid w:val="361B3B10"/>
    <w:rsid w:val="361E2E13"/>
    <w:rsid w:val="362334A3"/>
    <w:rsid w:val="362B3081"/>
    <w:rsid w:val="363650FE"/>
    <w:rsid w:val="36392E40"/>
    <w:rsid w:val="363960BE"/>
    <w:rsid w:val="3639699D"/>
    <w:rsid w:val="3659354E"/>
    <w:rsid w:val="365A3B14"/>
    <w:rsid w:val="36625EF3"/>
    <w:rsid w:val="36743E79"/>
    <w:rsid w:val="368C4D1E"/>
    <w:rsid w:val="36985DB9"/>
    <w:rsid w:val="36A54032"/>
    <w:rsid w:val="36AE2339"/>
    <w:rsid w:val="36AF3103"/>
    <w:rsid w:val="36CC1EA5"/>
    <w:rsid w:val="36E276CE"/>
    <w:rsid w:val="36E94DEA"/>
    <w:rsid w:val="3702282A"/>
    <w:rsid w:val="3718575F"/>
    <w:rsid w:val="37403D5B"/>
    <w:rsid w:val="374A5F86"/>
    <w:rsid w:val="374B0E58"/>
    <w:rsid w:val="37663CCA"/>
    <w:rsid w:val="37677539"/>
    <w:rsid w:val="37863BE1"/>
    <w:rsid w:val="379453FA"/>
    <w:rsid w:val="379C3687"/>
    <w:rsid w:val="37D27E99"/>
    <w:rsid w:val="37DB688A"/>
    <w:rsid w:val="37E2586B"/>
    <w:rsid w:val="37E83616"/>
    <w:rsid w:val="37EA7BDA"/>
    <w:rsid w:val="38166A4B"/>
    <w:rsid w:val="381A624A"/>
    <w:rsid w:val="38280AAF"/>
    <w:rsid w:val="383246FE"/>
    <w:rsid w:val="3837515E"/>
    <w:rsid w:val="383A3EFD"/>
    <w:rsid w:val="383E473E"/>
    <w:rsid w:val="38435389"/>
    <w:rsid w:val="384D2BD3"/>
    <w:rsid w:val="384F0B15"/>
    <w:rsid w:val="385266D4"/>
    <w:rsid w:val="38563836"/>
    <w:rsid w:val="38614F7A"/>
    <w:rsid w:val="38746E9D"/>
    <w:rsid w:val="38795F89"/>
    <w:rsid w:val="389A0BB8"/>
    <w:rsid w:val="389A2C4B"/>
    <w:rsid w:val="38A03BE5"/>
    <w:rsid w:val="38AD2580"/>
    <w:rsid w:val="38BF56B5"/>
    <w:rsid w:val="38CB100D"/>
    <w:rsid w:val="38CC7F9C"/>
    <w:rsid w:val="38E2016C"/>
    <w:rsid w:val="39072D82"/>
    <w:rsid w:val="390F0511"/>
    <w:rsid w:val="3911775D"/>
    <w:rsid w:val="39282F40"/>
    <w:rsid w:val="39301066"/>
    <w:rsid w:val="393D3428"/>
    <w:rsid w:val="39412FFB"/>
    <w:rsid w:val="395D0BF4"/>
    <w:rsid w:val="396379DA"/>
    <w:rsid w:val="3987227C"/>
    <w:rsid w:val="398A2D95"/>
    <w:rsid w:val="399B34CA"/>
    <w:rsid w:val="39A35C93"/>
    <w:rsid w:val="39CF5B67"/>
    <w:rsid w:val="39D45233"/>
    <w:rsid w:val="39E26126"/>
    <w:rsid w:val="3A0120A0"/>
    <w:rsid w:val="3A0B68A2"/>
    <w:rsid w:val="3A0D26BE"/>
    <w:rsid w:val="3A0D6176"/>
    <w:rsid w:val="3A192903"/>
    <w:rsid w:val="3A332A11"/>
    <w:rsid w:val="3A3A18BA"/>
    <w:rsid w:val="3A3B214F"/>
    <w:rsid w:val="3A4502AF"/>
    <w:rsid w:val="3A4502D3"/>
    <w:rsid w:val="3A512D5B"/>
    <w:rsid w:val="3A611FAB"/>
    <w:rsid w:val="3A773F37"/>
    <w:rsid w:val="3A7E7074"/>
    <w:rsid w:val="3A914FF9"/>
    <w:rsid w:val="3A950DEE"/>
    <w:rsid w:val="3AA47F5E"/>
    <w:rsid w:val="3AAB4F0C"/>
    <w:rsid w:val="3AB15804"/>
    <w:rsid w:val="3AC32E01"/>
    <w:rsid w:val="3AC3717D"/>
    <w:rsid w:val="3ACE1D17"/>
    <w:rsid w:val="3AD604B2"/>
    <w:rsid w:val="3AD762C0"/>
    <w:rsid w:val="3AD91407"/>
    <w:rsid w:val="3ADC5695"/>
    <w:rsid w:val="3ADE7751"/>
    <w:rsid w:val="3AE27603"/>
    <w:rsid w:val="3AEF7F72"/>
    <w:rsid w:val="3AF33F15"/>
    <w:rsid w:val="3AFC1371"/>
    <w:rsid w:val="3B0F0488"/>
    <w:rsid w:val="3B221CCD"/>
    <w:rsid w:val="3B2A6703"/>
    <w:rsid w:val="3B345CD5"/>
    <w:rsid w:val="3B3911ED"/>
    <w:rsid w:val="3B516536"/>
    <w:rsid w:val="3B563B4D"/>
    <w:rsid w:val="3B5F6BA9"/>
    <w:rsid w:val="3B653D90"/>
    <w:rsid w:val="3B6E0E96"/>
    <w:rsid w:val="3B6E6CCC"/>
    <w:rsid w:val="3B753C60"/>
    <w:rsid w:val="3B7B5DCD"/>
    <w:rsid w:val="3B807EE0"/>
    <w:rsid w:val="3B954675"/>
    <w:rsid w:val="3B9A5412"/>
    <w:rsid w:val="3BAC27EF"/>
    <w:rsid w:val="3BBA40DC"/>
    <w:rsid w:val="3BE63153"/>
    <w:rsid w:val="3BE702E9"/>
    <w:rsid w:val="3BF63188"/>
    <w:rsid w:val="3BFD046C"/>
    <w:rsid w:val="3C047A4D"/>
    <w:rsid w:val="3C0B36C2"/>
    <w:rsid w:val="3C0D65B5"/>
    <w:rsid w:val="3C152DBD"/>
    <w:rsid w:val="3C2401AC"/>
    <w:rsid w:val="3C2679C3"/>
    <w:rsid w:val="3C340332"/>
    <w:rsid w:val="3C526A0A"/>
    <w:rsid w:val="3C5D7B3F"/>
    <w:rsid w:val="3C690932"/>
    <w:rsid w:val="3C690EC5"/>
    <w:rsid w:val="3C78767E"/>
    <w:rsid w:val="3C8D5CD9"/>
    <w:rsid w:val="3C920BB5"/>
    <w:rsid w:val="3CA95F37"/>
    <w:rsid w:val="3CAB200D"/>
    <w:rsid w:val="3CAD5178"/>
    <w:rsid w:val="3CBF1256"/>
    <w:rsid w:val="3CC05722"/>
    <w:rsid w:val="3CCE6E7F"/>
    <w:rsid w:val="3CE51CD2"/>
    <w:rsid w:val="3CE65A62"/>
    <w:rsid w:val="3D0C4E0B"/>
    <w:rsid w:val="3D0E59FD"/>
    <w:rsid w:val="3D13230B"/>
    <w:rsid w:val="3D1371E5"/>
    <w:rsid w:val="3D265478"/>
    <w:rsid w:val="3D2F3946"/>
    <w:rsid w:val="3D31661F"/>
    <w:rsid w:val="3D521369"/>
    <w:rsid w:val="3D5505F1"/>
    <w:rsid w:val="3D69400B"/>
    <w:rsid w:val="3D7F55DD"/>
    <w:rsid w:val="3D806841"/>
    <w:rsid w:val="3D820C29"/>
    <w:rsid w:val="3D8576F4"/>
    <w:rsid w:val="3D87623F"/>
    <w:rsid w:val="3D8C3E06"/>
    <w:rsid w:val="3D8F4CC1"/>
    <w:rsid w:val="3D963233"/>
    <w:rsid w:val="3DBA4867"/>
    <w:rsid w:val="3DC41976"/>
    <w:rsid w:val="3DEE02F5"/>
    <w:rsid w:val="3E094AA6"/>
    <w:rsid w:val="3E114195"/>
    <w:rsid w:val="3E1201FF"/>
    <w:rsid w:val="3E1321C9"/>
    <w:rsid w:val="3E1C4E5F"/>
    <w:rsid w:val="3E1F1FE5"/>
    <w:rsid w:val="3E592176"/>
    <w:rsid w:val="3E5D51F2"/>
    <w:rsid w:val="3E657DC2"/>
    <w:rsid w:val="3E704F26"/>
    <w:rsid w:val="3E730BBA"/>
    <w:rsid w:val="3E7B0405"/>
    <w:rsid w:val="3E92628C"/>
    <w:rsid w:val="3E9F580B"/>
    <w:rsid w:val="3EA51073"/>
    <w:rsid w:val="3EB56DDC"/>
    <w:rsid w:val="3EC72686"/>
    <w:rsid w:val="3EDB446B"/>
    <w:rsid w:val="3EE15E23"/>
    <w:rsid w:val="3EFA15B8"/>
    <w:rsid w:val="3F171845"/>
    <w:rsid w:val="3F25228E"/>
    <w:rsid w:val="3F2D6C63"/>
    <w:rsid w:val="3F34294E"/>
    <w:rsid w:val="3F4915A0"/>
    <w:rsid w:val="3F553594"/>
    <w:rsid w:val="3F5716B8"/>
    <w:rsid w:val="3F70575A"/>
    <w:rsid w:val="3F780536"/>
    <w:rsid w:val="3F7D701E"/>
    <w:rsid w:val="3F8B68C3"/>
    <w:rsid w:val="3F8C2250"/>
    <w:rsid w:val="3F8E1B07"/>
    <w:rsid w:val="3F9172A5"/>
    <w:rsid w:val="3F976865"/>
    <w:rsid w:val="3FB3156E"/>
    <w:rsid w:val="3FBA6DA0"/>
    <w:rsid w:val="3FBE06F9"/>
    <w:rsid w:val="3FBF0A51"/>
    <w:rsid w:val="3FC1581B"/>
    <w:rsid w:val="3FCC0B73"/>
    <w:rsid w:val="3FD768E8"/>
    <w:rsid w:val="3FE07E89"/>
    <w:rsid w:val="3FE106BC"/>
    <w:rsid w:val="3FEE1CCB"/>
    <w:rsid w:val="3FF50AC6"/>
    <w:rsid w:val="3FFD4EDF"/>
    <w:rsid w:val="3FFF47B3"/>
    <w:rsid w:val="4000052B"/>
    <w:rsid w:val="400022D9"/>
    <w:rsid w:val="40037F57"/>
    <w:rsid w:val="4013025E"/>
    <w:rsid w:val="401D3A10"/>
    <w:rsid w:val="40270B72"/>
    <w:rsid w:val="403A3A3D"/>
    <w:rsid w:val="404A6004"/>
    <w:rsid w:val="404E5415"/>
    <w:rsid w:val="40582115"/>
    <w:rsid w:val="405F16F6"/>
    <w:rsid w:val="409A2278"/>
    <w:rsid w:val="40A34EB3"/>
    <w:rsid w:val="40A36B75"/>
    <w:rsid w:val="40A64D91"/>
    <w:rsid w:val="40B56F5A"/>
    <w:rsid w:val="40C8161F"/>
    <w:rsid w:val="40CE5B0D"/>
    <w:rsid w:val="40D91D0E"/>
    <w:rsid w:val="40E25782"/>
    <w:rsid w:val="40E63BC5"/>
    <w:rsid w:val="40F30B64"/>
    <w:rsid w:val="41010699"/>
    <w:rsid w:val="410743E2"/>
    <w:rsid w:val="41144022"/>
    <w:rsid w:val="41175B2C"/>
    <w:rsid w:val="411E081A"/>
    <w:rsid w:val="41201061"/>
    <w:rsid w:val="41212D65"/>
    <w:rsid w:val="41292928"/>
    <w:rsid w:val="412A1D04"/>
    <w:rsid w:val="412D1161"/>
    <w:rsid w:val="41350BBA"/>
    <w:rsid w:val="41415E2F"/>
    <w:rsid w:val="41676AB4"/>
    <w:rsid w:val="41932688"/>
    <w:rsid w:val="419521CA"/>
    <w:rsid w:val="41961147"/>
    <w:rsid w:val="41AE11D8"/>
    <w:rsid w:val="41B01237"/>
    <w:rsid w:val="41B82A22"/>
    <w:rsid w:val="41D969E2"/>
    <w:rsid w:val="41EE0C01"/>
    <w:rsid w:val="42085A83"/>
    <w:rsid w:val="420C1409"/>
    <w:rsid w:val="421767B3"/>
    <w:rsid w:val="4229717F"/>
    <w:rsid w:val="423D15C3"/>
    <w:rsid w:val="42445EB8"/>
    <w:rsid w:val="424F23FB"/>
    <w:rsid w:val="42657940"/>
    <w:rsid w:val="426A3C06"/>
    <w:rsid w:val="42701998"/>
    <w:rsid w:val="42704823"/>
    <w:rsid w:val="427E2963"/>
    <w:rsid w:val="4294104B"/>
    <w:rsid w:val="429F3D9F"/>
    <w:rsid w:val="42A737D8"/>
    <w:rsid w:val="42DC2DC1"/>
    <w:rsid w:val="431247FD"/>
    <w:rsid w:val="43236A0A"/>
    <w:rsid w:val="432B3B11"/>
    <w:rsid w:val="43346CE3"/>
    <w:rsid w:val="43600DFA"/>
    <w:rsid w:val="437454B8"/>
    <w:rsid w:val="43786CAA"/>
    <w:rsid w:val="43823BC3"/>
    <w:rsid w:val="438C1AC6"/>
    <w:rsid w:val="439745DC"/>
    <w:rsid w:val="439D4922"/>
    <w:rsid w:val="43A37B4B"/>
    <w:rsid w:val="43B41D58"/>
    <w:rsid w:val="43CC70A2"/>
    <w:rsid w:val="43CE2E1A"/>
    <w:rsid w:val="43E209AA"/>
    <w:rsid w:val="43EF240E"/>
    <w:rsid w:val="4404683C"/>
    <w:rsid w:val="44095841"/>
    <w:rsid w:val="4415745D"/>
    <w:rsid w:val="44204EDB"/>
    <w:rsid w:val="443D2C73"/>
    <w:rsid w:val="44511355"/>
    <w:rsid w:val="44515627"/>
    <w:rsid w:val="445A0F39"/>
    <w:rsid w:val="446265FA"/>
    <w:rsid w:val="446813FF"/>
    <w:rsid w:val="44846754"/>
    <w:rsid w:val="44957B12"/>
    <w:rsid w:val="449A0F4E"/>
    <w:rsid w:val="44A44B90"/>
    <w:rsid w:val="44A9121B"/>
    <w:rsid w:val="44AC68BC"/>
    <w:rsid w:val="44B54414"/>
    <w:rsid w:val="44C47D79"/>
    <w:rsid w:val="44C83D5A"/>
    <w:rsid w:val="44DF0A86"/>
    <w:rsid w:val="44E11AC7"/>
    <w:rsid w:val="44F72935"/>
    <w:rsid w:val="44FB6637"/>
    <w:rsid w:val="44FE5207"/>
    <w:rsid w:val="450F36EA"/>
    <w:rsid w:val="451842CE"/>
    <w:rsid w:val="451B42BA"/>
    <w:rsid w:val="4520770C"/>
    <w:rsid w:val="45453B44"/>
    <w:rsid w:val="455C4D86"/>
    <w:rsid w:val="45786D27"/>
    <w:rsid w:val="458561D8"/>
    <w:rsid w:val="458F482B"/>
    <w:rsid w:val="4596528E"/>
    <w:rsid w:val="45A57BAB"/>
    <w:rsid w:val="45AE758E"/>
    <w:rsid w:val="45BB117C"/>
    <w:rsid w:val="45CA37B0"/>
    <w:rsid w:val="45DE3658"/>
    <w:rsid w:val="46004DE1"/>
    <w:rsid w:val="46063770"/>
    <w:rsid w:val="460F1B7D"/>
    <w:rsid w:val="462211FB"/>
    <w:rsid w:val="462638EC"/>
    <w:rsid w:val="46297554"/>
    <w:rsid w:val="462C5BD6"/>
    <w:rsid w:val="462F5CC5"/>
    <w:rsid w:val="46357180"/>
    <w:rsid w:val="463866AD"/>
    <w:rsid w:val="46427792"/>
    <w:rsid w:val="464F7B16"/>
    <w:rsid w:val="46606CF7"/>
    <w:rsid w:val="466C69CD"/>
    <w:rsid w:val="467822BB"/>
    <w:rsid w:val="4682613E"/>
    <w:rsid w:val="468E4910"/>
    <w:rsid w:val="46A35ADB"/>
    <w:rsid w:val="46B41679"/>
    <w:rsid w:val="46B547C6"/>
    <w:rsid w:val="46BC1650"/>
    <w:rsid w:val="46D51B9B"/>
    <w:rsid w:val="46ED01D3"/>
    <w:rsid w:val="46FF2A7C"/>
    <w:rsid w:val="470A5822"/>
    <w:rsid w:val="471928C4"/>
    <w:rsid w:val="471C70C6"/>
    <w:rsid w:val="471D77D7"/>
    <w:rsid w:val="47232D85"/>
    <w:rsid w:val="472D4FA9"/>
    <w:rsid w:val="473041FB"/>
    <w:rsid w:val="47363DD3"/>
    <w:rsid w:val="473A2575"/>
    <w:rsid w:val="473B507D"/>
    <w:rsid w:val="474D6260"/>
    <w:rsid w:val="47527C17"/>
    <w:rsid w:val="47643176"/>
    <w:rsid w:val="477B4524"/>
    <w:rsid w:val="478A7FB9"/>
    <w:rsid w:val="479733DA"/>
    <w:rsid w:val="479912F6"/>
    <w:rsid w:val="47A0687C"/>
    <w:rsid w:val="47B1448E"/>
    <w:rsid w:val="47C84024"/>
    <w:rsid w:val="47CB7C1B"/>
    <w:rsid w:val="47D12ED9"/>
    <w:rsid w:val="47EC7B16"/>
    <w:rsid w:val="47F353EF"/>
    <w:rsid w:val="4800731A"/>
    <w:rsid w:val="480F755D"/>
    <w:rsid w:val="4812530C"/>
    <w:rsid w:val="481C2043"/>
    <w:rsid w:val="48270588"/>
    <w:rsid w:val="48343468"/>
    <w:rsid w:val="48413862"/>
    <w:rsid w:val="48496F13"/>
    <w:rsid w:val="48644E4E"/>
    <w:rsid w:val="486755EB"/>
    <w:rsid w:val="4883492F"/>
    <w:rsid w:val="489E2A01"/>
    <w:rsid w:val="48AD51DE"/>
    <w:rsid w:val="48C66FA3"/>
    <w:rsid w:val="48D228E2"/>
    <w:rsid w:val="48D9339D"/>
    <w:rsid w:val="48EC083D"/>
    <w:rsid w:val="48EE1869"/>
    <w:rsid w:val="48F30C2D"/>
    <w:rsid w:val="48F70D0F"/>
    <w:rsid w:val="48FA020D"/>
    <w:rsid w:val="48FD5F50"/>
    <w:rsid w:val="49025314"/>
    <w:rsid w:val="49164922"/>
    <w:rsid w:val="49183A5B"/>
    <w:rsid w:val="49221512"/>
    <w:rsid w:val="49302A33"/>
    <w:rsid w:val="493052BE"/>
    <w:rsid w:val="49575660"/>
    <w:rsid w:val="496E625F"/>
    <w:rsid w:val="49731D6E"/>
    <w:rsid w:val="49973CAE"/>
    <w:rsid w:val="49B05835"/>
    <w:rsid w:val="49B40D0D"/>
    <w:rsid w:val="49B65F41"/>
    <w:rsid w:val="49C37385"/>
    <w:rsid w:val="49C83E68"/>
    <w:rsid w:val="49D86328"/>
    <w:rsid w:val="49DB3642"/>
    <w:rsid w:val="49DC3DB7"/>
    <w:rsid w:val="49DC7913"/>
    <w:rsid w:val="49E52C6C"/>
    <w:rsid w:val="49E8275C"/>
    <w:rsid w:val="49F05507"/>
    <w:rsid w:val="49F5407C"/>
    <w:rsid w:val="4A042BE1"/>
    <w:rsid w:val="4A09526D"/>
    <w:rsid w:val="4A0C6F5E"/>
    <w:rsid w:val="4A0D21C2"/>
    <w:rsid w:val="4A183041"/>
    <w:rsid w:val="4A327BEB"/>
    <w:rsid w:val="4A431740"/>
    <w:rsid w:val="4A4A4EB7"/>
    <w:rsid w:val="4A4E3FAE"/>
    <w:rsid w:val="4A5D0A54"/>
    <w:rsid w:val="4A630034"/>
    <w:rsid w:val="4A644D22"/>
    <w:rsid w:val="4A6702C4"/>
    <w:rsid w:val="4AC05DF2"/>
    <w:rsid w:val="4AC960E9"/>
    <w:rsid w:val="4ACB6250"/>
    <w:rsid w:val="4ACF04C3"/>
    <w:rsid w:val="4ADE560A"/>
    <w:rsid w:val="4ADF3453"/>
    <w:rsid w:val="4AE507A1"/>
    <w:rsid w:val="4AFD2237"/>
    <w:rsid w:val="4B2C4CA9"/>
    <w:rsid w:val="4B5F178F"/>
    <w:rsid w:val="4B683B54"/>
    <w:rsid w:val="4B75781C"/>
    <w:rsid w:val="4B7B3B66"/>
    <w:rsid w:val="4B9A5932"/>
    <w:rsid w:val="4BA17D02"/>
    <w:rsid w:val="4BD847DE"/>
    <w:rsid w:val="4BE625D7"/>
    <w:rsid w:val="4BE9741E"/>
    <w:rsid w:val="4BEB5919"/>
    <w:rsid w:val="4BEB7082"/>
    <w:rsid w:val="4BF002C3"/>
    <w:rsid w:val="4BF82AC8"/>
    <w:rsid w:val="4C0A0767"/>
    <w:rsid w:val="4C497047"/>
    <w:rsid w:val="4C4C55F3"/>
    <w:rsid w:val="4C574A64"/>
    <w:rsid w:val="4C6007E8"/>
    <w:rsid w:val="4C627336"/>
    <w:rsid w:val="4C6D6F48"/>
    <w:rsid w:val="4C874014"/>
    <w:rsid w:val="4CA04404"/>
    <w:rsid w:val="4CC230B2"/>
    <w:rsid w:val="4CDC3C81"/>
    <w:rsid w:val="4CDD7C2A"/>
    <w:rsid w:val="4CE23492"/>
    <w:rsid w:val="4CF812F5"/>
    <w:rsid w:val="4D021D86"/>
    <w:rsid w:val="4D1B616D"/>
    <w:rsid w:val="4D1D271C"/>
    <w:rsid w:val="4D244F88"/>
    <w:rsid w:val="4D297313"/>
    <w:rsid w:val="4D340E67"/>
    <w:rsid w:val="4D5430C0"/>
    <w:rsid w:val="4D577F03"/>
    <w:rsid w:val="4D582B9B"/>
    <w:rsid w:val="4D645DEF"/>
    <w:rsid w:val="4D6D371C"/>
    <w:rsid w:val="4D6D73B6"/>
    <w:rsid w:val="4D717EAF"/>
    <w:rsid w:val="4D7B10C6"/>
    <w:rsid w:val="4D7F38AC"/>
    <w:rsid w:val="4D9F1383"/>
    <w:rsid w:val="4DA51263"/>
    <w:rsid w:val="4DC4703C"/>
    <w:rsid w:val="4DC82688"/>
    <w:rsid w:val="4DF07DEB"/>
    <w:rsid w:val="4DF53699"/>
    <w:rsid w:val="4DF711BF"/>
    <w:rsid w:val="4DF95DA2"/>
    <w:rsid w:val="4E037B64"/>
    <w:rsid w:val="4E0563E4"/>
    <w:rsid w:val="4E0B0095"/>
    <w:rsid w:val="4E1B2BB7"/>
    <w:rsid w:val="4E222111"/>
    <w:rsid w:val="4E233D62"/>
    <w:rsid w:val="4E3A067C"/>
    <w:rsid w:val="4E684863"/>
    <w:rsid w:val="4E6A78E3"/>
    <w:rsid w:val="4E8E2A2B"/>
    <w:rsid w:val="4EA0685E"/>
    <w:rsid w:val="4EAD187E"/>
    <w:rsid w:val="4EB16CE3"/>
    <w:rsid w:val="4EB30194"/>
    <w:rsid w:val="4EB57122"/>
    <w:rsid w:val="4EC929D3"/>
    <w:rsid w:val="4ED10135"/>
    <w:rsid w:val="4ED432AF"/>
    <w:rsid w:val="4EE72B70"/>
    <w:rsid w:val="4EE843D4"/>
    <w:rsid w:val="4EEF48BB"/>
    <w:rsid w:val="4EF764DC"/>
    <w:rsid w:val="4EFE4AF3"/>
    <w:rsid w:val="4F023AA8"/>
    <w:rsid w:val="4F0516BA"/>
    <w:rsid w:val="4F25320A"/>
    <w:rsid w:val="4F267E99"/>
    <w:rsid w:val="4F371CE6"/>
    <w:rsid w:val="4F4556EA"/>
    <w:rsid w:val="4F560168"/>
    <w:rsid w:val="4F767311"/>
    <w:rsid w:val="4F7C6D36"/>
    <w:rsid w:val="4F805660"/>
    <w:rsid w:val="4F850ABA"/>
    <w:rsid w:val="4F87507A"/>
    <w:rsid w:val="4F8A3F9A"/>
    <w:rsid w:val="4F927957"/>
    <w:rsid w:val="4FA02596"/>
    <w:rsid w:val="4FA709C3"/>
    <w:rsid w:val="4FB61E2F"/>
    <w:rsid w:val="4FC16792"/>
    <w:rsid w:val="4FC95B04"/>
    <w:rsid w:val="4FD07F1A"/>
    <w:rsid w:val="4FFC0D0F"/>
    <w:rsid w:val="50026C49"/>
    <w:rsid w:val="500407EF"/>
    <w:rsid w:val="500C6FB5"/>
    <w:rsid w:val="5023629C"/>
    <w:rsid w:val="5025650A"/>
    <w:rsid w:val="50267B3A"/>
    <w:rsid w:val="50377F99"/>
    <w:rsid w:val="50622F2F"/>
    <w:rsid w:val="50633C92"/>
    <w:rsid w:val="506D7517"/>
    <w:rsid w:val="50780BC9"/>
    <w:rsid w:val="50812FC2"/>
    <w:rsid w:val="50847B11"/>
    <w:rsid w:val="50894ED7"/>
    <w:rsid w:val="50A251B3"/>
    <w:rsid w:val="50DB0924"/>
    <w:rsid w:val="50E023DF"/>
    <w:rsid w:val="50E35A2B"/>
    <w:rsid w:val="5100038B"/>
    <w:rsid w:val="511B2CDA"/>
    <w:rsid w:val="511C4B42"/>
    <w:rsid w:val="511F4380"/>
    <w:rsid w:val="51234079"/>
    <w:rsid w:val="51312C3A"/>
    <w:rsid w:val="514209A3"/>
    <w:rsid w:val="51427253"/>
    <w:rsid w:val="51554755"/>
    <w:rsid w:val="515F7554"/>
    <w:rsid w:val="51600E2A"/>
    <w:rsid w:val="517F7502"/>
    <w:rsid w:val="519B6306"/>
    <w:rsid w:val="51B8369A"/>
    <w:rsid w:val="51D54B16"/>
    <w:rsid w:val="51F9160E"/>
    <w:rsid w:val="520E2D4A"/>
    <w:rsid w:val="521C4DB0"/>
    <w:rsid w:val="522F38A0"/>
    <w:rsid w:val="523B547F"/>
    <w:rsid w:val="523C1897"/>
    <w:rsid w:val="525C7843"/>
    <w:rsid w:val="52625B38"/>
    <w:rsid w:val="526A4EF1"/>
    <w:rsid w:val="526F12AE"/>
    <w:rsid w:val="527D7C9D"/>
    <w:rsid w:val="528172AA"/>
    <w:rsid w:val="52946FDD"/>
    <w:rsid w:val="52962B90"/>
    <w:rsid w:val="52A535DD"/>
    <w:rsid w:val="52A60ABA"/>
    <w:rsid w:val="52AA45E5"/>
    <w:rsid w:val="52BB4769"/>
    <w:rsid w:val="52C04276"/>
    <w:rsid w:val="52C2099A"/>
    <w:rsid w:val="52DF030A"/>
    <w:rsid w:val="52E200A2"/>
    <w:rsid w:val="52EF4B5B"/>
    <w:rsid w:val="530B1443"/>
    <w:rsid w:val="530F40D3"/>
    <w:rsid w:val="5313222C"/>
    <w:rsid w:val="53195734"/>
    <w:rsid w:val="531E71EE"/>
    <w:rsid w:val="53200700"/>
    <w:rsid w:val="532B6D52"/>
    <w:rsid w:val="533D6EDC"/>
    <w:rsid w:val="533E0912"/>
    <w:rsid w:val="53426F62"/>
    <w:rsid w:val="53494B09"/>
    <w:rsid w:val="534A7FE3"/>
    <w:rsid w:val="534C02C5"/>
    <w:rsid w:val="534E4AC8"/>
    <w:rsid w:val="53767BDD"/>
    <w:rsid w:val="53876B42"/>
    <w:rsid w:val="538C5F06"/>
    <w:rsid w:val="53900313"/>
    <w:rsid w:val="53A27428"/>
    <w:rsid w:val="53B32E5B"/>
    <w:rsid w:val="53BE69F0"/>
    <w:rsid w:val="53BF70DF"/>
    <w:rsid w:val="53C51418"/>
    <w:rsid w:val="53E35FEF"/>
    <w:rsid w:val="53FD5AF6"/>
    <w:rsid w:val="541B0AFD"/>
    <w:rsid w:val="54303794"/>
    <w:rsid w:val="54354B2F"/>
    <w:rsid w:val="543C792C"/>
    <w:rsid w:val="54480368"/>
    <w:rsid w:val="54637E7D"/>
    <w:rsid w:val="5489009D"/>
    <w:rsid w:val="548E6336"/>
    <w:rsid w:val="54907C78"/>
    <w:rsid w:val="549332C4"/>
    <w:rsid w:val="54984970"/>
    <w:rsid w:val="54A504AB"/>
    <w:rsid w:val="54B0031A"/>
    <w:rsid w:val="54B43966"/>
    <w:rsid w:val="54C927B4"/>
    <w:rsid w:val="54CF69F2"/>
    <w:rsid w:val="54D569C1"/>
    <w:rsid w:val="54E2165D"/>
    <w:rsid w:val="54E7647B"/>
    <w:rsid w:val="54E87AB4"/>
    <w:rsid w:val="54F00036"/>
    <w:rsid w:val="54FD26D5"/>
    <w:rsid w:val="550B44A2"/>
    <w:rsid w:val="5516017D"/>
    <w:rsid w:val="551B4BD7"/>
    <w:rsid w:val="551E1403"/>
    <w:rsid w:val="552E57CC"/>
    <w:rsid w:val="55301077"/>
    <w:rsid w:val="55427815"/>
    <w:rsid w:val="55472A2C"/>
    <w:rsid w:val="55603AEE"/>
    <w:rsid w:val="55675634"/>
    <w:rsid w:val="556C1456"/>
    <w:rsid w:val="55760C1C"/>
    <w:rsid w:val="557B1EE9"/>
    <w:rsid w:val="55872E29"/>
    <w:rsid w:val="5596306C"/>
    <w:rsid w:val="55A3500D"/>
    <w:rsid w:val="55A439DB"/>
    <w:rsid w:val="55BD502A"/>
    <w:rsid w:val="55BE4F59"/>
    <w:rsid w:val="55D55D03"/>
    <w:rsid w:val="55D92790"/>
    <w:rsid w:val="55DD6540"/>
    <w:rsid w:val="55FA2903"/>
    <w:rsid w:val="55FB1C6B"/>
    <w:rsid w:val="562D3D82"/>
    <w:rsid w:val="56494582"/>
    <w:rsid w:val="56515DC5"/>
    <w:rsid w:val="566B274A"/>
    <w:rsid w:val="56781C78"/>
    <w:rsid w:val="56791DFC"/>
    <w:rsid w:val="567E7367"/>
    <w:rsid w:val="56835CE6"/>
    <w:rsid w:val="569D24F0"/>
    <w:rsid w:val="56C87B9D"/>
    <w:rsid w:val="56D46A3D"/>
    <w:rsid w:val="56DE0BAE"/>
    <w:rsid w:val="56E878F7"/>
    <w:rsid w:val="56EC67A9"/>
    <w:rsid w:val="56ED0037"/>
    <w:rsid w:val="56ED13B1"/>
    <w:rsid w:val="56F32822"/>
    <w:rsid w:val="56F42740"/>
    <w:rsid w:val="56FC7846"/>
    <w:rsid w:val="5712706A"/>
    <w:rsid w:val="57287DB1"/>
    <w:rsid w:val="57441E9D"/>
    <w:rsid w:val="574D4690"/>
    <w:rsid w:val="5765719A"/>
    <w:rsid w:val="576B69B1"/>
    <w:rsid w:val="57802226"/>
    <w:rsid w:val="578E5DDC"/>
    <w:rsid w:val="579637F7"/>
    <w:rsid w:val="579C4724"/>
    <w:rsid w:val="57B1634D"/>
    <w:rsid w:val="57B35224"/>
    <w:rsid w:val="57B819BF"/>
    <w:rsid w:val="57B85BDD"/>
    <w:rsid w:val="57CF0AB7"/>
    <w:rsid w:val="57D305D8"/>
    <w:rsid w:val="57D81AF0"/>
    <w:rsid w:val="57DF6201"/>
    <w:rsid w:val="57F70E6F"/>
    <w:rsid w:val="58015A42"/>
    <w:rsid w:val="58020627"/>
    <w:rsid w:val="58061862"/>
    <w:rsid w:val="58150567"/>
    <w:rsid w:val="58193B65"/>
    <w:rsid w:val="5820225A"/>
    <w:rsid w:val="583E1337"/>
    <w:rsid w:val="5842572D"/>
    <w:rsid w:val="58564D34"/>
    <w:rsid w:val="58580AAD"/>
    <w:rsid w:val="585E778D"/>
    <w:rsid w:val="5867003E"/>
    <w:rsid w:val="587B2971"/>
    <w:rsid w:val="58812B0F"/>
    <w:rsid w:val="588B5438"/>
    <w:rsid w:val="58A27E95"/>
    <w:rsid w:val="58BE1984"/>
    <w:rsid w:val="58C0710D"/>
    <w:rsid w:val="58C15CEE"/>
    <w:rsid w:val="58C83E84"/>
    <w:rsid w:val="58CB127E"/>
    <w:rsid w:val="58D33D89"/>
    <w:rsid w:val="58F132F6"/>
    <w:rsid w:val="58FF72AA"/>
    <w:rsid w:val="59096EBE"/>
    <w:rsid w:val="59162E41"/>
    <w:rsid w:val="59184390"/>
    <w:rsid w:val="59301A29"/>
    <w:rsid w:val="594E1447"/>
    <w:rsid w:val="594F45CB"/>
    <w:rsid w:val="596B3E9E"/>
    <w:rsid w:val="596E391A"/>
    <w:rsid w:val="59710078"/>
    <w:rsid w:val="59721487"/>
    <w:rsid w:val="5980650D"/>
    <w:rsid w:val="5988716F"/>
    <w:rsid w:val="59926A9F"/>
    <w:rsid w:val="59A10231"/>
    <w:rsid w:val="59B77A55"/>
    <w:rsid w:val="59B77EBB"/>
    <w:rsid w:val="59C95887"/>
    <w:rsid w:val="59DC1A3C"/>
    <w:rsid w:val="59E36A9C"/>
    <w:rsid w:val="59ED0ECA"/>
    <w:rsid w:val="59FD7B5D"/>
    <w:rsid w:val="5A051AA4"/>
    <w:rsid w:val="5A1E2B15"/>
    <w:rsid w:val="5A4375E8"/>
    <w:rsid w:val="5A4D15D5"/>
    <w:rsid w:val="5A4D6E6C"/>
    <w:rsid w:val="5A5F6E50"/>
    <w:rsid w:val="5A6B0F6B"/>
    <w:rsid w:val="5A700229"/>
    <w:rsid w:val="5A881081"/>
    <w:rsid w:val="5A8B5169"/>
    <w:rsid w:val="5A924E33"/>
    <w:rsid w:val="5A9D6C4B"/>
    <w:rsid w:val="5AB056BB"/>
    <w:rsid w:val="5ABE706E"/>
    <w:rsid w:val="5ADD2BA5"/>
    <w:rsid w:val="5AE3297D"/>
    <w:rsid w:val="5AE525A2"/>
    <w:rsid w:val="5AE8436A"/>
    <w:rsid w:val="5AF00AD3"/>
    <w:rsid w:val="5AF50835"/>
    <w:rsid w:val="5B191B86"/>
    <w:rsid w:val="5B1F3B03"/>
    <w:rsid w:val="5B1F6D4A"/>
    <w:rsid w:val="5B297AED"/>
    <w:rsid w:val="5B2B48FF"/>
    <w:rsid w:val="5B3D396C"/>
    <w:rsid w:val="5B3D7C9E"/>
    <w:rsid w:val="5B585D78"/>
    <w:rsid w:val="5B610CF9"/>
    <w:rsid w:val="5B687515"/>
    <w:rsid w:val="5B7F3EF0"/>
    <w:rsid w:val="5B804F69"/>
    <w:rsid w:val="5B830157"/>
    <w:rsid w:val="5B935E32"/>
    <w:rsid w:val="5B9B473E"/>
    <w:rsid w:val="5B9C0586"/>
    <w:rsid w:val="5BA114C6"/>
    <w:rsid w:val="5BAA299A"/>
    <w:rsid w:val="5BB41647"/>
    <w:rsid w:val="5BB74531"/>
    <w:rsid w:val="5BBA1118"/>
    <w:rsid w:val="5BCA4437"/>
    <w:rsid w:val="5BD42B40"/>
    <w:rsid w:val="5BF136F2"/>
    <w:rsid w:val="5BFD387C"/>
    <w:rsid w:val="5C0056D4"/>
    <w:rsid w:val="5C03549C"/>
    <w:rsid w:val="5C05333F"/>
    <w:rsid w:val="5C1B076F"/>
    <w:rsid w:val="5C1F66ED"/>
    <w:rsid w:val="5C200414"/>
    <w:rsid w:val="5C433822"/>
    <w:rsid w:val="5C473312"/>
    <w:rsid w:val="5C541F45"/>
    <w:rsid w:val="5C5B500F"/>
    <w:rsid w:val="5C670ED4"/>
    <w:rsid w:val="5C7F60F0"/>
    <w:rsid w:val="5C8C6F77"/>
    <w:rsid w:val="5CA6628A"/>
    <w:rsid w:val="5CAC7619"/>
    <w:rsid w:val="5CC15EFE"/>
    <w:rsid w:val="5CC41A5D"/>
    <w:rsid w:val="5CCC5B89"/>
    <w:rsid w:val="5CD6171C"/>
    <w:rsid w:val="5CDB2690"/>
    <w:rsid w:val="5CE95112"/>
    <w:rsid w:val="5CF40009"/>
    <w:rsid w:val="5D014AD8"/>
    <w:rsid w:val="5D346CDB"/>
    <w:rsid w:val="5D563A15"/>
    <w:rsid w:val="5D5A0E23"/>
    <w:rsid w:val="5D5E2925"/>
    <w:rsid w:val="5D75771C"/>
    <w:rsid w:val="5D79752D"/>
    <w:rsid w:val="5D7D22A6"/>
    <w:rsid w:val="5D7F0FB0"/>
    <w:rsid w:val="5DA65D35"/>
    <w:rsid w:val="5DBC340E"/>
    <w:rsid w:val="5DC225AB"/>
    <w:rsid w:val="5DC37939"/>
    <w:rsid w:val="5DC42740"/>
    <w:rsid w:val="5DE46575"/>
    <w:rsid w:val="5DED613B"/>
    <w:rsid w:val="5E047993"/>
    <w:rsid w:val="5E084D23"/>
    <w:rsid w:val="5E1A6AC6"/>
    <w:rsid w:val="5E1F63CA"/>
    <w:rsid w:val="5E264313"/>
    <w:rsid w:val="5E266935"/>
    <w:rsid w:val="5E345B18"/>
    <w:rsid w:val="5E3530AE"/>
    <w:rsid w:val="5E380D2A"/>
    <w:rsid w:val="5E5B413C"/>
    <w:rsid w:val="5E840755"/>
    <w:rsid w:val="5E861E55"/>
    <w:rsid w:val="5E8D5B4A"/>
    <w:rsid w:val="5EA83E44"/>
    <w:rsid w:val="5EC45D89"/>
    <w:rsid w:val="5EC953EE"/>
    <w:rsid w:val="5F1E2FCC"/>
    <w:rsid w:val="5F206B57"/>
    <w:rsid w:val="5F347CF2"/>
    <w:rsid w:val="5F3758C0"/>
    <w:rsid w:val="5F375E16"/>
    <w:rsid w:val="5F3B7ACA"/>
    <w:rsid w:val="5F3C62DC"/>
    <w:rsid w:val="5F593A88"/>
    <w:rsid w:val="5F5C6189"/>
    <w:rsid w:val="5F666FB7"/>
    <w:rsid w:val="5F700DD2"/>
    <w:rsid w:val="5F7938AE"/>
    <w:rsid w:val="5F7E529D"/>
    <w:rsid w:val="5F867CB5"/>
    <w:rsid w:val="5F885503"/>
    <w:rsid w:val="5F8E092A"/>
    <w:rsid w:val="5F9737AE"/>
    <w:rsid w:val="5F986066"/>
    <w:rsid w:val="5F9C2B5E"/>
    <w:rsid w:val="5FA40A7B"/>
    <w:rsid w:val="5FCD6837"/>
    <w:rsid w:val="5FD22AC5"/>
    <w:rsid w:val="5FE95E52"/>
    <w:rsid w:val="5FEC61B2"/>
    <w:rsid w:val="5FFB57EC"/>
    <w:rsid w:val="5FFE018B"/>
    <w:rsid w:val="600357A2"/>
    <w:rsid w:val="60076EC3"/>
    <w:rsid w:val="60145C01"/>
    <w:rsid w:val="601571EC"/>
    <w:rsid w:val="601754BC"/>
    <w:rsid w:val="601D6507"/>
    <w:rsid w:val="602C7892"/>
    <w:rsid w:val="60307546"/>
    <w:rsid w:val="603179F6"/>
    <w:rsid w:val="603A3F6B"/>
    <w:rsid w:val="603A4289"/>
    <w:rsid w:val="60427649"/>
    <w:rsid w:val="60513475"/>
    <w:rsid w:val="607152D4"/>
    <w:rsid w:val="60820DBC"/>
    <w:rsid w:val="6082501A"/>
    <w:rsid w:val="608C61A1"/>
    <w:rsid w:val="609C1B81"/>
    <w:rsid w:val="60A40432"/>
    <w:rsid w:val="60AC498E"/>
    <w:rsid w:val="60C45483"/>
    <w:rsid w:val="60C83197"/>
    <w:rsid w:val="60E01F29"/>
    <w:rsid w:val="60E03D35"/>
    <w:rsid w:val="60E62582"/>
    <w:rsid w:val="60E84348"/>
    <w:rsid w:val="60ED2F15"/>
    <w:rsid w:val="60FC1303"/>
    <w:rsid w:val="610447A0"/>
    <w:rsid w:val="610C693F"/>
    <w:rsid w:val="61182ED5"/>
    <w:rsid w:val="611C5556"/>
    <w:rsid w:val="6132501A"/>
    <w:rsid w:val="614A0813"/>
    <w:rsid w:val="614A7AA9"/>
    <w:rsid w:val="614C4F26"/>
    <w:rsid w:val="61605ED8"/>
    <w:rsid w:val="6166248C"/>
    <w:rsid w:val="61732846"/>
    <w:rsid w:val="617A7CE6"/>
    <w:rsid w:val="6180363F"/>
    <w:rsid w:val="61926996"/>
    <w:rsid w:val="61BC02FE"/>
    <w:rsid w:val="61BC77BF"/>
    <w:rsid w:val="61BD221B"/>
    <w:rsid w:val="61D92C5E"/>
    <w:rsid w:val="61E51427"/>
    <w:rsid w:val="61E6428A"/>
    <w:rsid w:val="61EA7884"/>
    <w:rsid w:val="61F249AE"/>
    <w:rsid w:val="620852F1"/>
    <w:rsid w:val="620B3CCC"/>
    <w:rsid w:val="62223BC5"/>
    <w:rsid w:val="62257C51"/>
    <w:rsid w:val="624443FD"/>
    <w:rsid w:val="624D320A"/>
    <w:rsid w:val="62794C30"/>
    <w:rsid w:val="627E3039"/>
    <w:rsid w:val="628726BA"/>
    <w:rsid w:val="6299163B"/>
    <w:rsid w:val="629C12DC"/>
    <w:rsid w:val="62A019CE"/>
    <w:rsid w:val="62B965EC"/>
    <w:rsid w:val="62C531E2"/>
    <w:rsid w:val="62C92CD3"/>
    <w:rsid w:val="62E0626E"/>
    <w:rsid w:val="62E418BB"/>
    <w:rsid w:val="62EA0E9B"/>
    <w:rsid w:val="62F834F6"/>
    <w:rsid w:val="62FA03DF"/>
    <w:rsid w:val="630E4B89"/>
    <w:rsid w:val="630F2642"/>
    <w:rsid w:val="63236FCD"/>
    <w:rsid w:val="63557371"/>
    <w:rsid w:val="635602DE"/>
    <w:rsid w:val="635D0E11"/>
    <w:rsid w:val="636656F5"/>
    <w:rsid w:val="63784A9C"/>
    <w:rsid w:val="637D1D0F"/>
    <w:rsid w:val="639257BA"/>
    <w:rsid w:val="63950E07"/>
    <w:rsid w:val="63976FED"/>
    <w:rsid w:val="63A31776"/>
    <w:rsid w:val="63AC0B5B"/>
    <w:rsid w:val="63B76FCF"/>
    <w:rsid w:val="63BE20FC"/>
    <w:rsid w:val="63C4008D"/>
    <w:rsid w:val="63C72B2E"/>
    <w:rsid w:val="63D30291"/>
    <w:rsid w:val="63E56DDA"/>
    <w:rsid w:val="63E83933"/>
    <w:rsid w:val="64072BF6"/>
    <w:rsid w:val="64174D79"/>
    <w:rsid w:val="64224931"/>
    <w:rsid w:val="64465EAF"/>
    <w:rsid w:val="64482933"/>
    <w:rsid w:val="64523336"/>
    <w:rsid w:val="6454481E"/>
    <w:rsid w:val="64606CD0"/>
    <w:rsid w:val="64633872"/>
    <w:rsid w:val="6468651B"/>
    <w:rsid w:val="6488427C"/>
    <w:rsid w:val="64931A71"/>
    <w:rsid w:val="64A01811"/>
    <w:rsid w:val="64AF5EF8"/>
    <w:rsid w:val="64B16325"/>
    <w:rsid w:val="64D06952"/>
    <w:rsid w:val="64D478DA"/>
    <w:rsid w:val="64D773CB"/>
    <w:rsid w:val="64DE1BA0"/>
    <w:rsid w:val="64E013F6"/>
    <w:rsid w:val="64E15D61"/>
    <w:rsid w:val="64E276E1"/>
    <w:rsid w:val="654558D8"/>
    <w:rsid w:val="654B2A5B"/>
    <w:rsid w:val="657345AC"/>
    <w:rsid w:val="658A1655"/>
    <w:rsid w:val="6592787A"/>
    <w:rsid w:val="65A74E21"/>
    <w:rsid w:val="65B62D01"/>
    <w:rsid w:val="65BA78AA"/>
    <w:rsid w:val="65C94A6D"/>
    <w:rsid w:val="65D53998"/>
    <w:rsid w:val="65DF2AAB"/>
    <w:rsid w:val="65DF6369"/>
    <w:rsid w:val="65F77B57"/>
    <w:rsid w:val="65FC42B4"/>
    <w:rsid w:val="660A4D26"/>
    <w:rsid w:val="66134265"/>
    <w:rsid w:val="66184DB3"/>
    <w:rsid w:val="66231D6E"/>
    <w:rsid w:val="662834CC"/>
    <w:rsid w:val="662B15AE"/>
    <w:rsid w:val="66324037"/>
    <w:rsid w:val="663629FF"/>
    <w:rsid w:val="663761A5"/>
    <w:rsid w:val="6660394E"/>
    <w:rsid w:val="66611474"/>
    <w:rsid w:val="6688431D"/>
    <w:rsid w:val="66974BC4"/>
    <w:rsid w:val="66B23A7E"/>
    <w:rsid w:val="66B958D0"/>
    <w:rsid w:val="66C22463"/>
    <w:rsid w:val="66C47175"/>
    <w:rsid w:val="66D25ECE"/>
    <w:rsid w:val="66D43DD3"/>
    <w:rsid w:val="66E73D5E"/>
    <w:rsid w:val="66F57FC8"/>
    <w:rsid w:val="66F75934"/>
    <w:rsid w:val="66FA1378"/>
    <w:rsid w:val="67040F40"/>
    <w:rsid w:val="67066B57"/>
    <w:rsid w:val="670A5668"/>
    <w:rsid w:val="67172231"/>
    <w:rsid w:val="67380427"/>
    <w:rsid w:val="674731D8"/>
    <w:rsid w:val="674C08FF"/>
    <w:rsid w:val="674D0403"/>
    <w:rsid w:val="675E1A7A"/>
    <w:rsid w:val="67603877"/>
    <w:rsid w:val="67753429"/>
    <w:rsid w:val="677A2E04"/>
    <w:rsid w:val="677B073D"/>
    <w:rsid w:val="67863A2C"/>
    <w:rsid w:val="678D5B25"/>
    <w:rsid w:val="67C1364E"/>
    <w:rsid w:val="67E04803"/>
    <w:rsid w:val="67E469E8"/>
    <w:rsid w:val="67E83A25"/>
    <w:rsid w:val="67F71D94"/>
    <w:rsid w:val="67F747DA"/>
    <w:rsid w:val="67FD6F7B"/>
    <w:rsid w:val="680227E3"/>
    <w:rsid w:val="68077DF9"/>
    <w:rsid w:val="680B6825"/>
    <w:rsid w:val="680E1188"/>
    <w:rsid w:val="68150768"/>
    <w:rsid w:val="682664D1"/>
    <w:rsid w:val="68297D70"/>
    <w:rsid w:val="685E1359"/>
    <w:rsid w:val="68697D38"/>
    <w:rsid w:val="688833E6"/>
    <w:rsid w:val="68A67612"/>
    <w:rsid w:val="68A8338A"/>
    <w:rsid w:val="68AD6BBD"/>
    <w:rsid w:val="68BD465C"/>
    <w:rsid w:val="68C006D4"/>
    <w:rsid w:val="68E24AEE"/>
    <w:rsid w:val="68F55EA4"/>
    <w:rsid w:val="68FC7232"/>
    <w:rsid w:val="69002550"/>
    <w:rsid w:val="69065197"/>
    <w:rsid w:val="692E34FC"/>
    <w:rsid w:val="694042D6"/>
    <w:rsid w:val="69482477"/>
    <w:rsid w:val="695243D2"/>
    <w:rsid w:val="695E2DAE"/>
    <w:rsid w:val="696D3BC2"/>
    <w:rsid w:val="696E6382"/>
    <w:rsid w:val="697B4CDC"/>
    <w:rsid w:val="698060B5"/>
    <w:rsid w:val="698435DB"/>
    <w:rsid w:val="69845BA5"/>
    <w:rsid w:val="6990454A"/>
    <w:rsid w:val="69946048"/>
    <w:rsid w:val="69C9510B"/>
    <w:rsid w:val="69CB37D4"/>
    <w:rsid w:val="69CD7761"/>
    <w:rsid w:val="69D57C48"/>
    <w:rsid w:val="69DF102E"/>
    <w:rsid w:val="69F06D97"/>
    <w:rsid w:val="69F12B0F"/>
    <w:rsid w:val="69F60125"/>
    <w:rsid w:val="69FC104A"/>
    <w:rsid w:val="6A102F95"/>
    <w:rsid w:val="6A1471F6"/>
    <w:rsid w:val="6A2922A9"/>
    <w:rsid w:val="6A2E5B11"/>
    <w:rsid w:val="6A372A2E"/>
    <w:rsid w:val="6A5135AE"/>
    <w:rsid w:val="6A6A300E"/>
    <w:rsid w:val="6A7E25F5"/>
    <w:rsid w:val="6A8C4BF1"/>
    <w:rsid w:val="6A8D2838"/>
    <w:rsid w:val="6A90249A"/>
    <w:rsid w:val="6AA33E09"/>
    <w:rsid w:val="6AA9677B"/>
    <w:rsid w:val="6AB10573"/>
    <w:rsid w:val="6AB109DC"/>
    <w:rsid w:val="6AC83870"/>
    <w:rsid w:val="6AF93A2C"/>
    <w:rsid w:val="6AF9647D"/>
    <w:rsid w:val="6B027E85"/>
    <w:rsid w:val="6B06609B"/>
    <w:rsid w:val="6B0845B4"/>
    <w:rsid w:val="6B1E5B86"/>
    <w:rsid w:val="6B221EFB"/>
    <w:rsid w:val="6B2F7D93"/>
    <w:rsid w:val="6B321631"/>
    <w:rsid w:val="6B32518D"/>
    <w:rsid w:val="6B3A2193"/>
    <w:rsid w:val="6B60619E"/>
    <w:rsid w:val="6B6428EA"/>
    <w:rsid w:val="6B843072"/>
    <w:rsid w:val="6BAB6BFA"/>
    <w:rsid w:val="6BAF2C82"/>
    <w:rsid w:val="6BBB6967"/>
    <w:rsid w:val="6BC56001"/>
    <w:rsid w:val="6BCA61D7"/>
    <w:rsid w:val="6BD57112"/>
    <w:rsid w:val="6BE42DF9"/>
    <w:rsid w:val="6BF57173"/>
    <w:rsid w:val="6BFF13EA"/>
    <w:rsid w:val="6C191D32"/>
    <w:rsid w:val="6C220F36"/>
    <w:rsid w:val="6C2B67AC"/>
    <w:rsid w:val="6C34334B"/>
    <w:rsid w:val="6C376853"/>
    <w:rsid w:val="6C507FC1"/>
    <w:rsid w:val="6C53725B"/>
    <w:rsid w:val="6C540261"/>
    <w:rsid w:val="6C57134F"/>
    <w:rsid w:val="6C6A09A6"/>
    <w:rsid w:val="6C81017A"/>
    <w:rsid w:val="6C814811"/>
    <w:rsid w:val="6C8253AF"/>
    <w:rsid w:val="6C9518D2"/>
    <w:rsid w:val="6C984B76"/>
    <w:rsid w:val="6C9A6A6C"/>
    <w:rsid w:val="6CA337DA"/>
    <w:rsid w:val="6CA92C4B"/>
    <w:rsid w:val="6CE36A9C"/>
    <w:rsid w:val="6CE82820"/>
    <w:rsid w:val="6CE96037"/>
    <w:rsid w:val="6D0178B1"/>
    <w:rsid w:val="6D0A1681"/>
    <w:rsid w:val="6D1C60F5"/>
    <w:rsid w:val="6D244722"/>
    <w:rsid w:val="6D2750E7"/>
    <w:rsid w:val="6D3940AD"/>
    <w:rsid w:val="6D3C22F3"/>
    <w:rsid w:val="6D42270A"/>
    <w:rsid w:val="6D5A3D43"/>
    <w:rsid w:val="6D5B0C50"/>
    <w:rsid w:val="6D601928"/>
    <w:rsid w:val="6D684E88"/>
    <w:rsid w:val="6D702504"/>
    <w:rsid w:val="6D725D15"/>
    <w:rsid w:val="6D744027"/>
    <w:rsid w:val="6D7952F5"/>
    <w:rsid w:val="6D8966E3"/>
    <w:rsid w:val="6D8A5754"/>
    <w:rsid w:val="6D910891"/>
    <w:rsid w:val="6DAC5AC3"/>
    <w:rsid w:val="6DAC7479"/>
    <w:rsid w:val="6DAF4E08"/>
    <w:rsid w:val="6DB8406F"/>
    <w:rsid w:val="6DBABB17"/>
    <w:rsid w:val="6DC40C6B"/>
    <w:rsid w:val="6DCD73EF"/>
    <w:rsid w:val="6DD679D8"/>
    <w:rsid w:val="6DDB5FB0"/>
    <w:rsid w:val="6DDE1386"/>
    <w:rsid w:val="6DF13761"/>
    <w:rsid w:val="6DF17F09"/>
    <w:rsid w:val="6DF22BF9"/>
    <w:rsid w:val="6E250FD9"/>
    <w:rsid w:val="6E276AFF"/>
    <w:rsid w:val="6E386F5E"/>
    <w:rsid w:val="6E445903"/>
    <w:rsid w:val="6E625D89"/>
    <w:rsid w:val="6E671FF6"/>
    <w:rsid w:val="6E6B7334"/>
    <w:rsid w:val="6E727D60"/>
    <w:rsid w:val="6E737F96"/>
    <w:rsid w:val="6E7671A8"/>
    <w:rsid w:val="6E8C17CB"/>
    <w:rsid w:val="6E900B48"/>
    <w:rsid w:val="6E9804E7"/>
    <w:rsid w:val="6EB011EB"/>
    <w:rsid w:val="6EB53437"/>
    <w:rsid w:val="6EB66095"/>
    <w:rsid w:val="6EC70204"/>
    <w:rsid w:val="6EC943F4"/>
    <w:rsid w:val="6ED722D3"/>
    <w:rsid w:val="6EE30296"/>
    <w:rsid w:val="6EF2535F"/>
    <w:rsid w:val="6EFA0593"/>
    <w:rsid w:val="6F094457"/>
    <w:rsid w:val="6F2F0361"/>
    <w:rsid w:val="6F3E2352"/>
    <w:rsid w:val="6F4120FC"/>
    <w:rsid w:val="6F451EDE"/>
    <w:rsid w:val="6F52449B"/>
    <w:rsid w:val="6F624C36"/>
    <w:rsid w:val="6F66024C"/>
    <w:rsid w:val="6F664FE5"/>
    <w:rsid w:val="6F7B3803"/>
    <w:rsid w:val="6F7F65CF"/>
    <w:rsid w:val="6F89668F"/>
    <w:rsid w:val="6FA0614B"/>
    <w:rsid w:val="6FAA3DAB"/>
    <w:rsid w:val="6FAD74D8"/>
    <w:rsid w:val="6FB978CB"/>
    <w:rsid w:val="6FC21A38"/>
    <w:rsid w:val="6FCA2A16"/>
    <w:rsid w:val="6FD1670D"/>
    <w:rsid w:val="6FD44A65"/>
    <w:rsid w:val="6FFA319B"/>
    <w:rsid w:val="70184FFF"/>
    <w:rsid w:val="70185F09"/>
    <w:rsid w:val="701C4F1E"/>
    <w:rsid w:val="706C7393"/>
    <w:rsid w:val="708F2CC4"/>
    <w:rsid w:val="709F22F8"/>
    <w:rsid w:val="70A22DB5"/>
    <w:rsid w:val="70AE6645"/>
    <w:rsid w:val="70AF6D48"/>
    <w:rsid w:val="70DF0757"/>
    <w:rsid w:val="70FE42A3"/>
    <w:rsid w:val="70FF5B11"/>
    <w:rsid w:val="7102013D"/>
    <w:rsid w:val="710C022E"/>
    <w:rsid w:val="710C683A"/>
    <w:rsid w:val="711B1573"/>
    <w:rsid w:val="715431A2"/>
    <w:rsid w:val="71565A3F"/>
    <w:rsid w:val="715D6950"/>
    <w:rsid w:val="7175165A"/>
    <w:rsid w:val="71786FF9"/>
    <w:rsid w:val="71804EA4"/>
    <w:rsid w:val="71825C11"/>
    <w:rsid w:val="719621B0"/>
    <w:rsid w:val="719941B8"/>
    <w:rsid w:val="719E474F"/>
    <w:rsid w:val="719E532A"/>
    <w:rsid w:val="71A40397"/>
    <w:rsid w:val="71CF7BDA"/>
    <w:rsid w:val="71DB032D"/>
    <w:rsid w:val="71DC4440"/>
    <w:rsid w:val="71E3257D"/>
    <w:rsid w:val="72191ED0"/>
    <w:rsid w:val="721C3D0A"/>
    <w:rsid w:val="721E4C88"/>
    <w:rsid w:val="721F0007"/>
    <w:rsid w:val="72385ECD"/>
    <w:rsid w:val="724516B4"/>
    <w:rsid w:val="725A7D17"/>
    <w:rsid w:val="725C3169"/>
    <w:rsid w:val="725E75F3"/>
    <w:rsid w:val="726759F6"/>
    <w:rsid w:val="727950D4"/>
    <w:rsid w:val="72854C92"/>
    <w:rsid w:val="72877DA1"/>
    <w:rsid w:val="72907888"/>
    <w:rsid w:val="72B0266E"/>
    <w:rsid w:val="72BA1761"/>
    <w:rsid w:val="72BC7F66"/>
    <w:rsid w:val="72BE0B28"/>
    <w:rsid w:val="72D54212"/>
    <w:rsid w:val="72E27499"/>
    <w:rsid w:val="72F33BF6"/>
    <w:rsid w:val="72F364AE"/>
    <w:rsid w:val="72F737AD"/>
    <w:rsid w:val="72F77CB0"/>
    <w:rsid w:val="73137F9A"/>
    <w:rsid w:val="73300069"/>
    <w:rsid w:val="73397787"/>
    <w:rsid w:val="733C2ACF"/>
    <w:rsid w:val="73497518"/>
    <w:rsid w:val="73584C2C"/>
    <w:rsid w:val="735862C7"/>
    <w:rsid w:val="735F2789"/>
    <w:rsid w:val="736E51D0"/>
    <w:rsid w:val="738B1681"/>
    <w:rsid w:val="7399224D"/>
    <w:rsid w:val="739C377D"/>
    <w:rsid w:val="73A6496A"/>
    <w:rsid w:val="73C41C31"/>
    <w:rsid w:val="73C61CFF"/>
    <w:rsid w:val="73CD1D1B"/>
    <w:rsid w:val="73D95C7D"/>
    <w:rsid w:val="73DD7EC6"/>
    <w:rsid w:val="73E31B41"/>
    <w:rsid w:val="73E40ECE"/>
    <w:rsid w:val="73F336CD"/>
    <w:rsid w:val="73F80088"/>
    <w:rsid w:val="742B0FF5"/>
    <w:rsid w:val="745D547D"/>
    <w:rsid w:val="745F6743"/>
    <w:rsid w:val="746F7452"/>
    <w:rsid w:val="747B1953"/>
    <w:rsid w:val="74965717"/>
    <w:rsid w:val="749C7222"/>
    <w:rsid w:val="74AA048A"/>
    <w:rsid w:val="74C57072"/>
    <w:rsid w:val="74CA397E"/>
    <w:rsid w:val="74D003A8"/>
    <w:rsid w:val="74D55507"/>
    <w:rsid w:val="74E62035"/>
    <w:rsid w:val="750440EE"/>
    <w:rsid w:val="750D2EF3"/>
    <w:rsid w:val="75157FF9"/>
    <w:rsid w:val="751B0A84"/>
    <w:rsid w:val="75295E16"/>
    <w:rsid w:val="75510906"/>
    <w:rsid w:val="755A03A2"/>
    <w:rsid w:val="755B0018"/>
    <w:rsid w:val="75616D9B"/>
    <w:rsid w:val="756A1B73"/>
    <w:rsid w:val="758C7D84"/>
    <w:rsid w:val="758F1B5A"/>
    <w:rsid w:val="75A1032A"/>
    <w:rsid w:val="75AB2ED7"/>
    <w:rsid w:val="75B001CA"/>
    <w:rsid w:val="75B47780"/>
    <w:rsid w:val="75B622E8"/>
    <w:rsid w:val="75C906A6"/>
    <w:rsid w:val="75CB690A"/>
    <w:rsid w:val="75D756EE"/>
    <w:rsid w:val="761335F6"/>
    <w:rsid w:val="764C3F15"/>
    <w:rsid w:val="765608C9"/>
    <w:rsid w:val="765A338F"/>
    <w:rsid w:val="767C3D9A"/>
    <w:rsid w:val="76826FC2"/>
    <w:rsid w:val="768E37A6"/>
    <w:rsid w:val="76935D1A"/>
    <w:rsid w:val="769E756C"/>
    <w:rsid w:val="769F1C17"/>
    <w:rsid w:val="76A742FA"/>
    <w:rsid w:val="76B32D60"/>
    <w:rsid w:val="76BC3200"/>
    <w:rsid w:val="76BD26F7"/>
    <w:rsid w:val="76C11D23"/>
    <w:rsid w:val="76CB4D07"/>
    <w:rsid w:val="76CF41D8"/>
    <w:rsid w:val="76D20791"/>
    <w:rsid w:val="76E76D85"/>
    <w:rsid w:val="76EC6B38"/>
    <w:rsid w:val="76F676C9"/>
    <w:rsid w:val="76F81981"/>
    <w:rsid w:val="77005500"/>
    <w:rsid w:val="77145CD1"/>
    <w:rsid w:val="77161E07"/>
    <w:rsid w:val="77184628"/>
    <w:rsid w:val="772537C6"/>
    <w:rsid w:val="773A1142"/>
    <w:rsid w:val="775546DD"/>
    <w:rsid w:val="77592BCC"/>
    <w:rsid w:val="77666DBF"/>
    <w:rsid w:val="77736120"/>
    <w:rsid w:val="77786CF4"/>
    <w:rsid w:val="777F31B5"/>
    <w:rsid w:val="777F79AC"/>
    <w:rsid w:val="77884AB3"/>
    <w:rsid w:val="778A38E9"/>
    <w:rsid w:val="778E1024"/>
    <w:rsid w:val="779D6E8E"/>
    <w:rsid w:val="779E5DDA"/>
    <w:rsid w:val="77B261D9"/>
    <w:rsid w:val="77C94AF6"/>
    <w:rsid w:val="77CE4DD0"/>
    <w:rsid w:val="77D15D7E"/>
    <w:rsid w:val="77DE3727"/>
    <w:rsid w:val="77F27C88"/>
    <w:rsid w:val="78003B51"/>
    <w:rsid w:val="780A79CE"/>
    <w:rsid w:val="78112CFA"/>
    <w:rsid w:val="78202F3D"/>
    <w:rsid w:val="782236A8"/>
    <w:rsid w:val="78234083"/>
    <w:rsid w:val="782834BA"/>
    <w:rsid w:val="783009D8"/>
    <w:rsid w:val="784B19A6"/>
    <w:rsid w:val="785B5D23"/>
    <w:rsid w:val="78604582"/>
    <w:rsid w:val="78636806"/>
    <w:rsid w:val="7875549E"/>
    <w:rsid w:val="787E1A12"/>
    <w:rsid w:val="7883171E"/>
    <w:rsid w:val="788F1AD5"/>
    <w:rsid w:val="789068D4"/>
    <w:rsid w:val="789A6244"/>
    <w:rsid w:val="78A21BA4"/>
    <w:rsid w:val="78B15140"/>
    <w:rsid w:val="78C7537B"/>
    <w:rsid w:val="78CF100F"/>
    <w:rsid w:val="78D61573"/>
    <w:rsid w:val="78DE6954"/>
    <w:rsid w:val="78E52B1B"/>
    <w:rsid w:val="78F3376E"/>
    <w:rsid w:val="790F6B0E"/>
    <w:rsid w:val="79102FB2"/>
    <w:rsid w:val="791512DC"/>
    <w:rsid w:val="79203D09"/>
    <w:rsid w:val="792702FB"/>
    <w:rsid w:val="793222A8"/>
    <w:rsid w:val="7942728A"/>
    <w:rsid w:val="79501600"/>
    <w:rsid w:val="79521F46"/>
    <w:rsid w:val="796E1A86"/>
    <w:rsid w:val="79786DA9"/>
    <w:rsid w:val="797B75AE"/>
    <w:rsid w:val="798A5F42"/>
    <w:rsid w:val="7995454B"/>
    <w:rsid w:val="7995631D"/>
    <w:rsid w:val="799C4845"/>
    <w:rsid w:val="79B01E73"/>
    <w:rsid w:val="79B53B59"/>
    <w:rsid w:val="79C37373"/>
    <w:rsid w:val="79D041B3"/>
    <w:rsid w:val="79D7229C"/>
    <w:rsid w:val="79DC13F4"/>
    <w:rsid w:val="79DD6E3A"/>
    <w:rsid w:val="79E22D39"/>
    <w:rsid w:val="79FE2930"/>
    <w:rsid w:val="7A003A4B"/>
    <w:rsid w:val="7A116107"/>
    <w:rsid w:val="7A1B20EC"/>
    <w:rsid w:val="7A205873"/>
    <w:rsid w:val="7A2465E9"/>
    <w:rsid w:val="7A287E87"/>
    <w:rsid w:val="7A2B7977"/>
    <w:rsid w:val="7A2E33A8"/>
    <w:rsid w:val="7A3A2A68"/>
    <w:rsid w:val="7A49604F"/>
    <w:rsid w:val="7A5C6674"/>
    <w:rsid w:val="7A6510DB"/>
    <w:rsid w:val="7A695F56"/>
    <w:rsid w:val="7A6A04A0"/>
    <w:rsid w:val="7A6C3430"/>
    <w:rsid w:val="7A7C4202"/>
    <w:rsid w:val="7A7E1365"/>
    <w:rsid w:val="7A8656D5"/>
    <w:rsid w:val="7A8B6668"/>
    <w:rsid w:val="7A8C167F"/>
    <w:rsid w:val="7AA15E8B"/>
    <w:rsid w:val="7AC2652D"/>
    <w:rsid w:val="7AC57DCC"/>
    <w:rsid w:val="7ACB5AD7"/>
    <w:rsid w:val="7AD61FD9"/>
    <w:rsid w:val="7AD924B1"/>
    <w:rsid w:val="7AF619D9"/>
    <w:rsid w:val="7AFA5AC8"/>
    <w:rsid w:val="7AFE5CF3"/>
    <w:rsid w:val="7AFF4D7B"/>
    <w:rsid w:val="7B053505"/>
    <w:rsid w:val="7B0917F3"/>
    <w:rsid w:val="7B130F00"/>
    <w:rsid w:val="7B2745E3"/>
    <w:rsid w:val="7B347349"/>
    <w:rsid w:val="7B36392D"/>
    <w:rsid w:val="7B3C1D76"/>
    <w:rsid w:val="7B403BB0"/>
    <w:rsid w:val="7B51340D"/>
    <w:rsid w:val="7B5D6256"/>
    <w:rsid w:val="7B6C3C65"/>
    <w:rsid w:val="7B71191C"/>
    <w:rsid w:val="7B871525"/>
    <w:rsid w:val="7B8E01BE"/>
    <w:rsid w:val="7B9D48A5"/>
    <w:rsid w:val="7BB58782"/>
    <w:rsid w:val="7BDC717B"/>
    <w:rsid w:val="7BE424D4"/>
    <w:rsid w:val="7BE42D84"/>
    <w:rsid w:val="7BEB1404"/>
    <w:rsid w:val="7BF55B2D"/>
    <w:rsid w:val="7BFC438D"/>
    <w:rsid w:val="7C047526"/>
    <w:rsid w:val="7C1913A2"/>
    <w:rsid w:val="7C1A343C"/>
    <w:rsid w:val="7C1E59E5"/>
    <w:rsid w:val="7C217284"/>
    <w:rsid w:val="7C2F73F0"/>
    <w:rsid w:val="7C315D9A"/>
    <w:rsid w:val="7C317F8F"/>
    <w:rsid w:val="7C442F72"/>
    <w:rsid w:val="7C5A34B2"/>
    <w:rsid w:val="7C5F6CFE"/>
    <w:rsid w:val="7C6333F8"/>
    <w:rsid w:val="7C645257"/>
    <w:rsid w:val="7C7C270C"/>
    <w:rsid w:val="7C815661"/>
    <w:rsid w:val="7C8210B4"/>
    <w:rsid w:val="7C854FDD"/>
    <w:rsid w:val="7C883FA3"/>
    <w:rsid w:val="7C8B175E"/>
    <w:rsid w:val="7C8C729A"/>
    <w:rsid w:val="7C8C7CA2"/>
    <w:rsid w:val="7C8F243F"/>
    <w:rsid w:val="7C945CA8"/>
    <w:rsid w:val="7CA81753"/>
    <w:rsid w:val="7CB023B6"/>
    <w:rsid w:val="7CB2612E"/>
    <w:rsid w:val="7CBB542F"/>
    <w:rsid w:val="7CC75495"/>
    <w:rsid w:val="7CC876FF"/>
    <w:rsid w:val="7CDE6F23"/>
    <w:rsid w:val="7CE45748"/>
    <w:rsid w:val="7CE56503"/>
    <w:rsid w:val="7CF60710"/>
    <w:rsid w:val="7CFB1883"/>
    <w:rsid w:val="7D0F3580"/>
    <w:rsid w:val="7D107A5D"/>
    <w:rsid w:val="7D206183"/>
    <w:rsid w:val="7D29559F"/>
    <w:rsid w:val="7D3D64BE"/>
    <w:rsid w:val="7D474AC8"/>
    <w:rsid w:val="7D480840"/>
    <w:rsid w:val="7D4836C0"/>
    <w:rsid w:val="7D57343B"/>
    <w:rsid w:val="7D667BB3"/>
    <w:rsid w:val="7D9617D4"/>
    <w:rsid w:val="7DA273B0"/>
    <w:rsid w:val="7DA74D2D"/>
    <w:rsid w:val="7DB36601"/>
    <w:rsid w:val="7DC1685E"/>
    <w:rsid w:val="7DD1556D"/>
    <w:rsid w:val="7DE62533"/>
    <w:rsid w:val="7DF2712A"/>
    <w:rsid w:val="7E1150D6"/>
    <w:rsid w:val="7E17093E"/>
    <w:rsid w:val="7E3D17F7"/>
    <w:rsid w:val="7E3F39F1"/>
    <w:rsid w:val="7E4A7643"/>
    <w:rsid w:val="7E4F632A"/>
    <w:rsid w:val="7E550395"/>
    <w:rsid w:val="7E590F57"/>
    <w:rsid w:val="7E690C00"/>
    <w:rsid w:val="7E6E7C52"/>
    <w:rsid w:val="7E703019"/>
    <w:rsid w:val="7E8146B4"/>
    <w:rsid w:val="7E844E5A"/>
    <w:rsid w:val="7E850021"/>
    <w:rsid w:val="7E896245"/>
    <w:rsid w:val="7E930E19"/>
    <w:rsid w:val="7E9A7223"/>
    <w:rsid w:val="7EB93D07"/>
    <w:rsid w:val="7EBA3625"/>
    <w:rsid w:val="7EBA4E3B"/>
    <w:rsid w:val="7EBC4584"/>
    <w:rsid w:val="7EBE04EE"/>
    <w:rsid w:val="7EC806A9"/>
    <w:rsid w:val="7ED92098"/>
    <w:rsid w:val="7EDD0F86"/>
    <w:rsid w:val="7EE0194A"/>
    <w:rsid w:val="7EEC7327"/>
    <w:rsid w:val="7EF42A2E"/>
    <w:rsid w:val="7F2C4782"/>
    <w:rsid w:val="7F2F1CB8"/>
    <w:rsid w:val="7F333489"/>
    <w:rsid w:val="7F3A0FA9"/>
    <w:rsid w:val="7F3B5469"/>
    <w:rsid w:val="7F3F33F4"/>
    <w:rsid w:val="7F4F235A"/>
    <w:rsid w:val="7F5C3E95"/>
    <w:rsid w:val="7F6851CA"/>
    <w:rsid w:val="7F73429A"/>
    <w:rsid w:val="7F771720"/>
    <w:rsid w:val="7F855D7C"/>
    <w:rsid w:val="7FA2692E"/>
    <w:rsid w:val="7FAF0997"/>
    <w:rsid w:val="7FB000B0"/>
    <w:rsid w:val="7FB671DB"/>
    <w:rsid w:val="7FCA46B5"/>
    <w:rsid w:val="7FCC294E"/>
    <w:rsid w:val="7FD840FD"/>
    <w:rsid w:val="7FD91C23"/>
    <w:rsid w:val="7FE13B98"/>
    <w:rsid w:val="7FE61D04"/>
    <w:rsid w:val="7FED5EA5"/>
    <w:rsid w:val="AFA3D618"/>
    <w:rsid w:val="BFBED980"/>
    <w:rsid w:val="DFEACB58"/>
    <w:rsid w:val="FDAD2A15"/>
    <w:rsid w:val="FFDF06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 w:semiHidden="0" w:name="heading 3"/>
    <w:lsdException w:qFormat="1" w:unhideWhenUsed="0" w:uiPriority="0" w:semiHidden="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name="toc 9"/>
    <w:lsdException w:qFormat="1" w:uiPriority="0" w:semiHidden="0" w:name="Normal Indent"/>
    <w:lsdException w:qFormat="1" w:uiPriority="99" w:semiHidden="0" w:name="footnote text"/>
    <w:lsdException w:qFormat="1" w:unhideWhenUsed="0" w:uiPriority="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qFormat="1" w:unhideWhenUsed="0" w:uiPriority="99" w:semiHidden="0" w:name="Document Map"/>
    <w:lsdException w:qFormat="1"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99"/>
    <w:pPr>
      <w:keepNext/>
      <w:keepLines/>
      <w:spacing w:before="120" w:after="120"/>
      <w:jc w:val="center"/>
      <w:outlineLvl w:val="0"/>
    </w:pPr>
    <w:rPr>
      <w:b/>
      <w:spacing w:val="20"/>
      <w:kern w:val="44"/>
      <w:sz w:val="32"/>
    </w:rPr>
  </w:style>
  <w:style w:type="paragraph" w:styleId="4">
    <w:name w:val="heading 2"/>
    <w:basedOn w:val="1"/>
    <w:next w:val="1"/>
    <w:qFormat/>
    <w:uiPriority w:val="99"/>
    <w:pPr>
      <w:keepNext/>
      <w:keepLines/>
      <w:spacing w:before="240" w:line="400" w:lineRule="exact"/>
      <w:outlineLvl w:val="1"/>
    </w:pPr>
    <w:rPr>
      <w:rFonts w:ascii="Arial" w:hAnsi="Arial"/>
      <w:b/>
      <w:color w:val="000000"/>
      <w:spacing w:val="40"/>
      <w:sz w:val="32"/>
    </w:rPr>
  </w:style>
  <w:style w:type="paragraph" w:styleId="5">
    <w:name w:val="heading 3"/>
    <w:basedOn w:val="1"/>
    <w:next w:val="1"/>
    <w:link w:val="33"/>
    <w:qFormat/>
    <w:uiPriority w:val="9"/>
    <w:pPr>
      <w:keepNext/>
      <w:keepLines/>
      <w:adjustRightInd w:val="0"/>
      <w:spacing w:before="260" w:after="260" w:line="360" w:lineRule="auto"/>
      <w:ind w:firstLine="0" w:firstLineChars="0"/>
      <w:jc w:val="left"/>
      <w:outlineLvl w:val="2"/>
    </w:pPr>
    <w:rPr>
      <w:rFonts w:eastAsia="黑体"/>
      <w:bCs/>
      <w:sz w:val="32"/>
      <w:szCs w:val="32"/>
    </w:rPr>
  </w:style>
  <w:style w:type="paragraph" w:styleId="6">
    <w:name w:val="heading 4"/>
    <w:basedOn w:val="1"/>
    <w:next w:val="1"/>
    <w:qFormat/>
    <w:uiPriority w:val="0"/>
    <w:pPr>
      <w:keepNext/>
      <w:spacing w:before="240" w:after="60"/>
      <w:outlineLvl w:val="3"/>
    </w:pPr>
    <w:rPr>
      <w:b/>
      <w:bCs/>
      <w:sz w:val="28"/>
      <w:szCs w:val="28"/>
    </w:rPr>
  </w:style>
  <w:style w:type="paragraph" w:styleId="7">
    <w:name w:val="heading 5"/>
    <w:basedOn w:val="8"/>
    <w:next w:val="9"/>
    <w:qFormat/>
    <w:uiPriority w:val="9"/>
    <w:pPr>
      <w:keepNext/>
      <w:keepLines/>
      <w:tabs>
        <w:tab w:val="left" w:pos="780"/>
      </w:tabs>
      <w:spacing w:before="280" w:after="290" w:line="377" w:lineRule="auto"/>
      <w:ind w:firstLine="200" w:firstLineChars="200"/>
      <w:outlineLvl w:val="4"/>
    </w:pPr>
    <w:rPr>
      <w:rFonts w:ascii="Times New Roman" w:hAnsi="Times New Roman" w:eastAsia="仿宋_GB2312" w:cs="Times New Roman"/>
      <w:bCs/>
      <w:szCs w:val="28"/>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b/>
      <w:szCs w:val="24"/>
    </w:rPr>
  </w:style>
  <w:style w:type="paragraph" w:styleId="8">
    <w:name w:val="List Number 2"/>
    <w:basedOn w:val="1"/>
    <w:qFormat/>
    <w:uiPriority w:val="0"/>
    <w:pPr>
      <w:numPr>
        <w:ilvl w:val="0"/>
        <w:numId w:val="1"/>
      </w:numPr>
    </w:pPr>
  </w:style>
  <w:style w:type="paragraph" w:styleId="9">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0">
    <w:name w:val="Normal Indent"/>
    <w:basedOn w:val="1"/>
    <w:unhideWhenUsed/>
    <w:qFormat/>
    <w:uiPriority w:val="0"/>
    <w:pPr>
      <w:ind w:firstLine="420"/>
    </w:pPr>
    <w:rPr>
      <w:rFonts w:asciiTheme="minorHAnsi" w:hAnsiTheme="minorHAnsi" w:cstheme="minorBidi"/>
      <w:szCs w:val="22"/>
    </w:rPr>
  </w:style>
  <w:style w:type="paragraph" w:styleId="11">
    <w:name w:val="Document Map"/>
    <w:basedOn w:val="1"/>
    <w:qFormat/>
    <w:uiPriority w:val="99"/>
    <w:pPr>
      <w:shd w:val="clear" w:color="auto" w:fill="000080"/>
    </w:pPr>
    <w:rPr>
      <w:kern w:val="0"/>
      <w:sz w:val="2"/>
    </w:rPr>
  </w:style>
  <w:style w:type="paragraph" w:styleId="12">
    <w:name w:val="annotation text"/>
    <w:basedOn w:val="1"/>
    <w:semiHidden/>
    <w:qFormat/>
    <w:uiPriority w:val="0"/>
    <w:pPr>
      <w:jc w:val="left"/>
    </w:pPr>
    <w:rPr>
      <w:rFonts w:ascii="Times New Roman"/>
      <w:snapToGrid/>
      <w:kern w:val="2"/>
      <w:szCs w:val="20"/>
    </w:rPr>
  </w:style>
  <w:style w:type="paragraph" w:styleId="13">
    <w:name w:val="Body Text Indent"/>
    <w:basedOn w:val="1"/>
    <w:next w:val="14"/>
    <w:unhideWhenUsed/>
    <w:qFormat/>
    <w:uiPriority w:val="99"/>
    <w:pPr>
      <w:spacing w:after="120"/>
      <w:ind w:left="420" w:leftChars="200"/>
    </w:pPr>
  </w:style>
  <w:style w:type="paragraph" w:styleId="14">
    <w:name w:val="Body Text Indent 2"/>
    <w:basedOn w:val="1"/>
    <w:unhideWhenUsed/>
    <w:qFormat/>
    <w:uiPriority w:val="99"/>
    <w:pPr>
      <w:ind w:firstLine="420"/>
    </w:pPr>
    <w:rPr>
      <w:rFonts w:eastAsia="Roboto Th"/>
    </w:rPr>
  </w:style>
  <w:style w:type="paragraph" w:styleId="15">
    <w:name w:val="Plain Text"/>
    <w:basedOn w:val="1"/>
    <w:next w:val="1"/>
    <w:unhideWhenUsed/>
    <w:qFormat/>
    <w:uiPriority w:val="99"/>
    <w:rPr>
      <w:rFonts w:ascii="宋体" w:hAnsi="Courier New" w:eastAsia="宋体" w:cs="Courier New"/>
      <w:szCs w:val="21"/>
    </w:rPr>
  </w:style>
  <w:style w:type="paragraph" w:styleId="16">
    <w:name w:val="footer"/>
    <w:basedOn w:val="1"/>
    <w:unhideWhenUsed/>
    <w:qFormat/>
    <w:uiPriority w:val="99"/>
    <w:pPr>
      <w:tabs>
        <w:tab w:val="center" w:pos="4153"/>
        <w:tab w:val="right" w:pos="8306"/>
      </w:tabs>
      <w:snapToGrid w:val="0"/>
      <w:jc w:val="left"/>
    </w:pPr>
    <w:rPr>
      <w:sz w:val="18"/>
      <w:szCs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8">
    <w:name w:val="toc 1"/>
    <w:basedOn w:val="1"/>
    <w:next w:val="1"/>
    <w:unhideWhenUsed/>
    <w:qFormat/>
    <w:uiPriority w:val="39"/>
  </w:style>
  <w:style w:type="paragraph" w:styleId="19">
    <w:name w:val="footnote text"/>
    <w:basedOn w:val="1"/>
    <w:unhideWhenUsed/>
    <w:qFormat/>
    <w:uiPriority w:val="99"/>
    <w:pPr>
      <w:snapToGrid w:val="0"/>
      <w:jc w:val="left"/>
    </w:pPr>
    <w:rPr>
      <w:sz w:val="18"/>
      <w:szCs w:val="18"/>
    </w:rPr>
  </w:style>
  <w:style w:type="paragraph" w:styleId="20">
    <w:name w:val="toc 2"/>
    <w:basedOn w:val="1"/>
    <w:next w:val="1"/>
    <w:unhideWhenUsed/>
    <w:qFormat/>
    <w:uiPriority w:val="39"/>
    <w:pPr>
      <w:ind w:left="420" w:leftChars="200"/>
    </w:pPr>
  </w:style>
  <w:style w:type="paragraph" w:styleId="21">
    <w:name w:val="toc 9"/>
    <w:basedOn w:val="1"/>
    <w:next w:val="1"/>
    <w:semiHidden/>
    <w:qFormat/>
    <w:uiPriority w:val="0"/>
    <w:pPr>
      <w:ind w:left="1680"/>
      <w:jc w:val="left"/>
    </w:pPr>
    <w:rPr>
      <w:rFonts w:ascii="Times New Roman"/>
      <w:sz w:val="18"/>
      <w:szCs w:val="18"/>
    </w:rPr>
  </w:style>
  <w:style w:type="paragraph" w:styleId="22">
    <w:name w:val="Title"/>
    <w:basedOn w:val="1"/>
    <w:next w:val="1"/>
    <w:qFormat/>
    <w:uiPriority w:val="0"/>
    <w:pPr>
      <w:autoSpaceDE/>
      <w:autoSpaceDN/>
      <w:adjustRightInd/>
      <w:spacing w:before="240" w:after="60" w:line="240" w:lineRule="auto"/>
      <w:jc w:val="center"/>
      <w:outlineLvl w:val="0"/>
    </w:pPr>
    <w:rPr>
      <w:rFonts w:ascii="Cambria" w:hAnsi="Cambria"/>
      <w:b/>
      <w:bCs/>
      <w:sz w:val="32"/>
      <w:szCs w:val="32"/>
      <w:lang w:val="zh-CN"/>
    </w:rPr>
  </w:style>
  <w:style w:type="paragraph" w:styleId="23">
    <w:name w:val="Body Text First Indent"/>
    <w:basedOn w:val="2"/>
    <w:next w:val="1"/>
    <w:qFormat/>
    <w:uiPriority w:val="0"/>
    <w:pPr>
      <w:widowControl/>
      <w:spacing w:beforeLines="50"/>
      <w:ind w:firstLine="420" w:firstLineChars="100"/>
      <w:jc w:val="left"/>
    </w:pPr>
    <w:rPr>
      <w:rFonts w:ascii="宋体" w:hAnsi="宋体" w:eastAsia="宋体" w:cs="Times New Roman"/>
    </w:rPr>
  </w:style>
  <w:style w:type="paragraph" w:styleId="24">
    <w:name w:val="Body Text First Indent 2"/>
    <w:basedOn w:val="13"/>
    <w:next w:val="1"/>
    <w:unhideWhenUsed/>
    <w:qFormat/>
    <w:uiPriority w:val="99"/>
    <w:pPr>
      <w:ind w:left="200"/>
    </w:pPr>
  </w:style>
  <w:style w:type="table" w:styleId="26">
    <w:name w:val="Table Grid"/>
    <w:basedOn w:val="25"/>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qFormat/>
    <w:uiPriority w:val="99"/>
    <w:rPr>
      <w:rFonts w:cs="Times New Roman"/>
      <w:b/>
    </w:rPr>
  </w:style>
  <w:style w:type="character" w:styleId="29">
    <w:name w:val="page number"/>
    <w:basedOn w:val="27"/>
    <w:qFormat/>
    <w:uiPriority w:val="99"/>
  </w:style>
  <w:style w:type="character" w:styleId="30">
    <w:name w:val="Hyperlink"/>
    <w:unhideWhenUsed/>
    <w:qFormat/>
    <w:uiPriority w:val="99"/>
    <w:rPr>
      <w:color w:val="0000FF"/>
      <w:u w:val="single"/>
    </w:rPr>
  </w:style>
  <w:style w:type="paragraph" w:customStyle="1" w:styleId="31">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2">
    <w:name w:val="Normal Indent1"/>
    <w:qFormat/>
    <w:uiPriority w:val="0"/>
    <w:pPr>
      <w:spacing w:afterLines="50" w:line="360" w:lineRule="auto"/>
      <w:ind w:firstLine="420" w:firstLineChars="200"/>
    </w:pPr>
    <w:rPr>
      <w:rFonts w:ascii="Times New Roman" w:hAnsi="Times New Roman" w:eastAsia="宋体" w:cs="Times New Roman"/>
      <w:lang w:val="en-US" w:eastAsia="zh-CN" w:bidi="ar-SA"/>
    </w:rPr>
  </w:style>
  <w:style w:type="character" w:customStyle="1" w:styleId="33">
    <w:name w:val="标题 3 Char"/>
    <w:link w:val="5"/>
    <w:qFormat/>
    <w:uiPriority w:val="0"/>
    <w:rPr>
      <w:rFonts w:eastAsia="黑体"/>
      <w:bCs/>
      <w:sz w:val="32"/>
      <w:szCs w:val="32"/>
    </w:rPr>
  </w:style>
  <w:style w:type="paragraph" w:customStyle="1" w:styleId="34">
    <w:name w:val="null3"/>
    <w:qFormat/>
    <w:uiPriority w:val="0"/>
    <w:rPr>
      <w:rFonts w:hint="eastAsia" w:ascii="Calibri" w:hAnsi="Calibri" w:eastAsia="宋体" w:cs="Times New Roman"/>
      <w:lang w:val="en-US" w:eastAsia="zh-CN" w:bidi="ar-SA"/>
    </w:rPr>
  </w:style>
  <w:style w:type="paragraph" w:customStyle="1" w:styleId="35">
    <w:name w:val="样式1"/>
    <w:basedOn w:val="1"/>
    <w:qFormat/>
    <w:uiPriority w:val="0"/>
    <w:pPr>
      <w:jc w:val="center"/>
    </w:pPr>
    <w:rPr>
      <w:rFonts w:eastAsia="方正大标宋简体"/>
      <w:sz w:val="52"/>
    </w:rPr>
  </w:style>
  <w:style w:type="paragraph" w:customStyle="1" w:styleId="36">
    <w:name w:val="石墨文档正文"/>
    <w:qFormat/>
    <w:uiPriority w:val="99"/>
    <w:pPr>
      <w:spacing w:after="160" w:line="259" w:lineRule="auto"/>
    </w:pPr>
    <w:rPr>
      <w:rFonts w:ascii="微软雅黑" w:hAnsi="微软雅黑" w:eastAsia="微软雅黑" w:cs="微软雅黑"/>
      <w:sz w:val="24"/>
      <w:szCs w:val="24"/>
      <w:lang w:val="en-US" w:eastAsia="zh-CN" w:bidi="ar-SA"/>
    </w:rPr>
  </w:style>
  <w:style w:type="character" w:customStyle="1" w:styleId="37">
    <w:name w:val="10"/>
    <w:basedOn w:val="27"/>
    <w:qFormat/>
    <w:uiPriority w:val="0"/>
    <w:rPr>
      <w:rFonts w:hint="default" w:ascii="Times New Roman" w:hAnsi="Times New Roman" w:cs="Times New Roman"/>
    </w:rPr>
  </w:style>
  <w:style w:type="character" w:customStyle="1" w:styleId="38">
    <w:name w:val="15"/>
    <w:basedOn w:val="27"/>
    <w:qFormat/>
    <w:uiPriority w:val="0"/>
    <w:rPr>
      <w:rFonts w:hint="default" w:ascii="Times New Roman" w:hAnsi="Times New Roman" w:cs="Times New Roman"/>
    </w:rPr>
  </w:style>
  <w:style w:type="paragraph" w:customStyle="1" w:styleId="39">
    <w:name w:val="WPSOffice手动目录 1"/>
    <w:qFormat/>
    <w:uiPriority w:val="0"/>
    <w:pPr>
      <w:ind w:leftChars="0"/>
    </w:pPr>
    <w:rPr>
      <w:rFonts w:ascii="Times New Roman" w:hAnsi="Times New Roman" w:eastAsia="宋体" w:cs="Times New Roman"/>
      <w:sz w:val="20"/>
      <w:szCs w:val="20"/>
    </w:rPr>
  </w:style>
  <w:style w:type="paragraph" w:customStyle="1" w:styleId="40">
    <w:name w:val="WPSOffice手动目录 2"/>
    <w:qFormat/>
    <w:uiPriority w:val="0"/>
    <w:pPr>
      <w:ind w:leftChars="200"/>
    </w:pPr>
    <w:rPr>
      <w:rFonts w:ascii="Times New Roman" w:hAnsi="Times New Roman" w:eastAsia="宋体" w:cs="Times New Roman"/>
      <w:sz w:val="20"/>
      <w:szCs w:val="20"/>
    </w:rPr>
  </w:style>
  <w:style w:type="paragraph" w:customStyle="1" w:styleId="41">
    <w:name w:val="正文2"/>
    <w:next w:val="42"/>
    <w:qFormat/>
    <w:uiPriority w:val="0"/>
    <w:pPr>
      <w:overflowPunct w:val="0"/>
      <w:autoSpaceDE w:val="0"/>
      <w:autoSpaceDN w:val="0"/>
      <w:adjustRightInd w:val="0"/>
      <w:spacing w:after="160" w:line="259" w:lineRule="auto"/>
      <w:jc w:val="both"/>
      <w:textAlignment w:val="baseline"/>
    </w:pPr>
    <w:rPr>
      <w:rFonts w:ascii="Times New Roman" w:hAnsi="Times New Roman" w:eastAsia="宋体" w:cs="Times New Roman"/>
      <w:sz w:val="21"/>
      <w:lang w:val="en-US" w:eastAsia="zh-CN" w:bidi="ar-SA"/>
    </w:rPr>
  </w:style>
  <w:style w:type="paragraph" w:customStyle="1" w:styleId="42">
    <w:name w:val="正文文本1"/>
    <w:basedOn w:val="1"/>
    <w:next w:val="41"/>
    <w:qFormat/>
    <w:uiPriority w:val="0"/>
    <w:pPr>
      <w:widowControl/>
      <w:overflowPunct w:val="0"/>
      <w:autoSpaceDE w:val="0"/>
      <w:autoSpaceDN w:val="0"/>
      <w:adjustRightInd w:val="0"/>
      <w:spacing w:after="120"/>
      <w:textAlignment w:val="baseline"/>
    </w:pPr>
    <w:rPr>
      <w:kern w:val="0"/>
      <w:sz w:val="21"/>
    </w:rPr>
  </w:style>
  <w:style w:type="paragraph" w:customStyle="1" w:styleId="43">
    <w:name w:val="文档正文"/>
    <w:basedOn w:val="1"/>
    <w:qFormat/>
    <w:uiPriority w:val="0"/>
    <w:pPr>
      <w:overflowPunct w:val="0"/>
      <w:autoSpaceDE w:val="0"/>
      <w:autoSpaceDN w:val="0"/>
      <w:spacing w:line="360" w:lineRule="atLeast"/>
      <w:ind w:firstLine="200" w:firstLineChars="200"/>
      <w:textAlignment w:val="baseline"/>
    </w:pPr>
    <w:rPr>
      <w:rFonts w:ascii="Calibri" w:hAnsi="Calibri"/>
      <w:kern w:val="0"/>
      <w:sz w:val="21"/>
    </w:rPr>
  </w:style>
  <w:style w:type="paragraph" w:styleId="44">
    <w:name w:val="List Paragraph"/>
    <w:basedOn w:val="1"/>
    <w:qFormat/>
    <w:uiPriority w:val="34"/>
    <w:pPr>
      <w:ind w:firstLine="420" w:firstLineChars="200"/>
    </w:pPr>
  </w:style>
  <w:style w:type="paragraph" w:customStyle="1" w:styleId="45">
    <w:name w:val="Normal_0"/>
    <w:next w:val="46"/>
    <w:qFormat/>
    <w:uiPriority w:val="0"/>
    <w:pPr>
      <w:widowControl w:val="0"/>
      <w:spacing w:after="0" w:line="360" w:lineRule="auto"/>
      <w:ind w:firstLine="883" w:firstLineChars="200"/>
      <w:jc w:val="both"/>
    </w:pPr>
    <w:rPr>
      <w:rFonts w:ascii="仿宋_GB2312" w:hAnsi="仿宋_GB2312" w:eastAsia="仿宋_GB2312" w:cs="Times New Roman"/>
      <w:kern w:val="2"/>
      <w:sz w:val="32"/>
      <w:szCs w:val="24"/>
      <w:lang w:val="en-US" w:eastAsia="zh-CN" w:bidi="ar-SA"/>
    </w:rPr>
  </w:style>
  <w:style w:type="paragraph" w:customStyle="1" w:styleId="46">
    <w:name w:val="Body Text_0"/>
    <w:basedOn w:val="1"/>
    <w:next w:val="45"/>
    <w:unhideWhenUsed/>
    <w:qFormat/>
    <w:uiPriority w:val="99"/>
    <w:pPr>
      <w:spacing w:after="120" w:line="259" w:lineRule="auto"/>
    </w:pPr>
  </w:style>
  <w:style w:type="paragraph" w:customStyle="1" w:styleId="47">
    <w:name w:val="Normal Indent1_0"/>
    <w:qFormat/>
    <w:uiPriority w:val="0"/>
    <w:pPr>
      <w:spacing w:after="0" w:afterLines="50" w:line="360" w:lineRule="auto"/>
      <w:ind w:firstLine="420" w:firstLineChars="200"/>
    </w:pPr>
    <w:rPr>
      <w:rFonts w:ascii="Times New Roman" w:hAnsi="Times New Roman" w:eastAsia="宋体" w:cs="Times New Roman"/>
      <w:lang w:val="en-US" w:eastAsia="zh-CN" w:bidi="ar-SA"/>
    </w:rPr>
  </w:style>
  <w:style w:type="character" w:customStyle="1" w:styleId="48">
    <w:name w:val="font01"/>
    <w:basedOn w:val="27"/>
    <w:qFormat/>
    <w:uiPriority w:val="0"/>
    <w:rPr>
      <w:rFonts w:hint="eastAsia" w:ascii="宋体" w:hAnsi="宋体" w:eastAsia="宋体" w:cs="宋体"/>
      <w:b/>
      <w:bCs/>
      <w:color w:val="000000"/>
      <w:sz w:val="24"/>
      <w:szCs w:val="24"/>
      <w:u w:val="none"/>
    </w:rPr>
  </w:style>
  <w:style w:type="character" w:customStyle="1" w:styleId="49">
    <w:name w:val="font21"/>
    <w:basedOn w:val="27"/>
    <w:qFormat/>
    <w:uiPriority w:val="0"/>
    <w:rPr>
      <w:rFonts w:hint="eastAsia" w:ascii="宋体" w:hAnsi="宋体" w:eastAsia="宋体" w:cs="宋体"/>
      <w:color w:val="000000"/>
      <w:sz w:val="24"/>
      <w:szCs w:val="24"/>
      <w:u w:val="none"/>
    </w:rPr>
  </w:style>
  <w:style w:type="paragraph" w:customStyle="1" w:styleId="50">
    <w:name w:val="MsoNormal"/>
    <w:basedOn w:val="1"/>
    <w:qFormat/>
    <w:uiPriority w:val="0"/>
  </w:style>
  <w:style w:type="paragraph" w:customStyle="1" w:styleId="51">
    <w:name w:val="MsoFootnoteText"/>
    <w:basedOn w:val="1"/>
    <w:qFormat/>
    <w:uiPriority w:val="0"/>
  </w:style>
  <w:style w:type="table" w:customStyle="1" w:styleId="52">
    <w:name w:val="MsoNormalTable"/>
    <w:basedOn w:val="25"/>
    <w:qFormat/>
    <w:uiPriority w:val="0"/>
  </w:style>
  <w:style w:type="paragraph" w:customStyle="1" w:styleId="53">
    <w:name w:val="MsoBodyText"/>
    <w:basedOn w:val="1"/>
    <w:qFormat/>
    <w:uiPriority w:val="0"/>
  </w:style>
  <w:style w:type="table" w:customStyle="1" w:styleId="54">
    <w:name w:val="MsoTableGrid"/>
    <w:basedOn w:val="25"/>
    <w:qFormat/>
    <w:uiPriority w:val="0"/>
  </w:style>
  <w:style w:type="paragraph" w:customStyle="1" w:styleId="55">
    <w:name w:val="Heading 1_0"/>
    <w:basedOn w:val="1"/>
    <w:next w:val="45"/>
    <w:qFormat/>
    <w:uiPriority w:val="0"/>
    <w:pPr>
      <w:keepNext/>
      <w:widowControl/>
      <w:spacing w:before="240" w:after="60" w:line="240" w:lineRule="auto"/>
      <w:jc w:val="left"/>
      <w:outlineLvl w:val="0"/>
    </w:pPr>
    <w:rPr>
      <w:rFonts w:ascii="Arial" w:hAnsi="Arial" w:eastAsia="Times New Roman" w:cs="Arial"/>
      <w:b/>
      <w:bCs/>
      <w:kern w:val="32"/>
      <w:sz w:val="32"/>
      <w:szCs w:val="32"/>
      <w:lang w:eastAsia="en-US"/>
    </w:rPr>
  </w:style>
  <w:style w:type="paragraph" w:customStyle="1" w:styleId="56">
    <w:name w:val="Heading 2_0"/>
    <w:basedOn w:val="1"/>
    <w:next w:val="45"/>
    <w:qFormat/>
    <w:uiPriority w:val="0"/>
    <w:pPr>
      <w:keepNext/>
      <w:widowControl/>
      <w:spacing w:before="240" w:after="60" w:line="240" w:lineRule="auto"/>
      <w:jc w:val="left"/>
      <w:outlineLvl w:val="1"/>
    </w:pPr>
    <w:rPr>
      <w:rFonts w:ascii="Arial" w:hAnsi="Arial" w:eastAsia="Times New Roman" w:cs="Arial"/>
      <w:b/>
      <w:bCs/>
      <w:i/>
      <w:iCs/>
      <w:kern w:val="0"/>
      <w:sz w:val="28"/>
      <w:szCs w:val="28"/>
      <w:lang w:eastAsia="en-US"/>
    </w:rPr>
  </w:style>
  <w:style w:type="paragraph" w:customStyle="1" w:styleId="57">
    <w:name w:val="Heading 3_0"/>
    <w:basedOn w:val="1"/>
    <w:next w:val="45"/>
    <w:qFormat/>
    <w:uiPriority w:val="0"/>
    <w:pPr>
      <w:keepNext/>
      <w:widowControl/>
      <w:spacing w:before="240" w:after="60" w:line="240" w:lineRule="auto"/>
      <w:jc w:val="left"/>
      <w:outlineLvl w:val="2"/>
    </w:pPr>
    <w:rPr>
      <w:rFonts w:ascii="Arial" w:hAnsi="Arial" w:eastAsia="Times New Roman" w:cs="Arial"/>
      <w:b/>
      <w:bCs/>
      <w:kern w:val="0"/>
      <w:sz w:val="26"/>
      <w:szCs w:val="26"/>
      <w:lang w:eastAsia="en-US"/>
    </w:rPr>
  </w:style>
  <w:style w:type="paragraph" w:customStyle="1" w:styleId="58">
    <w:name w:val="Heading 4_0"/>
    <w:basedOn w:val="1"/>
    <w:next w:val="45"/>
    <w:qFormat/>
    <w:uiPriority w:val="0"/>
    <w:pPr>
      <w:keepNext/>
      <w:widowControl/>
      <w:spacing w:before="240" w:after="60" w:line="240" w:lineRule="auto"/>
      <w:jc w:val="left"/>
      <w:outlineLvl w:val="3"/>
    </w:pPr>
    <w:rPr>
      <w:rFonts w:eastAsia="Times New Roman"/>
      <w:b/>
      <w:bCs/>
      <w:kern w:val="0"/>
      <w:sz w:val="28"/>
      <w:szCs w:val="28"/>
      <w:lang w:eastAsia="en-US"/>
    </w:rPr>
  </w:style>
  <w:style w:type="paragraph" w:styleId="59">
    <w:name w:val="No Spacing"/>
    <w:qFormat/>
    <w:uiPriority w:val="99"/>
    <w:pPr>
      <w:overflowPunct w:val="0"/>
      <w:autoSpaceDE w:val="0"/>
      <w:autoSpaceDN w:val="0"/>
      <w:adjustRightInd w:val="0"/>
      <w:spacing w:after="160" w:line="360" w:lineRule="auto"/>
      <w:jc w:val="both"/>
      <w:textAlignment w:val="baseline"/>
    </w:pPr>
    <w:rPr>
      <w:rFonts w:ascii="Times New Roman" w:hAnsi="Times New Roman" w:eastAsia="仿宋_GB2312" w:cs="Times New Roman"/>
      <w:sz w:val="32"/>
      <w:lang w:val="en-US" w:eastAsia="zh-CN" w:bidi="ar-SA"/>
    </w:rPr>
  </w:style>
  <w:style w:type="paragraph" w:customStyle="1" w:styleId="60">
    <w:name w:val="Table Text"/>
    <w:basedOn w:val="1"/>
    <w:semiHidden/>
    <w:qFormat/>
    <w:uiPriority w:val="0"/>
    <w:rPr>
      <w:rFonts w:ascii="宋体" w:hAnsi="宋体" w:eastAsia="宋体" w:cs="宋体"/>
      <w:sz w:val="21"/>
      <w:szCs w:val="21"/>
      <w:lang w:val="en-US" w:eastAsia="en-US" w:bidi="ar-SA"/>
    </w:rPr>
  </w:style>
  <w:style w:type="table" w:customStyle="1" w:styleId="61">
    <w:name w:val="Table Normal"/>
    <w:semiHidden/>
    <w:unhideWhenUsed/>
    <w:qFormat/>
    <w:uiPriority w:val="0"/>
    <w:tblPr>
      <w:tblCellMar>
        <w:top w:w="0" w:type="dxa"/>
        <w:left w:w="0" w:type="dxa"/>
        <w:bottom w:w="0" w:type="dxa"/>
        <w:right w:w="0" w:type="dxa"/>
      </w:tblCellMar>
    </w:tblPr>
  </w:style>
  <w:style w:type="paragraph" w:customStyle="1" w:styleId="62">
    <w:name w:val="Fließtext"/>
    <w:basedOn w:val="1"/>
    <w:qFormat/>
    <w:uiPriority w:val="0"/>
    <w:pPr>
      <w:overflowPunct w:val="0"/>
      <w:autoSpaceDE w:val="0"/>
      <w:autoSpaceDN w:val="0"/>
      <w:adjustRightInd w:val="0"/>
      <w:textAlignment w:val="baseline"/>
    </w:pPr>
    <w:rPr>
      <w:kern w:val="28"/>
    </w:rPr>
  </w:style>
  <w:style w:type="paragraph" w:customStyle="1" w:styleId="63">
    <w:name w:val="MsoCommentText"/>
    <w:basedOn w:val="1"/>
    <w:qFormat/>
    <w:uiPriority w:val="0"/>
  </w:style>
  <w:style w:type="character" w:customStyle="1" w:styleId="64">
    <w:name w:val="fontstyle0"/>
    <w:basedOn w:val="27"/>
    <w:qFormat/>
    <w:uiPriority w:val="0"/>
  </w:style>
  <w:style w:type="paragraph" w:customStyle="1" w:styleId="65">
    <w:name w:val="15 Paragraph"/>
    <w:basedOn w:val="1"/>
    <w:qFormat/>
    <w:uiPriority w:val="0"/>
  </w:style>
  <w:style w:type="paragraph" w:customStyle="1" w:styleId="66">
    <w:name w:val="16"/>
    <w:basedOn w:val="1"/>
    <w:qFormat/>
    <w:uiPriority w:val="0"/>
  </w:style>
  <w:style w:type="paragraph" w:customStyle="1" w:styleId="67">
    <w:name w:val="xl23"/>
    <w:next w:val="21"/>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68">
    <w:name w:val="正文（绿盟科技）"/>
    <w:qFormat/>
    <w:uiPriority w:val="0"/>
    <w:pPr>
      <w:spacing w:after="200" w:line="300" w:lineRule="auto"/>
    </w:pPr>
    <w:rPr>
      <w:rFonts w:ascii="Arial" w:hAnsi="Arial" w:eastAsia="宋体" w:cs="黑体"/>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110</Pages>
  <Words>23468</Words>
  <Characters>24903</Characters>
  <Lines>0</Lines>
  <Paragraphs>0</Paragraphs>
  <TotalTime>43</TotalTime>
  <ScaleCrop>false</ScaleCrop>
  <LinksUpToDate>false</LinksUpToDate>
  <CharactersWithSpaces>25210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2024-07-05T16:15:00Z</dcterms:created>
  <dc:creator>..............</dc:creator>
  <cp:lastModifiedBy>珊</cp:lastModifiedBy>
  <cp:lastPrinted>2026-05-26T10:12:00Z</cp:lastPrinted>
  <dcterms:modified xsi:type="dcterms:W3CDTF">2026-07-14T09:43:35Z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8C65F5DC8F2B42628D17254DDA70DA90_13</vt:lpwstr>
  </property>
  <property fmtid="{D5CDD505-2E9C-101B-9397-08002B2CF9AE}" pid="4" name="KSOTemplateDocerSaveRecord">
    <vt:lpwstr>eyJoZGlkIjoiNmRmYzk5OGQ0OTVmOTY5OWYxNzRiNGZmMjlkNjFmMjMiLCJ1c2VySWQiOiIyMzYyMjc2MzQifQ==</vt:lpwstr>
  </property>
</Properties>
</file>