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oter4.xml" ContentType="application/vnd.openxmlformats-officedocument.wordprocessingml.footer+xml"/>
  <Override PartName="/word/fontTable.xml" ContentType="application/vnd.openxmlformats-officedocument.wordprocessingml.fontTable+xml"/>
  <Override PartName="/word/footer9.xml" ContentType="application/vnd.openxmlformats-officedocument.wordprocessingml.footer+xml"/>
  <Override PartName="/word/footer6.xml" ContentType="application/vnd.openxmlformats-officedocument.wordprocessingml.footer+xml"/>
  <Override PartName="/docProps/core.xml" ContentType="application/vnd.openxmlformats-package.core-properties+xml"/>
  <Override PartName="/word/footer1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header5.xml" ContentType="application/vnd.openxmlformats-officedocument.wordprocessingml.header+xml"/>
  <Override PartName="/word/settings.xml" ContentType="application/vnd.openxmlformats-officedocument.wordprocessingml.settings+xml"/>
  <Override PartName="/docProps/custom.xml" ContentType="application/vnd.openxmlformats-officedocument.custom-properties+xml"/>
  <Override PartName="/word/header7.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document.xml" ContentType="application/vnd.openxmlformats-officedocument.wordprocessingml.document.main+xml"/>
  <Override PartName="/customXml/itemProps1.xml" ContentType="application/vnd.openxmlformats-officedocument.customXmlProperties+xml"/>
  <Override PartName="/word/footer10.xml" ContentType="application/vnd.openxmlformats-officedocument.wordprocessingml.footer+xml"/>
  <Override PartName="/word/header8.xml" ContentType="application/vnd.openxmlformats-officedocument.wordprocessingml.header+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widowControl w:val="false"/>
        <w:snapToGrid w:val="false"/>
        <w:spacing w:lineRule="exact" w:line="560"/>
        <w:ind w:firstLine="241" w:firstLineChars="50"/>
        <w:jc w:val="center"/>
        <w:rPr>
          <w:rFonts w:ascii="宋体" w:cs="宋体" w:hAnsi="宋体"/>
          <w:b/>
          <w:color w:val="auto"/>
          <w:spacing w:val="40"/>
          <w:sz w:val="40"/>
          <w:szCs w:val="40"/>
          <w:highlight w:val="none"/>
        </w:rPr>
      </w:pPr>
    </w:p>
    <w:p>
      <w:pPr>
        <w:pStyle w:val="style0"/>
        <w:widowControl w:val="false"/>
        <w:snapToGrid w:val="false"/>
        <w:spacing w:lineRule="exact" w:line="560"/>
        <w:ind w:firstLine="221" w:firstLineChars="50"/>
        <w:jc w:val="center"/>
        <w:rPr>
          <w:rFonts w:ascii="宋体" w:cs="宋体" w:hAnsi="宋体" w:hint="eastAsia"/>
          <w:b/>
          <w:color w:val="auto"/>
          <w:sz w:val="44"/>
          <w:szCs w:val="44"/>
          <w:highlight w:val="none"/>
          <w:lang w:eastAsia="zh-CN"/>
        </w:rPr>
      </w:pPr>
      <w:r>
        <w:rPr>
          <w:rFonts w:ascii="宋体" w:cs="宋体" w:hAnsi="宋体" w:hint="eastAsia"/>
          <w:b/>
          <w:color w:val="auto"/>
          <w:sz w:val="44"/>
          <w:szCs w:val="44"/>
          <w:highlight w:val="none"/>
          <w:lang w:eastAsia="zh-CN"/>
        </w:rPr>
        <w:t>安阳市肿瘤医院工程造价咨询、审计机构</w:t>
      </w:r>
    </w:p>
    <w:p>
      <w:pPr>
        <w:pStyle w:val="style0"/>
        <w:widowControl w:val="false"/>
        <w:snapToGrid w:val="false"/>
        <w:spacing w:lineRule="exact" w:line="560"/>
        <w:ind w:firstLine="221" w:firstLineChars="50"/>
        <w:jc w:val="center"/>
        <w:rPr>
          <w:rFonts w:ascii="宋体" w:cs="宋体" w:eastAsia="宋体" w:hAnsi="宋体" w:hint="eastAsia"/>
          <w:b/>
          <w:color w:val="auto"/>
          <w:spacing w:val="40"/>
          <w:sz w:val="44"/>
          <w:szCs w:val="44"/>
          <w:highlight w:val="none"/>
          <w:lang w:eastAsia="zh-CN"/>
        </w:rPr>
      </w:pPr>
      <w:r>
        <w:rPr>
          <w:rFonts w:ascii="宋体" w:cs="宋体" w:hAnsi="宋体" w:hint="eastAsia"/>
          <w:b/>
          <w:color w:val="auto"/>
          <w:sz w:val="44"/>
          <w:szCs w:val="44"/>
          <w:highlight w:val="none"/>
          <w:lang w:eastAsia="zh-CN"/>
        </w:rPr>
        <w:t>入围项目</w:t>
      </w:r>
    </w:p>
    <w:p>
      <w:pPr>
        <w:pStyle w:val="style0"/>
        <w:widowControl w:val="false"/>
        <w:snapToGrid w:val="false"/>
        <w:spacing w:lineRule="exact" w:line="560"/>
        <w:ind w:firstLine="261" w:firstLineChars="50"/>
        <w:jc w:val="center"/>
        <w:rPr>
          <w:rFonts w:ascii="宋体" w:cs="宋体" w:hAnsi="宋体"/>
          <w:b/>
          <w:color w:val="auto"/>
          <w:spacing w:val="40"/>
          <w:sz w:val="44"/>
          <w:szCs w:val="44"/>
          <w:highlight w:val="none"/>
        </w:rPr>
      </w:pPr>
    </w:p>
    <w:p>
      <w:pPr>
        <w:pStyle w:val="style78"/>
        <w:rPr>
          <w:rFonts w:ascii="宋体" w:cs="宋体" w:hAnsi="宋体"/>
          <w:color w:val="auto"/>
          <w:highlight w:val="none"/>
        </w:rPr>
      </w:pPr>
    </w:p>
    <w:p>
      <w:pPr>
        <w:pStyle w:val="style77"/>
        <w:ind w:firstLine="210"/>
        <w:rPr>
          <w:rFonts w:ascii="宋体" w:cs="宋体" w:hAnsi="宋体"/>
          <w:color w:val="auto"/>
          <w:highlight w:val="none"/>
        </w:rPr>
      </w:pPr>
    </w:p>
    <w:p>
      <w:pPr>
        <w:pStyle w:val="style0"/>
        <w:widowControl w:val="false"/>
        <w:snapToGrid w:val="false"/>
        <w:jc w:val="center"/>
        <w:rPr>
          <w:rFonts w:ascii="宋体" w:cs="宋体" w:hAnsi="宋体"/>
          <w:b/>
          <w:color w:val="auto"/>
          <w:sz w:val="84"/>
          <w:szCs w:val="84"/>
          <w:highlight w:val="none"/>
        </w:rPr>
      </w:pPr>
      <w:r>
        <w:rPr>
          <w:rFonts w:ascii="宋体" w:cs="宋体" w:hAnsi="宋体" w:hint="eastAsia"/>
          <w:b/>
          <w:color w:val="auto"/>
          <w:sz w:val="84"/>
          <w:szCs w:val="84"/>
          <w:highlight w:val="none"/>
        </w:rPr>
        <w:t>竞争性磋商文件</w:t>
      </w:r>
    </w:p>
    <w:p>
      <w:pPr>
        <w:pStyle w:val="style0"/>
        <w:widowControl w:val="false"/>
        <w:snapToGrid w:val="false"/>
        <w:spacing w:beforeLines="100" w:lineRule="exact" w:line="560"/>
        <w:jc w:val="center"/>
        <w:rPr>
          <w:rFonts w:ascii="宋体" w:cs="宋体" w:eastAsia="宋体" w:hAnsi="宋体" w:hint="default"/>
          <w:color w:val="auto"/>
          <w:sz w:val="32"/>
          <w:szCs w:val="32"/>
          <w:highlight w:val="none"/>
          <w:lang w:val="en-US" w:eastAsia="zh-CN"/>
        </w:rPr>
      </w:pPr>
      <w:r>
        <w:rPr>
          <w:rFonts w:ascii="宋体" w:cs="宋体" w:hAnsi="宋体" w:hint="eastAsia"/>
          <w:color w:val="auto"/>
          <w:sz w:val="32"/>
          <w:szCs w:val="32"/>
          <w:highlight w:val="none"/>
        </w:rPr>
        <w:t>项目编号：</w:t>
      </w:r>
      <w:r>
        <w:rPr>
          <w:rFonts w:ascii="宋体" w:cs="宋体" w:hAnsi="宋体" w:hint="eastAsia"/>
          <w:color w:val="auto"/>
          <w:sz w:val="32"/>
          <w:szCs w:val="32"/>
          <w:highlight w:val="none"/>
          <w:lang w:val="en-US" w:eastAsia="zh-CN"/>
        </w:rPr>
        <w:t>SXZJGJ2024-0426</w:t>
      </w:r>
    </w:p>
    <w:p>
      <w:pPr>
        <w:pStyle w:val="style0"/>
        <w:widowControl w:val="false"/>
        <w:snapToGrid w:val="false"/>
        <w:spacing w:beforeLines="100" w:lineRule="exact" w:line="560"/>
        <w:jc w:val="center"/>
        <w:rPr>
          <w:rFonts w:ascii="宋体" w:cs="宋体" w:hAnsi="宋体"/>
          <w:b/>
          <w:color w:val="auto"/>
          <w:sz w:val="44"/>
          <w:highlight w:val="none"/>
        </w:rPr>
      </w:pPr>
    </w:p>
    <w:p>
      <w:pPr>
        <w:pStyle w:val="style0"/>
        <w:widowControl w:val="false"/>
        <w:snapToGrid w:val="false"/>
        <w:spacing w:beforeLines="100" w:lineRule="exact" w:line="560"/>
        <w:jc w:val="center"/>
        <w:rPr>
          <w:rFonts w:ascii="宋体" w:cs="宋体" w:hAnsi="宋体"/>
          <w:b/>
          <w:color w:val="auto"/>
          <w:sz w:val="44"/>
          <w:highlight w:val="none"/>
        </w:rPr>
      </w:pPr>
    </w:p>
    <w:p>
      <w:pPr>
        <w:pStyle w:val="style0"/>
        <w:widowControl w:val="false"/>
        <w:snapToGrid w:val="false"/>
        <w:spacing w:beforeLines="100" w:lineRule="exact" w:line="560"/>
        <w:jc w:val="center"/>
        <w:rPr>
          <w:rFonts w:ascii="宋体" w:cs="宋体" w:hAnsi="宋体"/>
          <w:b/>
          <w:color w:val="auto"/>
          <w:sz w:val="44"/>
          <w:highlight w:val="none"/>
        </w:rPr>
      </w:pPr>
    </w:p>
    <w:p>
      <w:pPr>
        <w:pStyle w:val="style78"/>
        <w:rPr>
          <w:rFonts w:ascii="宋体" w:cs="宋体" w:hAnsi="宋体"/>
          <w:b/>
          <w:color w:val="auto"/>
          <w:sz w:val="44"/>
          <w:highlight w:val="none"/>
        </w:rPr>
      </w:pPr>
    </w:p>
    <w:p>
      <w:pPr>
        <w:pStyle w:val="style0"/>
        <w:rPr>
          <w:rFonts w:ascii="宋体" w:cs="宋体" w:hAnsi="宋体"/>
          <w:b/>
          <w:color w:val="auto"/>
          <w:sz w:val="44"/>
          <w:highlight w:val="none"/>
        </w:rPr>
      </w:pPr>
    </w:p>
    <w:p>
      <w:pPr>
        <w:pStyle w:val="style0"/>
        <w:rPr>
          <w:rFonts w:ascii="宋体" w:cs="宋体" w:hAnsi="宋体"/>
          <w:b/>
          <w:color w:val="auto"/>
          <w:sz w:val="44"/>
          <w:highlight w:val="none"/>
        </w:rPr>
      </w:pPr>
    </w:p>
    <w:p>
      <w:pPr>
        <w:pStyle w:val="style0"/>
        <w:widowControl w:val="false"/>
        <w:snapToGrid w:val="false"/>
        <w:spacing w:beforeLines="100" w:lineRule="exact" w:line="560"/>
        <w:jc w:val="center"/>
        <w:rPr>
          <w:rFonts w:ascii="宋体" w:cs="宋体" w:hAnsi="宋体"/>
          <w:b/>
          <w:color w:val="auto"/>
          <w:sz w:val="44"/>
          <w:highlight w:val="none"/>
        </w:rPr>
      </w:pPr>
    </w:p>
    <w:p>
      <w:pPr>
        <w:pStyle w:val="style4098"/>
        <w:rPr>
          <w:rFonts w:ascii="宋体" w:cs="宋体" w:hAnsi="宋体"/>
          <w:b/>
          <w:color w:val="auto"/>
          <w:sz w:val="44"/>
          <w:highlight w:val="none"/>
        </w:rPr>
      </w:pPr>
    </w:p>
    <w:p>
      <w:pPr>
        <w:pStyle w:val="style0"/>
        <w:spacing w:lineRule="auto" w:line="360"/>
        <w:ind w:firstLine="1084" w:firstLineChars="300"/>
        <w:rPr>
          <w:rFonts w:ascii="宋体" w:cs="宋体" w:eastAsia="宋体" w:hAnsi="宋体" w:hint="eastAsia"/>
          <w:b/>
          <w:bCs/>
          <w:color w:val="auto"/>
          <w:spacing w:val="300"/>
          <w:sz w:val="36"/>
          <w:szCs w:val="32"/>
          <w:highlight w:val="none"/>
          <w:lang w:eastAsia="zh-CN"/>
        </w:rPr>
      </w:pPr>
      <w:r>
        <w:rPr>
          <w:rFonts w:ascii="宋体" w:cs="宋体" w:hAnsi="宋体" w:hint="eastAsia"/>
          <w:b/>
          <w:bCs/>
          <w:color w:val="auto"/>
          <w:sz w:val="36"/>
          <w:szCs w:val="32"/>
          <w:highlight w:val="none"/>
        </w:rPr>
        <w:t>采购单位：</w:t>
      </w:r>
      <w:r>
        <w:rPr>
          <w:rFonts w:ascii="宋体" w:cs="宋体" w:hAnsi="宋体" w:hint="eastAsia"/>
          <w:b/>
          <w:bCs/>
          <w:color w:val="auto"/>
          <w:spacing w:val="215"/>
          <w:sz w:val="36"/>
          <w:szCs w:val="32"/>
          <w:highlight w:val="none"/>
          <w:lang w:eastAsia="zh-CN"/>
        </w:rPr>
        <w:t>安阳市肿瘤医院</w:t>
      </w:r>
    </w:p>
    <w:p>
      <w:pPr>
        <w:pStyle w:val="style0"/>
        <w:spacing w:lineRule="auto" w:line="360"/>
        <w:jc w:val="center"/>
        <w:rPr>
          <w:rFonts w:ascii="宋体" w:cs="宋体" w:hAnsi="宋体"/>
          <w:b/>
          <w:bCs/>
          <w:color w:val="auto"/>
          <w:sz w:val="36"/>
          <w:szCs w:val="32"/>
          <w:highlight w:val="none"/>
        </w:rPr>
      </w:pPr>
      <w:r>
        <w:rPr>
          <w:rFonts w:ascii="宋体" w:cs="宋体" w:hAnsi="宋体" w:hint="eastAsia"/>
          <w:b/>
          <w:bCs/>
          <w:color w:val="auto"/>
          <w:sz w:val="36"/>
          <w:szCs w:val="32"/>
          <w:highlight w:val="none"/>
        </w:rPr>
        <w:t>招标代理：河南晟祥招标代理服务有限公司</w:t>
      </w:r>
    </w:p>
    <w:p>
      <w:pPr>
        <w:pStyle w:val="style0"/>
        <w:spacing w:lineRule="auto" w:line="360"/>
        <w:jc w:val="center"/>
        <w:rPr>
          <w:rFonts w:ascii="宋体" w:cs="宋体" w:hAnsi="宋体"/>
          <w:b/>
          <w:bCs/>
          <w:color w:val="auto"/>
          <w:sz w:val="36"/>
          <w:szCs w:val="36"/>
          <w:highlight w:val="none"/>
        </w:rPr>
        <w:sectPr>
          <w:headerReference w:type="even" r:id="rId2"/>
          <w:headerReference w:type="default" r:id="rId3"/>
          <w:footerReference w:type="even" r:id="rId4"/>
          <w:footerReference w:type="default" r:id="rId5"/>
          <w:headerReference w:type="first" r:id="rId6"/>
          <w:footerReference w:type="first" r:id="rId7"/>
          <w:pgSz w:w="11905" w:h="16837" w:orient="portrait"/>
          <w:pgMar w:top="1417" w:right="1417" w:bottom="1417" w:left="1418" w:header="567" w:footer="1077" w:gutter="0"/>
          <w:pgBorders w:zOrder="front" w:display="allPages" w:offsetFrom="text">
            <w:top w:val="none" w:sz="0" w:space="0" w:color="auto"/>
            <w:left w:val="none" w:sz="0" w:space="0" w:color="auto"/>
            <w:bottom w:val="none" w:sz="0" w:space="0" w:color="auto"/>
            <w:right w:val="none" w:sz="0" w:space="0" w:color="auto"/>
          </w:pgBorders>
          <w:pgNumType w:fmt="numberInDash" w:start="1"/>
          <w:cols w:space="0" w:num="1"/>
          <w:titlePg/>
        </w:sectPr>
      </w:pPr>
      <w:r>
        <w:rPr>
          <w:rFonts w:ascii="宋体" w:cs="宋体" w:hAnsi="宋体" w:hint="eastAsia"/>
          <w:b/>
          <w:bCs/>
          <w:color w:val="auto"/>
          <w:sz w:val="36"/>
          <w:szCs w:val="36"/>
          <w:highlight w:val="none"/>
        </w:rPr>
        <w:t>二〇二四年</w:t>
      </w:r>
      <w:r>
        <w:rPr>
          <w:rFonts w:ascii="宋体" w:cs="宋体" w:hAnsi="宋体" w:hint="eastAsia"/>
          <w:b/>
          <w:bCs/>
          <w:color w:val="auto"/>
          <w:sz w:val="36"/>
          <w:szCs w:val="36"/>
          <w:highlight w:val="none"/>
          <w:lang w:val="en-US" w:eastAsia="zh-CN"/>
        </w:rPr>
        <w:t>四</w:t>
      </w:r>
      <w:r>
        <w:rPr>
          <w:rFonts w:ascii="宋体" w:cs="宋体" w:hAnsi="宋体" w:hint="eastAsia"/>
          <w:b/>
          <w:bCs/>
          <w:color w:val="auto"/>
          <w:sz w:val="36"/>
          <w:szCs w:val="36"/>
          <w:highlight w:val="none"/>
        </w:rPr>
        <w:t>月</w:t>
      </w:r>
    </w:p>
    <w:p>
      <w:pPr>
        <w:pStyle w:val="style0"/>
        <w:jc w:val="center"/>
        <w:rPr>
          <w:rFonts w:ascii="宋体" w:cs="宋体" w:eastAsia="宋体" w:hAnsi="宋体" w:hint="eastAsia"/>
          <w:color w:val="auto"/>
          <w:sz w:val="21"/>
          <w:highlight w:val="none"/>
          <w:u w:color="000000"/>
          <w:lang w:val="en-US" w:bidi="ar-SA" w:eastAsia="zh-CN"/>
        </w:rPr>
      </w:pPr>
      <w:r>
        <w:rPr>
          <w:rFonts w:ascii="宋体" w:cs="宋体" w:hAnsi="宋体" w:hint="eastAsia"/>
          <w:color w:val="auto"/>
          <w:sz w:val="36"/>
          <w:szCs w:val="36"/>
          <w:highlight w:val="none"/>
          <w:lang w:val="zh-CN"/>
        </w:rPr>
        <w:t>目</w:t>
      </w:r>
      <w:r>
        <w:rPr>
          <w:rFonts w:ascii="宋体" w:cs="宋体" w:hAnsi="宋体" w:hint="eastAsia"/>
          <w:color w:val="auto"/>
          <w:sz w:val="36"/>
          <w:szCs w:val="36"/>
          <w:highlight w:val="none"/>
          <w:lang w:val="en-US" w:eastAsia="zh-CN"/>
        </w:rPr>
        <w:t xml:space="preserve">  </w:t>
      </w:r>
      <w:r>
        <w:rPr>
          <w:rFonts w:ascii="宋体" w:cs="宋体" w:hAnsi="宋体" w:hint="eastAsia"/>
          <w:color w:val="auto"/>
          <w:sz w:val="36"/>
          <w:szCs w:val="36"/>
          <w:highlight w:val="none"/>
          <w:lang w:val="zh-CN"/>
        </w:rPr>
        <w:t>录</w:t>
      </w:r>
      <w:r>
        <w:rPr>
          <w:rFonts w:ascii="宋体" w:cs="宋体" w:hAnsi="宋体" w:hint="eastAsia"/>
          <w:color w:val="auto"/>
          <w:highlight w:val="none"/>
        </w:rPr>
        <w:fldChar w:fldCharType="begin"/>
      </w:r>
      <w:r>
        <w:rPr>
          <w:rFonts w:ascii="宋体" w:cs="宋体" w:hAnsi="宋体" w:hint="eastAsia"/>
          <w:color w:val="auto"/>
          <w:highlight w:val="none"/>
        </w:rPr>
        <w:instrText xml:space="preserve"> TOC \o "1-3" \h \z \u </w:instrText>
      </w:r>
      <w:r>
        <w:rPr>
          <w:rFonts w:ascii="宋体" w:cs="宋体" w:hAnsi="宋体" w:hint="eastAsia"/>
          <w:color w:val="auto"/>
          <w:highlight w:val="none"/>
        </w:rPr>
        <w:fldChar w:fldCharType="separate"/>
      </w:r>
    </w:p>
    <w:p>
      <w:pPr>
        <w:pStyle w:val="style19"/>
        <w:tabs>
          <w:tab w:val="right" w:leader="dot" w:pos="9070"/>
        </w:tabs>
        <w:rPr>
          <w:rFonts w:ascii="宋体" w:cs="宋体" w:hAnsi="宋体" w:hint="eastAsia"/>
          <w:color w:val="auto"/>
          <w:highlight w:val="none"/>
        </w:rPr>
      </w:pPr>
    </w:p>
    <w:p>
      <w:pPr>
        <w:pStyle w:val="style19"/>
        <w:tabs>
          <w:tab w:val="right" w:leader="dot" w:pos="9070"/>
        </w:tabs>
        <w:rPr>
          <w:rFonts w:ascii="宋体" w:cs="宋体" w:hAnsi="宋体" w:hint="eastAsia"/>
          <w:color w:val="auto"/>
          <w:highlight w:val="none"/>
        </w:rPr>
      </w:pPr>
    </w:p>
    <w:p>
      <w:pPr>
        <w:pStyle w:val="style19"/>
        <w:keepNext w:val="false"/>
        <w:keepLines w:val="false"/>
        <w:pageBreakBefore w:val="false"/>
        <w:widowControl/>
        <w:tabs>
          <w:tab w:val="right" w:leader="dot" w:pos="9070"/>
        </w:tabs>
        <w:kinsoku/>
        <w:wordWrap/>
        <w:overflowPunct/>
        <w:topLinePunct w:val="false"/>
        <w:autoSpaceDE/>
        <w:autoSpaceDN/>
        <w:bidi w:val="false"/>
        <w:adjustRightInd/>
        <w:snapToGrid/>
        <w:spacing w:lineRule="exact" w:line="460"/>
        <w:textAlignment w:val="baseline"/>
        <w:rPr/>
      </w:pPr>
      <w:r>
        <w:rPr>
          <w:rFonts w:ascii="宋体" w:cs="宋体" w:hAnsi="宋体" w:hint="eastAsia"/>
          <w:color w:val="auto"/>
          <w:highlight w:val="none"/>
        </w:rPr>
        <w:fldChar w:fldCharType="begin"/>
      </w:r>
      <w:r>
        <w:rPr>
          <w:rFonts w:ascii="宋体" w:cs="宋体" w:hAnsi="宋体" w:hint="eastAsia"/>
          <w:highlight w:val="none"/>
        </w:rPr>
        <w:instrText xml:space="preserve"> HYPERLINK \l _Toc31064 </w:instrText>
      </w:r>
      <w:r>
        <w:rPr>
          <w:rFonts w:ascii="宋体" w:cs="宋体" w:hAnsi="宋体" w:hint="eastAsia"/>
          <w:highlight w:val="none"/>
        </w:rPr>
        <w:fldChar w:fldCharType="separate"/>
      </w:r>
      <w:r>
        <w:rPr>
          <w:rFonts w:ascii="宋体" w:cs="宋体" w:hAnsi="宋体" w:hint="eastAsia"/>
          <w:szCs w:val="36"/>
          <w:highlight w:val="none"/>
        </w:rPr>
        <w:t>第一章竞争性磋商公告</w:t>
      </w:r>
      <w:r>
        <w:tab/>
      </w:r>
      <w:r>
        <w:rPr/>
        <w:fldChar w:fldCharType="begin"/>
      </w:r>
      <w:r>
        <w:instrText xml:space="preserve"> PAGEREF _Toc31064 \h </w:instrText>
      </w:r>
      <w:r>
        <w:rPr/>
        <w:fldChar w:fldCharType="separate"/>
      </w:r>
      <w:r>
        <w:t>3</w:t>
      </w:r>
      <w:r>
        <w:rPr/>
        <w:fldChar w:fldCharType="end"/>
      </w:r>
      <w:r>
        <w:rPr>
          <w:rFonts w:ascii="宋体" w:cs="宋体" w:hAnsi="宋体" w:hint="eastAsia"/>
          <w:color w:val="auto"/>
          <w:highlight w:val="none"/>
        </w:rPr>
        <w:fldChar w:fldCharType="end"/>
      </w:r>
    </w:p>
    <w:p>
      <w:pPr>
        <w:pStyle w:val="style19"/>
        <w:keepNext w:val="false"/>
        <w:keepLines w:val="false"/>
        <w:pageBreakBefore w:val="false"/>
        <w:widowControl/>
        <w:tabs>
          <w:tab w:val="right" w:leader="dot" w:pos="9070"/>
        </w:tabs>
        <w:kinsoku/>
        <w:wordWrap/>
        <w:overflowPunct/>
        <w:topLinePunct w:val="false"/>
        <w:autoSpaceDE/>
        <w:autoSpaceDN/>
        <w:bidi w:val="false"/>
        <w:adjustRightInd/>
        <w:snapToGrid/>
        <w:spacing w:lineRule="exact" w:line="460"/>
        <w:textAlignment w:val="baseline"/>
        <w:rPr/>
      </w:pPr>
      <w:r>
        <w:rPr>
          <w:rFonts w:ascii="宋体" w:cs="宋体" w:hAnsi="宋体" w:hint="eastAsia"/>
          <w:color w:val="auto"/>
          <w:highlight w:val="none"/>
        </w:rPr>
        <w:fldChar w:fldCharType="begin"/>
      </w:r>
      <w:r>
        <w:rPr>
          <w:rFonts w:ascii="宋体" w:cs="宋体" w:hAnsi="宋体" w:hint="eastAsia"/>
          <w:highlight w:val="none"/>
        </w:rPr>
        <w:instrText xml:space="preserve"> HYPERLINK \l _Toc18083 </w:instrText>
      </w:r>
      <w:r>
        <w:rPr>
          <w:rFonts w:ascii="宋体" w:cs="宋体" w:hAnsi="宋体" w:hint="eastAsia"/>
          <w:highlight w:val="none"/>
        </w:rPr>
        <w:fldChar w:fldCharType="separate"/>
      </w:r>
      <w:r>
        <w:rPr>
          <w:rFonts w:ascii="宋体" w:cs="宋体" w:hAnsi="宋体" w:hint="eastAsia"/>
          <w:szCs w:val="36"/>
          <w:highlight w:val="none"/>
        </w:rPr>
        <w:t>第二章  采购项目及服务要求</w:t>
      </w:r>
      <w:r>
        <w:tab/>
      </w:r>
      <w:r>
        <w:rPr/>
        <w:fldChar w:fldCharType="begin"/>
      </w:r>
      <w:r>
        <w:instrText xml:space="preserve"> PAGEREF _Toc18083 \h </w:instrText>
      </w:r>
      <w:r>
        <w:rPr/>
        <w:fldChar w:fldCharType="separate"/>
      </w:r>
      <w:r>
        <w:t>6</w:t>
      </w:r>
      <w:r>
        <w:rPr/>
        <w:fldChar w:fldCharType="end"/>
      </w:r>
      <w:r>
        <w:rPr>
          <w:rFonts w:ascii="宋体" w:cs="宋体" w:hAnsi="宋体" w:hint="eastAsia"/>
          <w:color w:val="auto"/>
          <w:highlight w:val="none"/>
        </w:rPr>
        <w:fldChar w:fldCharType="end"/>
      </w:r>
    </w:p>
    <w:p>
      <w:pPr>
        <w:pStyle w:val="style20"/>
        <w:keepNext w:val="false"/>
        <w:keepLines w:val="false"/>
        <w:pageBreakBefore w:val="false"/>
        <w:widowControl/>
        <w:tabs>
          <w:tab w:val="right" w:leader="dot" w:pos="9070"/>
        </w:tabs>
        <w:kinsoku/>
        <w:wordWrap/>
        <w:overflowPunct/>
        <w:topLinePunct w:val="false"/>
        <w:autoSpaceDE/>
        <w:autoSpaceDN/>
        <w:bidi w:val="false"/>
        <w:adjustRightInd/>
        <w:snapToGrid/>
        <w:spacing w:lineRule="exact" w:line="460"/>
        <w:textAlignment w:val="baseline"/>
        <w:rPr/>
      </w:pPr>
      <w:r>
        <w:rPr>
          <w:rFonts w:ascii="宋体" w:cs="宋体" w:hAnsi="宋体" w:hint="eastAsia"/>
          <w:color w:val="auto"/>
          <w:highlight w:val="none"/>
        </w:rPr>
        <w:fldChar w:fldCharType="begin"/>
      </w:r>
      <w:r>
        <w:rPr>
          <w:rFonts w:ascii="宋体" w:cs="宋体" w:hAnsi="宋体" w:hint="eastAsia"/>
          <w:highlight w:val="none"/>
        </w:rPr>
        <w:instrText xml:space="preserve"> HYPERLINK \l _Toc6512 </w:instrText>
      </w:r>
      <w:r>
        <w:rPr>
          <w:rFonts w:ascii="宋体" w:cs="宋体" w:hAnsi="宋体" w:hint="eastAsia"/>
          <w:highlight w:val="none"/>
        </w:rPr>
        <w:fldChar w:fldCharType="separate"/>
      </w:r>
      <w:r>
        <w:rPr>
          <w:rFonts w:ascii="宋体" w:cs="宋体" w:hAnsi="宋体" w:hint="eastAsia"/>
          <w:highlight w:val="none"/>
        </w:rPr>
        <w:t>1. 采购项目、标段（包）划分、磋商报价</w:t>
      </w:r>
      <w:r>
        <w:tab/>
      </w:r>
      <w:r>
        <w:rPr/>
        <w:fldChar w:fldCharType="begin"/>
      </w:r>
      <w:r>
        <w:instrText xml:space="preserve"> PAGEREF _Toc6512 \h </w:instrText>
      </w:r>
      <w:r>
        <w:rPr/>
        <w:fldChar w:fldCharType="separate"/>
      </w:r>
      <w:r>
        <w:t>6</w:t>
      </w:r>
      <w:r>
        <w:rPr/>
        <w:fldChar w:fldCharType="end"/>
      </w:r>
      <w:r>
        <w:rPr>
          <w:rFonts w:ascii="宋体" w:cs="宋体" w:hAnsi="宋体" w:hint="eastAsia"/>
          <w:color w:val="auto"/>
          <w:highlight w:val="none"/>
        </w:rPr>
        <w:fldChar w:fldCharType="end"/>
      </w:r>
    </w:p>
    <w:p>
      <w:pPr>
        <w:pStyle w:val="style20"/>
        <w:keepNext w:val="false"/>
        <w:keepLines w:val="false"/>
        <w:pageBreakBefore w:val="false"/>
        <w:widowControl/>
        <w:tabs>
          <w:tab w:val="right" w:leader="dot" w:pos="9070"/>
        </w:tabs>
        <w:kinsoku/>
        <w:wordWrap/>
        <w:overflowPunct/>
        <w:topLinePunct w:val="false"/>
        <w:autoSpaceDE/>
        <w:autoSpaceDN/>
        <w:bidi w:val="false"/>
        <w:adjustRightInd/>
        <w:snapToGrid/>
        <w:spacing w:lineRule="exact" w:line="460"/>
        <w:textAlignment w:val="baseline"/>
        <w:rPr/>
      </w:pPr>
      <w:r>
        <w:rPr>
          <w:rFonts w:ascii="宋体" w:cs="宋体" w:hAnsi="宋体" w:hint="eastAsia"/>
          <w:color w:val="auto"/>
          <w:highlight w:val="none"/>
        </w:rPr>
        <w:fldChar w:fldCharType="begin"/>
      </w:r>
      <w:r>
        <w:rPr>
          <w:rFonts w:ascii="宋体" w:cs="宋体" w:hAnsi="宋体" w:hint="eastAsia"/>
          <w:highlight w:val="none"/>
        </w:rPr>
        <w:instrText xml:space="preserve"> HYPERLINK \l _Toc491 </w:instrText>
      </w:r>
      <w:r>
        <w:rPr>
          <w:rFonts w:ascii="宋体" w:cs="宋体" w:hAnsi="宋体" w:hint="eastAsia"/>
          <w:highlight w:val="none"/>
        </w:rPr>
        <w:fldChar w:fldCharType="separate"/>
      </w:r>
      <w:r>
        <w:rPr>
          <w:rFonts w:ascii="宋体" w:cs="宋体" w:hAnsi="宋体" w:hint="eastAsia"/>
          <w:highlight w:val="none"/>
        </w:rPr>
        <w:t>2. 标段（包）内容（范围）及服务要求</w:t>
      </w:r>
      <w:r>
        <w:tab/>
      </w:r>
      <w:r>
        <w:rPr/>
        <w:fldChar w:fldCharType="begin"/>
      </w:r>
      <w:r>
        <w:instrText xml:space="preserve"> PAGEREF _Toc491 \h </w:instrText>
      </w:r>
      <w:r>
        <w:rPr/>
        <w:fldChar w:fldCharType="separate"/>
      </w:r>
      <w:r>
        <w:t>7</w:t>
      </w:r>
      <w:r>
        <w:rPr/>
        <w:fldChar w:fldCharType="end"/>
      </w:r>
      <w:r>
        <w:rPr>
          <w:rFonts w:ascii="宋体" w:cs="宋体" w:hAnsi="宋体" w:hint="eastAsia"/>
          <w:color w:val="auto"/>
          <w:highlight w:val="none"/>
        </w:rPr>
        <w:fldChar w:fldCharType="end"/>
      </w:r>
    </w:p>
    <w:p>
      <w:pPr>
        <w:pStyle w:val="style20"/>
        <w:keepNext w:val="false"/>
        <w:keepLines w:val="false"/>
        <w:pageBreakBefore w:val="false"/>
        <w:widowControl/>
        <w:tabs>
          <w:tab w:val="right" w:leader="dot" w:pos="9070"/>
        </w:tabs>
        <w:kinsoku/>
        <w:wordWrap/>
        <w:overflowPunct/>
        <w:topLinePunct w:val="false"/>
        <w:autoSpaceDE/>
        <w:autoSpaceDN/>
        <w:bidi w:val="false"/>
        <w:adjustRightInd/>
        <w:snapToGrid/>
        <w:spacing w:lineRule="exact" w:line="460"/>
        <w:textAlignment w:val="baseline"/>
        <w:rPr/>
      </w:pPr>
      <w:r>
        <w:rPr>
          <w:rFonts w:ascii="宋体" w:cs="宋体" w:hAnsi="宋体" w:hint="eastAsia"/>
          <w:color w:val="auto"/>
          <w:highlight w:val="none"/>
        </w:rPr>
        <w:fldChar w:fldCharType="begin"/>
      </w:r>
      <w:r>
        <w:rPr>
          <w:rFonts w:ascii="宋体" w:cs="宋体" w:hAnsi="宋体" w:hint="eastAsia"/>
          <w:highlight w:val="none"/>
        </w:rPr>
        <w:instrText xml:space="preserve"> HYPERLINK \l _Toc13061 </w:instrText>
      </w:r>
      <w:r>
        <w:rPr>
          <w:rFonts w:ascii="宋体" w:cs="宋体" w:hAnsi="宋体" w:hint="eastAsia"/>
          <w:highlight w:val="none"/>
        </w:rPr>
        <w:fldChar w:fldCharType="separate"/>
      </w:r>
      <w:r>
        <w:rPr>
          <w:rFonts w:ascii="宋体" w:cs="宋体" w:hAnsi="宋体" w:hint="eastAsia"/>
          <w:highlight w:val="none"/>
        </w:rPr>
        <w:t>3. 项目其他要求</w:t>
      </w:r>
      <w:r>
        <w:tab/>
      </w:r>
      <w:r>
        <w:rPr/>
        <w:fldChar w:fldCharType="begin"/>
      </w:r>
      <w:r>
        <w:instrText xml:space="preserve"> PAGEREF _Toc13061 \h </w:instrText>
      </w:r>
      <w:r>
        <w:rPr/>
        <w:fldChar w:fldCharType="separate"/>
      </w:r>
      <w:r>
        <w:t>12</w:t>
      </w:r>
      <w:r>
        <w:rPr/>
        <w:fldChar w:fldCharType="end"/>
      </w:r>
      <w:r>
        <w:rPr>
          <w:rFonts w:ascii="宋体" w:cs="宋体" w:hAnsi="宋体" w:hint="eastAsia"/>
          <w:color w:val="auto"/>
          <w:highlight w:val="none"/>
        </w:rPr>
        <w:fldChar w:fldCharType="end"/>
      </w:r>
    </w:p>
    <w:p>
      <w:pPr>
        <w:pStyle w:val="style19"/>
        <w:keepNext w:val="false"/>
        <w:keepLines w:val="false"/>
        <w:pageBreakBefore w:val="false"/>
        <w:widowControl/>
        <w:tabs>
          <w:tab w:val="right" w:leader="dot" w:pos="9070"/>
        </w:tabs>
        <w:kinsoku/>
        <w:wordWrap/>
        <w:overflowPunct/>
        <w:topLinePunct w:val="false"/>
        <w:autoSpaceDE/>
        <w:autoSpaceDN/>
        <w:bidi w:val="false"/>
        <w:adjustRightInd/>
        <w:snapToGrid/>
        <w:spacing w:lineRule="exact" w:line="460"/>
        <w:textAlignment w:val="baseline"/>
        <w:rPr/>
      </w:pPr>
      <w:r>
        <w:rPr>
          <w:rFonts w:ascii="宋体" w:cs="宋体" w:hAnsi="宋体" w:hint="eastAsia"/>
          <w:color w:val="auto"/>
          <w:highlight w:val="none"/>
        </w:rPr>
        <w:fldChar w:fldCharType="begin"/>
      </w:r>
      <w:r>
        <w:rPr>
          <w:rFonts w:ascii="宋体" w:cs="宋体" w:hAnsi="宋体" w:hint="eastAsia"/>
          <w:highlight w:val="none"/>
        </w:rPr>
        <w:instrText xml:space="preserve"> HYPERLINK \l _Toc30853 </w:instrText>
      </w:r>
      <w:r>
        <w:rPr>
          <w:rFonts w:ascii="宋体" w:cs="宋体" w:hAnsi="宋体" w:hint="eastAsia"/>
          <w:highlight w:val="none"/>
        </w:rPr>
        <w:fldChar w:fldCharType="separate"/>
      </w:r>
      <w:r>
        <w:rPr>
          <w:rFonts w:ascii="宋体" w:cs="宋体" w:hAnsi="宋体" w:hint="eastAsia"/>
          <w:szCs w:val="36"/>
          <w:highlight w:val="none"/>
        </w:rPr>
        <w:t>第三章  供应商须知</w:t>
      </w:r>
      <w:r>
        <w:tab/>
      </w:r>
      <w:r>
        <w:rPr/>
        <w:fldChar w:fldCharType="begin"/>
      </w:r>
      <w:r>
        <w:instrText xml:space="preserve"> PAGEREF _Toc30853 \h </w:instrText>
      </w:r>
      <w:r>
        <w:rPr/>
        <w:fldChar w:fldCharType="separate"/>
      </w:r>
      <w:r>
        <w:t>13</w:t>
      </w:r>
      <w:r>
        <w:rPr/>
        <w:fldChar w:fldCharType="end"/>
      </w:r>
      <w:r>
        <w:rPr>
          <w:rFonts w:ascii="宋体" w:cs="宋体" w:hAnsi="宋体" w:hint="eastAsia"/>
          <w:color w:val="auto"/>
          <w:highlight w:val="none"/>
        </w:rPr>
        <w:fldChar w:fldCharType="end"/>
      </w:r>
    </w:p>
    <w:p>
      <w:pPr>
        <w:pStyle w:val="style20"/>
        <w:keepNext w:val="false"/>
        <w:keepLines w:val="false"/>
        <w:pageBreakBefore w:val="false"/>
        <w:widowControl/>
        <w:tabs>
          <w:tab w:val="right" w:leader="dot" w:pos="9070"/>
        </w:tabs>
        <w:kinsoku/>
        <w:wordWrap/>
        <w:overflowPunct/>
        <w:topLinePunct w:val="false"/>
        <w:autoSpaceDE/>
        <w:autoSpaceDN/>
        <w:bidi w:val="false"/>
        <w:adjustRightInd/>
        <w:snapToGrid/>
        <w:spacing w:lineRule="exact" w:line="460"/>
        <w:textAlignment w:val="baseline"/>
        <w:rPr/>
      </w:pPr>
      <w:r>
        <w:rPr>
          <w:rFonts w:ascii="宋体" w:cs="宋体" w:hAnsi="宋体" w:hint="eastAsia"/>
          <w:color w:val="auto"/>
          <w:highlight w:val="none"/>
        </w:rPr>
        <w:fldChar w:fldCharType="begin"/>
      </w:r>
      <w:r>
        <w:rPr>
          <w:rFonts w:ascii="宋体" w:cs="宋体" w:hAnsi="宋体" w:hint="eastAsia"/>
          <w:highlight w:val="none"/>
        </w:rPr>
        <w:instrText xml:space="preserve"> HYPERLINK \l _Toc5196 </w:instrText>
      </w:r>
      <w:r>
        <w:rPr>
          <w:rFonts w:ascii="宋体" w:cs="宋体" w:hAnsi="宋体" w:hint="eastAsia"/>
          <w:highlight w:val="none"/>
        </w:rPr>
        <w:fldChar w:fldCharType="separate"/>
      </w:r>
      <w:r>
        <w:rPr>
          <w:rFonts w:ascii="宋体" w:cs="宋体" w:hAnsi="宋体" w:hint="eastAsia"/>
          <w:szCs w:val="28"/>
          <w:highlight w:val="none"/>
        </w:rPr>
        <w:t>供应商须知前附表</w:t>
      </w:r>
      <w:r>
        <w:tab/>
      </w:r>
      <w:r>
        <w:rPr/>
        <w:fldChar w:fldCharType="begin"/>
      </w:r>
      <w:r>
        <w:instrText xml:space="preserve"> PAGEREF _Toc5196 \h </w:instrText>
      </w:r>
      <w:r>
        <w:rPr/>
        <w:fldChar w:fldCharType="separate"/>
      </w:r>
      <w:r>
        <w:t>13</w:t>
      </w:r>
      <w:r>
        <w:rPr/>
        <w:fldChar w:fldCharType="end"/>
      </w:r>
      <w:r>
        <w:rPr>
          <w:rFonts w:ascii="宋体" w:cs="宋体" w:hAnsi="宋体" w:hint="eastAsia"/>
          <w:color w:val="auto"/>
          <w:highlight w:val="none"/>
        </w:rPr>
        <w:fldChar w:fldCharType="end"/>
      </w:r>
    </w:p>
    <w:p>
      <w:pPr>
        <w:pStyle w:val="style20"/>
        <w:keepNext w:val="false"/>
        <w:keepLines w:val="false"/>
        <w:pageBreakBefore w:val="false"/>
        <w:widowControl/>
        <w:tabs>
          <w:tab w:val="right" w:leader="dot" w:pos="9070"/>
        </w:tabs>
        <w:kinsoku/>
        <w:wordWrap/>
        <w:overflowPunct/>
        <w:topLinePunct w:val="false"/>
        <w:autoSpaceDE/>
        <w:autoSpaceDN/>
        <w:bidi w:val="false"/>
        <w:adjustRightInd/>
        <w:snapToGrid/>
        <w:spacing w:lineRule="exact" w:line="460"/>
        <w:textAlignment w:val="baseline"/>
        <w:rPr/>
      </w:pPr>
      <w:r>
        <w:rPr>
          <w:rFonts w:ascii="宋体" w:cs="宋体" w:hAnsi="宋体" w:hint="eastAsia"/>
          <w:color w:val="auto"/>
          <w:highlight w:val="none"/>
        </w:rPr>
        <w:fldChar w:fldCharType="begin"/>
      </w:r>
      <w:r>
        <w:rPr>
          <w:rFonts w:ascii="宋体" w:cs="宋体" w:hAnsi="宋体" w:hint="eastAsia"/>
          <w:highlight w:val="none"/>
        </w:rPr>
        <w:instrText xml:space="preserve"> HYPERLINK \l _Toc22547 </w:instrText>
      </w:r>
      <w:r>
        <w:rPr>
          <w:rFonts w:ascii="宋体" w:cs="宋体" w:hAnsi="宋体" w:hint="eastAsia"/>
          <w:highlight w:val="none"/>
        </w:rPr>
        <w:fldChar w:fldCharType="separate"/>
      </w:r>
      <w:r>
        <w:rPr>
          <w:rFonts w:ascii="宋体" w:cs="宋体" w:hAnsi="宋体" w:hint="eastAsia"/>
          <w:bCs/>
          <w:szCs w:val="28"/>
          <w:highlight w:val="none"/>
          <w:lang w:val="zh-CN"/>
        </w:rPr>
        <w:t>1. 总则</w:t>
      </w:r>
      <w:r>
        <w:tab/>
      </w:r>
      <w:r>
        <w:rPr/>
        <w:fldChar w:fldCharType="begin"/>
      </w:r>
      <w:r>
        <w:instrText xml:space="preserve"> PAGEREF _Toc22547 \h </w:instrText>
      </w:r>
      <w:r>
        <w:rPr/>
        <w:fldChar w:fldCharType="separate"/>
      </w:r>
      <w:r>
        <w:t>16</w:t>
      </w:r>
      <w:r>
        <w:rPr/>
        <w:fldChar w:fldCharType="end"/>
      </w:r>
      <w:r>
        <w:rPr>
          <w:rFonts w:ascii="宋体" w:cs="宋体" w:hAnsi="宋体" w:hint="eastAsia"/>
          <w:color w:val="auto"/>
          <w:highlight w:val="none"/>
        </w:rPr>
        <w:fldChar w:fldCharType="end"/>
      </w:r>
    </w:p>
    <w:p>
      <w:pPr>
        <w:pStyle w:val="style20"/>
        <w:keepNext w:val="false"/>
        <w:keepLines w:val="false"/>
        <w:pageBreakBefore w:val="false"/>
        <w:widowControl/>
        <w:tabs>
          <w:tab w:val="right" w:leader="dot" w:pos="9070"/>
        </w:tabs>
        <w:kinsoku/>
        <w:wordWrap/>
        <w:overflowPunct/>
        <w:topLinePunct w:val="false"/>
        <w:autoSpaceDE/>
        <w:autoSpaceDN/>
        <w:bidi w:val="false"/>
        <w:adjustRightInd/>
        <w:snapToGrid/>
        <w:spacing w:lineRule="exact" w:line="460"/>
        <w:textAlignment w:val="baseline"/>
        <w:rPr/>
      </w:pPr>
      <w:r>
        <w:rPr>
          <w:rFonts w:ascii="宋体" w:cs="宋体" w:hAnsi="宋体" w:hint="eastAsia"/>
          <w:color w:val="auto"/>
          <w:highlight w:val="none"/>
        </w:rPr>
        <w:fldChar w:fldCharType="begin"/>
      </w:r>
      <w:r>
        <w:rPr>
          <w:rFonts w:ascii="宋体" w:cs="宋体" w:hAnsi="宋体" w:hint="eastAsia"/>
          <w:highlight w:val="none"/>
        </w:rPr>
        <w:instrText xml:space="preserve"> HYPERLINK \l _Toc29592 </w:instrText>
      </w:r>
      <w:r>
        <w:rPr>
          <w:rFonts w:ascii="宋体" w:cs="宋体" w:hAnsi="宋体" w:hint="eastAsia"/>
          <w:highlight w:val="none"/>
        </w:rPr>
        <w:fldChar w:fldCharType="separate"/>
      </w:r>
      <w:r>
        <w:rPr>
          <w:rFonts w:ascii="宋体" w:cs="宋体" w:hAnsi="宋体" w:hint="eastAsia"/>
          <w:bCs/>
          <w:szCs w:val="28"/>
          <w:highlight w:val="none"/>
          <w:lang w:val="zh-CN"/>
        </w:rPr>
        <w:t>2. 《磋商文件》</w:t>
      </w:r>
      <w:r>
        <w:tab/>
      </w:r>
      <w:r>
        <w:rPr/>
        <w:fldChar w:fldCharType="begin"/>
      </w:r>
      <w:r>
        <w:instrText xml:space="preserve"> PAGEREF _Toc29592 \h </w:instrText>
      </w:r>
      <w:r>
        <w:rPr/>
        <w:fldChar w:fldCharType="separate"/>
      </w:r>
      <w:r>
        <w:t>19</w:t>
      </w:r>
      <w:r>
        <w:rPr/>
        <w:fldChar w:fldCharType="end"/>
      </w:r>
      <w:r>
        <w:rPr>
          <w:rFonts w:ascii="宋体" w:cs="宋体" w:hAnsi="宋体" w:hint="eastAsia"/>
          <w:color w:val="auto"/>
          <w:highlight w:val="none"/>
        </w:rPr>
        <w:fldChar w:fldCharType="end"/>
      </w:r>
    </w:p>
    <w:p>
      <w:pPr>
        <w:pStyle w:val="style20"/>
        <w:keepNext w:val="false"/>
        <w:keepLines w:val="false"/>
        <w:pageBreakBefore w:val="false"/>
        <w:widowControl/>
        <w:tabs>
          <w:tab w:val="right" w:leader="dot" w:pos="9070"/>
        </w:tabs>
        <w:kinsoku/>
        <w:wordWrap/>
        <w:overflowPunct/>
        <w:topLinePunct w:val="false"/>
        <w:autoSpaceDE/>
        <w:autoSpaceDN/>
        <w:bidi w:val="false"/>
        <w:adjustRightInd/>
        <w:snapToGrid/>
        <w:spacing w:lineRule="exact" w:line="460"/>
        <w:textAlignment w:val="baseline"/>
        <w:rPr/>
      </w:pPr>
      <w:r>
        <w:rPr>
          <w:rFonts w:ascii="宋体" w:cs="宋体" w:hAnsi="宋体" w:hint="eastAsia"/>
          <w:color w:val="auto"/>
          <w:highlight w:val="none"/>
        </w:rPr>
        <w:fldChar w:fldCharType="begin"/>
      </w:r>
      <w:r>
        <w:rPr>
          <w:rFonts w:ascii="宋体" w:cs="宋体" w:hAnsi="宋体" w:hint="eastAsia"/>
          <w:highlight w:val="none"/>
        </w:rPr>
        <w:instrText xml:space="preserve"> HYPERLINK \l _Toc10224 </w:instrText>
      </w:r>
      <w:r>
        <w:rPr>
          <w:rFonts w:ascii="宋体" w:cs="宋体" w:hAnsi="宋体" w:hint="eastAsia"/>
          <w:highlight w:val="none"/>
        </w:rPr>
        <w:fldChar w:fldCharType="separate"/>
      </w:r>
      <w:r>
        <w:rPr>
          <w:rFonts w:ascii="宋体" w:cs="宋体" w:hAnsi="宋体" w:hint="eastAsia"/>
          <w:bCs/>
          <w:szCs w:val="28"/>
          <w:highlight w:val="none"/>
          <w:lang w:val="zh-CN"/>
        </w:rPr>
        <w:t>3. 《响应文件》</w:t>
      </w:r>
      <w:r>
        <w:tab/>
      </w:r>
      <w:r>
        <w:rPr/>
        <w:fldChar w:fldCharType="begin"/>
      </w:r>
      <w:r>
        <w:instrText xml:space="preserve"> PAGEREF _Toc10224 \h </w:instrText>
      </w:r>
      <w:r>
        <w:rPr/>
        <w:fldChar w:fldCharType="separate"/>
      </w:r>
      <w:r>
        <w:t>20</w:t>
      </w:r>
      <w:r>
        <w:rPr/>
        <w:fldChar w:fldCharType="end"/>
      </w:r>
      <w:r>
        <w:rPr>
          <w:rFonts w:ascii="宋体" w:cs="宋体" w:hAnsi="宋体" w:hint="eastAsia"/>
          <w:color w:val="auto"/>
          <w:highlight w:val="none"/>
        </w:rPr>
        <w:fldChar w:fldCharType="end"/>
      </w:r>
    </w:p>
    <w:p>
      <w:pPr>
        <w:pStyle w:val="style20"/>
        <w:keepNext w:val="false"/>
        <w:keepLines w:val="false"/>
        <w:pageBreakBefore w:val="false"/>
        <w:widowControl/>
        <w:tabs>
          <w:tab w:val="right" w:leader="dot" w:pos="9070"/>
        </w:tabs>
        <w:kinsoku/>
        <w:wordWrap/>
        <w:overflowPunct/>
        <w:topLinePunct w:val="false"/>
        <w:autoSpaceDE/>
        <w:autoSpaceDN/>
        <w:bidi w:val="false"/>
        <w:adjustRightInd/>
        <w:snapToGrid/>
        <w:spacing w:lineRule="exact" w:line="460"/>
        <w:textAlignment w:val="baseline"/>
        <w:rPr/>
      </w:pPr>
      <w:r>
        <w:rPr>
          <w:rFonts w:ascii="宋体" w:cs="宋体" w:hAnsi="宋体" w:hint="eastAsia"/>
          <w:color w:val="auto"/>
          <w:highlight w:val="none"/>
        </w:rPr>
        <w:fldChar w:fldCharType="begin"/>
      </w:r>
      <w:r>
        <w:rPr>
          <w:rFonts w:ascii="宋体" w:cs="宋体" w:hAnsi="宋体" w:hint="eastAsia"/>
          <w:highlight w:val="none"/>
        </w:rPr>
        <w:instrText xml:space="preserve"> HYPERLINK \l _Toc994 </w:instrText>
      </w:r>
      <w:r>
        <w:rPr>
          <w:rFonts w:ascii="宋体" w:cs="宋体" w:hAnsi="宋体" w:hint="eastAsia"/>
          <w:highlight w:val="none"/>
        </w:rPr>
        <w:fldChar w:fldCharType="separate"/>
      </w:r>
      <w:r>
        <w:rPr>
          <w:rFonts w:ascii="宋体" w:cs="宋体" w:hAnsi="宋体" w:hint="eastAsia"/>
          <w:bCs/>
          <w:szCs w:val="28"/>
          <w:highlight w:val="none"/>
          <w:lang w:val="zh-CN"/>
        </w:rPr>
        <w:t>4.《响应文件》的提交</w:t>
      </w:r>
      <w:r>
        <w:tab/>
      </w:r>
      <w:r>
        <w:rPr/>
        <w:fldChar w:fldCharType="begin"/>
      </w:r>
      <w:r>
        <w:instrText xml:space="preserve"> PAGEREF _Toc994 \h </w:instrText>
      </w:r>
      <w:r>
        <w:rPr/>
        <w:fldChar w:fldCharType="separate"/>
      </w:r>
      <w:r>
        <w:t>23</w:t>
      </w:r>
      <w:r>
        <w:rPr/>
        <w:fldChar w:fldCharType="end"/>
      </w:r>
      <w:r>
        <w:rPr>
          <w:rFonts w:ascii="宋体" w:cs="宋体" w:hAnsi="宋体" w:hint="eastAsia"/>
          <w:color w:val="auto"/>
          <w:highlight w:val="none"/>
        </w:rPr>
        <w:fldChar w:fldCharType="end"/>
      </w:r>
    </w:p>
    <w:p>
      <w:pPr>
        <w:pStyle w:val="style20"/>
        <w:keepNext w:val="false"/>
        <w:keepLines w:val="false"/>
        <w:pageBreakBefore w:val="false"/>
        <w:widowControl/>
        <w:tabs>
          <w:tab w:val="right" w:leader="dot" w:pos="9070"/>
        </w:tabs>
        <w:kinsoku/>
        <w:wordWrap/>
        <w:overflowPunct/>
        <w:topLinePunct w:val="false"/>
        <w:autoSpaceDE/>
        <w:autoSpaceDN/>
        <w:bidi w:val="false"/>
        <w:adjustRightInd/>
        <w:snapToGrid/>
        <w:spacing w:lineRule="exact" w:line="460"/>
        <w:textAlignment w:val="baseline"/>
        <w:rPr/>
      </w:pPr>
      <w:r>
        <w:rPr>
          <w:rFonts w:ascii="宋体" w:cs="宋体" w:hAnsi="宋体" w:hint="eastAsia"/>
          <w:color w:val="auto"/>
          <w:highlight w:val="none"/>
        </w:rPr>
        <w:fldChar w:fldCharType="begin"/>
      </w:r>
      <w:r>
        <w:rPr>
          <w:rFonts w:ascii="宋体" w:cs="宋体" w:hAnsi="宋体" w:hint="eastAsia"/>
          <w:highlight w:val="none"/>
        </w:rPr>
        <w:instrText xml:space="preserve"> HYPERLINK \l _Toc7184 </w:instrText>
      </w:r>
      <w:r>
        <w:rPr>
          <w:rFonts w:ascii="宋体" w:cs="宋体" w:hAnsi="宋体" w:hint="eastAsia"/>
          <w:highlight w:val="none"/>
        </w:rPr>
        <w:fldChar w:fldCharType="separate"/>
      </w:r>
      <w:r>
        <w:rPr>
          <w:rFonts w:ascii="宋体" w:cs="宋体" w:hAnsi="宋体" w:hint="eastAsia"/>
          <w:bCs/>
          <w:szCs w:val="28"/>
          <w:highlight w:val="none"/>
          <w:lang w:val="zh-CN"/>
        </w:rPr>
        <w:t>5.《响应文件》的开启</w:t>
      </w:r>
      <w:r>
        <w:tab/>
      </w:r>
      <w:r>
        <w:rPr/>
        <w:fldChar w:fldCharType="begin"/>
      </w:r>
      <w:r>
        <w:instrText xml:space="preserve"> PAGEREF _Toc7184 \h </w:instrText>
      </w:r>
      <w:r>
        <w:rPr/>
        <w:fldChar w:fldCharType="separate"/>
      </w:r>
      <w:r>
        <w:t>24</w:t>
      </w:r>
      <w:r>
        <w:rPr/>
        <w:fldChar w:fldCharType="end"/>
      </w:r>
      <w:r>
        <w:rPr>
          <w:rFonts w:ascii="宋体" w:cs="宋体" w:hAnsi="宋体" w:hint="eastAsia"/>
          <w:color w:val="auto"/>
          <w:highlight w:val="none"/>
        </w:rPr>
        <w:fldChar w:fldCharType="end"/>
      </w:r>
    </w:p>
    <w:p>
      <w:pPr>
        <w:pStyle w:val="style20"/>
        <w:keepNext w:val="false"/>
        <w:keepLines w:val="false"/>
        <w:pageBreakBefore w:val="false"/>
        <w:widowControl/>
        <w:tabs>
          <w:tab w:val="right" w:leader="dot" w:pos="9070"/>
        </w:tabs>
        <w:kinsoku/>
        <w:wordWrap/>
        <w:overflowPunct/>
        <w:topLinePunct w:val="false"/>
        <w:autoSpaceDE/>
        <w:autoSpaceDN/>
        <w:bidi w:val="false"/>
        <w:adjustRightInd/>
        <w:snapToGrid/>
        <w:spacing w:lineRule="exact" w:line="460"/>
        <w:textAlignment w:val="baseline"/>
        <w:rPr/>
      </w:pPr>
      <w:r>
        <w:rPr>
          <w:rFonts w:ascii="宋体" w:cs="宋体" w:hAnsi="宋体" w:hint="eastAsia"/>
          <w:color w:val="auto"/>
          <w:highlight w:val="none"/>
        </w:rPr>
        <w:fldChar w:fldCharType="begin"/>
      </w:r>
      <w:r>
        <w:rPr>
          <w:rFonts w:ascii="宋体" w:cs="宋体" w:hAnsi="宋体" w:hint="eastAsia"/>
          <w:highlight w:val="none"/>
        </w:rPr>
        <w:instrText xml:space="preserve"> HYPERLINK \l _Toc19110 </w:instrText>
      </w:r>
      <w:r>
        <w:rPr>
          <w:rFonts w:ascii="宋体" w:cs="宋体" w:hAnsi="宋体" w:hint="eastAsia"/>
          <w:highlight w:val="none"/>
        </w:rPr>
        <w:fldChar w:fldCharType="separate"/>
      </w:r>
      <w:r>
        <w:rPr>
          <w:rFonts w:ascii="宋体" w:cs="宋体" w:hAnsi="宋体" w:hint="eastAsia"/>
          <w:bCs/>
          <w:szCs w:val="28"/>
          <w:highlight w:val="none"/>
          <w:lang w:val="zh-CN"/>
        </w:rPr>
        <w:t>6. 评审</w:t>
      </w:r>
      <w:r>
        <w:tab/>
      </w:r>
      <w:r>
        <w:rPr/>
        <w:fldChar w:fldCharType="begin"/>
      </w:r>
      <w:r>
        <w:instrText xml:space="preserve"> PAGEREF _Toc19110 \h </w:instrText>
      </w:r>
      <w:r>
        <w:rPr/>
        <w:fldChar w:fldCharType="separate"/>
      </w:r>
      <w:r>
        <w:t>25</w:t>
      </w:r>
      <w:r>
        <w:rPr/>
        <w:fldChar w:fldCharType="end"/>
      </w:r>
      <w:r>
        <w:rPr>
          <w:rFonts w:ascii="宋体" w:cs="宋体" w:hAnsi="宋体" w:hint="eastAsia"/>
          <w:color w:val="auto"/>
          <w:highlight w:val="none"/>
        </w:rPr>
        <w:fldChar w:fldCharType="end"/>
      </w:r>
    </w:p>
    <w:p>
      <w:pPr>
        <w:pStyle w:val="style20"/>
        <w:keepNext w:val="false"/>
        <w:keepLines w:val="false"/>
        <w:pageBreakBefore w:val="false"/>
        <w:widowControl/>
        <w:tabs>
          <w:tab w:val="right" w:leader="dot" w:pos="9070"/>
        </w:tabs>
        <w:kinsoku/>
        <w:wordWrap/>
        <w:overflowPunct/>
        <w:topLinePunct w:val="false"/>
        <w:autoSpaceDE/>
        <w:autoSpaceDN/>
        <w:bidi w:val="false"/>
        <w:adjustRightInd/>
        <w:snapToGrid/>
        <w:spacing w:lineRule="exact" w:line="460"/>
        <w:textAlignment w:val="baseline"/>
        <w:rPr/>
      </w:pPr>
      <w:r>
        <w:rPr>
          <w:rFonts w:ascii="宋体" w:cs="宋体" w:hAnsi="宋体" w:hint="eastAsia"/>
          <w:color w:val="auto"/>
          <w:highlight w:val="none"/>
        </w:rPr>
        <w:fldChar w:fldCharType="begin"/>
      </w:r>
      <w:r>
        <w:rPr>
          <w:rFonts w:ascii="宋体" w:cs="宋体" w:hAnsi="宋体" w:hint="eastAsia"/>
          <w:highlight w:val="none"/>
        </w:rPr>
        <w:instrText xml:space="preserve"> HYPERLINK \l _Toc10225 </w:instrText>
      </w:r>
      <w:r>
        <w:rPr>
          <w:rFonts w:ascii="宋体" w:cs="宋体" w:hAnsi="宋体" w:hint="eastAsia"/>
          <w:highlight w:val="none"/>
        </w:rPr>
        <w:fldChar w:fldCharType="separate"/>
      </w:r>
      <w:r>
        <w:rPr>
          <w:rFonts w:ascii="宋体" w:cs="宋体" w:hAnsi="宋体" w:hint="eastAsia"/>
          <w:bCs/>
          <w:szCs w:val="28"/>
          <w:highlight w:val="none"/>
          <w:lang w:val="zh-CN"/>
        </w:rPr>
        <w:t>7. 授予合同</w:t>
      </w:r>
      <w:r>
        <w:tab/>
      </w:r>
      <w:r>
        <w:rPr/>
        <w:fldChar w:fldCharType="begin"/>
      </w:r>
      <w:r>
        <w:instrText xml:space="preserve"> PAGEREF _Toc10225 \h </w:instrText>
      </w:r>
      <w:r>
        <w:rPr/>
        <w:fldChar w:fldCharType="separate"/>
      </w:r>
      <w:r>
        <w:t>25</w:t>
      </w:r>
      <w:r>
        <w:rPr/>
        <w:fldChar w:fldCharType="end"/>
      </w:r>
      <w:r>
        <w:rPr>
          <w:rFonts w:ascii="宋体" w:cs="宋体" w:hAnsi="宋体" w:hint="eastAsia"/>
          <w:color w:val="auto"/>
          <w:highlight w:val="none"/>
        </w:rPr>
        <w:fldChar w:fldCharType="end"/>
      </w:r>
    </w:p>
    <w:p>
      <w:pPr>
        <w:pStyle w:val="style20"/>
        <w:keepNext w:val="false"/>
        <w:keepLines w:val="false"/>
        <w:pageBreakBefore w:val="false"/>
        <w:widowControl/>
        <w:tabs>
          <w:tab w:val="right" w:leader="dot" w:pos="9070"/>
        </w:tabs>
        <w:kinsoku/>
        <w:wordWrap/>
        <w:overflowPunct/>
        <w:topLinePunct w:val="false"/>
        <w:autoSpaceDE/>
        <w:autoSpaceDN/>
        <w:bidi w:val="false"/>
        <w:adjustRightInd/>
        <w:snapToGrid/>
        <w:spacing w:lineRule="exact" w:line="460"/>
        <w:textAlignment w:val="baseline"/>
        <w:rPr/>
      </w:pPr>
      <w:r>
        <w:rPr>
          <w:rFonts w:ascii="宋体" w:cs="宋体" w:hAnsi="宋体" w:hint="eastAsia"/>
          <w:color w:val="auto"/>
          <w:highlight w:val="none"/>
        </w:rPr>
        <w:fldChar w:fldCharType="begin"/>
      </w:r>
      <w:r>
        <w:rPr>
          <w:rFonts w:ascii="宋体" w:cs="宋体" w:hAnsi="宋体" w:hint="eastAsia"/>
          <w:highlight w:val="none"/>
        </w:rPr>
        <w:instrText xml:space="preserve"> HYPERLINK \l _Toc10648 </w:instrText>
      </w:r>
      <w:r>
        <w:rPr>
          <w:rFonts w:ascii="宋体" w:cs="宋体" w:hAnsi="宋体" w:hint="eastAsia"/>
          <w:highlight w:val="none"/>
        </w:rPr>
        <w:fldChar w:fldCharType="separate"/>
      </w:r>
      <w:r>
        <w:rPr>
          <w:rFonts w:ascii="宋体" w:cs="宋体" w:hAnsi="宋体" w:hint="eastAsia"/>
          <w:bCs/>
          <w:szCs w:val="28"/>
          <w:highlight w:val="none"/>
          <w:lang w:val="zh-CN"/>
        </w:rPr>
        <w:t>8. 验收</w:t>
      </w:r>
      <w:r>
        <w:tab/>
      </w:r>
      <w:r>
        <w:rPr/>
        <w:fldChar w:fldCharType="begin"/>
      </w:r>
      <w:r>
        <w:instrText xml:space="preserve"> PAGEREF _Toc10648 \h </w:instrText>
      </w:r>
      <w:r>
        <w:rPr/>
        <w:fldChar w:fldCharType="separate"/>
      </w:r>
      <w:r>
        <w:t>27</w:t>
      </w:r>
      <w:r>
        <w:rPr/>
        <w:fldChar w:fldCharType="end"/>
      </w:r>
      <w:r>
        <w:rPr>
          <w:rFonts w:ascii="宋体" w:cs="宋体" w:hAnsi="宋体" w:hint="eastAsia"/>
          <w:color w:val="auto"/>
          <w:highlight w:val="none"/>
        </w:rPr>
        <w:fldChar w:fldCharType="end"/>
      </w:r>
    </w:p>
    <w:p>
      <w:pPr>
        <w:pStyle w:val="style20"/>
        <w:keepNext w:val="false"/>
        <w:keepLines w:val="false"/>
        <w:pageBreakBefore w:val="false"/>
        <w:widowControl/>
        <w:tabs>
          <w:tab w:val="right" w:leader="dot" w:pos="9070"/>
        </w:tabs>
        <w:kinsoku/>
        <w:wordWrap/>
        <w:overflowPunct/>
        <w:topLinePunct w:val="false"/>
        <w:autoSpaceDE/>
        <w:autoSpaceDN/>
        <w:bidi w:val="false"/>
        <w:adjustRightInd/>
        <w:snapToGrid/>
        <w:spacing w:lineRule="exact" w:line="460"/>
        <w:textAlignment w:val="baseline"/>
        <w:rPr/>
      </w:pPr>
      <w:r>
        <w:rPr>
          <w:rFonts w:ascii="宋体" w:cs="宋体" w:hAnsi="宋体" w:hint="eastAsia"/>
          <w:color w:val="auto"/>
          <w:highlight w:val="none"/>
        </w:rPr>
        <w:fldChar w:fldCharType="begin"/>
      </w:r>
      <w:r>
        <w:rPr>
          <w:rFonts w:ascii="宋体" w:cs="宋体" w:hAnsi="宋体" w:hint="eastAsia"/>
          <w:highlight w:val="none"/>
        </w:rPr>
        <w:instrText xml:space="preserve"> HYPERLINK \l _Toc6652 </w:instrText>
      </w:r>
      <w:r>
        <w:rPr>
          <w:rFonts w:ascii="宋体" w:cs="宋体" w:hAnsi="宋体" w:hint="eastAsia"/>
          <w:highlight w:val="none"/>
        </w:rPr>
        <w:fldChar w:fldCharType="separate"/>
      </w:r>
      <w:r>
        <w:rPr>
          <w:rFonts w:ascii="宋体" w:cs="宋体" w:hAnsi="宋体" w:hint="eastAsia"/>
          <w:bCs/>
          <w:szCs w:val="28"/>
          <w:highlight w:val="none"/>
          <w:lang w:val="zh-CN"/>
        </w:rPr>
        <w:t>9.付款</w:t>
      </w:r>
      <w:r>
        <w:tab/>
      </w:r>
      <w:r>
        <w:rPr/>
        <w:fldChar w:fldCharType="begin"/>
      </w:r>
      <w:r>
        <w:instrText xml:space="preserve"> PAGEREF _Toc6652 \h </w:instrText>
      </w:r>
      <w:r>
        <w:rPr/>
        <w:fldChar w:fldCharType="separate"/>
      </w:r>
      <w:r>
        <w:t>28</w:t>
      </w:r>
      <w:r>
        <w:rPr/>
        <w:fldChar w:fldCharType="end"/>
      </w:r>
      <w:r>
        <w:rPr>
          <w:rFonts w:ascii="宋体" w:cs="宋体" w:hAnsi="宋体" w:hint="eastAsia"/>
          <w:color w:val="auto"/>
          <w:highlight w:val="none"/>
        </w:rPr>
        <w:fldChar w:fldCharType="end"/>
      </w:r>
    </w:p>
    <w:p>
      <w:pPr>
        <w:pStyle w:val="style20"/>
        <w:keepNext w:val="false"/>
        <w:keepLines w:val="false"/>
        <w:pageBreakBefore w:val="false"/>
        <w:widowControl/>
        <w:tabs>
          <w:tab w:val="right" w:leader="dot" w:pos="9070"/>
        </w:tabs>
        <w:kinsoku/>
        <w:wordWrap/>
        <w:overflowPunct/>
        <w:topLinePunct w:val="false"/>
        <w:autoSpaceDE/>
        <w:autoSpaceDN/>
        <w:bidi w:val="false"/>
        <w:adjustRightInd/>
        <w:snapToGrid/>
        <w:spacing w:lineRule="exact" w:line="460"/>
        <w:textAlignment w:val="baseline"/>
        <w:rPr/>
      </w:pPr>
      <w:r>
        <w:rPr>
          <w:rFonts w:ascii="宋体" w:cs="宋体" w:hAnsi="宋体" w:hint="eastAsia"/>
          <w:color w:val="auto"/>
          <w:highlight w:val="none"/>
        </w:rPr>
        <w:fldChar w:fldCharType="begin"/>
      </w:r>
      <w:r>
        <w:rPr>
          <w:rFonts w:ascii="宋体" w:cs="宋体" w:hAnsi="宋体" w:hint="eastAsia"/>
          <w:highlight w:val="none"/>
        </w:rPr>
        <w:instrText xml:space="preserve"> HYPERLINK \l _Toc25334 </w:instrText>
      </w:r>
      <w:r>
        <w:rPr>
          <w:rFonts w:ascii="宋体" w:cs="宋体" w:hAnsi="宋体" w:hint="eastAsia"/>
          <w:highlight w:val="none"/>
        </w:rPr>
        <w:fldChar w:fldCharType="separate"/>
      </w:r>
      <w:r>
        <w:rPr>
          <w:rFonts w:ascii="宋体" w:cs="宋体" w:hAnsi="宋体" w:hint="eastAsia"/>
          <w:bCs/>
          <w:szCs w:val="28"/>
          <w:highlight w:val="none"/>
          <w:lang w:val="zh-CN"/>
        </w:rPr>
        <w:t>10. 其他</w:t>
      </w:r>
      <w:r>
        <w:tab/>
      </w:r>
      <w:r>
        <w:rPr/>
        <w:fldChar w:fldCharType="begin"/>
      </w:r>
      <w:r>
        <w:instrText xml:space="preserve"> PAGEREF _Toc25334 \h </w:instrText>
      </w:r>
      <w:r>
        <w:rPr/>
        <w:fldChar w:fldCharType="separate"/>
      </w:r>
      <w:r>
        <w:t>28</w:t>
      </w:r>
      <w:r>
        <w:rPr/>
        <w:fldChar w:fldCharType="end"/>
      </w:r>
      <w:r>
        <w:rPr>
          <w:rFonts w:ascii="宋体" w:cs="宋体" w:hAnsi="宋体" w:hint="eastAsia"/>
          <w:color w:val="auto"/>
          <w:highlight w:val="none"/>
        </w:rPr>
        <w:fldChar w:fldCharType="end"/>
      </w:r>
    </w:p>
    <w:p>
      <w:pPr>
        <w:pStyle w:val="style19"/>
        <w:keepNext w:val="false"/>
        <w:keepLines w:val="false"/>
        <w:pageBreakBefore w:val="false"/>
        <w:widowControl/>
        <w:tabs>
          <w:tab w:val="right" w:leader="dot" w:pos="9070"/>
        </w:tabs>
        <w:kinsoku/>
        <w:wordWrap/>
        <w:overflowPunct/>
        <w:topLinePunct w:val="false"/>
        <w:autoSpaceDE/>
        <w:autoSpaceDN/>
        <w:bidi w:val="false"/>
        <w:adjustRightInd/>
        <w:snapToGrid/>
        <w:spacing w:lineRule="exact" w:line="460"/>
        <w:textAlignment w:val="baseline"/>
        <w:rPr/>
      </w:pPr>
      <w:r>
        <w:rPr>
          <w:rFonts w:ascii="宋体" w:cs="宋体" w:hAnsi="宋体" w:hint="eastAsia"/>
          <w:color w:val="auto"/>
          <w:highlight w:val="none"/>
        </w:rPr>
        <w:fldChar w:fldCharType="begin"/>
      </w:r>
      <w:r>
        <w:rPr>
          <w:rFonts w:ascii="宋体" w:cs="宋体" w:hAnsi="宋体" w:hint="eastAsia"/>
          <w:highlight w:val="none"/>
        </w:rPr>
        <w:instrText xml:space="preserve"> HYPERLINK \l _Toc2822 </w:instrText>
      </w:r>
      <w:r>
        <w:rPr>
          <w:rFonts w:ascii="宋体" w:cs="宋体" w:hAnsi="宋体" w:hint="eastAsia"/>
          <w:highlight w:val="none"/>
        </w:rPr>
        <w:fldChar w:fldCharType="separate"/>
      </w:r>
      <w:r>
        <w:rPr>
          <w:rFonts w:ascii="宋体" w:cs="宋体" w:hAnsi="宋体" w:hint="eastAsia"/>
          <w:szCs w:val="36"/>
          <w:highlight w:val="none"/>
          <w:lang w:val="zh-CN"/>
        </w:rPr>
        <w:t>第四章  评审办法</w:t>
      </w:r>
      <w:r>
        <w:tab/>
      </w:r>
      <w:r>
        <w:rPr/>
        <w:fldChar w:fldCharType="begin"/>
      </w:r>
      <w:r>
        <w:instrText xml:space="preserve"> PAGEREF _Toc2822 \h </w:instrText>
      </w:r>
      <w:r>
        <w:rPr/>
        <w:fldChar w:fldCharType="separate"/>
      </w:r>
      <w:r>
        <w:t>30</w:t>
      </w:r>
      <w:r>
        <w:rPr/>
        <w:fldChar w:fldCharType="end"/>
      </w:r>
      <w:r>
        <w:rPr>
          <w:rFonts w:ascii="宋体" w:cs="宋体" w:hAnsi="宋体" w:hint="eastAsia"/>
          <w:color w:val="auto"/>
          <w:highlight w:val="none"/>
        </w:rPr>
        <w:fldChar w:fldCharType="end"/>
      </w:r>
    </w:p>
    <w:p>
      <w:pPr>
        <w:pStyle w:val="style20"/>
        <w:keepNext w:val="false"/>
        <w:keepLines w:val="false"/>
        <w:pageBreakBefore w:val="false"/>
        <w:widowControl/>
        <w:tabs>
          <w:tab w:val="right" w:leader="dot" w:pos="9070"/>
        </w:tabs>
        <w:kinsoku/>
        <w:wordWrap/>
        <w:overflowPunct/>
        <w:topLinePunct w:val="false"/>
        <w:autoSpaceDE/>
        <w:autoSpaceDN/>
        <w:bidi w:val="false"/>
        <w:adjustRightInd/>
        <w:snapToGrid/>
        <w:spacing w:lineRule="exact" w:line="460"/>
        <w:textAlignment w:val="baseline"/>
        <w:rPr/>
      </w:pPr>
      <w:r>
        <w:rPr>
          <w:rFonts w:ascii="宋体" w:cs="宋体" w:hAnsi="宋体" w:hint="eastAsia"/>
          <w:color w:val="auto"/>
          <w:highlight w:val="none"/>
        </w:rPr>
        <w:fldChar w:fldCharType="begin"/>
      </w:r>
      <w:r>
        <w:rPr>
          <w:rFonts w:ascii="宋体" w:cs="宋体" w:hAnsi="宋体" w:hint="eastAsia"/>
          <w:highlight w:val="none"/>
        </w:rPr>
        <w:instrText xml:space="preserve"> HYPERLINK \l _Toc21897 </w:instrText>
      </w:r>
      <w:r>
        <w:rPr>
          <w:rFonts w:ascii="宋体" w:cs="宋体" w:hAnsi="宋体" w:hint="eastAsia"/>
          <w:highlight w:val="none"/>
        </w:rPr>
        <w:fldChar w:fldCharType="separate"/>
      </w:r>
      <w:r>
        <w:rPr>
          <w:rFonts w:ascii="宋体" w:cs="宋体" w:hAnsi="宋体" w:hint="eastAsia"/>
          <w:szCs w:val="28"/>
          <w:highlight w:val="none"/>
        </w:rPr>
        <w:t>评审办法前附表</w:t>
      </w:r>
      <w:r>
        <w:tab/>
      </w:r>
      <w:r>
        <w:rPr/>
        <w:fldChar w:fldCharType="begin"/>
      </w:r>
      <w:r>
        <w:instrText xml:space="preserve"> PAGEREF _Toc21897 \h </w:instrText>
      </w:r>
      <w:r>
        <w:rPr/>
        <w:fldChar w:fldCharType="separate"/>
      </w:r>
      <w:r>
        <w:t>30</w:t>
      </w:r>
      <w:r>
        <w:rPr/>
        <w:fldChar w:fldCharType="end"/>
      </w:r>
      <w:r>
        <w:rPr>
          <w:rFonts w:ascii="宋体" w:cs="宋体" w:hAnsi="宋体" w:hint="eastAsia"/>
          <w:color w:val="auto"/>
          <w:highlight w:val="none"/>
        </w:rPr>
        <w:fldChar w:fldCharType="end"/>
      </w:r>
    </w:p>
    <w:p>
      <w:pPr>
        <w:pStyle w:val="style20"/>
        <w:keepNext w:val="false"/>
        <w:keepLines w:val="false"/>
        <w:pageBreakBefore w:val="false"/>
        <w:widowControl/>
        <w:tabs>
          <w:tab w:val="right" w:leader="dot" w:pos="9070"/>
        </w:tabs>
        <w:kinsoku/>
        <w:wordWrap/>
        <w:overflowPunct/>
        <w:topLinePunct w:val="false"/>
        <w:autoSpaceDE/>
        <w:autoSpaceDN/>
        <w:bidi w:val="false"/>
        <w:adjustRightInd/>
        <w:snapToGrid/>
        <w:spacing w:lineRule="exact" w:line="460"/>
        <w:textAlignment w:val="baseline"/>
        <w:rPr/>
      </w:pPr>
      <w:r>
        <w:rPr>
          <w:rFonts w:ascii="宋体" w:cs="宋体" w:hAnsi="宋体" w:hint="eastAsia"/>
          <w:color w:val="auto"/>
          <w:highlight w:val="none"/>
        </w:rPr>
        <w:fldChar w:fldCharType="begin"/>
      </w:r>
      <w:r>
        <w:rPr>
          <w:rFonts w:ascii="宋体" w:cs="宋体" w:hAnsi="宋体" w:hint="eastAsia"/>
          <w:highlight w:val="none"/>
        </w:rPr>
        <w:instrText xml:space="preserve"> HYPERLINK \l _Toc2776 </w:instrText>
      </w:r>
      <w:r>
        <w:rPr>
          <w:rFonts w:ascii="宋体" w:cs="宋体" w:hAnsi="宋体" w:hint="eastAsia"/>
          <w:highlight w:val="none"/>
        </w:rPr>
        <w:fldChar w:fldCharType="separate"/>
      </w:r>
      <w:r>
        <w:rPr>
          <w:rFonts w:ascii="宋体" w:cs="宋体" w:hAnsi="宋体" w:hint="eastAsia"/>
          <w:bCs/>
          <w:szCs w:val="28"/>
          <w:highlight w:val="none"/>
          <w:lang w:val="zh-CN"/>
        </w:rPr>
        <w:t>1.评审方法（评定成交的标准）</w:t>
      </w:r>
      <w:r>
        <w:tab/>
      </w:r>
      <w:r>
        <w:rPr/>
        <w:fldChar w:fldCharType="begin"/>
      </w:r>
      <w:r>
        <w:instrText xml:space="preserve"> PAGEREF _Toc2776 \h </w:instrText>
      </w:r>
      <w:r>
        <w:rPr/>
        <w:fldChar w:fldCharType="separate"/>
      </w:r>
      <w:r>
        <w:t>34</w:t>
      </w:r>
      <w:r>
        <w:rPr/>
        <w:fldChar w:fldCharType="end"/>
      </w:r>
      <w:r>
        <w:rPr>
          <w:rFonts w:ascii="宋体" w:cs="宋体" w:hAnsi="宋体" w:hint="eastAsia"/>
          <w:color w:val="auto"/>
          <w:highlight w:val="none"/>
        </w:rPr>
        <w:fldChar w:fldCharType="end"/>
      </w:r>
    </w:p>
    <w:p>
      <w:pPr>
        <w:pStyle w:val="style20"/>
        <w:keepNext w:val="false"/>
        <w:keepLines w:val="false"/>
        <w:pageBreakBefore w:val="false"/>
        <w:widowControl/>
        <w:tabs>
          <w:tab w:val="right" w:leader="dot" w:pos="9070"/>
        </w:tabs>
        <w:kinsoku/>
        <w:wordWrap/>
        <w:overflowPunct/>
        <w:topLinePunct w:val="false"/>
        <w:autoSpaceDE/>
        <w:autoSpaceDN/>
        <w:bidi w:val="false"/>
        <w:adjustRightInd/>
        <w:snapToGrid/>
        <w:spacing w:lineRule="exact" w:line="460"/>
        <w:textAlignment w:val="baseline"/>
        <w:rPr/>
      </w:pPr>
      <w:r>
        <w:rPr>
          <w:rFonts w:ascii="宋体" w:cs="宋体" w:hAnsi="宋体" w:hint="eastAsia"/>
          <w:color w:val="auto"/>
          <w:highlight w:val="none"/>
        </w:rPr>
        <w:fldChar w:fldCharType="begin"/>
      </w:r>
      <w:r>
        <w:rPr>
          <w:rFonts w:ascii="宋体" w:cs="宋体" w:hAnsi="宋体" w:hint="eastAsia"/>
          <w:highlight w:val="none"/>
        </w:rPr>
        <w:instrText xml:space="preserve"> HYPERLINK \l _Toc21907 </w:instrText>
      </w:r>
      <w:r>
        <w:rPr>
          <w:rFonts w:ascii="宋体" w:cs="宋体" w:hAnsi="宋体" w:hint="eastAsia"/>
          <w:highlight w:val="none"/>
        </w:rPr>
        <w:fldChar w:fldCharType="separate"/>
      </w:r>
      <w:r>
        <w:rPr>
          <w:rFonts w:cs="宋体" w:hAnsi="宋体" w:hint="eastAsia"/>
          <w:bCs/>
          <w:szCs w:val="28"/>
          <w:highlight w:val="none"/>
          <w:lang w:val="zh-CN"/>
        </w:rPr>
        <w:t>2. 评审标准</w:t>
      </w:r>
      <w:r>
        <w:tab/>
      </w:r>
      <w:r>
        <w:rPr/>
        <w:fldChar w:fldCharType="begin"/>
      </w:r>
      <w:r>
        <w:instrText xml:space="preserve"> PAGEREF _Toc21907 \h </w:instrText>
      </w:r>
      <w:r>
        <w:rPr/>
        <w:fldChar w:fldCharType="separate"/>
      </w:r>
      <w:r>
        <w:t>36</w:t>
      </w:r>
      <w:r>
        <w:rPr/>
        <w:fldChar w:fldCharType="end"/>
      </w:r>
      <w:r>
        <w:rPr>
          <w:rFonts w:ascii="宋体" w:cs="宋体" w:hAnsi="宋体" w:hint="eastAsia"/>
          <w:color w:val="auto"/>
          <w:highlight w:val="none"/>
        </w:rPr>
        <w:fldChar w:fldCharType="end"/>
      </w:r>
    </w:p>
    <w:p>
      <w:pPr>
        <w:pStyle w:val="style20"/>
        <w:keepNext w:val="false"/>
        <w:keepLines w:val="false"/>
        <w:pageBreakBefore w:val="false"/>
        <w:widowControl/>
        <w:tabs>
          <w:tab w:val="right" w:leader="dot" w:pos="9070"/>
        </w:tabs>
        <w:kinsoku/>
        <w:wordWrap/>
        <w:overflowPunct/>
        <w:topLinePunct w:val="false"/>
        <w:autoSpaceDE/>
        <w:autoSpaceDN/>
        <w:bidi w:val="false"/>
        <w:adjustRightInd/>
        <w:snapToGrid/>
        <w:spacing w:lineRule="exact" w:line="460"/>
        <w:textAlignment w:val="baseline"/>
        <w:rPr/>
      </w:pPr>
      <w:r>
        <w:rPr>
          <w:rFonts w:ascii="宋体" w:cs="宋体" w:hAnsi="宋体" w:hint="eastAsia"/>
          <w:color w:val="auto"/>
          <w:highlight w:val="none"/>
        </w:rPr>
        <w:fldChar w:fldCharType="begin"/>
      </w:r>
      <w:r>
        <w:rPr>
          <w:rFonts w:ascii="宋体" w:cs="宋体" w:hAnsi="宋体" w:hint="eastAsia"/>
          <w:highlight w:val="none"/>
        </w:rPr>
        <w:instrText xml:space="preserve"> HYPERLINK \l _Toc31198 </w:instrText>
      </w:r>
      <w:r>
        <w:rPr>
          <w:rFonts w:ascii="宋体" w:cs="宋体" w:hAnsi="宋体" w:hint="eastAsia"/>
          <w:highlight w:val="none"/>
        </w:rPr>
        <w:fldChar w:fldCharType="separate"/>
      </w:r>
      <w:r>
        <w:rPr>
          <w:rFonts w:cs="宋体" w:hAnsi="宋体" w:hint="eastAsia"/>
          <w:bCs/>
          <w:szCs w:val="28"/>
          <w:highlight w:val="none"/>
          <w:lang w:val="zh-CN"/>
        </w:rPr>
        <w:t>3. 评审程序</w:t>
      </w:r>
      <w:r>
        <w:tab/>
      </w:r>
      <w:r>
        <w:rPr/>
        <w:fldChar w:fldCharType="begin"/>
      </w:r>
      <w:r>
        <w:instrText xml:space="preserve"> PAGEREF _Toc31198 \h </w:instrText>
      </w:r>
      <w:r>
        <w:rPr/>
        <w:fldChar w:fldCharType="separate"/>
      </w:r>
      <w:r>
        <w:t>36</w:t>
      </w:r>
      <w:r>
        <w:rPr/>
        <w:fldChar w:fldCharType="end"/>
      </w:r>
      <w:r>
        <w:rPr>
          <w:rFonts w:ascii="宋体" w:cs="宋体" w:hAnsi="宋体" w:hint="eastAsia"/>
          <w:color w:val="auto"/>
          <w:highlight w:val="none"/>
        </w:rPr>
        <w:fldChar w:fldCharType="end"/>
      </w:r>
    </w:p>
    <w:p>
      <w:pPr>
        <w:pStyle w:val="style20"/>
        <w:keepNext w:val="false"/>
        <w:keepLines w:val="false"/>
        <w:pageBreakBefore w:val="false"/>
        <w:widowControl/>
        <w:tabs>
          <w:tab w:val="right" w:leader="dot" w:pos="9070"/>
        </w:tabs>
        <w:kinsoku/>
        <w:wordWrap/>
        <w:overflowPunct/>
        <w:topLinePunct w:val="false"/>
        <w:autoSpaceDE/>
        <w:autoSpaceDN/>
        <w:bidi w:val="false"/>
        <w:adjustRightInd/>
        <w:snapToGrid/>
        <w:spacing w:lineRule="exact" w:line="460"/>
        <w:textAlignment w:val="baseline"/>
        <w:rPr/>
      </w:pPr>
      <w:r>
        <w:rPr>
          <w:rFonts w:ascii="宋体" w:cs="宋体" w:hAnsi="宋体" w:hint="eastAsia"/>
          <w:color w:val="auto"/>
          <w:highlight w:val="none"/>
        </w:rPr>
        <w:fldChar w:fldCharType="begin"/>
      </w:r>
      <w:r>
        <w:rPr>
          <w:rFonts w:ascii="宋体" w:cs="宋体" w:hAnsi="宋体" w:hint="eastAsia"/>
          <w:highlight w:val="none"/>
        </w:rPr>
        <w:instrText xml:space="preserve"> HYPERLINK \l _Toc29238 </w:instrText>
      </w:r>
      <w:r>
        <w:rPr>
          <w:rFonts w:ascii="宋体" w:cs="宋体" w:hAnsi="宋体" w:hint="eastAsia"/>
          <w:highlight w:val="none"/>
        </w:rPr>
        <w:fldChar w:fldCharType="separate"/>
      </w:r>
      <w:r>
        <w:rPr>
          <w:rFonts w:ascii="宋体" w:cs="宋体" w:hAnsi="宋体" w:hint="eastAsia"/>
          <w:bCs/>
          <w:szCs w:val="28"/>
          <w:highlight w:val="none"/>
          <w:lang w:val="zh-CN"/>
        </w:rPr>
        <w:t>4. 政府采购促进中小企业发展扶持政策</w:t>
      </w:r>
      <w:r>
        <w:tab/>
      </w:r>
      <w:r>
        <w:rPr/>
        <w:fldChar w:fldCharType="begin"/>
      </w:r>
      <w:r>
        <w:instrText xml:space="preserve"> PAGEREF _Toc29238 \h </w:instrText>
      </w:r>
      <w:r>
        <w:rPr/>
        <w:fldChar w:fldCharType="separate"/>
      </w:r>
      <w:r>
        <w:t>41</w:t>
      </w:r>
      <w:r>
        <w:rPr/>
        <w:fldChar w:fldCharType="end"/>
      </w:r>
      <w:r>
        <w:rPr>
          <w:rFonts w:ascii="宋体" w:cs="宋体" w:hAnsi="宋体" w:hint="eastAsia"/>
          <w:color w:val="auto"/>
          <w:highlight w:val="none"/>
        </w:rPr>
        <w:fldChar w:fldCharType="end"/>
      </w:r>
    </w:p>
    <w:p>
      <w:pPr>
        <w:pStyle w:val="style19"/>
        <w:keepNext w:val="false"/>
        <w:keepLines w:val="false"/>
        <w:pageBreakBefore w:val="false"/>
        <w:widowControl/>
        <w:tabs>
          <w:tab w:val="right" w:leader="dot" w:pos="9070"/>
        </w:tabs>
        <w:kinsoku/>
        <w:wordWrap/>
        <w:overflowPunct/>
        <w:topLinePunct w:val="false"/>
        <w:autoSpaceDE/>
        <w:autoSpaceDN/>
        <w:bidi w:val="false"/>
        <w:adjustRightInd/>
        <w:snapToGrid/>
        <w:spacing w:lineRule="exact" w:line="460"/>
        <w:textAlignment w:val="baseline"/>
        <w:rPr/>
      </w:pPr>
      <w:r>
        <w:rPr>
          <w:rFonts w:ascii="宋体" w:cs="宋体" w:hAnsi="宋体" w:hint="eastAsia"/>
          <w:color w:val="auto"/>
          <w:highlight w:val="none"/>
        </w:rPr>
        <w:fldChar w:fldCharType="begin"/>
      </w:r>
      <w:r>
        <w:rPr>
          <w:rFonts w:ascii="宋体" w:cs="宋体" w:hAnsi="宋体" w:hint="eastAsia"/>
          <w:highlight w:val="none"/>
        </w:rPr>
        <w:instrText xml:space="preserve"> HYPERLINK \l _Toc16755 </w:instrText>
      </w:r>
      <w:r>
        <w:rPr>
          <w:rFonts w:ascii="宋体" w:cs="宋体" w:hAnsi="宋体" w:hint="eastAsia"/>
          <w:highlight w:val="none"/>
        </w:rPr>
        <w:fldChar w:fldCharType="separate"/>
      </w:r>
      <w:r>
        <w:rPr>
          <w:rFonts w:ascii="宋体" w:cs="宋体" w:hAnsi="宋体" w:hint="eastAsia"/>
          <w:szCs w:val="36"/>
          <w:highlight w:val="none"/>
        </w:rPr>
        <w:t>第五章  合同主要条款</w:t>
      </w:r>
      <w:r>
        <w:tab/>
      </w:r>
      <w:r>
        <w:rPr/>
        <w:fldChar w:fldCharType="begin"/>
      </w:r>
      <w:r>
        <w:instrText xml:space="preserve"> PAGEREF _Toc16755 \h </w:instrText>
      </w:r>
      <w:r>
        <w:rPr/>
        <w:fldChar w:fldCharType="separate"/>
      </w:r>
      <w:r>
        <w:t>43</w:t>
      </w:r>
      <w:r>
        <w:rPr/>
        <w:fldChar w:fldCharType="end"/>
      </w:r>
      <w:r>
        <w:rPr>
          <w:rFonts w:ascii="宋体" w:cs="宋体" w:hAnsi="宋体" w:hint="eastAsia"/>
          <w:color w:val="auto"/>
          <w:highlight w:val="none"/>
        </w:rPr>
        <w:fldChar w:fldCharType="end"/>
      </w:r>
    </w:p>
    <w:p>
      <w:pPr>
        <w:pStyle w:val="style19"/>
        <w:keepNext w:val="false"/>
        <w:keepLines w:val="false"/>
        <w:pageBreakBefore w:val="false"/>
        <w:widowControl/>
        <w:tabs>
          <w:tab w:val="right" w:leader="dot" w:pos="9070"/>
        </w:tabs>
        <w:kinsoku/>
        <w:wordWrap/>
        <w:overflowPunct/>
        <w:topLinePunct w:val="false"/>
        <w:autoSpaceDE/>
        <w:autoSpaceDN/>
        <w:bidi w:val="false"/>
        <w:adjustRightInd/>
        <w:snapToGrid/>
        <w:spacing w:lineRule="exact" w:line="460"/>
        <w:textAlignment w:val="baseline"/>
        <w:rPr/>
      </w:pPr>
      <w:r>
        <w:rPr>
          <w:rFonts w:ascii="宋体" w:cs="宋体" w:hAnsi="宋体" w:hint="eastAsia"/>
          <w:color w:val="auto"/>
          <w:highlight w:val="none"/>
        </w:rPr>
        <w:fldChar w:fldCharType="begin"/>
      </w:r>
      <w:r>
        <w:rPr>
          <w:rFonts w:ascii="宋体" w:cs="宋体" w:hAnsi="宋体" w:hint="eastAsia"/>
          <w:highlight w:val="none"/>
        </w:rPr>
        <w:instrText xml:space="preserve"> HYPERLINK \l _Toc13087 </w:instrText>
      </w:r>
      <w:r>
        <w:rPr>
          <w:rFonts w:ascii="宋体" w:cs="宋体" w:hAnsi="宋体" w:hint="eastAsia"/>
          <w:highlight w:val="none"/>
        </w:rPr>
        <w:fldChar w:fldCharType="separate"/>
      </w:r>
      <w:r>
        <w:rPr>
          <w:rFonts w:ascii="宋体" w:cs="宋体" w:hAnsi="宋体" w:hint="eastAsia"/>
          <w:szCs w:val="36"/>
          <w:highlight w:val="none"/>
          <w:lang w:val="zh-CN"/>
        </w:rPr>
        <w:t>第六章  《响应文件》格式</w:t>
      </w:r>
      <w:r>
        <w:tab/>
      </w:r>
      <w:r>
        <w:rPr/>
        <w:fldChar w:fldCharType="begin"/>
      </w:r>
      <w:r>
        <w:instrText xml:space="preserve"> PAGEREF _Toc13087 \h </w:instrText>
      </w:r>
      <w:r>
        <w:rPr/>
        <w:fldChar w:fldCharType="separate"/>
      </w:r>
      <w:r>
        <w:t>46</w:t>
      </w:r>
      <w:r>
        <w:rPr/>
        <w:fldChar w:fldCharType="end"/>
      </w:r>
      <w:r>
        <w:rPr>
          <w:rFonts w:ascii="宋体" w:cs="宋体" w:hAnsi="宋体" w:hint="eastAsia"/>
          <w:color w:val="auto"/>
          <w:highlight w:val="none"/>
        </w:rPr>
        <w:fldChar w:fldCharType="end"/>
      </w:r>
    </w:p>
    <w:p>
      <w:pPr>
        <w:pStyle w:val="style4126"/>
        <w:jc w:val="center"/>
        <w:rPr>
          <w:rFonts w:ascii="宋体" w:cs="宋体" w:hAnsi="宋体"/>
          <w:color w:val="auto"/>
          <w:highlight w:val="none"/>
        </w:rPr>
      </w:pPr>
      <w:r>
        <w:rPr>
          <w:rFonts w:ascii="宋体" w:cs="宋体" w:hAnsi="宋体" w:hint="eastAsia"/>
          <w:color w:val="auto"/>
          <w:highlight w:val="none"/>
        </w:rPr>
        <w:fldChar w:fldCharType="end"/>
      </w:r>
    </w:p>
    <w:p>
      <w:pPr>
        <w:pStyle w:val="style77"/>
        <w:ind w:firstLine="210"/>
        <w:rPr>
          <w:rFonts w:ascii="宋体" w:cs="宋体" w:hAnsi="宋体"/>
          <w:color w:val="auto"/>
          <w:highlight w:val="none"/>
        </w:rPr>
      </w:pPr>
    </w:p>
    <w:p>
      <w:pPr>
        <w:pStyle w:val="style78"/>
        <w:rPr>
          <w:rFonts w:ascii="宋体" w:cs="宋体" w:hAnsi="宋体"/>
          <w:color w:val="auto"/>
          <w:highlight w:val="none"/>
        </w:rPr>
        <w:sectPr>
          <w:headerReference w:type="default" r:id="rId8"/>
          <w:headerReference w:type="first" r:id="rId9"/>
          <w:footerReference w:type="first" r:id="rId10"/>
          <w:pgSz w:w="11905" w:h="16837" w:orient="portrait"/>
          <w:pgMar w:top="1417" w:right="1417" w:bottom="1417" w:left="1418" w:header="850" w:footer="964" w:gutter="0"/>
          <w:pgBorders w:zOrder="front" w:display="allPages" w:offsetFrom="text">
            <w:top w:val="none" w:sz="0" w:space="0" w:color="auto"/>
            <w:left w:val="none" w:sz="0" w:space="0" w:color="auto"/>
            <w:bottom w:val="none" w:sz="0" w:space="0" w:color="auto"/>
            <w:right w:val="none" w:sz="0" w:space="0" w:color="auto"/>
          </w:pgBorders>
          <w:pgNumType w:start="1"/>
          <w:cols w:space="0" w:num="1"/>
          <w:titlePg/>
        </w:sectPr>
      </w:pPr>
    </w:p>
    <w:bookmarkStart w:id="0" w:name="_Toc31064"/>
    <w:p>
      <w:pPr>
        <w:pStyle w:val="style0"/>
        <w:widowControl w:val="false"/>
        <w:snapToGrid w:val="false"/>
        <w:spacing w:beforeLines="50" w:afterLines="50" w:lineRule="auto" w:line="240"/>
        <w:jc w:val="center"/>
        <w:outlineLvl w:val="0"/>
        <w:rPr>
          <w:rFonts w:ascii="宋体" w:cs="宋体" w:hAnsi="宋体"/>
          <w:color w:val="auto"/>
          <w:sz w:val="36"/>
          <w:szCs w:val="36"/>
          <w:highlight w:val="none"/>
        </w:rPr>
      </w:pPr>
      <w:r>
        <w:rPr>
          <w:rFonts w:ascii="宋体" w:cs="宋体" w:hAnsi="宋体" w:hint="eastAsia"/>
          <w:b/>
          <w:color w:val="auto"/>
          <w:sz w:val="36"/>
          <w:szCs w:val="36"/>
          <w:highlight w:val="none"/>
        </w:rPr>
        <w:t>第一章</w:t>
      </w:r>
      <w:r>
        <w:rPr>
          <w:rFonts w:ascii="宋体" w:cs="宋体" w:hAnsi="宋体" w:hint="eastAsia"/>
          <w:b/>
          <w:color w:val="auto"/>
          <w:sz w:val="36"/>
          <w:szCs w:val="36"/>
          <w:highlight w:val="none"/>
          <w:lang w:val="en-US" w:eastAsia="zh-CN"/>
        </w:rPr>
        <w:t xml:space="preserve">  </w:t>
      </w:r>
      <w:r>
        <w:rPr>
          <w:rFonts w:ascii="宋体" w:cs="宋体" w:hAnsi="宋体" w:hint="eastAsia"/>
          <w:b/>
          <w:color w:val="auto"/>
          <w:sz w:val="36"/>
          <w:szCs w:val="36"/>
          <w:highlight w:val="none"/>
        </w:rPr>
        <w:t>竞争性磋商公告</w:t>
      </w:r>
      <w:bookmarkEnd w:id="0"/>
    </w:p>
    <w:p>
      <w:pPr>
        <w:pStyle w:val="style0"/>
        <w:widowControl w:val="false"/>
        <w:spacing w:after="0" w:lineRule="auto" w:line="276"/>
        <w:jc w:val="center"/>
        <w:textAlignment w:val="auto"/>
        <w:rPr>
          <w:rFonts w:ascii="宋体" w:cs="宋体" w:hAnsi="宋体" w:hint="eastAsia"/>
          <w:b/>
          <w:bCs/>
          <w:color w:val="auto"/>
          <w:kern w:val="0"/>
          <w:sz w:val="28"/>
          <w:szCs w:val="28"/>
          <w:lang w:eastAsia="zh-CN"/>
        </w:rPr>
      </w:pPr>
      <w:r>
        <w:rPr>
          <w:rFonts w:ascii="宋体" w:cs="宋体" w:hAnsi="宋体" w:hint="eastAsia"/>
          <w:b/>
          <w:bCs/>
          <w:color w:val="auto"/>
          <w:kern w:val="0"/>
          <w:sz w:val="28"/>
          <w:szCs w:val="28"/>
          <w:lang w:eastAsia="zh-CN"/>
        </w:rPr>
        <w:t>安阳市肿瘤医院工程造价咨询、审计机构入围项目</w:t>
      </w:r>
    </w:p>
    <w:p>
      <w:pPr>
        <w:pStyle w:val="style0"/>
        <w:widowControl w:val="false"/>
        <w:spacing w:after="0" w:lineRule="auto" w:line="276"/>
        <w:jc w:val="center"/>
        <w:textAlignment w:val="auto"/>
        <w:rPr>
          <w:rFonts w:ascii="宋体" w:cs="宋体" w:eastAsia="宋体" w:hAnsi="宋体" w:hint="eastAsia"/>
          <w:b/>
          <w:bCs/>
          <w:color w:val="auto"/>
          <w:kern w:val="0"/>
          <w:sz w:val="28"/>
          <w:szCs w:val="28"/>
          <w:lang w:eastAsia="zh-CN"/>
        </w:rPr>
      </w:pPr>
      <w:r>
        <w:rPr>
          <w:rFonts w:ascii="宋体" w:cs="宋体" w:eastAsia="宋体" w:hAnsi="宋体" w:hint="eastAsia"/>
          <w:b/>
          <w:bCs/>
          <w:color w:val="auto"/>
          <w:kern w:val="0"/>
          <w:sz w:val="28"/>
          <w:szCs w:val="28"/>
          <w:lang w:eastAsia="zh-CN"/>
        </w:rPr>
        <w:t>竞争性磋商公告</w:t>
      </w:r>
    </w:p>
    <w:p>
      <w:pPr>
        <w:pStyle w:val="style0"/>
        <w:widowControl/>
        <w:snapToGrid w:val="false"/>
        <w:spacing w:after="0" w:lineRule="exact" w:line="500"/>
        <w:ind w:firstLine="640"/>
        <w:jc w:val="left"/>
        <w:rPr>
          <w:rFonts w:ascii="宋体" w:cs="宋体" w:hAnsi="宋体" w:hint="eastAsia"/>
          <w:color w:val="auto"/>
          <w:kern w:val="0"/>
          <w:sz w:val="24"/>
          <w:szCs w:val="24"/>
        </w:rPr>
      </w:pPr>
      <w:r>
        <w:rPr>
          <w:rFonts w:ascii="宋体" w:cs="宋体" w:hAnsi="宋体" w:hint="eastAsia"/>
          <w:color w:val="auto"/>
          <w:kern w:val="0"/>
          <w:sz w:val="24"/>
          <w:szCs w:val="24"/>
          <w:lang w:eastAsia="zh-CN"/>
        </w:rPr>
        <w:t>河南晟祥招标代理服务有限公司</w:t>
      </w:r>
      <w:r>
        <w:rPr>
          <w:rFonts w:ascii="宋体" w:cs="宋体" w:hAnsi="宋体" w:hint="eastAsia"/>
          <w:color w:val="auto"/>
          <w:kern w:val="0"/>
          <w:sz w:val="24"/>
          <w:szCs w:val="24"/>
        </w:rPr>
        <w:t>接受</w:t>
      </w:r>
      <w:r>
        <w:rPr>
          <w:rFonts w:ascii="宋体" w:cs="宋体" w:hAnsi="宋体" w:hint="eastAsia"/>
          <w:color w:val="auto"/>
          <w:kern w:val="0"/>
          <w:sz w:val="24"/>
          <w:szCs w:val="24"/>
          <w:lang w:eastAsia="zh-CN"/>
        </w:rPr>
        <w:t>安阳市肿瘤医院</w:t>
      </w:r>
      <w:r>
        <w:rPr>
          <w:rFonts w:ascii="宋体" w:cs="宋体" w:hAnsi="宋体" w:hint="eastAsia"/>
          <w:color w:val="auto"/>
          <w:kern w:val="0"/>
          <w:sz w:val="24"/>
          <w:szCs w:val="24"/>
        </w:rPr>
        <w:t>委托，就</w:t>
      </w:r>
      <w:r>
        <w:rPr>
          <w:rFonts w:ascii="宋体" w:cs="宋体" w:hAnsi="宋体" w:hint="eastAsia"/>
          <w:color w:val="auto"/>
          <w:kern w:val="0"/>
          <w:sz w:val="24"/>
          <w:szCs w:val="24"/>
          <w:lang w:eastAsia="zh-CN"/>
        </w:rPr>
        <w:t>安阳市肿瘤医院工程造价咨询、审计机构入围项目</w:t>
      </w:r>
      <w:r>
        <w:rPr>
          <w:rFonts w:ascii="宋体" w:cs="宋体" w:hAnsi="宋体" w:hint="eastAsia"/>
          <w:color w:val="auto"/>
          <w:kern w:val="0"/>
          <w:sz w:val="24"/>
          <w:szCs w:val="24"/>
        </w:rPr>
        <w:t>进行</w:t>
      </w:r>
      <w:r>
        <w:rPr>
          <w:rFonts w:ascii="宋体" w:cs="宋体" w:hAnsi="宋体" w:hint="eastAsia"/>
          <w:color w:val="auto"/>
          <w:kern w:val="0"/>
          <w:sz w:val="24"/>
          <w:szCs w:val="24"/>
          <w:lang w:val="en-US" w:eastAsia="zh-CN"/>
        </w:rPr>
        <w:t>竞争性磋商</w:t>
      </w:r>
      <w:r>
        <w:rPr>
          <w:rFonts w:ascii="宋体" w:cs="宋体" w:hAnsi="宋体" w:hint="eastAsia"/>
          <w:color w:val="auto"/>
          <w:kern w:val="0"/>
          <w:sz w:val="24"/>
          <w:szCs w:val="24"/>
        </w:rPr>
        <w:t xml:space="preserve">采购，欢迎符合资格的供应商参加投标。 </w:t>
      </w:r>
    </w:p>
    <w:p>
      <w:pPr>
        <w:pStyle w:val="style0"/>
        <w:widowControl/>
        <w:snapToGrid w:val="false"/>
        <w:spacing w:after="0" w:lineRule="exact" w:line="500"/>
        <w:ind w:firstLine="482" w:firstLineChars="200"/>
        <w:jc w:val="left"/>
        <w:rPr>
          <w:rFonts w:ascii="宋体" w:cs="宋体" w:hAnsi="宋体" w:hint="eastAsia"/>
          <w:b/>
          <w:bCs/>
          <w:color w:val="auto"/>
          <w:kern w:val="0"/>
          <w:sz w:val="24"/>
          <w:szCs w:val="24"/>
        </w:rPr>
      </w:pPr>
      <w:r>
        <w:rPr>
          <w:rFonts w:ascii="宋体" w:cs="宋体" w:hAnsi="宋体" w:hint="eastAsia"/>
          <w:b/>
          <w:bCs/>
          <w:color w:val="auto"/>
          <w:kern w:val="0"/>
          <w:sz w:val="24"/>
          <w:szCs w:val="24"/>
        </w:rPr>
        <w:t xml:space="preserve">一、项目概况： </w:t>
      </w:r>
    </w:p>
    <w:p>
      <w:pPr>
        <w:pStyle w:val="style0"/>
        <w:widowControl/>
        <w:snapToGrid w:val="false"/>
        <w:spacing w:after="0" w:lineRule="exact" w:line="500"/>
        <w:ind w:firstLine="480" w:firstLineChars="200"/>
        <w:jc w:val="left"/>
        <w:rPr>
          <w:rFonts w:ascii="宋体" w:cs="宋体" w:hAnsi="宋体" w:hint="eastAsia"/>
          <w:color w:val="auto"/>
          <w:kern w:val="0"/>
          <w:sz w:val="24"/>
          <w:szCs w:val="24"/>
        </w:rPr>
      </w:pPr>
      <w:r>
        <w:rPr>
          <w:rFonts w:ascii="宋体" w:cs="宋体" w:hAnsi="宋体" w:hint="eastAsia"/>
          <w:color w:val="auto"/>
          <w:kern w:val="0"/>
          <w:sz w:val="24"/>
          <w:szCs w:val="24"/>
          <w:lang w:val="en-US" w:eastAsia="zh-CN"/>
        </w:rPr>
        <w:t>1.1</w:t>
      </w:r>
      <w:r>
        <w:rPr>
          <w:rFonts w:ascii="宋体" w:cs="宋体" w:hAnsi="宋体" w:hint="eastAsia"/>
          <w:color w:val="auto"/>
          <w:kern w:val="0"/>
          <w:sz w:val="24"/>
          <w:szCs w:val="24"/>
        </w:rPr>
        <w:t>项目名称：</w:t>
      </w:r>
      <w:r>
        <w:rPr>
          <w:rFonts w:ascii="宋体" w:cs="宋体" w:hAnsi="宋体" w:hint="eastAsia"/>
          <w:color w:val="auto"/>
          <w:kern w:val="0"/>
          <w:sz w:val="24"/>
          <w:szCs w:val="24"/>
          <w:lang w:eastAsia="zh-CN"/>
        </w:rPr>
        <w:t>安阳市肿瘤医院工程造价咨询、审计机构入围项目</w:t>
      </w:r>
    </w:p>
    <w:p>
      <w:pPr>
        <w:pStyle w:val="style0"/>
        <w:widowControl/>
        <w:snapToGrid w:val="false"/>
        <w:spacing w:after="0" w:lineRule="exact" w:line="500"/>
        <w:ind w:firstLine="480" w:firstLineChars="200"/>
        <w:jc w:val="left"/>
        <w:rPr>
          <w:rFonts w:ascii="宋体" w:cs="宋体" w:hAnsi="宋体" w:hint="eastAsia"/>
          <w:color w:val="auto"/>
          <w:kern w:val="0"/>
          <w:sz w:val="24"/>
          <w:szCs w:val="24"/>
        </w:rPr>
      </w:pPr>
      <w:r>
        <w:rPr>
          <w:rFonts w:ascii="宋体" w:cs="宋体" w:hAnsi="宋体" w:hint="eastAsia"/>
          <w:color w:val="auto"/>
          <w:kern w:val="0"/>
          <w:sz w:val="24"/>
          <w:szCs w:val="24"/>
          <w:lang w:val="en-US" w:eastAsia="zh-CN"/>
        </w:rPr>
        <w:t>1.2</w:t>
      </w:r>
      <w:r>
        <w:rPr>
          <w:rFonts w:ascii="宋体" w:cs="宋体" w:hAnsi="宋体" w:hint="eastAsia"/>
          <w:color w:val="auto"/>
          <w:kern w:val="0"/>
          <w:sz w:val="24"/>
          <w:szCs w:val="24"/>
        </w:rPr>
        <w:t>采购编号：</w:t>
      </w:r>
      <w:r>
        <w:rPr>
          <w:rFonts w:ascii="宋体" w:cs="宋体" w:hAnsi="宋体" w:hint="eastAsia"/>
          <w:color w:val="auto"/>
          <w:kern w:val="0"/>
          <w:sz w:val="24"/>
          <w:szCs w:val="24"/>
          <w:lang w:val="en-US" w:eastAsia="zh-CN"/>
        </w:rPr>
        <w:t>ZJGJ2024-0426</w:t>
      </w:r>
    </w:p>
    <w:p>
      <w:pPr>
        <w:pStyle w:val="style0"/>
        <w:widowControl/>
        <w:snapToGrid w:val="false"/>
        <w:spacing w:after="0" w:lineRule="exact" w:line="500"/>
        <w:ind w:firstLine="480" w:firstLineChars="200"/>
        <w:jc w:val="left"/>
        <w:rPr>
          <w:rFonts w:ascii="宋体" w:cs="宋体" w:eastAsia="宋体" w:hAnsi="宋体" w:hint="eastAsia"/>
          <w:color w:val="auto"/>
          <w:kern w:val="0"/>
          <w:sz w:val="24"/>
          <w:szCs w:val="24"/>
        </w:rPr>
      </w:pPr>
      <w:r>
        <w:rPr>
          <w:rFonts w:ascii="宋体" w:cs="宋体" w:eastAsia="宋体" w:hAnsi="宋体" w:hint="eastAsia"/>
          <w:color w:val="auto"/>
          <w:kern w:val="0"/>
          <w:sz w:val="24"/>
          <w:szCs w:val="24"/>
          <w:lang w:val="en-US" w:eastAsia="zh-CN"/>
        </w:rPr>
        <w:t>1.3</w:t>
      </w:r>
      <w:r>
        <w:rPr>
          <w:rFonts w:ascii="宋体" w:cs="宋体" w:eastAsia="宋体" w:hAnsi="宋体" w:hint="eastAsia"/>
          <w:color w:val="auto"/>
          <w:kern w:val="0"/>
          <w:sz w:val="24"/>
          <w:szCs w:val="24"/>
        </w:rPr>
        <w:t>入围家数：</w:t>
      </w:r>
      <w:r>
        <w:rPr>
          <w:rFonts w:ascii="宋体" w:cs="宋体" w:eastAsia="宋体" w:hAnsi="宋体" w:hint="eastAsia"/>
          <w:color w:val="auto"/>
          <w:kern w:val="0"/>
          <w:sz w:val="24"/>
          <w:szCs w:val="24"/>
          <w:lang w:val="en-US" w:eastAsia="zh-CN"/>
        </w:rPr>
        <w:t>3</w:t>
      </w:r>
      <w:r>
        <w:rPr>
          <w:rFonts w:ascii="宋体" w:cs="宋体" w:eastAsia="宋体" w:hAnsi="宋体" w:hint="eastAsia"/>
          <w:color w:val="auto"/>
          <w:kern w:val="0"/>
          <w:sz w:val="24"/>
          <w:szCs w:val="24"/>
        </w:rPr>
        <w:t>家</w:t>
      </w:r>
      <w:r>
        <w:rPr>
          <w:rFonts w:ascii="宋体" w:cs="宋体" w:eastAsia="宋体" w:hAnsi="宋体" w:hint="eastAsia"/>
          <w:color w:val="auto"/>
          <w:kern w:val="0"/>
          <w:sz w:val="24"/>
          <w:szCs w:val="24"/>
          <w:lang w:val="en-US" w:eastAsia="zh-CN"/>
        </w:rPr>
        <w:t>/包</w:t>
      </w:r>
      <w:r>
        <w:rPr>
          <w:rFonts w:ascii="宋体" w:cs="宋体" w:eastAsia="宋体" w:hAnsi="宋体" w:hint="eastAsia"/>
          <w:color w:val="auto"/>
          <w:kern w:val="0"/>
          <w:sz w:val="24"/>
          <w:szCs w:val="24"/>
        </w:rPr>
        <w:t>，根据实际情况分阶段实施</w:t>
      </w:r>
      <w:r>
        <w:rPr>
          <w:rFonts w:ascii="宋体" w:cs="宋体" w:eastAsia="宋体" w:hAnsi="宋体" w:hint="eastAsia"/>
          <w:color w:val="auto"/>
          <w:kern w:val="0"/>
          <w:sz w:val="24"/>
          <w:szCs w:val="24"/>
          <w:lang w:eastAsia="zh-CN"/>
        </w:rPr>
        <w:t>，</w:t>
      </w:r>
      <w:r>
        <w:rPr>
          <w:rFonts w:ascii="宋体" w:cs="宋体" w:eastAsia="宋体" w:hAnsi="宋体" w:hint="eastAsia"/>
          <w:color w:val="auto"/>
          <w:kern w:val="0"/>
          <w:sz w:val="24"/>
          <w:szCs w:val="24"/>
          <w:lang w:val="en-US" w:eastAsia="zh-CN"/>
        </w:rPr>
        <w:t>提供</w:t>
      </w:r>
      <w:r>
        <w:rPr>
          <w:rFonts w:ascii="宋体" w:cs="宋体" w:hAnsi="宋体" w:hint="eastAsia"/>
          <w:color w:val="auto"/>
          <w:kern w:val="0"/>
          <w:sz w:val="24"/>
          <w:szCs w:val="24"/>
          <w:lang w:eastAsia="zh-CN"/>
        </w:rPr>
        <w:t>工程造价咨询、</w:t>
      </w:r>
      <w:r>
        <w:rPr>
          <w:rFonts w:ascii="宋体" w:cs="宋体" w:hAnsi="宋体" w:hint="eastAsia"/>
          <w:color w:val="auto"/>
          <w:kern w:val="0"/>
          <w:sz w:val="24"/>
          <w:szCs w:val="24"/>
          <w:lang w:val="en-US" w:eastAsia="zh-CN"/>
        </w:rPr>
        <w:t>审计服务</w:t>
      </w:r>
      <w:r>
        <w:rPr>
          <w:rFonts w:ascii="宋体" w:cs="宋体" w:eastAsia="宋体" w:hAnsi="宋体" w:hint="eastAsia"/>
          <w:color w:val="auto"/>
          <w:kern w:val="0"/>
          <w:sz w:val="24"/>
          <w:szCs w:val="24"/>
          <w:lang w:val="en-US" w:eastAsia="zh-CN"/>
        </w:rPr>
        <w:t>。</w:t>
      </w:r>
    </w:p>
    <w:p>
      <w:pPr>
        <w:pStyle w:val="style0"/>
        <w:widowControl/>
        <w:snapToGrid w:val="false"/>
        <w:spacing w:after="0" w:lineRule="exact" w:line="500"/>
        <w:ind w:firstLine="480" w:firstLineChars="200"/>
        <w:jc w:val="left"/>
        <w:rPr>
          <w:rFonts w:ascii="宋体" w:cs="宋体" w:eastAsia="宋体" w:hAnsi="宋体" w:hint="eastAsia"/>
          <w:color w:val="auto"/>
          <w:kern w:val="0"/>
          <w:sz w:val="24"/>
          <w:szCs w:val="24"/>
          <w:lang w:val="en-US" w:eastAsia="zh-CN"/>
        </w:rPr>
      </w:pPr>
      <w:r>
        <w:rPr>
          <w:rFonts w:ascii="宋体" w:cs="宋体" w:eastAsia="宋体" w:hAnsi="宋体" w:hint="eastAsia"/>
          <w:color w:val="auto"/>
          <w:kern w:val="0"/>
          <w:sz w:val="24"/>
          <w:szCs w:val="24"/>
          <w:lang w:val="en-US" w:eastAsia="zh-CN"/>
        </w:rPr>
        <w:t>1.4服务期限：3年</w:t>
      </w:r>
    </w:p>
    <w:p>
      <w:pPr>
        <w:pStyle w:val="style0"/>
        <w:widowControl/>
        <w:snapToGrid w:val="false"/>
        <w:spacing w:after="0" w:lineRule="exact" w:line="500"/>
        <w:ind w:firstLine="481"/>
        <w:jc w:val="left"/>
        <w:rPr>
          <w:rFonts w:ascii="宋体" w:cs="宋体" w:hAnsi="宋体" w:hint="eastAsia"/>
          <w:color w:val="auto"/>
          <w:kern w:val="0"/>
          <w:sz w:val="24"/>
          <w:szCs w:val="24"/>
        </w:rPr>
      </w:pPr>
      <w:r>
        <w:rPr>
          <w:rFonts w:ascii="宋体" w:cs="宋体" w:hAnsi="宋体" w:hint="eastAsia"/>
          <w:b/>
          <w:bCs/>
          <w:color w:val="auto"/>
          <w:kern w:val="0"/>
          <w:sz w:val="24"/>
          <w:szCs w:val="24"/>
        </w:rPr>
        <w:t>二、采购需求：</w:t>
      </w:r>
      <w:r>
        <w:rPr>
          <w:rFonts w:ascii="宋体" w:cs="宋体" w:hAnsi="宋体" w:hint="eastAsia"/>
          <w:color w:val="auto"/>
          <w:kern w:val="0"/>
          <w:sz w:val="24"/>
          <w:szCs w:val="24"/>
        </w:rPr>
        <w:t xml:space="preserve"> </w:t>
      </w:r>
    </w:p>
    <w:tbl>
      <w:tblPr>
        <w:tblStyle w:val="style105"/>
        <w:tblW w:w="84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Pr>
      <w:tblGrid>
        <w:gridCol w:w="1336"/>
        <w:gridCol w:w="2250"/>
        <w:gridCol w:w="1684"/>
        <w:gridCol w:w="1600"/>
        <w:gridCol w:w="1566"/>
      </w:tblGrid>
      <w:tr>
        <w:trPr>
          <w:trHeight w:val="567" w:hRule="atLeast"/>
          <w:jc w:val="center"/>
        </w:trPr>
        <w:tc>
          <w:tcPr>
            <w:tcW w:w="1336" w:type="dxa"/>
            <w:tcBorders/>
            <w:tcMar>
              <w:top w:w="0" w:type="dxa"/>
              <w:left w:w="0" w:type="dxa"/>
              <w:bottom w:w="0" w:type="dxa"/>
              <w:right w:w="0" w:type="dxa"/>
            </w:tcMar>
            <w:vAlign w:val="center"/>
          </w:tcPr>
          <w:p>
            <w:pPr>
              <w:pStyle w:val="style0"/>
              <w:widowControl/>
              <w:spacing w:after="0" w:lineRule="auto" w:line="240"/>
              <w:jc w:val="center"/>
              <w:rPr>
                <w:rFonts w:ascii="宋体" w:cs="宋体" w:eastAsia="宋体" w:hAnsi="宋体" w:hint="eastAsia"/>
                <w:color w:val="auto"/>
                <w:kern w:val="0"/>
                <w:sz w:val="24"/>
                <w:szCs w:val="24"/>
                <w:lang w:eastAsia="zh-CN"/>
              </w:rPr>
            </w:pPr>
            <w:r>
              <w:rPr>
                <w:rFonts w:ascii="宋体" w:cs="宋体" w:hAnsi="宋体" w:hint="eastAsia"/>
                <w:b/>
                <w:bCs/>
                <w:color w:val="auto"/>
                <w:kern w:val="0"/>
                <w:sz w:val="24"/>
                <w:szCs w:val="24"/>
                <w:lang w:val="en-US" w:eastAsia="zh-CN"/>
              </w:rPr>
              <w:t>包号</w:t>
            </w:r>
          </w:p>
        </w:tc>
        <w:tc>
          <w:tcPr>
            <w:tcW w:w="2250" w:type="dxa"/>
            <w:tcBorders/>
            <w:tcMar>
              <w:top w:w="0" w:type="dxa"/>
              <w:left w:w="0" w:type="dxa"/>
              <w:bottom w:w="0" w:type="dxa"/>
              <w:right w:w="0" w:type="dxa"/>
            </w:tcMar>
            <w:vAlign w:val="center"/>
          </w:tcPr>
          <w:p>
            <w:pPr>
              <w:pStyle w:val="style0"/>
              <w:widowControl/>
              <w:spacing w:after="0" w:lineRule="auto" w:line="240"/>
              <w:jc w:val="center"/>
              <w:rPr>
                <w:rFonts w:ascii="宋体" w:cs="宋体" w:hAnsi="宋体"/>
                <w:color w:val="auto"/>
                <w:kern w:val="0"/>
                <w:sz w:val="24"/>
                <w:szCs w:val="24"/>
              </w:rPr>
            </w:pPr>
            <w:r>
              <w:rPr>
                <w:rFonts w:ascii="宋体" w:cs="宋体" w:hAnsi="宋体" w:hint="eastAsia"/>
                <w:b/>
                <w:bCs/>
                <w:color w:val="auto"/>
                <w:kern w:val="0"/>
                <w:sz w:val="24"/>
                <w:szCs w:val="24"/>
              </w:rPr>
              <w:t>主要内容</w:t>
            </w:r>
          </w:p>
        </w:tc>
        <w:tc>
          <w:tcPr>
            <w:tcW w:w="1684" w:type="dxa"/>
            <w:tcBorders/>
            <w:tcMar>
              <w:top w:w="0" w:type="dxa"/>
              <w:left w:w="0" w:type="dxa"/>
              <w:bottom w:w="0" w:type="dxa"/>
              <w:right w:w="0" w:type="dxa"/>
            </w:tcMar>
            <w:vAlign w:val="center"/>
          </w:tcPr>
          <w:p>
            <w:pPr>
              <w:pStyle w:val="style0"/>
              <w:widowControl/>
              <w:spacing w:after="0" w:lineRule="auto" w:line="240"/>
              <w:jc w:val="center"/>
              <w:rPr>
                <w:rFonts w:ascii="宋体" w:cs="宋体" w:hAnsi="宋体"/>
                <w:color w:val="auto"/>
                <w:kern w:val="0"/>
                <w:sz w:val="24"/>
                <w:szCs w:val="24"/>
              </w:rPr>
            </w:pPr>
            <w:r>
              <w:rPr>
                <w:rFonts w:ascii="宋体" w:cs="宋体" w:hAnsi="宋体" w:hint="eastAsia"/>
                <w:b/>
                <w:bCs/>
                <w:color w:val="auto"/>
                <w:kern w:val="0"/>
                <w:sz w:val="24"/>
                <w:szCs w:val="24"/>
              </w:rPr>
              <w:t>基本技术要求</w:t>
            </w:r>
          </w:p>
        </w:tc>
        <w:tc>
          <w:tcPr>
            <w:tcW w:w="1600" w:type="dxa"/>
            <w:tcBorders/>
            <w:tcMar>
              <w:top w:w="0" w:type="dxa"/>
              <w:left w:w="0" w:type="dxa"/>
              <w:bottom w:w="0" w:type="dxa"/>
              <w:right w:w="0" w:type="dxa"/>
            </w:tcMar>
            <w:vAlign w:val="center"/>
          </w:tcPr>
          <w:p>
            <w:pPr>
              <w:pStyle w:val="style0"/>
              <w:widowControl/>
              <w:spacing w:after="0" w:lineRule="auto" w:line="240"/>
              <w:jc w:val="center"/>
              <w:rPr>
                <w:rFonts w:ascii="宋体" w:cs="宋体" w:hAnsi="宋体" w:hint="eastAsia"/>
                <w:color w:val="auto"/>
                <w:kern w:val="0"/>
                <w:sz w:val="24"/>
                <w:szCs w:val="24"/>
              </w:rPr>
            </w:pPr>
            <w:r>
              <w:rPr>
                <w:rFonts w:ascii="宋体" w:cs="宋体" w:hAnsi="宋体" w:hint="eastAsia"/>
                <w:b/>
                <w:bCs/>
                <w:color w:val="auto"/>
                <w:kern w:val="0"/>
                <w:sz w:val="24"/>
                <w:szCs w:val="24"/>
              </w:rPr>
              <w:t>工期</w:t>
            </w:r>
          </w:p>
        </w:tc>
        <w:tc>
          <w:tcPr>
            <w:tcW w:w="1566" w:type="dxa"/>
            <w:tcBorders/>
            <w:tcMar>
              <w:top w:w="0" w:type="dxa"/>
              <w:left w:w="0" w:type="dxa"/>
              <w:bottom w:w="0" w:type="dxa"/>
              <w:right w:w="0" w:type="dxa"/>
            </w:tcMar>
            <w:vAlign w:val="center"/>
          </w:tcPr>
          <w:p>
            <w:pPr>
              <w:pStyle w:val="style0"/>
              <w:widowControl/>
              <w:spacing w:after="0" w:lineRule="auto" w:line="240"/>
              <w:jc w:val="center"/>
              <w:rPr>
                <w:rFonts w:ascii="宋体" w:cs="宋体" w:hAnsi="宋体"/>
                <w:color w:val="auto"/>
                <w:kern w:val="0"/>
                <w:sz w:val="24"/>
                <w:szCs w:val="24"/>
              </w:rPr>
            </w:pPr>
            <w:r>
              <w:rPr>
                <w:rFonts w:ascii="宋体" w:cs="宋体" w:hAnsi="宋体" w:hint="eastAsia"/>
                <w:b/>
                <w:bCs/>
                <w:color w:val="auto"/>
                <w:kern w:val="0"/>
                <w:sz w:val="24"/>
                <w:szCs w:val="24"/>
              </w:rPr>
              <w:t>交验地点</w:t>
            </w:r>
          </w:p>
        </w:tc>
      </w:tr>
      <w:tr>
        <w:tblPrEx/>
        <w:trPr>
          <w:trHeight w:val="992" w:hRule="atLeast"/>
          <w:jc w:val="center"/>
        </w:trPr>
        <w:tc>
          <w:tcPr>
            <w:tcW w:w="1336" w:type="dxa"/>
            <w:tcBorders/>
            <w:tcMar>
              <w:top w:w="0" w:type="dxa"/>
              <w:left w:w="0" w:type="dxa"/>
              <w:bottom w:w="0" w:type="dxa"/>
              <w:right w:w="0" w:type="dxa"/>
            </w:tcMar>
            <w:vAlign w:val="center"/>
          </w:tcPr>
          <w:p>
            <w:pPr>
              <w:pStyle w:val="style0"/>
              <w:widowControl/>
              <w:spacing w:after="0" w:lineRule="auto" w:line="240"/>
              <w:jc w:val="center"/>
              <w:rPr>
                <w:rFonts w:ascii="宋体" w:cs="宋体" w:eastAsia="宋体" w:hAnsi="宋体" w:hint="eastAsia"/>
                <w:color w:val="auto"/>
                <w:kern w:val="0"/>
                <w:sz w:val="24"/>
                <w:szCs w:val="24"/>
                <w:lang w:eastAsia="zh-CN"/>
              </w:rPr>
            </w:pPr>
            <w:r>
              <w:rPr>
                <w:rFonts w:ascii="宋体" w:cs="宋体" w:hAnsi="宋体" w:hint="eastAsia"/>
                <w:color w:val="auto"/>
                <w:kern w:val="0"/>
                <w:sz w:val="24"/>
                <w:szCs w:val="24"/>
                <w:lang w:val="en-US" w:eastAsia="zh-CN"/>
              </w:rPr>
              <w:t>一</w:t>
            </w:r>
          </w:p>
        </w:tc>
        <w:tc>
          <w:tcPr>
            <w:tcW w:w="2250" w:type="dxa"/>
            <w:tcBorders/>
            <w:tcMar>
              <w:top w:w="0" w:type="dxa"/>
              <w:left w:w="0" w:type="dxa"/>
              <w:bottom w:w="0" w:type="dxa"/>
              <w:right w:w="0" w:type="dxa"/>
            </w:tcMar>
            <w:vAlign w:val="center"/>
          </w:tcPr>
          <w:p>
            <w:pPr>
              <w:pStyle w:val="style0"/>
              <w:widowControl/>
              <w:spacing w:after="0" w:lineRule="auto" w:line="240"/>
              <w:jc w:val="center"/>
              <w:rPr>
                <w:rFonts w:ascii="宋体" w:cs="宋体" w:hAnsi="宋体" w:hint="eastAsia"/>
                <w:color w:val="auto"/>
                <w:kern w:val="0"/>
                <w:sz w:val="24"/>
                <w:szCs w:val="24"/>
              </w:rPr>
            </w:pPr>
            <w:r>
              <w:rPr>
                <w:rFonts w:ascii="宋体" w:cs="宋体" w:hAnsi="宋体" w:hint="eastAsia"/>
                <w:color w:val="auto"/>
                <w:kern w:val="0"/>
                <w:sz w:val="24"/>
                <w:szCs w:val="24"/>
                <w:lang w:eastAsia="zh-CN"/>
              </w:rPr>
              <w:t>安阳市肿瘤医院工程造价咨询机构入围</w:t>
            </w:r>
          </w:p>
        </w:tc>
        <w:tc>
          <w:tcPr>
            <w:tcW w:w="1684" w:type="dxa"/>
            <w:vMerge w:val="restart"/>
            <w:tcBorders/>
            <w:tcMar>
              <w:top w:w="0" w:type="dxa"/>
              <w:left w:w="0" w:type="dxa"/>
              <w:bottom w:w="0" w:type="dxa"/>
              <w:right w:w="0" w:type="dxa"/>
            </w:tcMar>
            <w:vAlign w:val="center"/>
          </w:tcPr>
          <w:p>
            <w:pPr>
              <w:pStyle w:val="style0"/>
              <w:widowControl/>
              <w:spacing w:after="0" w:lineRule="auto" w:line="240"/>
              <w:jc w:val="center"/>
              <w:rPr>
                <w:rFonts w:ascii="宋体" w:cs="宋体" w:hAnsi="宋体"/>
                <w:color w:val="auto"/>
                <w:kern w:val="0"/>
                <w:sz w:val="24"/>
                <w:szCs w:val="24"/>
              </w:rPr>
            </w:pPr>
            <w:r>
              <w:rPr>
                <w:rFonts w:ascii="宋体" w:cs="宋体" w:hAnsi="宋体" w:hint="eastAsia"/>
                <w:color w:val="auto"/>
                <w:kern w:val="0"/>
                <w:sz w:val="24"/>
                <w:szCs w:val="24"/>
              </w:rPr>
              <w:t>详见项目</w:t>
            </w:r>
            <w:r>
              <w:rPr>
                <w:rFonts w:ascii="宋体" w:cs="宋体" w:hAnsi="宋体" w:hint="eastAsia"/>
                <w:color w:val="auto"/>
                <w:kern w:val="0"/>
                <w:sz w:val="24"/>
                <w:szCs w:val="24"/>
                <w:lang w:val="en-US" w:eastAsia="zh-CN"/>
              </w:rPr>
              <w:t>磋商文件第二章  采购项目及服务要求</w:t>
            </w:r>
          </w:p>
        </w:tc>
        <w:tc>
          <w:tcPr>
            <w:tcW w:w="1600" w:type="dxa"/>
            <w:vMerge w:val="restart"/>
            <w:tcBorders/>
            <w:tcMar>
              <w:top w:w="0" w:type="dxa"/>
              <w:left w:w="0" w:type="dxa"/>
              <w:bottom w:w="0" w:type="dxa"/>
              <w:right w:w="0" w:type="dxa"/>
            </w:tcMar>
            <w:vAlign w:val="center"/>
          </w:tcPr>
          <w:p>
            <w:pPr>
              <w:pStyle w:val="style0"/>
              <w:widowControl/>
              <w:spacing w:after="0" w:lineRule="auto" w:line="240"/>
              <w:jc w:val="center"/>
              <w:rPr>
                <w:rFonts w:ascii="宋体" w:cs="宋体" w:hAnsi="宋体" w:hint="eastAsia"/>
                <w:color w:val="auto"/>
                <w:kern w:val="0"/>
                <w:sz w:val="24"/>
                <w:szCs w:val="24"/>
              </w:rPr>
            </w:pPr>
            <w:r>
              <w:rPr>
                <w:rFonts w:ascii="宋体" w:cs="宋体" w:hAnsi="宋体" w:hint="eastAsia"/>
                <w:color w:val="auto"/>
                <w:kern w:val="0"/>
                <w:sz w:val="24"/>
                <w:szCs w:val="24"/>
              </w:rPr>
              <w:t>在采购人要求时间内完工</w:t>
            </w:r>
          </w:p>
        </w:tc>
        <w:tc>
          <w:tcPr>
            <w:tcW w:w="1566" w:type="dxa"/>
            <w:vMerge w:val="restart"/>
            <w:tcBorders/>
            <w:tcMar>
              <w:top w:w="0" w:type="dxa"/>
              <w:left w:w="0" w:type="dxa"/>
              <w:bottom w:w="0" w:type="dxa"/>
              <w:right w:w="0" w:type="dxa"/>
            </w:tcMar>
            <w:vAlign w:val="center"/>
          </w:tcPr>
          <w:p>
            <w:pPr>
              <w:pStyle w:val="style0"/>
              <w:widowControl/>
              <w:spacing w:after="0" w:lineRule="auto" w:line="240"/>
              <w:jc w:val="center"/>
              <w:rPr>
                <w:rFonts w:ascii="宋体" w:cs="宋体" w:hAnsi="宋体"/>
                <w:color w:val="auto"/>
                <w:kern w:val="0"/>
                <w:sz w:val="24"/>
                <w:szCs w:val="24"/>
              </w:rPr>
            </w:pPr>
            <w:r>
              <w:rPr>
                <w:rFonts w:ascii="宋体" w:cs="宋体" w:hAnsi="宋体" w:hint="eastAsia"/>
                <w:color w:val="auto"/>
                <w:kern w:val="0"/>
                <w:sz w:val="24"/>
                <w:szCs w:val="24"/>
              </w:rPr>
              <w:t>采购人指定地点</w:t>
            </w:r>
          </w:p>
        </w:tc>
      </w:tr>
      <w:tr>
        <w:tblPrEx/>
        <w:trPr>
          <w:trHeight w:val="992" w:hRule="atLeast"/>
          <w:jc w:val="center"/>
        </w:trPr>
        <w:tc>
          <w:tcPr>
            <w:tcW w:w="1336" w:type="dxa"/>
            <w:tcBorders/>
            <w:tcMar>
              <w:top w:w="0" w:type="dxa"/>
              <w:left w:w="0" w:type="dxa"/>
              <w:bottom w:w="0" w:type="dxa"/>
              <w:right w:w="0" w:type="dxa"/>
            </w:tcMar>
            <w:vAlign w:val="center"/>
          </w:tcPr>
          <w:p>
            <w:pPr>
              <w:pStyle w:val="style0"/>
              <w:widowControl/>
              <w:spacing w:after="0" w:lineRule="auto" w:line="240"/>
              <w:jc w:val="center"/>
              <w:rPr>
                <w:rFonts w:ascii="宋体" w:cs="宋体" w:eastAsia="宋体" w:hAnsi="宋体" w:hint="eastAsia"/>
                <w:color w:val="auto"/>
                <w:kern w:val="0"/>
                <w:sz w:val="24"/>
                <w:szCs w:val="24"/>
                <w:lang w:val="en-US" w:eastAsia="zh-CN"/>
              </w:rPr>
            </w:pPr>
            <w:r>
              <w:rPr>
                <w:rFonts w:ascii="宋体" w:cs="宋体" w:hAnsi="宋体" w:hint="eastAsia"/>
                <w:color w:val="auto"/>
                <w:kern w:val="0"/>
                <w:sz w:val="24"/>
                <w:szCs w:val="24"/>
                <w:lang w:val="en-US" w:eastAsia="zh-CN"/>
              </w:rPr>
              <w:t>二</w:t>
            </w:r>
          </w:p>
        </w:tc>
        <w:tc>
          <w:tcPr>
            <w:tcW w:w="2250" w:type="dxa"/>
            <w:tcBorders/>
            <w:tcMar>
              <w:top w:w="0" w:type="dxa"/>
              <w:left w:w="0" w:type="dxa"/>
              <w:bottom w:w="0" w:type="dxa"/>
              <w:right w:w="0" w:type="dxa"/>
            </w:tcMar>
            <w:vAlign w:val="center"/>
          </w:tcPr>
          <w:p>
            <w:pPr>
              <w:pStyle w:val="style0"/>
              <w:widowControl/>
              <w:spacing w:after="0" w:lineRule="auto" w:line="240"/>
              <w:jc w:val="center"/>
              <w:rPr>
                <w:rFonts w:ascii="宋体" w:cs="宋体" w:hAnsi="宋体" w:hint="eastAsia"/>
                <w:color w:val="auto"/>
                <w:kern w:val="0"/>
                <w:sz w:val="24"/>
                <w:szCs w:val="24"/>
                <w:lang w:eastAsia="zh-CN"/>
              </w:rPr>
            </w:pPr>
            <w:r>
              <w:rPr>
                <w:rFonts w:ascii="宋体" w:cs="宋体" w:hAnsi="宋体" w:hint="eastAsia"/>
                <w:color w:val="auto"/>
                <w:kern w:val="0"/>
                <w:sz w:val="24"/>
                <w:szCs w:val="24"/>
                <w:lang w:eastAsia="zh-CN"/>
              </w:rPr>
              <w:t>安阳市肿瘤医院</w:t>
            </w:r>
            <w:r>
              <w:rPr>
                <w:rFonts w:ascii="宋体" w:cs="宋体" w:hAnsi="宋体" w:hint="eastAsia"/>
                <w:color w:val="auto"/>
                <w:kern w:val="0"/>
                <w:sz w:val="24"/>
                <w:szCs w:val="24"/>
                <w:lang w:val="en-US" w:eastAsia="zh-CN"/>
              </w:rPr>
              <w:t>审计机构</w:t>
            </w:r>
            <w:r>
              <w:rPr>
                <w:rFonts w:ascii="宋体" w:cs="宋体" w:hAnsi="宋体" w:hint="eastAsia"/>
                <w:color w:val="auto"/>
                <w:kern w:val="0"/>
                <w:sz w:val="24"/>
                <w:szCs w:val="24"/>
                <w:lang w:eastAsia="zh-CN"/>
              </w:rPr>
              <w:t>入围</w:t>
            </w:r>
          </w:p>
        </w:tc>
        <w:tc>
          <w:tcPr>
            <w:tcW w:w="1684" w:type="dxa"/>
            <w:vMerge w:val="continue"/>
            <w:tcBorders/>
            <w:tcMar>
              <w:top w:w="0" w:type="dxa"/>
              <w:left w:w="0" w:type="dxa"/>
              <w:bottom w:w="0" w:type="dxa"/>
              <w:right w:w="0" w:type="dxa"/>
            </w:tcMar>
            <w:vAlign w:val="center"/>
          </w:tcPr>
          <w:p>
            <w:pPr>
              <w:pStyle w:val="style0"/>
              <w:widowControl/>
              <w:spacing w:after="0" w:lineRule="auto" w:line="240"/>
              <w:jc w:val="center"/>
              <w:rPr>
                <w:rFonts w:ascii="宋体" w:cs="宋体" w:hAnsi="宋体" w:hint="eastAsia"/>
                <w:color w:val="auto"/>
                <w:kern w:val="0"/>
                <w:sz w:val="24"/>
                <w:szCs w:val="24"/>
              </w:rPr>
            </w:pPr>
          </w:p>
        </w:tc>
        <w:tc>
          <w:tcPr>
            <w:tcW w:w="1600" w:type="dxa"/>
            <w:vMerge w:val="continue"/>
            <w:tcBorders/>
            <w:tcMar>
              <w:top w:w="0" w:type="dxa"/>
              <w:left w:w="0" w:type="dxa"/>
              <w:bottom w:w="0" w:type="dxa"/>
              <w:right w:w="0" w:type="dxa"/>
            </w:tcMar>
            <w:vAlign w:val="center"/>
          </w:tcPr>
          <w:p>
            <w:pPr>
              <w:pStyle w:val="style0"/>
              <w:widowControl/>
              <w:spacing w:after="0" w:lineRule="auto" w:line="240"/>
              <w:jc w:val="center"/>
              <w:rPr>
                <w:rFonts w:ascii="宋体" w:cs="宋体" w:hAnsi="宋体" w:hint="eastAsia"/>
                <w:color w:val="auto"/>
                <w:kern w:val="0"/>
                <w:sz w:val="24"/>
                <w:szCs w:val="24"/>
              </w:rPr>
            </w:pPr>
          </w:p>
        </w:tc>
        <w:tc>
          <w:tcPr>
            <w:tcW w:w="1566" w:type="dxa"/>
            <w:vMerge w:val="continue"/>
            <w:tcBorders/>
            <w:tcMar>
              <w:top w:w="0" w:type="dxa"/>
              <w:left w:w="0" w:type="dxa"/>
              <w:bottom w:w="0" w:type="dxa"/>
              <w:right w:w="0" w:type="dxa"/>
            </w:tcMar>
            <w:vAlign w:val="center"/>
          </w:tcPr>
          <w:p>
            <w:pPr>
              <w:pStyle w:val="style0"/>
              <w:widowControl/>
              <w:spacing w:after="0" w:lineRule="auto" w:line="240"/>
              <w:jc w:val="center"/>
              <w:rPr>
                <w:rFonts w:ascii="宋体" w:cs="宋体" w:hAnsi="宋体" w:hint="eastAsia"/>
                <w:color w:val="auto"/>
                <w:kern w:val="0"/>
                <w:sz w:val="24"/>
                <w:szCs w:val="24"/>
              </w:rPr>
            </w:pPr>
          </w:p>
        </w:tc>
      </w:tr>
    </w:tbl>
    <w:p>
      <w:pPr>
        <w:pStyle w:val="style0"/>
        <w:widowControl/>
        <w:snapToGrid w:val="false"/>
        <w:spacing w:after="0" w:lineRule="exact" w:line="510"/>
        <w:ind w:firstLine="482" w:firstLineChars="200"/>
        <w:jc w:val="left"/>
        <w:rPr>
          <w:rFonts w:ascii="宋体" w:cs="宋体" w:hAnsi="宋体"/>
          <w:color w:val="auto"/>
          <w:kern w:val="0"/>
          <w:sz w:val="24"/>
          <w:szCs w:val="24"/>
        </w:rPr>
      </w:pPr>
      <w:r>
        <w:rPr>
          <w:rFonts w:ascii="宋体" w:cs="宋体" w:hAnsi="宋体" w:hint="eastAsia"/>
          <w:b/>
          <w:bCs/>
          <w:color w:val="auto"/>
          <w:kern w:val="0"/>
          <w:sz w:val="24"/>
          <w:szCs w:val="24"/>
        </w:rPr>
        <w:t>三、</w:t>
      </w:r>
      <w:r>
        <w:rPr>
          <w:rFonts w:ascii="宋体" w:cs="宋体" w:hAnsi="宋体" w:hint="eastAsia"/>
          <w:b/>
          <w:bCs/>
          <w:color w:val="auto"/>
          <w:kern w:val="0"/>
          <w:sz w:val="24"/>
          <w:szCs w:val="24"/>
          <w:lang w:eastAsia="zh-CN"/>
        </w:rPr>
        <w:t>供应商</w:t>
      </w:r>
      <w:r>
        <w:rPr>
          <w:rFonts w:ascii="宋体" w:cs="宋体" w:hAnsi="宋体" w:hint="eastAsia"/>
          <w:b/>
          <w:bCs/>
          <w:color w:val="auto"/>
          <w:kern w:val="0"/>
          <w:sz w:val="24"/>
          <w:szCs w:val="24"/>
        </w:rPr>
        <w:t>资格要求：</w:t>
      </w:r>
      <w:r>
        <w:rPr>
          <w:rFonts w:ascii="宋体" w:cs="宋体" w:hAnsi="宋体" w:hint="eastAsia"/>
          <w:color w:val="auto"/>
          <w:kern w:val="0"/>
          <w:sz w:val="24"/>
          <w:szCs w:val="24"/>
        </w:rPr>
        <w:t xml:space="preserve"> </w:t>
      </w:r>
    </w:p>
    <w:bookmarkStart w:id="1" w:name="_Toc22189"/>
    <w:p>
      <w:pPr>
        <w:pStyle w:val="style77"/>
        <w:spacing w:after="0" w:lineRule="exact" w:line="500"/>
        <w:ind w:left="0" w:leftChars="0" w:firstLine="480" w:firstLineChars="200"/>
        <w:rPr>
          <w:rFonts w:ascii="宋体" w:cs="宋体" w:eastAsia="宋体" w:hAnsi="宋体" w:hint="eastAsia"/>
          <w:color w:val="auto"/>
          <w:sz w:val="24"/>
          <w:szCs w:val="24"/>
          <w:highlight w:val="none"/>
          <w:lang w:eastAsia="zh-CN"/>
        </w:rPr>
      </w:pPr>
      <w:r>
        <w:rPr>
          <w:rFonts w:ascii="宋体" w:cs="宋体" w:eastAsia="宋体" w:hAnsi="宋体" w:hint="eastAsia"/>
          <w:color w:val="auto"/>
          <w:sz w:val="24"/>
          <w:szCs w:val="24"/>
          <w:highlight w:val="none"/>
          <w:lang w:eastAsia="zh-CN"/>
        </w:rPr>
        <w:t>1、满足《中华人民共和国政府采购法》第二十二条规定；</w:t>
      </w:r>
    </w:p>
    <w:p>
      <w:pPr>
        <w:pStyle w:val="style77"/>
        <w:spacing w:after="0" w:lineRule="exact" w:line="500"/>
        <w:ind w:firstLine="480" w:firstLineChars="200"/>
        <w:rPr>
          <w:rFonts w:ascii="宋体" w:cs="宋体" w:eastAsia="宋体" w:hAnsi="宋体" w:hint="eastAsia"/>
          <w:color w:val="auto"/>
          <w:sz w:val="24"/>
          <w:szCs w:val="24"/>
          <w:highlight w:val="none"/>
          <w:lang w:val="en-US" w:eastAsia="zh-CN"/>
        </w:rPr>
      </w:pPr>
      <w:r>
        <w:rPr>
          <w:rFonts w:ascii="宋体" w:cs="宋体" w:eastAsia="宋体" w:hAnsi="宋体" w:hint="eastAsia"/>
          <w:color w:val="auto"/>
          <w:sz w:val="24"/>
          <w:szCs w:val="24"/>
          <w:highlight w:val="none"/>
          <w:lang w:eastAsia="zh-CN"/>
        </w:rPr>
        <w:t>2、落实政府采购政策满足的资格要求：</w:t>
      </w:r>
      <w:r>
        <w:rPr>
          <w:rFonts w:ascii="宋体" w:cs="宋体" w:hAnsi="宋体" w:hint="eastAsia"/>
          <w:color w:val="auto"/>
          <w:sz w:val="24"/>
          <w:szCs w:val="24"/>
          <w:highlight w:val="none"/>
          <w:lang w:eastAsia="zh-CN"/>
        </w:rPr>
        <w:t>专门面向中小企业</w:t>
      </w:r>
    </w:p>
    <w:p>
      <w:pPr>
        <w:pStyle w:val="style77"/>
        <w:spacing w:after="0" w:lineRule="exact" w:line="500"/>
        <w:ind w:firstLine="480" w:firstLineChars="200"/>
        <w:rPr>
          <w:rFonts w:ascii="宋体" w:cs="宋体" w:eastAsia="宋体" w:hAnsi="宋体" w:hint="eastAsia"/>
          <w:color w:val="auto"/>
          <w:sz w:val="24"/>
          <w:szCs w:val="24"/>
          <w:highlight w:val="none"/>
          <w:lang w:eastAsia="zh-CN"/>
        </w:rPr>
      </w:pPr>
      <w:r>
        <w:rPr>
          <w:rFonts w:ascii="宋体" w:cs="宋体" w:eastAsia="宋体" w:hAnsi="宋体" w:hint="eastAsia"/>
          <w:color w:val="auto"/>
          <w:sz w:val="24"/>
          <w:szCs w:val="24"/>
          <w:highlight w:val="none"/>
          <w:lang w:eastAsia="zh-CN"/>
        </w:rPr>
        <w:t>3、本项目的特定资格要求</w:t>
      </w:r>
    </w:p>
    <w:p>
      <w:pPr>
        <w:pStyle w:val="style77"/>
        <w:spacing w:after="0" w:lineRule="exact" w:line="500"/>
        <w:ind w:left="0" w:leftChars="0" w:firstLine="480" w:firstLineChars="200"/>
        <w:rPr>
          <w:rFonts w:ascii="宋体" w:cs="宋体" w:eastAsia="宋体" w:hAnsi="宋体" w:hint="eastAsia"/>
          <w:color w:val="auto"/>
          <w:sz w:val="24"/>
          <w:szCs w:val="24"/>
          <w:highlight w:val="none"/>
          <w:lang w:eastAsia="zh-CN"/>
        </w:rPr>
      </w:pPr>
      <w:r>
        <w:rPr>
          <w:rFonts w:ascii="宋体" w:cs="宋体" w:eastAsia="宋体" w:hAnsi="宋体" w:hint="eastAsia"/>
          <w:color w:val="auto"/>
          <w:sz w:val="24"/>
          <w:szCs w:val="24"/>
          <w:highlight w:val="none"/>
          <w:lang w:eastAsia="zh-CN"/>
        </w:rPr>
        <w:t>3.1满足《中华人民共和国政府采购法》第二十二条第一款规定的供应商基础性资格要求；供应商自行承诺并承担后果，承诺书不实的，按《政府采购法》有关提供虚假材料的有关规定给予处罚。</w:t>
      </w:r>
    </w:p>
    <w:p>
      <w:pPr>
        <w:pStyle w:val="style77"/>
        <w:spacing w:after="0" w:lineRule="exact" w:line="500"/>
        <w:ind w:left="0" w:leftChars="0" w:firstLine="480" w:firstLineChars="200"/>
        <w:rPr>
          <w:rFonts w:ascii="宋体" w:cs="宋体" w:eastAsia="宋体" w:hAnsi="宋体" w:hint="default"/>
          <w:color w:val="auto"/>
          <w:sz w:val="24"/>
          <w:szCs w:val="24"/>
          <w:highlight w:val="none"/>
          <w:lang w:val="en-US" w:eastAsia="zh-CN"/>
        </w:rPr>
      </w:pPr>
      <w:r>
        <w:rPr>
          <w:rFonts w:ascii="宋体" w:cs="宋体" w:eastAsia="宋体" w:hAnsi="宋体" w:hint="eastAsia"/>
          <w:color w:val="auto"/>
          <w:sz w:val="24"/>
          <w:szCs w:val="24"/>
          <w:highlight w:val="none"/>
          <w:lang w:val="en-US" w:eastAsia="zh-CN"/>
        </w:rPr>
        <w:t>3.2一包：拟派项目负责人须具有国家一级注册造价工程师资格及中级以上职称。二包：供应商须具备相关部门颁发的会计师事务所执业证书，项目负责人须具有有效的注册会计师资格。</w:t>
      </w:r>
    </w:p>
    <w:p>
      <w:pPr>
        <w:pStyle w:val="style77"/>
        <w:spacing w:after="0" w:lineRule="exact" w:line="500"/>
        <w:ind w:left="0" w:leftChars="0" w:firstLine="480" w:firstLineChars="200"/>
        <w:rPr>
          <w:rFonts w:ascii="宋体" w:cs="宋体" w:eastAsia="宋体" w:hAnsi="宋体" w:hint="eastAsia"/>
          <w:color w:val="auto"/>
          <w:sz w:val="24"/>
          <w:szCs w:val="24"/>
          <w:highlight w:val="none"/>
          <w:lang w:eastAsia="zh-CN"/>
        </w:rPr>
      </w:pPr>
      <w:r>
        <w:rPr>
          <w:rFonts w:ascii="宋体" w:cs="宋体" w:eastAsia="宋体" w:hAnsi="宋体" w:hint="eastAsia"/>
          <w:color w:val="auto"/>
          <w:sz w:val="24"/>
          <w:szCs w:val="24"/>
          <w:highlight w:val="none"/>
          <w:lang w:eastAsia="zh-CN"/>
        </w:rPr>
        <w:t>3.</w:t>
      </w:r>
      <w:r>
        <w:rPr>
          <w:rFonts w:ascii="宋体" w:cs="宋体" w:eastAsia="宋体" w:hAnsi="宋体" w:hint="eastAsia"/>
          <w:color w:val="auto"/>
          <w:sz w:val="24"/>
          <w:szCs w:val="24"/>
          <w:highlight w:val="none"/>
          <w:lang w:val="en-US" w:eastAsia="zh-CN"/>
        </w:rPr>
        <w:t>3</w:t>
      </w:r>
      <w:r>
        <w:rPr>
          <w:rFonts w:ascii="宋体" w:cs="宋体" w:eastAsia="宋体" w:hAnsi="宋体" w:hint="eastAsia"/>
          <w:color w:val="auto"/>
          <w:sz w:val="24"/>
          <w:szCs w:val="24"/>
          <w:highlight w:val="none"/>
          <w:lang w:eastAsia="zh-CN"/>
        </w:rPr>
        <w:t>对供应商的限制性规定：</w:t>
      </w:r>
    </w:p>
    <w:p>
      <w:pPr>
        <w:pStyle w:val="style77"/>
        <w:numPr>
          <w:ilvl w:val="0"/>
          <w:numId w:val="0"/>
        </w:numPr>
        <w:spacing w:after="0" w:lineRule="exact" w:line="500"/>
        <w:ind w:left="0" w:leftChars="0" w:firstLine="480" w:firstLineChars="200"/>
        <w:rPr>
          <w:rFonts w:ascii="宋体" w:cs="宋体" w:eastAsia="宋体" w:hAnsi="宋体" w:hint="eastAsia"/>
          <w:color w:val="auto"/>
          <w:sz w:val="24"/>
          <w:szCs w:val="24"/>
          <w:highlight w:val="none"/>
          <w:lang w:eastAsia="zh-CN"/>
        </w:rPr>
      </w:pPr>
      <w:r>
        <w:rPr>
          <w:rFonts w:ascii="宋体" w:cs="宋体" w:eastAsia="宋体" w:hAnsi="宋体" w:hint="eastAsia"/>
          <w:color w:val="auto"/>
          <w:kern w:val="2"/>
          <w:sz w:val="24"/>
          <w:szCs w:val="24"/>
          <w:highlight w:val="none"/>
          <w:lang w:val="en-US" w:bidi="ar-SA" w:eastAsia="zh-CN"/>
        </w:rPr>
        <w:t>（1）</w:t>
      </w:r>
      <w:r>
        <w:rPr>
          <w:rFonts w:ascii="宋体" w:cs="宋体" w:eastAsia="宋体" w:hAnsi="宋体" w:hint="eastAsia"/>
          <w:color w:val="auto"/>
          <w:sz w:val="24"/>
          <w:szCs w:val="24"/>
          <w:highlight w:val="none"/>
          <w:lang w:eastAsia="zh-CN"/>
        </w:rPr>
        <w:t>供应商应当无不良信用记录。(在“信用中国”网站的“失信被执行人”和“税收违法</w:t>
      </w:r>
      <w:r>
        <w:rPr>
          <w:rFonts w:ascii="宋体" w:cs="宋体" w:eastAsia="宋体" w:hAnsi="宋体" w:hint="eastAsia"/>
          <w:color w:val="auto"/>
          <w:sz w:val="24"/>
          <w:szCs w:val="24"/>
          <w:highlight w:val="none"/>
          <w:lang w:val="en-US" w:eastAsia="zh-CN"/>
        </w:rPr>
        <w:t>黑</w:t>
      </w:r>
      <w:r>
        <w:rPr>
          <w:rFonts w:ascii="宋体" w:cs="宋体" w:eastAsia="宋体" w:hAnsi="宋体" w:hint="eastAsia"/>
          <w:color w:val="auto"/>
          <w:sz w:val="24"/>
          <w:szCs w:val="24"/>
          <w:highlight w:val="none"/>
          <w:lang w:eastAsia="zh-CN"/>
        </w:rPr>
        <w:t>名单”及“中国政府采购网”网站的“政府采购严重违法失信行为记录名单”均未列入)供应商递交《响应文件》后，采购人或者采购代理机构将按以上信用信息查询渠道在开启《响应文件》之前对参加本项目的供应商信用记录进行查询，供应商有上述任一不良信用记录的，其投标将被拒绝、为无效投标。查询的网页内容将以截图或者拍照作为证据留存。</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sz w:val="24"/>
          <w:szCs w:val="24"/>
          <w:highlight w:val="none"/>
          <w:lang w:eastAsia="zh-CN"/>
        </w:rPr>
        <w:t>（2）单位负责人为同一人或者存在直接控股、管理关系的不同供应商，不得参加本合同项</w:t>
      </w:r>
      <w:r>
        <w:rPr>
          <w:rFonts w:ascii="宋体" w:cs="宋体" w:eastAsia="宋体" w:hAnsi="宋体" w:hint="eastAsia"/>
          <w:color w:val="auto"/>
          <w:kern w:val="2"/>
          <w:sz w:val="24"/>
          <w:szCs w:val="24"/>
          <w:highlight w:val="none"/>
          <w:lang w:val="en-US" w:bidi="ar-SA" w:eastAsia="zh-CN"/>
        </w:rPr>
        <w:t>下的政府采购活动。供应商自行承诺并承担后果，承诺书不实的，按《政府采购法》有关提供虚假材料的有关规定给予处罚。</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3）为本采购项目提供整体设计、规范编制或者项目管理、监理、检测等服务的供应商，不得再参加本采购项目。供应商自行承诺并承担后果，承诺书不实的，按《政府采购法》有关提供虚假材料的有关规定给予处罚。</w:t>
      </w:r>
      <w:bookmarkEnd w:id="1"/>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4.本次招标不接受联合体投标。</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 xml:space="preserve">备注：所有证照均应在有效期内，证照如需年检的、应为经年检有效的证照，需提供的证明材料需附入资格性证明文件中，如不满足要求属无效投标。 </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 xml:space="preserve">三、获取采购文件 </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1.时间：2024年</w:t>
      </w:r>
      <w:r>
        <w:rPr>
          <w:rFonts w:ascii="宋体" w:cs="宋体" w:hAnsi="宋体" w:hint="eastAsia"/>
          <w:color w:val="auto"/>
          <w:kern w:val="2"/>
          <w:sz w:val="24"/>
          <w:szCs w:val="24"/>
          <w:highlight w:val="none"/>
          <w:lang w:val="en-US" w:bidi="ar-SA" w:eastAsia="zh-CN"/>
        </w:rPr>
        <w:t>4</w:t>
      </w:r>
      <w:r>
        <w:rPr>
          <w:rFonts w:ascii="宋体" w:cs="宋体" w:eastAsia="宋体" w:hAnsi="宋体" w:hint="eastAsia"/>
          <w:color w:val="auto"/>
          <w:kern w:val="2"/>
          <w:sz w:val="24"/>
          <w:szCs w:val="24"/>
          <w:highlight w:val="none"/>
          <w:lang w:val="en-US" w:bidi="ar-SA" w:eastAsia="zh-CN"/>
        </w:rPr>
        <w:t>月</w:t>
      </w:r>
      <w:r>
        <w:rPr>
          <w:rFonts w:ascii="宋体" w:cs="宋体" w:hAnsi="宋体" w:hint="eastAsia"/>
          <w:color w:val="auto"/>
          <w:kern w:val="2"/>
          <w:sz w:val="24"/>
          <w:szCs w:val="24"/>
          <w:highlight w:val="none"/>
          <w:lang w:val="en-US" w:bidi="ar-SA" w:eastAsia="zh-CN"/>
        </w:rPr>
        <w:t>26</w:t>
      </w:r>
      <w:r>
        <w:rPr>
          <w:rFonts w:ascii="宋体" w:cs="宋体" w:eastAsia="宋体" w:hAnsi="宋体" w:hint="eastAsia"/>
          <w:color w:val="auto"/>
          <w:kern w:val="2"/>
          <w:sz w:val="24"/>
          <w:szCs w:val="24"/>
          <w:highlight w:val="none"/>
          <w:lang w:val="en-US" w:bidi="ar-SA" w:eastAsia="zh-CN"/>
        </w:rPr>
        <w:t>日至2024年</w:t>
      </w:r>
      <w:r>
        <w:rPr>
          <w:rFonts w:ascii="宋体" w:cs="宋体" w:hAnsi="宋体" w:hint="eastAsia"/>
          <w:color w:val="auto"/>
          <w:kern w:val="2"/>
          <w:sz w:val="24"/>
          <w:szCs w:val="24"/>
          <w:highlight w:val="none"/>
          <w:lang w:val="en-US" w:bidi="ar-SA" w:eastAsia="zh-CN"/>
        </w:rPr>
        <w:t>5</w:t>
      </w:r>
      <w:r>
        <w:rPr>
          <w:rFonts w:ascii="宋体" w:cs="宋体" w:eastAsia="宋体" w:hAnsi="宋体" w:hint="eastAsia"/>
          <w:color w:val="auto"/>
          <w:kern w:val="2"/>
          <w:sz w:val="24"/>
          <w:szCs w:val="24"/>
          <w:highlight w:val="none"/>
          <w:lang w:val="en-US" w:bidi="ar-SA" w:eastAsia="zh-CN"/>
        </w:rPr>
        <w:t>月</w:t>
      </w:r>
      <w:r>
        <w:rPr>
          <w:rFonts w:ascii="宋体" w:cs="宋体" w:hAnsi="宋体" w:hint="eastAsia"/>
          <w:color w:val="auto"/>
          <w:kern w:val="2"/>
          <w:sz w:val="24"/>
          <w:szCs w:val="24"/>
          <w:highlight w:val="none"/>
          <w:lang w:val="en-US" w:bidi="ar-SA" w:eastAsia="zh-CN"/>
        </w:rPr>
        <w:t>7</w:t>
      </w:r>
      <w:r>
        <w:rPr>
          <w:rFonts w:ascii="宋体" w:cs="宋体" w:eastAsia="宋体" w:hAnsi="宋体" w:hint="eastAsia"/>
          <w:color w:val="auto"/>
          <w:kern w:val="2"/>
          <w:sz w:val="24"/>
          <w:szCs w:val="24"/>
          <w:highlight w:val="none"/>
          <w:lang w:val="en-US" w:bidi="ar-SA" w:eastAsia="zh-CN"/>
        </w:rPr>
        <w:t xml:space="preserve">日，每天上午08:00至12:00，下午14:30至17:30（北京时间，法定节假日除外。） </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2.地点：河南晟祥招标代理服务有限公司综合办公室。</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3.方式：现场获取。获取磋商文件须提供以下资料：</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（1）单位负责人（证照列示的法定代表人或负责人）经办时需提供：有效营业执照（或相应证照）、本人身份证复印件。</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（2）非单位负责人（证照列示的法定代表人或负责人）经办时需提供：有效营业执照（或相应证照）、本人身份证、单位负责人授权委托书（附单位负责人身份证）复印件。</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本项目采用资格后审，购买《磋商文件》时提交的材料不作为资格认定。</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4.售价：300元/</w:t>
      </w:r>
      <w:r>
        <w:rPr>
          <w:rFonts w:ascii="宋体" w:cs="宋体" w:hAnsi="宋体" w:hint="eastAsia"/>
          <w:color w:val="auto"/>
          <w:kern w:val="2"/>
          <w:sz w:val="24"/>
          <w:szCs w:val="24"/>
          <w:highlight w:val="none"/>
          <w:lang w:val="en-US" w:bidi="ar-SA" w:eastAsia="zh-CN"/>
        </w:rPr>
        <w:t>包</w:t>
      </w:r>
      <w:r>
        <w:rPr>
          <w:rFonts w:ascii="宋体" w:cs="宋体" w:eastAsia="宋体" w:hAnsi="宋体" w:hint="eastAsia"/>
          <w:color w:val="auto"/>
          <w:kern w:val="2"/>
          <w:sz w:val="24"/>
          <w:szCs w:val="24"/>
          <w:highlight w:val="none"/>
          <w:lang w:val="en-US" w:bidi="ar-SA" w:eastAsia="zh-CN"/>
        </w:rPr>
        <w:t>，售后不退。</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 xml:space="preserve">四、响应文件提交 </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1.时间：2024年</w:t>
      </w:r>
      <w:r>
        <w:rPr>
          <w:rFonts w:ascii="宋体" w:cs="宋体" w:hAnsi="宋体" w:hint="eastAsia"/>
          <w:color w:val="auto"/>
          <w:kern w:val="2"/>
          <w:sz w:val="24"/>
          <w:szCs w:val="24"/>
          <w:highlight w:val="none"/>
          <w:lang w:val="en-US" w:bidi="ar-SA" w:eastAsia="zh-CN"/>
        </w:rPr>
        <w:t>5</w:t>
      </w:r>
      <w:r>
        <w:rPr>
          <w:rFonts w:ascii="宋体" w:cs="宋体" w:eastAsia="宋体" w:hAnsi="宋体" w:hint="eastAsia"/>
          <w:color w:val="auto"/>
          <w:kern w:val="2"/>
          <w:sz w:val="24"/>
          <w:szCs w:val="24"/>
          <w:highlight w:val="none"/>
          <w:lang w:val="en-US" w:bidi="ar-SA" w:eastAsia="zh-CN"/>
        </w:rPr>
        <w:t>月</w:t>
      </w:r>
      <w:r>
        <w:rPr>
          <w:rFonts w:ascii="宋体" w:cs="宋体" w:hAnsi="宋体" w:hint="eastAsia"/>
          <w:color w:val="auto"/>
          <w:kern w:val="2"/>
          <w:sz w:val="24"/>
          <w:szCs w:val="24"/>
          <w:highlight w:val="none"/>
          <w:lang w:val="en-US" w:bidi="ar-SA" w:eastAsia="zh-CN"/>
        </w:rPr>
        <w:t>10</w:t>
      </w:r>
      <w:r>
        <w:rPr>
          <w:rFonts w:ascii="宋体" w:cs="宋体" w:eastAsia="宋体" w:hAnsi="宋体" w:hint="eastAsia"/>
          <w:color w:val="auto"/>
          <w:kern w:val="2"/>
          <w:sz w:val="24"/>
          <w:szCs w:val="24"/>
          <w:highlight w:val="none"/>
          <w:lang w:val="en-US" w:bidi="ar-SA" w:eastAsia="zh-CN"/>
        </w:rPr>
        <w:t xml:space="preserve">日9时00分（北京时间） </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2.地点：河南晟祥招标代理服务有限公司开标室。</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 xml:space="preserve">五、响应文件开启 </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1.时间：2024年</w:t>
      </w:r>
      <w:r>
        <w:rPr>
          <w:rFonts w:ascii="宋体" w:cs="宋体" w:hAnsi="宋体" w:hint="eastAsia"/>
          <w:color w:val="auto"/>
          <w:kern w:val="2"/>
          <w:sz w:val="24"/>
          <w:szCs w:val="24"/>
          <w:highlight w:val="none"/>
          <w:lang w:val="en-US" w:bidi="ar-SA" w:eastAsia="zh-CN"/>
        </w:rPr>
        <w:t>5</w:t>
      </w:r>
      <w:r>
        <w:rPr>
          <w:rFonts w:ascii="宋体" w:cs="宋体" w:eastAsia="宋体" w:hAnsi="宋体" w:hint="eastAsia"/>
          <w:color w:val="auto"/>
          <w:kern w:val="2"/>
          <w:sz w:val="24"/>
          <w:szCs w:val="24"/>
          <w:highlight w:val="none"/>
          <w:lang w:val="en-US" w:bidi="ar-SA" w:eastAsia="zh-CN"/>
        </w:rPr>
        <w:t>月</w:t>
      </w:r>
      <w:r>
        <w:rPr>
          <w:rFonts w:ascii="宋体" w:cs="宋体" w:hAnsi="宋体" w:hint="eastAsia"/>
          <w:color w:val="auto"/>
          <w:kern w:val="2"/>
          <w:sz w:val="24"/>
          <w:szCs w:val="24"/>
          <w:highlight w:val="none"/>
          <w:lang w:val="en-US" w:bidi="ar-SA" w:eastAsia="zh-CN"/>
        </w:rPr>
        <w:t>10</w:t>
      </w:r>
      <w:r>
        <w:rPr>
          <w:rFonts w:ascii="宋体" w:cs="宋体" w:eastAsia="宋体" w:hAnsi="宋体" w:hint="eastAsia"/>
          <w:color w:val="auto"/>
          <w:kern w:val="2"/>
          <w:sz w:val="24"/>
          <w:szCs w:val="24"/>
          <w:highlight w:val="none"/>
          <w:lang w:val="en-US" w:bidi="ar-SA" w:eastAsia="zh-CN"/>
        </w:rPr>
        <w:t xml:space="preserve">日日9时00分（北京时间） </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2.地点：河南晟祥招标代理服务有限公司开标室。</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 xml:space="preserve">六、发布公告的媒介及招标公告期限 </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 xml:space="preserve">本次招标公告在《中国政府采购网》、《安阳市肿瘤医院官网》上发布。  </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 xml:space="preserve">七、项目落实的政府采购政策 </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强制节能产品强制采购、节能产品及环境标志产品优先采购、促进中小企业发展扶持政策、进口产品政策、信息安全产品、社会信用体系建设、促进残疾人就业、支持监狱企业发展等。</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 xml:space="preserve">八、凡对本次招标提出询问，请按照以下方式联系 </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 xml:space="preserve">1. 采购人信息 </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名称：</w:t>
      </w:r>
      <w:r>
        <w:rPr>
          <w:rFonts w:ascii="宋体" w:cs="宋体" w:hAnsi="宋体" w:hint="eastAsia"/>
          <w:color w:val="auto"/>
          <w:kern w:val="0"/>
          <w:sz w:val="24"/>
          <w:szCs w:val="24"/>
          <w:highlight w:val="none"/>
        </w:rPr>
        <w:t>安阳市肿瘤医院</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地址：</w:t>
      </w:r>
      <w:r>
        <w:rPr>
          <w:rFonts w:ascii="宋体" w:cs="宋体" w:hAnsi="宋体" w:hint="eastAsia"/>
          <w:color w:val="auto"/>
          <w:kern w:val="0"/>
          <w:sz w:val="24"/>
          <w:szCs w:val="24"/>
          <w:highlight w:val="none"/>
        </w:rPr>
        <w:t>河南省安阳市北关区洹滨北路1号</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联系人：</w:t>
      </w:r>
      <w:r>
        <w:rPr>
          <w:rFonts w:ascii="宋体" w:cs="宋体" w:hAnsi="宋体" w:hint="eastAsia"/>
          <w:color w:val="auto"/>
          <w:sz w:val="24"/>
          <w:szCs w:val="24"/>
          <w:highlight w:val="none"/>
        </w:rPr>
        <w:t>采购供应招标办公室</w:t>
      </w:r>
    </w:p>
    <w:p>
      <w:pPr>
        <w:pStyle w:val="style77"/>
        <w:numPr>
          <w:ilvl w:val="0"/>
          <w:numId w:val="0"/>
        </w:numPr>
        <w:spacing w:after="0" w:lineRule="exact" w:line="500"/>
        <w:ind w:left="0" w:leftChars="0" w:firstLine="480" w:firstLineChars="200"/>
        <w:rPr>
          <w:rFonts w:ascii="宋体" w:cs="宋体" w:eastAsia="宋体" w:hAnsi="宋体" w:hint="default"/>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联系方式：</w:t>
      </w:r>
      <w:r>
        <w:rPr>
          <w:rFonts w:ascii="宋体" w:cs="宋体" w:hAnsi="宋体" w:hint="eastAsia"/>
          <w:color w:val="auto"/>
          <w:sz w:val="24"/>
          <w:szCs w:val="24"/>
          <w:highlight w:val="none"/>
        </w:rPr>
        <w:t>0372－2223081</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2.采购代理机构信息</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 xml:space="preserve">名称：河南晟祥招标代理服务有限公司 </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地址：安阳市文昌大道与东工路交叉口向南100米路东福九鼎锅炉三楼</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联系人：徐栋</w:t>
      </w:r>
    </w:p>
    <w:p>
      <w:pPr>
        <w:pStyle w:val="style77"/>
        <w:numPr>
          <w:ilvl w:val="0"/>
          <w:numId w:val="0"/>
        </w:numPr>
        <w:spacing w:after="0" w:lineRule="exact" w:line="500"/>
        <w:ind w:left="0" w:leftChars="0" w:firstLine="480" w:firstLineChars="200"/>
        <w:rPr>
          <w:rFonts w:ascii="宋体" w:cs="宋体" w:eastAsia="宋体" w:hAnsi="宋体" w:hint="eastAsia"/>
          <w:color w:val="auto"/>
          <w:kern w:val="2"/>
          <w:sz w:val="24"/>
          <w:szCs w:val="24"/>
          <w:highlight w:val="none"/>
          <w:lang w:val="en-US" w:bidi="ar-SA" w:eastAsia="zh-CN"/>
        </w:rPr>
      </w:pPr>
      <w:r>
        <w:rPr>
          <w:rFonts w:ascii="宋体" w:cs="宋体" w:eastAsia="宋体" w:hAnsi="宋体" w:hint="eastAsia"/>
          <w:color w:val="auto"/>
          <w:kern w:val="2"/>
          <w:sz w:val="24"/>
          <w:szCs w:val="24"/>
          <w:highlight w:val="none"/>
          <w:lang w:val="en-US" w:bidi="ar-SA" w:eastAsia="zh-CN"/>
        </w:rPr>
        <w:t>联系方式：</w:t>
      </w:r>
      <w:r>
        <w:rPr>
          <w:rFonts w:ascii="宋体" w:cs="宋体" w:hAnsi="宋体" w:hint="eastAsia"/>
          <w:color w:val="auto"/>
          <w:kern w:val="2"/>
          <w:sz w:val="24"/>
          <w:szCs w:val="24"/>
          <w:highlight w:val="none"/>
          <w:lang w:val="en-US" w:bidi="ar-SA" w:eastAsia="zh-CN"/>
        </w:rPr>
        <w:t>18737227721</w:t>
      </w:r>
      <w:r>
        <w:rPr>
          <w:rFonts w:ascii="宋体" w:cs="宋体" w:eastAsia="宋体" w:hAnsi="宋体" w:hint="eastAsia"/>
          <w:color w:val="auto"/>
          <w:kern w:val="2"/>
          <w:sz w:val="24"/>
          <w:szCs w:val="24"/>
          <w:highlight w:val="none"/>
          <w:lang w:val="en-US" w:bidi="ar-SA" w:eastAsia="zh-CN"/>
        </w:rPr>
        <w:t xml:space="preserve"> </w:t>
      </w:r>
    </w:p>
    <w:p>
      <w:pPr>
        <w:pStyle w:val="style78"/>
        <w:rPr>
          <w:rFonts w:ascii="宋体" w:cs="宋体" w:eastAsia="宋体" w:hAnsi="宋体" w:hint="eastAsia"/>
          <w:color w:val="auto"/>
          <w:kern w:val="2"/>
          <w:sz w:val="24"/>
          <w:szCs w:val="24"/>
          <w:highlight w:val="none"/>
          <w:lang w:val="en-US" w:bidi="ar-SA" w:eastAsia="zh-CN"/>
        </w:rPr>
      </w:pPr>
    </w:p>
    <w:p>
      <w:pPr>
        <w:pStyle w:val="style78"/>
        <w:rPr>
          <w:rFonts w:ascii="宋体" w:cs="宋体" w:eastAsia="宋体" w:hAnsi="宋体" w:hint="eastAsia"/>
          <w:color w:val="auto"/>
          <w:kern w:val="2"/>
          <w:sz w:val="24"/>
          <w:szCs w:val="24"/>
          <w:highlight w:val="none"/>
          <w:lang w:val="en-US" w:bidi="ar-SA" w:eastAsia="zh-CN"/>
        </w:rPr>
      </w:pPr>
    </w:p>
    <w:p>
      <w:pPr>
        <w:pStyle w:val="style0"/>
        <w:rPr>
          <w:rFonts w:ascii="宋体" w:cs="宋体" w:eastAsia="宋体" w:hAnsi="宋体" w:hint="eastAsia"/>
          <w:color w:val="auto"/>
          <w:kern w:val="2"/>
          <w:sz w:val="24"/>
          <w:szCs w:val="24"/>
          <w:highlight w:val="none"/>
          <w:lang w:val="en-US" w:bidi="ar-SA" w:eastAsia="zh-CN"/>
        </w:rPr>
      </w:pPr>
    </w:p>
    <w:p>
      <w:pPr>
        <w:pStyle w:val="style0"/>
        <w:rPr>
          <w:rFonts w:ascii="宋体" w:cs="宋体" w:eastAsia="宋体" w:hAnsi="宋体" w:hint="eastAsia"/>
          <w:color w:val="auto"/>
          <w:kern w:val="2"/>
          <w:sz w:val="24"/>
          <w:szCs w:val="24"/>
          <w:highlight w:val="none"/>
          <w:lang w:val="en-US" w:bidi="ar-SA" w:eastAsia="zh-CN"/>
        </w:rPr>
      </w:pPr>
    </w:p>
    <w:p>
      <w:pPr>
        <w:pStyle w:val="style0"/>
        <w:rPr>
          <w:rFonts w:ascii="宋体" w:cs="宋体" w:eastAsia="宋体" w:hAnsi="宋体" w:hint="eastAsia"/>
          <w:color w:val="auto"/>
          <w:kern w:val="2"/>
          <w:sz w:val="24"/>
          <w:szCs w:val="24"/>
          <w:highlight w:val="none"/>
          <w:lang w:val="en-US" w:bidi="ar-SA" w:eastAsia="zh-CN"/>
        </w:rPr>
      </w:pPr>
    </w:p>
    <w:p>
      <w:pPr>
        <w:pStyle w:val="style0"/>
        <w:rPr>
          <w:rFonts w:ascii="宋体" w:cs="宋体" w:eastAsia="宋体" w:hAnsi="宋体" w:hint="eastAsia"/>
          <w:color w:val="auto"/>
          <w:kern w:val="2"/>
          <w:sz w:val="24"/>
          <w:szCs w:val="24"/>
          <w:highlight w:val="none"/>
          <w:lang w:val="en-US" w:bidi="ar-SA" w:eastAsia="zh-CN"/>
        </w:rPr>
      </w:pPr>
    </w:p>
    <w:p>
      <w:pPr>
        <w:pStyle w:val="style0"/>
        <w:rPr>
          <w:rFonts w:ascii="宋体" w:cs="宋体" w:eastAsia="宋体" w:hAnsi="宋体" w:hint="default"/>
          <w:color w:val="auto"/>
          <w:kern w:val="2"/>
          <w:sz w:val="24"/>
          <w:szCs w:val="24"/>
          <w:highlight w:val="none"/>
          <w:lang w:val="en-US" w:bidi="ar-SA" w:eastAsia="zh-CN"/>
        </w:rPr>
      </w:pPr>
    </w:p>
    <w:bookmarkStart w:id="2" w:name="_Toc18083"/>
    <w:p>
      <w:pPr>
        <w:pStyle w:val="style0"/>
        <w:widowControl w:val="false"/>
        <w:snapToGrid w:val="false"/>
        <w:spacing w:lineRule="auto" w:line="360"/>
        <w:jc w:val="center"/>
        <w:outlineLvl w:val="0"/>
        <w:rPr>
          <w:rFonts w:ascii="宋体" w:cs="宋体" w:hAnsi="宋体"/>
          <w:color w:val="auto"/>
          <w:sz w:val="36"/>
          <w:szCs w:val="36"/>
          <w:highlight w:val="none"/>
        </w:rPr>
      </w:pPr>
      <w:r>
        <w:rPr>
          <w:rFonts w:ascii="宋体" w:cs="宋体" w:hAnsi="宋体" w:hint="eastAsia"/>
          <w:b/>
          <w:color w:val="auto"/>
          <w:sz w:val="36"/>
          <w:szCs w:val="36"/>
          <w:highlight w:val="none"/>
        </w:rPr>
        <w:t>第二章  采购项目及服务要求</w:t>
      </w:r>
      <w:bookmarkEnd w:id="2"/>
    </w:p>
    <w:bookmarkStart w:id="3" w:name="_Toc6512"/>
    <w:p>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84"/>
        <w:ind w:firstLine="422" w:firstLineChars="150"/>
        <w:jc w:val="left"/>
        <w:textAlignment w:val="baseline"/>
        <w:outlineLvl w:val="1"/>
        <w:rPr>
          <w:rFonts w:ascii="宋体" w:cs="宋体" w:hAnsi="宋体"/>
          <w:b/>
          <w:color w:val="auto"/>
          <w:sz w:val="28"/>
          <w:highlight w:val="none"/>
        </w:rPr>
      </w:pPr>
      <w:r>
        <w:rPr>
          <w:rFonts w:ascii="宋体" w:cs="宋体" w:hAnsi="宋体" w:hint="eastAsia"/>
          <w:b/>
          <w:color w:val="auto"/>
          <w:sz w:val="28"/>
          <w:highlight w:val="none"/>
        </w:rPr>
        <w:t>1. 采购项目、标段（包）划分、磋商报价</w:t>
      </w:r>
      <w:bookmarkEnd w:id="3"/>
    </w:p>
    <w:p>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84"/>
        <w:ind w:firstLine="482" w:firstLineChars="200"/>
        <w:jc w:val="left"/>
        <w:textAlignment w:val="baseline"/>
        <w:rPr>
          <w:rFonts w:ascii="宋体" w:cs="宋体" w:eastAsia="宋体" w:hAnsi="宋体" w:hint="eastAsia"/>
          <w:color w:val="auto"/>
          <w:sz w:val="24"/>
          <w:szCs w:val="24"/>
          <w:highlight w:val="none"/>
          <w:lang w:eastAsia="zh-CN"/>
        </w:rPr>
      </w:pPr>
      <w:r>
        <w:rPr>
          <w:rFonts w:ascii="宋体" w:cs="宋体" w:hAnsi="宋体" w:hint="eastAsia"/>
          <w:b/>
          <w:color w:val="auto"/>
          <w:sz w:val="24"/>
          <w:szCs w:val="24"/>
          <w:highlight w:val="none"/>
        </w:rPr>
        <w:t>1.1采购项目名称</w:t>
      </w:r>
      <w:r>
        <w:rPr>
          <w:rFonts w:ascii="宋体" w:cs="宋体" w:hAnsi="宋体" w:hint="eastAsia"/>
          <w:color w:val="auto"/>
          <w:sz w:val="24"/>
          <w:szCs w:val="24"/>
          <w:highlight w:val="none"/>
        </w:rPr>
        <w:t>：</w:t>
      </w:r>
      <w:r>
        <w:rPr>
          <w:rFonts w:ascii="宋体" w:cs="宋体" w:hAnsi="宋体" w:hint="eastAsia"/>
          <w:color w:val="auto"/>
          <w:sz w:val="24"/>
          <w:szCs w:val="24"/>
          <w:highlight w:val="none"/>
          <w:lang w:eastAsia="zh-CN"/>
        </w:rPr>
        <w:t>安阳市肿瘤医院工程造价咨询、审计机构入围项目</w:t>
      </w:r>
    </w:p>
    <w:p>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84"/>
        <w:ind w:firstLine="482" w:firstLineChars="200"/>
        <w:jc w:val="left"/>
        <w:textAlignment w:val="baseline"/>
        <w:rPr>
          <w:rFonts w:ascii="宋体" w:cs="宋体" w:hAnsi="宋体"/>
          <w:color w:val="auto"/>
          <w:sz w:val="24"/>
          <w:szCs w:val="24"/>
          <w:highlight w:val="none"/>
        </w:rPr>
      </w:pPr>
      <w:r>
        <w:rPr>
          <w:rFonts w:ascii="宋体" w:cs="宋体" w:hAnsi="宋体" w:hint="eastAsia"/>
          <w:b/>
          <w:color w:val="auto"/>
          <w:sz w:val="24"/>
          <w:szCs w:val="24"/>
          <w:highlight w:val="none"/>
        </w:rPr>
        <w:t>1.2 标段（包）划分及其服务期服务地点</w:t>
      </w:r>
      <w:r>
        <w:rPr>
          <w:rFonts w:ascii="宋体" w:cs="宋体" w:hAnsi="宋体" w:hint="eastAsia"/>
          <w:color w:val="auto"/>
          <w:sz w:val="24"/>
          <w:szCs w:val="24"/>
          <w:highlight w:val="none"/>
        </w:rPr>
        <w:t>：本次采购项目划分为</w:t>
      </w:r>
      <w:r>
        <w:rPr>
          <w:rFonts w:ascii="宋体" w:cs="宋体" w:hAnsi="宋体" w:hint="eastAsia"/>
          <w:color w:val="auto"/>
          <w:sz w:val="24"/>
          <w:szCs w:val="24"/>
          <w:highlight w:val="none"/>
          <w:lang w:val="en-US" w:eastAsia="zh-CN"/>
        </w:rPr>
        <w:t>2</w:t>
      </w:r>
      <w:r>
        <w:rPr>
          <w:rFonts w:ascii="宋体" w:cs="宋体" w:hAnsi="宋体" w:hint="eastAsia"/>
          <w:color w:val="auto"/>
          <w:sz w:val="24"/>
          <w:szCs w:val="24"/>
          <w:highlight w:val="none"/>
        </w:rPr>
        <w:t>个标段（包）。</w:t>
      </w:r>
    </w:p>
    <w:tbl>
      <w:tblPr>
        <w:tblStyle w:val="style105"/>
        <w:tblW w:w="962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087"/>
        <w:gridCol w:w="2170"/>
        <w:gridCol w:w="1835"/>
        <w:gridCol w:w="1753"/>
        <w:gridCol w:w="1775"/>
      </w:tblGrid>
      <w:tr>
        <w:trPr>
          <w:trHeight w:val="562" w:hRule="atLeast"/>
        </w:trPr>
        <w:tc>
          <w:tcPr>
            <w:tcW w:w="9620" w:type="dxa"/>
            <w:gridSpan w:val="5"/>
            <w:tcBorders/>
            <w:vAlign w:val="center"/>
          </w:tcPr>
          <w:p>
            <w:pPr>
              <w:pStyle w:val="style0"/>
              <w:widowControl w:val="false"/>
              <w:snapToGrid w:val="false"/>
              <w:spacing w:lineRule="auto" w:line="240"/>
              <w:jc w:val="center"/>
              <w:rPr>
                <w:rFonts w:ascii="宋体" w:cs="宋体" w:hAnsi="宋体"/>
                <w:b/>
                <w:color w:val="auto"/>
                <w:sz w:val="24"/>
                <w:szCs w:val="24"/>
                <w:highlight w:val="none"/>
              </w:rPr>
            </w:pPr>
            <w:r>
              <w:rPr>
                <w:rFonts w:ascii="宋体" w:cs="宋体" w:hAnsi="宋体" w:hint="eastAsia"/>
                <w:b/>
                <w:color w:val="auto"/>
                <w:sz w:val="24"/>
                <w:szCs w:val="24"/>
                <w:highlight w:val="none"/>
              </w:rPr>
              <w:t>标段（包）一览表</w:t>
            </w:r>
          </w:p>
        </w:tc>
      </w:tr>
      <w:tr>
        <w:tblPrEx/>
        <w:trPr>
          <w:trHeight w:val="762" w:hRule="atLeast"/>
        </w:trPr>
        <w:tc>
          <w:tcPr>
            <w:tcW w:w="2087" w:type="dxa"/>
            <w:tcBorders/>
            <w:vAlign w:val="center"/>
          </w:tcPr>
          <w:p>
            <w:pPr>
              <w:pStyle w:val="style0"/>
              <w:widowControl w:val="false"/>
              <w:snapToGrid w:val="false"/>
              <w:spacing w:lineRule="auto" w:line="240"/>
              <w:jc w:val="center"/>
              <w:rPr>
                <w:rFonts w:ascii="宋体" w:cs="宋体" w:hAnsi="宋体"/>
                <w:b/>
                <w:color w:val="auto"/>
                <w:sz w:val="24"/>
                <w:szCs w:val="24"/>
                <w:highlight w:val="none"/>
              </w:rPr>
            </w:pPr>
            <w:r>
              <w:rPr>
                <w:rFonts w:ascii="宋体" w:cs="宋体" w:hAnsi="宋体" w:hint="eastAsia"/>
                <w:b/>
                <w:color w:val="auto"/>
                <w:sz w:val="24"/>
                <w:szCs w:val="24"/>
                <w:highlight w:val="none"/>
              </w:rPr>
              <w:t>项目名称</w:t>
            </w:r>
          </w:p>
        </w:tc>
        <w:tc>
          <w:tcPr>
            <w:tcW w:w="2170" w:type="dxa"/>
            <w:tcBorders/>
            <w:vAlign w:val="center"/>
          </w:tcPr>
          <w:p>
            <w:pPr>
              <w:pStyle w:val="style0"/>
              <w:widowControl w:val="false"/>
              <w:snapToGrid w:val="false"/>
              <w:spacing w:lineRule="auto" w:line="240"/>
              <w:jc w:val="center"/>
              <w:rPr>
                <w:rFonts w:ascii="宋体" w:cs="宋体" w:hAnsi="宋体"/>
                <w:b/>
                <w:color w:val="auto"/>
                <w:sz w:val="24"/>
                <w:szCs w:val="24"/>
                <w:highlight w:val="none"/>
              </w:rPr>
            </w:pPr>
            <w:r>
              <w:rPr>
                <w:rFonts w:ascii="宋体" w:cs="宋体" w:hAnsi="宋体" w:hint="eastAsia"/>
                <w:b/>
                <w:color w:val="auto"/>
                <w:sz w:val="24"/>
                <w:szCs w:val="24"/>
                <w:highlight w:val="none"/>
              </w:rPr>
              <w:t>标段（包）名称</w:t>
            </w:r>
          </w:p>
        </w:tc>
        <w:tc>
          <w:tcPr>
            <w:tcW w:w="1835" w:type="dxa"/>
            <w:tcBorders/>
            <w:vAlign w:val="center"/>
          </w:tcPr>
          <w:p>
            <w:pPr>
              <w:pStyle w:val="style0"/>
              <w:widowControl w:val="false"/>
              <w:snapToGrid w:val="false"/>
              <w:spacing w:lineRule="auto" w:line="240"/>
              <w:jc w:val="center"/>
              <w:rPr>
                <w:rFonts w:ascii="宋体" w:cs="宋体" w:hAnsi="宋体"/>
                <w:b/>
                <w:color w:val="auto"/>
                <w:sz w:val="24"/>
                <w:szCs w:val="24"/>
                <w:highlight w:val="none"/>
              </w:rPr>
            </w:pPr>
            <w:r>
              <w:rPr>
                <w:rFonts w:ascii="宋体" w:cs="宋体" w:hAnsi="宋体" w:hint="eastAsia"/>
                <w:b/>
                <w:color w:val="auto"/>
                <w:sz w:val="24"/>
                <w:szCs w:val="24"/>
                <w:highlight w:val="none"/>
              </w:rPr>
              <w:t>标段（包）内容（范围）</w:t>
            </w:r>
          </w:p>
        </w:tc>
        <w:tc>
          <w:tcPr>
            <w:tcW w:w="1753" w:type="dxa"/>
            <w:tcBorders/>
            <w:vAlign w:val="center"/>
          </w:tcPr>
          <w:p>
            <w:pPr>
              <w:pStyle w:val="style0"/>
              <w:widowControl w:val="false"/>
              <w:snapToGrid w:val="false"/>
              <w:spacing w:lineRule="auto" w:line="240"/>
              <w:jc w:val="center"/>
              <w:rPr>
                <w:rFonts w:ascii="宋体" w:cs="宋体" w:hAnsi="宋体"/>
                <w:b/>
                <w:color w:val="auto"/>
                <w:sz w:val="24"/>
                <w:szCs w:val="24"/>
                <w:highlight w:val="none"/>
              </w:rPr>
            </w:pPr>
            <w:r>
              <w:rPr>
                <w:rFonts w:ascii="宋体" w:cs="宋体" w:hAnsi="宋体" w:hint="eastAsia"/>
                <w:b/>
                <w:color w:val="auto"/>
                <w:sz w:val="24"/>
                <w:szCs w:val="24"/>
                <w:highlight w:val="none"/>
              </w:rPr>
              <w:t>合同履行期限</w:t>
            </w:r>
          </w:p>
          <w:p>
            <w:pPr>
              <w:pStyle w:val="style0"/>
              <w:widowControl w:val="false"/>
              <w:snapToGrid w:val="false"/>
              <w:spacing w:lineRule="auto" w:line="240"/>
              <w:jc w:val="center"/>
              <w:rPr>
                <w:rFonts w:ascii="宋体" w:cs="宋体" w:hAnsi="宋体"/>
                <w:b/>
                <w:color w:val="auto"/>
                <w:sz w:val="24"/>
                <w:szCs w:val="24"/>
                <w:highlight w:val="none"/>
              </w:rPr>
            </w:pPr>
            <w:r>
              <w:rPr>
                <w:rFonts w:ascii="宋体" w:cs="宋体" w:hAnsi="宋体" w:hint="eastAsia"/>
                <w:b/>
                <w:color w:val="auto"/>
                <w:sz w:val="24"/>
                <w:szCs w:val="24"/>
                <w:highlight w:val="none"/>
              </w:rPr>
              <w:t>（服务期）</w:t>
            </w:r>
          </w:p>
        </w:tc>
        <w:tc>
          <w:tcPr>
            <w:tcW w:w="1775" w:type="dxa"/>
            <w:tcBorders/>
            <w:vAlign w:val="center"/>
          </w:tcPr>
          <w:p>
            <w:pPr>
              <w:pStyle w:val="style0"/>
              <w:widowControl w:val="false"/>
              <w:snapToGrid w:val="false"/>
              <w:spacing w:lineRule="auto" w:line="240"/>
              <w:jc w:val="center"/>
              <w:rPr>
                <w:rFonts w:ascii="宋体" w:cs="宋体" w:hAnsi="宋体"/>
                <w:b/>
                <w:color w:val="auto"/>
                <w:sz w:val="24"/>
                <w:szCs w:val="24"/>
                <w:highlight w:val="none"/>
              </w:rPr>
            </w:pPr>
            <w:r>
              <w:rPr>
                <w:rFonts w:ascii="宋体" w:cs="宋体" w:hAnsi="宋体" w:hint="eastAsia"/>
                <w:b/>
                <w:color w:val="auto"/>
                <w:sz w:val="24"/>
                <w:szCs w:val="24"/>
                <w:highlight w:val="none"/>
              </w:rPr>
              <w:t>服务地点</w:t>
            </w:r>
          </w:p>
        </w:tc>
      </w:tr>
      <w:tr>
        <w:tblPrEx/>
        <w:trPr>
          <w:trHeight w:val="850" w:hRule="atLeast"/>
        </w:trPr>
        <w:tc>
          <w:tcPr>
            <w:tcW w:w="2087" w:type="dxa"/>
            <w:vMerge w:val="restart"/>
            <w:tcBorders/>
            <w:vAlign w:val="center"/>
          </w:tcPr>
          <w:p>
            <w:pPr>
              <w:pStyle w:val="style0"/>
              <w:widowControl w:val="false"/>
              <w:snapToGrid w:val="false"/>
              <w:spacing w:lineRule="auto" w:line="240"/>
              <w:jc w:val="center"/>
              <w:rPr>
                <w:rFonts w:ascii="宋体" w:cs="宋体" w:eastAsia="宋体" w:hAnsi="宋体" w:hint="eastAsia"/>
                <w:color w:val="auto"/>
                <w:sz w:val="24"/>
                <w:szCs w:val="24"/>
                <w:highlight w:val="none"/>
                <w:lang w:eastAsia="zh-CN"/>
              </w:rPr>
            </w:pPr>
            <w:r>
              <w:rPr>
                <w:rFonts w:ascii="宋体" w:cs="宋体" w:hAnsi="宋体" w:hint="eastAsia"/>
                <w:color w:val="auto"/>
                <w:sz w:val="24"/>
                <w:szCs w:val="24"/>
                <w:highlight w:val="none"/>
                <w:lang w:eastAsia="zh-CN"/>
              </w:rPr>
              <w:t>安阳市肿瘤医院工程造价咨询、审计机构入围项目</w:t>
            </w:r>
          </w:p>
        </w:tc>
        <w:tc>
          <w:tcPr>
            <w:tcW w:w="2170" w:type="dxa"/>
            <w:tcBorders/>
            <w:vAlign w:val="center"/>
          </w:tcPr>
          <w:p>
            <w:pPr>
              <w:pStyle w:val="style0"/>
              <w:widowControl/>
              <w:spacing w:after="0" w:lineRule="auto" w:line="240"/>
              <w:jc w:val="center"/>
              <w:rPr>
                <w:rFonts w:ascii="宋体" w:cs="宋体" w:hAnsi="宋体"/>
                <w:color w:val="auto"/>
                <w:sz w:val="24"/>
                <w:szCs w:val="24"/>
                <w:highlight w:val="none"/>
              </w:rPr>
            </w:pPr>
            <w:r>
              <w:rPr>
                <w:rFonts w:ascii="宋体" w:cs="宋体" w:hAnsi="宋体" w:hint="eastAsia"/>
                <w:color w:val="auto"/>
                <w:kern w:val="0"/>
                <w:sz w:val="24"/>
                <w:szCs w:val="24"/>
                <w:lang w:eastAsia="zh-CN"/>
              </w:rPr>
              <w:t>安阳市肿瘤医院工程造价咨询机构入围</w:t>
            </w:r>
          </w:p>
        </w:tc>
        <w:tc>
          <w:tcPr>
            <w:tcW w:w="1835" w:type="dxa"/>
            <w:vMerge w:val="restart"/>
            <w:tcBorders/>
            <w:vAlign w:val="center"/>
          </w:tcPr>
          <w:p>
            <w:pPr>
              <w:pStyle w:val="style0"/>
              <w:widowControl w:val="false"/>
              <w:snapToGrid w:val="false"/>
              <w:spacing w:lineRule="auto" w:line="240"/>
              <w:jc w:val="center"/>
              <w:rPr>
                <w:rFonts w:ascii="宋体" w:cs="宋体" w:hAnsi="宋体"/>
                <w:color w:val="auto"/>
                <w:sz w:val="24"/>
                <w:szCs w:val="24"/>
                <w:highlight w:val="none"/>
              </w:rPr>
            </w:pPr>
            <w:r>
              <w:rPr>
                <w:rFonts w:ascii="宋体" w:cs="宋体" w:hAnsi="宋体" w:hint="eastAsia"/>
                <w:color w:val="auto"/>
                <w:sz w:val="24"/>
                <w:szCs w:val="24"/>
                <w:highlight w:val="none"/>
              </w:rPr>
              <w:t>见“第二章第2条：标段（包）内容（范围）及服务要求”</w:t>
            </w:r>
          </w:p>
        </w:tc>
        <w:tc>
          <w:tcPr>
            <w:tcW w:w="1753" w:type="dxa"/>
            <w:vMerge w:val="restart"/>
            <w:tcBorders/>
            <w:vAlign w:val="center"/>
          </w:tcPr>
          <w:p>
            <w:pPr>
              <w:pStyle w:val="style0"/>
              <w:widowControl w:val="false"/>
              <w:snapToGrid w:val="false"/>
              <w:spacing w:lineRule="auto" w:line="240"/>
              <w:jc w:val="center"/>
              <w:rPr>
                <w:rFonts w:ascii="宋体" w:cs="宋体" w:eastAsia="宋体" w:hAnsi="宋体" w:hint="default"/>
                <w:color w:val="auto"/>
                <w:sz w:val="24"/>
                <w:szCs w:val="24"/>
                <w:highlight w:val="none"/>
                <w:lang w:val="en-US" w:eastAsia="zh-CN"/>
              </w:rPr>
            </w:pPr>
            <w:r>
              <w:rPr>
                <w:rFonts w:ascii="宋体" w:cs="宋体" w:hAnsi="宋体" w:hint="eastAsia"/>
                <w:color w:val="auto"/>
                <w:sz w:val="24"/>
                <w:szCs w:val="24"/>
                <w:highlight w:val="none"/>
                <w:lang w:val="en-US" w:eastAsia="zh-CN"/>
              </w:rPr>
              <w:t>3年</w:t>
            </w:r>
          </w:p>
        </w:tc>
        <w:tc>
          <w:tcPr>
            <w:tcW w:w="1775" w:type="dxa"/>
            <w:vMerge w:val="restart"/>
            <w:tcBorders/>
            <w:vAlign w:val="center"/>
          </w:tcPr>
          <w:p>
            <w:pPr>
              <w:pStyle w:val="style0"/>
              <w:widowControl w:val="false"/>
              <w:snapToGrid w:val="false"/>
              <w:spacing w:lineRule="auto" w:line="240"/>
              <w:jc w:val="center"/>
              <w:rPr>
                <w:rFonts w:ascii="宋体" w:cs="宋体" w:hAnsi="宋体"/>
                <w:color w:val="auto"/>
                <w:sz w:val="24"/>
                <w:szCs w:val="24"/>
                <w:highlight w:val="none"/>
              </w:rPr>
            </w:pPr>
            <w:r>
              <w:rPr>
                <w:rFonts w:ascii="宋体" w:cs="宋体" w:hAnsi="宋体" w:hint="eastAsia"/>
                <w:color w:val="auto"/>
                <w:sz w:val="24"/>
                <w:szCs w:val="24"/>
                <w:highlight w:val="none"/>
              </w:rPr>
              <w:t>采购人指定地点</w:t>
            </w:r>
          </w:p>
        </w:tc>
      </w:tr>
      <w:tr>
        <w:tblPrEx/>
        <w:trPr>
          <w:trHeight w:val="507" w:hRule="atLeast"/>
        </w:trPr>
        <w:tc>
          <w:tcPr>
            <w:tcW w:w="2087" w:type="dxa"/>
            <w:vMerge w:val="continue"/>
            <w:tcBorders/>
            <w:vAlign w:val="center"/>
          </w:tcPr>
          <w:p>
            <w:pPr>
              <w:pStyle w:val="style0"/>
              <w:widowControl w:val="false"/>
              <w:snapToGrid w:val="false"/>
              <w:spacing w:lineRule="auto" w:line="240"/>
              <w:jc w:val="center"/>
              <w:rPr>
                <w:rFonts w:ascii="宋体" w:cs="宋体" w:hAnsi="宋体" w:hint="eastAsia"/>
                <w:color w:val="auto"/>
                <w:sz w:val="24"/>
                <w:szCs w:val="24"/>
                <w:highlight w:val="none"/>
                <w:lang w:eastAsia="zh-CN"/>
              </w:rPr>
            </w:pPr>
          </w:p>
        </w:tc>
        <w:tc>
          <w:tcPr>
            <w:tcW w:w="2170" w:type="dxa"/>
            <w:tcBorders/>
            <w:vAlign w:val="center"/>
          </w:tcPr>
          <w:p>
            <w:pPr>
              <w:pStyle w:val="style0"/>
              <w:widowControl/>
              <w:spacing w:after="0" w:lineRule="auto" w:line="240"/>
              <w:jc w:val="center"/>
              <w:rPr>
                <w:rFonts w:ascii="宋体" w:cs="宋体" w:hAnsi="宋体" w:hint="eastAsia"/>
                <w:color w:val="auto"/>
                <w:sz w:val="24"/>
                <w:szCs w:val="24"/>
                <w:highlight w:val="none"/>
              </w:rPr>
            </w:pPr>
            <w:r>
              <w:rPr>
                <w:rFonts w:ascii="宋体" w:cs="宋体" w:hAnsi="宋体" w:hint="eastAsia"/>
                <w:color w:val="auto"/>
                <w:kern w:val="0"/>
                <w:sz w:val="24"/>
                <w:szCs w:val="24"/>
                <w:lang w:eastAsia="zh-CN"/>
              </w:rPr>
              <w:t>安阳市肿瘤医院</w:t>
            </w:r>
            <w:r>
              <w:rPr>
                <w:rFonts w:ascii="宋体" w:cs="宋体" w:hAnsi="宋体" w:hint="eastAsia"/>
                <w:color w:val="auto"/>
                <w:kern w:val="0"/>
                <w:sz w:val="24"/>
                <w:szCs w:val="24"/>
                <w:lang w:val="en-US" w:eastAsia="zh-CN"/>
              </w:rPr>
              <w:t>审计机构</w:t>
            </w:r>
            <w:r>
              <w:rPr>
                <w:rFonts w:ascii="宋体" w:cs="宋体" w:hAnsi="宋体" w:hint="eastAsia"/>
                <w:color w:val="auto"/>
                <w:kern w:val="0"/>
                <w:sz w:val="24"/>
                <w:szCs w:val="24"/>
                <w:lang w:eastAsia="zh-CN"/>
              </w:rPr>
              <w:t>入围</w:t>
            </w:r>
          </w:p>
        </w:tc>
        <w:tc>
          <w:tcPr>
            <w:tcW w:w="1835" w:type="dxa"/>
            <w:vMerge w:val="continue"/>
            <w:tcBorders/>
            <w:vAlign w:val="center"/>
          </w:tcPr>
          <w:p>
            <w:pPr>
              <w:pStyle w:val="style0"/>
              <w:widowControl w:val="false"/>
              <w:snapToGrid w:val="false"/>
              <w:spacing w:lineRule="auto" w:line="240"/>
              <w:jc w:val="center"/>
              <w:rPr>
                <w:rFonts w:ascii="宋体" w:cs="宋体" w:hAnsi="宋体" w:hint="eastAsia"/>
                <w:color w:val="auto"/>
                <w:sz w:val="24"/>
                <w:szCs w:val="24"/>
                <w:highlight w:val="none"/>
              </w:rPr>
            </w:pPr>
          </w:p>
        </w:tc>
        <w:tc>
          <w:tcPr>
            <w:tcW w:w="1753" w:type="dxa"/>
            <w:vMerge w:val="continue"/>
            <w:tcBorders/>
            <w:vAlign w:val="center"/>
          </w:tcPr>
          <w:p>
            <w:pPr>
              <w:pStyle w:val="style0"/>
              <w:widowControl w:val="false"/>
              <w:snapToGrid w:val="false"/>
              <w:spacing w:lineRule="auto" w:line="240"/>
              <w:jc w:val="center"/>
              <w:rPr>
                <w:rFonts w:ascii="宋体" w:cs="宋体" w:hAnsi="宋体" w:hint="eastAsia"/>
                <w:color w:val="auto"/>
                <w:sz w:val="24"/>
                <w:szCs w:val="24"/>
                <w:highlight w:val="none"/>
                <w:lang w:val="en-US" w:eastAsia="zh-CN"/>
              </w:rPr>
            </w:pPr>
          </w:p>
        </w:tc>
        <w:tc>
          <w:tcPr>
            <w:tcW w:w="1775" w:type="dxa"/>
            <w:vMerge w:val="continue"/>
            <w:tcBorders/>
            <w:vAlign w:val="center"/>
          </w:tcPr>
          <w:p>
            <w:pPr>
              <w:pStyle w:val="style0"/>
              <w:widowControl w:val="false"/>
              <w:snapToGrid w:val="false"/>
              <w:spacing w:lineRule="auto" w:line="240"/>
              <w:jc w:val="center"/>
              <w:rPr>
                <w:rFonts w:ascii="宋体" w:cs="宋体" w:hAnsi="宋体" w:hint="eastAsia"/>
                <w:color w:val="auto"/>
                <w:sz w:val="24"/>
                <w:szCs w:val="24"/>
                <w:highlight w:val="none"/>
              </w:rPr>
            </w:pPr>
          </w:p>
        </w:tc>
      </w:tr>
    </w:tbl>
    <w:p>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84"/>
        <w:ind w:firstLine="480" w:firstLineChars="200"/>
        <w:jc w:val="left"/>
        <w:textAlignment w:val="baseline"/>
        <w:rPr>
          <w:rFonts w:ascii="宋体" w:cs="宋体" w:eastAsia="宋体" w:hAnsi="宋体" w:hint="eastAsia"/>
          <w:b w:val="false"/>
          <w:bCs/>
          <w:color w:val="auto"/>
          <w:sz w:val="24"/>
          <w:szCs w:val="24"/>
          <w:highlight w:val="none"/>
        </w:rPr>
      </w:pPr>
      <w:r>
        <w:rPr>
          <w:rFonts w:ascii="宋体" w:cs="宋体" w:eastAsia="宋体" w:hAnsi="宋体" w:hint="eastAsia"/>
          <w:b w:val="false"/>
          <w:bCs/>
          <w:color w:val="auto"/>
          <w:sz w:val="24"/>
          <w:szCs w:val="24"/>
          <w:highlight w:val="none"/>
        </w:rPr>
        <w:t>1.3 磋商报价（价格构成）</w:t>
      </w:r>
    </w:p>
    <w:p>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84"/>
        <w:ind w:firstLine="480" w:firstLineChars="200"/>
        <w:jc w:val="left"/>
        <w:textAlignment w:val="baseline"/>
        <w:rPr>
          <w:rFonts w:ascii="宋体" w:cs="宋体" w:eastAsia="宋体" w:hAnsi="宋体" w:hint="eastAsia"/>
          <w:b w:val="false"/>
          <w:bCs/>
          <w:color w:val="auto"/>
          <w:sz w:val="24"/>
          <w:szCs w:val="24"/>
          <w:highlight w:val="none"/>
          <w:lang w:val="en-US" w:eastAsia="zh-CN"/>
        </w:rPr>
      </w:pPr>
      <w:r>
        <w:rPr>
          <w:rFonts w:ascii="宋体" w:cs="宋体" w:eastAsia="宋体" w:hAnsi="宋体" w:hint="eastAsia"/>
          <w:b w:val="false"/>
          <w:bCs/>
          <w:color w:val="auto"/>
          <w:sz w:val="24"/>
          <w:szCs w:val="24"/>
          <w:highlight w:val="none"/>
        </w:rPr>
        <w:t>1.3.1</w:t>
      </w:r>
      <w:r>
        <w:rPr>
          <w:rFonts w:ascii="宋体" w:cs="宋体" w:eastAsia="宋体" w:hAnsi="宋体" w:hint="eastAsia"/>
          <w:b w:val="false"/>
          <w:bCs/>
          <w:color w:val="auto"/>
          <w:sz w:val="24"/>
          <w:szCs w:val="24"/>
          <w:highlight w:val="none"/>
          <w:lang w:val="en-US" w:eastAsia="zh-CN"/>
        </w:rPr>
        <w:t>供应商报价为合同履行期限内为完成项目内容和保证服务质量所需的全部费用，包括人工费、设备费、材料费、交通费、技术服务费、成果印刷费、相关税款等与项目相关的、必须的款项及费用。</w:t>
      </w:r>
    </w:p>
    <w:p>
      <w:pPr>
        <w:pStyle w:val="style0"/>
        <w:keepNext w:val="false"/>
        <w:keepLines w:val="false"/>
        <w:pageBreakBefore w:val="false"/>
        <w:widowControl w:val="false"/>
        <w:kinsoku/>
        <w:wordWrap/>
        <w:overflowPunct/>
        <w:topLinePunct w:val="false"/>
        <w:bidi w:val="false"/>
        <w:snapToGrid w:val="false"/>
        <w:spacing w:lineRule="auto" w:line="360"/>
        <w:ind w:firstLine="480" w:firstLineChars="200"/>
        <w:jc w:val="left"/>
        <w:textAlignment w:val="baseline"/>
        <w:rPr>
          <w:rFonts w:ascii="宋体" w:cs="宋体" w:hAnsi="宋体" w:hint="eastAsia"/>
          <w:color w:val="auto"/>
          <w:sz w:val="24"/>
          <w:szCs w:val="24"/>
          <w:highlight w:val="none"/>
          <w:lang w:val="en-US" w:eastAsia="zh-CN"/>
        </w:rPr>
      </w:pPr>
      <w:r>
        <w:rPr>
          <w:rFonts w:ascii="宋体" w:cs="宋体" w:hAnsi="宋体" w:hint="eastAsia"/>
          <w:color w:val="auto"/>
          <w:sz w:val="24"/>
          <w:szCs w:val="24"/>
          <w:highlight w:val="none"/>
        </w:rPr>
        <w:t>1.3.</w:t>
      </w:r>
      <w:r>
        <w:rPr>
          <w:rFonts w:ascii="宋体" w:cs="宋体" w:hAnsi="宋体" w:hint="eastAsia"/>
          <w:color w:val="auto"/>
          <w:sz w:val="24"/>
          <w:szCs w:val="24"/>
          <w:highlight w:val="none"/>
          <w:lang w:val="en-US" w:eastAsia="zh-CN"/>
        </w:rPr>
        <w:t>2本次采购项目采用折扣率报价方式。一包合同价＝根据《河南省建设工程造价咨询行业服务收费市场参考价格》（豫价协[2022]6号）计算的评审付费额×中标折扣率；一包最高控制价：报价以《河南省建设工程造价咨询行业服务收费市场参考价格》（豫价协[2022]6号）收费标准为基准，进行费率报价，收费标准等同于前述标准的，为90%。最高控制限价为90%，超过90%作为无效响应处理。二包合同价＝根据《河南省会计师事务所服务收费管理办法》（豫发改收费[2011]2374号）算的评审付费额×中标折扣率。二包最高控制价：报价以《河南省会计师事务所服务收费管理办法》（豫发改收费[2011]2374号）收费标准为基准，进行费率报价，收费标准等同于前述标准的，为90%。最高控制限价为90%，超过90%作为无效响应处理。</w:t>
      </w:r>
    </w:p>
    <w:p>
      <w:pPr>
        <w:pStyle w:val="style0"/>
        <w:keepNext w:val="false"/>
        <w:keepLines w:val="false"/>
        <w:pageBreakBefore w:val="false"/>
        <w:widowControl w:val="false"/>
        <w:kinsoku/>
        <w:wordWrap/>
        <w:overflowPunct/>
        <w:topLinePunct w:val="false"/>
        <w:bidi w:val="false"/>
        <w:snapToGrid w:val="false"/>
        <w:spacing w:lineRule="auto" w:line="360"/>
        <w:ind w:firstLine="480" w:firstLineChars="200"/>
        <w:jc w:val="left"/>
        <w:textAlignment w:val="baseline"/>
        <w:rPr>
          <w:rFonts w:ascii="宋体" w:cs="宋体" w:hAnsi="宋体" w:hint="default"/>
          <w:color w:val="auto"/>
          <w:sz w:val="24"/>
          <w:szCs w:val="24"/>
          <w:highlight w:val="none"/>
          <w:lang w:val="en-US" w:eastAsia="zh-CN"/>
        </w:rPr>
      </w:pPr>
      <w:r>
        <w:rPr>
          <w:rFonts w:ascii="宋体" w:cs="宋体" w:hAnsi="宋体" w:hint="eastAsia"/>
          <w:color w:val="auto"/>
          <w:sz w:val="24"/>
          <w:szCs w:val="24"/>
          <w:highlight w:val="none"/>
          <w:lang w:val="en-US" w:eastAsia="zh-CN"/>
        </w:rPr>
        <w:t>1.3.3折扣率</w:t>
      </w:r>
      <w:r>
        <w:rPr>
          <w:rFonts w:ascii="宋体" w:cs="宋体" w:hAnsi="宋体" w:hint="eastAsia"/>
          <w:color w:val="auto"/>
          <w:sz w:val="24"/>
          <w:szCs w:val="24"/>
          <w:highlight w:val="none"/>
        </w:rPr>
        <w:t>释义：下浮</w:t>
      </w:r>
      <w:r>
        <w:rPr>
          <w:rFonts w:ascii="宋体" w:cs="宋体" w:hAnsi="宋体" w:hint="eastAsia"/>
          <w:color w:val="auto"/>
          <w:sz w:val="24"/>
          <w:szCs w:val="24"/>
          <w:highlight w:val="none"/>
          <w:lang w:val="en-US" w:eastAsia="zh-CN"/>
        </w:rPr>
        <w:t>15</w:t>
      </w:r>
      <w:r>
        <w:rPr>
          <w:rFonts w:ascii="宋体" w:cs="宋体" w:hAnsi="宋体" w:hint="eastAsia"/>
          <w:color w:val="auto"/>
          <w:sz w:val="24"/>
          <w:szCs w:val="24"/>
          <w:highlight w:val="none"/>
        </w:rPr>
        <w:t>%，折扣比例为</w:t>
      </w:r>
      <w:r>
        <w:rPr>
          <w:rFonts w:ascii="宋体" w:cs="宋体" w:hAnsi="宋体" w:hint="eastAsia"/>
          <w:color w:val="auto"/>
          <w:sz w:val="24"/>
          <w:szCs w:val="24"/>
          <w:highlight w:val="none"/>
          <w:lang w:val="en-US" w:eastAsia="zh-CN"/>
        </w:rPr>
        <w:t>85</w:t>
      </w:r>
      <w:r>
        <w:rPr>
          <w:rFonts w:ascii="宋体" w:cs="宋体" w:hAnsi="宋体" w:hint="eastAsia"/>
          <w:color w:val="auto"/>
          <w:sz w:val="24"/>
          <w:szCs w:val="24"/>
          <w:highlight w:val="none"/>
        </w:rPr>
        <w:t>%</w:t>
      </w:r>
      <w:r>
        <w:rPr>
          <w:rFonts w:ascii="宋体" w:cs="宋体" w:hAnsi="宋体" w:hint="eastAsia"/>
          <w:color w:val="auto"/>
          <w:sz w:val="24"/>
          <w:szCs w:val="24"/>
          <w:highlight w:val="none"/>
          <w:lang w:eastAsia="zh-CN"/>
        </w:rPr>
        <w:t>，本项目最高控制价为</w:t>
      </w:r>
      <w:r>
        <w:rPr>
          <w:rFonts w:ascii="宋体" w:cs="宋体" w:hAnsi="宋体" w:hint="eastAsia"/>
          <w:color w:val="auto"/>
          <w:sz w:val="24"/>
          <w:szCs w:val="24"/>
          <w:highlight w:val="none"/>
          <w:lang w:val="en-US" w:eastAsia="zh-CN"/>
        </w:rPr>
        <w:t>90%</w:t>
      </w:r>
    </w:p>
    <w:p>
      <w:pPr>
        <w:pStyle w:val="style0"/>
        <w:keepNext w:val="false"/>
        <w:keepLines w:val="false"/>
        <w:pageBreakBefore w:val="false"/>
        <w:widowControl w:val="false"/>
        <w:kinsoku/>
        <w:wordWrap/>
        <w:overflowPunct/>
        <w:topLinePunct w:val="false"/>
        <w:bidi w:val="false"/>
        <w:snapToGrid w:val="false"/>
        <w:spacing w:lineRule="auto" w:line="360"/>
        <w:ind w:firstLine="480" w:firstLineChars="200"/>
        <w:jc w:val="left"/>
        <w:textAlignment w:val="baseline"/>
        <w:rPr>
          <w:rFonts w:ascii="宋体" w:cs="宋体" w:hAnsi="宋体"/>
          <w:color w:val="auto"/>
          <w:sz w:val="24"/>
          <w:szCs w:val="24"/>
          <w:highlight w:val="none"/>
        </w:rPr>
      </w:pPr>
      <w:r>
        <w:rPr>
          <w:rFonts w:ascii="宋体" w:cs="宋体" w:hAnsi="宋体" w:hint="eastAsia"/>
          <w:color w:val="auto"/>
          <w:sz w:val="24"/>
          <w:szCs w:val="24"/>
          <w:highlight w:val="none"/>
        </w:rPr>
        <w:t>1.3.</w:t>
      </w:r>
      <w:r>
        <w:rPr>
          <w:rFonts w:ascii="宋体" w:cs="宋体" w:hAnsi="宋体" w:hint="eastAsia"/>
          <w:color w:val="auto"/>
          <w:sz w:val="24"/>
          <w:szCs w:val="24"/>
          <w:highlight w:val="none"/>
          <w:lang w:val="en-US" w:eastAsia="zh-CN"/>
        </w:rPr>
        <w:t>3</w:t>
      </w:r>
      <w:r>
        <w:rPr>
          <w:rFonts w:ascii="宋体" w:cs="宋体" w:hAnsi="宋体" w:hint="eastAsia"/>
          <w:color w:val="auto"/>
          <w:sz w:val="24"/>
          <w:szCs w:val="24"/>
          <w:highlight w:val="none"/>
        </w:rPr>
        <w:t>本次竞争性磋商共二次报价（含系统中</w:t>
      </w:r>
      <w:r>
        <w:rPr>
          <w:rFonts w:ascii="宋体" w:cs="宋体" w:hAnsi="宋体" w:hint="eastAsia"/>
          <w:b/>
          <w:color w:val="auto"/>
          <w:sz w:val="24"/>
          <w:szCs w:val="24"/>
          <w:highlight w:val="none"/>
        </w:rPr>
        <w:t>开标一览表</w:t>
      </w:r>
      <w:r>
        <w:rPr>
          <w:rFonts w:ascii="宋体" w:cs="宋体" w:hAnsi="宋体" w:hint="eastAsia"/>
          <w:color w:val="auto"/>
          <w:sz w:val="24"/>
          <w:szCs w:val="24"/>
          <w:highlight w:val="none"/>
        </w:rPr>
        <w:t>报价共二次价格磋商）。磋商小组未对《磋商文件》作优化变更增加的，磋商中的报价均不应超过前次报价，供应商擅自调高报价的，磋商小组将按二次报价中的最低报价作为有效报价。供应商拒绝接受上述意见的，磋商小组将视为变相在提交《响应文件》截止时间后撤回《响应文件》，并评定其为无效投标，依据磋商文件“第三章</w:t>
      </w:r>
      <w:r>
        <w:rPr>
          <w:rFonts w:ascii="宋体" w:cs="宋体" w:hAnsi="宋体" w:hint="eastAsia"/>
          <w:color w:val="auto"/>
          <w:sz w:val="24"/>
          <w:szCs w:val="22"/>
          <w:highlight w:val="none"/>
        </w:rPr>
        <w:t>3.5.5 违背承诺的责任追究措施</w:t>
      </w:r>
      <w:r>
        <w:rPr>
          <w:rFonts w:ascii="宋体" w:cs="宋体" w:hAnsi="宋体" w:hint="eastAsia"/>
          <w:color w:val="auto"/>
          <w:sz w:val="24"/>
          <w:szCs w:val="24"/>
          <w:highlight w:val="none"/>
        </w:rPr>
        <w:t>”，供应商</w:t>
      </w:r>
      <w:r>
        <w:rPr>
          <w:rFonts w:ascii="宋体" w:cs="宋体" w:hAnsi="宋体" w:hint="eastAsia"/>
          <w:color w:val="auto"/>
          <w:sz w:val="24"/>
          <w:szCs w:val="22"/>
          <w:highlight w:val="none"/>
        </w:rPr>
        <w:t>承担相应法律责任及违约责任。</w:t>
      </w:r>
    </w:p>
    <w:p>
      <w:pPr>
        <w:pStyle w:val="style0"/>
        <w:keepNext w:val="false"/>
        <w:keepLines w:val="false"/>
        <w:pageBreakBefore w:val="false"/>
        <w:kinsoku/>
        <w:wordWrap/>
        <w:overflowPunct/>
        <w:topLinePunct w:val="false"/>
        <w:autoSpaceDE w:val="false"/>
        <w:autoSpaceDN w:val="false"/>
        <w:bidi w:val="false"/>
        <w:adjustRightInd w:val="false"/>
        <w:snapToGrid w:val="false"/>
        <w:spacing w:lineRule="auto" w:line="360"/>
        <w:ind w:firstLine="482" w:firstLineChars="200"/>
        <w:jc w:val="left"/>
        <w:textAlignment w:val="baseline"/>
        <w:rPr>
          <w:rFonts w:ascii="宋体" w:cs="宋体" w:hAnsi="宋体"/>
          <w:color w:val="auto"/>
          <w:sz w:val="24"/>
          <w:szCs w:val="24"/>
          <w:highlight w:val="none"/>
        </w:rPr>
      </w:pPr>
      <w:r>
        <w:rPr>
          <w:rFonts w:ascii="宋体" w:cs="宋体" w:hAnsi="宋体" w:hint="eastAsia"/>
          <w:b/>
          <w:color w:val="auto"/>
          <w:sz w:val="24"/>
          <w:szCs w:val="24"/>
          <w:highlight w:val="none"/>
        </w:rPr>
        <w:t>价格磋商规则详见第四章“评审办法”第“3.4.7 价格磋商”条款。</w:t>
      </w:r>
    </w:p>
    <w:p>
      <w:pPr>
        <w:pStyle w:val="style0"/>
        <w:keepNext w:val="false"/>
        <w:keepLines w:val="false"/>
        <w:pageBreakBefore w:val="false"/>
        <w:widowControl w:val="false"/>
        <w:kinsoku/>
        <w:wordWrap/>
        <w:overflowPunct/>
        <w:topLinePunct w:val="false"/>
        <w:bidi w:val="false"/>
        <w:snapToGrid w:val="false"/>
        <w:spacing w:lineRule="auto" w:line="360"/>
        <w:ind w:firstLine="480" w:firstLineChars="200"/>
        <w:jc w:val="left"/>
        <w:textAlignment w:val="baseline"/>
        <w:rPr>
          <w:rFonts w:ascii="宋体" w:cs="宋体" w:hAnsi="宋体"/>
          <w:color w:val="auto"/>
          <w:sz w:val="24"/>
          <w:szCs w:val="24"/>
          <w:highlight w:val="none"/>
        </w:rPr>
      </w:pPr>
      <w:r>
        <w:rPr>
          <w:rFonts w:ascii="宋体" w:cs="宋体" w:hAnsi="宋体" w:hint="eastAsia"/>
          <w:color w:val="auto"/>
          <w:sz w:val="24"/>
          <w:szCs w:val="24"/>
          <w:highlight w:val="none"/>
        </w:rPr>
        <w:t>1.3.6 如供应商的磋商报价未超过</w:t>
      </w:r>
      <w:r>
        <w:rPr>
          <w:rFonts w:ascii="宋体" w:cs="宋体" w:hAnsi="宋体" w:hint="eastAsia"/>
          <w:bCs/>
          <w:color w:val="auto"/>
          <w:sz w:val="24"/>
          <w:highlight w:val="none"/>
          <w:lang w:val="zh-CN"/>
        </w:rPr>
        <w:t>预算金额</w:t>
      </w:r>
      <w:r>
        <w:rPr>
          <w:rFonts w:ascii="宋体" w:cs="宋体" w:hAnsi="宋体" w:hint="eastAsia"/>
          <w:color w:val="auto"/>
          <w:sz w:val="24"/>
          <w:szCs w:val="24"/>
          <w:highlight w:val="none"/>
        </w:rPr>
        <w:t>（见竞争性磋商公告）的供应商不足三家的，该标段（包）做废标处理。</w:t>
      </w:r>
    </w:p>
    <w:bookmarkStart w:id="4" w:name="_Toc491"/>
    <w:p>
      <w:pPr>
        <w:pStyle w:val="style0"/>
        <w:keepNext w:val="false"/>
        <w:keepLines w:val="false"/>
        <w:pageBreakBefore w:val="false"/>
        <w:kinsoku/>
        <w:wordWrap/>
        <w:overflowPunct/>
        <w:topLinePunct w:val="false"/>
        <w:bidi w:val="false"/>
        <w:spacing w:lineRule="auto" w:line="360"/>
        <w:ind w:firstLine="562" w:firstLineChars="200"/>
        <w:textAlignment w:val="baseline"/>
        <w:outlineLvl w:val="1"/>
        <w:rPr>
          <w:rFonts w:ascii="宋体" w:cs="宋体" w:hAnsi="宋体"/>
          <w:b/>
          <w:color w:val="auto"/>
          <w:sz w:val="28"/>
          <w:highlight w:val="none"/>
        </w:rPr>
      </w:pPr>
      <w:r>
        <w:rPr>
          <w:rFonts w:ascii="宋体" w:cs="宋体" w:hAnsi="宋体" w:hint="eastAsia"/>
          <w:b/>
          <w:color w:val="auto"/>
          <w:sz w:val="28"/>
          <w:highlight w:val="none"/>
        </w:rPr>
        <w:t>2. 标段（包）内容（范围）及服务要求</w:t>
      </w:r>
      <w:bookmarkEnd w:id="4"/>
    </w:p>
    <w:p>
      <w:pPr>
        <w:pStyle w:val="style0"/>
        <w:keepNext w:val="false"/>
        <w:keepLines w:val="false"/>
        <w:pageBreakBefore w:val="false"/>
        <w:kinsoku/>
        <w:wordWrap/>
        <w:overflowPunct/>
        <w:topLinePunct w:val="false"/>
        <w:bidi w:val="false"/>
        <w:spacing w:lineRule="auto" w:line="360"/>
        <w:ind w:firstLine="482" w:firstLineChars="200"/>
        <w:textAlignment w:val="baseline"/>
        <w:rPr>
          <w:rFonts w:ascii="宋体" w:cs="宋体" w:hAnsi="宋体"/>
          <w:color w:val="auto"/>
          <w:sz w:val="24"/>
          <w:szCs w:val="24"/>
          <w:highlight w:val="none"/>
        </w:rPr>
      </w:pPr>
      <w:r>
        <w:rPr>
          <w:rFonts w:ascii="宋体" w:cs="宋体" w:hAnsi="宋体" w:hint="eastAsia"/>
          <w:b/>
          <w:color w:val="auto"/>
          <w:sz w:val="24"/>
          <w:szCs w:val="24"/>
          <w:highlight w:val="none"/>
        </w:rPr>
        <w:t>2.1 总体服务（方案）要求及标段（包）内容（范围）：</w:t>
      </w:r>
    </w:p>
    <w:p>
      <w:pPr>
        <w:pStyle w:val="style0"/>
        <w:snapToGrid w:val="false"/>
        <w:spacing w:after="0" w:lineRule="exact" w:line="520"/>
        <w:ind w:firstLine="482" w:firstLineChars="200"/>
        <w:rPr>
          <w:rFonts w:ascii="宋体" w:cs="宋体" w:eastAsia="宋体" w:hAnsi="宋体" w:hint="eastAsia"/>
          <w:b/>
          <w:bCs/>
          <w:color w:val="auto"/>
          <w:sz w:val="24"/>
          <w:szCs w:val="24"/>
          <w:lang w:val="en-US" w:eastAsia="zh-CN"/>
        </w:rPr>
      </w:pPr>
      <w:r>
        <w:rPr>
          <w:rFonts w:ascii="宋体" w:cs="宋体" w:eastAsia="宋体" w:hAnsi="宋体" w:hint="eastAsia"/>
          <w:b/>
          <w:bCs/>
          <w:color w:val="auto"/>
          <w:sz w:val="24"/>
          <w:szCs w:val="24"/>
          <w:lang w:val="en-US" w:eastAsia="zh-CN"/>
        </w:rPr>
        <w:t>2.1.1一包：</w:t>
      </w:r>
    </w:p>
    <w:p>
      <w:pPr>
        <w:pStyle w:val="style0"/>
        <w:snapToGrid w:val="false"/>
        <w:spacing w:after="0" w:lineRule="exact" w:line="520"/>
        <w:ind w:firstLine="480" w:firstLineChars="200"/>
        <w:rPr>
          <w:rFonts w:ascii="宋体" w:cs="宋体" w:eastAsia="宋体" w:hAnsi="宋体" w:hint="eastAsia"/>
          <w:color w:val="auto"/>
          <w:sz w:val="24"/>
          <w:szCs w:val="24"/>
        </w:rPr>
      </w:pPr>
      <w:r>
        <w:rPr>
          <w:rFonts w:ascii="宋体" w:cs="宋体" w:eastAsia="宋体" w:hAnsi="宋体" w:hint="eastAsia"/>
          <w:color w:val="auto"/>
          <w:sz w:val="24"/>
          <w:szCs w:val="24"/>
        </w:rPr>
        <w:t>一、专业技术要求</w:t>
      </w:r>
    </w:p>
    <w:p>
      <w:pPr>
        <w:pStyle w:val="style0"/>
        <w:snapToGrid w:val="false"/>
        <w:spacing w:after="0" w:lineRule="exact" w:line="520"/>
        <w:ind w:firstLine="480" w:firstLineChars="200"/>
        <w:rPr>
          <w:rFonts w:ascii="宋体" w:cs="宋体" w:eastAsia="宋体" w:hAnsi="宋体" w:hint="eastAsia"/>
          <w:color w:val="auto"/>
          <w:sz w:val="24"/>
          <w:szCs w:val="24"/>
        </w:rPr>
      </w:pPr>
      <w:r>
        <w:rPr>
          <w:rFonts w:ascii="宋体" w:cs="宋体" w:eastAsia="宋体" w:hAnsi="宋体" w:hint="eastAsia"/>
          <w:color w:val="auto"/>
          <w:sz w:val="24"/>
          <w:szCs w:val="24"/>
        </w:rPr>
        <w:t>1、投标人必须有足够的人力、物力等资源保证按时按质量完成委托的工作。</w:t>
      </w:r>
    </w:p>
    <w:p>
      <w:pPr>
        <w:pStyle w:val="style0"/>
        <w:snapToGrid w:val="false"/>
        <w:spacing w:after="0" w:lineRule="exact" w:line="520"/>
        <w:ind w:firstLine="480" w:firstLineChars="200"/>
        <w:rPr>
          <w:rFonts w:ascii="宋体" w:cs="宋体" w:eastAsia="宋体" w:hAnsi="宋体" w:hint="eastAsia"/>
          <w:color w:val="auto"/>
          <w:sz w:val="24"/>
          <w:szCs w:val="24"/>
        </w:rPr>
      </w:pPr>
      <w:r>
        <w:rPr>
          <w:rFonts w:ascii="宋体" w:cs="宋体" w:eastAsia="宋体" w:hAnsi="宋体" w:hint="eastAsia"/>
          <w:color w:val="auto"/>
          <w:sz w:val="24"/>
          <w:szCs w:val="24"/>
        </w:rPr>
        <w:t>2、投标人应具备相应的专业技术人员，拟派人员至少有1人注册造价师人为安阳市本地服务人员，提供供应商在安阳为其缴纳社会保险的证明材料，提供拟派项目团队人员名单，拟派人员未经采购人允许不得随意更换，否则采购人有权终止合同。满足委托人对建筑、装饰、机电安装、市政、井巷、室外配套及园林景观、电力等专业工程维修、改建、扩建、新建的预算编制与审核以及结算编制、审核与复核等工作要求。</w:t>
      </w:r>
    </w:p>
    <w:p>
      <w:pPr>
        <w:pStyle w:val="style0"/>
        <w:snapToGrid w:val="false"/>
        <w:spacing w:after="0" w:lineRule="exact" w:line="520"/>
        <w:ind w:firstLine="480" w:firstLineChars="200"/>
        <w:rPr>
          <w:rFonts w:ascii="宋体" w:cs="宋体" w:eastAsia="宋体" w:hAnsi="宋体" w:hint="eastAsia"/>
          <w:color w:val="auto"/>
          <w:sz w:val="24"/>
          <w:szCs w:val="24"/>
        </w:rPr>
      </w:pPr>
      <w:r>
        <w:rPr>
          <w:rFonts w:ascii="宋体" w:cs="宋体" w:eastAsia="宋体" w:hAnsi="宋体" w:hint="eastAsia"/>
          <w:color w:val="auto"/>
          <w:sz w:val="24"/>
          <w:szCs w:val="24"/>
        </w:rPr>
        <w:t>3、投标人应有健全的组织机构和内部管理制度，有完善的质量保证体系和档案管理制度，有良好的服务态度和执业信誉。</w:t>
      </w:r>
    </w:p>
    <w:p>
      <w:pPr>
        <w:pStyle w:val="style0"/>
        <w:snapToGrid w:val="false"/>
        <w:spacing w:after="0" w:lineRule="exact" w:line="520"/>
        <w:ind w:firstLine="480" w:firstLineChars="200"/>
        <w:rPr>
          <w:rFonts w:ascii="宋体" w:cs="宋体" w:hAnsi="宋体" w:hint="eastAsia"/>
          <w:color w:val="auto"/>
          <w:sz w:val="24"/>
          <w:szCs w:val="24"/>
        </w:rPr>
      </w:pPr>
      <w:r>
        <w:rPr>
          <w:rFonts w:ascii="宋体" w:cs="宋体" w:eastAsia="宋体" w:hAnsi="宋体" w:hint="eastAsia"/>
          <w:color w:val="auto"/>
          <w:sz w:val="24"/>
          <w:szCs w:val="24"/>
        </w:rPr>
        <w:t>4、投标人必须</w:t>
      </w:r>
      <w:r>
        <w:rPr>
          <w:rFonts w:ascii="宋体" w:cs="宋体" w:hAnsi="宋体" w:hint="eastAsia"/>
          <w:color w:val="auto"/>
          <w:sz w:val="24"/>
          <w:szCs w:val="24"/>
        </w:rPr>
        <w:t>独立完成招标人委托的任务，不得转让给第三方完成，并能按招标人的要求定期做好已完成项目相关资料的移交和归档工作。</w:t>
      </w:r>
    </w:p>
    <w:p>
      <w:pPr>
        <w:pStyle w:val="style0"/>
        <w:snapToGrid w:val="false"/>
        <w:spacing w:after="0" w:lineRule="exact" w:line="520"/>
        <w:ind w:firstLine="480" w:firstLineChars="200"/>
        <w:rPr>
          <w:rFonts w:ascii="宋体" w:cs="宋体" w:hAnsi="宋体" w:hint="eastAsia"/>
          <w:color w:val="auto"/>
          <w:sz w:val="24"/>
          <w:szCs w:val="24"/>
        </w:rPr>
      </w:pPr>
      <w:r>
        <w:rPr>
          <w:rFonts w:ascii="宋体" w:cs="宋体" w:hAnsi="宋体" w:hint="eastAsia"/>
          <w:color w:val="auto"/>
          <w:sz w:val="24"/>
          <w:szCs w:val="24"/>
        </w:rPr>
        <w:t>5、投标人必须向招标人指定工作负责人，并保证其联系畅通。</w:t>
      </w:r>
    </w:p>
    <w:p>
      <w:pPr>
        <w:pStyle w:val="style0"/>
        <w:snapToGrid w:val="false"/>
        <w:spacing w:after="0" w:lineRule="exact" w:line="520"/>
        <w:ind w:firstLine="480" w:firstLineChars="200"/>
        <w:rPr>
          <w:rFonts w:ascii="宋体" w:cs="宋体" w:hAnsi="宋体" w:hint="eastAsia"/>
          <w:color w:val="auto"/>
          <w:sz w:val="24"/>
          <w:szCs w:val="24"/>
        </w:rPr>
      </w:pPr>
      <w:r>
        <w:rPr>
          <w:rFonts w:ascii="宋体" w:cs="宋体" w:hAnsi="宋体" w:hint="eastAsia"/>
          <w:color w:val="auto"/>
          <w:sz w:val="24"/>
          <w:szCs w:val="24"/>
        </w:rPr>
        <w:t>6、投标人必须严格遵守国家有关法律、法规及执业规范，遵守招标人提出的各项规章制度和廉政纪律等要求。</w:t>
      </w:r>
    </w:p>
    <w:p>
      <w:pPr>
        <w:pStyle w:val="style0"/>
        <w:snapToGrid w:val="false"/>
        <w:spacing w:after="0" w:lineRule="exact" w:line="520"/>
        <w:ind w:firstLine="480" w:firstLineChars="200"/>
        <w:rPr>
          <w:rFonts w:ascii="宋体" w:cs="宋体" w:hAnsi="宋体" w:hint="eastAsia"/>
          <w:color w:val="auto"/>
          <w:sz w:val="24"/>
          <w:szCs w:val="24"/>
        </w:rPr>
      </w:pPr>
      <w:r>
        <w:rPr>
          <w:rFonts w:ascii="宋体" w:cs="宋体" w:hAnsi="宋体" w:hint="eastAsia"/>
          <w:color w:val="auto"/>
          <w:sz w:val="24"/>
          <w:szCs w:val="24"/>
        </w:rPr>
        <w:t>7、合同约定咨询费包含项目合同服务内容、现场勘验、报告成果出具等全部费用，人员差旅费、伙食费等费用不得额外计取。</w:t>
      </w:r>
    </w:p>
    <w:p>
      <w:pPr>
        <w:pStyle w:val="style0"/>
        <w:snapToGrid w:val="false"/>
        <w:spacing w:after="0" w:lineRule="exact" w:line="520"/>
        <w:ind w:firstLine="482" w:firstLineChars="200"/>
        <w:rPr>
          <w:rFonts w:ascii="宋体" w:cs="宋体" w:hAnsi="宋体" w:hint="eastAsia"/>
          <w:b/>
          <w:bCs/>
          <w:color w:val="auto"/>
          <w:sz w:val="24"/>
          <w:szCs w:val="24"/>
        </w:rPr>
      </w:pPr>
      <w:r>
        <w:rPr>
          <w:rFonts w:ascii="宋体" w:cs="宋体" w:hAnsi="宋体" w:hint="eastAsia"/>
          <w:b/>
          <w:bCs/>
          <w:color w:val="auto"/>
          <w:sz w:val="24"/>
          <w:szCs w:val="24"/>
        </w:rPr>
        <w:t>二、业务要求</w:t>
      </w:r>
    </w:p>
    <w:p>
      <w:pPr>
        <w:pStyle w:val="style0"/>
        <w:snapToGrid w:val="false"/>
        <w:spacing w:after="0" w:lineRule="exact" w:line="520"/>
        <w:ind w:firstLine="480" w:firstLineChars="200"/>
        <w:rPr>
          <w:rFonts w:ascii="宋体" w:cs="宋体" w:hAnsi="宋体" w:hint="eastAsia"/>
          <w:color w:val="auto"/>
          <w:sz w:val="24"/>
          <w:szCs w:val="24"/>
        </w:rPr>
      </w:pPr>
      <w:r>
        <w:rPr>
          <w:rFonts w:ascii="宋体" w:cs="宋体" w:hAnsi="宋体" w:hint="eastAsia"/>
          <w:color w:val="auto"/>
          <w:sz w:val="24"/>
          <w:szCs w:val="24"/>
        </w:rPr>
        <w:t>1、</w:t>
      </w:r>
      <w:r>
        <w:rPr>
          <w:rFonts w:ascii="宋体" w:cs="宋体" w:hAnsi="宋体" w:hint="eastAsia"/>
          <w:color w:val="auto"/>
          <w:sz w:val="24"/>
          <w:szCs w:val="24"/>
          <w:lang w:eastAsia="zh-CN"/>
        </w:rPr>
        <w:t>入围</w:t>
      </w:r>
      <w:r>
        <w:rPr>
          <w:rFonts w:ascii="宋体" w:cs="宋体" w:hAnsi="宋体" w:hint="eastAsia"/>
          <w:color w:val="auto"/>
          <w:sz w:val="24"/>
          <w:szCs w:val="24"/>
        </w:rPr>
        <w:t>机构在具体实施业务时要严格按照工程项目委托人委托项目的时间要求，在确保质量的同时，按规定的时间出具编制成果，若因</w:t>
      </w:r>
      <w:r>
        <w:rPr>
          <w:rFonts w:ascii="宋体" w:cs="宋体" w:hAnsi="宋体" w:hint="eastAsia"/>
          <w:color w:val="auto"/>
          <w:sz w:val="24"/>
          <w:szCs w:val="24"/>
          <w:lang w:eastAsia="zh-CN"/>
        </w:rPr>
        <w:t>入围</w:t>
      </w:r>
      <w:r>
        <w:rPr>
          <w:rFonts w:ascii="宋体" w:cs="宋体" w:hAnsi="宋体" w:hint="eastAsia"/>
          <w:color w:val="auto"/>
          <w:sz w:val="24"/>
          <w:szCs w:val="24"/>
        </w:rPr>
        <w:t>机构的原因而未按时完成的，则该项目的编制费用视情况扣减；造价成果超过允许偏差发现一次暂停业务3个月。视错误造成影响大小酌情扣减咨询费。</w:t>
      </w:r>
    </w:p>
    <w:p>
      <w:pPr>
        <w:pStyle w:val="style0"/>
        <w:snapToGrid w:val="false"/>
        <w:spacing w:after="0" w:lineRule="exact" w:line="520"/>
        <w:ind w:firstLine="480" w:firstLineChars="200"/>
        <w:rPr>
          <w:rFonts w:ascii="宋体" w:cs="宋体" w:hAnsi="宋体" w:hint="eastAsia"/>
          <w:color w:val="auto"/>
          <w:sz w:val="24"/>
          <w:szCs w:val="24"/>
        </w:rPr>
      </w:pPr>
      <w:r>
        <w:rPr>
          <w:rFonts w:ascii="宋体" w:cs="宋体" w:hAnsi="宋体" w:hint="eastAsia"/>
          <w:color w:val="auto"/>
          <w:sz w:val="24"/>
          <w:szCs w:val="24"/>
        </w:rPr>
        <w:t>2、因</w:t>
      </w:r>
      <w:r>
        <w:rPr>
          <w:rFonts w:ascii="宋体" w:cs="宋体" w:hAnsi="宋体" w:hint="eastAsia"/>
          <w:color w:val="auto"/>
          <w:sz w:val="24"/>
          <w:szCs w:val="24"/>
          <w:lang w:eastAsia="zh-CN"/>
        </w:rPr>
        <w:t>入围</w:t>
      </w:r>
      <w:r>
        <w:rPr>
          <w:rFonts w:ascii="宋体" w:cs="宋体" w:hAnsi="宋体" w:hint="eastAsia"/>
          <w:color w:val="auto"/>
          <w:sz w:val="24"/>
          <w:szCs w:val="24"/>
        </w:rPr>
        <w:t>机构的过失，给招标人或工程项目委托人造成经济损失的，酌情扣减咨询费，情节严重的，应当依法赔偿。</w:t>
      </w:r>
    </w:p>
    <w:p>
      <w:pPr>
        <w:pStyle w:val="style0"/>
        <w:snapToGrid w:val="false"/>
        <w:spacing w:after="0" w:lineRule="exact" w:line="520"/>
        <w:ind w:firstLine="480" w:firstLineChars="200"/>
        <w:rPr>
          <w:rFonts w:ascii="宋体" w:cs="宋体" w:hAnsi="宋体" w:hint="eastAsia"/>
          <w:color w:val="auto"/>
          <w:sz w:val="24"/>
          <w:szCs w:val="24"/>
        </w:rPr>
      </w:pPr>
      <w:r>
        <w:rPr>
          <w:rFonts w:ascii="宋体" w:cs="宋体" w:hAnsi="宋体" w:hint="eastAsia"/>
          <w:color w:val="auto"/>
          <w:sz w:val="24"/>
          <w:szCs w:val="24"/>
        </w:rPr>
        <w:t>3、</w:t>
      </w:r>
      <w:r>
        <w:rPr>
          <w:rFonts w:ascii="宋体" w:cs="宋体" w:hAnsi="宋体" w:hint="eastAsia"/>
          <w:color w:val="auto"/>
          <w:sz w:val="24"/>
          <w:szCs w:val="24"/>
          <w:lang w:eastAsia="zh-CN"/>
        </w:rPr>
        <w:t>入围</w:t>
      </w:r>
      <w:r>
        <w:rPr>
          <w:rFonts w:ascii="宋体" w:cs="宋体" w:hAnsi="宋体" w:hint="eastAsia"/>
          <w:color w:val="auto"/>
          <w:sz w:val="24"/>
          <w:szCs w:val="24"/>
        </w:rPr>
        <w:t>机构应当遵守职业道德，廉洁从业。如出现使用不正当手段损害委托人利益及吃、拿、卡、要等情况，将扣除咨询费，取消其</w:t>
      </w:r>
      <w:r>
        <w:rPr>
          <w:rFonts w:ascii="宋体" w:cs="宋体" w:hAnsi="宋体" w:hint="eastAsia"/>
          <w:color w:val="auto"/>
          <w:sz w:val="24"/>
          <w:szCs w:val="24"/>
          <w:lang w:eastAsia="zh-CN"/>
        </w:rPr>
        <w:t>入围</w:t>
      </w:r>
      <w:r>
        <w:rPr>
          <w:rFonts w:ascii="宋体" w:cs="宋体" w:hAnsi="宋体" w:hint="eastAsia"/>
          <w:color w:val="auto"/>
          <w:sz w:val="24"/>
          <w:szCs w:val="24"/>
        </w:rPr>
        <w:t>机构资格，并对当事人进行追责。</w:t>
      </w:r>
    </w:p>
    <w:p>
      <w:pPr>
        <w:pStyle w:val="style0"/>
        <w:snapToGrid w:val="false"/>
        <w:spacing w:after="0" w:lineRule="exact" w:line="520"/>
        <w:ind w:firstLine="480" w:firstLineChars="200"/>
        <w:rPr>
          <w:rFonts w:ascii="宋体" w:cs="宋体" w:hAnsi="宋体" w:hint="eastAsia"/>
          <w:color w:val="auto"/>
          <w:sz w:val="24"/>
          <w:szCs w:val="24"/>
        </w:rPr>
      </w:pPr>
      <w:r>
        <w:rPr>
          <w:rFonts w:ascii="宋体" w:cs="宋体" w:hAnsi="宋体" w:hint="eastAsia"/>
          <w:color w:val="auto"/>
          <w:sz w:val="24"/>
          <w:szCs w:val="24"/>
        </w:rPr>
        <w:t>4、应保证招标人获得优先服务的权利，积极主动与招标人配合。招标人保留对</w:t>
      </w:r>
      <w:r>
        <w:rPr>
          <w:rFonts w:ascii="宋体" w:cs="宋体" w:hAnsi="宋体" w:hint="eastAsia"/>
          <w:color w:val="auto"/>
          <w:sz w:val="24"/>
          <w:szCs w:val="24"/>
          <w:lang w:eastAsia="zh-CN"/>
        </w:rPr>
        <w:t>入围</w:t>
      </w:r>
      <w:r>
        <w:rPr>
          <w:rFonts w:ascii="宋体" w:cs="宋体" w:hAnsi="宋体" w:hint="eastAsia"/>
          <w:color w:val="auto"/>
          <w:sz w:val="24"/>
          <w:szCs w:val="24"/>
        </w:rPr>
        <w:t>机构进行考察的权利，如发现</w:t>
      </w:r>
      <w:r>
        <w:rPr>
          <w:rFonts w:ascii="宋体" w:cs="宋体" w:hAnsi="宋体" w:hint="eastAsia"/>
          <w:color w:val="auto"/>
          <w:sz w:val="24"/>
          <w:szCs w:val="24"/>
          <w:lang w:eastAsia="zh-CN"/>
        </w:rPr>
        <w:t>入围</w:t>
      </w:r>
      <w:r>
        <w:rPr>
          <w:rFonts w:ascii="宋体" w:cs="宋体" w:hAnsi="宋体" w:hint="eastAsia"/>
          <w:color w:val="auto"/>
          <w:sz w:val="24"/>
          <w:szCs w:val="24"/>
        </w:rPr>
        <w:t>机构在投标时所提供的各类资格证明及证实性材料存在弄虚作假的情形，招标人有权取消其</w:t>
      </w:r>
      <w:r>
        <w:rPr>
          <w:rFonts w:ascii="宋体" w:cs="宋体" w:hAnsi="宋体" w:hint="eastAsia"/>
          <w:color w:val="auto"/>
          <w:sz w:val="24"/>
          <w:szCs w:val="24"/>
          <w:lang w:eastAsia="zh-CN"/>
        </w:rPr>
        <w:t>入围</w:t>
      </w:r>
      <w:r>
        <w:rPr>
          <w:rFonts w:ascii="宋体" w:cs="宋体" w:hAnsi="宋体" w:hint="eastAsia"/>
          <w:color w:val="auto"/>
          <w:sz w:val="24"/>
          <w:szCs w:val="24"/>
        </w:rPr>
        <w:t>机构资格。</w:t>
      </w:r>
    </w:p>
    <w:p>
      <w:pPr>
        <w:pStyle w:val="style0"/>
        <w:snapToGrid w:val="false"/>
        <w:spacing w:after="0" w:lineRule="exact" w:line="520"/>
        <w:ind w:firstLine="480" w:firstLineChars="200"/>
        <w:rPr>
          <w:rFonts w:ascii="宋体" w:cs="宋体" w:hAnsi="宋体" w:hint="eastAsia"/>
          <w:color w:val="auto"/>
          <w:sz w:val="24"/>
          <w:szCs w:val="24"/>
        </w:rPr>
      </w:pPr>
      <w:r>
        <w:rPr>
          <w:rFonts w:ascii="宋体" w:cs="宋体" w:hAnsi="宋体" w:hint="eastAsia"/>
          <w:color w:val="auto"/>
          <w:sz w:val="24"/>
          <w:szCs w:val="24"/>
        </w:rPr>
        <w:t>5、投标人应提供完善的服务方案，且应承诺，为保障顺利履行服务合同，在接到工程项目委托人通知后48小时内到项目现场提供咨询服务。</w:t>
      </w:r>
    </w:p>
    <w:p>
      <w:pPr>
        <w:pStyle w:val="style0"/>
        <w:keepNext w:val="false"/>
        <w:keepLines w:val="false"/>
        <w:pageBreakBefore w:val="false"/>
        <w:widowControl w:val="false"/>
        <w:kinsoku/>
        <w:wordWrap/>
        <w:overflowPunct/>
        <w:topLinePunct w:val="false"/>
        <w:bidi w:val="false"/>
        <w:snapToGrid w:val="false"/>
        <w:spacing w:after="0" w:lineRule="exact" w:line="500"/>
        <w:ind w:firstLine="480" w:firstLineChars="200"/>
        <w:textAlignment w:val="auto"/>
        <w:rPr>
          <w:rFonts w:ascii="宋体" w:cs="宋体" w:hAnsi="宋体" w:hint="eastAsia"/>
          <w:color w:val="auto"/>
          <w:sz w:val="24"/>
          <w:szCs w:val="24"/>
        </w:rPr>
      </w:pPr>
      <w:r>
        <w:rPr>
          <w:rFonts w:ascii="宋体" w:cs="宋体" w:hAnsi="宋体" w:hint="eastAsia"/>
          <w:color w:val="auto"/>
          <w:sz w:val="24"/>
          <w:szCs w:val="24"/>
        </w:rPr>
        <w:t>6、中标人在履行合同期内，不得泄漏所代理项目工程造价咨询业务有关的保密资料和商业秘密。未经授权人允许，不得和委托人书面授权人之外的其他任何人联系，透露咨询业务的任何资料。若咨询人未遵守该项约定，委托人将追究由此造成的损失并追究其法律责任。</w:t>
      </w:r>
    </w:p>
    <w:p>
      <w:pPr>
        <w:pStyle w:val="style0"/>
        <w:keepNext w:val="false"/>
        <w:keepLines w:val="false"/>
        <w:pageBreakBefore w:val="false"/>
        <w:widowControl w:val="false"/>
        <w:kinsoku/>
        <w:wordWrap/>
        <w:overflowPunct/>
        <w:topLinePunct w:val="false"/>
        <w:bidi w:val="false"/>
        <w:snapToGrid w:val="false"/>
        <w:spacing w:after="0" w:lineRule="exact" w:line="500"/>
        <w:ind w:firstLine="480" w:firstLineChars="200"/>
        <w:textAlignment w:val="auto"/>
        <w:rPr>
          <w:rFonts w:ascii="宋体" w:cs="宋体" w:hAnsi="宋体" w:hint="eastAsia"/>
          <w:color w:val="auto"/>
          <w:sz w:val="24"/>
          <w:szCs w:val="24"/>
        </w:rPr>
      </w:pPr>
      <w:r>
        <w:rPr>
          <w:rFonts w:ascii="宋体" w:cs="宋体" w:hAnsi="宋体" w:hint="eastAsia"/>
          <w:color w:val="auto"/>
          <w:sz w:val="24"/>
          <w:szCs w:val="24"/>
        </w:rPr>
        <w:t>7、投标人在接受委托业务后不得以任何理由拒绝按签订的协议价格或约定的价格履约，如出现此现象，视为违约，直至取消其</w:t>
      </w:r>
      <w:r>
        <w:rPr>
          <w:rFonts w:ascii="宋体" w:cs="宋体" w:hAnsi="宋体" w:hint="eastAsia"/>
          <w:color w:val="auto"/>
          <w:sz w:val="24"/>
          <w:szCs w:val="24"/>
          <w:lang w:eastAsia="zh-CN"/>
        </w:rPr>
        <w:t>入围</w:t>
      </w:r>
      <w:r>
        <w:rPr>
          <w:rFonts w:ascii="宋体" w:cs="宋体" w:hAnsi="宋体" w:hint="eastAsia"/>
          <w:color w:val="auto"/>
          <w:sz w:val="24"/>
          <w:szCs w:val="24"/>
        </w:rPr>
        <w:t>资格。</w:t>
      </w:r>
    </w:p>
    <w:p>
      <w:pPr>
        <w:pStyle w:val="style0"/>
        <w:keepNext w:val="false"/>
        <w:keepLines w:val="false"/>
        <w:pageBreakBefore w:val="false"/>
        <w:widowControl w:val="false"/>
        <w:kinsoku/>
        <w:wordWrap/>
        <w:overflowPunct/>
        <w:topLinePunct w:val="false"/>
        <w:bidi w:val="false"/>
        <w:snapToGrid w:val="false"/>
        <w:spacing w:after="0" w:lineRule="exact" w:line="500"/>
        <w:ind w:firstLine="480" w:firstLineChars="200"/>
        <w:textAlignment w:val="auto"/>
        <w:rPr>
          <w:rFonts w:ascii="宋体" w:cs="宋体" w:hAnsi="宋体" w:hint="eastAsia"/>
          <w:color w:val="auto"/>
          <w:sz w:val="24"/>
          <w:szCs w:val="24"/>
        </w:rPr>
      </w:pPr>
      <w:r>
        <w:rPr>
          <w:rFonts w:ascii="宋体" w:cs="宋体" w:hAnsi="宋体" w:hint="eastAsia"/>
          <w:color w:val="auto"/>
          <w:sz w:val="24"/>
          <w:szCs w:val="24"/>
        </w:rPr>
        <w:t>8、投标人应完全响应招标内容及</w:t>
      </w:r>
      <w:r>
        <w:rPr>
          <w:rFonts w:ascii="宋体" w:cs="宋体" w:hAnsi="宋体" w:hint="eastAsia"/>
          <w:color w:val="auto"/>
          <w:sz w:val="24"/>
          <w:szCs w:val="24"/>
          <w:lang w:eastAsia="zh-CN"/>
        </w:rPr>
        <w:t>磋商文件</w:t>
      </w:r>
      <w:r>
        <w:rPr>
          <w:rFonts w:ascii="宋体" w:cs="宋体" w:hAnsi="宋体" w:hint="eastAsia"/>
          <w:color w:val="auto"/>
          <w:sz w:val="24"/>
          <w:szCs w:val="24"/>
        </w:rPr>
        <w:t>要求，否则视为无效投标。</w:t>
      </w:r>
    </w:p>
    <w:p>
      <w:pPr>
        <w:pStyle w:val="style0"/>
        <w:keepNext w:val="false"/>
        <w:keepLines w:val="false"/>
        <w:pageBreakBefore w:val="false"/>
        <w:widowControl w:val="false"/>
        <w:kinsoku/>
        <w:wordWrap/>
        <w:overflowPunct/>
        <w:topLinePunct w:val="false"/>
        <w:bidi w:val="false"/>
        <w:snapToGrid w:val="false"/>
        <w:spacing w:after="0" w:lineRule="exact" w:line="500"/>
        <w:ind w:firstLine="482" w:firstLineChars="200"/>
        <w:textAlignment w:val="auto"/>
        <w:rPr>
          <w:rFonts w:ascii="宋体" w:cs="宋体" w:hAnsi="宋体" w:hint="eastAsia"/>
          <w:b/>
          <w:bCs/>
          <w:color w:val="auto"/>
          <w:sz w:val="24"/>
          <w:szCs w:val="24"/>
        </w:rPr>
      </w:pPr>
      <w:r>
        <w:rPr>
          <w:rFonts w:ascii="宋体" w:cs="宋体" w:hAnsi="宋体" w:hint="eastAsia"/>
          <w:b/>
          <w:bCs/>
          <w:color w:val="auto"/>
          <w:sz w:val="24"/>
          <w:szCs w:val="24"/>
        </w:rPr>
        <w:t>以上要求必须满足，且须做出详细的说明及承诺，否则视为无效投标。</w:t>
      </w:r>
    </w:p>
    <w:p>
      <w:pPr>
        <w:pStyle w:val="style0"/>
        <w:snapToGrid w:val="false"/>
        <w:spacing w:after="0" w:lineRule="exact" w:line="520"/>
        <w:ind w:firstLine="482" w:firstLineChars="200"/>
        <w:rPr>
          <w:rFonts w:ascii="宋体" w:cs="宋体" w:eastAsia="宋体" w:hAnsi="宋体" w:hint="default"/>
          <w:color w:val="auto"/>
          <w:sz w:val="24"/>
          <w:szCs w:val="24"/>
          <w:lang w:val="en-US" w:eastAsia="zh-CN"/>
        </w:rPr>
      </w:pPr>
      <w:r>
        <w:rPr>
          <w:rFonts w:ascii="宋体" w:cs="宋体" w:eastAsia="宋体" w:hAnsi="宋体" w:hint="eastAsia"/>
          <w:b/>
          <w:bCs/>
          <w:color w:val="auto"/>
          <w:sz w:val="24"/>
          <w:szCs w:val="24"/>
          <w:lang w:val="en-US" w:eastAsia="zh-CN"/>
        </w:rPr>
        <w:t>2.1.2</w:t>
      </w:r>
      <w:r>
        <w:rPr>
          <w:rFonts w:ascii="宋体" w:cs="宋体" w:eastAsia="宋体" w:hAnsi="宋体" w:hint="eastAsia"/>
          <w:color w:val="auto"/>
          <w:sz w:val="24"/>
          <w:szCs w:val="24"/>
          <w:lang w:val="en-US" w:eastAsia="zh-CN"/>
        </w:rPr>
        <w:t>二包：</w:t>
      </w:r>
    </w:p>
    <w:p>
      <w:pPr>
        <w:pStyle w:val="style0"/>
        <w:snapToGrid w:val="false"/>
        <w:spacing w:after="0" w:lineRule="exact" w:line="520"/>
        <w:ind w:firstLine="480" w:firstLineChars="200"/>
        <w:rPr>
          <w:rFonts w:ascii="宋体" w:cs="宋体" w:eastAsia="宋体" w:hAnsi="宋体" w:hint="eastAsia"/>
          <w:color w:val="auto"/>
          <w:sz w:val="24"/>
          <w:szCs w:val="24"/>
          <w:lang w:val="en-US" w:eastAsia="zh-CN"/>
        </w:rPr>
      </w:pPr>
      <w:r>
        <w:rPr>
          <w:rFonts w:ascii="宋体" w:cs="宋体" w:eastAsia="宋体" w:hAnsi="宋体" w:hint="eastAsia"/>
          <w:color w:val="auto"/>
          <w:sz w:val="24"/>
          <w:szCs w:val="24"/>
          <w:lang w:val="en-US" w:eastAsia="zh-CN"/>
        </w:rPr>
        <w:t>一、审计业务要求</w:t>
      </w:r>
    </w:p>
    <w:p>
      <w:pPr>
        <w:pStyle w:val="style0"/>
        <w:snapToGrid w:val="false"/>
        <w:spacing w:after="0" w:lineRule="exact" w:line="520"/>
        <w:ind w:firstLine="480" w:firstLineChars="200"/>
        <w:rPr>
          <w:rFonts w:ascii="宋体" w:cs="宋体" w:eastAsia="宋体" w:hAnsi="宋体" w:hint="eastAsia"/>
          <w:color w:val="auto"/>
          <w:sz w:val="24"/>
          <w:szCs w:val="24"/>
          <w:lang w:val="en-US" w:eastAsia="zh-CN"/>
        </w:rPr>
      </w:pPr>
      <w:r>
        <w:rPr>
          <w:rFonts w:ascii="宋体" w:cs="宋体" w:eastAsia="宋体" w:hAnsi="宋体" w:hint="eastAsia"/>
          <w:color w:val="auto"/>
          <w:sz w:val="24"/>
          <w:szCs w:val="24"/>
          <w:lang w:val="en-US" w:eastAsia="zh-CN"/>
        </w:rPr>
        <w:t>1、投标人必须有足够的人力、物力等资源，保证在规定的时间内，严格按照院方审计工作要求，按业务约定书保质保量完成审计服务工作。若因中标人的原因而未按时完成的，则扣除该项目的服务费用。</w:t>
      </w:r>
    </w:p>
    <w:p>
      <w:pPr>
        <w:pStyle w:val="style0"/>
        <w:snapToGrid w:val="false"/>
        <w:spacing w:after="0" w:lineRule="exact" w:line="520"/>
        <w:ind w:firstLine="480" w:firstLineChars="200"/>
        <w:rPr>
          <w:rFonts w:ascii="宋体" w:cs="宋体" w:eastAsia="宋体" w:hAnsi="宋体" w:hint="eastAsia"/>
          <w:color w:val="auto"/>
          <w:sz w:val="24"/>
          <w:szCs w:val="24"/>
          <w:lang w:val="en-US" w:eastAsia="zh-CN"/>
        </w:rPr>
      </w:pPr>
      <w:r>
        <w:rPr>
          <w:rFonts w:ascii="宋体" w:cs="宋体" w:eastAsia="宋体" w:hAnsi="宋体" w:hint="eastAsia"/>
          <w:color w:val="auto"/>
          <w:sz w:val="24"/>
          <w:szCs w:val="24"/>
          <w:lang w:val="en-US" w:eastAsia="zh-CN"/>
        </w:rPr>
        <w:t>2、投标人应具备相应的专业人员，拟派人员至少有1人注册会计师为安阳市本地服务人员，提供供应商在安阳为其缴纳社会保险的证明材料，应提供拟安排参加本项目的注册会计师及相关技术人员名单，拟派人员未经采购人允许不得随意更换，否则采购人有权终止合同。满足委托人对年度报表审计、完工项目财务决算审计、食堂审计（或其它外包服务审计）、内部控制审计、招投标规范性审计、财务收支审计、专项资金审计等工作要求。</w:t>
      </w:r>
    </w:p>
    <w:p>
      <w:pPr>
        <w:pStyle w:val="style0"/>
        <w:snapToGrid w:val="false"/>
        <w:spacing w:after="0" w:lineRule="exact" w:line="520"/>
        <w:ind w:firstLine="480" w:firstLineChars="200"/>
        <w:rPr>
          <w:rFonts w:ascii="宋体" w:cs="宋体" w:eastAsia="宋体" w:hAnsi="宋体" w:hint="eastAsia"/>
          <w:color w:val="auto"/>
          <w:sz w:val="24"/>
          <w:szCs w:val="24"/>
          <w:lang w:val="en-US" w:eastAsia="zh-CN"/>
        </w:rPr>
      </w:pPr>
      <w:r>
        <w:rPr>
          <w:rFonts w:ascii="宋体" w:cs="宋体" w:eastAsia="宋体" w:hAnsi="宋体" w:hint="eastAsia"/>
          <w:color w:val="auto"/>
          <w:sz w:val="24"/>
          <w:szCs w:val="24"/>
          <w:lang w:val="en-US" w:eastAsia="zh-CN"/>
        </w:rPr>
        <w:t>3、投标人应有健全的组织机构，具备完善的内部管理制度和职业风险防范机制，有良好的执业信誉。</w:t>
      </w:r>
    </w:p>
    <w:p>
      <w:pPr>
        <w:pStyle w:val="style0"/>
        <w:snapToGrid w:val="false"/>
        <w:spacing w:after="0" w:lineRule="exact" w:line="520"/>
        <w:ind w:firstLine="480" w:firstLineChars="200"/>
        <w:rPr>
          <w:rFonts w:ascii="宋体" w:cs="宋体" w:eastAsia="宋体" w:hAnsi="宋体" w:hint="eastAsia"/>
          <w:color w:val="auto"/>
          <w:sz w:val="24"/>
          <w:szCs w:val="24"/>
          <w:lang w:val="en-US" w:eastAsia="zh-CN"/>
        </w:rPr>
      </w:pPr>
      <w:r>
        <w:rPr>
          <w:rFonts w:ascii="宋体" w:cs="宋体" w:eastAsia="宋体" w:hAnsi="宋体" w:hint="eastAsia"/>
          <w:color w:val="auto"/>
          <w:sz w:val="24"/>
          <w:szCs w:val="24"/>
          <w:lang w:val="en-US" w:eastAsia="zh-CN"/>
        </w:rPr>
        <w:t>4、项目负责人必须具有较强的业务能力和协调组织能力，协调解决参审所与被审计单位经协商仍无法解决的审计业务问题。</w:t>
      </w:r>
    </w:p>
    <w:p>
      <w:pPr>
        <w:pStyle w:val="style0"/>
        <w:snapToGrid w:val="false"/>
        <w:spacing w:after="0" w:lineRule="exact" w:line="520"/>
        <w:ind w:firstLine="480" w:firstLineChars="200"/>
        <w:rPr>
          <w:rFonts w:ascii="宋体" w:cs="宋体" w:eastAsia="宋体" w:hAnsi="宋体" w:hint="eastAsia"/>
          <w:color w:val="auto"/>
          <w:sz w:val="24"/>
          <w:szCs w:val="24"/>
          <w:lang w:val="en-US" w:eastAsia="zh-CN"/>
        </w:rPr>
      </w:pPr>
      <w:r>
        <w:rPr>
          <w:rFonts w:ascii="宋体" w:cs="宋体" w:eastAsia="宋体" w:hAnsi="宋体" w:hint="eastAsia"/>
          <w:color w:val="auto"/>
          <w:sz w:val="24"/>
          <w:szCs w:val="24"/>
          <w:lang w:val="en-US" w:eastAsia="zh-CN"/>
        </w:rPr>
        <w:t>5、投标人如中标，必须独立完成招标人委托的审计工作，不得转让给第三方完成。</w:t>
      </w:r>
    </w:p>
    <w:p>
      <w:pPr>
        <w:pStyle w:val="style0"/>
        <w:snapToGrid w:val="false"/>
        <w:spacing w:after="0" w:lineRule="exact" w:line="520"/>
        <w:ind w:firstLine="480" w:firstLineChars="200"/>
        <w:rPr>
          <w:rFonts w:ascii="宋体" w:cs="宋体" w:eastAsia="宋体" w:hAnsi="宋体" w:hint="eastAsia"/>
          <w:color w:val="auto"/>
          <w:sz w:val="24"/>
          <w:szCs w:val="24"/>
          <w:lang w:val="en-US" w:eastAsia="zh-CN"/>
        </w:rPr>
      </w:pPr>
      <w:r>
        <w:rPr>
          <w:rFonts w:ascii="宋体" w:cs="宋体" w:eastAsia="宋体" w:hAnsi="宋体" w:hint="eastAsia"/>
          <w:color w:val="auto"/>
          <w:sz w:val="24"/>
          <w:szCs w:val="24"/>
          <w:lang w:val="en-US" w:eastAsia="zh-CN"/>
        </w:rPr>
        <w:t>6、投标人必须严格遵守国家有关法律法规、中国注册会计师执业准则及职业道德规范，并遵守院方的各项规章制度。</w:t>
      </w:r>
    </w:p>
    <w:p>
      <w:pPr>
        <w:pStyle w:val="style0"/>
        <w:snapToGrid w:val="false"/>
        <w:spacing w:after="0" w:lineRule="exact" w:line="520"/>
        <w:ind w:firstLine="480" w:firstLineChars="200"/>
        <w:rPr>
          <w:rFonts w:ascii="宋体" w:cs="宋体" w:eastAsia="宋体" w:hAnsi="宋体" w:hint="eastAsia"/>
          <w:color w:val="auto"/>
          <w:sz w:val="24"/>
          <w:szCs w:val="24"/>
          <w:lang w:val="en-US" w:eastAsia="zh-CN"/>
        </w:rPr>
      </w:pPr>
      <w:r>
        <w:rPr>
          <w:rFonts w:ascii="宋体" w:cs="宋体" w:eastAsia="宋体" w:hAnsi="宋体" w:hint="eastAsia"/>
          <w:color w:val="auto"/>
          <w:sz w:val="24"/>
          <w:szCs w:val="24"/>
          <w:lang w:val="en-US" w:eastAsia="zh-CN"/>
        </w:rPr>
        <w:t>7、合同约定咨询费包含项目合同服务内容、现场勘验、报告出具等全部费用，审计人员差旅费、伙食费等费用不得额外计取。</w:t>
      </w:r>
    </w:p>
    <w:p>
      <w:pPr>
        <w:pStyle w:val="style0"/>
        <w:snapToGrid w:val="false"/>
        <w:spacing w:after="0" w:lineRule="exact" w:line="520"/>
        <w:ind w:firstLine="480" w:firstLineChars="200"/>
        <w:rPr>
          <w:rFonts w:ascii="宋体" w:cs="宋体" w:eastAsia="宋体" w:hAnsi="宋体" w:hint="eastAsia"/>
          <w:color w:val="auto"/>
          <w:sz w:val="24"/>
          <w:szCs w:val="24"/>
          <w:lang w:val="en-US" w:eastAsia="zh-CN"/>
        </w:rPr>
      </w:pPr>
      <w:r>
        <w:rPr>
          <w:rFonts w:ascii="宋体" w:cs="宋体" w:eastAsia="宋体" w:hAnsi="宋体" w:hint="eastAsia"/>
          <w:color w:val="auto"/>
          <w:sz w:val="24"/>
          <w:szCs w:val="24"/>
          <w:lang w:val="en-US" w:eastAsia="zh-CN"/>
        </w:rPr>
        <w:t>二、招标人其他要求</w:t>
      </w:r>
    </w:p>
    <w:p>
      <w:pPr>
        <w:pStyle w:val="style0"/>
        <w:snapToGrid w:val="false"/>
        <w:spacing w:after="0" w:lineRule="exact" w:line="520"/>
        <w:ind w:firstLine="480" w:firstLineChars="200"/>
        <w:rPr>
          <w:rFonts w:ascii="宋体" w:cs="宋体" w:eastAsia="宋体" w:hAnsi="宋体" w:hint="eastAsia"/>
          <w:color w:val="auto"/>
          <w:sz w:val="24"/>
          <w:szCs w:val="24"/>
          <w:lang w:val="en-US" w:eastAsia="zh-CN"/>
        </w:rPr>
      </w:pPr>
      <w:r>
        <w:rPr>
          <w:rFonts w:ascii="宋体" w:cs="宋体" w:eastAsia="宋体" w:hAnsi="宋体" w:hint="eastAsia"/>
          <w:color w:val="auto"/>
          <w:sz w:val="24"/>
          <w:szCs w:val="24"/>
          <w:lang w:val="en-US" w:eastAsia="zh-CN"/>
        </w:rPr>
        <w:t>1、投标人必须承诺拟派本项目的项目负责人，全程参与审计工作，否则其投标将被拒绝。</w:t>
      </w:r>
    </w:p>
    <w:p>
      <w:pPr>
        <w:pStyle w:val="style0"/>
        <w:snapToGrid w:val="false"/>
        <w:spacing w:after="0" w:lineRule="exact" w:line="520"/>
        <w:ind w:firstLine="480" w:firstLineChars="200"/>
        <w:rPr>
          <w:rFonts w:ascii="宋体" w:cs="宋体" w:eastAsia="宋体" w:hAnsi="宋体" w:hint="eastAsia"/>
          <w:color w:val="auto"/>
          <w:sz w:val="24"/>
          <w:szCs w:val="24"/>
          <w:lang w:val="en-US" w:eastAsia="zh-CN"/>
        </w:rPr>
      </w:pPr>
      <w:r>
        <w:rPr>
          <w:rFonts w:ascii="宋体" w:cs="宋体" w:eastAsia="宋体" w:hAnsi="宋体" w:hint="eastAsia"/>
          <w:color w:val="auto"/>
          <w:sz w:val="24"/>
          <w:szCs w:val="24"/>
          <w:lang w:val="en-US" w:eastAsia="zh-CN"/>
        </w:rPr>
        <w:t>2、投标人应承诺在审计服务期限间，拟安排参加本项目的注册会计师在未经招标人同意的情况下，不得更换。</w:t>
      </w:r>
    </w:p>
    <w:p>
      <w:pPr>
        <w:pStyle w:val="style0"/>
        <w:snapToGrid w:val="false"/>
        <w:spacing w:after="0" w:lineRule="exact" w:line="520"/>
        <w:ind w:firstLine="480" w:firstLineChars="200"/>
        <w:rPr>
          <w:rFonts w:ascii="宋体" w:cs="宋体" w:eastAsia="宋体" w:hAnsi="宋体" w:hint="eastAsia"/>
          <w:color w:val="auto"/>
          <w:sz w:val="24"/>
          <w:szCs w:val="24"/>
          <w:lang w:val="en-US" w:eastAsia="zh-CN"/>
        </w:rPr>
      </w:pPr>
      <w:r>
        <w:rPr>
          <w:rFonts w:ascii="宋体" w:cs="宋体" w:eastAsia="宋体" w:hAnsi="宋体" w:hint="eastAsia"/>
          <w:color w:val="auto"/>
          <w:sz w:val="24"/>
          <w:szCs w:val="24"/>
          <w:lang w:val="en-US" w:eastAsia="zh-CN"/>
        </w:rPr>
        <w:t>3、</w:t>
      </w:r>
      <w:r>
        <w:rPr>
          <w:rFonts w:ascii="宋体" w:cs="宋体" w:hAnsi="宋体" w:hint="eastAsia"/>
          <w:color w:val="auto"/>
          <w:sz w:val="24"/>
          <w:szCs w:val="24"/>
          <w:lang w:val="en-US" w:eastAsia="zh-CN"/>
        </w:rPr>
        <w:t>入围</w:t>
      </w:r>
      <w:r>
        <w:rPr>
          <w:rFonts w:ascii="宋体" w:cs="宋体" w:eastAsia="宋体" w:hAnsi="宋体" w:hint="eastAsia"/>
          <w:color w:val="auto"/>
          <w:sz w:val="24"/>
          <w:szCs w:val="24"/>
          <w:lang w:val="en-US" w:eastAsia="zh-CN"/>
        </w:rPr>
        <w:t>机构在具体实施业务时要严格按照工程项目委托人委托项目的时间要求，在确保质量的同时，按规定的时间出具编制成果，若因</w:t>
      </w:r>
      <w:r>
        <w:rPr>
          <w:rFonts w:ascii="宋体" w:cs="宋体" w:hAnsi="宋体" w:hint="eastAsia"/>
          <w:color w:val="auto"/>
          <w:sz w:val="24"/>
          <w:szCs w:val="24"/>
          <w:lang w:val="en-US" w:eastAsia="zh-CN"/>
        </w:rPr>
        <w:t>入围</w:t>
      </w:r>
      <w:r>
        <w:rPr>
          <w:rFonts w:ascii="宋体" w:cs="宋体" w:eastAsia="宋体" w:hAnsi="宋体" w:hint="eastAsia"/>
          <w:color w:val="auto"/>
          <w:sz w:val="24"/>
          <w:szCs w:val="24"/>
          <w:lang w:val="en-US" w:eastAsia="zh-CN"/>
        </w:rPr>
        <w:t>机构的原因而未按时完成的，则扣除该项目的编制费用；审计成果发现错误一次停业3个月，视错误造成影响大小酌情扣减咨询费。</w:t>
      </w:r>
    </w:p>
    <w:p>
      <w:pPr>
        <w:pStyle w:val="style0"/>
        <w:snapToGrid w:val="false"/>
        <w:spacing w:after="0" w:lineRule="exact" w:line="520"/>
        <w:ind w:firstLine="480" w:firstLineChars="200"/>
        <w:rPr>
          <w:rFonts w:ascii="宋体" w:cs="宋体" w:eastAsia="宋体" w:hAnsi="宋体" w:hint="eastAsia"/>
          <w:color w:val="auto"/>
          <w:sz w:val="24"/>
          <w:szCs w:val="24"/>
          <w:lang w:val="en-US" w:eastAsia="zh-CN"/>
        </w:rPr>
      </w:pPr>
      <w:r>
        <w:rPr>
          <w:rFonts w:ascii="宋体" w:cs="宋体" w:eastAsia="宋体" w:hAnsi="宋体" w:hint="eastAsia"/>
          <w:color w:val="auto"/>
          <w:sz w:val="24"/>
          <w:szCs w:val="24"/>
          <w:lang w:val="en-US" w:eastAsia="zh-CN"/>
        </w:rPr>
        <w:t>4、因</w:t>
      </w:r>
      <w:r>
        <w:rPr>
          <w:rFonts w:ascii="宋体" w:cs="宋体" w:hAnsi="宋体" w:hint="eastAsia"/>
          <w:color w:val="auto"/>
          <w:sz w:val="24"/>
          <w:szCs w:val="24"/>
          <w:lang w:val="en-US" w:eastAsia="zh-CN"/>
        </w:rPr>
        <w:t>入围</w:t>
      </w:r>
      <w:r>
        <w:rPr>
          <w:rFonts w:ascii="宋体" w:cs="宋体" w:eastAsia="宋体" w:hAnsi="宋体" w:hint="eastAsia"/>
          <w:color w:val="auto"/>
          <w:sz w:val="24"/>
          <w:szCs w:val="24"/>
          <w:lang w:val="en-US" w:eastAsia="zh-CN"/>
        </w:rPr>
        <w:t>机构的过失，给招标人或工程项目委托人造成经济损失的，酌情扣减咨询费，情节严重的，应当依法赔偿。</w:t>
      </w:r>
    </w:p>
    <w:p>
      <w:pPr>
        <w:pStyle w:val="style0"/>
        <w:snapToGrid w:val="false"/>
        <w:spacing w:after="0" w:lineRule="exact" w:line="520"/>
        <w:ind w:firstLine="480" w:firstLineChars="200"/>
        <w:rPr>
          <w:rFonts w:ascii="宋体" w:cs="宋体" w:eastAsia="宋体" w:hAnsi="宋体" w:hint="eastAsia"/>
          <w:color w:val="auto"/>
          <w:sz w:val="24"/>
          <w:szCs w:val="24"/>
          <w:lang w:val="en-US" w:eastAsia="zh-CN"/>
        </w:rPr>
      </w:pPr>
      <w:r>
        <w:rPr>
          <w:rFonts w:ascii="宋体" w:cs="宋体" w:eastAsia="宋体" w:hAnsi="宋体" w:hint="eastAsia"/>
          <w:color w:val="auto"/>
          <w:sz w:val="24"/>
          <w:szCs w:val="24"/>
          <w:lang w:val="en-US" w:eastAsia="zh-CN"/>
        </w:rPr>
        <w:t>5、</w:t>
      </w:r>
      <w:r>
        <w:rPr>
          <w:rFonts w:ascii="宋体" w:cs="宋体" w:hAnsi="宋体" w:hint="eastAsia"/>
          <w:color w:val="auto"/>
          <w:sz w:val="24"/>
          <w:szCs w:val="24"/>
          <w:lang w:val="en-US" w:eastAsia="zh-CN"/>
        </w:rPr>
        <w:t>入围</w:t>
      </w:r>
      <w:r>
        <w:rPr>
          <w:rFonts w:ascii="宋体" w:cs="宋体" w:eastAsia="宋体" w:hAnsi="宋体" w:hint="eastAsia"/>
          <w:color w:val="auto"/>
          <w:sz w:val="24"/>
          <w:szCs w:val="24"/>
          <w:lang w:val="en-US" w:eastAsia="zh-CN"/>
        </w:rPr>
        <w:t>机构应当遵守职业道德，廉洁从业。如出现使用不正当手段损害委托人利益及吃、拿、卡、要等情况，将扣除咨询费，取消其</w:t>
      </w:r>
      <w:r>
        <w:rPr>
          <w:rFonts w:ascii="宋体" w:cs="宋体" w:hAnsi="宋体" w:hint="eastAsia"/>
          <w:color w:val="auto"/>
          <w:sz w:val="24"/>
          <w:szCs w:val="24"/>
          <w:lang w:val="en-US" w:eastAsia="zh-CN"/>
        </w:rPr>
        <w:t>入围</w:t>
      </w:r>
      <w:r>
        <w:rPr>
          <w:rFonts w:ascii="宋体" w:cs="宋体" w:eastAsia="宋体" w:hAnsi="宋体" w:hint="eastAsia"/>
          <w:color w:val="auto"/>
          <w:sz w:val="24"/>
          <w:szCs w:val="24"/>
          <w:lang w:val="en-US" w:eastAsia="zh-CN"/>
        </w:rPr>
        <w:t>机构资格，并对当事人进行追责。</w:t>
      </w:r>
    </w:p>
    <w:p>
      <w:pPr>
        <w:pStyle w:val="style0"/>
        <w:snapToGrid w:val="false"/>
        <w:spacing w:after="0" w:lineRule="exact" w:line="520"/>
        <w:ind w:firstLine="480" w:firstLineChars="200"/>
        <w:rPr>
          <w:rFonts w:ascii="宋体" w:cs="宋体" w:eastAsia="宋体" w:hAnsi="宋体" w:hint="eastAsia"/>
          <w:color w:val="auto"/>
          <w:sz w:val="24"/>
          <w:szCs w:val="24"/>
          <w:lang w:val="en-US" w:eastAsia="zh-CN"/>
        </w:rPr>
      </w:pPr>
      <w:r>
        <w:rPr>
          <w:rFonts w:ascii="宋体" w:cs="宋体" w:eastAsia="宋体" w:hAnsi="宋体" w:hint="eastAsia"/>
          <w:color w:val="auto"/>
          <w:sz w:val="24"/>
          <w:szCs w:val="24"/>
          <w:lang w:val="en-US" w:eastAsia="zh-CN"/>
        </w:rPr>
        <w:t>6、中标人在履行合同期内，不得泄漏所代理项目工程造价咨询业务有关的保密资料和商业秘密。未经授权人允许，不得和委托人书面授权人之外的其他任何人联系，透露咨询业务的任何资料。若咨询人未遵守该项约定，委托人将追究由此造成的损失并追究其法律责任。</w:t>
      </w:r>
    </w:p>
    <w:p>
      <w:pPr>
        <w:pStyle w:val="style0"/>
        <w:snapToGrid w:val="false"/>
        <w:spacing w:after="0" w:lineRule="exact" w:line="520"/>
        <w:ind w:firstLine="480" w:firstLineChars="200"/>
        <w:rPr>
          <w:rFonts w:ascii="宋体" w:cs="宋体" w:eastAsia="宋体" w:hAnsi="宋体" w:hint="eastAsia"/>
          <w:color w:val="auto"/>
          <w:sz w:val="24"/>
          <w:szCs w:val="24"/>
          <w:lang w:val="en-US" w:eastAsia="zh-CN"/>
        </w:rPr>
      </w:pPr>
      <w:r>
        <w:rPr>
          <w:rFonts w:ascii="宋体" w:cs="宋体" w:eastAsia="宋体" w:hAnsi="宋体" w:hint="eastAsia"/>
          <w:color w:val="auto"/>
          <w:sz w:val="24"/>
          <w:szCs w:val="24"/>
          <w:lang w:val="en-US" w:eastAsia="zh-CN"/>
        </w:rPr>
        <w:t>7、投标人在接受委托业务后不得以任何理由拒绝按签订的协议价格或约定的价格履约，如出现此现象，视为违约，直至取消其</w:t>
      </w:r>
      <w:r>
        <w:rPr>
          <w:rFonts w:ascii="宋体" w:cs="宋体" w:hAnsi="宋体" w:hint="eastAsia"/>
          <w:color w:val="auto"/>
          <w:sz w:val="24"/>
          <w:szCs w:val="24"/>
          <w:lang w:val="en-US" w:eastAsia="zh-CN"/>
        </w:rPr>
        <w:t>入围</w:t>
      </w:r>
      <w:r>
        <w:rPr>
          <w:rFonts w:ascii="宋体" w:cs="宋体" w:eastAsia="宋体" w:hAnsi="宋体" w:hint="eastAsia"/>
          <w:color w:val="auto"/>
          <w:sz w:val="24"/>
          <w:szCs w:val="24"/>
          <w:lang w:val="en-US" w:eastAsia="zh-CN"/>
        </w:rPr>
        <w:t>资格。</w:t>
      </w:r>
    </w:p>
    <w:p>
      <w:pPr>
        <w:pStyle w:val="style0"/>
        <w:snapToGrid w:val="false"/>
        <w:spacing w:after="0" w:lineRule="exact" w:line="520"/>
        <w:ind w:firstLine="480" w:firstLineChars="200"/>
        <w:rPr>
          <w:rFonts w:ascii="宋体" w:cs="宋体" w:eastAsia="宋体" w:hAnsi="宋体" w:hint="eastAsia"/>
          <w:color w:val="auto"/>
          <w:sz w:val="24"/>
          <w:szCs w:val="24"/>
          <w:lang w:val="en-US" w:eastAsia="zh-CN"/>
        </w:rPr>
      </w:pPr>
      <w:r>
        <w:rPr>
          <w:rFonts w:ascii="宋体" w:cs="宋体" w:eastAsia="宋体" w:hAnsi="宋体" w:hint="eastAsia"/>
          <w:color w:val="auto"/>
          <w:sz w:val="24"/>
          <w:szCs w:val="24"/>
          <w:lang w:val="en-US" w:eastAsia="zh-CN"/>
        </w:rPr>
        <w:t>8、招标人保留对</w:t>
      </w:r>
      <w:r>
        <w:rPr>
          <w:rFonts w:ascii="宋体" w:cs="宋体" w:hAnsi="宋体" w:hint="eastAsia"/>
          <w:color w:val="auto"/>
          <w:sz w:val="24"/>
          <w:szCs w:val="24"/>
          <w:lang w:val="en-US" w:eastAsia="zh-CN"/>
        </w:rPr>
        <w:t>入围</w:t>
      </w:r>
      <w:r>
        <w:rPr>
          <w:rFonts w:ascii="宋体" w:cs="宋体" w:eastAsia="宋体" w:hAnsi="宋体" w:hint="eastAsia"/>
          <w:color w:val="auto"/>
          <w:sz w:val="24"/>
          <w:szCs w:val="24"/>
          <w:lang w:val="en-US" w:eastAsia="zh-CN"/>
        </w:rPr>
        <w:t>机构进行考察的权利，如发现</w:t>
      </w:r>
      <w:r>
        <w:rPr>
          <w:rFonts w:ascii="宋体" w:cs="宋体" w:hAnsi="宋体" w:hint="eastAsia"/>
          <w:color w:val="auto"/>
          <w:sz w:val="24"/>
          <w:szCs w:val="24"/>
          <w:lang w:val="en-US" w:eastAsia="zh-CN"/>
        </w:rPr>
        <w:t>入围</w:t>
      </w:r>
      <w:r>
        <w:rPr>
          <w:rFonts w:ascii="宋体" w:cs="宋体" w:eastAsia="宋体" w:hAnsi="宋体" w:hint="eastAsia"/>
          <w:color w:val="auto"/>
          <w:sz w:val="24"/>
          <w:szCs w:val="24"/>
          <w:lang w:val="en-US" w:eastAsia="zh-CN"/>
        </w:rPr>
        <w:t>机构在投标时所提供的各类资格证明及证实性材料存在弄虚作假的情形，招标人有权取消其</w:t>
      </w:r>
      <w:r>
        <w:rPr>
          <w:rFonts w:ascii="宋体" w:cs="宋体" w:hAnsi="宋体" w:hint="eastAsia"/>
          <w:color w:val="auto"/>
          <w:sz w:val="24"/>
          <w:szCs w:val="24"/>
          <w:lang w:val="en-US" w:eastAsia="zh-CN"/>
        </w:rPr>
        <w:t>入围</w:t>
      </w:r>
      <w:r>
        <w:rPr>
          <w:rFonts w:ascii="宋体" w:cs="宋体" w:eastAsia="宋体" w:hAnsi="宋体" w:hint="eastAsia"/>
          <w:color w:val="auto"/>
          <w:sz w:val="24"/>
          <w:szCs w:val="24"/>
          <w:lang w:val="en-US" w:eastAsia="zh-CN"/>
        </w:rPr>
        <w:t>机构资格。</w:t>
      </w:r>
    </w:p>
    <w:p>
      <w:pPr>
        <w:pStyle w:val="style0"/>
        <w:snapToGrid w:val="false"/>
        <w:spacing w:after="0" w:lineRule="exact" w:line="520"/>
        <w:ind w:firstLine="480" w:firstLineChars="200"/>
        <w:rPr>
          <w:rFonts w:ascii="宋体" w:cs="宋体" w:eastAsia="宋体" w:hAnsi="宋体" w:hint="eastAsia"/>
          <w:color w:val="auto"/>
          <w:sz w:val="24"/>
          <w:szCs w:val="24"/>
          <w:lang w:val="en-US" w:eastAsia="zh-CN"/>
        </w:rPr>
      </w:pPr>
      <w:r>
        <w:rPr>
          <w:rFonts w:ascii="宋体" w:cs="宋体" w:eastAsia="宋体" w:hAnsi="宋体" w:hint="eastAsia"/>
          <w:color w:val="auto"/>
          <w:sz w:val="24"/>
          <w:szCs w:val="24"/>
          <w:lang w:val="en-US" w:eastAsia="zh-CN"/>
        </w:rPr>
        <w:t>9、投标人应完全响应招标内容及磋商文件要求，否则视为无效投标。</w:t>
      </w:r>
    </w:p>
    <w:p>
      <w:pPr>
        <w:pStyle w:val="style0"/>
        <w:snapToGrid w:val="false"/>
        <w:spacing w:after="0" w:lineRule="exact" w:line="520"/>
        <w:ind w:firstLine="482" w:firstLineChars="200"/>
        <w:rPr>
          <w:rFonts w:ascii="宋体" w:cs="宋体" w:eastAsia="宋体" w:hAnsi="宋体" w:hint="eastAsia"/>
          <w:b/>
          <w:bCs/>
          <w:color w:val="auto"/>
          <w:sz w:val="24"/>
          <w:szCs w:val="24"/>
          <w:lang w:val="en-US" w:eastAsia="zh-CN"/>
        </w:rPr>
      </w:pPr>
      <w:r>
        <w:rPr>
          <w:rFonts w:ascii="宋体" w:cs="宋体" w:eastAsia="宋体" w:hAnsi="宋体" w:hint="eastAsia"/>
          <w:b/>
          <w:bCs/>
          <w:color w:val="auto"/>
          <w:sz w:val="24"/>
          <w:szCs w:val="24"/>
          <w:lang w:val="en-US" w:eastAsia="zh-CN"/>
        </w:rPr>
        <w:t>以上要求必须满足，且须做出详细的说明及承诺，否则视为无效投标。</w:t>
      </w:r>
    </w:p>
    <w:p>
      <w:pPr>
        <w:pStyle w:val="style0"/>
        <w:snapToGrid w:val="false"/>
        <w:spacing w:after="0" w:lineRule="exact" w:line="520"/>
        <w:ind w:firstLine="482" w:firstLineChars="200"/>
        <w:rPr>
          <w:rFonts w:ascii="宋体" w:cs="宋体" w:eastAsia="宋体" w:hAnsi="宋体" w:hint="eastAsia"/>
          <w:b/>
          <w:bCs/>
          <w:color w:val="auto"/>
          <w:sz w:val="24"/>
          <w:szCs w:val="24"/>
          <w:lang w:val="en-US" w:eastAsia="zh-CN"/>
        </w:rPr>
      </w:pPr>
      <w:r>
        <w:rPr>
          <w:rFonts w:ascii="宋体" w:cs="宋体" w:eastAsia="宋体" w:hAnsi="宋体" w:hint="eastAsia"/>
          <w:b/>
          <w:bCs/>
          <w:color w:val="auto"/>
          <w:sz w:val="24"/>
          <w:szCs w:val="24"/>
          <w:lang w:val="en-US" w:eastAsia="zh-CN"/>
        </w:rPr>
        <w:t>2.2 项目落实的政府采购政策（法规标准条款）</w:t>
      </w:r>
    </w:p>
    <w:p>
      <w:pPr>
        <w:pStyle w:val="style0"/>
        <w:snapToGrid w:val="false"/>
        <w:spacing w:after="0" w:lineRule="exact" w:line="520"/>
        <w:ind w:firstLine="480" w:firstLineChars="200"/>
        <w:rPr>
          <w:rFonts w:ascii="宋体" w:cs="宋体" w:hAnsi="宋体"/>
          <w:color w:val="auto"/>
          <w:sz w:val="24"/>
          <w:szCs w:val="24"/>
          <w:highlight w:val="none"/>
        </w:rPr>
      </w:pPr>
      <w:r>
        <w:rPr>
          <w:rFonts w:ascii="宋体" w:cs="宋体" w:eastAsia="宋体" w:hAnsi="宋体" w:hint="eastAsia"/>
          <w:color w:val="auto"/>
          <w:sz w:val="24"/>
          <w:szCs w:val="24"/>
          <w:lang w:val="en-US" w:eastAsia="zh-CN"/>
        </w:rPr>
        <w:t>2.2.1 政府采购节能产品、环境标志产品实施品目清单管理后，对本次采购产品属于“节能产品政府采购品目清单”中强制采购品目的，投标产品应当具有相应的认证证书（认证证书应当为国家确定的认证机构出具、且应处于有效期之内），响应文件中应当提供相应的认证</w:t>
      </w:r>
      <w:r>
        <w:rPr>
          <w:rFonts w:ascii="宋体" w:cs="宋体" w:hAnsi="宋体" w:hint="eastAsia"/>
          <w:color w:val="auto"/>
          <w:sz w:val="24"/>
          <w:szCs w:val="24"/>
          <w:highlight w:val="none"/>
        </w:rPr>
        <w:t>证书（认证证书应当为国家确定的认证机构出具、且应处于有效期之内）。</w:t>
      </w:r>
    </w:p>
    <w:p>
      <w:pPr>
        <w:pStyle w:val="style0"/>
        <w:keepNext w:val="false"/>
        <w:keepLines w:val="false"/>
        <w:pageBreakBefore w:val="false"/>
        <w:kinsoku/>
        <w:wordWrap/>
        <w:overflowPunct/>
        <w:topLinePunct w:val="false"/>
        <w:bidi w:val="false"/>
        <w:adjustRightInd w:val="false"/>
        <w:snapToGrid w:val="false"/>
        <w:spacing w:lineRule="auto" w:line="360"/>
        <w:ind w:firstLine="480" w:firstLineChars="200"/>
        <w:textAlignment w:val="baseline"/>
        <w:rPr>
          <w:rFonts w:ascii="宋体" w:cs="宋体" w:hAnsi="宋体"/>
          <w:color w:val="auto"/>
          <w:sz w:val="24"/>
          <w:szCs w:val="24"/>
          <w:highlight w:val="none"/>
        </w:rPr>
      </w:pPr>
      <w:r>
        <w:rPr>
          <w:rFonts w:ascii="宋体" w:cs="宋体" w:hAnsi="宋体" w:hint="eastAsia"/>
          <w:color w:val="auto"/>
          <w:sz w:val="24"/>
          <w:szCs w:val="24"/>
          <w:highlight w:val="none"/>
        </w:rPr>
        <w:t>属于政府强制采购品目、而未按要求提供相应资料的，</w:t>
      </w:r>
      <w:r>
        <w:rPr>
          <w:rFonts w:ascii="宋体" w:cs="宋体" w:hAnsi="宋体" w:hint="eastAsia"/>
          <w:b/>
          <w:color w:val="auto"/>
          <w:sz w:val="24"/>
          <w:szCs w:val="24"/>
          <w:highlight w:val="none"/>
        </w:rPr>
        <w:t>为无效投标</w:t>
      </w:r>
      <w:r>
        <w:rPr>
          <w:rFonts w:ascii="宋体" w:cs="宋体" w:hAnsi="宋体" w:hint="eastAsia"/>
          <w:color w:val="auto"/>
          <w:sz w:val="24"/>
          <w:szCs w:val="24"/>
          <w:highlight w:val="none"/>
        </w:rPr>
        <w:t>。</w:t>
      </w:r>
    </w:p>
    <w:p>
      <w:pPr>
        <w:pStyle w:val="style0"/>
        <w:keepNext w:val="false"/>
        <w:keepLines w:val="false"/>
        <w:pageBreakBefore w:val="false"/>
        <w:kinsoku/>
        <w:wordWrap/>
        <w:overflowPunct/>
        <w:topLinePunct w:val="false"/>
        <w:bidi w:val="false"/>
        <w:adjustRightInd w:val="false"/>
        <w:snapToGrid w:val="false"/>
        <w:spacing w:lineRule="auto" w:line="360"/>
        <w:ind w:firstLine="480" w:firstLineChars="200"/>
        <w:textAlignment w:val="baseline"/>
        <w:rPr>
          <w:rFonts w:ascii="宋体" w:cs="宋体" w:hAnsi="宋体"/>
          <w:color w:val="auto"/>
          <w:sz w:val="24"/>
          <w:szCs w:val="24"/>
          <w:highlight w:val="none"/>
        </w:rPr>
      </w:pPr>
      <w:r>
        <w:rPr>
          <w:rFonts w:ascii="宋体" w:cs="宋体" w:hAnsi="宋体" w:hint="eastAsia"/>
          <w:color w:val="auto"/>
          <w:sz w:val="24"/>
          <w:szCs w:val="24"/>
          <w:highlight w:val="none"/>
        </w:rPr>
        <w:t>2.2.2 同等条件下，获得节能产品认证证书或环境标志产品认证证书的产品优先采购。（认证证书应当为国家确定的认证机构出具、且应处于有效期之内。）</w:t>
      </w:r>
    </w:p>
    <w:p>
      <w:pPr>
        <w:pStyle w:val="style0"/>
        <w:keepNext w:val="false"/>
        <w:keepLines w:val="false"/>
        <w:pageBreakBefore w:val="false"/>
        <w:kinsoku/>
        <w:wordWrap/>
        <w:overflowPunct/>
        <w:topLinePunct w:val="false"/>
        <w:bidi w:val="false"/>
        <w:adjustRightInd w:val="false"/>
        <w:snapToGrid w:val="false"/>
        <w:spacing w:lineRule="auto" w:line="360"/>
        <w:ind w:firstLine="480" w:firstLineChars="200"/>
        <w:textAlignment w:val="baseline"/>
        <w:rPr>
          <w:rFonts w:ascii="宋体" w:cs="宋体" w:hAnsi="宋体"/>
          <w:color w:val="auto"/>
          <w:sz w:val="24"/>
          <w:szCs w:val="24"/>
          <w:highlight w:val="none"/>
        </w:rPr>
      </w:pPr>
      <w:r>
        <w:rPr>
          <w:rFonts w:ascii="宋体" w:cs="宋体" w:hAnsi="宋体" w:hint="eastAsia"/>
          <w:color w:val="auto"/>
          <w:sz w:val="24"/>
          <w:szCs w:val="24"/>
          <w:highlight w:val="none"/>
        </w:rPr>
        <w:t>2.2.3 本次采购不允许进口产品参加。</w:t>
      </w:r>
    </w:p>
    <w:p>
      <w:pPr>
        <w:pStyle w:val="style0"/>
        <w:keepNext w:val="false"/>
        <w:keepLines w:val="false"/>
        <w:pageBreakBefore w:val="false"/>
        <w:kinsoku/>
        <w:wordWrap/>
        <w:overflowPunct/>
        <w:topLinePunct w:val="false"/>
        <w:bidi w:val="false"/>
        <w:adjustRightInd w:val="false"/>
        <w:snapToGrid w:val="false"/>
        <w:spacing w:lineRule="auto" w:line="360"/>
        <w:ind w:firstLine="480" w:firstLineChars="200"/>
        <w:textAlignment w:val="baseline"/>
        <w:rPr>
          <w:rFonts w:ascii="宋体" w:cs="宋体" w:hAnsi="宋体"/>
          <w:color w:val="auto"/>
          <w:sz w:val="24"/>
          <w:szCs w:val="24"/>
          <w:highlight w:val="none"/>
        </w:rPr>
      </w:pPr>
      <w:r>
        <w:rPr>
          <w:rFonts w:ascii="宋体" w:cs="宋体" w:hAnsi="宋体" w:hint="eastAsia"/>
          <w:color w:val="auto"/>
          <w:sz w:val="24"/>
          <w:szCs w:val="24"/>
          <w:highlight w:val="none"/>
        </w:rPr>
        <w:t>2.2.4信息安全产品须通过国家信息安全认证中心认证，计算机产品须预装正版操作系统软件。</w:t>
      </w:r>
    </w:p>
    <w:p>
      <w:pPr>
        <w:pStyle w:val="style0"/>
        <w:keepNext w:val="false"/>
        <w:keepLines w:val="false"/>
        <w:pageBreakBefore w:val="false"/>
        <w:kinsoku/>
        <w:wordWrap/>
        <w:overflowPunct/>
        <w:topLinePunct w:val="false"/>
        <w:bidi w:val="false"/>
        <w:adjustRightInd w:val="false"/>
        <w:snapToGrid w:val="false"/>
        <w:spacing w:lineRule="auto" w:line="360"/>
        <w:ind w:firstLine="480" w:firstLineChars="200"/>
        <w:textAlignment w:val="baseline"/>
        <w:rPr>
          <w:rFonts w:ascii="宋体" w:cs="宋体" w:hAnsi="宋体"/>
          <w:color w:val="auto"/>
          <w:sz w:val="24"/>
          <w:szCs w:val="24"/>
          <w:highlight w:val="none"/>
        </w:rPr>
      </w:pPr>
      <w:r>
        <w:rPr>
          <w:rFonts w:ascii="宋体" w:cs="宋体" w:hAnsi="宋体" w:hint="eastAsia"/>
          <w:color w:val="auto"/>
          <w:sz w:val="24"/>
          <w:szCs w:val="24"/>
          <w:highlight w:val="none"/>
        </w:rPr>
        <w:t>2.2.5 促进中小企业发展扶持政策：见第四章“评审办法”第4条。</w:t>
      </w:r>
    </w:p>
    <w:p>
      <w:pPr>
        <w:pStyle w:val="style0"/>
        <w:keepNext w:val="false"/>
        <w:keepLines w:val="false"/>
        <w:pageBreakBefore w:val="false"/>
        <w:kinsoku/>
        <w:wordWrap/>
        <w:overflowPunct/>
        <w:topLinePunct w:val="false"/>
        <w:bidi w:val="false"/>
        <w:adjustRightInd w:val="false"/>
        <w:snapToGrid w:val="false"/>
        <w:spacing w:lineRule="auto" w:line="360"/>
        <w:ind w:firstLine="480" w:firstLineChars="200"/>
        <w:textAlignment w:val="baseline"/>
        <w:rPr>
          <w:rFonts w:ascii="宋体" w:cs="宋体" w:hAnsi="宋体"/>
          <w:color w:val="auto"/>
          <w:sz w:val="24"/>
          <w:szCs w:val="24"/>
          <w:highlight w:val="none"/>
        </w:rPr>
      </w:pPr>
      <w:r>
        <w:rPr>
          <w:rFonts w:ascii="宋体" w:cs="宋体" w:hAnsi="宋体" w:hint="eastAsia"/>
          <w:color w:val="auto"/>
          <w:sz w:val="24"/>
          <w:szCs w:val="24"/>
          <w:highlight w:val="none"/>
        </w:rPr>
        <w:t>2.2.6促进残疾人就业、支持监狱企业发展：见第四章“评标办法”第4条。</w:t>
      </w:r>
    </w:p>
    <w:p>
      <w:pPr>
        <w:pStyle w:val="style0"/>
        <w:keepNext w:val="false"/>
        <w:keepLines w:val="false"/>
        <w:pageBreakBefore w:val="false"/>
        <w:kinsoku/>
        <w:wordWrap/>
        <w:overflowPunct/>
        <w:topLinePunct w:val="false"/>
        <w:autoSpaceDE/>
        <w:autoSpaceDN/>
        <w:bidi w:val="false"/>
        <w:adjustRightInd w:val="false"/>
        <w:snapToGrid w:val="false"/>
        <w:spacing w:lineRule="auto" w:line="360"/>
        <w:ind w:firstLine="480" w:firstLineChars="200"/>
        <w:textAlignment w:val="baseline"/>
        <w:rPr>
          <w:rFonts w:ascii="宋体" w:cs="宋体" w:hAnsi="宋体"/>
          <w:color w:val="auto"/>
          <w:sz w:val="24"/>
          <w:szCs w:val="24"/>
          <w:highlight w:val="none"/>
        </w:rPr>
      </w:pPr>
      <w:r>
        <w:rPr>
          <w:rFonts w:ascii="宋体" w:cs="宋体" w:hAnsi="宋体" w:hint="eastAsia"/>
          <w:color w:val="auto"/>
          <w:sz w:val="24"/>
          <w:szCs w:val="24"/>
          <w:highlight w:val="none"/>
        </w:rPr>
        <w:t>2.2.7 所供产品有商品包装的应当使用绿色包装。所供产品有其他环保政策要求的，应符合相关环保法律政策要求。</w:t>
      </w:r>
    </w:p>
    <w:p>
      <w:pPr>
        <w:pStyle w:val="style0"/>
        <w:keepNext w:val="false"/>
        <w:keepLines w:val="false"/>
        <w:pageBreakBefore w:val="false"/>
        <w:kinsoku/>
        <w:wordWrap/>
        <w:overflowPunct/>
        <w:topLinePunct w:val="false"/>
        <w:autoSpaceDE/>
        <w:autoSpaceDN/>
        <w:bidi w:val="false"/>
        <w:adjustRightInd w:val="false"/>
        <w:snapToGrid w:val="false"/>
        <w:spacing w:lineRule="auto" w:line="360"/>
        <w:ind w:firstLine="480" w:firstLineChars="200"/>
        <w:jc w:val="left"/>
        <w:textAlignment w:val="baseline"/>
        <w:rPr>
          <w:rFonts w:ascii="宋体" w:cs="宋体" w:hAnsi="宋体"/>
          <w:color w:val="auto"/>
          <w:sz w:val="24"/>
          <w:szCs w:val="24"/>
          <w:highlight w:val="none"/>
        </w:rPr>
      </w:pPr>
      <w:r>
        <w:rPr>
          <w:rFonts w:ascii="宋体" w:cs="宋体" w:hAnsi="宋体" w:hint="eastAsia"/>
          <w:color w:val="auto"/>
          <w:sz w:val="24"/>
          <w:szCs w:val="24"/>
          <w:highlight w:val="none"/>
        </w:rPr>
        <w:t>2.2.8 支持绿色建筑、绿色建材，支持不发达、少数民族地区的企业，促进自主创新产业发展，支持脱贫攻坚等；同等条件下，优先采购。</w:t>
      </w:r>
    </w:p>
    <w:p>
      <w:pPr>
        <w:pStyle w:val="style0"/>
        <w:keepNext w:val="false"/>
        <w:keepLines w:val="false"/>
        <w:pageBreakBefore w:val="false"/>
        <w:kinsoku/>
        <w:wordWrap/>
        <w:overflowPunct/>
        <w:topLinePunct w:val="false"/>
        <w:autoSpaceDE/>
        <w:autoSpaceDN/>
        <w:bidi w:val="false"/>
        <w:adjustRightInd w:val="false"/>
        <w:snapToGrid w:val="false"/>
        <w:spacing w:lineRule="auto" w:line="360"/>
        <w:ind w:firstLine="482" w:firstLineChars="200"/>
        <w:jc w:val="left"/>
        <w:textAlignment w:val="baseline"/>
        <w:rPr>
          <w:rFonts w:ascii="宋体" w:cs="宋体" w:hAnsi="宋体"/>
          <w:b/>
          <w:color w:val="auto"/>
          <w:sz w:val="24"/>
          <w:szCs w:val="24"/>
          <w:highlight w:val="none"/>
        </w:rPr>
      </w:pPr>
      <w:r>
        <w:rPr>
          <w:rFonts w:ascii="宋体" w:cs="宋体" w:hAnsi="宋体" w:hint="eastAsia"/>
          <w:b/>
          <w:color w:val="auto"/>
          <w:sz w:val="24"/>
          <w:szCs w:val="24"/>
          <w:highlight w:val="none"/>
        </w:rPr>
        <w:t>2.3采购标的需执行的国家相关标准、行业标准、地方标准或者其他标准、规范；</w:t>
      </w:r>
    </w:p>
    <w:p>
      <w:pPr>
        <w:pStyle w:val="style0"/>
        <w:keepNext w:val="false"/>
        <w:keepLines w:val="false"/>
        <w:pageBreakBefore w:val="false"/>
        <w:widowControl w:val="false"/>
        <w:kinsoku/>
        <w:wordWrap/>
        <w:overflowPunct/>
        <w:topLinePunct w:val="false"/>
        <w:autoSpaceDE/>
        <w:autoSpaceDN/>
        <w:bidi w:val="false"/>
        <w:adjustRightInd w:val="false"/>
        <w:snapToGrid w:val="false"/>
        <w:spacing w:lineRule="auto" w:line="360"/>
        <w:ind w:left="22" w:firstLine="555"/>
        <w:textAlignment w:val="baseline"/>
        <w:rPr>
          <w:rFonts w:ascii="宋体" w:cs="宋体" w:hAnsi="宋体"/>
          <w:color w:val="auto"/>
          <w:sz w:val="24"/>
          <w:szCs w:val="24"/>
          <w:highlight w:val="none"/>
        </w:rPr>
      </w:pPr>
      <w:r>
        <w:rPr>
          <w:rFonts w:ascii="宋体" w:cs="宋体" w:hAnsi="宋体" w:hint="eastAsia"/>
          <w:color w:val="auto"/>
          <w:sz w:val="24"/>
          <w:szCs w:val="24"/>
          <w:highlight w:val="none"/>
        </w:rPr>
        <w:t>供应商所报响应服务（及所涉货物材料设施）应符合国家质量标准、部颁标准及行业规范的要求，符合国家各项强制性规范及安全标准，响应服务（及所涉货物材料设施）不应与第三方存在知识产权权属问题；供应商应本着服务客户、为客户着想的宗旨，来完善服务（及所涉货物材料设施）及技术要求未尽事宜，不得以《磋商文件》未列明事项为由，来降低响应服务（及所涉货物材料设施）的质量。</w:t>
      </w:r>
    </w:p>
    <w:p>
      <w:pPr>
        <w:pStyle w:val="style0"/>
        <w:keepNext w:val="false"/>
        <w:keepLines w:val="false"/>
        <w:pageBreakBefore w:val="false"/>
        <w:kinsoku/>
        <w:wordWrap/>
        <w:overflowPunct/>
        <w:topLinePunct w:val="false"/>
        <w:autoSpaceDE/>
        <w:autoSpaceDN/>
        <w:bidi w:val="false"/>
        <w:spacing w:lineRule="auto" w:line="360"/>
        <w:ind w:firstLine="482" w:firstLineChars="200"/>
        <w:textAlignment w:val="baseline"/>
        <w:rPr>
          <w:b/>
          <w:color w:val="auto"/>
          <w:sz w:val="24"/>
          <w:szCs w:val="24"/>
          <w:highlight w:val="none"/>
        </w:rPr>
      </w:pPr>
      <w:r>
        <w:rPr>
          <w:rFonts w:ascii="宋体" w:hAnsi="宋体" w:hint="eastAsia"/>
          <w:b/>
          <w:color w:val="auto"/>
          <w:sz w:val="24"/>
          <w:szCs w:val="24"/>
          <w:highlight w:val="none"/>
        </w:rPr>
        <w:t xml:space="preserve">2.4 </w:t>
      </w:r>
      <w:r>
        <w:rPr>
          <w:rFonts w:hint="eastAsia"/>
          <w:b/>
          <w:color w:val="auto"/>
          <w:sz w:val="24"/>
          <w:szCs w:val="24"/>
          <w:highlight w:val="none"/>
        </w:rPr>
        <w:t>主副食供应商采购项目的中小企业划分标准所属行业为：</w:t>
      </w:r>
      <w:r>
        <w:rPr>
          <w:rFonts w:hint="eastAsia"/>
          <w:b/>
          <w:color w:val="auto"/>
          <w:sz w:val="24"/>
          <w:szCs w:val="24"/>
          <w:highlight w:val="none"/>
          <w:lang w:val="en-US" w:eastAsia="zh-CN"/>
        </w:rPr>
        <w:t>其他为列明行业</w:t>
      </w:r>
      <w:r>
        <w:rPr>
          <w:rFonts w:hint="eastAsia"/>
          <w:b/>
          <w:color w:val="auto"/>
          <w:sz w:val="24"/>
          <w:szCs w:val="24"/>
          <w:highlight w:val="none"/>
        </w:rPr>
        <w:t>。</w:t>
      </w:r>
    </w:p>
    <w:p>
      <w:pPr>
        <w:pStyle w:val="style0"/>
        <w:keepNext w:val="false"/>
        <w:keepLines w:val="false"/>
        <w:pageBreakBefore w:val="false"/>
        <w:kinsoku/>
        <w:wordWrap/>
        <w:overflowPunct/>
        <w:topLinePunct w:val="false"/>
        <w:autoSpaceDE/>
        <w:autoSpaceDN/>
        <w:bidi w:val="false"/>
        <w:adjustRightInd w:val="false"/>
        <w:snapToGrid w:val="false"/>
        <w:spacing w:lineRule="auto" w:line="360"/>
        <w:ind w:firstLine="482" w:firstLineChars="200"/>
        <w:textAlignment w:val="baseline"/>
        <w:rPr>
          <w:rFonts w:ascii="宋体" w:cs="宋体" w:hAnsi="宋体"/>
          <w:b/>
          <w:color w:val="auto"/>
          <w:sz w:val="24"/>
          <w:szCs w:val="24"/>
          <w:highlight w:val="none"/>
        </w:rPr>
      </w:pPr>
      <w:r>
        <w:rPr>
          <w:rFonts w:ascii="宋体" w:cs="宋体" w:hAnsi="宋体" w:hint="eastAsia"/>
          <w:b/>
          <w:color w:val="auto"/>
          <w:sz w:val="24"/>
          <w:szCs w:val="24"/>
          <w:highlight w:val="none"/>
        </w:rPr>
        <w:t>2.5安全</w:t>
      </w:r>
    </w:p>
    <w:p>
      <w:pPr>
        <w:pStyle w:val="style0"/>
        <w:keepNext w:val="false"/>
        <w:keepLines w:val="false"/>
        <w:pageBreakBefore w:val="false"/>
        <w:widowControl w:val="false"/>
        <w:kinsoku/>
        <w:wordWrap/>
        <w:overflowPunct/>
        <w:topLinePunct w:val="false"/>
        <w:autoSpaceDE/>
        <w:autoSpaceDN/>
        <w:bidi w:val="false"/>
        <w:adjustRightInd w:val="false"/>
        <w:snapToGrid w:val="false"/>
        <w:spacing w:lineRule="auto" w:line="360"/>
        <w:ind w:firstLine="480" w:firstLineChars="200"/>
        <w:jc w:val="left"/>
        <w:textAlignment w:val="baseline"/>
        <w:rPr>
          <w:rFonts w:ascii="宋体" w:cs="宋体" w:hAnsi="宋体"/>
          <w:color w:val="auto"/>
          <w:sz w:val="24"/>
          <w:szCs w:val="24"/>
          <w:highlight w:val="none"/>
        </w:rPr>
      </w:pPr>
      <w:r>
        <w:rPr>
          <w:rFonts w:ascii="宋体" w:cs="宋体" w:hAnsi="宋体" w:hint="eastAsia"/>
          <w:color w:val="auto"/>
          <w:sz w:val="24"/>
          <w:szCs w:val="24"/>
          <w:highlight w:val="none"/>
        </w:rPr>
        <w:t>响应服务（及所涉货物材料设施）应符合国家、行业的各项安全标准，供应商对响应服务（及所涉货物材料设施）的安全性承担全部责任。服务期内不符合保障人身、财产安全的国家标准、行业标准的服务（及所涉货物材料设施），将依法承担民事及相应刑事责任。合同履行中的安全责任由成交供应商承担全部责任（提供承诺函）。</w:t>
      </w:r>
    </w:p>
    <w:p>
      <w:pPr>
        <w:pStyle w:val="style0"/>
        <w:keepNext w:val="false"/>
        <w:keepLines w:val="false"/>
        <w:pageBreakBefore w:val="false"/>
        <w:kinsoku/>
        <w:wordWrap/>
        <w:overflowPunct/>
        <w:topLinePunct w:val="false"/>
        <w:autoSpaceDE/>
        <w:autoSpaceDN/>
        <w:bidi w:val="false"/>
        <w:adjustRightInd w:val="false"/>
        <w:snapToGrid w:val="false"/>
        <w:spacing w:lineRule="auto" w:line="360"/>
        <w:ind w:firstLine="482" w:firstLineChars="200"/>
        <w:textAlignment w:val="baseline"/>
        <w:rPr>
          <w:rFonts w:ascii="宋体" w:cs="宋体" w:hAnsi="宋体"/>
          <w:b/>
          <w:color w:val="auto"/>
          <w:sz w:val="24"/>
          <w:szCs w:val="24"/>
          <w:highlight w:val="none"/>
        </w:rPr>
      </w:pPr>
      <w:r>
        <w:rPr>
          <w:rFonts w:ascii="宋体" w:cs="宋体" w:hAnsi="宋体" w:hint="eastAsia"/>
          <w:b/>
          <w:color w:val="auto"/>
          <w:sz w:val="24"/>
          <w:szCs w:val="24"/>
          <w:highlight w:val="none"/>
        </w:rPr>
        <w:t>2.6响应文件对“具体服务要求及标段（包）内容（范围）”的响应</w:t>
      </w:r>
    </w:p>
    <w:p>
      <w:pPr>
        <w:pStyle w:val="style0"/>
        <w:keepNext w:val="false"/>
        <w:keepLines w:val="false"/>
        <w:pageBreakBefore w:val="false"/>
        <w:widowControl w:val="false"/>
        <w:kinsoku/>
        <w:wordWrap/>
        <w:overflowPunct/>
        <w:topLinePunct w:val="false"/>
        <w:autoSpaceDE/>
        <w:autoSpaceDN/>
        <w:bidi w:val="false"/>
        <w:adjustRightInd w:val="false"/>
        <w:snapToGrid w:val="false"/>
        <w:spacing w:lineRule="auto" w:line="360"/>
        <w:ind w:left="22" w:firstLine="555"/>
        <w:jc w:val="left"/>
        <w:textAlignment w:val="baseline"/>
        <w:rPr>
          <w:rFonts w:ascii="宋体" w:cs="宋体" w:hAnsi="宋体"/>
          <w:color w:val="auto"/>
          <w:sz w:val="24"/>
          <w:szCs w:val="24"/>
          <w:highlight w:val="none"/>
        </w:rPr>
      </w:pPr>
      <w:r>
        <w:rPr>
          <w:rFonts w:ascii="宋体" w:cs="宋体" w:hAnsi="宋体" w:hint="eastAsia"/>
          <w:color w:val="auto"/>
          <w:sz w:val="24"/>
          <w:szCs w:val="24"/>
          <w:highlight w:val="none"/>
        </w:rPr>
        <w:t>“标段（包）内容（具体范围、数量），具体服务（技术）要求”为采购需求的基础性要求，服务内容应当明确，服务所涉产品及技术参数应当明确并最终指向具体明确的产品。</w:t>
      </w:r>
      <w:r>
        <w:rPr>
          <w:rFonts w:ascii="宋体" w:cs="宋体" w:hAnsi="宋体" w:hint="eastAsia"/>
          <w:color w:val="auto"/>
          <w:sz w:val="24"/>
          <w:szCs w:val="24"/>
          <w:highlight w:val="none"/>
          <w:lang w:eastAsia="zh-CN"/>
        </w:rPr>
        <w:t>响应文件</w:t>
      </w:r>
      <w:r>
        <w:rPr>
          <w:rFonts w:ascii="宋体" w:cs="宋体" w:hAnsi="宋体" w:hint="eastAsia"/>
          <w:color w:val="auto"/>
          <w:sz w:val="24"/>
          <w:szCs w:val="24"/>
          <w:highlight w:val="none"/>
        </w:rPr>
        <w:t>技术参数抄袭</w:t>
      </w:r>
      <w:r>
        <w:rPr>
          <w:rFonts w:ascii="宋体" w:cs="宋体" w:hAnsi="宋体" w:hint="eastAsia"/>
          <w:color w:val="auto"/>
          <w:sz w:val="24"/>
          <w:szCs w:val="24"/>
          <w:highlight w:val="none"/>
          <w:lang w:eastAsia="zh-CN"/>
        </w:rPr>
        <w:t>磋商文件</w:t>
      </w:r>
      <w:r>
        <w:rPr>
          <w:rFonts w:ascii="宋体" w:cs="宋体" w:hAnsi="宋体" w:hint="eastAsia"/>
          <w:color w:val="auto"/>
          <w:sz w:val="24"/>
          <w:szCs w:val="24"/>
          <w:highlight w:val="none"/>
        </w:rPr>
        <w:t>“具体服务（技术）要求”，投标产品不明确的、或与投标产品不一致的，评标委员会有权按照实质性判断原则评定其为无效投标。</w:t>
      </w:r>
    </w:p>
    <w:p>
      <w:pPr>
        <w:pStyle w:val="style0"/>
        <w:keepNext w:val="false"/>
        <w:keepLines w:val="false"/>
        <w:pageBreakBefore w:val="false"/>
        <w:kinsoku/>
        <w:wordWrap/>
        <w:overflowPunct/>
        <w:topLinePunct w:val="false"/>
        <w:autoSpaceDE/>
        <w:autoSpaceDN/>
        <w:bidi w:val="false"/>
        <w:adjustRightInd w:val="false"/>
        <w:snapToGrid w:val="false"/>
        <w:spacing w:lineRule="auto" w:line="360"/>
        <w:ind w:firstLine="482" w:firstLineChars="200"/>
        <w:textAlignment w:val="baseline"/>
        <w:rPr>
          <w:rFonts w:ascii="宋体" w:cs="宋体" w:hAnsi="宋体"/>
          <w:b/>
          <w:color w:val="auto"/>
          <w:sz w:val="24"/>
          <w:szCs w:val="24"/>
          <w:highlight w:val="none"/>
        </w:rPr>
      </w:pPr>
      <w:r>
        <w:rPr>
          <w:rFonts w:ascii="宋体" w:cs="宋体" w:hAnsi="宋体" w:hint="eastAsia"/>
          <w:b/>
          <w:color w:val="auto"/>
          <w:sz w:val="24"/>
          <w:szCs w:val="24"/>
          <w:highlight w:val="none"/>
        </w:rPr>
        <w:t>2.7技术偏离</w:t>
      </w:r>
    </w:p>
    <w:p>
      <w:pPr>
        <w:pStyle w:val="style0"/>
        <w:keepNext w:val="false"/>
        <w:keepLines w:val="false"/>
        <w:pageBreakBefore w:val="false"/>
        <w:widowControl w:val="false"/>
        <w:kinsoku/>
        <w:wordWrap/>
        <w:overflowPunct/>
        <w:topLinePunct w:val="false"/>
        <w:autoSpaceDE/>
        <w:autoSpaceDN/>
        <w:bidi w:val="false"/>
        <w:adjustRightInd w:val="false"/>
        <w:snapToGrid w:val="false"/>
        <w:spacing w:lineRule="auto" w:line="360"/>
        <w:ind w:firstLine="540"/>
        <w:textAlignment w:val="baseline"/>
        <w:rPr>
          <w:rFonts w:ascii="宋体" w:cs="宋体" w:hAnsi="宋体" w:hint="eastAsia"/>
          <w:color w:val="auto"/>
          <w:sz w:val="24"/>
          <w:szCs w:val="24"/>
          <w:highlight w:val="none"/>
        </w:rPr>
      </w:pPr>
      <w:r>
        <w:rPr>
          <w:rFonts w:ascii="宋体" w:cs="宋体" w:hAnsi="宋体" w:hint="eastAsia"/>
          <w:color w:val="auto"/>
          <w:sz w:val="24"/>
          <w:szCs w:val="24"/>
          <w:highlight w:val="none"/>
        </w:rPr>
        <w:t>2.7.1服务所涉货物材料设施的不接受负偏差，低于“具体服务（技术）要求”的、为无效投标。</w:t>
      </w:r>
    </w:p>
    <w:p>
      <w:pPr>
        <w:pStyle w:val="style0"/>
        <w:keepNext w:val="false"/>
        <w:keepLines w:val="false"/>
        <w:pageBreakBefore w:val="false"/>
        <w:widowControl w:val="false"/>
        <w:kinsoku/>
        <w:wordWrap/>
        <w:overflowPunct/>
        <w:topLinePunct w:val="false"/>
        <w:autoSpaceDE/>
        <w:autoSpaceDN/>
        <w:bidi w:val="false"/>
        <w:adjustRightInd w:val="false"/>
        <w:snapToGrid w:val="false"/>
        <w:spacing w:lineRule="auto" w:line="360"/>
        <w:ind w:firstLine="540"/>
        <w:textAlignment w:val="baseline"/>
        <w:rPr>
          <w:rFonts w:ascii="宋体" w:cs="宋体" w:hAnsi="宋体" w:hint="eastAsia"/>
          <w:color w:val="auto"/>
          <w:sz w:val="24"/>
          <w:szCs w:val="24"/>
          <w:highlight w:val="none"/>
        </w:rPr>
      </w:pPr>
      <w:r>
        <w:rPr>
          <w:rFonts w:ascii="宋体" w:cs="宋体" w:hAnsi="宋体" w:hint="eastAsia"/>
          <w:color w:val="auto"/>
          <w:sz w:val="24"/>
          <w:szCs w:val="24"/>
          <w:highlight w:val="none"/>
        </w:rPr>
        <w:t>2.7.2 除服务所涉货物材料设施的技术偏离外，其他内容不接受负偏差。</w:t>
      </w:r>
    </w:p>
    <w:p>
      <w:pPr>
        <w:pStyle w:val="style0"/>
        <w:keepNext w:val="false"/>
        <w:keepLines w:val="false"/>
        <w:pageBreakBefore w:val="false"/>
        <w:widowControl w:val="false"/>
        <w:kinsoku/>
        <w:wordWrap/>
        <w:overflowPunct/>
        <w:topLinePunct w:val="false"/>
        <w:autoSpaceDE/>
        <w:autoSpaceDN/>
        <w:bidi w:val="false"/>
        <w:adjustRightInd w:val="false"/>
        <w:snapToGrid w:val="false"/>
        <w:spacing w:lineRule="auto" w:line="360"/>
        <w:ind w:firstLine="540"/>
        <w:textAlignment w:val="baseline"/>
        <w:rPr>
          <w:rFonts w:ascii="宋体" w:cs="宋体" w:hAnsi="宋体" w:hint="eastAsia"/>
          <w:color w:val="auto"/>
          <w:sz w:val="24"/>
          <w:szCs w:val="24"/>
          <w:highlight w:val="none"/>
        </w:rPr>
      </w:pPr>
      <w:r>
        <w:rPr>
          <w:rFonts w:ascii="宋体" w:cs="宋体" w:hAnsi="宋体" w:hint="eastAsia"/>
          <w:color w:val="auto"/>
          <w:sz w:val="24"/>
          <w:szCs w:val="24"/>
          <w:highlight w:val="none"/>
        </w:rPr>
        <w:t xml:space="preserve">2.7.3 </w:t>
      </w:r>
      <w:r>
        <w:rPr>
          <w:rFonts w:ascii="宋体" w:cs="宋体" w:hAnsi="宋体" w:hint="eastAsia"/>
          <w:color w:val="auto"/>
          <w:sz w:val="24"/>
          <w:szCs w:val="24"/>
          <w:highlight w:val="none"/>
          <w:lang w:eastAsia="zh-CN"/>
        </w:rPr>
        <w:t>响应文件</w:t>
      </w:r>
      <w:r>
        <w:rPr>
          <w:rFonts w:ascii="宋体" w:cs="宋体" w:hAnsi="宋体" w:hint="eastAsia"/>
          <w:color w:val="auto"/>
          <w:sz w:val="24"/>
          <w:szCs w:val="24"/>
          <w:highlight w:val="none"/>
        </w:rPr>
        <w:t>对技术偏差的描述要求：见第三章</w:t>
      </w:r>
      <w:r>
        <w:rPr>
          <w:rFonts w:ascii="宋体" w:cs="宋体" w:hAnsi="宋体" w:hint="eastAsia"/>
          <w:color w:val="auto"/>
          <w:sz w:val="24"/>
          <w:szCs w:val="24"/>
          <w:highlight w:val="none"/>
          <w:lang w:eastAsia="zh-CN"/>
        </w:rPr>
        <w:t>供应商</w:t>
      </w:r>
      <w:r>
        <w:rPr>
          <w:rFonts w:ascii="宋体" w:cs="宋体" w:hAnsi="宋体" w:hint="eastAsia"/>
          <w:color w:val="auto"/>
          <w:sz w:val="24"/>
          <w:szCs w:val="24"/>
          <w:highlight w:val="none"/>
        </w:rPr>
        <w:t>须知3.7.3项。</w:t>
      </w:r>
    </w:p>
    <w:p>
      <w:pPr>
        <w:pStyle w:val="style0"/>
        <w:keepNext w:val="false"/>
        <w:keepLines w:val="false"/>
        <w:pageBreakBefore w:val="false"/>
        <w:kinsoku/>
        <w:wordWrap/>
        <w:overflowPunct/>
        <w:topLinePunct w:val="false"/>
        <w:autoSpaceDE/>
        <w:autoSpaceDN/>
        <w:bidi w:val="false"/>
        <w:adjustRightInd w:val="false"/>
        <w:snapToGrid w:val="false"/>
        <w:spacing w:lineRule="auto" w:line="360"/>
        <w:ind w:firstLine="566" w:firstLineChars="235"/>
        <w:jc w:val="left"/>
        <w:textAlignment w:val="baseline"/>
        <w:rPr>
          <w:rFonts w:ascii="宋体" w:cs="宋体" w:hAnsi="宋体"/>
          <w:b/>
          <w:color w:val="auto"/>
          <w:sz w:val="24"/>
          <w:szCs w:val="24"/>
          <w:highlight w:val="none"/>
        </w:rPr>
      </w:pPr>
      <w:r>
        <w:rPr>
          <w:rFonts w:ascii="宋体" w:cs="宋体" w:hAnsi="宋体" w:hint="eastAsia"/>
          <w:b/>
          <w:color w:val="auto"/>
          <w:sz w:val="24"/>
          <w:szCs w:val="24"/>
          <w:highlight w:val="none"/>
        </w:rPr>
        <w:t>2.8 合同履行期限后、服务项目所涉货物的售后服务</w:t>
      </w:r>
    </w:p>
    <w:p>
      <w:pPr>
        <w:pStyle w:val="style0"/>
        <w:keepNext w:val="false"/>
        <w:keepLines w:val="false"/>
        <w:pageBreakBefore w:val="false"/>
        <w:kinsoku/>
        <w:wordWrap/>
        <w:overflowPunct/>
        <w:topLinePunct w:val="false"/>
        <w:autoSpaceDE/>
        <w:autoSpaceDN/>
        <w:bidi w:val="false"/>
        <w:adjustRightInd w:val="false"/>
        <w:snapToGrid w:val="false"/>
        <w:spacing w:lineRule="auto" w:line="360"/>
        <w:ind w:firstLine="564" w:firstLineChars="235"/>
        <w:jc w:val="left"/>
        <w:textAlignment w:val="baseline"/>
        <w:rPr>
          <w:rFonts w:ascii="宋体" w:cs="宋体" w:hAnsi="宋体" w:hint="eastAsia"/>
          <w:color w:val="auto"/>
          <w:sz w:val="24"/>
          <w:szCs w:val="24"/>
          <w:highlight w:val="none"/>
        </w:rPr>
      </w:pPr>
      <w:r>
        <w:rPr>
          <w:rFonts w:ascii="宋体" w:cs="宋体" w:hAnsi="宋体" w:hint="eastAsia"/>
          <w:color w:val="auto"/>
          <w:sz w:val="24"/>
          <w:szCs w:val="24"/>
          <w:highlight w:val="none"/>
        </w:rPr>
        <w:t>无特殊要求，服务要求中已作要求的从其要求。</w:t>
      </w:r>
    </w:p>
    <w:p>
      <w:pPr>
        <w:pStyle w:val="style0"/>
        <w:keepNext w:val="false"/>
        <w:keepLines w:val="false"/>
        <w:pageBreakBefore w:val="false"/>
        <w:kinsoku/>
        <w:wordWrap/>
        <w:overflowPunct/>
        <w:topLinePunct w:val="false"/>
        <w:bidi w:val="false"/>
        <w:adjustRightInd w:val="false"/>
        <w:snapToGrid w:val="false"/>
        <w:spacing w:lineRule="auto" w:line="360"/>
        <w:ind w:firstLine="566" w:firstLineChars="235"/>
        <w:jc w:val="left"/>
        <w:textAlignment w:val="baseline"/>
        <w:rPr>
          <w:rFonts w:ascii="宋体" w:cs="宋体" w:hAnsi="宋体"/>
          <w:b/>
          <w:color w:val="auto"/>
          <w:sz w:val="24"/>
          <w:szCs w:val="24"/>
          <w:highlight w:val="none"/>
        </w:rPr>
      </w:pPr>
      <w:r>
        <w:rPr>
          <w:rFonts w:ascii="宋体" w:cs="宋体" w:hAnsi="宋体" w:hint="eastAsia"/>
          <w:b/>
          <w:color w:val="auto"/>
          <w:sz w:val="24"/>
          <w:szCs w:val="24"/>
          <w:highlight w:val="none"/>
        </w:rPr>
        <w:t>2.9保险、所涉货物包装</w:t>
      </w:r>
    </w:p>
    <w:p>
      <w:pPr>
        <w:pStyle w:val="style0"/>
        <w:keepNext w:val="false"/>
        <w:keepLines w:val="false"/>
        <w:pageBreakBefore w:val="false"/>
        <w:kinsoku/>
        <w:wordWrap/>
        <w:overflowPunct/>
        <w:topLinePunct w:val="false"/>
        <w:bidi w:val="false"/>
        <w:adjustRightInd w:val="false"/>
        <w:snapToGrid w:val="false"/>
        <w:spacing w:lineRule="auto" w:line="360"/>
        <w:ind w:firstLine="564" w:firstLineChars="235"/>
        <w:jc w:val="left"/>
        <w:textAlignment w:val="baseline"/>
        <w:rPr>
          <w:rFonts w:ascii="宋体" w:cs="宋体" w:hAnsi="宋体"/>
          <w:color w:val="auto"/>
          <w:sz w:val="24"/>
          <w:szCs w:val="24"/>
          <w:highlight w:val="none"/>
        </w:rPr>
      </w:pPr>
      <w:r>
        <w:rPr>
          <w:rFonts w:ascii="宋体" w:cs="宋体" w:hAnsi="宋体" w:hint="eastAsia"/>
          <w:color w:val="auto"/>
          <w:sz w:val="24"/>
          <w:szCs w:val="24"/>
          <w:highlight w:val="none"/>
        </w:rPr>
        <w:t>2.9.1保险（如需）：</w:t>
      </w:r>
    </w:p>
    <w:p>
      <w:pPr>
        <w:pStyle w:val="style0"/>
        <w:keepNext w:val="false"/>
        <w:keepLines w:val="false"/>
        <w:pageBreakBefore w:val="false"/>
        <w:kinsoku/>
        <w:wordWrap/>
        <w:overflowPunct/>
        <w:topLinePunct w:val="false"/>
        <w:bidi w:val="false"/>
        <w:adjustRightInd w:val="false"/>
        <w:snapToGrid w:val="false"/>
        <w:spacing w:lineRule="auto" w:line="360"/>
        <w:ind w:firstLine="564" w:firstLineChars="235"/>
        <w:jc w:val="left"/>
        <w:textAlignment w:val="baseline"/>
        <w:rPr>
          <w:rFonts w:ascii="宋体" w:cs="宋体" w:hAnsi="宋体" w:hint="eastAsia"/>
          <w:color w:val="auto"/>
          <w:sz w:val="24"/>
          <w:szCs w:val="24"/>
          <w:highlight w:val="none"/>
        </w:rPr>
      </w:pPr>
      <w:r>
        <w:rPr>
          <w:rFonts w:ascii="宋体" w:cs="宋体" w:hAnsi="宋体" w:hint="eastAsia"/>
          <w:color w:val="auto"/>
          <w:sz w:val="24"/>
          <w:szCs w:val="24"/>
          <w:highlight w:val="none"/>
          <w:lang w:eastAsia="zh-CN"/>
        </w:rPr>
        <w:t>供应商</w:t>
      </w:r>
      <w:r>
        <w:rPr>
          <w:rFonts w:ascii="宋体" w:cs="宋体" w:hAnsi="宋体" w:hint="eastAsia"/>
          <w:color w:val="auto"/>
          <w:sz w:val="24"/>
          <w:szCs w:val="24"/>
          <w:highlight w:val="none"/>
        </w:rPr>
        <w:t>应遵循国家相关保险的规定，依照法规规定，根据项目属性需要，办理货物设施等的财产保险、危险作业人员的工伤和意外伤害保险、设计和工程保险、第三方责任险，相关保险费用及相应责任由中标人承担。</w:t>
      </w:r>
    </w:p>
    <w:p>
      <w:pPr>
        <w:pStyle w:val="style0"/>
        <w:keepNext w:val="false"/>
        <w:keepLines w:val="false"/>
        <w:pageBreakBefore w:val="false"/>
        <w:kinsoku/>
        <w:wordWrap/>
        <w:overflowPunct/>
        <w:topLinePunct w:val="false"/>
        <w:bidi w:val="false"/>
        <w:adjustRightInd w:val="false"/>
        <w:snapToGrid w:val="false"/>
        <w:spacing w:lineRule="auto" w:line="360"/>
        <w:ind w:firstLine="566" w:firstLineChars="235"/>
        <w:jc w:val="left"/>
        <w:textAlignment w:val="baseline"/>
        <w:rPr>
          <w:rFonts w:ascii="宋体" w:cs="宋体" w:hAnsi="宋体"/>
          <w:b/>
          <w:color w:val="auto"/>
          <w:sz w:val="24"/>
          <w:szCs w:val="24"/>
          <w:highlight w:val="none"/>
        </w:rPr>
      </w:pPr>
      <w:r>
        <w:rPr>
          <w:rFonts w:ascii="宋体" w:cs="宋体" w:hAnsi="宋体" w:hint="eastAsia"/>
          <w:b/>
          <w:color w:val="auto"/>
          <w:sz w:val="24"/>
          <w:szCs w:val="24"/>
          <w:highlight w:val="none"/>
        </w:rPr>
        <w:t>2.10采购标的的验收标准</w:t>
      </w:r>
    </w:p>
    <w:p>
      <w:pPr>
        <w:pStyle w:val="style0"/>
        <w:keepNext w:val="false"/>
        <w:keepLines w:val="false"/>
        <w:pageBreakBefore w:val="false"/>
        <w:kinsoku/>
        <w:wordWrap/>
        <w:overflowPunct/>
        <w:topLinePunct w:val="false"/>
        <w:bidi w:val="false"/>
        <w:adjustRightInd w:val="false"/>
        <w:snapToGrid w:val="false"/>
        <w:spacing w:lineRule="auto" w:line="360"/>
        <w:ind w:firstLine="564" w:firstLineChars="235"/>
        <w:jc w:val="left"/>
        <w:textAlignment w:val="baseline"/>
        <w:rPr>
          <w:rFonts w:ascii="宋体" w:cs="宋体" w:hAnsi="宋体"/>
          <w:color w:val="auto"/>
          <w:sz w:val="24"/>
          <w:highlight w:val="none"/>
          <w:lang w:val="zh-CN"/>
        </w:rPr>
      </w:pPr>
      <w:r>
        <w:rPr>
          <w:rFonts w:ascii="宋体" w:cs="宋体" w:hAnsi="宋体" w:hint="eastAsia"/>
          <w:color w:val="auto"/>
          <w:sz w:val="24"/>
          <w:highlight w:val="none"/>
          <w:lang w:val="zh-CN"/>
        </w:rPr>
        <w:t>见“第三章 供应商须知” 第8条“验收”条款。</w:t>
      </w:r>
    </w:p>
    <w:p>
      <w:pPr>
        <w:pStyle w:val="style0"/>
        <w:keepNext w:val="false"/>
        <w:keepLines w:val="false"/>
        <w:pageBreakBefore w:val="false"/>
        <w:kinsoku/>
        <w:wordWrap/>
        <w:overflowPunct/>
        <w:topLinePunct w:val="false"/>
        <w:bidi w:val="false"/>
        <w:adjustRightInd w:val="false"/>
        <w:snapToGrid w:val="false"/>
        <w:spacing w:lineRule="auto" w:line="360"/>
        <w:ind w:firstLine="566" w:firstLineChars="235"/>
        <w:textAlignment w:val="baseline"/>
        <w:rPr>
          <w:rFonts w:ascii="宋体" w:cs="宋体" w:hAnsi="宋体"/>
          <w:b/>
          <w:color w:val="auto"/>
          <w:sz w:val="24"/>
          <w:szCs w:val="24"/>
          <w:highlight w:val="none"/>
        </w:rPr>
      </w:pPr>
      <w:r>
        <w:rPr>
          <w:rFonts w:ascii="宋体" w:cs="宋体" w:hAnsi="宋体" w:hint="eastAsia"/>
          <w:b/>
          <w:color w:val="auto"/>
          <w:sz w:val="24"/>
          <w:szCs w:val="24"/>
          <w:highlight w:val="none"/>
        </w:rPr>
        <w:t>2.11采购标的的其他技术、服务等要求</w:t>
      </w:r>
    </w:p>
    <w:p>
      <w:pPr>
        <w:pStyle w:val="style0"/>
        <w:keepNext w:val="false"/>
        <w:keepLines w:val="false"/>
        <w:pageBreakBefore w:val="false"/>
        <w:kinsoku/>
        <w:wordWrap/>
        <w:overflowPunct/>
        <w:topLinePunct w:val="false"/>
        <w:bidi w:val="false"/>
        <w:adjustRightInd w:val="false"/>
        <w:snapToGrid w:val="false"/>
        <w:spacing w:lineRule="auto" w:line="360"/>
        <w:textAlignment w:val="baseline"/>
        <w:rPr>
          <w:rFonts w:ascii="宋体" w:cs="宋体" w:hAnsi="宋体"/>
          <w:b/>
          <w:color w:val="auto"/>
          <w:sz w:val="24"/>
          <w:szCs w:val="24"/>
          <w:highlight w:val="none"/>
        </w:rPr>
      </w:pPr>
      <w:r>
        <w:rPr>
          <w:rFonts w:ascii="宋体" w:cs="宋体" w:hAnsi="宋体" w:hint="eastAsia"/>
          <w:color w:val="auto"/>
          <w:sz w:val="24"/>
          <w:szCs w:val="24"/>
          <w:highlight w:val="none"/>
        </w:rPr>
        <w:t xml:space="preserve">   </w:t>
      </w:r>
      <w:r>
        <w:rPr>
          <w:rFonts w:ascii="宋体" w:cs="宋体" w:hAnsi="宋体" w:hint="eastAsia"/>
          <w:color w:val="auto"/>
          <w:sz w:val="24"/>
          <w:szCs w:val="24"/>
          <w:highlight w:val="none"/>
          <w:lang w:val="en-US" w:eastAsia="zh-CN"/>
        </w:rPr>
        <w:t xml:space="preserve"> </w:t>
      </w:r>
      <w:r>
        <w:rPr>
          <w:rFonts w:ascii="宋体" w:cs="宋体" w:hAnsi="宋体" w:hint="eastAsia"/>
          <w:color w:val="auto"/>
          <w:sz w:val="24"/>
          <w:szCs w:val="24"/>
          <w:highlight w:val="none"/>
        </w:rPr>
        <w:t>无</w:t>
      </w:r>
    </w:p>
    <w:bookmarkStart w:id="5" w:name="_Toc65676676"/>
    <w:bookmarkStart w:id="6" w:name="_Toc13061"/>
    <w:p>
      <w:pPr>
        <w:pStyle w:val="style0"/>
        <w:keepNext w:val="false"/>
        <w:keepLines w:val="false"/>
        <w:pageBreakBefore w:val="false"/>
        <w:kinsoku/>
        <w:wordWrap/>
        <w:overflowPunct/>
        <w:topLinePunct w:val="false"/>
        <w:bidi w:val="false"/>
        <w:adjustRightInd w:val="false"/>
        <w:snapToGrid w:val="false"/>
        <w:spacing w:lineRule="auto" w:line="360"/>
        <w:ind w:firstLine="562" w:firstLineChars="200"/>
        <w:textAlignment w:val="baseline"/>
        <w:outlineLvl w:val="1"/>
        <w:rPr>
          <w:rFonts w:ascii="宋体" w:cs="宋体" w:hAnsi="宋体"/>
          <w:b/>
          <w:color w:val="auto"/>
          <w:sz w:val="28"/>
          <w:highlight w:val="none"/>
        </w:rPr>
      </w:pPr>
      <w:r>
        <w:rPr>
          <w:rFonts w:ascii="宋体" w:cs="宋体" w:hAnsi="宋体" w:hint="eastAsia"/>
          <w:b/>
          <w:color w:val="auto"/>
          <w:sz w:val="28"/>
          <w:highlight w:val="none"/>
        </w:rPr>
        <w:t>3. 项目其他要求</w:t>
      </w:r>
      <w:bookmarkEnd w:id="5"/>
      <w:bookmarkEnd w:id="6"/>
    </w:p>
    <w:p>
      <w:pPr>
        <w:pStyle w:val="style0"/>
        <w:keepNext w:val="false"/>
        <w:keepLines w:val="false"/>
        <w:pageBreakBefore w:val="false"/>
        <w:kinsoku/>
        <w:wordWrap/>
        <w:overflowPunct/>
        <w:topLinePunct w:val="false"/>
        <w:bidi w:val="false"/>
        <w:adjustRightInd w:val="false"/>
        <w:snapToGrid w:val="false"/>
        <w:spacing w:lineRule="auto" w:line="360"/>
        <w:textAlignment w:val="baseline"/>
        <w:rPr>
          <w:rFonts w:ascii="宋体" w:cs="宋体" w:hAnsi="宋体"/>
          <w:b/>
          <w:color w:val="auto"/>
          <w:sz w:val="24"/>
          <w:szCs w:val="24"/>
          <w:highlight w:val="none"/>
        </w:rPr>
      </w:pPr>
      <w:r>
        <w:rPr>
          <w:rFonts w:ascii="宋体" w:cs="宋体" w:hAnsi="宋体" w:hint="eastAsia"/>
          <w:color w:val="auto"/>
          <w:sz w:val="24"/>
          <w:szCs w:val="24"/>
          <w:highlight w:val="none"/>
        </w:rPr>
        <w:t xml:space="preserve">   </w:t>
      </w:r>
      <w:r>
        <w:rPr>
          <w:rFonts w:ascii="宋体" w:cs="宋体" w:hAnsi="宋体" w:hint="eastAsia"/>
          <w:color w:val="auto"/>
          <w:sz w:val="24"/>
          <w:szCs w:val="24"/>
          <w:highlight w:val="none"/>
          <w:lang w:val="en-US" w:eastAsia="zh-CN"/>
        </w:rPr>
        <w:t xml:space="preserve"> </w:t>
      </w:r>
      <w:r>
        <w:rPr>
          <w:rFonts w:ascii="宋体" w:cs="宋体" w:hAnsi="宋体" w:hint="eastAsia"/>
          <w:color w:val="auto"/>
          <w:sz w:val="24"/>
          <w:szCs w:val="24"/>
          <w:highlight w:val="none"/>
        </w:rPr>
        <w:t>无</w:t>
      </w:r>
    </w:p>
    <w:p>
      <w:pPr>
        <w:pStyle w:val="style0"/>
        <w:keepNext w:val="false"/>
        <w:keepLines w:val="false"/>
        <w:pageBreakBefore w:val="false"/>
        <w:kinsoku/>
        <w:wordWrap/>
        <w:overflowPunct/>
        <w:topLinePunct w:val="false"/>
        <w:bidi w:val="false"/>
        <w:spacing w:lineRule="auto" w:line="360"/>
        <w:ind w:firstLine="482" w:firstLineChars="200"/>
        <w:textAlignment w:val="baseline"/>
        <w:rPr>
          <w:rFonts w:ascii="宋体" w:cs="宋体" w:hAnsi="宋体"/>
          <w:b/>
          <w:color w:val="auto"/>
          <w:sz w:val="24"/>
          <w:szCs w:val="24"/>
          <w:highlight w:val="none"/>
        </w:rPr>
      </w:pPr>
      <w:r>
        <w:rPr>
          <w:rFonts w:ascii="宋体" w:cs="宋体" w:hAnsi="宋体" w:hint="eastAsia"/>
          <w:b/>
          <w:color w:val="auto"/>
          <w:sz w:val="24"/>
          <w:szCs w:val="24"/>
          <w:highlight w:val="none"/>
        </w:rPr>
        <w:br w:type="page"/>
      </w:r>
    </w:p>
    <w:bookmarkStart w:id="7" w:name="_Toc30853"/>
    <w:p>
      <w:pPr>
        <w:pStyle w:val="style0"/>
        <w:spacing w:lineRule="auto" w:line="360"/>
        <w:ind w:right="238"/>
        <w:jc w:val="center"/>
        <w:outlineLvl w:val="0"/>
        <w:rPr>
          <w:rFonts w:ascii="宋体" w:cs="宋体" w:hAnsi="宋体"/>
          <w:b/>
          <w:color w:val="auto"/>
          <w:sz w:val="36"/>
          <w:szCs w:val="36"/>
          <w:highlight w:val="none"/>
        </w:rPr>
      </w:pPr>
      <w:r>
        <w:rPr>
          <w:rFonts w:ascii="宋体" w:cs="宋体" w:hAnsi="宋体" w:hint="eastAsia"/>
          <w:b/>
          <w:color w:val="auto"/>
          <w:sz w:val="36"/>
          <w:szCs w:val="36"/>
          <w:highlight w:val="none"/>
        </w:rPr>
        <w:t>第三章  供应商须知</w:t>
      </w:r>
      <w:bookmarkEnd w:id="7"/>
    </w:p>
    <w:bookmarkStart w:id="8" w:name="_Toc5196"/>
    <w:p>
      <w:pPr>
        <w:pStyle w:val="style0"/>
        <w:spacing w:lineRule="auto" w:line="360"/>
        <w:ind w:right="238"/>
        <w:jc w:val="left"/>
        <w:outlineLvl w:val="1"/>
        <w:rPr>
          <w:rFonts w:ascii="宋体" w:cs="宋体" w:hAnsi="宋体"/>
          <w:b/>
          <w:color w:val="auto"/>
          <w:sz w:val="28"/>
          <w:szCs w:val="28"/>
          <w:highlight w:val="none"/>
        </w:rPr>
      </w:pPr>
      <w:r>
        <w:rPr>
          <w:rFonts w:ascii="宋体" w:cs="宋体" w:hAnsi="宋体" w:hint="eastAsia"/>
          <w:b/>
          <w:color w:val="auto"/>
          <w:sz w:val="28"/>
          <w:szCs w:val="28"/>
          <w:highlight w:val="none"/>
        </w:rPr>
        <w:t>供应商须知前附表</w:t>
      </w:r>
      <w:bookmarkEnd w:id="8"/>
    </w:p>
    <w:tbl>
      <w:tblPr>
        <w:tblStyle w:val="style105"/>
        <w:tblW w:w="9753" w:type="dxa"/>
        <w:jc w:val="center"/>
        <w:tblLayout w:type="fixed"/>
        <w:tblCellMar>
          <w:top w:w="0" w:type="dxa"/>
          <w:left w:w="108" w:type="dxa"/>
          <w:bottom w:w="0" w:type="dxa"/>
          <w:right w:w="108" w:type="dxa"/>
        </w:tblCellMar>
      </w:tblPr>
      <w:tblGrid>
        <w:gridCol w:w="508"/>
        <w:gridCol w:w="699"/>
        <w:gridCol w:w="1893"/>
        <w:gridCol w:w="6653"/>
      </w:tblGrid>
      <w:tr>
        <w:trPr>
          <w:trHeight w:val="571" w:hRule="atLeast"/>
          <w:jc w:val="center"/>
        </w:trPr>
        <w:tc>
          <w:tcPr>
            <w:tcW w:w="508" w:type="dxa"/>
            <w:tcBorders>
              <w:top w:val="single" w:sz="12" w:space="0" w:color="auto"/>
              <w:left w:val="single" w:sz="12" w:space="0" w:color="auto"/>
              <w:bottom w:val="single" w:sz="6" w:space="0" w:color="auto"/>
              <w:right w:val="single" w:sz="6" w:space="0" w:color="auto"/>
            </w:tcBorders>
          </w:tcPr>
          <w:p>
            <w:pPr>
              <w:pStyle w:val="style0"/>
              <w:autoSpaceDE w:val="false"/>
              <w:autoSpaceDN w:val="false"/>
              <w:adjustRightInd w:val="false"/>
              <w:spacing w:lineRule="exact" w:line="460"/>
              <w:rPr>
                <w:rFonts w:ascii="宋体" w:cs="宋体" w:hAnsi="宋体"/>
                <w:b/>
                <w:bCs/>
                <w:color w:val="auto"/>
                <w:sz w:val="24"/>
                <w:highlight w:val="none"/>
                <w:lang w:val="zh-CN"/>
              </w:rPr>
            </w:pPr>
            <w:r>
              <w:rPr>
                <w:rFonts w:ascii="宋体" w:cs="宋体" w:hAnsi="宋体" w:hint="eastAsia"/>
                <w:b/>
                <w:bCs/>
                <w:color w:val="auto"/>
                <w:sz w:val="24"/>
                <w:highlight w:val="none"/>
                <w:lang w:val="zh-CN"/>
              </w:rPr>
              <w:t>章节</w:t>
            </w:r>
          </w:p>
        </w:tc>
        <w:tc>
          <w:tcPr>
            <w:tcW w:w="699" w:type="dxa"/>
            <w:tcBorders>
              <w:top w:val="single" w:sz="12"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pacing w:lineRule="exact" w:line="460"/>
              <w:rPr>
                <w:rFonts w:ascii="宋体" w:cs="宋体" w:hAnsi="宋体"/>
                <w:b/>
                <w:bCs/>
                <w:color w:val="auto"/>
                <w:sz w:val="24"/>
                <w:highlight w:val="none"/>
                <w:lang w:val="zh-CN"/>
              </w:rPr>
            </w:pPr>
            <w:r>
              <w:rPr>
                <w:rFonts w:ascii="宋体" w:cs="宋体" w:hAnsi="宋体" w:hint="eastAsia"/>
                <w:b/>
                <w:bCs/>
                <w:color w:val="auto"/>
                <w:sz w:val="24"/>
                <w:highlight w:val="none"/>
                <w:lang w:val="zh-CN"/>
              </w:rPr>
              <w:t>条款号</w:t>
            </w:r>
          </w:p>
        </w:tc>
        <w:tc>
          <w:tcPr>
            <w:tcW w:w="1893" w:type="dxa"/>
            <w:tcBorders>
              <w:top w:val="single" w:sz="12"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条款名称</w:t>
            </w:r>
          </w:p>
        </w:tc>
        <w:tc>
          <w:tcPr>
            <w:tcW w:w="6653" w:type="dxa"/>
            <w:tcBorders>
              <w:top w:val="single" w:sz="12" w:space="0" w:color="auto"/>
              <w:left w:val="single" w:sz="6" w:space="0" w:color="auto"/>
              <w:bottom w:val="single" w:sz="6" w:space="0" w:color="auto"/>
              <w:right w:val="single" w:sz="12" w:space="0" w:color="auto"/>
            </w:tcBorders>
            <w:vAlign w:val="center"/>
          </w:tcPr>
          <w:p>
            <w:pPr>
              <w:pStyle w:val="style0"/>
              <w:autoSpaceDE w:val="false"/>
              <w:autoSpaceDN w:val="false"/>
              <w:adjustRightIn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编列内容</w:t>
            </w:r>
          </w:p>
        </w:tc>
      </w:tr>
      <w:tr>
        <w:tblPrEx/>
        <w:trPr>
          <w:trHeight w:val="422" w:hRule="atLeast"/>
          <w:jc w:val="center"/>
        </w:trPr>
        <w:tc>
          <w:tcPr>
            <w:tcW w:w="508" w:type="dxa"/>
            <w:vMerge w:val="restart"/>
            <w:tcBorders>
              <w:top w:val="single" w:sz="6" w:space="0" w:color="auto"/>
              <w:left w:val="single" w:sz="12" w:space="0" w:color="auto"/>
              <w:right w:val="single" w:sz="6" w:space="0" w:color="auto"/>
            </w:tcBorders>
            <w:vAlign w:val="center"/>
          </w:tcPr>
          <w:p>
            <w:pPr>
              <w:pStyle w:val="style0"/>
              <w:autoSpaceDE w:val="false"/>
              <w:autoSpaceDN w:val="false"/>
              <w:adjustRightInd w:val="false"/>
              <w:snapToGrid w:val="false"/>
              <w:spacing w:lineRule="exact" w:line="460"/>
              <w:rPr>
                <w:rFonts w:ascii="宋体" w:cs="宋体" w:hAnsi="宋体"/>
                <w:b/>
                <w:bCs/>
                <w:color w:val="auto"/>
                <w:sz w:val="24"/>
                <w:highlight w:val="none"/>
              </w:rPr>
            </w:pPr>
            <w:r>
              <w:rPr>
                <w:rFonts w:ascii="宋体" w:cs="宋体" w:hAnsi="宋体" w:hint="eastAsia"/>
                <w:b/>
                <w:bCs/>
                <w:color w:val="auto"/>
                <w:sz w:val="24"/>
                <w:highlight w:val="none"/>
              </w:rPr>
              <w:t>第一章</w:t>
            </w: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Cs w:val="21"/>
                <w:highlight w:val="none"/>
              </w:rPr>
            </w:pPr>
            <w:r>
              <w:rPr>
                <w:rFonts w:ascii="宋体" w:cs="宋体" w:hAnsi="宋体" w:hint="eastAsia"/>
                <w:b/>
                <w:bCs/>
                <w:color w:val="auto"/>
                <w:szCs w:val="21"/>
                <w:highlight w:val="none"/>
              </w:rPr>
              <w:t>1.2</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color w:val="auto"/>
                <w:sz w:val="24"/>
                <w:highlight w:val="none"/>
                <w:lang w:val="zh-CN"/>
              </w:rPr>
            </w:pPr>
            <w:r>
              <w:rPr>
                <w:rFonts w:ascii="宋体" w:cs="宋体" w:hAnsi="宋体" w:hint="eastAsia"/>
                <w:b/>
                <w:bCs/>
                <w:color w:val="auto"/>
                <w:sz w:val="24"/>
                <w:highlight w:val="none"/>
              </w:rPr>
              <w:t>采购项目名称</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utoSpaceDE w:val="false"/>
              <w:autoSpaceDN w:val="false"/>
              <w:adjustRightInd w:val="false"/>
              <w:snapToGrid w:val="false"/>
              <w:spacing w:lineRule="exact" w:line="460"/>
              <w:rPr>
                <w:rFonts w:ascii="宋体" w:cs="宋体" w:hAnsi="宋体"/>
                <w:color w:val="auto"/>
                <w:sz w:val="24"/>
                <w:highlight w:val="none"/>
                <w:lang w:val="zh-CN"/>
              </w:rPr>
            </w:pPr>
            <w:r>
              <w:rPr>
                <w:rFonts w:ascii="宋体" w:cs="宋体" w:hAnsi="宋体" w:hint="eastAsia"/>
                <w:color w:val="auto"/>
                <w:sz w:val="24"/>
                <w:szCs w:val="24"/>
                <w:highlight w:val="none"/>
              </w:rPr>
              <w:t>见“第一章竞争性磋商公告”相应条款</w:t>
            </w:r>
          </w:p>
        </w:tc>
      </w:tr>
      <w:tr>
        <w:tblPrEx/>
        <w:trPr>
          <w:trHeight w:val="422" w:hRule="atLeast"/>
          <w:jc w:val="center"/>
        </w:trPr>
        <w:tc>
          <w:tcPr>
            <w:tcW w:w="508" w:type="dxa"/>
            <w:vMerge w:val="continue"/>
            <w:tcBorders>
              <w:top w:val="single" w:sz="6" w:space="0" w:color="auto"/>
              <w:left w:val="single" w:sz="12" w:space="0" w:color="auto"/>
              <w:right w:val="single" w:sz="6" w:space="0" w:color="auto"/>
            </w:tcBorders>
            <w:vAlign w:val="center"/>
          </w:tcPr>
          <w:p>
            <w:pPr>
              <w:pStyle w:val="style0"/>
              <w:autoSpaceDE w:val="false"/>
              <w:autoSpaceDN w:val="false"/>
              <w:adjustRightInd w:val="false"/>
              <w:snapToGrid w:val="false"/>
              <w:spacing w:lineRule="exact" w:line="460"/>
              <w:rPr>
                <w:rFonts w:ascii="宋体" w:cs="宋体" w:hAnsi="宋体"/>
                <w:b/>
                <w:bCs/>
                <w:color w:val="auto"/>
                <w:sz w:val="24"/>
                <w:highlight w:val="none"/>
              </w:rPr>
            </w:pP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Cs w:val="21"/>
                <w:highlight w:val="none"/>
              </w:rPr>
            </w:pPr>
            <w:r>
              <w:rPr>
                <w:rFonts w:ascii="宋体" w:cs="宋体" w:hAnsi="宋体" w:hint="eastAsia"/>
                <w:b/>
                <w:bCs/>
                <w:color w:val="auto"/>
                <w:szCs w:val="21"/>
                <w:highlight w:val="none"/>
              </w:rPr>
              <w:t>1.1</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rPr>
            </w:pPr>
            <w:r>
              <w:rPr>
                <w:rFonts w:ascii="宋体" w:cs="宋体" w:hAnsi="宋体" w:hint="eastAsia"/>
                <w:b/>
                <w:bCs/>
                <w:color w:val="auto"/>
                <w:sz w:val="24"/>
                <w:highlight w:val="none"/>
              </w:rPr>
              <w:t>项目编号</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utoSpaceDE w:val="false"/>
              <w:autoSpaceDN w:val="false"/>
              <w:adjustRightInd w:val="false"/>
              <w:snapToGrid w:val="false"/>
              <w:spacing w:lineRule="exact" w:line="460"/>
              <w:rPr>
                <w:rFonts w:ascii="宋体" w:cs="宋体" w:hAnsi="宋体"/>
                <w:color w:val="auto"/>
                <w:sz w:val="24"/>
                <w:szCs w:val="24"/>
                <w:highlight w:val="none"/>
              </w:rPr>
            </w:pPr>
            <w:r>
              <w:rPr>
                <w:rFonts w:ascii="宋体" w:cs="宋体" w:hAnsi="宋体" w:hint="eastAsia"/>
                <w:color w:val="auto"/>
                <w:sz w:val="24"/>
                <w:szCs w:val="24"/>
                <w:highlight w:val="none"/>
              </w:rPr>
              <w:t>见“第一章竞争性磋商公告”相应条款</w:t>
            </w:r>
          </w:p>
        </w:tc>
      </w:tr>
      <w:tr>
        <w:tblPrEx/>
        <w:trPr>
          <w:trHeight w:val="422" w:hRule="atLeast"/>
          <w:jc w:val="center"/>
        </w:trPr>
        <w:tc>
          <w:tcPr>
            <w:tcW w:w="508" w:type="dxa"/>
            <w:vMerge w:val="continue"/>
            <w:tcBorders>
              <w:top w:val="single" w:sz="6" w:space="0" w:color="auto"/>
              <w:left w:val="single" w:sz="12" w:space="0" w:color="auto"/>
              <w:right w:val="single" w:sz="6" w:space="0" w:color="auto"/>
            </w:tcBorders>
            <w:vAlign w:val="center"/>
          </w:tcPr>
          <w:p>
            <w:pPr>
              <w:pStyle w:val="style0"/>
              <w:autoSpaceDE w:val="false"/>
              <w:autoSpaceDN w:val="false"/>
              <w:adjustRightInd w:val="false"/>
              <w:snapToGrid w:val="false"/>
              <w:spacing w:lineRule="exact" w:line="460"/>
              <w:rPr>
                <w:rFonts w:ascii="宋体" w:cs="宋体" w:hAnsi="宋体"/>
                <w:b/>
                <w:bCs/>
                <w:color w:val="auto"/>
                <w:sz w:val="24"/>
                <w:highlight w:val="none"/>
              </w:rPr>
            </w:pP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Cs w:val="21"/>
                <w:highlight w:val="none"/>
              </w:rPr>
            </w:pPr>
            <w:r>
              <w:rPr>
                <w:rFonts w:ascii="宋体" w:cs="宋体" w:hAnsi="宋体" w:hint="eastAsia"/>
                <w:b/>
                <w:bCs/>
                <w:color w:val="auto"/>
                <w:szCs w:val="21"/>
                <w:highlight w:val="none"/>
              </w:rPr>
              <w:t>1.3</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采购方式</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utoSpaceDE w:val="false"/>
              <w:autoSpaceDN w:val="false"/>
              <w:adjustRightInd w:val="false"/>
              <w:snapToGrid w:val="false"/>
              <w:spacing w:lineRule="exact" w:line="460"/>
              <w:rPr>
                <w:rFonts w:ascii="宋体" w:cs="宋体" w:hAnsi="宋体"/>
                <w:color w:val="auto"/>
                <w:sz w:val="24"/>
                <w:highlight w:val="none"/>
                <w:lang w:val="zh-CN"/>
              </w:rPr>
            </w:pPr>
            <w:r>
              <w:rPr>
                <w:rFonts w:ascii="宋体" w:cs="宋体" w:hAnsi="宋体" w:hint="eastAsia"/>
                <w:color w:val="auto"/>
                <w:sz w:val="24"/>
                <w:szCs w:val="24"/>
                <w:highlight w:val="none"/>
              </w:rPr>
              <w:t>竞争性磋商</w:t>
            </w:r>
          </w:p>
        </w:tc>
      </w:tr>
      <w:tr>
        <w:tblPrEx/>
        <w:trPr>
          <w:trHeight w:val="370" w:hRule="atLeast"/>
          <w:jc w:val="center"/>
        </w:trPr>
        <w:tc>
          <w:tcPr>
            <w:tcW w:w="508" w:type="dxa"/>
            <w:vMerge w:val="continue"/>
            <w:tcBorders>
              <w:left w:val="single" w:sz="12"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Cs w:val="21"/>
                <w:highlight w:val="none"/>
                <w:lang w:val="zh-CN"/>
              </w:rPr>
            </w:pPr>
            <w:r>
              <w:rPr>
                <w:rFonts w:ascii="宋体" w:cs="宋体" w:hAnsi="宋体" w:hint="eastAsia"/>
                <w:b/>
                <w:bCs/>
                <w:color w:val="auto"/>
                <w:szCs w:val="21"/>
                <w:highlight w:val="none"/>
                <w:lang w:val="zh-CN"/>
              </w:rPr>
              <w:t>1.4</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预算金额</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utoSpaceDE w:val="false"/>
              <w:autoSpaceDN w:val="false"/>
              <w:adjustRightInd w:val="false"/>
              <w:snapToGrid w:val="false"/>
              <w:spacing w:lineRule="exact" w:line="460"/>
              <w:rPr>
                <w:rFonts w:ascii="宋体" w:cs="宋体" w:hAnsi="宋体"/>
                <w:color w:val="auto"/>
                <w:sz w:val="24"/>
                <w:highlight w:val="none"/>
                <w:lang w:val="zh-CN"/>
              </w:rPr>
            </w:pPr>
            <w:r>
              <w:rPr>
                <w:rFonts w:ascii="宋体" w:cs="宋体" w:hAnsi="宋体" w:hint="eastAsia"/>
                <w:color w:val="auto"/>
                <w:sz w:val="24"/>
                <w:szCs w:val="24"/>
                <w:highlight w:val="none"/>
              </w:rPr>
              <w:t>见“第一章竞争性磋商公告”相应条款。</w:t>
            </w:r>
            <w:r>
              <w:rPr>
                <w:rFonts w:ascii="宋体" w:cs="宋体" w:hAnsi="宋体" w:hint="eastAsia"/>
                <w:b/>
                <w:color w:val="auto"/>
                <w:sz w:val="24"/>
                <w:highlight w:val="none"/>
                <w:lang w:val="zh-CN"/>
              </w:rPr>
              <w:t>注：供应商的磋商报价未超过</w:t>
            </w:r>
            <w:r>
              <w:rPr>
                <w:rFonts w:ascii="宋体" w:cs="宋体" w:hAnsi="宋体" w:hint="eastAsia"/>
                <w:b/>
                <w:bCs/>
                <w:color w:val="auto"/>
                <w:sz w:val="24"/>
                <w:highlight w:val="none"/>
                <w:lang w:val="zh-CN"/>
              </w:rPr>
              <w:t>预算金额</w:t>
            </w:r>
            <w:r>
              <w:rPr>
                <w:rFonts w:ascii="宋体" w:cs="宋体" w:hAnsi="宋体" w:hint="eastAsia"/>
                <w:b/>
                <w:color w:val="auto"/>
                <w:sz w:val="24"/>
                <w:highlight w:val="none"/>
                <w:lang w:val="zh-CN"/>
              </w:rPr>
              <w:t>的不足三家时，该项目（标段&lt;包&gt;）终止。</w:t>
            </w:r>
          </w:p>
        </w:tc>
      </w:tr>
      <w:tr>
        <w:tblPrEx/>
        <w:trPr>
          <w:trHeight w:val="90" w:hRule="atLeast"/>
          <w:jc w:val="center"/>
        </w:trPr>
        <w:tc>
          <w:tcPr>
            <w:tcW w:w="508" w:type="dxa"/>
            <w:vMerge w:val="continue"/>
            <w:tcBorders>
              <w:left w:val="single" w:sz="12"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Cs w:val="21"/>
                <w:highlight w:val="none"/>
                <w:lang w:val="zh-CN"/>
              </w:rPr>
            </w:pPr>
            <w:r>
              <w:rPr>
                <w:rFonts w:ascii="宋体" w:cs="宋体" w:hAnsi="宋体" w:hint="eastAsia"/>
                <w:b/>
                <w:bCs/>
                <w:color w:val="auto"/>
                <w:szCs w:val="21"/>
                <w:highlight w:val="none"/>
                <w:lang w:val="zh-CN"/>
              </w:rPr>
              <w:t>2</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ind w:right="-73" w:rightChars="-35"/>
              <w:jc w:val="center"/>
              <w:rPr>
                <w:rFonts w:ascii="宋体" w:cs="宋体" w:hAnsi="宋体"/>
                <w:b/>
                <w:color w:val="auto"/>
                <w:sz w:val="24"/>
                <w:szCs w:val="24"/>
                <w:highlight w:val="none"/>
              </w:rPr>
            </w:pPr>
            <w:r>
              <w:rPr>
                <w:rFonts w:ascii="宋体" w:cs="宋体" w:hAnsi="宋体" w:hint="eastAsia"/>
                <w:b/>
                <w:color w:val="auto"/>
                <w:sz w:val="24"/>
                <w:szCs w:val="24"/>
                <w:highlight w:val="none"/>
              </w:rPr>
              <w:t>申请人的资格要求及相关证明材料要求</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utoSpaceDE w:val="false"/>
              <w:autoSpaceDN w:val="false"/>
              <w:adjustRightInd w:val="false"/>
              <w:snapToGrid w:val="false"/>
              <w:spacing w:lineRule="exact" w:line="460"/>
              <w:rPr>
                <w:rFonts w:ascii="宋体" w:cs="宋体" w:hAnsi="宋体"/>
                <w:color w:val="auto"/>
                <w:sz w:val="24"/>
                <w:szCs w:val="24"/>
                <w:highlight w:val="none"/>
              </w:rPr>
            </w:pPr>
            <w:r>
              <w:rPr>
                <w:rFonts w:ascii="宋体" w:cs="宋体" w:hAnsi="宋体" w:hint="eastAsia"/>
                <w:color w:val="auto"/>
                <w:sz w:val="24"/>
                <w:szCs w:val="24"/>
                <w:highlight w:val="none"/>
              </w:rPr>
              <w:t>见“第一章竞争性磋商公告”相应条款</w:t>
            </w:r>
          </w:p>
        </w:tc>
      </w:tr>
      <w:tr>
        <w:tblPrEx/>
        <w:trPr>
          <w:trHeight w:val="90" w:hRule="atLeast"/>
          <w:jc w:val="center"/>
        </w:trPr>
        <w:tc>
          <w:tcPr>
            <w:tcW w:w="508" w:type="dxa"/>
            <w:vMerge w:val="continue"/>
            <w:tcBorders>
              <w:left w:val="single" w:sz="12"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Cs w:val="21"/>
                <w:highlight w:val="none"/>
                <w:lang w:val="zh-CN"/>
              </w:rPr>
            </w:pPr>
            <w:r>
              <w:rPr>
                <w:rFonts w:ascii="宋体" w:cs="宋体" w:hAnsi="宋体" w:hint="eastAsia"/>
                <w:b/>
                <w:bCs/>
                <w:color w:val="auto"/>
                <w:szCs w:val="21"/>
                <w:highlight w:val="none"/>
                <w:lang w:val="zh-CN"/>
              </w:rPr>
              <w:t>8.1</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ind w:right="-73" w:rightChars="-35"/>
              <w:jc w:val="center"/>
              <w:rPr>
                <w:rFonts w:ascii="宋体" w:cs="宋体" w:hAnsi="宋体"/>
                <w:b/>
                <w:color w:val="auto"/>
                <w:sz w:val="24"/>
                <w:szCs w:val="24"/>
                <w:highlight w:val="none"/>
              </w:rPr>
            </w:pPr>
            <w:r>
              <w:rPr>
                <w:rFonts w:ascii="宋体" w:cs="宋体" w:hAnsi="宋体" w:hint="eastAsia"/>
                <w:b/>
                <w:color w:val="auto"/>
                <w:sz w:val="24"/>
                <w:szCs w:val="24"/>
                <w:highlight w:val="none"/>
              </w:rPr>
              <w:t>采购人</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utoSpaceDE w:val="false"/>
              <w:autoSpaceDN w:val="false"/>
              <w:adjustRightInd w:val="false"/>
              <w:snapToGrid w:val="false"/>
              <w:spacing w:lineRule="exact" w:line="460"/>
              <w:rPr>
                <w:rFonts w:ascii="宋体" w:cs="宋体" w:hAnsi="宋体"/>
                <w:color w:val="auto"/>
                <w:sz w:val="24"/>
                <w:szCs w:val="24"/>
                <w:highlight w:val="none"/>
              </w:rPr>
            </w:pPr>
            <w:r>
              <w:rPr>
                <w:rFonts w:ascii="宋体" w:cs="宋体" w:hAnsi="宋体" w:hint="eastAsia"/>
                <w:color w:val="auto"/>
                <w:sz w:val="24"/>
                <w:szCs w:val="24"/>
                <w:highlight w:val="none"/>
              </w:rPr>
              <w:t>见“第一章竞争性磋商公告”相应条款</w:t>
            </w:r>
          </w:p>
        </w:tc>
      </w:tr>
      <w:tr>
        <w:tblPrEx/>
        <w:trPr>
          <w:trHeight w:val="90" w:hRule="atLeast"/>
          <w:jc w:val="center"/>
        </w:trPr>
        <w:tc>
          <w:tcPr>
            <w:tcW w:w="508" w:type="dxa"/>
            <w:vMerge w:val="continue"/>
            <w:tcBorders>
              <w:left w:val="single" w:sz="12" w:space="0" w:color="auto"/>
              <w:bottom w:val="single" w:sz="6"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Cs w:val="21"/>
                <w:highlight w:val="none"/>
                <w:lang w:val="zh-CN"/>
              </w:rPr>
            </w:pPr>
            <w:r>
              <w:rPr>
                <w:rFonts w:ascii="宋体" w:cs="宋体" w:hAnsi="宋体" w:hint="eastAsia"/>
                <w:b/>
                <w:bCs/>
                <w:color w:val="auto"/>
                <w:szCs w:val="21"/>
                <w:highlight w:val="none"/>
                <w:lang w:val="zh-CN"/>
              </w:rPr>
              <w:t>8.2</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ind w:right="-73" w:rightChars="-35"/>
              <w:jc w:val="center"/>
              <w:rPr>
                <w:rFonts w:ascii="宋体" w:cs="宋体" w:hAnsi="宋体"/>
                <w:b/>
                <w:color w:val="auto"/>
                <w:sz w:val="24"/>
                <w:szCs w:val="24"/>
                <w:highlight w:val="none"/>
              </w:rPr>
            </w:pPr>
            <w:r>
              <w:rPr>
                <w:rFonts w:ascii="宋体" w:cs="宋体" w:hAnsi="宋体" w:hint="eastAsia"/>
                <w:b/>
                <w:color w:val="auto"/>
                <w:sz w:val="24"/>
                <w:szCs w:val="24"/>
                <w:highlight w:val="none"/>
              </w:rPr>
              <w:t>采购代理机构</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utoSpaceDE w:val="false"/>
              <w:autoSpaceDN w:val="false"/>
              <w:adjustRightInd w:val="false"/>
              <w:snapToGrid w:val="false"/>
              <w:spacing w:lineRule="exact" w:line="460"/>
              <w:rPr>
                <w:rFonts w:ascii="宋体" w:cs="宋体" w:hAnsi="宋体"/>
                <w:color w:val="auto"/>
                <w:sz w:val="24"/>
                <w:szCs w:val="24"/>
                <w:highlight w:val="none"/>
              </w:rPr>
            </w:pPr>
            <w:r>
              <w:rPr>
                <w:rFonts w:ascii="宋体" w:cs="宋体" w:hAnsi="宋体" w:hint="eastAsia"/>
                <w:color w:val="auto"/>
                <w:sz w:val="24"/>
                <w:szCs w:val="24"/>
                <w:highlight w:val="none"/>
              </w:rPr>
              <w:t>见“第一章竞争性磋商公告”相应条款</w:t>
            </w:r>
          </w:p>
        </w:tc>
      </w:tr>
      <w:tr>
        <w:tblPrEx/>
        <w:trPr>
          <w:trHeight w:val="90" w:hRule="atLeast"/>
          <w:jc w:val="center"/>
        </w:trPr>
        <w:tc>
          <w:tcPr>
            <w:tcW w:w="508" w:type="dxa"/>
            <w:vMerge w:val="restart"/>
            <w:tcBorders>
              <w:top w:val="single" w:sz="6" w:space="0" w:color="auto"/>
              <w:left w:val="single" w:sz="12"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第二章</w:t>
            </w: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Cs w:val="21"/>
                <w:highlight w:val="none"/>
                <w:lang w:val="zh-CN"/>
              </w:rPr>
            </w:pPr>
            <w:r>
              <w:rPr>
                <w:rFonts w:ascii="宋体" w:cs="宋体" w:hAnsi="宋体" w:hint="eastAsia"/>
                <w:b/>
                <w:bCs/>
                <w:color w:val="auto"/>
                <w:szCs w:val="21"/>
                <w:highlight w:val="none"/>
                <w:lang w:val="zh-CN"/>
              </w:rPr>
              <w:t>1.2</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r>
              <w:rPr>
                <w:rFonts w:ascii="宋体" w:cs="宋体" w:hAnsi="宋体" w:hint="eastAsia"/>
                <w:b/>
                <w:color w:val="auto"/>
                <w:sz w:val="24"/>
                <w:szCs w:val="24"/>
                <w:highlight w:val="none"/>
              </w:rPr>
              <w:t>标段（包）划分</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utoSpaceDE w:val="false"/>
              <w:autoSpaceDN w:val="false"/>
              <w:adjustRightInd w:val="false"/>
              <w:snapToGrid w:val="false"/>
              <w:spacing w:lineRule="exact" w:line="460"/>
              <w:rPr>
                <w:rFonts w:ascii="宋体" w:cs="宋体" w:hAnsi="宋体"/>
                <w:color w:val="auto"/>
                <w:sz w:val="24"/>
                <w:highlight w:val="none"/>
                <w:lang w:val="zh-CN"/>
              </w:rPr>
            </w:pPr>
            <w:r>
              <w:rPr>
                <w:rFonts w:ascii="宋体" w:cs="宋体" w:hAnsi="宋体" w:hint="eastAsia"/>
                <w:color w:val="auto"/>
                <w:sz w:val="24"/>
                <w:szCs w:val="24"/>
                <w:highlight w:val="none"/>
              </w:rPr>
              <w:t>见“第二章采购项目及服务要求”相应条款</w:t>
            </w:r>
          </w:p>
        </w:tc>
      </w:tr>
      <w:tr>
        <w:tblPrEx/>
        <w:trPr>
          <w:trHeight w:val="90" w:hRule="atLeast"/>
          <w:jc w:val="center"/>
        </w:trPr>
        <w:tc>
          <w:tcPr>
            <w:tcW w:w="508" w:type="dxa"/>
            <w:vMerge w:val="continue"/>
            <w:tcBorders>
              <w:left w:val="single" w:sz="12"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Cs w:val="21"/>
                <w:highlight w:val="none"/>
                <w:lang w:val="zh-CN"/>
              </w:rPr>
            </w:pPr>
            <w:r>
              <w:rPr>
                <w:rFonts w:ascii="宋体" w:cs="宋体" w:hAnsi="宋体" w:hint="eastAsia"/>
                <w:b/>
                <w:bCs/>
                <w:color w:val="auto"/>
                <w:szCs w:val="21"/>
                <w:highlight w:val="none"/>
                <w:lang w:val="zh-CN"/>
              </w:rPr>
              <w:t>1.2</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rPr>
              <w:t>服务期</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utoSpaceDE w:val="false"/>
              <w:autoSpaceDN w:val="false"/>
              <w:adjustRightInd w:val="false"/>
              <w:snapToGrid w:val="false"/>
              <w:spacing w:lineRule="exact" w:line="460"/>
              <w:rPr>
                <w:rFonts w:ascii="宋体" w:cs="宋体" w:hAnsi="宋体"/>
                <w:bCs/>
                <w:color w:val="auto"/>
                <w:sz w:val="24"/>
                <w:highlight w:val="none"/>
                <w:lang w:val="zh-CN"/>
              </w:rPr>
            </w:pPr>
            <w:r>
              <w:rPr>
                <w:rFonts w:ascii="宋体" w:cs="宋体" w:hAnsi="宋体" w:hint="eastAsia"/>
                <w:color w:val="auto"/>
                <w:sz w:val="24"/>
                <w:highlight w:val="none"/>
              </w:rPr>
              <w:t>见“第二部分采购项目及服务要求”</w:t>
            </w:r>
            <w:r>
              <w:rPr>
                <w:rFonts w:ascii="宋体" w:cs="宋体" w:hAnsi="宋体" w:hint="eastAsia"/>
                <w:color w:val="auto"/>
                <w:sz w:val="24"/>
                <w:szCs w:val="24"/>
                <w:highlight w:val="none"/>
              </w:rPr>
              <w:t>相应条款</w:t>
            </w:r>
          </w:p>
        </w:tc>
      </w:tr>
      <w:tr>
        <w:tblPrEx/>
        <w:trPr>
          <w:trHeight w:val="90" w:hRule="atLeast"/>
          <w:jc w:val="center"/>
        </w:trPr>
        <w:tc>
          <w:tcPr>
            <w:tcW w:w="508" w:type="dxa"/>
            <w:vMerge w:val="continue"/>
            <w:tcBorders>
              <w:left w:val="single" w:sz="12"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Cs w:val="21"/>
                <w:highlight w:val="none"/>
                <w:lang w:val="zh-CN"/>
              </w:rPr>
            </w:pPr>
            <w:r>
              <w:rPr>
                <w:rFonts w:ascii="宋体" w:cs="宋体" w:hAnsi="宋体" w:hint="eastAsia"/>
                <w:b/>
                <w:bCs/>
                <w:color w:val="auto"/>
                <w:szCs w:val="21"/>
                <w:highlight w:val="none"/>
                <w:lang w:val="zh-CN"/>
              </w:rPr>
              <w:t>1.2</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服务地</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utoSpaceDE w:val="false"/>
              <w:autoSpaceDN w:val="false"/>
              <w:adjustRightInd w:val="false"/>
              <w:snapToGrid w:val="false"/>
              <w:spacing w:lineRule="exact" w:line="460"/>
              <w:rPr>
                <w:rFonts w:ascii="宋体" w:cs="宋体" w:hAnsi="宋体"/>
                <w:color w:val="auto"/>
                <w:sz w:val="24"/>
                <w:highlight w:val="none"/>
                <w:lang w:val="zh-CN"/>
              </w:rPr>
            </w:pPr>
            <w:r>
              <w:rPr>
                <w:rFonts w:ascii="宋体" w:cs="宋体" w:hAnsi="宋体" w:hint="eastAsia"/>
                <w:color w:val="auto"/>
                <w:sz w:val="24"/>
                <w:highlight w:val="none"/>
                <w:lang w:val="zh-CN"/>
              </w:rPr>
              <w:t>见“第二</w:t>
            </w:r>
            <w:r>
              <w:rPr>
                <w:rFonts w:ascii="宋体" w:cs="宋体" w:hAnsi="宋体" w:hint="eastAsia"/>
                <w:color w:val="auto"/>
                <w:sz w:val="24"/>
                <w:szCs w:val="24"/>
                <w:highlight w:val="none"/>
              </w:rPr>
              <w:t>章</w:t>
            </w:r>
            <w:r>
              <w:rPr>
                <w:rFonts w:ascii="宋体" w:cs="宋体" w:hAnsi="宋体" w:hint="eastAsia"/>
                <w:color w:val="auto"/>
                <w:sz w:val="24"/>
                <w:highlight w:val="none"/>
                <w:lang w:val="zh-CN"/>
              </w:rPr>
              <w:t>采购项目及服务要求”</w:t>
            </w:r>
            <w:r>
              <w:rPr>
                <w:rFonts w:ascii="宋体" w:cs="宋体" w:hAnsi="宋体" w:hint="eastAsia"/>
                <w:color w:val="auto"/>
                <w:sz w:val="24"/>
                <w:szCs w:val="24"/>
                <w:highlight w:val="none"/>
              </w:rPr>
              <w:t>相应条款</w:t>
            </w:r>
          </w:p>
        </w:tc>
      </w:tr>
      <w:tr>
        <w:tblPrEx/>
        <w:trPr>
          <w:trHeight w:val="90" w:hRule="atLeast"/>
          <w:jc w:val="center"/>
        </w:trPr>
        <w:tc>
          <w:tcPr>
            <w:tcW w:w="508" w:type="dxa"/>
            <w:vMerge w:val="continue"/>
            <w:tcBorders>
              <w:left w:val="single" w:sz="12"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Cs w:val="21"/>
                <w:highlight w:val="none"/>
                <w:lang w:val="zh-CN"/>
              </w:rPr>
            </w:pPr>
            <w:r>
              <w:rPr>
                <w:rFonts w:ascii="宋体" w:cs="宋体" w:hAnsi="宋体" w:hint="eastAsia"/>
                <w:b/>
                <w:bCs/>
                <w:color w:val="auto"/>
                <w:szCs w:val="21"/>
                <w:highlight w:val="none"/>
                <w:lang w:val="zh-CN"/>
              </w:rPr>
              <w:t>1.3</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color w:val="auto"/>
                <w:sz w:val="24"/>
                <w:szCs w:val="24"/>
                <w:highlight w:val="none"/>
              </w:rPr>
            </w:pPr>
            <w:r>
              <w:rPr>
                <w:rFonts w:ascii="宋体" w:cs="宋体" w:hAnsi="宋体" w:hint="eastAsia"/>
                <w:b/>
                <w:color w:val="auto"/>
                <w:sz w:val="24"/>
                <w:szCs w:val="24"/>
                <w:highlight w:val="none"/>
              </w:rPr>
              <w:t>磋商报价</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utoSpaceDE w:val="false"/>
              <w:autoSpaceDN w:val="false"/>
              <w:adjustRightInd w:val="false"/>
              <w:snapToGrid w:val="false"/>
              <w:spacing w:lineRule="exact" w:line="460"/>
              <w:rPr>
                <w:rFonts w:ascii="宋体" w:cs="宋体" w:hAnsi="宋体"/>
                <w:color w:val="auto"/>
                <w:sz w:val="24"/>
                <w:szCs w:val="24"/>
                <w:highlight w:val="none"/>
              </w:rPr>
            </w:pPr>
            <w:r>
              <w:rPr>
                <w:rFonts w:ascii="宋体" w:cs="宋体" w:hAnsi="宋体" w:hint="eastAsia"/>
                <w:color w:val="auto"/>
                <w:sz w:val="24"/>
                <w:szCs w:val="24"/>
                <w:highlight w:val="none"/>
              </w:rPr>
              <w:t>见“第二章采购项目及服务要求”相应条款</w:t>
            </w:r>
          </w:p>
        </w:tc>
      </w:tr>
      <w:tr>
        <w:tblPrEx/>
        <w:trPr>
          <w:trHeight w:val="321" w:hRule="atLeast"/>
          <w:jc w:val="center"/>
        </w:trPr>
        <w:tc>
          <w:tcPr>
            <w:tcW w:w="508" w:type="dxa"/>
            <w:vMerge w:val="continue"/>
            <w:tcBorders>
              <w:left w:val="single" w:sz="12"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Cs w:val="21"/>
                <w:highlight w:val="none"/>
                <w:lang w:val="zh-CN"/>
              </w:rPr>
            </w:pPr>
            <w:r>
              <w:rPr>
                <w:rFonts w:ascii="宋体" w:cs="宋体" w:hAnsi="宋体" w:hint="eastAsia"/>
                <w:b/>
                <w:bCs/>
                <w:color w:val="auto"/>
                <w:szCs w:val="21"/>
                <w:highlight w:val="none"/>
                <w:lang w:val="zh-CN"/>
              </w:rPr>
              <w:t>2</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标段（包）内容（范围）及服务要求</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utoSpaceDE w:val="false"/>
              <w:autoSpaceDN w:val="false"/>
              <w:adjustRightInd w:val="false"/>
              <w:snapToGrid w:val="false"/>
              <w:spacing w:lineRule="exact" w:line="460"/>
              <w:rPr>
                <w:rFonts w:ascii="宋体" w:cs="宋体" w:hAnsi="宋体"/>
                <w:color w:val="auto"/>
                <w:sz w:val="24"/>
                <w:highlight w:val="none"/>
                <w:lang w:val="zh-CN"/>
              </w:rPr>
            </w:pPr>
            <w:r>
              <w:rPr>
                <w:rFonts w:ascii="宋体" w:cs="宋体" w:hAnsi="宋体" w:hint="eastAsia"/>
                <w:color w:val="auto"/>
                <w:sz w:val="24"/>
                <w:highlight w:val="none"/>
                <w:lang w:val="zh-CN"/>
              </w:rPr>
              <w:t>见“第二</w:t>
            </w:r>
            <w:r>
              <w:rPr>
                <w:rFonts w:ascii="宋体" w:cs="宋体" w:hAnsi="宋体" w:hint="eastAsia"/>
                <w:color w:val="auto"/>
                <w:sz w:val="24"/>
                <w:szCs w:val="24"/>
                <w:highlight w:val="none"/>
              </w:rPr>
              <w:t>章</w:t>
            </w:r>
            <w:r>
              <w:rPr>
                <w:rFonts w:ascii="宋体" w:cs="宋体" w:hAnsi="宋体" w:hint="eastAsia"/>
                <w:color w:val="auto"/>
                <w:sz w:val="24"/>
                <w:highlight w:val="none"/>
                <w:lang w:val="zh-CN"/>
              </w:rPr>
              <w:t>采购项目及服务要求”</w:t>
            </w:r>
            <w:r>
              <w:rPr>
                <w:rFonts w:ascii="宋体" w:cs="宋体" w:hAnsi="宋体" w:hint="eastAsia"/>
                <w:color w:val="auto"/>
                <w:sz w:val="24"/>
                <w:szCs w:val="24"/>
                <w:highlight w:val="none"/>
              </w:rPr>
              <w:t>相应条款</w:t>
            </w:r>
          </w:p>
        </w:tc>
      </w:tr>
      <w:tr>
        <w:tblPrEx/>
        <w:trPr>
          <w:trHeight w:val="366" w:hRule="atLeast"/>
          <w:jc w:val="center"/>
        </w:trPr>
        <w:tc>
          <w:tcPr>
            <w:tcW w:w="508" w:type="dxa"/>
            <w:vMerge w:val="restart"/>
            <w:tcBorders>
              <w:top w:val="single" w:sz="6" w:space="0" w:color="auto"/>
              <w:left w:val="single" w:sz="12"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第三章</w:t>
            </w: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Cs w:val="21"/>
                <w:highlight w:val="none"/>
                <w:lang w:val="zh-CN"/>
              </w:rPr>
            </w:pPr>
            <w:r>
              <w:rPr>
                <w:rFonts w:ascii="宋体" w:cs="宋体" w:hAnsi="宋体" w:hint="eastAsia"/>
                <w:b/>
                <w:bCs/>
                <w:color w:val="auto"/>
                <w:szCs w:val="21"/>
                <w:highlight w:val="none"/>
                <w:lang w:val="zh-CN"/>
              </w:rPr>
              <w:t>1.4</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联合体投标</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utoSpaceDE w:val="false"/>
              <w:autoSpaceDN w:val="false"/>
              <w:adjustRightInd w:val="false"/>
              <w:snapToGrid w:val="false"/>
              <w:spacing w:lineRule="exact" w:line="460"/>
              <w:rPr>
                <w:rFonts w:ascii="宋体" w:cs="宋体" w:hAnsi="宋体"/>
                <w:color w:val="auto"/>
                <w:sz w:val="24"/>
                <w:highlight w:val="none"/>
                <w:lang w:val="zh-CN"/>
              </w:rPr>
            </w:pPr>
            <w:r>
              <w:rPr>
                <w:rFonts w:ascii="宋体" w:cs="宋体" w:hAnsi="宋体" w:hint="eastAsia"/>
                <w:color w:val="auto"/>
                <w:sz w:val="24"/>
                <w:highlight w:val="none"/>
                <w:lang w:val="zh-CN"/>
              </w:rPr>
              <w:t xml:space="preserve">不接受   </w:t>
            </w:r>
          </w:p>
        </w:tc>
      </w:tr>
      <w:tr>
        <w:tblPrEx/>
        <w:trPr>
          <w:trHeight w:val="447" w:hRule="atLeast"/>
          <w:jc w:val="center"/>
        </w:trPr>
        <w:tc>
          <w:tcPr>
            <w:tcW w:w="508" w:type="dxa"/>
            <w:vMerge w:val="continue"/>
            <w:tcBorders>
              <w:left w:val="single" w:sz="12"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rPr>
            </w:pP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Cs w:val="21"/>
                <w:highlight w:val="none"/>
              </w:rPr>
            </w:pPr>
            <w:r>
              <w:rPr>
                <w:rFonts w:ascii="宋体" w:cs="宋体" w:hAnsi="宋体" w:hint="eastAsia"/>
                <w:b/>
                <w:bCs/>
                <w:color w:val="auto"/>
                <w:szCs w:val="21"/>
                <w:highlight w:val="none"/>
              </w:rPr>
              <w:t>1.10</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踏勘现场</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utoSpaceDE w:val="false"/>
              <w:autoSpaceDN w:val="false"/>
              <w:adjustRightInd w:val="false"/>
              <w:snapToGrid w:val="false"/>
              <w:spacing w:lineRule="exact" w:line="460"/>
              <w:rPr>
                <w:rFonts w:ascii="宋体" w:cs="宋体" w:hAnsi="宋体"/>
                <w:color w:val="auto"/>
                <w:sz w:val="24"/>
                <w:highlight w:val="none"/>
                <w:lang w:val="zh-CN"/>
              </w:rPr>
            </w:pPr>
            <w:r>
              <w:rPr>
                <w:rFonts w:ascii="宋体" w:cs="宋体" w:hAnsi="宋体" w:hint="eastAsia"/>
                <w:color w:val="auto"/>
                <w:sz w:val="24"/>
                <w:highlight w:val="none"/>
                <w:lang w:val="zh-CN"/>
              </w:rPr>
              <w:t>不组织</w:t>
            </w:r>
          </w:p>
        </w:tc>
      </w:tr>
      <w:tr>
        <w:tblPrEx/>
        <w:trPr>
          <w:trHeight w:val="447" w:hRule="atLeast"/>
          <w:jc w:val="center"/>
        </w:trPr>
        <w:tc>
          <w:tcPr>
            <w:tcW w:w="508" w:type="dxa"/>
            <w:vMerge w:val="continue"/>
            <w:tcBorders>
              <w:left w:val="single" w:sz="12"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rPr>
            </w:pP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ind w:right="-88" w:rightChars="-42"/>
              <w:jc w:val="center"/>
              <w:rPr>
                <w:rFonts w:ascii="宋体" w:cs="宋体" w:hAnsi="宋体"/>
                <w:b/>
                <w:bCs/>
                <w:color w:val="auto"/>
                <w:szCs w:val="21"/>
                <w:highlight w:val="none"/>
              </w:rPr>
            </w:pPr>
            <w:r>
              <w:rPr>
                <w:rFonts w:ascii="宋体" w:cs="宋体" w:hAnsi="宋体" w:hint="eastAsia"/>
                <w:b/>
                <w:bCs/>
                <w:color w:val="auto"/>
                <w:szCs w:val="21"/>
                <w:highlight w:val="none"/>
              </w:rPr>
              <w:t>1.11</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投标预备会</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utoSpaceDE w:val="false"/>
              <w:autoSpaceDN w:val="false"/>
              <w:adjustRightInd w:val="false"/>
              <w:snapToGrid w:val="false"/>
              <w:spacing w:lineRule="exact" w:line="460"/>
              <w:rPr>
                <w:rFonts w:ascii="宋体" w:cs="宋体" w:hAnsi="宋体"/>
                <w:color w:val="auto"/>
                <w:sz w:val="24"/>
                <w:highlight w:val="none"/>
                <w:lang w:val="zh-CN"/>
              </w:rPr>
            </w:pPr>
            <w:r>
              <w:rPr>
                <w:rFonts w:ascii="宋体" w:cs="宋体" w:hAnsi="宋体" w:hint="eastAsia"/>
                <w:color w:val="auto"/>
                <w:sz w:val="24"/>
                <w:highlight w:val="none"/>
                <w:lang w:val="zh-CN"/>
              </w:rPr>
              <w:t>不召开</w:t>
            </w:r>
          </w:p>
        </w:tc>
      </w:tr>
      <w:tr>
        <w:tblPrEx/>
        <w:trPr>
          <w:trHeight w:val="447" w:hRule="atLeast"/>
          <w:jc w:val="center"/>
        </w:trPr>
        <w:tc>
          <w:tcPr>
            <w:tcW w:w="508" w:type="dxa"/>
            <w:vMerge w:val="continue"/>
            <w:tcBorders>
              <w:left w:val="single" w:sz="12"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rPr>
            </w:pP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ind w:right="-88" w:rightChars="-42"/>
              <w:jc w:val="center"/>
              <w:rPr>
                <w:rFonts w:ascii="宋体" w:cs="宋体" w:hAnsi="宋体"/>
                <w:b/>
                <w:bCs/>
                <w:color w:val="auto"/>
                <w:szCs w:val="21"/>
                <w:highlight w:val="none"/>
              </w:rPr>
            </w:pPr>
            <w:r>
              <w:rPr>
                <w:rFonts w:ascii="宋体" w:cs="宋体" w:hAnsi="宋体" w:hint="eastAsia"/>
                <w:b/>
                <w:bCs/>
                <w:color w:val="auto"/>
                <w:szCs w:val="21"/>
                <w:highlight w:val="none"/>
              </w:rPr>
              <w:t>1.12</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分包</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utoSpaceDE w:val="false"/>
              <w:autoSpaceDN w:val="false"/>
              <w:adjustRightInd w:val="false"/>
              <w:snapToGrid w:val="false"/>
              <w:spacing w:lineRule="exact" w:line="460"/>
              <w:rPr>
                <w:rFonts w:ascii="宋体" w:cs="宋体" w:hAnsi="宋体"/>
                <w:color w:val="auto"/>
                <w:sz w:val="24"/>
                <w:highlight w:val="none"/>
                <w:lang w:val="zh-CN"/>
              </w:rPr>
            </w:pPr>
            <w:r>
              <w:rPr>
                <w:rFonts w:ascii="宋体" w:cs="宋体" w:hAnsi="宋体" w:hint="eastAsia"/>
                <w:color w:val="auto"/>
                <w:sz w:val="24"/>
                <w:highlight w:val="none"/>
                <w:lang w:val="zh-CN"/>
              </w:rPr>
              <w:t xml:space="preserve">不允许  </w:t>
            </w:r>
          </w:p>
        </w:tc>
      </w:tr>
      <w:tr>
        <w:tblPrEx/>
        <w:trPr>
          <w:trHeight w:val="447" w:hRule="atLeast"/>
          <w:jc w:val="center"/>
        </w:trPr>
        <w:tc>
          <w:tcPr>
            <w:tcW w:w="508" w:type="dxa"/>
            <w:vMerge w:val="continue"/>
            <w:tcBorders>
              <w:left w:val="single" w:sz="12"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rPr>
            </w:pP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ind w:right="-88" w:rightChars="-42"/>
              <w:jc w:val="center"/>
              <w:rPr>
                <w:rFonts w:ascii="宋体" w:cs="宋体" w:hAnsi="宋体"/>
                <w:b/>
                <w:bCs/>
                <w:color w:val="auto"/>
                <w:szCs w:val="21"/>
                <w:highlight w:val="none"/>
              </w:rPr>
            </w:pPr>
            <w:r>
              <w:rPr>
                <w:rFonts w:ascii="宋体" w:cs="宋体" w:hAnsi="宋体" w:hint="eastAsia"/>
                <w:b/>
                <w:bCs/>
                <w:color w:val="auto"/>
                <w:szCs w:val="21"/>
                <w:highlight w:val="none"/>
              </w:rPr>
              <w:t>2.1</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rPr>
            </w:pPr>
            <w:r>
              <w:rPr>
                <w:rFonts w:ascii="宋体" w:cs="宋体" w:hAnsi="宋体" w:hint="eastAsia"/>
                <w:b/>
                <w:bCs/>
                <w:color w:val="auto"/>
                <w:sz w:val="24"/>
                <w:highlight w:val="none"/>
                <w:lang w:val="zh-CN"/>
              </w:rPr>
              <w:t>构成《磋商文件》的其他材料</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utoSpaceDE w:val="false"/>
              <w:autoSpaceDN w:val="false"/>
              <w:adjustRightInd w:val="false"/>
              <w:snapToGrid w:val="false"/>
              <w:spacing w:lineRule="exact" w:line="460"/>
              <w:rPr>
                <w:rFonts w:ascii="宋体" w:cs="宋体" w:hAnsi="宋体"/>
                <w:color w:val="auto"/>
                <w:sz w:val="24"/>
                <w:highlight w:val="none"/>
                <w:lang w:val="zh-CN"/>
              </w:rPr>
            </w:pPr>
            <w:r>
              <w:rPr>
                <w:rFonts w:ascii="宋体" w:cs="宋体" w:hAnsi="宋体" w:hint="eastAsia"/>
                <w:color w:val="auto"/>
                <w:sz w:val="24"/>
                <w:highlight w:val="none"/>
                <w:lang w:val="zh-CN"/>
              </w:rPr>
              <w:t>见“第三章 供应商须知” 相应条款</w:t>
            </w:r>
          </w:p>
        </w:tc>
      </w:tr>
      <w:tr>
        <w:tblPrEx/>
        <w:trPr>
          <w:trHeight w:val="604" w:hRule="atLeast"/>
          <w:jc w:val="center"/>
        </w:trPr>
        <w:tc>
          <w:tcPr>
            <w:tcW w:w="508" w:type="dxa"/>
            <w:vMerge w:val="continue"/>
            <w:tcBorders>
              <w:left w:val="single" w:sz="12"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rPr>
            </w:pP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ind w:left="-134" w:leftChars="-64" w:right="-88" w:rightChars="-42"/>
              <w:jc w:val="center"/>
              <w:rPr>
                <w:rFonts w:ascii="宋体" w:cs="宋体" w:hAnsi="宋体"/>
                <w:b/>
                <w:bCs/>
                <w:color w:val="auto"/>
                <w:szCs w:val="21"/>
                <w:highlight w:val="none"/>
                <w:lang w:val="zh-CN"/>
              </w:rPr>
            </w:pPr>
            <w:r>
              <w:rPr>
                <w:rFonts w:ascii="宋体" w:cs="宋体" w:hAnsi="宋体" w:hint="eastAsia"/>
                <w:b/>
                <w:bCs/>
                <w:color w:val="auto"/>
                <w:szCs w:val="21"/>
                <w:highlight w:val="none"/>
              </w:rPr>
              <w:t xml:space="preserve">2.2.1 </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ind w:right="-178" w:rightChars="-85"/>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供应商提出问题的截止时间</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utoSpaceDE w:val="false"/>
              <w:autoSpaceDN w:val="false"/>
              <w:adjustRightInd w:val="false"/>
              <w:snapToGrid w:val="false"/>
              <w:spacing w:lineRule="exact" w:line="460"/>
              <w:rPr>
                <w:rFonts w:ascii="宋体" w:cs="宋体" w:hAnsi="宋体"/>
                <w:color w:val="auto"/>
                <w:sz w:val="24"/>
                <w:highlight w:val="none"/>
                <w:lang w:val="zh-CN"/>
              </w:rPr>
            </w:pPr>
            <w:r>
              <w:rPr>
                <w:rFonts w:ascii="宋体" w:cs="宋体" w:hAnsi="宋体" w:hint="eastAsia"/>
                <w:color w:val="auto"/>
                <w:sz w:val="24"/>
                <w:highlight w:val="none"/>
                <w:lang w:val="zh-CN"/>
              </w:rPr>
              <w:t xml:space="preserve">投标截止时间2日前  </w:t>
            </w:r>
          </w:p>
        </w:tc>
      </w:tr>
      <w:tr>
        <w:tblPrEx/>
        <w:trPr>
          <w:trHeight w:val="604" w:hRule="atLeast"/>
          <w:jc w:val="center"/>
        </w:trPr>
        <w:tc>
          <w:tcPr>
            <w:tcW w:w="508" w:type="dxa"/>
            <w:vMerge w:val="continue"/>
            <w:tcBorders>
              <w:left w:val="single" w:sz="12"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rPr>
            </w:pP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ind w:right="-88" w:rightChars="-42"/>
              <w:rPr>
                <w:rFonts w:ascii="宋体" w:cs="宋体" w:hAnsi="宋体"/>
                <w:b/>
                <w:bCs/>
                <w:color w:val="auto"/>
                <w:szCs w:val="21"/>
                <w:highlight w:val="none"/>
                <w:lang w:val="zh-CN"/>
              </w:rPr>
            </w:pPr>
            <w:r>
              <w:rPr>
                <w:rFonts w:ascii="宋体" w:cs="宋体" w:hAnsi="宋体" w:hint="eastAsia"/>
                <w:b/>
                <w:bCs/>
                <w:color w:val="auto"/>
                <w:szCs w:val="21"/>
                <w:highlight w:val="none"/>
                <w:lang w:val="zh-CN"/>
              </w:rPr>
              <w:t xml:space="preserve">2.3   </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ind w:right="-178" w:rightChars="-85"/>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《磋商文件》澄清修改补充时间</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utoSpaceDE w:val="false"/>
              <w:autoSpaceDN w:val="false"/>
              <w:adjustRightInd w:val="false"/>
              <w:snapToGrid w:val="false"/>
              <w:spacing w:lineRule="exact" w:line="460"/>
              <w:rPr>
                <w:rFonts w:ascii="宋体" w:cs="宋体" w:hAnsi="宋体"/>
                <w:color w:val="auto"/>
                <w:sz w:val="24"/>
                <w:highlight w:val="none"/>
                <w:lang w:val="zh-CN"/>
              </w:rPr>
            </w:pPr>
            <w:r>
              <w:rPr>
                <w:rFonts w:ascii="宋体" w:cs="宋体" w:hAnsi="宋体" w:hint="eastAsia"/>
                <w:color w:val="auto"/>
                <w:sz w:val="24"/>
                <w:highlight w:val="none"/>
                <w:lang w:val="zh-CN"/>
              </w:rPr>
              <w:t>投标截止时间</w:t>
            </w:r>
            <w:r>
              <w:rPr>
                <w:rFonts w:ascii="宋体" w:cs="宋体" w:hAnsi="宋体" w:hint="eastAsia"/>
                <w:color w:val="auto"/>
                <w:sz w:val="24"/>
                <w:highlight w:val="none"/>
              </w:rPr>
              <w:t>5</w:t>
            </w:r>
            <w:r>
              <w:rPr>
                <w:rFonts w:ascii="宋体" w:cs="宋体" w:hAnsi="宋体" w:hint="eastAsia"/>
                <w:color w:val="auto"/>
                <w:sz w:val="24"/>
                <w:highlight w:val="none"/>
                <w:lang w:val="zh-CN"/>
              </w:rPr>
              <w:t>日前。</w:t>
            </w:r>
          </w:p>
        </w:tc>
      </w:tr>
      <w:tr>
        <w:tblPrEx/>
        <w:trPr>
          <w:trHeight w:val="300" w:hRule="atLeast"/>
          <w:jc w:val="center"/>
        </w:trPr>
        <w:tc>
          <w:tcPr>
            <w:tcW w:w="508" w:type="dxa"/>
            <w:vMerge w:val="continue"/>
            <w:tcBorders>
              <w:left w:val="single" w:sz="12"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ind w:right="-88" w:rightChars="-42"/>
              <w:rPr>
                <w:rFonts w:ascii="宋体" w:cs="宋体" w:hAnsi="宋体"/>
                <w:b/>
                <w:bCs/>
                <w:color w:val="auto"/>
                <w:szCs w:val="21"/>
                <w:highlight w:val="none"/>
              </w:rPr>
            </w:pPr>
            <w:r>
              <w:rPr>
                <w:rFonts w:ascii="宋体" w:cs="宋体" w:hAnsi="宋体" w:hint="eastAsia"/>
                <w:b/>
                <w:bCs/>
                <w:color w:val="auto"/>
                <w:szCs w:val="21"/>
                <w:highlight w:val="none"/>
                <w:lang w:val="zh-CN"/>
              </w:rPr>
              <w:t xml:space="preserve">2.4   </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ind w:left="-126" w:leftChars="-60" w:right="-36" w:rightChars="-17"/>
              <w:jc w:val="center"/>
              <w:rPr>
                <w:rFonts w:ascii="宋体" w:cs="宋体" w:hAnsi="宋体"/>
                <w:b/>
                <w:bCs/>
                <w:color w:val="auto"/>
                <w:szCs w:val="21"/>
                <w:highlight w:val="none"/>
                <w:lang w:val="zh-CN"/>
              </w:rPr>
            </w:pPr>
            <w:r>
              <w:rPr>
                <w:rFonts w:ascii="宋体" w:cs="宋体" w:hAnsi="宋体" w:hint="eastAsia"/>
                <w:b/>
                <w:bCs/>
                <w:color w:val="auto"/>
                <w:szCs w:val="21"/>
                <w:highlight w:val="none"/>
                <w:lang w:val="zh-CN"/>
              </w:rPr>
              <w:t>《磋商文件》的澄清修改补充告知方式</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utoSpaceDE w:val="false"/>
              <w:autoSpaceDN w:val="false"/>
              <w:adjustRightInd w:val="false"/>
              <w:snapToGrid w:val="false"/>
              <w:spacing w:lineRule="exact" w:line="460"/>
              <w:rPr>
                <w:rFonts w:ascii="宋体" w:cs="宋体" w:hAnsi="宋体"/>
                <w:color w:val="auto"/>
                <w:sz w:val="24"/>
                <w:highlight w:val="none"/>
                <w:lang w:val="zh-CN"/>
              </w:rPr>
            </w:pPr>
            <w:r>
              <w:rPr>
                <w:rFonts w:ascii="宋体" w:cs="宋体" w:hAnsi="宋体" w:hint="eastAsia"/>
                <w:color w:val="auto"/>
                <w:sz w:val="24"/>
                <w:highlight w:val="none"/>
                <w:lang w:val="zh-CN"/>
              </w:rPr>
              <w:t>见“第三章 供应商须知” 相应条款</w:t>
            </w:r>
          </w:p>
        </w:tc>
      </w:tr>
      <w:tr>
        <w:tblPrEx/>
        <w:trPr>
          <w:trHeight w:val="535" w:hRule="atLeast"/>
          <w:jc w:val="center"/>
        </w:trPr>
        <w:tc>
          <w:tcPr>
            <w:tcW w:w="508" w:type="dxa"/>
            <w:vMerge w:val="continue"/>
            <w:tcBorders>
              <w:left w:val="single" w:sz="12" w:space="0" w:color="auto"/>
              <w:bottom w:val="single" w:sz="6"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ind w:right="-88" w:rightChars="-42"/>
              <w:jc w:val="center"/>
              <w:rPr>
                <w:rFonts w:ascii="宋体" w:cs="宋体" w:hAnsi="宋体"/>
                <w:b/>
                <w:bCs/>
                <w:color w:val="auto"/>
                <w:szCs w:val="21"/>
                <w:highlight w:val="none"/>
                <w:lang w:val="zh-CN"/>
              </w:rPr>
            </w:pPr>
            <w:r>
              <w:rPr>
                <w:rFonts w:ascii="宋体" w:cs="宋体" w:hAnsi="宋体" w:hint="eastAsia"/>
                <w:b/>
                <w:bCs/>
                <w:color w:val="auto"/>
                <w:szCs w:val="21"/>
                <w:highlight w:val="none"/>
                <w:lang w:val="zh-CN"/>
              </w:rPr>
              <w:t>3.2</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构成《响应文件》的其他材料</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utoSpaceDE w:val="false"/>
              <w:autoSpaceDN w:val="false"/>
              <w:adjustRightInd w:val="false"/>
              <w:snapToGrid w:val="false"/>
              <w:spacing w:lineRule="exact" w:line="460"/>
              <w:rPr>
                <w:rFonts w:ascii="宋体" w:cs="宋体" w:hAnsi="宋体"/>
                <w:color w:val="auto"/>
                <w:sz w:val="24"/>
                <w:highlight w:val="none"/>
                <w:lang w:val="zh-CN"/>
              </w:rPr>
            </w:pPr>
            <w:r>
              <w:rPr>
                <w:rFonts w:ascii="宋体" w:cs="宋体" w:hAnsi="宋体" w:hint="eastAsia"/>
                <w:color w:val="auto"/>
                <w:sz w:val="24"/>
                <w:highlight w:val="none"/>
                <w:lang w:val="zh-CN"/>
              </w:rPr>
              <w:t>见“第三章 供应商须知” 相应条款</w:t>
            </w:r>
          </w:p>
        </w:tc>
      </w:tr>
      <w:tr>
        <w:tblPrEx/>
        <w:trPr>
          <w:trHeight w:val="535" w:hRule="atLeast"/>
          <w:jc w:val="center"/>
        </w:trPr>
        <w:tc>
          <w:tcPr>
            <w:tcW w:w="508" w:type="dxa"/>
            <w:vMerge w:val="restart"/>
            <w:tcBorders>
              <w:top w:val="single" w:sz="6" w:space="0" w:color="auto"/>
              <w:left w:val="single" w:sz="12"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第三章</w:t>
            </w: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ind w:right="-88" w:rightChars="-42"/>
              <w:jc w:val="center"/>
              <w:rPr>
                <w:rFonts w:ascii="宋体" w:cs="宋体" w:hAnsi="宋体"/>
                <w:b/>
                <w:bCs/>
                <w:color w:val="auto"/>
                <w:szCs w:val="21"/>
                <w:highlight w:val="none"/>
                <w:lang w:val="zh-CN"/>
              </w:rPr>
            </w:pPr>
            <w:r>
              <w:rPr>
                <w:rFonts w:ascii="宋体" w:cs="宋体" w:hAnsi="宋体" w:hint="eastAsia"/>
                <w:b/>
                <w:bCs/>
                <w:color w:val="auto"/>
                <w:szCs w:val="21"/>
                <w:highlight w:val="none"/>
                <w:lang w:val="zh-CN"/>
              </w:rPr>
              <w:t>3.4.1</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响应有效期</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utoSpaceDE w:val="false"/>
              <w:autoSpaceDN w:val="false"/>
              <w:adjustRightInd w:val="false"/>
              <w:snapToGrid w:val="false"/>
              <w:spacing w:lineRule="exact" w:line="460"/>
              <w:rPr>
                <w:rFonts w:ascii="宋体" w:cs="宋体" w:hAnsi="宋体"/>
                <w:color w:val="auto"/>
                <w:sz w:val="24"/>
                <w:highlight w:val="none"/>
                <w:lang w:val="zh-CN"/>
              </w:rPr>
            </w:pPr>
            <w:r>
              <w:rPr>
                <w:rFonts w:ascii="宋体" w:cs="宋体" w:hAnsi="宋体" w:hint="eastAsia"/>
                <w:color w:val="auto"/>
                <w:sz w:val="24"/>
                <w:highlight w:val="none"/>
                <w:lang w:val="zh-CN"/>
              </w:rPr>
              <w:t>从《响应文件》开启之日起，响应有效期为90日历天</w:t>
            </w:r>
          </w:p>
        </w:tc>
      </w:tr>
      <w:tr>
        <w:tblPrEx/>
        <w:trPr>
          <w:trHeight w:val="694" w:hRule="atLeast"/>
          <w:jc w:val="center"/>
        </w:trPr>
        <w:tc>
          <w:tcPr>
            <w:tcW w:w="508" w:type="dxa"/>
            <w:vMerge w:val="continue"/>
            <w:tcBorders>
              <w:left w:val="single" w:sz="12"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p>
        </w:tc>
        <w:tc>
          <w:tcPr>
            <w:tcW w:w="699" w:type="dxa"/>
            <w:tcBorders>
              <w:top w:val="single" w:sz="6" w:space="0" w:color="auto"/>
              <w:left w:val="single" w:sz="12" w:space="0" w:color="auto"/>
              <w:right w:val="single" w:sz="6" w:space="0" w:color="auto"/>
            </w:tcBorders>
            <w:vAlign w:val="center"/>
          </w:tcPr>
          <w:p>
            <w:pPr>
              <w:pStyle w:val="style0"/>
              <w:autoSpaceDE w:val="false"/>
              <w:autoSpaceDN w:val="false"/>
              <w:adjustRightInd w:val="false"/>
              <w:snapToGrid w:val="false"/>
              <w:spacing w:lineRule="exact" w:line="460"/>
              <w:ind w:right="-88" w:rightChars="-42"/>
              <w:jc w:val="center"/>
              <w:rPr>
                <w:rFonts w:ascii="宋体" w:cs="宋体" w:hAnsi="宋体"/>
                <w:b/>
                <w:bCs/>
                <w:color w:val="auto"/>
                <w:szCs w:val="21"/>
                <w:highlight w:val="none"/>
                <w:lang w:val="zh-CN"/>
              </w:rPr>
            </w:pPr>
            <w:r>
              <w:rPr>
                <w:rFonts w:ascii="宋体" w:cs="宋体" w:hAnsi="宋体" w:hint="eastAsia"/>
                <w:b/>
                <w:bCs/>
                <w:color w:val="auto"/>
                <w:szCs w:val="21"/>
                <w:highlight w:val="none"/>
                <w:lang w:val="zh-CN"/>
              </w:rPr>
              <w:t>3.5</w:t>
            </w:r>
          </w:p>
        </w:tc>
        <w:tc>
          <w:tcPr>
            <w:tcW w:w="1893" w:type="dxa"/>
            <w:tcBorders>
              <w:top w:val="single" w:sz="6" w:space="0" w:color="auto"/>
              <w:left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投标承诺函</w:t>
            </w:r>
          </w:p>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（替代投标保证金）</w:t>
            </w:r>
          </w:p>
        </w:tc>
        <w:tc>
          <w:tcPr>
            <w:tcW w:w="6653" w:type="dxa"/>
            <w:tcBorders>
              <w:top w:val="single" w:sz="6" w:space="0" w:color="auto"/>
              <w:left w:val="single" w:sz="6" w:space="0" w:color="auto"/>
              <w:right w:val="single" w:sz="12" w:space="0" w:color="auto"/>
            </w:tcBorders>
            <w:vAlign w:val="center"/>
          </w:tcPr>
          <w:p>
            <w:pPr>
              <w:pStyle w:val="style0"/>
              <w:widowControl w:val="false"/>
              <w:snapToGrid w:val="false"/>
              <w:spacing w:lineRule="exact" w:line="460"/>
              <w:rPr>
                <w:rFonts w:ascii="宋体" w:cs="宋体" w:hAnsi="宋体"/>
                <w:color w:val="auto"/>
                <w:sz w:val="24"/>
                <w:szCs w:val="24"/>
                <w:highlight w:val="none"/>
              </w:rPr>
            </w:pPr>
            <w:r>
              <w:rPr>
                <w:rFonts w:ascii="宋体" w:cs="宋体" w:hAnsi="宋体" w:hint="eastAsia"/>
                <w:color w:val="auto"/>
                <w:sz w:val="24"/>
                <w:szCs w:val="24"/>
                <w:highlight w:val="none"/>
              </w:rPr>
              <w:t>以投标承诺函形式替代投标保证金。</w:t>
            </w:r>
          </w:p>
          <w:p>
            <w:pPr>
              <w:pStyle w:val="style0"/>
              <w:widowControl w:val="false"/>
              <w:snapToGrid w:val="false"/>
              <w:spacing w:lineRule="exact" w:line="460"/>
              <w:rPr>
                <w:rFonts w:ascii="宋体" w:cs="宋体" w:hAnsi="宋体"/>
                <w:color w:val="auto"/>
                <w:sz w:val="24"/>
                <w:szCs w:val="24"/>
                <w:highlight w:val="none"/>
              </w:rPr>
            </w:pPr>
            <w:r>
              <w:rPr>
                <w:rFonts w:ascii="宋体" w:cs="宋体" w:hAnsi="宋体" w:hint="eastAsia"/>
                <w:color w:val="auto"/>
                <w:sz w:val="24"/>
                <w:szCs w:val="24"/>
                <w:highlight w:val="none"/>
              </w:rPr>
              <w:t>供应商应按附件格式进行投标承诺、违背承诺的责任追究。</w:t>
            </w:r>
          </w:p>
        </w:tc>
      </w:tr>
      <w:tr>
        <w:tblPrEx/>
        <w:trPr>
          <w:trHeight w:val="577" w:hRule="atLeast"/>
          <w:jc w:val="center"/>
        </w:trPr>
        <w:tc>
          <w:tcPr>
            <w:tcW w:w="508" w:type="dxa"/>
            <w:vMerge w:val="continue"/>
            <w:tcBorders>
              <w:left w:val="single" w:sz="12"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p>
        </w:tc>
        <w:tc>
          <w:tcPr>
            <w:tcW w:w="699" w:type="dxa"/>
            <w:tcBorders>
              <w:top w:val="single" w:sz="4"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ind w:right="-88" w:rightChars="-42"/>
              <w:jc w:val="center"/>
              <w:rPr>
                <w:rFonts w:ascii="宋体" w:cs="宋体" w:hAnsi="宋体"/>
                <w:b/>
                <w:bCs/>
                <w:color w:val="auto"/>
                <w:szCs w:val="21"/>
                <w:highlight w:val="none"/>
                <w:lang w:val="zh-CN"/>
              </w:rPr>
            </w:pPr>
            <w:r>
              <w:rPr>
                <w:rFonts w:ascii="宋体" w:cs="宋体" w:hAnsi="宋体" w:hint="eastAsia"/>
                <w:b/>
                <w:bCs/>
                <w:color w:val="auto"/>
                <w:szCs w:val="21"/>
                <w:highlight w:val="none"/>
                <w:lang w:val="zh-CN"/>
              </w:rPr>
              <w:t>3.7.3</w:t>
            </w:r>
          </w:p>
        </w:tc>
        <w:tc>
          <w:tcPr>
            <w:tcW w:w="1893" w:type="dxa"/>
            <w:tcBorders>
              <w:top w:val="single" w:sz="4"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偏差描述</w:t>
            </w:r>
          </w:p>
        </w:tc>
        <w:tc>
          <w:tcPr>
            <w:tcW w:w="6653" w:type="dxa"/>
            <w:tcBorders>
              <w:top w:val="single" w:sz="4" w:space="0" w:color="auto"/>
              <w:left w:val="single" w:sz="6" w:space="0" w:color="auto"/>
              <w:bottom w:val="single" w:sz="6" w:space="0" w:color="auto"/>
              <w:right w:val="single" w:sz="12" w:space="0" w:color="auto"/>
            </w:tcBorders>
            <w:vAlign w:val="center"/>
          </w:tcPr>
          <w:p>
            <w:pPr>
              <w:pStyle w:val="style0"/>
              <w:widowControl w:val="false"/>
              <w:snapToGrid w:val="false"/>
              <w:spacing w:lineRule="exact" w:line="460"/>
              <w:rPr>
                <w:rFonts w:ascii="宋体" w:cs="宋体" w:hAnsi="宋体"/>
                <w:b/>
                <w:color w:val="auto"/>
                <w:sz w:val="24"/>
                <w:szCs w:val="24"/>
                <w:highlight w:val="none"/>
              </w:rPr>
            </w:pPr>
            <w:r>
              <w:rPr>
                <w:rFonts w:ascii="宋体" w:cs="宋体" w:hAnsi="宋体" w:hint="eastAsia"/>
                <w:color w:val="auto"/>
                <w:sz w:val="24"/>
                <w:highlight w:val="none"/>
                <w:lang w:val="zh-CN"/>
              </w:rPr>
              <w:t>见“第三章 供应商须知” 相应条款</w:t>
            </w:r>
          </w:p>
        </w:tc>
      </w:tr>
      <w:tr>
        <w:tblPrEx/>
        <w:trPr>
          <w:trHeight w:val="65" w:hRule="atLeast"/>
          <w:jc w:val="center"/>
        </w:trPr>
        <w:tc>
          <w:tcPr>
            <w:tcW w:w="508" w:type="dxa"/>
            <w:vMerge w:val="continue"/>
            <w:tcBorders>
              <w:left w:val="single" w:sz="12"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rPr>
            </w:pP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ind w:right="-88" w:rightChars="-42"/>
              <w:rPr>
                <w:rFonts w:ascii="宋体" w:cs="宋体" w:hAnsi="宋体"/>
                <w:b/>
                <w:bCs/>
                <w:color w:val="auto"/>
                <w:szCs w:val="21"/>
                <w:highlight w:val="none"/>
                <w:lang w:val="zh-CN"/>
              </w:rPr>
            </w:pPr>
            <w:r>
              <w:rPr>
                <w:rFonts w:ascii="宋体" w:cs="宋体" w:hAnsi="宋体" w:hint="eastAsia"/>
                <w:b/>
                <w:bCs/>
                <w:color w:val="auto"/>
                <w:szCs w:val="21"/>
                <w:highlight w:val="none"/>
              </w:rPr>
              <w:t>3.7.4</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签字或盖章要求</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utoSpaceDE w:val="false"/>
              <w:autoSpaceDN w:val="false"/>
              <w:adjustRightInd w:val="false"/>
              <w:snapToGrid w:val="false"/>
              <w:spacing w:lineRule="exact" w:line="460"/>
              <w:rPr>
                <w:rFonts w:ascii="宋体" w:cs="宋体" w:hAnsi="宋体"/>
                <w:color w:val="auto"/>
                <w:sz w:val="24"/>
                <w:highlight w:val="none"/>
                <w:lang w:val="zh-CN"/>
              </w:rPr>
            </w:pPr>
            <w:r>
              <w:rPr>
                <w:rFonts w:ascii="宋体" w:cs="宋体" w:hAnsi="宋体" w:hint="eastAsia"/>
                <w:color w:val="auto"/>
                <w:sz w:val="24"/>
                <w:highlight w:val="none"/>
                <w:lang w:val="zh-CN"/>
              </w:rPr>
              <w:t>见“第三章 供应商须知” 相应条款</w:t>
            </w:r>
          </w:p>
        </w:tc>
      </w:tr>
      <w:tr>
        <w:tblPrEx/>
        <w:trPr>
          <w:trHeight w:val="343" w:hRule="atLeast"/>
          <w:jc w:val="center"/>
        </w:trPr>
        <w:tc>
          <w:tcPr>
            <w:tcW w:w="508" w:type="dxa"/>
            <w:vMerge w:val="continue"/>
            <w:tcBorders>
              <w:left w:val="single" w:sz="12"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rPr>
            </w:pP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ind w:right="-88" w:rightChars="-42"/>
              <w:rPr>
                <w:rFonts w:ascii="宋体" w:cs="宋体" w:hAnsi="宋体"/>
                <w:b/>
                <w:bCs/>
                <w:color w:val="auto"/>
                <w:szCs w:val="21"/>
                <w:highlight w:val="none"/>
                <w:lang w:val="zh-CN"/>
              </w:rPr>
            </w:pPr>
            <w:r>
              <w:rPr>
                <w:rFonts w:ascii="宋体" w:cs="宋体" w:hAnsi="宋体" w:hint="eastAsia"/>
                <w:b/>
                <w:bCs/>
                <w:color w:val="auto"/>
                <w:szCs w:val="21"/>
                <w:highlight w:val="none"/>
              </w:rPr>
              <w:t>4.2.4</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是否退还《响应文件》</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utoSpaceDE w:val="false"/>
              <w:autoSpaceDN w:val="false"/>
              <w:adjustRightInd w:val="false"/>
              <w:snapToGrid w:val="false"/>
              <w:spacing w:lineRule="exact" w:line="460"/>
              <w:rPr>
                <w:rFonts w:ascii="宋体" w:cs="宋体" w:hAnsi="宋体"/>
                <w:color w:val="auto"/>
                <w:sz w:val="24"/>
                <w:highlight w:val="none"/>
                <w:lang w:val="zh-CN"/>
              </w:rPr>
            </w:pPr>
            <w:r>
              <w:rPr>
                <w:rFonts w:ascii="宋体" w:cs="宋体" w:hAnsi="宋体" w:hint="eastAsia"/>
                <w:color w:val="auto"/>
                <w:sz w:val="24"/>
                <w:highlight w:val="none"/>
                <w:lang w:val="zh-CN"/>
              </w:rPr>
              <w:t>否</w:t>
            </w:r>
          </w:p>
        </w:tc>
      </w:tr>
      <w:tr>
        <w:tblPrEx/>
        <w:trPr>
          <w:trHeight w:val="507" w:hRule="atLeast"/>
          <w:jc w:val="center"/>
        </w:trPr>
        <w:tc>
          <w:tcPr>
            <w:tcW w:w="508" w:type="dxa"/>
            <w:vMerge w:val="continue"/>
            <w:tcBorders>
              <w:left w:val="single" w:sz="12" w:space="0" w:color="auto"/>
              <w:bottom w:val="single" w:sz="6"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rPr>
            </w:pP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ind w:left="-134" w:leftChars="-64" w:right="-88" w:rightChars="-42"/>
              <w:jc w:val="center"/>
              <w:rPr>
                <w:rFonts w:ascii="宋体" w:cs="宋体" w:hAnsi="宋体"/>
                <w:b/>
                <w:bCs/>
                <w:color w:val="auto"/>
                <w:szCs w:val="21"/>
                <w:highlight w:val="none"/>
                <w:lang w:val="zh-CN"/>
              </w:rPr>
            </w:pPr>
            <w:r>
              <w:rPr>
                <w:rFonts w:ascii="宋体" w:cs="宋体" w:hAnsi="宋体" w:hint="eastAsia"/>
                <w:b/>
                <w:bCs/>
                <w:color w:val="auto"/>
                <w:szCs w:val="21"/>
                <w:highlight w:val="none"/>
              </w:rPr>
              <w:t>6.1</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磋商小组的组建</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utoSpaceDE w:val="false"/>
              <w:autoSpaceDN w:val="false"/>
              <w:adjustRightInd w:val="false"/>
              <w:snapToGrid w:val="false"/>
              <w:spacing w:lineRule="exact" w:line="460"/>
              <w:rPr>
                <w:rFonts w:ascii="宋体" w:cs="宋体" w:hAnsi="宋体"/>
                <w:color w:val="auto"/>
                <w:sz w:val="24"/>
                <w:highlight w:val="none"/>
                <w:lang w:val="zh-CN"/>
              </w:rPr>
            </w:pPr>
            <w:r>
              <w:rPr>
                <w:rFonts w:ascii="宋体" w:cs="宋体" w:hAnsi="宋体" w:hint="eastAsia"/>
                <w:color w:val="auto"/>
                <w:sz w:val="24"/>
                <w:highlight w:val="none"/>
                <w:lang w:val="zh-CN"/>
              </w:rPr>
              <w:t>见“第三章 供应商须知” 相应条款</w:t>
            </w:r>
          </w:p>
        </w:tc>
      </w:tr>
      <w:tr>
        <w:tblPrEx/>
        <w:trPr>
          <w:trHeight w:val="90" w:hRule="atLeast"/>
          <w:jc w:val="center"/>
        </w:trPr>
        <w:tc>
          <w:tcPr>
            <w:tcW w:w="508" w:type="dxa"/>
            <w:vMerge w:val="restart"/>
            <w:tcBorders>
              <w:left w:val="single" w:sz="12"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rPr>
            </w:pPr>
            <w:r>
              <w:rPr>
                <w:rFonts w:ascii="宋体" w:cs="宋体" w:hAnsi="宋体" w:hint="eastAsia"/>
                <w:b/>
                <w:bCs/>
                <w:color w:val="auto"/>
                <w:sz w:val="24"/>
                <w:highlight w:val="none"/>
              </w:rPr>
              <w:t>第三章</w:t>
            </w: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ind w:left="-134" w:leftChars="-64" w:right="-88" w:rightChars="-42"/>
              <w:jc w:val="center"/>
              <w:rPr>
                <w:rFonts w:ascii="宋体" w:cs="宋体" w:hAnsi="宋体"/>
                <w:b/>
                <w:bCs/>
                <w:color w:val="auto"/>
                <w:szCs w:val="21"/>
                <w:highlight w:val="none"/>
              </w:rPr>
            </w:pPr>
            <w:r>
              <w:rPr>
                <w:rFonts w:ascii="宋体" w:cs="宋体" w:hAnsi="宋体" w:hint="eastAsia"/>
                <w:b/>
                <w:bCs/>
                <w:color w:val="auto"/>
                <w:szCs w:val="21"/>
                <w:highlight w:val="none"/>
              </w:rPr>
              <w:t>7.1</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color w:val="auto"/>
                <w:sz w:val="24"/>
                <w:highlight w:val="none"/>
              </w:rPr>
            </w:pPr>
            <w:r>
              <w:rPr>
                <w:rFonts w:ascii="宋体" w:cs="宋体" w:hAnsi="宋体" w:hint="eastAsia"/>
                <w:b/>
                <w:color w:val="auto"/>
                <w:sz w:val="24"/>
                <w:highlight w:val="none"/>
              </w:rPr>
              <w:t>是否授权磋商小组确定成交供应商</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djustRightInd w:val="false"/>
              <w:snapToGrid w:val="false"/>
              <w:spacing w:lineRule="exact" w:line="460"/>
              <w:rPr>
                <w:rFonts w:ascii="宋体" w:cs="宋体" w:hAnsi="宋体"/>
                <w:color w:val="auto"/>
                <w:sz w:val="24"/>
                <w:highlight w:val="none"/>
              </w:rPr>
            </w:pPr>
            <w:r>
              <w:rPr>
                <w:rFonts w:ascii="宋体" w:cs="宋体" w:hAnsi="宋体" w:hint="eastAsia"/>
                <w:color w:val="auto"/>
                <w:sz w:val="24"/>
                <w:highlight w:val="none"/>
                <w:lang w:val="en-US" w:eastAsia="zh-CN"/>
              </w:rPr>
              <w:t>否</w:t>
            </w:r>
            <w:r>
              <w:rPr>
                <w:rFonts w:ascii="宋体" w:cs="宋体" w:hAnsi="宋体" w:hint="eastAsia"/>
                <w:color w:val="auto"/>
                <w:sz w:val="24"/>
                <w:highlight w:val="none"/>
              </w:rPr>
              <w:t>。按照评审得分由高到低顺序</w:t>
            </w:r>
            <w:r>
              <w:rPr>
                <w:rFonts w:ascii="宋体" w:cs="宋体" w:hAnsi="宋体" w:hint="eastAsia"/>
                <w:color w:val="auto"/>
                <w:sz w:val="24"/>
                <w:highlight w:val="none"/>
                <w:lang w:val="en-US" w:eastAsia="zh-CN"/>
              </w:rPr>
              <w:t>每包</w:t>
            </w:r>
            <w:r>
              <w:rPr>
                <w:rFonts w:ascii="宋体" w:cs="宋体" w:hAnsi="宋体" w:hint="eastAsia"/>
                <w:color w:val="auto"/>
                <w:sz w:val="24"/>
                <w:highlight w:val="none"/>
              </w:rPr>
              <w:t>推荐3名</w:t>
            </w:r>
            <w:r>
              <w:rPr>
                <w:rFonts w:ascii="宋体" w:cs="宋体" w:hAnsi="宋体" w:hint="eastAsia"/>
                <w:color w:val="auto"/>
                <w:sz w:val="24"/>
                <w:highlight w:val="none"/>
                <w:lang w:val="en-US" w:eastAsia="zh-CN"/>
              </w:rPr>
              <w:t>入围供应商</w:t>
            </w:r>
          </w:p>
        </w:tc>
      </w:tr>
      <w:tr>
        <w:tblPrEx/>
        <w:trPr>
          <w:trHeight w:val="453" w:hRule="atLeast"/>
          <w:jc w:val="center"/>
        </w:trPr>
        <w:tc>
          <w:tcPr>
            <w:tcW w:w="508" w:type="dxa"/>
            <w:vMerge w:val="continue"/>
            <w:tcBorders>
              <w:left w:val="single" w:sz="12"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rPr>
            </w:pP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rPr>
            </w:pPr>
            <w:r>
              <w:rPr>
                <w:rFonts w:ascii="宋体" w:cs="宋体" w:hAnsi="宋体" w:hint="eastAsia"/>
                <w:b/>
                <w:bCs/>
                <w:color w:val="auto"/>
                <w:sz w:val="24"/>
                <w:highlight w:val="none"/>
              </w:rPr>
              <w:t>7.2</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color w:val="auto"/>
                <w:sz w:val="24"/>
                <w:highlight w:val="none"/>
              </w:rPr>
            </w:pPr>
            <w:r>
              <w:rPr>
                <w:rFonts w:ascii="宋体" w:cs="宋体" w:hAnsi="宋体" w:hint="eastAsia"/>
                <w:b/>
                <w:color w:val="auto"/>
                <w:sz w:val="24"/>
                <w:highlight w:val="none"/>
              </w:rPr>
              <w:t>成交结果公告</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djustRightInd w:val="false"/>
              <w:snapToGrid w:val="false"/>
              <w:spacing w:lineRule="exact" w:line="460"/>
              <w:rPr>
                <w:rFonts w:ascii="宋体" w:cs="宋体" w:hAnsi="宋体"/>
                <w:color w:val="auto"/>
                <w:sz w:val="24"/>
                <w:highlight w:val="none"/>
              </w:rPr>
            </w:pPr>
            <w:r>
              <w:rPr>
                <w:rFonts w:ascii="宋体" w:cs="宋体" w:hAnsi="宋体" w:hint="eastAsia"/>
                <w:color w:val="auto"/>
                <w:sz w:val="24"/>
                <w:highlight w:val="none"/>
              </w:rPr>
              <w:t>本次竞争性磋商的成交结果将在成交供应商确定当天，在竞争性磋商公告所述媒介公告1个工作日。</w:t>
            </w:r>
          </w:p>
        </w:tc>
      </w:tr>
      <w:tr>
        <w:tblPrEx/>
        <w:trPr>
          <w:trHeight w:val="453" w:hRule="atLeast"/>
          <w:jc w:val="center"/>
        </w:trPr>
        <w:tc>
          <w:tcPr>
            <w:tcW w:w="508" w:type="dxa"/>
            <w:vMerge w:val="continue"/>
            <w:tcBorders>
              <w:left w:val="single" w:sz="12"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rPr>
            </w:pP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rPr>
            </w:pPr>
            <w:r>
              <w:rPr>
                <w:rFonts w:ascii="宋体" w:cs="宋体" w:hAnsi="宋体" w:hint="eastAsia"/>
                <w:b/>
                <w:bCs/>
                <w:color w:val="auto"/>
                <w:sz w:val="24"/>
                <w:highlight w:val="none"/>
              </w:rPr>
              <w:t>7.3</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rPr>
            </w:pPr>
            <w:r>
              <w:rPr>
                <w:rFonts w:ascii="宋体" w:cs="宋体" w:hAnsi="宋体" w:hint="eastAsia"/>
                <w:b/>
                <w:bCs/>
                <w:color w:val="auto"/>
                <w:sz w:val="24"/>
                <w:highlight w:val="none"/>
              </w:rPr>
              <w:t>质疑</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spacing w:lineRule="exact" w:line="460"/>
              <w:rPr>
                <w:rFonts w:ascii="宋体" w:cs="宋体" w:hAnsi="宋体"/>
                <w:color w:val="auto"/>
                <w:sz w:val="24"/>
                <w:highlight w:val="none"/>
              </w:rPr>
            </w:pPr>
            <w:r>
              <w:rPr>
                <w:rFonts w:ascii="宋体" w:cs="宋体" w:hAnsi="宋体" w:hint="eastAsia"/>
                <w:color w:val="auto"/>
                <w:sz w:val="24"/>
                <w:highlight w:val="none"/>
              </w:rPr>
              <w:t>参与本次采购活动的供应商如有异议，可在各环节法定质疑期内向采购代理机构一次性提出针对该采购程序环节的书面质疑函，书面原件送达至磋商文件列示的采购代理机构及采购单位联系人处；依据法规规定，质疑函应当有明确的请求和必要的证明材料，应当包括下列内容：1、供应商的姓名或者名称、地址、邮编、联系人及联系电话；2、质疑项目的名称、编号；3、具体、明确的质疑事项和与质疑事项相关的请求；4、事实依据；5、必要的法律依据；6、提出质</w:t>
            </w:r>
            <w:r>
              <w:rPr>
                <w:rFonts w:ascii="宋体" w:cs="宋体" w:hAnsi="宋体" w:hint="eastAsia"/>
                <w:bCs/>
                <w:color w:val="auto"/>
                <w:sz w:val="24"/>
                <w:szCs w:val="24"/>
                <w:highlight w:val="none"/>
              </w:rPr>
              <w:t>疑的日期。供应商为自然人的，应当由本人签字；供应商为法人或者其他组织的，应当由法定代表人、主要负责人，或者其授权代表签字或者盖章，并加盖公章。</w:t>
            </w:r>
          </w:p>
        </w:tc>
      </w:tr>
      <w:tr>
        <w:tblPrEx/>
        <w:trPr>
          <w:trHeight w:val="453" w:hRule="atLeast"/>
          <w:jc w:val="center"/>
        </w:trPr>
        <w:tc>
          <w:tcPr>
            <w:tcW w:w="508" w:type="dxa"/>
            <w:vMerge w:val="continue"/>
            <w:tcBorders>
              <w:left w:val="single" w:sz="12"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rPr>
            </w:pP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rPr>
            </w:pPr>
            <w:r>
              <w:rPr>
                <w:rFonts w:ascii="宋体" w:cs="宋体" w:hAnsi="宋体" w:hint="eastAsia"/>
                <w:b/>
                <w:bCs/>
                <w:color w:val="auto"/>
                <w:sz w:val="24"/>
                <w:highlight w:val="none"/>
              </w:rPr>
              <w:t>7.4</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rPr>
            </w:pPr>
            <w:r>
              <w:rPr>
                <w:rFonts w:ascii="宋体" w:cs="宋体" w:hAnsi="宋体" w:hint="eastAsia"/>
                <w:b/>
                <w:bCs/>
                <w:color w:val="auto"/>
                <w:sz w:val="24"/>
                <w:highlight w:val="none"/>
              </w:rPr>
              <w:t>成交通知书</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djustRightInd w:val="false"/>
              <w:snapToGrid w:val="false"/>
              <w:spacing w:lineRule="exact" w:line="460"/>
              <w:rPr>
                <w:rFonts w:ascii="宋体" w:cs="宋体" w:hAnsi="宋体"/>
                <w:color w:val="auto"/>
                <w:sz w:val="24"/>
                <w:highlight w:val="none"/>
                <w:lang w:val="zh-CN"/>
              </w:rPr>
            </w:pPr>
            <w:r>
              <w:rPr>
                <w:rFonts w:ascii="宋体" w:cs="宋体" w:hAnsi="宋体" w:hint="eastAsia"/>
                <w:color w:val="auto"/>
                <w:sz w:val="24"/>
                <w:highlight w:val="none"/>
                <w:lang w:val="zh-CN"/>
              </w:rPr>
              <w:t>采购代理机构在成交供应商确定当天，向成交供应商发出成交通知书。</w:t>
            </w:r>
          </w:p>
        </w:tc>
      </w:tr>
      <w:tr>
        <w:tblPrEx/>
        <w:trPr>
          <w:trHeight w:val="453" w:hRule="atLeast"/>
          <w:jc w:val="center"/>
        </w:trPr>
        <w:tc>
          <w:tcPr>
            <w:tcW w:w="508" w:type="dxa"/>
            <w:vMerge w:val="restart"/>
            <w:tcBorders>
              <w:left w:val="single" w:sz="12"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第三章</w:t>
            </w: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7.5</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履约保证金</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widowControl w:val="false"/>
              <w:snapToGrid w:val="false"/>
              <w:spacing w:lineRule="exact" w:line="460"/>
              <w:rPr>
                <w:rFonts w:ascii="宋体" w:cs="宋体" w:hAnsi="宋体"/>
                <w:color w:val="auto"/>
                <w:sz w:val="24"/>
                <w:szCs w:val="24"/>
                <w:highlight w:val="none"/>
              </w:rPr>
            </w:pPr>
            <w:r>
              <w:rPr>
                <w:rFonts w:ascii="宋体" w:cs="宋体" w:hAnsi="宋体" w:hint="eastAsia"/>
                <w:color w:val="auto"/>
                <w:sz w:val="24"/>
                <w:szCs w:val="24"/>
                <w:highlight w:val="none"/>
              </w:rPr>
              <w:t>不需缴纳</w:t>
            </w:r>
          </w:p>
        </w:tc>
      </w:tr>
      <w:tr>
        <w:tblPrEx/>
        <w:trPr>
          <w:trHeight w:val="453" w:hRule="atLeast"/>
          <w:jc w:val="center"/>
        </w:trPr>
        <w:tc>
          <w:tcPr>
            <w:tcW w:w="508" w:type="dxa"/>
            <w:vMerge w:val="continue"/>
            <w:tcBorders>
              <w:left w:val="single" w:sz="12" w:space="0" w:color="auto"/>
              <w:right w:val="single" w:sz="6" w:space="0" w:color="auto"/>
            </w:tcBorders>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8</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验收</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widowControl w:val="false"/>
              <w:snapToGrid w:val="false"/>
              <w:spacing w:lineRule="exact" w:line="460"/>
              <w:rPr>
                <w:rFonts w:ascii="宋体" w:cs="宋体" w:hAnsi="宋体"/>
                <w:color w:val="auto"/>
                <w:sz w:val="24"/>
                <w:szCs w:val="24"/>
                <w:highlight w:val="none"/>
              </w:rPr>
            </w:pPr>
            <w:r>
              <w:rPr>
                <w:rFonts w:ascii="宋体" w:cs="宋体" w:hAnsi="宋体" w:hint="eastAsia"/>
                <w:color w:val="auto"/>
                <w:sz w:val="24"/>
                <w:szCs w:val="24"/>
                <w:highlight w:val="none"/>
              </w:rPr>
              <w:t>见“第三章供应商须知”相应条款</w:t>
            </w:r>
          </w:p>
        </w:tc>
      </w:tr>
      <w:tr>
        <w:tblPrEx/>
        <w:trPr>
          <w:trHeight w:val="453" w:hRule="atLeast"/>
          <w:jc w:val="center"/>
        </w:trPr>
        <w:tc>
          <w:tcPr>
            <w:tcW w:w="508" w:type="dxa"/>
            <w:vMerge w:val="continue"/>
            <w:tcBorders>
              <w:left w:val="single" w:sz="12" w:space="0" w:color="auto"/>
              <w:right w:val="single" w:sz="6" w:space="0" w:color="auto"/>
            </w:tcBorders>
          </w:tcPr>
          <w:p>
            <w:pPr>
              <w:pStyle w:val="style0"/>
              <w:autoSpaceDE w:val="false"/>
              <w:autoSpaceDN w:val="false"/>
              <w:adjustRightInd w:val="false"/>
              <w:spacing w:lineRule="exact" w:line="460"/>
              <w:rPr>
                <w:rFonts w:ascii="宋体" w:cs="宋体" w:hAnsi="宋体"/>
                <w:b/>
                <w:bCs/>
                <w:color w:val="auto"/>
                <w:sz w:val="24"/>
                <w:highlight w:val="none"/>
              </w:rPr>
            </w:pP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pacing w:lineRule="exact" w:line="460"/>
              <w:jc w:val="center"/>
              <w:rPr>
                <w:rFonts w:ascii="宋体" w:cs="宋体" w:hAnsi="宋体"/>
                <w:b/>
                <w:bCs/>
                <w:color w:val="auto"/>
                <w:sz w:val="24"/>
                <w:highlight w:val="none"/>
              </w:rPr>
            </w:pPr>
            <w:r>
              <w:rPr>
                <w:rFonts w:ascii="宋体" w:cs="宋体" w:hAnsi="宋体" w:hint="eastAsia"/>
                <w:b/>
                <w:bCs/>
                <w:color w:val="auto"/>
                <w:sz w:val="24"/>
                <w:highlight w:val="none"/>
              </w:rPr>
              <w:t>9</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bCs/>
                <w:color w:val="auto"/>
                <w:sz w:val="24"/>
                <w:highlight w:val="none"/>
                <w:lang w:val="zh-CN"/>
              </w:rPr>
            </w:pPr>
            <w:r>
              <w:rPr>
                <w:rFonts w:ascii="宋体" w:cs="宋体" w:hAnsi="宋体" w:hint="eastAsia"/>
                <w:b/>
                <w:bCs/>
                <w:color w:val="auto"/>
                <w:sz w:val="24"/>
                <w:highlight w:val="none"/>
                <w:lang w:val="zh-CN"/>
              </w:rPr>
              <w:t>付款</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spacing w:lineRule="exact" w:line="460"/>
              <w:rPr>
                <w:rFonts w:ascii="宋体" w:cs="宋体" w:hAnsi="宋体"/>
                <w:color w:val="auto"/>
                <w:sz w:val="24"/>
                <w:szCs w:val="24"/>
                <w:highlight w:val="none"/>
              </w:rPr>
            </w:pPr>
            <w:r>
              <w:rPr>
                <w:rFonts w:ascii="宋体" w:cs="宋体" w:hAnsi="宋体" w:hint="eastAsia"/>
                <w:color w:val="auto"/>
                <w:sz w:val="24"/>
                <w:szCs w:val="24"/>
                <w:highlight w:val="none"/>
              </w:rPr>
              <w:t>一包：服务机构按照招标人要求，依据相关规定提交成果文件、开具发票等完整资料后，经采购人确认无误按季度支付费用。二包：服务机构按照招标人要求，依据相关规定提交成果文件、开具发票等完整资料后，经采购人确认无误1个月内结清费用。</w:t>
            </w:r>
          </w:p>
        </w:tc>
      </w:tr>
      <w:tr>
        <w:tblPrEx/>
        <w:trPr>
          <w:trHeight w:val="453" w:hRule="atLeast"/>
          <w:jc w:val="center"/>
        </w:trPr>
        <w:tc>
          <w:tcPr>
            <w:tcW w:w="508" w:type="dxa"/>
            <w:tcBorders>
              <w:left w:val="single" w:sz="12" w:space="0" w:color="auto"/>
              <w:right w:val="single" w:sz="6" w:space="0" w:color="auto"/>
            </w:tcBorders>
          </w:tcPr>
          <w:p>
            <w:pPr>
              <w:pStyle w:val="style0"/>
              <w:autoSpaceDE w:val="false"/>
              <w:autoSpaceDN w:val="false"/>
              <w:adjustRightInd w:val="false"/>
              <w:spacing w:lineRule="exact" w:line="460"/>
              <w:rPr>
                <w:rFonts w:ascii="宋体" w:cs="宋体" w:hAnsi="宋体"/>
                <w:b/>
                <w:bCs/>
                <w:color w:val="auto"/>
                <w:sz w:val="24"/>
                <w:highlight w:val="none"/>
              </w:rPr>
            </w:pPr>
          </w:p>
        </w:tc>
        <w:tc>
          <w:tcPr>
            <w:tcW w:w="699" w:type="dxa"/>
            <w:tcBorders>
              <w:top w:val="single" w:sz="6" w:space="0" w:color="auto"/>
              <w:left w:val="single" w:sz="12" w:space="0" w:color="auto"/>
              <w:bottom w:val="single" w:sz="6" w:space="0" w:color="auto"/>
              <w:right w:val="single" w:sz="6" w:space="0" w:color="auto"/>
            </w:tcBorders>
            <w:vAlign w:val="center"/>
          </w:tcPr>
          <w:p>
            <w:pPr>
              <w:pStyle w:val="style0"/>
              <w:autoSpaceDE w:val="false"/>
              <w:autoSpaceDN w:val="false"/>
              <w:adjustRightInd w:val="false"/>
              <w:spacing w:lineRule="exact" w:line="460"/>
              <w:jc w:val="center"/>
              <w:rPr>
                <w:rFonts w:ascii="宋体" w:cs="宋体" w:hAnsi="宋体"/>
                <w:b/>
                <w:bCs/>
                <w:color w:val="auto"/>
                <w:sz w:val="24"/>
                <w:highlight w:val="none"/>
              </w:rPr>
            </w:pPr>
            <w:r>
              <w:rPr>
                <w:rFonts w:ascii="宋体" w:cs="宋体" w:hAnsi="宋体" w:hint="eastAsia"/>
                <w:b/>
                <w:bCs/>
                <w:color w:val="auto"/>
                <w:sz w:val="24"/>
                <w:highlight w:val="none"/>
              </w:rPr>
              <w:t>10.1</w:t>
            </w:r>
          </w:p>
        </w:tc>
        <w:tc>
          <w:tcPr>
            <w:tcW w:w="1893" w:type="dxa"/>
            <w:tcBorders>
              <w:top w:val="single" w:sz="6" w:space="0" w:color="auto"/>
              <w:left w:val="single" w:sz="6" w:space="0" w:color="auto"/>
              <w:bottom w:val="single" w:sz="6" w:space="0" w:color="auto"/>
              <w:right w:val="single" w:sz="6" w:space="0" w:color="auto"/>
            </w:tcBorders>
            <w:vAlign w:val="center"/>
          </w:tcPr>
          <w:p>
            <w:pPr>
              <w:pStyle w:val="style0"/>
              <w:autoSpaceDE w:val="false"/>
              <w:autoSpaceDN w:val="false"/>
              <w:adjustRightInd w:val="false"/>
              <w:snapToGrid w:val="false"/>
              <w:spacing w:lineRule="exact" w:line="460"/>
              <w:jc w:val="center"/>
              <w:rPr>
                <w:rFonts w:ascii="宋体" w:cs="宋体" w:hAnsi="宋体"/>
                <w:b/>
                <w:color w:val="auto"/>
                <w:sz w:val="24"/>
                <w:highlight w:val="none"/>
              </w:rPr>
            </w:pPr>
            <w:r>
              <w:rPr>
                <w:rFonts w:ascii="宋体" w:cs="宋体" w:hAnsi="宋体" w:hint="eastAsia"/>
                <w:b/>
                <w:color w:val="auto"/>
                <w:sz w:val="24"/>
                <w:highlight w:val="none"/>
              </w:rPr>
              <w:t>代理服务费</w:t>
            </w:r>
          </w:p>
        </w:tc>
        <w:tc>
          <w:tcPr>
            <w:tcW w:w="6653" w:type="dxa"/>
            <w:tcBorders>
              <w:top w:val="single" w:sz="6" w:space="0" w:color="auto"/>
              <w:left w:val="single" w:sz="6" w:space="0" w:color="auto"/>
              <w:bottom w:val="single" w:sz="6" w:space="0" w:color="auto"/>
              <w:right w:val="single" w:sz="12" w:space="0" w:color="auto"/>
            </w:tcBorders>
            <w:vAlign w:val="center"/>
          </w:tcPr>
          <w:p>
            <w:pPr>
              <w:pStyle w:val="style0"/>
              <w:adjustRightInd w:val="false"/>
              <w:snapToGrid w:val="false"/>
              <w:spacing w:lineRule="exact" w:line="460"/>
              <w:rPr>
                <w:rFonts w:ascii="宋体" w:cs="宋体" w:hAnsi="宋体" w:hint="eastAsia"/>
                <w:color w:val="auto"/>
                <w:sz w:val="24"/>
                <w:highlight w:val="none"/>
                <w:lang w:eastAsia="zh-CN"/>
              </w:rPr>
            </w:pPr>
            <w:r>
              <w:rPr>
                <w:rFonts w:ascii="宋体" w:cs="宋体" w:hAnsi="宋体" w:hint="eastAsia"/>
                <w:color w:val="auto"/>
                <w:sz w:val="24"/>
                <w:highlight w:val="none"/>
                <w:lang w:eastAsia="zh-CN"/>
              </w:rPr>
              <w:t xml:space="preserve">招标代理服务费由入围供应商向代理机构支付 </w:t>
            </w:r>
            <w:r>
              <w:rPr>
                <w:rFonts w:ascii="宋体" w:cs="宋体" w:hAnsi="宋体" w:hint="eastAsia"/>
                <w:color w:val="auto"/>
                <w:sz w:val="24"/>
                <w:highlight w:val="none"/>
                <w:lang w:val="en-US" w:eastAsia="zh-CN"/>
              </w:rPr>
              <w:t>1000</w:t>
            </w:r>
            <w:r>
              <w:rPr>
                <w:rFonts w:ascii="宋体" w:cs="宋体" w:hAnsi="宋体" w:hint="eastAsia"/>
                <w:color w:val="auto"/>
                <w:sz w:val="24"/>
                <w:highlight w:val="none"/>
                <w:lang w:eastAsia="zh-CN"/>
              </w:rPr>
              <w:t>元/家/</w:t>
            </w:r>
          </w:p>
          <w:p>
            <w:pPr>
              <w:pStyle w:val="style0"/>
              <w:adjustRightInd w:val="false"/>
              <w:snapToGrid w:val="false"/>
              <w:spacing w:lineRule="exact" w:line="460"/>
              <w:rPr>
                <w:rFonts w:ascii="宋体" w:cs="宋体" w:eastAsia="宋体" w:hAnsi="宋体" w:hint="default"/>
                <w:b/>
                <w:color w:val="auto"/>
                <w:sz w:val="24"/>
                <w:highlight w:val="none"/>
                <w:lang w:val="en-US" w:eastAsia="zh-CN"/>
              </w:rPr>
            </w:pPr>
            <w:r>
              <w:rPr>
                <w:rFonts w:ascii="宋体" w:cs="宋体" w:hAnsi="宋体" w:hint="eastAsia"/>
                <w:color w:val="auto"/>
                <w:sz w:val="24"/>
                <w:highlight w:val="none"/>
                <w:lang w:eastAsia="zh-CN"/>
              </w:rPr>
              <w:t>包。</w:t>
            </w:r>
          </w:p>
        </w:tc>
      </w:tr>
      <w:tr>
        <w:tblPrEx/>
        <w:trPr>
          <w:trHeight w:val="453" w:hRule="atLeast"/>
          <w:jc w:val="center"/>
        </w:trPr>
        <w:tc>
          <w:tcPr>
            <w:tcW w:w="9753" w:type="dxa"/>
            <w:gridSpan w:val="4"/>
            <w:tcBorders>
              <w:left w:val="single" w:sz="12" w:space="0" w:color="auto"/>
              <w:bottom w:val="single" w:sz="6" w:space="0" w:color="auto"/>
              <w:right w:val="single" w:sz="12" w:space="0" w:color="auto"/>
            </w:tcBorders>
          </w:tcPr>
          <w:p>
            <w:pPr>
              <w:pStyle w:val="style0"/>
              <w:adjustRightInd w:val="false"/>
              <w:snapToGrid w:val="false"/>
              <w:spacing w:lineRule="exact" w:line="460"/>
              <w:rPr>
                <w:rFonts w:ascii="宋体" w:cs="宋体" w:hAnsi="宋体" w:hint="eastAsia"/>
                <w:color w:val="auto"/>
                <w:sz w:val="24"/>
                <w:highlight w:val="none"/>
                <w:lang w:eastAsia="zh-CN"/>
              </w:rPr>
            </w:pPr>
            <w:r>
              <w:rPr>
                <w:rFonts w:ascii="宋体" w:cs="宋体" w:hAnsi="宋体" w:hint="eastAsia"/>
                <w:b/>
                <w:bCs/>
                <w:color w:val="auto"/>
                <w:sz w:val="24"/>
                <w:szCs w:val="24"/>
              </w:rPr>
              <w:t>本</w:t>
            </w:r>
            <w:r>
              <w:rPr>
                <w:rFonts w:ascii="宋体" w:cs="宋体" w:hAnsi="宋体" w:hint="eastAsia"/>
                <w:b/>
                <w:bCs/>
                <w:color w:val="auto"/>
                <w:sz w:val="24"/>
                <w:szCs w:val="24"/>
                <w:lang w:eastAsia="zh-CN"/>
              </w:rPr>
              <w:t>磋商文件</w:t>
            </w:r>
            <w:r>
              <w:rPr>
                <w:rFonts w:ascii="宋体" w:cs="宋体" w:hAnsi="宋体" w:hint="eastAsia"/>
                <w:b/>
                <w:bCs/>
                <w:color w:val="auto"/>
                <w:sz w:val="24"/>
                <w:szCs w:val="24"/>
              </w:rPr>
              <w:t>的最终解释权归招标人所有。</w:t>
            </w:r>
          </w:p>
        </w:tc>
      </w:tr>
    </w:tbl>
    <w:p>
      <w:pPr>
        <w:pStyle w:val="style0"/>
        <w:autoSpaceDE w:val="false"/>
        <w:autoSpaceDN w:val="false"/>
        <w:adjustRightInd w:val="false"/>
        <w:spacing w:lineRule="auto" w:line="360"/>
        <w:ind w:firstLine="539"/>
        <w:rPr>
          <w:rFonts w:ascii="宋体" w:cs="宋体" w:hAnsi="宋体"/>
          <w:color w:val="auto"/>
          <w:highlight w:val="none"/>
        </w:rPr>
      </w:pPr>
      <w:r>
        <w:rPr>
          <w:rFonts w:ascii="宋体" w:cs="宋体" w:hAnsi="宋体" w:hint="eastAsia"/>
          <w:color w:val="auto"/>
          <w:highlight w:val="none"/>
        </w:rPr>
        <w:br w:type="page"/>
      </w:r>
    </w:p>
    <w:bookmarkStart w:id="9" w:name="_Toc22547"/>
    <w:p>
      <w:pPr>
        <w:pStyle w:val="style0"/>
        <w:autoSpaceDE w:val="false"/>
        <w:autoSpaceDN w:val="false"/>
        <w:adjustRightInd w:val="false"/>
        <w:snapToGrid w:val="false"/>
        <w:spacing w:lineRule="exact" w:line="460"/>
        <w:ind w:firstLine="539"/>
        <w:outlineLvl w:val="1"/>
        <w:rPr>
          <w:rFonts w:ascii="宋体" w:cs="宋体" w:hAnsi="宋体"/>
          <w:color w:val="auto"/>
          <w:sz w:val="28"/>
          <w:szCs w:val="28"/>
          <w:highlight w:val="none"/>
          <w:lang w:val="zh-CN"/>
        </w:rPr>
      </w:pPr>
      <w:r>
        <w:rPr>
          <w:rFonts w:ascii="宋体" w:cs="宋体" w:hAnsi="宋体" w:hint="eastAsia"/>
          <w:b/>
          <w:bCs/>
          <w:color w:val="auto"/>
          <w:sz w:val="28"/>
          <w:szCs w:val="28"/>
          <w:highlight w:val="none"/>
          <w:lang w:val="zh-CN"/>
        </w:rPr>
        <w:t>1. 总则</w:t>
      </w:r>
      <w:bookmarkEnd w:id="9"/>
    </w:p>
    <w:p>
      <w:pPr>
        <w:pStyle w:val="style0"/>
        <w:autoSpaceDE w:val="false"/>
        <w:autoSpaceDN w:val="false"/>
        <w:adjustRightInd w:val="false"/>
        <w:snapToGrid w:val="false"/>
        <w:spacing w:lineRule="exact" w:line="460"/>
        <w:ind w:firstLine="539"/>
        <w:rPr>
          <w:rFonts w:ascii="宋体" w:cs="宋体" w:hAnsi="宋体"/>
          <w:color w:val="auto"/>
          <w:sz w:val="24"/>
          <w:szCs w:val="24"/>
          <w:highlight w:val="none"/>
        </w:rPr>
      </w:pPr>
      <w:r>
        <w:rPr>
          <w:rFonts w:ascii="宋体" w:cs="宋体" w:hAnsi="宋体" w:hint="eastAsia"/>
          <w:b/>
          <w:color w:val="auto"/>
          <w:sz w:val="24"/>
          <w:highlight w:val="none"/>
          <w:lang w:val="zh-CN"/>
        </w:rPr>
        <w:t xml:space="preserve">1.1  </w:t>
      </w:r>
      <w:r>
        <w:rPr>
          <w:rFonts w:ascii="宋体" w:cs="宋体" w:hAnsi="宋体" w:hint="eastAsia"/>
          <w:color w:val="auto"/>
          <w:sz w:val="24"/>
          <w:szCs w:val="24"/>
          <w:highlight w:val="none"/>
        </w:rPr>
        <w:t>根据《中华人民共和国政府采购法》、《中华人民共和国政府采购法实施条例》、《政府采购竞争性磋商采购方式管理暂行办法》及相关政府采购法律法规等制定本文件。</w:t>
      </w:r>
    </w:p>
    <w:p>
      <w:pPr>
        <w:pStyle w:val="style0"/>
        <w:adjustRightInd w:val="false"/>
        <w:snapToGrid w:val="false"/>
        <w:spacing w:lineRule="exact" w:line="460"/>
        <w:ind w:right="240" w:firstLine="482" w:firstLineChars="200"/>
        <w:rPr>
          <w:rFonts w:ascii="宋体" w:cs="宋体" w:hAnsi="宋体"/>
          <w:b/>
          <w:color w:val="auto"/>
          <w:sz w:val="24"/>
          <w:highlight w:val="none"/>
        </w:rPr>
      </w:pPr>
      <w:r>
        <w:rPr>
          <w:rFonts w:ascii="宋体" w:cs="宋体" w:hAnsi="宋体" w:hint="eastAsia"/>
          <w:b/>
          <w:color w:val="auto"/>
          <w:sz w:val="24"/>
          <w:highlight w:val="none"/>
        </w:rPr>
        <w:t xml:space="preserve">1.2  </w:t>
      </w:r>
      <w:r>
        <w:rPr>
          <w:rFonts w:ascii="宋体" w:cs="宋体" w:hAnsi="宋体" w:hint="eastAsia"/>
          <w:b/>
          <w:color w:val="auto"/>
          <w:sz w:val="24"/>
          <w:highlight w:val="none"/>
          <w:lang w:val="zh-CN"/>
        </w:rPr>
        <w:t>《磋商文件》的法律适用及法律效力</w:t>
      </w:r>
    </w:p>
    <w:p>
      <w:pPr>
        <w:pStyle w:val="style0"/>
        <w:adjustRightInd w:val="false"/>
        <w:snapToGrid w:val="false"/>
        <w:spacing w:lineRule="exact" w:line="460"/>
        <w:ind w:right="240" w:firstLine="547" w:firstLineChars="228"/>
        <w:rPr>
          <w:rFonts w:ascii="宋体" w:cs="宋体" w:hAnsi="宋体"/>
          <w:color w:val="auto"/>
          <w:sz w:val="24"/>
          <w:szCs w:val="24"/>
          <w:highlight w:val="none"/>
        </w:rPr>
      </w:pPr>
      <w:r>
        <w:rPr>
          <w:rFonts w:ascii="宋体" w:cs="宋体" w:hAnsi="宋体" w:hint="eastAsia"/>
          <w:color w:val="auto"/>
          <w:sz w:val="24"/>
          <w:szCs w:val="24"/>
          <w:highlight w:val="none"/>
        </w:rPr>
        <w:t>1.2.1本《磋商文件》所述内容，仅适用于本次项目采购。</w:t>
      </w:r>
    </w:p>
    <w:p>
      <w:pPr>
        <w:pStyle w:val="style0"/>
        <w:adjustRightInd w:val="false"/>
        <w:snapToGrid w:val="false"/>
        <w:spacing w:lineRule="exact" w:line="460"/>
        <w:ind w:right="240" w:firstLine="547" w:firstLineChars="228"/>
        <w:rPr>
          <w:rFonts w:ascii="宋体" w:cs="宋体" w:hAnsi="宋体"/>
          <w:color w:val="auto"/>
          <w:sz w:val="24"/>
          <w:szCs w:val="24"/>
          <w:highlight w:val="none"/>
        </w:rPr>
      </w:pPr>
      <w:r>
        <w:rPr>
          <w:rFonts w:ascii="宋体" w:cs="宋体" w:hAnsi="宋体" w:hint="eastAsia"/>
          <w:color w:val="auto"/>
          <w:sz w:val="24"/>
          <w:szCs w:val="24"/>
          <w:highlight w:val="none"/>
        </w:rPr>
        <w:t>1.2.2 《磋商文件》的修改性文件、补充文件、澄清文件或说明具有同等法律效力。</w:t>
      </w:r>
    </w:p>
    <w:p>
      <w:pPr>
        <w:pStyle w:val="style0"/>
        <w:adjustRightInd w:val="false"/>
        <w:snapToGrid w:val="false"/>
        <w:spacing w:lineRule="exact" w:line="460"/>
        <w:ind w:right="240" w:firstLine="547" w:firstLineChars="228"/>
        <w:rPr>
          <w:rFonts w:ascii="宋体" w:cs="宋体" w:hAnsi="宋体"/>
          <w:color w:val="auto"/>
          <w:sz w:val="24"/>
          <w:szCs w:val="24"/>
          <w:highlight w:val="none"/>
        </w:rPr>
      </w:pPr>
      <w:r>
        <w:rPr>
          <w:rFonts w:ascii="宋体" w:cs="宋体" w:hAnsi="宋体" w:hint="eastAsia"/>
          <w:color w:val="auto"/>
          <w:sz w:val="24"/>
          <w:szCs w:val="24"/>
          <w:highlight w:val="none"/>
        </w:rPr>
        <w:t>1.2.3 本《磋商文件》适用于并执行《政府采购法》和其它相关的法律、法规。</w:t>
      </w:r>
    </w:p>
    <w:p>
      <w:pPr>
        <w:pStyle w:val="style0"/>
        <w:adjustRightInd w:val="false"/>
        <w:snapToGrid w:val="false"/>
        <w:spacing w:lineRule="exact" w:line="460"/>
        <w:ind w:right="240" w:firstLine="600" w:firstLineChars="250"/>
        <w:rPr>
          <w:rFonts w:ascii="宋体" w:cs="宋体" w:hAnsi="宋体"/>
          <w:color w:val="auto"/>
          <w:sz w:val="24"/>
          <w:szCs w:val="24"/>
          <w:highlight w:val="none"/>
        </w:rPr>
      </w:pPr>
      <w:r>
        <w:rPr>
          <w:rFonts w:ascii="宋体" w:cs="宋体" w:hAnsi="宋体" w:hint="eastAsia"/>
          <w:color w:val="auto"/>
          <w:sz w:val="24"/>
          <w:szCs w:val="24"/>
          <w:highlight w:val="none"/>
        </w:rPr>
        <w:t>1.2.4 本《磋商文件》的解释权属采购人及代理机构。</w:t>
      </w:r>
    </w:p>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1.3  合格的供应商</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1.3.1 凡符合《磋商文件》规定，承认本《磋商文件》所有内容的供应商为合格的供应商。</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1.3.2 单位负责人为同一人或者存在直接控股、管理关系的不同供应商，不得参加同一合同项下的政府采购活动，须提供《国家企业信用信息公示系统》本公司企业信用信息公示报告。</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1.3.3 为采购项目提供整体设计、规范编制或者项目管理、监理、检测等服务的供应商，不得再参加该采购项目的其他采购活动。</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1.3.4 如供应商代表是法定代表人，响应文件须提供法定代表人</w:t>
      </w:r>
      <w:r>
        <w:rPr>
          <w:rFonts w:ascii="宋体" w:cs="宋体" w:hAnsi="宋体" w:hint="eastAsia"/>
          <w:color w:val="auto"/>
          <w:sz w:val="24"/>
          <w:highlight w:val="none"/>
        </w:rPr>
        <w:t>身份</w:t>
      </w:r>
      <w:r>
        <w:rPr>
          <w:rFonts w:ascii="宋体" w:cs="宋体" w:hAnsi="宋体" w:hint="eastAsia"/>
          <w:color w:val="auto"/>
          <w:sz w:val="24"/>
          <w:highlight w:val="none"/>
          <w:lang w:val="zh-CN"/>
        </w:rPr>
        <w:t>证明，不是法定代表人，响应文件须提供《法定代表人授权委托书及法定代表人</w:t>
      </w:r>
      <w:r>
        <w:rPr>
          <w:rFonts w:ascii="宋体" w:cs="宋体" w:hAnsi="宋体" w:hint="eastAsia"/>
          <w:color w:val="auto"/>
          <w:sz w:val="24"/>
          <w:highlight w:val="none"/>
        </w:rPr>
        <w:t>身份</w:t>
      </w:r>
      <w:r>
        <w:rPr>
          <w:rFonts w:ascii="宋体" w:cs="宋体" w:hAnsi="宋体" w:hint="eastAsia"/>
          <w:color w:val="auto"/>
          <w:sz w:val="24"/>
          <w:highlight w:val="none"/>
          <w:lang w:val="zh-CN"/>
        </w:rPr>
        <w:t>证明》。</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rPr>
        <w:t>1.3.5</w:t>
      </w:r>
      <w:r>
        <w:rPr>
          <w:rFonts w:ascii="宋体" w:cs="宋体" w:hAnsi="宋体" w:hint="eastAsia"/>
          <w:color w:val="auto"/>
          <w:sz w:val="24"/>
          <w:highlight w:val="none"/>
          <w:lang w:val="zh-CN"/>
        </w:rPr>
        <w:t>供应商应遵守国家法律、法规和《磋商文件》的规定。</w:t>
      </w:r>
    </w:p>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1.4　联合体</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如供应商须知前附表规定接受联合体投标的，应遵守以下规定：</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1）两个以上的自然人、法人或者其他组织组成一个联合体，以一个供应商的身份共同参加政府采购活动的，应当对所有的联合体成员进行信用记录查询，联合体成员存在不良信用记录的，视同联合体存在不良信用记录。</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（2）两个以上供应商可以组成一个投标联合体，以一个供应商的身份投标，但必须确定其中一个单位为投标的全权代表参加投标活动，并承担投标及履约中应承担的全部责任和义务。</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3）以联合体形式参加投标的，应符供应商须知前附表的要求，联合体各方均应当符合政府采购法第二十二条第一款规定的条件，联合体各方均应当具备承担采购项目（标段&lt;包&gt;）的相应能力、具备规定的相应资格条件。</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（4）联合体中有同类资质的供应商按照联合体分工承担相同工作的，应当按照资质等级较低的供应商确定资质等级。</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（5）联合体各方之间应当签订联合投标协议，明确约定联合体各方承担的工作和相应的责任，并将联合投标协议连同《响应文件》一并提交采购代理机构。</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（6）联合体各方签订联合投标协议后，不得再以自己名义单独在同一项目中投标，也不得组成新的联合体参加同一项目投标。</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（7）联合体中标（成交）的，联合体各方应当共同与采购人签订合同，就中标（成交）项目（标段&lt;包&gt;）向采购人承担连带责任。</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（8）预留中小企业份额项目中，</w:t>
      </w:r>
      <w:r>
        <w:rPr>
          <w:rFonts w:ascii="宋体" w:cs="宋体" w:hAnsi="宋体" w:hint="eastAsia"/>
          <w:color w:val="auto"/>
          <w:sz w:val="24"/>
          <w:szCs w:val="24"/>
          <w:highlight w:val="none"/>
        </w:rPr>
        <w:t>组成联合体的中小企业与联合体内其他企业不得存在直接控股、管理关系。</w:t>
      </w:r>
    </w:p>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1.5  知识产权</w:t>
      </w:r>
    </w:p>
    <w:p>
      <w:pPr>
        <w:pStyle w:val="style0"/>
        <w:spacing w:lineRule="exact" w:line="460"/>
        <w:ind w:firstLine="480" w:firstLineChars="200"/>
        <w:rPr>
          <w:rFonts w:ascii="宋体" w:cs="宋体" w:hAnsi="宋体"/>
          <w:color w:val="auto"/>
          <w:sz w:val="24"/>
          <w:highlight w:val="none"/>
        </w:rPr>
      </w:pPr>
      <w:r>
        <w:rPr>
          <w:rFonts w:ascii="宋体" w:cs="宋体" w:hAnsi="宋体" w:hint="eastAsia"/>
          <w:color w:val="auto"/>
          <w:sz w:val="24"/>
          <w:highlight w:val="none"/>
          <w:lang w:val="zh-CN"/>
        </w:rPr>
        <w:t>1.5.1 供应商须保证采购人使用投标货物、资料、技术、服务或其任何一部分时，享有不受限制的无偿使用权，不会产生因第三方提出侵犯其专利权、商标权或其它知识产权而引起的法律或经济纠纷。</w:t>
      </w:r>
      <w:r>
        <w:rPr>
          <w:rFonts w:ascii="宋体" w:cs="宋体" w:hAnsi="宋体" w:hint="eastAsia"/>
          <w:color w:val="auto"/>
          <w:sz w:val="24"/>
          <w:highlight w:val="none"/>
        </w:rPr>
        <w:t>如因专利权、商标权或其它知识产权而引起法律和经济纠纷，由供应商承担所有相关责任。</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如供应商不拥有相应的知识产权，则在投标报价中必须包括合法获取该知识产权的一切相关费用。如因此导致采购人损失的，供应商须承担全部赔偿责任。</w:t>
      </w:r>
    </w:p>
    <w:p>
      <w:pPr>
        <w:pStyle w:val="style0"/>
        <w:spacing w:lineRule="exact" w:line="460"/>
        <w:ind w:firstLine="480" w:firstLineChars="200"/>
        <w:jc w:val="left"/>
        <w:rPr>
          <w:rFonts w:ascii="宋体" w:cs="宋体" w:hAnsi="宋体"/>
          <w:color w:val="auto"/>
          <w:sz w:val="24"/>
          <w:highlight w:val="none"/>
        </w:rPr>
      </w:pPr>
      <w:r>
        <w:rPr>
          <w:rFonts w:ascii="宋体" w:cs="宋体" w:hAnsi="宋体" w:hint="eastAsia"/>
          <w:color w:val="auto"/>
          <w:sz w:val="24"/>
          <w:highlight w:val="none"/>
        </w:rPr>
        <w:t>1.5.2供应商将在采购项目实施过程中采用自有或者第三方知识成果的，应当在</w:t>
      </w:r>
      <w:r>
        <w:rPr>
          <w:rFonts w:ascii="宋体" w:cs="宋体" w:hAnsi="宋体" w:hint="eastAsia"/>
          <w:color w:val="auto"/>
          <w:sz w:val="24"/>
          <w:highlight w:val="none"/>
          <w:lang w:eastAsia="zh-CN"/>
        </w:rPr>
        <w:t>响应文件</w:t>
      </w:r>
      <w:r>
        <w:rPr>
          <w:rFonts w:ascii="宋体" w:cs="宋体" w:hAnsi="宋体" w:hint="eastAsia"/>
          <w:color w:val="auto"/>
          <w:sz w:val="24"/>
          <w:highlight w:val="none"/>
        </w:rPr>
        <w:t>中载明，并提供相关知识产权证明文件。使用该知识成果后，供应商需提供开发接口和开发手册等技术资料，并承诺提供无限期支持，采购人享有使用权（含采购人委托第三方在该项目后续开发的使用权）。</w:t>
      </w:r>
    </w:p>
    <w:p>
      <w:pPr>
        <w:pStyle w:val="style0"/>
        <w:autoSpaceDE w:val="false"/>
        <w:autoSpaceDN w:val="false"/>
        <w:adjustRightInd w:val="false"/>
        <w:snapToGrid w:val="false"/>
        <w:spacing w:lineRule="exact" w:line="460"/>
        <w:ind w:firstLine="539"/>
        <w:rPr>
          <w:rFonts w:ascii="宋体" w:cs="宋体" w:hAnsi="宋体"/>
          <w:color w:val="auto"/>
          <w:sz w:val="24"/>
          <w:highlight w:val="none"/>
        </w:rPr>
      </w:pPr>
      <w:r>
        <w:rPr>
          <w:rFonts w:ascii="宋体" w:cs="宋体" w:hAnsi="宋体" w:hint="eastAsia"/>
          <w:color w:val="auto"/>
          <w:sz w:val="24"/>
          <w:highlight w:val="none"/>
        </w:rPr>
        <w:t>1.5.3 除非磋商文件特别规定，采购人享有本项目实施过程中产生的知识成果及知识产权。</w:t>
      </w:r>
    </w:p>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1.6  费用</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无论磋商过程中的做法和结果如何，无论何种原因的磋商失败或终止，供应商应自行承担所有与准备和参加磋商有关的全部费用（类比商业采购中的客户洽谈费用），采购代理机构在任何情况下均无义务和责任承担供应商的任何费用。</w:t>
      </w:r>
    </w:p>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1.7 保密</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1.7.1 参与竞争性磋商活动的各方应对《磋商文件》和《响应文件》中的商业和技术等秘密保密，供应商应在《响应文件》中对需保密事项予以书面声明，否则视为非保密事项。</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1.7.2 依据政府采购成交结果及合同公告规定，成交（合同）标的名称、规格型号、单价及成交（合同）金额等内容不得作为商业秘密。</w:t>
      </w:r>
    </w:p>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1.8 语言文字</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除专用术语外，与竞争性磋商有关的语言均使用中文。必要时专用术语应附有中文注释。如果《响应文件》或与投标有关的其它文件、信件及来往函电以其它语言书写，供应商应将其译成中文，并对中文译稿的真实、准确、完整承担责任。</w:t>
      </w:r>
    </w:p>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1.9 计量单位</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所有计量均采用中华人民共和国法定计量单位。</w:t>
      </w:r>
    </w:p>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1.10 踏勘现场</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1.10.1供应商踏勘现场发生的费用自理，供应商自行负责在踏勘现场中所发生的人员伤亡和财产损失。</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1.10.2供应商须知前附表规定组织踏勘现场的，采购人及代理机构按供应商须知前附表规定的时间、地点组织供应商踏勘项目现场。采购人及代理机构在踏勘现场中介绍的交验安装条件和相关的周边环境情况，供应商在编制《响应文件》时参考，采购人及代理机构不对供应商据此作出的判断和决策负责。</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1.10.3  供应商须知前附表规定不组织踏勘现场的，《磋商文件》不单独提供交验地自然环境、气候条件、交验安装条件等情况说明，供应商被视为熟悉前述与履行合同有关的一切情况，供应商可自行踏勘现场并自行了解相关情况。</w:t>
      </w:r>
    </w:p>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1.11 投标预备会</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1.11.1 供应商须知前附表规定召开投标预备会的，采购人及代理机构按供应商须知前附表规定的时间和地点召开投标预备会，澄清供应商提出的问题。</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1.11.2 供应商应在供应商须知前附表规定的时间前，以书面形式将提出的问题送达采购人及代理机构，以便采购人及代理机构在会议期间澄清。</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1.11.3 投标预备会后，采购人及代理机构在供应商须知前附表规定的时间内，将对供应商所提问题的澄清，以本章2.3.2项方式通告潜在供应商。该澄清内容为《磋商文件》的组成部分。</w:t>
      </w:r>
    </w:p>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1.12 分包</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供应商拟在成交后将成交项目(标段&lt;包&gt;)的部分非主体、非关键性工作进行分包的，应符合供应商须知前附表规定的分包内容、分包金额和接受分包的第三人资质要求等限制性条件。</w:t>
      </w:r>
    </w:p>
    <w:p>
      <w:pPr>
        <w:pStyle w:val="style0"/>
        <w:autoSpaceDE w:val="false"/>
        <w:autoSpaceDN w:val="false"/>
        <w:adjustRightInd w:val="false"/>
        <w:snapToGrid w:val="false"/>
        <w:spacing w:lineRule="exact" w:line="460"/>
        <w:ind w:firstLine="539"/>
        <w:rPr>
          <w:rFonts w:ascii="宋体" w:cs="宋体" w:hAnsi="宋体"/>
          <w:color w:val="auto"/>
          <w:sz w:val="24"/>
          <w:szCs w:val="24"/>
          <w:highlight w:val="none"/>
        </w:rPr>
      </w:pPr>
      <w:r>
        <w:rPr>
          <w:rFonts w:ascii="宋体" w:cs="宋体" w:hAnsi="宋体" w:hint="eastAsia"/>
          <w:color w:val="auto"/>
          <w:sz w:val="24"/>
          <w:highlight w:val="none"/>
          <w:lang w:val="zh-CN"/>
        </w:rPr>
        <w:t>预留中小企业份额项目中，</w:t>
      </w:r>
      <w:r>
        <w:rPr>
          <w:rFonts w:ascii="宋体" w:cs="宋体" w:hAnsi="宋体" w:hint="eastAsia"/>
          <w:color w:val="auto"/>
          <w:sz w:val="24"/>
          <w:szCs w:val="24"/>
          <w:highlight w:val="none"/>
        </w:rPr>
        <w:t>接受分包合同的中小企业与分包企业之间不得存在直接控股、管理关系</w:t>
      </w:r>
    </w:p>
    <w:p>
      <w:pPr>
        <w:pStyle w:val="style0"/>
        <w:autoSpaceDE w:val="false"/>
        <w:autoSpaceDN w:val="false"/>
        <w:adjustRightInd w:val="false"/>
        <w:snapToGrid w:val="false"/>
        <w:spacing w:lineRule="exact" w:line="460"/>
        <w:ind w:firstLine="539"/>
        <w:rPr>
          <w:rFonts w:ascii="宋体" w:cs="宋体" w:hAnsi="宋体"/>
          <w:color w:val="auto"/>
          <w:sz w:val="24"/>
          <w:highlight w:val="none"/>
        </w:rPr>
      </w:pPr>
      <w:r>
        <w:rPr>
          <w:rFonts w:ascii="宋体" w:cs="宋体" w:hAnsi="宋体" w:hint="eastAsia"/>
          <w:color w:val="auto"/>
          <w:sz w:val="24"/>
          <w:highlight w:val="none"/>
        </w:rPr>
        <w:t>依法享受扶持政策获得政府采购合同的，小微企业不得将合同分包给大中型企业，中型企业不得将合同分包给大型企业。</w:t>
      </w:r>
    </w:p>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1.13 偏离</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《磋商文件》允许《响应文件》偏离《磋商文件》某些要求的，偏离应当符合《磋商文件》规定的偏离范围和幅度。</w:t>
      </w:r>
    </w:p>
    <w:bookmarkStart w:id="10" w:name="_Toc29592"/>
    <w:p>
      <w:pPr>
        <w:pStyle w:val="style0"/>
        <w:autoSpaceDE w:val="false"/>
        <w:autoSpaceDN w:val="false"/>
        <w:adjustRightInd w:val="false"/>
        <w:snapToGrid w:val="false"/>
        <w:spacing w:lineRule="exact" w:line="460"/>
        <w:ind w:firstLine="539"/>
        <w:outlineLvl w:val="1"/>
        <w:rPr>
          <w:rFonts w:ascii="宋体" w:cs="宋体" w:hAnsi="宋体"/>
          <w:b/>
          <w:bCs/>
          <w:color w:val="auto"/>
          <w:sz w:val="28"/>
          <w:szCs w:val="28"/>
          <w:highlight w:val="none"/>
          <w:lang w:val="zh-CN"/>
        </w:rPr>
      </w:pPr>
      <w:r>
        <w:rPr>
          <w:rFonts w:ascii="宋体" w:cs="宋体" w:hAnsi="宋体" w:hint="eastAsia"/>
          <w:b/>
          <w:bCs/>
          <w:color w:val="auto"/>
          <w:sz w:val="28"/>
          <w:szCs w:val="28"/>
          <w:highlight w:val="none"/>
          <w:lang w:val="zh-CN"/>
        </w:rPr>
        <w:t>2. 《磋商文件》</w:t>
      </w:r>
      <w:bookmarkEnd w:id="10"/>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b/>
          <w:color w:val="auto"/>
          <w:sz w:val="24"/>
          <w:highlight w:val="none"/>
          <w:lang w:val="zh-CN"/>
        </w:rPr>
        <w:t>2.1《磋商文件》的组成</w:t>
      </w:r>
      <w:r>
        <w:rPr>
          <w:rFonts w:ascii="宋体" w:cs="宋体" w:hAnsi="宋体" w:hint="eastAsia"/>
          <w:color w:val="auto"/>
          <w:sz w:val="24"/>
          <w:highlight w:val="none"/>
          <w:lang w:val="zh-CN"/>
        </w:rPr>
        <w:t>：</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2.1.1 《磋商文件》用以阐明采购项目的内容、程序和合同主要条款。《磋商文件》由下述部分组成：</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（1）竞争性磋商公告</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（2）采购项目及技术、服务要求</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（3）供应商须知</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（4）评审办法</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（5）合同主要条款</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（6）《响应文件》格式</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2.1.2 根据本章第1.11款、第2.2款和第2.3款、对《磋商文件》的澄清、修改、补充书构成《磋商文件》的组成部分，并取代《磋商文件》中被澄清、修改处，对所有供应商均有约束力。</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2.1.3 当《磋商文件》、《磋商文件》的澄清、修改、补充等在同一内容的表述上不一致时，以最后发出（发布）的文件为准。</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2.1.4 供应商与任何人的口头协议不影响《磋商文件》的任何条款和内容。</w:t>
      </w:r>
    </w:p>
    <w:p>
      <w:pPr>
        <w:pStyle w:val="style0"/>
        <w:autoSpaceDE w:val="false"/>
        <w:autoSpaceDN w:val="false"/>
        <w:adjustRightInd w:val="false"/>
        <w:snapToGrid w:val="false"/>
        <w:spacing w:lineRule="exact" w:line="460"/>
        <w:ind w:firstLine="539"/>
        <w:rPr>
          <w:rFonts w:ascii="宋体" w:cs="宋体" w:hAnsi="宋体"/>
          <w:color w:val="auto"/>
          <w:sz w:val="24"/>
          <w:highlight w:val="none"/>
        </w:rPr>
      </w:pPr>
      <w:r>
        <w:rPr>
          <w:rFonts w:ascii="宋体" w:cs="宋体" w:hAnsi="宋体" w:hint="eastAsia"/>
          <w:color w:val="auto"/>
          <w:sz w:val="24"/>
          <w:highlight w:val="none"/>
        </w:rPr>
        <w:t>2.1.5供应商应仔细阅读和检查《磋商文件》的全部内容是否齐全，如发现缺页或附件不全等遗漏，应及时向采购代理机构提出并索取补齐，否则责任及风险自负。</w:t>
      </w:r>
    </w:p>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2.2 《磋商文件》的澄清</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2.2.1 合规获取《磋商文件》的所有潜在供应商对《磋商文件》如有需澄清的疑问，应在供应商须知前附表规定的时间内按竞争性磋商公告中载明的地址以纸质书面形式通知到采购代理机构。在规定的时间内未提出疑问的，将视为对《磋商文件》的完全认可。</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2.2.2 采购代理机构对潜在供应商在规定的时间内提出的疑问，将视情况以书面形式予以答复，并在其认为必要时，将不标明查询来源的书面答复，在“竞争性磋商公告”所述媒体通告所有潜在供应商。</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2.2.3 《磋商文件》中如有不符合国家有关强制性规定、不符合国家标准及行业标准的，供应商应在投标阶段或成交实施阶段予以纠正或尽提醒义务。如作为有经验的供应商（成交供应商）应当知道而未尽提醒义务的，执行指令而造成的损失及风险由供应商（成交供应商）承担。</w:t>
      </w:r>
    </w:p>
    <w:p>
      <w:pPr>
        <w:pStyle w:val="style0"/>
        <w:adjustRightInd w:val="false"/>
        <w:snapToGrid w:val="false"/>
        <w:spacing w:lineRule="exact" w:line="460"/>
        <w:ind w:firstLine="480" w:firstLineChars="200"/>
        <w:jc w:val="left"/>
        <w:rPr>
          <w:rFonts w:ascii="宋体" w:cs="宋体" w:hAnsi="宋体"/>
          <w:color w:val="auto"/>
          <w:sz w:val="24"/>
          <w:highlight w:val="none"/>
          <w:lang w:val="zh-CN"/>
        </w:rPr>
      </w:pPr>
      <w:r>
        <w:rPr>
          <w:rFonts w:ascii="宋体" w:cs="宋体" w:hAnsi="宋体" w:hint="eastAsia"/>
          <w:color w:val="auto"/>
          <w:sz w:val="24"/>
          <w:highlight w:val="none"/>
          <w:lang w:val="zh-CN"/>
        </w:rPr>
        <w:t>2.2.4采购代理机构可视情况在投标截止前答疑。</w:t>
      </w:r>
    </w:p>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2.3 《磋商文件》的澄清、修改、补充</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2.3.1 采购人、代理机构在投标截止时间前有权澄清修改、补充已发售的《磋商文件》。</w:t>
      </w:r>
    </w:p>
    <w:p>
      <w:pPr>
        <w:pStyle w:val="style0"/>
        <w:autoSpaceDE w:val="false"/>
        <w:autoSpaceDN w:val="false"/>
        <w:adjustRightInd w:val="false"/>
        <w:snapToGrid w:val="false"/>
        <w:spacing w:lineRule="exact" w:line="460"/>
        <w:ind w:firstLine="539"/>
        <w:rPr>
          <w:rFonts w:ascii="宋体" w:cs="宋体" w:hAnsi="宋体"/>
          <w:color w:val="auto"/>
          <w:sz w:val="24"/>
          <w:highlight w:val="none"/>
        </w:rPr>
      </w:pPr>
      <w:r>
        <w:rPr>
          <w:rFonts w:ascii="宋体" w:cs="宋体" w:hAnsi="宋体" w:hint="eastAsia"/>
          <w:color w:val="auto"/>
          <w:sz w:val="24"/>
          <w:highlight w:val="none"/>
          <w:lang w:val="zh-CN"/>
        </w:rPr>
        <w:t>2.3.</w:t>
      </w:r>
      <w:r>
        <w:rPr>
          <w:rFonts w:ascii="宋体" w:cs="宋体" w:hAnsi="宋体" w:hint="eastAsia"/>
          <w:color w:val="auto"/>
          <w:sz w:val="24"/>
          <w:highlight w:val="none"/>
        </w:rPr>
        <w:t>2 磋商过程中对《磋商文件》的变动见第四章评审办法3.4款磋商规则。</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b/>
          <w:color w:val="auto"/>
          <w:sz w:val="24"/>
          <w:highlight w:val="none"/>
          <w:lang w:val="zh-CN"/>
        </w:rPr>
        <w:t>2.4 《磋商文件》的澄清、修改、补充的通知，及相应时间变更</w:t>
      </w:r>
    </w:p>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color w:val="auto"/>
          <w:sz w:val="24"/>
          <w:highlight w:val="none"/>
          <w:lang w:val="zh-CN"/>
        </w:rPr>
        <w:t xml:space="preserve">2.4.1 </w:t>
      </w:r>
      <w:r>
        <w:rPr>
          <w:rFonts w:ascii="宋体" w:cs="宋体" w:hAnsi="宋体" w:hint="eastAsia"/>
          <w:color w:val="auto"/>
          <w:sz w:val="24"/>
          <w:highlight w:val="none"/>
        </w:rPr>
        <w:t>《磋商文件》</w:t>
      </w:r>
      <w:r>
        <w:rPr>
          <w:rFonts w:ascii="宋体" w:cs="宋体" w:hAnsi="宋体" w:hint="eastAsia"/>
          <w:color w:val="auto"/>
          <w:sz w:val="24"/>
          <w:highlight w:val="none"/>
          <w:lang w:val="zh-CN"/>
        </w:rPr>
        <w:t>在递交截止时间前的所有澄清、修改（包括时间变更等）、补充事项，均在“竞争性磋商公告”所述媒体予以公告。</w:t>
      </w:r>
      <w:r>
        <w:rPr>
          <w:rFonts w:ascii="宋体" w:cs="宋体" w:hAnsi="宋体" w:hint="eastAsia"/>
          <w:b/>
          <w:color w:val="auto"/>
          <w:sz w:val="24"/>
          <w:highlight w:val="none"/>
          <w:lang w:val="zh-CN"/>
        </w:rPr>
        <w:t>澄清或修改公告一经在法定网站以公告形式发布，依法视为书面通知，不再另行通知。</w:t>
      </w:r>
    </w:p>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基于网上电子交易的特点—-无权限获知或通知潜在供应商，潜在供应商应随时关注“竞争性磋商公告”所述媒体相关项目信息（为免各部门网站出现维护等情况，潜在供应商应对“竞争性磋商公告”所述媒体逐一查阅），如有遗漏，后果自负。</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 xml:space="preserve">2.4.2 </w:t>
      </w:r>
      <w:r>
        <w:rPr>
          <w:rFonts w:ascii="宋体" w:cs="宋体" w:hAnsi="宋体" w:hint="eastAsia"/>
          <w:color w:val="auto"/>
          <w:sz w:val="24"/>
          <w:highlight w:val="none"/>
        </w:rPr>
        <w:t>《磋商文件》</w:t>
      </w:r>
      <w:r>
        <w:rPr>
          <w:rFonts w:ascii="宋体" w:cs="宋体" w:hAnsi="宋体" w:hint="eastAsia"/>
          <w:color w:val="auto"/>
          <w:sz w:val="24"/>
          <w:highlight w:val="none"/>
          <w:lang w:val="zh-CN"/>
        </w:rPr>
        <w:t>的澄清、修改、补充书构成</w:t>
      </w:r>
      <w:r>
        <w:rPr>
          <w:rFonts w:ascii="宋体" w:cs="宋体" w:hAnsi="宋体" w:hint="eastAsia"/>
          <w:color w:val="auto"/>
          <w:sz w:val="24"/>
          <w:highlight w:val="none"/>
        </w:rPr>
        <w:t>《磋商文件》</w:t>
      </w:r>
      <w:r>
        <w:rPr>
          <w:rFonts w:ascii="宋体" w:cs="宋体" w:hAnsi="宋体" w:hint="eastAsia"/>
          <w:color w:val="auto"/>
          <w:sz w:val="24"/>
          <w:highlight w:val="none"/>
          <w:lang w:val="zh-CN"/>
        </w:rPr>
        <w:t>的组成部分，并取代</w:t>
      </w:r>
      <w:r>
        <w:rPr>
          <w:rFonts w:ascii="宋体" w:cs="宋体" w:hAnsi="宋体" w:hint="eastAsia"/>
          <w:color w:val="auto"/>
          <w:sz w:val="24"/>
          <w:highlight w:val="none"/>
        </w:rPr>
        <w:t>《磋商文件》</w:t>
      </w:r>
      <w:r>
        <w:rPr>
          <w:rFonts w:ascii="宋体" w:cs="宋体" w:hAnsi="宋体" w:hint="eastAsia"/>
          <w:color w:val="auto"/>
          <w:sz w:val="24"/>
          <w:highlight w:val="none"/>
          <w:lang w:val="zh-CN"/>
        </w:rPr>
        <w:t>中被澄清、修改处，对所有供应商均有约束力。</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2.4.3 如果提交首次《响应文件》截止时间前的澄清修改补充发出的时间不满足供应商须知前附表规定时间，并且澄清修改补充内容影响《响应文件》编制的，代理机构可视采购具体情况延长投标截止时间和开标时间，并将在“竞争性磋商公告”所述媒体予以公告。</w:t>
      </w:r>
    </w:p>
    <w:bookmarkStart w:id="11" w:name="_Toc10224"/>
    <w:p>
      <w:pPr>
        <w:pStyle w:val="style0"/>
        <w:autoSpaceDE w:val="false"/>
        <w:autoSpaceDN w:val="false"/>
        <w:adjustRightInd w:val="false"/>
        <w:snapToGrid w:val="false"/>
        <w:spacing w:lineRule="exact" w:line="460"/>
        <w:ind w:firstLine="539"/>
        <w:outlineLvl w:val="1"/>
        <w:rPr>
          <w:rFonts w:ascii="宋体" w:cs="宋体" w:hAnsi="宋体"/>
          <w:b/>
          <w:bCs/>
          <w:color w:val="auto"/>
          <w:sz w:val="28"/>
          <w:szCs w:val="28"/>
          <w:highlight w:val="none"/>
          <w:lang w:val="zh-CN"/>
        </w:rPr>
      </w:pPr>
      <w:r>
        <w:rPr>
          <w:rFonts w:ascii="宋体" w:cs="宋体" w:hAnsi="宋体" w:hint="eastAsia"/>
          <w:b/>
          <w:bCs/>
          <w:color w:val="auto"/>
          <w:sz w:val="28"/>
          <w:szCs w:val="28"/>
          <w:highlight w:val="none"/>
          <w:lang w:val="zh-CN"/>
        </w:rPr>
        <w:t>3. 《响应文件》</w:t>
      </w:r>
      <w:bookmarkEnd w:id="11"/>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b/>
          <w:color w:val="auto"/>
          <w:sz w:val="24"/>
          <w:highlight w:val="none"/>
          <w:lang w:val="zh-CN"/>
        </w:rPr>
        <w:t>3.1</w:t>
      </w:r>
      <w:r>
        <w:rPr>
          <w:rFonts w:ascii="宋体" w:cs="宋体" w:hAnsi="宋体" w:hint="eastAsia"/>
          <w:color w:val="auto"/>
          <w:sz w:val="24"/>
          <w:highlight w:val="none"/>
          <w:lang w:val="zh-CN"/>
        </w:rPr>
        <w:t>　供应商应仔细阅读《磋商文件》的所有内容，按《磋商文件》的要求提供《响应文件》，并保证所提供全部资料的真实性。《响应文件》应对《磋商文件》实质性要求作出实质性响应。磋商小组对《响应文件》的有效性、完整性和响应程度进行审查，不满足实质性要求的为</w:t>
      </w:r>
      <w:r>
        <w:rPr>
          <w:rFonts w:ascii="宋体" w:cs="宋体" w:hAnsi="宋体" w:hint="eastAsia"/>
          <w:b/>
          <w:color w:val="auto"/>
          <w:sz w:val="24"/>
          <w:highlight w:val="none"/>
          <w:lang w:val="zh-CN"/>
        </w:rPr>
        <w:t>无效文件</w:t>
      </w:r>
      <w:r>
        <w:rPr>
          <w:rFonts w:ascii="宋体" w:cs="宋体" w:hAnsi="宋体" w:hint="eastAsia"/>
          <w:color w:val="auto"/>
          <w:sz w:val="24"/>
          <w:highlight w:val="none"/>
          <w:lang w:val="zh-CN"/>
        </w:rPr>
        <w:t>。</w:t>
      </w:r>
    </w:p>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3.2 《响应文件》的组成</w:t>
      </w:r>
    </w:p>
    <w:p>
      <w:pPr>
        <w:pStyle w:val="style0"/>
        <w:adjustRightInd w:val="false"/>
        <w:snapToGrid w:val="false"/>
        <w:spacing w:lineRule="exact" w:line="460"/>
        <w:ind w:firstLine="539"/>
        <w:textAlignment w:val="top"/>
        <w:rPr>
          <w:rFonts w:ascii="宋体" w:cs="宋体" w:hAnsi="宋体"/>
          <w:color w:val="auto"/>
          <w:sz w:val="24"/>
          <w:highlight w:val="none"/>
          <w:lang w:val="zh-CN"/>
        </w:rPr>
      </w:pPr>
      <w:r>
        <w:rPr>
          <w:rFonts w:ascii="宋体" w:cs="宋体" w:hAnsi="宋体" w:hint="eastAsia"/>
          <w:color w:val="auto"/>
          <w:sz w:val="24"/>
          <w:highlight w:val="none"/>
          <w:lang w:val="zh-CN"/>
        </w:rPr>
        <w:t>3.2.1 《响应文件》组成如有缺项，磋商小组按照实质性判断原则（实质性要求和实质性响应两因素）、有权视情况将其作无效响应处理，供应商自负此项风险；《响应文件》组成内容未对《磋商文件》实质性要求作出实质性响应，磋商小组按照实质性判断原则、视情况将其作无效响应处理，供应商自负此项风险</w:t>
      </w:r>
    </w:p>
    <w:p>
      <w:pPr>
        <w:pStyle w:val="style0"/>
        <w:adjustRightInd w:val="false"/>
        <w:snapToGrid w:val="false"/>
        <w:spacing w:lineRule="exact" w:line="460"/>
        <w:ind w:firstLine="539"/>
        <w:textAlignment w:val="top"/>
        <w:rPr>
          <w:rFonts w:ascii="宋体" w:cs="宋体" w:hAnsi="宋体"/>
          <w:color w:val="auto"/>
          <w:sz w:val="24"/>
          <w:szCs w:val="24"/>
          <w:highlight w:val="none"/>
        </w:rPr>
      </w:pPr>
      <w:r>
        <w:rPr>
          <w:rFonts w:ascii="宋体" w:cs="宋体" w:hAnsi="宋体" w:hint="eastAsia"/>
          <w:color w:val="auto"/>
          <w:sz w:val="24"/>
          <w:szCs w:val="24"/>
          <w:highlight w:val="none"/>
        </w:rPr>
        <w:t>3.2..2《响应文件》应包括下列内容：</w:t>
      </w:r>
    </w:p>
    <w:p>
      <w:pPr>
        <w:pStyle w:val="style0"/>
        <w:adjustRightInd w:val="false"/>
        <w:snapToGrid w:val="false"/>
        <w:spacing w:lineRule="exact" w:line="460"/>
        <w:ind w:firstLine="539"/>
        <w:textAlignment w:val="top"/>
        <w:rPr>
          <w:rFonts w:ascii="宋体" w:cs="宋体" w:hAnsi="宋体"/>
          <w:color w:val="auto"/>
          <w:sz w:val="24"/>
          <w:highlight w:val="none"/>
        </w:rPr>
      </w:pPr>
      <w:r>
        <w:rPr>
          <w:rFonts w:ascii="宋体" w:cs="宋体" w:hAnsi="宋体" w:hint="eastAsia"/>
          <w:color w:val="auto"/>
          <w:sz w:val="24"/>
          <w:highlight w:val="none"/>
        </w:rPr>
        <w:t>（1）投标书。</w:t>
      </w:r>
    </w:p>
    <w:p>
      <w:pPr>
        <w:pStyle w:val="style0"/>
        <w:adjustRightInd w:val="false"/>
        <w:snapToGrid w:val="false"/>
        <w:spacing w:lineRule="exact" w:line="460"/>
        <w:ind w:firstLine="539"/>
        <w:textAlignment w:val="top"/>
        <w:rPr>
          <w:rFonts w:ascii="宋体" w:cs="宋体" w:hAnsi="宋体"/>
          <w:color w:val="auto"/>
          <w:sz w:val="24"/>
          <w:highlight w:val="none"/>
        </w:rPr>
      </w:pPr>
      <w:r>
        <w:rPr>
          <w:rFonts w:ascii="宋体" w:cs="宋体" w:hAnsi="宋体" w:hint="eastAsia"/>
          <w:color w:val="auto"/>
          <w:sz w:val="24"/>
          <w:highlight w:val="none"/>
          <w:lang w:val="zh-CN"/>
        </w:rPr>
        <w:t>（2）</w:t>
      </w:r>
      <w:r>
        <w:rPr>
          <w:rFonts w:ascii="宋体" w:cs="宋体" w:hAnsi="宋体" w:hint="eastAsia"/>
          <w:color w:val="auto"/>
          <w:sz w:val="24"/>
          <w:highlight w:val="none"/>
        </w:rPr>
        <w:t>开标一览表</w:t>
      </w:r>
    </w:p>
    <w:p>
      <w:pPr>
        <w:pStyle w:val="style0"/>
        <w:adjustRightInd w:val="false"/>
        <w:snapToGrid w:val="false"/>
        <w:spacing w:lineRule="exact" w:line="460"/>
        <w:ind w:firstLine="539"/>
        <w:textAlignment w:val="top"/>
        <w:rPr>
          <w:rFonts w:ascii="宋体" w:cs="宋体" w:hAnsi="宋体"/>
          <w:color w:val="auto"/>
          <w:sz w:val="24"/>
          <w:highlight w:val="none"/>
          <w:lang w:val="zh-CN"/>
        </w:rPr>
      </w:pPr>
      <w:r>
        <w:rPr>
          <w:rFonts w:ascii="宋体" w:cs="宋体" w:hAnsi="宋体" w:hint="eastAsia"/>
          <w:color w:val="auto"/>
          <w:sz w:val="24"/>
          <w:highlight w:val="none"/>
          <w:lang w:val="zh-CN"/>
        </w:rPr>
        <w:t>（4）服务方案及服务质量承诺</w:t>
      </w:r>
    </w:p>
    <w:p>
      <w:pPr>
        <w:pStyle w:val="style0"/>
        <w:adjustRightInd w:val="false"/>
        <w:snapToGrid w:val="false"/>
        <w:spacing w:lineRule="exact" w:line="460"/>
        <w:ind w:firstLine="539"/>
        <w:textAlignment w:val="top"/>
        <w:rPr>
          <w:rFonts w:ascii="宋体" w:cs="宋体" w:hAnsi="宋体"/>
          <w:color w:val="auto"/>
          <w:sz w:val="24"/>
          <w:highlight w:val="none"/>
          <w:lang w:val="zh-CN"/>
        </w:rPr>
      </w:pPr>
      <w:r>
        <w:rPr>
          <w:rFonts w:ascii="宋体" w:cs="宋体" w:hAnsi="宋体" w:hint="eastAsia"/>
          <w:color w:val="auto"/>
          <w:sz w:val="24"/>
          <w:highlight w:val="none"/>
          <w:lang w:val="zh-CN"/>
        </w:rPr>
        <w:t>（</w:t>
      </w:r>
      <w:r>
        <w:rPr>
          <w:rFonts w:ascii="宋体" w:cs="宋体" w:hAnsi="宋体" w:hint="eastAsia"/>
          <w:color w:val="auto"/>
          <w:sz w:val="24"/>
          <w:highlight w:val="none"/>
          <w:lang w:val="en-US" w:eastAsia="zh-CN"/>
        </w:rPr>
        <w:t>5</w:t>
      </w:r>
      <w:r>
        <w:rPr>
          <w:rFonts w:ascii="宋体" w:cs="宋体" w:hAnsi="宋体" w:hint="eastAsia"/>
          <w:color w:val="auto"/>
          <w:sz w:val="24"/>
          <w:highlight w:val="none"/>
          <w:lang w:val="zh-CN"/>
        </w:rPr>
        <w:t>）偏差表</w:t>
      </w:r>
    </w:p>
    <w:p>
      <w:pPr>
        <w:pStyle w:val="style0"/>
        <w:adjustRightInd w:val="false"/>
        <w:snapToGrid w:val="false"/>
        <w:spacing w:lineRule="exact" w:line="460"/>
        <w:ind w:firstLine="539"/>
        <w:rPr>
          <w:rFonts w:ascii="宋体" w:cs="宋体" w:hAnsi="宋体"/>
          <w:color w:val="auto"/>
          <w:sz w:val="24"/>
          <w:highlight w:val="none"/>
        </w:rPr>
      </w:pPr>
      <w:r>
        <w:rPr>
          <w:rFonts w:ascii="宋体" w:cs="宋体" w:hAnsi="宋体" w:hint="eastAsia"/>
          <w:color w:val="auto"/>
          <w:sz w:val="24"/>
          <w:highlight w:val="none"/>
          <w:lang w:val="zh-CN"/>
        </w:rPr>
        <w:t>（</w:t>
      </w:r>
      <w:r>
        <w:rPr>
          <w:rFonts w:ascii="宋体" w:cs="宋体" w:hAnsi="宋体" w:hint="eastAsia"/>
          <w:color w:val="auto"/>
          <w:sz w:val="24"/>
          <w:highlight w:val="none"/>
          <w:lang w:val="en-US" w:eastAsia="zh-CN"/>
        </w:rPr>
        <w:t>6</w:t>
      </w:r>
      <w:r>
        <w:rPr>
          <w:rFonts w:ascii="宋体" w:cs="宋体" w:hAnsi="宋体" w:hint="eastAsia"/>
          <w:color w:val="auto"/>
          <w:sz w:val="24"/>
          <w:highlight w:val="none"/>
          <w:lang w:val="zh-CN"/>
        </w:rPr>
        <w:t>）</w:t>
      </w:r>
      <w:r>
        <w:rPr>
          <w:rFonts w:ascii="宋体" w:cs="宋体" w:hAnsi="宋体" w:hint="eastAsia"/>
          <w:color w:val="auto"/>
          <w:sz w:val="24"/>
          <w:highlight w:val="none"/>
        </w:rPr>
        <w:t>关于资格的声明函</w:t>
      </w:r>
    </w:p>
    <w:p>
      <w:pPr>
        <w:pStyle w:val="style0"/>
        <w:adjustRightInd w:val="false"/>
        <w:snapToGrid w:val="false"/>
        <w:spacing w:lineRule="exact" w:line="460"/>
        <w:ind w:firstLine="539"/>
        <w:rPr>
          <w:rFonts w:ascii="宋体" w:cs="宋体" w:hAnsi="宋体"/>
          <w:color w:val="auto"/>
          <w:sz w:val="24"/>
          <w:highlight w:val="none"/>
        </w:rPr>
      </w:pPr>
      <w:r>
        <w:rPr>
          <w:rFonts w:ascii="宋体" w:cs="宋体" w:hAnsi="宋体" w:hint="eastAsia"/>
          <w:color w:val="auto"/>
          <w:sz w:val="24"/>
          <w:highlight w:val="none"/>
          <w:lang w:val="zh-CN"/>
        </w:rPr>
        <w:t>（</w:t>
      </w:r>
      <w:r>
        <w:rPr>
          <w:rFonts w:ascii="宋体" w:cs="宋体" w:hAnsi="宋体" w:hint="eastAsia"/>
          <w:color w:val="auto"/>
          <w:sz w:val="24"/>
          <w:highlight w:val="none"/>
          <w:lang w:val="en-US" w:eastAsia="zh-CN"/>
        </w:rPr>
        <w:t>7</w:t>
      </w:r>
      <w:r>
        <w:rPr>
          <w:rFonts w:ascii="宋体" w:cs="宋体" w:hAnsi="宋体" w:hint="eastAsia"/>
          <w:color w:val="auto"/>
          <w:sz w:val="24"/>
          <w:highlight w:val="none"/>
          <w:lang w:val="zh-CN"/>
        </w:rPr>
        <w:t>）</w:t>
      </w:r>
      <w:r>
        <w:rPr>
          <w:rFonts w:ascii="宋体" w:cs="宋体" w:hAnsi="宋体" w:hint="eastAsia"/>
          <w:color w:val="auto"/>
          <w:sz w:val="24"/>
          <w:highlight w:val="none"/>
        </w:rPr>
        <w:t>反商业贿赂承诺书。</w:t>
      </w:r>
    </w:p>
    <w:p>
      <w:pPr>
        <w:pStyle w:val="style0"/>
        <w:adjustRightInd w:val="false"/>
        <w:snapToGrid w:val="false"/>
        <w:spacing w:lineRule="exact" w:line="460"/>
        <w:ind w:firstLine="539"/>
        <w:rPr>
          <w:rFonts w:ascii="宋体" w:cs="宋体" w:hAnsi="宋体"/>
          <w:color w:val="auto"/>
          <w:sz w:val="24"/>
          <w:highlight w:val="none"/>
        </w:rPr>
      </w:pPr>
      <w:r>
        <w:rPr>
          <w:rFonts w:ascii="宋体" w:cs="宋体" w:hAnsi="宋体" w:hint="eastAsia"/>
          <w:color w:val="auto"/>
          <w:sz w:val="24"/>
          <w:highlight w:val="none"/>
          <w:lang w:val="zh-CN"/>
        </w:rPr>
        <w:t>（</w:t>
      </w:r>
      <w:r>
        <w:rPr>
          <w:rFonts w:ascii="宋体" w:cs="宋体" w:hAnsi="宋体" w:hint="eastAsia"/>
          <w:color w:val="auto"/>
          <w:sz w:val="24"/>
          <w:highlight w:val="none"/>
          <w:lang w:val="en-US" w:eastAsia="zh-CN"/>
        </w:rPr>
        <w:t>8</w:t>
      </w:r>
      <w:r>
        <w:rPr>
          <w:rFonts w:ascii="宋体" w:cs="宋体" w:hAnsi="宋体" w:hint="eastAsia"/>
          <w:color w:val="auto"/>
          <w:sz w:val="24"/>
          <w:highlight w:val="none"/>
          <w:lang w:val="zh-CN"/>
        </w:rPr>
        <w:t>）</w:t>
      </w:r>
      <w:r>
        <w:rPr>
          <w:rFonts w:ascii="宋体" w:cs="宋体" w:hAnsi="宋体" w:hint="eastAsia"/>
          <w:color w:val="auto"/>
          <w:sz w:val="24"/>
          <w:highlight w:val="none"/>
        </w:rPr>
        <w:t>履约承诺书。</w:t>
      </w:r>
    </w:p>
    <w:p>
      <w:pPr>
        <w:pStyle w:val="style0"/>
        <w:widowControl w:val="false"/>
        <w:adjustRightInd w:val="false"/>
        <w:snapToGrid w:val="false"/>
        <w:spacing w:lineRule="exact" w:line="460"/>
        <w:ind w:firstLine="539"/>
        <w:textAlignment w:val="top"/>
        <w:rPr>
          <w:rFonts w:ascii="宋体" w:cs="宋体" w:hAnsi="宋体"/>
          <w:color w:val="auto"/>
          <w:sz w:val="24"/>
          <w:highlight w:val="none"/>
        </w:rPr>
      </w:pPr>
      <w:r>
        <w:rPr>
          <w:rFonts w:ascii="宋体" w:cs="宋体" w:hAnsi="宋体" w:hint="eastAsia"/>
          <w:color w:val="auto"/>
          <w:sz w:val="24"/>
          <w:highlight w:val="none"/>
        </w:rPr>
        <w:t>（</w:t>
      </w:r>
      <w:r>
        <w:rPr>
          <w:rFonts w:ascii="宋体" w:cs="宋体" w:hAnsi="宋体" w:hint="eastAsia"/>
          <w:color w:val="auto"/>
          <w:sz w:val="24"/>
          <w:highlight w:val="none"/>
          <w:lang w:val="en-US" w:eastAsia="zh-CN"/>
        </w:rPr>
        <w:t>9</w:t>
      </w:r>
      <w:r>
        <w:rPr>
          <w:rFonts w:ascii="宋体" w:cs="宋体" w:hAnsi="宋体" w:hint="eastAsia"/>
          <w:color w:val="auto"/>
          <w:sz w:val="24"/>
          <w:highlight w:val="none"/>
        </w:rPr>
        <w:t>）资格要求相关证明材料（文件）</w:t>
      </w:r>
    </w:p>
    <w:p>
      <w:pPr>
        <w:pStyle w:val="style0"/>
        <w:widowControl w:val="false"/>
        <w:adjustRightInd w:val="false"/>
        <w:snapToGrid w:val="false"/>
        <w:spacing w:lineRule="exact" w:line="460"/>
        <w:ind w:firstLine="539"/>
        <w:textAlignment w:val="top"/>
        <w:rPr>
          <w:rFonts w:ascii="宋体" w:cs="宋体" w:hAnsi="宋体"/>
          <w:color w:val="auto"/>
          <w:sz w:val="24"/>
          <w:highlight w:val="none"/>
        </w:rPr>
      </w:pPr>
      <w:r>
        <w:rPr>
          <w:rFonts w:ascii="宋体" w:cs="宋体" w:hAnsi="宋体" w:hint="eastAsia"/>
          <w:color w:val="auto"/>
          <w:sz w:val="24"/>
          <w:highlight w:val="none"/>
        </w:rPr>
        <w:t>（</w:t>
      </w:r>
      <w:r>
        <w:rPr>
          <w:rFonts w:ascii="宋体" w:cs="宋体" w:hAnsi="宋体" w:hint="eastAsia"/>
          <w:color w:val="auto"/>
          <w:sz w:val="24"/>
          <w:highlight w:val="none"/>
          <w:lang w:val="en-US" w:eastAsia="zh-CN"/>
        </w:rPr>
        <w:t>10</w:t>
      </w:r>
      <w:r>
        <w:rPr>
          <w:rFonts w:ascii="宋体" w:cs="宋体" w:hAnsi="宋体" w:hint="eastAsia"/>
          <w:color w:val="auto"/>
          <w:sz w:val="24"/>
          <w:highlight w:val="none"/>
        </w:rPr>
        <w:t>）评审办法所需的其他材料（按条款需要）</w:t>
      </w:r>
    </w:p>
    <w:p>
      <w:pPr>
        <w:pStyle w:val="style0"/>
        <w:autoSpaceDE w:val="false"/>
        <w:autoSpaceDN w:val="false"/>
        <w:adjustRightInd w:val="false"/>
        <w:snapToGrid w:val="false"/>
        <w:spacing w:lineRule="exact" w:line="460"/>
        <w:ind w:firstLine="520" w:firstLineChars="217"/>
        <w:rPr>
          <w:rFonts w:ascii="宋体" w:cs="宋体" w:hAnsi="宋体"/>
          <w:color w:val="auto"/>
          <w:sz w:val="24"/>
          <w:highlight w:val="none"/>
          <w:lang w:val="zh-CN"/>
        </w:rPr>
      </w:pPr>
      <w:r>
        <w:rPr>
          <w:rFonts w:ascii="宋体" w:cs="宋体" w:hAnsi="宋体" w:hint="eastAsia"/>
          <w:color w:val="auto"/>
          <w:sz w:val="24"/>
          <w:highlight w:val="none"/>
          <w:lang w:val="zh-CN"/>
        </w:rPr>
        <w:t>（</w:t>
      </w:r>
      <w:r>
        <w:rPr>
          <w:rFonts w:ascii="宋体" w:cs="宋体" w:hAnsi="宋体" w:hint="eastAsia"/>
          <w:color w:val="auto"/>
          <w:sz w:val="24"/>
          <w:highlight w:val="none"/>
          <w:lang w:val="en-US" w:eastAsia="zh-CN"/>
        </w:rPr>
        <w:t>11</w:t>
      </w:r>
      <w:r>
        <w:rPr>
          <w:rFonts w:ascii="宋体" w:cs="宋体" w:hAnsi="宋体" w:hint="eastAsia"/>
          <w:color w:val="auto"/>
          <w:sz w:val="24"/>
          <w:highlight w:val="none"/>
          <w:lang w:val="zh-CN"/>
        </w:rPr>
        <w:t>）</w:t>
      </w:r>
      <w:r>
        <w:rPr>
          <w:rFonts w:ascii="宋体" w:cs="宋体" w:hAnsi="宋体" w:hint="eastAsia"/>
          <w:color w:val="auto"/>
          <w:sz w:val="24"/>
          <w:highlight w:val="none"/>
        </w:rPr>
        <w:t>供应商认为有必要提交的其它材料</w:t>
      </w:r>
    </w:p>
    <w:p>
      <w:pPr>
        <w:pStyle w:val="style0"/>
        <w:topLinePunct/>
        <w:adjustRightInd w:val="false"/>
        <w:snapToGrid w:val="false"/>
        <w:spacing w:lineRule="exact" w:line="460"/>
        <w:ind w:firstLine="564" w:firstLineChars="235"/>
        <w:rPr>
          <w:rFonts w:ascii="宋体" w:cs="宋体" w:hAnsi="宋体"/>
          <w:color w:val="auto"/>
          <w:sz w:val="24"/>
          <w:highlight w:val="none"/>
          <w:lang w:val="zh-CN"/>
        </w:rPr>
      </w:pPr>
      <w:r>
        <w:rPr>
          <w:rFonts w:ascii="宋体" w:cs="宋体" w:hAnsi="宋体" w:hint="eastAsia"/>
          <w:color w:val="auto"/>
          <w:sz w:val="24"/>
          <w:highlight w:val="none"/>
          <w:lang w:val="zh-CN"/>
        </w:rPr>
        <w:t>3.2.3按照本章第4.3款、第四章第3.4款规定，对《响应文件》的补充、修改、澄清、说明或者更正构成《响应文件》的组成部分，</w:t>
      </w:r>
    </w:p>
    <w:p>
      <w:pPr>
        <w:pStyle w:val="style0"/>
        <w:topLinePunct/>
        <w:adjustRightInd w:val="false"/>
        <w:snapToGrid w:val="false"/>
        <w:spacing w:lineRule="exact" w:line="460"/>
        <w:ind w:firstLine="566" w:firstLineChars="235"/>
        <w:rPr>
          <w:rFonts w:ascii="宋体" w:cs="宋体" w:hAnsi="宋体"/>
          <w:color w:val="auto"/>
          <w:sz w:val="24"/>
          <w:highlight w:val="none"/>
          <w:lang w:val="zh-CN"/>
        </w:rPr>
      </w:pPr>
      <w:r>
        <w:rPr>
          <w:rFonts w:ascii="宋体" w:cs="宋体" w:hAnsi="宋体" w:hint="eastAsia"/>
          <w:b/>
          <w:color w:val="auto"/>
          <w:sz w:val="24"/>
          <w:highlight w:val="none"/>
          <w:lang w:val="zh-CN"/>
        </w:rPr>
        <w:t>3.3 磋商报价</w:t>
      </w:r>
      <w:r>
        <w:rPr>
          <w:rFonts w:ascii="宋体" w:cs="宋体" w:hAnsi="宋体" w:hint="eastAsia"/>
          <w:color w:val="auto"/>
          <w:sz w:val="24"/>
          <w:highlight w:val="none"/>
          <w:lang w:val="zh-CN"/>
        </w:rPr>
        <w:t>（价格构成）：见第二章1.3款。</w:t>
      </w:r>
    </w:p>
    <w:p>
      <w:pPr>
        <w:pStyle w:val="style0"/>
        <w:topLinePunct/>
        <w:adjustRightInd w:val="false"/>
        <w:snapToGrid w:val="false"/>
        <w:spacing w:lineRule="exact" w:line="460"/>
        <w:ind w:firstLine="566" w:firstLineChars="235"/>
        <w:rPr>
          <w:rFonts w:ascii="宋体" w:cs="宋体" w:hAnsi="宋体"/>
          <w:b/>
          <w:color w:val="auto"/>
          <w:sz w:val="24"/>
          <w:highlight w:val="none"/>
          <w:lang w:val="zh-CN"/>
        </w:rPr>
      </w:pPr>
      <w:r>
        <w:rPr>
          <w:rFonts w:ascii="宋体" w:cs="宋体" w:hAnsi="宋体" w:hint="eastAsia"/>
          <w:b/>
          <w:color w:val="auto"/>
          <w:sz w:val="24"/>
          <w:highlight w:val="none"/>
          <w:lang w:val="zh-CN"/>
        </w:rPr>
        <w:t>3.4 响应有效期</w:t>
      </w:r>
    </w:p>
    <w:p>
      <w:pPr>
        <w:pStyle w:val="style0"/>
        <w:topLinePunct/>
        <w:adjustRightInd w:val="false"/>
        <w:snapToGrid w:val="false"/>
        <w:spacing w:lineRule="exact" w:line="460"/>
        <w:ind w:firstLine="564" w:firstLineChars="235"/>
        <w:rPr>
          <w:rFonts w:ascii="宋体" w:cs="宋体" w:hAnsi="宋体"/>
          <w:color w:val="auto"/>
          <w:sz w:val="24"/>
          <w:highlight w:val="none"/>
          <w:lang w:val="zh-CN"/>
        </w:rPr>
      </w:pPr>
      <w:r>
        <w:rPr>
          <w:rFonts w:ascii="宋体" w:cs="宋体" w:hAnsi="宋体" w:hint="eastAsia"/>
          <w:color w:val="auto"/>
          <w:sz w:val="24"/>
          <w:highlight w:val="none"/>
          <w:lang w:val="zh-CN"/>
        </w:rPr>
        <w:t>3.4.1响应有效期见供应商须知前附表。《响应文件》在响应有效期内保持不变（包括价格等《响应文件》各项条款）。</w:t>
      </w:r>
    </w:p>
    <w:p>
      <w:pPr>
        <w:pStyle w:val="style0"/>
        <w:topLinePunct/>
        <w:adjustRightInd w:val="false"/>
        <w:snapToGrid w:val="false"/>
        <w:spacing w:lineRule="exact" w:line="460"/>
        <w:ind w:firstLine="564" w:firstLineChars="235"/>
        <w:rPr>
          <w:rFonts w:ascii="宋体" w:cs="宋体" w:hAnsi="宋体"/>
          <w:color w:val="auto"/>
          <w:sz w:val="24"/>
          <w:highlight w:val="none"/>
          <w:lang w:val="zh-CN"/>
        </w:rPr>
      </w:pPr>
      <w:r>
        <w:rPr>
          <w:rFonts w:ascii="宋体" w:cs="宋体" w:hAnsi="宋体" w:hint="eastAsia"/>
          <w:color w:val="auto"/>
          <w:sz w:val="24"/>
          <w:highlight w:val="none"/>
          <w:lang w:val="zh-CN"/>
        </w:rPr>
        <w:t>3.4.2在响应有效期内，供应商撤销或修改其《响应文件》的，应承担《磋商文件》和法律规定的责任。</w:t>
      </w:r>
    </w:p>
    <w:p>
      <w:pPr>
        <w:pStyle w:val="style0"/>
        <w:topLinePunct/>
        <w:adjustRightInd w:val="false"/>
        <w:snapToGrid w:val="false"/>
        <w:spacing w:lineRule="exact" w:line="460"/>
        <w:ind w:firstLine="566" w:firstLineChars="235"/>
        <w:rPr>
          <w:rFonts w:ascii="宋体" w:cs="宋体" w:hAnsi="宋体"/>
          <w:b/>
          <w:color w:val="auto"/>
          <w:sz w:val="24"/>
          <w:highlight w:val="none"/>
          <w:lang w:val="zh-CN"/>
        </w:rPr>
      </w:pPr>
      <w:r>
        <w:rPr>
          <w:rFonts w:ascii="宋体" w:cs="宋体" w:hAnsi="宋体" w:hint="eastAsia"/>
          <w:b/>
          <w:color w:val="auto"/>
          <w:sz w:val="24"/>
          <w:highlight w:val="none"/>
          <w:lang w:val="zh-CN"/>
        </w:rPr>
        <w:t xml:space="preserve">3.5 </w:t>
      </w:r>
      <w:r>
        <w:rPr>
          <w:rFonts w:ascii="宋体" w:cs="宋体" w:hAnsi="宋体" w:hint="eastAsia"/>
          <w:b/>
          <w:color w:val="auto"/>
          <w:sz w:val="24"/>
          <w:highlight w:val="none"/>
        </w:rPr>
        <w:t>投标承诺函</w:t>
      </w:r>
      <w:r>
        <w:rPr>
          <w:rFonts w:ascii="宋体" w:cs="宋体" w:hAnsi="宋体" w:hint="eastAsia"/>
          <w:b/>
          <w:color w:val="auto"/>
          <w:sz w:val="24"/>
          <w:highlight w:val="none"/>
          <w:lang w:val="zh-CN"/>
        </w:rPr>
        <w:t>（</w:t>
      </w:r>
      <w:r>
        <w:rPr>
          <w:rFonts w:ascii="宋体" w:cs="宋体" w:hAnsi="宋体" w:hint="eastAsia"/>
          <w:b/>
          <w:color w:val="auto"/>
          <w:sz w:val="24"/>
          <w:highlight w:val="none"/>
        </w:rPr>
        <w:t>替代</w:t>
      </w:r>
      <w:r>
        <w:rPr>
          <w:rFonts w:ascii="宋体" w:cs="宋体" w:hAnsi="宋体" w:hint="eastAsia"/>
          <w:b/>
          <w:color w:val="auto"/>
          <w:sz w:val="24"/>
          <w:highlight w:val="none"/>
          <w:lang w:val="zh-CN"/>
        </w:rPr>
        <w:t>投标保证金）：</w:t>
      </w:r>
    </w:p>
    <w:p>
      <w:pPr>
        <w:pStyle w:val="style0"/>
        <w:widowControl w:val="false"/>
        <w:tabs>
          <w:tab w:val="left" w:leader="none" w:pos="65"/>
        </w:tabs>
        <w:spacing w:lineRule="exact" w:line="460"/>
        <w:ind w:firstLine="480" w:firstLineChars="200"/>
        <w:textAlignment w:val="auto"/>
        <w:rPr>
          <w:rFonts w:ascii="宋体" w:cs="宋体" w:hAnsi="宋体"/>
          <w:color w:val="auto"/>
          <w:sz w:val="24"/>
          <w:szCs w:val="24"/>
          <w:highlight w:val="none"/>
        </w:rPr>
      </w:pPr>
      <w:r>
        <w:rPr>
          <w:rFonts w:ascii="宋体" w:cs="宋体" w:hAnsi="宋体" w:hint="eastAsia"/>
          <w:color w:val="auto"/>
          <w:sz w:val="24"/>
          <w:szCs w:val="24"/>
          <w:highlight w:val="none"/>
          <w:lang w:val="zh-CN"/>
        </w:rPr>
        <w:t xml:space="preserve">3.5.1 </w:t>
      </w:r>
      <w:r>
        <w:rPr>
          <w:rFonts w:ascii="宋体" w:cs="宋体" w:hAnsi="宋体" w:hint="eastAsia"/>
          <w:color w:val="auto"/>
          <w:sz w:val="24"/>
          <w:szCs w:val="24"/>
          <w:highlight w:val="none"/>
        </w:rPr>
        <w:t>按照豫财购〔2019〕4号文件规定，本项目以投标承诺函的形式替代投标保证金，供应商应按附件格式进行投标承诺，违背承诺的将承担相应的法律责任及违约责任。</w:t>
      </w:r>
    </w:p>
    <w:p>
      <w:pPr>
        <w:pStyle w:val="style0"/>
        <w:widowControl w:val="false"/>
        <w:tabs>
          <w:tab w:val="left" w:leader="none" w:pos="65"/>
        </w:tabs>
        <w:spacing w:lineRule="exact" w:line="460"/>
        <w:ind w:firstLine="480" w:firstLineChars="200"/>
        <w:textAlignment w:val="auto"/>
        <w:rPr>
          <w:rFonts w:ascii="宋体" w:cs="宋体" w:hAnsi="宋体"/>
          <w:color w:val="auto"/>
          <w:sz w:val="24"/>
          <w:szCs w:val="24"/>
          <w:highlight w:val="none"/>
        </w:rPr>
      </w:pPr>
      <w:r>
        <w:rPr>
          <w:rFonts w:ascii="宋体" w:cs="宋体" w:hAnsi="宋体" w:hint="eastAsia"/>
          <w:color w:val="auto"/>
          <w:sz w:val="24"/>
          <w:szCs w:val="24"/>
          <w:highlight w:val="none"/>
        </w:rPr>
        <w:t>3.5.2 未提供投标承诺函的为无效投标。</w:t>
      </w:r>
    </w:p>
    <w:p>
      <w:pPr>
        <w:pStyle w:val="style0"/>
        <w:widowControl w:val="false"/>
        <w:tabs>
          <w:tab w:val="left" w:leader="none" w:pos="65"/>
        </w:tabs>
        <w:spacing w:lineRule="exact" w:line="460"/>
        <w:ind w:firstLine="480" w:firstLineChars="200"/>
        <w:textAlignment w:val="auto"/>
        <w:rPr>
          <w:rFonts w:ascii="宋体" w:cs="宋体" w:hAnsi="宋体"/>
          <w:color w:val="auto"/>
          <w:sz w:val="24"/>
          <w:szCs w:val="24"/>
          <w:highlight w:val="none"/>
        </w:rPr>
      </w:pPr>
      <w:r>
        <w:rPr>
          <w:rFonts w:ascii="宋体" w:cs="宋体" w:hAnsi="宋体" w:hint="eastAsia"/>
          <w:color w:val="auto"/>
          <w:sz w:val="24"/>
          <w:szCs w:val="24"/>
          <w:highlight w:val="none"/>
        </w:rPr>
        <w:t>3.5.3 供应商的投标承诺函包含供应商承诺的事项及违背承诺的责任追究措施。</w:t>
      </w:r>
    </w:p>
    <w:p>
      <w:pPr>
        <w:pStyle w:val="style0"/>
        <w:widowControl w:val="false"/>
        <w:tabs>
          <w:tab w:val="left" w:leader="none" w:pos="65"/>
        </w:tabs>
        <w:spacing w:lineRule="exact" w:line="460"/>
        <w:ind w:firstLine="480" w:firstLineChars="200"/>
        <w:textAlignment w:val="auto"/>
        <w:rPr>
          <w:rFonts w:ascii="宋体" w:cs="宋体" w:hAnsi="宋体"/>
          <w:color w:val="auto"/>
          <w:sz w:val="24"/>
          <w:szCs w:val="24"/>
          <w:highlight w:val="none"/>
        </w:rPr>
      </w:pPr>
      <w:r>
        <w:rPr>
          <w:rFonts w:ascii="宋体" w:cs="宋体" w:hAnsi="宋体" w:hint="eastAsia"/>
          <w:color w:val="auto"/>
          <w:sz w:val="24"/>
          <w:szCs w:val="24"/>
          <w:highlight w:val="none"/>
        </w:rPr>
        <w:t>3.5.4 承诺事项：</w:t>
      </w:r>
    </w:p>
    <w:p>
      <w:pPr>
        <w:pStyle w:val="style0"/>
        <w:widowControl w:val="false"/>
        <w:tabs>
          <w:tab w:val="left" w:leader="none" w:pos="65"/>
        </w:tabs>
        <w:spacing w:lineRule="exact" w:line="460"/>
        <w:ind w:firstLine="480" w:firstLineChars="200"/>
        <w:textAlignment w:val="auto"/>
        <w:rPr>
          <w:rFonts w:ascii="宋体" w:cs="宋体" w:hAnsi="宋体"/>
          <w:color w:val="auto"/>
          <w:sz w:val="24"/>
          <w:szCs w:val="24"/>
          <w:highlight w:val="none"/>
        </w:rPr>
      </w:pPr>
      <w:r>
        <w:rPr>
          <w:rFonts w:ascii="宋体" w:cs="宋体" w:hAnsi="宋体" w:hint="eastAsia"/>
          <w:color w:val="auto"/>
          <w:sz w:val="24"/>
          <w:szCs w:val="24"/>
          <w:highlight w:val="none"/>
        </w:rPr>
        <w:t>3.5.4.1、供应商应遵循公开、公平、公正和</w:t>
      </w:r>
      <w:r>
        <w:rPr>
          <w:highlight w:val="none"/>
        </w:rPr>
        <w:fldChar w:fldCharType="begin"/>
      </w:r>
      <w:r>
        <w:rPr>
          <w:highlight w:val="none"/>
        </w:rPr>
        <w:instrText xml:space="preserve"> HYPERLINK "http://www.so.com/s?q=%E8%AF%9A%E5%AE%9E%E4%BF%A1%E7%94%A8&amp;ie=utf-8&amp;src=internal_wenda_recommend_textn" \t "https://wenda.so.com/q/_blank" </w:instrText>
      </w:r>
      <w:r>
        <w:rPr>
          <w:highlight w:val="none"/>
        </w:rPr>
        <w:fldChar w:fldCharType="separate"/>
      </w:r>
      <w:r>
        <w:rPr>
          <w:rFonts w:ascii="宋体" w:cs="宋体" w:hAnsi="宋体" w:hint="eastAsia"/>
          <w:color w:val="auto"/>
          <w:sz w:val="24"/>
          <w:szCs w:val="24"/>
          <w:highlight w:val="none"/>
        </w:rPr>
        <w:t>诚实信用</w:t>
      </w:r>
      <w:r>
        <w:rPr>
          <w:rFonts w:ascii="宋体" w:cs="宋体" w:hAnsi="宋体" w:hint="eastAsia"/>
          <w:color w:val="auto"/>
          <w:sz w:val="24"/>
          <w:szCs w:val="24"/>
          <w:highlight w:val="none"/>
        </w:rPr>
        <w:fldChar w:fldCharType="end"/>
      </w:r>
      <w:r>
        <w:rPr>
          <w:rFonts w:ascii="宋体" w:cs="宋体" w:hAnsi="宋体" w:hint="eastAsia"/>
          <w:color w:val="auto"/>
          <w:sz w:val="24"/>
          <w:szCs w:val="24"/>
          <w:highlight w:val="none"/>
        </w:rPr>
        <w:t>的原则自愿参加项目的投标；</w:t>
      </w:r>
      <w:r>
        <w:rPr>
          <w:rFonts w:ascii="宋体" w:cs="宋体" w:hAnsi="宋体" w:hint="eastAsia"/>
          <w:color w:val="auto"/>
          <w:sz w:val="24"/>
          <w:szCs w:val="24"/>
          <w:highlight w:val="none"/>
        </w:rPr>
        <w:br/>
      </w:r>
      <w:r>
        <w:rPr>
          <w:rFonts w:ascii="宋体" w:cs="宋体" w:hAnsi="宋体" w:hint="eastAsia"/>
          <w:color w:val="auto"/>
          <w:sz w:val="24"/>
          <w:szCs w:val="24"/>
          <w:highlight w:val="none"/>
        </w:rPr>
        <w:t xml:space="preserve">    3.5.4.2、供应商在政府采购活动中应提供真实、准确、有效、合法的材料，不</w:t>
      </w:r>
      <w:r>
        <w:rPr>
          <w:rFonts w:ascii="宋体" w:cs="宋体" w:hAnsi="宋体" w:hint="eastAsia"/>
          <w:color w:val="auto"/>
          <w:sz w:val="24"/>
          <w:szCs w:val="24"/>
          <w:highlight w:val="none"/>
          <w:lang w:val="zh-CN"/>
        </w:rPr>
        <w:t>提供虚假材料；</w:t>
      </w:r>
    </w:p>
    <w:p>
      <w:pPr>
        <w:pStyle w:val="style0"/>
        <w:widowControl w:val="false"/>
        <w:tabs>
          <w:tab w:val="left" w:leader="none" w:pos="65"/>
        </w:tabs>
        <w:spacing w:lineRule="exact" w:line="460"/>
        <w:ind w:firstLine="480" w:firstLineChars="200"/>
        <w:textAlignment w:val="auto"/>
        <w:rPr>
          <w:rFonts w:ascii="宋体" w:cs="宋体" w:hAnsi="宋体"/>
          <w:color w:val="auto"/>
          <w:sz w:val="24"/>
          <w:szCs w:val="24"/>
          <w:highlight w:val="none"/>
          <w:lang w:val="zh-CN"/>
        </w:rPr>
      </w:pPr>
      <w:r>
        <w:rPr>
          <w:rFonts w:ascii="宋体" w:cs="宋体" w:hAnsi="宋体" w:hint="eastAsia"/>
          <w:color w:val="auto"/>
          <w:sz w:val="24"/>
          <w:szCs w:val="24"/>
          <w:highlight w:val="none"/>
        </w:rPr>
        <w:t>3.5.4.3、供应商</w:t>
      </w:r>
      <w:r>
        <w:rPr>
          <w:rFonts w:ascii="宋体" w:cs="宋体" w:hAnsi="宋体" w:hint="eastAsia"/>
          <w:color w:val="auto"/>
          <w:sz w:val="24"/>
          <w:szCs w:val="24"/>
          <w:highlight w:val="none"/>
          <w:lang w:val="zh-CN"/>
        </w:rPr>
        <w:t>按照</w:t>
      </w:r>
      <w:r>
        <w:rPr>
          <w:rFonts w:ascii="宋体" w:cs="宋体" w:hAnsi="宋体" w:hint="eastAsia"/>
          <w:color w:val="auto"/>
          <w:sz w:val="24"/>
          <w:szCs w:val="24"/>
          <w:highlight w:val="none"/>
        </w:rPr>
        <w:t>磋商</w:t>
      </w:r>
      <w:r>
        <w:rPr>
          <w:rFonts w:ascii="宋体" w:cs="宋体" w:hAnsi="宋体" w:hint="eastAsia"/>
          <w:color w:val="auto"/>
          <w:sz w:val="24"/>
          <w:szCs w:val="24"/>
          <w:highlight w:val="none"/>
          <w:lang w:val="zh-CN"/>
        </w:rPr>
        <w:t>文件规定，在提交响应文件截止时间后，在</w:t>
      </w:r>
      <w:r>
        <w:rPr>
          <w:rFonts w:ascii="宋体" w:cs="宋体" w:hAnsi="宋体" w:hint="eastAsia"/>
          <w:color w:val="auto"/>
          <w:sz w:val="24"/>
          <w:szCs w:val="24"/>
          <w:highlight w:val="none"/>
        </w:rPr>
        <w:t>磋商</w:t>
      </w:r>
      <w:r>
        <w:rPr>
          <w:rFonts w:ascii="宋体" w:cs="宋体" w:hAnsi="宋体" w:hint="eastAsia"/>
          <w:color w:val="auto"/>
          <w:sz w:val="24"/>
          <w:szCs w:val="24"/>
          <w:highlight w:val="none"/>
          <w:lang w:val="zh-CN"/>
        </w:rPr>
        <w:t>文件规定的投标有效期限内不</w:t>
      </w:r>
      <w:r>
        <w:rPr>
          <w:rFonts w:ascii="宋体" w:cs="宋体" w:hAnsi="宋体" w:hint="eastAsia"/>
          <w:color w:val="auto"/>
          <w:sz w:val="24"/>
          <w:szCs w:val="24"/>
          <w:highlight w:val="none"/>
        </w:rPr>
        <w:t>应</w:t>
      </w:r>
      <w:r>
        <w:rPr>
          <w:rFonts w:ascii="宋体" w:cs="宋体" w:hAnsi="宋体" w:hint="eastAsia"/>
          <w:color w:val="auto"/>
          <w:sz w:val="24"/>
          <w:szCs w:val="24"/>
          <w:highlight w:val="none"/>
          <w:lang w:val="zh-CN"/>
        </w:rPr>
        <w:t>撤回响应文件；</w:t>
      </w:r>
    </w:p>
    <w:p>
      <w:pPr>
        <w:pStyle w:val="style0"/>
        <w:widowControl w:val="false"/>
        <w:tabs>
          <w:tab w:val="left" w:leader="none" w:pos="65"/>
        </w:tabs>
        <w:spacing w:lineRule="exact" w:line="460"/>
        <w:ind w:firstLine="480" w:firstLineChars="200"/>
        <w:textAlignment w:val="auto"/>
        <w:rPr>
          <w:rFonts w:ascii="宋体" w:cs="宋体" w:hAnsi="宋体"/>
          <w:color w:val="auto"/>
          <w:sz w:val="24"/>
          <w:szCs w:val="24"/>
          <w:highlight w:val="none"/>
          <w:lang w:val="zh-CN"/>
        </w:rPr>
      </w:pPr>
      <w:r>
        <w:rPr>
          <w:rFonts w:ascii="宋体" w:cs="宋体" w:hAnsi="宋体" w:hint="eastAsia"/>
          <w:color w:val="auto"/>
          <w:sz w:val="24"/>
          <w:szCs w:val="24"/>
          <w:highlight w:val="none"/>
        </w:rPr>
        <w:t>3.5.4.4、不应</w:t>
      </w:r>
      <w:r>
        <w:rPr>
          <w:rFonts w:ascii="宋体" w:cs="宋体" w:hAnsi="宋体" w:hint="eastAsia"/>
          <w:color w:val="auto"/>
          <w:sz w:val="24"/>
          <w:szCs w:val="24"/>
          <w:highlight w:val="none"/>
          <w:lang w:val="zh-CN"/>
        </w:rPr>
        <w:t>与其他供应商、采购人或采购代理机构串通或恶意串通。</w:t>
      </w:r>
    </w:p>
    <w:p>
      <w:pPr>
        <w:pStyle w:val="style0"/>
        <w:widowControl w:val="false"/>
        <w:tabs>
          <w:tab w:val="left" w:leader="none" w:pos="65"/>
        </w:tabs>
        <w:spacing w:lineRule="exact" w:line="460"/>
        <w:ind w:firstLine="480" w:firstLineChars="200"/>
        <w:textAlignment w:val="auto"/>
        <w:rPr>
          <w:rFonts w:ascii="宋体" w:cs="宋体" w:hAnsi="宋体"/>
          <w:color w:val="auto"/>
          <w:sz w:val="24"/>
          <w:szCs w:val="24"/>
          <w:highlight w:val="none"/>
        </w:rPr>
      </w:pPr>
      <w:r>
        <w:rPr>
          <w:rFonts w:ascii="宋体" w:cs="宋体" w:hAnsi="宋体" w:hint="eastAsia"/>
          <w:color w:val="auto"/>
          <w:sz w:val="24"/>
          <w:szCs w:val="24"/>
          <w:highlight w:val="none"/>
        </w:rPr>
        <w:t>3.5.4.5、中标后</w:t>
      </w:r>
      <w:r>
        <w:rPr>
          <w:rFonts w:ascii="宋体" w:cs="宋体" w:hAnsi="宋体" w:hint="eastAsia"/>
          <w:color w:val="auto"/>
          <w:sz w:val="24"/>
          <w:szCs w:val="24"/>
          <w:highlight w:val="none"/>
          <w:lang w:val="zh-CN"/>
        </w:rPr>
        <w:t>除不可抗拒力或</w:t>
      </w:r>
      <w:r>
        <w:rPr>
          <w:rFonts w:ascii="宋体" w:cs="宋体" w:hAnsi="宋体" w:hint="eastAsia"/>
          <w:color w:val="auto"/>
          <w:sz w:val="24"/>
          <w:szCs w:val="24"/>
          <w:highlight w:val="none"/>
        </w:rPr>
        <w:t>磋商</w:t>
      </w:r>
      <w:r>
        <w:rPr>
          <w:rFonts w:ascii="宋体" w:cs="宋体" w:hAnsi="宋体" w:hint="eastAsia"/>
          <w:color w:val="auto"/>
          <w:sz w:val="24"/>
          <w:szCs w:val="24"/>
          <w:highlight w:val="none"/>
          <w:lang w:val="zh-CN"/>
        </w:rPr>
        <w:t>文件认可的情形外</w:t>
      </w:r>
      <w:r>
        <w:rPr>
          <w:rFonts w:ascii="宋体" w:cs="宋体" w:hAnsi="宋体" w:hint="eastAsia"/>
          <w:color w:val="auto"/>
          <w:sz w:val="24"/>
          <w:szCs w:val="24"/>
          <w:highlight w:val="none"/>
        </w:rPr>
        <w:t>，供应商应及时领取中标通知书，</w:t>
      </w:r>
      <w:r>
        <w:rPr>
          <w:rFonts w:ascii="宋体" w:cs="宋体" w:hAnsi="宋体" w:hint="eastAsia"/>
          <w:color w:val="auto"/>
          <w:sz w:val="24"/>
          <w:szCs w:val="24"/>
          <w:highlight w:val="none"/>
          <w:lang w:val="zh-CN"/>
        </w:rPr>
        <w:t>在成交通知书规定时间、地点与采购人签订合同；</w:t>
      </w:r>
      <w:r>
        <w:rPr>
          <w:rFonts w:ascii="宋体" w:cs="宋体" w:hAnsi="宋体" w:hint="eastAsia"/>
          <w:color w:val="auto"/>
          <w:sz w:val="24"/>
          <w:szCs w:val="24"/>
          <w:highlight w:val="none"/>
        </w:rPr>
        <w:br/>
      </w:r>
      <w:r>
        <w:rPr>
          <w:rFonts w:ascii="宋体" w:cs="宋体" w:hAnsi="宋体" w:hint="eastAsia"/>
          <w:color w:val="auto"/>
          <w:sz w:val="24"/>
          <w:szCs w:val="24"/>
          <w:highlight w:val="none"/>
        </w:rPr>
        <w:t xml:space="preserve">    3.5.4.6、供应商应</w:t>
      </w:r>
      <w:r>
        <w:rPr>
          <w:rFonts w:ascii="宋体" w:cs="宋体" w:hAnsi="宋体" w:hint="eastAsia"/>
          <w:color w:val="auto"/>
          <w:sz w:val="24"/>
          <w:szCs w:val="24"/>
          <w:highlight w:val="none"/>
          <w:lang w:val="zh-CN"/>
        </w:rPr>
        <w:t>遵守法律法规及</w:t>
      </w:r>
      <w:r>
        <w:rPr>
          <w:rFonts w:ascii="宋体" w:cs="宋体" w:hAnsi="宋体" w:hint="eastAsia"/>
          <w:color w:val="auto"/>
          <w:sz w:val="24"/>
          <w:szCs w:val="24"/>
          <w:highlight w:val="none"/>
        </w:rPr>
        <w:t>磋商</w:t>
      </w:r>
      <w:r>
        <w:rPr>
          <w:rFonts w:ascii="宋体" w:cs="宋体" w:hAnsi="宋体" w:hint="eastAsia"/>
          <w:color w:val="auto"/>
          <w:sz w:val="24"/>
          <w:szCs w:val="24"/>
          <w:highlight w:val="none"/>
          <w:lang w:val="zh-CN"/>
        </w:rPr>
        <w:t>文件规定的其他情况；</w:t>
      </w:r>
    </w:p>
    <w:p>
      <w:pPr>
        <w:pStyle w:val="style0"/>
        <w:widowControl w:val="false"/>
        <w:tabs>
          <w:tab w:val="left" w:leader="none" w:pos="65"/>
        </w:tabs>
        <w:spacing w:lineRule="exact" w:line="460"/>
        <w:ind w:firstLine="480" w:firstLineChars="200"/>
        <w:textAlignment w:val="auto"/>
        <w:rPr>
          <w:rFonts w:ascii="宋体" w:cs="宋体" w:hAnsi="宋体"/>
          <w:color w:val="auto"/>
          <w:sz w:val="24"/>
          <w:szCs w:val="24"/>
          <w:highlight w:val="none"/>
        </w:rPr>
      </w:pPr>
      <w:r>
        <w:rPr>
          <w:rFonts w:ascii="宋体" w:cs="宋体" w:hAnsi="宋体" w:hint="eastAsia"/>
          <w:color w:val="auto"/>
          <w:sz w:val="24"/>
          <w:szCs w:val="24"/>
          <w:highlight w:val="none"/>
        </w:rPr>
        <w:t>3.5.4.7、供应商应按磋商文件规定及时缴纳中标服务费。</w:t>
      </w:r>
    </w:p>
    <w:p>
      <w:pPr>
        <w:pStyle w:val="style0"/>
        <w:widowControl w:val="false"/>
        <w:tabs>
          <w:tab w:val="left" w:leader="none" w:pos="65"/>
        </w:tabs>
        <w:spacing w:lineRule="exact" w:line="460"/>
        <w:ind w:firstLine="480" w:firstLineChars="200"/>
        <w:textAlignment w:val="auto"/>
        <w:rPr>
          <w:rFonts w:ascii="宋体" w:cs="宋体" w:hAnsi="宋体"/>
          <w:color w:val="auto"/>
          <w:sz w:val="24"/>
          <w:szCs w:val="24"/>
          <w:highlight w:val="none"/>
        </w:rPr>
      </w:pPr>
      <w:r>
        <w:rPr>
          <w:rFonts w:ascii="宋体" w:cs="宋体" w:hAnsi="宋体" w:hint="eastAsia"/>
          <w:color w:val="auto"/>
          <w:sz w:val="24"/>
          <w:szCs w:val="24"/>
          <w:highlight w:val="none"/>
        </w:rPr>
        <w:t>3.5.5 违背承诺的责任追究措施</w:t>
      </w:r>
    </w:p>
    <w:p>
      <w:pPr>
        <w:pStyle w:val="style0"/>
        <w:widowControl w:val="false"/>
        <w:tabs>
          <w:tab w:val="left" w:leader="none" w:pos="65"/>
        </w:tabs>
        <w:spacing w:lineRule="exact" w:line="460"/>
        <w:ind w:firstLine="480" w:firstLineChars="200"/>
        <w:textAlignment w:val="auto"/>
        <w:rPr>
          <w:rFonts w:ascii="宋体" w:cs="宋体" w:hAnsi="宋体"/>
          <w:color w:val="auto"/>
          <w:sz w:val="24"/>
          <w:szCs w:val="24"/>
          <w:highlight w:val="none"/>
        </w:rPr>
      </w:pPr>
      <w:r>
        <w:rPr>
          <w:rFonts w:ascii="宋体" w:cs="宋体" w:hAnsi="宋体" w:hint="eastAsia"/>
          <w:color w:val="auto"/>
          <w:sz w:val="24"/>
          <w:szCs w:val="24"/>
          <w:highlight w:val="none"/>
        </w:rPr>
        <w:t>供应商如违背上述承诺事项，应无条件接受以下责任追究：</w:t>
      </w:r>
    </w:p>
    <w:p>
      <w:pPr>
        <w:pStyle w:val="style0"/>
        <w:widowControl w:val="false"/>
        <w:tabs>
          <w:tab w:val="left" w:leader="none" w:pos="65"/>
        </w:tabs>
        <w:spacing w:lineRule="exact" w:line="460"/>
        <w:ind w:firstLine="480" w:firstLineChars="200"/>
        <w:textAlignment w:val="auto"/>
        <w:rPr>
          <w:rFonts w:ascii="宋体" w:cs="宋体" w:hAnsi="宋体"/>
          <w:color w:val="auto"/>
          <w:sz w:val="24"/>
          <w:szCs w:val="24"/>
          <w:highlight w:val="none"/>
          <w:lang w:val="zh-CN"/>
        </w:rPr>
      </w:pPr>
      <w:r>
        <w:rPr>
          <w:rFonts w:ascii="宋体" w:cs="宋体" w:hAnsi="宋体" w:hint="eastAsia"/>
          <w:color w:val="auto"/>
          <w:sz w:val="24"/>
          <w:szCs w:val="24"/>
          <w:highlight w:val="none"/>
        </w:rPr>
        <w:t>3.5.5.1</w:t>
      </w:r>
      <w:r>
        <w:rPr>
          <w:rFonts w:ascii="宋体" w:cs="宋体" w:hAnsi="宋体" w:hint="eastAsia"/>
          <w:color w:val="auto"/>
          <w:sz w:val="24"/>
          <w:szCs w:val="24"/>
          <w:highlight w:val="none"/>
          <w:lang w:val="zh-CN"/>
        </w:rPr>
        <w:t>法定责任：</w:t>
      </w:r>
      <w:r>
        <w:rPr>
          <w:rFonts w:ascii="宋体" w:cs="宋体" w:hAnsi="宋体" w:hint="eastAsia"/>
          <w:color w:val="auto"/>
          <w:sz w:val="24"/>
          <w:szCs w:val="24"/>
          <w:highlight w:val="none"/>
        </w:rPr>
        <w:t>按照政府采购相关法规，</w:t>
      </w:r>
      <w:r>
        <w:rPr>
          <w:rFonts w:ascii="宋体" w:cs="宋体" w:hAnsi="宋体" w:hint="eastAsia"/>
          <w:color w:val="auto"/>
          <w:sz w:val="24"/>
          <w:szCs w:val="24"/>
          <w:highlight w:val="none"/>
          <w:lang w:val="zh-CN"/>
        </w:rPr>
        <w:t>处以罚款，列入不良行为记录名单，在一至三年内禁止参加政府采购活动，有违法所得的，并处没收违法所得，情节严重的，由工商行政管理机关（市场监督机关）吊销营业执照；构成犯罪的，依法追究刑事责任。</w:t>
      </w:r>
    </w:p>
    <w:p>
      <w:pPr>
        <w:pStyle w:val="style0"/>
        <w:widowControl w:val="false"/>
        <w:tabs>
          <w:tab w:val="left" w:leader="none" w:pos="65"/>
        </w:tabs>
        <w:spacing w:lineRule="exact" w:line="460"/>
        <w:ind w:firstLine="480" w:firstLineChars="200"/>
        <w:textAlignment w:val="auto"/>
        <w:rPr>
          <w:rFonts w:ascii="宋体" w:cs="宋体" w:hAnsi="宋体"/>
          <w:color w:val="auto"/>
          <w:sz w:val="24"/>
          <w:szCs w:val="24"/>
          <w:highlight w:val="none"/>
          <w:lang w:val="zh-CN"/>
        </w:rPr>
      </w:pPr>
      <w:r>
        <w:rPr>
          <w:rFonts w:ascii="宋体" w:cs="宋体" w:hAnsi="宋体" w:hint="eastAsia"/>
          <w:color w:val="auto"/>
          <w:sz w:val="24"/>
          <w:szCs w:val="24"/>
          <w:highlight w:val="none"/>
        </w:rPr>
        <w:t>给采购人及他人造成损失的，应承担相应的赔偿责任。</w:t>
      </w:r>
    </w:p>
    <w:p>
      <w:pPr>
        <w:pStyle w:val="style0"/>
        <w:widowControl w:val="false"/>
        <w:tabs>
          <w:tab w:val="left" w:leader="none" w:pos="65"/>
        </w:tabs>
        <w:spacing w:lineRule="exact" w:line="460"/>
        <w:ind w:firstLine="480" w:firstLineChars="200"/>
        <w:textAlignment w:val="auto"/>
        <w:rPr>
          <w:rFonts w:ascii="宋体" w:cs="宋体" w:hAnsi="宋体"/>
          <w:color w:val="auto"/>
          <w:sz w:val="24"/>
          <w:szCs w:val="24"/>
          <w:highlight w:val="none"/>
        </w:rPr>
      </w:pPr>
      <w:r>
        <w:rPr>
          <w:rFonts w:ascii="宋体" w:cs="宋体" w:hAnsi="宋体" w:hint="eastAsia"/>
          <w:color w:val="auto"/>
          <w:sz w:val="24"/>
          <w:szCs w:val="24"/>
          <w:highlight w:val="none"/>
        </w:rPr>
        <w:t>3.5.5.2</w:t>
      </w:r>
      <w:r>
        <w:rPr>
          <w:rFonts w:ascii="宋体" w:cs="宋体" w:hAnsi="宋体" w:hint="eastAsia"/>
          <w:color w:val="auto"/>
          <w:sz w:val="24"/>
          <w:szCs w:val="24"/>
          <w:highlight w:val="none"/>
          <w:lang w:val="zh-CN"/>
        </w:rPr>
        <w:t>违约责任：</w:t>
      </w:r>
    </w:p>
    <w:p>
      <w:pPr>
        <w:pStyle w:val="style0"/>
        <w:widowControl w:val="false"/>
        <w:tabs>
          <w:tab w:val="left" w:leader="none" w:pos="65"/>
        </w:tabs>
        <w:spacing w:lineRule="exact" w:line="460"/>
        <w:ind w:firstLine="480" w:firstLineChars="200"/>
        <w:textAlignment w:val="auto"/>
        <w:rPr>
          <w:rFonts w:ascii="宋体" w:cs="宋体" w:hAnsi="宋体"/>
          <w:color w:val="auto"/>
          <w:sz w:val="24"/>
          <w:szCs w:val="24"/>
          <w:highlight w:val="none"/>
        </w:rPr>
      </w:pPr>
      <w:r>
        <w:rPr>
          <w:rFonts w:ascii="宋体" w:cs="宋体" w:hAnsi="宋体" w:hint="eastAsia"/>
          <w:color w:val="auto"/>
          <w:sz w:val="24"/>
          <w:szCs w:val="24"/>
          <w:highlight w:val="none"/>
        </w:rPr>
        <w:t>3.5.5.2.1 已中标的，中标（成交）无效；</w:t>
      </w:r>
    </w:p>
    <w:p>
      <w:pPr>
        <w:pStyle w:val="style0"/>
        <w:widowControl w:val="false"/>
        <w:tabs>
          <w:tab w:val="left" w:leader="none" w:pos="65"/>
        </w:tabs>
        <w:spacing w:lineRule="exact" w:line="460"/>
        <w:ind w:firstLine="480" w:firstLineChars="200"/>
        <w:textAlignment w:val="auto"/>
        <w:rPr>
          <w:rFonts w:ascii="宋体" w:cs="宋体" w:hAnsi="宋体"/>
          <w:color w:val="auto"/>
          <w:sz w:val="24"/>
          <w:szCs w:val="24"/>
          <w:highlight w:val="none"/>
        </w:rPr>
      </w:pPr>
      <w:r>
        <w:rPr>
          <w:rFonts w:ascii="宋体" w:cs="宋体" w:hAnsi="宋体" w:hint="eastAsia"/>
          <w:color w:val="auto"/>
          <w:sz w:val="24"/>
          <w:szCs w:val="24"/>
          <w:highlight w:val="none"/>
        </w:rPr>
        <w:t>3.5.5.2.2 支付采购人违约标的预算金额2%的</w:t>
      </w:r>
      <w:r>
        <w:rPr>
          <w:rFonts w:ascii="宋体" w:cs="宋体" w:hAnsi="宋体" w:hint="eastAsia"/>
          <w:color w:val="auto"/>
          <w:sz w:val="24"/>
          <w:szCs w:val="24"/>
          <w:highlight w:val="none"/>
          <w:lang w:val="zh-CN"/>
        </w:rPr>
        <w:t>违约金</w:t>
      </w:r>
      <w:r>
        <w:rPr>
          <w:rFonts w:ascii="宋体" w:cs="宋体" w:hAnsi="宋体" w:hint="eastAsia"/>
          <w:color w:val="auto"/>
          <w:sz w:val="24"/>
          <w:szCs w:val="24"/>
          <w:highlight w:val="none"/>
        </w:rPr>
        <w:t>；</w:t>
      </w:r>
    </w:p>
    <w:p>
      <w:pPr>
        <w:pStyle w:val="style0"/>
        <w:widowControl w:val="false"/>
        <w:tabs>
          <w:tab w:val="left" w:leader="none" w:pos="65"/>
        </w:tabs>
        <w:spacing w:lineRule="exact" w:line="460"/>
        <w:ind w:firstLine="480" w:firstLineChars="200"/>
        <w:textAlignment w:val="auto"/>
        <w:rPr>
          <w:rFonts w:ascii="宋体" w:cs="宋体" w:hAnsi="宋体"/>
          <w:color w:val="auto"/>
          <w:sz w:val="24"/>
          <w:szCs w:val="24"/>
          <w:highlight w:val="none"/>
        </w:rPr>
      </w:pPr>
      <w:r>
        <w:rPr>
          <w:rFonts w:ascii="宋体" w:cs="宋体" w:hAnsi="宋体" w:hint="eastAsia"/>
          <w:color w:val="auto"/>
          <w:sz w:val="24"/>
          <w:szCs w:val="24"/>
          <w:highlight w:val="none"/>
        </w:rPr>
        <w:t>3.5.5.2.3中标后未缴中标服务费的，作为违约及违背</w:t>
      </w:r>
      <w:r>
        <w:rPr>
          <w:highlight w:val="none"/>
        </w:rPr>
        <w:fldChar w:fldCharType="begin"/>
      </w:r>
      <w:r>
        <w:rPr>
          <w:highlight w:val="none"/>
        </w:rPr>
        <w:instrText xml:space="preserve"> HYPERLINK "http://www.so.com/s?q=%E8%AF%9A%E5%AE%9E%E4%BF%A1%E7%94%A8&amp;ie=utf-8&amp;src=internal_wenda_recommend_textn" \t "https://wenda.so.com/q/_blank" </w:instrText>
      </w:r>
      <w:r>
        <w:rPr>
          <w:highlight w:val="none"/>
        </w:rPr>
        <w:fldChar w:fldCharType="separate"/>
      </w:r>
      <w:r>
        <w:rPr>
          <w:rFonts w:ascii="宋体" w:cs="宋体" w:hAnsi="宋体" w:hint="eastAsia"/>
          <w:color w:val="auto"/>
          <w:sz w:val="24"/>
          <w:szCs w:val="24"/>
          <w:highlight w:val="none"/>
        </w:rPr>
        <w:t>诚实信用</w:t>
      </w:r>
      <w:r>
        <w:rPr>
          <w:rFonts w:ascii="宋体" w:cs="宋体" w:hAnsi="宋体" w:hint="eastAsia"/>
          <w:color w:val="auto"/>
          <w:sz w:val="24"/>
          <w:szCs w:val="24"/>
          <w:highlight w:val="none"/>
        </w:rPr>
        <w:fldChar w:fldCharType="end"/>
      </w:r>
      <w:r>
        <w:rPr>
          <w:rFonts w:ascii="宋体" w:cs="宋体" w:hAnsi="宋体" w:hint="eastAsia"/>
          <w:color w:val="auto"/>
          <w:sz w:val="24"/>
          <w:szCs w:val="24"/>
          <w:highlight w:val="none"/>
        </w:rPr>
        <w:t>原则，在履行承诺前，代理机构将视该单位为失信企业、不予办理其后相关业务。</w:t>
      </w:r>
    </w:p>
    <w:p>
      <w:pPr>
        <w:pStyle w:val="style0"/>
        <w:autoSpaceDE w:val="false"/>
        <w:autoSpaceDN w:val="false"/>
        <w:adjustRightInd w:val="false"/>
        <w:spacing w:lineRule="exact" w:line="460"/>
        <w:ind w:firstLine="539"/>
        <w:rPr>
          <w:rFonts w:ascii="宋体" w:cs="宋体" w:hAnsi="宋体"/>
          <w:b/>
          <w:bCs/>
          <w:color w:val="auto"/>
          <w:sz w:val="28"/>
          <w:szCs w:val="28"/>
          <w:highlight w:val="none"/>
          <w:lang w:val="zh-CN"/>
        </w:rPr>
      </w:pPr>
      <w:r>
        <w:rPr>
          <w:rFonts w:ascii="宋体" w:cs="宋体" w:hAnsi="宋体" w:hint="eastAsia"/>
          <w:b/>
          <w:color w:val="auto"/>
          <w:sz w:val="24"/>
          <w:highlight w:val="none"/>
          <w:lang w:val="zh-CN"/>
        </w:rPr>
        <w:t>3.6 投标资格文件：</w:t>
      </w:r>
      <w:r>
        <w:rPr>
          <w:rFonts w:ascii="宋体" w:cs="宋体" w:hAnsi="宋体" w:hint="eastAsia"/>
          <w:color w:val="auto"/>
          <w:sz w:val="24"/>
          <w:highlight w:val="none"/>
          <w:lang w:val="zh-CN"/>
        </w:rPr>
        <w:t>要求见竞争性磋商公告</w:t>
      </w:r>
    </w:p>
    <w:p>
      <w:pPr>
        <w:pStyle w:val="style0"/>
        <w:topLinePunct/>
        <w:adjustRightInd w:val="false"/>
        <w:snapToGrid w:val="false"/>
        <w:spacing w:lineRule="exact" w:line="460"/>
        <w:ind w:left="561" w:leftChars="267" w:firstLine="5" w:firstLineChars="2"/>
        <w:rPr>
          <w:rFonts w:ascii="宋体" w:cs="宋体" w:hAnsi="宋体"/>
          <w:b/>
          <w:color w:val="auto"/>
          <w:sz w:val="24"/>
          <w:highlight w:val="none"/>
          <w:lang w:val="zh-CN"/>
        </w:rPr>
      </w:pPr>
      <w:r>
        <w:rPr>
          <w:rFonts w:ascii="宋体" w:cs="宋体" w:hAnsi="宋体" w:hint="eastAsia"/>
          <w:b/>
          <w:color w:val="auto"/>
          <w:sz w:val="24"/>
          <w:highlight w:val="none"/>
          <w:lang w:val="zh-CN"/>
        </w:rPr>
        <w:t>3.7《响应文件》的编制</w:t>
      </w:r>
    </w:p>
    <w:p>
      <w:pPr>
        <w:pStyle w:val="style0"/>
        <w:topLinePunct/>
        <w:adjustRightInd w:val="false"/>
        <w:snapToGrid w:val="false"/>
        <w:spacing w:lineRule="exact" w:line="460"/>
        <w:ind w:firstLine="564" w:firstLineChars="235"/>
        <w:rPr>
          <w:rFonts w:ascii="宋体" w:cs="宋体" w:hAnsi="宋体" w:hint="eastAsia"/>
          <w:color w:val="auto"/>
          <w:sz w:val="24"/>
          <w:highlight w:val="none"/>
          <w:lang w:val="zh-CN"/>
        </w:rPr>
      </w:pPr>
    </w:p>
    <w:p>
      <w:pPr>
        <w:pStyle w:val="style0"/>
        <w:topLinePunct/>
        <w:adjustRightInd w:val="false"/>
        <w:snapToGrid w:val="false"/>
        <w:spacing w:lineRule="exact" w:line="460"/>
        <w:ind w:firstLine="564" w:firstLineChars="235"/>
        <w:rPr>
          <w:rFonts w:ascii="宋体" w:cs="宋体" w:hAnsi="宋体" w:hint="eastAsia"/>
          <w:color w:val="auto"/>
          <w:sz w:val="24"/>
          <w:highlight w:val="none"/>
          <w:lang w:val="zh-CN"/>
        </w:rPr>
      </w:pPr>
    </w:p>
    <w:p>
      <w:pPr>
        <w:pStyle w:val="style0"/>
        <w:topLinePunct/>
        <w:adjustRightInd w:val="false"/>
        <w:snapToGrid w:val="false"/>
        <w:spacing w:lineRule="exact" w:line="460"/>
        <w:ind w:firstLine="564" w:firstLineChars="235"/>
        <w:rPr>
          <w:rFonts w:ascii="宋体" w:cs="宋体" w:hAnsi="宋体" w:hint="eastAsia"/>
          <w:color w:val="auto"/>
          <w:sz w:val="24"/>
          <w:highlight w:val="none"/>
          <w:lang w:val="zh-CN"/>
        </w:rPr>
      </w:pPr>
      <w:r>
        <w:rPr>
          <w:rFonts w:ascii="宋体" w:cs="宋体" w:hAnsi="宋体" w:hint="eastAsia"/>
          <w:color w:val="auto"/>
          <w:sz w:val="24"/>
          <w:highlight w:val="none"/>
          <w:lang w:val="zh-CN"/>
        </w:rPr>
        <w:t>3.7.1《响应文件》应按第六章“《响应文件》格式”进行编写，如有必要，可以增加附页，作为《响应文件》的组成部分。《磋商文件》中未列明格式的，由供应商按一般通用格式自行设计编写。</w:t>
      </w:r>
    </w:p>
    <w:p>
      <w:pPr>
        <w:pStyle w:val="style0"/>
        <w:topLinePunct/>
        <w:adjustRightInd w:val="false"/>
        <w:snapToGrid w:val="false"/>
        <w:spacing w:lineRule="exact" w:line="460"/>
        <w:ind w:firstLine="564" w:firstLineChars="235"/>
        <w:rPr>
          <w:rFonts w:ascii="宋体" w:cs="宋体" w:hAnsi="宋体" w:hint="eastAsia"/>
          <w:color w:val="auto"/>
          <w:sz w:val="24"/>
          <w:highlight w:val="none"/>
          <w:lang w:val="zh-CN"/>
        </w:rPr>
      </w:pPr>
      <w:r>
        <w:rPr>
          <w:rFonts w:ascii="宋体" w:cs="宋体" w:hAnsi="宋体" w:hint="eastAsia"/>
          <w:color w:val="auto"/>
          <w:sz w:val="24"/>
          <w:highlight w:val="none"/>
          <w:lang w:val="zh-CN"/>
        </w:rPr>
        <w:t>3.7.2《响应文件》应当对《磋商文件》有关标段（包）内容（范围）、技术要求、售后服务、服务期、投标有效期等实质性内容作出响应。在满足《磋商文件》实质性要求的基础上，可以提出比《磋商文件》要求更有利于采购人的承诺。并符合《磋商文件》偏差规定。</w:t>
      </w:r>
    </w:p>
    <w:p>
      <w:pPr>
        <w:pStyle w:val="style0"/>
        <w:topLinePunct/>
        <w:adjustRightInd w:val="false"/>
        <w:snapToGrid w:val="false"/>
        <w:spacing w:lineRule="exact" w:line="460"/>
        <w:ind w:firstLine="564" w:firstLineChars="235"/>
        <w:rPr>
          <w:rFonts w:ascii="宋体" w:cs="宋体" w:hAnsi="宋体" w:hint="eastAsia"/>
          <w:color w:val="auto"/>
          <w:sz w:val="24"/>
          <w:highlight w:val="none"/>
          <w:lang w:val="zh-CN"/>
        </w:rPr>
      </w:pPr>
      <w:r>
        <w:rPr>
          <w:rFonts w:ascii="宋体" w:cs="宋体" w:hAnsi="宋体" w:hint="eastAsia"/>
          <w:color w:val="auto"/>
          <w:sz w:val="24"/>
          <w:highlight w:val="none"/>
          <w:lang w:val="zh-CN"/>
        </w:rPr>
        <w:t>3.7.3响应文件应用不褪色的材料书写或打印，并由供应商的法定代表人或其委托代理人签字或盖单位章。委托代理人签字的，响应文件应附法定代表人签署的授权委托书。响应文件应尽量避免涂改、行间插字或删除。如果出现上述情况，改动之处应加盖单位章或由供应商的法定代表人或其授权的代理人签字确认。</w:t>
      </w:r>
    </w:p>
    <w:p>
      <w:pPr>
        <w:pStyle w:val="style0"/>
        <w:topLinePunct/>
        <w:adjustRightInd w:val="false"/>
        <w:snapToGrid w:val="false"/>
        <w:spacing w:lineRule="exact" w:line="460"/>
        <w:ind w:firstLine="564" w:firstLineChars="235"/>
        <w:rPr>
          <w:rFonts w:ascii="宋体" w:cs="宋体" w:hAnsi="宋体" w:hint="eastAsia"/>
          <w:color w:val="auto"/>
          <w:sz w:val="24"/>
          <w:highlight w:val="none"/>
          <w:lang w:val="zh-CN"/>
        </w:rPr>
      </w:pPr>
      <w:r>
        <w:rPr>
          <w:rFonts w:ascii="宋体" w:cs="宋体" w:hAnsi="宋体" w:hint="eastAsia"/>
          <w:color w:val="auto"/>
          <w:sz w:val="24"/>
          <w:highlight w:val="none"/>
          <w:lang w:val="zh-CN"/>
        </w:rPr>
        <w:t>签字或盖章要求：（1）所有要求签字的地方都应用不退色的墨水或签字笔由本人亲笔手写签字（包括姓和名），可用签字章代替手写签字。（2）所有要求盖章的地方都应加盖供应商单位（法定名称）章（鲜章），不得使用专用印章（如经济合同章、投标专用章等）或下属单位印章代替。</w:t>
      </w:r>
    </w:p>
    <w:p>
      <w:pPr>
        <w:pStyle w:val="style0"/>
        <w:topLinePunct/>
        <w:adjustRightInd w:val="false"/>
        <w:snapToGrid w:val="false"/>
        <w:spacing w:lineRule="exact" w:line="460"/>
        <w:ind w:firstLine="564" w:firstLineChars="235"/>
        <w:rPr>
          <w:rFonts w:ascii="宋体" w:cs="宋体" w:hAnsi="宋体" w:hint="eastAsia"/>
          <w:color w:val="auto"/>
          <w:sz w:val="24"/>
          <w:highlight w:val="none"/>
          <w:lang w:val="zh-CN"/>
        </w:rPr>
      </w:pPr>
      <w:r>
        <w:rPr>
          <w:rFonts w:ascii="宋体" w:cs="宋体" w:hAnsi="宋体" w:hint="eastAsia"/>
          <w:color w:val="auto"/>
          <w:sz w:val="24"/>
          <w:highlight w:val="none"/>
          <w:lang w:val="zh-CN"/>
        </w:rPr>
        <w:t>3.7.4响应文件正本一份, 副本</w:t>
      </w:r>
      <w:r>
        <w:rPr>
          <w:rFonts w:ascii="宋体" w:cs="宋体" w:hAnsi="宋体" w:hint="eastAsia"/>
          <w:color w:val="auto"/>
          <w:sz w:val="24"/>
          <w:highlight w:val="none"/>
          <w:lang w:val="en-US" w:eastAsia="zh-CN"/>
        </w:rPr>
        <w:t>贰</w:t>
      </w:r>
      <w:r>
        <w:rPr>
          <w:rFonts w:ascii="宋体" w:cs="宋体" w:hAnsi="宋体" w:hint="eastAsia"/>
          <w:color w:val="auto"/>
          <w:sz w:val="24"/>
          <w:highlight w:val="none"/>
          <w:lang w:val="zh-CN"/>
        </w:rPr>
        <w:t>份。正本和副本的封面上应清楚地标记“正本”或“副本”的字样。当副本和正本不一致时，以正本为准。</w:t>
      </w:r>
    </w:p>
    <w:p>
      <w:pPr>
        <w:pStyle w:val="style0"/>
        <w:topLinePunct/>
        <w:adjustRightInd w:val="false"/>
        <w:snapToGrid w:val="false"/>
        <w:spacing w:lineRule="exact" w:line="460"/>
        <w:ind w:firstLine="564" w:firstLineChars="235"/>
        <w:rPr>
          <w:rFonts w:ascii="宋体" w:cs="宋体" w:hAnsi="宋体" w:hint="eastAsia"/>
          <w:color w:val="auto"/>
          <w:sz w:val="24"/>
          <w:highlight w:val="none"/>
          <w:lang w:val="zh-CN"/>
        </w:rPr>
      </w:pPr>
      <w:r>
        <w:rPr>
          <w:rFonts w:ascii="宋体" w:cs="宋体" w:hAnsi="宋体" w:hint="eastAsia"/>
          <w:color w:val="auto"/>
          <w:sz w:val="24"/>
          <w:highlight w:val="none"/>
          <w:lang w:val="zh-CN"/>
        </w:rPr>
        <w:t>3.7.5响应文件的正本与副本应分别装订成册。响应文件不得采用活页夹装订，应采用胶装。</w:t>
      </w:r>
    </w:p>
    <w:p>
      <w:pPr>
        <w:pStyle w:val="style0"/>
        <w:topLinePunct/>
        <w:adjustRightInd w:val="false"/>
        <w:snapToGrid w:val="false"/>
        <w:spacing w:lineRule="exact" w:line="460"/>
        <w:ind w:firstLine="564" w:firstLineChars="235"/>
        <w:rPr>
          <w:rFonts w:ascii="宋体" w:cs="宋体" w:hAnsi="宋体" w:hint="eastAsia"/>
          <w:color w:val="auto"/>
          <w:sz w:val="24"/>
          <w:highlight w:val="none"/>
          <w:lang w:val="zh-CN"/>
        </w:rPr>
      </w:pPr>
      <w:r>
        <w:rPr>
          <w:rFonts w:ascii="宋体" w:cs="宋体" w:hAnsi="宋体" w:hint="eastAsia"/>
          <w:color w:val="auto"/>
          <w:sz w:val="24"/>
          <w:highlight w:val="none"/>
          <w:lang w:val="zh-CN"/>
        </w:rPr>
        <w:t>3.7.6供应商可对本磋商文件中所列的所有标段（包）进行分别投标，也可选择其中一个标段（包）或几个标段（包）投标，但不得将磋商文件规定的同一标段（包）的内容拆开投标，否则将按无效投标处理。</w:t>
      </w:r>
    </w:p>
    <w:p>
      <w:pPr>
        <w:pStyle w:val="style0"/>
        <w:topLinePunct/>
        <w:adjustRightInd w:val="false"/>
        <w:snapToGrid w:val="false"/>
        <w:spacing w:lineRule="exact" w:line="460"/>
        <w:ind w:firstLine="564" w:firstLineChars="235"/>
        <w:rPr>
          <w:rFonts w:ascii="宋体" w:cs="宋体" w:hAnsi="宋体" w:hint="eastAsia"/>
          <w:color w:val="auto"/>
          <w:sz w:val="24"/>
          <w:highlight w:val="none"/>
          <w:lang w:val="zh-CN"/>
        </w:rPr>
      </w:pPr>
      <w:r>
        <w:rPr>
          <w:rFonts w:ascii="宋体" w:cs="宋体" w:hAnsi="宋体" w:hint="eastAsia"/>
          <w:color w:val="auto"/>
          <w:sz w:val="24"/>
          <w:highlight w:val="none"/>
          <w:lang w:val="zh-CN"/>
        </w:rPr>
        <w:t>3.7.7 响应文件因字迹或表述不清所引起的后果由供应商自行负责。</w:t>
      </w:r>
    </w:p>
    <w:p>
      <w:pPr>
        <w:pStyle w:val="style0"/>
        <w:topLinePunct/>
        <w:adjustRightInd w:val="false"/>
        <w:snapToGrid w:val="false"/>
        <w:spacing w:lineRule="exact" w:line="460"/>
        <w:ind w:firstLine="564" w:firstLineChars="235"/>
        <w:rPr>
          <w:rFonts w:ascii="宋体" w:cs="宋体" w:hAnsi="宋体" w:hint="eastAsia"/>
          <w:color w:val="auto"/>
          <w:sz w:val="24"/>
          <w:highlight w:val="none"/>
          <w:lang w:val="zh-CN"/>
        </w:rPr>
      </w:pPr>
      <w:r>
        <w:rPr>
          <w:rFonts w:ascii="宋体" w:cs="宋体" w:hAnsi="宋体" w:hint="eastAsia"/>
          <w:color w:val="auto"/>
          <w:sz w:val="24"/>
          <w:highlight w:val="none"/>
          <w:lang w:val="zh-CN"/>
        </w:rPr>
        <w:t>3.7.8 未按上述要求提供的响应文件将视为无效投标。</w:t>
      </w:r>
    </w:p>
    <w:bookmarkStart w:id="12" w:name="_Toc994"/>
    <w:p>
      <w:pPr>
        <w:pStyle w:val="style0"/>
        <w:autoSpaceDE w:val="false"/>
        <w:autoSpaceDN w:val="false"/>
        <w:adjustRightInd w:val="false"/>
        <w:snapToGrid w:val="false"/>
        <w:spacing w:lineRule="exact" w:line="460"/>
        <w:ind w:firstLine="539"/>
        <w:outlineLvl w:val="1"/>
        <w:rPr>
          <w:rFonts w:ascii="宋体" w:cs="宋体" w:hAnsi="宋体"/>
          <w:b/>
          <w:bCs/>
          <w:color w:val="auto"/>
          <w:sz w:val="28"/>
          <w:szCs w:val="28"/>
          <w:highlight w:val="none"/>
          <w:lang w:val="zh-CN"/>
        </w:rPr>
      </w:pPr>
      <w:r>
        <w:rPr>
          <w:rFonts w:ascii="宋体" w:cs="宋体" w:hAnsi="宋体" w:hint="eastAsia"/>
          <w:b/>
          <w:bCs/>
          <w:color w:val="auto"/>
          <w:sz w:val="28"/>
          <w:szCs w:val="28"/>
          <w:highlight w:val="none"/>
          <w:lang w:val="zh-CN"/>
        </w:rPr>
        <w:t>4.《响应文件》的提交</w:t>
      </w:r>
      <w:bookmarkEnd w:id="12"/>
    </w:p>
    <w:bookmarkStart w:id="13" w:name="OLE_LINK2"/>
    <w:bookmarkStart w:id="14" w:name="_Toc296602445"/>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4.1《响应文件》的密封和标记：</w:t>
      </w:r>
    </w:p>
    <w:p>
      <w:pPr>
        <w:pStyle w:val="style0"/>
        <w:autoSpaceDE w:val="false"/>
        <w:autoSpaceDN w:val="false"/>
        <w:adjustRightInd w:val="false"/>
        <w:snapToGrid w:val="false"/>
        <w:spacing w:lineRule="exact" w:line="460"/>
        <w:ind w:firstLine="539"/>
        <w:rPr>
          <w:rFonts w:ascii="宋体" w:cs="宋体" w:hAnsi="宋体" w:hint="eastAsia"/>
          <w:b w:val="false"/>
          <w:bCs/>
          <w:color w:val="auto"/>
          <w:sz w:val="24"/>
          <w:highlight w:val="none"/>
          <w:lang w:val="zh-CN"/>
        </w:rPr>
      </w:pPr>
      <w:r>
        <w:rPr>
          <w:rFonts w:ascii="宋体" w:cs="宋体" w:hAnsi="宋体" w:hint="eastAsia"/>
          <w:b w:val="false"/>
          <w:bCs/>
          <w:color w:val="auto"/>
          <w:sz w:val="24"/>
          <w:highlight w:val="none"/>
          <w:lang w:val="zh-CN"/>
        </w:rPr>
        <w:t>4.1.1 供应商应将《响应文件》的正本、副本应分开包装应分开密封包装，将《响应文件》正本、副本分别用非透明文件袋&lt;箱&gt;密封，在每个密封文件袋&lt;箱&gt;上标明“供应商名称”、“响应项目名称”、“项目编号”、 “正本”、“副本”字样，《响应文件》副本的密封文件袋&lt;箱&gt;上应同时注明该密封文件袋&lt;箱&gt;内的《响应文件》副本的份数。每个密封文件&lt;箱&gt;袋上的封口处应加贴封条并注明“（《响应文件》开启时间  年  月   日）前不准启封”的字样，并在封签处加盖公章。</w:t>
      </w:r>
    </w:p>
    <w:p>
      <w:pPr>
        <w:pStyle w:val="style0"/>
        <w:autoSpaceDE w:val="false"/>
        <w:autoSpaceDN w:val="false"/>
        <w:adjustRightInd w:val="false"/>
        <w:snapToGrid w:val="false"/>
        <w:spacing w:lineRule="exact" w:line="460"/>
        <w:ind w:firstLine="539"/>
        <w:rPr>
          <w:rFonts w:ascii="宋体" w:cs="宋体" w:hAnsi="宋体" w:hint="eastAsia"/>
          <w:b w:val="false"/>
          <w:bCs/>
          <w:color w:val="auto"/>
          <w:sz w:val="24"/>
          <w:highlight w:val="none"/>
          <w:lang w:val="zh-CN"/>
        </w:rPr>
      </w:pPr>
      <w:r>
        <w:rPr>
          <w:rFonts w:ascii="宋体" w:cs="宋体" w:hAnsi="宋体" w:hint="eastAsia"/>
          <w:b w:val="false"/>
          <w:bCs/>
          <w:color w:val="auto"/>
          <w:sz w:val="24"/>
          <w:highlight w:val="none"/>
          <w:lang w:val="zh-CN"/>
        </w:rPr>
        <w:t>4.1.2 为保证《响应文件》在《响应文件》开启前无启封泄密情况及《响应文件》开启工作的正常有序进行，没有按照上述要求进行密封和标记、并有可能导致误投或提前启封的，招标代理机构有权视情况拒收其《响应文件》，供应商应自负该项风险，招标代理机构对误投或提前启封概不负责。</w:t>
      </w:r>
    </w:p>
    <w:bookmarkEnd w:id="13"/>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4.2 《响应文件》的递交</w:t>
      </w:r>
      <w:bookmarkEnd w:id="14"/>
    </w:p>
    <w:p>
      <w:pPr>
        <w:pStyle w:val="style0"/>
        <w:autoSpaceDE w:val="false"/>
        <w:autoSpaceDN w:val="false"/>
        <w:adjustRightInd w:val="false"/>
        <w:snapToGrid w:val="false"/>
        <w:spacing w:lineRule="exact" w:line="460"/>
        <w:ind w:firstLine="539"/>
        <w:rPr>
          <w:rFonts w:ascii="宋体" w:cs="宋体" w:hAnsi="宋体" w:hint="eastAsia"/>
          <w:b w:val="false"/>
          <w:bCs/>
          <w:color w:val="auto"/>
          <w:sz w:val="24"/>
          <w:highlight w:val="none"/>
          <w:lang w:val="zh-CN"/>
        </w:rPr>
      </w:pPr>
      <w:r>
        <w:rPr>
          <w:rFonts w:ascii="宋体" w:cs="宋体" w:hAnsi="宋体" w:hint="eastAsia"/>
          <w:b w:val="false"/>
          <w:bCs/>
          <w:color w:val="auto"/>
          <w:sz w:val="24"/>
          <w:highlight w:val="none"/>
          <w:lang w:val="zh-CN"/>
        </w:rPr>
        <w:t>4.2.1 供应商应在供应商须知前附表规定的投标截止时间前递交响应文件。</w:t>
      </w:r>
    </w:p>
    <w:p>
      <w:pPr>
        <w:pStyle w:val="style0"/>
        <w:autoSpaceDE w:val="false"/>
        <w:autoSpaceDN w:val="false"/>
        <w:adjustRightInd w:val="false"/>
        <w:snapToGrid w:val="false"/>
        <w:spacing w:lineRule="exact" w:line="460"/>
        <w:ind w:firstLine="539"/>
        <w:rPr>
          <w:rFonts w:ascii="宋体" w:cs="宋体" w:hAnsi="宋体" w:hint="eastAsia"/>
          <w:b w:val="false"/>
          <w:bCs/>
          <w:color w:val="auto"/>
          <w:sz w:val="24"/>
          <w:highlight w:val="none"/>
          <w:lang w:val="zh-CN"/>
        </w:rPr>
      </w:pPr>
      <w:r>
        <w:rPr>
          <w:rFonts w:ascii="宋体" w:cs="宋体" w:hAnsi="宋体" w:hint="eastAsia"/>
          <w:b w:val="false"/>
          <w:bCs/>
          <w:color w:val="auto"/>
          <w:sz w:val="24"/>
          <w:highlight w:val="none"/>
          <w:lang w:val="zh-CN"/>
        </w:rPr>
        <w:t>4.2.2 供应商递交响应文件的地点：</w:t>
      </w:r>
      <w:r>
        <w:rPr>
          <w:rFonts w:ascii="宋体" w:cs="宋体" w:hAnsi="宋体" w:hint="eastAsia"/>
          <w:b w:val="false"/>
          <w:bCs/>
          <w:color w:val="auto"/>
          <w:sz w:val="24"/>
          <w:highlight w:val="none"/>
          <w:lang w:val="zh-CN" w:eastAsia="zh-CN"/>
        </w:rPr>
        <w:t>见供应商须知前附表</w:t>
      </w:r>
      <w:r>
        <w:rPr>
          <w:rFonts w:ascii="宋体" w:cs="宋体" w:hAnsi="宋体" w:hint="eastAsia"/>
          <w:b w:val="false"/>
          <w:bCs/>
          <w:color w:val="auto"/>
          <w:sz w:val="24"/>
          <w:highlight w:val="none"/>
          <w:lang w:val="zh-CN"/>
        </w:rPr>
        <w:t>。</w:t>
      </w:r>
    </w:p>
    <w:p>
      <w:pPr>
        <w:pStyle w:val="style0"/>
        <w:autoSpaceDE w:val="false"/>
        <w:autoSpaceDN w:val="false"/>
        <w:adjustRightInd w:val="false"/>
        <w:snapToGrid w:val="false"/>
        <w:spacing w:lineRule="exact" w:line="460"/>
        <w:ind w:firstLine="539"/>
        <w:rPr>
          <w:rFonts w:ascii="宋体" w:cs="宋体" w:hAnsi="宋体" w:hint="eastAsia"/>
          <w:b w:val="false"/>
          <w:bCs/>
          <w:color w:val="auto"/>
          <w:sz w:val="24"/>
          <w:highlight w:val="none"/>
          <w:lang w:val="zh-CN"/>
        </w:rPr>
      </w:pPr>
      <w:r>
        <w:rPr>
          <w:rFonts w:ascii="宋体" w:cs="宋体" w:hAnsi="宋体" w:hint="eastAsia"/>
          <w:b w:val="false"/>
          <w:bCs/>
          <w:color w:val="auto"/>
          <w:sz w:val="24"/>
          <w:highlight w:val="none"/>
          <w:lang w:val="zh-CN"/>
        </w:rPr>
        <w:t>4.2.3 除供应商须知前附表另有规定外，供应商所递交的响应文件不予退还。</w:t>
      </w:r>
    </w:p>
    <w:p>
      <w:pPr>
        <w:pStyle w:val="style0"/>
        <w:autoSpaceDE w:val="false"/>
        <w:autoSpaceDN w:val="false"/>
        <w:adjustRightInd w:val="false"/>
        <w:snapToGrid w:val="false"/>
        <w:spacing w:lineRule="exact" w:line="460"/>
        <w:ind w:firstLine="539"/>
        <w:rPr>
          <w:rFonts w:ascii="宋体" w:cs="宋体" w:hAnsi="宋体" w:hint="eastAsia"/>
          <w:b w:val="false"/>
          <w:bCs/>
          <w:color w:val="auto"/>
          <w:sz w:val="24"/>
          <w:highlight w:val="none"/>
          <w:lang w:val="zh-CN"/>
        </w:rPr>
      </w:pPr>
      <w:r>
        <w:rPr>
          <w:rFonts w:ascii="宋体" w:cs="宋体" w:hAnsi="宋体" w:hint="eastAsia"/>
          <w:b w:val="false"/>
          <w:bCs/>
          <w:color w:val="auto"/>
          <w:sz w:val="24"/>
          <w:highlight w:val="none"/>
          <w:lang w:val="zh-CN"/>
        </w:rPr>
        <w:t>4.2.4逾期送达的或者未送达指定地点的响应文件，招标人不予受理。</w:t>
      </w:r>
    </w:p>
    <w:p>
      <w:pPr>
        <w:pStyle w:val="style0"/>
        <w:autoSpaceDE w:val="false"/>
        <w:autoSpaceDN w:val="false"/>
        <w:adjustRightInd w:val="false"/>
        <w:snapToGrid w:val="false"/>
        <w:spacing w:lineRule="exact" w:line="460"/>
        <w:ind w:firstLine="539"/>
        <w:rPr>
          <w:rFonts w:ascii="宋体" w:cs="宋体" w:hAnsi="宋体" w:hint="eastAsia"/>
          <w:b w:val="false"/>
          <w:bCs/>
          <w:color w:val="auto"/>
          <w:sz w:val="24"/>
          <w:highlight w:val="none"/>
          <w:lang w:val="zh-CN"/>
        </w:rPr>
      </w:pPr>
      <w:r>
        <w:rPr>
          <w:rFonts w:ascii="宋体" w:cs="宋体" w:hAnsi="宋体" w:hint="eastAsia"/>
          <w:b w:val="false"/>
          <w:bCs/>
          <w:color w:val="auto"/>
          <w:sz w:val="24"/>
          <w:highlight w:val="none"/>
          <w:lang w:val="zh-CN"/>
        </w:rPr>
        <w:t>4.2.5不允许递交备选方案。</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b/>
          <w:color w:val="auto"/>
          <w:sz w:val="24"/>
          <w:highlight w:val="none"/>
          <w:lang w:val="zh-CN"/>
        </w:rPr>
        <w:t>4.3 《响应文件》的修改与撤回</w:t>
      </w:r>
      <w:r>
        <w:rPr>
          <w:rFonts w:ascii="宋体" w:cs="宋体" w:hAnsi="宋体" w:hint="eastAsia"/>
          <w:color w:val="auto"/>
          <w:sz w:val="24"/>
          <w:highlight w:val="none"/>
          <w:lang w:val="zh-CN"/>
        </w:rPr>
        <w:t>：</w:t>
      </w:r>
    </w:p>
    <w:p>
      <w:pPr>
        <w:pStyle w:val="style0"/>
        <w:autoSpaceDE w:val="false"/>
        <w:autoSpaceDN w:val="false"/>
        <w:adjustRightInd w:val="false"/>
        <w:snapToGrid w:val="false"/>
        <w:spacing w:lineRule="exact" w:line="460"/>
        <w:ind w:firstLine="539"/>
        <w:rPr>
          <w:rFonts w:ascii="宋体" w:cs="宋体" w:hAnsi="宋体" w:hint="eastAsia"/>
          <w:b w:val="false"/>
          <w:bCs/>
          <w:color w:val="auto"/>
          <w:sz w:val="24"/>
          <w:highlight w:val="none"/>
          <w:lang w:val="zh-CN"/>
        </w:rPr>
      </w:pPr>
      <w:r>
        <w:rPr>
          <w:rFonts w:ascii="宋体" w:cs="宋体" w:hAnsi="宋体" w:hint="eastAsia"/>
          <w:b w:val="false"/>
          <w:bCs/>
          <w:color w:val="auto"/>
          <w:sz w:val="24"/>
          <w:highlight w:val="none"/>
          <w:lang w:val="zh-CN"/>
        </w:rPr>
        <w:t>4.3.1 在本章规定的投标截止时间前，供应商可以修改或撤回已递交的响应文件，但应以书面形式通知招标人。</w:t>
      </w:r>
    </w:p>
    <w:p>
      <w:pPr>
        <w:pStyle w:val="style0"/>
        <w:autoSpaceDE w:val="false"/>
        <w:autoSpaceDN w:val="false"/>
        <w:adjustRightInd w:val="false"/>
        <w:snapToGrid w:val="false"/>
        <w:spacing w:lineRule="exact" w:line="460"/>
        <w:ind w:firstLine="539"/>
        <w:rPr>
          <w:rFonts w:ascii="宋体" w:cs="宋体" w:hAnsi="宋体" w:hint="eastAsia"/>
          <w:b w:val="false"/>
          <w:bCs/>
          <w:color w:val="auto"/>
          <w:sz w:val="24"/>
          <w:highlight w:val="none"/>
          <w:lang w:val="zh-CN"/>
        </w:rPr>
      </w:pPr>
      <w:r>
        <w:rPr>
          <w:rFonts w:ascii="宋体" w:cs="宋体" w:hAnsi="宋体" w:hint="eastAsia"/>
          <w:b w:val="false"/>
          <w:bCs/>
          <w:color w:val="auto"/>
          <w:sz w:val="24"/>
          <w:highlight w:val="none"/>
          <w:lang w:val="zh-CN"/>
        </w:rPr>
        <w:t>4.3.2 供应商修改或撤回已递交响应文件的书面通知应按照本章的要求签字或盖章。招标人收到书面通知后，向供应商出具签收凭证。</w:t>
      </w:r>
    </w:p>
    <w:p>
      <w:pPr>
        <w:pStyle w:val="style0"/>
        <w:autoSpaceDE w:val="false"/>
        <w:autoSpaceDN w:val="false"/>
        <w:adjustRightInd w:val="false"/>
        <w:snapToGrid w:val="false"/>
        <w:spacing w:lineRule="exact" w:line="460"/>
        <w:ind w:firstLine="539"/>
        <w:rPr>
          <w:rFonts w:ascii="宋体" w:cs="宋体" w:hAnsi="宋体" w:hint="eastAsia"/>
          <w:b w:val="false"/>
          <w:bCs/>
          <w:color w:val="auto"/>
          <w:sz w:val="24"/>
          <w:highlight w:val="none"/>
          <w:lang w:val="zh-CN"/>
        </w:rPr>
      </w:pPr>
      <w:r>
        <w:rPr>
          <w:rFonts w:ascii="宋体" w:cs="宋体" w:hAnsi="宋体" w:hint="eastAsia"/>
          <w:b w:val="false"/>
          <w:bCs/>
          <w:color w:val="auto"/>
          <w:sz w:val="24"/>
          <w:highlight w:val="none"/>
          <w:lang w:val="zh-CN"/>
        </w:rPr>
        <w:t>4.3.3 修改的内容为响应文件的组成部分。修改的响应文件应按照本章第3条、第4条规定进行编制、密封、标记和递交，并标明“修改”字样。</w:t>
      </w:r>
    </w:p>
    <w:bookmarkStart w:id="15" w:name="_Toc7184"/>
    <w:p>
      <w:pPr>
        <w:pStyle w:val="style0"/>
        <w:autoSpaceDE w:val="false"/>
        <w:autoSpaceDN w:val="false"/>
        <w:adjustRightInd w:val="false"/>
        <w:snapToGrid w:val="false"/>
        <w:spacing w:lineRule="exact" w:line="460"/>
        <w:ind w:firstLine="539"/>
        <w:outlineLvl w:val="1"/>
        <w:rPr>
          <w:rFonts w:ascii="宋体" w:cs="宋体" w:hAnsi="宋体"/>
          <w:color w:val="auto"/>
          <w:sz w:val="24"/>
          <w:highlight w:val="none"/>
          <w:lang w:val="zh-CN"/>
        </w:rPr>
      </w:pPr>
      <w:r>
        <w:rPr>
          <w:rFonts w:ascii="宋体" w:cs="宋体" w:hAnsi="宋体" w:hint="eastAsia"/>
          <w:b/>
          <w:bCs/>
          <w:color w:val="auto"/>
          <w:sz w:val="28"/>
          <w:szCs w:val="28"/>
          <w:highlight w:val="none"/>
          <w:lang w:val="zh-CN"/>
        </w:rPr>
        <w:t>5.《响应文件》的开启</w:t>
      </w:r>
      <w:bookmarkEnd w:id="15"/>
    </w:p>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5.1 《响应文件》开启时间和地点</w:t>
      </w:r>
    </w:p>
    <w:bookmarkStart w:id="16" w:name="_Toc179632578"/>
    <w:bookmarkStart w:id="17" w:name="_Toc152042336"/>
    <w:bookmarkStart w:id="18" w:name="_Toc144974528"/>
    <w:bookmarkStart w:id="19" w:name="_Toc152045560"/>
    <w:p>
      <w:pPr>
        <w:pStyle w:val="style0"/>
        <w:autoSpaceDE w:val="false"/>
        <w:autoSpaceDN w:val="false"/>
        <w:adjustRightInd w:val="false"/>
        <w:snapToGrid w:val="false"/>
        <w:spacing w:lineRule="exact" w:line="460"/>
        <w:ind w:firstLine="539"/>
        <w:rPr>
          <w:rFonts w:ascii="宋体" w:cs="宋体" w:hAnsi="宋体" w:hint="eastAsia"/>
          <w:b w:val="false"/>
          <w:bCs/>
          <w:color w:val="auto"/>
          <w:sz w:val="24"/>
          <w:highlight w:val="none"/>
          <w:lang w:val="zh-CN"/>
        </w:rPr>
      </w:pPr>
      <w:r>
        <w:rPr>
          <w:rFonts w:ascii="宋体" w:cs="宋体" w:hAnsi="宋体" w:hint="eastAsia"/>
          <w:b w:val="false"/>
          <w:bCs/>
          <w:color w:val="auto"/>
          <w:sz w:val="24"/>
          <w:highlight w:val="none"/>
          <w:lang w:val="zh-CN"/>
        </w:rPr>
        <w:t>5.1 开标时间和地点</w:t>
      </w:r>
      <w:bookmarkEnd w:id="16"/>
      <w:bookmarkEnd w:id="17"/>
      <w:bookmarkEnd w:id="18"/>
      <w:bookmarkEnd w:id="19"/>
    </w:p>
    <w:p>
      <w:pPr>
        <w:pStyle w:val="style0"/>
        <w:autoSpaceDE w:val="false"/>
        <w:autoSpaceDN w:val="false"/>
        <w:adjustRightInd w:val="false"/>
        <w:snapToGrid w:val="false"/>
        <w:spacing w:lineRule="exact" w:line="460"/>
        <w:ind w:firstLine="539"/>
        <w:rPr>
          <w:rFonts w:ascii="宋体" w:cs="宋体" w:hAnsi="宋体" w:hint="eastAsia"/>
          <w:b w:val="false"/>
          <w:bCs/>
          <w:color w:val="auto"/>
          <w:sz w:val="24"/>
          <w:highlight w:val="none"/>
          <w:lang w:val="zh-CN"/>
        </w:rPr>
      </w:pPr>
      <w:r>
        <w:rPr>
          <w:rFonts w:ascii="宋体" w:cs="宋体" w:hAnsi="宋体" w:hint="eastAsia"/>
          <w:b w:val="false"/>
          <w:bCs/>
          <w:color w:val="auto"/>
          <w:sz w:val="24"/>
          <w:highlight w:val="none"/>
          <w:lang w:val="zh-CN"/>
        </w:rPr>
        <w:t>5.1.1招标人在磋商文件规定的投标截止时间（开标时间）和地点公开开标，所有供应商的法定代表人或其委托代理人准时参加，进入会场时须携带法人身份证明或授权委托书及本人身份证原件，供应商的法定代表人或其授权委托人未参加开标会的，招标人可拒收其响应文件。</w:t>
      </w:r>
    </w:p>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5.2 《响应文件》开启程序</w:t>
      </w:r>
    </w:p>
    <w:p>
      <w:pPr>
        <w:pStyle w:val="style0"/>
        <w:autoSpaceDE w:val="false"/>
        <w:autoSpaceDN w:val="false"/>
        <w:adjustRightInd w:val="false"/>
        <w:snapToGrid w:val="false"/>
        <w:spacing w:lineRule="exact" w:line="460"/>
        <w:ind w:firstLine="539"/>
        <w:rPr>
          <w:rFonts w:ascii="宋体" w:cs="宋体" w:hAnsi="宋体" w:hint="eastAsia"/>
          <w:b w:val="false"/>
          <w:bCs/>
          <w:color w:val="auto"/>
          <w:sz w:val="24"/>
          <w:highlight w:val="none"/>
          <w:lang w:val="zh-CN"/>
        </w:rPr>
      </w:pPr>
      <w:r>
        <w:rPr>
          <w:rFonts w:ascii="宋体" w:cs="宋体" w:hAnsi="宋体" w:hint="eastAsia"/>
          <w:b w:val="false"/>
          <w:bCs/>
          <w:color w:val="auto"/>
          <w:sz w:val="24"/>
          <w:highlight w:val="none"/>
          <w:lang w:val="zh-CN"/>
        </w:rPr>
        <w:t>主持人按下列程序进行开标：</w:t>
      </w:r>
    </w:p>
    <w:p>
      <w:pPr>
        <w:pStyle w:val="style0"/>
        <w:autoSpaceDE w:val="false"/>
        <w:autoSpaceDN w:val="false"/>
        <w:adjustRightInd w:val="false"/>
        <w:snapToGrid w:val="false"/>
        <w:spacing w:lineRule="exact" w:line="460"/>
        <w:ind w:firstLine="539"/>
        <w:rPr>
          <w:rFonts w:ascii="宋体" w:cs="宋体" w:hAnsi="宋体" w:hint="eastAsia"/>
          <w:b w:val="false"/>
          <w:bCs/>
          <w:color w:val="auto"/>
          <w:sz w:val="24"/>
          <w:highlight w:val="none"/>
          <w:lang w:val="zh-CN"/>
        </w:rPr>
      </w:pPr>
      <w:r>
        <w:rPr>
          <w:rFonts w:ascii="宋体" w:cs="宋体" w:hAnsi="宋体" w:hint="eastAsia"/>
          <w:b w:val="false"/>
          <w:bCs/>
          <w:color w:val="auto"/>
          <w:sz w:val="24"/>
          <w:highlight w:val="none"/>
          <w:lang w:val="zh-CN"/>
        </w:rPr>
        <w:t>（1）宣布开标纪律；</w:t>
      </w:r>
    </w:p>
    <w:p>
      <w:pPr>
        <w:pStyle w:val="style0"/>
        <w:autoSpaceDE w:val="false"/>
        <w:autoSpaceDN w:val="false"/>
        <w:adjustRightInd w:val="false"/>
        <w:snapToGrid w:val="false"/>
        <w:spacing w:lineRule="exact" w:line="460"/>
        <w:ind w:firstLine="539"/>
        <w:rPr>
          <w:rFonts w:ascii="宋体" w:cs="宋体" w:hAnsi="宋体" w:hint="eastAsia"/>
          <w:b w:val="false"/>
          <w:bCs/>
          <w:color w:val="auto"/>
          <w:sz w:val="24"/>
          <w:highlight w:val="none"/>
          <w:lang w:val="zh-CN"/>
        </w:rPr>
      </w:pPr>
      <w:r>
        <w:rPr>
          <w:rFonts w:ascii="宋体" w:cs="宋体" w:hAnsi="宋体" w:hint="eastAsia"/>
          <w:b w:val="false"/>
          <w:bCs/>
          <w:color w:val="auto"/>
          <w:sz w:val="24"/>
          <w:highlight w:val="none"/>
          <w:lang w:val="zh-CN"/>
        </w:rPr>
        <w:t>（2）公布在投标截止时间前递交响应文件的供应商名称，并点名确认供应商是否派人到场；</w:t>
      </w:r>
    </w:p>
    <w:p>
      <w:pPr>
        <w:pStyle w:val="style0"/>
        <w:autoSpaceDE w:val="false"/>
        <w:autoSpaceDN w:val="false"/>
        <w:adjustRightInd w:val="false"/>
        <w:snapToGrid w:val="false"/>
        <w:spacing w:lineRule="exact" w:line="460"/>
        <w:ind w:firstLine="539"/>
        <w:rPr>
          <w:rFonts w:ascii="宋体" w:cs="宋体" w:hAnsi="宋体" w:hint="eastAsia"/>
          <w:b w:val="false"/>
          <w:bCs/>
          <w:color w:val="auto"/>
          <w:sz w:val="24"/>
          <w:highlight w:val="none"/>
          <w:lang w:val="zh-CN"/>
        </w:rPr>
      </w:pPr>
      <w:r>
        <w:rPr>
          <w:rFonts w:ascii="宋体" w:cs="宋体" w:hAnsi="宋体" w:hint="eastAsia"/>
          <w:b w:val="false"/>
          <w:bCs/>
          <w:color w:val="auto"/>
          <w:sz w:val="24"/>
          <w:highlight w:val="none"/>
          <w:lang w:val="zh-CN"/>
        </w:rPr>
        <w:t>（3）宣布开标人、唱标人、记录人、监标人等有关人员姓名；</w:t>
      </w:r>
    </w:p>
    <w:p>
      <w:pPr>
        <w:pStyle w:val="style0"/>
        <w:autoSpaceDE w:val="false"/>
        <w:autoSpaceDN w:val="false"/>
        <w:adjustRightInd w:val="false"/>
        <w:snapToGrid w:val="false"/>
        <w:spacing w:lineRule="exact" w:line="460"/>
        <w:ind w:firstLine="539"/>
        <w:rPr>
          <w:rFonts w:ascii="宋体" w:cs="宋体" w:hAnsi="宋体" w:hint="eastAsia"/>
          <w:b w:val="false"/>
          <w:bCs/>
          <w:color w:val="auto"/>
          <w:sz w:val="24"/>
          <w:highlight w:val="none"/>
          <w:lang w:val="zh-CN"/>
        </w:rPr>
      </w:pPr>
      <w:r>
        <w:rPr>
          <w:rFonts w:ascii="宋体" w:cs="宋体" w:hAnsi="宋体" w:hint="eastAsia"/>
          <w:b w:val="false"/>
          <w:bCs/>
          <w:color w:val="auto"/>
          <w:sz w:val="24"/>
          <w:highlight w:val="none"/>
          <w:lang w:val="zh-CN"/>
        </w:rPr>
        <w:t>（4）按照供应商须知前附表规定检查响应文件的密封情况；</w:t>
      </w:r>
    </w:p>
    <w:p>
      <w:pPr>
        <w:pStyle w:val="style0"/>
        <w:autoSpaceDE w:val="false"/>
        <w:autoSpaceDN w:val="false"/>
        <w:adjustRightInd w:val="false"/>
        <w:snapToGrid w:val="false"/>
        <w:spacing w:lineRule="exact" w:line="460"/>
        <w:ind w:firstLine="539"/>
        <w:rPr>
          <w:rFonts w:ascii="宋体" w:cs="宋体" w:hAnsi="宋体" w:hint="eastAsia"/>
          <w:b w:val="false"/>
          <w:bCs/>
          <w:color w:val="auto"/>
          <w:sz w:val="24"/>
          <w:highlight w:val="none"/>
          <w:lang w:val="zh-CN"/>
        </w:rPr>
      </w:pPr>
      <w:r>
        <w:rPr>
          <w:rFonts w:ascii="宋体" w:cs="宋体" w:hAnsi="宋体" w:hint="eastAsia"/>
          <w:b w:val="false"/>
          <w:bCs/>
          <w:color w:val="auto"/>
          <w:sz w:val="24"/>
          <w:highlight w:val="none"/>
          <w:lang w:val="zh-CN"/>
        </w:rPr>
        <w:t>（5）按照供应商须知前附表的规定确定并宣布响应文件开标顺序；</w:t>
      </w:r>
    </w:p>
    <w:p>
      <w:pPr>
        <w:pStyle w:val="style0"/>
        <w:autoSpaceDE w:val="false"/>
        <w:autoSpaceDN w:val="false"/>
        <w:adjustRightInd w:val="false"/>
        <w:snapToGrid w:val="false"/>
        <w:spacing w:lineRule="exact" w:line="460"/>
        <w:ind w:firstLine="539"/>
        <w:rPr>
          <w:rFonts w:ascii="宋体" w:cs="宋体" w:hAnsi="宋体" w:hint="eastAsia"/>
          <w:b w:val="false"/>
          <w:bCs/>
          <w:color w:val="auto"/>
          <w:sz w:val="24"/>
          <w:highlight w:val="none"/>
          <w:lang w:val="zh-CN"/>
        </w:rPr>
      </w:pPr>
      <w:r>
        <w:rPr>
          <w:rFonts w:ascii="宋体" w:cs="宋体" w:hAnsi="宋体" w:hint="eastAsia"/>
          <w:b w:val="false"/>
          <w:bCs/>
          <w:color w:val="auto"/>
          <w:sz w:val="24"/>
          <w:highlight w:val="none"/>
          <w:lang w:val="zh-CN"/>
        </w:rPr>
        <w:t>（6）设有标底的，公布标底；</w:t>
      </w:r>
    </w:p>
    <w:p>
      <w:pPr>
        <w:pStyle w:val="style0"/>
        <w:autoSpaceDE w:val="false"/>
        <w:autoSpaceDN w:val="false"/>
        <w:adjustRightInd w:val="false"/>
        <w:snapToGrid w:val="false"/>
        <w:spacing w:lineRule="exact" w:line="460"/>
        <w:ind w:firstLine="539"/>
        <w:rPr>
          <w:rFonts w:ascii="宋体" w:cs="宋体" w:hAnsi="宋体" w:hint="eastAsia"/>
          <w:b w:val="false"/>
          <w:bCs/>
          <w:color w:val="auto"/>
          <w:sz w:val="24"/>
          <w:highlight w:val="none"/>
          <w:lang w:val="zh-CN"/>
        </w:rPr>
      </w:pPr>
      <w:r>
        <w:rPr>
          <w:rFonts w:ascii="宋体" w:cs="宋体" w:hAnsi="宋体" w:hint="eastAsia"/>
          <w:b w:val="false"/>
          <w:bCs/>
          <w:color w:val="auto"/>
          <w:sz w:val="24"/>
          <w:highlight w:val="none"/>
          <w:lang w:val="zh-CN"/>
        </w:rPr>
        <w:t>（7）按照宣布的开标顺序当众开标，公布供应商名称、投标报价、服务期及其他内容，并记录在案；</w:t>
      </w:r>
    </w:p>
    <w:p>
      <w:pPr>
        <w:pStyle w:val="style0"/>
        <w:autoSpaceDE w:val="false"/>
        <w:autoSpaceDN w:val="false"/>
        <w:adjustRightInd w:val="false"/>
        <w:snapToGrid w:val="false"/>
        <w:spacing w:lineRule="exact" w:line="460"/>
        <w:ind w:firstLine="539"/>
        <w:rPr>
          <w:rFonts w:ascii="宋体" w:cs="宋体" w:hAnsi="宋体" w:hint="eastAsia"/>
          <w:b w:val="false"/>
          <w:bCs/>
          <w:color w:val="auto"/>
          <w:sz w:val="24"/>
          <w:highlight w:val="none"/>
          <w:lang w:val="zh-CN"/>
        </w:rPr>
      </w:pPr>
      <w:r>
        <w:rPr>
          <w:rFonts w:ascii="宋体" w:cs="宋体" w:hAnsi="宋体" w:hint="eastAsia"/>
          <w:b w:val="false"/>
          <w:bCs/>
          <w:color w:val="auto"/>
          <w:sz w:val="24"/>
          <w:highlight w:val="none"/>
          <w:lang w:val="zh-CN"/>
        </w:rPr>
        <w:t>（8）供应商代表等有关人员在开标记录上签字确认；</w:t>
      </w:r>
    </w:p>
    <w:p>
      <w:pPr>
        <w:pStyle w:val="style0"/>
        <w:autoSpaceDE w:val="false"/>
        <w:autoSpaceDN w:val="false"/>
        <w:adjustRightInd w:val="false"/>
        <w:snapToGrid w:val="false"/>
        <w:spacing w:lineRule="exact" w:line="460"/>
        <w:ind w:firstLine="539"/>
        <w:rPr>
          <w:rFonts w:ascii="宋体" w:cs="宋体" w:hAnsi="宋体" w:hint="eastAsia"/>
          <w:b w:val="false"/>
          <w:bCs/>
          <w:color w:val="auto"/>
          <w:sz w:val="24"/>
          <w:highlight w:val="none"/>
          <w:lang w:val="zh-CN"/>
        </w:rPr>
      </w:pPr>
      <w:r>
        <w:rPr>
          <w:rFonts w:ascii="宋体" w:cs="宋体" w:hAnsi="宋体" w:hint="eastAsia"/>
          <w:b w:val="false"/>
          <w:bCs/>
          <w:color w:val="auto"/>
          <w:sz w:val="24"/>
          <w:highlight w:val="none"/>
          <w:lang w:val="zh-CN"/>
        </w:rPr>
        <w:t>（9）开标结束。</w:t>
      </w:r>
    </w:p>
    <w:bookmarkStart w:id="20" w:name="_Toc19110"/>
    <w:p>
      <w:pPr>
        <w:pStyle w:val="style0"/>
        <w:autoSpaceDE w:val="false"/>
        <w:autoSpaceDN w:val="false"/>
        <w:adjustRightInd w:val="false"/>
        <w:snapToGrid w:val="false"/>
        <w:spacing w:lineRule="exact" w:line="460"/>
        <w:ind w:firstLine="539"/>
        <w:outlineLvl w:val="1"/>
        <w:rPr>
          <w:rFonts w:ascii="宋体" w:cs="宋体" w:hAnsi="宋体"/>
          <w:color w:val="auto"/>
          <w:sz w:val="24"/>
          <w:highlight w:val="none"/>
          <w:lang w:val="zh-CN"/>
        </w:rPr>
      </w:pPr>
      <w:r>
        <w:rPr>
          <w:rFonts w:ascii="宋体" w:cs="宋体" w:hAnsi="宋体" w:hint="eastAsia"/>
          <w:b/>
          <w:bCs/>
          <w:color w:val="auto"/>
          <w:sz w:val="28"/>
          <w:szCs w:val="28"/>
          <w:highlight w:val="none"/>
          <w:lang w:val="zh-CN"/>
        </w:rPr>
        <w:t>6. 评审</w:t>
      </w:r>
      <w:bookmarkEnd w:id="20"/>
    </w:p>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6.1 磋商小组</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评审工作由依法组建的磋商小组负责。磋商小组由</w:t>
      </w:r>
      <w:r>
        <w:rPr>
          <w:rFonts w:ascii="宋体" w:cs="宋体" w:hAnsi="宋体" w:hint="eastAsia"/>
          <w:color w:val="auto"/>
          <w:sz w:val="24"/>
          <w:highlight w:val="none"/>
          <w:lang w:val="en-US" w:eastAsia="zh-CN"/>
        </w:rPr>
        <w:t>评审专家共</w:t>
      </w:r>
      <w:r>
        <w:rPr>
          <w:rFonts w:ascii="宋体" w:cs="宋体" w:hAnsi="宋体" w:hint="eastAsia"/>
          <w:color w:val="auto"/>
          <w:sz w:val="24"/>
          <w:highlight w:val="none"/>
          <w:lang w:val="zh-CN"/>
        </w:rPr>
        <w:t>3</w:t>
      </w:r>
      <w:r>
        <w:rPr>
          <w:rFonts w:ascii="宋体" w:cs="宋体" w:hAnsi="宋体" w:hint="eastAsia"/>
          <w:color w:val="auto"/>
          <w:sz w:val="24"/>
          <w:highlight w:val="none"/>
          <w:lang w:val="en-US" w:eastAsia="zh-CN"/>
        </w:rPr>
        <w:t>人</w:t>
      </w:r>
      <w:r>
        <w:rPr>
          <w:rFonts w:ascii="宋体" w:cs="宋体" w:hAnsi="宋体" w:hint="eastAsia"/>
          <w:color w:val="auto"/>
          <w:sz w:val="24"/>
          <w:highlight w:val="none"/>
          <w:lang w:val="zh-CN"/>
        </w:rPr>
        <w:t>组成，评审专家是在监督部门监督下从</w:t>
      </w:r>
      <w:r>
        <w:rPr>
          <w:rFonts w:ascii="宋体" w:cs="宋体" w:hAnsi="宋体" w:hint="eastAsia"/>
          <w:color w:val="auto"/>
          <w:sz w:val="24"/>
          <w:highlight w:val="none"/>
          <w:lang w:val="en-US" w:eastAsia="zh-CN"/>
        </w:rPr>
        <w:t>依法组建的</w:t>
      </w:r>
      <w:r>
        <w:rPr>
          <w:rFonts w:ascii="宋体" w:cs="宋体" w:hAnsi="宋体" w:hint="eastAsia"/>
          <w:color w:val="auto"/>
          <w:sz w:val="24"/>
          <w:highlight w:val="none"/>
          <w:lang w:val="zh-CN"/>
        </w:rPr>
        <w:t>专家库中随机抽取产生。</w:t>
      </w:r>
    </w:p>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6.2 评审原则</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6.2.1 坚持公开、公平、公正地对待所有供应商。</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6.2.2 按照同一评审程序及方法审查所有供应商的《响应文件》。</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6.2.3 反对不正当竞争</w:t>
      </w:r>
    </w:p>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6.3 评审</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6.3.1评审工作在磋商小组内独立进行。磋商小组按照第四章“评审办法”规定的方法、评审因素、标准和程序对《响应文件》进行评审。第四章“评审办法”没有规定的方法、评审因素和标准，不作为评审依据。</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6.3.2在《响应文件》开启、评审期间，供应商不得向磋商小组成员询问情况，不得进行旨在影响评审结果的活动。</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b/>
          <w:color w:val="auto"/>
          <w:sz w:val="24"/>
          <w:highlight w:val="none"/>
          <w:lang w:val="zh-CN"/>
        </w:rPr>
        <w:t>6.4 磋商：</w:t>
      </w:r>
      <w:r>
        <w:rPr>
          <w:rFonts w:ascii="宋体" w:cs="宋体" w:hAnsi="宋体" w:hint="eastAsia"/>
          <w:color w:val="auto"/>
          <w:sz w:val="24"/>
          <w:highlight w:val="none"/>
          <w:lang w:val="zh-CN"/>
        </w:rPr>
        <w:t>见第四章评审办法3.4 磋商规则</w:t>
      </w:r>
    </w:p>
    <w:bookmarkStart w:id="21" w:name="_Toc10225"/>
    <w:p>
      <w:pPr>
        <w:pStyle w:val="style0"/>
        <w:autoSpaceDE w:val="false"/>
        <w:autoSpaceDN w:val="false"/>
        <w:adjustRightInd w:val="false"/>
        <w:snapToGrid w:val="false"/>
        <w:spacing w:lineRule="exact" w:line="460"/>
        <w:ind w:firstLine="539"/>
        <w:outlineLvl w:val="1"/>
        <w:rPr>
          <w:rFonts w:ascii="宋体" w:cs="宋体" w:hAnsi="宋体"/>
          <w:b/>
          <w:bCs/>
          <w:color w:val="auto"/>
          <w:sz w:val="28"/>
          <w:szCs w:val="28"/>
          <w:highlight w:val="none"/>
          <w:lang w:val="zh-CN"/>
        </w:rPr>
      </w:pPr>
      <w:r>
        <w:rPr>
          <w:rFonts w:ascii="宋体" w:cs="宋体" w:hAnsi="宋体" w:hint="eastAsia"/>
          <w:b/>
          <w:bCs/>
          <w:color w:val="auto"/>
          <w:sz w:val="28"/>
          <w:szCs w:val="28"/>
          <w:highlight w:val="none"/>
          <w:lang w:val="zh-CN"/>
        </w:rPr>
        <w:t>7. 授予合同</w:t>
      </w:r>
      <w:bookmarkEnd w:id="21"/>
    </w:p>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7.1 确定成交供应商方式</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除供应商须知前附表规定授权磋商小组直接确定成交供应商外，采购人应当自收到评审报告之日起5个工作日内在评审报告推荐的成交候选人中按顺序确定成交供应商。若入围的成交候选人放弃中标（成交），或者因不可抗力不能履行合同，或者被查实存在影响成交结果的违法行为等情形、不符合成交条件的，采购人可以按照磋商小组提出的成交候选人名单排序依次确定其他成交候选人为成交供应商，也可以重新采购。</w:t>
      </w:r>
    </w:p>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7.2 成交结果公告</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采购代理机构在成交供应商确定当天，在竞争性磋商公告所述媒体公告成交结果。同时向成交供应商发出成交通知书。成交结果公告期限为1个工作日。</w:t>
      </w:r>
    </w:p>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7.3 质疑：</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rPr>
        <w:t>7.3.1</w:t>
      </w:r>
      <w:r>
        <w:rPr>
          <w:rFonts w:ascii="宋体" w:cs="宋体" w:hAnsi="宋体" w:hint="eastAsia"/>
          <w:color w:val="auto"/>
          <w:sz w:val="24"/>
          <w:highlight w:val="none"/>
          <w:lang w:val="zh-CN"/>
        </w:rPr>
        <w:t>见供应商须知前附表</w:t>
      </w:r>
    </w:p>
    <w:p>
      <w:pPr>
        <w:pStyle w:val="style0"/>
        <w:adjustRightInd w:val="false"/>
        <w:snapToGrid w:val="false"/>
        <w:spacing w:lineRule="exact" w:line="460"/>
        <w:ind w:firstLine="600" w:firstLineChars="250"/>
        <w:rPr>
          <w:rFonts w:ascii="宋体" w:cs="宋体" w:hAnsi="宋体"/>
          <w:color w:val="auto"/>
          <w:sz w:val="24"/>
          <w:highlight w:val="none"/>
        </w:rPr>
      </w:pPr>
      <w:r>
        <w:rPr>
          <w:rFonts w:ascii="宋体" w:cs="宋体" w:hAnsi="宋体" w:hint="eastAsia"/>
          <w:color w:val="auto"/>
          <w:sz w:val="24"/>
          <w:highlight w:val="none"/>
        </w:rPr>
        <w:t>7.3.2询问或者质疑事项可能影响成交结果的，采购人应当暂停签订合同，已经签订合同的，应当中止履行合同。</w:t>
      </w:r>
    </w:p>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7.4 成交通知：</w:t>
      </w:r>
      <w:r>
        <w:rPr>
          <w:rFonts w:ascii="宋体" w:cs="宋体" w:hAnsi="宋体" w:hint="eastAsia"/>
          <w:color w:val="auto"/>
          <w:sz w:val="24"/>
          <w:highlight w:val="none"/>
          <w:lang w:val="zh-CN"/>
        </w:rPr>
        <w:t>见供应商须知前附表</w:t>
      </w:r>
    </w:p>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7.5 履约保证金</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7.5.1在签订合同时，成交供应商应按供应商须知前附表规定向采购人提交履约保证金。</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lang w:val="zh-CN"/>
        </w:rPr>
        <w:t>7.5.2 成交供应商不能按本章第7.5.1项要求提交履约保证金的，视为放弃成交资格，</w:t>
      </w:r>
      <w:r>
        <w:rPr>
          <w:rFonts w:ascii="宋体" w:cs="宋体" w:hAnsi="宋体" w:hint="eastAsia"/>
          <w:color w:val="auto"/>
          <w:sz w:val="24"/>
          <w:szCs w:val="24"/>
          <w:highlight w:val="none"/>
        </w:rPr>
        <w:t>依据磋商文件“第三章</w:t>
      </w:r>
      <w:r>
        <w:rPr>
          <w:rFonts w:ascii="宋体" w:cs="宋体" w:hAnsi="宋体" w:hint="eastAsia"/>
          <w:color w:val="auto"/>
          <w:sz w:val="24"/>
          <w:szCs w:val="22"/>
          <w:highlight w:val="none"/>
        </w:rPr>
        <w:t>3.5.5 违背承诺的责任追究措施</w:t>
      </w:r>
      <w:r>
        <w:rPr>
          <w:rFonts w:ascii="宋体" w:cs="宋体" w:hAnsi="宋体" w:hint="eastAsia"/>
          <w:color w:val="auto"/>
          <w:sz w:val="24"/>
          <w:szCs w:val="24"/>
          <w:highlight w:val="none"/>
        </w:rPr>
        <w:t>”，供应商</w:t>
      </w:r>
      <w:r>
        <w:rPr>
          <w:rFonts w:ascii="宋体" w:cs="宋体" w:hAnsi="宋体" w:hint="eastAsia"/>
          <w:color w:val="auto"/>
          <w:sz w:val="24"/>
          <w:szCs w:val="22"/>
          <w:highlight w:val="none"/>
        </w:rPr>
        <w:t>承担相应法律责任及违约责任。</w:t>
      </w:r>
      <w:r>
        <w:rPr>
          <w:rFonts w:ascii="宋体" w:cs="宋体" w:hAnsi="宋体" w:hint="eastAsia"/>
          <w:color w:val="auto"/>
          <w:sz w:val="24"/>
          <w:highlight w:val="none"/>
          <w:lang w:val="zh-CN"/>
        </w:rPr>
        <w:t>给采购人及采购代理机构造成损失的，成交供应商应当予以赔偿。</w:t>
      </w:r>
    </w:p>
    <w:p>
      <w:pPr>
        <w:pStyle w:val="style0"/>
        <w:autoSpaceDE w:val="false"/>
        <w:autoSpaceDN w:val="false"/>
        <w:adjustRightInd w:val="false"/>
        <w:snapToGrid w:val="false"/>
        <w:spacing w:lineRule="exact" w:line="460"/>
        <w:ind w:firstLine="539"/>
        <w:rPr>
          <w:rFonts w:ascii="宋体" w:cs="宋体" w:hAnsi="宋体"/>
          <w:b/>
          <w:color w:val="auto"/>
          <w:sz w:val="24"/>
          <w:highlight w:val="none"/>
          <w:lang w:val="zh-CN"/>
        </w:rPr>
      </w:pPr>
      <w:r>
        <w:rPr>
          <w:rFonts w:ascii="宋体" w:cs="宋体" w:hAnsi="宋体" w:hint="eastAsia"/>
          <w:b/>
          <w:color w:val="auto"/>
          <w:sz w:val="24"/>
          <w:highlight w:val="none"/>
          <w:lang w:val="zh-CN"/>
        </w:rPr>
        <w:t>7.6 签订合同</w:t>
      </w:r>
    </w:p>
    <w:p>
      <w:pPr>
        <w:pStyle w:val="style0"/>
        <w:autoSpaceDE w:val="false"/>
        <w:autoSpaceDN w:val="false"/>
        <w:adjustRightInd w:val="false"/>
        <w:snapToGrid w:val="false"/>
        <w:spacing w:lineRule="exact" w:line="460"/>
        <w:ind w:firstLine="539"/>
        <w:rPr>
          <w:rFonts w:ascii="宋体" w:cs="宋体" w:hAnsi="宋体"/>
          <w:color w:val="auto"/>
          <w:sz w:val="24"/>
          <w:highlight w:val="none"/>
        </w:rPr>
      </w:pPr>
      <w:r>
        <w:rPr>
          <w:rFonts w:ascii="宋体" w:cs="宋体" w:hAnsi="宋体" w:hint="eastAsia"/>
          <w:color w:val="auto"/>
          <w:sz w:val="24"/>
          <w:highlight w:val="none"/>
        </w:rPr>
        <w:t>7.6.1 成交供应商应在《成交通知书》发出后</w:t>
      </w:r>
      <w:r>
        <w:rPr>
          <w:rFonts w:ascii="宋体" w:cs="宋体" w:hAnsi="宋体" w:hint="eastAsia"/>
          <w:color w:val="auto"/>
          <w:sz w:val="24"/>
          <w:highlight w:val="none"/>
          <w:lang w:val="en-US" w:eastAsia="zh-CN"/>
        </w:rPr>
        <w:t>7</w:t>
      </w:r>
      <w:r>
        <w:rPr>
          <w:rFonts w:ascii="宋体" w:cs="宋体" w:hAnsi="宋体" w:hint="eastAsia"/>
          <w:color w:val="auto"/>
          <w:sz w:val="24"/>
          <w:highlight w:val="none"/>
        </w:rPr>
        <w:t>日内，按照《磋商文件》确定的合同文本以及成交标的、技术和服务等事项与采购人签订</w:t>
      </w:r>
      <w:r>
        <w:rPr>
          <w:rFonts w:ascii="宋体" w:cs="宋体" w:hAnsi="宋体" w:hint="eastAsia"/>
          <w:color w:val="auto"/>
          <w:sz w:val="24"/>
          <w:highlight w:val="none"/>
          <w:lang w:val="zh-CN"/>
        </w:rPr>
        <w:t>书面</w:t>
      </w:r>
      <w:r>
        <w:rPr>
          <w:rFonts w:ascii="宋体" w:cs="宋体" w:hAnsi="宋体" w:hint="eastAsia"/>
          <w:color w:val="auto"/>
          <w:sz w:val="24"/>
          <w:highlight w:val="none"/>
        </w:rPr>
        <w:t>政府采购合同。</w:t>
      </w:r>
    </w:p>
    <w:p>
      <w:pPr>
        <w:pStyle w:val="style0"/>
        <w:autoSpaceDE w:val="false"/>
        <w:autoSpaceDN w:val="false"/>
        <w:adjustRightInd w:val="false"/>
        <w:snapToGrid w:val="false"/>
        <w:spacing w:lineRule="exact" w:line="460"/>
        <w:ind w:firstLine="539"/>
        <w:rPr>
          <w:rFonts w:ascii="宋体" w:cs="宋体" w:hAnsi="宋体"/>
          <w:color w:val="auto"/>
          <w:sz w:val="24"/>
          <w:highlight w:val="none"/>
          <w:lang w:val="zh-CN"/>
        </w:rPr>
      </w:pPr>
      <w:r>
        <w:rPr>
          <w:rFonts w:ascii="宋体" w:cs="宋体" w:hAnsi="宋体" w:hint="eastAsia"/>
          <w:color w:val="auto"/>
          <w:sz w:val="24"/>
          <w:highlight w:val="none"/>
        </w:rPr>
        <w:t>7.6.2 如成交供应商不按时签订合同、</w:t>
      </w:r>
      <w:r>
        <w:rPr>
          <w:rFonts w:ascii="宋体" w:cs="宋体" w:hAnsi="宋体" w:hint="eastAsia"/>
          <w:color w:val="auto"/>
          <w:sz w:val="24"/>
          <w:highlight w:val="none"/>
          <w:lang w:val="zh-CN"/>
        </w:rPr>
        <w:t>拒签合同的，取消其成交资格，</w:t>
      </w:r>
      <w:r>
        <w:rPr>
          <w:rFonts w:ascii="宋体" w:cs="宋体" w:hAnsi="宋体" w:hint="eastAsia"/>
          <w:color w:val="auto"/>
          <w:sz w:val="24"/>
          <w:szCs w:val="24"/>
          <w:highlight w:val="none"/>
        </w:rPr>
        <w:t>依据磋商文件“第三章</w:t>
      </w:r>
      <w:r>
        <w:rPr>
          <w:rFonts w:ascii="宋体" w:cs="宋体" w:hAnsi="宋体" w:hint="eastAsia"/>
          <w:color w:val="auto"/>
          <w:sz w:val="24"/>
          <w:szCs w:val="22"/>
          <w:highlight w:val="none"/>
        </w:rPr>
        <w:t>3.5.5 违背承诺的责任追究措施</w:t>
      </w:r>
      <w:r>
        <w:rPr>
          <w:rFonts w:ascii="宋体" w:cs="宋体" w:hAnsi="宋体" w:hint="eastAsia"/>
          <w:color w:val="auto"/>
          <w:sz w:val="24"/>
          <w:szCs w:val="24"/>
          <w:highlight w:val="none"/>
        </w:rPr>
        <w:t>”，供应商</w:t>
      </w:r>
      <w:r>
        <w:rPr>
          <w:rFonts w:ascii="宋体" w:cs="宋体" w:hAnsi="宋体" w:hint="eastAsia"/>
          <w:color w:val="auto"/>
          <w:sz w:val="24"/>
          <w:szCs w:val="22"/>
          <w:highlight w:val="none"/>
        </w:rPr>
        <w:t>承担相应法律责任及违约责任。</w:t>
      </w:r>
      <w:r>
        <w:rPr>
          <w:rFonts w:ascii="宋体" w:cs="宋体" w:hAnsi="宋体" w:hint="eastAsia"/>
          <w:color w:val="auto"/>
          <w:sz w:val="24"/>
          <w:highlight w:val="none"/>
          <w:lang w:val="zh-CN"/>
        </w:rPr>
        <w:t>给采购人造成的损失，成交供应商应予以赔偿。</w:t>
      </w:r>
    </w:p>
    <w:p>
      <w:pPr>
        <w:pStyle w:val="style0"/>
        <w:widowControl w:val="false"/>
        <w:adjustRightInd w:val="false"/>
        <w:snapToGrid w:val="false"/>
        <w:spacing w:lineRule="exact" w:line="460"/>
        <w:ind w:firstLine="566"/>
        <w:rPr>
          <w:rFonts w:ascii="宋体" w:cs="宋体" w:hAnsi="宋体"/>
          <w:color w:val="auto"/>
          <w:sz w:val="24"/>
          <w:szCs w:val="24"/>
          <w:highlight w:val="none"/>
        </w:rPr>
      </w:pPr>
      <w:r>
        <w:rPr>
          <w:rFonts w:ascii="宋体" w:cs="宋体" w:hAnsi="宋体" w:hint="eastAsia"/>
          <w:color w:val="auto"/>
          <w:sz w:val="24"/>
          <w:szCs w:val="24"/>
          <w:highlight w:val="none"/>
        </w:rPr>
        <w:t>7.6.3合同生效：成交供应商与采购人签订的合同，双方签字后盖章生效。</w:t>
      </w:r>
    </w:p>
    <w:p>
      <w:pPr>
        <w:pStyle w:val="style0"/>
        <w:widowControl w:val="false"/>
        <w:adjustRightInd w:val="false"/>
        <w:snapToGrid w:val="false"/>
        <w:spacing w:lineRule="exact" w:line="460"/>
        <w:ind w:firstLine="549"/>
        <w:rPr>
          <w:rFonts w:ascii="宋体" w:cs="宋体" w:hAnsi="宋体"/>
          <w:color w:val="auto"/>
          <w:sz w:val="24"/>
          <w:szCs w:val="24"/>
          <w:highlight w:val="none"/>
        </w:rPr>
      </w:pPr>
      <w:r>
        <w:rPr>
          <w:rFonts w:ascii="宋体" w:cs="宋体" w:hAnsi="宋体" w:hint="eastAsia"/>
          <w:color w:val="auto"/>
          <w:sz w:val="24"/>
          <w:szCs w:val="24"/>
          <w:highlight w:val="none"/>
        </w:rPr>
        <w:t>7.6.4《成交通知书》、《磋商文件》</w:t>
      </w:r>
      <w:r>
        <w:rPr>
          <w:rFonts w:ascii="宋体" w:cs="宋体" w:hAnsi="宋体" w:hint="eastAsia"/>
          <w:color w:val="auto"/>
          <w:spacing w:val="20"/>
          <w:sz w:val="24"/>
          <w:szCs w:val="24"/>
          <w:highlight w:val="none"/>
        </w:rPr>
        <w:t>及其修改补充澄清</w:t>
      </w:r>
      <w:r>
        <w:rPr>
          <w:rFonts w:ascii="宋体" w:cs="宋体" w:hAnsi="宋体" w:hint="eastAsia"/>
          <w:color w:val="auto"/>
          <w:sz w:val="24"/>
          <w:szCs w:val="24"/>
          <w:highlight w:val="none"/>
        </w:rPr>
        <w:t>、成交供应商的《响应文件》</w:t>
      </w:r>
      <w:r>
        <w:rPr>
          <w:rFonts w:ascii="宋体" w:cs="宋体" w:hAnsi="宋体" w:hint="eastAsia"/>
          <w:color w:val="auto"/>
          <w:spacing w:val="20"/>
          <w:sz w:val="24"/>
          <w:szCs w:val="24"/>
          <w:highlight w:val="none"/>
        </w:rPr>
        <w:t>及其修改补充澄清</w:t>
      </w:r>
      <w:r>
        <w:rPr>
          <w:rFonts w:ascii="宋体" w:cs="宋体" w:hAnsi="宋体" w:hint="eastAsia"/>
          <w:color w:val="auto"/>
          <w:sz w:val="24"/>
          <w:szCs w:val="24"/>
          <w:highlight w:val="none"/>
        </w:rPr>
        <w:t>等，均为签订合同的依据。所定合同不得对《磋商文件》和成交供应商的《响应文件》作实质性修改，采购人和成交供应商不得私下订立背离合同实质性内容的协议。</w:t>
      </w:r>
    </w:p>
    <w:p>
      <w:pPr>
        <w:pStyle w:val="style0"/>
        <w:widowControl w:val="false"/>
        <w:adjustRightInd w:val="false"/>
        <w:snapToGrid w:val="false"/>
        <w:spacing w:lineRule="exact" w:line="460"/>
        <w:ind w:firstLine="549"/>
        <w:rPr>
          <w:rFonts w:ascii="宋体" w:cs="宋体" w:hAnsi="宋体"/>
          <w:color w:val="auto"/>
          <w:sz w:val="24"/>
          <w:szCs w:val="24"/>
          <w:highlight w:val="none"/>
        </w:rPr>
      </w:pPr>
      <w:r>
        <w:rPr>
          <w:rFonts w:ascii="宋体" w:cs="宋体" w:hAnsi="宋体" w:hint="eastAsia"/>
          <w:color w:val="auto"/>
          <w:sz w:val="24"/>
          <w:szCs w:val="24"/>
          <w:highlight w:val="none"/>
        </w:rPr>
        <w:t>7.6.5 评审会后，成交供应商、采购人之间擅自私下谈判、变更中标（成交）标的、价格及《磋商文件》《响应文件》实质性内容的，有关部门将按《中华人民共和国政府采购法》及相关法规的规定处理。</w:t>
      </w:r>
    </w:p>
    <w:p>
      <w:pPr>
        <w:pStyle w:val="style0"/>
        <w:widowControl w:val="false"/>
        <w:adjustRightInd w:val="false"/>
        <w:snapToGrid w:val="false"/>
        <w:spacing w:lineRule="exact" w:line="460"/>
        <w:ind w:firstLine="549"/>
        <w:rPr>
          <w:rFonts w:ascii="宋体" w:cs="宋体" w:hAnsi="宋体"/>
          <w:color w:val="auto"/>
          <w:sz w:val="24"/>
          <w:szCs w:val="24"/>
          <w:highlight w:val="none"/>
        </w:rPr>
      </w:pPr>
      <w:r>
        <w:rPr>
          <w:rFonts w:ascii="宋体" w:cs="宋体" w:hAnsi="宋体" w:hint="eastAsia"/>
          <w:color w:val="auto"/>
          <w:sz w:val="24"/>
          <w:szCs w:val="24"/>
          <w:highlight w:val="none"/>
        </w:rPr>
        <w:t>7.6.6 采购人与成交供应商签订《政府采购合同》后，合同履行中产生的纠纷、争议，由采购人与成交供应商按合同条款及《中华人民共和国民法典》处理。</w:t>
      </w:r>
    </w:p>
    <w:p>
      <w:pPr>
        <w:pStyle w:val="style0"/>
        <w:widowControl w:val="false"/>
        <w:adjustRightInd w:val="false"/>
        <w:snapToGrid w:val="false"/>
        <w:spacing w:lineRule="exact" w:line="460"/>
        <w:ind w:firstLine="555"/>
        <w:rPr>
          <w:rFonts w:ascii="宋体" w:cs="宋体" w:hAnsi="宋体"/>
          <w:b/>
          <w:color w:val="auto"/>
          <w:sz w:val="24"/>
          <w:highlight w:val="none"/>
          <w:lang w:val="zh-CN"/>
        </w:rPr>
      </w:pPr>
      <w:r>
        <w:rPr>
          <w:rFonts w:ascii="宋体" w:cs="宋体" w:hAnsi="宋体" w:hint="eastAsia"/>
          <w:b/>
          <w:color w:val="auto"/>
          <w:sz w:val="24"/>
          <w:highlight w:val="none"/>
          <w:lang w:val="zh-CN"/>
        </w:rPr>
        <w:t>7.7 合同补充变更</w:t>
      </w:r>
    </w:p>
    <w:p>
      <w:pPr>
        <w:pStyle w:val="style0"/>
        <w:widowControl w:val="false"/>
        <w:adjustRightInd w:val="false"/>
        <w:snapToGrid w:val="false"/>
        <w:spacing w:lineRule="exact" w:line="460"/>
        <w:ind w:firstLine="555"/>
        <w:rPr>
          <w:rFonts w:ascii="宋体" w:cs="宋体" w:hAnsi="宋体"/>
          <w:color w:val="auto"/>
          <w:sz w:val="24"/>
          <w:szCs w:val="24"/>
          <w:highlight w:val="none"/>
        </w:rPr>
      </w:pPr>
      <w:r>
        <w:rPr>
          <w:rFonts w:ascii="宋体" w:cs="宋体" w:hAnsi="宋体" w:hint="eastAsia"/>
          <w:color w:val="auto"/>
          <w:sz w:val="24"/>
          <w:szCs w:val="24"/>
          <w:highlight w:val="none"/>
        </w:rPr>
        <w:t>7.7.1 政府采购合同履行中，采购人需追加或减少与合同标的相同的货物、工程和服务的（即追加或减少原合同标的数量），在不改变合同条款（包括原合同单价）的前提下，双方可以协商签订补充合同，但所有补充合同总金额不得超过原合同采购金额的10%，不得调增原合同单价，不得超出项目预算，超过原合同采购金额的10%，应重新组织采购活动。</w:t>
      </w:r>
    </w:p>
    <w:p>
      <w:pPr>
        <w:pStyle w:val="style0"/>
        <w:widowControl w:val="false"/>
        <w:adjustRightInd w:val="false"/>
        <w:snapToGrid w:val="false"/>
        <w:spacing w:lineRule="exact" w:line="460"/>
        <w:ind w:firstLine="555"/>
        <w:rPr>
          <w:rFonts w:ascii="宋体" w:cs="宋体" w:hAnsi="宋体"/>
          <w:color w:val="auto"/>
          <w:sz w:val="24"/>
          <w:szCs w:val="24"/>
          <w:highlight w:val="none"/>
        </w:rPr>
      </w:pPr>
      <w:r>
        <w:rPr>
          <w:rFonts w:ascii="宋体" w:cs="宋体" w:hAnsi="宋体" w:hint="eastAsia"/>
          <w:b/>
          <w:color w:val="auto"/>
          <w:sz w:val="24"/>
          <w:szCs w:val="24"/>
          <w:highlight w:val="none"/>
        </w:rPr>
        <w:t>7.7.2</w:t>
      </w:r>
      <w:r>
        <w:rPr>
          <w:rFonts w:ascii="宋体" w:cs="宋体" w:hAnsi="宋体" w:hint="eastAsia"/>
          <w:color w:val="auto"/>
          <w:sz w:val="24"/>
          <w:szCs w:val="24"/>
          <w:highlight w:val="none"/>
        </w:rPr>
        <w:t>采购人需追加或减少的货物、工程和服务的金额达到50万元以上（含50万元）、且超过中标（成交）价3%的，采购人应当自确定变更之日起5个工作日内将变更情况及事由报送同级监察机关。</w:t>
      </w:r>
    </w:p>
    <w:p>
      <w:pPr>
        <w:pStyle w:val="style0"/>
        <w:widowControl w:val="false"/>
        <w:adjustRightInd w:val="false"/>
        <w:snapToGrid w:val="false"/>
        <w:spacing w:lineRule="exact" w:line="460"/>
        <w:ind w:firstLine="555"/>
        <w:rPr>
          <w:rFonts w:ascii="宋体" w:cs="宋体" w:hAnsi="宋体"/>
          <w:color w:val="auto"/>
          <w:sz w:val="24"/>
          <w:szCs w:val="24"/>
          <w:highlight w:val="none"/>
        </w:rPr>
      </w:pPr>
      <w:r>
        <w:rPr>
          <w:rFonts w:ascii="宋体" w:cs="宋体" w:hAnsi="宋体" w:hint="eastAsia"/>
          <w:color w:val="auto"/>
          <w:sz w:val="24"/>
          <w:szCs w:val="24"/>
          <w:highlight w:val="none"/>
        </w:rPr>
        <w:t>采购项目在中标（成交）后经有关行政机关批准变更的，批准的行政机关应当自批准之日起3个工作日内将批准文件抄送同级监察机关备案。</w:t>
      </w:r>
    </w:p>
    <w:bookmarkStart w:id="22" w:name="_Toc10648"/>
    <w:p>
      <w:pPr>
        <w:pStyle w:val="style0"/>
        <w:widowControl w:val="false"/>
        <w:adjustRightInd w:val="false"/>
        <w:snapToGrid w:val="false"/>
        <w:spacing w:lineRule="exact" w:line="460"/>
        <w:ind w:firstLine="561"/>
        <w:outlineLvl w:val="1"/>
        <w:rPr>
          <w:rFonts w:ascii="宋体" w:cs="宋体" w:hAnsi="宋体"/>
          <w:b/>
          <w:bCs/>
          <w:color w:val="auto"/>
          <w:sz w:val="28"/>
          <w:szCs w:val="28"/>
          <w:highlight w:val="none"/>
          <w:lang w:val="zh-CN"/>
        </w:rPr>
      </w:pPr>
      <w:r>
        <w:rPr>
          <w:rFonts w:ascii="宋体" w:cs="宋体" w:hAnsi="宋体" w:hint="eastAsia"/>
          <w:b/>
          <w:bCs/>
          <w:color w:val="auto"/>
          <w:sz w:val="28"/>
          <w:szCs w:val="28"/>
          <w:highlight w:val="none"/>
          <w:lang w:val="zh-CN"/>
        </w:rPr>
        <w:t>8. 验收</w:t>
      </w:r>
      <w:bookmarkEnd w:id="22"/>
    </w:p>
    <w:p>
      <w:pPr>
        <w:pStyle w:val="style0"/>
        <w:widowControl w:val="false"/>
        <w:adjustRightInd w:val="false"/>
        <w:snapToGrid w:val="false"/>
        <w:spacing w:lineRule="exact" w:line="460"/>
        <w:ind w:firstLine="561"/>
        <w:rPr>
          <w:rFonts w:ascii="宋体" w:cs="宋体" w:hAnsi="宋体"/>
          <w:color w:val="auto"/>
          <w:sz w:val="24"/>
          <w:highlight w:val="none"/>
          <w:lang w:val="zh-CN"/>
        </w:rPr>
      </w:pPr>
      <w:r>
        <w:rPr>
          <w:rFonts w:ascii="宋体" w:cs="宋体" w:hAnsi="宋体" w:hint="eastAsia"/>
          <w:color w:val="auto"/>
          <w:sz w:val="24"/>
          <w:highlight w:val="none"/>
          <w:lang w:val="zh-CN"/>
        </w:rPr>
        <w:t>8.1验收时间：项目具备验收条件时，由采购</w:t>
      </w:r>
      <w:r>
        <w:rPr>
          <w:rFonts w:ascii="宋体" w:cs="宋体" w:hAnsi="宋体" w:hint="eastAsia"/>
          <w:color w:val="auto"/>
          <w:sz w:val="24"/>
          <w:highlight w:val="none"/>
        </w:rPr>
        <w:t>人</w:t>
      </w:r>
      <w:r>
        <w:rPr>
          <w:rFonts w:ascii="宋体" w:cs="宋体" w:hAnsi="宋体" w:hint="eastAsia"/>
          <w:color w:val="auto"/>
          <w:sz w:val="24"/>
          <w:highlight w:val="none"/>
          <w:lang w:val="zh-CN"/>
        </w:rPr>
        <w:t>成立验收工作组负责验收。</w:t>
      </w:r>
      <w:r>
        <w:rPr>
          <w:rFonts w:ascii="宋体" w:cs="宋体" w:hAnsi="宋体" w:hint="eastAsia"/>
          <w:color w:val="auto"/>
          <w:sz w:val="24"/>
          <w:highlight w:val="none"/>
        </w:rPr>
        <w:t>技术复杂、社会影响较大的货物类项目，可以根据需要设置出厂检验、到货检验、安装调试检验、配套服务检验等多重验收环节；服务类项目，可根据项目特点对服务期内的服务实施情况进行分期考核，结合考核情况和服务效果进行验收。</w:t>
      </w:r>
    </w:p>
    <w:p>
      <w:pPr>
        <w:pStyle w:val="style0"/>
        <w:widowControl w:val="false"/>
        <w:adjustRightInd w:val="false"/>
        <w:snapToGrid w:val="false"/>
        <w:spacing w:lineRule="exact" w:line="460"/>
        <w:ind w:firstLine="561"/>
        <w:rPr>
          <w:rFonts w:ascii="宋体" w:cs="宋体" w:hAnsi="宋体"/>
          <w:color w:val="auto"/>
          <w:sz w:val="24"/>
          <w:highlight w:val="none"/>
          <w:lang w:val="zh-CN"/>
        </w:rPr>
      </w:pPr>
      <w:r>
        <w:rPr>
          <w:rFonts w:ascii="宋体" w:cs="宋体" w:hAnsi="宋体" w:hint="eastAsia"/>
          <w:color w:val="auto"/>
          <w:sz w:val="24"/>
          <w:highlight w:val="none"/>
          <w:lang w:val="zh-CN"/>
        </w:rPr>
        <w:t>8.2验收工作组：合同履约验收工作应成立验收工作组专门负责。</w:t>
      </w:r>
    </w:p>
    <w:p>
      <w:pPr>
        <w:pStyle w:val="style0"/>
        <w:widowControl w:val="false"/>
        <w:adjustRightInd w:val="false"/>
        <w:snapToGrid w:val="false"/>
        <w:spacing w:lineRule="exact" w:line="460"/>
        <w:ind w:firstLine="561"/>
        <w:rPr>
          <w:rFonts w:ascii="宋体" w:cs="宋体" w:hAnsi="宋体"/>
          <w:color w:val="auto"/>
          <w:sz w:val="24"/>
          <w:highlight w:val="none"/>
          <w:lang w:val="zh-CN"/>
        </w:rPr>
      </w:pPr>
      <w:r>
        <w:rPr>
          <w:rFonts w:ascii="宋体" w:cs="宋体" w:hAnsi="宋体" w:hint="eastAsia"/>
          <w:color w:val="auto"/>
          <w:sz w:val="24"/>
          <w:highlight w:val="none"/>
          <w:lang w:val="zh-CN"/>
        </w:rPr>
        <w:t>直接参与该项目政府采购活动的主要负责人不得作为验收工作的主要负责人。</w:t>
      </w:r>
      <w:r>
        <w:rPr>
          <w:rFonts w:ascii="宋体" w:cs="宋体" w:hAnsi="宋体" w:hint="eastAsia"/>
          <w:color w:val="auto"/>
          <w:sz w:val="24"/>
          <w:highlight w:val="none"/>
        </w:rPr>
        <w:t>对于采购人和使用人分离的采购项目，应当邀请实际使用人参与验收；政府向社会公众提供的公共服务项目，验收时应当邀请服务对象参与并出具意见，验收结果应当向社会公告。</w:t>
      </w:r>
    </w:p>
    <w:p>
      <w:pPr>
        <w:pStyle w:val="style0"/>
        <w:widowControl w:val="false"/>
        <w:adjustRightInd w:val="false"/>
        <w:snapToGrid w:val="false"/>
        <w:spacing w:lineRule="exact" w:line="460"/>
        <w:ind w:firstLine="561"/>
        <w:rPr>
          <w:rFonts w:ascii="宋体" w:cs="宋体" w:hAnsi="宋体"/>
          <w:color w:val="auto"/>
          <w:sz w:val="24"/>
          <w:highlight w:val="none"/>
        </w:rPr>
      </w:pPr>
      <w:r>
        <w:rPr>
          <w:rFonts w:ascii="宋体" w:cs="宋体" w:hAnsi="宋体" w:hint="eastAsia"/>
          <w:color w:val="auto"/>
          <w:sz w:val="24"/>
          <w:highlight w:val="none"/>
        </w:rPr>
        <w:t>8.2.1</w:t>
      </w:r>
      <w:r>
        <w:rPr>
          <w:rFonts w:ascii="宋体" w:cs="宋体" w:hAnsi="宋体" w:hint="eastAsia"/>
          <w:color w:val="auto"/>
          <w:sz w:val="24"/>
          <w:highlight w:val="none"/>
          <w:lang w:val="zh-CN"/>
        </w:rPr>
        <w:t>政府采购合同金额</w:t>
      </w:r>
      <w:r>
        <w:rPr>
          <w:rFonts w:ascii="宋体" w:cs="宋体" w:hAnsi="宋体" w:hint="eastAsia"/>
          <w:color w:val="auto"/>
          <w:sz w:val="24"/>
          <w:highlight w:val="none"/>
        </w:rPr>
        <w:t>在</w:t>
      </w:r>
      <w:r>
        <w:rPr>
          <w:rFonts w:ascii="宋体" w:cs="宋体" w:hAnsi="宋体" w:hint="eastAsia"/>
          <w:color w:val="auto"/>
          <w:sz w:val="24"/>
          <w:highlight w:val="none"/>
          <w:lang w:val="zh-CN"/>
        </w:rPr>
        <w:t>10万元以下（</w:t>
      </w:r>
      <w:r>
        <w:rPr>
          <w:rFonts w:ascii="宋体" w:cs="宋体" w:hAnsi="宋体" w:hint="eastAsia"/>
          <w:color w:val="auto"/>
          <w:sz w:val="24"/>
          <w:highlight w:val="none"/>
        </w:rPr>
        <w:t>含10万元</w:t>
      </w:r>
      <w:r>
        <w:rPr>
          <w:rFonts w:ascii="宋体" w:cs="宋体" w:hAnsi="宋体" w:hint="eastAsia"/>
          <w:color w:val="auto"/>
          <w:sz w:val="24"/>
          <w:highlight w:val="none"/>
          <w:lang w:val="zh-CN"/>
        </w:rPr>
        <w:t>）的项目，原则上可以不邀请评审专家参加，组织方成立验收小组自行验收。</w:t>
      </w:r>
      <w:r>
        <w:rPr>
          <w:rFonts w:ascii="宋体" w:cs="宋体" w:hAnsi="宋体" w:hint="eastAsia"/>
          <w:color w:val="auto"/>
          <w:sz w:val="24"/>
          <w:highlight w:val="none"/>
        </w:rPr>
        <w:t>自行验收时，验收小组应仔细对照采购文件及合同，对标的物的数量、质量、规格、型号等参数逐一核对，并编制验收报告。组织方认为不能独立完成验收任务的，可以邀请评审专家参与验收。</w:t>
      </w:r>
    </w:p>
    <w:p>
      <w:pPr>
        <w:pStyle w:val="style0"/>
        <w:widowControl w:val="false"/>
        <w:adjustRightInd w:val="false"/>
        <w:snapToGrid w:val="false"/>
        <w:spacing w:lineRule="exact" w:line="460"/>
        <w:ind w:firstLine="561"/>
        <w:rPr>
          <w:rFonts w:ascii="宋体" w:cs="宋体" w:hAnsi="宋体"/>
          <w:color w:val="auto"/>
          <w:sz w:val="24"/>
          <w:highlight w:val="none"/>
        </w:rPr>
      </w:pPr>
      <w:r>
        <w:rPr>
          <w:rFonts w:ascii="宋体" w:cs="宋体" w:hAnsi="宋体" w:hint="eastAsia"/>
          <w:color w:val="auto"/>
          <w:sz w:val="24"/>
          <w:highlight w:val="none"/>
        </w:rPr>
        <w:t>8.2.2</w:t>
      </w:r>
      <w:r>
        <w:rPr>
          <w:rFonts w:ascii="宋体" w:cs="宋体" w:hAnsi="宋体" w:hint="eastAsia"/>
          <w:color w:val="auto"/>
          <w:sz w:val="24"/>
          <w:highlight w:val="none"/>
          <w:lang w:val="zh-CN"/>
        </w:rPr>
        <w:t>政府采购合同金额50万元以下的（含50万元）的项目，验收工作组应不少于三人；政府采购合同金额50万元以上的项目，验收工作组应由</w:t>
      </w:r>
      <w:r>
        <w:rPr>
          <w:rFonts w:ascii="宋体" w:cs="宋体" w:hAnsi="宋体" w:hint="eastAsia"/>
          <w:color w:val="auto"/>
          <w:sz w:val="24"/>
          <w:highlight w:val="none"/>
        </w:rPr>
        <w:t>采购人</w:t>
      </w:r>
      <w:r>
        <w:rPr>
          <w:rFonts w:ascii="宋体" w:cs="宋体" w:hAnsi="宋体" w:hint="eastAsia"/>
          <w:color w:val="auto"/>
          <w:sz w:val="24"/>
          <w:highlight w:val="none"/>
          <w:lang w:val="zh-CN"/>
        </w:rPr>
        <w:t>领导牵头，财务、审计、监察、资产管理、技术等部门人员参与，成员不少于五人。验收工作</w:t>
      </w:r>
      <w:r>
        <w:rPr>
          <w:rFonts w:ascii="宋体" w:cs="宋体" w:hAnsi="宋体" w:hint="eastAsia"/>
          <w:color w:val="auto"/>
          <w:sz w:val="24"/>
          <w:highlight w:val="none"/>
        </w:rPr>
        <w:t>原则上</w:t>
      </w:r>
      <w:r>
        <w:rPr>
          <w:rFonts w:ascii="宋体" w:cs="宋体" w:hAnsi="宋体" w:hint="eastAsia"/>
          <w:color w:val="auto"/>
          <w:sz w:val="24"/>
          <w:highlight w:val="none"/>
          <w:lang w:val="zh-CN"/>
        </w:rPr>
        <w:t>应当邀请采购评审专家参加验收；大型、复杂或者技术性很强的政府采购项目，应当邀请国家认可的质量检测机构参加验收工作；国家规定强制性检测的采购项目，</w:t>
      </w:r>
      <w:r>
        <w:rPr>
          <w:rFonts w:ascii="宋体" w:cs="宋体" w:hAnsi="宋体" w:hint="eastAsia"/>
          <w:color w:val="auto"/>
          <w:sz w:val="24"/>
          <w:highlight w:val="none"/>
        </w:rPr>
        <w:t>采购人</w:t>
      </w:r>
      <w:r>
        <w:rPr>
          <w:rFonts w:ascii="宋体" w:cs="宋体" w:hAnsi="宋体" w:hint="eastAsia"/>
          <w:color w:val="auto"/>
          <w:sz w:val="24"/>
          <w:highlight w:val="none"/>
          <w:lang w:val="zh-CN"/>
        </w:rPr>
        <w:t>必须委托国家认可专业检测机构进行验收。</w:t>
      </w:r>
    </w:p>
    <w:p>
      <w:pPr>
        <w:pStyle w:val="style0"/>
        <w:widowControl w:val="false"/>
        <w:adjustRightInd w:val="false"/>
        <w:snapToGrid w:val="false"/>
        <w:spacing w:lineRule="exact" w:line="460"/>
        <w:ind w:firstLine="561"/>
        <w:rPr>
          <w:rFonts w:ascii="宋体" w:cs="宋体" w:hAnsi="宋体"/>
          <w:color w:val="auto"/>
          <w:sz w:val="24"/>
          <w:highlight w:val="none"/>
        </w:rPr>
      </w:pPr>
      <w:r>
        <w:rPr>
          <w:rFonts w:ascii="宋体" w:cs="宋体" w:hAnsi="宋体" w:hint="eastAsia"/>
          <w:color w:val="auto"/>
          <w:sz w:val="24"/>
          <w:highlight w:val="none"/>
        </w:rPr>
        <w:t>8.3验收时，验收小组按照采购合同的约定对每一项技术、服务、安全标准的履约情况进行确认。</w:t>
      </w:r>
      <w:r>
        <w:rPr>
          <w:rFonts w:ascii="宋体" w:cs="宋体" w:hAnsi="宋体" w:hint="eastAsia"/>
          <w:color w:val="auto"/>
          <w:sz w:val="24"/>
          <w:highlight w:val="none"/>
          <w:lang w:val="zh-CN"/>
        </w:rPr>
        <w:t>验收时需要进行破坏性试验的，供应商应进行充分的配合并提供备品备件。</w:t>
      </w:r>
    </w:p>
    <w:p>
      <w:pPr>
        <w:pStyle w:val="style0"/>
        <w:widowControl w:val="false"/>
        <w:adjustRightInd w:val="false"/>
        <w:snapToGrid w:val="false"/>
        <w:spacing w:lineRule="exact" w:line="460"/>
        <w:ind w:firstLine="561"/>
        <w:rPr>
          <w:rFonts w:ascii="宋体" w:cs="宋体" w:hAnsi="宋体"/>
          <w:color w:val="auto"/>
          <w:sz w:val="24"/>
          <w:highlight w:val="none"/>
        </w:rPr>
      </w:pPr>
      <w:r>
        <w:rPr>
          <w:rFonts w:ascii="宋体" w:cs="宋体" w:hAnsi="宋体" w:hint="eastAsia"/>
          <w:color w:val="auto"/>
          <w:sz w:val="24"/>
          <w:highlight w:val="none"/>
          <w:lang w:val="zh-CN"/>
        </w:rPr>
        <w:t>8.</w:t>
      </w:r>
      <w:r>
        <w:rPr>
          <w:rFonts w:ascii="宋体" w:cs="宋体" w:hAnsi="宋体" w:hint="eastAsia"/>
          <w:color w:val="auto"/>
          <w:sz w:val="24"/>
          <w:highlight w:val="none"/>
        </w:rPr>
        <w:t>4</w:t>
      </w:r>
      <w:r>
        <w:rPr>
          <w:rFonts w:ascii="宋体" w:cs="宋体" w:hAnsi="宋体" w:hint="eastAsia"/>
          <w:color w:val="auto"/>
          <w:sz w:val="24"/>
          <w:highlight w:val="none"/>
          <w:lang w:val="zh-CN"/>
        </w:rPr>
        <w:t xml:space="preserve"> 验收报告：验收后，由采购</w:t>
      </w:r>
      <w:r>
        <w:rPr>
          <w:rFonts w:ascii="宋体" w:cs="宋体" w:hAnsi="宋体" w:hint="eastAsia"/>
          <w:color w:val="auto"/>
          <w:sz w:val="24"/>
          <w:highlight w:val="none"/>
        </w:rPr>
        <w:t>人</w:t>
      </w:r>
      <w:r>
        <w:rPr>
          <w:rFonts w:ascii="宋体" w:cs="宋体" w:hAnsi="宋体" w:hint="eastAsia"/>
          <w:color w:val="auto"/>
          <w:sz w:val="24"/>
          <w:highlight w:val="none"/>
          <w:lang w:val="zh-CN"/>
        </w:rPr>
        <w:t>及专家等出具验收报告（</w:t>
      </w:r>
      <w:r>
        <w:rPr>
          <w:rFonts w:ascii="宋体" w:cs="宋体" w:hAnsi="宋体" w:hint="eastAsia"/>
          <w:color w:val="auto"/>
          <w:sz w:val="24"/>
          <w:highlight w:val="none"/>
        </w:rPr>
        <w:t>自行验收的，由采购人出具</w:t>
      </w:r>
      <w:r>
        <w:rPr>
          <w:rFonts w:ascii="宋体" w:cs="宋体" w:hAnsi="宋体" w:hint="eastAsia"/>
          <w:color w:val="auto"/>
          <w:sz w:val="24"/>
          <w:highlight w:val="none"/>
          <w:lang w:val="zh-CN"/>
        </w:rPr>
        <w:t>），国家规定强制性检测的采购项目应附国家认可的专业检测机构出具的验收报告。</w:t>
      </w:r>
    </w:p>
    <w:p>
      <w:pPr>
        <w:pStyle w:val="style0"/>
        <w:widowControl w:val="false"/>
        <w:adjustRightInd w:val="false"/>
        <w:snapToGrid w:val="false"/>
        <w:spacing w:lineRule="exact" w:line="460"/>
        <w:ind w:firstLine="561"/>
        <w:rPr>
          <w:rFonts w:ascii="宋体" w:cs="宋体" w:hAnsi="宋体"/>
          <w:color w:val="auto"/>
          <w:sz w:val="24"/>
          <w:highlight w:val="none"/>
          <w:lang w:val="zh-CN"/>
        </w:rPr>
      </w:pPr>
      <w:r>
        <w:rPr>
          <w:rFonts w:ascii="宋体" w:cs="宋体" w:hAnsi="宋体" w:hint="eastAsia"/>
          <w:color w:val="auto"/>
          <w:sz w:val="24"/>
          <w:highlight w:val="none"/>
          <w:lang w:val="zh-CN"/>
        </w:rPr>
        <w:t>8.</w:t>
      </w:r>
      <w:r>
        <w:rPr>
          <w:rFonts w:ascii="宋体" w:cs="宋体" w:hAnsi="宋体" w:hint="eastAsia"/>
          <w:color w:val="auto"/>
          <w:sz w:val="24"/>
          <w:highlight w:val="none"/>
        </w:rPr>
        <w:t>5</w:t>
      </w:r>
      <w:r>
        <w:rPr>
          <w:rFonts w:ascii="宋体" w:cs="宋体" w:hAnsi="宋体" w:hint="eastAsia"/>
          <w:color w:val="auto"/>
          <w:sz w:val="24"/>
          <w:highlight w:val="none"/>
          <w:lang w:val="zh-CN"/>
        </w:rPr>
        <w:t>验收中发现成交供应商未按合同约定的时间、地点或方式履约，提供的货物或服务的数量、质量、性能、功能达不到合同约定的，或者提供假冒伪劣产品等违反合同约定的，验收人员应在验收报告中注明违约情形和事项，并应及时通知财政部门。属假冒伪劣产品的，同时向工商管理、质量监督等行政执法部门举报。</w:t>
      </w:r>
    </w:p>
    <w:bookmarkStart w:id="23" w:name="_Toc6652"/>
    <w:p>
      <w:pPr>
        <w:pStyle w:val="style0"/>
        <w:widowControl w:val="false"/>
        <w:adjustRightInd w:val="false"/>
        <w:snapToGrid w:val="false"/>
        <w:spacing w:lineRule="exact" w:line="460"/>
        <w:ind w:firstLine="561"/>
        <w:outlineLvl w:val="1"/>
        <w:rPr>
          <w:rFonts w:ascii="宋体" w:cs="宋体" w:hAnsi="宋体"/>
          <w:b/>
          <w:bCs/>
          <w:color w:val="auto"/>
          <w:sz w:val="28"/>
          <w:szCs w:val="28"/>
          <w:highlight w:val="none"/>
          <w:lang w:val="zh-CN"/>
        </w:rPr>
      </w:pPr>
      <w:r>
        <w:rPr>
          <w:rFonts w:ascii="宋体" w:cs="宋体" w:hAnsi="宋体" w:hint="eastAsia"/>
          <w:b/>
          <w:bCs/>
          <w:color w:val="auto"/>
          <w:sz w:val="28"/>
          <w:szCs w:val="28"/>
          <w:highlight w:val="none"/>
          <w:lang w:val="zh-CN"/>
        </w:rPr>
        <w:t>9.付款</w:t>
      </w:r>
      <w:bookmarkEnd w:id="23"/>
    </w:p>
    <w:p>
      <w:pPr>
        <w:pStyle w:val="style0"/>
        <w:widowControl w:val="false"/>
        <w:adjustRightInd w:val="false"/>
        <w:snapToGrid w:val="false"/>
        <w:spacing w:lineRule="exact" w:line="460"/>
        <w:ind w:firstLine="561"/>
        <w:rPr>
          <w:rFonts w:ascii="宋体" w:cs="宋体" w:hAnsi="宋体"/>
          <w:color w:val="auto"/>
          <w:sz w:val="24"/>
          <w:highlight w:val="none"/>
          <w:lang w:val="zh-CN"/>
        </w:rPr>
      </w:pPr>
      <w:r>
        <w:rPr>
          <w:rFonts w:ascii="宋体" w:cs="宋体" w:hAnsi="宋体" w:hint="eastAsia"/>
          <w:color w:val="auto"/>
          <w:sz w:val="24"/>
          <w:highlight w:val="none"/>
          <w:lang w:val="zh-CN"/>
        </w:rPr>
        <w:t>见供应商须知前附表</w:t>
      </w:r>
    </w:p>
    <w:bookmarkStart w:id="24" w:name="_Toc25334"/>
    <w:p>
      <w:pPr>
        <w:pStyle w:val="style0"/>
        <w:widowControl w:val="false"/>
        <w:adjustRightInd w:val="false"/>
        <w:snapToGrid w:val="false"/>
        <w:spacing w:lineRule="exact" w:line="460"/>
        <w:ind w:firstLine="561"/>
        <w:outlineLvl w:val="1"/>
        <w:rPr>
          <w:rFonts w:ascii="宋体" w:cs="宋体" w:hAnsi="宋体"/>
          <w:b/>
          <w:bCs/>
          <w:color w:val="auto"/>
          <w:sz w:val="28"/>
          <w:szCs w:val="28"/>
          <w:highlight w:val="none"/>
          <w:lang w:val="zh-CN"/>
        </w:rPr>
      </w:pPr>
      <w:r>
        <w:rPr>
          <w:rFonts w:ascii="宋体" w:cs="宋体" w:hAnsi="宋体" w:hint="eastAsia"/>
          <w:b/>
          <w:bCs/>
          <w:color w:val="auto"/>
          <w:sz w:val="28"/>
          <w:szCs w:val="28"/>
          <w:highlight w:val="none"/>
          <w:lang w:val="zh-CN"/>
        </w:rPr>
        <w:t>10. 其他</w:t>
      </w:r>
      <w:bookmarkEnd w:id="24"/>
    </w:p>
    <w:p>
      <w:pPr>
        <w:pStyle w:val="style0"/>
        <w:widowControl w:val="false"/>
        <w:adjustRightInd w:val="false"/>
        <w:snapToGrid w:val="false"/>
        <w:spacing w:lineRule="exact" w:line="460"/>
        <w:ind w:firstLine="561"/>
        <w:rPr>
          <w:rFonts w:ascii="宋体" w:cs="宋体" w:hAnsi="宋体"/>
          <w:color w:val="auto"/>
          <w:sz w:val="24"/>
          <w:highlight w:val="none"/>
          <w:lang w:val="zh-CN"/>
        </w:rPr>
      </w:pPr>
      <w:r>
        <w:rPr>
          <w:rFonts w:ascii="宋体" w:cs="宋体" w:hAnsi="宋体" w:hint="eastAsia"/>
          <w:color w:val="auto"/>
          <w:sz w:val="24"/>
          <w:highlight w:val="none"/>
          <w:lang w:val="zh-CN"/>
        </w:rPr>
        <w:t>10.1中标服务费等：见供应商须知前附表</w:t>
      </w:r>
    </w:p>
    <w:p>
      <w:pPr>
        <w:pStyle w:val="style0"/>
        <w:widowControl w:val="false"/>
        <w:adjustRightInd w:val="false"/>
        <w:snapToGrid w:val="false"/>
        <w:spacing w:lineRule="exact" w:line="460"/>
        <w:ind w:firstLine="561"/>
        <w:rPr>
          <w:rFonts w:ascii="宋体" w:cs="宋体" w:hAnsi="宋体"/>
          <w:color w:val="auto"/>
          <w:sz w:val="24"/>
          <w:highlight w:val="none"/>
          <w:lang w:val="zh-CN"/>
        </w:rPr>
      </w:pPr>
      <w:r>
        <w:rPr>
          <w:rFonts w:ascii="宋体" w:cs="宋体" w:hAnsi="宋体" w:hint="eastAsia"/>
          <w:color w:val="auto"/>
          <w:sz w:val="24"/>
          <w:highlight w:val="none"/>
          <w:lang w:val="zh-CN"/>
        </w:rPr>
        <w:t>10.2 近义解释。《磋商文件》中：“投标”同义“递交《响应文件》”，“供应商”同义“递交《响应文件》的供应商”，“《响应文件》”同义“《响应文件》”，“中标”同义“成交”，“中标供应商”同义“成交供应商”，“《响应文件》开启”同义“《响应文件》的开启”。</w:t>
      </w:r>
    </w:p>
    <w:p>
      <w:pPr>
        <w:pStyle w:val="style0"/>
        <w:widowControl w:val="false"/>
        <w:adjustRightInd w:val="false"/>
        <w:snapToGrid w:val="false"/>
        <w:spacing w:lineRule="exact" w:line="460"/>
        <w:ind w:firstLine="561"/>
        <w:rPr>
          <w:rFonts w:ascii="宋体" w:cs="宋体" w:hAnsi="宋体"/>
          <w:color w:val="auto"/>
          <w:sz w:val="24"/>
          <w:highlight w:val="none"/>
          <w:lang w:val="zh-CN"/>
        </w:rPr>
      </w:pPr>
      <w:r>
        <w:rPr>
          <w:rFonts w:ascii="宋体" w:cs="宋体" w:hAnsi="宋体" w:hint="eastAsia"/>
          <w:color w:val="auto"/>
          <w:sz w:val="24"/>
          <w:highlight w:val="none"/>
          <w:lang w:val="zh-CN"/>
        </w:rPr>
        <w:t>10.3 供应商资格条件中包含非法人单位的，《磋商文件》中法定代表人一词相应包含表示证照标示的负责人； 供应商资格条件中包含自然人的，《磋商文件》中法定代表人一词相应包含表示自然人，自然人应由其本人签署《响应文件》、参加投标，不应再授权他人。</w:t>
      </w:r>
    </w:p>
    <w:p>
      <w:pPr>
        <w:pStyle w:val="style0"/>
        <w:widowControl w:val="false"/>
        <w:autoSpaceDE w:val="false"/>
        <w:autoSpaceDN w:val="false"/>
        <w:adjustRightInd w:val="false"/>
        <w:spacing w:lineRule="exact" w:line="460"/>
        <w:ind w:firstLine="480" w:firstLineChars="200"/>
        <w:jc w:val="left"/>
        <w:textAlignment w:val="auto"/>
        <w:rPr>
          <w:rFonts w:ascii="宋体" w:cs="宋体" w:hAnsi="宋体"/>
          <w:color w:val="auto"/>
          <w:sz w:val="24"/>
          <w:highlight w:val="none"/>
          <w:lang w:val="zh-CN"/>
        </w:rPr>
      </w:pPr>
      <w:r>
        <w:rPr>
          <w:rFonts w:ascii="宋体" w:cs="宋体" w:hAnsi="宋体" w:hint="eastAsia"/>
          <w:color w:val="auto"/>
          <w:sz w:val="24"/>
          <w:highlight w:val="none"/>
          <w:lang w:val="zh-CN"/>
        </w:rPr>
        <w:t>10.4  《磋商文件》第一章至第四章各章中，用序号标示条、款、项、目，例如：1为第1 条，1.1为第1条第1款（简称1.1款），1.1.1为第1条第1款第1项（简称1.1.1项）。“条”包含款、项、目；“款”包含项、目；“项”包含目。</w:t>
      </w:r>
    </w:p>
    <w:p>
      <w:pPr>
        <w:pStyle w:val="style0"/>
        <w:widowControl w:val="false"/>
        <w:snapToGrid w:val="false"/>
        <w:spacing w:lineRule="exact" w:line="460"/>
        <w:jc w:val="left"/>
        <w:rPr>
          <w:rFonts w:ascii="宋体" w:cs="宋体" w:hAnsi="宋体"/>
          <w:b/>
          <w:color w:val="auto"/>
          <w:sz w:val="24"/>
          <w:szCs w:val="24"/>
          <w:highlight w:val="none"/>
        </w:rPr>
      </w:pPr>
      <w:r>
        <w:rPr>
          <w:rFonts w:ascii="宋体" w:cs="宋体" w:hAnsi="宋体" w:hint="eastAsia"/>
          <w:b/>
          <w:color w:val="auto"/>
          <w:sz w:val="44"/>
          <w:highlight w:val="none"/>
        </w:rPr>
        <w:br w:type="page"/>
      </w:r>
      <w:bookmarkStart w:id="25" w:name="_Toc423723402"/>
    </w:p>
    <w:bookmarkStart w:id="26" w:name="_Toc2822"/>
    <w:p>
      <w:pPr>
        <w:pStyle w:val="style0"/>
        <w:widowControl w:val="false"/>
        <w:snapToGrid w:val="false"/>
        <w:spacing w:lineRule="auto" w:line="360"/>
        <w:ind w:firstLine="567"/>
        <w:jc w:val="center"/>
        <w:outlineLvl w:val="0"/>
        <w:rPr>
          <w:rFonts w:ascii="宋体" w:cs="宋体" w:hAnsi="宋体"/>
          <w:b/>
          <w:color w:val="auto"/>
          <w:sz w:val="36"/>
          <w:szCs w:val="36"/>
          <w:highlight w:val="none"/>
          <w:lang w:val="zh-CN"/>
        </w:rPr>
      </w:pPr>
      <w:r>
        <w:rPr>
          <w:rFonts w:ascii="宋体" w:cs="宋体" w:hAnsi="宋体" w:hint="eastAsia"/>
          <w:b/>
          <w:color w:val="auto"/>
          <w:sz w:val="36"/>
          <w:szCs w:val="36"/>
          <w:highlight w:val="none"/>
          <w:lang w:val="zh-CN"/>
        </w:rPr>
        <w:t>第四章  评审办法</w:t>
      </w:r>
      <w:bookmarkEnd w:id="25"/>
      <w:bookmarkEnd w:id="26"/>
    </w:p>
    <w:bookmarkStart w:id="27" w:name="_Toc21897"/>
    <w:p>
      <w:pPr>
        <w:pStyle w:val="style0"/>
        <w:spacing w:lineRule="exact" w:line="500"/>
        <w:jc w:val="left"/>
        <w:outlineLvl w:val="1"/>
        <w:rPr>
          <w:rFonts w:ascii="宋体" w:cs="宋体" w:hAnsi="宋体"/>
          <w:b/>
          <w:color w:val="auto"/>
          <w:sz w:val="28"/>
          <w:szCs w:val="28"/>
          <w:highlight w:val="none"/>
          <w:lang w:val="zh-CN"/>
        </w:rPr>
      </w:pPr>
      <w:r>
        <w:rPr>
          <w:rFonts w:ascii="宋体" w:cs="宋体" w:hAnsi="宋体" w:hint="eastAsia"/>
          <w:b/>
          <w:color w:val="auto"/>
          <w:sz w:val="28"/>
          <w:szCs w:val="28"/>
          <w:highlight w:val="none"/>
        </w:rPr>
        <w:t>评审办法前附表</w:t>
      </w:r>
      <w:bookmarkEnd w:id="27"/>
    </w:p>
    <w:tbl>
      <w:tblPr>
        <w:tblStyle w:val="style105"/>
        <w:tblW w:w="9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8"/>
        <w:gridCol w:w="545"/>
        <w:gridCol w:w="934"/>
        <w:gridCol w:w="2161"/>
        <w:gridCol w:w="5590"/>
      </w:tblGrid>
      <w:tr>
        <w:trPr>
          <w:trHeight w:val="994" w:hRule="atLeast"/>
          <w:jc w:val="center"/>
        </w:trPr>
        <w:tc>
          <w:tcPr>
            <w:tcW w:w="1093" w:type="dxa"/>
            <w:gridSpan w:val="2"/>
            <w:tcBorders/>
            <w:vAlign w:val="center"/>
          </w:tcPr>
          <w:p>
            <w:pPr>
              <w:pStyle w:val="style4097"/>
              <w:jc w:val="center"/>
              <w:rPr>
                <w:rFonts w:cs="宋体" w:hAnsi="宋体"/>
                <w:b/>
                <w:color w:val="auto"/>
                <w:szCs w:val="24"/>
                <w:highlight w:val="none"/>
              </w:rPr>
            </w:pPr>
            <w:r>
              <w:rPr>
                <w:rFonts w:cs="宋体" w:hAnsi="宋体" w:hint="eastAsia"/>
                <w:b/>
                <w:color w:val="auto"/>
                <w:szCs w:val="24"/>
                <w:highlight w:val="none"/>
              </w:rPr>
              <w:t>条款号</w:t>
            </w:r>
          </w:p>
        </w:tc>
        <w:tc>
          <w:tcPr>
            <w:tcW w:w="3095" w:type="dxa"/>
            <w:gridSpan w:val="2"/>
            <w:tcBorders/>
            <w:vAlign w:val="center"/>
          </w:tcPr>
          <w:p>
            <w:pPr>
              <w:pStyle w:val="style4097"/>
              <w:jc w:val="center"/>
              <w:rPr>
                <w:rFonts w:cs="宋体" w:hAnsi="宋体"/>
                <w:b/>
                <w:color w:val="auto"/>
                <w:szCs w:val="24"/>
                <w:highlight w:val="none"/>
              </w:rPr>
            </w:pPr>
            <w:r>
              <w:rPr>
                <w:rFonts w:cs="宋体" w:hAnsi="宋体" w:hint="eastAsia"/>
                <w:b/>
                <w:color w:val="auto"/>
                <w:szCs w:val="24"/>
                <w:highlight w:val="none"/>
              </w:rPr>
              <w:t>评审因素</w:t>
            </w:r>
          </w:p>
        </w:tc>
        <w:tc>
          <w:tcPr>
            <w:tcW w:w="5590" w:type="dxa"/>
            <w:tcBorders/>
            <w:vAlign w:val="center"/>
          </w:tcPr>
          <w:p>
            <w:pPr>
              <w:pStyle w:val="style4097"/>
              <w:jc w:val="center"/>
              <w:rPr>
                <w:rFonts w:cs="宋体" w:hAnsi="宋体"/>
                <w:b/>
                <w:color w:val="auto"/>
                <w:szCs w:val="24"/>
                <w:highlight w:val="none"/>
              </w:rPr>
            </w:pPr>
            <w:r>
              <w:rPr>
                <w:rFonts w:cs="宋体" w:hAnsi="宋体" w:hint="eastAsia"/>
                <w:b/>
                <w:color w:val="auto"/>
                <w:szCs w:val="24"/>
                <w:highlight w:val="none"/>
              </w:rPr>
              <w:t>评审标准</w:t>
            </w:r>
          </w:p>
        </w:tc>
      </w:tr>
      <w:tr>
        <w:tblPrEx/>
        <w:trPr>
          <w:cantSplit/>
          <w:trHeight w:val="1420" w:hRule="atLeast"/>
          <w:jc w:val="center"/>
        </w:trPr>
        <w:tc>
          <w:tcPr>
            <w:tcW w:w="548" w:type="dxa"/>
            <w:vMerge w:val="restart"/>
            <w:tcBorders/>
            <w:vAlign w:val="center"/>
          </w:tcPr>
          <w:p>
            <w:pPr>
              <w:pStyle w:val="style4097"/>
              <w:spacing w:lineRule="auto" w:line="360"/>
              <w:ind w:right="-101" w:rightChars="-48"/>
              <w:jc w:val="center"/>
              <w:rPr>
                <w:rFonts w:cs="宋体" w:hAnsi="宋体"/>
                <w:color w:val="auto"/>
                <w:szCs w:val="24"/>
                <w:highlight w:val="none"/>
              </w:rPr>
            </w:pPr>
            <w:r>
              <w:rPr>
                <w:rFonts w:cs="宋体" w:hAnsi="宋体" w:hint="eastAsia"/>
                <w:color w:val="auto"/>
                <w:szCs w:val="24"/>
                <w:highlight w:val="none"/>
              </w:rPr>
              <w:t>2.1.1</w:t>
            </w:r>
          </w:p>
        </w:tc>
        <w:tc>
          <w:tcPr>
            <w:tcW w:w="545" w:type="dxa"/>
            <w:vMerge w:val="restart"/>
            <w:tcBorders/>
            <w:vAlign w:val="center"/>
          </w:tcPr>
          <w:p>
            <w:pPr>
              <w:pStyle w:val="style4097"/>
              <w:jc w:val="center"/>
              <w:rPr>
                <w:rFonts w:cs="宋体" w:hAnsi="宋体"/>
                <w:color w:val="auto"/>
                <w:szCs w:val="24"/>
                <w:highlight w:val="none"/>
              </w:rPr>
            </w:pPr>
            <w:r>
              <w:rPr>
                <w:rFonts w:cs="宋体" w:hAnsi="宋体" w:hint="eastAsia"/>
                <w:color w:val="auto"/>
                <w:szCs w:val="24"/>
                <w:highlight w:val="none"/>
              </w:rPr>
              <w:t>资</w:t>
            </w:r>
          </w:p>
          <w:p>
            <w:pPr>
              <w:pStyle w:val="style4097"/>
              <w:jc w:val="center"/>
              <w:rPr>
                <w:rFonts w:cs="宋体" w:hAnsi="宋体"/>
                <w:color w:val="auto"/>
                <w:szCs w:val="24"/>
                <w:highlight w:val="none"/>
              </w:rPr>
            </w:pPr>
            <w:r>
              <w:rPr>
                <w:rFonts w:cs="宋体" w:hAnsi="宋体" w:hint="eastAsia"/>
                <w:color w:val="auto"/>
                <w:szCs w:val="24"/>
                <w:highlight w:val="none"/>
              </w:rPr>
              <w:t>格</w:t>
            </w:r>
          </w:p>
          <w:p>
            <w:pPr>
              <w:pStyle w:val="style4097"/>
              <w:jc w:val="center"/>
              <w:rPr>
                <w:rFonts w:cs="宋体" w:hAnsi="宋体"/>
                <w:color w:val="auto"/>
                <w:szCs w:val="24"/>
                <w:highlight w:val="none"/>
              </w:rPr>
            </w:pPr>
            <w:r>
              <w:rPr>
                <w:rFonts w:cs="宋体" w:hAnsi="宋体" w:hint="eastAsia"/>
                <w:color w:val="auto"/>
                <w:szCs w:val="24"/>
                <w:highlight w:val="none"/>
              </w:rPr>
              <w:t>性</w:t>
            </w:r>
          </w:p>
          <w:p>
            <w:pPr>
              <w:pStyle w:val="style4097"/>
              <w:jc w:val="center"/>
              <w:rPr>
                <w:rFonts w:cs="宋体" w:hAnsi="宋体"/>
                <w:color w:val="auto"/>
                <w:szCs w:val="24"/>
                <w:highlight w:val="none"/>
              </w:rPr>
            </w:pPr>
            <w:r>
              <w:rPr>
                <w:rFonts w:cs="宋体" w:hAnsi="宋体" w:hint="eastAsia"/>
                <w:color w:val="auto"/>
                <w:szCs w:val="24"/>
                <w:highlight w:val="none"/>
              </w:rPr>
              <w:t>审</w:t>
            </w:r>
          </w:p>
          <w:p>
            <w:pPr>
              <w:pStyle w:val="style4097"/>
              <w:jc w:val="center"/>
              <w:rPr>
                <w:rFonts w:cs="宋体" w:hAnsi="宋体"/>
                <w:color w:val="auto"/>
                <w:szCs w:val="24"/>
                <w:highlight w:val="none"/>
              </w:rPr>
            </w:pPr>
            <w:r>
              <w:rPr>
                <w:rFonts w:cs="宋体" w:hAnsi="宋体" w:hint="eastAsia"/>
                <w:color w:val="auto"/>
                <w:szCs w:val="24"/>
                <w:highlight w:val="none"/>
              </w:rPr>
              <w:t>查</w:t>
            </w:r>
          </w:p>
        </w:tc>
        <w:tc>
          <w:tcPr>
            <w:tcW w:w="3095" w:type="dxa"/>
            <w:gridSpan w:val="2"/>
            <w:tcBorders/>
            <w:vAlign w:val="center"/>
          </w:tcPr>
          <w:p>
            <w:pPr>
              <w:pStyle w:val="style0"/>
              <w:widowControl w:val="false"/>
              <w:snapToGrid w:val="false"/>
              <w:spacing w:lineRule="auto" w:line="240"/>
              <w:jc w:val="center"/>
              <w:rPr>
                <w:rFonts w:ascii="宋体" w:cs="宋体" w:hAnsi="宋体"/>
                <w:color w:val="auto"/>
                <w:sz w:val="24"/>
                <w:szCs w:val="24"/>
                <w:highlight w:val="none"/>
              </w:rPr>
            </w:pPr>
            <w:r>
              <w:rPr>
                <w:rFonts w:ascii="宋体" w:cs="宋体" w:hAnsi="宋体" w:hint="eastAsia"/>
                <w:color w:val="auto"/>
                <w:sz w:val="24"/>
                <w:szCs w:val="24"/>
                <w:highlight w:val="none"/>
              </w:rPr>
              <w:t>第一章“竞争性磋商公告”第2条各项资格要求</w:t>
            </w:r>
          </w:p>
        </w:tc>
        <w:tc>
          <w:tcPr>
            <w:tcW w:w="5590" w:type="dxa"/>
            <w:tcBorders/>
            <w:vAlign w:val="center"/>
          </w:tcPr>
          <w:p>
            <w:pPr>
              <w:pStyle w:val="style0"/>
              <w:widowControl w:val="false"/>
              <w:snapToGrid w:val="false"/>
              <w:spacing w:lineRule="auto" w:line="240"/>
              <w:rPr>
                <w:rFonts w:ascii="宋体" w:cs="宋体" w:hAnsi="宋体"/>
                <w:color w:val="auto"/>
                <w:sz w:val="24"/>
                <w:szCs w:val="24"/>
                <w:highlight w:val="none"/>
              </w:rPr>
            </w:pPr>
            <w:r>
              <w:rPr>
                <w:rFonts w:ascii="宋体" w:cs="宋体" w:hAnsi="宋体" w:hint="eastAsia"/>
                <w:color w:val="auto"/>
                <w:sz w:val="24"/>
                <w:szCs w:val="24"/>
                <w:highlight w:val="none"/>
              </w:rPr>
              <w:t>符合第一章“竞争性磋商公告”第2条各项资格要求所需证件材料及证明材料</w:t>
            </w:r>
          </w:p>
        </w:tc>
      </w:tr>
      <w:tr>
        <w:tblPrEx/>
        <w:trPr>
          <w:cantSplit/>
          <w:trHeight w:val="1136" w:hRule="atLeast"/>
          <w:jc w:val="center"/>
        </w:trPr>
        <w:tc>
          <w:tcPr>
            <w:tcW w:w="548" w:type="dxa"/>
            <w:vMerge w:val="continue"/>
            <w:tcBorders/>
            <w:vAlign w:val="center"/>
          </w:tcPr>
          <w:p>
            <w:pPr>
              <w:pStyle w:val="style4097"/>
              <w:spacing w:lineRule="auto" w:line="360"/>
              <w:jc w:val="center"/>
              <w:rPr>
                <w:rFonts w:cs="宋体" w:hAnsi="宋体"/>
                <w:color w:val="auto"/>
                <w:szCs w:val="24"/>
                <w:highlight w:val="none"/>
              </w:rPr>
            </w:pPr>
          </w:p>
        </w:tc>
        <w:tc>
          <w:tcPr>
            <w:tcW w:w="545" w:type="dxa"/>
            <w:vMerge w:val="continue"/>
            <w:tcBorders/>
            <w:vAlign w:val="center"/>
          </w:tcPr>
          <w:p>
            <w:pPr>
              <w:pStyle w:val="style4097"/>
              <w:spacing w:lineRule="auto" w:line="360"/>
              <w:jc w:val="center"/>
              <w:rPr>
                <w:rFonts w:cs="宋体" w:hAnsi="宋体"/>
                <w:color w:val="auto"/>
                <w:szCs w:val="24"/>
                <w:highlight w:val="none"/>
              </w:rPr>
            </w:pPr>
          </w:p>
        </w:tc>
        <w:tc>
          <w:tcPr>
            <w:tcW w:w="3095" w:type="dxa"/>
            <w:gridSpan w:val="2"/>
            <w:tcBorders/>
            <w:vAlign w:val="center"/>
          </w:tcPr>
          <w:p>
            <w:pPr>
              <w:pStyle w:val="style0"/>
              <w:widowControl w:val="false"/>
              <w:snapToGrid w:val="false"/>
              <w:spacing w:lineRule="auto" w:line="240"/>
              <w:jc w:val="center"/>
              <w:rPr>
                <w:rFonts w:ascii="宋体" w:cs="宋体" w:hAnsi="宋体"/>
                <w:color w:val="auto"/>
                <w:sz w:val="24"/>
                <w:szCs w:val="24"/>
                <w:highlight w:val="none"/>
              </w:rPr>
            </w:pPr>
            <w:r>
              <w:rPr>
                <w:rFonts w:ascii="宋体" w:cs="宋体" w:hAnsi="宋体" w:hint="eastAsia"/>
                <w:color w:val="auto"/>
                <w:sz w:val="24"/>
                <w:szCs w:val="24"/>
                <w:highlight w:val="none"/>
              </w:rPr>
              <w:t>投标承诺函</w:t>
            </w:r>
          </w:p>
          <w:p>
            <w:pPr>
              <w:pStyle w:val="style0"/>
              <w:jc w:val="center"/>
              <w:rPr>
                <w:rFonts w:ascii="宋体" w:cs="宋体" w:hAnsi="宋体"/>
                <w:color w:val="auto"/>
                <w:sz w:val="24"/>
                <w:szCs w:val="24"/>
                <w:highlight w:val="none"/>
              </w:rPr>
            </w:pPr>
            <w:r>
              <w:rPr>
                <w:rFonts w:ascii="宋体" w:cs="宋体" w:hAnsi="宋体" w:hint="eastAsia"/>
                <w:color w:val="auto"/>
                <w:sz w:val="24"/>
                <w:szCs w:val="24"/>
                <w:highlight w:val="none"/>
              </w:rPr>
              <w:t>(替代投标保证金)</w:t>
            </w:r>
          </w:p>
        </w:tc>
        <w:tc>
          <w:tcPr>
            <w:tcW w:w="5590" w:type="dxa"/>
            <w:tcBorders/>
            <w:vAlign w:val="center"/>
          </w:tcPr>
          <w:p>
            <w:pPr>
              <w:pStyle w:val="style0"/>
              <w:widowControl w:val="false"/>
              <w:snapToGrid w:val="false"/>
              <w:spacing w:lineRule="auto" w:line="240"/>
              <w:rPr>
                <w:rFonts w:ascii="宋体" w:cs="宋体" w:hAnsi="宋体"/>
                <w:color w:val="auto"/>
                <w:sz w:val="24"/>
                <w:szCs w:val="24"/>
                <w:highlight w:val="none"/>
              </w:rPr>
            </w:pPr>
            <w:r>
              <w:rPr>
                <w:rFonts w:ascii="宋体" w:cs="宋体" w:hAnsi="宋体" w:hint="eastAsia"/>
                <w:color w:val="auto"/>
                <w:sz w:val="24"/>
                <w:szCs w:val="24"/>
                <w:highlight w:val="none"/>
              </w:rPr>
              <w:t>符合第三章“供应商须知”3.5款规定</w:t>
            </w:r>
          </w:p>
        </w:tc>
      </w:tr>
      <w:tr>
        <w:tblPrEx/>
        <w:trPr>
          <w:cantSplit/>
          <w:trHeight w:val="951" w:hRule="atLeast"/>
          <w:jc w:val="center"/>
        </w:trPr>
        <w:tc>
          <w:tcPr>
            <w:tcW w:w="548" w:type="dxa"/>
            <w:vMerge w:val="continue"/>
            <w:tcBorders/>
            <w:vAlign w:val="center"/>
          </w:tcPr>
          <w:p>
            <w:pPr>
              <w:pStyle w:val="style4097"/>
              <w:spacing w:lineRule="auto" w:line="360"/>
              <w:jc w:val="center"/>
              <w:rPr>
                <w:rFonts w:cs="宋体" w:hAnsi="宋体"/>
                <w:color w:val="auto"/>
                <w:szCs w:val="24"/>
                <w:highlight w:val="none"/>
              </w:rPr>
            </w:pPr>
          </w:p>
        </w:tc>
        <w:tc>
          <w:tcPr>
            <w:tcW w:w="545" w:type="dxa"/>
            <w:vMerge w:val="continue"/>
            <w:tcBorders/>
            <w:vAlign w:val="center"/>
          </w:tcPr>
          <w:p>
            <w:pPr>
              <w:pStyle w:val="style4097"/>
              <w:spacing w:lineRule="auto" w:line="360"/>
              <w:jc w:val="center"/>
              <w:rPr>
                <w:rFonts w:cs="宋体" w:hAnsi="宋体"/>
                <w:color w:val="auto"/>
                <w:szCs w:val="24"/>
                <w:highlight w:val="none"/>
              </w:rPr>
            </w:pPr>
          </w:p>
        </w:tc>
        <w:tc>
          <w:tcPr>
            <w:tcW w:w="3095" w:type="dxa"/>
            <w:gridSpan w:val="2"/>
            <w:tcBorders/>
            <w:vAlign w:val="center"/>
          </w:tcPr>
          <w:p>
            <w:pPr>
              <w:pStyle w:val="style0"/>
              <w:widowControl w:val="false"/>
              <w:snapToGrid w:val="false"/>
              <w:spacing w:lineRule="auto" w:line="240"/>
              <w:jc w:val="center"/>
              <w:rPr>
                <w:rFonts w:ascii="宋体" w:cs="宋体" w:hAnsi="宋体"/>
                <w:color w:val="auto"/>
                <w:sz w:val="24"/>
                <w:szCs w:val="24"/>
                <w:highlight w:val="none"/>
              </w:rPr>
            </w:pPr>
            <w:r>
              <w:rPr>
                <w:rFonts w:ascii="宋体" w:cs="宋体" w:hAnsi="宋体" w:hint="eastAsia"/>
                <w:color w:val="auto"/>
                <w:sz w:val="24"/>
                <w:szCs w:val="24"/>
                <w:highlight w:val="none"/>
              </w:rPr>
              <w:t>联合体（如有）</w:t>
            </w:r>
          </w:p>
        </w:tc>
        <w:tc>
          <w:tcPr>
            <w:tcW w:w="5590" w:type="dxa"/>
            <w:tcBorders/>
            <w:vAlign w:val="center"/>
          </w:tcPr>
          <w:p>
            <w:pPr>
              <w:pStyle w:val="style0"/>
              <w:widowControl w:val="false"/>
              <w:snapToGrid w:val="false"/>
              <w:spacing w:lineRule="auto" w:line="240"/>
              <w:rPr>
                <w:rFonts w:ascii="宋体" w:cs="宋体" w:hAnsi="宋体"/>
                <w:color w:val="auto"/>
                <w:sz w:val="24"/>
                <w:szCs w:val="24"/>
                <w:highlight w:val="none"/>
              </w:rPr>
            </w:pPr>
            <w:r>
              <w:rPr>
                <w:rFonts w:ascii="宋体" w:cs="宋体" w:hAnsi="宋体" w:hint="eastAsia"/>
                <w:color w:val="auto"/>
                <w:sz w:val="24"/>
                <w:szCs w:val="24"/>
                <w:highlight w:val="none"/>
              </w:rPr>
              <w:t>符合第三章“供应商须知”1.4款规定</w:t>
            </w:r>
          </w:p>
        </w:tc>
      </w:tr>
      <w:tr>
        <w:tblPrEx/>
        <w:trPr>
          <w:cantSplit/>
          <w:trHeight w:val="902" w:hRule="atLeast"/>
          <w:jc w:val="center"/>
        </w:trPr>
        <w:tc>
          <w:tcPr>
            <w:tcW w:w="548" w:type="dxa"/>
            <w:vMerge w:val="restart"/>
            <w:tcBorders/>
            <w:vAlign w:val="center"/>
          </w:tcPr>
          <w:p>
            <w:pPr>
              <w:pStyle w:val="style4097"/>
              <w:spacing w:lineRule="auto" w:line="360"/>
              <w:ind w:right="-160" w:rightChars="-76"/>
              <w:jc w:val="center"/>
              <w:rPr>
                <w:rFonts w:cs="宋体" w:hAnsi="宋体"/>
                <w:color w:val="auto"/>
                <w:szCs w:val="24"/>
                <w:highlight w:val="none"/>
              </w:rPr>
            </w:pPr>
            <w:r>
              <w:rPr>
                <w:rFonts w:cs="宋体" w:hAnsi="宋体" w:hint="eastAsia"/>
                <w:color w:val="auto"/>
                <w:szCs w:val="24"/>
                <w:highlight w:val="none"/>
              </w:rPr>
              <w:t>2.1.2</w:t>
            </w:r>
          </w:p>
        </w:tc>
        <w:tc>
          <w:tcPr>
            <w:tcW w:w="545" w:type="dxa"/>
            <w:vMerge w:val="restart"/>
            <w:tcBorders/>
            <w:vAlign w:val="center"/>
          </w:tcPr>
          <w:p>
            <w:pPr>
              <w:pStyle w:val="style4097"/>
              <w:spacing w:lineRule="auto" w:line="360"/>
              <w:jc w:val="center"/>
              <w:rPr>
                <w:rFonts w:cs="宋体" w:hAnsi="宋体"/>
                <w:color w:val="auto"/>
                <w:szCs w:val="24"/>
                <w:highlight w:val="none"/>
              </w:rPr>
            </w:pPr>
            <w:r>
              <w:rPr>
                <w:rFonts w:cs="宋体" w:hAnsi="宋体" w:hint="eastAsia"/>
                <w:color w:val="auto"/>
                <w:szCs w:val="24"/>
                <w:highlight w:val="none"/>
              </w:rPr>
              <w:t>符</w:t>
            </w:r>
          </w:p>
          <w:p>
            <w:pPr>
              <w:pStyle w:val="style4097"/>
              <w:spacing w:lineRule="auto" w:line="360"/>
              <w:jc w:val="center"/>
              <w:rPr>
                <w:rFonts w:cs="宋体" w:hAnsi="宋体"/>
                <w:color w:val="auto"/>
                <w:szCs w:val="24"/>
                <w:highlight w:val="none"/>
              </w:rPr>
            </w:pPr>
            <w:r>
              <w:rPr>
                <w:rFonts w:cs="宋体" w:hAnsi="宋体" w:hint="eastAsia"/>
                <w:color w:val="auto"/>
                <w:szCs w:val="24"/>
                <w:highlight w:val="none"/>
              </w:rPr>
              <w:t>合</w:t>
            </w:r>
          </w:p>
          <w:p>
            <w:pPr>
              <w:pStyle w:val="style4097"/>
              <w:spacing w:lineRule="auto" w:line="360"/>
              <w:jc w:val="center"/>
              <w:rPr>
                <w:rFonts w:cs="宋体" w:hAnsi="宋体"/>
                <w:color w:val="auto"/>
                <w:szCs w:val="24"/>
                <w:highlight w:val="none"/>
              </w:rPr>
            </w:pPr>
            <w:r>
              <w:rPr>
                <w:rFonts w:cs="宋体" w:hAnsi="宋体" w:hint="eastAsia"/>
                <w:color w:val="auto"/>
                <w:szCs w:val="24"/>
                <w:highlight w:val="none"/>
              </w:rPr>
              <w:t>性</w:t>
            </w:r>
          </w:p>
          <w:p>
            <w:pPr>
              <w:pStyle w:val="style4097"/>
              <w:spacing w:lineRule="auto" w:line="360"/>
              <w:jc w:val="center"/>
              <w:rPr>
                <w:rFonts w:cs="宋体" w:hAnsi="宋体"/>
                <w:color w:val="auto"/>
                <w:szCs w:val="24"/>
                <w:highlight w:val="none"/>
              </w:rPr>
            </w:pPr>
            <w:r>
              <w:rPr>
                <w:rFonts w:cs="宋体" w:hAnsi="宋体" w:hint="eastAsia"/>
                <w:color w:val="auto"/>
                <w:szCs w:val="24"/>
                <w:highlight w:val="none"/>
              </w:rPr>
              <w:t>审</w:t>
            </w:r>
          </w:p>
          <w:p>
            <w:pPr>
              <w:pStyle w:val="style4097"/>
              <w:spacing w:lineRule="auto" w:line="360"/>
              <w:jc w:val="center"/>
              <w:rPr>
                <w:rFonts w:cs="宋体" w:hAnsi="宋体"/>
                <w:color w:val="auto"/>
                <w:szCs w:val="24"/>
                <w:highlight w:val="none"/>
              </w:rPr>
            </w:pPr>
            <w:r>
              <w:rPr>
                <w:rFonts w:cs="宋体" w:hAnsi="宋体" w:hint="eastAsia"/>
                <w:color w:val="auto"/>
                <w:szCs w:val="24"/>
                <w:highlight w:val="none"/>
              </w:rPr>
              <w:t>查</w:t>
            </w:r>
          </w:p>
        </w:tc>
        <w:tc>
          <w:tcPr>
            <w:tcW w:w="934" w:type="dxa"/>
            <w:vMerge w:val="restart"/>
            <w:tcBorders/>
            <w:vAlign w:val="center"/>
          </w:tcPr>
          <w:p>
            <w:pPr>
              <w:pStyle w:val="style4097"/>
              <w:adjustRightInd/>
              <w:snapToGrid w:val="false"/>
              <w:jc w:val="center"/>
              <w:rPr>
                <w:rFonts w:cs="宋体" w:hAnsi="宋体"/>
                <w:color w:val="auto"/>
                <w:szCs w:val="24"/>
                <w:highlight w:val="none"/>
              </w:rPr>
            </w:pPr>
            <w:r>
              <w:rPr>
                <w:rFonts w:cs="宋体" w:hAnsi="宋体" w:hint="eastAsia"/>
                <w:color w:val="auto"/>
                <w:szCs w:val="24"/>
                <w:highlight w:val="none"/>
              </w:rPr>
              <w:t>有效性</w:t>
            </w:r>
          </w:p>
        </w:tc>
        <w:tc>
          <w:tcPr>
            <w:tcW w:w="2161" w:type="dxa"/>
            <w:tcBorders/>
            <w:vAlign w:val="center"/>
          </w:tcPr>
          <w:p>
            <w:pPr>
              <w:pStyle w:val="style4097"/>
              <w:adjustRightInd/>
              <w:snapToGrid w:val="false"/>
              <w:jc w:val="center"/>
              <w:rPr>
                <w:rFonts w:cs="宋体" w:hAnsi="宋体"/>
                <w:color w:val="auto"/>
                <w:szCs w:val="24"/>
                <w:highlight w:val="none"/>
              </w:rPr>
            </w:pPr>
            <w:r>
              <w:rPr>
                <w:rFonts w:cs="宋体" w:hAnsi="宋体" w:hint="eastAsia"/>
                <w:color w:val="auto"/>
                <w:szCs w:val="24"/>
                <w:highlight w:val="none"/>
              </w:rPr>
              <w:t>供应商名称</w:t>
            </w:r>
          </w:p>
        </w:tc>
        <w:tc>
          <w:tcPr>
            <w:tcW w:w="5590" w:type="dxa"/>
            <w:tcBorders/>
            <w:vAlign w:val="center"/>
          </w:tcPr>
          <w:p>
            <w:pPr>
              <w:pStyle w:val="style4097"/>
              <w:adjustRightInd/>
              <w:snapToGrid w:val="false"/>
              <w:rPr>
                <w:rFonts w:cs="宋体" w:hAnsi="宋体"/>
                <w:color w:val="auto"/>
                <w:szCs w:val="24"/>
                <w:highlight w:val="none"/>
              </w:rPr>
            </w:pPr>
            <w:r>
              <w:rPr>
                <w:rFonts w:cs="宋体" w:hAnsi="宋体" w:hint="eastAsia"/>
                <w:color w:val="auto"/>
                <w:szCs w:val="24"/>
                <w:highlight w:val="none"/>
              </w:rPr>
              <w:t>与营业执照证等证照及签章一致</w:t>
            </w:r>
          </w:p>
        </w:tc>
      </w:tr>
      <w:tr>
        <w:tblPrEx/>
        <w:trPr>
          <w:cantSplit/>
          <w:trHeight w:val="902" w:hRule="atLeast"/>
          <w:jc w:val="center"/>
        </w:trPr>
        <w:tc>
          <w:tcPr>
            <w:tcW w:w="548" w:type="dxa"/>
            <w:vMerge w:val="continue"/>
            <w:tcBorders/>
            <w:vAlign w:val="center"/>
          </w:tcPr>
          <w:p>
            <w:pPr>
              <w:pStyle w:val="style4097"/>
              <w:spacing w:lineRule="auto" w:line="360"/>
              <w:jc w:val="center"/>
              <w:rPr>
                <w:rFonts w:cs="宋体" w:hAnsi="宋体"/>
                <w:color w:val="auto"/>
                <w:szCs w:val="24"/>
                <w:highlight w:val="none"/>
              </w:rPr>
            </w:pPr>
          </w:p>
        </w:tc>
        <w:tc>
          <w:tcPr>
            <w:tcW w:w="545" w:type="dxa"/>
            <w:vMerge w:val="continue"/>
            <w:tcBorders/>
            <w:vAlign w:val="center"/>
          </w:tcPr>
          <w:p>
            <w:pPr>
              <w:pStyle w:val="style4097"/>
              <w:spacing w:lineRule="auto" w:line="360"/>
              <w:jc w:val="center"/>
              <w:rPr>
                <w:rFonts w:cs="宋体" w:hAnsi="宋体"/>
                <w:color w:val="auto"/>
                <w:szCs w:val="24"/>
                <w:highlight w:val="none"/>
              </w:rPr>
            </w:pPr>
          </w:p>
        </w:tc>
        <w:tc>
          <w:tcPr>
            <w:tcW w:w="934" w:type="dxa"/>
            <w:vMerge w:val="continue"/>
            <w:tcBorders/>
            <w:vAlign w:val="center"/>
          </w:tcPr>
          <w:p>
            <w:pPr>
              <w:pStyle w:val="style4097"/>
              <w:adjustRightInd/>
              <w:snapToGrid w:val="false"/>
              <w:jc w:val="center"/>
              <w:rPr>
                <w:rFonts w:cs="宋体" w:hAnsi="宋体"/>
                <w:color w:val="auto"/>
                <w:szCs w:val="24"/>
                <w:highlight w:val="none"/>
              </w:rPr>
            </w:pPr>
          </w:p>
        </w:tc>
        <w:tc>
          <w:tcPr>
            <w:tcW w:w="2161" w:type="dxa"/>
            <w:tcBorders/>
            <w:vAlign w:val="center"/>
          </w:tcPr>
          <w:p>
            <w:pPr>
              <w:pStyle w:val="style4097"/>
              <w:adjustRightInd/>
              <w:snapToGrid w:val="false"/>
              <w:jc w:val="center"/>
              <w:rPr>
                <w:rFonts w:cs="宋体" w:hAnsi="宋体"/>
                <w:color w:val="auto"/>
                <w:szCs w:val="24"/>
                <w:highlight w:val="none"/>
              </w:rPr>
            </w:pPr>
            <w:r>
              <w:rPr>
                <w:rFonts w:cs="宋体" w:hAnsi="宋体" w:hint="eastAsia"/>
                <w:color w:val="auto"/>
                <w:szCs w:val="24"/>
                <w:highlight w:val="none"/>
              </w:rPr>
              <w:t>签字或盖章</w:t>
            </w:r>
          </w:p>
        </w:tc>
        <w:tc>
          <w:tcPr>
            <w:tcW w:w="5590" w:type="dxa"/>
            <w:tcBorders/>
            <w:vAlign w:val="center"/>
          </w:tcPr>
          <w:p>
            <w:pPr>
              <w:pStyle w:val="style4097"/>
              <w:adjustRightInd/>
              <w:snapToGrid w:val="false"/>
              <w:rPr>
                <w:rFonts w:cs="宋体" w:hAnsi="宋体"/>
                <w:color w:val="auto"/>
                <w:szCs w:val="24"/>
                <w:highlight w:val="none"/>
              </w:rPr>
            </w:pPr>
            <w:r>
              <w:rPr>
                <w:rFonts w:cs="宋体" w:hAnsi="宋体" w:hint="eastAsia"/>
                <w:color w:val="auto"/>
                <w:szCs w:val="24"/>
                <w:highlight w:val="none"/>
              </w:rPr>
              <w:t>符合第三章“供应商须知”3.7.4项规定</w:t>
            </w:r>
          </w:p>
        </w:tc>
      </w:tr>
      <w:tr>
        <w:tblPrEx/>
        <w:trPr>
          <w:cantSplit/>
          <w:trHeight w:val="721" w:hRule="atLeast"/>
          <w:jc w:val="center"/>
        </w:trPr>
        <w:tc>
          <w:tcPr>
            <w:tcW w:w="548" w:type="dxa"/>
            <w:vMerge w:val="continue"/>
            <w:tcBorders/>
            <w:vAlign w:val="center"/>
          </w:tcPr>
          <w:p>
            <w:pPr>
              <w:pStyle w:val="style4097"/>
              <w:spacing w:lineRule="auto" w:line="360"/>
              <w:jc w:val="center"/>
              <w:rPr>
                <w:rFonts w:cs="宋体" w:hAnsi="宋体"/>
                <w:color w:val="auto"/>
                <w:szCs w:val="24"/>
                <w:highlight w:val="none"/>
              </w:rPr>
            </w:pPr>
          </w:p>
        </w:tc>
        <w:tc>
          <w:tcPr>
            <w:tcW w:w="545" w:type="dxa"/>
            <w:vMerge w:val="continue"/>
            <w:tcBorders/>
            <w:vAlign w:val="center"/>
          </w:tcPr>
          <w:p>
            <w:pPr>
              <w:pStyle w:val="style4097"/>
              <w:spacing w:lineRule="auto" w:line="360"/>
              <w:jc w:val="center"/>
              <w:rPr>
                <w:rFonts w:cs="宋体" w:hAnsi="宋体"/>
                <w:color w:val="auto"/>
                <w:szCs w:val="24"/>
                <w:highlight w:val="none"/>
              </w:rPr>
            </w:pPr>
          </w:p>
        </w:tc>
        <w:tc>
          <w:tcPr>
            <w:tcW w:w="934" w:type="dxa"/>
            <w:tcBorders/>
            <w:vAlign w:val="center"/>
          </w:tcPr>
          <w:p>
            <w:pPr>
              <w:pStyle w:val="style4097"/>
              <w:adjustRightInd/>
              <w:snapToGrid w:val="false"/>
              <w:jc w:val="center"/>
              <w:rPr>
                <w:rFonts w:cs="宋体" w:hAnsi="宋体"/>
                <w:color w:val="auto"/>
                <w:szCs w:val="24"/>
                <w:highlight w:val="none"/>
              </w:rPr>
            </w:pPr>
            <w:r>
              <w:rPr>
                <w:rFonts w:cs="宋体" w:hAnsi="宋体" w:hint="eastAsia"/>
                <w:color w:val="auto"/>
                <w:szCs w:val="24"/>
                <w:highlight w:val="none"/>
              </w:rPr>
              <w:t>完整性</w:t>
            </w:r>
          </w:p>
        </w:tc>
        <w:tc>
          <w:tcPr>
            <w:tcW w:w="2161" w:type="dxa"/>
            <w:tcBorders/>
            <w:vAlign w:val="center"/>
          </w:tcPr>
          <w:p>
            <w:pPr>
              <w:pStyle w:val="style4097"/>
              <w:adjustRightInd/>
              <w:snapToGrid w:val="false"/>
              <w:jc w:val="center"/>
              <w:rPr>
                <w:rFonts w:cs="宋体" w:hAnsi="宋体"/>
                <w:color w:val="auto"/>
                <w:szCs w:val="24"/>
                <w:highlight w:val="none"/>
              </w:rPr>
            </w:pPr>
            <w:r>
              <w:rPr>
                <w:rFonts w:cs="宋体" w:hAnsi="宋体" w:hint="eastAsia"/>
                <w:color w:val="auto"/>
                <w:szCs w:val="24"/>
                <w:highlight w:val="none"/>
              </w:rPr>
              <w:t>《响应文件》组成</w:t>
            </w:r>
          </w:p>
        </w:tc>
        <w:tc>
          <w:tcPr>
            <w:tcW w:w="5590" w:type="dxa"/>
            <w:tcBorders/>
            <w:vAlign w:val="center"/>
          </w:tcPr>
          <w:p>
            <w:pPr>
              <w:pStyle w:val="style4097"/>
              <w:adjustRightInd/>
              <w:snapToGrid w:val="false"/>
              <w:rPr>
                <w:rFonts w:cs="宋体" w:hAnsi="宋体"/>
                <w:color w:val="auto"/>
                <w:szCs w:val="24"/>
                <w:highlight w:val="none"/>
              </w:rPr>
            </w:pPr>
            <w:r>
              <w:rPr>
                <w:rFonts w:cs="宋体" w:hAnsi="宋体" w:hint="eastAsia"/>
                <w:color w:val="auto"/>
                <w:szCs w:val="24"/>
                <w:highlight w:val="none"/>
              </w:rPr>
              <w:t>符合第三章“供应商须知”3.2款规定</w:t>
            </w:r>
          </w:p>
        </w:tc>
      </w:tr>
      <w:tr>
        <w:tblPrEx/>
        <w:trPr>
          <w:cantSplit/>
          <w:trHeight w:val="721" w:hRule="atLeast"/>
          <w:jc w:val="center"/>
        </w:trPr>
        <w:tc>
          <w:tcPr>
            <w:tcW w:w="548" w:type="dxa"/>
            <w:vMerge w:val="continue"/>
            <w:tcBorders/>
            <w:vAlign w:val="center"/>
          </w:tcPr>
          <w:p>
            <w:pPr>
              <w:pStyle w:val="style4097"/>
              <w:spacing w:lineRule="auto" w:line="360"/>
              <w:jc w:val="center"/>
              <w:rPr>
                <w:rFonts w:cs="宋体" w:hAnsi="宋体"/>
                <w:color w:val="auto"/>
                <w:szCs w:val="24"/>
                <w:highlight w:val="none"/>
              </w:rPr>
            </w:pPr>
          </w:p>
        </w:tc>
        <w:tc>
          <w:tcPr>
            <w:tcW w:w="545" w:type="dxa"/>
            <w:vMerge w:val="continue"/>
            <w:tcBorders/>
            <w:vAlign w:val="center"/>
          </w:tcPr>
          <w:p>
            <w:pPr>
              <w:pStyle w:val="style4097"/>
              <w:spacing w:lineRule="auto" w:line="360"/>
              <w:jc w:val="center"/>
              <w:rPr>
                <w:rFonts w:cs="宋体" w:hAnsi="宋体"/>
                <w:color w:val="auto"/>
                <w:szCs w:val="24"/>
                <w:highlight w:val="none"/>
              </w:rPr>
            </w:pPr>
          </w:p>
        </w:tc>
        <w:tc>
          <w:tcPr>
            <w:tcW w:w="934" w:type="dxa"/>
            <w:vMerge w:val="restart"/>
            <w:tcBorders/>
            <w:vAlign w:val="center"/>
          </w:tcPr>
          <w:p>
            <w:pPr>
              <w:pStyle w:val="style4097"/>
              <w:snapToGrid w:val="false"/>
              <w:jc w:val="center"/>
              <w:rPr>
                <w:rFonts w:cs="宋体" w:hAnsi="宋体"/>
                <w:color w:val="auto"/>
                <w:szCs w:val="24"/>
                <w:highlight w:val="none"/>
              </w:rPr>
            </w:pPr>
            <w:r>
              <w:rPr>
                <w:rFonts w:cs="宋体" w:hAnsi="宋体" w:hint="eastAsia"/>
                <w:color w:val="auto"/>
                <w:szCs w:val="24"/>
                <w:highlight w:val="none"/>
              </w:rPr>
              <w:t>响应程度</w:t>
            </w:r>
          </w:p>
        </w:tc>
        <w:tc>
          <w:tcPr>
            <w:tcW w:w="2161" w:type="dxa"/>
            <w:tcBorders/>
            <w:vAlign w:val="center"/>
          </w:tcPr>
          <w:p>
            <w:pPr>
              <w:pStyle w:val="style4097"/>
              <w:adjustRightInd/>
              <w:snapToGrid w:val="false"/>
              <w:jc w:val="center"/>
              <w:rPr>
                <w:rFonts w:cs="宋体" w:hAnsi="宋体"/>
                <w:color w:val="auto"/>
                <w:szCs w:val="24"/>
                <w:highlight w:val="none"/>
              </w:rPr>
            </w:pPr>
            <w:r>
              <w:rPr>
                <w:rFonts w:cs="宋体" w:hAnsi="宋体" w:hint="eastAsia"/>
                <w:color w:val="auto"/>
                <w:szCs w:val="24"/>
                <w:highlight w:val="none"/>
              </w:rPr>
              <w:t>磋商报价</w:t>
            </w:r>
          </w:p>
        </w:tc>
        <w:tc>
          <w:tcPr>
            <w:tcW w:w="5590" w:type="dxa"/>
            <w:tcBorders/>
            <w:vAlign w:val="center"/>
          </w:tcPr>
          <w:p>
            <w:pPr>
              <w:pStyle w:val="style4097"/>
              <w:adjustRightInd/>
              <w:snapToGrid w:val="false"/>
              <w:rPr>
                <w:rFonts w:cs="宋体" w:hAnsi="宋体"/>
                <w:color w:val="auto"/>
                <w:szCs w:val="24"/>
                <w:highlight w:val="none"/>
              </w:rPr>
            </w:pPr>
            <w:r>
              <w:rPr>
                <w:rFonts w:cs="宋体" w:hAnsi="宋体" w:hint="eastAsia"/>
                <w:color w:val="auto"/>
                <w:szCs w:val="24"/>
                <w:highlight w:val="none"/>
              </w:rPr>
              <w:t>符合第二章“采购项目及服务要求”1.3款规定</w:t>
            </w:r>
          </w:p>
        </w:tc>
      </w:tr>
      <w:tr>
        <w:tblPrEx/>
        <w:trPr>
          <w:cantSplit/>
          <w:trHeight w:val="1062" w:hRule="atLeast"/>
          <w:jc w:val="center"/>
        </w:trPr>
        <w:tc>
          <w:tcPr>
            <w:tcW w:w="548" w:type="dxa"/>
            <w:vMerge w:val="continue"/>
            <w:tcBorders/>
            <w:vAlign w:val="center"/>
          </w:tcPr>
          <w:p>
            <w:pPr>
              <w:pStyle w:val="style4097"/>
              <w:spacing w:lineRule="auto" w:line="360"/>
              <w:jc w:val="center"/>
              <w:rPr>
                <w:rFonts w:cs="宋体" w:hAnsi="宋体"/>
                <w:color w:val="auto"/>
                <w:szCs w:val="24"/>
                <w:highlight w:val="none"/>
              </w:rPr>
            </w:pPr>
          </w:p>
        </w:tc>
        <w:tc>
          <w:tcPr>
            <w:tcW w:w="545" w:type="dxa"/>
            <w:vMerge w:val="continue"/>
            <w:tcBorders/>
            <w:vAlign w:val="center"/>
          </w:tcPr>
          <w:p>
            <w:pPr>
              <w:pStyle w:val="style4097"/>
              <w:spacing w:lineRule="auto" w:line="360"/>
              <w:jc w:val="center"/>
              <w:rPr>
                <w:rFonts w:cs="宋体" w:hAnsi="宋体"/>
                <w:color w:val="auto"/>
                <w:szCs w:val="24"/>
                <w:highlight w:val="none"/>
              </w:rPr>
            </w:pPr>
          </w:p>
        </w:tc>
        <w:tc>
          <w:tcPr>
            <w:tcW w:w="934" w:type="dxa"/>
            <w:vMerge w:val="continue"/>
            <w:tcBorders/>
            <w:vAlign w:val="center"/>
          </w:tcPr>
          <w:p>
            <w:pPr>
              <w:pStyle w:val="style4097"/>
              <w:snapToGrid w:val="false"/>
              <w:jc w:val="center"/>
              <w:rPr>
                <w:rFonts w:cs="宋体" w:hAnsi="宋体"/>
                <w:color w:val="auto"/>
                <w:szCs w:val="24"/>
                <w:highlight w:val="none"/>
              </w:rPr>
            </w:pPr>
          </w:p>
        </w:tc>
        <w:tc>
          <w:tcPr>
            <w:tcW w:w="2161" w:type="dxa"/>
            <w:tcBorders/>
            <w:vAlign w:val="center"/>
          </w:tcPr>
          <w:p>
            <w:pPr>
              <w:pStyle w:val="style4097"/>
              <w:adjustRightInd/>
              <w:snapToGrid w:val="false"/>
              <w:jc w:val="center"/>
              <w:rPr>
                <w:rFonts w:cs="宋体" w:hAnsi="宋体"/>
                <w:color w:val="auto"/>
                <w:szCs w:val="24"/>
                <w:highlight w:val="none"/>
              </w:rPr>
            </w:pPr>
            <w:r>
              <w:rPr>
                <w:rFonts w:cs="宋体" w:hAnsi="宋体" w:hint="eastAsia"/>
                <w:color w:val="auto"/>
                <w:szCs w:val="24"/>
                <w:highlight w:val="none"/>
              </w:rPr>
              <w:t>响应内容（范围）、服务要求</w:t>
            </w:r>
          </w:p>
        </w:tc>
        <w:tc>
          <w:tcPr>
            <w:tcW w:w="5590" w:type="dxa"/>
            <w:tcBorders/>
            <w:vAlign w:val="center"/>
          </w:tcPr>
          <w:p>
            <w:pPr>
              <w:pStyle w:val="style4097"/>
              <w:adjustRightInd/>
              <w:snapToGrid w:val="false"/>
              <w:rPr>
                <w:rFonts w:cs="宋体" w:hAnsi="宋体"/>
                <w:color w:val="auto"/>
                <w:szCs w:val="24"/>
                <w:highlight w:val="none"/>
              </w:rPr>
            </w:pPr>
            <w:r>
              <w:rPr>
                <w:rFonts w:cs="宋体" w:hAnsi="宋体" w:hint="eastAsia"/>
                <w:color w:val="auto"/>
                <w:szCs w:val="24"/>
                <w:highlight w:val="none"/>
              </w:rPr>
              <w:t>符合第二章“采购项目及服务要求”2条规定</w:t>
            </w:r>
          </w:p>
        </w:tc>
      </w:tr>
      <w:tr>
        <w:tblPrEx/>
        <w:trPr>
          <w:cantSplit/>
          <w:trHeight w:val="721" w:hRule="atLeast"/>
          <w:jc w:val="center"/>
        </w:trPr>
        <w:tc>
          <w:tcPr>
            <w:tcW w:w="548" w:type="dxa"/>
            <w:vMerge w:val="continue"/>
            <w:tcBorders/>
            <w:vAlign w:val="center"/>
          </w:tcPr>
          <w:p>
            <w:pPr>
              <w:pStyle w:val="style4097"/>
              <w:spacing w:lineRule="auto" w:line="360"/>
              <w:jc w:val="center"/>
              <w:rPr>
                <w:rFonts w:cs="宋体" w:hAnsi="宋体"/>
                <w:color w:val="auto"/>
                <w:szCs w:val="24"/>
                <w:highlight w:val="none"/>
              </w:rPr>
            </w:pPr>
          </w:p>
        </w:tc>
        <w:tc>
          <w:tcPr>
            <w:tcW w:w="545" w:type="dxa"/>
            <w:vMerge w:val="continue"/>
            <w:tcBorders/>
            <w:vAlign w:val="center"/>
          </w:tcPr>
          <w:p>
            <w:pPr>
              <w:pStyle w:val="style4097"/>
              <w:spacing w:lineRule="auto" w:line="360"/>
              <w:jc w:val="center"/>
              <w:rPr>
                <w:rFonts w:cs="宋体" w:hAnsi="宋体"/>
                <w:color w:val="auto"/>
                <w:szCs w:val="24"/>
                <w:highlight w:val="none"/>
              </w:rPr>
            </w:pPr>
          </w:p>
        </w:tc>
        <w:tc>
          <w:tcPr>
            <w:tcW w:w="934" w:type="dxa"/>
            <w:vMerge w:val="continue"/>
            <w:tcBorders/>
            <w:vAlign w:val="center"/>
          </w:tcPr>
          <w:p>
            <w:pPr>
              <w:pStyle w:val="style4097"/>
              <w:snapToGrid w:val="false"/>
              <w:jc w:val="center"/>
              <w:rPr>
                <w:rFonts w:cs="宋体" w:hAnsi="宋体"/>
                <w:color w:val="auto"/>
                <w:szCs w:val="24"/>
                <w:highlight w:val="none"/>
              </w:rPr>
            </w:pPr>
          </w:p>
        </w:tc>
        <w:tc>
          <w:tcPr>
            <w:tcW w:w="2161" w:type="dxa"/>
            <w:tcBorders/>
            <w:vAlign w:val="center"/>
          </w:tcPr>
          <w:p>
            <w:pPr>
              <w:pStyle w:val="style4097"/>
              <w:adjustRightInd/>
              <w:snapToGrid w:val="false"/>
              <w:jc w:val="center"/>
              <w:rPr>
                <w:rFonts w:cs="宋体" w:hAnsi="宋体"/>
                <w:color w:val="auto"/>
                <w:szCs w:val="24"/>
                <w:highlight w:val="none"/>
              </w:rPr>
            </w:pPr>
            <w:r>
              <w:rPr>
                <w:rFonts w:cs="宋体" w:hAnsi="宋体" w:hint="eastAsia"/>
                <w:color w:val="auto"/>
                <w:szCs w:val="24"/>
                <w:highlight w:val="none"/>
              </w:rPr>
              <w:t>服务期</w:t>
            </w:r>
          </w:p>
        </w:tc>
        <w:tc>
          <w:tcPr>
            <w:tcW w:w="5590" w:type="dxa"/>
            <w:tcBorders/>
            <w:vAlign w:val="center"/>
          </w:tcPr>
          <w:p>
            <w:pPr>
              <w:pStyle w:val="style4097"/>
              <w:adjustRightInd/>
              <w:snapToGrid w:val="false"/>
              <w:jc w:val="both"/>
              <w:rPr>
                <w:rFonts w:cs="宋体" w:hAnsi="宋体"/>
                <w:color w:val="auto"/>
                <w:szCs w:val="24"/>
                <w:highlight w:val="none"/>
              </w:rPr>
            </w:pPr>
            <w:r>
              <w:rPr>
                <w:rFonts w:cs="宋体" w:hAnsi="宋体" w:hint="eastAsia"/>
                <w:color w:val="auto"/>
                <w:szCs w:val="24"/>
                <w:highlight w:val="none"/>
              </w:rPr>
              <w:t>符合第二章“采购项目及服务要求”1.2款规定</w:t>
            </w:r>
          </w:p>
        </w:tc>
      </w:tr>
      <w:tr>
        <w:tblPrEx/>
        <w:trPr>
          <w:cantSplit/>
          <w:trHeight w:val="747" w:hRule="atLeast"/>
          <w:jc w:val="center"/>
        </w:trPr>
        <w:tc>
          <w:tcPr>
            <w:tcW w:w="548" w:type="dxa"/>
            <w:vMerge w:val="continue"/>
            <w:tcBorders/>
            <w:vAlign w:val="center"/>
          </w:tcPr>
          <w:p>
            <w:pPr>
              <w:pStyle w:val="style4097"/>
              <w:spacing w:lineRule="auto" w:line="360"/>
              <w:jc w:val="center"/>
              <w:rPr>
                <w:rFonts w:cs="宋体" w:hAnsi="宋体"/>
                <w:color w:val="auto"/>
                <w:szCs w:val="24"/>
                <w:highlight w:val="none"/>
              </w:rPr>
            </w:pPr>
          </w:p>
        </w:tc>
        <w:tc>
          <w:tcPr>
            <w:tcW w:w="545" w:type="dxa"/>
            <w:vMerge w:val="continue"/>
            <w:tcBorders/>
            <w:vAlign w:val="center"/>
          </w:tcPr>
          <w:p>
            <w:pPr>
              <w:pStyle w:val="style4097"/>
              <w:spacing w:lineRule="auto" w:line="360"/>
              <w:jc w:val="center"/>
              <w:rPr>
                <w:rFonts w:cs="宋体" w:hAnsi="宋体"/>
                <w:color w:val="auto"/>
                <w:szCs w:val="24"/>
                <w:highlight w:val="none"/>
              </w:rPr>
            </w:pPr>
          </w:p>
        </w:tc>
        <w:tc>
          <w:tcPr>
            <w:tcW w:w="934" w:type="dxa"/>
            <w:vMerge w:val="continue"/>
            <w:tcBorders/>
            <w:vAlign w:val="center"/>
          </w:tcPr>
          <w:p>
            <w:pPr>
              <w:pStyle w:val="style4097"/>
              <w:adjustRightInd/>
              <w:snapToGrid w:val="false"/>
              <w:jc w:val="center"/>
              <w:rPr>
                <w:rFonts w:cs="宋体" w:hAnsi="宋体"/>
                <w:color w:val="auto"/>
                <w:szCs w:val="24"/>
                <w:highlight w:val="none"/>
              </w:rPr>
            </w:pPr>
          </w:p>
        </w:tc>
        <w:tc>
          <w:tcPr>
            <w:tcW w:w="2161" w:type="dxa"/>
            <w:tcBorders/>
            <w:vAlign w:val="center"/>
          </w:tcPr>
          <w:p>
            <w:pPr>
              <w:pStyle w:val="style4097"/>
              <w:adjustRightInd/>
              <w:snapToGrid w:val="false"/>
              <w:jc w:val="center"/>
              <w:rPr>
                <w:rFonts w:cs="宋体" w:hAnsi="宋体"/>
                <w:color w:val="auto"/>
                <w:szCs w:val="24"/>
                <w:highlight w:val="none"/>
              </w:rPr>
            </w:pPr>
            <w:r>
              <w:rPr>
                <w:rFonts w:cs="宋体" w:hAnsi="宋体" w:hint="eastAsia"/>
                <w:color w:val="auto"/>
                <w:szCs w:val="24"/>
                <w:highlight w:val="none"/>
              </w:rPr>
              <w:t>响应有效期</w:t>
            </w:r>
          </w:p>
        </w:tc>
        <w:tc>
          <w:tcPr>
            <w:tcW w:w="5590" w:type="dxa"/>
            <w:tcBorders/>
            <w:vAlign w:val="center"/>
          </w:tcPr>
          <w:p>
            <w:pPr>
              <w:pStyle w:val="style0"/>
              <w:snapToGrid w:val="false"/>
              <w:spacing w:lineRule="auto" w:line="240"/>
              <w:rPr>
                <w:rFonts w:ascii="宋体" w:cs="宋体" w:hAnsi="宋体"/>
                <w:color w:val="auto"/>
                <w:sz w:val="24"/>
                <w:highlight w:val="none"/>
              </w:rPr>
            </w:pPr>
            <w:r>
              <w:rPr>
                <w:rFonts w:ascii="宋体" w:cs="宋体" w:hAnsi="宋体" w:hint="eastAsia"/>
                <w:color w:val="auto"/>
                <w:sz w:val="24"/>
                <w:highlight w:val="none"/>
              </w:rPr>
              <w:t>符合第三章“供应商须知”3.4款规定</w:t>
            </w:r>
          </w:p>
        </w:tc>
      </w:tr>
      <w:tr>
        <w:tblPrEx/>
        <w:trPr>
          <w:cantSplit/>
          <w:trHeight w:val="761" w:hRule="atLeast"/>
          <w:jc w:val="center"/>
        </w:trPr>
        <w:tc>
          <w:tcPr>
            <w:tcW w:w="548" w:type="dxa"/>
            <w:vMerge w:val="continue"/>
            <w:tcBorders/>
            <w:vAlign w:val="center"/>
          </w:tcPr>
          <w:p>
            <w:pPr>
              <w:pStyle w:val="style4097"/>
              <w:spacing w:lineRule="auto" w:line="360"/>
              <w:jc w:val="center"/>
              <w:rPr>
                <w:rFonts w:cs="宋体" w:hAnsi="宋体"/>
                <w:color w:val="auto"/>
                <w:szCs w:val="24"/>
                <w:highlight w:val="none"/>
              </w:rPr>
            </w:pPr>
          </w:p>
        </w:tc>
        <w:tc>
          <w:tcPr>
            <w:tcW w:w="545" w:type="dxa"/>
            <w:vMerge w:val="continue"/>
            <w:tcBorders/>
            <w:vAlign w:val="center"/>
          </w:tcPr>
          <w:p>
            <w:pPr>
              <w:pStyle w:val="style4097"/>
              <w:spacing w:lineRule="auto" w:line="360"/>
              <w:jc w:val="center"/>
              <w:rPr>
                <w:rFonts w:cs="宋体" w:hAnsi="宋体"/>
                <w:color w:val="auto"/>
                <w:szCs w:val="24"/>
                <w:highlight w:val="none"/>
              </w:rPr>
            </w:pPr>
          </w:p>
        </w:tc>
        <w:tc>
          <w:tcPr>
            <w:tcW w:w="934" w:type="dxa"/>
            <w:vMerge w:val="continue"/>
            <w:tcBorders/>
            <w:vAlign w:val="center"/>
          </w:tcPr>
          <w:p>
            <w:pPr>
              <w:pStyle w:val="style4097"/>
              <w:adjustRightInd/>
              <w:snapToGrid w:val="false"/>
              <w:jc w:val="center"/>
              <w:rPr>
                <w:rFonts w:cs="宋体" w:hAnsi="宋体"/>
                <w:color w:val="auto"/>
                <w:szCs w:val="24"/>
                <w:highlight w:val="none"/>
              </w:rPr>
            </w:pPr>
          </w:p>
        </w:tc>
        <w:tc>
          <w:tcPr>
            <w:tcW w:w="2161" w:type="dxa"/>
            <w:tcBorders/>
            <w:vAlign w:val="center"/>
          </w:tcPr>
          <w:p>
            <w:pPr>
              <w:pStyle w:val="style4097"/>
              <w:adjustRightInd/>
              <w:snapToGrid w:val="false"/>
              <w:jc w:val="center"/>
              <w:rPr>
                <w:rFonts w:cs="宋体" w:hAnsi="宋体"/>
                <w:color w:val="auto"/>
                <w:szCs w:val="24"/>
                <w:highlight w:val="none"/>
              </w:rPr>
            </w:pPr>
            <w:r>
              <w:rPr>
                <w:rFonts w:cs="宋体" w:hAnsi="宋体" w:hint="eastAsia"/>
                <w:color w:val="auto"/>
                <w:szCs w:val="24"/>
                <w:highlight w:val="none"/>
              </w:rPr>
              <w:t>《响应文件》格式</w:t>
            </w:r>
          </w:p>
        </w:tc>
        <w:tc>
          <w:tcPr>
            <w:tcW w:w="5590" w:type="dxa"/>
            <w:tcBorders/>
            <w:vAlign w:val="center"/>
          </w:tcPr>
          <w:p>
            <w:pPr>
              <w:pStyle w:val="style4097"/>
              <w:adjustRightInd/>
              <w:snapToGrid w:val="false"/>
              <w:rPr>
                <w:rFonts w:cs="宋体" w:hAnsi="宋体"/>
                <w:color w:val="auto"/>
                <w:szCs w:val="24"/>
                <w:highlight w:val="none"/>
              </w:rPr>
            </w:pPr>
            <w:r>
              <w:rPr>
                <w:rFonts w:cs="宋体" w:hAnsi="宋体" w:hint="eastAsia"/>
                <w:color w:val="auto"/>
                <w:szCs w:val="24"/>
                <w:highlight w:val="none"/>
              </w:rPr>
              <w:t>符合第六章“《响应文件》格式”规定</w:t>
            </w:r>
          </w:p>
        </w:tc>
      </w:tr>
      <w:tr>
        <w:tblPrEx/>
        <w:trPr>
          <w:cantSplit/>
          <w:trHeight w:val="974" w:hRule="atLeast"/>
          <w:jc w:val="center"/>
        </w:trPr>
        <w:tc>
          <w:tcPr>
            <w:tcW w:w="548" w:type="dxa"/>
            <w:vMerge w:val="continue"/>
            <w:tcBorders/>
            <w:vAlign w:val="center"/>
          </w:tcPr>
          <w:p>
            <w:pPr>
              <w:pStyle w:val="style4097"/>
              <w:spacing w:lineRule="auto" w:line="360"/>
              <w:jc w:val="center"/>
              <w:rPr>
                <w:rFonts w:cs="宋体" w:hAnsi="宋体"/>
                <w:color w:val="auto"/>
                <w:szCs w:val="24"/>
                <w:highlight w:val="none"/>
              </w:rPr>
            </w:pPr>
          </w:p>
        </w:tc>
        <w:tc>
          <w:tcPr>
            <w:tcW w:w="545" w:type="dxa"/>
            <w:vMerge w:val="continue"/>
            <w:tcBorders/>
            <w:vAlign w:val="center"/>
          </w:tcPr>
          <w:p>
            <w:pPr>
              <w:pStyle w:val="style4097"/>
              <w:spacing w:lineRule="auto" w:line="360"/>
              <w:jc w:val="center"/>
              <w:rPr>
                <w:rFonts w:cs="宋体" w:hAnsi="宋体"/>
                <w:color w:val="auto"/>
                <w:szCs w:val="24"/>
                <w:highlight w:val="none"/>
              </w:rPr>
            </w:pPr>
          </w:p>
        </w:tc>
        <w:tc>
          <w:tcPr>
            <w:tcW w:w="934" w:type="dxa"/>
            <w:vMerge w:val="continue"/>
            <w:tcBorders/>
            <w:vAlign w:val="center"/>
          </w:tcPr>
          <w:p>
            <w:pPr>
              <w:pStyle w:val="style4097"/>
              <w:adjustRightInd/>
              <w:snapToGrid w:val="false"/>
              <w:jc w:val="center"/>
              <w:rPr>
                <w:rFonts w:cs="宋体" w:hAnsi="宋体"/>
                <w:color w:val="auto"/>
                <w:szCs w:val="24"/>
                <w:highlight w:val="none"/>
              </w:rPr>
            </w:pPr>
          </w:p>
        </w:tc>
        <w:tc>
          <w:tcPr>
            <w:tcW w:w="2161" w:type="dxa"/>
            <w:tcBorders/>
            <w:vAlign w:val="center"/>
          </w:tcPr>
          <w:p>
            <w:pPr>
              <w:pStyle w:val="style4097"/>
              <w:adjustRightInd/>
              <w:snapToGrid w:val="false"/>
              <w:jc w:val="center"/>
              <w:rPr>
                <w:rFonts w:cs="宋体" w:hAnsi="宋体"/>
                <w:color w:val="auto"/>
                <w:szCs w:val="24"/>
                <w:highlight w:val="none"/>
              </w:rPr>
            </w:pPr>
            <w:r>
              <w:rPr>
                <w:rFonts w:cs="宋体" w:hAnsi="宋体" w:hint="eastAsia"/>
                <w:color w:val="auto"/>
                <w:highlight w:val="none"/>
              </w:rPr>
              <w:t>付款</w:t>
            </w:r>
          </w:p>
        </w:tc>
        <w:tc>
          <w:tcPr>
            <w:tcW w:w="5590" w:type="dxa"/>
            <w:tcBorders/>
            <w:vAlign w:val="center"/>
          </w:tcPr>
          <w:p>
            <w:pPr>
              <w:pStyle w:val="style0"/>
              <w:snapToGrid w:val="false"/>
              <w:spacing w:lineRule="auto" w:line="240"/>
              <w:rPr>
                <w:rFonts w:ascii="宋体" w:cs="宋体" w:hAnsi="宋体"/>
                <w:color w:val="auto"/>
                <w:sz w:val="24"/>
                <w:highlight w:val="none"/>
              </w:rPr>
            </w:pPr>
            <w:r>
              <w:rPr>
                <w:rFonts w:ascii="宋体" w:cs="宋体" w:hAnsi="宋体" w:hint="eastAsia"/>
                <w:color w:val="auto"/>
                <w:sz w:val="24"/>
                <w:highlight w:val="none"/>
              </w:rPr>
              <w:t>符合第三章“供应商须知”第9条规定</w:t>
            </w:r>
          </w:p>
        </w:tc>
      </w:tr>
    </w:tbl>
    <w:p>
      <w:pPr>
        <w:pStyle w:val="style0"/>
        <w:autoSpaceDE w:val="false"/>
        <w:autoSpaceDN w:val="false"/>
        <w:adjustRightInd w:val="false"/>
        <w:spacing w:lineRule="auto" w:line="360"/>
        <w:jc w:val="left"/>
        <w:rPr>
          <w:rFonts w:ascii="宋体" w:cs="宋体" w:hAnsi="宋体"/>
          <w:b/>
          <w:bCs/>
          <w:color w:val="auto"/>
          <w:sz w:val="28"/>
          <w:szCs w:val="28"/>
          <w:highlight w:val="none"/>
          <w:lang w:val="zh-CN"/>
        </w:rPr>
      </w:pPr>
    </w:p>
    <w:p>
      <w:pPr>
        <w:pStyle w:val="style0"/>
        <w:spacing w:lineRule="exact" w:line="500"/>
        <w:ind w:firstLine="419"/>
        <w:jc w:val="left"/>
        <w:rPr>
          <w:rFonts w:ascii="宋体" w:cs="宋体" w:hAnsi="宋体"/>
          <w:b/>
          <w:color w:val="auto"/>
          <w:sz w:val="28"/>
          <w:szCs w:val="28"/>
          <w:highlight w:val="none"/>
        </w:rPr>
      </w:pPr>
      <w:r>
        <w:rPr>
          <w:rFonts w:ascii="宋体" w:cs="宋体" w:hAnsi="宋体" w:hint="eastAsia"/>
          <w:b/>
          <w:bCs/>
          <w:color w:val="auto"/>
          <w:sz w:val="28"/>
          <w:szCs w:val="28"/>
          <w:highlight w:val="none"/>
          <w:lang w:val="zh-CN"/>
        </w:rPr>
        <w:br w:type="page"/>
      </w:r>
      <w:r>
        <w:rPr>
          <w:rFonts w:ascii="宋体" w:cs="宋体" w:hAnsi="宋体" w:hint="eastAsia"/>
          <w:b/>
          <w:color w:val="auto"/>
          <w:sz w:val="28"/>
          <w:szCs w:val="28"/>
          <w:highlight w:val="none"/>
        </w:rPr>
        <w:t>评审办法前附表-----</w:t>
      </w:r>
      <w:r>
        <w:rPr>
          <w:rFonts w:ascii="宋体" w:cs="宋体" w:hAnsi="宋体" w:hint="eastAsia"/>
          <w:b/>
          <w:color w:val="auto"/>
          <w:sz w:val="28"/>
          <w:szCs w:val="28"/>
          <w:highlight w:val="none"/>
          <w:lang w:eastAsia="zh-CN"/>
        </w:rPr>
        <w:t>（</w:t>
      </w:r>
      <w:r>
        <w:rPr>
          <w:rFonts w:ascii="宋体" w:cs="宋体" w:hAnsi="宋体" w:hint="eastAsia"/>
          <w:b/>
          <w:color w:val="auto"/>
          <w:sz w:val="28"/>
          <w:szCs w:val="28"/>
          <w:highlight w:val="none"/>
          <w:lang w:val="en-US" w:eastAsia="zh-CN"/>
        </w:rPr>
        <w:t>一包</w:t>
      </w:r>
      <w:r>
        <w:rPr>
          <w:rFonts w:ascii="宋体" w:cs="宋体" w:hAnsi="宋体" w:hint="eastAsia"/>
          <w:b/>
          <w:color w:val="auto"/>
          <w:sz w:val="28"/>
          <w:szCs w:val="28"/>
          <w:highlight w:val="none"/>
          <w:lang w:eastAsia="zh-CN"/>
        </w:rPr>
        <w:t>）</w:t>
      </w:r>
      <w:r>
        <w:rPr>
          <w:rFonts w:ascii="宋体" w:cs="宋体" w:hAnsi="宋体" w:hint="eastAsia"/>
          <w:b/>
          <w:color w:val="auto"/>
          <w:sz w:val="28"/>
          <w:szCs w:val="28"/>
          <w:highlight w:val="none"/>
        </w:rPr>
        <w:t xml:space="preserve">分值构成与评分标准  </w:t>
      </w:r>
    </w:p>
    <w:tbl>
      <w:tblPr>
        <w:tblStyle w:val="style105"/>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185"/>
        <w:gridCol w:w="1185"/>
        <w:gridCol w:w="1398"/>
        <w:gridCol w:w="6150"/>
      </w:tblGrid>
      <w:tr>
        <w:trPr>
          <w:trHeight w:val="478" w:hRule="atLeast"/>
          <w:jc w:val="center"/>
        </w:trPr>
        <w:tc>
          <w:tcPr>
            <w:tcW w:w="1185" w:type="dxa"/>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pacing w:lineRule="exact" w:line="500"/>
              <w:jc w:val="center"/>
              <w:textAlignment w:val="auto"/>
              <w:rPr>
                <w:rFonts w:ascii="宋体" w:cs="宋体" w:hAnsi="宋体"/>
                <w:b/>
                <w:color w:val="auto"/>
                <w:sz w:val="24"/>
                <w:szCs w:val="24"/>
                <w:highlight w:val="none"/>
              </w:rPr>
            </w:pPr>
            <w:r>
              <w:rPr>
                <w:rFonts w:ascii="宋体" w:cs="宋体" w:hAnsi="宋体" w:hint="eastAsia"/>
                <w:b/>
                <w:color w:val="auto"/>
                <w:sz w:val="24"/>
                <w:szCs w:val="24"/>
                <w:highlight w:val="none"/>
              </w:rPr>
              <w:t>条款号</w:t>
            </w:r>
          </w:p>
        </w:tc>
        <w:tc>
          <w:tcPr>
            <w:tcW w:w="1185" w:type="dxa"/>
            <w:tcBorders/>
            <w:vAlign w:val="center"/>
          </w:tcPr>
          <w:p>
            <w:pPr>
              <w:pStyle w:val="style0"/>
              <w:keepNext w:val="false"/>
              <w:keepLines w:val="false"/>
              <w:pageBreakBefore w:val="false"/>
              <w:kinsoku/>
              <w:wordWrap/>
              <w:overflowPunct/>
              <w:topLinePunct w:val="false"/>
              <w:bidi w:val="false"/>
              <w:spacing w:lineRule="exact" w:line="500"/>
              <w:jc w:val="center"/>
              <w:rPr>
                <w:rFonts w:ascii="宋体" w:cs="宋体" w:hAnsi="宋体"/>
                <w:b/>
                <w:color w:val="auto"/>
                <w:sz w:val="24"/>
                <w:szCs w:val="24"/>
                <w:highlight w:val="none"/>
              </w:rPr>
            </w:pPr>
            <w:r>
              <w:rPr>
                <w:rFonts w:ascii="宋体" w:cs="宋体" w:hAnsi="宋体" w:hint="eastAsia"/>
                <w:b/>
                <w:color w:val="auto"/>
                <w:sz w:val="24"/>
                <w:szCs w:val="24"/>
                <w:highlight w:val="none"/>
              </w:rPr>
              <w:t>条款内容</w:t>
            </w:r>
          </w:p>
        </w:tc>
        <w:tc>
          <w:tcPr>
            <w:tcW w:w="7548" w:type="dxa"/>
            <w:gridSpan w:val="2"/>
            <w:tcBorders/>
            <w:vAlign w:val="center"/>
          </w:tcPr>
          <w:p>
            <w:pPr>
              <w:pStyle w:val="style0"/>
              <w:keepNext w:val="false"/>
              <w:keepLines w:val="false"/>
              <w:pageBreakBefore w:val="false"/>
              <w:kinsoku/>
              <w:wordWrap/>
              <w:overflowPunct/>
              <w:topLinePunct w:val="false"/>
              <w:bidi w:val="false"/>
              <w:spacing w:lineRule="exact" w:line="500"/>
              <w:jc w:val="center"/>
              <w:rPr>
                <w:rFonts w:ascii="宋体" w:cs="宋体" w:hAnsi="宋体"/>
                <w:b/>
                <w:color w:val="auto"/>
                <w:sz w:val="24"/>
                <w:szCs w:val="24"/>
                <w:highlight w:val="none"/>
              </w:rPr>
            </w:pPr>
            <w:r>
              <w:rPr>
                <w:rFonts w:ascii="宋体" w:cs="宋体" w:hAnsi="宋体" w:hint="eastAsia"/>
                <w:b/>
                <w:color w:val="auto"/>
                <w:sz w:val="24"/>
                <w:szCs w:val="24"/>
                <w:highlight w:val="none"/>
              </w:rPr>
              <w:t>编列内容</w:t>
            </w:r>
          </w:p>
        </w:tc>
      </w:tr>
      <w:tr>
        <w:tblPrEx/>
        <w:trPr>
          <w:trHeight w:val="70" w:hRule="atLeast"/>
          <w:jc w:val="center"/>
        </w:trPr>
        <w:tc>
          <w:tcPr>
            <w:tcW w:w="1185" w:type="dxa"/>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pacing w:lineRule="exact" w:line="500"/>
              <w:jc w:val="center"/>
              <w:textAlignment w:val="auto"/>
              <w:rPr>
                <w:rFonts w:ascii="宋体" w:cs="宋体" w:hAnsi="宋体"/>
                <w:color w:val="auto"/>
                <w:sz w:val="24"/>
                <w:szCs w:val="24"/>
                <w:highlight w:val="none"/>
              </w:rPr>
            </w:pPr>
            <w:r>
              <w:rPr>
                <w:rFonts w:ascii="宋体" w:cs="宋体" w:hAnsi="宋体" w:hint="eastAsia"/>
                <w:color w:val="auto"/>
                <w:sz w:val="24"/>
                <w:szCs w:val="24"/>
                <w:highlight w:val="none"/>
              </w:rPr>
              <w:t>2.2.1</w:t>
            </w:r>
          </w:p>
        </w:tc>
        <w:tc>
          <w:tcPr>
            <w:tcW w:w="1185" w:type="dxa"/>
            <w:tcBorders/>
            <w:vAlign w:val="center"/>
          </w:tcPr>
          <w:p>
            <w:pPr>
              <w:pStyle w:val="style0"/>
              <w:keepNext w:val="false"/>
              <w:keepLines w:val="false"/>
              <w:pageBreakBefore w:val="false"/>
              <w:widowControl w:val="false"/>
              <w:kinsoku/>
              <w:wordWrap/>
              <w:overflowPunct/>
              <w:topLinePunct w:val="false"/>
              <w:bidi w:val="false"/>
              <w:snapToGrid w:val="false"/>
              <w:spacing w:lineRule="exact" w:line="500"/>
              <w:jc w:val="center"/>
              <w:rPr>
                <w:rFonts w:ascii="宋体" w:cs="宋体" w:hAnsi="宋体"/>
                <w:color w:val="auto"/>
                <w:sz w:val="24"/>
                <w:szCs w:val="24"/>
                <w:highlight w:val="none"/>
              </w:rPr>
            </w:pPr>
            <w:r>
              <w:rPr>
                <w:rFonts w:ascii="宋体" w:cs="宋体" w:hAnsi="宋体" w:hint="eastAsia"/>
                <w:color w:val="auto"/>
                <w:sz w:val="24"/>
                <w:szCs w:val="24"/>
                <w:highlight w:val="none"/>
              </w:rPr>
              <w:t>分值构成</w:t>
            </w:r>
          </w:p>
          <w:p>
            <w:pPr>
              <w:pStyle w:val="style0"/>
              <w:keepNext w:val="false"/>
              <w:keepLines w:val="false"/>
              <w:pageBreakBefore w:val="false"/>
              <w:widowControl w:val="false"/>
              <w:kinsoku/>
              <w:wordWrap/>
              <w:overflowPunct/>
              <w:topLinePunct w:val="false"/>
              <w:bidi w:val="false"/>
              <w:snapToGrid w:val="false"/>
              <w:spacing w:lineRule="exact" w:line="500"/>
              <w:jc w:val="center"/>
              <w:rPr>
                <w:rFonts w:ascii="宋体" w:cs="宋体" w:hAnsi="宋体"/>
                <w:color w:val="auto"/>
                <w:sz w:val="24"/>
                <w:szCs w:val="24"/>
                <w:highlight w:val="none"/>
              </w:rPr>
            </w:pPr>
            <w:r>
              <w:rPr>
                <w:rFonts w:ascii="宋体" w:cs="宋体" w:hAnsi="宋体" w:hint="eastAsia"/>
                <w:color w:val="auto"/>
                <w:sz w:val="24"/>
                <w:szCs w:val="24"/>
                <w:highlight w:val="none"/>
              </w:rPr>
              <w:t>（总分</w:t>
            </w:r>
          </w:p>
          <w:p>
            <w:pPr>
              <w:pStyle w:val="style0"/>
              <w:keepNext w:val="false"/>
              <w:keepLines w:val="false"/>
              <w:pageBreakBefore w:val="false"/>
              <w:widowControl w:val="false"/>
              <w:kinsoku/>
              <w:wordWrap/>
              <w:overflowPunct/>
              <w:topLinePunct w:val="false"/>
              <w:bidi w:val="false"/>
              <w:snapToGrid w:val="false"/>
              <w:spacing w:lineRule="exact" w:line="500"/>
              <w:jc w:val="center"/>
              <w:rPr>
                <w:rFonts w:ascii="宋体" w:cs="宋体" w:hAnsi="宋体"/>
                <w:color w:val="auto"/>
                <w:sz w:val="24"/>
                <w:szCs w:val="24"/>
                <w:highlight w:val="none"/>
              </w:rPr>
            </w:pPr>
            <w:r>
              <w:rPr>
                <w:rFonts w:ascii="宋体" w:cs="宋体" w:hAnsi="宋体" w:hint="eastAsia"/>
                <w:color w:val="auto"/>
                <w:sz w:val="24"/>
                <w:szCs w:val="24"/>
                <w:highlight w:val="none"/>
              </w:rPr>
              <w:t>100 分）</w:t>
            </w:r>
          </w:p>
        </w:tc>
        <w:tc>
          <w:tcPr>
            <w:tcW w:w="7548" w:type="dxa"/>
            <w:gridSpan w:val="2"/>
            <w:tcBorders/>
            <w:vAlign w:val="center"/>
          </w:tcPr>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color w:val="auto"/>
                <w:sz w:val="24"/>
                <w:szCs w:val="24"/>
                <w:highlight w:val="none"/>
              </w:rPr>
            </w:pPr>
            <w:r>
              <w:rPr>
                <w:rFonts w:ascii="宋体" w:cs="宋体" w:hAnsi="宋体" w:hint="eastAsia"/>
                <w:color w:val="auto"/>
                <w:sz w:val="24"/>
                <w:szCs w:val="24"/>
                <w:highlight w:val="none"/>
              </w:rPr>
              <w:t>价格：</w:t>
            </w:r>
            <w:r>
              <w:rPr>
                <w:rFonts w:ascii="宋体" w:cs="宋体" w:hAnsi="宋体" w:hint="eastAsia"/>
                <w:color w:val="auto"/>
                <w:sz w:val="24"/>
                <w:szCs w:val="24"/>
                <w:highlight w:val="none"/>
                <w:lang w:val="en-US" w:eastAsia="zh-CN"/>
              </w:rPr>
              <w:t>20</w:t>
            </w:r>
            <w:r>
              <w:rPr>
                <w:rFonts w:ascii="宋体" w:cs="宋体" w:hAnsi="宋体" w:hint="eastAsia"/>
                <w:color w:val="auto"/>
                <w:sz w:val="24"/>
                <w:szCs w:val="24"/>
                <w:highlight w:val="none"/>
              </w:rPr>
              <w:t>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color w:val="auto"/>
                <w:sz w:val="24"/>
                <w:szCs w:val="24"/>
                <w:highlight w:val="none"/>
              </w:rPr>
            </w:pPr>
            <w:r>
              <w:rPr>
                <w:rFonts w:ascii="宋体" w:cs="宋体" w:hAnsi="宋体" w:hint="eastAsia"/>
                <w:color w:val="auto"/>
                <w:sz w:val="24"/>
                <w:szCs w:val="24"/>
                <w:highlight w:val="none"/>
              </w:rPr>
              <w:t>技术（服务）：15分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color w:val="auto"/>
                <w:sz w:val="24"/>
                <w:szCs w:val="24"/>
                <w:highlight w:val="none"/>
              </w:rPr>
            </w:pPr>
            <w:r>
              <w:rPr>
                <w:rFonts w:ascii="宋体" w:cs="宋体" w:hAnsi="宋体" w:hint="eastAsia"/>
                <w:color w:val="auto"/>
                <w:sz w:val="24"/>
                <w:szCs w:val="24"/>
                <w:highlight w:val="none"/>
              </w:rPr>
              <w:t>履约能力：</w:t>
            </w:r>
            <w:r>
              <w:rPr>
                <w:rFonts w:ascii="宋体" w:cs="宋体" w:hAnsi="宋体" w:hint="eastAsia"/>
                <w:color w:val="auto"/>
                <w:sz w:val="24"/>
                <w:szCs w:val="24"/>
                <w:highlight w:val="none"/>
                <w:lang w:val="en-US" w:eastAsia="zh-CN"/>
              </w:rPr>
              <w:t>65</w:t>
            </w:r>
            <w:r>
              <w:rPr>
                <w:rFonts w:ascii="宋体" w:cs="宋体" w:hAnsi="宋体" w:hint="eastAsia"/>
                <w:color w:val="auto"/>
                <w:sz w:val="24"/>
                <w:szCs w:val="24"/>
                <w:highlight w:val="none"/>
              </w:rPr>
              <w:t>分</w:t>
            </w:r>
          </w:p>
        </w:tc>
      </w:tr>
      <w:tr>
        <w:tblPrEx/>
        <w:trPr>
          <w:trHeight w:val="552" w:hRule="atLeast"/>
          <w:jc w:val="center"/>
        </w:trPr>
        <w:tc>
          <w:tcPr>
            <w:tcW w:w="1185" w:type="dxa"/>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pacing w:lineRule="exact" w:line="500"/>
              <w:jc w:val="center"/>
              <w:textAlignment w:val="auto"/>
              <w:rPr>
                <w:rFonts w:ascii="宋体" w:cs="宋体" w:hAnsi="宋体"/>
                <w:b/>
                <w:color w:val="auto"/>
                <w:sz w:val="24"/>
                <w:szCs w:val="24"/>
                <w:highlight w:val="none"/>
              </w:rPr>
            </w:pPr>
            <w:r>
              <w:rPr>
                <w:rFonts w:ascii="宋体" w:cs="宋体" w:hAnsi="宋体" w:hint="eastAsia"/>
                <w:b/>
                <w:color w:val="auto"/>
                <w:sz w:val="24"/>
                <w:szCs w:val="24"/>
                <w:highlight w:val="none"/>
              </w:rPr>
              <w:t>条款号</w:t>
            </w:r>
          </w:p>
        </w:tc>
        <w:tc>
          <w:tcPr>
            <w:tcW w:w="1185" w:type="dxa"/>
            <w:tcBorders/>
            <w:vAlign w:val="center"/>
          </w:tcPr>
          <w:p>
            <w:pPr>
              <w:pStyle w:val="style0"/>
              <w:keepNext w:val="false"/>
              <w:keepLines w:val="false"/>
              <w:pageBreakBefore w:val="false"/>
              <w:widowControl w:val="false"/>
              <w:kinsoku/>
              <w:wordWrap/>
              <w:overflowPunct/>
              <w:topLinePunct w:val="false"/>
              <w:bidi w:val="false"/>
              <w:snapToGrid w:val="false"/>
              <w:spacing w:lineRule="exact" w:line="500"/>
              <w:ind w:hanging="13"/>
              <w:jc w:val="center"/>
              <w:rPr>
                <w:rFonts w:ascii="宋体" w:cs="宋体" w:hAnsi="宋体"/>
                <w:b/>
                <w:color w:val="auto"/>
                <w:sz w:val="24"/>
                <w:szCs w:val="24"/>
                <w:highlight w:val="none"/>
              </w:rPr>
            </w:pPr>
            <w:r>
              <w:rPr>
                <w:rFonts w:ascii="宋体" w:cs="宋体" w:hAnsi="宋体" w:hint="eastAsia"/>
                <w:b/>
                <w:color w:val="auto"/>
                <w:sz w:val="24"/>
                <w:szCs w:val="24"/>
                <w:highlight w:val="none"/>
              </w:rPr>
              <w:t>评分因素</w:t>
            </w:r>
          </w:p>
        </w:tc>
        <w:tc>
          <w:tcPr>
            <w:tcW w:w="7548" w:type="dxa"/>
            <w:gridSpan w:val="2"/>
            <w:tcBorders/>
            <w:vAlign w:val="center"/>
          </w:tcPr>
          <w:p>
            <w:pPr>
              <w:pStyle w:val="style0"/>
              <w:keepNext w:val="false"/>
              <w:keepLines w:val="false"/>
              <w:pageBreakBefore w:val="false"/>
              <w:widowControl w:val="false"/>
              <w:kinsoku/>
              <w:wordWrap/>
              <w:overflowPunct/>
              <w:topLinePunct w:val="false"/>
              <w:bidi w:val="false"/>
              <w:snapToGrid w:val="false"/>
              <w:spacing w:lineRule="exact" w:line="500"/>
              <w:jc w:val="center"/>
              <w:rPr>
                <w:rFonts w:ascii="宋体" w:cs="宋体" w:hAnsi="宋体"/>
                <w:b/>
                <w:color w:val="auto"/>
                <w:sz w:val="24"/>
                <w:szCs w:val="24"/>
                <w:highlight w:val="none"/>
              </w:rPr>
            </w:pPr>
            <w:r>
              <w:rPr>
                <w:rFonts w:ascii="宋体" w:cs="宋体" w:hAnsi="宋体" w:hint="eastAsia"/>
                <w:b/>
                <w:color w:val="auto"/>
                <w:sz w:val="24"/>
                <w:szCs w:val="24"/>
                <w:highlight w:val="none"/>
              </w:rPr>
              <w:t>评分标准</w:t>
            </w:r>
          </w:p>
        </w:tc>
      </w:tr>
      <w:tr>
        <w:tblPrEx/>
        <w:trPr>
          <w:trHeight w:val="1948" w:hRule="atLeast"/>
          <w:jc w:val="center"/>
        </w:trPr>
        <w:tc>
          <w:tcPr>
            <w:tcW w:w="1185" w:type="dxa"/>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pacing w:lineRule="exact" w:line="500"/>
              <w:jc w:val="center"/>
              <w:textAlignment w:val="auto"/>
              <w:rPr>
                <w:rFonts w:ascii="宋体" w:cs="宋体" w:hAnsi="宋体"/>
                <w:color w:val="auto"/>
                <w:sz w:val="24"/>
                <w:szCs w:val="24"/>
                <w:highlight w:val="none"/>
              </w:rPr>
            </w:pPr>
            <w:r>
              <w:rPr>
                <w:rFonts w:ascii="宋体" w:cs="宋体" w:hAnsi="宋体" w:hint="eastAsia"/>
                <w:color w:val="auto"/>
                <w:sz w:val="24"/>
                <w:szCs w:val="24"/>
                <w:highlight w:val="none"/>
              </w:rPr>
              <w:t>2.2.2.1</w:t>
            </w:r>
          </w:p>
        </w:tc>
        <w:tc>
          <w:tcPr>
            <w:tcW w:w="1185" w:type="dxa"/>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napToGrid w:val="false"/>
              <w:spacing w:lineRule="exact" w:line="500"/>
              <w:jc w:val="center"/>
              <w:textAlignment w:val="auto"/>
              <w:rPr>
                <w:rFonts w:ascii="宋体" w:cs="宋体" w:hAnsi="宋体"/>
                <w:color w:val="auto"/>
                <w:sz w:val="24"/>
                <w:szCs w:val="24"/>
                <w:highlight w:val="none"/>
              </w:rPr>
            </w:pPr>
            <w:r>
              <w:rPr>
                <w:rFonts w:ascii="宋体" w:cs="宋体" w:hAnsi="宋体" w:hint="eastAsia"/>
                <w:color w:val="auto"/>
                <w:sz w:val="24"/>
                <w:szCs w:val="24"/>
                <w:highlight w:val="none"/>
              </w:rPr>
              <w:t>价格（</w:t>
            </w:r>
            <w:r>
              <w:rPr>
                <w:rFonts w:ascii="宋体" w:cs="宋体" w:hAnsi="宋体" w:hint="eastAsia"/>
                <w:color w:val="auto"/>
                <w:sz w:val="24"/>
                <w:szCs w:val="24"/>
                <w:highlight w:val="none"/>
                <w:lang w:val="en-US" w:eastAsia="zh-CN"/>
              </w:rPr>
              <w:t>20</w:t>
            </w:r>
            <w:r>
              <w:rPr>
                <w:rFonts w:ascii="宋体" w:cs="宋体" w:hAnsi="宋体" w:hint="eastAsia"/>
                <w:color w:val="auto"/>
                <w:sz w:val="24"/>
                <w:szCs w:val="24"/>
                <w:highlight w:val="none"/>
              </w:rPr>
              <w:t>分）</w:t>
            </w:r>
          </w:p>
        </w:tc>
        <w:tc>
          <w:tcPr>
            <w:tcW w:w="7548" w:type="dxa"/>
            <w:gridSpan w:val="2"/>
            <w:tcBorders/>
            <w:vAlign w:val="center"/>
          </w:tcPr>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color w:val="auto"/>
                <w:sz w:val="24"/>
                <w:szCs w:val="24"/>
                <w:highlight w:val="none"/>
              </w:rPr>
            </w:pPr>
            <w:r>
              <w:rPr>
                <w:rFonts w:ascii="宋体" w:cs="宋体" w:hAnsi="宋体" w:hint="eastAsia"/>
                <w:color w:val="auto"/>
                <w:sz w:val="24"/>
                <w:szCs w:val="24"/>
                <w:highlight w:val="none"/>
              </w:rPr>
              <w:t>所有有效供应商的最后磋商报价中，价格最低的最后磋商报价为磋商基准价。</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color w:val="auto"/>
                <w:sz w:val="24"/>
                <w:szCs w:val="24"/>
                <w:highlight w:val="none"/>
              </w:rPr>
            </w:pPr>
            <w:r>
              <w:rPr>
                <w:rFonts w:ascii="宋体" w:cs="宋体" w:hAnsi="宋体" w:hint="eastAsia"/>
                <w:color w:val="auto"/>
                <w:sz w:val="24"/>
                <w:szCs w:val="24"/>
                <w:highlight w:val="none"/>
              </w:rPr>
              <w:t>有效供应商的最后磋商报价等于磋商基准价的得</w:t>
            </w:r>
            <w:r>
              <w:rPr>
                <w:rFonts w:ascii="宋体" w:cs="宋体" w:hAnsi="宋体" w:hint="eastAsia"/>
                <w:color w:val="auto"/>
                <w:sz w:val="24"/>
                <w:szCs w:val="24"/>
                <w:highlight w:val="none"/>
                <w:lang w:val="en-US" w:eastAsia="zh-CN"/>
              </w:rPr>
              <w:t>20</w:t>
            </w:r>
            <w:r>
              <w:rPr>
                <w:rFonts w:ascii="宋体" w:cs="宋体" w:hAnsi="宋体" w:hint="eastAsia"/>
                <w:color w:val="auto"/>
                <w:sz w:val="24"/>
                <w:szCs w:val="24"/>
                <w:highlight w:val="none"/>
              </w:rPr>
              <w:t>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hint="eastAsia"/>
                <w:color w:val="auto"/>
                <w:sz w:val="24"/>
                <w:szCs w:val="24"/>
                <w:highlight w:val="none"/>
              </w:rPr>
            </w:pPr>
            <w:r>
              <w:rPr>
                <w:rFonts w:ascii="宋体" w:cs="宋体" w:hAnsi="宋体" w:hint="eastAsia"/>
                <w:color w:val="auto"/>
                <w:sz w:val="24"/>
                <w:szCs w:val="24"/>
                <w:highlight w:val="none"/>
              </w:rPr>
              <w:t>其他投标单位的最后磋商报价得分=（评标基准价/最后磋商报价）×0.</w:t>
            </w:r>
            <w:r>
              <w:rPr>
                <w:rFonts w:ascii="宋体" w:cs="宋体" w:hAnsi="宋体" w:hint="eastAsia"/>
                <w:color w:val="auto"/>
                <w:sz w:val="24"/>
                <w:szCs w:val="24"/>
                <w:highlight w:val="none"/>
                <w:lang w:val="en-US" w:eastAsia="zh-CN"/>
              </w:rPr>
              <w:t>20</w:t>
            </w:r>
            <w:r>
              <w:rPr>
                <w:rFonts w:ascii="宋体" w:cs="宋体" w:hAnsi="宋体" w:hint="eastAsia"/>
                <w:color w:val="auto"/>
                <w:sz w:val="24"/>
                <w:szCs w:val="24"/>
                <w:highlight w:val="none"/>
              </w:rPr>
              <w:t>×100。</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hint="eastAsia"/>
                <w:color w:val="auto"/>
                <w:sz w:val="24"/>
                <w:szCs w:val="24"/>
                <w:highlight w:val="none"/>
              </w:rPr>
            </w:pPr>
            <w:r>
              <w:rPr>
                <w:rFonts w:ascii="宋体" w:cs="宋体" w:hAnsi="宋体" w:hint="eastAsia"/>
                <w:color w:val="auto"/>
                <w:sz w:val="24"/>
                <w:szCs w:val="24"/>
                <w:highlight w:val="none"/>
              </w:rPr>
              <w:t>注：评标委员会认为</w:t>
            </w:r>
            <w:r>
              <w:rPr>
                <w:rFonts w:ascii="宋体" w:cs="宋体" w:hAnsi="宋体" w:hint="eastAsia"/>
                <w:color w:val="auto"/>
                <w:sz w:val="24"/>
                <w:szCs w:val="24"/>
                <w:highlight w:val="none"/>
                <w:lang w:eastAsia="zh-CN"/>
              </w:rPr>
              <w:t>供应商</w:t>
            </w:r>
            <w:r>
              <w:rPr>
                <w:rFonts w:ascii="宋体" w:cs="宋体" w:hAnsi="宋体" w:hint="eastAsia"/>
                <w:color w:val="auto"/>
                <w:sz w:val="24"/>
                <w:szCs w:val="24"/>
                <w:highlight w:val="none"/>
              </w:rPr>
              <w:t>的报价明显低于其他通过符合性审查</w:t>
            </w:r>
            <w:r>
              <w:rPr>
                <w:rFonts w:ascii="宋体" w:cs="宋体" w:hAnsi="宋体" w:hint="eastAsia"/>
                <w:color w:val="auto"/>
                <w:sz w:val="24"/>
                <w:szCs w:val="24"/>
                <w:highlight w:val="none"/>
                <w:lang w:eastAsia="zh-CN"/>
              </w:rPr>
              <w:t>供应商</w:t>
            </w:r>
            <w:r>
              <w:rPr>
                <w:rFonts w:ascii="宋体" w:cs="宋体" w:hAnsi="宋体" w:hint="eastAsia"/>
                <w:color w:val="auto"/>
                <w:sz w:val="24"/>
                <w:szCs w:val="24"/>
                <w:highlight w:val="none"/>
              </w:rPr>
              <w:t>的报价，有可能影响产品质量或者不能诚信履约的，应当要求其在合理的时间内提供书面说明，必要时提交相关证明材料（包括但不限于人工费、设备费、材料费、交通费、技术服务费、成果印刷费、相关税款）；</w:t>
            </w:r>
            <w:r>
              <w:rPr>
                <w:rFonts w:ascii="宋体" w:cs="宋体" w:hAnsi="宋体" w:hint="eastAsia"/>
                <w:color w:val="auto"/>
                <w:sz w:val="24"/>
                <w:szCs w:val="24"/>
                <w:highlight w:val="none"/>
                <w:lang w:eastAsia="zh-CN"/>
              </w:rPr>
              <w:t>供应商</w:t>
            </w:r>
            <w:r>
              <w:rPr>
                <w:rFonts w:ascii="宋体" w:cs="宋体" w:hAnsi="宋体" w:hint="eastAsia"/>
                <w:color w:val="auto"/>
                <w:sz w:val="24"/>
                <w:szCs w:val="24"/>
                <w:highlight w:val="none"/>
              </w:rPr>
              <w:t>不能证明其报价合理性的，评标委员会应当将其作为无效投标处理。</w:t>
            </w:r>
          </w:p>
          <w:p>
            <w:pPr>
              <w:pStyle w:val="style0"/>
              <w:keepNext w:val="false"/>
              <w:keepLines w:val="false"/>
              <w:pageBreakBefore w:val="false"/>
              <w:widowControl w:val="false"/>
              <w:kinsoku/>
              <w:wordWrap/>
              <w:overflowPunct/>
              <w:topLinePunct w:val="false"/>
              <w:bidi w:val="false"/>
              <w:snapToGrid w:val="false"/>
              <w:spacing w:lineRule="exact" w:line="500"/>
              <w:rPr/>
            </w:pPr>
            <w:r>
              <w:rPr>
                <w:rFonts w:ascii="宋体" w:cs="宋体" w:hAnsi="宋体" w:hint="eastAsia"/>
                <w:color w:val="auto"/>
                <w:sz w:val="24"/>
                <w:szCs w:val="24"/>
                <w:highlight w:val="none"/>
                <w:lang w:eastAsia="zh-CN"/>
              </w:rPr>
              <w:t>折扣率</w:t>
            </w:r>
            <w:r>
              <w:rPr>
                <w:rFonts w:ascii="宋体" w:cs="宋体" w:hAnsi="宋体" w:hint="eastAsia"/>
                <w:color w:val="auto"/>
                <w:sz w:val="24"/>
                <w:szCs w:val="24"/>
                <w:highlight w:val="none"/>
              </w:rPr>
              <w:t>释义：下浮</w:t>
            </w:r>
            <w:r>
              <w:rPr>
                <w:rFonts w:ascii="宋体" w:cs="宋体" w:hAnsi="宋体" w:hint="eastAsia"/>
                <w:color w:val="auto"/>
                <w:sz w:val="24"/>
                <w:szCs w:val="24"/>
                <w:highlight w:val="none"/>
                <w:lang w:val="en-US" w:eastAsia="zh-CN"/>
              </w:rPr>
              <w:t>15</w:t>
            </w:r>
            <w:r>
              <w:rPr>
                <w:rFonts w:ascii="宋体" w:cs="宋体" w:hAnsi="宋体" w:hint="eastAsia"/>
                <w:color w:val="auto"/>
                <w:sz w:val="24"/>
                <w:szCs w:val="24"/>
                <w:highlight w:val="none"/>
              </w:rPr>
              <w:t>%，</w:t>
            </w:r>
            <w:r>
              <w:rPr>
                <w:rFonts w:ascii="宋体" w:cs="宋体" w:hAnsi="宋体" w:hint="eastAsia"/>
                <w:color w:val="auto"/>
                <w:sz w:val="24"/>
                <w:szCs w:val="24"/>
                <w:highlight w:val="none"/>
                <w:lang w:eastAsia="zh-CN"/>
              </w:rPr>
              <w:t>折扣率</w:t>
            </w:r>
            <w:r>
              <w:rPr>
                <w:rFonts w:ascii="宋体" w:cs="宋体" w:hAnsi="宋体" w:hint="eastAsia"/>
                <w:color w:val="auto"/>
                <w:sz w:val="24"/>
                <w:szCs w:val="24"/>
                <w:highlight w:val="none"/>
              </w:rPr>
              <w:t>为</w:t>
            </w:r>
            <w:r>
              <w:rPr>
                <w:rFonts w:ascii="宋体" w:cs="宋体" w:hAnsi="宋体" w:hint="eastAsia"/>
                <w:color w:val="auto"/>
                <w:sz w:val="24"/>
                <w:szCs w:val="24"/>
                <w:highlight w:val="none"/>
                <w:lang w:val="en-US" w:eastAsia="zh-CN"/>
              </w:rPr>
              <w:t>85</w:t>
            </w:r>
            <w:r>
              <w:rPr>
                <w:rFonts w:ascii="宋体" w:cs="宋体" w:hAnsi="宋体" w:hint="eastAsia"/>
                <w:color w:val="auto"/>
                <w:sz w:val="24"/>
                <w:szCs w:val="24"/>
                <w:highlight w:val="none"/>
              </w:rPr>
              <w:t>%</w:t>
            </w:r>
            <w:r>
              <w:rPr>
                <w:rFonts w:ascii="宋体" w:cs="宋体" w:hAnsi="宋体" w:hint="eastAsia"/>
                <w:color w:val="auto"/>
                <w:sz w:val="24"/>
                <w:szCs w:val="24"/>
                <w:highlight w:val="none"/>
                <w:lang w:val="en-US" w:eastAsia="zh-CN"/>
              </w:rPr>
              <w:t>.投标报价应为85%。</w:t>
            </w:r>
          </w:p>
        </w:tc>
      </w:tr>
      <w:tr>
        <w:tblPrEx/>
        <w:trPr>
          <w:trHeight w:val="897" w:hRule="atLeast"/>
          <w:jc w:val="center"/>
        </w:trPr>
        <w:tc>
          <w:tcPr>
            <w:tcW w:w="1185" w:type="dxa"/>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pacing w:lineRule="exact" w:line="500"/>
              <w:jc w:val="center"/>
              <w:textAlignment w:val="auto"/>
              <w:rPr>
                <w:rFonts w:ascii="宋体" w:cs="宋体" w:hAnsi="宋体"/>
                <w:color w:val="auto"/>
                <w:sz w:val="24"/>
                <w:szCs w:val="24"/>
                <w:highlight w:val="none"/>
              </w:rPr>
            </w:pPr>
            <w:r>
              <w:rPr>
                <w:rFonts w:ascii="宋体" w:cs="宋体" w:hAnsi="宋体" w:hint="eastAsia"/>
                <w:color w:val="auto"/>
                <w:sz w:val="24"/>
                <w:szCs w:val="24"/>
                <w:highlight w:val="none"/>
              </w:rPr>
              <w:t>2.2.2.2</w:t>
            </w:r>
          </w:p>
        </w:tc>
        <w:tc>
          <w:tcPr>
            <w:tcW w:w="1185" w:type="dxa"/>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napToGrid w:val="false"/>
              <w:spacing w:lineRule="exact" w:line="500"/>
              <w:jc w:val="center"/>
              <w:textAlignment w:val="auto"/>
              <w:rPr>
                <w:rFonts w:ascii="宋体" w:cs="宋体" w:hAnsi="宋体"/>
                <w:color w:val="auto"/>
                <w:sz w:val="24"/>
                <w:szCs w:val="24"/>
                <w:highlight w:val="none"/>
              </w:rPr>
            </w:pPr>
            <w:r>
              <w:rPr>
                <w:rFonts w:ascii="宋体" w:cs="宋体" w:hAnsi="宋体" w:hint="eastAsia"/>
                <w:color w:val="auto"/>
                <w:sz w:val="24"/>
                <w:szCs w:val="24"/>
                <w:highlight w:val="none"/>
              </w:rPr>
              <w:t>技术</w:t>
            </w:r>
          </w:p>
          <w:p>
            <w:pPr>
              <w:pStyle w:val="style0"/>
              <w:keepNext w:val="false"/>
              <w:keepLines w:val="false"/>
              <w:pageBreakBefore w:val="false"/>
              <w:widowControl w:val="false"/>
              <w:kinsoku/>
              <w:wordWrap/>
              <w:overflowPunct/>
              <w:topLinePunct w:val="false"/>
              <w:autoSpaceDE w:val="false"/>
              <w:autoSpaceDN w:val="false"/>
              <w:bidi w:val="false"/>
              <w:adjustRightInd w:val="false"/>
              <w:snapToGrid w:val="false"/>
              <w:spacing w:lineRule="exact" w:line="500"/>
              <w:jc w:val="center"/>
              <w:textAlignment w:val="auto"/>
              <w:rPr>
                <w:rFonts w:ascii="宋体" w:cs="宋体" w:hAnsi="宋体"/>
                <w:color w:val="auto"/>
                <w:sz w:val="24"/>
                <w:szCs w:val="24"/>
                <w:highlight w:val="none"/>
              </w:rPr>
            </w:pPr>
            <w:r>
              <w:rPr>
                <w:rFonts w:ascii="宋体" w:cs="宋体" w:hAnsi="宋体" w:hint="eastAsia"/>
                <w:color w:val="auto"/>
                <w:sz w:val="24"/>
                <w:szCs w:val="24"/>
                <w:highlight w:val="none"/>
              </w:rPr>
              <w:t>（服务）（15分）</w:t>
            </w:r>
          </w:p>
        </w:tc>
        <w:tc>
          <w:tcPr>
            <w:tcW w:w="7548" w:type="dxa"/>
            <w:gridSpan w:val="2"/>
            <w:tcBorders/>
            <w:vAlign w:val="center"/>
          </w:tcPr>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hAnsi="宋体" w:hint="eastAsia"/>
                <w:color w:val="auto"/>
                <w:sz w:val="24"/>
                <w:szCs w:val="24"/>
                <w:highlight w:val="none"/>
                <w:lang w:val="en-US" w:eastAsia="zh-CN"/>
              </w:rPr>
              <w:t>评审工作进度计划保证措施：</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hAnsi="宋体" w:hint="eastAsia"/>
                <w:color w:val="auto"/>
                <w:sz w:val="24"/>
                <w:szCs w:val="24"/>
                <w:highlight w:val="none"/>
                <w:lang w:val="en-US" w:eastAsia="zh-CN"/>
              </w:rPr>
              <w:t>a、完整、合理、可行的得4分；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hAnsi="宋体" w:hint="eastAsia"/>
                <w:color w:val="auto"/>
                <w:sz w:val="24"/>
                <w:szCs w:val="24"/>
                <w:highlight w:val="none"/>
                <w:lang w:val="en-US" w:eastAsia="zh-CN"/>
              </w:rPr>
              <w:t>b、完整、基本合理、可行的得2.5分；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hAnsi="宋体" w:hint="eastAsia"/>
                <w:color w:val="auto"/>
                <w:sz w:val="24"/>
                <w:szCs w:val="24"/>
                <w:highlight w:val="none"/>
                <w:lang w:val="en-US" w:eastAsia="zh-CN"/>
              </w:rPr>
              <w:t>c、满足基本技术要求需要的得1分；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hAnsi="宋体" w:hint="eastAsia"/>
                <w:color w:val="auto"/>
                <w:sz w:val="24"/>
                <w:szCs w:val="24"/>
                <w:highlight w:val="none"/>
                <w:lang w:val="en-US" w:eastAsia="zh-CN"/>
              </w:rPr>
              <w:t>d、缺项的不得分。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hAnsi="宋体" w:hint="eastAsia"/>
                <w:color w:val="auto"/>
                <w:sz w:val="24"/>
                <w:szCs w:val="24"/>
                <w:highlight w:val="none"/>
                <w:lang w:val="en-US" w:eastAsia="zh-CN"/>
              </w:rPr>
              <w:t>评审项目质量保证措施：</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hAnsi="宋体" w:hint="eastAsia"/>
                <w:color w:val="auto"/>
                <w:sz w:val="24"/>
                <w:szCs w:val="24"/>
                <w:highlight w:val="none"/>
                <w:lang w:val="en-US" w:eastAsia="zh-CN"/>
              </w:rPr>
              <w:t>a、完整、合理、可行的得4分；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hAnsi="宋体" w:hint="eastAsia"/>
                <w:color w:val="auto"/>
                <w:sz w:val="24"/>
                <w:szCs w:val="24"/>
                <w:highlight w:val="none"/>
                <w:lang w:val="en-US" w:eastAsia="zh-CN"/>
              </w:rPr>
              <w:t>b、完整、基本合理、可行的得2.5分；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hAnsi="宋体" w:hint="eastAsia"/>
                <w:color w:val="auto"/>
                <w:sz w:val="24"/>
                <w:szCs w:val="24"/>
                <w:highlight w:val="none"/>
                <w:lang w:val="en-US" w:eastAsia="zh-CN"/>
              </w:rPr>
              <w:t>c、满足基本技术要求需要的得1分；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hAnsi="宋体" w:hint="eastAsia"/>
                <w:color w:val="auto"/>
                <w:sz w:val="24"/>
                <w:szCs w:val="24"/>
                <w:highlight w:val="none"/>
                <w:lang w:val="en-US" w:eastAsia="zh-CN"/>
              </w:rPr>
              <w:t>d、缺项的不得分。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hAnsi="宋体" w:hint="eastAsia"/>
                <w:color w:val="auto"/>
                <w:sz w:val="24"/>
                <w:szCs w:val="24"/>
                <w:highlight w:val="none"/>
                <w:lang w:val="en-US" w:eastAsia="zh-CN"/>
              </w:rPr>
              <w:t>评审项目过程中廉洁保证措施：</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hAnsi="宋体" w:hint="eastAsia"/>
                <w:color w:val="auto"/>
                <w:sz w:val="24"/>
                <w:szCs w:val="24"/>
                <w:highlight w:val="none"/>
                <w:lang w:val="en-US" w:eastAsia="zh-CN"/>
              </w:rPr>
              <w:t>a、完整、合理、可行的得4分；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hAnsi="宋体" w:hint="eastAsia"/>
                <w:color w:val="auto"/>
                <w:sz w:val="24"/>
                <w:szCs w:val="24"/>
                <w:highlight w:val="none"/>
                <w:lang w:val="en-US" w:eastAsia="zh-CN"/>
              </w:rPr>
              <w:t>b、完整、基本合理、可行的得2.5分；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hAnsi="宋体" w:hint="eastAsia"/>
                <w:color w:val="auto"/>
                <w:sz w:val="24"/>
                <w:szCs w:val="24"/>
                <w:highlight w:val="none"/>
                <w:lang w:val="en-US" w:eastAsia="zh-CN"/>
              </w:rPr>
              <w:t>c、满足基本技术要求需要的得1分；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hAnsi="宋体" w:hint="eastAsia"/>
                <w:color w:val="auto"/>
                <w:sz w:val="24"/>
                <w:szCs w:val="24"/>
                <w:highlight w:val="none"/>
                <w:lang w:val="en-US" w:eastAsia="zh-CN"/>
              </w:rPr>
              <w:t>d、缺项的不得分。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hAnsi="宋体" w:hint="eastAsia"/>
                <w:color w:val="auto"/>
                <w:sz w:val="24"/>
                <w:szCs w:val="24"/>
                <w:highlight w:val="none"/>
                <w:lang w:val="en-US" w:eastAsia="zh-CN"/>
              </w:rPr>
              <w:t>档案管理方案：</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hAnsi="宋体" w:hint="eastAsia"/>
                <w:color w:val="auto"/>
                <w:sz w:val="24"/>
                <w:szCs w:val="24"/>
                <w:highlight w:val="none"/>
                <w:lang w:val="en-US" w:eastAsia="zh-CN"/>
              </w:rPr>
              <w:t>a、完整、合理、可行的得3分；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hAnsi="宋体" w:hint="eastAsia"/>
                <w:color w:val="auto"/>
                <w:sz w:val="24"/>
                <w:szCs w:val="24"/>
                <w:highlight w:val="none"/>
                <w:lang w:val="en-US" w:eastAsia="zh-CN"/>
              </w:rPr>
              <w:t>b、完整、基本合理、可行的得2分；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hAnsi="宋体" w:hint="eastAsia"/>
                <w:color w:val="auto"/>
                <w:sz w:val="24"/>
                <w:szCs w:val="24"/>
                <w:highlight w:val="none"/>
                <w:lang w:val="en-US" w:eastAsia="zh-CN"/>
              </w:rPr>
              <w:t>c、满足基本技术要求需要的得1分；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color w:val="auto"/>
                <w:sz w:val="24"/>
                <w:szCs w:val="24"/>
                <w:highlight w:val="none"/>
              </w:rPr>
            </w:pPr>
            <w:r>
              <w:rPr>
                <w:rFonts w:ascii="宋体" w:cs="宋体" w:hAnsi="宋体" w:hint="eastAsia"/>
                <w:color w:val="auto"/>
                <w:sz w:val="24"/>
                <w:szCs w:val="24"/>
                <w:highlight w:val="none"/>
                <w:lang w:val="en-US" w:eastAsia="zh-CN"/>
              </w:rPr>
              <w:t>d、缺项的不得分。</w:t>
            </w:r>
            <w:r>
              <w:rPr>
                <w:rFonts w:ascii="宋体" w:cs="宋体" w:hAnsi="宋体" w:hint="eastAsia"/>
                <w:color w:val="auto"/>
                <w:sz w:val="24"/>
                <w:szCs w:val="24"/>
                <w:highlight w:val="none"/>
              </w:rPr>
              <w:tab/>
            </w:r>
          </w:p>
        </w:tc>
      </w:tr>
      <w:tr>
        <w:tblPrEx/>
        <w:trPr>
          <w:trHeight w:val="602" w:hRule="atLeast"/>
          <w:jc w:val="center"/>
        </w:trPr>
        <w:tc>
          <w:tcPr>
            <w:tcW w:w="1185" w:type="dxa"/>
            <w:vMerge w:val="restart"/>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pacing w:lineRule="exact" w:line="500"/>
              <w:jc w:val="center"/>
              <w:textAlignment w:val="auto"/>
              <w:rPr>
                <w:rFonts w:ascii="宋体" w:cs="宋体" w:hAnsi="宋体"/>
                <w:color w:val="auto"/>
                <w:sz w:val="24"/>
                <w:szCs w:val="24"/>
                <w:highlight w:val="none"/>
              </w:rPr>
            </w:pPr>
            <w:r>
              <w:rPr>
                <w:rFonts w:ascii="宋体" w:cs="宋体" w:hAnsi="宋体" w:hint="eastAsia"/>
                <w:color w:val="auto"/>
                <w:sz w:val="24"/>
                <w:szCs w:val="24"/>
                <w:highlight w:val="none"/>
              </w:rPr>
              <w:t>2.2.2.3</w:t>
            </w:r>
          </w:p>
        </w:tc>
        <w:tc>
          <w:tcPr>
            <w:tcW w:w="1185" w:type="dxa"/>
            <w:vMerge w:val="restart"/>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napToGrid w:val="false"/>
              <w:spacing w:lineRule="exact" w:line="500"/>
              <w:jc w:val="center"/>
              <w:textAlignment w:val="auto"/>
              <w:rPr>
                <w:rFonts w:ascii="宋体" w:cs="宋体" w:eastAsia="宋体" w:hAnsi="宋体" w:hint="eastAsia"/>
                <w:color w:val="auto"/>
                <w:sz w:val="24"/>
                <w:szCs w:val="24"/>
                <w:highlight w:val="none"/>
              </w:rPr>
            </w:pPr>
            <w:r>
              <w:rPr>
                <w:rFonts w:ascii="宋体" w:cs="宋体" w:eastAsia="宋体" w:hAnsi="宋体" w:hint="eastAsia"/>
                <w:color w:val="auto"/>
                <w:sz w:val="24"/>
                <w:szCs w:val="24"/>
                <w:highlight w:val="none"/>
              </w:rPr>
              <w:t>履约能力（</w:t>
            </w:r>
            <w:r>
              <w:rPr>
                <w:rFonts w:ascii="宋体" w:cs="宋体" w:hAnsi="宋体" w:hint="eastAsia"/>
                <w:color w:val="auto"/>
                <w:sz w:val="24"/>
                <w:szCs w:val="24"/>
                <w:highlight w:val="none"/>
                <w:lang w:val="en-US" w:eastAsia="zh-CN"/>
              </w:rPr>
              <w:t>65</w:t>
            </w:r>
            <w:r>
              <w:rPr>
                <w:rFonts w:ascii="宋体" w:cs="宋体" w:eastAsia="宋体" w:hAnsi="宋体" w:hint="eastAsia"/>
                <w:color w:val="auto"/>
                <w:sz w:val="24"/>
                <w:szCs w:val="24"/>
                <w:highlight w:val="none"/>
              </w:rPr>
              <w:t>分）</w:t>
            </w:r>
          </w:p>
        </w:tc>
        <w:tc>
          <w:tcPr>
            <w:tcW w:w="1398" w:type="dxa"/>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napToGrid w:val="false"/>
              <w:spacing w:lineRule="exact" w:line="500"/>
              <w:jc w:val="center"/>
              <w:textAlignment w:val="auto"/>
              <w:rPr>
                <w:rFonts w:ascii="宋体" w:cs="宋体" w:eastAsia="宋体" w:hAnsi="宋体" w:hint="eastAsia"/>
                <w:color w:val="auto"/>
                <w:sz w:val="24"/>
                <w:szCs w:val="24"/>
                <w:highlight w:val="none"/>
                <w:lang w:val="en-US" w:eastAsia="zh-CN"/>
              </w:rPr>
            </w:pPr>
            <w:r>
              <w:rPr>
                <w:rFonts w:ascii="宋体" w:cs="宋体" w:eastAsia="宋体" w:hAnsi="宋体" w:hint="eastAsia"/>
                <w:color w:val="auto"/>
                <w:sz w:val="24"/>
                <w:szCs w:val="24"/>
                <w:highlight w:val="none"/>
              </w:rPr>
              <w:t>办公场所（1</w:t>
            </w:r>
            <w:r>
              <w:rPr>
                <w:rFonts w:ascii="宋体" w:cs="宋体" w:eastAsia="宋体" w:hAnsi="宋体" w:hint="eastAsia"/>
                <w:color w:val="auto"/>
                <w:sz w:val="24"/>
                <w:szCs w:val="24"/>
                <w:highlight w:val="none"/>
                <w:lang w:val="en-US" w:eastAsia="zh-CN"/>
              </w:rPr>
              <w:t>5</w:t>
            </w:r>
            <w:r>
              <w:rPr>
                <w:rFonts w:ascii="宋体" w:cs="宋体" w:eastAsia="宋体" w:hAnsi="宋体" w:hint="eastAsia"/>
                <w:color w:val="auto"/>
                <w:sz w:val="24"/>
                <w:szCs w:val="24"/>
                <w:highlight w:val="none"/>
              </w:rPr>
              <w:t>分）</w:t>
            </w:r>
          </w:p>
        </w:tc>
        <w:tc>
          <w:tcPr>
            <w:tcW w:w="6150" w:type="dxa"/>
            <w:tcBorders/>
            <w:vAlign w:val="center"/>
          </w:tcPr>
          <w:p>
            <w:pPr>
              <w:pStyle w:val="style0"/>
              <w:keepNext w:val="false"/>
              <w:keepLines w:val="false"/>
              <w:pageBreakBefore w:val="false"/>
              <w:widowControl w:val="false"/>
              <w:numPr>
                <w:ilvl w:val="0"/>
                <w:numId w:val="1"/>
              </w:numPr>
              <w:kinsoku/>
              <w:wordWrap/>
              <w:overflowPunct/>
              <w:topLinePunct w:val="false"/>
              <w:bidi w:val="false"/>
              <w:snapToGrid w:val="false"/>
              <w:spacing w:lineRule="exact" w:line="500"/>
              <w:rPr>
                <w:rFonts w:ascii="宋体" w:cs="宋体" w:hAnsi="宋体" w:hint="eastAsia"/>
                <w:color w:val="auto"/>
                <w:sz w:val="24"/>
                <w:szCs w:val="24"/>
                <w:highlight w:val="none"/>
                <w:lang w:eastAsia="zh-CN"/>
              </w:rPr>
            </w:pPr>
            <w:r>
              <w:rPr>
                <w:rFonts w:ascii="宋体" w:cs="宋体" w:eastAsia="宋体" w:hAnsi="宋体" w:hint="eastAsia"/>
                <w:color w:val="auto"/>
                <w:sz w:val="24"/>
                <w:szCs w:val="24"/>
                <w:highlight w:val="none"/>
              </w:rPr>
              <w:t>根据要求提供项目跟踪及不定时现场服务的特点，</w:t>
            </w:r>
            <w:r>
              <w:rPr>
                <w:rFonts w:ascii="宋体" w:cs="宋体" w:eastAsia="宋体" w:hAnsi="宋体" w:hint="eastAsia"/>
                <w:color w:val="auto"/>
                <w:sz w:val="24"/>
                <w:szCs w:val="24"/>
                <w:highlight w:val="none"/>
                <w:lang w:eastAsia="zh-CN"/>
              </w:rPr>
              <w:t>供应商</w:t>
            </w:r>
            <w:r>
              <w:rPr>
                <w:rFonts w:ascii="宋体" w:cs="宋体" w:eastAsia="宋体" w:hAnsi="宋体" w:hint="eastAsia"/>
                <w:color w:val="auto"/>
                <w:sz w:val="24"/>
                <w:szCs w:val="24"/>
                <w:highlight w:val="none"/>
              </w:rPr>
              <w:t>需提供本地化服务，在招标人所在地的安阳市市内（含安东新区）具有功能齐全的办公场所</w:t>
            </w:r>
            <w:r>
              <w:rPr>
                <w:rFonts w:ascii="宋体" w:cs="宋体" w:hAnsi="宋体" w:hint="eastAsia"/>
                <w:color w:val="auto"/>
                <w:sz w:val="24"/>
                <w:szCs w:val="24"/>
                <w:highlight w:val="none"/>
                <w:lang w:eastAsia="zh-CN"/>
              </w:rPr>
              <w:t>：</w:t>
            </w:r>
          </w:p>
          <w:p>
            <w:pPr>
              <w:pStyle w:val="style0"/>
              <w:keepNext w:val="false"/>
              <w:keepLines w:val="false"/>
              <w:pageBreakBefore w:val="false"/>
              <w:widowControl w:val="false"/>
              <w:numPr>
                <w:ilvl w:val="0"/>
                <w:numId w:val="0"/>
              </w:numPr>
              <w:kinsoku/>
              <w:wordWrap/>
              <w:overflowPunct/>
              <w:topLinePunct w:val="false"/>
              <w:bidi w:val="false"/>
              <w:snapToGrid w:val="false"/>
              <w:spacing w:lineRule="exact" w:line="500"/>
              <w:rPr>
                <w:rFonts w:ascii="宋体" w:cs="宋体" w:eastAsia="宋体" w:hAnsi="宋体" w:hint="default"/>
                <w:color w:val="auto"/>
                <w:sz w:val="24"/>
                <w:szCs w:val="24"/>
                <w:highlight w:val="none"/>
                <w:lang w:val="en-US" w:eastAsia="zh-CN"/>
              </w:rPr>
            </w:pPr>
            <w:r>
              <w:rPr>
                <w:rFonts w:ascii="宋体" w:cs="宋体" w:eastAsia="宋体" w:hAnsi="宋体" w:hint="eastAsia"/>
                <w:color w:val="auto"/>
                <w:sz w:val="24"/>
                <w:szCs w:val="24"/>
                <w:highlight w:val="none"/>
              </w:rPr>
              <w:t>具有独立的办公</w:t>
            </w:r>
            <w:r>
              <w:rPr>
                <w:rFonts w:ascii="宋体" w:cs="宋体" w:hAnsi="宋体" w:hint="eastAsia"/>
                <w:color w:val="auto"/>
                <w:sz w:val="24"/>
                <w:szCs w:val="24"/>
                <w:highlight w:val="none"/>
                <w:lang w:eastAsia="zh-CN"/>
              </w:rPr>
              <w:t>室，每提供一间得</w:t>
            </w:r>
            <w:r>
              <w:rPr>
                <w:rFonts w:ascii="宋体" w:cs="宋体" w:hAnsi="宋体" w:hint="eastAsia"/>
                <w:color w:val="auto"/>
                <w:sz w:val="24"/>
                <w:szCs w:val="24"/>
                <w:highlight w:val="none"/>
                <w:lang w:val="en-US" w:eastAsia="zh-CN"/>
              </w:rPr>
              <w:t>2分，</w:t>
            </w:r>
            <w:r>
              <w:rPr>
                <w:rFonts w:ascii="宋体" w:cs="宋体" w:eastAsia="宋体" w:hAnsi="宋体" w:hint="eastAsia"/>
                <w:color w:val="auto"/>
                <w:sz w:val="24"/>
                <w:szCs w:val="24"/>
                <w:highlight w:val="none"/>
              </w:rPr>
              <w:t>该项最高得</w:t>
            </w:r>
            <w:r>
              <w:rPr>
                <w:rFonts w:ascii="宋体" w:cs="宋体" w:hAnsi="宋体" w:hint="eastAsia"/>
                <w:color w:val="auto"/>
                <w:sz w:val="24"/>
                <w:szCs w:val="24"/>
                <w:highlight w:val="none"/>
                <w:lang w:val="en-US" w:eastAsia="zh-CN"/>
              </w:rPr>
              <w:t>4</w:t>
            </w:r>
            <w:r>
              <w:rPr>
                <w:rFonts w:ascii="宋体" w:cs="宋体" w:eastAsia="宋体" w:hAnsi="宋体" w:hint="eastAsia"/>
                <w:color w:val="auto"/>
                <w:sz w:val="24"/>
                <w:szCs w:val="24"/>
                <w:highlight w:val="none"/>
              </w:rPr>
              <w:t>分。独立的会议区</w:t>
            </w:r>
            <w:r>
              <w:rPr>
                <w:rFonts w:ascii="宋体" w:cs="宋体" w:hAnsi="宋体" w:hint="eastAsia"/>
                <w:color w:val="auto"/>
                <w:sz w:val="24"/>
                <w:szCs w:val="24"/>
                <w:highlight w:val="none"/>
                <w:lang w:eastAsia="zh-CN"/>
              </w:rPr>
              <w:t>得</w:t>
            </w:r>
            <w:r>
              <w:rPr>
                <w:rFonts w:ascii="宋体" w:cs="宋体" w:hAnsi="宋体" w:hint="eastAsia"/>
                <w:color w:val="auto"/>
                <w:sz w:val="24"/>
                <w:szCs w:val="24"/>
                <w:highlight w:val="none"/>
                <w:lang w:val="en-US" w:eastAsia="zh-CN"/>
              </w:rPr>
              <w:t>2分</w:t>
            </w:r>
            <w:r>
              <w:rPr>
                <w:rFonts w:ascii="宋体" w:cs="宋体" w:eastAsia="宋体" w:hAnsi="宋体" w:hint="eastAsia"/>
                <w:color w:val="auto"/>
                <w:sz w:val="24"/>
                <w:szCs w:val="24"/>
                <w:highlight w:val="none"/>
              </w:rPr>
              <w:t>、独立的核对室</w:t>
            </w:r>
            <w:r>
              <w:rPr>
                <w:rFonts w:ascii="宋体" w:cs="宋体" w:hAnsi="宋体" w:hint="eastAsia"/>
                <w:color w:val="auto"/>
                <w:sz w:val="24"/>
                <w:szCs w:val="24"/>
                <w:highlight w:val="none"/>
                <w:lang w:eastAsia="zh-CN"/>
              </w:rPr>
              <w:t>得</w:t>
            </w:r>
            <w:r>
              <w:rPr>
                <w:rFonts w:ascii="宋体" w:cs="宋体" w:hAnsi="宋体" w:hint="eastAsia"/>
                <w:color w:val="auto"/>
                <w:sz w:val="24"/>
                <w:szCs w:val="24"/>
                <w:highlight w:val="none"/>
                <w:lang w:val="en-US" w:eastAsia="zh-CN"/>
              </w:rPr>
              <w:t>2分</w:t>
            </w:r>
            <w:r>
              <w:rPr>
                <w:rFonts w:ascii="宋体" w:cs="宋体" w:eastAsia="宋体" w:hAnsi="宋体" w:hint="eastAsia"/>
                <w:color w:val="auto"/>
                <w:sz w:val="24"/>
                <w:szCs w:val="24"/>
                <w:highlight w:val="none"/>
              </w:rPr>
              <w:t>、独立的档案室</w:t>
            </w:r>
            <w:r>
              <w:rPr>
                <w:rFonts w:ascii="宋体" w:cs="宋体" w:hAnsi="宋体" w:hint="eastAsia"/>
                <w:color w:val="auto"/>
                <w:sz w:val="24"/>
                <w:szCs w:val="24"/>
                <w:highlight w:val="none"/>
                <w:lang w:eastAsia="zh-CN"/>
              </w:rPr>
              <w:t>得</w:t>
            </w:r>
            <w:r>
              <w:rPr>
                <w:rFonts w:ascii="宋体" w:cs="宋体" w:hAnsi="宋体" w:hint="eastAsia"/>
                <w:color w:val="auto"/>
                <w:sz w:val="24"/>
                <w:szCs w:val="24"/>
                <w:highlight w:val="none"/>
                <w:lang w:val="en-US" w:eastAsia="zh-CN"/>
              </w:rPr>
              <w:t>2分</w:t>
            </w:r>
            <w:r>
              <w:rPr>
                <w:rFonts w:ascii="宋体" w:cs="宋体" w:eastAsia="宋体" w:hAnsi="宋体" w:hint="eastAsia"/>
                <w:color w:val="auto"/>
                <w:sz w:val="24"/>
                <w:szCs w:val="24"/>
                <w:highlight w:val="none"/>
              </w:rPr>
              <w:t>），《投标文件》须提供办公平面图，表明具体地址、楼层、房间号、房间功能。</w:t>
            </w:r>
            <w:r>
              <w:rPr>
                <w:rFonts w:ascii="宋体" w:cs="宋体" w:hAnsi="宋体" w:hint="eastAsia"/>
                <w:color w:val="auto"/>
                <w:sz w:val="24"/>
                <w:szCs w:val="24"/>
                <w:highlight w:val="none"/>
                <w:lang w:eastAsia="zh-CN"/>
              </w:rPr>
              <w:t>本项得</w:t>
            </w:r>
            <w:r>
              <w:rPr>
                <w:rFonts w:ascii="宋体" w:cs="宋体" w:hAnsi="宋体" w:hint="eastAsia"/>
                <w:color w:val="auto"/>
                <w:sz w:val="24"/>
                <w:szCs w:val="24"/>
                <w:highlight w:val="none"/>
                <w:lang w:val="en-US" w:eastAsia="zh-CN"/>
              </w:rPr>
              <w:t>10分。</w:t>
            </w:r>
          </w:p>
          <w:p>
            <w:pPr>
              <w:pStyle w:val="style0"/>
              <w:keepNext w:val="false"/>
              <w:keepLines w:val="false"/>
              <w:pageBreakBefore w:val="false"/>
              <w:widowControl w:val="false"/>
              <w:numPr>
                <w:ilvl w:val="0"/>
                <w:numId w:val="1"/>
              </w:numPr>
              <w:kinsoku/>
              <w:wordWrap/>
              <w:overflowPunct/>
              <w:topLinePunct w:val="false"/>
              <w:bidi w:val="false"/>
              <w:snapToGrid w:val="false"/>
              <w:spacing w:lineRule="exact" w:line="500"/>
              <w:ind w:left="0" w:leftChars="0" w:firstLine="0" w:firstLineChars="0"/>
              <w:rPr>
                <w:rFonts w:ascii="宋体" w:cs="宋体" w:eastAsia="宋体" w:hAnsi="宋体" w:hint="eastAsia"/>
                <w:color w:val="auto"/>
                <w:sz w:val="24"/>
                <w:szCs w:val="24"/>
                <w:highlight w:val="none"/>
              </w:rPr>
            </w:pPr>
            <w:r>
              <w:rPr>
                <w:rFonts w:ascii="宋体" w:cs="宋体" w:eastAsia="宋体" w:hAnsi="宋体" w:hint="eastAsia"/>
                <w:color w:val="auto"/>
                <w:sz w:val="24"/>
                <w:szCs w:val="24"/>
                <w:highlight w:val="none"/>
                <w:lang w:eastAsia="zh-CN"/>
              </w:rPr>
              <w:t>供应商</w:t>
            </w:r>
            <w:r>
              <w:rPr>
                <w:rFonts w:ascii="宋体" w:cs="宋体" w:eastAsia="宋体" w:hAnsi="宋体" w:hint="eastAsia"/>
                <w:color w:val="auto"/>
                <w:sz w:val="24"/>
                <w:szCs w:val="24"/>
                <w:highlight w:val="none"/>
              </w:rPr>
              <w:t>非住宅性质的得5分。</w:t>
            </w:r>
          </w:p>
          <w:p>
            <w:pPr>
              <w:pStyle w:val="style0"/>
              <w:keepNext w:val="false"/>
              <w:keepLines w:val="false"/>
              <w:pageBreakBefore w:val="false"/>
              <w:widowControl w:val="false"/>
              <w:numPr>
                <w:ilvl w:val="0"/>
                <w:numId w:val="0"/>
              </w:numPr>
              <w:kinsoku/>
              <w:wordWrap/>
              <w:overflowPunct/>
              <w:topLinePunct w:val="false"/>
              <w:bidi w:val="false"/>
              <w:snapToGrid w:val="false"/>
              <w:spacing w:lineRule="exact" w:line="500"/>
              <w:ind w:leftChars="0"/>
              <w:rPr>
                <w:rFonts w:ascii="宋体" w:cs="宋体" w:eastAsia="宋体" w:hAnsi="宋体" w:hint="eastAsia"/>
                <w:color w:val="auto"/>
                <w:sz w:val="24"/>
                <w:szCs w:val="24"/>
                <w:highlight w:val="none"/>
                <w:lang w:val="en-US" w:eastAsia="zh-CN"/>
              </w:rPr>
            </w:pPr>
            <w:r>
              <w:rPr>
                <w:rFonts w:ascii="宋体" w:cs="宋体" w:hAnsi="宋体" w:hint="eastAsia"/>
                <w:color w:val="auto"/>
                <w:sz w:val="24"/>
                <w:szCs w:val="24"/>
                <w:highlight w:val="none"/>
                <w:lang w:eastAsia="zh-CN"/>
              </w:rPr>
              <w:t>注：</w:t>
            </w:r>
            <w:r>
              <w:rPr>
                <w:rFonts w:ascii="宋体" w:cs="宋体" w:hAnsi="宋体" w:hint="eastAsia"/>
                <w:color w:val="auto"/>
                <w:sz w:val="24"/>
                <w:szCs w:val="24"/>
                <w:highlight w:val="none"/>
                <w:lang w:val="en-US" w:eastAsia="zh-CN"/>
              </w:rPr>
              <w:t>1.</w:t>
            </w:r>
            <w:r>
              <w:rPr>
                <w:rFonts w:ascii="宋体" w:cs="宋体" w:eastAsia="宋体" w:hAnsi="宋体" w:hint="eastAsia"/>
                <w:color w:val="auto"/>
                <w:sz w:val="24"/>
                <w:szCs w:val="24"/>
                <w:highlight w:val="none"/>
              </w:rPr>
              <w:t>《投标文件》须提供房产证或租赁合同</w:t>
            </w:r>
            <w:r>
              <w:rPr>
                <w:rFonts w:ascii="宋体" w:cs="宋体" w:hAnsi="宋体" w:hint="eastAsia"/>
                <w:color w:val="auto"/>
                <w:sz w:val="24"/>
                <w:szCs w:val="24"/>
                <w:highlight w:val="none"/>
                <w:lang w:eastAsia="zh-CN"/>
              </w:rPr>
              <w:t>（如为租赁房屋，需在租赁合同显示非住宅性质）</w:t>
            </w:r>
            <w:r>
              <w:rPr>
                <w:rFonts w:ascii="宋体" w:cs="宋体" w:eastAsia="宋体" w:hAnsi="宋体" w:hint="eastAsia"/>
                <w:color w:val="auto"/>
                <w:sz w:val="24"/>
                <w:szCs w:val="24"/>
                <w:highlight w:val="none"/>
              </w:rPr>
              <w:t>。</w:t>
            </w:r>
            <w:r>
              <w:rPr>
                <w:rFonts w:ascii="宋体" w:cs="宋体" w:hAnsi="宋体" w:hint="eastAsia"/>
                <w:color w:val="auto"/>
                <w:sz w:val="24"/>
                <w:szCs w:val="24"/>
                <w:highlight w:val="none"/>
                <w:lang w:eastAsia="zh-CN"/>
              </w:rPr>
              <w:t>如未提供证明材料，本项不得分。</w:t>
            </w:r>
            <w:r>
              <w:rPr>
                <w:rFonts w:ascii="宋体" w:cs="宋体" w:hAnsi="宋体" w:hint="eastAsia"/>
                <w:color w:val="auto"/>
                <w:sz w:val="24"/>
                <w:szCs w:val="24"/>
                <w:highlight w:val="none"/>
                <w:lang w:val="en-US" w:eastAsia="zh-CN"/>
              </w:rPr>
              <w:t>2.</w:t>
            </w:r>
            <w:r>
              <w:rPr>
                <w:rFonts w:ascii="宋体" w:cs="宋体" w:hAnsi="宋体" w:hint="eastAsia"/>
                <w:color w:val="auto"/>
                <w:sz w:val="24"/>
                <w:szCs w:val="24"/>
                <w:highlight w:val="none"/>
                <w:lang w:eastAsia="zh-CN"/>
              </w:rPr>
              <w:t>开标时需携带原件，未提供原件不</w:t>
            </w:r>
            <w:r>
              <w:rPr>
                <w:rFonts w:ascii="宋体" w:cs="宋体" w:hAnsi="宋体" w:hint="default"/>
                <w:color w:val="auto"/>
                <w:sz w:val="24"/>
                <w:szCs w:val="24"/>
                <w:highlight w:val="none"/>
                <w:lang w:val="en-US" w:eastAsia="zh-CN"/>
              </w:rPr>
              <w:t>得</w:t>
            </w:r>
            <w:r>
              <w:rPr>
                <w:rFonts w:ascii="宋体" w:cs="宋体" w:hAnsi="宋体" w:hint="eastAsia"/>
                <w:color w:val="auto"/>
                <w:sz w:val="24"/>
                <w:szCs w:val="24"/>
                <w:highlight w:val="none"/>
                <w:lang w:eastAsia="zh-CN"/>
              </w:rPr>
              <w:t>分。</w:t>
            </w:r>
          </w:p>
        </w:tc>
      </w:tr>
      <w:tr>
        <w:tblPrEx/>
        <w:trPr>
          <w:trHeight w:val="602" w:hRule="atLeast"/>
          <w:jc w:val="center"/>
        </w:trPr>
        <w:tc>
          <w:tcPr>
            <w:tcW w:w="1185" w:type="dxa"/>
            <w:vMerge w:val="continue"/>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pacing w:lineRule="exact" w:line="500"/>
              <w:jc w:val="center"/>
              <w:textAlignment w:val="auto"/>
              <w:rPr>
                <w:rFonts w:ascii="宋体" w:cs="宋体" w:hAnsi="宋体" w:hint="eastAsia"/>
                <w:color w:val="auto"/>
                <w:sz w:val="24"/>
                <w:szCs w:val="24"/>
                <w:highlight w:val="none"/>
              </w:rPr>
            </w:pPr>
          </w:p>
        </w:tc>
        <w:tc>
          <w:tcPr>
            <w:tcW w:w="1185" w:type="dxa"/>
            <w:vMerge w:val="continue"/>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napToGrid w:val="false"/>
              <w:spacing w:lineRule="exact" w:line="500"/>
              <w:jc w:val="center"/>
              <w:textAlignment w:val="auto"/>
              <w:rPr>
                <w:rFonts w:ascii="宋体" w:cs="宋体" w:eastAsia="宋体" w:hAnsi="宋体" w:hint="eastAsia"/>
                <w:color w:val="auto"/>
                <w:sz w:val="24"/>
                <w:szCs w:val="24"/>
                <w:highlight w:val="none"/>
              </w:rPr>
            </w:pPr>
          </w:p>
        </w:tc>
        <w:tc>
          <w:tcPr>
            <w:tcW w:w="1398" w:type="dxa"/>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napToGrid w:val="false"/>
              <w:spacing w:lineRule="exact" w:line="500"/>
              <w:jc w:val="center"/>
              <w:textAlignment w:val="auto"/>
              <w:rPr>
                <w:rFonts w:ascii="宋体" w:cs="宋体" w:eastAsia="宋体" w:hAnsi="宋体" w:hint="eastAsia"/>
                <w:color w:val="auto"/>
                <w:sz w:val="24"/>
                <w:szCs w:val="24"/>
                <w:highlight w:val="none"/>
                <w:lang w:val="en-US" w:eastAsia="zh-CN"/>
              </w:rPr>
            </w:pPr>
            <w:r>
              <w:rPr>
                <w:rFonts w:ascii="宋体" w:cs="宋体" w:eastAsia="宋体" w:hAnsi="宋体" w:hint="eastAsia"/>
                <w:color w:val="auto"/>
                <w:sz w:val="24"/>
                <w:szCs w:val="24"/>
                <w:highlight w:val="none"/>
              </w:rPr>
              <w:t>拟派人员配备（22分）</w:t>
            </w:r>
          </w:p>
        </w:tc>
        <w:tc>
          <w:tcPr>
            <w:tcW w:w="6150" w:type="dxa"/>
            <w:tcBorders/>
            <w:vAlign w:val="center"/>
          </w:tcPr>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eastAsia="宋体" w:hAnsi="宋体" w:hint="eastAsia"/>
                <w:color w:val="auto"/>
                <w:sz w:val="24"/>
                <w:szCs w:val="24"/>
                <w:highlight w:val="none"/>
              </w:rPr>
            </w:pPr>
            <w:r>
              <w:rPr>
                <w:rFonts w:ascii="宋体" w:cs="宋体" w:eastAsia="宋体" w:hAnsi="宋体" w:hint="eastAsia"/>
                <w:color w:val="auto"/>
                <w:sz w:val="24"/>
                <w:szCs w:val="24"/>
                <w:highlight w:val="none"/>
              </w:rPr>
              <w:t>本包注册造价师以住建部颁发为准。</w:t>
            </w:r>
          </w:p>
          <w:p>
            <w:pPr>
              <w:pStyle w:val="style0"/>
              <w:keepNext w:val="false"/>
              <w:keepLines w:val="false"/>
              <w:pageBreakBefore w:val="false"/>
              <w:widowControl w:val="false"/>
              <w:numPr>
                <w:ilvl w:val="0"/>
                <w:numId w:val="2"/>
              </w:numPr>
              <w:kinsoku/>
              <w:wordWrap/>
              <w:overflowPunct/>
              <w:topLinePunct w:val="false"/>
              <w:bidi w:val="false"/>
              <w:snapToGrid w:val="false"/>
              <w:spacing w:lineRule="exact" w:line="500"/>
              <w:rPr>
                <w:rFonts w:ascii="宋体" w:cs="宋体" w:eastAsia="宋体" w:hAnsi="宋体" w:hint="eastAsia"/>
                <w:color w:val="auto"/>
                <w:sz w:val="24"/>
                <w:szCs w:val="24"/>
                <w:highlight w:val="none"/>
              </w:rPr>
            </w:pPr>
            <w:r>
              <w:rPr>
                <w:rFonts w:ascii="宋体" w:cs="宋体" w:eastAsia="宋体" w:hAnsi="宋体" w:hint="eastAsia"/>
                <w:color w:val="auto"/>
                <w:sz w:val="24"/>
                <w:szCs w:val="24"/>
                <w:highlight w:val="none"/>
              </w:rPr>
              <w:t>拟派项目负责人具有注册造价工程师且具有高级职称的，得3分。</w:t>
            </w:r>
          </w:p>
          <w:p>
            <w:pPr>
              <w:pStyle w:val="style0"/>
              <w:keepNext w:val="false"/>
              <w:keepLines w:val="false"/>
              <w:pageBreakBefore w:val="false"/>
              <w:widowControl w:val="false"/>
              <w:numPr>
                <w:ilvl w:val="0"/>
                <w:numId w:val="0"/>
              </w:numPr>
              <w:kinsoku/>
              <w:wordWrap/>
              <w:overflowPunct/>
              <w:topLinePunct w:val="false"/>
              <w:bidi w:val="false"/>
              <w:snapToGrid w:val="false"/>
              <w:spacing w:lineRule="exact" w:line="500"/>
              <w:rPr>
                <w:rFonts w:ascii="宋体" w:cs="宋体" w:eastAsia="宋体" w:hAnsi="宋体" w:hint="eastAsia"/>
                <w:color w:val="auto"/>
                <w:sz w:val="24"/>
                <w:szCs w:val="24"/>
                <w:highlight w:val="none"/>
              </w:rPr>
            </w:pPr>
            <w:r>
              <w:rPr>
                <w:rFonts w:ascii="宋体" w:cs="宋体" w:eastAsia="宋体" w:hAnsi="宋体" w:hint="eastAsia"/>
                <w:color w:val="auto"/>
                <w:sz w:val="24"/>
                <w:szCs w:val="24"/>
                <w:highlight w:val="none"/>
              </w:rPr>
              <w:t>2、拟派工作人员（不含项目负责人）为注册造价工程师，每有1人得1.5分，该项最高得9分；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eastAsia="宋体" w:hAnsi="宋体" w:hint="eastAsia"/>
                <w:color w:val="auto"/>
                <w:sz w:val="24"/>
                <w:szCs w:val="24"/>
                <w:highlight w:val="none"/>
              </w:rPr>
            </w:pPr>
            <w:r>
              <w:rPr>
                <w:rFonts w:ascii="宋体" w:cs="宋体" w:eastAsia="宋体" w:hAnsi="宋体" w:hint="eastAsia"/>
                <w:color w:val="auto"/>
                <w:sz w:val="24"/>
                <w:szCs w:val="24"/>
                <w:highlight w:val="none"/>
              </w:rPr>
              <w:t>3、拟派注册造价工程师人员中有安装专业，提供1人得1.5分，最高得3分。安装专业以提供资格证或“建筑市场监管公共服务平台”人员信息查询截图及链接网址为准。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eastAsia="宋体" w:hAnsi="宋体" w:hint="eastAsia"/>
                <w:color w:val="auto"/>
                <w:sz w:val="24"/>
                <w:szCs w:val="24"/>
                <w:highlight w:val="none"/>
              </w:rPr>
            </w:pPr>
            <w:r>
              <w:rPr>
                <w:rFonts w:ascii="宋体" w:cs="宋体" w:eastAsia="宋体" w:hAnsi="宋体" w:hint="eastAsia"/>
                <w:color w:val="auto"/>
                <w:sz w:val="24"/>
                <w:szCs w:val="24"/>
                <w:highlight w:val="none"/>
              </w:rPr>
              <w:t xml:space="preserve">4、拟派人员本科及以上学历（相关专业）超过3人的，每增加一人加1.5分，该项最多加3分。学历证明以毕业证为准。  </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eastAsia="宋体" w:hAnsi="宋体" w:hint="eastAsia"/>
                <w:color w:val="auto"/>
                <w:sz w:val="24"/>
                <w:szCs w:val="24"/>
                <w:highlight w:val="none"/>
              </w:rPr>
            </w:pPr>
            <w:r>
              <w:rPr>
                <w:rFonts w:ascii="宋体" w:cs="宋体" w:eastAsia="宋体" w:hAnsi="宋体" w:hint="eastAsia"/>
                <w:color w:val="auto"/>
                <w:sz w:val="24"/>
                <w:szCs w:val="24"/>
                <w:highlight w:val="none"/>
              </w:rPr>
              <w:t>5、拟派人员（不含项目负责人）具有高级职称，每有一人得2分，最高得4分。以人社部门颁发证书或职称网信息查询为准。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eastAsia="宋体" w:hAnsi="宋体" w:hint="eastAsia"/>
                <w:color w:val="auto"/>
                <w:sz w:val="24"/>
                <w:szCs w:val="24"/>
                <w:highlight w:val="none"/>
              </w:rPr>
            </w:pPr>
            <w:r>
              <w:rPr>
                <w:rFonts w:ascii="宋体" w:cs="宋体" w:eastAsia="宋体" w:hAnsi="宋体" w:hint="eastAsia"/>
                <w:color w:val="auto"/>
                <w:sz w:val="24"/>
                <w:szCs w:val="24"/>
                <w:highlight w:val="none"/>
              </w:rPr>
              <w:t>注：</w:t>
            </w:r>
            <w:r>
              <w:rPr>
                <w:rFonts w:ascii="宋体" w:cs="宋体" w:hAnsi="宋体" w:hint="eastAsia"/>
                <w:color w:val="auto"/>
                <w:sz w:val="24"/>
                <w:szCs w:val="24"/>
                <w:highlight w:val="none"/>
                <w:lang w:val="en-US" w:eastAsia="zh-CN"/>
              </w:rPr>
              <w:t>1.</w:t>
            </w:r>
            <w:r>
              <w:rPr>
                <w:rFonts w:ascii="宋体" w:cs="宋体" w:eastAsia="宋体" w:hAnsi="宋体" w:hint="eastAsia"/>
                <w:color w:val="auto"/>
                <w:sz w:val="24"/>
                <w:szCs w:val="24"/>
                <w:highlight w:val="none"/>
              </w:rPr>
              <w:t>注册造价工程师证件根据改革要求为一级注册造价工程师（换证后）或原有效执业注册造价工程师。《投标文件》提供所有人员身份证、</w:t>
            </w:r>
            <w:r>
              <w:rPr>
                <w:rFonts w:ascii="宋体" w:cs="宋体" w:eastAsia="宋体" w:hAnsi="宋体" w:hint="eastAsia"/>
                <w:color w:val="auto"/>
                <w:sz w:val="24"/>
                <w:szCs w:val="24"/>
                <w:highlight w:val="none"/>
                <w:lang w:eastAsia="zh-CN"/>
              </w:rPr>
              <w:t>注册</w:t>
            </w:r>
            <w:r>
              <w:rPr>
                <w:rFonts w:ascii="宋体" w:cs="宋体" w:eastAsia="宋体" w:hAnsi="宋体" w:hint="eastAsia"/>
                <w:color w:val="auto"/>
                <w:sz w:val="24"/>
                <w:szCs w:val="24"/>
                <w:highlight w:val="none"/>
              </w:rPr>
              <w:t>证书</w:t>
            </w:r>
            <w:r>
              <w:rPr>
                <w:rFonts w:ascii="宋体" w:cs="宋体" w:eastAsia="宋体" w:hAnsi="宋体" w:hint="eastAsia"/>
                <w:color w:val="auto"/>
                <w:sz w:val="24"/>
                <w:szCs w:val="24"/>
                <w:highlight w:val="none"/>
                <w:lang w:eastAsia="zh-CN"/>
              </w:rPr>
              <w:t>、职称证</w:t>
            </w:r>
            <w:r>
              <w:rPr>
                <w:rFonts w:ascii="宋体" w:cs="宋体" w:eastAsia="宋体" w:hAnsi="宋体" w:hint="eastAsia"/>
                <w:color w:val="auto"/>
                <w:sz w:val="24"/>
                <w:szCs w:val="24"/>
                <w:highlight w:val="none"/>
              </w:rPr>
              <w:t>及在本单位近6个月以来任意一个月缴纳养老保险证明，注册造价师人员注册单位必须与投标单位一致。否则不得分。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eastAsia="宋体" w:hAnsi="宋体" w:hint="eastAsia"/>
                <w:color w:val="auto"/>
                <w:sz w:val="24"/>
                <w:szCs w:val="24"/>
                <w:highlight w:val="none"/>
                <w:lang w:val="en-US" w:eastAsia="zh-CN"/>
              </w:rPr>
            </w:pPr>
            <w:r>
              <w:rPr>
                <w:rFonts w:ascii="宋体" w:cs="宋体" w:eastAsia="宋体" w:hAnsi="宋体" w:hint="eastAsia"/>
                <w:color w:val="auto"/>
                <w:sz w:val="24"/>
                <w:szCs w:val="24"/>
                <w:highlight w:val="none"/>
                <w:lang w:val="en-US" w:eastAsia="zh-CN"/>
              </w:rPr>
              <w:t>所投人员不得重复计分。</w:t>
            </w:r>
          </w:p>
          <w:p>
            <w:pPr>
              <w:pStyle w:val="style0"/>
              <w:keepNext w:val="false"/>
              <w:keepLines w:val="false"/>
              <w:pageBreakBefore w:val="false"/>
              <w:widowControl w:val="false"/>
              <w:kinsoku/>
              <w:wordWrap/>
              <w:overflowPunct/>
              <w:topLinePunct w:val="false"/>
              <w:bidi w:val="false"/>
              <w:snapToGrid w:val="false"/>
              <w:spacing w:lineRule="exact" w:line="500"/>
              <w:rPr>
                <w:rFonts w:hint="default"/>
                <w:lang w:val="en-US" w:eastAsia="zh-CN"/>
              </w:rPr>
            </w:pPr>
            <w:r>
              <w:rPr>
                <w:rFonts w:ascii="宋体" w:cs="宋体" w:hAnsi="宋体" w:hint="eastAsia"/>
                <w:color w:val="auto"/>
                <w:sz w:val="24"/>
                <w:szCs w:val="24"/>
                <w:highlight w:val="none"/>
                <w:lang w:val="en-US" w:eastAsia="zh-CN"/>
              </w:rPr>
              <w:t>3.</w:t>
            </w:r>
            <w:r>
              <w:rPr>
                <w:rFonts w:ascii="宋体" w:cs="宋体" w:eastAsia="宋体" w:hAnsi="宋体" w:hint="default"/>
                <w:color w:val="auto"/>
                <w:sz w:val="24"/>
                <w:szCs w:val="24"/>
                <w:highlight w:val="none"/>
                <w:lang w:val="en-US" w:eastAsia="zh-CN"/>
              </w:rPr>
              <w:t>开标时需携带原件，未提供原件不得分。</w:t>
            </w:r>
          </w:p>
        </w:tc>
      </w:tr>
      <w:tr>
        <w:tblPrEx/>
        <w:trPr>
          <w:trHeight w:val="602" w:hRule="atLeast"/>
          <w:jc w:val="center"/>
        </w:trPr>
        <w:tc>
          <w:tcPr>
            <w:tcW w:w="1185" w:type="dxa"/>
            <w:vMerge w:val="continue"/>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pacing w:lineRule="exact" w:line="500"/>
              <w:jc w:val="center"/>
              <w:textAlignment w:val="auto"/>
              <w:rPr>
                <w:rFonts w:ascii="宋体" w:cs="宋体" w:hAnsi="宋体" w:hint="eastAsia"/>
                <w:color w:val="auto"/>
                <w:sz w:val="24"/>
                <w:szCs w:val="24"/>
                <w:highlight w:val="none"/>
              </w:rPr>
            </w:pPr>
          </w:p>
        </w:tc>
        <w:tc>
          <w:tcPr>
            <w:tcW w:w="1185" w:type="dxa"/>
            <w:vMerge w:val="continue"/>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napToGrid w:val="false"/>
              <w:spacing w:lineRule="exact" w:line="500"/>
              <w:jc w:val="center"/>
              <w:textAlignment w:val="auto"/>
              <w:rPr>
                <w:rFonts w:ascii="宋体" w:cs="宋体" w:eastAsia="宋体" w:hAnsi="宋体" w:hint="eastAsia"/>
                <w:color w:val="auto"/>
                <w:sz w:val="24"/>
                <w:szCs w:val="24"/>
                <w:highlight w:val="none"/>
              </w:rPr>
            </w:pPr>
          </w:p>
        </w:tc>
        <w:tc>
          <w:tcPr>
            <w:tcW w:w="1398" w:type="dxa"/>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napToGrid w:val="false"/>
              <w:spacing w:lineRule="exact" w:line="500"/>
              <w:jc w:val="center"/>
              <w:textAlignment w:val="auto"/>
              <w:rPr>
                <w:rFonts w:ascii="宋体" w:cs="宋体" w:eastAsia="宋体" w:hAnsi="宋体" w:hint="eastAsia"/>
                <w:color w:val="auto"/>
                <w:sz w:val="24"/>
                <w:szCs w:val="24"/>
                <w:highlight w:val="none"/>
                <w:lang w:val="en-US" w:eastAsia="zh-CN"/>
              </w:rPr>
            </w:pPr>
            <w:r>
              <w:rPr>
                <w:rFonts w:ascii="宋体" w:cs="宋体" w:eastAsia="宋体" w:hAnsi="宋体" w:hint="eastAsia"/>
                <w:color w:val="auto"/>
                <w:sz w:val="24"/>
                <w:szCs w:val="24"/>
                <w:highlight w:val="none"/>
              </w:rPr>
              <w:t>业绩（</w:t>
            </w:r>
            <w:r>
              <w:rPr>
                <w:rFonts w:ascii="宋体" w:cs="宋体" w:hAnsi="宋体" w:hint="eastAsia"/>
                <w:color w:val="auto"/>
                <w:sz w:val="24"/>
                <w:szCs w:val="24"/>
                <w:highlight w:val="none"/>
                <w:lang w:val="en-US" w:eastAsia="zh-CN"/>
              </w:rPr>
              <w:t>20</w:t>
            </w:r>
            <w:r>
              <w:rPr>
                <w:rFonts w:ascii="宋体" w:cs="宋体" w:eastAsia="宋体" w:hAnsi="宋体" w:hint="eastAsia"/>
                <w:color w:val="auto"/>
                <w:sz w:val="24"/>
                <w:szCs w:val="24"/>
                <w:highlight w:val="none"/>
              </w:rPr>
              <w:t>分）</w:t>
            </w:r>
          </w:p>
        </w:tc>
        <w:tc>
          <w:tcPr>
            <w:tcW w:w="6150" w:type="dxa"/>
            <w:tcBorders/>
            <w:vAlign w:val="center"/>
          </w:tcPr>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eastAsia="宋体" w:hAnsi="宋体" w:hint="eastAsia"/>
                <w:color w:val="auto"/>
                <w:sz w:val="24"/>
                <w:szCs w:val="24"/>
                <w:highlight w:val="none"/>
                <w:lang w:val="en-US" w:eastAsia="zh-CN"/>
              </w:rPr>
            </w:pPr>
            <w:r>
              <w:rPr>
                <w:rFonts w:ascii="宋体" w:cs="宋体" w:eastAsia="宋体" w:hAnsi="宋体" w:hint="eastAsia"/>
                <w:color w:val="auto"/>
                <w:sz w:val="24"/>
                <w:szCs w:val="24"/>
                <w:highlight w:val="none"/>
              </w:rPr>
              <w:t>近三年来（2021年1月1日起），具有行政事业单位委托的类似项目业绩（造价咨询机构</w:t>
            </w:r>
            <w:r>
              <w:rPr>
                <w:rFonts w:ascii="宋体" w:cs="宋体" w:hAnsi="宋体" w:hint="eastAsia"/>
                <w:color w:val="auto"/>
                <w:sz w:val="24"/>
                <w:szCs w:val="24"/>
                <w:highlight w:val="none"/>
                <w:lang w:eastAsia="zh-CN"/>
              </w:rPr>
              <w:t>入围</w:t>
            </w:r>
            <w:r>
              <w:rPr>
                <w:rFonts w:ascii="宋体" w:cs="宋体" w:eastAsia="宋体" w:hAnsi="宋体" w:hint="eastAsia"/>
                <w:color w:val="auto"/>
                <w:sz w:val="24"/>
                <w:szCs w:val="24"/>
                <w:highlight w:val="none"/>
              </w:rPr>
              <w:t>）。每提供一类业绩合同得</w:t>
            </w:r>
            <w:r>
              <w:rPr>
                <w:rFonts w:ascii="宋体" w:cs="宋体" w:hAnsi="宋体" w:hint="eastAsia"/>
                <w:color w:val="auto"/>
                <w:sz w:val="24"/>
                <w:szCs w:val="24"/>
                <w:highlight w:val="none"/>
                <w:lang w:val="en-US" w:eastAsia="zh-CN"/>
              </w:rPr>
              <w:t>4</w:t>
            </w:r>
            <w:r>
              <w:rPr>
                <w:rFonts w:ascii="宋体" w:cs="宋体" w:eastAsia="宋体" w:hAnsi="宋体" w:hint="eastAsia"/>
                <w:color w:val="auto"/>
                <w:sz w:val="24"/>
                <w:szCs w:val="24"/>
                <w:highlight w:val="none"/>
              </w:rPr>
              <w:t>分，本项最多</w:t>
            </w:r>
            <w:r>
              <w:rPr>
                <w:rFonts w:ascii="宋体" w:cs="宋体" w:hAnsi="宋体" w:hint="eastAsia"/>
                <w:color w:val="auto"/>
                <w:sz w:val="24"/>
                <w:szCs w:val="24"/>
                <w:highlight w:val="none"/>
                <w:lang w:val="en-US" w:eastAsia="zh-CN"/>
              </w:rPr>
              <w:t>20</w:t>
            </w:r>
            <w:r>
              <w:rPr>
                <w:rFonts w:ascii="宋体" w:cs="宋体" w:eastAsia="宋体" w:hAnsi="宋体" w:hint="eastAsia"/>
                <w:color w:val="auto"/>
                <w:sz w:val="24"/>
                <w:szCs w:val="24"/>
                <w:highlight w:val="none"/>
              </w:rPr>
              <w:t>分。以合同签订日期为准。</w:t>
            </w:r>
            <w:r>
              <w:rPr>
                <w:rFonts w:ascii="宋体" w:cs="宋体" w:hAnsi="宋体" w:hint="eastAsia"/>
                <w:color w:val="auto"/>
                <w:sz w:val="24"/>
                <w:szCs w:val="24"/>
                <w:highlight w:val="none"/>
                <w:lang w:eastAsia="zh-CN"/>
              </w:rPr>
              <w:t>（开标时需携带原件，未提供原件不</w:t>
            </w:r>
            <w:r>
              <w:rPr>
                <w:rFonts w:ascii="宋体" w:cs="宋体" w:hAnsi="宋体" w:hint="default"/>
                <w:color w:val="auto"/>
                <w:sz w:val="24"/>
                <w:szCs w:val="24"/>
                <w:highlight w:val="none"/>
                <w:lang w:val="en-US" w:eastAsia="zh-CN"/>
              </w:rPr>
              <w:t>得</w:t>
            </w:r>
            <w:r>
              <w:rPr>
                <w:rFonts w:ascii="宋体" w:cs="宋体" w:hAnsi="宋体" w:hint="eastAsia"/>
                <w:color w:val="auto"/>
                <w:sz w:val="24"/>
                <w:szCs w:val="24"/>
                <w:highlight w:val="none"/>
                <w:lang w:eastAsia="zh-CN"/>
              </w:rPr>
              <w:t>分。）</w:t>
            </w:r>
          </w:p>
        </w:tc>
      </w:tr>
      <w:tr>
        <w:tblPrEx/>
        <w:trPr>
          <w:trHeight w:val="602" w:hRule="atLeast"/>
          <w:jc w:val="center"/>
        </w:trPr>
        <w:tc>
          <w:tcPr>
            <w:tcW w:w="1185" w:type="dxa"/>
            <w:vMerge w:val="continue"/>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pacing w:lineRule="exact" w:line="500"/>
              <w:jc w:val="center"/>
              <w:textAlignment w:val="auto"/>
              <w:rPr>
                <w:rFonts w:ascii="宋体" w:cs="宋体" w:hAnsi="宋体" w:hint="eastAsia"/>
                <w:color w:val="auto"/>
                <w:sz w:val="24"/>
                <w:szCs w:val="24"/>
                <w:highlight w:val="none"/>
              </w:rPr>
            </w:pPr>
          </w:p>
        </w:tc>
        <w:tc>
          <w:tcPr>
            <w:tcW w:w="1185" w:type="dxa"/>
            <w:vMerge w:val="continue"/>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napToGrid w:val="false"/>
              <w:spacing w:lineRule="exact" w:line="500"/>
              <w:jc w:val="center"/>
              <w:textAlignment w:val="auto"/>
              <w:rPr>
                <w:rFonts w:ascii="宋体" w:cs="宋体" w:eastAsia="宋体" w:hAnsi="宋体" w:hint="eastAsia"/>
                <w:color w:val="auto"/>
                <w:sz w:val="24"/>
                <w:szCs w:val="24"/>
                <w:highlight w:val="none"/>
              </w:rPr>
            </w:pPr>
          </w:p>
        </w:tc>
        <w:tc>
          <w:tcPr>
            <w:tcW w:w="1398" w:type="dxa"/>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napToGrid w:val="false"/>
              <w:spacing w:lineRule="exact" w:line="500"/>
              <w:jc w:val="center"/>
              <w:textAlignment w:val="auto"/>
              <w:rPr>
                <w:rFonts w:ascii="宋体" w:cs="宋体" w:eastAsia="宋体" w:hAnsi="宋体" w:hint="eastAsia"/>
                <w:color w:val="auto"/>
                <w:sz w:val="24"/>
                <w:szCs w:val="24"/>
                <w:highlight w:val="none"/>
                <w:lang w:eastAsia="zh-CN"/>
              </w:rPr>
            </w:pPr>
            <w:r>
              <w:rPr>
                <w:rFonts w:ascii="宋体" w:cs="宋体" w:hAnsi="宋体" w:hint="eastAsia"/>
                <w:color w:val="auto"/>
                <w:sz w:val="24"/>
                <w:szCs w:val="24"/>
                <w:highlight w:val="none"/>
                <w:lang w:eastAsia="zh-CN"/>
              </w:rPr>
              <w:t>其他承诺（</w:t>
            </w:r>
            <w:r>
              <w:rPr>
                <w:rFonts w:ascii="宋体" w:cs="宋体" w:hAnsi="宋体" w:hint="eastAsia"/>
                <w:color w:val="auto"/>
                <w:sz w:val="24"/>
                <w:szCs w:val="24"/>
                <w:highlight w:val="none"/>
                <w:lang w:val="en-US" w:eastAsia="zh-CN"/>
              </w:rPr>
              <w:t>3分</w:t>
            </w:r>
            <w:r>
              <w:rPr>
                <w:rFonts w:ascii="宋体" w:cs="宋体" w:hAnsi="宋体" w:hint="eastAsia"/>
                <w:color w:val="auto"/>
                <w:sz w:val="24"/>
                <w:szCs w:val="24"/>
                <w:highlight w:val="none"/>
                <w:lang w:eastAsia="zh-CN"/>
              </w:rPr>
              <w:t>）</w:t>
            </w:r>
          </w:p>
        </w:tc>
        <w:tc>
          <w:tcPr>
            <w:tcW w:w="6150" w:type="dxa"/>
            <w:tcBorders/>
            <w:vAlign w:val="center"/>
          </w:tcPr>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eastAsia="宋体" w:hAnsi="宋体" w:hint="eastAsia"/>
                <w:color w:val="auto"/>
                <w:sz w:val="24"/>
                <w:szCs w:val="24"/>
                <w:highlight w:val="none"/>
                <w:lang w:eastAsia="zh-CN"/>
              </w:rPr>
            </w:pPr>
            <w:r>
              <w:rPr>
                <w:rFonts w:ascii="宋体" w:cs="宋体" w:hAnsi="宋体" w:hint="eastAsia"/>
                <w:color w:val="auto"/>
                <w:sz w:val="24"/>
                <w:szCs w:val="24"/>
                <w:highlight w:val="none"/>
                <w:lang w:eastAsia="zh-CN"/>
              </w:rPr>
              <w:t>供应商需提供保密及免费造价方面的咨询承诺。</w:t>
            </w:r>
          </w:p>
        </w:tc>
      </w:tr>
      <w:tr>
        <w:tblPrEx/>
        <w:trPr>
          <w:trHeight w:val="602" w:hRule="atLeast"/>
          <w:jc w:val="center"/>
        </w:trPr>
        <w:tc>
          <w:tcPr>
            <w:tcW w:w="1185" w:type="dxa"/>
            <w:vMerge w:val="continue"/>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pacing w:lineRule="exact" w:line="500"/>
              <w:jc w:val="center"/>
              <w:textAlignment w:val="auto"/>
              <w:rPr>
                <w:rFonts w:ascii="宋体" w:cs="宋体" w:hAnsi="宋体" w:hint="eastAsia"/>
                <w:color w:val="auto"/>
                <w:sz w:val="24"/>
                <w:szCs w:val="24"/>
                <w:highlight w:val="none"/>
              </w:rPr>
            </w:pPr>
          </w:p>
        </w:tc>
        <w:tc>
          <w:tcPr>
            <w:tcW w:w="1185" w:type="dxa"/>
            <w:vMerge w:val="continue"/>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napToGrid w:val="false"/>
              <w:spacing w:lineRule="exact" w:line="500"/>
              <w:jc w:val="center"/>
              <w:textAlignment w:val="auto"/>
              <w:rPr>
                <w:rFonts w:ascii="宋体" w:cs="宋体" w:eastAsia="宋体" w:hAnsi="宋体" w:hint="eastAsia"/>
                <w:color w:val="auto"/>
                <w:sz w:val="24"/>
                <w:szCs w:val="24"/>
                <w:highlight w:val="none"/>
              </w:rPr>
            </w:pPr>
          </w:p>
        </w:tc>
        <w:tc>
          <w:tcPr>
            <w:tcW w:w="1398" w:type="dxa"/>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napToGrid w:val="false"/>
              <w:spacing w:lineRule="exact" w:line="500"/>
              <w:jc w:val="center"/>
              <w:textAlignment w:val="auto"/>
              <w:rPr>
                <w:rFonts w:ascii="宋体" w:cs="宋体" w:eastAsia="宋体" w:hAnsi="宋体" w:hint="eastAsia"/>
                <w:color w:val="auto"/>
                <w:sz w:val="24"/>
                <w:szCs w:val="24"/>
                <w:highlight w:val="none"/>
                <w:lang w:val="en-US" w:eastAsia="zh-CN"/>
              </w:rPr>
            </w:pPr>
            <w:r>
              <w:rPr>
                <w:rFonts w:ascii="宋体" w:cs="宋体" w:eastAsia="宋体" w:hAnsi="宋体" w:hint="eastAsia"/>
                <w:color w:val="auto"/>
                <w:sz w:val="24"/>
                <w:szCs w:val="24"/>
                <w:highlight w:val="none"/>
              </w:rPr>
              <w:t>信用及保障（5分）</w:t>
            </w:r>
          </w:p>
        </w:tc>
        <w:tc>
          <w:tcPr>
            <w:tcW w:w="6150" w:type="dxa"/>
            <w:tcBorders/>
            <w:vAlign w:val="center"/>
          </w:tcPr>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eastAsia="宋体" w:hAnsi="宋体" w:hint="eastAsia"/>
                <w:color w:val="auto"/>
                <w:sz w:val="24"/>
                <w:szCs w:val="24"/>
                <w:highlight w:val="none"/>
              </w:rPr>
            </w:pPr>
            <w:r>
              <w:rPr>
                <w:rFonts w:ascii="宋体" w:cs="宋体" w:eastAsia="宋体" w:hAnsi="宋体" w:hint="eastAsia"/>
                <w:color w:val="auto"/>
                <w:sz w:val="24"/>
                <w:szCs w:val="24"/>
                <w:highlight w:val="none"/>
              </w:rPr>
              <w:t>1、2021年1月1日以来，</w:t>
            </w:r>
            <w:r>
              <w:rPr>
                <w:rFonts w:ascii="宋体" w:cs="宋体" w:eastAsia="宋体" w:hAnsi="宋体" w:hint="eastAsia"/>
                <w:color w:val="auto"/>
                <w:sz w:val="24"/>
                <w:szCs w:val="24"/>
                <w:highlight w:val="none"/>
                <w:lang w:eastAsia="zh-CN"/>
              </w:rPr>
              <w:t>供应商</w:t>
            </w:r>
            <w:r>
              <w:rPr>
                <w:rFonts w:ascii="宋体" w:cs="宋体" w:eastAsia="宋体" w:hAnsi="宋体" w:hint="eastAsia"/>
                <w:color w:val="auto"/>
                <w:sz w:val="24"/>
                <w:szCs w:val="24"/>
                <w:highlight w:val="none"/>
              </w:rPr>
              <w:t>获得省级及以上建设行政主管部门或中国建设工程造价管理协会颁发的3A信用，且在有效期内，省级3A的得3分，省级2A的得1分；国家级3A的得5分，国家级2A的得4分。本项按最高信用等级得分,不累计。</w:t>
            </w:r>
          </w:p>
          <w:p>
            <w:pPr>
              <w:pStyle w:val="style50"/>
              <w:rPr>
                <w:rFonts w:hint="eastAsia"/>
                <w:lang w:val="en-US" w:eastAsia="zh-CN"/>
              </w:rPr>
            </w:pPr>
            <w:r>
              <w:rPr>
                <w:rFonts w:ascii="宋体" w:cs="宋体" w:hAnsi="宋体" w:hint="eastAsia"/>
                <w:color w:val="auto"/>
                <w:sz w:val="24"/>
                <w:szCs w:val="24"/>
                <w:highlight w:val="none"/>
                <w:lang w:eastAsia="zh-CN"/>
              </w:rPr>
              <w:t>（开标时需携带原件，未提供原件不</w:t>
            </w:r>
            <w:r>
              <w:rPr>
                <w:rFonts w:ascii="宋体" w:cs="宋体" w:hAnsi="宋体" w:hint="default"/>
                <w:color w:val="auto"/>
                <w:sz w:val="24"/>
                <w:szCs w:val="24"/>
                <w:highlight w:val="none"/>
                <w:lang w:val="en-US" w:eastAsia="zh-CN"/>
              </w:rPr>
              <w:t>得</w:t>
            </w:r>
            <w:r>
              <w:rPr>
                <w:rFonts w:ascii="宋体" w:cs="宋体" w:hAnsi="宋体" w:hint="eastAsia"/>
                <w:color w:val="auto"/>
                <w:sz w:val="24"/>
                <w:szCs w:val="24"/>
                <w:highlight w:val="none"/>
                <w:lang w:eastAsia="zh-CN"/>
              </w:rPr>
              <w:t>分。）</w:t>
            </w:r>
          </w:p>
        </w:tc>
      </w:tr>
      <w:bookmarkStart w:id="28" w:name="_Toc2776"/>
    </w:tbl>
    <w:p>
      <w:pPr>
        <w:pStyle w:val="style0"/>
        <w:spacing w:lineRule="exact" w:line="500"/>
        <w:ind w:firstLine="419"/>
        <w:jc w:val="left"/>
        <w:rPr>
          <w:rFonts w:ascii="宋体" w:cs="宋体" w:hAnsi="宋体" w:hint="eastAsia"/>
          <w:b/>
          <w:color w:val="auto"/>
          <w:sz w:val="28"/>
          <w:szCs w:val="28"/>
          <w:highlight w:val="none"/>
        </w:rPr>
      </w:pPr>
    </w:p>
    <w:p>
      <w:pPr>
        <w:pStyle w:val="style0"/>
        <w:spacing w:lineRule="exact" w:line="500"/>
        <w:ind w:firstLine="419"/>
        <w:jc w:val="left"/>
        <w:rPr>
          <w:rFonts w:ascii="宋体" w:cs="宋体" w:hAnsi="宋体" w:hint="eastAsia"/>
          <w:b/>
          <w:color w:val="auto"/>
          <w:sz w:val="28"/>
          <w:szCs w:val="28"/>
          <w:highlight w:val="none"/>
        </w:rPr>
      </w:pPr>
    </w:p>
    <w:p>
      <w:pPr>
        <w:pStyle w:val="style0"/>
        <w:spacing w:lineRule="exact" w:line="500"/>
        <w:ind w:firstLine="419"/>
        <w:jc w:val="left"/>
        <w:rPr>
          <w:rFonts w:ascii="宋体" w:cs="宋体" w:hAnsi="宋体" w:hint="eastAsia"/>
          <w:b/>
          <w:color w:val="auto"/>
          <w:sz w:val="28"/>
          <w:szCs w:val="28"/>
          <w:highlight w:val="none"/>
        </w:rPr>
      </w:pPr>
    </w:p>
    <w:p>
      <w:pPr>
        <w:pStyle w:val="style0"/>
        <w:spacing w:lineRule="exact" w:line="500"/>
        <w:ind w:firstLine="419"/>
        <w:jc w:val="left"/>
        <w:rPr>
          <w:rFonts w:ascii="宋体" w:cs="宋体" w:hAnsi="宋体" w:hint="eastAsia"/>
          <w:b/>
          <w:color w:val="auto"/>
          <w:sz w:val="28"/>
          <w:szCs w:val="28"/>
          <w:highlight w:val="none"/>
        </w:rPr>
      </w:pPr>
    </w:p>
    <w:p>
      <w:pPr>
        <w:pStyle w:val="style0"/>
        <w:spacing w:lineRule="exact" w:line="500"/>
        <w:ind w:firstLine="419"/>
        <w:jc w:val="left"/>
        <w:rPr>
          <w:rFonts w:ascii="宋体" w:cs="宋体" w:hAnsi="宋体" w:hint="eastAsia"/>
          <w:b/>
          <w:color w:val="auto"/>
          <w:sz w:val="28"/>
          <w:szCs w:val="28"/>
          <w:highlight w:val="none"/>
        </w:rPr>
      </w:pPr>
    </w:p>
    <w:p>
      <w:pPr>
        <w:pStyle w:val="style0"/>
        <w:spacing w:lineRule="exact" w:line="500"/>
        <w:ind w:firstLine="419"/>
        <w:jc w:val="left"/>
        <w:rPr>
          <w:rFonts w:ascii="宋体" w:cs="宋体" w:hAnsi="宋体" w:hint="eastAsia"/>
          <w:b/>
          <w:color w:val="auto"/>
          <w:sz w:val="28"/>
          <w:szCs w:val="28"/>
          <w:highlight w:val="none"/>
        </w:rPr>
      </w:pPr>
    </w:p>
    <w:p>
      <w:pPr>
        <w:pStyle w:val="style0"/>
        <w:spacing w:lineRule="exact" w:line="500"/>
        <w:ind w:firstLine="419"/>
        <w:jc w:val="left"/>
        <w:rPr>
          <w:rFonts w:ascii="宋体" w:cs="宋体" w:hAnsi="宋体" w:hint="eastAsia"/>
          <w:b/>
          <w:color w:val="auto"/>
          <w:sz w:val="28"/>
          <w:szCs w:val="28"/>
          <w:highlight w:val="none"/>
        </w:rPr>
      </w:pPr>
    </w:p>
    <w:p>
      <w:pPr>
        <w:pStyle w:val="style0"/>
        <w:spacing w:lineRule="exact" w:line="500"/>
        <w:ind w:firstLine="419"/>
        <w:jc w:val="left"/>
        <w:rPr>
          <w:rFonts w:ascii="宋体" w:cs="宋体" w:hAnsi="宋体" w:hint="eastAsia"/>
          <w:b/>
          <w:color w:val="auto"/>
          <w:sz w:val="28"/>
          <w:szCs w:val="28"/>
          <w:highlight w:val="none"/>
        </w:rPr>
      </w:pPr>
    </w:p>
    <w:p>
      <w:pPr>
        <w:pStyle w:val="style0"/>
        <w:spacing w:lineRule="exact" w:line="500"/>
        <w:ind w:firstLine="419"/>
        <w:jc w:val="left"/>
        <w:rPr>
          <w:rFonts w:ascii="宋体" w:cs="宋体" w:hAnsi="宋体" w:hint="eastAsia"/>
          <w:b/>
          <w:color w:val="auto"/>
          <w:sz w:val="28"/>
          <w:szCs w:val="28"/>
          <w:highlight w:val="none"/>
        </w:rPr>
      </w:pPr>
    </w:p>
    <w:p>
      <w:pPr>
        <w:pStyle w:val="style0"/>
        <w:spacing w:lineRule="exact" w:line="500"/>
        <w:ind w:firstLine="419"/>
        <w:jc w:val="left"/>
        <w:rPr>
          <w:rFonts w:ascii="宋体" w:cs="宋体" w:hAnsi="宋体" w:hint="eastAsia"/>
          <w:b/>
          <w:color w:val="auto"/>
          <w:sz w:val="28"/>
          <w:szCs w:val="28"/>
          <w:highlight w:val="none"/>
        </w:rPr>
      </w:pPr>
    </w:p>
    <w:p>
      <w:pPr>
        <w:pStyle w:val="style0"/>
        <w:spacing w:lineRule="exact" w:line="500"/>
        <w:ind w:firstLine="419"/>
        <w:jc w:val="left"/>
        <w:rPr>
          <w:rFonts w:ascii="宋体" w:cs="宋体" w:hAnsi="宋体" w:hint="eastAsia"/>
          <w:b/>
          <w:color w:val="auto"/>
          <w:sz w:val="28"/>
          <w:szCs w:val="28"/>
          <w:highlight w:val="none"/>
        </w:rPr>
      </w:pPr>
    </w:p>
    <w:p>
      <w:pPr>
        <w:pStyle w:val="style0"/>
        <w:spacing w:lineRule="exact" w:line="500"/>
        <w:ind w:firstLine="419"/>
        <w:jc w:val="left"/>
        <w:rPr>
          <w:rFonts w:ascii="宋体" w:cs="宋体" w:hAnsi="宋体" w:hint="eastAsia"/>
          <w:b/>
          <w:color w:val="auto"/>
          <w:sz w:val="28"/>
          <w:szCs w:val="28"/>
          <w:highlight w:val="none"/>
        </w:rPr>
      </w:pPr>
    </w:p>
    <w:p>
      <w:pPr>
        <w:pStyle w:val="style0"/>
        <w:spacing w:lineRule="exact" w:line="500"/>
        <w:ind w:firstLine="419"/>
        <w:jc w:val="left"/>
        <w:rPr>
          <w:rFonts w:ascii="宋体" w:cs="宋体" w:hAnsi="宋体" w:hint="eastAsia"/>
          <w:b/>
          <w:color w:val="auto"/>
          <w:sz w:val="28"/>
          <w:szCs w:val="28"/>
          <w:highlight w:val="none"/>
        </w:rPr>
      </w:pPr>
    </w:p>
    <w:p>
      <w:pPr>
        <w:pStyle w:val="style0"/>
        <w:spacing w:lineRule="exact" w:line="500"/>
        <w:ind w:firstLine="419"/>
        <w:jc w:val="left"/>
        <w:rPr>
          <w:rFonts w:ascii="宋体" w:cs="宋体" w:hAnsi="宋体" w:hint="eastAsia"/>
          <w:b/>
          <w:color w:val="auto"/>
          <w:sz w:val="28"/>
          <w:szCs w:val="28"/>
          <w:highlight w:val="none"/>
        </w:rPr>
      </w:pPr>
    </w:p>
    <w:p>
      <w:pPr>
        <w:pStyle w:val="style0"/>
        <w:spacing w:lineRule="exact" w:line="500"/>
        <w:ind w:firstLine="419"/>
        <w:jc w:val="left"/>
        <w:rPr>
          <w:rFonts w:ascii="宋体" w:cs="宋体" w:hAnsi="宋体" w:hint="eastAsia"/>
          <w:b/>
          <w:color w:val="auto"/>
          <w:sz w:val="28"/>
          <w:szCs w:val="28"/>
          <w:highlight w:val="none"/>
        </w:rPr>
      </w:pPr>
    </w:p>
    <w:p>
      <w:pPr>
        <w:pStyle w:val="style0"/>
        <w:spacing w:lineRule="exact" w:line="500"/>
        <w:ind w:firstLine="419"/>
        <w:jc w:val="left"/>
        <w:rPr>
          <w:rFonts w:ascii="宋体" w:cs="宋体" w:hAnsi="宋体" w:hint="eastAsia"/>
          <w:b/>
          <w:color w:val="auto"/>
          <w:sz w:val="28"/>
          <w:szCs w:val="28"/>
          <w:highlight w:val="none"/>
        </w:rPr>
      </w:pPr>
    </w:p>
    <w:p>
      <w:pPr>
        <w:pStyle w:val="style0"/>
        <w:spacing w:lineRule="exact" w:line="500"/>
        <w:ind w:firstLine="419"/>
        <w:jc w:val="left"/>
        <w:rPr>
          <w:rFonts w:ascii="宋体" w:cs="宋体" w:hAnsi="宋体" w:hint="eastAsia"/>
          <w:b/>
          <w:color w:val="auto"/>
          <w:sz w:val="28"/>
          <w:szCs w:val="28"/>
          <w:highlight w:val="none"/>
        </w:rPr>
      </w:pPr>
    </w:p>
    <w:p>
      <w:pPr>
        <w:pStyle w:val="style0"/>
        <w:spacing w:lineRule="exact" w:line="500"/>
        <w:ind w:firstLine="419"/>
        <w:jc w:val="left"/>
        <w:rPr>
          <w:rFonts w:ascii="宋体" w:cs="宋体" w:hAnsi="宋体" w:hint="eastAsia"/>
          <w:b/>
          <w:color w:val="auto"/>
          <w:sz w:val="28"/>
          <w:szCs w:val="28"/>
          <w:highlight w:val="none"/>
        </w:rPr>
      </w:pPr>
    </w:p>
    <w:p>
      <w:pPr>
        <w:pStyle w:val="style0"/>
        <w:spacing w:lineRule="exact" w:line="500"/>
        <w:ind w:firstLine="419"/>
        <w:jc w:val="left"/>
        <w:rPr>
          <w:rFonts w:ascii="宋体" w:cs="宋体" w:hAnsi="宋体" w:hint="eastAsia"/>
          <w:b/>
          <w:color w:val="auto"/>
          <w:sz w:val="28"/>
          <w:szCs w:val="28"/>
          <w:highlight w:val="none"/>
        </w:rPr>
      </w:pPr>
    </w:p>
    <w:p>
      <w:pPr>
        <w:pStyle w:val="style0"/>
        <w:spacing w:lineRule="exact" w:line="500"/>
        <w:ind w:firstLine="419"/>
        <w:jc w:val="left"/>
        <w:rPr>
          <w:rFonts w:ascii="宋体" w:cs="宋体" w:hAnsi="宋体" w:hint="eastAsia"/>
          <w:b/>
          <w:color w:val="auto"/>
          <w:sz w:val="28"/>
          <w:szCs w:val="28"/>
          <w:highlight w:val="none"/>
        </w:rPr>
      </w:pPr>
    </w:p>
    <w:p>
      <w:pPr>
        <w:pStyle w:val="style0"/>
        <w:spacing w:lineRule="exact" w:line="500"/>
        <w:ind w:firstLine="419"/>
        <w:jc w:val="left"/>
        <w:rPr>
          <w:rFonts w:ascii="宋体" w:cs="宋体" w:hAnsi="宋体" w:hint="eastAsia"/>
          <w:b/>
          <w:color w:val="auto"/>
          <w:sz w:val="28"/>
          <w:szCs w:val="28"/>
          <w:highlight w:val="none"/>
        </w:rPr>
      </w:pPr>
    </w:p>
    <w:p>
      <w:pPr>
        <w:pStyle w:val="style0"/>
        <w:spacing w:lineRule="exact" w:line="500"/>
        <w:ind w:firstLine="419"/>
        <w:jc w:val="left"/>
        <w:rPr>
          <w:rFonts w:ascii="宋体" w:cs="宋体" w:hAnsi="宋体" w:hint="eastAsia"/>
          <w:b/>
          <w:color w:val="auto"/>
          <w:sz w:val="28"/>
          <w:szCs w:val="28"/>
          <w:highlight w:val="none"/>
        </w:rPr>
      </w:pPr>
    </w:p>
    <w:p>
      <w:pPr>
        <w:pStyle w:val="style0"/>
        <w:spacing w:lineRule="exact" w:line="500"/>
        <w:ind w:firstLine="419"/>
        <w:jc w:val="left"/>
        <w:rPr>
          <w:rFonts w:ascii="宋体" w:cs="宋体" w:hAnsi="宋体" w:hint="eastAsia"/>
          <w:b/>
          <w:color w:val="auto"/>
          <w:sz w:val="28"/>
          <w:szCs w:val="28"/>
          <w:highlight w:val="none"/>
        </w:rPr>
      </w:pPr>
    </w:p>
    <w:p>
      <w:pPr>
        <w:pStyle w:val="style0"/>
        <w:spacing w:lineRule="exact" w:line="500"/>
        <w:ind w:firstLine="419"/>
        <w:jc w:val="left"/>
        <w:rPr>
          <w:rFonts w:ascii="宋体" w:cs="宋体" w:hAnsi="宋体" w:hint="eastAsia"/>
          <w:b/>
          <w:color w:val="auto"/>
          <w:sz w:val="28"/>
          <w:szCs w:val="28"/>
          <w:highlight w:val="none"/>
        </w:rPr>
      </w:pPr>
    </w:p>
    <w:p>
      <w:pPr>
        <w:pStyle w:val="style0"/>
        <w:spacing w:lineRule="exact" w:line="500"/>
        <w:ind w:firstLine="419"/>
        <w:jc w:val="left"/>
        <w:rPr>
          <w:rFonts w:ascii="宋体" w:cs="宋体" w:hAnsi="宋体" w:hint="eastAsia"/>
          <w:b/>
          <w:color w:val="auto"/>
          <w:sz w:val="28"/>
          <w:szCs w:val="28"/>
          <w:highlight w:val="none"/>
        </w:rPr>
      </w:pPr>
    </w:p>
    <w:p>
      <w:pPr>
        <w:pStyle w:val="style0"/>
        <w:spacing w:lineRule="exact" w:line="500"/>
        <w:ind w:firstLine="419"/>
        <w:jc w:val="left"/>
        <w:rPr>
          <w:rFonts w:ascii="宋体" w:cs="宋体" w:hAnsi="宋体"/>
          <w:b/>
          <w:color w:val="auto"/>
          <w:sz w:val="28"/>
          <w:szCs w:val="28"/>
          <w:highlight w:val="none"/>
        </w:rPr>
      </w:pPr>
      <w:r>
        <w:rPr>
          <w:rFonts w:ascii="宋体" w:cs="宋体" w:hAnsi="宋体" w:hint="eastAsia"/>
          <w:b/>
          <w:color w:val="auto"/>
          <w:sz w:val="28"/>
          <w:szCs w:val="28"/>
          <w:highlight w:val="none"/>
        </w:rPr>
        <w:t>评审办法前附表-----</w:t>
      </w:r>
      <w:r>
        <w:rPr>
          <w:rFonts w:ascii="宋体" w:cs="宋体" w:hAnsi="宋体" w:hint="eastAsia"/>
          <w:b/>
          <w:color w:val="auto"/>
          <w:sz w:val="28"/>
          <w:szCs w:val="28"/>
          <w:highlight w:val="none"/>
          <w:lang w:eastAsia="zh-CN"/>
        </w:rPr>
        <w:t>（</w:t>
      </w:r>
      <w:r>
        <w:rPr>
          <w:rFonts w:ascii="宋体" w:cs="宋体" w:hAnsi="宋体" w:hint="eastAsia"/>
          <w:b/>
          <w:color w:val="auto"/>
          <w:sz w:val="28"/>
          <w:szCs w:val="28"/>
          <w:highlight w:val="none"/>
          <w:lang w:val="en-US" w:eastAsia="zh-CN"/>
        </w:rPr>
        <w:t>二包</w:t>
      </w:r>
      <w:r>
        <w:rPr>
          <w:rFonts w:ascii="宋体" w:cs="宋体" w:hAnsi="宋体" w:hint="eastAsia"/>
          <w:b/>
          <w:color w:val="auto"/>
          <w:sz w:val="28"/>
          <w:szCs w:val="28"/>
          <w:highlight w:val="none"/>
          <w:lang w:eastAsia="zh-CN"/>
        </w:rPr>
        <w:t>）</w:t>
      </w:r>
      <w:r>
        <w:rPr>
          <w:rFonts w:ascii="宋体" w:cs="宋体" w:hAnsi="宋体" w:hint="eastAsia"/>
          <w:b/>
          <w:color w:val="auto"/>
          <w:sz w:val="28"/>
          <w:szCs w:val="28"/>
          <w:highlight w:val="none"/>
        </w:rPr>
        <w:t xml:space="preserve">分值构成与评分标准  </w:t>
      </w:r>
    </w:p>
    <w:tbl>
      <w:tblPr>
        <w:tblStyle w:val="style105"/>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185"/>
        <w:gridCol w:w="1185"/>
        <w:gridCol w:w="1398"/>
        <w:gridCol w:w="6150"/>
      </w:tblGrid>
      <w:tr>
        <w:trPr>
          <w:trHeight w:val="478" w:hRule="atLeast"/>
          <w:jc w:val="center"/>
        </w:trPr>
        <w:tc>
          <w:tcPr>
            <w:tcW w:w="1185" w:type="dxa"/>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pacing w:lineRule="exact" w:line="500"/>
              <w:jc w:val="center"/>
              <w:textAlignment w:val="auto"/>
              <w:rPr>
                <w:rFonts w:ascii="宋体" w:cs="宋体" w:hAnsi="宋体"/>
                <w:b/>
                <w:color w:val="auto"/>
                <w:sz w:val="24"/>
                <w:szCs w:val="24"/>
                <w:highlight w:val="none"/>
              </w:rPr>
            </w:pPr>
            <w:r>
              <w:rPr>
                <w:rFonts w:ascii="宋体" w:cs="宋体" w:hAnsi="宋体" w:hint="eastAsia"/>
                <w:b/>
                <w:color w:val="auto"/>
                <w:sz w:val="24"/>
                <w:szCs w:val="24"/>
                <w:highlight w:val="none"/>
              </w:rPr>
              <w:t>条款号</w:t>
            </w:r>
          </w:p>
        </w:tc>
        <w:tc>
          <w:tcPr>
            <w:tcW w:w="1185" w:type="dxa"/>
            <w:tcBorders/>
            <w:vAlign w:val="center"/>
          </w:tcPr>
          <w:p>
            <w:pPr>
              <w:pStyle w:val="style0"/>
              <w:keepNext w:val="false"/>
              <w:keepLines w:val="false"/>
              <w:pageBreakBefore w:val="false"/>
              <w:kinsoku/>
              <w:wordWrap/>
              <w:overflowPunct/>
              <w:topLinePunct w:val="false"/>
              <w:bidi w:val="false"/>
              <w:spacing w:lineRule="exact" w:line="500"/>
              <w:jc w:val="center"/>
              <w:rPr>
                <w:rFonts w:ascii="宋体" w:cs="宋体" w:hAnsi="宋体"/>
                <w:b/>
                <w:color w:val="auto"/>
                <w:sz w:val="24"/>
                <w:szCs w:val="24"/>
                <w:highlight w:val="none"/>
              </w:rPr>
            </w:pPr>
            <w:r>
              <w:rPr>
                <w:rFonts w:ascii="宋体" w:cs="宋体" w:hAnsi="宋体" w:hint="eastAsia"/>
                <w:b/>
                <w:color w:val="auto"/>
                <w:sz w:val="24"/>
                <w:szCs w:val="24"/>
                <w:highlight w:val="none"/>
              </w:rPr>
              <w:t>条款内容</w:t>
            </w:r>
          </w:p>
        </w:tc>
        <w:tc>
          <w:tcPr>
            <w:tcW w:w="7548" w:type="dxa"/>
            <w:gridSpan w:val="2"/>
            <w:tcBorders/>
            <w:vAlign w:val="center"/>
          </w:tcPr>
          <w:p>
            <w:pPr>
              <w:pStyle w:val="style0"/>
              <w:keepNext w:val="false"/>
              <w:keepLines w:val="false"/>
              <w:pageBreakBefore w:val="false"/>
              <w:kinsoku/>
              <w:wordWrap/>
              <w:overflowPunct/>
              <w:topLinePunct w:val="false"/>
              <w:bidi w:val="false"/>
              <w:spacing w:lineRule="exact" w:line="500"/>
              <w:jc w:val="center"/>
              <w:rPr>
                <w:rFonts w:ascii="宋体" w:cs="宋体" w:hAnsi="宋体"/>
                <w:b/>
                <w:color w:val="auto"/>
                <w:sz w:val="24"/>
                <w:szCs w:val="24"/>
                <w:highlight w:val="none"/>
              </w:rPr>
            </w:pPr>
            <w:r>
              <w:rPr>
                <w:rFonts w:ascii="宋体" w:cs="宋体" w:hAnsi="宋体" w:hint="eastAsia"/>
                <w:b/>
                <w:color w:val="auto"/>
                <w:sz w:val="24"/>
                <w:szCs w:val="24"/>
                <w:highlight w:val="none"/>
              </w:rPr>
              <w:t>编列内容</w:t>
            </w:r>
          </w:p>
        </w:tc>
      </w:tr>
      <w:tr>
        <w:tblPrEx/>
        <w:trPr>
          <w:trHeight w:val="70" w:hRule="atLeast"/>
          <w:jc w:val="center"/>
        </w:trPr>
        <w:tc>
          <w:tcPr>
            <w:tcW w:w="1185" w:type="dxa"/>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pacing w:lineRule="exact" w:line="500"/>
              <w:jc w:val="center"/>
              <w:textAlignment w:val="auto"/>
              <w:rPr>
                <w:rFonts w:ascii="宋体" w:cs="宋体" w:hAnsi="宋体"/>
                <w:color w:val="auto"/>
                <w:sz w:val="24"/>
                <w:szCs w:val="24"/>
                <w:highlight w:val="none"/>
              </w:rPr>
            </w:pPr>
            <w:r>
              <w:rPr>
                <w:rFonts w:ascii="宋体" w:cs="宋体" w:hAnsi="宋体" w:hint="eastAsia"/>
                <w:color w:val="auto"/>
                <w:sz w:val="24"/>
                <w:szCs w:val="24"/>
                <w:highlight w:val="none"/>
              </w:rPr>
              <w:t>2.2.1</w:t>
            </w:r>
          </w:p>
        </w:tc>
        <w:tc>
          <w:tcPr>
            <w:tcW w:w="1185" w:type="dxa"/>
            <w:tcBorders/>
            <w:vAlign w:val="center"/>
          </w:tcPr>
          <w:p>
            <w:pPr>
              <w:pStyle w:val="style0"/>
              <w:keepNext w:val="false"/>
              <w:keepLines w:val="false"/>
              <w:pageBreakBefore w:val="false"/>
              <w:widowControl w:val="false"/>
              <w:kinsoku/>
              <w:wordWrap/>
              <w:overflowPunct/>
              <w:topLinePunct w:val="false"/>
              <w:bidi w:val="false"/>
              <w:snapToGrid w:val="false"/>
              <w:spacing w:lineRule="exact" w:line="500"/>
              <w:jc w:val="center"/>
              <w:rPr>
                <w:rFonts w:ascii="宋体" w:cs="宋体" w:hAnsi="宋体"/>
                <w:color w:val="auto"/>
                <w:sz w:val="24"/>
                <w:szCs w:val="24"/>
                <w:highlight w:val="none"/>
              </w:rPr>
            </w:pPr>
            <w:r>
              <w:rPr>
                <w:rFonts w:ascii="宋体" w:cs="宋体" w:hAnsi="宋体" w:hint="eastAsia"/>
                <w:color w:val="auto"/>
                <w:sz w:val="24"/>
                <w:szCs w:val="24"/>
                <w:highlight w:val="none"/>
              </w:rPr>
              <w:t>分值构成</w:t>
            </w:r>
          </w:p>
          <w:p>
            <w:pPr>
              <w:pStyle w:val="style0"/>
              <w:keepNext w:val="false"/>
              <w:keepLines w:val="false"/>
              <w:pageBreakBefore w:val="false"/>
              <w:widowControl w:val="false"/>
              <w:kinsoku/>
              <w:wordWrap/>
              <w:overflowPunct/>
              <w:topLinePunct w:val="false"/>
              <w:bidi w:val="false"/>
              <w:snapToGrid w:val="false"/>
              <w:spacing w:lineRule="exact" w:line="500"/>
              <w:jc w:val="center"/>
              <w:rPr>
                <w:rFonts w:ascii="宋体" w:cs="宋体" w:hAnsi="宋体"/>
                <w:color w:val="auto"/>
                <w:sz w:val="24"/>
                <w:szCs w:val="24"/>
                <w:highlight w:val="none"/>
              </w:rPr>
            </w:pPr>
            <w:r>
              <w:rPr>
                <w:rFonts w:ascii="宋体" w:cs="宋体" w:hAnsi="宋体" w:hint="eastAsia"/>
                <w:color w:val="auto"/>
                <w:sz w:val="24"/>
                <w:szCs w:val="24"/>
                <w:highlight w:val="none"/>
              </w:rPr>
              <w:t>（总分</w:t>
            </w:r>
          </w:p>
          <w:p>
            <w:pPr>
              <w:pStyle w:val="style0"/>
              <w:keepNext w:val="false"/>
              <w:keepLines w:val="false"/>
              <w:pageBreakBefore w:val="false"/>
              <w:widowControl w:val="false"/>
              <w:kinsoku/>
              <w:wordWrap/>
              <w:overflowPunct/>
              <w:topLinePunct w:val="false"/>
              <w:bidi w:val="false"/>
              <w:snapToGrid w:val="false"/>
              <w:spacing w:lineRule="exact" w:line="500"/>
              <w:jc w:val="center"/>
              <w:rPr>
                <w:rFonts w:ascii="宋体" w:cs="宋体" w:hAnsi="宋体"/>
                <w:color w:val="auto"/>
                <w:sz w:val="24"/>
                <w:szCs w:val="24"/>
                <w:highlight w:val="none"/>
              </w:rPr>
            </w:pPr>
            <w:r>
              <w:rPr>
                <w:rFonts w:ascii="宋体" w:cs="宋体" w:hAnsi="宋体" w:hint="eastAsia"/>
                <w:color w:val="auto"/>
                <w:sz w:val="24"/>
                <w:szCs w:val="24"/>
                <w:highlight w:val="none"/>
              </w:rPr>
              <w:t>100 分）</w:t>
            </w:r>
          </w:p>
        </w:tc>
        <w:tc>
          <w:tcPr>
            <w:tcW w:w="7548" w:type="dxa"/>
            <w:gridSpan w:val="2"/>
            <w:tcBorders/>
            <w:vAlign w:val="center"/>
          </w:tcPr>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color w:val="auto"/>
                <w:sz w:val="24"/>
                <w:szCs w:val="24"/>
                <w:highlight w:val="none"/>
              </w:rPr>
            </w:pPr>
            <w:r>
              <w:rPr>
                <w:rFonts w:ascii="宋体" w:cs="宋体" w:hAnsi="宋体" w:hint="eastAsia"/>
                <w:color w:val="auto"/>
                <w:sz w:val="24"/>
                <w:szCs w:val="24"/>
                <w:highlight w:val="none"/>
              </w:rPr>
              <w:t>价格：</w:t>
            </w:r>
            <w:r>
              <w:rPr>
                <w:rFonts w:ascii="宋体" w:cs="宋体" w:hAnsi="宋体" w:hint="eastAsia"/>
                <w:color w:val="auto"/>
                <w:sz w:val="24"/>
                <w:szCs w:val="24"/>
                <w:highlight w:val="none"/>
                <w:lang w:val="en-US" w:eastAsia="zh-CN"/>
              </w:rPr>
              <w:t>20</w:t>
            </w:r>
            <w:r>
              <w:rPr>
                <w:rFonts w:ascii="宋体" w:cs="宋体" w:hAnsi="宋体" w:hint="eastAsia"/>
                <w:color w:val="auto"/>
                <w:sz w:val="24"/>
                <w:szCs w:val="24"/>
                <w:highlight w:val="none"/>
              </w:rPr>
              <w:t>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color w:val="auto"/>
                <w:sz w:val="24"/>
                <w:szCs w:val="24"/>
                <w:highlight w:val="none"/>
              </w:rPr>
            </w:pPr>
            <w:r>
              <w:rPr>
                <w:rFonts w:ascii="宋体" w:cs="宋体" w:hAnsi="宋体" w:hint="eastAsia"/>
                <w:color w:val="auto"/>
                <w:sz w:val="24"/>
                <w:szCs w:val="24"/>
                <w:highlight w:val="none"/>
              </w:rPr>
              <w:t>技术（服务）：15分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color w:val="auto"/>
                <w:sz w:val="24"/>
                <w:szCs w:val="24"/>
                <w:highlight w:val="none"/>
              </w:rPr>
            </w:pPr>
            <w:r>
              <w:rPr>
                <w:rFonts w:ascii="宋体" w:cs="宋体" w:hAnsi="宋体" w:hint="eastAsia"/>
                <w:color w:val="auto"/>
                <w:sz w:val="24"/>
                <w:szCs w:val="24"/>
                <w:highlight w:val="none"/>
              </w:rPr>
              <w:t>履约能力：</w:t>
            </w:r>
            <w:r>
              <w:rPr>
                <w:rFonts w:ascii="宋体" w:cs="宋体" w:hAnsi="宋体" w:hint="eastAsia"/>
                <w:color w:val="auto"/>
                <w:sz w:val="24"/>
                <w:szCs w:val="24"/>
                <w:highlight w:val="none"/>
                <w:lang w:val="en-US" w:eastAsia="zh-CN"/>
              </w:rPr>
              <w:t>65</w:t>
            </w:r>
            <w:r>
              <w:rPr>
                <w:rFonts w:ascii="宋体" w:cs="宋体" w:hAnsi="宋体" w:hint="eastAsia"/>
                <w:color w:val="auto"/>
                <w:sz w:val="24"/>
                <w:szCs w:val="24"/>
                <w:highlight w:val="none"/>
              </w:rPr>
              <w:t>分</w:t>
            </w:r>
          </w:p>
        </w:tc>
      </w:tr>
      <w:tr>
        <w:tblPrEx/>
        <w:trPr>
          <w:trHeight w:val="552" w:hRule="atLeast"/>
          <w:jc w:val="center"/>
        </w:trPr>
        <w:tc>
          <w:tcPr>
            <w:tcW w:w="1185" w:type="dxa"/>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pacing w:lineRule="exact" w:line="500"/>
              <w:jc w:val="center"/>
              <w:textAlignment w:val="auto"/>
              <w:rPr>
                <w:rFonts w:ascii="宋体" w:cs="宋体" w:hAnsi="宋体"/>
                <w:b/>
                <w:color w:val="auto"/>
                <w:sz w:val="24"/>
                <w:szCs w:val="24"/>
                <w:highlight w:val="none"/>
              </w:rPr>
            </w:pPr>
            <w:r>
              <w:rPr>
                <w:rFonts w:ascii="宋体" w:cs="宋体" w:hAnsi="宋体" w:hint="eastAsia"/>
                <w:b/>
                <w:color w:val="auto"/>
                <w:sz w:val="24"/>
                <w:szCs w:val="24"/>
                <w:highlight w:val="none"/>
              </w:rPr>
              <w:t>条款号</w:t>
            </w:r>
          </w:p>
        </w:tc>
        <w:tc>
          <w:tcPr>
            <w:tcW w:w="1185" w:type="dxa"/>
            <w:tcBorders/>
            <w:vAlign w:val="center"/>
          </w:tcPr>
          <w:p>
            <w:pPr>
              <w:pStyle w:val="style0"/>
              <w:keepNext w:val="false"/>
              <w:keepLines w:val="false"/>
              <w:pageBreakBefore w:val="false"/>
              <w:widowControl w:val="false"/>
              <w:kinsoku/>
              <w:wordWrap/>
              <w:overflowPunct/>
              <w:topLinePunct w:val="false"/>
              <w:bidi w:val="false"/>
              <w:snapToGrid w:val="false"/>
              <w:spacing w:lineRule="exact" w:line="500"/>
              <w:ind w:hanging="13"/>
              <w:jc w:val="center"/>
              <w:rPr>
                <w:rFonts w:ascii="宋体" w:cs="宋体" w:hAnsi="宋体"/>
                <w:b/>
                <w:color w:val="auto"/>
                <w:sz w:val="24"/>
                <w:szCs w:val="24"/>
                <w:highlight w:val="none"/>
              </w:rPr>
            </w:pPr>
            <w:r>
              <w:rPr>
                <w:rFonts w:ascii="宋体" w:cs="宋体" w:hAnsi="宋体" w:hint="eastAsia"/>
                <w:b/>
                <w:color w:val="auto"/>
                <w:sz w:val="24"/>
                <w:szCs w:val="24"/>
                <w:highlight w:val="none"/>
              </w:rPr>
              <w:t>评分因素</w:t>
            </w:r>
          </w:p>
        </w:tc>
        <w:tc>
          <w:tcPr>
            <w:tcW w:w="7548" w:type="dxa"/>
            <w:gridSpan w:val="2"/>
            <w:tcBorders/>
            <w:vAlign w:val="center"/>
          </w:tcPr>
          <w:p>
            <w:pPr>
              <w:pStyle w:val="style0"/>
              <w:keepNext w:val="false"/>
              <w:keepLines w:val="false"/>
              <w:pageBreakBefore w:val="false"/>
              <w:widowControl w:val="false"/>
              <w:kinsoku/>
              <w:wordWrap/>
              <w:overflowPunct/>
              <w:topLinePunct w:val="false"/>
              <w:bidi w:val="false"/>
              <w:snapToGrid w:val="false"/>
              <w:spacing w:lineRule="exact" w:line="500"/>
              <w:jc w:val="center"/>
              <w:rPr>
                <w:rFonts w:ascii="宋体" w:cs="宋体" w:hAnsi="宋体"/>
                <w:b/>
                <w:color w:val="auto"/>
                <w:sz w:val="24"/>
                <w:szCs w:val="24"/>
                <w:highlight w:val="none"/>
              </w:rPr>
            </w:pPr>
            <w:r>
              <w:rPr>
                <w:rFonts w:ascii="宋体" w:cs="宋体" w:hAnsi="宋体" w:hint="eastAsia"/>
                <w:b/>
                <w:color w:val="auto"/>
                <w:sz w:val="24"/>
                <w:szCs w:val="24"/>
                <w:highlight w:val="none"/>
              </w:rPr>
              <w:t>评分标准</w:t>
            </w:r>
          </w:p>
        </w:tc>
      </w:tr>
      <w:tr>
        <w:tblPrEx/>
        <w:trPr>
          <w:trHeight w:val="1948" w:hRule="atLeast"/>
          <w:jc w:val="center"/>
        </w:trPr>
        <w:tc>
          <w:tcPr>
            <w:tcW w:w="1185" w:type="dxa"/>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pacing w:lineRule="exact" w:line="500"/>
              <w:jc w:val="center"/>
              <w:textAlignment w:val="auto"/>
              <w:rPr>
                <w:rFonts w:ascii="宋体" w:cs="宋体" w:hAnsi="宋体"/>
                <w:color w:val="auto"/>
                <w:sz w:val="24"/>
                <w:szCs w:val="24"/>
                <w:highlight w:val="none"/>
              </w:rPr>
            </w:pPr>
            <w:r>
              <w:rPr>
                <w:rFonts w:ascii="宋体" w:cs="宋体" w:hAnsi="宋体" w:hint="eastAsia"/>
                <w:color w:val="auto"/>
                <w:sz w:val="24"/>
                <w:szCs w:val="24"/>
                <w:highlight w:val="none"/>
              </w:rPr>
              <w:t>2.2.2.1</w:t>
            </w:r>
          </w:p>
        </w:tc>
        <w:tc>
          <w:tcPr>
            <w:tcW w:w="1185" w:type="dxa"/>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napToGrid w:val="false"/>
              <w:spacing w:lineRule="exact" w:line="500"/>
              <w:jc w:val="center"/>
              <w:textAlignment w:val="auto"/>
              <w:rPr>
                <w:rFonts w:ascii="宋体" w:cs="宋体" w:hAnsi="宋体"/>
                <w:color w:val="auto"/>
                <w:sz w:val="24"/>
                <w:szCs w:val="24"/>
                <w:highlight w:val="none"/>
              </w:rPr>
            </w:pPr>
            <w:r>
              <w:rPr>
                <w:rFonts w:ascii="宋体" w:cs="宋体" w:hAnsi="宋体" w:hint="eastAsia"/>
                <w:color w:val="auto"/>
                <w:sz w:val="24"/>
                <w:szCs w:val="24"/>
                <w:highlight w:val="none"/>
              </w:rPr>
              <w:t>价格（</w:t>
            </w:r>
            <w:r>
              <w:rPr>
                <w:rFonts w:ascii="宋体" w:cs="宋体" w:hAnsi="宋体" w:hint="eastAsia"/>
                <w:color w:val="auto"/>
                <w:sz w:val="24"/>
                <w:szCs w:val="24"/>
                <w:highlight w:val="none"/>
                <w:lang w:val="en-US" w:eastAsia="zh-CN"/>
              </w:rPr>
              <w:t>20</w:t>
            </w:r>
            <w:r>
              <w:rPr>
                <w:rFonts w:ascii="宋体" w:cs="宋体" w:hAnsi="宋体" w:hint="eastAsia"/>
                <w:color w:val="auto"/>
                <w:sz w:val="24"/>
                <w:szCs w:val="24"/>
                <w:highlight w:val="none"/>
              </w:rPr>
              <w:t>分）</w:t>
            </w:r>
          </w:p>
        </w:tc>
        <w:tc>
          <w:tcPr>
            <w:tcW w:w="7548" w:type="dxa"/>
            <w:gridSpan w:val="2"/>
            <w:tcBorders/>
            <w:vAlign w:val="center"/>
          </w:tcPr>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color w:val="auto"/>
                <w:sz w:val="24"/>
                <w:szCs w:val="24"/>
                <w:highlight w:val="none"/>
              </w:rPr>
            </w:pPr>
            <w:r>
              <w:rPr>
                <w:rFonts w:ascii="宋体" w:cs="宋体" w:hAnsi="宋体" w:hint="eastAsia"/>
                <w:color w:val="auto"/>
                <w:sz w:val="24"/>
                <w:szCs w:val="24"/>
                <w:highlight w:val="none"/>
              </w:rPr>
              <w:t>所有有效供应商的最后磋商报价中，价格最低的最后磋商报价为磋商基准价。</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color w:val="auto"/>
                <w:sz w:val="24"/>
                <w:szCs w:val="24"/>
                <w:highlight w:val="none"/>
              </w:rPr>
            </w:pPr>
            <w:r>
              <w:rPr>
                <w:rFonts w:ascii="宋体" w:cs="宋体" w:hAnsi="宋体" w:hint="eastAsia"/>
                <w:color w:val="auto"/>
                <w:sz w:val="24"/>
                <w:szCs w:val="24"/>
                <w:highlight w:val="none"/>
              </w:rPr>
              <w:t>有效供应商的最后磋商报价等于磋商基准价的得</w:t>
            </w:r>
            <w:r>
              <w:rPr>
                <w:rFonts w:ascii="宋体" w:cs="宋体" w:hAnsi="宋体" w:hint="eastAsia"/>
                <w:color w:val="auto"/>
                <w:sz w:val="24"/>
                <w:szCs w:val="24"/>
                <w:highlight w:val="none"/>
                <w:lang w:val="en-US" w:eastAsia="zh-CN"/>
              </w:rPr>
              <w:t>20</w:t>
            </w:r>
            <w:r>
              <w:rPr>
                <w:rFonts w:ascii="宋体" w:cs="宋体" w:hAnsi="宋体" w:hint="eastAsia"/>
                <w:color w:val="auto"/>
                <w:sz w:val="24"/>
                <w:szCs w:val="24"/>
                <w:highlight w:val="none"/>
              </w:rPr>
              <w:t>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color w:val="auto"/>
                <w:sz w:val="24"/>
                <w:szCs w:val="24"/>
                <w:highlight w:val="none"/>
              </w:rPr>
            </w:pPr>
            <w:r>
              <w:rPr>
                <w:rFonts w:ascii="宋体" w:cs="宋体" w:hAnsi="宋体" w:hint="eastAsia"/>
                <w:color w:val="auto"/>
                <w:sz w:val="24"/>
                <w:szCs w:val="24"/>
                <w:highlight w:val="none"/>
              </w:rPr>
              <w:t>其他投标单位的最后磋商报价得分=（评标基准价/最后磋商报价）×0.</w:t>
            </w:r>
            <w:r>
              <w:rPr>
                <w:rFonts w:ascii="宋体" w:cs="宋体" w:hAnsi="宋体" w:hint="eastAsia"/>
                <w:color w:val="auto"/>
                <w:sz w:val="24"/>
                <w:szCs w:val="24"/>
                <w:highlight w:val="none"/>
                <w:lang w:val="en-US" w:eastAsia="zh-CN"/>
              </w:rPr>
              <w:t>20</w:t>
            </w:r>
            <w:r>
              <w:rPr>
                <w:rFonts w:ascii="宋体" w:cs="宋体" w:hAnsi="宋体" w:hint="eastAsia"/>
                <w:color w:val="auto"/>
                <w:sz w:val="24"/>
                <w:szCs w:val="24"/>
                <w:highlight w:val="none"/>
              </w:rPr>
              <w:t>×100。</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hint="eastAsia"/>
                <w:color w:val="auto"/>
                <w:sz w:val="24"/>
                <w:szCs w:val="24"/>
                <w:highlight w:val="none"/>
              </w:rPr>
            </w:pPr>
            <w:r>
              <w:rPr>
                <w:rFonts w:ascii="宋体" w:cs="宋体" w:hAnsi="宋体" w:hint="eastAsia"/>
                <w:color w:val="auto"/>
                <w:sz w:val="24"/>
                <w:szCs w:val="24"/>
                <w:highlight w:val="none"/>
              </w:rPr>
              <w:t>注：评标委员会认为</w:t>
            </w:r>
            <w:r>
              <w:rPr>
                <w:rFonts w:ascii="宋体" w:cs="宋体" w:hAnsi="宋体" w:hint="eastAsia"/>
                <w:color w:val="auto"/>
                <w:sz w:val="24"/>
                <w:szCs w:val="24"/>
                <w:highlight w:val="none"/>
                <w:lang w:eastAsia="zh-CN"/>
              </w:rPr>
              <w:t>供应商</w:t>
            </w:r>
            <w:r>
              <w:rPr>
                <w:rFonts w:ascii="宋体" w:cs="宋体" w:hAnsi="宋体" w:hint="eastAsia"/>
                <w:color w:val="auto"/>
                <w:sz w:val="24"/>
                <w:szCs w:val="24"/>
                <w:highlight w:val="none"/>
              </w:rPr>
              <w:t>的报价明显低于其他通过符合性审查</w:t>
            </w:r>
            <w:r>
              <w:rPr>
                <w:rFonts w:ascii="宋体" w:cs="宋体" w:hAnsi="宋体" w:hint="eastAsia"/>
                <w:color w:val="auto"/>
                <w:sz w:val="24"/>
                <w:szCs w:val="24"/>
                <w:highlight w:val="none"/>
                <w:lang w:eastAsia="zh-CN"/>
              </w:rPr>
              <w:t>供应商</w:t>
            </w:r>
            <w:r>
              <w:rPr>
                <w:rFonts w:ascii="宋体" w:cs="宋体" w:hAnsi="宋体" w:hint="eastAsia"/>
                <w:color w:val="auto"/>
                <w:sz w:val="24"/>
                <w:szCs w:val="24"/>
                <w:highlight w:val="none"/>
              </w:rPr>
              <w:t>的报价，有可能影响产品质量或者不能诚信履约的，应当要求其在合理的时间内提供书面说明，必要时提交相关证明材料（包括但不限于人工费、设备费、材料费、交通费、技术服务费、成果印刷费、相关税款）；</w:t>
            </w:r>
            <w:r>
              <w:rPr>
                <w:rFonts w:ascii="宋体" w:cs="宋体" w:hAnsi="宋体" w:hint="eastAsia"/>
                <w:color w:val="auto"/>
                <w:sz w:val="24"/>
                <w:szCs w:val="24"/>
                <w:highlight w:val="none"/>
                <w:lang w:eastAsia="zh-CN"/>
              </w:rPr>
              <w:t>供应商</w:t>
            </w:r>
            <w:r>
              <w:rPr>
                <w:rFonts w:ascii="宋体" w:cs="宋体" w:hAnsi="宋体" w:hint="eastAsia"/>
                <w:color w:val="auto"/>
                <w:sz w:val="24"/>
                <w:szCs w:val="24"/>
                <w:highlight w:val="none"/>
              </w:rPr>
              <w:t>不能证明其报价合理性的，评标委员会应当将其作为无效投标处理。</w:t>
            </w:r>
          </w:p>
          <w:p>
            <w:pPr>
              <w:pStyle w:val="style0"/>
              <w:keepNext w:val="false"/>
              <w:keepLines w:val="false"/>
              <w:pageBreakBefore w:val="false"/>
              <w:widowControl w:val="false"/>
              <w:kinsoku/>
              <w:wordWrap/>
              <w:overflowPunct/>
              <w:topLinePunct w:val="false"/>
              <w:bidi w:val="false"/>
              <w:snapToGrid w:val="false"/>
              <w:spacing w:lineRule="exact" w:line="500"/>
              <w:rPr/>
            </w:pPr>
            <w:r>
              <w:rPr>
                <w:rFonts w:ascii="宋体" w:cs="宋体" w:hAnsi="宋体" w:hint="eastAsia"/>
                <w:color w:val="auto"/>
                <w:sz w:val="24"/>
                <w:szCs w:val="24"/>
                <w:highlight w:val="none"/>
              </w:rPr>
              <w:t>折扣率释义：下浮15%，折扣率为85%.投标报价应为85%。</w:t>
            </w:r>
          </w:p>
        </w:tc>
      </w:tr>
      <w:tr>
        <w:tblPrEx/>
        <w:trPr>
          <w:trHeight w:val="897" w:hRule="atLeast"/>
          <w:jc w:val="center"/>
        </w:trPr>
        <w:tc>
          <w:tcPr>
            <w:tcW w:w="1185" w:type="dxa"/>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pacing w:lineRule="exact" w:line="500"/>
              <w:jc w:val="center"/>
              <w:textAlignment w:val="auto"/>
              <w:rPr>
                <w:rFonts w:ascii="宋体" w:cs="宋体" w:hAnsi="宋体"/>
                <w:color w:val="auto"/>
                <w:sz w:val="24"/>
                <w:szCs w:val="24"/>
                <w:highlight w:val="none"/>
              </w:rPr>
            </w:pPr>
            <w:r>
              <w:rPr>
                <w:rFonts w:ascii="宋体" w:cs="宋体" w:hAnsi="宋体" w:hint="eastAsia"/>
                <w:color w:val="auto"/>
                <w:sz w:val="24"/>
                <w:szCs w:val="24"/>
                <w:highlight w:val="none"/>
              </w:rPr>
              <w:t>2.2.2.2</w:t>
            </w:r>
          </w:p>
        </w:tc>
        <w:tc>
          <w:tcPr>
            <w:tcW w:w="1185" w:type="dxa"/>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napToGrid w:val="false"/>
              <w:spacing w:lineRule="exact" w:line="500"/>
              <w:jc w:val="center"/>
              <w:textAlignment w:val="auto"/>
              <w:rPr>
                <w:rFonts w:ascii="宋体" w:cs="宋体" w:hAnsi="宋体"/>
                <w:color w:val="auto"/>
                <w:sz w:val="24"/>
                <w:szCs w:val="24"/>
                <w:highlight w:val="none"/>
              </w:rPr>
            </w:pPr>
            <w:r>
              <w:rPr>
                <w:rFonts w:ascii="宋体" w:cs="宋体" w:hAnsi="宋体" w:hint="eastAsia"/>
                <w:color w:val="auto"/>
                <w:sz w:val="24"/>
                <w:szCs w:val="24"/>
                <w:highlight w:val="none"/>
              </w:rPr>
              <w:t>技术</w:t>
            </w:r>
          </w:p>
          <w:p>
            <w:pPr>
              <w:pStyle w:val="style0"/>
              <w:keepNext w:val="false"/>
              <w:keepLines w:val="false"/>
              <w:pageBreakBefore w:val="false"/>
              <w:widowControl w:val="false"/>
              <w:kinsoku/>
              <w:wordWrap/>
              <w:overflowPunct/>
              <w:topLinePunct w:val="false"/>
              <w:autoSpaceDE w:val="false"/>
              <w:autoSpaceDN w:val="false"/>
              <w:bidi w:val="false"/>
              <w:adjustRightInd w:val="false"/>
              <w:snapToGrid w:val="false"/>
              <w:spacing w:lineRule="exact" w:line="500"/>
              <w:jc w:val="center"/>
              <w:textAlignment w:val="auto"/>
              <w:rPr>
                <w:rFonts w:ascii="宋体" w:cs="宋体" w:hAnsi="宋体"/>
                <w:color w:val="auto"/>
                <w:sz w:val="24"/>
                <w:szCs w:val="24"/>
                <w:highlight w:val="none"/>
              </w:rPr>
            </w:pPr>
            <w:r>
              <w:rPr>
                <w:rFonts w:ascii="宋体" w:cs="宋体" w:hAnsi="宋体" w:hint="eastAsia"/>
                <w:color w:val="auto"/>
                <w:sz w:val="24"/>
                <w:szCs w:val="24"/>
                <w:highlight w:val="none"/>
              </w:rPr>
              <w:t>（服务）（15分）</w:t>
            </w:r>
          </w:p>
        </w:tc>
        <w:tc>
          <w:tcPr>
            <w:tcW w:w="7548" w:type="dxa"/>
            <w:gridSpan w:val="2"/>
            <w:tcBorders/>
            <w:vAlign w:val="center"/>
          </w:tcPr>
          <w:p>
            <w:pPr>
              <w:pStyle w:val="style0"/>
              <w:keepNext w:val="false"/>
              <w:keepLines w:val="false"/>
              <w:pageBreakBefore w:val="false"/>
              <w:widowControl w:val="false"/>
              <w:numPr>
                <w:ilvl w:val="0"/>
                <w:numId w:val="0"/>
              </w:numPr>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eastAsia="宋体" w:hAnsi="宋体" w:hint="eastAsia"/>
                <w:color w:val="auto"/>
                <w:sz w:val="24"/>
                <w:szCs w:val="24"/>
                <w:u w:color="000000"/>
                <w:lang w:val="en-US" w:bidi="ar-SA" w:eastAsia="zh-CN"/>
              </w:rPr>
              <w:t>（1）</w:t>
            </w:r>
            <w:r>
              <w:rPr>
                <w:rFonts w:ascii="宋体" w:cs="宋体" w:hAnsi="宋体" w:hint="eastAsia"/>
                <w:color w:val="auto"/>
                <w:sz w:val="24"/>
                <w:szCs w:val="24"/>
                <w:highlight w:val="none"/>
                <w:lang w:val="en-US" w:eastAsia="zh-CN"/>
              </w:rPr>
              <w:t>服务方案内容：</w:t>
            </w:r>
          </w:p>
          <w:p>
            <w:pPr>
              <w:pStyle w:val="style0"/>
              <w:keepNext w:val="false"/>
              <w:keepLines w:val="false"/>
              <w:pageBreakBefore w:val="false"/>
              <w:widowControl w:val="false"/>
              <w:numPr>
                <w:ilvl w:val="0"/>
                <w:numId w:val="0"/>
              </w:numPr>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hAnsi="宋体" w:hint="eastAsia"/>
                <w:color w:val="auto"/>
                <w:sz w:val="24"/>
                <w:szCs w:val="24"/>
                <w:highlight w:val="none"/>
                <w:lang w:val="en-US" w:eastAsia="zh-CN"/>
              </w:rPr>
              <w:t>①科学、完整、可操作性强、层次分明的，得3分；②全面、合理、可行的、清晰的，得2分；③能满足项目基本要求的，得1分；缺项的，得0分。</w:t>
            </w:r>
          </w:p>
          <w:p>
            <w:pPr>
              <w:pStyle w:val="style0"/>
              <w:keepNext w:val="false"/>
              <w:keepLines w:val="false"/>
              <w:pageBreakBefore w:val="false"/>
              <w:widowControl w:val="false"/>
              <w:numPr>
                <w:ilvl w:val="0"/>
                <w:numId w:val="0"/>
              </w:numPr>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eastAsia="宋体" w:hAnsi="宋体" w:hint="eastAsia"/>
                <w:color w:val="auto"/>
                <w:sz w:val="24"/>
                <w:szCs w:val="24"/>
                <w:u w:color="000000"/>
                <w:lang w:val="en-US" w:bidi="ar-SA" w:eastAsia="zh-CN"/>
              </w:rPr>
              <w:t>（2）</w:t>
            </w:r>
            <w:r>
              <w:rPr>
                <w:rFonts w:ascii="宋体" w:cs="宋体" w:hAnsi="宋体" w:hint="eastAsia"/>
                <w:color w:val="auto"/>
                <w:sz w:val="24"/>
                <w:szCs w:val="24"/>
                <w:highlight w:val="none"/>
                <w:lang w:val="en-US" w:eastAsia="zh-CN"/>
              </w:rPr>
              <w:t>服务方案保障措施：</w:t>
            </w:r>
          </w:p>
          <w:p>
            <w:pPr>
              <w:pStyle w:val="style0"/>
              <w:keepNext w:val="false"/>
              <w:keepLines w:val="false"/>
              <w:pageBreakBefore w:val="false"/>
              <w:widowControl w:val="false"/>
              <w:numPr>
                <w:ilvl w:val="0"/>
                <w:numId w:val="0"/>
              </w:numPr>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hAnsi="宋体" w:hint="eastAsia"/>
                <w:color w:val="auto"/>
                <w:sz w:val="24"/>
                <w:szCs w:val="24"/>
                <w:highlight w:val="none"/>
                <w:lang w:val="en-US" w:eastAsia="zh-CN"/>
              </w:rPr>
              <w:t>①、科学、齐全、评价内容客观，得3分；②、合理、全面、评价内容真实，得2分；③、能满足项目基本要求的，得1分；缺项的，得0分。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hAnsi="宋体" w:hint="eastAsia"/>
                <w:color w:val="auto"/>
                <w:sz w:val="24"/>
                <w:szCs w:val="24"/>
                <w:highlight w:val="none"/>
                <w:lang w:val="en-US" w:eastAsia="zh-CN"/>
              </w:rPr>
              <w:t>（3）业务档案管理制度综合评定：</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hAnsi="宋体" w:hint="eastAsia"/>
                <w:color w:val="auto"/>
                <w:sz w:val="24"/>
                <w:szCs w:val="24"/>
                <w:highlight w:val="none"/>
                <w:lang w:val="en-US" w:eastAsia="zh-CN"/>
              </w:rPr>
              <w:t>①、科学、详尽、全面的，得3分；②、合理、完整、可行的，得2分；③、能满足项目基本要求的，得1分；缺项的，得0分。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hAnsi="宋体" w:hint="eastAsia"/>
                <w:color w:val="auto"/>
                <w:sz w:val="24"/>
                <w:szCs w:val="24"/>
                <w:highlight w:val="none"/>
                <w:lang w:val="en-US" w:eastAsia="zh-CN"/>
              </w:rPr>
              <w:t>（4）质量控制、风险控制：</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hAnsi="宋体" w:hint="eastAsia"/>
                <w:color w:val="auto"/>
                <w:sz w:val="24"/>
                <w:szCs w:val="24"/>
                <w:highlight w:val="none"/>
                <w:lang w:val="en-US" w:eastAsia="zh-CN"/>
              </w:rPr>
              <w:t>①、科学、详尽、全面的，得3分；②、合理、完整、可行的，得2分；③、能满足项目基本要求的，得1分；缺项的，得0分。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hint="eastAsia"/>
                <w:color w:val="auto"/>
                <w:sz w:val="24"/>
                <w:szCs w:val="24"/>
                <w:highlight w:val="none"/>
                <w:lang w:val="en-US" w:eastAsia="zh-CN"/>
              </w:rPr>
            </w:pPr>
            <w:r>
              <w:rPr>
                <w:rFonts w:ascii="宋体" w:cs="宋体" w:hAnsi="宋体" w:hint="eastAsia"/>
                <w:color w:val="auto"/>
                <w:sz w:val="24"/>
                <w:szCs w:val="24"/>
                <w:highlight w:val="none"/>
                <w:lang w:val="en-US" w:eastAsia="zh-CN"/>
              </w:rPr>
              <w:t>（5）保密措施：对项目实施过程中人员、数据等的保密措施科学性、严谨性、合理性综合评分：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hAnsi="宋体"/>
                <w:color w:val="auto"/>
                <w:sz w:val="24"/>
                <w:szCs w:val="24"/>
                <w:highlight w:val="none"/>
              </w:rPr>
            </w:pPr>
            <w:r>
              <w:rPr>
                <w:rFonts w:ascii="宋体" w:cs="宋体" w:hAnsi="宋体" w:hint="eastAsia"/>
                <w:color w:val="auto"/>
                <w:sz w:val="24"/>
                <w:szCs w:val="24"/>
                <w:highlight w:val="none"/>
                <w:lang w:val="en-US" w:eastAsia="zh-CN"/>
              </w:rPr>
              <w:t>①、方案内容科学、详尽、全面的，得3分；②、方案内容合理、完整、可行的，得2分；③、方案内容满足项目基本需求的，得1分；缺项的，得0分。</w:t>
            </w:r>
          </w:p>
        </w:tc>
      </w:tr>
      <w:tr>
        <w:tblPrEx/>
        <w:trPr>
          <w:trHeight w:val="602" w:hRule="atLeast"/>
          <w:jc w:val="center"/>
        </w:trPr>
        <w:tc>
          <w:tcPr>
            <w:tcW w:w="1185" w:type="dxa"/>
            <w:vMerge w:val="restart"/>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pacing w:lineRule="exact" w:line="500"/>
              <w:jc w:val="center"/>
              <w:textAlignment w:val="auto"/>
              <w:rPr>
                <w:rFonts w:ascii="宋体" w:cs="宋体" w:hAnsi="宋体"/>
                <w:color w:val="auto"/>
                <w:sz w:val="24"/>
                <w:szCs w:val="24"/>
                <w:highlight w:val="none"/>
              </w:rPr>
            </w:pPr>
            <w:r>
              <w:rPr>
                <w:rFonts w:ascii="宋体" w:cs="宋体" w:hAnsi="宋体" w:hint="eastAsia"/>
                <w:color w:val="auto"/>
                <w:sz w:val="24"/>
                <w:szCs w:val="24"/>
                <w:highlight w:val="none"/>
              </w:rPr>
              <w:t>2.2.2.3</w:t>
            </w:r>
          </w:p>
        </w:tc>
        <w:tc>
          <w:tcPr>
            <w:tcW w:w="1185" w:type="dxa"/>
            <w:vMerge w:val="restart"/>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napToGrid w:val="false"/>
              <w:spacing w:lineRule="exact" w:line="500"/>
              <w:jc w:val="center"/>
              <w:textAlignment w:val="auto"/>
              <w:rPr>
                <w:rFonts w:ascii="宋体" w:cs="宋体" w:eastAsia="宋体" w:hAnsi="宋体" w:hint="eastAsia"/>
                <w:color w:val="auto"/>
                <w:sz w:val="24"/>
                <w:szCs w:val="24"/>
                <w:highlight w:val="none"/>
              </w:rPr>
            </w:pPr>
            <w:r>
              <w:rPr>
                <w:rFonts w:ascii="宋体" w:cs="宋体" w:eastAsia="宋体" w:hAnsi="宋体" w:hint="eastAsia"/>
                <w:color w:val="auto"/>
                <w:sz w:val="24"/>
                <w:szCs w:val="24"/>
                <w:highlight w:val="none"/>
              </w:rPr>
              <w:t>履约能力（</w:t>
            </w:r>
            <w:r>
              <w:rPr>
                <w:rFonts w:ascii="宋体" w:cs="宋体" w:hAnsi="宋体" w:hint="eastAsia"/>
                <w:color w:val="auto"/>
                <w:sz w:val="24"/>
                <w:szCs w:val="24"/>
                <w:highlight w:val="none"/>
                <w:lang w:val="en-US" w:eastAsia="zh-CN"/>
              </w:rPr>
              <w:t>65</w:t>
            </w:r>
            <w:r>
              <w:rPr>
                <w:rFonts w:ascii="宋体" w:cs="宋体" w:eastAsia="宋体" w:hAnsi="宋体" w:hint="eastAsia"/>
                <w:color w:val="auto"/>
                <w:sz w:val="24"/>
                <w:szCs w:val="24"/>
                <w:highlight w:val="none"/>
              </w:rPr>
              <w:t>分）</w:t>
            </w:r>
          </w:p>
        </w:tc>
        <w:tc>
          <w:tcPr>
            <w:tcW w:w="1398" w:type="dxa"/>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napToGrid w:val="false"/>
              <w:spacing w:lineRule="exact" w:line="500"/>
              <w:jc w:val="center"/>
              <w:textAlignment w:val="auto"/>
              <w:rPr>
                <w:rFonts w:ascii="宋体" w:cs="宋体" w:eastAsia="宋体" w:hAnsi="宋体" w:hint="eastAsia"/>
                <w:color w:val="auto"/>
                <w:sz w:val="24"/>
                <w:szCs w:val="24"/>
                <w:highlight w:val="none"/>
                <w:lang w:val="en-US" w:eastAsia="zh-CN"/>
              </w:rPr>
            </w:pPr>
            <w:r>
              <w:rPr>
                <w:rFonts w:ascii="宋体" w:cs="宋体" w:eastAsia="宋体" w:hAnsi="宋体" w:hint="eastAsia"/>
                <w:color w:val="auto"/>
                <w:sz w:val="24"/>
                <w:szCs w:val="24"/>
                <w:highlight w:val="none"/>
              </w:rPr>
              <w:t>拟派人员（</w:t>
            </w:r>
            <w:r>
              <w:rPr>
                <w:rFonts w:ascii="宋体" w:cs="宋体" w:eastAsia="宋体" w:hAnsi="宋体" w:hint="eastAsia"/>
                <w:color w:val="auto"/>
                <w:sz w:val="24"/>
                <w:szCs w:val="24"/>
                <w:highlight w:val="none"/>
                <w:lang w:val="en-US" w:eastAsia="zh-CN"/>
              </w:rPr>
              <w:t>24</w:t>
            </w:r>
            <w:r>
              <w:rPr>
                <w:rFonts w:ascii="宋体" w:cs="宋体" w:eastAsia="宋体" w:hAnsi="宋体" w:hint="eastAsia"/>
                <w:color w:val="auto"/>
                <w:sz w:val="24"/>
                <w:szCs w:val="24"/>
                <w:highlight w:val="none"/>
              </w:rPr>
              <w:t>分）</w:t>
            </w:r>
          </w:p>
        </w:tc>
        <w:tc>
          <w:tcPr>
            <w:tcW w:w="6150" w:type="dxa"/>
            <w:tcBorders/>
            <w:vAlign w:val="center"/>
          </w:tcPr>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eastAsia="宋体" w:hAnsi="宋体" w:hint="eastAsia"/>
                <w:color w:val="auto"/>
                <w:sz w:val="24"/>
                <w:szCs w:val="24"/>
                <w:highlight w:val="none"/>
                <w:lang w:val="en-US" w:eastAsia="zh-CN"/>
              </w:rPr>
            </w:pPr>
            <w:r>
              <w:rPr>
                <w:rFonts w:ascii="宋体" w:cs="宋体" w:eastAsia="宋体" w:hAnsi="宋体" w:hint="eastAsia"/>
                <w:color w:val="auto"/>
                <w:sz w:val="24"/>
                <w:szCs w:val="24"/>
                <w:highlight w:val="none"/>
                <w:lang w:val="en-US" w:eastAsia="zh-CN"/>
              </w:rPr>
              <w:t>（1）</w:t>
            </w:r>
            <w:r>
              <w:rPr>
                <w:rFonts w:ascii="宋体" w:cs="宋体" w:hAnsi="宋体" w:hint="eastAsia"/>
                <w:color w:val="auto"/>
                <w:sz w:val="24"/>
                <w:szCs w:val="24"/>
                <w:highlight w:val="none"/>
                <w:lang w:val="en-US" w:eastAsia="zh-CN"/>
              </w:rPr>
              <w:t>除项目负责人外，</w:t>
            </w:r>
            <w:r>
              <w:rPr>
                <w:rFonts w:ascii="宋体" w:cs="宋体" w:eastAsia="宋体" w:hAnsi="宋体" w:hint="eastAsia"/>
                <w:color w:val="auto"/>
                <w:sz w:val="24"/>
                <w:szCs w:val="24"/>
                <w:highlight w:val="none"/>
                <w:lang w:val="en-US" w:eastAsia="zh-CN"/>
              </w:rPr>
              <w:t>拟派人员中有2个注册会计师得基本分8分，多1名加</w:t>
            </w:r>
            <w:r>
              <w:rPr>
                <w:rFonts w:ascii="宋体" w:cs="宋体" w:hAnsi="宋体" w:hint="eastAsia"/>
                <w:color w:val="auto"/>
                <w:sz w:val="24"/>
                <w:szCs w:val="24"/>
                <w:highlight w:val="none"/>
                <w:lang w:val="en-US" w:eastAsia="zh-CN"/>
              </w:rPr>
              <w:t>4</w:t>
            </w:r>
            <w:r>
              <w:rPr>
                <w:rFonts w:ascii="宋体" w:cs="宋体" w:eastAsia="宋体" w:hAnsi="宋体" w:hint="eastAsia"/>
                <w:color w:val="auto"/>
                <w:sz w:val="24"/>
                <w:szCs w:val="24"/>
                <w:highlight w:val="none"/>
                <w:lang w:val="en-US" w:eastAsia="zh-CN"/>
              </w:rPr>
              <w:t>分。最多得16分，提供相应人员在供应商单位注册的证明材料。</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eastAsia="宋体" w:hAnsi="宋体" w:hint="eastAsia"/>
                <w:color w:val="auto"/>
                <w:sz w:val="24"/>
                <w:szCs w:val="24"/>
                <w:highlight w:val="none"/>
              </w:rPr>
            </w:pPr>
            <w:r>
              <w:rPr>
                <w:rFonts w:ascii="宋体" w:cs="宋体" w:eastAsia="宋体" w:hAnsi="宋体" w:hint="eastAsia"/>
                <w:color w:val="auto"/>
                <w:sz w:val="24"/>
                <w:szCs w:val="24"/>
                <w:highlight w:val="none"/>
                <w:lang w:val="en-US" w:eastAsia="zh-CN"/>
              </w:rPr>
              <w:t>（2）拟派人员中有中级会计师职称的，每有1人加2分，本项最多加8分。提供相关人员职称证书及供应商为其在安阳</w:t>
            </w:r>
            <w:r>
              <w:rPr>
                <w:rFonts w:ascii="宋体" w:cs="宋体" w:eastAsia="宋体" w:hAnsi="宋体" w:hint="eastAsia"/>
                <w:color w:val="auto"/>
                <w:sz w:val="24"/>
                <w:szCs w:val="24"/>
                <w:highlight w:val="none"/>
              </w:rPr>
              <w:t>近6个月以来任意一个月缴纳养老保险证明，注册</w:t>
            </w:r>
            <w:r>
              <w:rPr>
                <w:rFonts w:ascii="宋体" w:cs="宋体" w:hAnsi="宋体" w:hint="eastAsia"/>
                <w:color w:val="auto"/>
                <w:sz w:val="24"/>
                <w:szCs w:val="24"/>
                <w:highlight w:val="none"/>
                <w:lang w:eastAsia="zh-CN"/>
              </w:rPr>
              <w:t>会计</w:t>
            </w:r>
            <w:r>
              <w:rPr>
                <w:rFonts w:ascii="宋体" w:cs="宋体" w:hAnsi="宋体" w:hint="default"/>
                <w:color w:val="auto"/>
                <w:sz w:val="24"/>
                <w:szCs w:val="24"/>
                <w:highlight w:val="none"/>
                <w:lang w:val="en-US" w:eastAsia="zh-CN"/>
              </w:rPr>
              <w:t>师</w:t>
            </w:r>
            <w:r>
              <w:rPr>
                <w:rFonts w:ascii="宋体" w:cs="宋体" w:eastAsia="宋体" w:hAnsi="宋体" w:hint="eastAsia"/>
                <w:color w:val="auto"/>
                <w:sz w:val="24"/>
                <w:szCs w:val="24"/>
                <w:highlight w:val="none"/>
              </w:rPr>
              <w:t>人员注册单位必须与投标单位一致。否则不得分。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eastAsia="宋体" w:hAnsi="宋体" w:hint="eastAsia"/>
                <w:color w:val="auto"/>
                <w:sz w:val="24"/>
                <w:szCs w:val="24"/>
                <w:highlight w:val="none"/>
                <w:lang w:val="en-US" w:eastAsia="zh-CN"/>
              </w:rPr>
            </w:pPr>
            <w:r>
              <w:rPr>
                <w:rFonts w:ascii="宋体" w:cs="宋体" w:eastAsia="宋体" w:hAnsi="宋体" w:hint="eastAsia"/>
                <w:color w:val="auto"/>
                <w:sz w:val="24"/>
                <w:szCs w:val="24"/>
                <w:highlight w:val="none"/>
                <w:lang w:val="en-US" w:eastAsia="zh-CN"/>
              </w:rPr>
              <w:t>2.所投人员不得重复计分。</w:t>
            </w:r>
          </w:p>
          <w:p>
            <w:pPr>
              <w:pStyle w:val="style50"/>
              <w:rPr>
                <w:rFonts w:hint="eastAsia"/>
                <w:lang w:val="en-US" w:eastAsia="zh-CN"/>
              </w:rPr>
            </w:pPr>
            <w:r>
              <w:rPr>
                <w:rFonts w:ascii="宋体" w:cs="宋体" w:hAnsi="宋体" w:hint="eastAsia"/>
                <w:color w:val="auto"/>
                <w:sz w:val="24"/>
                <w:szCs w:val="24"/>
                <w:highlight w:val="none"/>
                <w:lang w:eastAsia="zh-CN"/>
              </w:rPr>
              <w:t>（开标时需携带原件，未提供原件不</w:t>
            </w:r>
            <w:r>
              <w:rPr>
                <w:rFonts w:ascii="宋体" w:cs="宋体" w:hAnsi="宋体" w:hint="default"/>
                <w:color w:val="auto"/>
                <w:sz w:val="24"/>
                <w:szCs w:val="24"/>
                <w:highlight w:val="none"/>
                <w:lang w:val="en-US" w:eastAsia="zh-CN"/>
              </w:rPr>
              <w:t>得</w:t>
            </w:r>
            <w:r>
              <w:rPr>
                <w:rFonts w:ascii="宋体" w:cs="宋体" w:hAnsi="宋体" w:hint="eastAsia"/>
                <w:color w:val="auto"/>
                <w:sz w:val="24"/>
                <w:szCs w:val="24"/>
                <w:highlight w:val="none"/>
                <w:lang w:eastAsia="zh-CN"/>
              </w:rPr>
              <w:t>分。）</w:t>
            </w:r>
          </w:p>
        </w:tc>
      </w:tr>
      <w:tr>
        <w:tblPrEx/>
        <w:trPr>
          <w:trHeight w:val="602" w:hRule="atLeast"/>
          <w:jc w:val="center"/>
        </w:trPr>
        <w:tc>
          <w:tcPr>
            <w:tcW w:w="1185" w:type="dxa"/>
            <w:vMerge w:val="continue"/>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pacing w:lineRule="exact" w:line="500"/>
              <w:jc w:val="center"/>
              <w:textAlignment w:val="auto"/>
              <w:rPr>
                <w:rFonts w:ascii="宋体" w:cs="宋体" w:hAnsi="宋体" w:hint="eastAsia"/>
                <w:color w:val="auto"/>
                <w:sz w:val="24"/>
                <w:szCs w:val="24"/>
                <w:highlight w:val="none"/>
              </w:rPr>
            </w:pPr>
          </w:p>
        </w:tc>
        <w:tc>
          <w:tcPr>
            <w:tcW w:w="1185" w:type="dxa"/>
            <w:vMerge w:val="continue"/>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napToGrid w:val="false"/>
              <w:spacing w:lineRule="exact" w:line="500"/>
              <w:jc w:val="center"/>
              <w:textAlignment w:val="auto"/>
              <w:rPr>
                <w:rFonts w:ascii="宋体" w:cs="宋体" w:eastAsia="宋体" w:hAnsi="宋体" w:hint="eastAsia"/>
                <w:color w:val="auto"/>
                <w:sz w:val="24"/>
                <w:szCs w:val="24"/>
                <w:highlight w:val="none"/>
              </w:rPr>
            </w:pPr>
          </w:p>
        </w:tc>
        <w:tc>
          <w:tcPr>
            <w:tcW w:w="1398" w:type="dxa"/>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napToGrid w:val="false"/>
              <w:spacing w:lineRule="exact" w:line="500"/>
              <w:jc w:val="center"/>
              <w:textAlignment w:val="auto"/>
              <w:rPr>
                <w:rFonts w:ascii="宋体" w:cs="宋体" w:eastAsia="宋体" w:hAnsi="宋体" w:hint="eastAsia"/>
                <w:color w:val="auto"/>
                <w:sz w:val="24"/>
                <w:szCs w:val="24"/>
                <w:highlight w:val="none"/>
              </w:rPr>
            </w:pPr>
            <w:r>
              <w:rPr>
                <w:rFonts w:ascii="宋体" w:cs="宋体" w:eastAsia="宋体" w:hAnsi="宋体" w:hint="eastAsia"/>
                <w:color w:val="auto"/>
                <w:sz w:val="24"/>
                <w:szCs w:val="24"/>
                <w:highlight w:val="none"/>
              </w:rPr>
              <w:t>办公场所（10分）</w:t>
            </w:r>
          </w:p>
        </w:tc>
        <w:tc>
          <w:tcPr>
            <w:tcW w:w="6150" w:type="dxa"/>
            <w:tcBorders/>
            <w:vAlign w:val="center"/>
          </w:tcPr>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eastAsia="宋体" w:hAnsi="宋体" w:hint="eastAsia"/>
                <w:color w:val="auto"/>
                <w:sz w:val="24"/>
                <w:szCs w:val="24"/>
                <w:highlight w:val="none"/>
              </w:rPr>
            </w:pPr>
            <w:r>
              <w:rPr>
                <w:rFonts w:ascii="宋体" w:cs="宋体" w:eastAsia="宋体" w:hAnsi="宋体" w:hint="eastAsia"/>
                <w:color w:val="auto"/>
                <w:sz w:val="24"/>
                <w:szCs w:val="24"/>
                <w:highlight w:val="none"/>
              </w:rPr>
              <w:t>1、根据要求提供项目跟踪及不定时现场服务的特点，</w:t>
            </w:r>
            <w:r>
              <w:rPr>
                <w:rFonts w:ascii="宋体" w:cs="宋体" w:eastAsia="宋体" w:hAnsi="宋体" w:hint="eastAsia"/>
                <w:color w:val="auto"/>
                <w:sz w:val="24"/>
                <w:szCs w:val="24"/>
                <w:highlight w:val="none"/>
                <w:lang w:eastAsia="zh-CN"/>
              </w:rPr>
              <w:t>供应商</w:t>
            </w:r>
            <w:r>
              <w:rPr>
                <w:rFonts w:ascii="宋体" w:cs="宋体" w:eastAsia="宋体" w:hAnsi="宋体" w:hint="eastAsia"/>
                <w:color w:val="auto"/>
                <w:sz w:val="24"/>
                <w:szCs w:val="24"/>
                <w:highlight w:val="none"/>
              </w:rPr>
              <w:t>需提供本地化服务，在招标人所在地的安阳市市内（含安东新区）具有功能齐全的办公场所（至少具有独立的办公区、独立的会议区、独立的档案室必要的基本办公条件），《投标文件》须提供办公平面图，表明具体地址、楼层、房间号、房间功能。得5分，缺项不</w:t>
            </w:r>
            <w:bookmarkStart w:id="29" w:name="_GoBack"/>
            <w:bookmarkEnd w:id="29"/>
            <w:r>
              <w:rPr>
                <w:rFonts w:ascii="宋体" w:cs="宋体" w:eastAsia="宋体" w:hAnsi="宋体" w:hint="eastAsia"/>
                <w:color w:val="auto"/>
                <w:sz w:val="24"/>
                <w:szCs w:val="24"/>
                <w:highlight w:val="none"/>
              </w:rPr>
              <w:t>得分。</w:t>
            </w:r>
          </w:p>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eastAsia="宋体" w:hAnsi="宋体" w:hint="eastAsia"/>
                <w:color w:val="auto"/>
                <w:sz w:val="24"/>
                <w:szCs w:val="24"/>
                <w:highlight w:val="none"/>
              </w:rPr>
            </w:pPr>
            <w:r>
              <w:rPr>
                <w:rFonts w:ascii="宋体" w:cs="宋体" w:eastAsia="宋体" w:hAnsi="宋体" w:hint="eastAsia"/>
                <w:color w:val="auto"/>
                <w:sz w:val="24"/>
                <w:szCs w:val="24"/>
                <w:highlight w:val="none"/>
              </w:rPr>
              <w:t>2、</w:t>
            </w:r>
            <w:r>
              <w:rPr>
                <w:rFonts w:ascii="宋体" w:cs="宋体" w:eastAsia="宋体" w:hAnsi="宋体" w:hint="eastAsia"/>
                <w:color w:val="auto"/>
                <w:sz w:val="24"/>
                <w:szCs w:val="24"/>
                <w:highlight w:val="none"/>
                <w:lang w:eastAsia="zh-CN"/>
              </w:rPr>
              <w:t>供应商</w:t>
            </w:r>
            <w:r>
              <w:rPr>
                <w:rFonts w:ascii="宋体" w:cs="宋体" w:eastAsia="宋体" w:hAnsi="宋体" w:hint="eastAsia"/>
                <w:color w:val="auto"/>
                <w:sz w:val="24"/>
                <w:szCs w:val="24"/>
                <w:highlight w:val="none"/>
              </w:rPr>
              <w:t>非住宅性质的得5分。</w:t>
            </w:r>
          </w:p>
          <w:p>
            <w:pPr>
              <w:pStyle w:val="style0"/>
              <w:keepNext w:val="false"/>
              <w:keepLines w:val="false"/>
              <w:pageBreakBefore w:val="false"/>
              <w:widowControl w:val="false"/>
              <w:kinsoku/>
              <w:wordWrap/>
              <w:overflowPunct/>
              <w:topLinePunct w:val="false"/>
              <w:bidi w:val="false"/>
              <w:snapToGrid w:val="false"/>
              <w:spacing w:lineRule="exact" w:line="500"/>
              <w:rPr>
                <w:rFonts w:hint="eastAsia"/>
                <w:lang w:val="en-US" w:eastAsia="zh-CN"/>
              </w:rPr>
            </w:pPr>
            <w:r>
              <w:rPr>
                <w:rFonts w:ascii="宋体" w:cs="宋体" w:hAnsi="宋体" w:hint="eastAsia"/>
                <w:color w:val="auto"/>
                <w:sz w:val="24"/>
                <w:szCs w:val="24"/>
                <w:highlight w:val="none"/>
                <w:lang w:eastAsia="zh-CN"/>
              </w:rPr>
              <w:t>注：</w:t>
            </w:r>
            <w:r>
              <w:rPr>
                <w:rFonts w:ascii="宋体" w:cs="宋体" w:hAnsi="宋体" w:hint="eastAsia"/>
                <w:color w:val="auto"/>
                <w:sz w:val="24"/>
                <w:szCs w:val="24"/>
                <w:highlight w:val="none"/>
                <w:lang w:val="en-US" w:eastAsia="zh-CN"/>
              </w:rPr>
              <w:t>1.</w:t>
            </w:r>
            <w:r>
              <w:rPr>
                <w:rFonts w:ascii="宋体" w:cs="宋体" w:hAnsi="宋体" w:hint="eastAsia"/>
                <w:color w:val="auto"/>
                <w:sz w:val="24"/>
                <w:szCs w:val="24"/>
                <w:highlight w:val="none"/>
                <w:lang w:eastAsia="zh-CN"/>
              </w:rPr>
              <w:t>（</w:t>
            </w:r>
            <w:r>
              <w:rPr>
                <w:rFonts w:ascii="宋体" w:cs="宋体" w:eastAsia="宋体" w:hAnsi="宋体" w:hint="eastAsia"/>
                <w:color w:val="auto"/>
                <w:sz w:val="24"/>
                <w:szCs w:val="24"/>
                <w:highlight w:val="none"/>
              </w:rPr>
              <w:t>《投标文件》须提供房产证或租赁合同</w:t>
            </w:r>
            <w:r>
              <w:rPr>
                <w:rFonts w:ascii="宋体" w:cs="宋体" w:hAnsi="宋体" w:hint="eastAsia"/>
                <w:color w:val="auto"/>
                <w:sz w:val="24"/>
                <w:szCs w:val="24"/>
                <w:highlight w:val="none"/>
                <w:lang w:eastAsia="zh-CN"/>
              </w:rPr>
              <w:t>如为租赁房屋，需在租赁合同显示非住宅性质）</w:t>
            </w:r>
            <w:r>
              <w:rPr>
                <w:rFonts w:ascii="宋体" w:cs="宋体" w:eastAsia="宋体" w:hAnsi="宋体" w:hint="eastAsia"/>
                <w:color w:val="auto"/>
                <w:sz w:val="24"/>
                <w:szCs w:val="24"/>
                <w:highlight w:val="none"/>
              </w:rPr>
              <w:t>。</w:t>
            </w:r>
            <w:r>
              <w:rPr>
                <w:rFonts w:ascii="宋体" w:cs="宋体" w:hAnsi="宋体" w:hint="eastAsia"/>
                <w:color w:val="auto"/>
                <w:sz w:val="24"/>
                <w:szCs w:val="24"/>
                <w:highlight w:val="none"/>
                <w:lang w:val="en-US" w:eastAsia="zh-CN"/>
              </w:rPr>
              <w:t>2.</w:t>
            </w:r>
            <w:r>
              <w:rPr>
                <w:rFonts w:ascii="宋体" w:cs="宋体" w:hAnsi="宋体" w:hint="eastAsia"/>
                <w:color w:val="auto"/>
                <w:sz w:val="24"/>
                <w:szCs w:val="24"/>
                <w:highlight w:val="none"/>
                <w:lang w:eastAsia="zh-CN"/>
              </w:rPr>
              <w:t>（开标时需携带原件，未提供原件不</w:t>
            </w:r>
            <w:r>
              <w:rPr>
                <w:rFonts w:ascii="宋体" w:cs="宋体" w:hAnsi="宋体" w:hint="default"/>
                <w:color w:val="auto"/>
                <w:sz w:val="24"/>
                <w:szCs w:val="24"/>
                <w:highlight w:val="none"/>
                <w:lang w:val="en-US" w:eastAsia="zh-CN"/>
              </w:rPr>
              <w:t>得</w:t>
            </w:r>
            <w:r>
              <w:rPr>
                <w:rFonts w:ascii="宋体" w:cs="宋体" w:hAnsi="宋体" w:hint="eastAsia"/>
                <w:color w:val="auto"/>
                <w:sz w:val="24"/>
                <w:szCs w:val="24"/>
                <w:highlight w:val="none"/>
                <w:lang w:eastAsia="zh-CN"/>
              </w:rPr>
              <w:t>分。）</w:t>
            </w:r>
          </w:p>
        </w:tc>
      </w:tr>
      <w:tr>
        <w:tblPrEx/>
        <w:trPr>
          <w:trHeight w:val="602" w:hRule="atLeast"/>
          <w:jc w:val="center"/>
        </w:trPr>
        <w:tc>
          <w:tcPr>
            <w:tcW w:w="1185" w:type="dxa"/>
            <w:vMerge w:val="continue"/>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pacing w:lineRule="exact" w:line="500"/>
              <w:jc w:val="center"/>
              <w:textAlignment w:val="auto"/>
              <w:rPr>
                <w:rFonts w:ascii="宋体" w:cs="宋体" w:hAnsi="宋体" w:hint="eastAsia"/>
                <w:color w:val="auto"/>
                <w:sz w:val="24"/>
                <w:szCs w:val="24"/>
                <w:highlight w:val="none"/>
              </w:rPr>
            </w:pPr>
          </w:p>
        </w:tc>
        <w:tc>
          <w:tcPr>
            <w:tcW w:w="1185" w:type="dxa"/>
            <w:vMerge w:val="continue"/>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napToGrid w:val="false"/>
              <w:spacing w:lineRule="exact" w:line="500"/>
              <w:jc w:val="center"/>
              <w:textAlignment w:val="auto"/>
              <w:rPr>
                <w:rFonts w:ascii="宋体" w:cs="宋体" w:eastAsia="宋体" w:hAnsi="宋体" w:hint="eastAsia"/>
                <w:color w:val="auto"/>
                <w:sz w:val="24"/>
                <w:szCs w:val="24"/>
                <w:highlight w:val="none"/>
              </w:rPr>
            </w:pPr>
          </w:p>
        </w:tc>
        <w:tc>
          <w:tcPr>
            <w:tcW w:w="1398" w:type="dxa"/>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napToGrid w:val="false"/>
              <w:spacing w:lineRule="exact" w:line="500"/>
              <w:jc w:val="center"/>
              <w:textAlignment w:val="auto"/>
              <w:rPr>
                <w:rFonts w:ascii="宋体" w:cs="宋体" w:eastAsia="宋体" w:hAnsi="宋体" w:hint="eastAsia"/>
                <w:color w:val="auto"/>
                <w:sz w:val="24"/>
                <w:szCs w:val="24"/>
                <w:highlight w:val="none"/>
                <w:lang w:val="en-US" w:eastAsia="zh-CN"/>
              </w:rPr>
            </w:pPr>
            <w:r>
              <w:rPr>
                <w:rFonts w:ascii="宋体" w:cs="宋体" w:eastAsia="宋体" w:hAnsi="宋体" w:hint="eastAsia"/>
                <w:color w:val="auto"/>
                <w:sz w:val="24"/>
                <w:szCs w:val="24"/>
                <w:highlight w:val="none"/>
                <w:lang w:val="en-US" w:eastAsia="zh-CN"/>
              </w:rPr>
              <w:t>信用等级</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en-US" w:eastAsia="zh-CN"/>
              </w:rPr>
              <w:t>4</w:t>
            </w:r>
            <w:r>
              <w:rPr>
                <w:rFonts w:ascii="宋体" w:cs="宋体" w:eastAsia="宋体" w:hAnsi="宋体" w:hint="eastAsia"/>
                <w:color w:val="auto"/>
                <w:sz w:val="24"/>
                <w:szCs w:val="24"/>
                <w:highlight w:val="none"/>
              </w:rPr>
              <w:t>分）</w:t>
            </w:r>
          </w:p>
        </w:tc>
        <w:tc>
          <w:tcPr>
            <w:tcW w:w="6150" w:type="dxa"/>
            <w:tcBorders/>
            <w:vAlign w:val="center"/>
          </w:tcPr>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eastAsia="宋体" w:hAnsi="宋体" w:hint="eastAsia"/>
                <w:color w:val="auto"/>
                <w:sz w:val="24"/>
                <w:szCs w:val="24"/>
                <w:highlight w:val="none"/>
                <w:lang w:val="en-US" w:eastAsia="zh-CN"/>
              </w:rPr>
            </w:pPr>
            <w:r>
              <w:rPr>
                <w:rFonts w:ascii="宋体" w:cs="宋体" w:eastAsia="宋体" w:hAnsi="宋体" w:hint="eastAsia"/>
                <w:color w:val="auto"/>
                <w:sz w:val="24"/>
                <w:szCs w:val="24"/>
                <w:highlight w:val="none"/>
                <w:lang w:val="en-US" w:eastAsia="zh-CN"/>
              </w:rPr>
              <w:t>提供经省级或以上社会信用管理部门备案认可的信用评估机构出具的信用等级证书AAA得4分，AA得2分，其他下不得分。提供相应证书及证明材料。</w:t>
            </w:r>
          </w:p>
          <w:p>
            <w:pPr>
              <w:pStyle w:val="style50"/>
              <w:rPr>
                <w:rFonts w:hint="eastAsia"/>
                <w:lang w:val="en-US" w:eastAsia="zh-CN"/>
              </w:rPr>
            </w:pPr>
            <w:r>
              <w:rPr>
                <w:rFonts w:ascii="宋体" w:cs="宋体" w:hAnsi="宋体" w:hint="eastAsia"/>
                <w:color w:val="auto"/>
                <w:sz w:val="24"/>
                <w:szCs w:val="24"/>
                <w:highlight w:val="none"/>
                <w:lang w:eastAsia="zh-CN"/>
              </w:rPr>
              <w:t>（开标时需携带原件，未提供原件不</w:t>
            </w:r>
            <w:r>
              <w:rPr>
                <w:rFonts w:ascii="宋体" w:cs="宋体" w:hAnsi="宋体" w:hint="default"/>
                <w:color w:val="auto"/>
                <w:sz w:val="24"/>
                <w:szCs w:val="24"/>
                <w:highlight w:val="none"/>
                <w:lang w:val="en-US" w:eastAsia="zh-CN"/>
              </w:rPr>
              <w:t>得</w:t>
            </w:r>
            <w:r>
              <w:rPr>
                <w:rFonts w:ascii="宋体" w:cs="宋体" w:hAnsi="宋体" w:hint="eastAsia"/>
                <w:color w:val="auto"/>
                <w:sz w:val="24"/>
                <w:szCs w:val="24"/>
                <w:highlight w:val="none"/>
                <w:lang w:eastAsia="zh-CN"/>
              </w:rPr>
              <w:t>分。）</w:t>
            </w:r>
          </w:p>
        </w:tc>
      </w:tr>
      <w:tr>
        <w:tblPrEx/>
        <w:trPr>
          <w:trHeight w:val="386" w:hRule="atLeast"/>
          <w:jc w:val="center"/>
        </w:trPr>
        <w:tc>
          <w:tcPr>
            <w:tcW w:w="1185" w:type="dxa"/>
            <w:vMerge w:val="continue"/>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pacing w:lineRule="exact" w:line="500"/>
              <w:jc w:val="center"/>
              <w:textAlignment w:val="auto"/>
              <w:rPr>
                <w:rFonts w:ascii="宋体" w:cs="宋体" w:hAnsi="宋体" w:hint="eastAsia"/>
                <w:color w:val="auto"/>
                <w:sz w:val="24"/>
                <w:szCs w:val="24"/>
                <w:highlight w:val="none"/>
              </w:rPr>
            </w:pPr>
          </w:p>
        </w:tc>
        <w:tc>
          <w:tcPr>
            <w:tcW w:w="1185" w:type="dxa"/>
            <w:vMerge w:val="continue"/>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napToGrid w:val="false"/>
              <w:spacing w:lineRule="exact" w:line="500"/>
              <w:jc w:val="center"/>
              <w:textAlignment w:val="auto"/>
              <w:rPr>
                <w:rFonts w:ascii="宋体" w:cs="宋体" w:eastAsia="宋体" w:hAnsi="宋体" w:hint="eastAsia"/>
                <w:color w:val="auto"/>
                <w:sz w:val="24"/>
                <w:szCs w:val="24"/>
                <w:highlight w:val="none"/>
              </w:rPr>
            </w:pPr>
          </w:p>
        </w:tc>
        <w:tc>
          <w:tcPr>
            <w:tcW w:w="1398" w:type="dxa"/>
            <w:tcBorders/>
            <w:vAlign w:val="center"/>
          </w:tcPr>
          <w:p>
            <w:pPr>
              <w:pStyle w:val="style0"/>
              <w:keepNext w:val="false"/>
              <w:keepLines w:val="false"/>
              <w:pageBreakBefore w:val="false"/>
              <w:widowControl w:val="false"/>
              <w:kinsoku/>
              <w:wordWrap/>
              <w:overflowPunct/>
              <w:topLinePunct w:val="false"/>
              <w:autoSpaceDE w:val="false"/>
              <w:autoSpaceDN w:val="false"/>
              <w:bidi w:val="false"/>
              <w:adjustRightInd w:val="false"/>
              <w:snapToGrid w:val="false"/>
              <w:spacing w:lineRule="exact" w:line="500"/>
              <w:jc w:val="center"/>
              <w:textAlignment w:val="auto"/>
              <w:rPr>
                <w:rFonts w:ascii="宋体" w:cs="宋体" w:eastAsia="宋体" w:hAnsi="宋体" w:hint="eastAsia"/>
                <w:color w:val="auto"/>
                <w:sz w:val="24"/>
                <w:szCs w:val="24"/>
                <w:highlight w:val="none"/>
                <w:lang w:val="en-US" w:eastAsia="zh-CN"/>
              </w:rPr>
            </w:pPr>
            <w:r>
              <w:rPr>
                <w:rFonts w:ascii="宋体" w:cs="宋体" w:eastAsia="宋体" w:hAnsi="宋体" w:hint="eastAsia"/>
                <w:color w:val="auto"/>
                <w:sz w:val="24"/>
                <w:szCs w:val="24"/>
                <w:highlight w:val="none"/>
              </w:rPr>
              <w:t>业绩（</w:t>
            </w:r>
            <w:r>
              <w:rPr>
                <w:rFonts w:ascii="宋体" w:cs="宋体" w:eastAsia="宋体" w:hAnsi="宋体" w:hint="eastAsia"/>
                <w:color w:val="auto"/>
                <w:sz w:val="24"/>
                <w:szCs w:val="24"/>
                <w:highlight w:val="none"/>
                <w:lang w:val="en-US" w:eastAsia="zh-CN"/>
              </w:rPr>
              <w:t>27</w:t>
            </w:r>
            <w:r>
              <w:rPr>
                <w:rFonts w:ascii="宋体" w:cs="宋体" w:eastAsia="宋体" w:hAnsi="宋体" w:hint="eastAsia"/>
                <w:color w:val="auto"/>
                <w:sz w:val="24"/>
                <w:szCs w:val="24"/>
                <w:highlight w:val="none"/>
              </w:rPr>
              <w:t>分）</w:t>
            </w:r>
          </w:p>
        </w:tc>
        <w:tc>
          <w:tcPr>
            <w:tcW w:w="6150" w:type="dxa"/>
            <w:tcBorders/>
            <w:vAlign w:val="center"/>
          </w:tcPr>
          <w:p>
            <w:pPr>
              <w:pStyle w:val="style0"/>
              <w:keepNext w:val="false"/>
              <w:keepLines w:val="false"/>
              <w:pageBreakBefore w:val="false"/>
              <w:widowControl w:val="false"/>
              <w:kinsoku/>
              <w:wordWrap/>
              <w:overflowPunct/>
              <w:topLinePunct w:val="false"/>
              <w:bidi w:val="false"/>
              <w:snapToGrid w:val="false"/>
              <w:spacing w:lineRule="exact" w:line="500"/>
              <w:rPr>
                <w:rFonts w:ascii="宋体" w:cs="宋体" w:eastAsia="宋体" w:hAnsi="宋体" w:hint="eastAsia"/>
                <w:color w:val="auto"/>
                <w:sz w:val="24"/>
                <w:szCs w:val="24"/>
                <w:highlight w:val="none"/>
                <w:lang w:val="en-US" w:eastAsia="zh-CN"/>
              </w:rPr>
            </w:pPr>
            <w:r>
              <w:rPr>
                <w:rFonts w:ascii="宋体" w:cs="宋体" w:eastAsia="宋体" w:hAnsi="宋体" w:hint="eastAsia"/>
                <w:color w:val="auto"/>
                <w:sz w:val="24"/>
                <w:szCs w:val="24"/>
                <w:highlight w:val="none"/>
                <w:lang w:val="en-US" w:eastAsia="zh-CN"/>
              </w:rPr>
              <w:t>近三年来（2021年1月1日起），具有行政事业单位委托的审计类业绩（财务收支审计、财务决算审计、清产核资审计、年度审计、招投标规范性审计、内控审计、食堂审计、卫生服务项目绩效审计、成本审计）。每提供一类业绩合同得3分，本项最多27分。以合同签订日期为准。</w:t>
            </w:r>
          </w:p>
          <w:p>
            <w:pPr>
              <w:pStyle w:val="style50"/>
              <w:rPr>
                <w:rFonts w:hint="eastAsia"/>
                <w:lang w:val="en-US" w:eastAsia="zh-CN"/>
              </w:rPr>
            </w:pPr>
            <w:r>
              <w:rPr>
                <w:rFonts w:ascii="宋体" w:cs="宋体" w:hAnsi="宋体" w:hint="eastAsia"/>
                <w:color w:val="auto"/>
                <w:sz w:val="24"/>
                <w:szCs w:val="24"/>
                <w:highlight w:val="none"/>
                <w:lang w:eastAsia="zh-CN"/>
              </w:rPr>
              <w:t>（开标时需携带原件，未提供原件不</w:t>
            </w:r>
            <w:r>
              <w:rPr>
                <w:rFonts w:ascii="宋体" w:cs="宋体" w:hAnsi="宋体" w:hint="default"/>
                <w:color w:val="auto"/>
                <w:sz w:val="24"/>
                <w:szCs w:val="24"/>
                <w:highlight w:val="none"/>
                <w:lang w:val="en-US" w:eastAsia="zh-CN"/>
              </w:rPr>
              <w:t>得</w:t>
            </w:r>
            <w:r>
              <w:rPr>
                <w:rFonts w:ascii="宋体" w:cs="宋体" w:hAnsi="宋体" w:hint="eastAsia"/>
                <w:color w:val="auto"/>
                <w:sz w:val="24"/>
                <w:szCs w:val="24"/>
                <w:highlight w:val="none"/>
                <w:lang w:eastAsia="zh-CN"/>
              </w:rPr>
              <w:t>分。）</w:t>
            </w:r>
          </w:p>
        </w:tc>
      </w:tr>
    </w:tbl>
    <w:p>
      <w:pPr>
        <w:pStyle w:val="style0"/>
        <w:autoSpaceDE w:val="false"/>
        <w:autoSpaceDN w:val="false"/>
        <w:adjustRightInd w:val="false"/>
        <w:snapToGrid w:val="false"/>
        <w:spacing w:lineRule="exact" w:line="460"/>
        <w:ind w:firstLine="562" w:firstLineChars="200"/>
        <w:jc w:val="left"/>
        <w:outlineLvl w:val="1"/>
        <w:rPr>
          <w:rFonts w:ascii="宋体" w:cs="宋体" w:hAnsi="宋体" w:hint="eastAsia"/>
          <w:b/>
          <w:bCs/>
          <w:color w:val="auto"/>
          <w:sz w:val="28"/>
          <w:szCs w:val="28"/>
          <w:highlight w:val="none"/>
          <w:lang w:val="zh-CN"/>
        </w:rPr>
      </w:pPr>
    </w:p>
    <w:p>
      <w:pPr>
        <w:pStyle w:val="style0"/>
        <w:autoSpaceDE w:val="false"/>
        <w:autoSpaceDN w:val="false"/>
        <w:adjustRightInd w:val="false"/>
        <w:snapToGrid w:val="false"/>
        <w:spacing w:lineRule="exact" w:line="460"/>
        <w:ind w:firstLine="562" w:firstLineChars="200"/>
        <w:jc w:val="left"/>
        <w:outlineLvl w:val="1"/>
        <w:rPr>
          <w:rFonts w:ascii="宋体" w:cs="宋体" w:hAnsi="宋体" w:hint="eastAsia"/>
          <w:b/>
          <w:bCs/>
          <w:color w:val="auto"/>
          <w:sz w:val="28"/>
          <w:szCs w:val="28"/>
          <w:highlight w:val="none"/>
          <w:lang w:val="zh-CN"/>
        </w:rPr>
      </w:pPr>
    </w:p>
    <w:p>
      <w:pPr>
        <w:pStyle w:val="style0"/>
        <w:autoSpaceDE w:val="false"/>
        <w:autoSpaceDN w:val="false"/>
        <w:adjustRightInd w:val="false"/>
        <w:snapToGrid w:val="false"/>
        <w:spacing w:lineRule="exact" w:line="460"/>
        <w:ind w:firstLine="562" w:firstLineChars="200"/>
        <w:jc w:val="left"/>
        <w:outlineLvl w:val="1"/>
        <w:rPr>
          <w:rFonts w:ascii="宋体" w:cs="宋体" w:hAnsi="宋体"/>
          <w:b/>
          <w:bCs/>
          <w:color w:val="auto"/>
          <w:sz w:val="28"/>
          <w:szCs w:val="28"/>
          <w:highlight w:val="none"/>
          <w:lang w:val="zh-CN"/>
        </w:rPr>
      </w:pPr>
      <w:r>
        <w:rPr>
          <w:rFonts w:ascii="宋体" w:cs="宋体" w:hAnsi="宋体" w:hint="eastAsia"/>
          <w:b/>
          <w:bCs/>
          <w:color w:val="auto"/>
          <w:sz w:val="28"/>
          <w:szCs w:val="28"/>
          <w:highlight w:val="none"/>
          <w:lang w:val="zh-CN"/>
        </w:rPr>
        <w:t>1.评审方法（评定成交的标准）</w:t>
      </w:r>
      <w:bookmarkEnd w:id="28"/>
    </w:p>
    <w:p>
      <w:pPr>
        <w:pStyle w:val="style0"/>
        <w:autoSpaceDE w:val="false"/>
        <w:autoSpaceDN w:val="false"/>
        <w:adjustRightInd w:val="false"/>
        <w:snapToGrid w:val="false"/>
        <w:spacing w:lineRule="exact" w:line="460"/>
        <w:ind w:firstLine="619" w:firstLineChars="257"/>
        <w:jc w:val="left"/>
        <w:rPr>
          <w:rFonts w:ascii="宋体" w:cs="宋体" w:hAnsi="宋体"/>
          <w:b/>
          <w:color w:val="auto"/>
          <w:sz w:val="24"/>
          <w:highlight w:val="none"/>
        </w:rPr>
      </w:pPr>
      <w:r>
        <w:rPr>
          <w:rFonts w:ascii="宋体" w:cs="宋体" w:hAnsi="宋体" w:hint="eastAsia"/>
          <w:b/>
          <w:color w:val="auto"/>
          <w:sz w:val="24"/>
          <w:szCs w:val="24"/>
          <w:highlight w:val="none"/>
        </w:rPr>
        <w:t>本次政府采购项目（标段&lt;包&gt;）的评审方法采用《政府采购竞争性磋商采购方式管理暂行办法》中的“综合评分法”，由磋商小组采用综合评分法对提交最后报价的供应商的《响应文件》和最后报价进行综合评分，《响应文件》满足磋商文件全部实质性要求且按评审因素的量化指标评审得分最高的供应商为该项目（标段&lt;包&gt;）成交候选供应商。</w:t>
      </w:r>
    </w:p>
    <w:bookmarkStart w:id="30" w:name="_Toc423723403"/>
    <w:bookmarkStart w:id="31" w:name="_Toc21907"/>
    <w:p>
      <w:pPr>
        <w:pStyle w:val="style4097"/>
        <w:snapToGrid w:val="false"/>
        <w:spacing w:lineRule="exact" w:line="460"/>
        <w:ind w:firstLine="422" w:firstLineChars="150"/>
        <w:jc w:val="both"/>
        <w:outlineLvl w:val="1"/>
        <w:rPr>
          <w:rFonts w:cs="宋体" w:hAnsi="宋体"/>
          <w:b/>
          <w:bCs/>
          <w:color w:val="auto"/>
          <w:sz w:val="28"/>
          <w:szCs w:val="28"/>
          <w:highlight w:val="none"/>
          <w:u w:color="000000"/>
          <w:lang w:val="zh-CN"/>
        </w:rPr>
      </w:pPr>
      <w:r>
        <w:rPr>
          <w:rFonts w:cs="宋体" w:hAnsi="宋体" w:hint="eastAsia"/>
          <w:b/>
          <w:bCs/>
          <w:color w:val="auto"/>
          <w:sz w:val="28"/>
          <w:szCs w:val="28"/>
          <w:highlight w:val="none"/>
          <w:u w:color="000000"/>
          <w:lang w:val="zh-CN"/>
        </w:rPr>
        <w:t>2. 评审标准</w:t>
      </w:r>
      <w:bookmarkEnd w:id="30"/>
      <w:bookmarkEnd w:id="31"/>
    </w:p>
    <w:p>
      <w:pPr>
        <w:pStyle w:val="style0"/>
        <w:autoSpaceDE w:val="false"/>
        <w:autoSpaceDN w:val="false"/>
        <w:adjustRightInd w:val="false"/>
        <w:snapToGrid w:val="false"/>
        <w:spacing w:lineRule="exact" w:line="460"/>
        <w:ind w:firstLine="482" w:firstLineChars="200"/>
        <w:jc w:val="left"/>
        <w:rPr>
          <w:rFonts w:ascii="宋体" w:cs="宋体" w:hAnsi="宋体"/>
          <w:b/>
          <w:color w:val="auto"/>
          <w:sz w:val="24"/>
          <w:highlight w:val="none"/>
        </w:rPr>
      </w:pPr>
      <w:r>
        <w:rPr>
          <w:rFonts w:ascii="宋体" w:cs="宋体" w:hAnsi="宋体" w:hint="eastAsia"/>
          <w:b/>
          <w:color w:val="auto"/>
          <w:sz w:val="24"/>
          <w:highlight w:val="none"/>
        </w:rPr>
        <w:t>2.1 初步评审标准</w:t>
      </w:r>
    </w:p>
    <w:p>
      <w:pPr>
        <w:pStyle w:val="style0"/>
        <w:autoSpaceDE w:val="false"/>
        <w:autoSpaceDN w:val="false"/>
        <w:adjustRightInd w:val="false"/>
        <w:snapToGrid w:val="false"/>
        <w:spacing w:lineRule="exact" w:line="460"/>
        <w:ind w:firstLine="480" w:firstLineChars="200"/>
        <w:jc w:val="left"/>
        <w:rPr>
          <w:rFonts w:ascii="宋体" w:cs="宋体" w:hAnsi="宋体"/>
          <w:color w:val="auto"/>
          <w:sz w:val="24"/>
          <w:highlight w:val="none"/>
        </w:rPr>
      </w:pPr>
      <w:r>
        <w:rPr>
          <w:rFonts w:ascii="宋体" w:cs="宋体" w:hAnsi="宋体" w:hint="eastAsia"/>
          <w:color w:val="auto"/>
          <w:sz w:val="24"/>
          <w:highlight w:val="none"/>
        </w:rPr>
        <w:t>2.1.1 资格性审查标准：见评审办法前附表。</w:t>
      </w:r>
    </w:p>
    <w:p>
      <w:pPr>
        <w:pStyle w:val="style0"/>
        <w:autoSpaceDE w:val="false"/>
        <w:autoSpaceDN w:val="false"/>
        <w:adjustRightInd w:val="false"/>
        <w:snapToGrid w:val="false"/>
        <w:spacing w:lineRule="exact" w:line="460"/>
        <w:ind w:firstLine="480" w:firstLineChars="200"/>
        <w:jc w:val="left"/>
        <w:rPr>
          <w:rFonts w:ascii="宋体" w:cs="宋体" w:hAnsi="宋体"/>
          <w:color w:val="auto"/>
          <w:sz w:val="24"/>
          <w:highlight w:val="none"/>
        </w:rPr>
      </w:pPr>
      <w:r>
        <w:rPr>
          <w:rFonts w:ascii="宋体" w:cs="宋体" w:hAnsi="宋体" w:hint="eastAsia"/>
          <w:color w:val="auto"/>
          <w:sz w:val="24"/>
          <w:highlight w:val="none"/>
        </w:rPr>
        <w:t>2.1.2 符合性审查标准：见评审办法前附表。</w:t>
      </w:r>
    </w:p>
    <w:p>
      <w:pPr>
        <w:pStyle w:val="style0"/>
        <w:autoSpaceDE w:val="false"/>
        <w:autoSpaceDN w:val="false"/>
        <w:adjustRightInd w:val="false"/>
        <w:snapToGrid w:val="false"/>
        <w:spacing w:lineRule="exact" w:line="460"/>
        <w:ind w:firstLine="482" w:firstLineChars="200"/>
        <w:jc w:val="left"/>
        <w:rPr>
          <w:rFonts w:ascii="宋体" w:cs="宋体" w:hAnsi="宋体"/>
          <w:b/>
          <w:color w:val="auto"/>
          <w:sz w:val="24"/>
          <w:highlight w:val="none"/>
        </w:rPr>
      </w:pPr>
      <w:r>
        <w:rPr>
          <w:rFonts w:ascii="宋体" w:cs="宋体" w:hAnsi="宋体" w:hint="eastAsia"/>
          <w:b/>
          <w:color w:val="auto"/>
          <w:sz w:val="24"/>
          <w:highlight w:val="none"/>
        </w:rPr>
        <w:t>2.2 详细评审标准</w:t>
      </w:r>
    </w:p>
    <w:p>
      <w:pPr>
        <w:pStyle w:val="style0"/>
        <w:autoSpaceDE w:val="false"/>
        <w:autoSpaceDN w:val="false"/>
        <w:adjustRightInd w:val="false"/>
        <w:snapToGrid w:val="false"/>
        <w:spacing w:lineRule="exact" w:line="460"/>
        <w:ind w:firstLine="480" w:firstLineChars="200"/>
        <w:jc w:val="left"/>
        <w:rPr>
          <w:rFonts w:ascii="宋体" w:cs="宋体" w:hAnsi="宋体"/>
          <w:color w:val="auto"/>
          <w:sz w:val="24"/>
          <w:highlight w:val="none"/>
        </w:rPr>
      </w:pPr>
      <w:r>
        <w:rPr>
          <w:rFonts w:ascii="宋体" w:cs="宋体" w:hAnsi="宋体" w:hint="eastAsia"/>
          <w:color w:val="auto"/>
          <w:sz w:val="24"/>
          <w:highlight w:val="none"/>
        </w:rPr>
        <w:t>2.2.1 分值构成：见评审办法前附表</w:t>
      </w:r>
    </w:p>
    <w:p>
      <w:pPr>
        <w:pStyle w:val="style0"/>
        <w:autoSpaceDE w:val="false"/>
        <w:autoSpaceDN w:val="false"/>
        <w:adjustRightInd w:val="false"/>
        <w:snapToGrid w:val="false"/>
        <w:spacing w:lineRule="exact" w:line="460"/>
        <w:ind w:firstLine="480" w:firstLineChars="200"/>
        <w:jc w:val="left"/>
        <w:rPr>
          <w:rFonts w:ascii="宋体" w:cs="宋体" w:hAnsi="宋体"/>
          <w:color w:val="auto"/>
          <w:sz w:val="24"/>
          <w:highlight w:val="none"/>
        </w:rPr>
      </w:pPr>
      <w:r>
        <w:rPr>
          <w:rFonts w:ascii="宋体" w:cs="宋体" w:hAnsi="宋体" w:hint="eastAsia"/>
          <w:color w:val="auto"/>
          <w:sz w:val="24"/>
          <w:highlight w:val="none"/>
        </w:rPr>
        <w:t>2.2.2 评分标准：见评审办法前附表</w:t>
      </w:r>
    </w:p>
    <w:bookmarkStart w:id="32" w:name="_Toc423723405"/>
    <w:bookmarkStart w:id="33" w:name="_Toc31198"/>
    <w:p>
      <w:pPr>
        <w:pStyle w:val="style4097"/>
        <w:snapToGrid w:val="false"/>
        <w:spacing w:lineRule="exact" w:line="460"/>
        <w:ind w:firstLine="562" w:firstLineChars="200"/>
        <w:jc w:val="both"/>
        <w:outlineLvl w:val="1"/>
        <w:rPr>
          <w:rFonts w:cs="宋体" w:hAnsi="宋体"/>
          <w:b/>
          <w:bCs/>
          <w:color w:val="auto"/>
          <w:sz w:val="28"/>
          <w:szCs w:val="28"/>
          <w:highlight w:val="none"/>
          <w:u w:color="000000"/>
          <w:lang w:val="zh-CN"/>
        </w:rPr>
      </w:pPr>
      <w:r>
        <w:rPr>
          <w:rFonts w:cs="宋体" w:hAnsi="宋体" w:hint="eastAsia"/>
          <w:b/>
          <w:bCs/>
          <w:color w:val="auto"/>
          <w:sz w:val="28"/>
          <w:szCs w:val="28"/>
          <w:highlight w:val="none"/>
          <w:u w:color="000000"/>
          <w:lang w:val="zh-CN"/>
        </w:rPr>
        <w:t>3. 评审程序</w:t>
      </w:r>
      <w:bookmarkEnd w:id="32"/>
      <w:bookmarkEnd w:id="33"/>
    </w:p>
    <w:p>
      <w:pPr>
        <w:pStyle w:val="style0"/>
        <w:autoSpaceDE w:val="false"/>
        <w:autoSpaceDN w:val="false"/>
        <w:adjustRightInd w:val="false"/>
        <w:snapToGrid w:val="false"/>
        <w:spacing w:lineRule="exact" w:line="460"/>
        <w:ind w:firstLine="482" w:firstLineChars="200"/>
        <w:jc w:val="left"/>
        <w:rPr>
          <w:rFonts w:ascii="宋体" w:cs="宋体" w:hAnsi="宋体"/>
          <w:b/>
          <w:color w:val="auto"/>
          <w:sz w:val="24"/>
          <w:szCs w:val="24"/>
          <w:highlight w:val="none"/>
        </w:rPr>
      </w:pPr>
      <w:r>
        <w:rPr>
          <w:rFonts w:ascii="宋体" w:cs="宋体" w:hAnsi="宋体" w:hint="eastAsia"/>
          <w:b/>
          <w:color w:val="auto"/>
          <w:sz w:val="24"/>
          <w:szCs w:val="24"/>
          <w:highlight w:val="none"/>
        </w:rPr>
        <w:t>磋商小组按标段（包）进行评审</w:t>
      </w:r>
    </w:p>
    <w:p>
      <w:pPr>
        <w:pStyle w:val="style0"/>
        <w:autoSpaceDE w:val="false"/>
        <w:autoSpaceDN w:val="false"/>
        <w:adjustRightInd w:val="false"/>
        <w:snapToGrid w:val="false"/>
        <w:spacing w:lineRule="exact" w:line="460"/>
        <w:ind w:firstLine="482" w:firstLineChars="200"/>
        <w:jc w:val="left"/>
        <w:rPr>
          <w:rFonts w:ascii="宋体" w:cs="宋体" w:hAnsi="宋体"/>
          <w:b/>
          <w:color w:val="auto"/>
          <w:sz w:val="24"/>
          <w:highlight w:val="none"/>
        </w:rPr>
      </w:pPr>
      <w:r>
        <w:rPr>
          <w:rFonts w:ascii="宋体" w:cs="宋体" w:hAnsi="宋体" w:hint="eastAsia"/>
          <w:b/>
          <w:color w:val="auto"/>
          <w:sz w:val="24"/>
          <w:highlight w:val="none"/>
        </w:rPr>
        <w:t>3.1 确认《磋商文件》</w:t>
      </w:r>
    </w:p>
    <w:p>
      <w:pPr>
        <w:pStyle w:val="style4097"/>
        <w:snapToGrid w:val="false"/>
        <w:spacing w:lineRule="exact" w:line="460"/>
        <w:ind w:firstLine="480" w:firstLineChars="200"/>
        <w:jc w:val="both"/>
        <w:rPr>
          <w:rFonts w:cs="宋体" w:hAnsi="宋体"/>
          <w:color w:val="auto"/>
          <w:highlight w:val="none"/>
        </w:rPr>
      </w:pPr>
      <w:r>
        <w:rPr>
          <w:rFonts w:cs="宋体" w:hAnsi="宋体" w:hint="eastAsia"/>
          <w:color w:val="auto"/>
          <w:highlight w:val="none"/>
        </w:rPr>
        <w:t>3.1.1 磋商小组确认《磋商文件》，《磋商文件》内容违反国家有关强制性规定的，磋商小组应当停止评审并向采购人或者采购代理机构书面说明情况。</w:t>
      </w:r>
    </w:p>
    <w:p>
      <w:pPr>
        <w:pStyle w:val="style4097"/>
        <w:snapToGrid w:val="false"/>
        <w:spacing w:lineRule="exact" w:line="460"/>
        <w:ind w:firstLine="480" w:firstLineChars="200"/>
        <w:jc w:val="both"/>
        <w:rPr>
          <w:rFonts w:cs="宋体" w:hAnsi="宋体"/>
          <w:color w:val="auto"/>
          <w:highlight w:val="none"/>
        </w:rPr>
      </w:pPr>
      <w:r>
        <w:rPr>
          <w:rFonts w:cs="宋体" w:hAnsi="宋体" w:hint="eastAsia"/>
          <w:color w:val="auto"/>
          <w:highlight w:val="none"/>
        </w:rPr>
        <w:t>3.1.2  磋商小组</w:t>
      </w:r>
      <w:r>
        <w:rPr>
          <w:rFonts w:cs="宋体" w:hAnsi="宋体" w:hint="eastAsia"/>
          <w:color w:val="auto"/>
          <w:szCs w:val="21"/>
          <w:highlight w:val="none"/>
        </w:rPr>
        <w:t>要求解释</w:t>
      </w:r>
      <w:r>
        <w:rPr>
          <w:rFonts w:cs="宋体" w:hAnsi="宋体" w:hint="eastAsia"/>
          <w:color w:val="auto"/>
          <w:highlight w:val="none"/>
        </w:rPr>
        <w:t>《磋商文件》的，书面提出需解释的相关《磋商文件》的具体内容后、由采购代理机构或者采购人进行书面解释。</w:t>
      </w:r>
    </w:p>
    <w:bookmarkStart w:id="34" w:name="_Toc423723406"/>
    <w:p>
      <w:pPr>
        <w:pStyle w:val="style0"/>
        <w:autoSpaceDE w:val="false"/>
        <w:autoSpaceDN w:val="false"/>
        <w:adjustRightInd w:val="false"/>
        <w:snapToGrid w:val="false"/>
        <w:spacing w:lineRule="exact" w:line="460"/>
        <w:ind w:firstLine="482" w:firstLineChars="200"/>
        <w:jc w:val="left"/>
        <w:rPr>
          <w:rFonts w:ascii="宋体" w:cs="宋体" w:hAnsi="宋体"/>
          <w:b/>
          <w:color w:val="auto"/>
          <w:sz w:val="24"/>
          <w:highlight w:val="none"/>
        </w:rPr>
      </w:pPr>
      <w:r>
        <w:rPr>
          <w:rFonts w:ascii="宋体" w:cs="宋体" w:hAnsi="宋体" w:hint="eastAsia"/>
          <w:b/>
          <w:color w:val="auto"/>
          <w:sz w:val="24"/>
          <w:highlight w:val="none"/>
        </w:rPr>
        <w:t>3.2</w:t>
      </w:r>
      <w:bookmarkEnd w:id="34"/>
      <w:r>
        <w:rPr>
          <w:rFonts w:ascii="宋体" w:cs="宋体" w:hAnsi="宋体" w:hint="eastAsia"/>
          <w:b/>
          <w:color w:val="auto"/>
          <w:sz w:val="24"/>
          <w:highlight w:val="none"/>
        </w:rPr>
        <w:t>初步评审</w:t>
      </w:r>
    </w:p>
    <w:p>
      <w:pPr>
        <w:pStyle w:val="style0"/>
        <w:autoSpaceDE w:val="false"/>
        <w:autoSpaceDN w:val="false"/>
        <w:adjustRightInd w:val="false"/>
        <w:snapToGrid w:val="false"/>
        <w:spacing w:lineRule="exact" w:line="460"/>
        <w:ind w:firstLine="616" w:firstLineChars="257"/>
        <w:jc w:val="left"/>
        <w:rPr>
          <w:rFonts w:ascii="宋体" w:cs="宋体" w:hAnsi="宋体"/>
          <w:color w:val="auto"/>
          <w:sz w:val="24"/>
          <w:highlight w:val="none"/>
        </w:rPr>
      </w:pPr>
      <w:r>
        <w:rPr>
          <w:rFonts w:ascii="宋体" w:cs="宋体" w:hAnsi="宋体" w:hint="eastAsia"/>
          <w:color w:val="auto"/>
          <w:sz w:val="24"/>
          <w:highlight w:val="none"/>
        </w:rPr>
        <w:t>3.2.1磋商小组依据本章第2.1.1、2.1.2 款规定的标准对《响应文件》进行资格性、符合性评审。有一项不符合评审标准的，作无效响应处理。</w:t>
      </w:r>
    </w:p>
    <w:p>
      <w:pPr>
        <w:pStyle w:val="style0"/>
        <w:autoSpaceDE w:val="false"/>
        <w:autoSpaceDN w:val="false"/>
        <w:adjustRightInd w:val="false"/>
        <w:snapToGrid w:val="false"/>
        <w:spacing w:lineRule="exact" w:line="460"/>
        <w:ind w:firstLine="616" w:firstLineChars="257"/>
        <w:jc w:val="left"/>
        <w:rPr>
          <w:rFonts w:ascii="宋体" w:cs="宋体" w:hAnsi="宋体"/>
          <w:color w:val="auto"/>
          <w:sz w:val="24"/>
          <w:highlight w:val="none"/>
        </w:rPr>
      </w:pPr>
      <w:r>
        <w:rPr>
          <w:rFonts w:ascii="宋体" w:cs="宋体" w:hAnsi="宋体" w:hint="eastAsia"/>
          <w:color w:val="auto"/>
          <w:sz w:val="24"/>
          <w:highlight w:val="none"/>
        </w:rPr>
        <w:t>3.2.2 供应商有以下情形之一的，其投标作无效响应处理：</w:t>
      </w:r>
    </w:p>
    <w:p>
      <w:pPr>
        <w:pStyle w:val="style0"/>
        <w:autoSpaceDE w:val="false"/>
        <w:autoSpaceDN w:val="false"/>
        <w:adjustRightInd w:val="false"/>
        <w:snapToGrid w:val="false"/>
        <w:spacing w:lineRule="exact" w:line="460"/>
        <w:ind w:firstLine="616" w:firstLineChars="257"/>
        <w:jc w:val="left"/>
        <w:rPr>
          <w:rFonts w:ascii="宋体" w:cs="宋体" w:hAnsi="宋体"/>
          <w:color w:val="auto"/>
          <w:sz w:val="24"/>
          <w:highlight w:val="none"/>
        </w:rPr>
      </w:pPr>
      <w:r>
        <w:rPr>
          <w:rFonts w:ascii="宋体" w:cs="宋体" w:hAnsi="宋体" w:hint="eastAsia"/>
          <w:color w:val="auto"/>
          <w:sz w:val="24"/>
          <w:highlight w:val="none"/>
        </w:rPr>
        <w:t>（1）供应商不符合国家或者《磋商文件》规定的资格条件；</w:t>
      </w:r>
    </w:p>
    <w:p>
      <w:pPr>
        <w:pStyle w:val="style0"/>
        <w:autoSpaceDE w:val="false"/>
        <w:autoSpaceDN w:val="false"/>
        <w:adjustRightInd w:val="false"/>
        <w:snapToGrid w:val="false"/>
        <w:spacing w:lineRule="exact" w:line="460"/>
        <w:ind w:firstLine="616" w:firstLineChars="257"/>
        <w:jc w:val="left"/>
        <w:rPr>
          <w:rFonts w:ascii="宋体" w:cs="宋体" w:hAnsi="宋体"/>
          <w:color w:val="auto"/>
          <w:sz w:val="24"/>
          <w:highlight w:val="none"/>
        </w:rPr>
      </w:pPr>
      <w:r>
        <w:rPr>
          <w:rFonts w:ascii="宋体" w:cs="宋体" w:hAnsi="宋体" w:hint="eastAsia"/>
          <w:color w:val="auto"/>
          <w:sz w:val="24"/>
          <w:highlight w:val="none"/>
        </w:rPr>
        <w:t>（2）供应商没有按照《磋商文件》要求提供投标承诺函；</w:t>
      </w:r>
    </w:p>
    <w:p>
      <w:pPr>
        <w:pStyle w:val="style0"/>
        <w:autoSpaceDE w:val="false"/>
        <w:autoSpaceDN w:val="false"/>
        <w:adjustRightInd w:val="false"/>
        <w:snapToGrid w:val="false"/>
        <w:spacing w:lineRule="exact" w:line="460"/>
        <w:ind w:firstLine="616" w:firstLineChars="257"/>
        <w:jc w:val="left"/>
        <w:rPr>
          <w:rFonts w:ascii="宋体" w:cs="宋体" w:hAnsi="宋体"/>
          <w:color w:val="auto"/>
          <w:sz w:val="24"/>
          <w:highlight w:val="none"/>
        </w:rPr>
      </w:pPr>
      <w:r>
        <w:rPr>
          <w:rFonts w:ascii="宋体" w:cs="宋体" w:hAnsi="宋体" w:hint="eastAsia"/>
          <w:color w:val="auto"/>
          <w:sz w:val="24"/>
          <w:highlight w:val="none"/>
        </w:rPr>
        <w:t>（3）投标联合体不符合《磋商文件》规定；</w:t>
      </w:r>
    </w:p>
    <w:p>
      <w:pPr>
        <w:pStyle w:val="style0"/>
        <w:autoSpaceDE w:val="false"/>
        <w:autoSpaceDN w:val="false"/>
        <w:adjustRightInd w:val="false"/>
        <w:snapToGrid w:val="false"/>
        <w:spacing w:lineRule="exact" w:line="460"/>
        <w:ind w:firstLine="616" w:firstLineChars="257"/>
        <w:jc w:val="left"/>
        <w:rPr>
          <w:rFonts w:ascii="宋体" w:cs="宋体" w:hAnsi="宋体"/>
          <w:color w:val="auto"/>
          <w:sz w:val="24"/>
          <w:highlight w:val="none"/>
        </w:rPr>
      </w:pPr>
      <w:r>
        <w:rPr>
          <w:rFonts w:ascii="宋体" w:cs="宋体" w:hAnsi="宋体" w:hint="eastAsia"/>
          <w:color w:val="auto"/>
          <w:sz w:val="24"/>
          <w:highlight w:val="none"/>
        </w:rPr>
        <w:t>（4）《响应文件》的签字盖章不符合《磋商文件》规定；</w:t>
      </w:r>
    </w:p>
    <w:p>
      <w:pPr>
        <w:pStyle w:val="style0"/>
        <w:autoSpaceDE w:val="false"/>
        <w:autoSpaceDN w:val="false"/>
        <w:adjustRightInd w:val="false"/>
        <w:snapToGrid w:val="false"/>
        <w:spacing w:lineRule="exact" w:line="460"/>
        <w:ind w:firstLine="616" w:firstLineChars="257"/>
        <w:jc w:val="left"/>
        <w:rPr>
          <w:rFonts w:ascii="宋体" w:cs="宋体" w:hAnsi="宋体"/>
          <w:color w:val="auto"/>
          <w:sz w:val="24"/>
          <w:highlight w:val="none"/>
        </w:rPr>
      </w:pPr>
      <w:r>
        <w:rPr>
          <w:rFonts w:ascii="宋体" w:cs="宋体" w:hAnsi="宋体" w:hint="eastAsia"/>
          <w:color w:val="auto"/>
          <w:sz w:val="24"/>
          <w:highlight w:val="none"/>
        </w:rPr>
        <w:t>（5）磋商报价高于竞争性磋商公告公布的预算金额；</w:t>
      </w:r>
    </w:p>
    <w:p>
      <w:pPr>
        <w:pStyle w:val="style0"/>
        <w:autoSpaceDE w:val="false"/>
        <w:autoSpaceDN w:val="false"/>
        <w:adjustRightInd w:val="false"/>
        <w:snapToGrid w:val="false"/>
        <w:spacing w:lineRule="exact" w:line="460"/>
        <w:ind w:firstLine="616" w:firstLineChars="257"/>
        <w:jc w:val="left"/>
        <w:rPr>
          <w:rFonts w:ascii="宋体" w:cs="宋体" w:hAnsi="宋体"/>
          <w:color w:val="auto"/>
          <w:sz w:val="24"/>
          <w:highlight w:val="none"/>
        </w:rPr>
      </w:pPr>
      <w:r>
        <w:rPr>
          <w:rFonts w:ascii="宋体" w:cs="宋体" w:hAnsi="宋体" w:hint="eastAsia"/>
          <w:color w:val="auto"/>
          <w:sz w:val="24"/>
          <w:highlight w:val="none"/>
        </w:rPr>
        <w:t>（6）同一供应商提交两个以上不同的《响应文件》或者磋商报价，《响应文件》的每种报价有两个报价或其他选择性报价的。</w:t>
      </w:r>
    </w:p>
    <w:p>
      <w:pPr>
        <w:pStyle w:val="style0"/>
        <w:autoSpaceDE w:val="false"/>
        <w:autoSpaceDN w:val="false"/>
        <w:adjustRightInd w:val="false"/>
        <w:snapToGrid w:val="false"/>
        <w:spacing w:lineRule="exact" w:line="460"/>
        <w:ind w:firstLine="616" w:firstLineChars="257"/>
        <w:jc w:val="left"/>
        <w:rPr>
          <w:rFonts w:ascii="宋体" w:cs="宋体" w:hAnsi="宋体"/>
          <w:color w:val="auto"/>
          <w:sz w:val="24"/>
          <w:highlight w:val="none"/>
        </w:rPr>
      </w:pPr>
      <w:r>
        <w:rPr>
          <w:rFonts w:ascii="宋体" w:cs="宋体" w:hAnsi="宋体" w:hint="eastAsia"/>
          <w:color w:val="auto"/>
          <w:sz w:val="24"/>
          <w:highlight w:val="none"/>
        </w:rPr>
        <w:t>（7）《响应文件》没有对《磋商文件》的实质性要求和条件作出实质性响应，或不符合《磋商文件》的实质性要求和条件；</w:t>
      </w:r>
    </w:p>
    <w:p>
      <w:pPr>
        <w:pStyle w:val="style0"/>
        <w:autoSpaceDE w:val="false"/>
        <w:autoSpaceDN w:val="false"/>
        <w:adjustRightInd w:val="false"/>
        <w:snapToGrid w:val="false"/>
        <w:spacing w:lineRule="exact" w:line="460"/>
        <w:ind w:firstLine="616" w:firstLineChars="257"/>
        <w:jc w:val="left"/>
        <w:rPr>
          <w:rFonts w:ascii="宋体" w:cs="宋体" w:hAnsi="宋体"/>
          <w:color w:val="auto"/>
          <w:sz w:val="24"/>
          <w:highlight w:val="none"/>
        </w:rPr>
      </w:pPr>
      <w:r>
        <w:rPr>
          <w:rFonts w:ascii="宋体" w:cs="宋体" w:hAnsi="宋体" w:hint="eastAsia"/>
          <w:color w:val="auto"/>
          <w:sz w:val="24"/>
          <w:highlight w:val="none"/>
        </w:rPr>
        <w:t>（8）《响应文件》附有采购项目不能接受的条件或不符合国家强制性规定的；</w:t>
      </w:r>
    </w:p>
    <w:p>
      <w:pPr>
        <w:pStyle w:val="style0"/>
        <w:autoSpaceDE w:val="false"/>
        <w:autoSpaceDN w:val="false"/>
        <w:adjustRightInd w:val="false"/>
        <w:snapToGrid w:val="false"/>
        <w:spacing w:lineRule="exact" w:line="460"/>
        <w:ind w:firstLine="616" w:firstLineChars="257"/>
        <w:jc w:val="left"/>
        <w:rPr>
          <w:rFonts w:ascii="宋体" w:cs="宋体" w:hAnsi="宋体"/>
          <w:color w:val="auto"/>
          <w:sz w:val="24"/>
          <w:highlight w:val="none"/>
        </w:rPr>
      </w:pPr>
      <w:r>
        <w:rPr>
          <w:rFonts w:ascii="宋体" w:cs="宋体" w:hAnsi="宋体" w:hint="eastAsia"/>
          <w:color w:val="auto"/>
          <w:sz w:val="24"/>
          <w:highlight w:val="none"/>
        </w:rPr>
        <w:t>（9）单位负责人为同一人或者存在控股、管理关系的不同单位，参加同一项目（标段&lt;包&gt;）投标的；</w:t>
      </w:r>
    </w:p>
    <w:p>
      <w:pPr>
        <w:pStyle w:val="style0"/>
        <w:autoSpaceDE w:val="false"/>
        <w:autoSpaceDN w:val="false"/>
        <w:adjustRightInd w:val="false"/>
        <w:snapToGrid w:val="false"/>
        <w:spacing w:lineRule="exact" w:line="460"/>
        <w:ind w:firstLine="616" w:firstLineChars="257"/>
        <w:jc w:val="left"/>
        <w:rPr>
          <w:rFonts w:ascii="宋体" w:cs="宋体" w:hAnsi="宋体"/>
          <w:color w:val="auto"/>
          <w:sz w:val="24"/>
          <w:highlight w:val="none"/>
        </w:rPr>
      </w:pPr>
      <w:r>
        <w:rPr>
          <w:rFonts w:ascii="宋体" w:cs="宋体" w:hAnsi="宋体" w:hint="eastAsia"/>
          <w:color w:val="auto"/>
          <w:sz w:val="24"/>
          <w:highlight w:val="none"/>
        </w:rPr>
        <w:t>（10）为采购项目提供整体设计、规范编制或者项目管理、监理、检测等服务的供应商，不得再参加该采购项目的其他采购活动。</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（11）组成联合体或者接受分包的小微企业与联合体内其他企业、分包企业之间存在直接控股、管理关系的。</w:t>
      </w:r>
    </w:p>
    <w:p>
      <w:pPr>
        <w:pStyle w:val="style0"/>
        <w:autoSpaceDE w:val="false"/>
        <w:autoSpaceDN w:val="false"/>
        <w:adjustRightInd w:val="false"/>
        <w:snapToGrid w:val="false"/>
        <w:spacing w:lineRule="exact" w:line="460"/>
        <w:ind w:firstLine="616" w:firstLineChars="257"/>
        <w:jc w:val="left"/>
        <w:rPr>
          <w:rFonts w:ascii="宋体" w:cs="宋体" w:hAnsi="宋体" w:hint="eastAsia"/>
          <w:color w:val="auto"/>
          <w:sz w:val="24"/>
          <w:highlight w:val="none"/>
        </w:rPr>
      </w:pPr>
      <w:r>
        <w:rPr>
          <w:rFonts w:ascii="宋体" w:cs="宋体" w:hAnsi="宋体" w:hint="eastAsia"/>
          <w:color w:val="auto"/>
          <w:sz w:val="24"/>
          <w:highlight w:val="none"/>
        </w:rPr>
        <w:t>（12）被授权人</w:t>
      </w:r>
      <w:r>
        <w:rPr>
          <w:rFonts w:ascii="宋体" w:cs="宋体" w:hAnsi="宋体" w:hint="eastAsia"/>
          <w:color w:val="auto"/>
          <w:sz w:val="24"/>
          <w:highlight w:val="none"/>
          <w:lang w:val="en-US" w:eastAsia="zh-CN"/>
        </w:rPr>
        <w:t>和</w:t>
      </w:r>
      <w:r>
        <w:rPr>
          <w:rFonts w:ascii="宋体" w:cs="宋体" w:hAnsi="宋体" w:hint="eastAsia"/>
          <w:color w:val="auto"/>
          <w:sz w:val="24"/>
          <w:highlight w:val="none"/>
        </w:rPr>
        <w:t>法定代表人未提供本单位劳动合同的；</w:t>
      </w:r>
    </w:p>
    <w:p>
      <w:pPr>
        <w:pStyle w:val="style0"/>
        <w:autoSpaceDE w:val="false"/>
        <w:autoSpaceDN w:val="false"/>
        <w:adjustRightInd w:val="false"/>
        <w:snapToGrid w:val="false"/>
        <w:spacing w:lineRule="exact" w:line="460"/>
        <w:ind w:firstLine="616" w:firstLineChars="257"/>
        <w:jc w:val="left"/>
        <w:rPr>
          <w:rFonts w:ascii="宋体" w:cs="宋体" w:hAnsi="宋体" w:hint="eastAsia"/>
          <w:color w:val="auto"/>
          <w:sz w:val="24"/>
          <w:highlight w:val="none"/>
        </w:rPr>
      </w:pPr>
      <w:r>
        <w:rPr>
          <w:rFonts w:ascii="宋体" w:cs="宋体" w:hAnsi="宋体" w:hint="eastAsia"/>
          <w:color w:val="auto"/>
          <w:sz w:val="24"/>
          <w:highlight w:val="none"/>
        </w:rPr>
        <w:t>（13）提供虚假材料谋取成交的；</w:t>
      </w:r>
    </w:p>
    <w:p>
      <w:pPr>
        <w:pStyle w:val="style0"/>
        <w:autoSpaceDE w:val="false"/>
        <w:autoSpaceDN w:val="false"/>
        <w:adjustRightInd w:val="false"/>
        <w:snapToGrid w:val="false"/>
        <w:spacing w:lineRule="exact" w:line="460"/>
        <w:ind w:firstLine="616" w:firstLineChars="257"/>
        <w:jc w:val="left"/>
        <w:rPr>
          <w:rFonts w:ascii="宋体" w:cs="宋体" w:hAnsi="宋体"/>
          <w:color w:val="auto"/>
          <w:sz w:val="24"/>
          <w:highlight w:val="none"/>
        </w:rPr>
      </w:pPr>
      <w:r>
        <w:rPr>
          <w:rFonts w:ascii="宋体" w:cs="宋体" w:hAnsi="宋体" w:hint="eastAsia"/>
          <w:color w:val="auto"/>
          <w:sz w:val="24"/>
          <w:highlight w:val="none"/>
        </w:rPr>
        <w:t>（1</w:t>
      </w:r>
      <w:r>
        <w:rPr>
          <w:rFonts w:ascii="宋体" w:cs="宋体" w:hAnsi="宋体" w:hint="eastAsia"/>
          <w:color w:val="auto"/>
          <w:sz w:val="24"/>
          <w:highlight w:val="none"/>
          <w:lang w:val="en-US" w:eastAsia="zh-CN"/>
        </w:rPr>
        <w:t>4</w:t>
      </w:r>
      <w:r>
        <w:rPr>
          <w:rFonts w:ascii="宋体" w:cs="宋体" w:hAnsi="宋体" w:hint="eastAsia"/>
          <w:color w:val="auto"/>
          <w:sz w:val="24"/>
          <w:highlight w:val="none"/>
        </w:rPr>
        <w:t>）供应商有串通投标、行贿等违法行为。其中，有下列情形之一的，视为供应商相互串通投标：</w:t>
      </w:r>
    </w:p>
    <w:p>
      <w:pPr>
        <w:pStyle w:val="style0"/>
        <w:autoSpaceDE w:val="false"/>
        <w:autoSpaceDN w:val="false"/>
        <w:adjustRightInd w:val="false"/>
        <w:snapToGrid w:val="false"/>
        <w:spacing w:lineRule="exact" w:line="460"/>
        <w:ind w:firstLine="720" w:firstLineChars="300"/>
        <w:jc w:val="left"/>
        <w:rPr>
          <w:rFonts w:ascii="宋体" w:cs="宋体" w:hAnsi="宋体"/>
          <w:color w:val="auto"/>
          <w:sz w:val="24"/>
          <w:highlight w:val="none"/>
        </w:rPr>
      </w:pPr>
      <w:r>
        <w:rPr>
          <w:rFonts w:ascii="宋体" w:cs="宋体" w:hAnsi="宋体" w:hint="eastAsia"/>
          <w:color w:val="auto"/>
          <w:sz w:val="24"/>
          <w:highlight w:val="none"/>
        </w:rPr>
        <w:t>◆不同供应商的《响应文件》由同一单位或者个人编制；</w:t>
      </w:r>
    </w:p>
    <w:p>
      <w:pPr>
        <w:pStyle w:val="style0"/>
        <w:autoSpaceDE w:val="false"/>
        <w:autoSpaceDN w:val="false"/>
        <w:adjustRightInd w:val="false"/>
        <w:snapToGrid w:val="false"/>
        <w:spacing w:lineRule="exact" w:line="460"/>
        <w:ind w:firstLine="720" w:firstLineChars="300"/>
        <w:jc w:val="left"/>
        <w:rPr>
          <w:rFonts w:ascii="宋体" w:cs="宋体" w:hAnsi="宋体"/>
          <w:color w:val="auto"/>
          <w:sz w:val="24"/>
          <w:highlight w:val="none"/>
        </w:rPr>
      </w:pPr>
      <w:r>
        <w:rPr>
          <w:rFonts w:ascii="宋体" w:cs="宋体" w:hAnsi="宋体" w:hint="eastAsia"/>
          <w:color w:val="auto"/>
          <w:sz w:val="24"/>
          <w:highlight w:val="none"/>
        </w:rPr>
        <w:t>◆不同供应商委托同一单位或者个人办理投标事宜；</w:t>
      </w:r>
    </w:p>
    <w:p>
      <w:pPr>
        <w:pStyle w:val="style0"/>
        <w:autoSpaceDE w:val="false"/>
        <w:autoSpaceDN w:val="false"/>
        <w:adjustRightInd w:val="false"/>
        <w:snapToGrid w:val="false"/>
        <w:spacing w:lineRule="exact" w:line="460"/>
        <w:ind w:firstLine="720" w:firstLineChars="300"/>
        <w:jc w:val="left"/>
        <w:rPr>
          <w:rFonts w:ascii="宋体" w:cs="宋体" w:hAnsi="宋体"/>
          <w:color w:val="auto"/>
          <w:sz w:val="24"/>
          <w:highlight w:val="none"/>
        </w:rPr>
      </w:pPr>
      <w:r>
        <w:rPr>
          <w:rFonts w:ascii="宋体" w:cs="宋体" w:hAnsi="宋体" w:hint="eastAsia"/>
          <w:color w:val="auto"/>
          <w:sz w:val="24"/>
          <w:highlight w:val="none"/>
        </w:rPr>
        <w:t>◆不同供应商的《响应文件》载明的项目管理成员为同一人；</w:t>
      </w:r>
    </w:p>
    <w:p>
      <w:pPr>
        <w:pStyle w:val="style0"/>
        <w:autoSpaceDE w:val="false"/>
        <w:autoSpaceDN w:val="false"/>
        <w:adjustRightInd w:val="false"/>
        <w:snapToGrid w:val="false"/>
        <w:spacing w:lineRule="exact" w:line="460"/>
        <w:ind w:firstLine="720" w:firstLineChars="300"/>
        <w:jc w:val="left"/>
        <w:rPr>
          <w:rFonts w:ascii="宋体" w:cs="宋体" w:hAnsi="宋体"/>
          <w:color w:val="auto"/>
          <w:sz w:val="24"/>
          <w:highlight w:val="none"/>
        </w:rPr>
      </w:pPr>
      <w:r>
        <w:rPr>
          <w:rFonts w:ascii="宋体" w:cs="宋体" w:hAnsi="宋体" w:hint="eastAsia"/>
          <w:color w:val="auto"/>
          <w:sz w:val="24"/>
          <w:highlight w:val="none"/>
        </w:rPr>
        <w:t>◆不同供应商的《响应文件》异常一致或者磋商报价呈规律性差异；</w:t>
      </w:r>
    </w:p>
    <w:p>
      <w:pPr>
        <w:pStyle w:val="style0"/>
        <w:autoSpaceDE w:val="false"/>
        <w:autoSpaceDN w:val="false"/>
        <w:adjustRightInd w:val="false"/>
        <w:snapToGrid w:val="false"/>
        <w:spacing w:lineRule="exact" w:line="460"/>
        <w:ind w:firstLine="720" w:firstLineChars="300"/>
        <w:jc w:val="left"/>
        <w:rPr>
          <w:rFonts w:ascii="宋体" w:cs="宋体" w:hAnsi="宋体"/>
          <w:color w:val="auto"/>
          <w:sz w:val="24"/>
          <w:highlight w:val="none"/>
        </w:rPr>
      </w:pPr>
      <w:r>
        <w:rPr>
          <w:rFonts w:ascii="宋体" w:cs="宋体" w:hAnsi="宋体" w:hint="eastAsia"/>
          <w:color w:val="auto"/>
          <w:sz w:val="24"/>
          <w:highlight w:val="none"/>
        </w:rPr>
        <w:t>◆不同供应商的《响应文件》相互混装。</w:t>
      </w:r>
    </w:p>
    <w:p>
      <w:pPr>
        <w:pStyle w:val="style0"/>
        <w:autoSpaceDE w:val="false"/>
        <w:autoSpaceDN w:val="false"/>
        <w:adjustRightInd w:val="false"/>
        <w:snapToGrid w:val="false"/>
        <w:spacing w:lineRule="exact" w:line="460"/>
        <w:ind w:firstLine="616" w:firstLineChars="257"/>
        <w:jc w:val="left"/>
        <w:rPr>
          <w:rFonts w:ascii="宋体" w:cs="宋体" w:hAnsi="宋体"/>
          <w:color w:val="auto"/>
          <w:sz w:val="24"/>
          <w:highlight w:val="none"/>
        </w:rPr>
      </w:pPr>
      <w:r>
        <w:rPr>
          <w:rFonts w:ascii="宋体" w:cs="宋体" w:hAnsi="宋体" w:hint="eastAsia"/>
          <w:color w:val="auto"/>
          <w:sz w:val="24"/>
          <w:highlight w:val="none"/>
        </w:rPr>
        <w:t>（14）根据豫财购〔2021〕6号文件，参与同一个标段(包)的供应商存在下列情形之一的，其投标(响应)文件无效:</w:t>
      </w:r>
    </w:p>
    <w:p>
      <w:pPr>
        <w:pStyle w:val="style0"/>
        <w:autoSpaceDE w:val="false"/>
        <w:autoSpaceDN w:val="false"/>
        <w:adjustRightInd w:val="false"/>
        <w:snapToGrid w:val="false"/>
        <w:spacing w:lineRule="exact" w:line="460"/>
        <w:ind w:firstLine="616" w:firstLineChars="257"/>
        <w:jc w:val="left"/>
        <w:rPr>
          <w:rFonts w:ascii="宋体" w:cs="宋体" w:hAnsi="宋体"/>
          <w:color w:val="auto"/>
          <w:sz w:val="24"/>
          <w:highlight w:val="none"/>
        </w:rPr>
      </w:pPr>
      <w:r>
        <w:rPr>
          <w:rFonts w:ascii="宋体" w:cs="宋体" w:hAnsi="宋体" w:hint="eastAsia"/>
          <w:color w:val="auto"/>
          <w:sz w:val="24"/>
          <w:highlight w:val="none"/>
        </w:rPr>
        <w:t>◆不同供应商的电子投标(响应)文件上传计算机的网卡MAC地址、CPU序列号和硬盘序列号等硬件信息相同的；</w:t>
      </w:r>
    </w:p>
    <w:p>
      <w:pPr>
        <w:pStyle w:val="style0"/>
        <w:autoSpaceDE w:val="false"/>
        <w:autoSpaceDN w:val="false"/>
        <w:adjustRightInd w:val="false"/>
        <w:snapToGrid w:val="false"/>
        <w:spacing w:lineRule="exact" w:line="460"/>
        <w:ind w:firstLine="616" w:firstLineChars="257"/>
        <w:jc w:val="left"/>
        <w:rPr>
          <w:rFonts w:ascii="宋体" w:cs="宋体" w:hAnsi="宋体"/>
          <w:color w:val="auto"/>
          <w:sz w:val="24"/>
          <w:highlight w:val="none"/>
        </w:rPr>
      </w:pPr>
      <w:r>
        <w:rPr>
          <w:rFonts w:ascii="宋体" w:cs="宋体" w:hAnsi="宋体" w:hint="eastAsia"/>
          <w:color w:val="auto"/>
          <w:sz w:val="24"/>
          <w:highlight w:val="none"/>
        </w:rPr>
        <w:t>◆不同供应商的投标(响应)文件由同一电子设备编制、打印加密或者上传；</w:t>
      </w:r>
    </w:p>
    <w:p>
      <w:pPr>
        <w:pStyle w:val="style0"/>
        <w:autoSpaceDE w:val="false"/>
        <w:autoSpaceDN w:val="false"/>
        <w:adjustRightInd w:val="false"/>
        <w:snapToGrid w:val="false"/>
        <w:spacing w:lineRule="exact" w:line="460"/>
        <w:ind w:firstLine="616" w:firstLineChars="257"/>
        <w:jc w:val="left"/>
        <w:rPr>
          <w:rFonts w:ascii="宋体" w:cs="宋体" w:hAnsi="宋体"/>
          <w:color w:val="auto"/>
          <w:sz w:val="24"/>
          <w:highlight w:val="none"/>
        </w:rPr>
      </w:pPr>
      <w:r>
        <w:rPr>
          <w:rFonts w:ascii="宋体" w:cs="宋体" w:hAnsi="宋体" w:hint="eastAsia"/>
          <w:color w:val="auto"/>
          <w:sz w:val="24"/>
          <w:highlight w:val="none"/>
        </w:rPr>
        <w:t>◆不同供应商的投标(响应)文件由同一电子设备打印、复印；</w:t>
      </w:r>
    </w:p>
    <w:p>
      <w:pPr>
        <w:pStyle w:val="style0"/>
        <w:autoSpaceDE w:val="false"/>
        <w:autoSpaceDN w:val="false"/>
        <w:adjustRightInd w:val="false"/>
        <w:snapToGrid w:val="false"/>
        <w:spacing w:lineRule="exact" w:line="460"/>
        <w:ind w:firstLine="616" w:firstLineChars="257"/>
        <w:jc w:val="left"/>
        <w:rPr>
          <w:rFonts w:ascii="宋体" w:cs="宋体" w:hAnsi="宋体"/>
          <w:color w:val="auto"/>
          <w:sz w:val="24"/>
          <w:highlight w:val="none"/>
        </w:rPr>
      </w:pPr>
      <w:r>
        <w:rPr>
          <w:rFonts w:ascii="宋体" w:cs="宋体" w:hAnsi="宋体" w:hint="eastAsia"/>
          <w:color w:val="auto"/>
          <w:sz w:val="24"/>
          <w:highlight w:val="none"/>
        </w:rPr>
        <w:t>◆不同供应商的投标(响应)文件由同一人送达或者分发，或者不同供应商联系人为同一人或不同联系人的联系电话一致的；</w:t>
      </w:r>
    </w:p>
    <w:p>
      <w:pPr>
        <w:pStyle w:val="style0"/>
        <w:autoSpaceDE w:val="false"/>
        <w:autoSpaceDN w:val="false"/>
        <w:adjustRightInd w:val="false"/>
        <w:snapToGrid w:val="false"/>
        <w:spacing w:lineRule="exact" w:line="460"/>
        <w:ind w:firstLine="616" w:firstLineChars="257"/>
        <w:jc w:val="left"/>
        <w:rPr>
          <w:rFonts w:ascii="宋体" w:cs="宋体" w:hAnsi="宋体"/>
          <w:color w:val="auto"/>
          <w:sz w:val="24"/>
          <w:highlight w:val="none"/>
        </w:rPr>
      </w:pPr>
      <w:r>
        <w:rPr>
          <w:rFonts w:ascii="宋体" w:cs="宋体" w:hAnsi="宋体" w:hint="eastAsia"/>
          <w:color w:val="auto"/>
          <w:sz w:val="24"/>
          <w:highlight w:val="none"/>
        </w:rPr>
        <w:t>◆不同供应商的投标(响应)文件的内容存在两处以上细节错误一致；</w:t>
      </w:r>
    </w:p>
    <w:p>
      <w:pPr>
        <w:pStyle w:val="style0"/>
        <w:autoSpaceDE w:val="false"/>
        <w:autoSpaceDN w:val="false"/>
        <w:adjustRightInd w:val="false"/>
        <w:snapToGrid w:val="false"/>
        <w:spacing w:lineRule="exact" w:line="460"/>
        <w:ind w:firstLine="616" w:firstLineChars="257"/>
        <w:jc w:val="left"/>
        <w:rPr>
          <w:rFonts w:ascii="宋体" w:cs="宋体" w:hAnsi="宋体"/>
          <w:color w:val="auto"/>
          <w:sz w:val="24"/>
          <w:highlight w:val="none"/>
        </w:rPr>
      </w:pPr>
      <w:r>
        <w:rPr>
          <w:rFonts w:ascii="宋体" w:cs="宋体" w:hAnsi="宋体" w:hint="eastAsia"/>
          <w:color w:val="auto"/>
          <w:sz w:val="24"/>
          <w:highlight w:val="none"/>
        </w:rPr>
        <w:t>◆不同供应商的法定代表人、委托代理人、项目经理、项目负责人等由同一个单位缴纳社会保险或者领取报酬的；</w:t>
      </w:r>
    </w:p>
    <w:p>
      <w:pPr>
        <w:pStyle w:val="style0"/>
        <w:autoSpaceDE w:val="false"/>
        <w:autoSpaceDN w:val="false"/>
        <w:adjustRightInd w:val="false"/>
        <w:snapToGrid w:val="false"/>
        <w:spacing w:lineRule="exact" w:line="460"/>
        <w:ind w:firstLine="616" w:firstLineChars="257"/>
        <w:jc w:val="left"/>
        <w:rPr>
          <w:rFonts w:ascii="宋体" w:cs="宋体" w:hAnsi="宋体"/>
          <w:color w:val="auto"/>
          <w:sz w:val="24"/>
          <w:highlight w:val="none"/>
        </w:rPr>
      </w:pPr>
      <w:r>
        <w:rPr>
          <w:rFonts w:ascii="宋体" w:cs="宋体" w:hAnsi="宋体" w:hint="eastAsia"/>
          <w:color w:val="auto"/>
          <w:sz w:val="24"/>
          <w:highlight w:val="none"/>
        </w:rPr>
        <w:t>◆不同供应商投标(响应)文件中法定代表人或者负责人签字出自同一人之手；</w:t>
      </w:r>
    </w:p>
    <w:p>
      <w:pPr>
        <w:pStyle w:val="style0"/>
        <w:autoSpaceDE w:val="false"/>
        <w:autoSpaceDN w:val="false"/>
        <w:adjustRightInd w:val="false"/>
        <w:snapToGrid w:val="false"/>
        <w:spacing w:lineRule="exact" w:line="460"/>
        <w:ind w:firstLine="616" w:firstLineChars="257"/>
        <w:jc w:val="left"/>
        <w:rPr>
          <w:rFonts w:ascii="宋体" w:cs="宋体" w:hAnsi="宋体"/>
          <w:color w:val="auto"/>
          <w:sz w:val="24"/>
          <w:highlight w:val="none"/>
        </w:rPr>
      </w:pPr>
      <w:r>
        <w:rPr>
          <w:rFonts w:ascii="宋体" w:cs="宋体" w:hAnsi="宋体" w:hint="eastAsia"/>
          <w:color w:val="auto"/>
          <w:sz w:val="24"/>
          <w:highlight w:val="none"/>
        </w:rPr>
        <w:t>◆其它涉嫌串通的情形。</w:t>
      </w:r>
    </w:p>
    <w:p>
      <w:pPr>
        <w:pStyle w:val="style0"/>
        <w:autoSpaceDE w:val="false"/>
        <w:autoSpaceDN w:val="false"/>
        <w:adjustRightInd w:val="false"/>
        <w:snapToGrid w:val="false"/>
        <w:spacing w:lineRule="exact" w:line="460"/>
        <w:ind w:firstLine="539"/>
        <w:rPr>
          <w:rFonts w:ascii="宋体" w:cs="宋体" w:hAnsi="宋体"/>
          <w:color w:val="auto"/>
          <w:sz w:val="24"/>
          <w:highlight w:val="none"/>
        </w:rPr>
      </w:pPr>
      <w:r>
        <w:rPr>
          <w:rFonts w:ascii="宋体" w:cs="宋体" w:hAnsi="宋体" w:hint="eastAsia"/>
          <w:color w:val="auto"/>
          <w:sz w:val="24"/>
          <w:highlight w:val="none"/>
        </w:rPr>
        <w:t>(15)据豫财购〔2021〕6号文件精神，工程领域招标投标行政主管部门对供应商串通投标等予以市场禁入的，在本次政府采购活动中，该供应商投标(响应)文件无效。</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3.2.3</w:t>
      </w:r>
      <w:r>
        <w:rPr>
          <w:rFonts w:ascii="宋体" w:cs="宋体" w:hAnsi="宋体" w:hint="eastAsia"/>
          <w:b/>
          <w:color w:val="auto"/>
          <w:sz w:val="24"/>
          <w:highlight w:val="none"/>
        </w:rPr>
        <w:t>未实质性响应《磋商文件》的《响应文件》按无效处理，磋商小组应当通过评审界面的对话框告知有关供应商。</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3.2.4 “开标一览表”与分项报价或报价明细表有差别时，以“开标一览表”为准；大写文字表示的数据与小写数字表示的有差别时，以大写文字表示的数据为准；单价与“开标一览表”总价不符时，以“开标一览表”总价为准。如供应商拒绝接受上述意见，其</w:t>
      </w:r>
      <w:r>
        <w:rPr>
          <w:rFonts w:ascii="宋体" w:cs="宋体" w:hAnsi="宋体" w:hint="eastAsia"/>
          <w:b/>
          <w:color w:val="auto"/>
          <w:sz w:val="24"/>
          <w:highlight w:val="none"/>
        </w:rPr>
        <w:t>投标将被拒绝。</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3.2.5 磋商小组负责审查确定每一响应项目（标段&lt;包&gt;）是否对《磋商文件》的实质性要求作出了实质性的响应，而没有重大偏离和保留。实质性响应的《响应文件》是指《响应文件》符合《磋商文件》的所有条款、条件和规定且没有重大偏离和保留（重大偏离和保留是指影响到《磋商文件》和供应商的义务的规定，而纠正这些偏离将影响到其他提交实质性响应供应商的公平竞争地位）。</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3.2.6 磋商小组判断《响应文件》的响应性仅基于《响应文件》本身而不靠外部证据。</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3.2.7 磋商小组拒绝被确定为非实质性响应的供应商，供应商不得通过修正或撤销不符之处而使其《响应文件》成为实质性响应的《响应文件》。</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3.2.8 允许供应商修改《响应文件》中不构成重大偏离的、微小的、非正规、不一致或不规则的地方。</w:t>
      </w:r>
    </w:p>
    <w:p>
      <w:pPr>
        <w:pStyle w:val="style0"/>
        <w:autoSpaceDE w:val="false"/>
        <w:autoSpaceDN w:val="false"/>
        <w:adjustRightInd w:val="false"/>
        <w:snapToGrid w:val="false"/>
        <w:spacing w:lineRule="exact" w:line="460"/>
        <w:ind w:firstLine="569" w:firstLineChars="236"/>
        <w:jc w:val="left"/>
        <w:rPr>
          <w:rFonts w:ascii="宋体" w:cs="宋体" w:hAnsi="宋体"/>
          <w:b/>
          <w:color w:val="auto"/>
          <w:sz w:val="24"/>
          <w:highlight w:val="none"/>
        </w:rPr>
      </w:pPr>
      <w:r>
        <w:rPr>
          <w:rFonts w:ascii="宋体" w:cs="宋体" w:hAnsi="宋体" w:hint="eastAsia"/>
          <w:b/>
          <w:color w:val="auto"/>
          <w:sz w:val="24"/>
          <w:highlight w:val="none"/>
        </w:rPr>
        <w:t>3.3 《响应文件》的澄清</w:t>
      </w:r>
    </w:p>
    <w:p>
      <w:pPr>
        <w:pStyle w:val="style0"/>
        <w:autoSpaceDE w:val="false"/>
        <w:autoSpaceDN w:val="false"/>
        <w:adjustRightInd w:val="false"/>
        <w:snapToGrid w:val="false"/>
        <w:spacing w:lineRule="exact" w:line="460"/>
        <w:ind w:firstLine="566" w:firstLineChars="236"/>
        <w:jc w:val="left"/>
        <w:rPr>
          <w:rFonts w:ascii="宋体" w:cs="宋体" w:hAnsi="宋体" w:hint="eastAsia"/>
          <w:b w:val="false"/>
          <w:bCs/>
          <w:color w:val="auto"/>
          <w:sz w:val="24"/>
          <w:highlight w:val="none"/>
        </w:rPr>
      </w:pPr>
      <w:r>
        <w:rPr>
          <w:rFonts w:ascii="宋体" w:cs="宋体" w:hAnsi="宋体" w:hint="eastAsia"/>
          <w:b w:val="false"/>
          <w:bCs/>
          <w:color w:val="auto"/>
          <w:sz w:val="24"/>
          <w:highlight w:val="none"/>
        </w:rPr>
        <w:t>3.3.</w:t>
      </w:r>
      <w:r>
        <w:rPr>
          <w:rFonts w:ascii="宋体" w:cs="宋体" w:hAnsi="宋体" w:hint="eastAsia"/>
          <w:b w:val="false"/>
          <w:bCs/>
          <w:color w:val="auto"/>
          <w:sz w:val="24"/>
          <w:highlight w:val="none"/>
          <w:lang w:val="en-US" w:eastAsia="zh-CN"/>
        </w:rPr>
        <w:t>1</w:t>
      </w:r>
      <w:r>
        <w:rPr>
          <w:rFonts w:ascii="宋体" w:cs="宋体" w:hAnsi="宋体" w:hint="eastAsia"/>
          <w:b w:val="false"/>
          <w:bCs/>
          <w:color w:val="auto"/>
          <w:sz w:val="24"/>
          <w:highlight w:val="none"/>
        </w:rPr>
        <w:t>为有助于对</w:t>
      </w:r>
      <w:r>
        <w:rPr>
          <w:rFonts w:ascii="宋体" w:cs="宋体" w:hAnsi="宋体" w:hint="eastAsia"/>
          <w:b w:val="false"/>
          <w:bCs/>
          <w:color w:val="auto"/>
          <w:sz w:val="24"/>
          <w:highlight w:val="none"/>
          <w:lang w:eastAsia="zh-CN"/>
        </w:rPr>
        <w:t>响应文件</w:t>
      </w:r>
      <w:r>
        <w:rPr>
          <w:rFonts w:ascii="宋体" w:cs="宋体" w:hAnsi="宋体" w:hint="eastAsia"/>
          <w:b w:val="false"/>
          <w:bCs/>
          <w:color w:val="auto"/>
          <w:sz w:val="24"/>
          <w:highlight w:val="none"/>
        </w:rPr>
        <w:t>进行审查、评估和比较，评标委员会有权个别的向</w:t>
      </w:r>
      <w:r>
        <w:rPr>
          <w:rFonts w:ascii="宋体" w:cs="宋体" w:hAnsi="宋体" w:hint="eastAsia"/>
          <w:b w:val="false"/>
          <w:bCs/>
          <w:color w:val="auto"/>
          <w:sz w:val="24"/>
          <w:highlight w:val="none"/>
          <w:lang w:eastAsia="zh-CN"/>
        </w:rPr>
        <w:t>供应商</w:t>
      </w:r>
      <w:r>
        <w:rPr>
          <w:rFonts w:ascii="宋体" w:cs="宋体" w:hAnsi="宋体" w:hint="eastAsia"/>
          <w:b w:val="false"/>
          <w:bCs/>
          <w:color w:val="auto"/>
          <w:sz w:val="24"/>
          <w:highlight w:val="none"/>
        </w:rPr>
        <w:t>提出质疑，请</w:t>
      </w:r>
      <w:r>
        <w:rPr>
          <w:rFonts w:ascii="宋体" w:cs="宋体" w:hAnsi="宋体" w:hint="eastAsia"/>
          <w:b w:val="false"/>
          <w:bCs/>
          <w:color w:val="auto"/>
          <w:sz w:val="24"/>
          <w:highlight w:val="none"/>
          <w:lang w:eastAsia="zh-CN"/>
        </w:rPr>
        <w:t>供应商</w:t>
      </w:r>
      <w:r>
        <w:rPr>
          <w:rFonts w:ascii="宋体" w:cs="宋体" w:hAnsi="宋体" w:hint="eastAsia"/>
          <w:b w:val="false"/>
          <w:bCs/>
          <w:color w:val="auto"/>
          <w:sz w:val="24"/>
          <w:highlight w:val="none"/>
        </w:rPr>
        <w:t>澄清其投标内容。</w:t>
      </w:r>
    </w:p>
    <w:p>
      <w:pPr>
        <w:pStyle w:val="style0"/>
        <w:autoSpaceDE w:val="false"/>
        <w:autoSpaceDN w:val="false"/>
        <w:adjustRightInd w:val="false"/>
        <w:snapToGrid w:val="false"/>
        <w:spacing w:lineRule="exact" w:line="460"/>
        <w:ind w:firstLine="566" w:firstLineChars="236"/>
        <w:jc w:val="left"/>
        <w:rPr>
          <w:rFonts w:ascii="宋体" w:cs="宋体" w:hAnsi="宋体" w:hint="eastAsia"/>
          <w:b w:val="false"/>
          <w:bCs/>
          <w:color w:val="auto"/>
          <w:sz w:val="24"/>
          <w:highlight w:val="none"/>
        </w:rPr>
      </w:pPr>
      <w:r>
        <w:rPr>
          <w:rFonts w:ascii="宋体" w:cs="宋体" w:hAnsi="宋体" w:hint="eastAsia"/>
          <w:b w:val="false"/>
          <w:bCs/>
          <w:color w:val="auto"/>
          <w:sz w:val="24"/>
          <w:highlight w:val="none"/>
        </w:rPr>
        <w:t>3.3.</w:t>
      </w:r>
      <w:r>
        <w:rPr>
          <w:rFonts w:ascii="宋体" w:cs="宋体" w:hAnsi="宋体" w:hint="eastAsia"/>
          <w:b w:val="false"/>
          <w:bCs/>
          <w:color w:val="auto"/>
          <w:sz w:val="24"/>
          <w:highlight w:val="none"/>
          <w:lang w:val="en-US" w:eastAsia="zh-CN"/>
        </w:rPr>
        <w:t>2</w:t>
      </w:r>
      <w:r>
        <w:rPr>
          <w:rFonts w:ascii="宋体" w:cs="宋体" w:hAnsi="宋体" w:hint="eastAsia"/>
          <w:b w:val="false"/>
          <w:bCs/>
          <w:color w:val="auto"/>
          <w:sz w:val="24"/>
          <w:highlight w:val="none"/>
        </w:rPr>
        <w:t>评标委员会可以要求</w:t>
      </w:r>
      <w:r>
        <w:rPr>
          <w:rFonts w:ascii="宋体" w:cs="宋体" w:hAnsi="宋体" w:hint="eastAsia"/>
          <w:b w:val="false"/>
          <w:bCs/>
          <w:color w:val="auto"/>
          <w:sz w:val="24"/>
          <w:highlight w:val="none"/>
          <w:lang w:eastAsia="zh-CN"/>
        </w:rPr>
        <w:t>供应商</w:t>
      </w:r>
      <w:r>
        <w:rPr>
          <w:rFonts w:ascii="宋体" w:cs="宋体" w:hAnsi="宋体" w:hint="eastAsia"/>
          <w:b w:val="false"/>
          <w:bCs/>
          <w:color w:val="auto"/>
          <w:sz w:val="24"/>
          <w:highlight w:val="none"/>
        </w:rPr>
        <w:t>对</w:t>
      </w:r>
      <w:r>
        <w:rPr>
          <w:rFonts w:ascii="宋体" w:cs="宋体" w:hAnsi="宋体" w:hint="eastAsia"/>
          <w:b w:val="false"/>
          <w:bCs/>
          <w:color w:val="auto"/>
          <w:sz w:val="24"/>
          <w:highlight w:val="none"/>
          <w:lang w:eastAsia="zh-CN"/>
        </w:rPr>
        <w:t>响应文件</w:t>
      </w:r>
      <w:r>
        <w:rPr>
          <w:rFonts w:ascii="宋体" w:cs="宋体" w:hAnsi="宋体" w:hint="eastAsia"/>
          <w:b w:val="false"/>
          <w:bCs/>
          <w:color w:val="auto"/>
          <w:sz w:val="24"/>
          <w:highlight w:val="none"/>
        </w:rPr>
        <w:t>中含义不明确、同类问题表述不一致或者有明显文字和计算错误的内容等作出必要的澄清、说明或者更正。</w:t>
      </w:r>
      <w:r>
        <w:rPr>
          <w:rFonts w:ascii="宋体" w:cs="宋体" w:hAnsi="宋体" w:hint="eastAsia"/>
          <w:b w:val="false"/>
          <w:bCs/>
          <w:color w:val="auto"/>
          <w:sz w:val="24"/>
          <w:highlight w:val="none"/>
          <w:lang w:eastAsia="zh-CN"/>
        </w:rPr>
        <w:t>供应商</w:t>
      </w:r>
      <w:r>
        <w:rPr>
          <w:rFonts w:ascii="宋体" w:cs="宋体" w:hAnsi="宋体" w:hint="eastAsia"/>
          <w:b w:val="false"/>
          <w:bCs/>
          <w:color w:val="auto"/>
          <w:sz w:val="24"/>
          <w:highlight w:val="none"/>
        </w:rPr>
        <w:t>的澄清、说明或者更正不得超出</w:t>
      </w:r>
      <w:r>
        <w:rPr>
          <w:rFonts w:ascii="宋体" w:cs="宋体" w:hAnsi="宋体" w:hint="eastAsia"/>
          <w:b w:val="false"/>
          <w:bCs/>
          <w:color w:val="auto"/>
          <w:sz w:val="24"/>
          <w:highlight w:val="none"/>
          <w:lang w:eastAsia="zh-CN"/>
        </w:rPr>
        <w:t>响应文件</w:t>
      </w:r>
      <w:r>
        <w:rPr>
          <w:rFonts w:ascii="宋体" w:cs="宋体" w:hAnsi="宋体" w:hint="eastAsia"/>
          <w:b w:val="false"/>
          <w:bCs/>
          <w:color w:val="auto"/>
          <w:sz w:val="24"/>
          <w:highlight w:val="none"/>
        </w:rPr>
        <w:t>的范围或者改变</w:t>
      </w:r>
      <w:r>
        <w:rPr>
          <w:rFonts w:ascii="宋体" w:cs="宋体" w:hAnsi="宋体" w:hint="eastAsia"/>
          <w:b w:val="false"/>
          <w:bCs/>
          <w:color w:val="auto"/>
          <w:sz w:val="24"/>
          <w:highlight w:val="none"/>
          <w:lang w:eastAsia="zh-CN"/>
        </w:rPr>
        <w:t>响应文件</w:t>
      </w:r>
      <w:r>
        <w:rPr>
          <w:rFonts w:ascii="宋体" w:cs="宋体" w:hAnsi="宋体" w:hint="eastAsia"/>
          <w:b w:val="false"/>
          <w:bCs/>
          <w:color w:val="auto"/>
          <w:sz w:val="24"/>
          <w:highlight w:val="none"/>
        </w:rPr>
        <w:t>的实质性内容。</w:t>
      </w:r>
    </w:p>
    <w:p>
      <w:pPr>
        <w:pStyle w:val="style0"/>
        <w:autoSpaceDE w:val="false"/>
        <w:autoSpaceDN w:val="false"/>
        <w:adjustRightInd w:val="false"/>
        <w:snapToGrid w:val="false"/>
        <w:spacing w:lineRule="exact" w:line="460"/>
        <w:ind w:firstLine="566" w:firstLineChars="236"/>
        <w:jc w:val="left"/>
        <w:rPr>
          <w:rFonts w:ascii="宋体" w:cs="宋体" w:hAnsi="宋体" w:hint="eastAsia"/>
          <w:b w:val="false"/>
          <w:bCs/>
          <w:color w:val="auto"/>
          <w:sz w:val="24"/>
          <w:highlight w:val="none"/>
        </w:rPr>
      </w:pPr>
      <w:r>
        <w:rPr>
          <w:rFonts w:ascii="宋体" w:cs="宋体" w:hAnsi="宋体" w:hint="eastAsia"/>
          <w:b w:val="false"/>
          <w:bCs/>
          <w:color w:val="auto"/>
          <w:sz w:val="24"/>
          <w:highlight w:val="none"/>
        </w:rPr>
        <w:t>3.3.</w:t>
      </w:r>
      <w:r>
        <w:rPr>
          <w:rFonts w:ascii="宋体" w:cs="宋体" w:hAnsi="宋体" w:hint="eastAsia"/>
          <w:b w:val="false"/>
          <w:bCs/>
          <w:color w:val="auto"/>
          <w:sz w:val="24"/>
          <w:highlight w:val="none"/>
          <w:lang w:val="en-US" w:eastAsia="zh-CN"/>
        </w:rPr>
        <w:t>3</w:t>
      </w:r>
      <w:r>
        <w:rPr>
          <w:rFonts w:ascii="宋体" w:cs="宋体" w:hAnsi="宋体" w:hint="eastAsia"/>
          <w:b w:val="false"/>
          <w:bCs/>
          <w:color w:val="auto"/>
          <w:sz w:val="24"/>
          <w:highlight w:val="none"/>
          <w:lang w:eastAsia="zh-CN"/>
        </w:rPr>
        <w:t>供应商</w:t>
      </w:r>
      <w:r>
        <w:rPr>
          <w:rFonts w:ascii="宋体" w:cs="宋体" w:hAnsi="宋体" w:hint="eastAsia"/>
          <w:b w:val="false"/>
          <w:bCs/>
          <w:color w:val="auto"/>
          <w:sz w:val="24"/>
          <w:highlight w:val="none"/>
        </w:rPr>
        <w:t>的澄清文件是</w:t>
      </w:r>
      <w:r>
        <w:rPr>
          <w:rFonts w:ascii="宋体" w:cs="宋体" w:hAnsi="宋体" w:hint="eastAsia"/>
          <w:b w:val="false"/>
          <w:bCs/>
          <w:color w:val="auto"/>
          <w:sz w:val="24"/>
          <w:highlight w:val="none"/>
          <w:lang w:eastAsia="zh-CN"/>
        </w:rPr>
        <w:t>响应文件</w:t>
      </w:r>
      <w:r>
        <w:rPr>
          <w:rFonts w:ascii="宋体" w:cs="宋体" w:hAnsi="宋体" w:hint="eastAsia"/>
          <w:b w:val="false"/>
          <w:bCs/>
          <w:color w:val="auto"/>
          <w:sz w:val="24"/>
          <w:highlight w:val="none"/>
        </w:rPr>
        <w:t>的组成部分，并取代</w:t>
      </w:r>
      <w:r>
        <w:rPr>
          <w:rFonts w:ascii="宋体" w:cs="宋体" w:hAnsi="宋体" w:hint="eastAsia"/>
          <w:b w:val="false"/>
          <w:bCs/>
          <w:color w:val="auto"/>
          <w:sz w:val="24"/>
          <w:highlight w:val="none"/>
          <w:lang w:eastAsia="zh-CN"/>
        </w:rPr>
        <w:t>响应文件</w:t>
      </w:r>
      <w:r>
        <w:rPr>
          <w:rFonts w:ascii="宋体" w:cs="宋体" w:hAnsi="宋体" w:hint="eastAsia"/>
          <w:b w:val="false"/>
          <w:bCs/>
          <w:color w:val="auto"/>
          <w:sz w:val="24"/>
          <w:highlight w:val="none"/>
        </w:rPr>
        <w:t>中被澄清的部分。</w:t>
      </w:r>
    </w:p>
    <w:p>
      <w:pPr>
        <w:pStyle w:val="style0"/>
        <w:autoSpaceDE w:val="false"/>
        <w:autoSpaceDN w:val="false"/>
        <w:adjustRightInd w:val="false"/>
        <w:snapToGrid w:val="false"/>
        <w:spacing w:lineRule="exact" w:line="460"/>
        <w:ind w:firstLine="566" w:firstLineChars="236"/>
        <w:jc w:val="left"/>
        <w:rPr>
          <w:rFonts w:ascii="宋体" w:cs="宋体" w:hAnsi="宋体" w:hint="eastAsia"/>
          <w:b w:val="false"/>
          <w:bCs/>
          <w:color w:val="auto"/>
          <w:sz w:val="24"/>
          <w:highlight w:val="none"/>
        </w:rPr>
      </w:pPr>
      <w:r>
        <w:rPr>
          <w:rFonts w:ascii="宋体" w:cs="宋体" w:hAnsi="宋体" w:hint="eastAsia"/>
          <w:b w:val="false"/>
          <w:bCs/>
          <w:color w:val="auto"/>
          <w:sz w:val="24"/>
          <w:highlight w:val="none"/>
        </w:rPr>
        <w:t>3.3.</w:t>
      </w:r>
      <w:r>
        <w:rPr>
          <w:rFonts w:ascii="宋体" w:cs="宋体" w:hAnsi="宋体" w:hint="eastAsia"/>
          <w:b w:val="false"/>
          <w:bCs/>
          <w:color w:val="auto"/>
          <w:sz w:val="24"/>
          <w:highlight w:val="none"/>
          <w:lang w:val="en-US" w:eastAsia="zh-CN"/>
        </w:rPr>
        <w:t>4</w:t>
      </w:r>
      <w:r>
        <w:rPr>
          <w:rFonts w:ascii="宋体" w:cs="宋体" w:hAnsi="宋体" w:hint="eastAsia"/>
          <w:b w:val="false"/>
          <w:bCs/>
          <w:color w:val="auto"/>
          <w:sz w:val="24"/>
          <w:highlight w:val="none"/>
        </w:rPr>
        <w:t>澄清文件应按评标委员会规定的时间提交。</w:t>
      </w:r>
    </w:p>
    <w:p>
      <w:pPr>
        <w:pStyle w:val="style0"/>
        <w:autoSpaceDE w:val="false"/>
        <w:autoSpaceDN w:val="false"/>
        <w:adjustRightInd w:val="false"/>
        <w:snapToGrid w:val="false"/>
        <w:spacing w:lineRule="exact" w:line="460"/>
        <w:ind w:firstLine="569" w:firstLineChars="236"/>
        <w:jc w:val="left"/>
        <w:rPr>
          <w:rFonts w:ascii="宋体" w:cs="宋体" w:hAnsi="宋体"/>
          <w:b/>
          <w:color w:val="auto"/>
          <w:sz w:val="24"/>
          <w:highlight w:val="none"/>
        </w:rPr>
      </w:pPr>
      <w:r>
        <w:rPr>
          <w:rFonts w:ascii="宋体" w:cs="宋体" w:hAnsi="宋体" w:hint="eastAsia"/>
          <w:b/>
          <w:color w:val="auto"/>
          <w:sz w:val="24"/>
          <w:highlight w:val="none"/>
        </w:rPr>
        <w:t>3.4 磋商规则</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3.4.1 本次政府采购采取竞争性磋商方式。磋商小组将据评审情况就所报项目的技术、服务、价格等事项与有关供应商分别进行磋商。磋商的任何一方不得将与磋商有关的技术资料、价格和其他信息透露给其他供应商。</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3.4.2磋商小组根据《磋商文件》规定的程序、评定成交的标准等事项与实质性响应《磋商文件》实质性要求的供应商进行磋商。</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3.4.3 磋商小组所有成员集中与单一供应商分别进行磋商，并给予所有参加磋商的供应商平等的磋商机会。</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3.4.4 在磋商过程中，磋商小组可以根据《磋商文件》和磋商情况实质性变动采购需求中的技术、服务要求以及合同草案条款，《磋商文件》中的其他内容将不再变动。实质性变动的内容，经采购人代表确认后，</w:t>
      </w:r>
      <w:r>
        <w:rPr>
          <w:rFonts w:ascii="宋体" w:cs="宋体" w:hAnsi="宋体" w:hint="eastAsia"/>
          <w:b/>
          <w:color w:val="auto"/>
          <w:sz w:val="24"/>
          <w:highlight w:val="none"/>
        </w:rPr>
        <w:t>磋商小组时通知所有参加磋商的供应商。磋商结束后，未实质性响应《磋商文件》的《响应文件》按无效处理。</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3.4.5对《磋商文件》作出的实质性变动是《磋商文件》的有效组成部分。</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3.4.6 供应商应当按照《磋商文件》的变动情况和磋商小组的要求重新提交《响应文件》或修订《响应文件》相应条款</w:t>
      </w:r>
      <w:r>
        <w:rPr>
          <w:rFonts w:ascii="宋体" w:cs="宋体" w:hAnsi="宋体" w:hint="eastAsia"/>
          <w:b/>
          <w:color w:val="auto"/>
          <w:sz w:val="24"/>
          <w:highlight w:val="none"/>
        </w:rPr>
        <w:t>。</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3.4.7 价格磋商</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3.4.7.1 见第二章“采购项目及服务要求”1.3.2项规定</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3.4.7.2 磋商小组应当要求所有继续参加磋商的供应商在规定时间内提交最后报价，提交最后报价的供应商不得少于3家。最后报价是《响应文件》的有效组成部分。</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3.4.8《磋商文件》的实质性变动影响到供应商因此无法继续参加磋商的，供应商可以在提交最后报价之前退出磋商。其《响应文件》按无效处理的供应商，所提交的最后报价也按无效处理。</w:t>
      </w:r>
    </w:p>
    <w:p>
      <w:pPr>
        <w:pStyle w:val="style0"/>
        <w:autoSpaceDE w:val="false"/>
        <w:autoSpaceDN w:val="false"/>
        <w:adjustRightInd w:val="false"/>
        <w:snapToGrid w:val="false"/>
        <w:spacing w:lineRule="exact" w:line="460"/>
        <w:ind w:firstLine="569" w:firstLineChars="236"/>
        <w:jc w:val="left"/>
        <w:rPr>
          <w:rFonts w:ascii="宋体" w:cs="宋体" w:hAnsi="宋体"/>
          <w:b/>
          <w:color w:val="auto"/>
          <w:sz w:val="24"/>
          <w:highlight w:val="none"/>
        </w:rPr>
      </w:pPr>
      <w:r>
        <w:rPr>
          <w:rFonts w:ascii="宋体" w:cs="宋体" w:hAnsi="宋体" w:hint="eastAsia"/>
          <w:b/>
          <w:color w:val="auto"/>
          <w:sz w:val="24"/>
          <w:highlight w:val="none"/>
        </w:rPr>
        <w:t>3.5 详细评审</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3.5.1 经磋商确定最终采购需求和提交最后报价的供应商后，由磋商小组采用综合评分法对提交最后报价的供应商的《响应文件》和最后报价进行综合评分。</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3.5.2 按本章第4条规定执行促进中小企业发展扶持政策。</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3.5.3 磋商小组按本章第2.2 款规定的量化因素和分值进行打分，并计算出综合评标得分。</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3.5.4 .评分计算保留2位小数，第三位小数四舍五入。评分计算中出现中间值时按插入法计算得分。</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3.5.5 磋商小组认为供应商的报价明显低于其他通过符合性审查</w:t>
      </w:r>
      <w:r>
        <w:rPr>
          <w:rFonts w:ascii="宋体" w:cs="宋体" w:hAnsi="宋体" w:hint="eastAsia"/>
          <w:color w:val="auto"/>
          <w:sz w:val="24"/>
          <w:highlight w:val="none"/>
          <w:lang w:eastAsia="zh-CN"/>
        </w:rPr>
        <w:t>供应商</w:t>
      </w:r>
      <w:r>
        <w:rPr>
          <w:rFonts w:ascii="宋体" w:cs="宋体" w:hAnsi="宋体" w:hint="eastAsia"/>
          <w:color w:val="auto"/>
          <w:sz w:val="24"/>
          <w:highlight w:val="none"/>
        </w:rPr>
        <w:t>的报价，有可能影响产品质量或者不能诚信履约的，应当要求其在合理的时间内提供书面说明，必要时提交相关证明材料；供应商不能证明其报价合理性的，磋商小组应当将其作为无效投标处理。</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3.5.6　在评审过程中，凡遇到《磋商文件》中无界定或界定不清，前后不一致，使磋商小组成员意见有分歧且又难于协商一致的问题，均由磋商小组予以表决。</w:t>
      </w:r>
    </w:p>
    <w:p>
      <w:pPr>
        <w:pStyle w:val="style0"/>
        <w:autoSpaceDE w:val="false"/>
        <w:autoSpaceDN w:val="false"/>
        <w:adjustRightInd w:val="false"/>
        <w:snapToGrid w:val="false"/>
        <w:spacing w:lineRule="exact" w:line="460"/>
        <w:ind w:firstLine="569" w:firstLineChars="236"/>
        <w:jc w:val="left"/>
        <w:rPr>
          <w:rFonts w:ascii="宋体" w:cs="宋体" w:hAnsi="宋体"/>
          <w:color w:val="auto"/>
          <w:sz w:val="24"/>
          <w:highlight w:val="none"/>
        </w:rPr>
      </w:pPr>
      <w:r>
        <w:rPr>
          <w:rFonts w:ascii="宋体" w:cs="宋体" w:hAnsi="宋体" w:hint="eastAsia"/>
          <w:b/>
          <w:color w:val="auto"/>
          <w:sz w:val="24"/>
          <w:highlight w:val="none"/>
        </w:rPr>
        <w:t>3.6 复核</w:t>
      </w:r>
      <w:r>
        <w:rPr>
          <w:rFonts w:ascii="宋体" w:cs="宋体" w:hAnsi="宋体" w:hint="eastAsia"/>
          <w:color w:val="auto"/>
          <w:sz w:val="24"/>
          <w:highlight w:val="none"/>
        </w:rPr>
        <w:t>：</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3.6.1 磋商小组要对评分汇总情况进行复核，对评审数据进行校对、核对，特别是对排名第一的、报价最低的、被认定为无效的情形进行重点复核。</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3.6.2 磋商小组对供应商的价格分等客观评分项的评分应当一致，对其他需要借助专业知识评判的主观评分项，应当严格按照评分细则公正评分，不得超出评分标准范围，对畸高、畸低的重大差异评分书面说明理由。</w:t>
      </w:r>
    </w:p>
    <w:p>
      <w:pPr>
        <w:pStyle w:val="style0"/>
        <w:autoSpaceDE w:val="false"/>
        <w:autoSpaceDN w:val="false"/>
        <w:adjustRightInd w:val="false"/>
        <w:snapToGrid w:val="false"/>
        <w:spacing w:lineRule="exact" w:line="460"/>
        <w:ind w:firstLine="569" w:firstLineChars="236"/>
        <w:jc w:val="left"/>
        <w:rPr>
          <w:rFonts w:ascii="宋体" w:cs="宋体" w:hAnsi="宋体"/>
          <w:b/>
          <w:color w:val="auto"/>
          <w:sz w:val="24"/>
          <w:highlight w:val="none"/>
        </w:rPr>
      </w:pPr>
      <w:r>
        <w:rPr>
          <w:rFonts w:ascii="宋体" w:cs="宋体" w:hAnsi="宋体" w:hint="eastAsia"/>
          <w:b/>
          <w:color w:val="auto"/>
          <w:sz w:val="24"/>
          <w:highlight w:val="none"/>
        </w:rPr>
        <w:t>3.7 评审结果</w:t>
      </w:r>
    </w:p>
    <w:p>
      <w:pPr>
        <w:pStyle w:val="style0"/>
        <w:autoSpaceDE w:val="false"/>
        <w:autoSpaceDN w:val="false"/>
        <w:adjustRightInd w:val="false"/>
        <w:snapToGrid w:val="false"/>
        <w:spacing w:lineRule="exact" w:line="460"/>
        <w:ind w:firstLine="616" w:firstLineChars="257"/>
        <w:jc w:val="left"/>
        <w:rPr>
          <w:rFonts w:ascii="宋体" w:cs="宋体" w:hAnsi="宋体"/>
          <w:color w:val="auto"/>
          <w:sz w:val="24"/>
          <w:highlight w:val="none"/>
        </w:rPr>
      </w:pPr>
      <w:r>
        <w:rPr>
          <w:rFonts w:ascii="宋体" w:cs="宋体" w:hAnsi="宋体" w:hint="eastAsia"/>
          <w:color w:val="auto"/>
          <w:sz w:val="24"/>
          <w:highlight w:val="none"/>
        </w:rPr>
        <w:t>3.7.1磋商小组应当根据综合评分情况，按照评审得分由高到低顺序推荐3名成交候选供应商，并编写评审报告。符合本《政府采购竞争性磋商采购方式管理暂行办法》第二十一条第三款情形的，可以推荐2家成交候选供应商。评审得分相同的，按照最后报价由低到高的顺序推荐。评审得分且最后报价相同的，按照技术指标优劣顺序推荐。</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3.7.2 确定中标单位：按第三章“供应商须知前附表”7.1款规定及本章第1条规定。</w:t>
      </w:r>
    </w:p>
    <w:p>
      <w:pPr>
        <w:pStyle w:val="style0"/>
        <w:autoSpaceDE w:val="false"/>
        <w:autoSpaceDN w:val="false"/>
        <w:adjustRightInd w:val="false"/>
        <w:snapToGrid w:val="false"/>
        <w:spacing w:lineRule="exact" w:line="460"/>
        <w:ind w:firstLine="569" w:firstLineChars="236"/>
        <w:jc w:val="left"/>
        <w:rPr>
          <w:rFonts w:ascii="宋体" w:cs="宋体" w:hAnsi="宋体"/>
          <w:b/>
          <w:color w:val="auto"/>
          <w:sz w:val="24"/>
          <w:highlight w:val="none"/>
        </w:rPr>
      </w:pPr>
      <w:r>
        <w:rPr>
          <w:rFonts w:ascii="宋体" w:cs="宋体" w:hAnsi="宋体" w:hint="eastAsia"/>
          <w:b/>
          <w:color w:val="auto"/>
          <w:sz w:val="24"/>
          <w:highlight w:val="none"/>
        </w:rPr>
        <w:t>3.8 磋商终止</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3.8.1 出现下列情形之一的，终止竞争性磋商活动：</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（1）因情况变化，不再符合规定的竞争性磋商采购方式适用情形的；</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（2）出现影响采购公正的违法、违规行为的；</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（3）除《政府采购竞争性磋商采购方式管理暂行办法》第二十一条第三款规定的情形外，在采购过程中符合竞争要求的供应商或者报价未超过预算金额的供应商不足3家的。</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（4）在采购活动中因重大变故，采购任务取消的。</w:t>
      </w:r>
    </w:p>
    <w:p>
      <w:pPr>
        <w:pStyle w:val="style0"/>
        <w:autoSpaceDE w:val="false"/>
        <w:autoSpaceDN w:val="false"/>
        <w:adjustRightInd w:val="false"/>
        <w:snapToGrid w:val="false"/>
        <w:spacing w:lineRule="exact" w:line="460"/>
        <w:ind w:firstLine="566" w:firstLineChars="236"/>
        <w:jc w:val="left"/>
        <w:rPr>
          <w:rFonts w:ascii="宋体" w:cs="宋体" w:hAnsi="宋体"/>
          <w:color w:val="auto"/>
          <w:sz w:val="24"/>
          <w:highlight w:val="none"/>
        </w:rPr>
      </w:pPr>
      <w:r>
        <w:rPr>
          <w:rFonts w:ascii="宋体" w:cs="宋体" w:hAnsi="宋体" w:hint="eastAsia"/>
          <w:color w:val="auto"/>
          <w:sz w:val="24"/>
          <w:highlight w:val="none"/>
        </w:rPr>
        <w:t>3.8.2 磋商小组要在采购项目（标段&lt;包&gt;）磋商失败时，出具《磋商文件》是否存在不合理条款的论证意见，要协助采购人、采购代理机构、财政部门答复质疑或处理投诉事项。　</w:t>
      </w:r>
    </w:p>
    <w:bookmarkStart w:id="35" w:name="_Toc29238"/>
    <w:p>
      <w:pPr>
        <w:pStyle w:val="style0"/>
        <w:widowControl w:val="false"/>
        <w:adjustRightInd w:val="false"/>
        <w:snapToGrid w:val="false"/>
        <w:spacing w:lineRule="exact" w:line="460"/>
        <w:ind w:left="23" w:firstLine="556"/>
        <w:jc w:val="left"/>
        <w:outlineLvl w:val="1"/>
        <w:rPr>
          <w:rFonts w:ascii="宋体" w:cs="宋体" w:hAnsi="宋体"/>
          <w:b/>
          <w:bCs/>
          <w:color w:val="auto"/>
          <w:sz w:val="28"/>
          <w:szCs w:val="28"/>
          <w:highlight w:val="none"/>
          <w:lang w:val="zh-CN"/>
        </w:rPr>
      </w:pPr>
      <w:r>
        <w:rPr>
          <w:rFonts w:ascii="宋体" w:cs="宋体" w:hAnsi="宋体" w:hint="eastAsia"/>
          <w:b/>
          <w:bCs/>
          <w:color w:val="auto"/>
          <w:sz w:val="28"/>
          <w:szCs w:val="28"/>
          <w:highlight w:val="none"/>
          <w:lang w:val="zh-CN"/>
        </w:rPr>
        <w:t>4. 政府采购促进中小企业发展扶持政策</w:t>
      </w:r>
      <w:bookmarkEnd w:id="35"/>
    </w:p>
    <w:p>
      <w:pPr>
        <w:pStyle w:val="style0"/>
        <w:autoSpaceDE w:val="false"/>
        <w:autoSpaceDN w:val="false"/>
        <w:adjustRightInd w:val="false"/>
        <w:snapToGrid w:val="false"/>
        <w:spacing w:lineRule="exact" w:line="460"/>
        <w:ind w:firstLine="480" w:firstLineChars="200"/>
        <w:jc w:val="left"/>
        <w:rPr>
          <w:rFonts w:ascii="宋体" w:cs="宋体" w:hAnsi="宋体" w:hint="eastAsia"/>
          <w:color w:val="auto"/>
          <w:sz w:val="24"/>
          <w:highlight w:val="none"/>
          <w:lang w:eastAsia="zh-CN"/>
        </w:rPr>
      </w:pPr>
      <w:r>
        <w:rPr>
          <w:rFonts w:ascii="宋体" w:cs="宋体" w:hAnsi="宋体" w:hint="eastAsia"/>
          <w:color w:val="auto"/>
          <w:sz w:val="24"/>
          <w:highlight w:val="none"/>
          <w:lang w:eastAsia="zh-CN"/>
        </w:rPr>
        <w:t xml:space="preserve">4.1 </w:t>
      </w:r>
      <w:r>
        <w:rPr>
          <w:rFonts w:ascii="宋体" w:cs="宋体" w:hAnsi="宋体" w:hint="eastAsia"/>
          <w:b/>
          <w:bCs/>
          <w:color w:val="auto"/>
          <w:sz w:val="24"/>
          <w:highlight w:val="none"/>
          <w:lang w:eastAsia="zh-CN"/>
        </w:rPr>
        <w:t>本次政府采购项目对小型和微型企业产品的价格给予</w:t>
      </w:r>
      <w:r>
        <w:rPr>
          <w:rFonts w:ascii="宋体" w:cs="宋体" w:hAnsi="宋体" w:hint="eastAsia"/>
          <w:b/>
          <w:bCs/>
          <w:color w:val="auto"/>
          <w:sz w:val="24"/>
          <w:highlight w:val="none"/>
          <w:lang w:val="en-US" w:eastAsia="zh-CN"/>
        </w:rPr>
        <w:t>20</w:t>
      </w:r>
      <w:r>
        <w:rPr>
          <w:rFonts w:ascii="宋体" w:cs="宋体" w:hAnsi="宋体" w:hint="eastAsia"/>
          <w:b/>
          <w:bCs/>
          <w:color w:val="auto"/>
          <w:sz w:val="24"/>
          <w:highlight w:val="none"/>
          <w:lang w:eastAsia="zh-CN"/>
        </w:rPr>
        <w:t>%的扣除，用扣除后的价格参与评审。</w:t>
      </w:r>
    </w:p>
    <w:p>
      <w:pPr>
        <w:pStyle w:val="style0"/>
        <w:autoSpaceDE w:val="false"/>
        <w:autoSpaceDN w:val="false"/>
        <w:adjustRightInd w:val="false"/>
        <w:snapToGrid w:val="false"/>
        <w:spacing w:lineRule="exact" w:line="460"/>
        <w:ind w:firstLine="480" w:firstLineChars="200"/>
        <w:jc w:val="left"/>
        <w:rPr>
          <w:rFonts w:ascii="宋体" w:cs="宋体" w:hAnsi="宋体" w:hint="eastAsia"/>
          <w:color w:val="auto"/>
          <w:sz w:val="24"/>
          <w:highlight w:val="none"/>
          <w:lang w:eastAsia="zh-CN"/>
        </w:rPr>
      </w:pPr>
      <w:r>
        <w:rPr>
          <w:rFonts w:ascii="宋体" w:cs="宋体" w:hAnsi="宋体" w:hint="eastAsia"/>
          <w:color w:val="auto"/>
          <w:sz w:val="24"/>
          <w:highlight w:val="none"/>
          <w:lang w:eastAsia="zh-CN"/>
        </w:rPr>
        <w:t>4.2 本次政府采购项目对小型和微型企业产品价格扣除的对象应当同时符合以下条件：</w:t>
      </w:r>
    </w:p>
    <w:p>
      <w:pPr>
        <w:pStyle w:val="style0"/>
        <w:autoSpaceDE w:val="false"/>
        <w:autoSpaceDN w:val="false"/>
        <w:adjustRightInd w:val="false"/>
        <w:snapToGrid w:val="false"/>
        <w:spacing w:lineRule="exact" w:line="460"/>
        <w:ind w:firstLine="480" w:firstLineChars="200"/>
        <w:jc w:val="left"/>
        <w:rPr>
          <w:rFonts w:ascii="宋体" w:cs="宋体" w:hAnsi="宋体" w:hint="eastAsia"/>
          <w:color w:val="auto"/>
          <w:sz w:val="24"/>
          <w:highlight w:val="none"/>
          <w:lang w:eastAsia="zh-CN"/>
        </w:rPr>
      </w:pPr>
      <w:r>
        <w:rPr>
          <w:rFonts w:ascii="宋体" w:cs="宋体" w:hAnsi="宋体" w:hint="eastAsia"/>
          <w:color w:val="auto"/>
          <w:sz w:val="24"/>
          <w:highlight w:val="none"/>
          <w:lang w:eastAsia="zh-CN"/>
        </w:rPr>
        <w:t>（1）供应商为小型和微型企业；</w:t>
      </w:r>
    </w:p>
    <w:p>
      <w:pPr>
        <w:pStyle w:val="style0"/>
        <w:autoSpaceDE w:val="false"/>
        <w:autoSpaceDN w:val="false"/>
        <w:adjustRightInd w:val="false"/>
        <w:snapToGrid w:val="false"/>
        <w:spacing w:lineRule="exact" w:line="460"/>
        <w:ind w:firstLine="480" w:firstLineChars="200"/>
        <w:jc w:val="left"/>
        <w:rPr>
          <w:rFonts w:ascii="宋体" w:cs="宋体" w:hAnsi="宋体" w:hint="eastAsia"/>
          <w:color w:val="auto"/>
          <w:sz w:val="24"/>
          <w:highlight w:val="none"/>
          <w:lang w:eastAsia="zh-CN"/>
        </w:rPr>
      </w:pPr>
      <w:r>
        <w:rPr>
          <w:rFonts w:ascii="宋体" w:cs="宋体" w:hAnsi="宋体" w:hint="eastAsia"/>
          <w:color w:val="auto"/>
          <w:sz w:val="24"/>
          <w:highlight w:val="none"/>
          <w:lang w:eastAsia="zh-CN"/>
        </w:rPr>
        <w:t>（2）提供本企业制造的货物、承担的工程或者服务，或者提供其他小型和微型企业制造的货物。本项所称货物不包括使用大型企业注册商标的货物。</w:t>
      </w:r>
    </w:p>
    <w:p>
      <w:pPr>
        <w:pStyle w:val="style0"/>
        <w:autoSpaceDE w:val="false"/>
        <w:autoSpaceDN w:val="false"/>
        <w:adjustRightInd w:val="false"/>
        <w:snapToGrid w:val="false"/>
        <w:spacing w:lineRule="exact" w:line="460"/>
        <w:ind w:firstLine="480" w:firstLineChars="200"/>
        <w:jc w:val="left"/>
        <w:rPr>
          <w:rFonts w:ascii="宋体" w:cs="宋体" w:hAnsi="宋体" w:hint="eastAsia"/>
          <w:color w:val="auto"/>
          <w:sz w:val="24"/>
          <w:highlight w:val="none"/>
          <w:lang w:eastAsia="zh-CN"/>
        </w:rPr>
      </w:pPr>
      <w:r>
        <w:rPr>
          <w:rFonts w:ascii="宋体" w:cs="宋体" w:hAnsi="宋体" w:hint="eastAsia"/>
          <w:color w:val="auto"/>
          <w:sz w:val="24"/>
          <w:highlight w:val="none"/>
          <w:lang w:eastAsia="zh-CN"/>
        </w:rPr>
        <w:t>4.3本次政府采购项目对小型和微型企业产品的价格扣除的界定依据（未按要求提供相关资料的，不享受价格扣除扶持政策）：</w:t>
      </w:r>
    </w:p>
    <w:p>
      <w:pPr>
        <w:pStyle w:val="style0"/>
        <w:autoSpaceDE w:val="false"/>
        <w:autoSpaceDN w:val="false"/>
        <w:adjustRightInd w:val="false"/>
        <w:snapToGrid w:val="false"/>
        <w:spacing w:lineRule="exact" w:line="460"/>
        <w:ind w:firstLine="480" w:firstLineChars="200"/>
        <w:jc w:val="left"/>
        <w:rPr>
          <w:rFonts w:ascii="宋体" w:cs="宋体" w:hAnsi="宋体" w:hint="eastAsia"/>
          <w:color w:val="auto"/>
          <w:sz w:val="24"/>
          <w:highlight w:val="none"/>
          <w:lang w:eastAsia="zh-CN"/>
        </w:rPr>
      </w:pPr>
      <w:r>
        <w:rPr>
          <w:rFonts w:ascii="宋体" w:cs="宋体" w:hAnsi="宋体" w:hint="eastAsia"/>
          <w:color w:val="auto"/>
          <w:sz w:val="24"/>
          <w:highlight w:val="none"/>
          <w:lang w:eastAsia="zh-CN"/>
        </w:rPr>
        <w:t>（1）参加本次政府采购活动的中小企业应按附件格式提供《中小企业声明函》；</w:t>
      </w:r>
    </w:p>
    <w:p>
      <w:pPr>
        <w:pStyle w:val="style0"/>
        <w:autoSpaceDE w:val="false"/>
        <w:autoSpaceDN w:val="false"/>
        <w:adjustRightInd w:val="false"/>
        <w:snapToGrid w:val="false"/>
        <w:spacing w:lineRule="exact" w:line="460"/>
        <w:ind w:firstLine="480" w:firstLineChars="200"/>
        <w:jc w:val="left"/>
        <w:rPr>
          <w:rFonts w:ascii="宋体" w:cs="宋体" w:hAnsi="宋体" w:hint="eastAsia"/>
          <w:color w:val="auto"/>
          <w:sz w:val="24"/>
          <w:highlight w:val="none"/>
          <w:lang w:eastAsia="zh-CN"/>
        </w:rPr>
      </w:pPr>
      <w:r>
        <w:rPr>
          <w:rFonts w:ascii="宋体" w:cs="宋体" w:hAnsi="宋体" w:hint="eastAsia"/>
          <w:color w:val="auto"/>
          <w:sz w:val="24"/>
          <w:highlight w:val="none"/>
          <w:lang w:eastAsia="zh-CN"/>
        </w:rPr>
        <w:t>（2）提供其他小型和微型企业制造的货物的供应商，应同时提供产品制造企业《中小企业声明函》扫描件（加盖供应商单位公章）</w:t>
      </w:r>
    </w:p>
    <w:p>
      <w:pPr>
        <w:pStyle w:val="style0"/>
        <w:autoSpaceDE w:val="false"/>
        <w:autoSpaceDN w:val="false"/>
        <w:adjustRightInd w:val="false"/>
        <w:snapToGrid w:val="false"/>
        <w:spacing w:lineRule="exact" w:line="460"/>
        <w:ind w:firstLine="480" w:firstLineChars="200"/>
        <w:jc w:val="left"/>
        <w:rPr>
          <w:rFonts w:ascii="宋体" w:cs="宋体" w:hAnsi="宋体" w:hint="eastAsia"/>
          <w:color w:val="auto"/>
          <w:sz w:val="24"/>
          <w:highlight w:val="none"/>
          <w:lang w:eastAsia="zh-CN"/>
        </w:rPr>
      </w:pPr>
      <w:r>
        <w:rPr>
          <w:rFonts w:ascii="宋体" w:cs="宋体" w:hAnsi="宋体" w:hint="eastAsia"/>
          <w:color w:val="auto"/>
          <w:sz w:val="24"/>
          <w:highlight w:val="none"/>
          <w:lang w:eastAsia="zh-CN"/>
        </w:rPr>
        <w:t>注：产品制造企业《中小企业声明函》自开出之日起至投标截止日应在1年内，超出期限的将不被认可。投标截止日产品制造企业规模发生变化的，应如实陈述，否则将视为提供虚假材料。</w:t>
      </w:r>
    </w:p>
    <w:p>
      <w:pPr>
        <w:pStyle w:val="style0"/>
        <w:autoSpaceDE w:val="false"/>
        <w:autoSpaceDN w:val="false"/>
        <w:adjustRightInd w:val="false"/>
        <w:snapToGrid w:val="false"/>
        <w:spacing w:lineRule="exact" w:line="460"/>
        <w:ind w:firstLine="480" w:firstLineChars="200"/>
        <w:jc w:val="left"/>
        <w:rPr>
          <w:rFonts w:ascii="宋体" w:cs="宋体" w:hAnsi="宋体" w:hint="eastAsia"/>
          <w:color w:val="auto"/>
          <w:sz w:val="24"/>
          <w:highlight w:val="none"/>
          <w:lang w:eastAsia="zh-CN"/>
        </w:rPr>
      </w:pPr>
      <w:r>
        <w:rPr>
          <w:rFonts w:ascii="宋体" w:cs="宋体" w:hAnsi="宋体" w:hint="eastAsia"/>
          <w:color w:val="auto"/>
          <w:sz w:val="24"/>
          <w:highlight w:val="none"/>
          <w:lang w:eastAsia="zh-CN"/>
        </w:rPr>
        <w:t>（3）联合体各方均为小型、微型企业的，联合体视同为小型、微型企业，享受本次政府采购项目的扶持政策。联合体各方均应按附件格式提供《中小企业声明函》。</w:t>
      </w:r>
    </w:p>
    <w:p>
      <w:pPr>
        <w:pStyle w:val="style0"/>
        <w:autoSpaceDE w:val="false"/>
        <w:autoSpaceDN w:val="false"/>
        <w:adjustRightInd w:val="false"/>
        <w:snapToGrid w:val="false"/>
        <w:spacing w:lineRule="exact" w:line="460"/>
        <w:ind w:firstLine="480" w:firstLineChars="200"/>
        <w:jc w:val="left"/>
        <w:rPr>
          <w:rFonts w:ascii="宋体" w:cs="宋体" w:hAnsi="宋体" w:hint="eastAsia"/>
          <w:color w:val="auto"/>
          <w:sz w:val="24"/>
          <w:highlight w:val="none"/>
          <w:lang w:eastAsia="zh-CN"/>
        </w:rPr>
      </w:pPr>
      <w:r>
        <w:rPr>
          <w:rFonts w:ascii="宋体" w:cs="宋体" w:hAnsi="宋体" w:hint="eastAsia"/>
          <w:color w:val="auto"/>
          <w:sz w:val="24"/>
          <w:highlight w:val="none"/>
          <w:lang w:eastAsia="zh-CN"/>
        </w:rPr>
        <w:t>（4）供应商对申报的小型和微型企业产品的价格扣除事项在报价表如实认真填列。</w:t>
      </w:r>
    </w:p>
    <w:p>
      <w:pPr>
        <w:pStyle w:val="style0"/>
        <w:autoSpaceDE w:val="false"/>
        <w:autoSpaceDN w:val="false"/>
        <w:adjustRightInd w:val="false"/>
        <w:snapToGrid w:val="false"/>
        <w:spacing w:lineRule="exact" w:line="460"/>
        <w:ind w:firstLine="480" w:firstLineChars="200"/>
        <w:jc w:val="left"/>
        <w:rPr>
          <w:rFonts w:ascii="宋体" w:cs="宋体" w:hAnsi="宋体" w:hint="eastAsia"/>
          <w:color w:val="auto"/>
          <w:sz w:val="24"/>
          <w:highlight w:val="none"/>
          <w:lang w:eastAsia="zh-CN"/>
        </w:rPr>
      </w:pPr>
      <w:r>
        <w:rPr>
          <w:rFonts w:ascii="宋体" w:cs="宋体" w:hAnsi="宋体" w:hint="eastAsia"/>
          <w:color w:val="auto"/>
          <w:sz w:val="24"/>
          <w:highlight w:val="none"/>
          <w:lang w:eastAsia="zh-CN"/>
        </w:rPr>
        <w:t>4.4 磋商文件允许联合体投时，大中型企业和其他自然人、法人或者其他组织与小型、微型企业组成联合体共同参加非专门面向中小企业的政府采购活动的，联合协议中约定，小型、微型企业的协议合同金额占到联合体协议合同总金额30%以上的，给予联合体4%的价格扣除。</w:t>
      </w:r>
    </w:p>
    <w:p>
      <w:pPr>
        <w:pStyle w:val="style0"/>
        <w:autoSpaceDE w:val="false"/>
        <w:autoSpaceDN w:val="false"/>
        <w:adjustRightInd w:val="false"/>
        <w:snapToGrid w:val="false"/>
        <w:spacing w:lineRule="exact" w:line="460"/>
        <w:ind w:firstLine="480" w:firstLineChars="200"/>
        <w:jc w:val="left"/>
        <w:rPr>
          <w:rFonts w:ascii="宋体" w:cs="宋体" w:hAnsi="宋体" w:hint="eastAsia"/>
          <w:color w:val="auto"/>
          <w:sz w:val="24"/>
          <w:highlight w:val="none"/>
          <w:lang w:eastAsia="zh-CN"/>
        </w:rPr>
      </w:pPr>
      <w:r>
        <w:rPr>
          <w:rFonts w:ascii="宋体" w:cs="宋体" w:hAnsi="宋体" w:hint="eastAsia"/>
          <w:color w:val="auto"/>
          <w:sz w:val="24"/>
          <w:highlight w:val="none"/>
          <w:lang w:eastAsia="zh-CN"/>
        </w:rPr>
        <w:t>4.5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p>
    <w:p>
      <w:pPr>
        <w:pStyle w:val="style0"/>
        <w:autoSpaceDE w:val="false"/>
        <w:autoSpaceDN w:val="false"/>
        <w:adjustRightInd w:val="false"/>
        <w:snapToGrid w:val="false"/>
        <w:spacing w:lineRule="exact" w:line="460"/>
        <w:ind w:firstLine="480" w:firstLineChars="200"/>
        <w:jc w:val="left"/>
        <w:rPr>
          <w:rFonts w:ascii="宋体" w:cs="宋体" w:hAnsi="宋体" w:hint="eastAsia"/>
          <w:color w:val="auto"/>
          <w:sz w:val="24"/>
          <w:highlight w:val="none"/>
          <w:lang w:eastAsia="zh-CN"/>
        </w:rPr>
      </w:pPr>
      <w:r>
        <w:rPr>
          <w:rFonts w:ascii="宋体" w:cs="宋体" w:hAnsi="宋体" w:hint="eastAsia"/>
          <w:color w:val="auto"/>
          <w:sz w:val="24"/>
          <w:highlight w:val="none"/>
          <w:lang w:eastAsia="zh-CN"/>
        </w:rPr>
        <w:t>4.6评审小组对供应商申报的小型和微型企业产品的价格扣除事项进行评审。鉴于小微企业价格扣除政策与合同执行价格无关，为避免供应商申报价格扣除事项的随意性，故特别规定</w:t>
      </w:r>
    </w:p>
    <w:p>
      <w:pPr>
        <w:pStyle w:val="style0"/>
        <w:autoSpaceDE w:val="false"/>
        <w:autoSpaceDN w:val="false"/>
        <w:adjustRightInd w:val="false"/>
        <w:snapToGrid w:val="false"/>
        <w:spacing w:lineRule="exact" w:line="460"/>
        <w:ind w:firstLine="480" w:firstLineChars="200"/>
        <w:jc w:val="left"/>
        <w:rPr>
          <w:rFonts w:ascii="宋体" w:cs="宋体" w:hAnsi="宋体" w:hint="eastAsia"/>
          <w:color w:val="auto"/>
          <w:sz w:val="24"/>
          <w:highlight w:val="none"/>
          <w:lang w:eastAsia="zh-CN"/>
        </w:rPr>
      </w:pPr>
      <w:r>
        <w:rPr>
          <w:rFonts w:ascii="宋体" w:cs="宋体" w:hAnsi="宋体" w:hint="eastAsia"/>
          <w:color w:val="auto"/>
          <w:sz w:val="24"/>
          <w:highlight w:val="none"/>
          <w:lang w:eastAsia="zh-CN"/>
        </w:rPr>
        <w:t>（1）评审小组对供应商申报的小型和微型企业产品的价格扣除事项的评审结论，分为合格与不合格，</w:t>
      </w:r>
    </w:p>
    <w:p>
      <w:pPr>
        <w:pStyle w:val="style0"/>
        <w:autoSpaceDE w:val="false"/>
        <w:autoSpaceDN w:val="false"/>
        <w:adjustRightInd w:val="false"/>
        <w:snapToGrid w:val="false"/>
        <w:spacing w:lineRule="exact" w:line="460"/>
        <w:ind w:firstLine="480" w:firstLineChars="200"/>
        <w:jc w:val="left"/>
        <w:rPr>
          <w:rFonts w:ascii="宋体" w:cs="宋体" w:hAnsi="宋体" w:hint="eastAsia"/>
          <w:color w:val="auto"/>
          <w:sz w:val="24"/>
          <w:highlight w:val="none"/>
          <w:lang w:eastAsia="zh-CN"/>
        </w:rPr>
      </w:pPr>
      <w:r>
        <w:rPr>
          <w:rFonts w:ascii="宋体" w:cs="宋体" w:hAnsi="宋体" w:hint="eastAsia"/>
          <w:color w:val="auto"/>
          <w:sz w:val="24"/>
          <w:highlight w:val="none"/>
          <w:lang w:eastAsia="zh-CN"/>
        </w:rPr>
        <w:t>（2）经评审、申报的价格扣除事项如有计算上多计错误（明细金额或总金额有元以上计算上多计错误）、多报产品、错报产品、明细报价不合理对价格扣除产生重要影响、缺失声明函等任一不符合政策要求及不准确的事项，评审小组均将评审为不合格，该供应商申报的价格扣除事项不予接受、为0；评审小组应当告知相关供应商。提供虚假材料的为无效投标、并承担相应的法律责任。</w:t>
      </w:r>
    </w:p>
    <w:p>
      <w:pPr>
        <w:pStyle w:val="style0"/>
        <w:autoSpaceDE w:val="false"/>
        <w:autoSpaceDN w:val="false"/>
        <w:adjustRightInd w:val="false"/>
        <w:snapToGrid w:val="false"/>
        <w:spacing w:lineRule="exact" w:line="460"/>
        <w:ind w:firstLine="480" w:firstLineChars="200"/>
        <w:jc w:val="left"/>
        <w:rPr>
          <w:rFonts w:ascii="宋体" w:cs="宋体" w:hAnsi="宋体" w:hint="eastAsia"/>
          <w:color w:val="auto"/>
          <w:sz w:val="24"/>
          <w:highlight w:val="none"/>
          <w:lang w:eastAsia="zh-CN"/>
        </w:rPr>
      </w:pPr>
      <w:r>
        <w:rPr>
          <w:rFonts w:ascii="宋体" w:cs="宋体" w:hAnsi="宋体" w:hint="eastAsia"/>
          <w:color w:val="auto"/>
          <w:sz w:val="24"/>
          <w:highlight w:val="none"/>
          <w:lang w:eastAsia="zh-CN"/>
        </w:rPr>
        <w:t>（3）评审合格的，接受其申报的小型和微型企业产品的价格扣除总金额，用扣除后的价格参与评审。</w:t>
      </w:r>
    </w:p>
    <w:p>
      <w:pPr>
        <w:pStyle w:val="style0"/>
        <w:autoSpaceDE w:val="false"/>
        <w:autoSpaceDN w:val="false"/>
        <w:adjustRightInd w:val="false"/>
        <w:snapToGrid w:val="false"/>
        <w:spacing w:lineRule="exact" w:line="460"/>
        <w:ind w:firstLine="480" w:firstLineChars="200"/>
        <w:jc w:val="left"/>
        <w:rPr>
          <w:rFonts w:ascii="宋体" w:cs="宋体" w:hAnsi="宋体" w:hint="eastAsia"/>
          <w:color w:val="auto"/>
          <w:sz w:val="24"/>
          <w:highlight w:val="none"/>
          <w:lang w:eastAsia="zh-CN"/>
        </w:rPr>
      </w:pPr>
      <w:r>
        <w:rPr>
          <w:rFonts w:ascii="宋体" w:cs="宋体" w:hAnsi="宋体" w:hint="eastAsia"/>
          <w:color w:val="auto"/>
          <w:sz w:val="24"/>
          <w:highlight w:val="none"/>
          <w:lang w:eastAsia="zh-CN"/>
        </w:rPr>
        <w:t>注：小微企业价格扣除，仅作为价格评审的依据，并不影响合同执行价格，合同执行价格为成交供应商的最终报价。</w:t>
      </w:r>
    </w:p>
    <w:p>
      <w:pPr>
        <w:pStyle w:val="style0"/>
        <w:autoSpaceDE w:val="false"/>
        <w:autoSpaceDN w:val="false"/>
        <w:adjustRightInd w:val="false"/>
        <w:snapToGrid w:val="false"/>
        <w:spacing w:lineRule="exact" w:line="460"/>
        <w:ind w:firstLine="480" w:firstLineChars="200"/>
        <w:jc w:val="left"/>
        <w:rPr>
          <w:rFonts w:ascii="宋体" w:cs="宋体" w:hAnsi="宋体" w:hint="eastAsia"/>
          <w:color w:val="auto"/>
          <w:sz w:val="24"/>
          <w:highlight w:val="none"/>
          <w:lang w:eastAsia="zh-CN"/>
        </w:rPr>
      </w:pPr>
      <w:r>
        <w:rPr>
          <w:rFonts w:ascii="宋体" w:cs="宋体" w:hAnsi="宋体" w:hint="eastAsia"/>
          <w:color w:val="auto"/>
          <w:sz w:val="24"/>
          <w:highlight w:val="none"/>
          <w:lang w:eastAsia="zh-CN"/>
        </w:rPr>
        <w:t>4.7根据财政部、工业和信息化部有关负责人就印发《政府采购促进中小企业发展管理办法》答记者问，为方便广大中小企业、政府部门和社会公众识别企业规模类型，工业和信息化部组织开发了中小企业规模类型自测小程序，并于2020年2月27日上线运行，在国务院客户端和工业和信息化部网站上均有链接，广大中小企业和各类社会机构填写企业所属的行业和指标数据自动生成企业规模类型测试结果。</w:t>
      </w:r>
    </w:p>
    <w:p>
      <w:pPr>
        <w:pStyle w:val="style0"/>
        <w:autoSpaceDE w:val="false"/>
        <w:autoSpaceDN w:val="false"/>
        <w:adjustRightInd w:val="false"/>
        <w:snapToGrid w:val="false"/>
        <w:spacing w:lineRule="exact" w:line="460"/>
        <w:ind w:firstLine="480" w:firstLineChars="200"/>
        <w:jc w:val="left"/>
        <w:rPr>
          <w:rFonts w:ascii="宋体" w:cs="宋体" w:hAnsi="宋体" w:hint="eastAsia"/>
          <w:color w:val="auto"/>
          <w:sz w:val="24"/>
          <w:highlight w:val="none"/>
          <w:lang w:eastAsia="zh-CN"/>
        </w:rPr>
      </w:pPr>
      <w:r>
        <w:rPr>
          <w:rFonts w:ascii="宋体" w:cs="宋体" w:hAnsi="宋体" w:hint="eastAsia"/>
          <w:color w:val="auto"/>
          <w:sz w:val="24"/>
          <w:highlight w:val="none"/>
          <w:lang w:eastAsia="zh-CN"/>
        </w:rPr>
        <w:t>4.8中标、成交供应商享受中小企业扶持政策的，中标、成交供应商的《中小企业声明函》将随中标、成交结果公开。</w:t>
      </w:r>
    </w:p>
    <w:p>
      <w:pPr>
        <w:pStyle w:val="style0"/>
        <w:autoSpaceDE w:val="false"/>
        <w:autoSpaceDN w:val="false"/>
        <w:adjustRightInd w:val="false"/>
        <w:snapToGrid w:val="false"/>
        <w:spacing w:lineRule="exact" w:line="460"/>
        <w:ind w:firstLine="480" w:firstLineChars="200"/>
        <w:jc w:val="left"/>
        <w:rPr>
          <w:rFonts w:ascii="宋体" w:cs="宋体" w:hAnsi="宋体" w:hint="eastAsia"/>
          <w:color w:val="auto"/>
          <w:sz w:val="24"/>
          <w:highlight w:val="none"/>
          <w:lang w:eastAsia="zh-CN"/>
        </w:rPr>
      </w:pPr>
      <w:r>
        <w:rPr>
          <w:rFonts w:ascii="宋体" w:cs="宋体" w:hAnsi="宋体" w:hint="eastAsia"/>
          <w:color w:val="auto"/>
          <w:sz w:val="24"/>
          <w:highlight w:val="none"/>
          <w:lang w:eastAsia="zh-CN"/>
        </w:rPr>
        <w:t>4.9依法享受扶持政策获得政府采购合同的，小微企业不得将合同分包给大中型企业，中型企业不得将合同分包给大型企业。</w:t>
      </w:r>
    </w:p>
    <w:p>
      <w:pPr>
        <w:pStyle w:val="style0"/>
        <w:autoSpaceDE w:val="false"/>
        <w:autoSpaceDN w:val="false"/>
        <w:adjustRightInd w:val="false"/>
        <w:snapToGrid w:val="false"/>
        <w:spacing w:lineRule="exact" w:line="460"/>
        <w:ind w:firstLine="480" w:firstLineChars="200"/>
        <w:jc w:val="left"/>
        <w:rPr>
          <w:rFonts w:ascii="宋体" w:cs="宋体" w:hAnsi="宋体" w:hint="eastAsia"/>
          <w:color w:val="auto"/>
          <w:sz w:val="24"/>
          <w:highlight w:val="none"/>
          <w:lang w:eastAsia="zh-CN"/>
        </w:rPr>
      </w:pPr>
      <w:r>
        <w:rPr>
          <w:rFonts w:ascii="宋体" w:cs="宋体" w:hAnsi="宋体" w:hint="eastAsia"/>
          <w:color w:val="auto"/>
          <w:sz w:val="24"/>
          <w:highlight w:val="none"/>
          <w:lang w:eastAsia="zh-CN"/>
        </w:rPr>
        <w:t>4.10政府采购监督检查、投诉处理及政府采购行政处罚中对中小企业的认定，由货物制造商或者工程、服务供应商注册登记所在地的县级以上人民政府中小企业主管部门负责。</w:t>
      </w:r>
      <w:r>
        <w:rPr>
          <w:rFonts w:ascii="宋体" w:cs="宋体" w:hAnsi="宋体" w:hint="eastAsia"/>
          <w:color w:val="auto"/>
          <w:sz w:val="24"/>
          <w:highlight w:val="none"/>
          <w:lang w:eastAsia="zh-CN"/>
        </w:rPr>
        <w:br w:type="page"/>
      </w:r>
    </w:p>
    <w:bookmarkStart w:id="36" w:name="_Toc16755"/>
    <w:p>
      <w:pPr>
        <w:pStyle w:val="style0"/>
        <w:widowControl w:val="false"/>
        <w:snapToGrid w:val="false"/>
        <w:spacing w:lineRule="atLeast" w:line="657"/>
        <w:jc w:val="center"/>
        <w:outlineLvl w:val="0"/>
        <w:rPr>
          <w:rFonts w:ascii="宋体" w:cs="宋体" w:hAnsi="宋体"/>
          <w:b/>
          <w:color w:val="auto"/>
          <w:sz w:val="36"/>
          <w:szCs w:val="36"/>
          <w:highlight w:val="none"/>
        </w:rPr>
      </w:pPr>
      <w:r>
        <w:rPr>
          <w:rFonts w:ascii="宋体" w:cs="宋体" w:hAnsi="宋体" w:hint="eastAsia"/>
          <w:b/>
          <w:color w:val="auto"/>
          <w:sz w:val="36"/>
          <w:szCs w:val="36"/>
          <w:highlight w:val="none"/>
        </w:rPr>
        <w:t>第五章  合同主要条款</w:t>
      </w:r>
      <w:bookmarkEnd w:id="36"/>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jc w:val="center"/>
        <w:rPr>
          <w:rFonts w:ascii="黑体" w:eastAsia="黑体"/>
          <w:b/>
          <w:color w:val="auto"/>
          <w:spacing w:val="20"/>
          <w:sz w:val="32"/>
          <w:szCs w:val="32"/>
          <w:highlight w:val="none"/>
        </w:rPr>
      </w:pPr>
      <w:r>
        <w:rPr>
          <w:rFonts w:ascii="黑体" w:eastAsia="黑体" w:hint="eastAsia"/>
          <w:b/>
          <w:color w:val="auto"/>
          <w:spacing w:val="20"/>
          <w:sz w:val="32"/>
          <w:szCs w:val="32"/>
          <w:highlight w:val="none"/>
        </w:rPr>
        <w:t>服</w:t>
      </w:r>
      <w:r>
        <w:rPr>
          <w:rFonts w:ascii="黑体" w:eastAsia="黑体"/>
          <w:b/>
          <w:color w:val="auto"/>
          <w:spacing w:val="20"/>
          <w:sz w:val="32"/>
          <w:szCs w:val="32"/>
          <w:highlight w:val="none"/>
        </w:rPr>
        <w:t xml:space="preserve"> </w:t>
      </w:r>
      <w:r>
        <w:rPr>
          <w:rFonts w:ascii="黑体" w:eastAsia="黑体" w:hint="eastAsia"/>
          <w:b/>
          <w:color w:val="auto"/>
          <w:spacing w:val="20"/>
          <w:sz w:val="32"/>
          <w:szCs w:val="32"/>
          <w:highlight w:val="none"/>
        </w:rPr>
        <w:t>务</w:t>
      </w:r>
      <w:r>
        <w:rPr>
          <w:rFonts w:ascii="黑体" w:eastAsia="黑体"/>
          <w:b/>
          <w:color w:val="auto"/>
          <w:spacing w:val="20"/>
          <w:sz w:val="32"/>
          <w:szCs w:val="32"/>
          <w:highlight w:val="none"/>
        </w:rPr>
        <w:t xml:space="preserve"> </w:t>
      </w:r>
      <w:r>
        <w:rPr>
          <w:rFonts w:ascii="黑体" w:eastAsia="黑体" w:hint="eastAsia"/>
          <w:b/>
          <w:color w:val="auto"/>
          <w:spacing w:val="20"/>
          <w:sz w:val="32"/>
          <w:szCs w:val="32"/>
          <w:highlight w:val="none"/>
        </w:rPr>
        <w:t>合</w:t>
      </w:r>
      <w:r>
        <w:rPr>
          <w:rFonts w:ascii="黑体" w:eastAsia="黑体"/>
          <w:b/>
          <w:color w:val="auto"/>
          <w:spacing w:val="20"/>
          <w:sz w:val="32"/>
          <w:szCs w:val="32"/>
          <w:highlight w:val="none"/>
        </w:rPr>
        <w:t xml:space="preserve"> </w:t>
      </w:r>
      <w:r>
        <w:rPr>
          <w:rFonts w:ascii="黑体" w:eastAsia="黑体" w:hint="eastAsia"/>
          <w:b/>
          <w:color w:val="auto"/>
          <w:spacing w:val="20"/>
          <w:sz w:val="32"/>
          <w:szCs w:val="32"/>
          <w:highlight w:val="none"/>
        </w:rPr>
        <w:t>同</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leftChars="200" w:right="85"/>
        <w:jc w:val="left"/>
        <w:textAlignment w:val="top"/>
        <w:rPr>
          <w:color w:val="auto"/>
          <w:sz w:val="24"/>
          <w:szCs w:val="24"/>
          <w:highlight w:val="none"/>
        </w:rPr>
      </w:pPr>
      <w:r>
        <w:rPr>
          <w:rFonts w:hint="eastAsia"/>
          <w:color w:val="auto"/>
          <w:sz w:val="24"/>
          <w:szCs w:val="24"/>
          <w:highlight w:val="none"/>
        </w:rPr>
        <w:t>合同编号：</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leftChars="200" w:right="85"/>
        <w:jc w:val="left"/>
        <w:textAlignment w:val="top"/>
        <w:rPr>
          <w:color w:val="auto"/>
          <w:sz w:val="24"/>
          <w:szCs w:val="24"/>
          <w:highlight w:val="none"/>
        </w:rPr>
      </w:pPr>
      <w:r>
        <w:rPr>
          <w:rFonts w:hint="eastAsia"/>
          <w:color w:val="auto"/>
          <w:sz w:val="24"/>
          <w:szCs w:val="24"/>
          <w:highlight w:val="none"/>
        </w:rPr>
        <w:t>甲方：（采购人）</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leftChars="200" w:right="85"/>
        <w:jc w:val="left"/>
        <w:textAlignment w:val="top"/>
        <w:rPr>
          <w:color w:val="auto"/>
          <w:sz w:val="24"/>
          <w:szCs w:val="24"/>
          <w:highlight w:val="none"/>
        </w:rPr>
      </w:pPr>
      <w:r>
        <w:rPr>
          <w:rFonts w:hint="eastAsia"/>
          <w:color w:val="auto"/>
          <w:sz w:val="24"/>
          <w:szCs w:val="24"/>
          <w:highlight w:val="none"/>
        </w:rPr>
        <w:t>乙方：（供应商）</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460" w:firstLineChars="192"/>
        <w:rPr>
          <w:color w:val="auto"/>
          <w:spacing w:val="20"/>
          <w:sz w:val="24"/>
          <w:szCs w:val="24"/>
          <w:highlight w:val="none"/>
        </w:rPr>
      </w:pPr>
      <w:r>
        <w:rPr>
          <w:rFonts w:hint="eastAsia"/>
          <w:color w:val="auto"/>
          <w:sz w:val="24"/>
          <w:szCs w:val="24"/>
          <w:highlight w:val="none"/>
        </w:rPr>
        <w:t>甲、乙双方持</w:t>
      </w:r>
      <w:r>
        <w:rPr>
          <w:rFonts w:hint="eastAsia"/>
          <w:color w:val="auto"/>
          <w:sz w:val="24"/>
          <w:szCs w:val="24"/>
          <w:highlight w:val="none"/>
          <w:lang w:val="en-US" w:eastAsia="zh-CN"/>
        </w:rPr>
        <w:t>河南晟祥招标代理服务有限公司</w:t>
      </w:r>
      <w:r>
        <w:rPr>
          <w:color w:val="auto"/>
          <w:sz w:val="24"/>
          <w:szCs w:val="24"/>
          <w:highlight w:val="none"/>
        </w:rPr>
        <w:t>20</w:t>
      </w:r>
      <w:r>
        <w:rPr>
          <w:rFonts w:hint="eastAsia"/>
          <w:color w:val="auto"/>
          <w:sz w:val="24"/>
          <w:szCs w:val="24"/>
          <w:highlight w:val="none"/>
        </w:rPr>
        <w:t>2</w:t>
      </w:r>
      <w:r>
        <w:rPr>
          <w:rFonts w:hint="eastAsia"/>
          <w:color w:val="auto"/>
          <w:sz w:val="24"/>
          <w:szCs w:val="24"/>
          <w:highlight w:val="none"/>
          <w:lang w:val="en-US" w:eastAsia="zh-CN"/>
        </w:rPr>
        <w:t>4</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日签发的</w:t>
      </w:r>
      <w:r>
        <w:rPr>
          <w:rFonts w:hint="eastAsia"/>
          <w:color w:val="auto"/>
          <w:sz w:val="24"/>
          <w:szCs w:val="24"/>
          <w:highlight w:val="none"/>
          <w:u w:val="single"/>
        </w:rPr>
        <w:t>（采购人及项目名称）</w:t>
      </w:r>
      <w:r>
        <w:rPr>
          <w:rFonts w:hint="eastAsia"/>
          <w:color w:val="auto"/>
          <w:sz w:val="24"/>
          <w:szCs w:val="24"/>
          <w:highlight w:val="none"/>
        </w:rPr>
        <w:t>〔项目编号：</w:t>
      </w:r>
      <w:r>
        <w:rPr>
          <w:color w:val="auto"/>
          <w:sz w:val="24"/>
          <w:szCs w:val="24"/>
          <w:highlight w:val="none"/>
        </w:rPr>
        <w:t xml:space="preserve">      </w:t>
      </w:r>
      <w:r>
        <w:rPr>
          <w:rFonts w:hint="eastAsia"/>
          <w:color w:val="auto"/>
          <w:sz w:val="24"/>
          <w:szCs w:val="24"/>
          <w:highlight w:val="none"/>
        </w:rPr>
        <w:t>〕成交通知书，根据采购文件</w:t>
      </w:r>
      <w:r>
        <w:rPr>
          <w:rFonts w:hint="eastAsia"/>
          <w:color w:val="auto"/>
          <w:spacing w:val="20"/>
          <w:sz w:val="24"/>
          <w:szCs w:val="24"/>
          <w:highlight w:val="none"/>
        </w:rPr>
        <w:t>及其修改补充澄清、投标文件及其修改补充澄清的内容，经双方平等协商一致，达成以下合同条款：</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460" w:firstLineChars="192"/>
        <w:rPr>
          <w:rFonts w:hint="eastAsia"/>
          <w:color w:val="auto"/>
          <w:sz w:val="24"/>
          <w:szCs w:val="24"/>
          <w:highlight w:val="none"/>
          <w:u w:val="single"/>
        </w:rPr>
      </w:pPr>
      <w:r>
        <w:rPr>
          <w:rFonts w:hint="eastAsia"/>
          <w:color w:val="auto"/>
          <w:sz w:val="24"/>
          <w:szCs w:val="24"/>
          <w:highlight w:val="none"/>
        </w:rPr>
        <w:t>一、本合同所指服务为此次</w:t>
      </w:r>
      <w:r>
        <w:rPr>
          <w:rFonts w:hint="eastAsia"/>
          <w:color w:val="auto"/>
          <w:sz w:val="24"/>
          <w:szCs w:val="24"/>
          <w:highlight w:val="none"/>
          <w:lang w:val="en-US" w:eastAsia="zh-CN"/>
        </w:rPr>
        <w:t>招标</w:t>
      </w:r>
      <w:r>
        <w:rPr>
          <w:rFonts w:hint="eastAsia"/>
          <w:color w:val="auto"/>
          <w:sz w:val="24"/>
          <w:szCs w:val="24"/>
          <w:highlight w:val="none"/>
        </w:rPr>
        <w:t>的服务，包括</w:t>
      </w:r>
      <w:r>
        <w:rPr>
          <w:rFonts w:hint="eastAsia"/>
          <w:color w:val="auto"/>
          <w:sz w:val="24"/>
          <w:szCs w:val="24"/>
          <w:highlight w:val="none"/>
          <w:u w:val="single"/>
        </w:rPr>
        <w:t>（详细注明内容）</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460" w:firstLineChars="192"/>
        <w:rPr>
          <w:color w:val="auto"/>
          <w:sz w:val="24"/>
          <w:szCs w:val="24"/>
          <w:highlight w:val="none"/>
        </w:rPr>
      </w:pPr>
      <w:r>
        <w:rPr>
          <w:rFonts w:hint="eastAsia"/>
          <w:color w:val="auto"/>
          <w:sz w:val="24"/>
          <w:szCs w:val="24"/>
          <w:highlight w:val="none"/>
        </w:rPr>
        <w:t>合同价为</w:t>
      </w:r>
      <w:r>
        <w:rPr>
          <w:rFonts w:hint="eastAsia"/>
          <w:color w:val="auto"/>
          <w:sz w:val="24"/>
          <w:szCs w:val="24"/>
          <w:highlight w:val="none"/>
          <w:u w:val="single"/>
        </w:rPr>
        <w:t xml:space="preserve">            </w:t>
      </w:r>
      <w:r>
        <w:rPr>
          <w:rFonts w:hint="eastAsia"/>
          <w:color w:val="auto"/>
          <w:sz w:val="24"/>
          <w:szCs w:val="24"/>
          <w:highlight w:val="none"/>
          <w:lang w:val="en-US" w:eastAsia="zh-CN"/>
        </w:rPr>
        <w:t>%</w:t>
      </w:r>
      <w:r>
        <w:rPr>
          <w:rFonts w:hint="eastAsia"/>
          <w:color w:val="auto"/>
          <w:sz w:val="24"/>
          <w:szCs w:val="24"/>
          <w:highlight w:val="none"/>
        </w:rPr>
        <w:t>（大写：</w:t>
      </w:r>
      <w:r>
        <w:rPr>
          <w:color w:val="auto"/>
          <w:sz w:val="24"/>
          <w:szCs w:val="24"/>
          <w:highlight w:val="none"/>
        </w:rPr>
        <w:t xml:space="preserve">                </w:t>
      </w:r>
      <w:r>
        <w:rPr>
          <w:rFonts w:hint="eastAsia"/>
          <w:color w:val="auto"/>
          <w:sz w:val="24"/>
          <w:szCs w:val="24"/>
          <w:highlight w:val="none"/>
        </w:rPr>
        <w:t>）。</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二、服务质量要求及乙方对质量负责条件和期限：</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按国家及行业标准、采购文件及响应文件等相应条款制订</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三、服务时间、地点、方式：</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按国家及行业标准、采购文件及响应文件等相应条款制订</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四、验收程序和要求</w:t>
      </w:r>
    </w:p>
    <w:p>
      <w:pPr>
        <w:pStyle w:val="style0"/>
        <w:keepNext w:val="false"/>
        <w:keepLines w:val="false"/>
        <w:pageBreakBefore w:val="false"/>
        <w:widowControl w:val="false"/>
        <w:kinsoku/>
        <w:wordWrap/>
        <w:overflowPunct/>
        <w:topLinePunct w:val="false"/>
        <w:autoSpaceDE/>
        <w:autoSpaceDN/>
        <w:bidi w:val="false"/>
        <w:adjustRightInd w:val="false"/>
        <w:snapToGrid w:val="false"/>
        <w:spacing w:after="0" w:lineRule="auto" w:line="360"/>
        <w:ind w:firstLine="561"/>
        <w:rPr>
          <w:rFonts w:ascii="宋体" w:cs="楷体_GB2312"/>
          <w:color w:val="auto"/>
          <w:sz w:val="24"/>
          <w:szCs w:val="24"/>
          <w:highlight w:val="none"/>
          <w:lang w:val="zh-CN"/>
        </w:rPr>
      </w:pPr>
      <w:r>
        <w:rPr>
          <w:rFonts w:ascii="宋体" w:cs="楷体_GB2312" w:hAnsi="宋体"/>
          <w:color w:val="auto"/>
          <w:sz w:val="24"/>
          <w:szCs w:val="24"/>
          <w:highlight w:val="none"/>
          <w:lang w:val="zh-CN"/>
        </w:rPr>
        <w:t>1</w:t>
      </w:r>
      <w:r>
        <w:rPr>
          <w:rFonts w:ascii="宋体" w:cs="楷体_GB2312" w:hAnsi="宋体" w:hint="eastAsia"/>
          <w:color w:val="auto"/>
          <w:sz w:val="24"/>
          <w:szCs w:val="24"/>
          <w:highlight w:val="none"/>
          <w:lang w:val="zh-CN"/>
        </w:rPr>
        <w:t>、验收时间：项目具备验收条件时，由采购</w:t>
      </w:r>
      <w:r>
        <w:rPr>
          <w:rFonts w:ascii="宋体" w:cs="楷体_GB2312" w:hAnsi="宋体" w:hint="eastAsia"/>
          <w:color w:val="auto"/>
          <w:sz w:val="24"/>
          <w:szCs w:val="24"/>
          <w:highlight w:val="none"/>
        </w:rPr>
        <w:t>人</w:t>
      </w:r>
      <w:r>
        <w:rPr>
          <w:rFonts w:ascii="宋体" w:cs="楷体_GB2312" w:hAnsi="宋体" w:hint="eastAsia"/>
          <w:color w:val="auto"/>
          <w:sz w:val="24"/>
          <w:szCs w:val="24"/>
          <w:highlight w:val="none"/>
          <w:lang w:val="zh-CN"/>
        </w:rPr>
        <w:t>成立验收工作组负责验收。</w:t>
      </w:r>
      <w:r>
        <w:rPr>
          <w:rFonts w:ascii="宋体" w:cs="楷体_GB2312" w:hAnsi="宋体" w:hint="eastAsia"/>
          <w:color w:val="auto"/>
          <w:sz w:val="24"/>
          <w:szCs w:val="24"/>
          <w:highlight w:val="none"/>
        </w:rPr>
        <w:t>技术复杂、社会影响较大的货物类项目，可以根据需要设置出厂检验、到货检验、安装调试检验、配套服务检验等多重验收环节；服务类项目，可根据项目特点对服务期内的服务实施情况进行分期考核，结合考核情况和服务效果进行验收。</w:t>
      </w:r>
    </w:p>
    <w:p>
      <w:pPr>
        <w:pStyle w:val="style0"/>
        <w:keepNext w:val="false"/>
        <w:keepLines w:val="false"/>
        <w:pageBreakBefore w:val="false"/>
        <w:widowControl w:val="false"/>
        <w:kinsoku/>
        <w:wordWrap/>
        <w:overflowPunct/>
        <w:topLinePunct w:val="false"/>
        <w:autoSpaceDE/>
        <w:autoSpaceDN/>
        <w:bidi w:val="false"/>
        <w:adjustRightInd w:val="false"/>
        <w:snapToGrid w:val="false"/>
        <w:spacing w:after="0" w:lineRule="auto" w:line="360"/>
        <w:ind w:firstLine="561"/>
        <w:rPr>
          <w:rFonts w:ascii="宋体" w:cs="楷体_GB2312" w:hAnsi="宋体"/>
          <w:color w:val="auto"/>
          <w:sz w:val="24"/>
          <w:szCs w:val="24"/>
          <w:highlight w:val="none"/>
          <w:lang w:val="zh-CN"/>
        </w:rPr>
      </w:pPr>
      <w:r>
        <w:rPr>
          <w:rFonts w:ascii="宋体" w:cs="楷体_GB2312" w:hAnsi="宋体"/>
          <w:color w:val="auto"/>
          <w:sz w:val="24"/>
          <w:szCs w:val="24"/>
          <w:highlight w:val="none"/>
          <w:lang w:val="zh-CN"/>
        </w:rPr>
        <w:t>2</w:t>
      </w:r>
      <w:r>
        <w:rPr>
          <w:rFonts w:ascii="宋体" w:cs="楷体_GB2312" w:hAnsi="宋体" w:hint="eastAsia"/>
          <w:color w:val="auto"/>
          <w:sz w:val="24"/>
          <w:szCs w:val="24"/>
          <w:highlight w:val="none"/>
          <w:lang w:val="zh-CN"/>
        </w:rPr>
        <w:t>、验收工作组：合同履约验收工作应成立验收工作组专门负责。</w:t>
      </w:r>
    </w:p>
    <w:p>
      <w:pPr>
        <w:pStyle w:val="style0"/>
        <w:keepNext w:val="false"/>
        <w:keepLines w:val="false"/>
        <w:pageBreakBefore w:val="false"/>
        <w:widowControl w:val="false"/>
        <w:kinsoku/>
        <w:wordWrap/>
        <w:overflowPunct/>
        <w:topLinePunct w:val="false"/>
        <w:autoSpaceDE/>
        <w:autoSpaceDN/>
        <w:bidi w:val="false"/>
        <w:adjustRightInd w:val="false"/>
        <w:snapToGrid w:val="false"/>
        <w:spacing w:after="0" w:lineRule="auto" w:line="360"/>
        <w:ind w:firstLine="561"/>
        <w:rPr>
          <w:rFonts w:ascii="宋体" w:cs="楷体_GB2312" w:hAnsi="宋体"/>
          <w:color w:val="auto"/>
          <w:sz w:val="24"/>
          <w:szCs w:val="24"/>
          <w:highlight w:val="none"/>
          <w:lang w:val="zh-CN"/>
        </w:rPr>
      </w:pPr>
      <w:r>
        <w:rPr>
          <w:rFonts w:ascii="宋体" w:cs="楷体_GB2312" w:hAnsi="宋体" w:hint="eastAsia"/>
          <w:color w:val="auto"/>
          <w:sz w:val="24"/>
          <w:szCs w:val="24"/>
          <w:highlight w:val="none"/>
          <w:lang w:val="zh-CN"/>
        </w:rPr>
        <w:t>直接参与该项目政府采购活动的主要负责人不得作为验收工作的主要负责人。</w:t>
      </w:r>
      <w:r>
        <w:rPr>
          <w:rFonts w:ascii="宋体" w:cs="楷体_GB2312" w:hAnsi="宋体" w:hint="eastAsia"/>
          <w:color w:val="auto"/>
          <w:sz w:val="24"/>
          <w:szCs w:val="24"/>
          <w:highlight w:val="none"/>
        </w:rPr>
        <w:t>对于采购人和使用人分离的采购项目，应当邀请实际使用人参与验收；政府向社会公众提供的公共服务项目，验收时应当邀请服务对象参与并出具意见，验收结果应当向社会公告。</w:t>
      </w:r>
    </w:p>
    <w:p>
      <w:pPr>
        <w:pStyle w:val="style0"/>
        <w:keepNext w:val="false"/>
        <w:keepLines w:val="false"/>
        <w:pageBreakBefore w:val="false"/>
        <w:widowControl w:val="false"/>
        <w:kinsoku/>
        <w:wordWrap/>
        <w:overflowPunct/>
        <w:topLinePunct w:val="false"/>
        <w:autoSpaceDE/>
        <w:autoSpaceDN/>
        <w:bidi w:val="false"/>
        <w:adjustRightInd w:val="false"/>
        <w:snapToGrid w:val="false"/>
        <w:spacing w:after="0" w:lineRule="auto" w:line="360"/>
        <w:ind w:firstLine="561"/>
        <w:rPr>
          <w:rFonts w:ascii="宋体" w:cs="楷体_GB2312" w:hAnsi="宋体"/>
          <w:color w:val="auto"/>
          <w:sz w:val="24"/>
          <w:szCs w:val="24"/>
          <w:highlight w:val="none"/>
        </w:rPr>
      </w:pPr>
      <w:r>
        <w:rPr>
          <w:rFonts w:ascii="宋体" w:cs="楷体_GB2312" w:hAnsi="宋体" w:hint="eastAsia"/>
          <w:color w:val="auto"/>
          <w:sz w:val="24"/>
          <w:szCs w:val="24"/>
          <w:highlight w:val="none"/>
        </w:rPr>
        <w:t>2.1、</w:t>
      </w:r>
      <w:r>
        <w:rPr>
          <w:rFonts w:ascii="宋体" w:cs="楷体_GB2312" w:hAnsi="宋体" w:hint="eastAsia"/>
          <w:color w:val="auto"/>
          <w:sz w:val="24"/>
          <w:szCs w:val="24"/>
          <w:highlight w:val="none"/>
          <w:lang w:val="zh-CN"/>
        </w:rPr>
        <w:t>政府采购合同金额</w:t>
      </w:r>
      <w:r>
        <w:rPr>
          <w:rFonts w:ascii="宋体" w:cs="楷体_GB2312" w:hAnsi="宋体" w:hint="eastAsia"/>
          <w:color w:val="auto"/>
          <w:sz w:val="24"/>
          <w:szCs w:val="24"/>
          <w:highlight w:val="none"/>
        </w:rPr>
        <w:t>在</w:t>
      </w:r>
      <w:r>
        <w:rPr>
          <w:rFonts w:ascii="宋体" w:cs="楷体_GB2312" w:hAnsi="宋体" w:hint="eastAsia"/>
          <w:color w:val="auto"/>
          <w:sz w:val="24"/>
          <w:szCs w:val="24"/>
          <w:highlight w:val="none"/>
          <w:lang w:val="zh-CN"/>
        </w:rPr>
        <w:t>10万元以下（</w:t>
      </w:r>
      <w:r>
        <w:rPr>
          <w:rFonts w:ascii="宋体" w:cs="楷体_GB2312" w:hAnsi="宋体" w:hint="eastAsia"/>
          <w:color w:val="auto"/>
          <w:sz w:val="24"/>
          <w:szCs w:val="24"/>
          <w:highlight w:val="none"/>
        </w:rPr>
        <w:t>含10万元</w:t>
      </w:r>
      <w:r>
        <w:rPr>
          <w:rFonts w:ascii="宋体" w:cs="楷体_GB2312" w:hAnsi="宋体" w:hint="eastAsia"/>
          <w:color w:val="auto"/>
          <w:sz w:val="24"/>
          <w:szCs w:val="24"/>
          <w:highlight w:val="none"/>
          <w:lang w:val="zh-CN"/>
        </w:rPr>
        <w:t>）的项目，原则上可以不邀请评审专家参加，组织方成立验收小组自行验收。</w:t>
      </w:r>
      <w:r>
        <w:rPr>
          <w:rFonts w:ascii="宋体" w:cs="楷体_GB2312" w:hAnsi="宋体" w:hint="eastAsia"/>
          <w:color w:val="auto"/>
          <w:sz w:val="24"/>
          <w:szCs w:val="24"/>
          <w:highlight w:val="none"/>
        </w:rPr>
        <w:t>自行验收时，验收小组应仔细对照采购文件及合同，对标的物的数量、质量、规格、型号等参数逐一核对，并编制验收报告。组织方认为不能独立完成验收任务的，可以邀请评审专家参与验收。</w:t>
      </w:r>
    </w:p>
    <w:p>
      <w:pPr>
        <w:pStyle w:val="style0"/>
        <w:keepNext w:val="false"/>
        <w:keepLines w:val="false"/>
        <w:pageBreakBefore w:val="false"/>
        <w:widowControl w:val="false"/>
        <w:kinsoku/>
        <w:wordWrap/>
        <w:overflowPunct/>
        <w:topLinePunct w:val="false"/>
        <w:autoSpaceDE/>
        <w:autoSpaceDN/>
        <w:bidi w:val="false"/>
        <w:adjustRightInd w:val="false"/>
        <w:snapToGrid w:val="false"/>
        <w:spacing w:after="0" w:lineRule="auto" w:line="360"/>
        <w:ind w:firstLine="561"/>
        <w:rPr>
          <w:rFonts w:ascii="宋体" w:cs="楷体_GB2312" w:hAnsi="宋体"/>
          <w:color w:val="auto"/>
          <w:sz w:val="24"/>
          <w:szCs w:val="24"/>
          <w:highlight w:val="none"/>
        </w:rPr>
      </w:pPr>
      <w:r>
        <w:rPr>
          <w:rFonts w:ascii="宋体" w:cs="楷体_GB2312" w:hAnsi="宋体" w:hint="eastAsia"/>
          <w:color w:val="auto"/>
          <w:sz w:val="24"/>
          <w:szCs w:val="24"/>
          <w:highlight w:val="none"/>
        </w:rPr>
        <w:t>2.2、</w:t>
      </w:r>
      <w:r>
        <w:rPr>
          <w:rFonts w:ascii="宋体" w:cs="楷体_GB2312" w:hAnsi="宋体" w:hint="eastAsia"/>
          <w:color w:val="auto"/>
          <w:sz w:val="24"/>
          <w:szCs w:val="24"/>
          <w:highlight w:val="none"/>
          <w:lang w:val="zh-CN"/>
        </w:rPr>
        <w:t>政府采购合同金额50万元以下的（含50万元）的项目，验收工作组应不少于三人；政府采购合同金额50万元以上的项目，验收工作组应由</w:t>
      </w:r>
      <w:r>
        <w:rPr>
          <w:rFonts w:ascii="宋体" w:cs="楷体_GB2312" w:hAnsi="宋体" w:hint="eastAsia"/>
          <w:color w:val="auto"/>
          <w:sz w:val="24"/>
          <w:szCs w:val="24"/>
          <w:highlight w:val="none"/>
        </w:rPr>
        <w:t>采购人</w:t>
      </w:r>
      <w:r>
        <w:rPr>
          <w:rFonts w:ascii="宋体" w:cs="楷体_GB2312" w:hAnsi="宋体" w:hint="eastAsia"/>
          <w:color w:val="auto"/>
          <w:sz w:val="24"/>
          <w:szCs w:val="24"/>
          <w:highlight w:val="none"/>
          <w:lang w:val="zh-CN"/>
        </w:rPr>
        <w:t>领导牵头，财务、审计、监察、资产管理、技术等部门人员参与，成员不少于五人。验收工作</w:t>
      </w:r>
      <w:r>
        <w:rPr>
          <w:rFonts w:ascii="宋体" w:cs="楷体_GB2312" w:hAnsi="宋体" w:hint="eastAsia"/>
          <w:color w:val="auto"/>
          <w:sz w:val="24"/>
          <w:szCs w:val="24"/>
          <w:highlight w:val="none"/>
        </w:rPr>
        <w:t>原则上</w:t>
      </w:r>
      <w:r>
        <w:rPr>
          <w:rFonts w:ascii="宋体" w:cs="楷体_GB2312" w:hAnsi="宋体" w:hint="eastAsia"/>
          <w:color w:val="auto"/>
          <w:sz w:val="24"/>
          <w:szCs w:val="24"/>
          <w:highlight w:val="none"/>
          <w:lang w:val="zh-CN"/>
        </w:rPr>
        <w:t>应当邀请采购评审专家参加验收；大型、复杂或者技术性很强的政府采购项目，应当邀请国家认可的质量检测机构参加验收工作；国家规定强制性检测的采购项目，</w:t>
      </w:r>
      <w:r>
        <w:rPr>
          <w:rFonts w:ascii="宋体" w:cs="楷体_GB2312" w:hAnsi="宋体" w:hint="eastAsia"/>
          <w:color w:val="auto"/>
          <w:sz w:val="24"/>
          <w:szCs w:val="24"/>
          <w:highlight w:val="none"/>
        </w:rPr>
        <w:t>采购人</w:t>
      </w:r>
      <w:r>
        <w:rPr>
          <w:rFonts w:ascii="宋体" w:cs="楷体_GB2312" w:hAnsi="宋体" w:hint="eastAsia"/>
          <w:color w:val="auto"/>
          <w:sz w:val="24"/>
          <w:szCs w:val="24"/>
          <w:highlight w:val="none"/>
          <w:lang w:val="zh-CN"/>
        </w:rPr>
        <w:t>必须委托国家认可专业检测机构进行验收。</w:t>
      </w:r>
    </w:p>
    <w:p>
      <w:pPr>
        <w:pStyle w:val="style0"/>
        <w:keepNext w:val="false"/>
        <w:keepLines w:val="false"/>
        <w:pageBreakBefore w:val="false"/>
        <w:widowControl w:val="false"/>
        <w:kinsoku/>
        <w:wordWrap/>
        <w:overflowPunct/>
        <w:topLinePunct w:val="false"/>
        <w:autoSpaceDE/>
        <w:autoSpaceDN/>
        <w:bidi w:val="false"/>
        <w:adjustRightInd w:val="false"/>
        <w:snapToGrid w:val="false"/>
        <w:spacing w:after="0" w:lineRule="auto" w:line="360"/>
        <w:ind w:firstLine="561"/>
        <w:rPr>
          <w:rFonts w:ascii="宋体" w:cs="楷体_GB2312" w:hAnsi="宋体"/>
          <w:color w:val="auto"/>
          <w:sz w:val="24"/>
          <w:szCs w:val="24"/>
          <w:highlight w:val="none"/>
        </w:rPr>
      </w:pPr>
      <w:r>
        <w:rPr>
          <w:rFonts w:ascii="宋体" w:cs="楷体_GB2312" w:hAnsi="宋体" w:hint="eastAsia"/>
          <w:color w:val="auto"/>
          <w:sz w:val="24"/>
          <w:szCs w:val="24"/>
          <w:highlight w:val="none"/>
        </w:rPr>
        <w:t>3、验收时，验收小组按照采购合同的约定对每一项技术、服务、安全标准的履约情况进行确认。</w:t>
      </w:r>
      <w:r>
        <w:rPr>
          <w:rFonts w:ascii="宋体" w:cs="楷体_GB2312" w:hAnsi="宋体" w:hint="eastAsia"/>
          <w:color w:val="auto"/>
          <w:sz w:val="24"/>
          <w:szCs w:val="24"/>
          <w:highlight w:val="none"/>
          <w:lang w:val="zh-CN"/>
        </w:rPr>
        <w:t>验收时需要进行破坏性试验的，供应商应进行充分的配合并提供备品备件。</w:t>
      </w:r>
    </w:p>
    <w:p>
      <w:pPr>
        <w:pStyle w:val="style0"/>
        <w:keepNext w:val="false"/>
        <w:keepLines w:val="false"/>
        <w:pageBreakBefore w:val="false"/>
        <w:widowControl w:val="false"/>
        <w:kinsoku/>
        <w:wordWrap/>
        <w:overflowPunct/>
        <w:topLinePunct w:val="false"/>
        <w:autoSpaceDE/>
        <w:autoSpaceDN/>
        <w:bidi w:val="false"/>
        <w:adjustRightInd w:val="false"/>
        <w:snapToGrid w:val="false"/>
        <w:spacing w:after="0" w:lineRule="auto" w:line="360"/>
        <w:ind w:firstLine="561"/>
        <w:rPr>
          <w:rFonts w:ascii="宋体" w:cs="楷体_GB2312" w:hAnsi="宋体"/>
          <w:color w:val="auto"/>
          <w:sz w:val="24"/>
          <w:szCs w:val="24"/>
          <w:highlight w:val="none"/>
        </w:rPr>
      </w:pPr>
      <w:r>
        <w:rPr>
          <w:rFonts w:ascii="宋体" w:cs="楷体_GB2312" w:hAnsi="宋体" w:hint="eastAsia"/>
          <w:color w:val="auto"/>
          <w:sz w:val="24"/>
          <w:szCs w:val="24"/>
          <w:highlight w:val="none"/>
        </w:rPr>
        <w:t>4</w:t>
      </w:r>
      <w:r>
        <w:rPr>
          <w:rFonts w:ascii="宋体" w:cs="楷体_GB2312" w:hAnsi="宋体" w:hint="eastAsia"/>
          <w:color w:val="auto"/>
          <w:sz w:val="24"/>
          <w:szCs w:val="24"/>
          <w:highlight w:val="none"/>
          <w:lang w:val="zh-CN"/>
        </w:rPr>
        <w:t>、验收报告：验收后，由采购</w:t>
      </w:r>
      <w:r>
        <w:rPr>
          <w:rFonts w:ascii="宋体" w:cs="楷体_GB2312" w:hAnsi="宋体" w:hint="eastAsia"/>
          <w:color w:val="auto"/>
          <w:sz w:val="24"/>
          <w:szCs w:val="24"/>
          <w:highlight w:val="none"/>
        </w:rPr>
        <w:t>人</w:t>
      </w:r>
      <w:r>
        <w:rPr>
          <w:rFonts w:ascii="宋体" w:cs="楷体_GB2312" w:hAnsi="宋体" w:hint="eastAsia"/>
          <w:color w:val="auto"/>
          <w:sz w:val="24"/>
          <w:szCs w:val="24"/>
          <w:highlight w:val="none"/>
          <w:lang w:val="zh-CN"/>
        </w:rPr>
        <w:t>及专家等出具验收报告（</w:t>
      </w:r>
      <w:r>
        <w:rPr>
          <w:rFonts w:ascii="宋体" w:cs="楷体_GB2312" w:hAnsi="宋体" w:hint="eastAsia"/>
          <w:color w:val="auto"/>
          <w:sz w:val="24"/>
          <w:szCs w:val="24"/>
          <w:highlight w:val="none"/>
        </w:rPr>
        <w:t>自行验收的，由采购人出具</w:t>
      </w:r>
      <w:r>
        <w:rPr>
          <w:rFonts w:ascii="宋体" w:cs="楷体_GB2312" w:hAnsi="宋体" w:hint="eastAsia"/>
          <w:color w:val="auto"/>
          <w:sz w:val="24"/>
          <w:szCs w:val="24"/>
          <w:highlight w:val="none"/>
          <w:lang w:val="zh-CN"/>
        </w:rPr>
        <w:t>），国家规定强制性检测的采购项目应附国家认可的专业检测机构出具的验收报告。</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ascii="宋体" w:cs="楷体_GB2312" w:hAnsi="宋体" w:hint="eastAsia"/>
          <w:color w:val="auto"/>
          <w:sz w:val="24"/>
          <w:szCs w:val="24"/>
          <w:highlight w:val="none"/>
        </w:rPr>
        <w:t>5、</w:t>
      </w:r>
      <w:r>
        <w:rPr>
          <w:rFonts w:ascii="宋体" w:cs="楷体_GB2312" w:hAnsi="宋体" w:hint="eastAsia"/>
          <w:color w:val="auto"/>
          <w:sz w:val="24"/>
          <w:szCs w:val="24"/>
          <w:highlight w:val="none"/>
          <w:lang w:val="zh-CN"/>
        </w:rPr>
        <w:t>验收中发现成交供应商未按合同约定的时间、地点或方式履约，提供的货物或服务的数量、质量、性能、功能达不到合同约定的，或者提供假冒伪劣产品等违反合同约定的，验收人员应在验收报告中注明违约情形和事项，并应及时通知财政部门。属假冒伪劣产品的，同时向工商管理、质量监督等行政执法部门举报。</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五、履约保证金：</w:t>
      </w:r>
      <w:r>
        <w:rPr>
          <w:rFonts w:hint="eastAsia"/>
          <w:color w:val="auto"/>
          <w:sz w:val="24"/>
          <w:szCs w:val="24"/>
          <w:highlight w:val="none"/>
          <w:u w:val="single"/>
        </w:rPr>
        <w:t xml:space="preserve">                  </w:t>
      </w:r>
      <w:r>
        <w:rPr>
          <w:rFonts w:hint="eastAsia"/>
          <w:color w:val="auto"/>
          <w:sz w:val="24"/>
          <w:szCs w:val="24"/>
          <w:highlight w:val="none"/>
        </w:rPr>
        <w:t>。</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六、付款程序：</w:t>
      </w:r>
      <w:r>
        <w:rPr>
          <w:rFonts w:hint="eastAsia"/>
          <w:color w:val="auto"/>
          <w:sz w:val="24"/>
          <w:szCs w:val="24"/>
          <w:highlight w:val="none"/>
          <w:u w:val="single"/>
        </w:rPr>
        <w:t xml:space="preserve">                  </w:t>
      </w:r>
      <w:r>
        <w:rPr>
          <w:rFonts w:hint="eastAsia"/>
          <w:color w:val="auto"/>
          <w:sz w:val="24"/>
          <w:szCs w:val="24"/>
          <w:highlight w:val="none"/>
        </w:rPr>
        <w:t>。</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ascii="宋体" w:hAnsi="宋体" w:hint="eastAsia"/>
          <w:color w:val="auto"/>
          <w:sz w:val="24"/>
          <w:szCs w:val="24"/>
          <w:highlight w:val="none"/>
        </w:rPr>
        <w:t>七、合同遵行《保障中小企业款项支付条例》。</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八、责任和义务</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color w:val="auto"/>
          <w:sz w:val="24"/>
          <w:szCs w:val="24"/>
          <w:highlight w:val="none"/>
        </w:rPr>
        <w:t>1</w:t>
      </w:r>
      <w:r>
        <w:rPr>
          <w:rFonts w:hint="eastAsia"/>
          <w:color w:val="auto"/>
          <w:sz w:val="24"/>
          <w:szCs w:val="24"/>
          <w:highlight w:val="none"/>
        </w:rPr>
        <w:t>、甲方的责任和义务</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w:t>
      </w:r>
      <w:r>
        <w:rPr>
          <w:color w:val="auto"/>
          <w:sz w:val="24"/>
          <w:szCs w:val="24"/>
          <w:highlight w:val="none"/>
        </w:rPr>
        <w:t>1</w:t>
      </w:r>
      <w:r>
        <w:rPr>
          <w:rFonts w:hint="eastAsia"/>
          <w:color w:val="auto"/>
          <w:sz w:val="24"/>
          <w:szCs w:val="24"/>
          <w:highlight w:val="none"/>
        </w:rPr>
        <w:t>）对乙方给予必要的协助。</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w:t>
      </w:r>
      <w:r>
        <w:rPr>
          <w:color w:val="auto"/>
          <w:sz w:val="24"/>
          <w:szCs w:val="24"/>
          <w:highlight w:val="none"/>
        </w:rPr>
        <w:t>2</w:t>
      </w:r>
      <w:r>
        <w:rPr>
          <w:rFonts w:hint="eastAsia"/>
          <w:color w:val="auto"/>
          <w:sz w:val="24"/>
          <w:szCs w:val="24"/>
          <w:highlight w:val="none"/>
        </w:rPr>
        <w:t>）按时验收、及时支付资金；</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w:t>
      </w:r>
      <w:r>
        <w:rPr>
          <w:color w:val="auto"/>
          <w:sz w:val="24"/>
          <w:szCs w:val="24"/>
          <w:highlight w:val="none"/>
        </w:rPr>
        <w:t>3</w:t>
      </w:r>
      <w:r>
        <w:rPr>
          <w:rFonts w:hint="eastAsia"/>
          <w:color w:val="auto"/>
          <w:sz w:val="24"/>
          <w:szCs w:val="24"/>
          <w:highlight w:val="none"/>
        </w:rPr>
        <w:t>）遵守国家法律法规，不得要求乙方虚开发票，不得向乙方索要“好处”、“回扣”、“礼品”，或要求乙方提供合同以外的其他物品或服务；</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w:t>
      </w:r>
      <w:r>
        <w:rPr>
          <w:color w:val="auto"/>
          <w:sz w:val="24"/>
          <w:szCs w:val="24"/>
          <w:highlight w:val="none"/>
        </w:rPr>
        <w:t>4</w:t>
      </w:r>
      <w:r>
        <w:rPr>
          <w:rFonts w:hint="eastAsia"/>
          <w:color w:val="auto"/>
          <w:sz w:val="24"/>
          <w:szCs w:val="24"/>
          <w:highlight w:val="none"/>
        </w:rPr>
        <w:t>）对乙方未按合同约定履约在验收报告中注明违约情形和事项，并应及时通知财政部门。违反相关法规的向相关行政执法部门举报。</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w:t>
      </w:r>
      <w:r>
        <w:rPr>
          <w:color w:val="auto"/>
          <w:sz w:val="24"/>
          <w:szCs w:val="24"/>
          <w:highlight w:val="none"/>
        </w:rPr>
        <w:t>5</w:t>
      </w:r>
      <w:r>
        <w:rPr>
          <w:rFonts w:hint="eastAsia"/>
          <w:color w:val="auto"/>
          <w:sz w:val="24"/>
          <w:szCs w:val="24"/>
          <w:highlight w:val="none"/>
        </w:rPr>
        <w:t>）其他法律法规规定应尽的义务。</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color w:val="auto"/>
          <w:sz w:val="24"/>
          <w:szCs w:val="24"/>
          <w:highlight w:val="none"/>
        </w:rPr>
        <w:t>2</w:t>
      </w:r>
      <w:r>
        <w:rPr>
          <w:rFonts w:hint="eastAsia"/>
          <w:color w:val="auto"/>
          <w:sz w:val="24"/>
          <w:szCs w:val="24"/>
          <w:highlight w:val="none"/>
        </w:rPr>
        <w:t>、乙方的责任和义务</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w:t>
      </w:r>
      <w:r>
        <w:rPr>
          <w:color w:val="auto"/>
          <w:sz w:val="24"/>
          <w:szCs w:val="24"/>
          <w:highlight w:val="none"/>
        </w:rPr>
        <w:t>1</w:t>
      </w:r>
      <w:r>
        <w:rPr>
          <w:rFonts w:hint="eastAsia"/>
          <w:color w:val="auto"/>
          <w:sz w:val="24"/>
          <w:szCs w:val="24"/>
          <w:highlight w:val="none"/>
        </w:rPr>
        <w:t>）严格按采购文件要求与投标文件的质量及服务承诺执行，保质、按期履行。</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w:t>
      </w:r>
      <w:r>
        <w:rPr>
          <w:color w:val="auto"/>
          <w:sz w:val="24"/>
          <w:szCs w:val="24"/>
          <w:highlight w:val="none"/>
        </w:rPr>
        <w:t>2</w:t>
      </w:r>
      <w:r>
        <w:rPr>
          <w:rFonts w:hint="eastAsia"/>
          <w:color w:val="auto"/>
          <w:sz w:val="24"/>
          <w:szCs w:val="24"/>
          <w:highlight w:val="none"/>
        </w:rPr>
        <w:t>）不得将合同权利义务全部或部分转让给第三人。</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w:t>
      </w:r>
      <w:r>
        <w:rPr>
          <w:color w:val="auto"/>
          <w:sz w:val="24"/>
          <w:szCs w:val="24"/>
          <w:highlight w:val="none"/>
        </w:rPr>
        <w:t>3</w:t>
      </w:r>
      <w:r>
        <w:rPr>
          <w:rFonts w:hint="eastAsia"/>
          <w:color w:val="auto"/>
          <w:sz w:val="24"/>
          <w:szCs w:val="24"/>
          <w:highlight w:val="none"/>
        </w:rPr>
        <w:t>）验收合格前，对货物和人员的安全负责，应采取安全措施，确保人员、材料、设备和设施的安全，防止货物验收合格前的人身伤害和财产损失；应对其履行合同所雇佣的全部人员的工伤事故承担责任。</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w:t>
      </w:r>
      <w:r>
        <w:rPr>
          <w:color w:val="auto"/>
          <w:sz w:val="24"/>
          <w:szCs w:val="24"/>
          <w:highlight w:val="none"/>
        </w:rPr>
        <w:t>4</w:t>
      </w:r>
      <w:r>
        <w:rPr>
          <w:rFonts w:hint="eastAsia"/>
          <w:color w:val="auto"/>
          <w:sz w:val="24"/>
          <w:szCs w:val="24"/>
          <w:highlight w:val="none"/>
        </w:rPr>
        <w:t>）遵守法律、依法纳税</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w:t>
      </w:r>
      <w:r>
        <w:rPr>
          <w:color w:val="auto"/>
          <w:sz w:val="24"/>
          <w:szCs w:val="24"/>
          <w:highlight w:val="none"/>
        </w:rPr>
        <w:t>5</w:t>
      </w:r>
      <w:r>
        <w:rPr>
          <w:rFonts w:hint="eastAsia"/>
          <w:color w:val="auto"/>
          <w:sz w:val="24"/>
          <w:szCs w:val="24"/>
          <w:highlight w:val="none"/>
        </w:rPr>
        <w:t>）遵守职业道德和行业规范，坚决杜绝送礼、回扣、报销费用等一切不正当竞争行为和商业贿赂行为；对甲方索要回扣、礼品等违规行为，向同级财政局政府采购监督管理科及相关执法机关举报。</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w:t>
      </w:r>
      <w:r>
        <w:rPr>
          <w:color w:val="auto"/>
          <w:sz w:val="24"/>
          <w:szCs w:val="24"/>
          <w:highlight w:val="none"/>
        </w:rPr>
        <w:t>6</w:t>
      </w:r>
      <w:r>
        <w:rPr>
          <w:rFonts w:hint="eastAsia"/>
          <w:color w:val="auto"/>
          <w:sz w:val="24"/>
          <w:szCs w:val="24"/>
          <w:highlight w:val="none"/>
        </w:rPr>
        <w:t>）其他法律法规规定应尽的义务。</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九、违约责任：</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color w:val="auto"/>
          <w:sz w:val="24"/>
          <w:szCs w:val="24"/>
          <w:highlight w:val="none"/>
        </w:rPr>
        <w:t>1</w:t>
      </w:r>
      <w:r>
        <w:rPr>
          <w:rFonts w:hint="eastAsia"/>
          <w:color w:val="auto"/>
          <w:sz w:val="24"/>
          <w:szCs w:val="24"/>
          <w:highlight w:val="none"/>
        </w:rPr>
        <w:t>、甲方无正当理由拒付款项的，向乙方偿付拒收拒付部分款项总额</w:t>
      </w:r>
      <w:r>
        <w:rPr>
          <w:color w:val="auto"/>
          <w:sz w:val="24"/>
          <w:szCs w:val="24"/>
          <w:highlight w:val="none"/>
        </w:rPr>
        <w:t xml:space="preserve"> </w:t>
      </w:r>
      <w:r>
        <w:rPr>
          <w:rFonts w:hint="eastAsia"/>
          <w:color w:val="auto"/>
          <w:sz w:val="24"/>
          <w:szCs w:val="24"/>
          <w:highlight w:val="none"/>
        </w:rPr>
        <w:t xml:space="preserve"> </w:t>
      </w:r>
      <w:r>
        <w:rPr>
          <w:color w:val="auto"/>
          <w:sz w:val="24"/>
          <w:szCs w:val="24"/>
          <w:highlight w:val="none"/>
        </w:rPr>
        <w:t xml:space="preserve"> %</w:t>
      </w:r>
      <w:r>
        <w:rPr>
          <w:rFonts w:hint="eastAsia"/>
          <w:color w:val="auto"/>
          <w:sz w:val="24"/>
          <w:szCs w:val="24"/>
          <w:highlight w:val="none"/>
        </w:rPr>
        <w:t>的违约金。</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color w:val="auto"/>
          <w:sz w:val="24"/>
          <w:szCs w:val="24"/>
          <w:highlight w:val="none"/>
        </w:rPr>
        <w:t>2</w:t>
      </w:r>
      <w:r>
        <w:rPr>
          <w:rFonts w:hint="eastAsia"/>
          <w:color w:val="auto"/>
          <w:sz w:val="24"/>
          <w:szCs w:val="24"/>
          <w:highlight w:val="none"/>
        </w:rPr>
        <w:t>、乙方提供服务不符合合同规定，甲方有权拒付相关款项。</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color w:val="auto"/>
          <w:sz w:val="24"/>
          <w:szCs w:val="24"/>
          <w:highlight w:val="none"/>
        </w:rPr>
        <w:t>3</w:t>
      </w:r>
      <w:r>
        <w:rPr>
          <w:rFonts w:hint="eastAsia"/>
          <w:color w:val="auto"/>
          <w:sz w:val="24"/>
          <w:szCs w:val="24"/>
          <w:highlight w:val="none"/>
        </w:rPr>
        <w:t>、乙方逾期，乙方向甲方每日偿付</w:t>
      </w:r>
      <w:r>
        <w:rPr>
          <w:color w:val="auto"/>
          <w:sz w:val="24"/>
          <w:szCs w:val="24"/>
          <w:highlight w:val="none"/>
        </w:rPr>
        <w:t xml:space="preserve">    %</w:t>
      </w:r>
      <w:r>
        <w:rPr>
          <w:rFonts w:hint="eastAsia"/>
          <w:color w:val="auto"/>
          <w:sz w:val="24"/>
          <w:szCs w:val="24"/>
          <w:highlight w:val="none"/>
        </w:rPr>
        <w:t>赔偿费。</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十、《采购文件》及其修改补充、投标文件及其修改补充澄清均为本合同的组成部分。</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十一、本合同发生争议时双方应按合同条款协商解决。双方协商不成的，可以根据仲裁协议向当地仲裁机构申请仲裁。当事人没有订立仲裁协议或者仲裁协议无效的，可以向当地人民法院起诉。</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十二、合同生效及其它：</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本合同经甲乙双方代表签字、加盖公章和骑缝章后生效。本合同一式</w:t>
      </w:r>
      <w:r>
        <w:rPr>
          <w:rFonts w:hint="eastAsia"/>
          <w:color w:val="auto"/>
          <w:sz w:val="24"/>
          <w:szCs w:val="24"/>
          <w:highlight w:val="none"/>
          <w:u w:val="single"/>
        </w:rPr>
        <w:t xml:space="preserve">  </w:t>
      </w:r>
      <w:r>
        <w:rPr>
          <w:rFonts w:hint="eastAsia"/>
          <w:color w:val="auto"/>
          <w:sz w:val="24"/>
          <w:szCs w:val="24"/>
          <w:highlight w:val="none"/>
        </w:rPr>
        <w:t>份，甲乙双方各持</w:t>
      </w:r>
      <w:r>
        <w:rPr>
          <w:rFonts w:hint="eastAsia"/>
          <w:color w:val="auto"/>
          <w:sz w:val="24"/>
          <w:szCs w:val="24"/>
          <w:highlight w:val="none"/>
          <w:u w:val="single"/>
        </w:rPr>
        <w:t xml:space="preserve">   </w:t>
      </w:r>
      <w:r>
        <w:rPr>
          <w:rFonts w:hint="eastAsia"/>
          <w:color w:val="auto"/>
          <w:sz w:val="24"/>
          <w:szCs w:val="24"/>
          <w:highlight w:val="none"/>
        </w:rPr>
        <w:t>份。</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甲方：</w:t>
      </w:r>
      <w:r>
        <w:rPr>
          <w:color w:val="auto"/>
          <w:sz w:val="24"/>
          <w:szCs w:val="24"/>
          <w:highlight w:val="none"/>
        </w:rPr>
        <w:tab/>
      </w:r>
      <w:r>
        <w:rPr>
          <w:color w:val="auto"/>
          <w:sz w:val="24"/>
          <w:szCs w:val="24"/>
          <w:highlight w:val="none"/>
        </w:rPr>
        <w:tab/>
      </w:r>
      <w:r>
        <w:rPr>
          <w:color w:val="auto"/>
          <w:sz w:val="24"/>
          <w:szCs w:val="24"/>
          <w:highlight w:val="none"/>
        </w:rPr>
        <w:tab/>
      </w:r>
      <w:r>
        <w:rPr>
          <w:color w:val="auto"/>
          <w:sz w:val="24"/>
          <w:szCs w:val="24"/>
          <w:highlight w:val="none"/>
        </w:rPr>
        <w:tab/>
      </w:r>
      <w:r>
        <w:rPr>
          <w:rFonts w:hint="eastAsia"/>
          <w:color w:val="auto"/>
          <w:sz w:val="24"/>
          <w:szCs w:val="24"/>
          <w:highlight w:val="none"/>
        </w:rPr>
        <w:t>乙方：</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地址：</w:t>
      </w:r>
      <w:r>
        <w:rPr>
          <w:color w:val="auto"/>
          <w:sz w:val="24"/>
          <w:szCs w:val="24"/>
          <w:highlight w:val="none"/>
        </w:rPr>
        <w:tab/>
      </w:r>
      <w:r>
        <w:rPr>
          <w:color w:val="auto"/>
          <w:sz w:val="24"/>
          <w:szCs w:val="24"/>
          <w:highlight w:val="none"/>
        </w:rPr>
        <w:tab/>
      </w:r>
      <w:r>
        <w:rPr>
          <w:color w:val="auto"/>
          <w:sz w:val="24"/>
          <w:szCs w:val="24"/>
          <w:highlight w:val="none"/>
        </w:rPr>
        <w:tab/>
      </w:r>
      <w:r>
        <w:rPr>
          <w:color w:val="auto"/>
          <w:sz w:val="24"/>
          <w:szCs w:val="24"/>
          <w:highlight w:val="none"/>
        </w:rPr>
        <w:tab/>
      </w:r>
      <w:r>
        <w:rPr>
          <w:rFonts w:hint="eastAsia"/>
          <w:color w:val="auto"/>
          <w:sz w:val="24"/>
          <w:szCs w:val="24"/>
          <w:highlight w:val="none"/>
        </w:rPr>
        <w:t>地址：</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法定代表人：</w:t>
      </w:r>
      <w:r>
        <w:rPr>
          <w:color w:val="auto"/>
          <w:sz w:val="24"/>
          <w:szCs w:val="24"/>
          <w:highlight w:val="none"/>
        </w:rPr>
        <w:tab/>
      </w:r>
      <w:r>
        <w:rPr>
          <w:color w:val="auto"/>
          <w:sz w:val="24"/>
          <w:szCs w:val="24"/>
          <w:highlight w:val="none"/>
        </w:rPr>
        <w:tab/>
      </w:r>
      <w:r>
        <w:rPr>
          <w:color w:val="auto"/>
          <w:sz w:val="24"/>
          <w:szCs w:val="24"/>
          <w:highlight w:val="none"/>
        </w:rPr>
        <w:tab/>
      </w:r>
      <w:r>
        <w:rPr>
          <w:rFonts w:hint="eastAsia"/>
          <w:color w:val="auto"/>
          <w:sz w:val="24"/>
          <w:szCs w:val="24"/>
          <w:highlight w:val="none"/>
        </w:rPr>
        <w:t>法定代表人：</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委托代理人：</w:t>
      </w:r>
      <w:r>
        <w:rPr>
          <w:color w:val="auto"/>
          <w:sz w:val="24"/>
          <w:szCs w:val="24"/>
          <w:highlight w:val="none"/>
        </w:rPr>
        <w:tab/>
      </w:r>
      <w:r>
        <w:rPr>
          <w:color w:val="auto"/>
          <w:sz w:val="24"/>
          <w:szCs w:val="24"/>
          <w:highlight w:val="none"/>
        </w:rPr>
        <w:tab/>
      </w:r>
      <w:r>
        <w:rPr>
          <w:color w:val="auto"/>
          <w:sz w:val="24"/>
          <w:szCs w:val="24"/>
          <w:highlight w:val="none"/>
        </w:rPr>
        <w:tab/>
      </w:r>
      <w:r>
        <w:rPr>
          <w:rFonts w:hint="eastAsia"/>
          <w:color w:val="auto"/>
          <w:sz w:val="24"/>
          <w:szCs w:val="24"/>
          <w:highlight w:val="none"/>
        </w:rPr>
        <w:t>委托代理人：</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电话：</w:t>
      </w:r>
      <w:r>
        <w:rPr>
          <w:color w:val="auto"/>
          <w:sz w:val="24"/>
          <w:szCs w:val="24"/>
          <w:highlight w:val="none"/>
        </w:rPr>
        <w:tab/>
      </w:r>
      <w:r>
        <w:rPr>
          <w:color w:val="auto"/>
          <w:sz w:val="24"/>
          <w:szCs w:val="24"/>
          <w:highlight w:val="none"/>
        </w:rPr>
        <w:tab/>
      </w:r>
      <w:r>
        <w:rPr>
          <w:color w:val="auto"/>
          <w:sz w:val="24"/>
          <w:szCs w:val="24"/>
          <w:highlight w:val="none"/>
        </w:rPr>
        <w:tab/>
      </w:r>
      <w:r>
        <w:rPr>
          <w:color w:val="auto"/>
          <w:sz w:val="24"/>
          <w:szCs w:val="24"/>
          <w:highlight w:val="none"/>
        </w:rPr>
        <w:tab/>
      </w:r>
      <w:r>
        <w:rPr>
          <w:rFonts w:hint="eastAsia"/>
          <w:color w:val="auto"/>
          <w:sz w:val="24"/>
          <w:szCs w:val="24"/>
          <w:highlight w:val="none"/>
        </w:rPr>
        <w:t>电话：</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开户银行：</w:t>
      </w:r>
      <w:r>
        <w:rPr>
          <w:color w:val="auto"/>
          <w:sz w:val="24"/>
          <w:szCs w:val="24"/>
          <w:highlight w:val="none"/>
        </w:rPr>
        <w:tab/>
      </w:r>
      <w:r>
        <w:rPr>
          <w:color w:val="auto"/>
          <w:sz w:val="24"/>
          <w:szCs w:val="24"/>
          <w:highlight w:val="none"/>
        </w:rPr>
        <w:tab/>
      </w:r>
      <w:r>
        <w:rPr>
          <w:color w:val="auto"/>
          <w:sz w:val="24"/>
          <w:szCs w:val="24"/>
          <w:highlight w:val="none"/>
        </w:rPr>
        <w:tab/>
      </w:r>
      <w:r>
        <w:rPr>
          <w:rFonts w:hint="eastAsia"/>
          <w:color w:val="auto"/>
          <w:sz w:val="24"/>
          <w:szCs w:val="24"/>
          <w:highlight w:val="none"/>
        </w:rPr>
        <w:t>开户银行：</w:t>
      </w:r>
    </w:p>
    <w:p>
      <w:pPr>
        <w:pStyle w:val="style0"/>
        <w:keepNext w:val="false"/>
        <w:keepLines w:val="false"/>
        <w:pageBreakBefore w:val="false"/>
        <w:widowControl w:val="false"/>
        <w:kinsoku/>
        <w:wordWrap/>
        <w:overflowPunct/>
        <w:topLinePunct w:val="false"/>
        <w:autoSpaceDE/>
        <w:autoSpaceDN/>
        <w:bidi w:val="false"/>
        <w:snapToGrid w:val="false"/>
        <w:spacing w:after="0" w:lineRule="auto" w:line="360"/>
        <w:ind w:right="85" w:firstLine="555"/>
        <w:rPr>
          <w:color w:val="auto"/>
          <w:sz w:val="24"/>
          <w:szCs w:val="24"/>
          <w:highlight w:val="none"/>
        </w:rPr>
      </w:pPr>
      <w:r>
        <w:rPr>
          <w:rFonts w:hint="eastAsia"/>
          <w:color w:val="auto"/>
          <w:sz w:val="24"/>
          <w:szCs w:val="24"/>
          <w:highlight w:val="none"/>
        </w:rPr>
        <w:t>银行账号：</w:t>
      </w:r>
      <w:r>
        <w:rPr>
          <w:color w:val="auto"/>
          <w:sz w:val="24"/>
          <w:szCs w:val="24"/>
          <w:highlight w:val="none"/>
        </w:rPr>
        <w:tab/>
      </w:r>
      <w:r>
        <w:rPr>
          <w:color w:val="auto"/>
          <w:sz w:val="24"/>
          <w:szCs w:val="24"/>
          <w:highlight w:val="none"/>
        </w:rPr>
        <w:tab/>
      </w:r>
      <w:r>
        <w:rPr>
          <w:color w:val="auto"/>
          <w:sz w:val="24"/>
          <w:szCs w:val="24"/>
          <w:highlight w:val="none"/>
        </w:rPr>
        <w:tab/>
      </w:r>
      <w:r>
        <w:rPr>
          <w:rFonts w:hint="eastAsia"/>
          <w:color w:val="auto"/>
          <w:sz w:val="24"/>
          <w:szCs w:val="24"/>
          <w:highlight w:val="none"/>
        </w:rPr>
        <w:t>银行账号：</w:t>
      </w:r>
    </w:p>
    <w:p>
      <w:pPr>
        <w:pStyle w:val="style0"/>
        <w:keepNext w:val="false"/>
        <w:keepLines w:val="false"/>
        <w:pageBreakBefore w:val="false"/>
        <w:widowControl w:val="false"/>
        <w:tabs>
          <w:tab w:val="left" w:leader="none" w:pos="4678"/>
        </w:tabs>
        <w:kinsoku/>
        <w:wordWrap/>
        <w:overflowPunct/>
        <w:topLinePunct w:val="false"/>
        <w:autoSpaceDE/>
        <w:autoSpaceDN/>
        <w:bidi w:val="false"/>
        <w:snapToGrid w:val="false"/>
        <w:spacing w:after="0" w:lineRule="auto" w:line="360"/>
        <w:ind w:right="85" w:firstLine="555"/>
        <w:rPr>
          <w:rFonts w:ascii="宋体" w:cs="宋体" w:hAnsi="宋体" w:hint="eastAsia"/>
          <w:b/>
          <w:color w:val="auto"/>
          <w:spacing w:val="20"/>
          <w:sz w:val="36"/>
          <w:szCs w:val="36"/>
          <w:highlight w:val="none"/>
          <w:lang w:val="en-US" w:eastAsia="zh-CN"/>
        </w:rPr>
      </w:pPr>
      <w:r>
        <w:rPr>
          <w:rFonts w:hint="eastAsia"/>
          <w:color w:val="auto"/>
          <w:sz w:val="24"/>
          <w:szCs w:val="24"/>
          <w:highlight w:val="none"/>
        </w:rPr>
        <w:t>签约时间：</w:t>
      </w:r>
      <w:r>
        <w:rPr>
          <w:color w:val="auto"/>
          <w:sz w:val="24"/>
          <w:szCs w:val="24"/>
          <w:highlight w:val="none"/>
        </w:rPr>
        <w:t xml:space="preserve">          </w:t>
      </w:r>
      <w:r>
        <w:rPr>
          <w:rFonts w:hint="eastAsia"/>
          <w:color w:val="auto"/>
          <w:sz w:val="24"/>
          <w:szCs w:val="24"/>
          <w:highlight w:val="none"/>
        </w:rPr>
        <w:t>签约地点：</w:t>
      </w:r>
    </w:p>
    <w:p>
      <w:pPr>
        <w:pStyle w:val="style0"/>
        <w:spacing w:lineRule="exact" w:line="460"/>
        <w:ind w:firstLine="257" w:firstLineChars="100"/>
        <w:textAlignment w:val="auto"/>
        <w:rPr>
          <w:rFonts w:ascii="宋体" w:cs="宋体" w:hAnsi="宋体"/>
          <w:b/>
          <w:color w:val="auto"/>
          <w:spacing w:val="8"/>
          <w:sz w:val="24"/>
          <w:szCs w:val="24"/>
          <w:highlight w:val="none"/>
        </w:rPr>
      </w:pPr>
      <w:r>
        <w:rPr>
          <w:rFonts w:ascii="宋体" w:cs="宋体" w:hAnsi="宋体" w:hint="eastAsia"/>
          <w:b/>
          <w:color w:val="auto"/>
          <w:spacing w:val="8"/>
          <w:sz w:val="24"/>
          <w:szCs w:val="24"/>
          <w:highlight w:val="none"/>
        </w:rPr>
        <w:t>注：本合同格式仅供参考，以实际签订合同为准。</w:t>
      </w:r>
    </w:p>
    <w:p>
      <w:pPr>
        <w:pStyle w:val="style0"/>
        <w:spacing w:lineRule="auto" w:line="240"/>
        <w:jc w:val="left"/>
        <w:textAlignment w:val="auto"/>
        <w:rPr>
          <w:rFonts w:ascii="宋体" w:cs="宋体" w:hAnsi="宋体"/>
          <w:b/>
          <w:color w:val="auto"/>
          <w:sz w:val="36"/>
          <w:szCs w:val="36"/>
          <w:highlight w:val="none"/>
          <w:lang w:val="zh-CN"/>
        </w:rPr>
      </w:pPr>
      <w:r>
        <w:rPr>
          <w:rFonts w:ascii="宋体" w:cs="宋体" w:hAnsi="宋体" w:hint="eastAsia"/>
          <w:b/>
          <w:color w:val="auto"/>
          <w:sz w:val="36"/>
          <w:szCs w:val="36"/>
          <w:highlight w:val="none"/>
          <w:lang w:val="zh-CN"/>
        </w:rPr>
        <w:br w:type="page"/>
      </w:r>
    </w:p>
    <w:bookmarkStart w:id="37" w:name="_Toc13087"/>
    <w:p>
      <w:pPr>
        <w:pStyle w:val="style0"/>
        <w:autoSpaceDE w:val="false"/>
        <w:autoSpaceDN w:val="false"/>
        <w:adjustRightInd w:val="false"/>
        <w:spacing w:lineRule="auto" w:line="360"/>
        <w:jc w:val="center"/>
        <w:outlineLvl w:val="0"/>
        <w:rPr>
          <w:rFonts w:ascii="宋体" w:cs="宋体" w:hAnsi="宋体"/>
          <w:b/>
          <w:color w:val="auto"/>
          <w:sz w:val="36"/>
          <w:szCs w:val="36"/>
          <w:highlight w:val="none"/>
          <w:lang w:val="zh-CN"/>
        </w:rPr>
      </w:pPr>
      <w:r>
        <w:rPr>
          <w:rFonts w:ascii="宋体" w:cs="宋体" w:hAnsi="宋体" w:hint="eastAsia"/>
          <w:b/>
          <w:color w:val="auto"/>
          <w:sz w:val="36"/>
          <w:szCs w:val="36"/>
          <w:highlight w:val="none"/>
          <w:lang w:val="zh-CN"/>
        </w:rPr>
        <w:t>第六章  《响应文件》格式</w:t>
      </w:r>
      <w:bookmarkEnd w:id="37"/>
    </w:p>
    <w:p>
      <w:pPr>
        <w:pStyle w:val="style0"/>
        <w:autoSpaceDE w:val="false"/>
        <w:autoSpaceDN w:val="false"/>
        <w:adjustRightInd w:val="false"/>
        <w:spacing w:lineRule="auto" w:line="276"/>
        <w:ind w:firstLine="514" w:firstLineChars="245"/>
        <w:jc w:val="left"/>
        <w:rPr>
          <w:rFonts w:ascii="宋体" w:cs="宋体" w:hAnsi="宋体"/>
          <w:color w:val="auto"/>
          <w:sz w:val="36"/>
          <w:szCs w:val="36"/>
          <w:highlight w:val="none"/>
          <w:lang w:val="zh-CN"/>
        </w:rPr>
      </w:pPr>
      <w:r>
        <w:rPr>
          <w:rFonts w:ascii="宋体" w:cs="宋体" w:hAnsi="宋体" w:hint="eastAsia"/>
          <w:color w:val="auto"/>
          <w:szCs w:val="21"/>
          <w:highlight w:val="none"/>
          <w:lang w:val="zh-CN"/>
        </w:rPr>
        <w:t>供应商应按“供应商须知--《响应文件》的组成”列示内容编制《响应文件》，本章“《响应文件》格式”仅为对《响应文件》部分内容的格式化规范，并非《响应文件》所应具备的全部内容</w:t>
      </w:r>
      <w:r>
        <w:rPr>
          <w:rFonts w:ascii="宋体" w:cs="宋体" w:hAnsi="宋体" w:hint="eastAsia"/>
          <w:color w:val="auto"/>
          <w:sz w:val="36"/>
          <w:szCs w:val="36"/>
          <w:highlight w:val="none"/>
          <w:lang w:val="zh-CN"/>
        </w:rPr>
        <w:t>。</w:t>
      </w:r>
    </w:p>
    <w:p>
      <w:pPr>
        <w:pStyle w:val="style0"/>
        <w:autoSpaceDE w:val="false"/>
        <w:autoSpaceDN w:val="false"/>
        <w:adjustRightInd w:val="false"/>
        <w:spacing w:lineRule="auto" w:line="276"/>
        <w:ind w:firstLine="882" w:firstLineChars="245"/>
        <w:jc w:val="left"/>
        <w:rPr>
          <w:rFonts w:ascii="宋体" w:cs="宋体" w:hAnsi="宋体"/>
          <w:color w:val="auto"/>
          <w:sz w:val="36"/>
          <w:szCs w:val="36"/>
          <w:highlight w:val="none"/>
          <w:lang w:val="zh-CN"/>
        </w:rPr>
      </w:pPr>
    </w:p>
    <w:p>
      <w:pPr>
        <w:pStyle w:val="style0"/>
        <w:autoSpaceDE w:val="false"/>
        <w:autoSpaceDN w:val="false"/>
        <w:adjustRightInd w:val="false"/>
        <w:spacing w:lineRule="auto" w:line="360"/>
        <w:ind w:firstLine="480" w:firstLineChars="200"/>
        <w:jc w:val="left"/>
        <w:rPr>
          <w:rFonts w:ascii="宋体" w:cs="宋体" w:hAnsi="宋体"/>
          <w:color w:val="auto"/>
          <w:sz w:val="24"/>
          <w:highlight w:val="none"/>
          <w:u w:val="single"/>
        </w:rPr>
      </w:pPr>
    </w:p>
    <w:p>
      <w:pPr>
        <w:pStyle w:val="style0"/>
        <w:autoSpaceDE w:val="false"/>
        <w:autoSpaceDN w:val="false"/>
        <w:adjustRightInd w:val="false"/>
        <w:spacing w:lineRule="auto" w:line="360"/>
        <w:ind w:leftChars="400"/>
        <w:jc w:val="left"/>
        <w:rPr>
          <w:rFonts w:ascii="宋体" w:cs="宋体" w:hAnsi="宋体"/>
          <w:color w:val="auto"/>
          <w:sz w:val="44"/>
          <w:szCs w:val="44"/>
          <w:highlight w:val="none"/>
          <w:u w:val="single"/>
        </w:rPr>
      </w:pPr>
      <w:r>
        <w:rPr>
          <w:rFonts w:ascii="宋体" w:cs="宋体" w:hAnsi="宋体" w:hint="eastAsia"/>
          <w:color w:val="auto"/>
          <w:sz w:val="44"/>
          <w:szCs w:val="44"/>
          <w:highlight w:val="none"/>
        </w:rPr>
        <w:t>项目名称：</w:t>
      </w:r>
      <w:r>
        <w:rPr>
          <w:rFonts w:cs="宋体" w:hAnsi="宋体" w:hint="eastAsia"/>
          <w:color w:val="auto"/>
          <w:sz w:val="28"/>
          <w:szCs w:val="28"/>
          <w:highlight w:val="none"/>
          <w:u w:val="single"/>
          <w:lang w:val="en-US" w:eastAsia="zh-CN"/>
        </w:rPr>
        <w:t xml:space="preserve">                             </w:t>
      </w:r>
    </w:p>
    <w:p>
      <w:pPr>
        <w:pStyle w:val="style0"/>
        <w:autoSpaceDE w:val="false"/>
        <w:autoSpaceDN w:val="false"/>
        <w:adjustRightInd w:val="false"/>
        <w:spacing w:lineRule="auto" w:line="360"/>
        <w:ind w:leftChars="400"/>
        <w:rPr>
          <w:rFonts w:ascii="宋体" w:cs="宋体" w:hAnsi="宋体"/>
          <w:color w:val="auto"/>
          <w:sz w:val="44"/>
          <w:szCs w:val="44"/>
          <w:highlight w:val="none"/>
          <w:u w:val="single"/>
        </w:rPr>
      </w:pPr>
      <w:r>
        <w:rPr>
          <w:rFonts w:ascii="宋体" w:cs="宋体" w:hAnsi="宋体" w:hint="eastAsia"/>
          <w:color w:val="auto"/>
          <w:sz w:val="44"/>
          <w:szCs w:val="44"/>
          <w:highlight w:val="none"/>
        </w:rPr>
        <w:t>项目编号：</w:t>
      </w:r>
      <w:r>
        <w:rPr>
          <w:rFonts w:cs="宋体" w:hAnsi="宋体" w:hint="eastAsia"/>
          <w:color w:val="auto"/>
          <w:sz w:val="28"/>
          <w:szCs w:val="28"/>
          <w:highlight w:val="none"/>
          <w:u w:val="single"/>
          <w:lang w:val="en-US" w:eastAsia="zh-CN"/>
        </w:rPr>
        <w:t xml:space="preserve">                             </w:t>
      </w:r>
    </w:p>
    <w:p>
      <w:pPr>
        <w:pStyle w:val="style0"/>
        <w:autoSpaceDE w:val="false"/>
        <w:autoSpaceDN w:val="false"/>
        <w:adjustRightInd w:val="false"/>
        <w:spacing w:lineRule="auto" w:line="360"/>
        <w:ind w:leftChars="400"/>
        <w:rPr>
          <w:rFonts w:ascii="宋体" w:cs="宋体" w:eastAsia="宋体" w:hAnsi="宋体" w:hint="eastAsia"/>
          <w:color w:val="auto"/>
          <w:sz w:val="44"/>
          <w:szCs w:val="44"/>
          <w:highlight w:val="none"/>
          <w:lang w:val="en-US" w:eastAsia="zh-CN"/>
        </w:rPr>
      </w:pPr>
      <w:r>
        <w:rPr>
          <w:rFonts w:ascii="宋体" w:cs="宋体" w:eastAsia="宋体" w:hAnsi="宋体" w:hint="eastAsia"/>
          <w:color w:val="auto"/>
          <w:sz w:val="44"/>
          <w:szCs w:val="44"/>
          <w:highlight w:val="none"/>
          <w:lang w:val="en-US" w:eastAsia="zh-CN"/>
        </w:rPr>
        <w:t>包    号：</w:t>
      </w:r>
      <w:r>
        <w:rPr>
          <w:rFonts w:cs="宋体" w:hAnsi="宋体" w:hint="eastAsia"/>
          <w:color w:val="auto"/>
          <w:sz w:val="28"/>
          <w:szCs w:val="28"/>
          <w:highlight w:val="none"/>
          <w:u w:val="single"/>
          <w:lang w:val="en-US" w:eastAsia="zh-CN"/>
        </w:rPr>
        <w:t xml:space="preserve">                             </w:t>
      </w:r>
    </w:p>
    <w:p>
      <w:pPr>
        <w:pStyle w:val="style0"/>
        <w:autoSpaceDE w:val="false"/>
        <w:autoSpaceDN w:val="false"/>
        <w:adjustRightInd w:val="false"/>
        <w:spacing w:lineRule="auto" w:line="360"/>
        <w:jc w:val="center"/>
        <w:rPr>
          <w:rFonts w:ascii="宋体" w:cs="宋体" w:hAnsi="宋体" w:hint="eastAsia"/>
          <w:b/>
          <w:color w:val="auto"/>
          <w:spacing w:val="60"/>
          <w:sz w:val="84"/>
          <w:szCs w:val="84"/>
          <w:highlight w:val="none"/>
        </w:rPr>
      </w:pPr>
    </w:p>
    <w:p>
      <w:pPr>
        <w:pStyle w:val="style0"/>
        <w:autoSpaceDE w:val="false"/>
        <w:autoSpaceDN w:val="false"/>
        <w:adjustRightInd w:val="false"/>
        <w:spacing w:lineRule="auto" w:line="360"/>
        <w:jc w:val="center"/>
        <w:rPr>
          <w:rFonts w:ascii="宋体" w:cs="宋体" w:hAnsi="宋体"/>
          <w:b/>
          <w:color w:val="auto"/>
          <w:spacing w:val="60"/>
          <w:sz w:val="84"/>
          <w:szCs w:val="84"/>
          <w:highlight w:val="none"/>
        </w:rPr>
      </w:pPr>
      <w:r>
        <w:rPr>
          <w:rFonts w:ascii="宋体" w:cs="宋体" w:hAnsi="宋体" w:hint="eastAsia"/>
          <w:b/>
          <w:color w:val="auto"/>
          <w:spacing w:val="60"/>
          <w:sz w:val="84"/>
          <w:szCs w:val="84"/>
          <w:highlight w:val="none"/>
        </w:rPr>
        <w:t>响 应 文 件</w:t>
      </w:r>
    </w:p>
    <w:p>
      <w:pPr>
        <w:pStyle w:val="style0"/>
        <w:autoSpaceDE w:val="false"/>
        <w:autoSpaceDN w:val="false"/>
        <w:adjustRightInd w:val="false"/>
        <w:spacing w:lineRule="auto" w:line="360"/>
        <w:jc w:val="center"/>
        <w:rPr>
          <w:rFonts w:ascii="宋体" w:cs="宋体" w:hAnsi="宋体"/>
          <w:color w:val="auto"/>
          <w:sz w:val="24"/>
          <w:highlight w:val="none"/>
        </w:rPr>
      </w:pPr>
    </w:p>
    <w:p>
      <w:pPr>
        <w:pStyle w:val="style0"/>
        <w:autoSpaceDE w:val="false"/>
        <w:autoSpaceDN w:val="false"/>
        <w:adjustRightInd w:val="false"/>
        <w:spacing w:lineRule="auto" w:line="360"/>
        <w:jc w:val="center"/>
        <w:rPr>
          <w:rFonts w:ascii="宋体" w:cs="宋体" w:hAnsi="宋体"/>
          <w:color w:val="auto"/>
          <w:sz w:val="24"/>
          <w:highlight w:val="none"/>
        </w:rPr>
      </w:pPr>
    </w:p>
    <w:p>
      <w:pPr>
        <w:pStyle w:val="style0"/>
        <w:autoSpaceDE w:val="false"/>
        <w:autoSpaceDN w:val="false"/>
        <w:adjustRightInd w:val="false"/>
        <w:spacing w:lineRule="auto" w:line="360"/>
        <w:jc w:val="center"/>
        <w:rPr>
          <w:rFonts w:ascii="宋体" w:cs="宋体" w:hAnsi="宋体"/>
          <w:color w:val="auto"/>
          <w:sz w:val="24"/>
          <w:highlight w:val="none"/>
        </w:rPr>
      </w:pPr>
    </w:p>
    <w:p>
      <w:pPr>
        <w:pStyle w:val="style0"/>
        <w:autoSpaceDE w:val="false"/>
        <w:autoSpaceDN w:val="false"/>
        <w:adjustRightInd w:val="false"/>
        <w:spacing w:lineRule="auto" w:line="360"/>
        <w:jc w:val="center"/>
        <w:rPr>
          <w:rFonts w:ascii="宋体" w:cs="宋体" w:hAnsi="宋体"/>
          <w:color w:val="auto"/>
          <w:sz w:val="24"/>
          <w:highlight w:val="none"/>
        </w:rPr>
      </w:pPr>
    </w:p>
    <w:p>
      <w:pPr>
        <w:pStyle w:val="style4097"/>
        <w:spacing w:lineRule="auto" w:line="360"/>
        <w:rPr>
          <w:rFonts w:cs="宋体" w:hAnsi="宋体"/>
          <w:color w:val="auto"/>
          <w:szCs w:val="24"/>
          <w:highlight w:val="none"/>
          <w:u w:val="single"/>
        </w:rPr>
      </w:pPr>
    </w:p>
    <w:p>
      <w:pPr>
        <w:pStyle w:val="style4097"/>
        <w:spacing w:lineRule="auto" w:line="360"/>
        <w:ind w:leftChars="300"/>
        <w:jc w:val="both"/>
        <w:rPr>
          <w:rFonts w:cs="宋体" w:eastAsia="宋体" w:hAnsi="宋体" w:hint="default"/>
          <w:color w:val="auto"/>
          <w:sz w:val="28"/>
          <w:szCs w:val="28"/>
          <w:highlight w:val="none"/>
          <w:u w:val="single"/>
          <w:lang w:val="en-US" w:eastAsia="zh-CN"/>
        </w:rPr>
      </w:pPr>
      <w:r>
        <w:rPr>
          <w:rFonts w:cs="宋体" w:hAnsi="宋体" w:hint="eastAsia"/>
          <w:color w:val="auto"/>
          <w:sz w:val="28"/>
          <w:szCs w:val="28"/>
          <w:highlight w:val="none"/>
        </w:rPr>
        <w:t xml:space="preserve">  供应商（盖章）：</w:t>
      </w:r>
      <w:r>
        <w:rPr>
          <w:rFonts w:cs="宋体" w:hAnsi="宋体" w:hint="eastAsia"/>
          <w:color w:val="auto"/>
          <w:sz w:val="28"/>
          <w:szCs w:val="28"/>
          <w:highlight w:val="none"/>
          <w:u w:val="single"/>
          <w:lang w:val="en-US" w:eastAsia="zh-CN"/>
        </w:rPr>
        <w:t xml:space="preserve">                              </w:t>
      </w:r>
    </w:p>
    <w:p>
      <w:pPr>
        <w:pStyle w:val="style4097"/>
        <w:spacing w:lineRule="auto" w:line="360"/>
        <w:ind w:leftChars="300" w:firstLine="280" w:firstLineChars="100"/>
        <w:rPr>
          <w:rFonts w:cs="宋体" w:hAnsi="宋体"/>
          <w:color w:val="auto"/>
          <w:sz w:val="28"/>
          <w:szCs w:val="28"/>
          <w:highlight w:val="none"/>
        </w:rPr>
      </w:pPr>
    </w:p>
    <w:p>
      <w:pPr>
        <w:pStyle w:val="style4097"/>
        <w:spacing w:lineRule="auto" w:line="360"/>
        <w:ind w:leftChars="300" w:firstLine="280" w:firstLineChars="100"/>
        <w:rPr>
          <w:rFonts w:cs="宋体" w:hAnsi="宋体"/>
          <w:color w:val="auto"/>
          <w:sz w:val="28"/>
          <w:szCs w:val="28"/>
          <w:highlight w:val="none"/>
          <w:u w:val="single"/>
        </w:rPr>
      </w:pPr>
      <w:r>
        <w:rPr>
          <w:rFonts w:cs="宋体" w:hAnsi="宋体" w:hint="eastAsia"/>
          <w:color w:val="auto"/>
          <w:sz w:val="28"/>
          <w:szCs w:val="28"/>
          <w:highlight w:val="none"/>
          <w:lang w:val="zh-CN"/>
        </w:rPr>
        <w:t>法定代表人</w:t>
      </w:r>
      <w:r>
        <w:rPr>
          <w:rFonts w:cs="宋体" w:hAnsi="宋体" w:hint="eastAsia"/>
          <w:color w:val="auto"/>
          <w:sz w:val="28"/>
          <w:szCs w:val="28"/>
          <w:highlight w:val="none"/>
          <w:lang w:val="en-US" w:eastAsia="zh-CN"/>
        </w:rPr>
        <w:t>或委托代理人</w:t>
      </w:r>
      <w:r>
        <w:rPr>
          <w:rFonts w:cs="宋体" w:hAnsi="宋体" w:hint="eastAsia"/>
          <w:color w:val="auto"/>
          <w:sz w:val="28"/>
          <w:szCs w:val="28"/>
          <w:highlight w:val="none"/>
        </w:rPr>
        <w:t>（</w:t>
      </w:r>
      <w:r>
        <w:rPr>
          <w:rFonts w:cs="宋体" w:hAnsi="宋体" w:hint="eastAsia"/>
          <w:color w:val="auto"/>
          <w:sz w:val="28"/>
          <w:szCs w:val="28"/>
          <w:highlight w:val="none"/>
          <w:lang w:val="en-US" w:eastAsia="zh-CN"/>
        </w:rPr>
        <w:t>签字或盖章</w:t>
      </w:r>
      <w:r>
        <w:rPr>
          <w:rFonts w:cs="宋体" w:hAnsi="宋体" w:hint="eastAsia"/>
          <w:color w:val="auto"/>
          <w:sz w:val="28"/>
          <w:szCs w:val="28"/>
          <w:highlight w:val="none"/>
        </w:rPr>
        <w:t>）</w:t>
      </w:r>
      <w:r>
        <w:rPr>
          <w:rFonts w:cs="宋体" w:hAnsi="宋体" w:hint="eastAsia"/>
          <w:color w:val="auto"/>
          <w:sz w:val="28"/>
          <w:szCs w:val="28"/>
          <w:highlight w:val="none"/>
          <w:lang w:val="zh-CN"/>
        </w:rPr>
        <w:t>：</w:t>
      </w:r>
      <w:r>
        <w:rPr>
          <w:rFonts w:cs="宋体" w:hAnsi="宋体" w:hint="eastAsia"/>
          <w:color w:val="auto"/>
          <w:sz w:val="28"/>
          <w:szCs w:val="28"/>
          <w:highlight w:val="none"/>
          <w:u w:val="single"/>
          <w:lang w:val="en-US" w:eastAsia="zh-CN"/>
        </w:rPr>
        <w:t xml:space="preserve">                </w:t>
      </w:r>
    </w:p>
    <w:p>
      <w:pPr>
        <w:pStyle w:val="style4097"/>
        <w:spacing w:lineRule="auto" w:line="360"/>
        <w:jc w:val="center"/>
        <w:rPr>
          <w:rFonts w:cs="宋体" w:hAnsi="宋体"/>
          <w:color w:val="auto"/>
          <w:sz w:val="28"/>
          <w:szCs w:val="28"/>
          <w:highlight w:val="none"/>
        </w:rPr>
      </w:pPr>
    </w:p>
    <w:p>
      <w:pPr>
        <w:pStyle w:val="style4097"/>
        <w:spacing w:lineRule="auto" w:line="360"/>
        <w:jc w:val="both"/>
        <w:rPr>
          <w:rFonts w:cs="宋体" w:hAnsi="宋体"/>
          <w:color w:val="auto"/>
          <w:sz w:val="28"/>
          <w:szCs w:val="28"/>
          <w:highlight w:val="none"/>
        </w:rPr>
      </w:pPr>
    </w:p>
    <w:p>
      <w:pPr>
        <w:pStyle w:val="style0"/>
        <w:widowControl w:val="false"/>
        <w:tabs>
          <w:tab w:val="left" w:leader="none" w:pos="9365"/>
        </w:tabs>
        <w:snapToGrid w:val="false"/>
        <w:spacing w:before="56" w:after="56" w:lineRule="atLeast" w:line="560"/>
        <w:jc w:val="left"/>
        <w:textAlignment w:val="top"/>
        <w:rPr>
          <w:rFonts w:ascii="宋体" w:cs="宋体" w:hAnsi="宋体"/>
          <w:color w:val="auto"/>
          <w:sz w:val="28"/>
          <w:highlight w:val="none"/>
        </w:rPr>
      </w:pPr>
      <w:r>
        <w:rPr>
          <w:rFonts w:ascii="宋体" w:cs="宋体" w:hAnsi="宋体" w:hint="eastAsia"/>
          <w:b/>
          <w:bCs/>
          <w:color w:val="auto"/>
          <w:sz w:val="44"/>
          <w:szCs w:val="44"/>
          <w:highlight w:val="none"/>
          <w:lang w:val="zh-CN"/>
        </w:rPr>
        <w:br w:type="page"/>
      </w:r>
      <w:bookmarkStart w:id="38" w:name="OLE_LINK35"/>
      <w:bookmarkStart w:id="39" w:name="OLE_LINK10"/>
    </w:p>
    <w:p>
      <w:pPr>
        <w:pStyle w:val="style0"/>
        <w:spacing w:lineRule="atLeast" w:line="351"/>
        <w:ind w:left="419"/>
        <w:jc w:val="center"/>
        <w:rPr>
          <w:rFonts w:ascii="宋体" w:cs="宋体" w:hAnsi="宋体"/>
          <w:b/>
          <w:color w:val="auto"/>
          <w:spacing w:val="60"/>
          <w:sz w:val="36"/>
          <w:szCs w:val="36"/>
          <w:highlight w:val="none"/>
        </w:rPr>
      </w:pPr>
      <w:r>
        <w:rPr>
          <w:rFonts w:ascii="宋体" w:cs="宋体" w:hAnsi="宋体" w:hint="eastAsia"/>
          <w:b/>
          <w:color w:val="auto"/>
          <w:spacing w:val="60"/>
          <w:sz w:val="36"/>
          <w:szCs w:val="36"/>
          <w:highlight w:val="none"/>
        </w:rPr>
        <w:t>一、投标书</w:t>
      </w:r>
      <w:bookmarkEnd w:id="38"/>
    </w:p>
    <w:bookmarkEnd w:id="39"/>
    <w:p>
      <w:pPr>
        <w:pStyle w:val="style0"/>
        <w:widowControl w:val="false"/>
        <w:snapToGrid w:val="false"/>
        <w:spacing w:lineRule="exact" w:line="560"/>
        <w:rPr>
          <w:rFonts w:ascii="宋体" w:cs="宋体" w:hAnsi="宋体"/>
          <w:color w:val="auto"/>
          <w:sz w:val="28"/>
          <w:highlight w:val="none"/>
        </w:rPr>
      </w:pPr>
    </w:p>
    <w:p>
      <w:pPr>
        <w:pStyle w:val="style0"/>
        <w:widowControl w:val="false"/>
        <w:snapToGrid w:val="false"/>
        <w:spacing w:lineRule="auto" w:line="360"/>
        <w:rPr>
          <w:rFonts w:ascii="宋体" w:cs="宋体" w:hAnsi="宋体"/>
          <w:color w:val="auto"/>
          <w:sz w:val="24"/>
          <w:szCs w:val="24"/>
          <w:highlight w:val="none"/>
        </w:rPr>
      </w:pPr>
      <w:r>
        <w:rPr>
          <w:rFonts w:ascii="宋体" w:cs="宋体" w:hAnsi="宋体" w:hint="eastAsia"/>
          <w:color w:val="auto"/>
          <w:sz w:val="24"/>
          <w:szCs w:val="24"/>
          <w:highlight w:val="none"/>
        </w:rPr>
        <w:t>致：河南晟祥招标代理服务有限公司</w:t>
      </w:r>
    </w:p>
    <w:p>
      <w:pPr>
        <w:pStyle w:val="style0"/>
        <w:widowControl w:val="false"/>
        <w:snapToGrid w:val="false"/>
        <w:spacing w:lineRule="auto" w:line="360"/>
        <w:ind w:firstLine="578"/>
        <w:textAlignment w:val="top"/>
        <w:rPr>
          <w:rFonts w:ascii="宋体" w:cs="宋体" w:hAnsi="宋体"/>
          <w:color w:val="auto"/>
          <w:sz w:val="24"/>
          <w:szCs w:val="24"/>
          <w:highlight w:val="none"/>
        </w:rPr>
      </w:pPr>
      <w:r>
        <w:rPr>
          <w:rFonts w:ascii="宋体" w:cs="宋体" w:hAnsi="宋体" w:hint="eastAsia"/>
          <w:color w:val="auto"/>
          <w:sz w:val="24"/>
          <w:szCs w:val="24"/>
          <w:highlight w:val="none"/>
        </w:rPr>
        <w:t>根据贵方竞争性磋商</w:t>
      </w:r>
      <w:r>
        <w:rPr>
          <w:rFonts w:ascii="宋体" w:cs="宋体" w:hAnsi="宋体" w:hint="eastAsia"/>
          <w:color w:val="auto"/>
          <w:sz w:val="18"/>
          <w:szCs w:val="18"/>
          <w:highlight w:val="none"/>
          <w:u w:val="single"/>
        </w:rPr>
        <w:t xml:space="preserve">（项目名称）               </w:t>
      </w:r>
      <w:r>
        <w:rPr>
          <w:rFonts w:ascii="宋体" w:cs="宋体" w:hAnsi="宋体" w:hint="eastAsia"/>
          <w:color w:val="auto"/>
          <w:sz w:val="24"/>
          <w:szCs w:val="24"/>
          <w:highlight w:val="none"/>
        </w:rPr>
        <w:t>的《磋商文件》（项目编号：</w:t>
      </w:r>
      <w:r>
        <w:rPr>
          <w:rFonts w:ascii="宋体" w:cs="宋体" w:hAnsi="宋体" w:hint="eastAsia"/>
          <w:color w:val="auto"/>
          <w:sz w:val="18"/>
          <w:szCs w:val="18"/>
          <w:highlight w:val="none"/>
          <w:u w:val="single"/>
        </w:rPr>
        <w:t xml:space="preserve">           </w:t>
      </w:r>
      <w:r>
        <w:rPr>
          <w:rFonts w:ascii="宋体" w:cs="宋体" w:hAnsi="宋体" w:hint="eastAsia"/>
          <w:color w:val="auto"/>
          <w:sz w:val="24"/>
          <w:szCs w:val="24"/>
          <w:highlight w:val="none"/>
        </w:rPr>
        <w:t>），经详细研究，我们决定参加该项目的采购活动并按要求提交《响应文件》。我们郑重声明对我单位提交的所有投标资料的真实准确完整承担完全责任、并对之负法律责任。</w:t>
      </w:r>
    </w:p>
    <w:p>
      <w:pPr>
        <w:pStyle w:val="style0"/>
        <w:adjustRightInd w:val="false"/>
        <w:snapToGrid w:val="false"/>
        <w:spacing w:lineRule="exact" w:line="460"/>
        <w:ind w:firstLine="539"/>
        <w:textAlignment w:val="top"/>
        <w:rPr>
          <w:rFonts w:ascii="宋体" w:cs="宋体" w:hAnsi="宋体"/>
          <w:color w:val="auto"/>
          <w:sz w:val="24"/>
          <w:highlight w:val="none"/>
        </w:rPr>
      </w:pPr>
      <w:r>
        <w:rPr>
          <w:rFonts w:ascii="宋体" w:cs="宋体" w:hAnsi="宋体" w:hint="eastAsia"/>
          <w:color w:val="auto"/>
          <w:sz w:val="24"/>
          <w:highlight w:val="none"/>
        </w:rPr>
        <w:t>（1）投标书。</w:t>
      </w:r>
    </w:p>
    <w:p>
      <w:pPr>
        <w:pStyle w:val="style0"/>
        <w:adjustRightInd w:val="false"/>
        <w:snapToGrid w:val="false"/>
        <w:spacing w:lineRule="exact" w:line="460"/>
        <w:ind w:firstLine="539"/>
        <w:textAlignment w:val="top"/>
        <w:rPr>
          <w:rFonts w:ascii="宋体" w:cs="宋体" w:hAnsi="宋体"/>
          <w:color w:val="auto"/>
          <w:sz w:val="24"/>
          <w:highlight w:val="none"/>
        </w:rPr>
      </w:pPr>
      <w:r>
        <w:rPr>
          <w:rFonts w:ascii="宋体" w:cs="宋体" w:hAnsi="宋体" w:hint="eastAsia"/>
          <w:color w:val="auto"/>
          <w:sz w:val="24"/>
          <w:highlight w:val="none"/>
          <w:lang w:val="zh-CN"/>
        </w:rPr>
        <w:t>（2）</w:t>
      </w:r>
      <w:r>
        <w:rPr>
          <w:rFonts w:ascii="宋体" w:cs="宋体" w:hAnsi="宋体" w:hint="eastAsia"/>
          <w:color w:val="auto"/>
          <w:sz w:val="24"/>
          <w:highlight w:val="none"/>
        </w:rPr>
        <w:t>开标一览表</w:t>
      </w:r>
    </w:p>
    <w:p>
      <w:pPr>
        <w:pStyle w:val="style0"/>
        <w:adjustRightInd w:val="false"/>
        <w:snapToGrid w:val="false"/>
        <w:spacing w:lineRule="exact" w:line="460"/>
        <w:ind w:firstLine="539"/>
        <w:textAlignment w:val="top"/>
        <w:rPr>
          <w:rFonts w:ascii="宋体" w:cs="宋体" w:eastAsia="宋体" w:hAnsi="宋体" w:hint="default"/>
          <w:color w:val="auto"/>
          <w:sz w:val="24"/>
          <w:highlight w:val="none"/>
          <w:lang w:val="en-US" w:eastAsia="zh-CN"/>
        </w:rPr>
      </w:pPr>
      <w:r>
        <w:rPr>
          <w:rFonts w:ascii="宋体" w:cs="宋体" w:hAnsi="宋体" w:hint="eastAsia"/>
          <w:color w:val="auto"/>
          <w:sz w:val="24"/>
          <w:highlight w:val="none"/>
          <w:lang w:val="zh-CN"/>
        </w:rPr>
        <w:t>（4）</w:t>
      </w:r>
      <w:r>
        <w:rPr>
          <w:rFonts w:ascii="宋体" w:cs="宋体" w:hAnsi="宋体" w:hint="eastAsia"/>
          <w:color w:val="auto"/>
          <w:sz w:val="24"/>
          <w:highlight w:val="none"/>
          <w:lang w:val="en-US" w:eastAsia="zh-CN"/>
        </w:rPr>
        <w:t>技术（服务）方案</w:t>
      </w:r>
    </w:p>
    <w:p>
      <w:pPr>
        <w:pStyle w:val="style0"/>
        <w:adjustRightInd w:val="false"/>
        <w:snapToGrid w:val="false"/>
        <w:spacing w:lineRule="exact" w:line="460"/>
        <w:ind w:firstLine="539"/>
        <w:textAlignment w:val="top"/>
        <w:rPr>
          <w:rFonts w:ascii="宋体" w:cs="宋体" w:hAnsi="宋体"/>
          <w:color w:val="auto"/>
          <w:sz w:val="24"/>
          <w:highlight w:val="none"/>
          <w:lang w:val="zh-CN"/>
        </w:rPr>
      </w:pPr>
      <w:r>
        <w:rPr>
          <w:rFonts w:ascii="宋体" w:cs="宋体" w:hAnsi="宋体" w:hint="eastAsia"/>
          <w:color w:val="auto"/>
          <w:sz w:val="24"/>
          <w:highlight w:val="none"/>
          <w:lang w:val="zh-CN"/>
        </w:rPr>
        <w:t>（</w:t>
      </w:r>
      <w:r>
        <w:rPr>
          <w:rFonts w:ascii="宋体" w:cs="宋体" w:hAnsi="宋体" w:hint="eastAsia"/>
          <w:color w:val="auto"/>
          <w:sz w:val="24"/>
          <w:highlight w:val="none"/>
          <w:lang w:val="en-US" w:eastAsia="zh-CN"/>
        </w:rPr>
        <w:t>5</w:t>
      </w:r>
      <w:r>
        <w:rPr>
          <w:rFonts w:ascii="宋体" w:cs="宋体" w:hAnsi="宋体" w:hint="eastAsia"/>
          <w:color w:val="auto"/>
          <w:sz w:val="24"/>
          <w:highlight w:val="none"/>
          <w:lang w:val="zh-CN"/>
        </w:rPr>
        <w:t>）偏差表</w:t>
      </w:r>
    </w:p>
    <w:p>
      <w:pPr>
        <w:pStyle w:val="style0"/>
        <w:adjustRightInd w:val="false"/>
        <w:snapToGrid w:val="false"/>
        <w:spacing w:lineRule="exact" w:line="460"/>
        <w:ind w:firstLine="539"/>
        <w:rPr>
          <w:rFonts w:ascii="宋体" w:cs="宋体" w:hAnsi="宋体"/>
          <w:color w:val="auto"/>
          <w:sz w:val="24"/>
          <w:highlight w:val="none"/>
        </w:rPr>
      </w:pPr>
      <w:r>
        <w:rPr>
          <w:rFonts w:ascii="宋体" w:cs="宋体" w:hAnsi="宋体" w:hint="eastAsia"/>
          <w:color w:val="auto"/>
          <w:sz w:val="24"/>
          <w:highlight w:val="none"/>
          <w:lang w:val="zh-CN"/>
        </w:rPr>
        <w:t>（</w:t>
      </w:r>
      <w:r>
        <w:rPr>
          <w:rFonts w:ascii="宋体" w:cs="宋体" w:hAnsi="宋体" w:hint="eastAsia"/>
          <w:color w:val="auto"/>
          <w:sz w:val="24"/>
          <w:highlight w:val="none"/>
          <w:lang w:val="en-US" w:eastAsia="zh-CN"/>
        </w:rPr>
        <w:t>6</w:t>
      </w:r>
      <w:r>
        <w:rPr>
          <w:rFonts w:ascii="宋体" w:cs="宋体" w:hAnsi="宋体" w:hint="eastAsia"/>
          <w:color w:val="auto"/>
          <w:sz w:val="24"/>
          <w:highlight w:val="none"/>
          <w:lang w:val="zh-CN"/>
        </w:rPr>
        <w:t>）</w:t>
      </w:r>
      <w:r>
        <w:rPr>
          <w:rFonts w:ascii="宋体" w:cs="宋体" w:hAnsi="宋体" w:hint="eastAsia"/>
          <w:color w:val="auto"/>
          <w:sz w:val="24"/>
          <w:highlight w:val="none"/>
        </w:rPr>
        <w:t>关于资格的声明函</w:t>
      </w:r>
    </w:p>
    <w:p>
      <w:pPr>
        <w:pStyle w:val="style0"/>
        <w:adjustRightInd w:val="false"/>
        <w:snapToGrid w:val="false"/>
        <w:spacing w:lineRule="exact" w:line="460"/>
        <w:ind w:firstLine="539"/>
        <w:rPr>
          <w:rFonts w:ascii="宋体" w:cs="宋体" w:hAnsi="宋体"/>
          <w:color w:val="auto"/>
          <w:sz w:val="24"/>
          <w:highlight w:val="none"/>
        </w:rPr>
      </w:pPr>
      <w:r>
        <w:rPr>
          <w:rFonts w:ascii="宋体" w:cs="宋体" w:hAnsi="宋体" w:hint="eastAsia"/>
          <w:color w:val="auto"/>
          <w:sz w:val="24"/>
          <w:highlight w:val="none"/>
          <w:lang w:val="zh-CN"/>
        </w:rPr>
        <w:t>（</w:t>
      </w:r>
      <w:r>
        <w:rPr>
          <w:rFonts w:ascii="宋体" w:cs="宋体" w:hAnsi="宋体" w:hint="eastAsia"/>
          <w:color w:val="auto"/>
          <w:sz w:val="24"/>
          <w:highlight w:val="none"/>
          <w:lang w:val="en-US" w:eastAsia="zh-CN"/>
        </w:rPr>
        <w:t>7</w:t>
      </w:r>
      <w:r>
        <w:rPr>
          <w:rFonts w:ascii="宋体" w:cs="宋体" w:hAnsi="宋体" w:hint="eastAsia"/>
          <w:color w:val="auto"/>
          <w:sz w:val="24"/>
          <w:highlight w:val="none"/>
          <w:lang w:val="zh-CN"/>
        </w:rPr>
        <w:t>）</w:t>
      </w:r>
      <w:r>
        <w:rPr>
          <w:rFonts w:ascii="宋体" w:cs="宋体" w:hAnsi="宋体" w:hint="eastAsia"/>
          <w:color w:val="auto"/>
          <w:sz w:val="24"/>
          <w:highlight w:val="none"/>
        </w:rPr>
        <w:t>反商业贿赂承诺书。</w:t>
      </w:r>
    </w:p>
    <w:p>
      <w:pPr>
        <w:pStyle w:val="style0"/>
        <w:adjustRightInd w:val="false"/>
        <w:snapToGrid w:val="false"/>
        <w:spacing w:lineRule="exact" w:line="460"/>
        <w:ind w:firstLine="539"/>
        <w:rPr>
          <w:rFonts w:ascii="宋体" w:cs="宋体" w:hAnsi="宋体"/>
          <w:color w:val="auto"/>
          <w:sz w:val="24"/>
          <w:highlight w:val="none"/>
        </w:rPr>
      </w:pPr>
      <w:r>
        <w:rPr>
          <w:rFonts w:ascii="宋体" w:cs="宋体" w:hAnsi="宋体" w:hint="eastAsia"/>
          <w:color w:val="auto"/>
          <w:sz w:val="24"/>
          <w:highlight w:val="none"/>
          <w:lang w:val="zh-CN"/>
        </w:rPr>
        <w:t>（</w:t>
      </w:r>
      <w:r>
        <w:rPr>
          <w:rFonts w:ascii="宋体" w:cs="宋体" w:hAnsi="宋体" w:hint="eastAsia"/>
          <w:color w:val="auto"/>
          <w:sz w:val="24"/>
          <w:highlight w:val="none"/>
          <w:lang w:val="en-US" w:eastAsia="zh-CN"/>
        </w:rPr>
        <w:t>8</w:t>
      </w:r>
      <w:r>
        <w:rPr>
          <w:rFonts w:ascii="宋体" w:cs="宋体" w:hAnsi="宋体" w:hint="eastAsia"/>
          <w:color w:val="auto"/>
          <w:sz w:val="24"/>
          <w:highlight w:val="none"/>
          <w:lang w:val="zh-CN"/>
        </w:rPr>
        <w:t>）</w:t>
      </w:r>
      <w:r>
        <w:rPr>
          <w:rFonts w:ascii="宋体" w:cs="宋体" w:hAnsi="宋体" w:hint="eastAsia"/>
          <w:color w:val="auto"/>
          <w:sz w:val="24"/>
          <w:highlight w:val="none"/>
        </w:rPr>
        <w:t>履约承诺书。</w:t>
      </w:r>
    </w:p>
    <w:p>
      <w:pPr>
        <w:pStyle w:val="style0"/>
        <w:widowControl w:val="false"/>
        <w:adjustRightInd w:val="false"/>
        <w:snapToGrid w:val="false"/>
        <w:spacing w:lineRule="exact" w:line="460"/>
        <w:ind w:firstLine="539"/>
        <w:textAlignment w:val="top"/>
        <w:rPr>
          <w:rFonts w:ascii="宋体" w:cs="宋体" w:hAnsi="宋体"/>
          <w:color w:val="auto"/>
          <w:sz w:val="24"/>
          <w:highlight w:val="none"/>
        </w:rPr>
      </w:pPr>
      <w:r>
        <w:rPr>
          <w:rFonts w:ascii="宋体" w:cs="宋体" w:hAnsi="宋体" w:hint="eastAsia"/>
          <w:color w:val="auto"/>
          <w:sz w:val="24"/>
          <w:highlight w:val="none"/>
        </w:rPr>
        <w:t>（</w:t>
      </w:r>
      <w:r>
        <w:rPr>
          <w:rFonts w:ascii="宋体" w:cs="宋体" w:hAnsi="宋体" w:hint="eastAsia"/>
          <w:color w:val="auto"/>
          <w:sz w:val="24"/>
          <w:highlight w:val="none"/>
          <w:lang w:val="en-US" w:eastAsia="zh-CN"/>
        </w:rPr>
        <w:t>9</w:t>
      </w:r>
      <w:r>
        <w:rPr>
          <w:rFonts w:ascii="宋体" w:cs="宋体" w:hAnsi="宋体" w:hint="eastAsia"/>
          <w:color w:val="auto"/>
          <w:sz w:val="24"/>
          <w:highlight w:val="none"/>
        </w:rPr>
        <w:t>）资格要求相关证明材料（文件）</w:t>
      </w:r>
    </w:p>
    <w:p>
      <w:pPr>
        <w:pStyle w:val="style0"/>
        <w:widowControl w:val="false"/>
        <w:adjustRightInd w:val="false"/>
        <w:snapToGrid w:val="false"/>
        <w:spacing w:lineRule="exact" w:line="460"/>
        <w:ind w:firstLine="539"/>
        <w:textAlignment w:val="top"/>
        <w:rPr>
          <w:rFonts w:ascii="宋体" w:cs="宋体" w:hAnsi="宋体"/>
          <w:color w:val="auto"/>
          <w:sz w:val="24"/>
          <w:highlight w:val="none"/>
        </w:rPr>
      </w:pPr>
      <w:r>
        <w:rPr>
          <w:rFonts w:ascii="宋体" w:cs="宋体" w:hAnsi="宋体" w:hint="eastAsia"/>
          <w:color w:val="auto"/>
          <w:sz w:val="24"/>
          <w:highlight w:val="none"/>
        </w:rPr>
        <w:t>（</w:t>
      </w:r>
      <w:r>
        <w:rPr>
          <w:rFonts w:ascii="宋体" w:cs="宋体" w:hAnsi="宋体" w:hint="eastAsia"/>
          <w:color w:val="auto"/>
          <w:sz w:val="24"/>
          <w:highlight w:val="none"/>
          <w:lang w:val="en-US" w:eastAsia="zh-CN"/>
        </w:rPr>
        <w:t>10</w:t>
      </w:r>
      <w:r>
        <w:rPr>
          <w:rFonts w:ascii="宋体" w:cs="宋体" w:hAnsi="宋体" w:hint="eastAsia"/>
          <w:color w:val="auto"/>
          <w:sz w:val="24"/>
          <w:highlight w:val="none"/>
        </w:rPr>
        <w:t>）评审办法所需的其他材料（按条款需要）</w:t>
      </w:r>
    </w:p>
    <w:p>
      <w:pPr>
        <w:pStyle w:val="style0"/>
        <w:autoSpaceDE w:val="false"/>
        <w:autoSpaceDN w:val="false"/>
        <w:adjustRightInd w:val="false"/>
        <w:snapToGrid w:val="false"/>
        <w:spacing w:lineRule="exact" w:line="460"/>
        <w:ind w:firstLine="520" w:firstLineChars="217"/>
        <w:rPr>
          <w:rFonts w:ascii="宋体" w:cs="宋体" w:hAnsi="宋体"/>
          <w:color w:val="auto"/>
          <w:sz w:val="24"/>
          <w:highlight w:val="none"/>
          <w:lang w:val="zh-CN"/>
        </w:rPr>
      </w:pPr>
      <w:r>
        <w:rPr>
          <w:rFonts w:ascii="宋体" w:cs="宋体" w:hAnsi="宋体" w:hint="eastAsia"/>
          <w:color w:val="auto"/>
          <w:sz w:val="24"/>
          <w:highlight w:val="none"/>
          <w:lang w:val="zh-CN"/>
        </w:rPr>
        <w:t>（</w:t>
      </w:r>
      <w:r>
        <w:rPr>
          <w:rFonts w:ascii="宋体" w:cs="宋体" w:hAnsi="宋体" w:hint="eastAsia"/>
          <w:color w:val="auto"/>
          <w:sz w:val="24"/>
          <w:highlight w:val="none"/>
          <w:lang w:val="en-US" w:eastAsia="zh-CN"/>
        </w:rPr>
        <w:t>11</w:t>
      </w:r>
      <w:r>
        <w:rPr>
          <w:rFonts w:ascii="宋体" w:cs="宋体" w:hAnsi="宋体" w:hint="eastAsia"/>
          <w:color w:val="auto"/>
          <w:sz w:val="24"/>
          <w:highlight w:val="none"/>
          <w:lang w:val="zh-CN"/>
        </w:rPr>
        <w:t>）</w:t>
      </w:r>
      <w:r>
        <w:rPr>
          <w:rFonts w:ascii="宋体" w:cs="宋体" w:hAnsi="宋体" w:hint="eastAsia"/>
          <w:color w:val="auto"/>
          <w:sz w:val="24"/>
          <w:highlight w:val="none"/>
        </w:rPr>
        <w:t>供应商认为有必要提交的其它材料</w:t>
      </w:r>
    </w:p>
    <w:p>
      <w:pPr>
        <w:pStyle w:val="style0"/>
        <w:widowControl w:val="false"/>
        <w:snapToGrid w:val="false"/>
        <w:spacing w:lineRule="exact" w:line="560"/>
        <w:ind w:firstLine="555"/>
        <w:rPr>
          <w:rFonts w:ascii="宋体" w:cs="宋体" w:hAnsi="宋体"/>
          <w:color w:val="auto"/>
          <w:sz w:val="24"/>
          <w:szCs w:val="24"/>
          <w:highlight w:val="none"/>
        </w:rPr>
      </w:pPr>
      <w:r>
        <w:rPr>
          <w:rFonts w:ascii="宋体" w:cs="宋体" w:hAnsi="宋体" w:hint="eastAsia"/>
          <w:color w:val="auto"/>
          <w:sz w:val="24"/>
          <w:szCs w:val="24"/>
          <w:highlight w:val="none"/>
        </w:rPr>
        <w:t>.........</w:t>
      </w:r>
    </w:p>
    <w:p>
      <w:pPr>
        <w:pStyle w:val="style0"/>
        <w:widowControl w:val="false"/>
        <w:snapToGrid w:val="false"/>
        <w:spacing w:beforeLines="50" w:lineRule="auto" w:line="300"/>
        <w:ind w:firstLine="556"/>
        <w:rPr>
          <w:rFonts w:ascii="宋体" w:cs="宋体" w:hAnsi="宋体"/>
          <w:color w:val="auto"/>
          <w:sz w:val="24"/>
          <w:szCs w:val="24"/>
          <w:highlight w:val="none"/>
        </w:rPr>
      </w:pPr>
      <w:r>
        <w:rPr>
          <w:rFonts w:ascii="宋体" w:cs="宋体" w:hAnsi="宋体" w:hint="eastAsia"/>
          <w:color w:val="auto"/>
          <w:sz w:val="24"/>
          <w:szCs w:val="24"/>
          <w:highlight w:val="none"/>
        </w:rPr>
        <w:t>据此函，签字代表宣布同意如下：</w:t>
      </w:r>
    </w:p>
    <w:p>
      <w:pPr>
        <w:pStyle w:val="style0"/>
        <w:widowControl w:val="false"/>
        <w:snapToGrid w:val="false"/>
        <w:spacing w:beforeLines="50" w:lineRule="auto" w:line="300"/>
        <w:ind w:firstLine="556"/>
        <w:rPr>
          <w:rFonts w:ascii="宋体" w:cs="宋体" w:hAnsi="宋体"/>
          <w:color w:val="auto"/>
          <w:sz w:val="24"/>
          <w:szCs w:val="24"/>
          <w:highlight w:val="none"/>
        </w:rPr>
      </w:pPr>
      <w:r>
        <w:rPr>
          <w:rFonts w:ascii="宋体" w:cs="宋体" w:hAnsi="宋体" w:hint="eastAsia"/>
          <w:color w:val="auto"/>
          <w:sz w:val="24"/>
          <w:szCs w:val="24"/>
          <w:highlight w:val="none"/>
        </w:rPr>
        <w:t>1.所附“《响应文件》开标一览表”中规定的应提供和交付的投标报价为：</w:t>
      </w:r>
    </w:p>
    <w:p>
      <w:pPr>
        <w:pStyle w:val="style0"/>
        <w:widowControl w:val="false"/>
        <w:snapToGrid w:val="false"/>
        <w:spacing w:beforeLines="50" w:lineRule="auto" w:line="300"/>
        <w:ind w:firstLine="480" w:firstLineChars="200"/>
        <w:rPr>
          <w:rFonts w:ascii="宋体" w:cs="宋体" w:hAnsi="宋体"/>
          <w:color w:val="auto"/>
          <w:sz w:val="24"/>
          <w:szCs w:val="24"/>
          <w:highlight w:val="none"/>
        </w:rPr>
      </w:pPr>
      <w:r>
        <w:rPr>
          <w:rFonts w:ascii="宋体" w:cs="宋体" w:hAnsi="宋体" w:hint="eastAsia"/>
          <w:color w:val="auto"/>
          <w:sz w:val="24"/>
          <w:szCs w:val="24"/>
          <w:highlight w:val="none"/>
        </w:rPr>
        <w:t>折扣率</w:t>
      </w:r>
      <w:r>
        <w:rPr>
          <w:rFonts w:ascii="宋体" w:cs="宋体" w:hAnsi="宋体" w:hint="eastAsia"/>
          <w:color w:val="auto"/>
          <w:sz w:val="24"/>
          <w:szCs w:val="24"/>
          <w:highlight w:val="none"/>
          <w:u w:val="single"/>
        </w:rPr>
        <w:tab/>
      </w:r>
      <w:r>
        <w:rPr>
          <w:rFonts w:ascii="宋体" w:cs="宋体" w:hAnsi="宋体" w:hint="eastAsia"/>
          <w:color w:val="auto"/>
          <w:sz w:val="24"/>
          <w:szCs w:val="24"/>
          <w:highlight w:val="none"/>
          <w:u w:val="single"/>
        </w:rPr>
        <w:t xml:space="preserve">   </w:t>
      </w:r>
      <w:r>
        <w:rPr>
          <w:rFonts w:ascii="宋体" w:cs="宋体" w:hAnsi="宋体" w:hint="eastAsia"/>
          <w:color w:val="auto"/>
          <w:sz w:val="24"/>
          <w:szCs w:val="24"/>
          <w:highlight w:val="none"/>
          <w:u w:val="single"/>
          <w:lang w:val="en-US" w:eastAsia="zh-CN"/>
        </w:rPr>
        <w:t xml:space="preserve">  </w:t>
      </w:r>
      <w:r>
        <w:rPr>
          <w:rFonts w:ascii="宋体" w:cs="宋体" w:hAnsi="宋体" w:hint="eastAsia"/>
          <w:color w:val="auto"/>
          <w:sz w:val="24"/>
          <w:szCs w:val="24"/>
          <w:highlight w:val="none"/>
          <w:u w:val="single"/>
        </w:rPr>
        <w:t>%</w:t>
      </w:r>
      <w:r>
        <w:rPr>
          <w:rFonts w:ascii="宋体" w:cs="宋体" w:hAnsi="宋体" w:hint="eastAsia"/>
          <w:color w:val="auto"/>
          <w:sz w:val="24"/>
          <w:szCs w:val="24"/>
          <w:highlight w:val="none"/>
        </w:rPr>
        <w:t>，即</w:t>
      </w:r>
      <w:r>
        <w:rPr>
          <w:rFonts w:ascii="宋体" w:cs="宋体" w:hAnsi="宋体" w:hint="eastAsia"/>
          <w:color w:val="auto"/>
          <w:sz w:val="24"/>
          <w:szCs w:val="24"/>
          <w:highlight w:val="none"/>
          <w:u w:val="single"/>
        </w:rPr>
        <w:tab/>
      </w:r>
      <w:r>
        <w:rPr>
          <w:rFonts w:ascii="宋体" w:cs="宋体" w:hAnsi="宋体" w:hint="eastAsia"/>
          <w:color w:val="auto"/>
          <w:sz w:val="24"/>
          <w:szCs w:val="24"/>
          <w:highlight w:val="none"/>
          <w:u w:val="single"/>
        </w:rPr>
        <w:tab/>
      </w:r>
      <w:r>
        <w:rPr>
          <w:rFonts w:ascii="宋体" w:cs="宋体" w:hAnsi="宋体" w:hint="eastAsia"/>
          <w:color w:val="auto"/>
          <w:sz w:val="24"/>
          <w:szCs w:val="24"/>
          <w:highlight w:val="none"/>
          <w:u w:val="single"/>
        </w:rPr>
        <w:tab/>
      </w:r>
      <w:r>
        <w:rPr>
          <w:rFonts w:ascii="宋体" w:cs="宋体" w:hAnsi="宋体" w:hint="eastAsia"/>
          <w:color w:val="auto"/>
          <w:sz w:val="24"/>
          <w:szCs w:val="24"/>
          <w:highlight w:val="none"/>
        </w:rPr>
        <w:t>（文字表述），服务期：</w:t>
      </w:r>
      <w:r>
        <w:rPr>
          <w:rFonts w:ascii="宋体" w:cs="宋体" w:hAnsi="宋体" w:hint="eastAsia"/>
          <w:color w:val="auto"/>
          <w:sz w:val="24"/>
          <w:szCs w:val="24"/>
          <w:highlight w:val="none"/>
          <w:u w:val="single"/>
        </w:rPr>
        <w:tab/>
      </w:r>
      <w:r>
        <w:rPr>
          <w:rFonts w:ascii="宋体" w:cs="宋体" w:hAnsi="宋体" w:hint="eastAsia"/>
          <w:color w:val="auto"/>
          <w:sz w:val="24"/>
          <w:szCs w:val="24"/>
          <w:highlight w:val="none"/>
          <w:u w:val="single"/>
          <w:lang w:val="en-US" w:eastAsia="zh-CN"/>
        </w:rPr>
        <w:t xml:space="preserve">              </w:t>
      </w:r>
      <w:r>
        <w:rPr>
          <w:rFonts w:ascii="宋体" w:cs="宋体" w:hAnsi="宋体" w:hint="eastAsia"/>
          <w:color w:val="auto"/>
          <w:sz w:val="24"/>
          <w:szCs w:val="24"/>
          <w:highlight w:val="none"/>
        </w:rPr>
        <w:t>，服务地点</w:t>
      </w:r>
      <w:r>
        <w:rPr>
          <w:rFonts w:ascii="宋体" w:cs="宋体" w:hAnsi="宋体" w:hint="eastAsia"/>
          <w:color w:val="auto"/>
          <w:sz w:val="24"/>
          <w:szCs w:val="24"/>
          <w:highlight w:val="none"/>
          <w:u w:val="single"/>
          <w:lang w:val="en-US" w:eastAsia="zh-CN"/>
        </w:rPr>
        <w:t xml:space="preserve">             </w:t>
      </w:r>
      <w:r>
        <w:rPr>
          <w:rFonts w:ascii="宋体" w:cs="宋体" w:hAnsi="宋体" w:hint="eastAsia"/>
          <w:color w:val="auto"/>
          <w:sz w:val="24"/>
          <w:szCs w:val="24"/>
          <w:highlight w:val="none"/>
        </w:rPr>
        <w:t>。</w:t>
      </w:r>
    </w:p>
    <w:p>
      <w:pPr>
        <w:pStyle w:val="style0"/>
        <w:widowControl w:val="false"/>
        <w:snapToGrid w:val="false"/>
        <w:spacing w:beforeLines="50" w:lineRule="auto" w:line="300"/>
        <w:ind w:firstLine="556"/>
        <w:rPr>
          <w:rFonts w:ascii="宋体" w:cs="宋体" w:hAnsi="宋体"/>
          <w:color w:val="auto"/>
          <w:sz w:val="24"/>
          <w:szCs w:val="24"/>
          <w:highlight w:val="none"/>
        </w:rPr>
      </w:pPr>
      <w:r>
        <w:rPr>
          <w:rFonts w:ascii="宋体" w:cs="宋体" w:hAnsi="宋体" w:hint="eastAsia"/>
          <w:color w:val="auto"/>
          <w:sz w:val="24"/>
          <w:szCs w:val="24"/>
          <w:highlight w:val="none"/>
        </w:rPr>
        <w:t>2.如果我单位的投标书被接受，我单位将履行《磋商文件》中规定的每一项要求，按期、按质、按量履行合同。</w:t>
      </w:r>
    </w:p>
    <w:p>
      <w:pPr>
        <w:pStyle w:val="style0"/>
        <w:widowControl w:val="false"/>
        <w:snapToGrid w:val="false"/>
        <w:spacing w:beforeLines="50" w:lineRule="auto" w:line="300"/>
        <w:ind w:firstLine="556"/>
        <w:rPr>
          <w:rFonts w:ascii="宋体" w:cs="宋体" w:hAnsi="宋体"/>
          <w:color w:val="auto"/>
          <w:sz w:val="24"/>
          <w:szCs w:val="24"/>
          <w:highlight w:val="none"/>
        </w:rPr>
      </w:pPr>
      <w:r>
        <w:rPr>
          <w:rFonts w:ascii="宋体" w:cs="宋体" w:hAnsi="宋体" w:hint="eastAsia"/>
          <w:color w:val="auto"/>
          <w:sz w:val="24"/>
          <w:szCs w:val="24"/>
          <w:highlight w:val="none"/>
        </w:rPr>
        <w:t>3. 我单位愿按《中华人民共和国民法典》履行我单位的全部责任。</w:t>
      </w:r>
    </w:p>
    <w:p>
      <w:pPr>
        <w:pStyle w:val="style0"/>
        <w:widowControl w:val="false"/>
        <w:snapToGrid w:val="false"/>
        <w:spacing w:beforeLines="50" w:lineRule="auto" w:line="300"/>
        <w:ind w:firstLine="556"/>
        <w:rPr>
          <w:rFonts w:ascii="宋体" w:cs="宋体" w:hAnsi="宋体"/>
          <w:color w:val="auto"/>
          <w:sz w:val="24"/>
          <w:szCs w:val="24"/>
          <w:highlight w:val="none"/>
        </w:rPr>
      </w:pPr>
      <w:r>
        <w:rPr>
          <w:rFonts w:ascii="宋体" w:cs="宋体" w:hAnsi="宋体" w:hint="eastAsia"/>
          <w:color w:val="auto"/>
          <w:sz w:val="24"/>
          <w:szCs w:val="24"/>
          <w:highlight w:val="none"/>
        </w:rPr>
        <w:t>4. 我单位已详细阅读并完全理解、同意《磋商文件》的全部内容，包括澄清、修改、补充文件（竞争性磋商公告所述媒体公布）以及全部参考资料和有关附件；除我单位在《磋商文件》规定期间内书面提出的疑问外，我单位放弃对这方面有不明及误解的权力。</w:t>
      </w:r>
    </w:p>
    <w:p>
      <w:pPr>
        <w:pStyle w:val="style0"/>
        <w:widowControl w:val="false"/>
        <w:snapToGrid w:val="false"/>
        <w:spacing w:beforeLines="50" w:lineRule="auto" w:line="300"/>
        <w:ind w:firstLine="556"/>
        <w:rPr>
          <w:rFonts w:ascii="宋体" w:cs="宋体" w:hAnsi="宋体"/>
          <w:color w:val="auto"/>
          <w:sz w:val="24"/>
          <w:szCs w:val="24"/>
          <w:highlight w:val="none"/>
        </w:rPr>
      </w:pPr>
      <w:r>
        <w:rPr>
          <w:rFonts w:ascii="宋体" w:cs="宋体" w:hAnsi="宋体" w:hint="eastAsia"/>
          <w:color w:val="auto"/>
          <w:sz w:val="24"/>
          <w:szCs w:val="24"/>
          <w:highlight w:val="none"/>
        </w:rPr>
        <w:t>5.《响应文件》自开启日起有效期为90日历天。</w:t>
      </w:r>
    </w:p>
    <w:p>
      <w:pPr>
        <w:pStyle w:val="style0"/>
        <w:widowControl w:val="false"/>
        <w:snapToGrid w:val="false"/>
        <w:spacing w:beforeLines="50" w:lineRule="auto" w:line="300"/>
        <w:ind w:firstLine="556"/>
        <w:rPr>
          <w:rFonts w:ascii="宋体" w:cs="宋体" w:hAnsi="宋体"/>
          <w:color w:val="auto"/>
          <w:sz w:val="24"/>
          <w:szCs w:val="24"/>
          <w:highlight w:val="none"/>
        </w:rPr>
      </w:pPr>
      <w:r>
        <w:rPr>
          <w:rFonts w:ascii="宋体" w:cs="宋体" w:hAnsi="宋体" w:hint="eastAsia"/>
          <w:color w:val="auto"/>
          <w:sz w:val="24"/>
          <w:szCs w:val="24"/>
          <w:highlight w:val="none"/>
        </w:rPr>
        <w:t>6.我单位承诺按照《磋商文件》规定的付款方式执行。</w:t>
      </w:r>
    </w:p>
    <w:p>
      <w:pPr>
        <w:pStyle w:val="style0"/>
        <w:widowControl w:val="false"/>
        <w:snapToGrid w:val="false"/>
        <w:spacing w:beforeLines="50" w:lineRule="auto" w:line="300"/>
        <w:ind w:firstLine="556"/>
        <w:rPr>
          <w:rFonts w:ascii="宋体" w:cs="宋体" w:hAnsi="宋体"/>
          <w:color w:val="auto"/>
          <w:sz w:val="24"/>
          <w:szCs w:val="24"/>
          <w:highlight w:val="none"/>
        </w:rPr>
      </w:pPr>
      <w:r>
        <w:rPr>
          <w:rFonts w:ascii="宋体" w:cs="宋体" w:hAnsi="宋体" w:hint="eastAsia"/>
          <w:color w:val="auto"/>
          <w:sz w:val="24"/>
          <w:szCs w:val="24"/>
          <w:highlight w:val="none"/>
        </w:rPr>
        <w:t>7.如果在规定的开标时间后，我单位在投标有效期内撤回投标的，依据磋商文件“第三章3.5.5 违背承诺的责任追究措施”，我单位承担相应法律责任及违约责任。</w:t>
      </w:r>
    </w:p>
    <w:p>
      <w:pPr>
        <w:pStyle w:val="style0"/>
        <w:widowControl w:val="false"/>
        <w:snapToGrid w:val="false"/>
        <w:spacing w:beforeLines="50" w:lineRule="auto" w:line="300"/>
        <w:ind w:firstLine="556"/>
        <w:rPr>
          <w:rFonts w:ascii="宋体" w:cs="宋体" w:hAnsi="宋体"/>
          <w:color w:val="auto"/>
          <w:sz w:val="24"/>
          <w:szCs w:val="24"/>
          <w:highlight w:val="none"/>
        </w:rPr>
      </w:pPr>
      <w:r>
        <w:rPr>
          <w:rFonts w:ascii="宋体" w:cs="宋体" w:hAnsi="宋体" w:hint="eastAsia"/>
          <w:color w:val="auto"/>
          <w:sz w:val="24"/>
          <w:szCs w:val="24"/>
          <w:highlight w:val="none"/>
        </w:rPr>
        <w:t>8. 我单位同意提供按照贵方可能要求的与磋商有关的一切数据或资料，理解贵方不一定要接受最低价的投标或收到的任何投标。</w:t>
      </w:r>
    </w:p>
    <w:p>
      <w:pPr>
        <w:pStyle w:val="style0"/>
        <w:widowControl w:val="false"/>
        <w:snapToGrid w:val="false"/>
        <w:spacing w:lineRule="exact" w:line="560"/>
        <w:ind w:firstLine="555"/>
        <w:rPr>
          <w:rFonts w:ascii="宋体" w:cs="宋体" w:hAnsi="宋体"/>
          <w:color w:val="auto"/>
          <w:sz w:val="24"/>
          <w:szCs w:val="24"/>
          <w:highlight w:val="none"/>
        </w:rPr>
      </w:pPr>
      <w:r>
        <w:rPr>
          <w:rFonts w:ascii="宋体" w:cs="宋体" w:hAnsi="宋体" w:hint="eastAsia"/>
          <w:color w:val="auto"/>
          <w:sz w:val="24"/>
          <w:szCs w:val="24"/>
          <w:highlight w:val="none"/>
        </w:rPr>
        <w:t>9.与本投标有关的一切正式往来请寄：</w:t>
      </w:r>
    </w:p>
    <w:p>
      <w:pPr>
        <w:pStyle w:val="style0"/>
        <w:widowControl w:val="false"/>
        <w:snapToGrid w:val="false"/>
        <w:spacing w:lineRule="exact" w:line="560"/>
        <w:ind w:firstLine="555"/>
        <w:jc w:val="left"/>
        <w:rPr>
          <w:rFonts w:ascii="宋体" w:cs="宋体" w:eastAsia="宋体" w:hAnsi="宋体" w:hint="eastAsia"/>
          <w:color w:val="auto"/>
          <w:sz w:val="24"/>
          <w:szCs w:val="24"/>
          <w:highlight w:val="none"/>
        </w:rPr>
      </w:pPr>
      <w:r>
        <w:rPr>
          <w:rFonts w:ascii="宋体" w:cs="宋体" w:eastAsia="宋体" w:hAnsi="宋体" w:hint="eastAsia"/>
          <w:color w:val="auto"/>
          <w:sz w:val="24"/>
          <w:szCs w:val="24"/>
          <w:highlight w:val="none"/>
        </w:rPr>
        <w:t>地址：</w:t>
      </w:r>
      <w:r>
        <w:rPr>
          <w:rFonts w:ascii="宋体" w:cs="宋体" w:eastAsia="宋体" w:hAnsi="宋体" w:hint="eastAsia"/>
          <w:color w:val="auto"/>
          <w:sz w:val="24"/>
          <w:szCs w:val="24"/>
          <w:highlight w:val="none"/>
        </w:rPr>
        <w:tab/>
      </w:r>
      <w:r>
        <w:rPr>
          <w:rFonts w:ascii="宋体" w:cs="宋体" w:eastAsia="宋体" w:hAnsi="宋体" w:hint="eastAsia"/>
          <w:color w:val="auto"/>
          <w:sz w:val="24"/>
          <w:szCs w:val="24"/>
          <w:highlight w:val="none"/>
        </w:rPr>
        <w:tab/>
      </w:r>
    </w:p>
    <w:p>
      <w:pPr>
        <w:pStyle w:val="style0"/>
        <w:widowControl w:val="false"/>
        <w:snapToGrid w:val="false"/>
        <w:spacing w:lineRule="exact" w:line="560"/>
        <w:ind w:firstLine="555"/>
        <w:jc w:val="left"/>
        <w:rPr>
          <w:rFonts w:ascii="宋体" w:cs="宋体" w:eastAsia="宋体" w:hAnsi="宋体" w:hint="eastAsia"/>
          <w:color w:val="auto"/>
          <w:sz w:val="24"/>
          <w:szCs w:val="24"/>
          <w:highlight w:val="none"/>
        </w:rPr>
      </w:pPr>
      <w:r>
        <w:rPr>
          <w:rFonts w:ascii="宋体" w:cs="宋体" w:eastAsia="宋体" w:hAnsi="宋体" w:hint="eastAsia"/>
          <w:color w:val="auto"/>
          <w:sz w:val="24"/>
          <w:szCs w:val="24"/>
          <w:highlight w:val="none"/>
        </w:rPr>
        <w:t>邮政编码：</w:t>
      </w:r>
      <w:r>
        <w:rPr>
          <w:rFonts w:ascii="宋体" w:cs="宋体" w:eastAsia="宋体" w:hAnsi="宋体" w:hint="eastAsia"/>
          <w:color w:val="auto"/>
          <w:sz w:val="24"/>
          <w:szCs w:val="24"/>
          <w:highlight w:val="none"/>
        </w:rPr>
        <w:tab/>
      </w:r>
    </w:p>
    <w:p>
      <w:pPr>
        <w:pStyle w:val="style0"/>
        <w:widowControl w:val="false"/>
        <w:snapToGrid w:val="false"/>
        <w:spacing w:lineRule="exact" w:line="560"/>
        <w:ind w:firstLine="555"/>
        <w:jc w:val="left"/>
        <w:rPr>
          <w:rFonts w:ascii="宋体" w:cs="宋体" w:eastAsia="宋体" w:hAnsi="宋体" w:hint="eastAsia"/>
          <w:color w:val="auto"/>
          <w:sz w:val="24"/>
          <w:szCs w:val="24"/>
          <w:highlight w:val="none"/>
        </w:rPr>
      </w:pPr>
      <w:r>
        <w:rPr>
          <w:rFonts w:ascii="宋体" w:cs="宋体" w:eastAsia="宋体" w:hAnsi="宋体" w:hint="eastAsia"/>
          <w:color w:val="auto"/>
          <w:sz w:val="24"/>
          <w:szCs w:val="24"/>
          <w:highlight w:val="none"/>
        </w:rPr>
        <w:t>电话：</w:t>
      </w:r>
      <w:r>
        <w:rPr>
          <w:rFonts w:ascii="宋体" w:cs="宋体" w:eastAsia="宋体" w:hAnsi="宋体" w:hint="eastAsia"/>
          <w:color w:val="auto"/>
          <w:sz w:val="24"/>
          <w:szCs w:val="24"/>
          <w:highlight w:val="none"/>
        </w:rPr>
        <w:tab/>
      </w:r>
      <w:r>
        <w:rPr>
          <w:rFonts w:ascii="宋体" w:cs="宋体" w:eastAsia="宋体" w:hAnsi="宋体" w:hint="eastAsia"/>
          <w:color w:val="auto"/>
          <w:sz w:val="24"/>
          <w:szCs w:val="24"/>
          <w:highlight w:val="none"/>
        </w:rPr>
        <w:tab/>
      </w:r>
    </w:p>
    <w:p>
      <w:pPr>
        <w:pStyle w:val="style0"/>
        <w:widowControl w:val="false"/>
        <w:snapToGrid w:val="false"/>
        <w:spacing w:lineRule="exact" w:line="560"/>
        <w:ind w:firstLine="555"/>
        <w:jc w:val="left"/>
        <w:rPr>
          <w:rFonts w:ascii="宋体" w:cs="宋体" w:eastAsia="宋体" w:hAnsi="宋体" w:hint="eastAsia"/>
          <w:color w:val="auto"/>
          <w:sz w:val="24"/>
          <w:szCs w:val="24"/>
          <w:highlight w:val="none"/>
        </w:rPr>
      </w:pPr>
      <w:r>
        <w:rPr>
          <w:rFonts w:ascii="宋体" w:cs="宋体" w:eastAsia="宋体" w:hAnsi="宋体" w:hint="eastAsia"/>
          <w:color w:val="auto"/>
          <w:sz w:val="24"/>
          <w:szCs w:val="24"/>
          <w:highlight w:val="none"/>
        </w:rPr>
        <w:t>传真：</w:t>
      </w:r>
    </w:p>
    <w:p>
      <w:pPr>
        <w:pStyle w:val="style0"/>
        <w:widowControl w:val="false"/>
        <w:snapToGrid w:val="false"/>
        <w:spacing w:lineRule="exact" w:line="560"/>
        <w:ind w:firstLine="555"/>
        <w:jc w:val="left"/>
        <w:rPr>
          <w:rFonts w:ascii="宋体" w:cs="宋体" w:eastAsia="宋体" w:hAnsi="宋体" w:hint="eastAsia"/>
          <w:color w:val="auto"/>
          <w:sz w:val="24"/>
          <w:szCs w:val="24"/>
          <w:highlight w:val="none"/>
          <w:lang w:val="zh-CN"/>
        </w:rPr>
      </w:pPr>
      <w:r>
        <w:rPr>
          <w:rFonts w:ascii="宋体" w:cs="宋体" w:eastAsia="宋体" w:hAnsi="宋体" w:hint="eastAsia"/>
          <w:color w:val="auto"/>
          <w:sz w:val="24"/>
          <w:szCs w:val="24"/>
          <w:highlight w:val="none"/>
        </w:rPr>
        <w:t>供应商（</w:t>
      </w:r>
      <w:r>
        <w:rPr>
          <w:rFonts w:ascii="宋体" w:cs="宋体" w:eastAsia="宋体" w:hAnsi="宋体" w:hint="eastAsia"/>
          <w:color w:val="auto"/>
          <w:sz w:val="24"/>
          <w:szCs w:val="24"/>
          <w:highlight w:val="none"/>
          <w:lang w:val="en-US" w:eastAsia="zh-CN"/>
        </w:rPr>
        <w:t>盖章</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zh-CN"/>
        </w:rPr>
        <w:t>：</w:t>
      </w:r>
    </w:p>
    <w:p>
      <w:pPr>
        <w:pStyle w:val="style0"/>
        <w:widowControl w:val="false"/>
        <w:snapToGrid w:val="false"/>
        <w:spacing w:lineRule="exact" w:line="560"/>
        <w:ind w:firstLine="555"/>
        <w:jc w:val="left"/>
        <w:rPr>
          <w:rFonts w:ascii="宋体" w:cs="宋体" w:eastAsia="宋体" w:hAnsi="宋体" w:hint="eastAsia"/>
          <w:color w:val="auto"/>
          <w:sz w:val="24"/>
          <w:szCs w:val="24"/>
          <w:highlight w:val="none"/>
          <w:lang w:val="zh-CN"/>
        </w:rPr>
      </w:pPr>
      <w:r>
        <w:rPr>
          <w:rFonts w:ascii="宋体" w:cs="宋体" w:eastAsia="宋体" w:hAnsi="宋体" w:hint="eastAsia"/>
          <w:color w:val="auto"/>
          <w:sz w:val="24"/>
          <w:szCs w:val="24"/>
          <w:highlight w:val="none"/>
          <w:lang w:val="zh-CN"/>
        </w:rPr>
        <w:t>法定代表人</w:t>
      </w:r>
      <w:r>
        <w:rPr>
          <w:rFonts w:ascii="宋体" w:cs="宋体" w:eastAsia="宋体" w:hAnsi="宋体" w:hint="eastAsia"/>
          <w:color w:val="auto"/>
          <w:sz w:val="24"/>
          <w:szCs w:val="24"/>
          <w:highlight w:val="none"/>
          <w:lang w:val="en-US" w:eastAsia="zh-CN"/>
        </w:rPr>
        <w:t>或委托代理人</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en-US" w:eastAsia="zh-CN"/>
        </w:rPr>
        <w:t>签字或盖章</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zh-CN"/>
        </w:rPr>
        <w:t xml:space="preserve">：  </w:t>
      </w:r>
    </w:p>
    <w:p>
      <w:pPr>
        <w:pStyle w:val="style0"/>
        <w:widowControl w:val="false"/>
        <w:snapToGrid w:val="false"/>
        <w:spacing w:lineRule="exact" w:line="560"/>
        <w:ind w:firstLine="555"/>
        <w:jc w:val="left"/>
        <w:rPr>
          <w:rFonts w:ascii="宋体" w:cs="宋体" w:eastAsia="宋体" w:hAnsi="宋体" w:hint="eastAsia"/>
          <w:color w:val="auto"/>
          <w:sz w:val="24"/>
          <w:szCs w:val="24"/>
          <w:highlight w:val="none"/>
          <w:lang w:val="zh-CN"/>
        </w:rPr>
      </w:pPr>
      <w:r>
        <w:rPr>
          <w:rFonts w:ascii="宋体" w:cs="宋体" w:eastAsia="宋体" w:hAnsi="宋体" w:hint="eastAsia"/>
          <w:color w:val="auto"/>
          <w:sz w:val="24"/>
          <w:szCs w:val="24"/>
          <w:highlight w:val="none"/>
          <w:lang w:val="zh-CN"/>
        </w:rPr>
        <w:t>日期：   年   月   日</w:t>
      </w:r>
    </w:p>
    <w:p>
      <w:pPr>
        <w:pStyle w:val="style0"/>
        <w:widowControl w:val="false"/>
        <w:snapToGrid w:val="false"/>
        <w:spacing w:lineRule="exact" w:line="560"/>
        <w:ind w:firstLine="555"/>
        <w:jc w:val="left"/>
        <w:rPr>
          <w:rFonts w:ascii="宋体" w:cs="宋体" w:eastAsia="宋体" w:hAnsi="宋体" w:hint="eastAsia"/>
          <w:color w:val="auto"/>
          <w:sz w:val="24"/>
          <w:szCs w:val="24"/>
          <w:highlight w:val="none"/>
        </w:rPr>
      </w:pPr>
      <w:r>
        <w:rPr>
          <w:rFonts w:ascii="宋体" w:cs="宋体" w:eastAsia="宋体" w:hAnsi="宋体" w:hint="eastAsia"/>
          <w:color w:val="auto"/>
          <w:sz w:val="24"/>
          <w:szCs w:val="24"/>
          <w:highlight w:val="none"/>
        </w:rPr>
        <w:br w:type="page"/>
      </w:r>
    </w:p>
    <w:p>
      <w:pPr>
        <w:pStyle w:val="style0"/>
        <w:widowControl w:val="false"/>
        <w:numPr>
          <w:ilvl w:val="0"/>
          <w:numId w:val="0"/>
        </w:numPr>
        <w:snapToGrid w:val="false"/>
        <w:spacing w:lineRule="exact" w:line="560"/>
        <w:jc w:val="center"/>
        <w:rPr>
          <w:rFonts w:ascii="宋体" w:cs="宋体" w:hAnsi="宋体" w:hint="eastAsia"/>
          <w:b/>
          <w:color w:val="auto"/>
          <w:sz w:val="30"/>
          <w:szCs w:val="30"/>
          <w:highlight w:val="none"/>
        </w:rPr>
      </w:pPr>
      <w:r>
        <w:rPr>
          <w:rFonts w:ascii="宋体" w:cs="宋体" w:eastAsia="宋体" w:hAnsi="宋体" w:hint="eastAsia"/>
          <w:b/>
          <w:color w:val="auto"/>
          <w:sz w:val="30"/>
          <w:szCs w:val="30"/>
          <w:u w:color="000000"/>
          <w:lang w:val="en-US" w:bidi="ar-SA" w:eastAsia="zh-CN"/>
        </w:rPr>
        <w:t>二、</w:t>
      </w:r>
      <w:r>
        <w:rPr>
          <w:rFonts w:ascii="宋体" w:cs="宋体" w:hAnsi="宋体" w:hint="eastAsia"/>
          <w:b/>
          <w:color w:val="auto"/>
          <w:sz w:val="30"/>
          <w:szCs w:val="30"/>
          <w:highlight w:val="none"/>
        </w:rPr>
        <w:t>开标一览表</w:t>
      </w:r>
    </w:p>
    <w:p>
      <w:pPr>
        <w:pStyle w:val="style78"/>
        <w:numPr>
          <w:ilvl w:val="0"/>
          <w:numId w:val="0"/>
        </w:numPr>
        <w:rPr/>
      </w:pPr>
    </w:p>
    <w:tbl>
      <w:tblPr>
        <w:tblStyle w:val="style105"/>
        <w:tblW w:w="8899" w:type="dxa"/>
        <w:tblInd w:w="28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
      <w:tblGrid>
        <w:gridCol w:w="1589"/>
        <w:gridCol w:w="7310"/>
      </w:tblGrid>
      <w:tr>
        <w:trPr>
          <w:trHeight w:val="855" w:hRule="atLeast"/>
        </w:trPr>
        <w:tc>
          <w:tcPr>
            <w:tcW w:w="1589" w:type="dxa"/>
            <w:tcBorders/>
            <w:vAlign w:val="center"/>
          </w:tcPr>
          <w:p>
            <w:pPr>
              <w:pStyle w:val="style0"/>
              <w:widowControl w:val="false"/>
              <w:snapToGrid w:val="false"/>
              <w:spacing w:lineRule="auto" w:line="360"/>
              <w:jc w:val="center"/>
              <w:textAlignment w:val="top"/>
              <w:rPr>
                <w:rFonts w:ascii="宋体" w:cs="宋体" w:hAnsi="宋体" w:hint="eastAsia"/>
                <w:color w:val="auto"/>
                <w:sz w:val="24"/>
                <w:szCs w:val="24"/>
                <w:highlight w:val="none"/>
              </w:rPr>
            </w:pPr>
            <w:r>
              <w:rPr>
                <w:rFonts w:ascii="宋体" w:cs="宋体" w:hAnsi="宋体" w:hint="eastAsia"/>
                <w:color w:val="auto"/>
                <w:sz w:val="24"/>
                <w:szCs w:val="24"/>
                <w:highlight w:val="none"/>
              </w:rPr>
              <w:t>项目名称</w:t>
            </w:r>
          </w:p>
        </w:tc>
        <w:tc>
          <w:tcPr>
            <w:tcW w:w="7310" w:type="dxa"/>
            <w:tcBorders/>
          </w:tcPr>
          <w:p>
            <w:pPr>
              <w:pStyle w:val="style0"/>
              <w:widowControl w:val="false"/>
              <w:snapToGrid w:val="false"/>
              <w:spacing w:lineRule="auto" w:line="360"/>
              <w:textAlignment w:val="top"/>
              <w:rPr>
                <w:rFonts w:ascii="宋体" w:cs="宋体" w:hAnsi="宋体" w:hint="eastAsia"/>
                <w:color w:val="auto"/>
                <w:sz w:val="24"/>
                <w:szCs w:val="24"/>
                <w:highlight w:val="none"/>
              </w:rPr>
            </w:pPr>
          </w:p>
        </w:tc>
      </w:tr>
      <w:tr>
        <w:tblPrEx/>
        <w:trPr>
          <w:trHeight w:val="886" w:hRule="atLeast"/>
        </w:trPr>
        <w:tc>
          <w:tcPr>
            <w:tcW w:w="1589" w:type="dxa"/>
            <w:tcBorders/>
            <w:vAlign w:val="center"/>
          </w:tcPr>
          <w:p>
            <w:pPr>
              <w:pStyle w:val="style0"/>
              <w:widowControl w:val="false"/>
              <w:snapToGrid w:val="false"/>
              <w:spacing w:lineRule="auto" w:line="360"/>
              <w:jc w:val="center"/>
              <w:textAlignment w:val="top"/>
              <w:rPr>
                <w:rFonts w:ascii="宋体" w:cs="宋体" w:hAnsi="宋体" w:hint="eastAsia"/>
                <w:color w:val="auto"/>
                <w:sz w:val="24"/>
                <w:szCs w:val="24"/>
                <w:highlight w:val="none"/>
              </w:rPr>
            </w:pPr>
            <w:r>
              <w:rPr>
                <w:rFonts w:ascii="宋体" w:cs="宋体" w:hAnsi="宋体" w:hint="eastAsia"/>
                <w:color w:val="auto"/>
                <w:sz w:val="24"/>
                <w:szCs w:val="24"/>
                <w:highlight w:val="none"/>
              </w:rPr>
              <w:t>项目编号</w:t>
            </w:r>
          </w:p>
        </w:tc>
        <w:tc>
          <w:tcPr>
            <w:tcW w:w="7310" w:type="dxa"/>
            <w:tcBorders/>
          </w:tcPr>
          <w:p>
            <w:pPr>
              <w:pStyle w:val="style0"/>
              <w:widowControl w:val="false"/>
              <w:snapToGrid w:val="false"/>
              <w:spacing w:lineRule="auto" w:line="360"/>
              <w:textAlignment w:val="top"/>
              <w:rPr>
                <w:rFonts w:ascii="宋体" w:cs="宋体" w:hAnsi="宋体" w:hint="eastAsia"/>
                <w:color w:val="auto"/>
                <w:sz w:val="24"/>
                <w:szCs w:val="24"/>
                <w:highlight w:val="none"/>
              </w:rPr>
            </w:pPr>
          </w:p>
        </w:tc>
      </w:tr>
      <w:tr>
        <w:tblPrEx/>
        <w:trPr>
          <w:trHeight w:val="785" w:hRule="atLeast"/>
        </w:trPr>
        <w:tc>
          <w:tcPr>
            <w:tcW w:w="1589" w:type="dxa"/>
            <w:tcBorders/>
            <w:vAlign w:val="center"/>
          </w:tcPr>
          <w:p>
            <w:pPr>
              <w:pStyle w:val="style0"/>
              <w:widowControl w:val="false"/>
              <w:snapToGrid w:val="false"/>
              <w:spacing w:lineRule="auto" w:line="360"/>
              <w:jc w:val="center"/>
              <w:textAlignment w:val="top"/>
              <w:rPr>
                <w:rFonts w:ascii="宋体" w:cs="宋体" w:eastAsia="宋体" w:hAnsi="宋体" w:hint="eastAsia"/>
                <w:color w:val="auto"/>
                <w:sz w:val="24"/>
                <w:szCs w:val="24"/>
                <w:highlight w:val="none"/>
                <w:lang w:eastAsia="zh-CN"/>
              </w:rPr>
            </w:pPr>
            <w:r>
              <w:rPr>
                <w:rFonts w:ascii="宋体" w:cs="宋体" w:hAnsi="宋体" w:hint="eastAsia"/>
                <w:color w:val="auto"/>
                <w:sz w:val="24"/>
                <w:szCs w:val="24"/>
                <w:highlight w:val="none"/>
                <w:lang w:eastAsia="zh-CN"/>
              </w:rPr>
              <w:t>供应商</w:t>
            </w:r>
          </w:p>
        </w:tc>
        <w:tc>
          <w:tcPr>
            <w:tcW w:w="7310" w:type="dxa"/>
            <w:tcBorders/>
          </w:tcPr>
          <w:p>
            <w:pPr>
              <w:pStyle w:val="style0"/>
              <w:widowControl w:val="false"/>
              <w:snapToGrid w:val="false"/>
              <w:spacing w:lineRule="auto" w:line="360"/>
              <w:textAlignment w:val="top"/>
              <w:rPr>
                <w:rFonts w:ascii="宋体" w:cs="宋体" w:hAnsi="宋体" w:hint="eastAsia"/>
                <w:color w:val="auto"/>
                <w:sz w:val="24"/>
                <w:szCs w:val="24"/>
                <w:highlight w:val="none"/>
              </w:rPr>
            </w:pPr>
          </w:p>
        </w:tc>
      </w:tr>
      <w:tr>
        <w:tblPrEx/>
        <w:trPr>
          <w:trHeight w:val="1002" w:hRule="atLeast"/>
        </w:trPr>
        <w:tc>
          <w:tcPr>
            <w:tcW w:w="1589" w:type="dxa"/>
            <w:tcBorders/>
            <w:vAlign w:val="center"/>
          </w:tcPr>
          <w:p>
            <w:pPr>
              <w:pStyle w:val="style0"/>
              <w:widowControl w:val="false"/>
              <w:snapToGrid w:val="false"/>
              <w:spacing w:lineRule="auto" w:line="360"/>
              <w:jc w:val="center"/>
              <w:textAlignment w:val="top"/>
              <w:rPr>
                <w:rFonts w:ascii="宋体" w:cs="宋体" w:hAnsi="宋体" w:hint="eastAsia"/>
                <w:color w:val="auto"/>
                <w:sz w:val="24"/>
                <w:szCs w:val="24"/>
                <w:highlight w:val="none"/>
              </w:rPr>
            </w:pPr>
            <w:r>
              <w:rPr>
                <w:rFonts w:ascii="宋体" w:cs="宋体" w:hAnsi="宋体" w:hint="eastAsia"/>
                <w:color w:val="auto"/>
                <w:sz w:val="24"/>
                <w:szCs w:val="24"/>
                <w:highlight w:val="none"/>
              </w:rPr>
              <w:t>服务内容</w:t>
            </w:r>
          </w:p>
        </w:tc>
        <w:tc>
          <w:tcPr>
            <w:tcW w:w="7310" w:type="dxa"/>
            <w:tcBorders/>
          </w:tcPr>
          <w:p>
            <w:pPr>
              <w:pStyle w:val="style0"/>
              <w:widowControl w:val="false"/>
              <w:snapToGrid w:val="false"/>
              <w:spacing w:lineRule="auto" w:line="360"/>
              <w:textAlignment w:val="top"/>
              <w:rPr>
                <w:rFonts w:ascii="宋体" w:cs="宋体" w:hAnsi="宋体" w:hint="eastAsia"/>
                <w:color w:val="auto"/>
                <w:sz w:val="24"/>
                <w:szCs w:val="24"/>
                <w:highlight w:val="none"/>
              </w:rPr>
            </w:pPr>
          </w:p>
        </w:tc>
      </w:tr>
      <w:tr>
        <w:tblPrEx/>
        <w:trPr>
          <w:trHeight w:val="1866" w:hRule="atLeast"/>
        </w:trPr>
        <w:tc>
          <w:tcPr>
            <w:tcW w:w="1589" w:type="dxa"/>
            <w:tcBorders/>
            <w:vAlign w:val="center"/>
          </w:tcPr>
          <w:p>
            <w:pPr>
              <w:pStyle w:val="style0"/>
              <w:widowControl w:val="false"/>
              <w:snapToGrid w:val="false"/>
              <w:spacing w:lineRule="auto" w:line="360"/>
              <w:jc w:val="center"/>
              <w:textAlignment w:val="top"/>
              <w:rPr>
                <w:rFonts w:ascii="宋体" w:cs="宋体" w:hAnsi="宋体" w:hint="eastAsia"/>
                <w:color w:val="auto"/>
                <w:sz w:val="24"/>
                <w:szCs w:val="24"/>
                <w:highlight w:val="none"/>
              </w:rPr>
            </w:pPr>
            <w:r>
              <w:rPr>
                <w:rFonts w:ascii="宋体" w:cs="宋体" w:hAnsi="宋体" w:hint="eastAsia"/>
                <w:color w:val="auto"/>
                <w:sz w:val="24"/>
                <w:szCs w:val="24"/>
                <w:highlight w:val="none"/>
              </w:rPr>
              <w:t>投标报价(折扣率)</w:t>
            </w:r>
          </w:p>
        </w:tc>
        <w:tc>
          <w:tcPr>
            <w:tcW w:w="7310" w:type="dxa"/>
            <w:tcBorders/>
            <w:vAlign w:val="center"/>
          </w:tcPr>
          <w:p>
            <w:pPr>
              <w:pStyle w:val="style0"/>
              <w:widowControl w:val="false"/>
              <w:snapToGrid w:val="false"/>
              <w:spacing w:lineRule="auto" w:line="360"/>
              <w:textAlignment w:val="top"/>
              <w:rPr>
                <w:rFonts w:ascii="宋体" w:cs="宋体" w:hAnsi="宋体" w:hint="eastAsia"/>
                <w:color w:val="auto"/>
                <w:sz w:val="24"/>
                <w:szCs w:val="24"/>
                <w:highlight w:val="none"/>
                <w:u w:val="single"/>
              </w:rPr>
            </w:pPr>
            <w:r>
              <w:rPr>
                <w:rFonts w:ascii="宋体" w:cs="宋体" w:hAnsi="宋体" w:hint="eastAsia"/>
                <w:color w:val="auto"/>
                <w:sz w:val="24"/>
                <w:szCs w:val="24"/>
                <w:highlight w:val="none"/>
              </w:rPr>
              <w:t>大写：</w:t>
            </w:r>
            <w:r>
              <w:rPr>
                <w:rFonts w:ascii="宋体" w:cs="宋体" w:hAnsi="宋体" w:hint="eastAsia"/>
                <w:color w:val="auto"/>
                <w:sz w:val="24"/>
                <w:szCs w:val="24"/>
                <w:highlight w:val="none"/>
                <w:u w:val="single"/>
              </w:rPr>
              <w:t xml:space="preserve">                  </w:t>
            </w:r>
          </w:p>
          <w:p>
            <w:pPr>
              <w:pStyle w:val="style0"/>
              <w:widowControl w:val="false"/>
              <w:snapToGrid w:val="false"/>
              <w:spacing w:lineRule="auto" w:line="360"/>
              <w:textAlignment w:val="top"/>
              <w:rPr>
                <w:rFonts w:ascii="宋体" w:cs="宋体" w:hAnsi="宋体" w:hint="eastAsia"/>
                <w:color w:val="auto"/>
                <w:sz w:val="24"/>
                <w:szCs w:val="24"/>
                <w:highlight w:val="none"/>
              </w:rPr>
            </w:pPr>
            <w:r>
              <w:rPr>
                <w:rFonts w:ascii="宋体" w:cs="宋体" w:hAnsi="宋体" w:hint="eastAsia"/>
                <w:color w:val="auto"/>
                <w:sz w:val="24"/>
                <w:szCs w:val="24"/>
                <w:highlight w:val="none"/>
              </w:rPr>
              <w:t>小写：</w:t>
            </w:r>
            <w:r>
              <w:rPr>
                <w:rFonts w:ascii="宋体" w:cs="宋体" w:hAnsi="宋体" w:hint="eastAsia"/>
                <w:color w:val="auto"/>
                <w:sz w:val="24"/>
                <w:szCs w:val="24"/>
                <w:highlight w:val="none"/>
                <w:u w:val="single"/>
              </w:rPr>
              <w:t xml:space="preserve">                  </w:t>
            </w:r>
            <w:r>
              <w:rPr>
                <w:rFonts w:ascii="宋体" w:cs="宋体" w:hAnsi="宋体" w:hint="eastAsia"/>
                <w:color w:val="auto"/>
                <w:sz w:val="24"/>
                <w:szCs w:val="24"/>
                <w:highlight w:val="none"/>
              </w:rPr>
              <w:t>%</w:t>
            </w:r>
          </w:p>
        </w:tc>
      </w:tr>
      <w:tr>
        <w:tblPrEx/>
        <w:trPr>
          <w:trHeight w:val="904" w:hRule="atLeast"/>
        </w:trPr>
        <w:tc>
          <w:tcPr>
            <w:tcW w:w="1589" w:type="dxa"/>
            <w:tcBorders/>
            <w:vAlign w:val="center"/>
          </w:tcPr>
          <w:p>
            <w:pPr>
              <w:pStyle w:val="style0"/>
              <w:widowControl w:val="false"/>
              <w:snapToGrid w:val="false"/>
              <w:spacing w:lineRule="auto" w:line="360"/>
              <w:jc w:val="center"/>
              <w:textAlignment w:val="top"/>
              <w:rPr>
                <w:rFonts w:ascii="宋体" w:cs="宋体" w:hAnsi="宋体" w:hint="eastAsia"/>
                <w:color w:val="auto"/>
                <w:sz w:val="24"/>
                <w:szCs w:val="24"/>
                <w:highlight w:val="none"/>
              </w:rPr>
            </w:pPr>
            <w:r>
              <w:rPr>
                <w:rFonts w:ascii="宋体" w:cs="宋体" w:hAnsi="宋体" w:hint="eastAsia"/>
                <w:color w:val="auto"/>
                <w:sz w:val="24"/>
                <w:szCs w:val="24"/>
                <w:highlight w:val="none"/>
              </w:rPr>
              <w:t>投标有效期</w:t>
            </w:r>
          </w:p>
        </w:tc>
        <w:tc>
          <w:tcPr>
            <w:tcW w:w="7310" w:type="dxa"/>
            <w:tcBorders/>
            <w:vAlign w:val="center"/>
          </w:tcPr>
          <w:p>
            <w:pPr>
              <w:pStyle w:val="style0"/>
              <w:widowControl w:val="false"/>
              <w:snapToGrid w:val="false"/>
              <w:spacing w:lineRule="auto" w:line="360"/>
              <w:textAlignment w:val="top"/>
              <w:rPr>
                <w:rFonts w:ascii="宋体" w:cs="宋体" w:hAnsi="宋体" w:hint="eastAsia"/>
                <w:color w:val="auto"/>
                <w:sz w:val="24"/>
                <w:szCs w:val="24"/>
                <w:highlight w:val="none"/>
              </w:rPr>
            </w:pPr>
          </w:p>
        </w:tc>
      </w:tr>
      <w:tr>
        <w:tblPrEx/>
        <w:trPr>
          <w:trHeight w:val="665" w:hRule="atLeast"/>
        </w:trPr>
        <w:tc>
          <w:tcPr>
            <w:tcW w:w="1589" w:type="dxa"/>
            <w:tcBorders/>
            <w:vAlign w:val="center"/>
          </w:tcPr>
          <w:p>
            <w:pPr>
              <w:pStyle w:val="style0"/>
              <w:widowControl w:val="false"/>
              <w:snapToGrid w:val="false"/>
              <w:spacing w:lineRule="auto" w:line="360"/>
              <w:jc w:val="center"/>
              <w:textAlignment w:val="top"/>
              <w:rPr>
                <w:rFonts w:ascii="宋体" w:cs="宋体" w:hAnsi="宋体" w:hint="eastAsia"/>
                <w:color w:val="auto"/>
                <w:sz w:val="24"/>
                <w:szCs w:val="24"/>
                <w:highlight w:val="none"/>
              </w:rPr>
            </w:pPr>
            <w:r>
              <w:rPr>
                <w:rFonts w:ascii="宋体" w:hAnsi="宋体" w:hint="eastAsia"/>
                <w:color w:val="auto"/>
                <w:sz w:val="24"/>
                <w:szCs w:val="24"/>
                <w:highlight w:val="none"/>
              </w:rPr>
              <w:t>合同履行期限</w:t>
            </w:r>
          </w:p>
        </w:tc>
        <w:tc>
          <w:tcPr>
            <w:tcW w:w="7310" w:type="dxa"/>
            <w:tcBorders/>
          </w:tcPr>
          <w:p>
            <w:pPr>
              <w:pStyle w:val="style0"/>
              <w:widowControl w:val="false"/>
              <w:snapToGrid w:val="false"/>
              <w:spacing w:lineRule="auto" w:line="360"/>
              <w:textAlignment w:val="top"/>
              <w:rPr>
                <w:rFonts w:ascii="宋体" w:cs="宋体" w:hAnsi="宋体" w:hint="eastAsia"/>
                <w:color w:val="auto"/>
                <w:sz w:val="24"/>
                <w:szCs w:val="24"/>
                <w:highlight w:val="none"/>
              </w:rPr>
            </w:pPr>
          </w:p>
        </w:tc>
      </w:tr>
      <w:tr>
        <w:tblPrEx/>
        <w:trPr>
          <w:trHeight w:val="1049" w:hRule="atLeast"/>
        </w:trPr>
        <w:tc>
          <w:tcPr>
            <w:tcW w:w="1589" w:type="dxa"/>
            <w:tcBorders/>
            <w:vAlign w:val="center"/>
          </w:tcPr>
          <w:p>
            <w:pPr>
              <w:pStyle w:val="style0"/>
              <w:widowControl w:val="false"/>
              <w:snapToGrid w:val="false"/>
              <w:spacing w:lineRule="auto" w:line="360"/>
              <w:jc w:val="center"/>
              <w:textAlignment w:val="top"/>
              <w:rPr>
                <w:rFonts w:ascii="宋体" w:cs="宋体" w:hAnsi="宋体" w:hint="eastAsia"/>
                <w:color w:val="auto"/>
                <w:sz w:val="24"/>
                <w:szCs w:val="24"/>
                <w:highlight w:val="none"/>
              </w:rPr>
            </w:pPr>
          </w:p>
          <w:p>
            <w:pPr>
              <w:pStyle w:val="style0"/>
              <w:widowControl w:val="false"/>
              <w:snapToGrid w:val="false"/>
              <w:spacing w:lineRule="auto" w:line="360"/>
              <w:jc w:val="center"/>
              <w:textAlignment w:val="top"/>
              <w:rPr>
                <w:rFonts w:ascii="宋体" w:cs="宋体" w:hAnsi="宋体" w:hint="eastAsia"/>
                <w:color w:val="auto"/>
                <w:sz w:val="24"/>
                <w:szCs w:val="24"/>
                <w:highlight w:val="none"/>
              </w:rPr>
            </w:pPr>
            <w:r>
              <w:rPr>
                <w:rFonts w:ascii="宋体" w:cs="宋体" w:hAnsi="宋体" w:hint="eastAsia"/>
                <w:color w:val="auto"/>
                <w:sz w:val="24"/>
                <w:szCs w:val="24"/>
                <w:highlight w:val="none"/>
              </w:rPr>
              <w:t>备注</w:t>
            </w:r>
          </w:p>
        </w:tc>
        <w:tc>
          <w:tcPr>
            <w:tcW w:w="7310" w:type="dxa"/>
            <w:tcBorders/>
          </w:tcPr>
          <w:p>
            <w:pPr>
              <w:pStyle w:val="style0"/>
              <w:widowControl w:val="false"/>
              <w:snapToGrid w:val="false"/>
              <w:spacing w:lineRule="auto" w:line="360"/>
              <w:textAlignment w:val="top"/>
              <w:rPr>
                <w:rFonts w:ascii="宋体" w:cs="宋体" w:hAnsi="宋体" w:hint="eastAsia"/>
                <w:color w:val="auto"/>
                <w:sz w:val="24"/>
                <w:szCs w:val="24"/>
                <w:highlight w:val="none"/>
              </w:rPr>
            </w:pPr>
          </w:p>
        </w:tc>
      </w:tr>
    </w:tbl>
    <w:p>
      <w:pPr>
        <w:pStyle w:val="style0"/>
        <w:widowControl w:val="false"/>
        <w:snapToGrid w:val="false"/>
        <w:spacing w:lineRule="exact" w:line="560"/>
        <w:ind w:leftChars="500" w:firstLine="555"/>
        <w:jc w:val="left"/>
        <w:rPr>
          <w:rFonts w:ascii="宋体" w:cs="宋体" w:eastAsia="宋体" w:hAnsi="宋体" w:hint="eastAsia"/>
          <w:color w:val="auto"/>
          <w:sz w:val="24"/>
          <w:szCs w:val="24"/>
          <w:highlight w:val="none"/>
        </w:rPr>
      </w:pPr>
    </w:p>
    <w:p>
      <w:pPr>
        <w:pStyle w:val="style0"/>
        <w:widowControl w:val="false"/>
        <w:snapToGrid w:val="false"/>
        <w:spacing w:lineRule="exact" w:line="560"/>
        <w:ind w:leftChars="500" w:firstLine="555"/>
        <w:jc w:val="left"/>
        <w:rPr>
          <w:rFonts w:ascii="宋体" w:cs="宋体" w:eastAsia="宋体" w:hAnsi="宋体" w:hint="eastAsia"/>
          <w:color w:val="auto"/>
          <w:sz w:val="24"/>
          <w:szCs w:val="24"/>
          <w:highlight w:val="none"/>
          <w:lang w:val="zh-CN"/>
        </w:rPr>
      </w:pPr>
      <w:r>
        <w:rPr>
          <w:rFonts w:ascii="宋体" w:cs="宋体" w:eastAsia="宋体" w:hAnsi="宋体" w:hint="eastAsia"/>
          <w:color w:val="auto"/>
          <w:sz w:val="24"/>
          <w:szCs w:val="24"/>
          <w:highlight w:val="none"/>
        </w:rPr>
        <w:t>供应商（</w:t>
      </w:r>
      <w:r>
        <w:rPr>
          <w:rFonts w:ascii="宋体" w:cs="宋体" w:eastAsia="宋体" w:hAnsi="宋体" w:hint="eastAsia"/>
          <w:color w:val="auto"/>
          <w:sz w:val="24"/>
          <w:szCs w:val="24"/>
          <w:highlight w:val="none"/>
          <w:lang w:val="en-US" w:eastAsia="zh-CN"/>
        </w:rPr>
        <w:t>盖章</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zh-CN"/>
        </w:rPr>
        <w:t>：</w:t>
      </w:r>
    </w:p>
    <w:p>
      <w:pPr>
        <w:pStyle w:val="style0"/>
        <w:widowControl w:val="false"/>
        <w:snapToGrid w:val="false"/>
        <w:spacing w:lineRule="exact" w:line="560"/>
        <w:ind w:leftChars="500" w:firstLine="555"/>
        <w:jc w:val="left"/>
        <w:rPr>
          <w:rFonts w:ascii="宋体" w:cs="宋体" w:eastAsia="宋体" w:hAnsi="宋体" w:hint="eastAsia"/>
          <w:color w:val="auto"/>
          <w:sz w:val="24"/>
          <w:szCs w:val="24"/>
          <w:highlight w:val="none"/>
          <w:lang w:val="zh-CN"/>
        </w:rPr>
      </w:pPr>
      <w:r>
        <w:rPr>
          <w:rFonts w:ascii="宋体" w:cs="宋体" w:eastAsia="宋体" w:hAnsi="宋体" w:hint="eastAsia"/>
          <w:color w:val="auto"/>
          <w:sz w:val="24"/>
          <w:szCs w:val="24"/>
          <w:highlight w:val="none"/>
          <w:lang w:val="zh-CN"/>
        </w:rPr>
        <w:t>法定代表人</w:t>
      </w:r>
      <w:r>
        <w:rPr>
          <w:rFonts w:ascii="宋体" w:cs="宋体" w:eastAsia="宋体" w:hAnsi="宋体" w:hint="eastAsia"/>
          <w:color w:val="auto"/>
          <w:sz w:val="24"/>
          <w:szCs w:val="24"/>
          <w:highlight w:val="none"/>
          <w:lang w:val="en-US" w:eastAsia="zh-CN"/>
        </w:rPr>
        <w:t>或委托代理人</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en-US" w:eastAsia="zh-CN"/>
        </w:rPr>
        <w:t>签字或盖章</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zh-CN"/>
        </w:rPr>
        <w:t xml:space="preserve">：  </w:t>
      </w:r>
    </w:p>
    <w:p>
      <w:pPr>
        <w:pStyle w:val="style0"/>
        <w:widowControl w:val="false"/>
        <w:snapToGrid w:val="false"/>
        <w:spacing w:lineRule="exact" w:line="560"/>
        <w:ind w:leftChars="500" w:firstLine="555"/>
        <w:jc w:val="left"/>
        <w:rPr>
          <w:rFonts w:ascii="宋体" w:cs="宋体" w:eastAsia="宋体" w:hAnsi="宋体" w:hint="eastAsia"/>
          <w:color w:val="auto"/>
          <w:sz w:val="24"/>
          <w:szCs w:val="24"/>
          <w:highlight w:val="none"/>
          <w:lang w:val="zh-CN"/>
        </w:rPr>
      </w:pPr>
      <w:r>
        <w:rPr>
          <w:rFonts w:ascii="宋体" w:cs="宋体" w:eastAsia="宋体" w:hAnsi="宋体" w:hint="eastAsia"/>
          <w:color w:val="auto"/>
          <w:sz w:val="24"/>
          <w:szCs w:val="24"/>
          <w:highlight w:val="none"/>
          <w:lang w:val="zh-CN"/>
        </w:rPr>
        <w:t>日期：   年   月   日</w:t>
      </w:r>
    </w:p>
    <w:p>
      <w:pPr>
        <w:pStyle w:val="style0"/>
        <w:widowControl w:val="false"/>
        <w:snapToGrid w:val="false"/>
        <w:spacing w:lineRule="exact" w:line="560"/>
        <w:jc w:val="left"/>
        <w:rPr>
          <w:rFonts w:ascii="宋体" w:cs="宋体" w:hAnsi="宋体"/>
          <w:b/>
          <w:color w:val="auto"/>
          <w:sz w:val="24"/>
          <w:szCs w:val="24"/>
          <w:highlight w:val="none"/>
        </w:rPr>
      </w:pPr>
    </w:p>
    <w:p>
      <w:pPr>
        <w:pStyle w:val="style0"/>
        <w:widowControl w:val="false"/>
        <w:snapToGrid w:val="false"/>
        <w:spacing w:lineRule="exact" w:line="560"/>
        <w:ind w:firstLine="482" w:firstLineChars="200"/>
        <w:jc w:val="left"/>
        <w:rPr>
          <w:rFonts w:ascii="宋体" w:cs="宋体" w:hAnsi="宋体"/>
          <w:b/>
          <w:color w:val="auto"/>
          <w:sz w:val="24"/>
          <w:szCs w:val="24"/>
          <w:highlight w:val="none"/>
        </w:rPr>
      </w:pPr>
    </w:p>
    <w:p>
      <w:pPr>
        <w:pStyle w:val="style0"/>
        <w:widowControl w:val="false"/>
        <w:snapToGrid w:val="false"/>
        <w:spacing w:lineRule="exact" w:line="560"/>
        <w:ind w:firstLine="482" w:firstLineChars="200"/>
        <w:jc w:val="left"/>
        <w:rPr>
          <w:rFonts w:ascii="宋体" w:cs="宋体" w:hAnsi="宋体"/>
          <w:b/>
          <w:color w:val="auto"/>
          <w:sz w:val="24"/>
          <w:szCs w:val="24"/>
          <w:highlight w:val="none"/>
        </w:rPr>
      </w:pPr>
      <w:r>
        <w:rPr>
          <w:rFonts w:ascii="宋体" w:cs="宋体" w:hAnsi="宋体" w:hint="eastAsia"/>
          <w:b/>
          <w:color w:val="auto"/>
          <w:sz w:val="24"/>
          <w:szCs w:val="24"/>
          <w:highlight w:val="none"/>
        </w:rPr>
        <w:br w:type="page"/>
      </w:r>
    </w:p>
    <w:p>
      <w:pPr>
        <w:pStyle w:val="style0"/>
        <w:widowControl w:val="false"/>
        <w:snapToGrid w:val="false"/>
        <w:spacing w:lineRule="exact" w:line="560"/>
        <w:jc w:val="center"/>
        <w:rPr>
          <w:rFonts w:ascii="宋体" w:cs="宋体" w:hAnsi="宋体"/>
          <w:b/>
          <w:color w:val="auto"/>
          <w:sz w:val="30"/>
          <w:szCs w:val="30"/>
          <w:highlight w:val="none"/>
        </w:rPr>
      </w:pPr>
      <w:r>
        <w:rPr>
          <w:rFonts w:ascii="宋体" w:cs="宋体" w:hAnsi="宋体" w:hint="eastAsia"/>
          <w:b/>
          <w:color w:val="auto"/>
          <w:sz w:val="30"/>
          <w:szCs w:val="30"/>
          <w:highlight w:val="none"/>
          <w:lang w:val="en-US" w:eastAsia="zh-CN"/>
        </w:rPr>
        <w:t>三</w:t>
      </w:r>
      <w:r>
        <w:rPr>
          <w:rFonts w:ascii="宋体" w:cs="宋体" w:hAnsi="宋体" w:hint="eastAsia"/>
          <w:b/>
          <w:color w:val="auto"/>
          <w:sz w:val="30"/>
          <w:szCs w:val="30"/>
          <w:highlight w:val="none"/>
        </w:rPr>
        <w:t>、</w:t>
      </w:r>
      <w:r>
        <w:rPr>
          <w:rFonts w:ascii="宋体" w:cs="宋体" w:hAnsi="宋体" w:hint="eastAsia"/>
          <w:b/>
          <w:color w:val="auto"/>
          <w:sz w:val="30"/>
          <w:szCs w:val="30"/>
          <w:highlight w:val="none"/>
          <w:lang w:val="en-US" w:eastAsia="zh-CN"/>
        </w:rPr>
        <w:t>技术（服务）方案</w:t>
      </w:r>
    </w:p>
    <w:p>
      <w:pPr>
        <w:pStyle w:val="style0"/>
        <w:widowControl w:val="false"/>
        <w:snapToGrid w:val="false"/>
        <w:spacing w:lineRule="exact" w:line="560"/>
        <w:jc w:val="center"/>
        <w:rPr>
          <w:rFonts w:ascii="宋体" w:cs="宋体" w:hAnsi="宋体"/>
          <w:b/>
          <w:color w:val="auto"/>
          <w:sz w:val="30"/>
          <w:szCs w:val="30"/>
          <w:highlight w:val="none"/>
        </w:rPr>
      </w:pPr>
      <w:r>
        <w:rPr>
          <w:rFonts w:ascii="宋体" w:cs="宋体" w:hAnsi="宋体" w:hint="eastAsia"/>
          <w:b/>
          <w:color w:val="auto"/>
          <w:sz w:val="30"/>
          <w:szCs w:val="30"/>
          <w:highlight w:val="none"/>
        </w:rPr>
        <w:t>（格式自定）</w:t>
      </w:r>
    </w:p>
    <w:p>
      <w:pPr>
        <w:pStyle w:val="style94"/>
        <w:adjustRightInd w:val="false"/>
        <w:snapToGrid w:val="false"/>
        <w:spacing w:before="0" w:beforeAutospacing="false" w:after="0" w:afterAutospacing="false"/>
        <w:rPr>
          <w:color w:val="auto"/>
          <w:highlight w:val="none"/>
          <w:u w:val="single"/>
        </w:rPr>
      </w:pPr>
      <w:r>
        <w:rPr>
          <w:rFonts w:hint="eastAsia"/>
          <w:color w:val="auto"/>
          <w:highlight w:val="none"/>
        </w:rPr>
        <w:t>项目名称：</w:t>
      </w:r>
    </w:p>
    <w:p>
      <w:pPr>
        <w:pStyle w:val="style94"/>
        <w:adjustRightInd w:val="false"/>
        <w:snapToGrid w:val="false"/>
        <w:spacing w:before="0" w:beforeAutospacing="false" w:after="0" w:afterAutospacing="false"/>
        <w:rPr>
          <w:color w:val="auto"/>
          <w:highlight w:val="none"/>
        </w:rPr>
      </w:pPr>
      <w:r>
        <w:rPr>
          <w:rFonts w:hint="eastAsia"/>
          <w:color w:val="auto"/>
          <w:highlight w:val="none"/>
        </w:rPr>
        <w:t>项目编号：</w:t>
      </w:r>
    </w:p>
    <w:p>
      <w:pPr>
        <w:pStyle w:val="style0"/>
        <w:widowControl w:val="false"/>
        <w:snapToGrid w:val="false"/>
        <w:spacing w:lineRule="exact" w:line="560"/>
        <w:jc w:val="center"/>
        <w:rPr>
          <w:rFonts w:ascii="宋体" w:cs="宋体" w:hAnsi="宋体"/>
          <w:color w:val="auto"/>
          <w:highlight w:val="none"/>
        </w:rPr>
      </w:pPr>
    </w:p>
    <w:p>
      <w:pPr>
        <w:pStyle w:val="style0"/>
        <w:widowControl w:val="false"/>
        <w:snapToGrid w:val="false"/>
        <w:spacing w:lineRule="exact" w:line="560"/>
        <w:jc w:val="center"/>
        <w:rPr>
          <w:rFonts w:ascii="宋体" w:cs="宋体" w:hAnsi="宋体"/>
          <w:color w:val="auto"/>
          <w:sz w:val="28"/>
          <w:highlight w:val="none"/>
        </w:rPr>
      </w:pPr>
    </w:p>
    <w:p>
      <w:pPr>
        <w:pStyle w:val="style0"/>
        <w:widowControl w:val="false"/>
        <w:snapToGrid w:val="false"/>
        <w:spacing w:lineRule="exact" w:line="560"/>
        <w:jc w:val="center"/>
        <w:rPr>
          <w:rFonts w:ascii="宋体" w:cs="宋体" w:hAnsi="宋体"/>
          <w:color w:val="auto"/>
          <w:sz w:val="28"/>
          <w:highlight w:val="none"/>
        </w:rPr>
      </w:pPr>
    </w:p>
    <w:p>
      <w:pPr>
        <w:pStyle w:val="style0"/>
        <w:widowControl w:val="false"/>
        <w:snapToGrid w:val="false"/>
        <w:spacing w:lineRule="exact" w:line="560"/>
        <w:jc w:val="center"/>
        <w:rPr>
          <w:rFonts w:ascii="宋体" w:cs="宋体" w:hAnsi="宋体"/>
          <w:color w:val="auto"/>
          <w:sz w:val="28"/>
          <w:highlight w:val="none"/>
        </w:rPr>
      </w:pPr>
    </w:p>
    <w:p>
      <w:pPr>
        <w:pStyle w:val="style0"/>
        <w:widowControl w:val="false"/>
        <w:snapToGrid w:val="false"/>
        <w:spacing w:lineRule="exact" w:line="560"/>
        <w:jc w:val="center"/>
        <w:rPr>
          <w:rFonts w:ascii="宋体" w:cs="宋体" w:hAnsi="宋体"/>
          <w:color w:val="auto"/>
          <w:sz w:val="28"/>
          <w:highlight w:val="none"/>
        </w:rPr>
      </w:pPr>
    </w:p>
    <w:p>
      <w:pPr>
        <w:pStyle w:val="style0"/>
        <w:widowControl w:val="false"/>
        <w:snapToGrid w:val="false"/>
        <w:spacing w:lineRule="exact" w:line="560"/>
        <w:jc w:val="center"/>
        <w:rPr>
          <w:rFonts w:ascii="宋体" w:cs="宋体" w:hAnsi="宋体"/>
          <w:color w:val="auto"/>
          <w:sz w:val="28"/>
          <w:highlight w:val="none"/>
        </w:rPr>
      </w:pPr>
    </w:p>
    <w:p>
      <w:pPr>
        <w:pStyle w:val="style0"/>
        <w:widowControl w:val="false"/>
        <w:snapToGrid w:val="false"/>
        <w:spacing w:lineRule="exact" w:line="560"/>
        <w:jc w:val="center"/>
        <w:rPr>
          <w:rFonts w:ascii="宋体" w:cs="宋体" w:hAnsi="宋体"/>
          <w:color w:val="auto"/>
          <w:sz w:val="28"/>
          <w:highlight w:val="none"/>
        </w:rPr>
      </w:pPr>
    </w:p>
    <w:p>
      <w:pPr>
        <w:pStyle w:val="style0"/>
        <w:widowControl w:val="false"/>
        <w:snapToGrid w:val="false"/>
        <w:spacing w:lineRule="exact" w:line="560"/>
        <w:jc w:val="center"/>
        <w:rPr>
          <w:rFonts w:ascii="宋体" w:cs="宋体" w:hAnsi="宋体"/>
          <w:color w:val="auto"/>
          <w:sz w:val="28"/>
          <w:highlight w:val="none"/>
        </w:rPr>
      </w:pPr>
    </w:p>
    <w:p>
      <w:pPr>
        <w:pStyle w:val="style0"/>
        <w:widowControl w:val="false"/>
        <w:snapToGrid w:val="false"/>
        <w:spacing w:lineRule="exact" w:line="560"/>
        <w:jc w:val="center"/>
        <w:rPr>
          <w:rFonts w:ascii="宋体" w:cs="宋体" w:hAnsi="宋体"/>
          <w:color w:val="auto"/>
          <w:sz w:val="28"/>
          <w:highlight w:val="none"/>
        </w:rPr>
      </w:pPr>
    </w:p>
    <w:p>
      <w:pPr>
        <w:pStyle w:val="style0"/>
        <w:widowControl w:val="false"/>
        <w:snapToGrid w:val="false"/>
        <w:spacing w:lineRule="exact" w:line="560"/>
        <w:jc w:val="center"/>
        <w:rPr>
          <w:rFonts w:ascii="宋体" w:cs="宋体" w:hAnsi="宋体"/>
          <w:color w:val="auto"/>
          <w:sz w:val="28"/>
          <w:highlight w:val="none"/>
        </w:rPr>
      </w:pPr>
    </w:p>
    <w:p>
      <w:pPr>
        <w:pStyle w:val="style0"/>
        <w:widowControl w:val="false"/>
        <w:snapToGrid w:val="false"/>
        <w:spacing w:lineRule="exact" w:line="560"/>
        <w:jc w:val="center"/>
        <w:rPr>
          <w:rFonts w:ascii="宋体" w:cs="宋体" w:hAnsi="宋体"/>
          <w:color w:val="auto"/>
          <w:sz w:val="28"/>
          <w:highlight w:val="none"/>
        </w:rPr>
      </w:pPr>
    </w:p>
    <w:p>
      <w:pPr>
        <w:pStyle w:val="style0"/>
        <w:widowControl w:val="false"/>
        <w:snapToGrid w:val="false"/>
        <w:spacing w:lineRule="exact" w:line="560"/>
        <w:jc w:val="center"/>
        <w:rPr>
          <w:rFonts w:ascii="宋体" w:cs="宋体" w:hAnsi="宋体"/>
          <w:color w:val="auto"/>
          <w:sz w:val="28"/>
          <w:highlight w:val="none"/>
        </w:rPr>
      </w:pPr>
    </w:p>
    <w:p>
      <w:pPr>
        <w:pStyle w:val="style0"/>
        <w:widowControl w:val="false"/>
        <w:snapToGrid w:val="false"/>
        <w:spacing w:lineRule="exact" w:line="560"/>
        <w:jc w:val="center"/>
        <w:rPr>
          <w:rFonts w:ascii="宋体" w:cs="宋体" w:hAnsi="宋体"/>
          <w:color w:val="auto"/>
          <w:sz w:val="28"/>
          <w:highlight w:val="none"/>
        </w:rPr>
      </w:pPr>
    </w:p>
    <w:p>
      <w:pPr>
        <w:pStyle w:val="style0"/>
        <w:widowControl w:val="false"/>
        <w:snapToGrid w:val="false"/>
        <w:spacing w:lineRule="exact" w:line="560"/>
        <w:jc w:val="center"/>
        <w:rPr>
          <w:rFonts w:ascii="宋体" w:cs="宋体" w:hAnsi="宋体"/>
          <w:color w:val="auto"/>
          <w:sz w:val="28"/>
          <w:highlight w:val="none"/>
        </w:rPr>
      </w:pPr>
    </w:p>
    <w:p>
      <w:pPr>
        <w:pStyle w:val="style0"/>
        <w:widowControl w:val="false"/>
        <w:snapToGrid w:val="false"/>
        <w:spacing w:lineRule="exact" w:line="560"/>
        <w:jc w:val="center"/>
        <w:rPr>
          <w:rFonts w:ascii="宋体" w:cs="宋体" w:hAnsi="宋体"/>
          <w:color w:val="auto"/>
          <w:sz w:val="28"/>
          <w:highlight w:val="none"/>
        </w:rPr>
      </w:pPr>
    </w:p>
    <w:p>
      <w:pPr>
        <w:pStyle w:val="style0"/>
        <w:widowControl w:val="false"/>
        <w:snapToGrid w:val="false"/>
        <w:spacing w:lineRule="exact" w:line="560"/>
        <w:ind w:left="0" w:leftChars="0" w:firstLine="555"/>
        <w:jc w:val="left"/>
        <w:rPr>
          <w:rFonts w:ascii="宋体" w:cs="宋体" w:eastAsia="宋体" w:hAnsi="宋体" w:hint="eastAsia"/>
          <w:color w:val="auto"/>
          <w:sz w:val="24"/>
          <w:szCs w:val="24"/>
          <w:highlight w:val="none"/>
          <w:lang w:val="zh-CN"/>
        </w:rPr>
      </w:pPr>
      <w:r>
        <w:rPr>
          <w:rFonts w:ascii="宋体" w:cs="宋体" w:eastAsia="宋体" w:hAnsi="宋体" w:hint="eastAsia"/>
          <w:color w:val="auto"/>
          <w:sz w:val="24"/>
          <w:szCs w:val="24"/>
          <w:highlight w:val="none"/>
        </w:rPr>
        <w:t>供应商（</w:t>
      </w:r>
      <w:r>
        <w:rPr>
          <w:rFonts w:ascii="宋体" w:cs="宋体" w:eastAsia="宋体" w:hAnsi="宋体" w:hint="eastAsia"/>
          <w:color w:val="auto"/>
          <w:sz w:val="24"/>
          <w:szCs w:val="24"/>
          <w:highlight w:val="none"/>
          <w:lang w:val="en-US" w:eastAsia="zh-CN"/>
        </w:rPr>
        <w:t>盖章</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zh-CN"/>
        </w:rPr>
        <w:t>：</w:t>
      </w:r>
    </w:p>
    <w:p>
      <w:pPr>
        <w:pStyle w:val="style0"/>
        <w:widowControl w:val="false"/>
        <w:snapToGrid w:val="false"/>
        <w:spacing w:lineRule="exact" w:line="560"/>
        <w:ind w:left="0" w:leftChars="0" w:firstLine="555"/>
        <w:jc w:val="left"/>
        <w:rPr>
          <w:rFonts w:ascii="宋体" w:cs="宋体" w:eastAsia="宋体" w:hAnsi="宋体" w:hint="eastAsia"/>
          <w:color w:val="auto"/>
          <w:sz w:val="24"/>
          <w:szCs w:val="24"/>
          <w:highlight w:val="none"/>
          <w:lang w:val="zh-CN"/>
        </w:rPr>
      </w:pPr>
      <w:r>
        <w:rPr>
          <w:rFonts w:ascii="宋体" w:cs="宋体" w:eastAsia="宋体" w:hAnsi="宋体" w:hint="eastAsia"/>
          <w:color w:val="auto"/>
          <w:sz w:val="24"/>
          <w:szCs w:val="24"/>
          <w:highlight w:val="none"/>
          <w:lang w:val="zh-CN"/>
        </w:rPr>
        <w:t>法定代表人</w:t>
      </w:r>
      <w:r>
        <w:rPr>
          <w:rFonts w:ascii="宋体" w:cs="宋体" w:eastAsia="宋体" w:hAnsi="宋体" w:hint="eastAsia"/>
          <w:color w:val="auto"/>
          <w:sz w:val="24"/>
          <w:szCs w:val="24"/>
          <w:highlight w:val="none"/>
          <w:lang w:val="en-US" w:eastAsia="zh-CN"/>
        </w:rPr>
        <w:t>或委托代理人</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en-US" w:eastAsia="zh-CN"/>
        </w:rPr>
        <w:t>签字或盖章</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zh-CN"/>
        </w:rPr>
        <w:t xml:space="preserve">：  </w:t>
      </w:r>
    </w:p>
    <w:p>
      <w:pPr>
        <w:pStyle w:val="style0"/>
        <w:widowControl w:val="false"/>
        <w:snapToGrid w:val="false"/>
        <w:spacing w:lineRule="exact" w:line="560"/>
        <w:ind w:left="0" w:leftChars="0" w:firstLine="555"/>
        <w:jc w:val="left"/>
        <w:rPr>
          <w:rFonts w:ascii="宋体" w:cs="宋体" w:eastAsia="宋体" w:hAnsi="宋体" w:hint="eastAsia"/>
          <w:color w:val="auto"/>
          <w:sz w:val="24"/>
          <w:szCs w:val="24"/>
          <w:highlight w:val="none"/>
          <w:lang w:val="zh-CN"/>
        </w:rPr>
      </w:pPr>
      <w:r>
        <w:rPr>
          <w:rFonts w:ascii="宋体" w:cs="宋体" w:eastAsia="宋体" w:hAnsi="宋体" w:hint="eastAsia"/>
          <w:color w:val="auto"/>
          <w:sz w:val="24"/>
          <w:szCs w:val="24"/>
          <w:highlight w:val="none"/>
          <w:lang w:val="zh-CN"/>
        </w:rPr>
        <w:t>日期：   年   月   日</w:t>
      </w:r>
    </w:p>
    <w:p>
      <w:pPr>
        <w:pStyle w:val="style0"/>
        <w:spacing w:lineRule="auto" w:line="240"/>
        <w:rPr>
          <w:rFonts w:ascii="宋体" w:cs="宋体" w:hAnsi="宋体"/>
          <w:color w:val="auto"/>
          <w:sz w:val="24"/>
          <w:highlight w:val="none"/>
        </w:rPr>
      </w:pPr>
    </w:p>
    <w:p>
      <w:pPr>
        <w:pStyle w:val="style0"/>
        <w:widowControl w:val="false"/>
        <w:snapToGrid w:val="false"/>
        <w:spacing w:lineRule="exact" w:line="560"/>
        <w:jc w:val="center"/>
        <w:rPr>
          <w:rFonts w:ascii="宋体" w:cs="宋体" w:hAnsi="宋体"/>
          <w:b/>
          <w:color w:val="auto"/>
          <w:sz w:val="30"/>
          <w:szCs w:val="30"/>
          <w:highlight w:val="none"/>
        </w:rPr>
      </w:pPr>
      <w:r>
        <w:rPr>
          <w:rFonts w:ascii="宋体" w:cs="宋体" w:hAnsi="宋体" w:hint="eastAsia"/>
          <w:b/>
          <w:color w:val="auto"/>
          <w:sz w:val="30"/>
          <w:szCs w:val="30"/>
          <w:highlight w:val="none"/>
        </w:rPr>
        <w:br w:type="page"/>
      </w:r>
      <w:bookmarkStart w:id="40" w:name="OLE_LINK22"/>
    </w:p>
    <w:bookmarkEnd w:id="40"/>
    <w:p>
      <w:pPr>
        <w:pStyle w:val="style0"/>
        <w:widowControl w:val="false"/>
        <w:snapToGrid w:val="false"/>
        <w:spacing w:lineRule="exact" w:line="560"/>
        <w:jc w:val="center"/>
        <w:rPr>
          <w:rFonts w:ascii="宋体" w:cs="宋体" w:hAnsi="宋体"/>
          <w:b/>
          <w:color w:val="auto"/>
          <w:sz w:val="28"/>
          <w:szCs w:val="28"/>
          <w:highlight w:val="none"/>
        </w:rPr>
      </w:pPr>
      <w:r>
        <w:rPr>
          <w:rFonts w:ascii="宋体" w:cs="宋体" w:hAnsi="宋体" w:hint="eastAsia"/>
          <w:b/>
          <w:color w:val="auto"/>
          <w:sz w:val="30"/>
          <w:szCs w:val="30"/>
          <w:highlight w:val="none"/>
          <w:lang w:val="en-US" w:eastAsia="zh-CN"/>
        </w:rPr>
        <w:t>四</w:t>
      </w:r>
      <w:r>
        <w:rPr>
          <w:rFonts w:ascii="宋体" w:cs="宋体" w:hAnsi="宋体" w:hint="eastAsia"/>
          <w:b/>
          <w:color w:val="auto"/>
          <w:sz w:val="30"/>
          <w:szCs w:val="30"/>
          <w:highlight w:val="none"/>
        </w:rPr>
        <w:t>、偏差表</w:t>
      </w:r>
    </w:p>
    <w:p>
      <w:pPr>
        <w:pStyle w:val="style0"/>
        <w:widowControl w:val="false"/>
        <w:snapToGrid w:val="false"/>
        <w:spacing w:lineRule="auto" w:line="276"/>
        <w:jc w:val="center"/>
        <w:rPr>
          <w:rFonts w:ascii="宋体" w:cs="宋体" w:hAnsi="宋体"/>
          <w:b/>
          <w:color w:val="auto"/>
          <w:sz w:val="28"/>
          <w:szCs w:val="28"/>
          <w:highlight w:val="none"/>
        </w:rPr>
      </w:pPr>
    </w:p>
    <w:p>
      <w:pPr>
        <w:pStyle w:val="style94"/>
        <w:adjustRightInd w:val="false"/>
        <w:snapToGrid w:val="false"/>
        <w:spacing w:before="0" w:beforeAutospacing="false" w:after="0" w:afterAutospacing="false"/>
        <w:rPr>
          <w:color w:val="auto"/>
          <w:highlight w:val="none"/>
          <w:u w:val="single"/>
        </w:rPr>
      </w:pPr>
      <w:r>
        <w:rPr>
          <w:rFonts w:hint="eastAsia"/>
          <w:color w:val="auto"/>
          <w:highlight w:val="none"/>
        </w:rPr>
        <w:t>项目名称：</w:t>
      </w:r>
    </w:p>
    <w:p>
      <w:pPr>
        <w:pStyle w:val="style94"/>
        <w:adjustRightInd w:val="false"/>
        <w:snapToGrid w:val="false"/>
        <w:spacing w:before="0" w:beforeAutospacing="false" w:after="0" w:afterAutospacing="false"/>
        <w:rPr>
          <w:color w:val="auto"/>
          <w:highlight w:val="none"/>
        </w:rPr>
      </w:pPr>
      <w:r>
        <w:rPr>
          <w:rFonts w:hint="eastAsia"/>
          <w:color w:val="auto"/>
          <w:highlight w:val="none"/>
        </w:rPr>
        <w:t>项目编号：</w:t>
      </w:r>
    </w:p>
    <w:tbl>
      <w:tblPr>
        <w:tblStyle w:val="style105"/>
        <w:tblW w:w="932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37"/>
        <w:gridCol w:w="3098"/>
        <w:gridCol w:w="2947"/>
        <w:gridCol w:w="2638"/>
      </w:tblGrid>
      <w:tr>
        <w:trPr>
          <w:trHeight w:val="692" w:hRule="atLeast"/>
        </w:trPr>
        <w:tc>
          <w:tcPr>
            <w:tcW w:w="637" w:type="dxa"/>
            <w:tcBorders>
              <w:top w:val="single" w:sz="8" w:space="0" w:color="000000"/>
              <w:left w:val="single" w:sz="8" w:space="0" w:color="000000"/>
              <w:bottom w:val="single" w:sz="4" w:space="0" w:color="000000"/>
              <w:right w:val="single" w:sz="4" w:space="0" w:color="000000"/>
            </w:tcBorders>
            <w:vAlign w:val="center"/>
          </w:tcPr>
          <w:p>
            <w:pPr>
              <w:pStyle w:val="style0"/>
              <w:spacing w:lineRule="exact" w:line="560"/>
              <w:jc w:val="center"/>
              <w:rPr>
                <w:rFonts w:ascii="宋体" w:cs="宋体" w:hAnsi="宋体"/>
                <w:b/>
                <w:color w:val="auto"/>
                <w:sz w:val="28"/>
                <w:highlight w:val="none"/>
              </w:rPr>
            </w:pPr>
            <w:r>
              <w:rPr>
                <w:rFonts w:ascii="宋体" w:cs="宋体" w:hAnsi="宋体" w:hint="eastAsia"/>
                <w:b/>
                <w:color w:val="auto"/>
                <w:highlight w:val="none"/>
              </w:rPr>
              <w:t>序号</w:t>
            </w:r>
          </w:p>
        </w:tc>
        <w:tc>
          <w:tcPr>
            <w:tcW w:w="3098" w:type="dxa"/>
            <w:tcBorders>
              <w:top w:val="single" w:sz="8" w:space="0" w:color="000000"/>
              <w:bottom w:val="single" w:sz="4" w:space="0" w:color="000000"/>
              <w:right w:val="single" w:sz="4" w:space="0" w:color="000000"/>
            </w:tcBorders>
            <w:vAlign w:val="center"/>
          </w:tcPr>
          <w:p>
            <w:pPr>
              <w:pStyle w:val="style0"/>
              <w:spacing w:lineRule="exact" w:line="560"/>
              <w:jc w:val="center"/>
              <w:rPr>
                <w:rFonts w:ascii="宋体" w:cs="宋体" w:hAnsi="宋体"/>
                <w:b/>
                <w:color w:val="auto"/>
                <w:sz w:val="28"/>
                <w:highlight w:val="none"/>
              </w:rPr>
            </w:pPr>
            <w:r>
              <w:rPr>
                <w:rFonts w:ascii="宋体" w:cs="宋体" w:hAnsi="宋体" w:hint="eastAsia"/>
                <w:b/>
                <w:color w:val="auto"/>
                <w:highlight w:val="none"/>
              </w:rPr>
              <w:t>磋商文件要求</w:t>
            </w:r>
          </w:p>
        </w:tc>
        <w:tc>
          <w:tcPr>
            <w:tcW w:w="2947" w:type="dxa"/>
            <w:tcBorders>
              <w:top w:val="single" w:sz="8" w:space="0" w:color="000000"/>
              <w:bottom w:val="single" w:sz="4" w:space="0" w:color="000000"/>
              <w:right w:val="single" w:sz="4" w:space="0" w:color="000000"/>
            </w:tcBorders>
            <w:vAlign w:val="center"/>
          </w:tcPr>
          <w:p>
            <w:pPr>
              <w:pStyle w:val="style0"/>
              <w:spacing w:lineRule="exact" w:line="560"/>
              <w:jc w:val="center"/>
              <w:rPr>
                <w:rFonts w:ascii="宋体" w:cs="宋体" w:hAnsi="宋体"/>
                <w:b/>
                <w:color w:val="auto"/>
                <w:sz w:val="28"/>
                <w:highlight w:val="none"/>
              </w:rPr>
            </w:pPr>
            <w:r>
              <w:rPr>
                <w:rFonts w:ascii="宋体" w:cs="宋体" w:hAnsi="宋体" w:hint="eastAsia"/>
                <w:b/>
                <w:color w:val="auto"/>
                <w:highlight w:val="none"/>
              </w:rPr>
              <w:t>响应文件响应</w:t>
            </w:r>
          </w:p>
        </w:tc>
        <w:tc>
          <w:tcPr>
            <w:tcW w:w="2638" w:type="dxa"/>
            <w:tcBorders>
              <w:top w:val="single" w:sz="8" w:space="0" w:color="000000"/>
              <w:bottom w:val="single" w:sz="4" w:space="0" w:color="000000"/>
              <w:right w:val="single" w:sz="8" w:space="0" w:color="000000"/>
            </w:tcBorders>
            <w:vAlign w:val="center"/>
          </w:tcPr>
          <w:p>
            <w:pPr>
              <w:pStyle w:val="style0"/>
              <w:spacing w:lineRule="exact" w:line="560"/>
              <w:jc w:val="center"/>
              <w:rPr>
                <w:rFonts w:ascii="宋体" w:cs="宋体" w:hAnsi="宋体"/>
                <w:b/>
                <w:color w:val="auto"/>
                <w:sz w:val="28"/>
                <w:highlight w:val="none"/>
              </w:rPr>
            </w:pPr>
            <w:r>
              <w:rPr>
                <w:rFonts w:ascii="宋体" w:cs="宋体" w:hAnsi="宋体" w:hint="eastAsia"/>
                <w:b/>
                <w:color w:val="auto"/>
                <w:highlight w:val="none"/>
              </w:rPr>
              <w:t>偏差描述</w:t>
            </w:r>
          </w:p>
        </w:tc>
      </w:tr>
      <w:tr>
        <w:tblPrEx/>
        <w:trPr>
          <w:trHeight w:val="658" w:hRule="atLeast"/>
        </w:trPr>
        <w:tc>
          <w:tcPr>
            <w:tcW w:w="637" w:type="dxa"/>
            <w:tcBorders>
              <w:left w:val="single" w:sz="8" w:space="0" w:color="000000"/>
              <w:bottom w:val="single" w:sz="4"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r>
              <w:rPr>
                <w:rFonts w:ascii="宋体" w:cs="宋体" w:hAnsi="宋体" w:hint="eastAsia"/>
                <w:color w:val="auto"/>
                <w:highlight w:val="none"/>
              </w:rPr>
              <w:t>1</w:t>
            </w:r>
          </w:p>
        </w:tc>
        <w:tc>
          <w:tcPr>
            <w:tcW w:w="3098" w:type="dxa"/>
            <w:tcBorders>
              <w:bottom w:val="single" w:sz="4"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p>
        </w:tc>
        <w:tc>
          <w:tcPr>
            <w:tcW w:w="2947" w:type="dxa"/>
            <w:tcBorders>
              <w:bottom w:val="single" w:sz="4"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p>
        </w:tc>
        <w:tc>
          <w:tcPr>
            <w:tcW w:w="2638" w:type="dxa"/>
            <w:tcBorders>
              <w:bottom w:val="single" w:sz="4" w:space="0" w:color="000000"/>
              <w:right w:val="single" w:sz="8" w:space="0" w:color="000000"/>
            </w:tcBorders>
            <w:vAlign w:val="center"/>
          </w:tcPr>
          <w:p>
            <w:pPr>
              <w:pStyle w:val="style0"/>
              <w:spacing w:lineRule="exact" w:line="560"/>
              <w:jc w:val="center"/>
              <w:rPr>
                <w:rFonts w:ascii="宋体" w:cs="宋体" w:hAnsi="宋体"/>
                <w:color w:val="auto"/>
                <w:sz w:val="28"/>
                <w:highlight w:val="none"/>
              </w:rPr>
            </w:pPr>
          </w:p>
        </w:tc>
      </w:tr>
      <w:tr>
        <w:tblPrEx/>
        <w:trPr>
          <w:trHeight w:val="658" w:hRule="atLeast"/>
        </w:trPr>
        <w:tc>
          <w:tcPr>
            <w:tcW w:w="637" w:type="dxa"/>
            <w:tcBorders>
              <w:left w:val="single" w:sz="8" w:space="0" w:color="000000"/>
              <w:bottom w:val="single" w:sz="4"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r>
              <w:rPr>
                <w:rFonts w:ascii="宋体" w:cs="宋体" w:hAnsi="宋体" w:hint="eastAsia"/>
                <w:color w:val="auto"/>
                <w:highlight w:val="none"/>
              </w:rPr>
              <w:t>2</w:t>
            </w:r>
          </w:p>
        </w:tc>
        <w:tc>
          <w:tcPr>
            <w:tcW w:w="3098" w:type="dxa"/>
            <w:tcBorders>
              <w:bottom w:val="single" w:sz="4"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p>
        </w:tc>
        <w:tc>
          <w:tcPr>
            <w:tcW w:w="2947" w:type="dxa"/>
            <w:tcBorders>
              <w:bottom w:val="single" w:sz="4"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p>
        </w:tc>
        <w:tc>
          <w:tcPr>
            <w:tcW w:w="2638" w:type="dxa"/>
            <w:tcBorders>
              <w:bottom w:val="single" w:sz="4" w:space="0" w:color="000000"/>
              <w:right w:val="single" w:sz="8" w:space="0" w:color="000000"/>
            </w:tcBorders>
            <w:vAlign w:val="center"/>
          </w:tcPr>
          <w:p>
            <w:pPr>
              <w:pStyle w:val="style0"/>
              <w:spacing w:lineRule="exact" w:line="560"/>
              <w:jc w:val="center"/>
              <w:rPr>
                <w:rFonts w:ascii="宋体" w:cs="宋体" w:hAnsi="宋体"/>
                <w:color w:val="auto"/>
                <w:sz w:val="28"/>
                <w:highlight w:val="none"/>
              </w:rPr>
            </w:pPr>
          </w:p>
        </w:tc>
      </w:tr>
      <w:tr>
        <w:tblPrEx/>
        <w:trPr>
          <w:trHeight w:val="658" w:hRule="atLeast"/>
        </w:trPr>
        <w:tc>
          <w:tcPr>
            <w:tcW w:w="637" w:type="dxa"/>
            <w:tcBorders>
              <w:left w:val="single" w:sz="8" w:space="0" w:color="000000"/>
              <w:bottom w:val="single" w:sz="4"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r>
              <w:rPr>
                <w:rFonts w:ascii="宋体" w:cs="宋体" w:hAnsi="宋体" w:hint="eastAsia"/>
                <w:color w:val="auto"/>
                <w:highlight w:val="none"/>
              </w:rPr>
              <w:t>3</w:t>
            </w:r>
          </w:p>
        </w:tc>
        <w:tc>
          <w:tcPr>
            <w:tcW w:w="3098" w:type="dxa"/>
            <w:tcBorders>
              <w:bottom w:val="single" w:sz="4"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p>
        </w:tc>
        <w:tc>
          <w:tcPr>
            <w:tcW w:w="2947" w:type="dxa"/>
            <w:tcBorders>
              <w:bottom w:val="single" w:sz="4"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p>
        </w:tc>
        <w:tc>
          <w:tcPr>
            <w:tcW w:w="2638" w:type="dxa"/>
            <w:tcBorders>
              <w:bottom w:val="single" w:sz="4" w:space="0" w:color="000000"/>
              <w:right w:val="single" w:sz="8" w:space="0" w:color="000000"/>
            </w:tcBorders>
            <w:vAlign w:val="center"/>
          </w:tcPr>
          <w:p>
            <w:pPr>
              <w:pStyle w:val="style0"/>
              <w:spacing w:lineRule="exact" w:line="560"/>
              <w:jc w:val="center"/>
              <w:rPr>
                <w:rFonts w:ascii="宋体" w:cs="宋体" w:hAnsi="宋体"/>
                <w:color w:val="auto"/>
                <w:sz w:val="28"/>
                <w:highlight w:val="none"/>
              </w:rPr>
            </w:pPr>
          </w:p>
        </w:tc>
      </w:tr>
      <w:tr>
        <w:tblPrEx/>
        <w:trPr>
          <w:trHeight w:val="658" w:hRule="atLeast"/>
        </w:trPr>
        <w:tc>
          <w:tcPr>
            <w:tcW w:w="637" w:type="dxa"/>
            <w:tcBorders>
              <w:left w:val="single" w:sz="8" w:space="0" w:color="000000"/>
              <w:bottom w:val="single" w:sz="4"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r>
              <w:rPr>
                <w:rFonts w:ascii="宋体" w:cs="宋体" w:hAnsi="宋体" w:hint="eastAsia"/>
                <w:color w:val="auto"/>
                <w:highlight w:val="none"/>
              </w:rPr>
              <w:t>4</w:t>
            </w:r>
          </w:p>
        </w:tc>
        <w:tc>
          <w:tcPr>
            <w:tcW w:w="3098" w:type="dxa"/>
            <w:tcBorders>
              <w:bottom w:val="single" w:sz="4"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p>
        </w:tc>
        <w:tc>
          <w:tcPr>
            <w:tcW w:w="2947" w:type="dxa"/>
            <w:tcBorders>
              <w:bottom w:val="single" w:sz="4"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p>
        </w:tc>
        <w:tc>
          <w:tcPr>
            <w:tcW w:w="2638" w:type="dxa"/>
            <w:tcBorders>
              <w:bottom w:val="single" w:sz="4" w:space="0" w:color="000000"/>
              <w:right w:val="single" w:sz="8" w:space="0" w:color="000000"/>
            </w:tcBorders>
            <w:vAlign w:val="center"/>
          </w:tcPr>
          <w:p>
            <w:pPr>
              <w:pStyle w:val="style0"/>
              <w:spacing w:lineRule="exact" w:line="560"/>
              <w:jc w:val="center"/>
              <w:rPr>
                <w:rFonts w:ascii="宋体" w:cs="宋体" w:hAnsi="宋体"/>
                <w:color w:val="auto"/>
                <w:sz w:val="28"/>
                <w:highlight w:val="none"/>
              </w:rPr>
            </w:pPr>
          </w:p>
        </w:tc>
      </w:tr>
      <w:tr>
        <w:tblPrEx/>
        <w:trPr>
          <w:trHeight w:val="709" w:hRule="atLeast"/>
        </w:trPr>
        <w:tc>
          <w:tcPr>
            <w:tcW w:w="637" w:type="dxa"/>
            <w:tcBorders>
              <w:left w:val="single" w:sz="8" w:space="0" w:color="000000"/>
              <w:bottom w:val="single" w:sz="4"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r>
              <w:rPr>
                <w:rFonts w:ascii="宋体" w:cs="宋体" w:hAnsi="宋体" w:hint="eastAsia"/>
                <w:color w:val="auto"/>
                <w:highlight w:val="none"/>
              </w:rPr>
              <w:t>5</w:t>
            </w:r>
          </w:p>
        </w:tc>
        <w:tc>
          <w:tcPr>
            <w:tcW w:w="3098" w:type="dxa"/>
            <w:tcBorders>
              <w:bottom w:val="single" w:sz="4"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p>
        </w:tc>
        <w:tc>
          <w:tcPr>
            <w:tcW w:w="2947" w:type="dxa"/>
            <w:tcBorders>
              <w:bottom w:val="single" w:sz="4"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p>
        </w:tc>
        <w:tc>
          <w:tcPr>
            <w:tcW w:w="2638" w:type="dxa"/>
            <w:tcBorders>
              <w:bottom w:val="single" w:sz="4" w:space="0" w:color="000000"/>
              <w:right w:val="single" w:sz="8" w:space="0" w:color="000000"/>
            </w:tcBorders>
            <w:vAlign w:val="center"/>
          </w:tcPr>
          <w:p>
            <w:pPr>
              <w:pStyle w:val="style0"/>
              <w:spacing w:lineRule="exact" w:line="560"/>
              <w:jc w:val="center"/>
              <w:rPr>
                <w:rFonts w:ascii="宋体" w:cs="宋体" w:hAnsi="宋体"/>
                <w:color w:val="auto"/>
                <w:sz w:val="28"/>
                <w:highlight w:val="none"/>
              </w:rPr>
            </w:pPr>
          </w:p>
        </w:tc>
      </w:tr>
      <w:tr>
        <w:tblPrEx/>
        <w:trPr>
          <w:trHeight w:val="675" w:hRule="atLeast"/>
        </w:trPr>
        <w:tc>
          <w:tcPr>
            <w:tcW w:w="637" w:type="dxa"/>
            <w:tcBorders>
              <w:left w:val="single" w:sz="8" w:space="0" w:color="000000"/>
              <w:bottom w:val="single" w:sz="4"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r>
              <w:rPr>
                <w:rFonts w:ascii="宋体" w:cs="宋体" w:hAnsi="宋体" w:hint="eastAsia"/>
                <w:color w:val="auto"/>
                <w:highlight w:val="none"/>
              </w:rPr>
              <w:t>6</w:t>
            </w:r>
          </w:p>
        </w:tc>
        <w:tc>
          <w:tcPr>
            <w:tcW w:w="3098" w:type="dxa"/>
            <w:tcBorders>
              <w:bottom w:val="single" w:sz="4"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p>
        </w:tc>
        <w:tc>
          <w:tcPr>
            <w:tcW w:w="2947" w:type="dxa"/>
            <w:tcBorders>
              <w:bottom w:val="single" w:sz="4"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p>
        </w:tc>
        <w:tc>
          <w:tcPr>
            <w:tcW w:w="2638" w:type="dxa"/>
            <w:tcBorders>
              <w:bottom w:val="single" w:sz="4" w:space="0" w:color="000000"/>
              <w:right w:val="single" w:sz="8" w:space="0" w:color="000000"/>
            </w:tcBorders>
            <w:vAlign w:val="center"/>
          </w:tcPr>
          <w:p>
            <w:pPr>
              <w:pStyle w:val="style0"/>
              <w:spacing w:lineRule="exact" w:line="560"/>
              <w:jc w:val="center"/>
              <w:rPr>
                <w:rFonts w:ascii="宋体" w:cs="宋体" w:hAnsi="宋体"/>
                <w:color w:val="auto"/>
                <w:sz w:val="28"/>
                <w:highlight w:val="none"/>
              </w:rPr>
            </w:pPr>
          </w:p>
        </w:tc>
      </w:tr>
      <w:tr>
        <w:tblPrEx/>
        <w:trPr>
          <w:trHeight w:val="692" w:hRule="atLeast"/>
        </w:trPr>
        <w:tc>
          <w:tcPr>
            <w:tcW w:w="637" w:type="dxa"/>
            <w:tcBorders>
              <w:left w:val="single" w:sz="8" w:space="0" w:color="000000"/>
              <w:bottom w:val="single" w:sz="4"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r>
              <w:rPr>
                <w:rFonts w:ascii="宋体" w:cs="宋体" w:hAnsi="宋体" w:hint="eastAsia"/>
                <w:color w:val="auto"/>
                <w:highlight w:val="none"/>
              </w:rPr>
              <w:t>7</w:t>
            </w:r>
          </w:p>
        </w:tc>
        <w:tc>
          <w:tcPr>
            <w:tcW w:w="3098" w:type="dxa"/>
            <w:tcBorders>
              <w:bottom w:val="single" w:sz="4"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p>
        </w:tc>
        <w:tc>
          <w:tcPr>
            <w:tcW w:w="2947" w:type="dxa"/>
            <w:tcBorders>
              <w:bottom w:val="single" w:sz="4"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p>
        </w:tc>
        <w:tc>
          <w:tcPr>
            <w:tcW w:w="2638" w:type="dxa"/>
            <w:tcBorders>
              <w:bottom w:val="single" w:sz="4" w:space="0" w:color="000000"/>
              <w:right w:val="single" w:sz="8" w:space="0" w:color="000000"/>
            </w:tcBorders>
            <w:vAlign w:val="center"/>
          </w:tcPr>
          <w:p>
            <w:pPr>
              <w:pStyle w:val="style0"/>
              <w:spacing w:lineRule="exact" w:line="560"/>
              <w:jc w:val="center"/>
              <w:rPr>
                <w:rFonts w:ascii="宋体" w:cs="宋体" w:hAnsi="宋体"/>
                <w:color w:val="auto"/>
                <w:sz w:val="28"/>
                <w:highlight w:val="none"/>
              </w:rPr>
            </w:pPr>
          </w:p>
        </w:tc>
      </w:tr>
      <w:tr>
        <w:tblPrEx/>
        <w:trPr>
          <w:trHeight w:val="692" w:hRule="atLeast"/>
        </w:trPr>
        <w:tc>
          <w:tcPr>
            <w:tcW w:w="637" w:type="dxa"/>
            <w:tcBorders>
              <w:left w:val="single" w:sz="8" w:space="0" w:color="000000"/>
              <w:bottom w:val="single" w:sz="4"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r>
              <w:rPr>
                <w:rFonts w:ascii="宋体" w:cs="宋体" w:hAnsi="宋体" w:hint="eastAsia"/>
                <w:color w:val="auto"/>
                <w:highlight w:val="none"/>
              </w:rPr>
              <w:t>8</w:t>
            </w:r>
          </w:p>
        </w:tc>
        <w:tc>
          <w:tcPr>
            <w:tcW w:w="3098" w:type="dxa"/>
            <w:tcBorders>
              <w:bottom w:val="single" w:sz="4"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p>
        </w:tc>
        <w:tc>
          <w:tcPr>
            <w:tcW w:w="2947" w:type="dxa"/>
            <w:tcBorders>
              <w:bottom w:val="single" w:sz="4"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p>
        </w:tc>
        <w:tc>
          <w:tcPr>
            <w:tcW w:w="2638" w:type="dxa"/>
            <w:tcBorders>
              <w:bottom w:val="single" w:sz="4" w:space="0" w:color="000000"/>
              <w:right w:val="single" w:sz="8" w:space="0" w:color="000000"/>
            </w:tcBorders>
            <w:vAlign w:val="center"/>
          </w:tcPr>
          <w:p>
            <w:pPr>
              <w:pStyle w:val="style0"/>
              <w:spacing w:lineRule="exact" w:line="560"/>
              <w:jc w:val="center"/>
              <w:rPr>
                <w:rFonts w:ascii="宋体" w:cs="宋体" w:hAnsi="宋体"/>
                <w:color w:val="auto"/>
                <w:sz w:val="28"/>
                <w:highlight w:val="none"/>
              </w:rPr>
            </w:pPr>
          </w:p>
        </w:tc>
      </w:tr>
      <w:tr>
        <w:tblPrEx/>
        <w:trPr>
          <w:trHeight w:val="669" w:hRule="atLeast"/>
        </w:trPr>
        <w:tc>
          <w:tcPr>
            <w:tcW w:w="637" w:type="dxa"/>
            <w:tcBorders>
              <w:left w:val="single" w:sz="8" w:space="0" w:color="000000"/>
              <w:bottom w:val="single" w:sz="4"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r>
              <w:rPr>
                <w:rFonts w:ascii="宋体" w:cs="宋体" w:hAnsi="宋体" w:hint="eastAsia"/>
                <w:color w:val="auto"/>
                <w:highlight w:val="none"/>
              </w:rPr>
              <w:t>9</w:t>
            </w:r>
          </w:p>
        </w:tc>
        <w:tc>
          <w:tcPr>
            <w:tcW w:w="3098" w:type="dxa"/>
            <w:tcBorders>
              <w:bottom w:val="single" w:sz="4"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p>
        </w:tc>
        <w:tc>
          <w:tcPr>
            <w:tcW w:w="2947" w:type="dxa"/>
            <w:tcBorders>
              <w:bottom w:val="single" w:sz="4"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p>
        </w:tc>
        <w:tc>
          <w:tcPr>
            <w:tcW w:w="2638" w:type="dxa"/>
            <w:tcBorders>
              <w:bottom w:val="single" w:sz="4" w:space="0" w:color="000000"/>
              <w:right w:val="single" w:sz="8" w:space="0" w:color="000000"/>
            </w:tcBorders>
            <w:vAlign w:val="center"/>
          </w:tcPr>
          <w:p>
            <w:pPr>
              <w:pStyle w:val="style0"/>
              <w:spacing w:lineRule="exact" w:line="560"/>
              <w:jc w:val="center"/>
              <w:rPr>
                <w:rFonts w:ascii="宋体" w:cs="宋体" w:hAnsi="宋体"/>
                <w:color w:val="auto"/>
                <w:sz w:val="28"/>
                <w:highlight w:val="none"/>
              </w:rPr>
            </w:pPr>
          </w:p>
        </w:tc>
      </w:tr>
      <w:tr>
        <w:tblPrEx/>
        <w:trPr>
          <w:trHeight w:val="675" w:hRule="atLeast"/>
        </w:trPr>
        <w:tc>
          <w:tcPr>
            <w:tcW w:w="637" w:type="dxa"/>
            <w:tcBorders>
              <w:left w:val="single" w:sz="8" w:space="0" w:color="000000"/>
              <w:bottom w:val="single" w:sz="8"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r>
              <w:rPr>
                <w:rFonts w:ascii="宋体" w:cs="宋体" w:hAnsi="宋体" w:hint="eastAsia"/>
                <w:color w:val="auto"/>
                <w:highlight w:val="none"/>
              </w:rPr>
              <w:t>......</w:t>
            </w:r>
          </w:p>
        </w:tc>
        <w:tc>
          <w:tcPr>
            <w:tcW w:w="3098" w:type="dxa"/>
            <w:tcBorders>
              <w:bottom w:val="single" w:sz="8"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p>
        </w:tc>
        <w:tc>
          <w:tcPr>
            <w:tcW w:w="2947" w:type="dxa"/>
            <w:tcBorders>
              <w:bottom w:val="single" w:sz="8" w:space="0" w:color="000000"/>
              <w:right w:val="single" w:sz="4" w:space="0" w:color="000000"/>
            </w:tcBorders>
            <w:vAlign w:val="center"/>
          </w:tcPr>
          <w:p>
            <w:pPr>
              <w:pStyle w:val="style0"/>
              <w:spacing w:lineRule="exact" w:line="560"/>
              <w:jc w:val="center"/>
              <w:rPr>
                <w:rFonts w:ascii="宋体" w:cs="宋体" w:hAnsi="宋体"/>
                <w:color w:val="auto"/>
                <w:sz w:val="28"/>
                <w:highlight w:val="none"/>
              </w:rPr>
            </w:pPr>
          </w:p>
        </w:tc>
        <w:tc>
          <w:tcPr>
            <w:tcW w:w="2638" w:type="dxa"/>
            <w:tcBorders>
              <w:bottom w:val="single" w:sz="8" w:space="0" w:color="000000"/>
              <w:right w:val="single" w:sz="8" w:space="0" w:color="000000"/>
            </w:tcBorders>
            <w:vAlign w:val="center"/>
          </w:tcPr>
          <w:p>
            <w:pPr>
              <w:pStyle w:val="style0"/>
              <w:spacing w:lineRule="exact" w:line="560"/>
              <w:jc w:val="center"/>
              <w:rPr>
                <w:rFonts w:ascii="宋体" w:cs="宋体" w:hAnsi="宋体"/>
                <w:color w:val="auto"/>
                <w:sz w:val="28"/>
                <w:highlight w:val="none"/>
              </w:rPr>
            </w:pPr>
          </w:p>
        </w:tc>
      </w:tr>
    </w:tbl>
    <w:p>
      <w:pPr>
        <w:pStyle w:val="style0"/>
        <w:tabs>
          <w:tab w:val="left" w:leader="none" w:pos="0"/>
        </w:tabs>
        <w:adjustRightInd w:val="false"/>
        <w:snapToGrid w:val="false"/>
        <w:spacing w:beforeLines="50" w:lineRule="auto" w:line="300"/>
        <w:ind w:right="25" w:firstLine="452" w:firstLineChars="200"/>
        <w:rPr>
          <w:rFonts w:ascii="宋体" w:cs="宋体" w:hAnsi="宋体"/>
          <w:color w:val="auto"/>
          <w:spacing w:val="8"/>
          <w:szCs w:val="21"/>
          <w:highlight w:val="none"/>
        </w:rPr>
      </w:pPr>
      <w:r>
        <w:rPr>
          <w:rFonts w:ascii="宋体" w:cs="宋体" w:hAnsi="宋体" w:hint="eastAsia"/>
          <w:color w:val="auto"/>
          <w:spacing w:val="8"/>
          <w:szCs w:val="21"/>
          <w:highlight w:val="none"/>
        </w:rPr>
        <w:t>注：1、“偏差表”应详细注明与《磋商文件》中各项要求有何不同，并说明其符合性（优于、或低于《磋商文件》要求）。</w:t>
      </w:r>
    </w:p>
    <w:p>
      <w:pPr>
        <w:pStyle w:val="style0"/>
        <w:tabs>
          <w:tab w:val="left" w:leader="none" w:pos="0"/>
        </w:tabs>
        <w:adjustRightInd w:val="false"/>
        <w:snapToGrid w:val="false"/>
        <w:spacing w:beforeLines="50" w:lineRule="auto" w:line="300"/>
        <w:ind w:right="25" w:firstLine="452" w:firstLineChars="200"/>
        <w:rPr>
          <w:rFonts w:ascii="宋体" w:cs="宋体" w:hAnsi="宋体"/>
          <w:color w:val="auto"/>
          <w:spacing w:val="8"/>
          <w:szCs w:val="21"/>
          <w:highlight w:val="none"/>
        </w:rPr>
      </w:pPr>
      <w:r>
        <w:rPr>
          <w:rFonts w:ascii="宋体" w:cs="宋体" w:hAnsi="宋体" w:hint="eastAsia"/>
          <w:color w:val="auto"/>
          <w:spacing w:val="8"/>
          <w:szCs w:val="21"/>
          <w:highlight w:val="none"/>
        </w:rPr>
        <w:t>2、如投标条款与《磋商文件》要求一致，仍需在本表填列“与《磋商文件》所有条款要求一致，无偏差”字样。</w:t>
      </w:r>
    </w:p>
    <w:p>
      <w:pPr>
        <w:pStyle w:val="style0"/>
        <w:widowControl w:val="false"/>
        <w:snapToGrid w:val="false"/>
        <w:spacing w:lineRule="exact" w:line="560"/>
        <w:ind w:left="0" w:leftChars="0" w:firstLine="555"/>
        <w:jc w:val="left"/>
        <w:rPr>
          <w:rFonts w:ascii="宋体" w:cs="宋体" w:eastAsia="宋体" w:hAnsi="宋体" w:hint="eastAsia"/>
          <w:color w:val="auto"/>
          <w:sz w:val="24"/>
          <w:szCs w:val="24"/>
          <w:highlight w:val="none"/>
          <w:lang w:val="zh-CN"/>
        </w:rPr>
      </w:pPr>
      <w:r>
        <w:rPr>
          <w:rFonts w:ascii="宋体" w:cs="宋体" w:eastAsia="宋体" w:hAnsi="宋体" w:hint="eastAsia"/>
          <w:color w:val="auto"/>
          <w:sz w:val="24"/>
          <w:szCs w:val="24"/>
          <w:highlight w:val="none"/>
        </w:rPr>
        <w:t>供应商（</w:t>
      </w:r>
      <w:r>
        <w:rPr>
          <w:rFonts w:ascii="宋体" w:cs="宋体" w:eastAsia="宋体" w:hAnsi="宋体" w:hint="eastAsia"/>
          <w:color w:val="auto"/>
          <w:sz w:val="24"/>
          <w:szCs w:val="24"/>
          <w:highlight w:val="none"/>
          <w:lang w:val="en-US" w:eastAsia="zh-CN"/>
        </w:rPr>
        <w:t>盖章</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zh-CN"/>
        </w:rPr>
        <w:t>：</w:t>
      </w:r>
    </w:p>
    <w:p>
      <w:pPr>
        <w:pStyle w:val="style0"/>
        <w:widowControl w:val="false"/>
        <w:snapToGrid w:val="false"/>
        <w:spacing w:lineRule="exact" w:line="560"/>
        <w:ind w:left="0" w:leftChars="0" w:firstLine="555"/>
        <w:jc w:val="left"/>
        <w:rPr>
          <w:rFonts w:ascii="宋体" w:cs="宋体" w:eastAsia="宋体" w:hAnsi="宋体" w:hint="eastAsia"/>
          <w:color w:val="auto"/>
          <w:sz w:val="24"/>
          <w:szCs w:val="24"/>
          <w:highlight w:val="none"/>
          <w:lang w:val="zh-CN"/>
        </w:rPr>
      </w:pPr>
      <w:r>
        <w:rPr>
          <w:rFonts w:ascii="宋体" w:cs="宋体" w:eastAsia="宋体" w:hAnsi="宋体" w:hint="eastAsia"/>
          <w:color w:val="auto"/>
          <w:sz w:val="24"/>
          <w:szCs w:val="24"/>
          <w:highlight w:val="none"/>
          <w:lang w:val="zh-CN"/>
        </w:rPr>
        <w:t>法定代表人</w:t>
      </w:r>
      <w:r>
        <w:rPr>
          <w:rFonts w:ascii="宋体" w:cs="宋体" w:eastAsia="宋体" w:hAnsi="宋体" w:hint="eastAsia"/>
          <w:color w:val="auto"/>
          <w:sz w:val="24"/>
          <w:szCs w:val="24"/>
          <w:highlight w:val="none"/>
          <w:lang w:val="en-US" w:eastAsia="zh-CN"/>
        </w:rPr>
        <w:t>或委托代理人</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en-US" w:eastAsia="zh-CN"/>
        </w:rPr>
        <w:t>签字或盖章</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zh-CN"/>
        </w:rPr>
        <w:t xml:space="preserve">：  </w:t>
      </w:r>
    </w:p>
    <w:p>
      <w:pPr>
        <w:pStyle w:val="style0"/>
        <w:widowControl w:val="false"/>
        <w:snapToGrid w:val="false"/>
        <w:spacing w:lineRule="exact" w:line="560"/>
        <w:ind w:left="0" w:leftChars="0" w:firstLine="555"/>
        <w:jc w:val="left"/>
        <w:rPr>
          <w:rFonts w:ascii="宋体" w:cs="宋体" w:eastAsia="宋体" w:hAnsi="宋体" w:hint="eastAsia"/>
          <w:color w:val="auto"/>
          <w:sz w:val="24"/>
          <w:szCs w:val="24"/>
          <w:highlight w:val="none"/>
          <w:lang w:val="zh-CN"/>
        </w:rPr>
      </w:pPr>
      <w:r>
        <w:rPr>
          <w:rFonts w:ascii="宋体" w:cs="宋体" w:eastAsia="宋体" w:hAnsi="宋体" w:hint="eastAsia"/>
          <w:color w:val="auto"/>
          <w:sz w:val="24"/>
          <w:szCs w:val="24"/>
          <w:highlight w:val="none"/>
          <w:lang w:val="zh-CN"/>
        </w:rPr>
        <w:t>日期：   年   月   日</w:t>
      </w:r>
    </w:p>
    <w:p>
      <w:pPr>
        <w:pStyle w:val="style0"/>
        <w:tabs>
          <w:tab w:val="left" w:leader="none" w:pos="540"/>
        </w:tabs>
        <w:spacing w:lineRule="exact" w:line="440"/>
        <w:jc w:val="center"/>
        <w:rPr>
          <w:rFonts w:ascii="宋体" w:cs="宋体" w:hAnsi="宋体"/>
          <w:color w:val="auto"/>
          <w:sz w:val="28"/>
          <w:highlight w:val="none"/>
        </w:rPr>
      </w:pPr>
      <w:r>
        <w:rPr>
          <w:rFonts w:ascii="宋体" w:cs="宋体" w:hAnsi="宋体" w:hint="eastAsia"/>
          <w:color w:val="auto"/>
          <w:sz w:val="28"/>
          <w:highlight w:val="none"/>
        </w:rPr>
        <w:br w:type="page"/>
      </w:r>
      <w:bookmarkStart w:id="41" w:name="OLE_LINK28"/>
    </w:p>
    <w:p>
      <w:pPr>
        <w:pStyle w:val="style0"/>
        <w:tabs>
          <w:tab w:val="left" w:leader="none" w:pos="540"/>
        </w:tabs>
        <w:spacing w:lineRule="exact" w:line="440"/>
        <w:jc w:val="center"/>
        <w:rPr>
          <w:rFonts w:ascii="宋体" w:cs="宋体" w:hAnsi="宋体"/>
          <w:b/>
          <w:color w:val="auto"/>
          <w:sz w:val="30"/>
          <w:szCs w:val="30"/>
          <w:highlight w:val="none"/>
        </w:rPr>
      </w:pPr>
      <w:r>
        <w:rPr>
          <w:rFonts w:ascii="宋体" w:cs="宋体" w:hAnsi="宋体" w:hint="eastAsia"/>
          <w:b/>
          <w:color w:val="auto"/>
          <w:sz w:val="30"/>
          <w:szCs w:val="30"/>
          <w:highlight w:val="none"/>
          <w:lang w:val="en-US" w:eastAsia="zh-CN"/>
        </w:rPr>
        <w:t>五</w:t>
      </w:r>
      <w:r>
        <w:rPr>
          <w:rFonts w:ascii="宋体" w:cs="宋体" w:hAnsi="宋体" w:hint="eastAsia"/>
          <w:b/>
          <w:color w:val="auto"/>
          <w:sz w:val="30"/>
          <w:szCs w:val="30"/>
          <w:highlight w:val="none"/>
        </w:rPr>
        <w:t>、关于资格的声明函</w:t>
      </w:r>
      <w:bookmarkEnd w:id="41"/>
    </w:p>
    <w:p>
      <w:pPr>
        <w:pStyle w:val="style0"/>
        <w:snapToGrid w:val="false"/>
        <w:spacing w:lineRule="exact" w:line="560"/>
        <w:ind w:firstLine="839"/>
        <w:rPr>
          <w:rFonts w:ascii="宋体" w:cs="宋体" w:hAnsi="宋体"/>
          <w:color w:val="auto"/>
          <w:highlight w:val="none"/>
        </w:rPr>
      </w:pPr>
    </w:p>
    <w:p>
      <w:pPr>
        <w:pStyle w:val="style0"/>
        <w:snapToGrid w:val="false"/>
        <w:spacing w:lineRule="exact" w:line="560"/>
        <w:rPr>
          <w:rFonts w:ascii="宋体" w:cs="宋体" w:hAnsi="宋体"/>
          <w:color w:val="auto"/>
          <w:sz w:val="24"/>
          <w:highlight w:val="none"/>
        </w:rPr>
      </w:pPr>
      <w:r>
        <w:rPr>
          <w:rFonts w:ascii="宋体" w:cs="宋体" w:hAnsi="宋体" w:hint="eastAsia"/>
          <w:color w:val="auto"/>
          <w:sz w:val="24"/>
          <w:highlight w:val="none"/>
        </w:rPr>
        <w:t>河南晟祥招标代理服务有限公司：</w:t>
      </w:r>
    </w:p>
    <w:p>
      <w:pPr>
        <w:pStyle w:val="style0"/>
        <w:snapToGrid w:val="false"/>
        <w:spacing w:lineRule="exact" w:line="560"/>
        <w:ind w:firstLine="555"/>
        <w:rPr>
          <w:rFonts w:ascii="宋体" w:cs="宋体" w:hAnsi="宋体"/>
          <w:color w:val="auto"/>
          <w:sz w:val="24"/>
          <w:highlight w:val="none"/>
        </w:rPr>
      </w:pPr>
      <w:r>
        <w:rPr>
          <w:rFonts w:ascii="宋体" w:cs="宋体" w:hAnsi="宋体" w:hint="eastAsia"/>
          <w:color w:val="auto"/>
          <w:sz w:val="24"/>
          <w:highlight w:val="none"/>
        </w:rPr>
        <w:t>关于贵方项目编号</w:t>
      </w:r>
      <w:r>
        <w:rPr>
          <w:rFonts w:ascii="宋体" w:cs="宋体" w:hAnsi="宋体" w:hint="eastAsia"/>
          <w:color w:val="auto"/>
          <w:sz w:val="24"/>
          <w:highlight w:val="none"/>
          <w:u w:val="single" w:color="auto"/>
          <w:lang w:val="en-US" w:eastAsia="zh-CN"/>
        </w:rPr>
        <w:t xml:space="preserve">        </w:t>
      </w:r>
      <w:r>
        <w:rPr>
          <w:rFonts w:ascii="宋体" w:cs="宋体" w:hAnsi="宋体" w:hint="eastAsia"/>
          <w:color w:val="auto"/>
          <w:sz w:val="24"/>
          <w:highlight w:val="none"/>
        </w:rPr>
        <w:t>为的投标邀请，本签字人愿意参加投标，提供《磋商文件》中规定的产品及服务，并声明提交下列文件是准确的、真实的和有效的。</w:t>
      </w:r>
    </w:p>
    <w:p>
      <w:pPr>
        <w:pStyle w:val="style0"/>
        <w:numPr>
          <w:ilvl w:val="0"/>
          <w:numId w:val="3"/>
        </w:numPr>
        <w:snapToGrid w:val="false"/>
        <w:spacing w:lineRule="exact" w:line="560"/>
        <w:ind w:firstLine="555"/>
        <w:rPr>
          <w:rFonts w:ascii="宋体" w:cs="宋体" w:hAnsi="宋体"/>
          <w:color w:val="auto"/>
          <w:sz w:val="24"/>
          <w:highlight w:val="none"/>
        </w:rPr>
      </w:pPr>
      <w:r>
        <w:rPr>
          <w:rFonts w:ascii="宋体" w:cs="宋体" w:hAnsi="宋体" w:hint="eastAsia"/>
          <w:color w:val="auto"/>
          <w:sz w:val="24"/>
          <w:highlight w:val="none"/>
        </w:rPr>
        <w:t>《磋商文件》第一章“竞争性磋商公告”第二条所要求的资格性证明文件（证件或证明资料或承诺）</w:t>
      </w:r>
    </w:p>
    <w:p>
      <w:pPr>
        <w:pStyle w:val="style0"/>
        <w:snapToGrid w:val="false"/>
        <w:spacing w:lineRule="exact" w:line="560"/>
        <w:ind w:firstLine="555"/>
        <w:rPr>
          <w:rFonts w:ascii="宋体" w:cs="宋体" w:hAnsi="宋体"/>
          <w:color w:val="auto"/>
          <w:sz w:val="24"/>
          <w:highlight w:val="none"/>
        </w:rPr>
      </w:pPr>
      <w:r>
        <w:rPr>
          <w:rFonts w:ascii="宋体" w:cs="宋体" w:hAnsi="宋体" w:hint="eastAsia"/>
          <w:color w:val="auto"/>
          <w:sz w:val="24"/>
          <w:highlight w:val="none"/>
        </w:rPr>
        <w:t>2. 采购项目中必需的其他证件。</w:t>
      </w:r>
    </w:p>
    <w:p>
      <w:pPr>
        <w:pStyle w:val="style0"/>
        <w:snapToGrid w:val="false"/>
        <w:spacing w:lineRule="exact" w:line="560"/>
        <w:ind w:firstLine="555"/>
        <w:rPr>
          <w:rFonts w:ascii="宋体" w:cs="宋体" w:hAnsi="宋体"/>
          <w:color w:val="auto"/>
          <w:sz w:val="24"/>
          <w:highlight w:val="none"/>
        </w:rPr>
      </w:pPr>
      <w:r>
        <w:rPr>
          <w:rFonts w:ascii="宋体" w:cs="宋体" w:hAnsi="宋体" w:hint="eastAsia"/>
          <w:color w:val="auto"/>
          <w:sz w:val="24"/>
          <w:highlight w:val="none"/>
        </w:rPr>
        <w:t>3. 本签字人确认资格文件中的说明是真实的、准确的。</w:t>
      </w:r>
    </w:p>
    <w:p>
      <w:pPr>
        <w:pStyle w:val="style0"/>
        <w:snapToGrid w:val="false"/>
        <w:spacing w:lineRule="exact" w:line="560"/>
        <w:ind w:firstLine="555"/>
        <w:rPr>
          <w:rFonts w:ascii="宋体" w:cs="宋体" w:hAnsi="宋体"/>
          <w:color w:val="auto"/>
          <w:sz w:val="24"/>
          <w:highlight w:val="none"/>
        </w:rPr>
      </w:pPr>
    </w:p>
    <w:p>
      <w:pPr>
        <w:pStyle w:val="style0"/>
        <w:widowControl w:val="false"/>
        <w:snapToGrid w:val="false"/>
        <w:spacing w:lineRule="exact" w:line="560"/>
        <w:ind w:left="0" w:leftChars="0" w:firstLine="555"/>
        <w:jc w:val="left"/>
        <w:rPr>
          <w:rFonts w:ascii="宋体" w:cs="宋体" w:eastAsia="宋体" w:hAnsi="宋体" w:hint="eastAsia"/>
          <w:color w:val="auto"/>
          <w:sz w:val="24"/>
          <w:szCs w:val="24"/>
          <w:highlight w:val="none"/>
          <w:lang w:val="zh-CN"/>
        </w:rPr>
      </w:pPr>
      <w:r>
        <w:rPr>
          <w:rFonts w:ascii="宋体" w:cs="宋体" w:eastAsia="宋体" w:hAnsi="宋体" w:hint="eastAsia"/>
          <w:color w:val="auto"/>
          <w:sz w:val="24"/>
          <w:szCs w:val="24"/>
          <w:highlight w:val="none"/>
        </w:rPr>
        <w:t>供应商（</w:t>
      </w:r>
      <w:r>
        <w:rPr>
          <w:rFonts w:ascii="宋体" w:cs="宋体" w:eastAsia="宋体" w:hAnsi="宋体" w:hint="eastAsia"/>
          <w:color w:val="auto"/>
          <w:sz w:val="24"/>
          <w:szCs w:val="24"/>
          <w:highlight w:val="none"/>
          <w:lang w:val="en-US" w:eastAsia="zh-CN"/>
        </w:rPr>
        <w:t>盖章</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zh-CN"/>
        </w:rPr>
        <w:t>：</w:t>
      </w:r>
    </w:p>
    <w:p>
      <w:pPr>
        <w:pStyle w:val="style0"/>
        <w:widowControl w:val="false"/>
        <w:snapToGrid w:val="false"/>
        <w:spacing w:lineRule="exact" w:line="560"/>
        <w:ind w:left="0" w:leftChars="0" w:firstLine="555"/>
        <w:jc w:val="left"/>
        <w:rPr>
          <w:rFonts w:ascii="宋体" w:cs="宋体" w:eastAsia="宋体" w:hAnsi="宋体" w:hint="eastAsia"/>
          <w:color w:val="auto"/>
          <w:sz w:val="24"/>
          <w:szCs w:val="24"/>
          <w:highlight w:val="none"/>
          <w:lang w:val="zh-CN"/>
        </w:rPr>
      </w:pPr>
      <w:r>
        <w:rPr>
          <w:rFonts w:ascii="宋体" w:cs="宋体" w:eastAsia="宋体" w:hAnsi="宋体" w:hint="eastAsia"/>
          <w:color w:val="auto"/>
          <w:sz w:val="24"/>
          <w:szCs w:val="24"/>
          <w:highlight w:val="none"/>
          <w:lang w:val="zh-CN"/>
        </w:rPr>
        <w:t>法定代表人</w:t>
      </w:r>
      <w:r>
        <w:rPr>
          <w:rFonts w:ascii="宋体" w:cs="宋体" w:eastAsia="宋体" w:hAnsi="宋体" w:hint="eastAsia"/>
          <w:color w:val="auto"/>
          <w:sz w:val="24"/>
          <w:szCs w:val="24"/>
          <w:highlight w:val="none"/>
          <w:lang w:val="en-US" w:eastAsia="zh-CN"/>
        </w:rPr>
        <w:t>或委托代理人</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en-US" w:eastAsia="zh-CN"/>
        </w:rPr>
        <w:t>签字或盖章</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zh-CN"/>
        </w:rPr>
        <w:t xml:space="preserve">：  </w:t>
      </w:r>
    </w:p>
    <w:p>
      <w:pPr>
        <w:pStyle w:val="style0"/>
        <w:widowControl w:val="false"/>
        <w:snapToGrid w:val="false"/>
        <w:spacing w:lineRule="exact" w:line="560"/>
        <w:ind w:left="0" w:leftChars="0" w:firstLine="555"/>
        <w:jc w:val="left"/>
        <w:rPr>
          <w:rFonts w:ascii="宋体" w:cs="宋体" w:eastAsia="宋体" w:hAnsi="宋体" w:hint="eastAsia"/>
          <w:color w:val="auto"/>
          <w:sz w:val="24"/>
          <w:szCs w:val="24"/>
          <w:highlight w:val="none"/>
          <w:lang w:val="zh-CN"/>
        </w:rPr>
      </w:pPr>
      <w:r>
        <w:rPr>
          <w:rFonts w:ascii="宋体" w:cs="宋体" w:eastAsia="宋体" w:hAnsi="宋体" w:hint="eastAsia"/>
          <w:color w:val="auto"/>
          <w:sz w:val="24"/>
          <w:szCs w:val="24"/>
          <w:highlight w:val="none"/>
          <w:lang w:val="zh-CN"/>
        </w:rPr>
        <w:t>日期：   年   月   日</w:t>
      </w:r>
    </w:p>
    <w:p>
      <w:pPr>
        <w:pStyle w:val="style0"/>
        <w:snapToGrid w:val="false"/>
        <w:spacing w:lineRule="exact" w:line="560"/>
        <w:rPr>
          <w:rFonts w:ascii="宋体" w:cs="宋体" w:hAnsi="宋体"/>
          <w:color w:val="auto"/>
          <w:sz w:val="24"/>
          <w:highlight w:val="none"/>
        </w:rPr>
      </w:pPr>
    </w:p>
    <w:p>
      <w:pPr>
        <w:pStyle w:val="style0"/>
        <w:snapToGrid w:val="false"/>
        <w:spacing w:lineRule="exact" w:line="560"/>
        <w:ind w:firstLine="555"/>
        <w:rPr>
          <w:rFonts w:ascii="宋体" w:cs="宋体" w:hAnsi="宋体"/>
          <w:color w:val="auto"/>
          <w:sz w:val="24"/>
          <w:highlight w:val="none"/>
        </w:rPr>
      </w:pPr>
    </w:p>
    <w:p>
      <w:pPr>
        <w:pStyle w:val="style0"/>
        <w:widowControl w:val="false"/>
        <w:tabs>
          <w:tab w:val="left" w:leader="none" w:pos="9365"/>
        </w:tabs>
        <w:snapToGrid w:val="false"/>
        <w:spacing w:after="56" w:lineRule="exact" w:line="560"/>
        <w:ind w:right="85"/>
        <w:jc w:val="center"/>
        <w:textAlignment w:val="top"/>
        <w:rPr>
          <w:rFonts w:ascii="宋体" w:cs="宋体" w:hAnsi="宋体"/>
          <w:color w:val="auto"/>
          <w:sz w:val="24"/>
          <w:highlight w:val="none"/>
        </w:rPr>
      </w:pPr>
    </w:p>
    <w:p>
      <w:pPr>
        <w:pStyle w:val="style0"/>
        <w:widowControl w:val="false"/>
        <w:tabs>
          <w:tab w:val="left" w:leader="none" w:pos="9365"/>
        </w:tabs>
        <w:snapToGrid w:val="false"/>
        <w:spacing w:after="56" w:lineRule="exact" w:line="560"/>
        <w:ind w:right="85"/>
        <w:jc w:val="center"/>
        <w:textAlignment w:val="top"/>
        <w:rPr>
          <w:rFonts w:ascii="宋体" w:cs="宋体" w:hAnsi="宋体"/>
          <w:color w:val="auto"/>
          <w:sz w:val="24"/>
          <w:highlight w:val="none"/>
        </w:rPr>
      </w:pPr>
    </w:p>
    <w:p>
      <w:pPr>
        <w:pStyle w:val="style0"/>
        <w:widowControl w:val="false"/>
        <w:tabs>
          <w:tab w:val="left" w:leader="none" w:pos="9365"/>
        </w:tabs>
        <w:snapToGrid w:val="false"/>
        <w:spacing w:after="56" w:lineRule="exact" w:line="560"/>
        <w:ind w:right="85"/>
        <w:jc w:val="center"/>
        <w:textAlignment w:val="top"/>
        <w:rPr>
          <w:rFonts w:ascii="宋体" w:cs="宋体" w:hAnsi="宋体"/>
          <w:color w:val="auto"/>
          <w:sz w:val="24"/>
          <w:highlight w:val="none"/>
        </w:rPr>
      </w:pPr>
    </w:p>
    <w:p>
      <w:pPr>
        <w:pStyle w:val="style0"/>
        <w:widowControl w:val="false"/>
        <w:tabs>
          <w:tab w:val="left" w:leader="none" w:pos="9365"/>
        </w:tabs>
        <w:snapToGrid w:val="false"/>
        <w:spacing w:after="56" w:lineRule="exact" w:line="560"/>
        <w:ind w:right="85"/>
        <w:jc w:val="center"/>
        <w:textAlignment w:val="top"/>
        <w:rPr>
          <w:rFonts w:ascii="宋体" w:cs="宋体" w:hAnsi="宋体"/>
          <w:color w:val="auto"/>
          <w:sz w:val="24"/>
          <w:highlight w:val="none"/>
        </w:rPr>
      </w:pPr>
    </w:p>
    <w:p>
      <w:pPr>
        <w:pStyle w:val="style0"/>
        <w:widowControl w:val="false"/>
        <w:tabs>
          <w:tab w:val="left" w:leader="none" w:pos="9365"/>
        </w:tabs>
        <w:snapToGrid w:val="false"/>
        <w:spacing w:after="56" w:lineRule="exact" w:line="560"/>
        <w:ind w:right="85"/>
        <w:jc w:val="center"/>
        <w:textAlignment w:val="top"/>
        <w:rPr>
          <w:rFonts w:ascii="宋体" w:cs="宋体" w:hAnsi="宋体"/>
          <w:color w:val="auto"/>
          <w:sz w:val="24"/>
          <w:highlight w:val="none"/>
        </w:rPr>
      </w:pPr>
    </w:p>
    <w:p>
      <w:pPr>
        <w:pStyle w:val="style0"/>
        <w:widowControl w:val="false"/>
        <w:tabs>
          <w:tab w:val="left" w:leader="none" w:pos="9365"/>
        </w:tabs>
        <w:snapToGrid w:val="false"/>
        <w:spacing w:after="56" w:lineRule="exact" w:line="560"/>
        <w:ind w:right="85"/>
        <w:jc w:val="center"/>
        <w:textAlignment w:val="top"/>
        <w:rPr>
          <w:rFonts w:ascii="宋体" w:cs="宋体" w:hAnsi="宋体"/>
          <w:color w:val="auto"/>
          <w:sz w:val="24"/>
          <w:highlight w:val="none"/>
        </w:rPr>
      </w:pPr>
    </w:p>
    <w:p>
      <w:pPr>
        <w:pStyle w:val="style0"/>
        <w:widowControl w:val="false"/>
        <w:tabs>
          <w:tab w:val="left" w:leader="none" w:pos="9365"/>
        </w:tabs>
        <w:snapToGrid w:val="false"/>
        <w:spacing w:after="56" w:lineRule="exact" w:line="560"/>
        <w:ind w:right="85"/>
        <w:jc w:val="center"/>
        <w:textAlignment w:val="top"/>
        <w:rPr>
          <w:rFonts w:ascii="宋体" w:cs="宋体" w:hAnsi="宋体"/>
          <w:color w:val="auto"/>
          <w:sz w:val="24"/>
          <w:highlight w:val="none"/>
        </w:rPr>
      </w:pPr>
    </w:p>
    <w:p>
      <w:pPr>
        <w:pStyle w:val="style0"/>
        <w:widowControl w:val="false"/>
        <w:tabs>
          <w:tab w:val="left" w:leader="none" w:pos="9365"/>
        </w:tabs>
        <w:snapToGrid w:val="false"/>
        <w:spacing w:after="56" w:lineRule="exact" w:line="560"/>
        <w:ind w:right="85"/>
        <w:jc w:val="center"/>
        <w:textAlignment w:val="top"/>
        <w:rPr>
          <w:rFonts w:ascii="宋体" w:cs="宋体" w:hAnsi="宋体"/>
          <w:color w:val="auto"/>
          <w:sz w:val="24"/>
          <w:highlight w:val="none"/>
        </w:rPr>
      </w:pPr>
    </w:p>
    <w:p>
      <w:pPr>
        <w:pStyle w:val="style0"/>
        <w:tabs>
          <w:tab w:val="left" w:leader="none" w:pos="540"/>
        </w:tabs>
        <w:spacing w:lineRule="exact" w:line="440"/>
        <w:rPr>
          <w:rFonts w:ascii="宋体" w:cs="宋体" w:hAnsi="宋体"/>
          <w:color w:val="auto"/>
          <w:sz w:val="24"/>
          <w:highlight w:val="none"/>
        </w:rPr>
      </w:pPr>
      <w:r>
        <w:rPr>
          <w:rFonts w:ascii="宋体" w:cs="宋体" w:hAnsi="宋体" w:hint="eastAsia"/>
          <w:color w:val="auto"/>
          <w:sz w:val="24"/>
          <w:highlight w:val="none"/>
        </w:rPr>
        <w:br w:type="page"/>
      </w:r>
    </w:p>
    <w:p>
      <w:pPr>
        <w:pStyle w:val="style0"/>
        <w:tabs>
          <w:tab w:val="left" w:leader="none" w:pos="540"/>
        </w:tabs>
        <w:spacing w:lineRule="exact" w:line="440"/>
        <w:jc w:val="center"/>
        <w:rPr>
          <w:rFonts w:ascii="宋体" w:cs="宋体" w:hAnsi="宋体"/>
          <w:b/>
          <w:color w:val="auto"/>
          <w:sz w:val="30"/>
          <w:szCs w:val="30"/>
          <w:highlight w:val="none"/>
        </w:rPr>
      </w:pPr>
      <w:r>
        <w:rPr>
          <w:rFonts w:ascii="宋体" w:cs="宋体" w:hAnsi="宋体" w:hint="eastAsia"/>
          <w:b/>
          <w:color w:val="auto"/>
          <w:sz w:val="30"/>
          <w:szCs w:val="30"/>
          <w:highlight w:val="none"/>
          <w:lang w:val="en-US" w:eastAsia="zh-CN"/>
        </w:rPr>
        <w:t>六</w:t>
      </w:r>
      <w:r>
        <w:rPr>
          <w:rFonts w:ascii="宋体" w:cs="宋体" w:hAnsi="宋体" w:hint="eastAsia"/>
          <w:b/>
          <w:color w:val="auto"/>
          <w:sz w:val="30"/>
          <w:szCs w:val="30"/>
          <w:highlight w:val="none"/>
        </w:rPr>
        <w:t>、反商业贿赂承诺书</w:t>
      </w:r>
    </w:p>
    <w:p>
      <w:pPr>
        <w:pStyle w:val="style0"/>
        <w:rPr>
          <w:rFonts w:ascii="宋体" w:cs="宋体" w:hAnsi="宋体"/>
          <w:b/>
          <w:color w:val="auto"/>
          <w:sz w:val="48"/>
          <w:szCs w:val="48"/>
          <w:highlight w:val="none"/>
        </w:rPr>
      </w:pPr>
    </w:p>
    <w:p>
      <w:pPr>
        <w:pStyle w:val="style0"/>
        <w:snapToGrid w:val="false"/>
        <w:spacing w:lineRule="atLeast" w:line="560"/>
        <w:ind w:right="56" w:firstLine="555"/>
        <w:rPr>
          <w:rFonts w:ascii="宋体" w:cs="宋体" w:hAnsi="宋体"/>
          <w:color w:val="auto"/>
          <w:sz w:val="24"/>
          <w:highlight w:val="none"/>
        </w:rPr>
      </w:pPr>
      <w:r>
        <w:rPr>
          <w:rFonts w:ascii="宋体" w:cs="宋体" w:hAnsi="宋体" w:hint="eastAsia"/>
          <w:color w:val="auto"/>
          <w:sz w:val="24"/>
          <w:highlight w:val="none"/>
        </w:rPr>
        <w:t>我公司承诺：</w:t>
      </w:r>
    </w:p>
    <w:p>
      <w:pPr>
        <w:pStyle w:val="style0"/>
        <w:snapToGrid w:val="false"/>
        <w:spacing w:lineRule="atLeast" w:line="560"/>
        <w:ind w:right="56" w:firstLine="555"/>
        <w:rPr>
          <w:rFonts w:ascii="宋体" w:cs="宋体" w:hAnsi="宋体"/>
          <w:color w:val="auto"/>
          <w:sz w:val="24"/>
          <w:highlight w:val="none"/>
        </w:rPr>
      </w:pPr>
      <w:r>
        <w:rPr>
          <w:rFonts w:ascii="宋体" w:cs="宋体" w:hAnsi="宋体" w:hint="eastAsia"/>
          <w:color w:val="auto"/>
          <w:sz w:val="24"/>
          <w:highlight w:val="none"/>
        </w:rPr>
        <w:t>在采购活动中，我公司保证做到：</w:t>
      </w:r>
    </w:p>
    <w:p>
      <w:pPr>
        <w:pStyle w:val="style0"/>
        <w:snapToGrid w:val="false"/>
        <w:spacing w:lineRule="atLeast" w:line="560"/>
        <w:ind w:right="56" w:firstLine="555"/>
        <w:rPr>
          <w:rFonts w:ascii="宋体" w:cs="宋体" w:hAnsi="宋体"/>
          <w:color w:val="auto"/>
          <w:sz w:val="24"/>
          <w:highlight w:val="none"/>
        </w:rPr>
      </w:pPr>
      <w:r>
        <w:rPr>
          <w:rFonts w:ascii="宋体" w:cs="宋体" w:hAnsi="宋体" w:hint="eastAsia"/>
          <w:color w:val="auto"/>
          <w:sz w:val="24"/>
          <w:highlight w:val="none"/>
        </w:rPr>
        <w:t>一、公平竞争参加本次采购活动。</w:t>
      </w:r>
    </w:p>
    <w:p>
      <w:pPr>
        <w:pStyle w:val="style0"/>
        <w:snapToGrid w:val="false"/>
        <w:spacing w:lineRule="atLeast" w:line="560"/>
        <w:ind w:right="56" w:firstLine="555"/>
        <w:rPr>
          <w:rFonts w:ascii="宋体" w:cs="宋体" w:hAnsi="宋体"/>
          <w:color w:val="auto"/>
          <w:sz w:val="24"/>
          <w:highlight w:val="none"/>
        </w:rPr>
      </w:pPr>
      <w:r>
        <w:rPr>
          <w:rFonts w:ascii="宋体" w:cs="宋体" w:hAnsi="宋体" w:hint="eastAsia"/>
          <w:color w:val="auto"/>
          <w:sz w:val="24"/>
          <w:highlight w:val="none"/>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pPr>
        <w:pStyle w:val="style0"/>
        <w:snapToGrid w:val="false"/>
        <w:spacing w:lineRule="atLeast" w:line="560"/>
        <w:ind w:right="56" w:firstLine="555"/>
        <w:rPr>
          <w:rFonts w:ascii="宋体" w:cs="宋体" w:hAnsi="宋体"/>
          <w:color w:val="auto"/>
          <w:sz w:val="24"/>
          <w:highlight w:val="none"/>
        </w:rPr>
      </w:pPr>
      <w:r>
        <w:rPr>
          <w:rFonts w:ascii="宋体" w:cs="宋体" w:hAnsi="宋体" w:hint="eastAsia"/>
          <w:color w:val="auto"/>
          <w:sz w:val="24"/>
          <w:highlight w:val="none"/>
        </w:rPr>
        <w:t>三、若出现上述行为，我公司及其参与投标的工作人员愿意接受按照国家法律法规等有关规定给予的处罚。</w:t>
      </w:r>
    </w:p>
    <w:p>
      <w:pPr>
        <w:pStyle w:val="style0"/>
        <w:snapToGrid w:val="false"/>
        <w:spacing w:lineRule="atLeast" w:line="560"/>
        <w:ind w:right="56" w:firstLine="555"/>
        <w:rPr>
          <w:rFonts w:ascii="宋体" w:cs="宋体" w:hAnsi="宋体"/>
          <w:color w:val="auto"/>
          <w:sz w:val="24"/>
          <w:highlight w:val="none"/>
        </w:rPr>
      </w:pPr>
    </w:p>
    <w:p>
      <w:pPr>
        <w:pStyle w:val="style0"/>
        <w:snapToGrid w:val="false"/>
        <w:spacing w:lineRule="atLeast" w:line="560"/>
        <w:ind w:right="56" w:firstLine="555"/>
        <w:rPr>
          <w:rFonts w:ascii="宋体" w:cs="宋体" w:hAnsi="宋体"/>
          <w:color w:val="auto"/>
          <w:sz w:val="24"/>
          <w:highlight w:val="none"/>
        </w:rPr>
      </w:pPr>
    </w:p>
    <w:p>
      <w:pPr>
        <w:pStyle w:val="style0"/>
        <w:widowControl w:val="false"/>
        <w:snapToGrid w:val="false"/>
        <w:spacing w:lineRule="exact" w:line="560"/>
        <w:ind w:left="0" w:leftChars="0" w:firstLine="555"/>
        <w:jc w:val="left"/>
        <w:rPr>
          <w:rFonts w:ascii="宋体" w:cs="宋体" w:eastAsia="宋体" w:hAnsi="宋体" w:hint="eastAsia"/>
          <w:color w:val="auto"/>
          <w:sz w:val="24"/>
          <w:szCs w:val="24"/>
          <w:highlight w:val="none"/>
          <w:lang w:val="zh-CN"/>
        </w:rPr>
      </w:pPr>
      <w:r>
        <w:rPr>
          <w:rFonts w:ascii="宋体" w:cs="宋体" w:eastAsia="宋体" w:hAnsi="宋体" w:hint="eastAsia"/>
          <w:color w:val="auto"/>
          <w:sz w:val="24"/>
          <w:szCs w:val="24"/>
          <w:highlight w:val="none"/>
        </w:rPr>
        <w:t>供应商（</w:t>
      </w:r>
      <w:r>
        <w:rPr>
          <w:rFonts w:ascii="宋体" w:cs="宋体" w:eastAsia="宋体" w:hAnsi="宋体" w:hint="eastAsia"/>
          <w:color w:val="auto"/>
          <w:sz w:val="24"/>
          <w:szCs w:val="24"/>
          <w:highlight w:val="none"/>
          <w:lang w:val="en-US" w:eastAsia="zh-CN"/>
        </w:rPr>
        <w:t>盖章</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zh-CN"/>
        </w:rPr>
        <w:t>：</w:t>
      </w:r>
    </w:p>
    <w:p>
      <w:pPr>
        <w:pStyle w:val="style0"/>
        <w:widowControl w:val="false"/>
        <w:snapToGrid w:val="false"/>
        <w:spacing w:lineRule="exact" w:line="560"/>
        <w:ind w:left="0" w:leftChars="0" w:firstLine="555"/>
        <w:jc w:val="left"/>
        <w:rPr>
          <w:rFonts w:ascii="宋体" w:cs="宋体" w:eastAsia="宋体" w:hAnsi="宋体" w:hint="eastAsia"/>
          <w:color w:val="auto"/>
          <w:sz w:val="24"/>
          <w:szCs w:val="24"/>
          <w:highlight w:val="none"/>
          <w:lang w:val="zh-CN"/>
        </w:rPr>
      </w:pPr>
      <w:r>
        <w:rPr>
          <w:rFonts w:ascii="宋体" w:cs="宋体" w:eastAsia="宋体" w:hAnsi="宋体" w:hint="eastAsia"/>
          <w:color w:val="auto"/>
          <w:sz w:val="24"/>
          <w:szCs w:val="24"/>
          <w:highlight w:val="none"/>
          <w:lang w:val="zh-CN"/>
        </w:rPr>
        <w:t>法定代表人</w:t>
      </w:r>
      <w:r>
        <w:rPr>
          <w:rFonts w:ascii="宋体" w:cs="宋体" w:eastAsia="宋体" w:hAnsi="宋体" w:hint="eastAsia"/>
          <w:color w:val="auto"/>
          <w:sz w:val="24"/>
          <w:szCs w:val="24"/>
          <w:highlight w:val="none"/>
          <w:lang w:val="en-US" w:eastAsia="zh-CN"/>
        </w:rPr>
        <w:t>或委托代理人</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en-US" w:eastAsia="zh-CN"/>
        </w:rPr>
        <w:t>签字或盖章</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zh-CN"/>
        </w:rPr>
        <w:t xml:space="preserve">：  </w:t>
      </w:r>
    </w:p>
    <w:p>
      <w:pPr>
        <w:pStyle w:val="style0"/>
        <w:widowControl w:val="false"/>
        <w:snapToGrid w:val="false"/>
        <w:spacing w:lineRule="exact" w:line="560"/>
        <w:ind w:left="0" w:leftChars="0" w:firstLine="555"/>
        <w:jc w:val="left"/>
        <w:rPr>
          <w:rFonts w:ascii="宋体" w:cs="宋体" w:eastAsia="宋体" w:hAnsi="宋体" w:hint="eastAsia"/>
          <w:color w:val="auto"/>
          <w:sz w:val="24"/>
          <w:szCs w:val="24"/>
          <w:highlight w:val="none"/>
          <w:lang w:val="zh-CN"/>
        </w:rPr>
      </w:pPr>
      <w:r>
        <w:rPr>
          <w:rFonts w:ascii="宋体" w:cs="宋体" w:eastAsia="宋体" w:hAnsi="宋体" w:hint="eastAsia"/>
          <w:color w:val="auto"/>
          <w:sz w:val="24"/>
          <w:szCs w:val="24"/>
          <w:highlight w:val="none"/>
          <w:lang w:val="zh-CN"/>
        </w:rPr>
        <w:t>日期：   年   月   日</w:t>
      </w:r>
    </w:p>
    <w:p>
      <w:pPr>
        <w:pStyle w:val="style0"/>
        <w:tabs>
          <w:tab w:val="left" w:leader="none" w:pos="540"/>
        </w:tabs>
        <w:spacing w:lineRule="exact" w:line="440"/>
        <w:jc w:val="center"/>
        <w:rPr>
          <w:rFonts w:ascii="宋体" w:cs="宋体" w:hAnsi="宋体"/>
          <w:color w:val="auto"/>
          <w:highlight w:val="none"/>
        </w:rPr>
      </w:pPr>
      <w:r>
        <w:rPr>
          <w:rFonts w:ascii="宋体" w:cs="宋体" w:hAnsi="宋体" w:hint="eastAsia"/>
          <w:color w:val="auto"/>
          <w:highlight w:val="none"/>
        </w:rPr>
        <w:br w:type="page"/>
      </w:r>
    </w:p>
    <w:p>
      <w:pPr>
        <w:pStyle w:val="style0"/>
        <w:tabs>
          <w:tab w:val="left" w:leader="none" w:pos="540"/>
        </w:tabs>
        <w:spacing w:lineRule="exact" w:line="440"/>
        <w:jc w:val="center"/>
        <w:rPr>
          <w:rFonts w:ascii="宋体" w:cs="宋体" w:hAnsi="宋体"/>
          <w:b/>
          <w:color w:val="auto"/>
          <w:sz w:val="30"/>
          <w:szCs w:val="30"/>
          <w:highlight w:val="none"/>
        </w:rPr>
      </w:pPr>
      <w:r>
        <w:rPr>
          <w:rFonts w:ascii="宋体" w:cs="宋体" w:hAnsi="宋体" w:hint="eastAsia"/>
          <w:b/>
          <w:color w:val="auto"/>
          <w:sz w:val="30"/>
          <w:szCs w:val="30"/>
          <w:highlight w:val="none"/>
          <w:lang w:val="en-US" w:eastAsia="zh-CN"/>
        </w:rPr>
        <w:t>七</w:t>
      </w:r>
      <w:r>
        <w:rPr>
          <w:rFonts w:ascii="宋体" w:cs="宋体" w:hAnsi="宋体" w:hint="eastAsia"/>
          <w:b/>
          <w:color w:val="auto"/>
          <w:sz w:val="30"/>
          <w:szCs w:val="30"/>
          <w:highlight w:val="none"/>
        </w:rPr>
        <w:t>、</w:t>
      </w:r>
      <w:bookmarkStart w:id="42" w:name="OLE_LINK19"/>
      <w:r>
        <w:rPr>
          <w:rFonts w:ascii="宋体" w:cs="宋体" w:hAnsi="宋体" w:hint="eastAsia"/>
          <w:b/>
          <w:color w:val="auto"/>
          <w:sz w:val="30"/>
          <w:szCs w:val="30"/>
          <w:highlight w:val="none"/>
        </w:rPr>
        <w:t>履约承诺书</w:t>
      </w:r>
      <w:bookmarkEnd w:id="42"/>
    </w:p>
    <w:p>
      <w:pPr>
        <w:pStyle w:val="style0"/>
        <w:adjustRightInd w:val="false"/>
        <w:snapToGrid w:val="false"/>
        <w:spacing w:beforeLines="50" w:lineRule="auto" w:line="300"/>
        <w:ind w:right="56" w:firstLine="555"/>
        <w:rPr>
          <w:rFonts w:ascii="宋体" w:cs="宋体" w:hAnsi="宋体"/>
          <w:color w:val="auto"/>
          <w:sz w:val="24"/>
          <w:highlight w:val="none"/>
        </w:rPr>
      </w:pPr>
      <w:r>
        <w:rPr>
          <w:rFonts w:ascii="宋体" w:cs="宋体" w:hAnsi="宋体" w:hint="eastAsia"/>
          <w:color w:val="auto"/>
          <w:sz w:val="24"/>
          <w:highlight w:val="none"/>
        </w:rPr>
        <w:t>一、我单位承诺：</w:t>
      </w:r>
    </w:p>
    <w:p>
      <w:pPr>
        <w:pStyle w:val="style0"/>
        <w:adjustRightInd w:val="false"/>
        <w:snapToGrid w:val="false"/>
        <w:spacing w:beforeLines="50" w:lineRule="auto" w:line="300"/>
        <w:ind w:firstLine="555"/>
        <w:rPr>
          <w:rFonts w:ascii="宋体" w:cs="宋体" w:hAnsi="宋体"/>
          <w:color w:val="auto"/>
          <w:sz w:val="24"/>
          <w:highlight w:val="none"/>
        </w:rPr>
      </w:pPr>
      <w:r>
        <w:rPr>
          <w:rFonts w:ascii="宋体" w:cs="宋体" w:hAnsi="宋体" w:hint="eastAsia"/>
          <w:color w:val="auto"/>
          <w:sz w:val="24"/>
          <w:highlight w:val="none"/>
        </w:rPr>
        <w:t>（一）我单位已详细阅读并完全理解、同意《磋商文件》的全部内容，包括修改补充文件以及全部参考资料和有关附件；除我单位在《磋商文件》规定期间内书面提出的疑问外，我单位放弃对这方面不明及误解的权力，并严格按采购人确定的技术及商务要求等履行。</w:t>
      </w:r>
    </w:p>
    <w:p>
      <w:pPr>
        <w:pStyle w:val="style0"/>
        <w:tabs>
          <w:tab w:val="left" w:leader="none" w:pos="9354"/>
        </w:tabs>
        <w:adjustRightInd w:val="false"/>
        <w:snapToGrid w:val="false"/>
        <w:spacing w:beforeLines="50" w:lineRule="auto" w:line="300"/>
        <w:ind w:firstLine="480" w:firstLineChars="200"/>
        <w:rPr>
          <w:rFonts w:ascii="宋体" w:cs="宋体" w:hAnsi="宋体"/>
          <w:color w:val="auto"/>
          <w:sz w:val="24"/>
          <w:highlight w:val="none"/>
        </w:rPr>
      </w:pPr>
      <w:r>
        <w:rPr>
          <w:rFonts w:ascii="宋体" w:cs="宋体" w:hAnsi="宋体" w:hint="eastAsia"/>
          <w:color w:val="auto"/>
          <w:sz w:val="24"/>
          <w:highlight w:val="none"/>
        </w:rPr>
        <w:t>（二）我单位《响应文件》开启前已详细勘察现场，并按采购人现场条件及采购要求编制磋商报价；我单位的磋商报价括《磋商文件》所述报价组成的所有内容、并包括《磋商文件》未列明而与采购项目相关的、必须的所有款项及费用等达到交付使用及验收条件的所有一切风险、责任和义务的费用。</w:t>
      </w:r>
    </w:p>
    <w:p>
      <w:pPr>
        <w:pStyle w:val="style0"/>
        <w:tabs>
          <w:tab w:val="left" w:leader="none" w:pos="9354"/>
        </w:tabs>
        <w:adjustRightInd w:val="false"/>
        <w:snapToGrid w:val="false"/>
        <w:spacing w:beforeLines="50" w:lineRule="auto" w:line="300"/>
        <w:ind w:firstLine="480" w:firstLineChars="200"/>
        <w:rPr>
          <w:rFonts w:ascii="宋体" w:cs="宋体" w:hAnsi="宋体"/>
          <w:color w:val="auto"/>
          <w:sz w:val="24"/>
          <w:highlight w:val="none"/>
        </w:rPr>
      </w:pPr>
      <w:r>
        <w:rPr>
          <w:rFonts w:ascii="宋体" w:cs="宋体" w:hAnsi="宋体" w:hint="eastAsia"/>
          <w:color w:val="auto"/>
          <w:sz w:val="24"/>
          <w:highlight w:val="none"/>
        </w:rPr>
        <w:t>我单位保证按《磋商文件》要求及投标承诺的质量诚信履约。</w:t>
      </w:r>
    </w:p>
    <w:p>
      <w:pPr>
        <w:pStyle w:val="style0"/>
        <w:tabs>
          <w:tab w:val="left" w:leader="none" w:pos="9354"/>
        </w:tabs>
        <w:adjustRightInd w:val="false"/>
        <w:snapToGrid w:val="false"/>
        <w:spacing w:beforeLines="50" w:lineRule="auto" w:line="300"/>
        <w:ind w:firstLine="480" w:firstLineChars="200"/>
        <w:rPr>
          <w:rFonts w:ascii="宋体" w:cs="宋体" w:hAnsi="宋体"/>
          <w:color w:val="auto"/>
          <w:sz w:val="24"/>
          <w:highlight w:val="none"/>
        </w:rPr>
      </w:pPr>
      <w:r>
        <w:rPr>
          <w:rFonts w:ascii="宋体" w:cs="宋体" w:hAnsi="宋体" w:hint="eastAsia"/>
          <w:color w:val="auto"/>
          <w:sz w:val="24"/>
          <w:highlight w:val="none"/>
        </w:rPr>
        <w:t>（三）我单位保证在《磋商文件》要求的时间内按期、保质完成中标项目。我单位在推荐中标结果公示后，将积极、主动的与采购人联系合同签订事宜，合同签订中如有任何的问题，我单位保证及时书面反映情况，否则视为我单位责任、按违约处理。</w:t>
      </w:r>
    </w:p>
    <w:p>
      <w:pPr>
        <w:pStyle w:val="style0"/>
        <w:tabs>
          <w:tab w:val="left" w:leader="none" w:pos="9354"/>
        </w:tabs>
        <w:adjustRightInd w:val="false"/>
        <w:snapToGrid w:val="false"/>
        <w:spacing w:beforeLines="50" w:lineRule="auto" w:line="300"/>
        <w:ind w:firstLine="480" w:firstLineChars="200"/>
        <w:rPr>
          <w:rFonts w:ascii="宋体" w:cs="宋体" w:hAnsi="宋体"/>
          <w:color w:val="auto"/>
          <w:sz w:val="24"/>
          <w:highlight w:val="none"/>
        </w:rPr>
      </w:pPr>
      <w:r>
        <w:rPr>
          <w:rFonts w:ascii="宋体" w:cs="宋体" w:hAnsi="宋体" w:hint="eastAsia"/>
          <w:color w:val="auto"/>
          <w:sz w:val="24"/>
          <w:highlight w:val="none"/>
        </w:rPr>
        <w:t>二、我单位承诺：</w:t>
      </w:r>
    </w:p>
    <w:p>
      <w:pPr>
        <w:pStyle w:val="style0"/>
        <w:tabs>
          <w:tab w:val="left" w:leader="none" w:pos="9354"/>
        </w:tabs>
        <w:adjustRightInd w:val="false"/>
        <w:snapToGrid w:val="false"/>
        <w:spacing w:beforeLines="50" w:lineRule="auto" w:line="300"/>
        <w:ind w:firstLine="480" w:firstLineChars="200"/>
        <w:rPr>
          <w:rFonts w:ascii="宋体" w:cs="宋体" w:hAnsi="宋体"/>
          <w:color w:val="auto"/>
          <w:sz w:val="24"/>
          <w:highlight w:val="none"/>
        </w:rPr>
      </w:pPr>
      <w:r>
        <w:rPr>
          <w:rFonts w:ascii="宋体" w:cs="宋体" w:hAnsi="宋体" w:hint="eastAsia"/>
          <w:color w:val="auto"/>
          <w:sz w:val="24"/>
          <w:highlight w:val="none"/>
        </w:rPr>
        <w:t>除法律规定的不可抗力因素外，我单位中标后以任何理由（包括违背上述承诺的事项）提出不能满足《磋商文件》技术、服务期等要求或不能实现投标承诺的或提出变更的，我单位将无条件接受违约处理、并放弃我单位中标资格。我单位知悉违约责任及其处理，并无条件接受：</w:t>
      </w:r>
      <w:r>
        <w:rPr>
          <w:rFonts w:ascii="宋体" w:cs="宋体" w:hAnsi="宋体" w:hint="eastAsia"/>
          <w:color w:val="auto"/>
          <w:sz w:val="24"/>
          <w:szCs w:val="24"/>
          <w:highlight w:val="none"/>
        </w:rPr>
        <w:t>依据磋商文件“第三章3.5.5 违背承诺的责任追究措施”，供应商承担相应法律责任及违约责任</w:t>
      </w:r>
      <w:r>
        <w:rPr>
          <w:rFonts w:ascii="宋体" w:cs="宋体" w:hAnsi="宋体" w:hint="eastAsia"/>
          <w:color w:val="auto"/>
          <w:sz w:val="24"/>
          <w:highlight w:val="none"/>
        </w:rPr>
        <w:t>；情节严重的，由财政部门列入不良行为记录名单，在一至三年内禁止参加政府采购活动，并予以通报，处以罚金，给采购人及他人造成损失的，承担相应的赔偿责任。</w:t>
      </w:r>
    </w:p>
    <w:p>
      <w:pPr>
        <w:pStyle w:val="style0"/>
        <w:widowControl w:val="false"/>
        <w:snapToGrid w:val="false"/>
        <w:spacing w:lineRule="exact" w:line="560"/>
        <w:ind w:left="0" w:leftChars="0" w:firstLine="555"/>
        <w:jc w:val="left"/>
        <w:rPr>
          <w:rFonts w:ascii="宋体" w:cs="宋体" w:eastAsia="宋体" w:hAnsi="宋体" w:hint="eastAsia"/>
          <w:color w:val="auto"/>
          <w:sz w:val="24"/>
          <w:szCs w:val="24"/>
          <w:highlight w:val="none"/>
          <w:lang w:val="zh-CN"/>
        </w:rPr>
      </w:pPr>
      <w:r>
        <w:rPr>
          <w:rFonts w:ascii="宋体" w:cs="宋体" w:eastAsia="宋体" w:hAnsi="宋体" w:hint="eastAsia"/>
          <w:color w:val="auto"/>
          <w:sz w:val="24"/>
          <w:szCs w:val="24"/>
          <w:highlight w:val="none"/>
        </w:rPr>
        <w:t>供应商（</w:t>
      </w:r>
      <w:r>
        <w:rPr>
          <w:rFonts w:ascii="宋体" w:cs="宋体" w:eastAsia="宋体" w:hAnsi="宋体" w:hint="eastAsia"/>
          <w:color w:val="auto"/>
          <w:sz w:val="24"/>
          <w:szCs w:val="24"/>
          <w:highlight w:val="none"/>
          <w:lang w:val="en-US" w:eastAsia="zh-CN"/>
        </w:rPr>
        <w:t>盖章</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zh-CN"/>
        </w:rPr>
        <w:t>：</w:t>
      </w:r>
    </w:p>
    <w:p>
      <w:pPr>
        <w:pStyle w:val="style0"/>
        <w:widowControl w:val="false"/>
        <w:snapToGrid w:val="false"/>
        <w:spacing w:lineRule="exact" w:line="560"/>
        <w:ind w:left="0" w:leftChars="0" w:firstLine="555"/>
        <w:jc w:val="left"/>
        <w:rPr>
          <w:rFonts w:ascii="宋体" w:cs="宋体" w:eastAsia="宋体" w:hAnsi="宋体" w:hint="eastAsia"/>
          <w:color w:val="auto"/>
          <w:sz w:val="24"/>
          <w:szCs w:val="24"/>
          <w:highlight w:val="none"/>
          <w:lang w:val="zh-CN"/>
        </w:rPr>
      </w:pPr>
      <w:r>
        <w:rPr>
          <w:rFonts w:ascii="宋体" w:cs="宋体" w:eastAsia="宋体" w:hAnsi="宋体" w:hint="eastAsia"/>
          <w:color w:val="auto"/>
          <w:sz w:val="24"/>
          <w:szCs w:val="24"/>
          <w:highlight w:val="none"/>
          <w:lang w:val="zh-CN"/>
        </w:rPr>
        <w:t>法定代表人</w:t>
      </w:r>
      <w:r>
        <w:rPr>
          <w:rFonts w:ascii="宋体" w:cs="宋体" w:eastAsia="宋体" w:hAnsi="宋体" w:hint="eastAsia"/>
          <w:color w:val="auto"/>
          <w:sz w:val="24"/>
          <w:szCs w:val="24"/>
          <w:highlight w:val="none"/>
          <w:lang w:val="en-US" w:eastAsia="zh-CN"/>
        </w:rPr>
        <w:t>或委托代理人</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en-US" w:eastAsia="zh-CN"/>
        </w:rPr>
        <w:t>签字或盖章</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zh-CN"/>
        </w:rPr>
        <w:t xml:space="preserve">：  </w:t>
      </w:r>
    </w:p>
    <w:p>
      <w:pPr>
        <w:pStyle w:val="style0"/>
        <w:widowControl w:val="false"/>
        <w:snapToGrid w:val="false"/>
        <w:spacing w:lineRule="exact" w:line="560"/>
        <w:ind w:left="0" w:leftChars="0" w:firstLine="555"/>
        <w:jc w:val="left"/>
        <w:rPr>
          <w:rFonts w:ascii="宋体" w:cs="宋体" w:eastAsia="宋体" w:hAnsi="宋体" w:hint="eastAsia"/>
          <w:color w:val="auto"/>
          <w:sz w:val="24"/>
          <w:szCs w:val="24"/>
          <w:highlight w:val="none"/>
          <w:lang w:val="zh-CN"/>
        </w:rPr>
      </w:pPr>
      <w:r>
        <w:rPr>
          <w:rFonts w:ascii="宋体" w:cs="宋体" w:eastAsia="宋体" w:hAnsi="宋体" w:hint="eastAsia"/>
          <w:color w:val="auto"/>
          <w:sz w:val="24"/>
          <w:szCs w:val="24"/>
          <w:highlight w:val="none"/>
          <w:lang w:val="zh-CN"/>
        </w:rPr>
        <w:t>日期：   年   月   日</w:t>
      </w:r>
    </w:p>
    <w:p>
      <w:pPr>
        <w:pStyle w:val="style0"/>
        <w:autoSpaceDE w:val="false"/>
        <w:autoSpaceDN w:val="false"/>
        <w:adjustRightInd w:val="false"/>
        <w:spacing w:lineRule="auto" w:line="480"/>
        <w:ind w:left="630" w:leftChars="300"/>
        <w:rPr>
          <w:rFonts w:ascii="宋体" w:cs="宋体" w:hAnsi="宋体"/>
          <w:color w:val="auto"/>
          <w:sz w:val="24"/>
          <w:highlight w:val="none"/>
          <w:lang w:val="zh-CN"/>
        </w:rPr>
      </w:pPr>
    </w:p>
    <w:p>
      <w:pPr>
        <w:pStyle w:val="style78"/>
        <w:rPr>
          <w:rFonts w:ascii="宋体" w:cs="宋体" w:hAnsi="宋体"/>
          <w:color w:val="auto"/>
          <w:sz w:val="24"/>
          <w:highlight w:val="none"/>
          <w:lang w:val="zh-CN"/>
        </w:rPr>
      </w:pPr>
    </w:p>
    <w:p>
      <w:pPr>
        <w:pStyle w:val="style78"/>
        <w:rPr>
          <w:rFonts w:ascii="宋体" w:cs="宋体" w:hAnsi="宋体"/>
          <w:color w:val="auto"/>
          <w:sz w:val="24"/>
          <w:highlight w:val="none"/>
          <w:lang w:val="zh-CN"/>
        </w:rPr>
      </w:pPr>
    </w:p>
    <w:p>
      <w:pPr>
        <w:pStyle w:val="style0"/>
        <w:autoSpaceDE w:val="false"/>
        <w:autoSpaceDN w:val="false"/>
        <w:adjustRightInd w:val="false"/>
        <w:spacing w:lineRule="auto" w:line="480"/>
        <w:ind w:left="630" w:leftChars="300"/>
        <w:rPr>
          <w:rFonts w:ascii="宋体" w:cs="宋体" w:hAnsi="宋体"/>
          <w:color w:val="auto"/>
          <w:sz w:val="24"/>
          <w:highlight w:val="none"/>
          <w:lang w:val="zh-CN"/>
        </w:rPr>
      </w:pPr>
    </w:p>
    <w:p>
      <w:pPr>
        <w:pStyle w:val="style0"/>
        <w:autoSpaceDE w:val="false"/>
        <w:autoSpaceDN w:val="false"/>
        <w:adjustRightInd w:val="false"/>
        <w:spacing w:lineRule="auto" w:line="360"/>
        <w:rPr>
          <w:rFonts w:ascii="宋体" w:cs="宋体" w:hAnsi="宋体"/>
          <w:b/>
          <w:color w:val="auto"/>
          <w:sz w:val="30"/>
          <w:szCs w:val="30"/>
          <w:highlight w:val="none"/>
        </w:rPr>
      </w:pPr>
      <w:r>
        <w:rPr>
          <w:rFonts w:ascii="宋体" w:cs="宋体" w:hAnsi="宋体" w:hint="eastAsia"/>
          <w:b/>
          <w:color w:val="auto"/>
          <w:sz w:val="30"/>
          <w:szCs w:val="30"/>
          <w:highlight w:val="none"/>
          <w:lang w:val="en-US" w:eastAsia="zh-CN"/>
        </w:rPr>
        <w:t>八</w:t>
      </w:r>
      <w:r>
        <w:rPr>
          <w:rFonts w:ascii="宋体" w:cs="宋体" w:hAnsi="宋体" w:hint="eastAsia"/>
          <w:b/>
          <w:color w:val="auto"/>
          <w:sz w:val="30"/>
          <w:szCs w:val="30"/>
          <w:highlight w:val="none"/>
        </w:rPr>
        <w:t>、资格要求相关证明材料（文件）</w:t>
      </w:r>
    </w:p>
    <w:p>
      <w:pPr>
        <w:pStyle w:val="style0"/>
        <w:snapToGrid w:val="false"/>
        <w:spacing w:lineRule="atLeast" w:line="560"/>
        <w:jc w:val="center"/>
        <w:rPr>
          <w:rFonts w:ascii="宋体" w:cs="宋体" w:hAnsi="宋体"/>
          <w:b/>
          <w:color w:val="auto"/>
          <w:sz w:val="30"/>
          <w:szCs w:val="30"/>
          <w:highlight w:val="none"/>
        </w:rPr>
      </w:pPr>
      <w:r>
        <w:rPr>
          <w:rFonts w:ascii="宋体" w:cs="宋体" w:hAnsi="宋体" w:hint="eastAsia"/>
          <w:b/>
          <w:color w:val="auto"/>
          <w:sz w:val="30"/>
          <w:szCs w:val="30"/>
          <w:highlight w:val="none"/>
          <w:lang w:val="en-US" w:eastAsia="zh-CN"/>
        </w:rPr>
        <w:t xml:space="preserve">8.1 </w:t>
      </w:r>
      <w:r>
        <w:rPr>
          <w:rFonts w:ascii="宋体" w:cs="宋体" w:hAnsi="宋体" w:hint="eastAsia"/>
          <w:b/>
          <w:color w:val="auto"/>
          <w:sz w:val="30"/>
          <w:szCs w:val="30"/>
          <w:highlight w:val="none"/>
        </w:rPr>
        <w:t>供应商负责人控股、设计等相关承诺书</w:t>
      </w:r>
    </w:p>
    <w:p>
      <w:pPr>
        <w:pStyle w:val="style0"/>
        <w:tabs>
          <w:tab w:val="left" w:leader="none" w:pos="9365"/>
        </w:tabs>
        <w:spacing w:before="360" w:after="360" w:lineRule="atLeast" w:line="586"/>
        <w:ind w:right="85"/>
        <w:jc w:val="left"/>
        <w:textAlignment w:val="top"/>
        <w:rPr>
          <w:rFonts w:ascii="宋体" w:cs="宋体" w:hAnsi="宋体"/>
          <w:color w:val="auto"/>
          <w:sz w:val="24"/>
          <w:szCs w:val="24"/>
          <w:highlight w:val="none"/>
        </w:rPr>
      </w:pPr>
      <w:r>
        <w:rPr>
          <w:rFonts w:ascii="宋体" w:cs="宋体" w:hAnsi="宋体" w:hint="eastAsia"/>
          <w:color w:val="auto"/>
          <w:sz w:val="24"/>
          <w:szCs w:val="24"/>
          <w:highlight w:val="none"/>
        </w:rPr>
        <w:t>致：</w:t>
      </w:r>
      <w:r>
        <w:rPr>
          <w:rFonts w:ascii="宋体" w:cs="宋体" w:hAnsi="宋体" w:hint="eastAsia"/>
          <w:color w:val="auto"/>
          <w:spacing w:val="11"/>
          <w:sz w:val="24"/>
          <w:szCs w:val="24"/>
          <w:highlight w:val="none"/>
          <w:u w:val="single"/>
        </w:rPr>
        <w:t xml:space="preserve">(采购人名称）    </w:t>
      </w:r>
    </w:p>
    <w:p>
      <w:pPr>
        <w:pStyle w:val="style0"/>
        <w:tabs>
          <w:tab w:val="left" w:leader="none" w:pos="65"/>
        </w:tabs>
        <w:spacing w:lineRule="exact" w:line="740"/>
        <w:ind w:firstLine="480" w:firstLineChars="200"/>
        <w:rPr>
          <w:rFonts w:ascii="宋体" w:cs="宋体" w:hAnsi="宋体"/>
          <w:color w:val="auto"/>
          <w:sz w:val="24"/>
          <w:szCs w:val="24"/>
          <w:highlight w:val="none"/>
        </w:rPr>
      </w:pPr>
      <w:r>
        <w:rPr>
          <w:rFonts w:ascii="宋体" w:cs="宋体" w:hAnsi="宋体" w:hint="eastAsia"/>
          <w:color w:val="auto"/>
          <w:sz w:val="24"/>
          <w:szCs w:val="24"/>
          <w:highlight w:val="none"/>
        </w:rPr>
        <w:t>在项目编号为 的</w:t>
      </w:r>
      <w:r>
        <w:rPr>
          <w:rFonts w:ascii="宋体" w:cs="宋体" w:hAnsi="宋体" w:hint="eastAsia"/>
          <w:color w:val="auto"/>
          <w:sz w:val="24"/>
          <w:szCs w:val="24"/>
          <w:highlight w:val="none"/>
          <w:u w:val="single"/>
        </w:rPr>
        <w:t xml:space="preserve">    （项目名称）  </w:t>
      </w:r>
      <w:r>
        <w:rPr>
          <w:rFonts w:ascii="宋体" w:cs="宋体" w:hAnsi="宋体" w:hint="eastAsia"/>
          <w:color w:val="auto"/>
          <w:sz w:val="24"/>
          <w:szCs w:val="24"/>
          <w:highlight w:val="none"/>
        </w:rPr>
        <w:t xml:space="preserve"> 采购活动中，我单位承诺满足以下要求：</w:t>
      </w:r>
    </w:p>
    <w:p>
      <w:pPr>
        <w:pStyle w:val="style0"/>
        <w:tabs>
          <w:tab w:val="left" w:leader="none" w:pos="65"/>
        </w:tabs>
        <w:spacing w:lineRule="exact" w:line="740"/>
        <w:ind w:firstLine="480" w:firstLineChars="200"/>
        <w:rPr>
          <w:rFonts w:ascii="宋体" w:cs="宋体" w:hAnsi="宋体"/>
          <w:color w:val="auto"/>
          <w:sz w:val="24"/>
          <w:szCs w:val="24"/>
          <w:highlight w:val="none"/>
        </w:rPr>
      </w:pPr>
      <w:r>
        <w:rPr>
          <w:rFonts w:ascii="宋体" w:cs="宋体" w:hAnsi="宋体" w:hint="eastAsia"/>
          <w:color w:val="auto"/>
          <w:sz w:val="24"/>
          <w:szCs w:val="24"/>
          <w:highlight w:val="none"/>
        </w:rPr>
        <w:t>一、单位负责人为同一人或者存在直接控股、管理关系的不同供应商，不参加同一合同项下的政府采购活动。</w:t>
      </w:r>
    </w:p>
    <w:p>
      <w:pPr>
        <w:pStyle w:val="style0"/>
        <w:tabs>
          <w:tab w:val="left" w:leader="none" w:pos="65"/>
        </w:tabs>
        <w:spacing w:lineRule="exact" w:line="740"/>
        <w:ind w:firstLine="480" w:firstLineChars="200"/>
        <w:rPr>
          <w:rFonts w:ascii="宋体" w:cs="宋体" w:hAnsi="宋体"/>
          <w:color w:val="auto"/>
          <w:sz w:val="24"/>
          <w:szCs w:val="24"/>
          <w:highlight w:val="none"/>
        </w:rPr>
      </w:pPr>
      <w:r>
        <w:rPr>
          <w:rFonts w:ascii="宋体" w:cs="宋体" w:hAnsi="宋体" w:hint="eastAsia"/>
          <w:color w:val="auto"/>
          <w:sz w:val="24"/>
          <w:szCs w:val="24"/>
          <w:highlight w:val="none"/>
        </w:rPr>
        <w:t>二、没有为本项目提供整体设计、规范编制或者项目管理、监理、检测等服务。</w:t>
      </w:r>
    </w:p>
    <w:p>
      <w:pPr>
        <w:pStyle w:val="style0"/>
        <w:tabs>
          <w:tab w:val="left" w:leader="none" w:pos="9365"/>
        </w:tabs>
        <w:spacing w:before="57" w:after="57" w:lineRule="atLeast" w:line="586"/>
        <w:ind w:right="85" w:firstLine="480" w:firstLineChars="200"/>
        <w:jc w:val="left"/>
        <w:textAlignment w:val="top"/>
        <w:rPr>
          <w:rFonts w:ascii="宋体" w:cs="宋体" w:hAnsi="宋体"/>
          <w:color w:val="auto"/>
          <w:sz w:val="24"/>
          <w:szCs w:val="24"/>
          <w:highlight w:val="none"/>
        </w:rPr>
      </w:pPr>
      <w:r>
        <w:rPr>
          <w:rFonts w:ascii="宋体" w:cs="宋体" w:hAnsi="宋体" w:hint="eastAsia"/>
          <w:color w:val="auto"/>
          <w:sz w:val="24"/>
          <w:szCs w:val="24"/>
          <w:highlight w:val="none"/>
        </w:rPr>
        <w:t>三、若出现上述行为，我单位确认投标无效、承诺书虚假，接受相关部门按照国家法律法规等有关规定对我单位虚假承诺所给予的处理。</w:t>
      </w:r>
    </w:p>
    <w:p>
      <w:pPr>
        <w:pStyle w:val="style0"/>
        <w:widowControl w:val="false"/>
        <w:snapToGrid w:val="false"/>
        <w:spacing w:lineRule="exact" w:line="560"/>
        <w:ind w:left="0" w:leftChars="0" w:firstLine="555"/>
        <w:jc w:val="left"/>
        <w:rPr>
          <w:rFonts w:ascii="宋体" w:cs="宋体" w:eastAsia="宋体" w:hAnsi="宋体" w:hint="eastAsia"/>
          <w:color w:val="auto"/>
          <w:sz w:val="24"/>
          <w:szCs w:val="24"/>
          <w:highlight w:val="none"/>
        </w:rPr>
      </w:pPr>
    </w:p>
    <w:p>
      <w:pPr>
        <w:pStyle w:val="style0"/>
        <w:widowControl w:val="false"/>
        <w:snapToGrid w:val="false"/>
        <w:spacing w:lineRule="exact" w:line="560"/>
        <w:ind w:left="0" w:leftChars="0" w:firstLine="555"/>
        <w:jc w:val="left"/>
        <w:rPr>
          <w:rFonts w:ascii="宋体" w:cs="宋体" w:eastAsia="宋体" w:hAnsi="宋体" w:hint="eastAsia"/>
          <w:color w:val="auto"/>
          <w:sz w:val="24"/>
          <w:szCs w:val="24"/>
          <w:highlight w:val="none"/>
          <w:lang w:val="zh-CN"/>
        </w:rPr>
      </w:pPr>
      <w:r>
        <w:rPr>
          <w:rFonts w:ascii="宋体" w:cs="宋体" w:eastAsia="宋体" w:hAnsi="宋体" w:hint="eastAsia"/>
          <w:color w:val="auto"/>
          <w:sz w:val="24"/>
          <w:szCs w:val="24"/>
          <w:highlight w:val="none"/>
        </w:rPr>
        <w:t>供应商（</w:t>
      </w:r>
      <w:r>
        <w:rPr>
          <w:rFonts w:ascii="宋体" w:cs="宋体" w:eastAsia="宋体" w:hAnsi="宋体" w:hint="eastAsia"/>
          <w:color w:val="auto"/>
          <w:sz w:val="24"/>
          <w:szCs w:val="24"/>
          <w:highlight w:val="none"/>
          <w:lang w:val="en-US" w:eastAsia="zh-CN"/>
        </w:rPr>
        <w:t>盖章</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zh-CN"/>
        </w:rPr>
        <w:t>：</w:t>
      </w:r>
    </w:p>
    <w:p>
      <w:pPr>
        <w:pStyle w:val="style0"/>
        <w:widowControl w:val="false"/>
        <w:snapToGrid w:val="false"/>
        <w:spacing w:lineRule="exact" w:line="560"/>
        <w:ind w:left="0" w:leftChars="0" w:firstLine="555"/>
        <w:jc w:val="left"/>
        <w:rPr>
          <w:rFonts w:ascii="宋体" w:cs="宋体" w:eastAsia="宋体" w:hAnsi="宋体" w:hint="eastAsia"/>
          <w:color w:val="auto"/>
          <w:sz w:val="24"/>
          <w:szCs w:val="24"/>
          <w:highlight w:val="none"/>
          <w:lang w:val="zh-CN"/>
        </w:rPr>
      </w:pPr>
      <w:r>
        <w:rPr>
          <w:rFonts w:ascii="宋体" w:cs="宋体" w:eastAsia="宋体" w:hAnsi="宋体" w:hint="eastAsia"/>
          <w:color w:val="auto"/>
          <w:sz w:val="24"/>
          <w:szCs w:val="24"/>
          <w:highlight w:val="none"/>
          <w:lang w:val="zh-CN"/>
        </w:rPr>
        <w:t>法定代表人</w:t>
      </w:r>
      <w:r>
        <w:rPr>
          <w:rFonts w:ascii="宋体" w:cs="宋体" w:eastAsia="宋体" w:hAnsi="宋体" w:hint="eastAsia"/>
          <w:color w:val="auto"/>
          <w:sz w:val="24"/>
          <w:szCs w:val="24"/>
          <w:highlight w:val="none"/>
          <w:lang w:val="en-US" w:eastAsia="zh-CN"/>
        </w:rPr>
        <w:t>或委托代理人</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en-US" w:eastAsia="zh-CN"/>
        </w:rPr>
        <w:t>签字或盖章</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zh-CN"/>
        </w:rPr>
        <w:t xml:space="preserve">：  </w:t>
      </w:r>
    </w:p>
    <w:p>
      <w:pPr>
        <w:pStyle w:val="style0"/>
        <w:widowControl w:val="false"/>
        <w:snapToGrid w:val="false"/>
        <w:spacing w:lineRule="exact" w:line="560"/>
        <w:ind w:left="0" w:leftChars="0" w:firstLine="555"/>
        <w:jc w:val="left"/>
        <w:rPr>
          <w:rFonts w:ascii="宋体" w:cs="宋体" w:eastAsia="宋体" w:hAnsi="宋体" w:hint="eastAsia"/>
          <w:color w:val="auto"/>
          <w:sz w:val="24"/>
          <w:szCs w:val="24"/>
          <w:highlight w:val="none"/>
          <w:lang w:val="zh-CN"/>
        </w:rPr>
      </w:pPr>
      <w:r>
        <w:rPr>
          <w:rFonts w:ascii="宋体" w:cs="宋体" w:eastAsia="宋体" w:hAnsi="宋体" w:hint="eastAsia"/>
          <w:color w:val="auto"/>
          <w:sz w:val="24"/>
          <w:szCs w:val="24"/>
          <w:highlight w:val="none"/>
          <w:lang w:val="zh-CN"/>
        </w:rPr>
        <w:t>日期：   年   月   日</w:t>
      </w:r>
    </w:p>
    <w:p>
      <w:pPr>
        <w:pStyle w:val="style0"/>
        <w:widowControl w:val="false"/>
        <w:tabs>
          <w:tab w:val="left" w:leader="none" w:pos="9365"/>
        </w:tabs>
        <w:snapToGrid w:val="false"/>
        <w:spacing w:after="56" w:lineRule="exact" w:line="560"/>
        <w:ind w:left="630" w:leftChars="300" w:right="85"/>
        <w:jc w:val="left"/>
        <w:textAlignment w:val="top"/>
        <w:rPr>
          <w:rFonts w:ascii="宋体" w:cs="宋体" w:hAnsi="宋体"/>
          <w:color w:val="auto"/>
          <w:sz w:val="24"/>
          <w:szCs w:val="24"/>
          <w:highlight w:val="none"/>
        </w:rPr>
      </w:pPr>
    </w:p>
    <w:p>
      <w:pPr>
        <w:pStyle w:val="style0"/>
        <w:autoSpaceDE w:val="false"/>
        <w:autoSpaceDN w:val="false"/>
        <w:adjustRightInd w:val="false"/>
        <w:spacing w:lineRule="auto" w:line="360"/>
        <w:jc w:val="center"/>
        <w:rPr>
          <w:rFonts w:ascii="宋体" w:cs="宋体" w:hAnsi="宋体"/>
          <w:color w:val="auto"/>
          <w:sz w:val="24"/>
          <w:szCs w:val="24"/>
          <w:highlight w:val="none"/>
        </w:rPr>
      </w:pPr>
    </w:p>
    <w:p>
      <w:pPr>
        <w:pStyle w:val="style0"/>
        <w:autoSpaceDE w:val="false"/>
        <w:autoSpaceDN w:val="false"/>
        <w:adjustRightInd w:val="false"/>
        <w:spacing w:lineRule="auto" w:line="360"/>
        <w:jc w:val="center"/>
        <w:rPr>
          <w:rFonts w:ascii="宋体" w:cs="宋体" w:hAnsi="宋体"/>
          <w:color w:val="auto"/>
          <w:sz w:val="24"/>
          <w:szCs w:val="24"/>
          <w:highlight w:val="none"/>
        </w:rPr>
      </w:pPr>
    </w:p>
    <w:p>
      <w:pPr>
        <w:pStyle w:val="style0"/>
        <w:autoSpaceDE w:val="false"/>
        <w:autoSpaceDN w:val="false"/>
        <w:adjustRightInd w:val="false"/>
        <w:spacing w:lineRule="auto" w:line="360"/>
        <w:jc w:val="center"/>
        <w:rPr>
          <w:rFonts w:ascii="宋体" w:cs="宋体" w:hAnsi="宋体"/>
          <w:color w:val="auto"/>
          <w:sz w:val="24"/>
          <w:szCs w:val="24"/>
          <w:highlight w:val="none"/>
        </w:rPr>
      </w:pPr>
    </w:p>
    <w:p>
      <w:pPr>
        <w:pStyle w:val="style0"/>
        <w:autoSpaceDE w:val="false"/>
        <w:autoSpaceDN w:val="false"/>
        <w:adjustRightInd w:val="false"/>
        <w:spacing w:lineRule="auto" w:line="360"/>
        <w:jc w:val="center"/>
        <w:rPr>
          <w:rFonts w:ascii="宋体" w:cs="宋体" w:hAnsi="宋体"/>
          <w:color w:val="auto"/>
          <w:sz w:val="24"/>
          <w:szCs w:val="24"/>
          <w:highlight w:val="none"/>
        </w:rPr>
      </w:pPr>
    </w:p>
    <w:p>
      <w:pPr>
        <w:pStyle w:val="style0"/>
        <w:autoSpaceDE w:val="false"/>
        <w:autoSpaceDN w:val="false"/>
        <w:adjustRightInd w:val="false"/>
        <w:spacing w:lineRule="auto" w:line="360"/>
        <w:jc w:val="center"/>
        <w:rPr>
          <w:rFonts w:ascii="宋体" w:cs="宋体" w:hAnsi="宋体"/>
          <w:color w:val="auto"/>
          <w:sz w:val="24"/>
          <w:szCs w:val="24"/>
          <w:highlight w:val="none"/>
        </w:rPr>
      </w:pPr>
      <w:r>
        <w:rPr>
          <w:rFonts w:ascii="宋体" w:cs="宋体" w:hAnsi="宋体" w:hint="eastAsia"/>
          <w:color w:val="auto"/>
          <w:sz w:val="24"/>
          <w:szCs w:val="24"/>
          <w:highlight w:val="none"/>
        </w:rPr>
        <w:br w:type="page"/>
      </w:r>
    </w:p>
    <w:p>
      <w:pPr>
        <w:pStyle w:val="style0"/>
        <w:autoSpaceDE w:val="false"/>
        <w:autoSpaceDN w:val="false"/>
        <w:adjustRightInd w:val="false"/>
        <w:spacing w:lineRule="auto" w:line="360"/>
        <w:jc w:val="center"/>
        <w:rPr>
          <w:rFonts w:ascii="宋体" w:cs="宋体" w:hAnsi="宋体"/>
          <w:b/>
          <w:color w:val="auto"/>
          <w:sz w:val="30"/>
          <w:szCs w:val="30"/>
          <w:highlight w:val="none"/>
        </w:rPr>
      </w:pPr>
      <w:r>
        <w:rPr>
          <w:rFonts w:ascii="宋体" w:cs="宋体" w:hAnsi="宋体" w:hint="eastAsia"/>
          <w:b/>
          <w:color w:val="auto"/>
          <w:sz w:val="30"/>
          <w:szCs w:val="30"/>
          <w:highlight w:val="none"/>
          <w:lang w:val="en-US" w:eastAsia="zh-CN"/>
        </w:rPr>
        <w:t xml:space="preserve">8.2 </w:t>
      </w:r>
      <w:r>
        <w:rPr>
          <w:rFonts w:ascii="宋体" w:cs="宋体" w:hAnsi="宋体" w:hint="eastAsia"/>
          <w:b/>
          <w:color w:val="auto"/>
          <w:sz w:val="30"/>
          <w:szCs w:val="30"/>
          <w:highlight w:val="none"/>
        </w:rPr>
        <w:t>投标承诺函</w:t>
      </w:r>
    </w:p>
    <w:p>
      <w:pPr>
        <w:pStyle w:val="style0"/>
        <w:widowControl w:val="false"/>
        <w:autoSpaceDE w:val="false"/>
        <w:autoSpaceDN w:val="false"/>
        <w:adjustRightInd w:val="false"/>
        <w:spacing w:lineRule="auto" w:line="240"/>
        <w:jc w:val="center"/>
        <w:textAlignment w:val="auto"/>
        <w:rPr>
          <w:rFonts w:ascii="宋体" w:cs="宋体" w:hAnsi="宋体"/>
          <w:b/>
          <w:color w:val="auto"/>
          <w:sz w:val="30"/>
          <w:szCs w:val="30"/>
          <w:highlight w:val="none"/>
        </w:rPr>
      </w:pPr>
      <w:r>
        <w:rPr>
          <w:rFonts w:ascii="宋体" w:cs="宋体" w:hAnsi="宋体" w:hint="eastAsia"/>
          <w:b/>
          <w:color w:val="auto"/>
          <w:sz w:val="30"/>
          <w:szCs w:val="30"/>
          <w:highlight w:val="none"/>
        </w:rPr>
        <w:t>（以投标承诺函形式，替代投标保证金的相关承诺事项）</w:t>
      </w:r>
    </w:p>
    <w:p>
      <w:pPr>
        <w:pStyle w:val="style0"/>
        <w:widowControl w:val="false"/>
        <w:tabs>
          <w:tab w:val="left" w:leader="none" w:pos="9365"/>
        </w:tabs>
        <w:spacing w:before="360" w:after="360" w:lineRule="auto" w:line="360"/>
        <w:ind w:right="85"/>
        <w:jc w:val="left"/>
        <w:textAlignment w:val="top"/>
        <w:rPr>
          <w:rFonts w:ascii="宋体" w:cs="宋体" w:hAnsi="宋体"/>
          <w:color w:val="auto"/>
          <w:sz w:val="24"/>
          <w:szCs w:val="24"/>
          <w:highlight w:val="none"/>
        </w:rPr>
      </w:pPr>
      <w:r>
        <w:rPr>
          <w:rFonts w:ascii="宋体" w:cs="宋体" w:hAnsi="宋体" w:hint="eastAsia"/>
          <w:color w:val="auto"/>
          <w:sz w:val="24"/>
          <w:szCs w:val="24"/>
          <w:highlight w:val="none"/>
        </w:rPr>
        <w:t>致：</w:t>
      </w:r>
      <w:r>
        <w:rPr>
          <w:rFonts w:ascii="宋体" w:cs="宋体" w:hAnsi="宋体" w:hint="eastAsia"/>
          <w:color w:val="auto"/>
          <w:spacing w:val="11"/>
          <w:sz w:val="24"/>
          <w:szCs w:val="24"/>
          <w:highlight w:val="none"/>
          <w:u w:val="single"/>
        </w:rPr>
        <w:t>(采购人名称） 、</w:t>
      </w:r>
      <w:r>
        <w:rPr>
          <w:rFonts w:ascii="宋体" w:cs="宋体" w:hAnsi="宋体" w:hint="eastAsia"/>
          <w:color w:val="auto"/>
          <w:sz w:val="24"/>
          <w:szCs w:val="24"/>
          <w:highlight w:val="none"/>
        </w:rPr>
        <w:t>河南晟祥招标代理服务有限公司</w:t>
      </w:r>
    </w:p>
    <w:p>
      <w:pPr>
        <w:pStyle w:val="style0"/>
        <w:widowControl w:val="false"/>
        <w:tabs>
          <w:tab w:val="left" w:leader="none" w:pos="65"/>
        </w:tabs>
        <w:spacing w:lineRule="atLeast" w:line="460"/>
        <w:ind w:firstLine="480" w:firstLineChars="200"/>
        <w:textAlignment w:val="auto"/>
        <w:rPr>
          <w:rFonts w:ascii="宋体" w:cs="宋体" w:hAnsi="宋体"/>
          <w:color w:val="auto"/>
          <w:sz w:val="24"/>
          <w:szCs w:val="24"/>
          <w:highlight w:val="none"/>
          <w:lang w:val="zh-CN"/>
        </w:rPr>
      </w:pPr>
      <w:r>
        <w:rPr>
          <w:rFonts w:ascii="宋体" w:cs="宋体" w:hAnsi="宋体" w:hint="eastAsia"/>
          <w:color w:val="auto"/>
          <w:sz w:val="24"/>
          <w:szCs w:val="24"/>
          <w:highlight w:val="none"/>
        </w:rPr>
        <w:t>在项目编号为 的</w:t>
      </w:r>
      <w:r>
        <w:rPr>
          <w:rFonts w:ascii="宋体" w:cs="宋体" w:hAnsi="宋体" w:hint="eastAsia"/>
          <w:color w:val="auto"/>
          <w:sz w:val="24"/>
          <w:szCs w:val="24"/>
          <w:highlight w:val="none"/>
          <w:u w:val="single"/>
        </w:rPr>
        <w:t xml:space="preserve">    （项目名称）  </w:t>
      </w:r>
      <w:r>
        <w:rPr>
          <w:rFonts w:ascii="宋体" w:cs="宋体" w:hAnsi="宋体" w:hint="eastAsia"/>
          <w:color w:val="auto"/>
          <w:sz w:val="24"/>
          <w:szCs w:val="24"/>
          <w:highlight w:val="none"/>
        </w:rPr>
        <w:t xml:space="preserve"> 采购活动中，我</w:t>
      </w:r>
      <w:r>
        <w:rPr>
          <w:rFonts w:ascii="宋体" w:cs="宋体" w:hAnsi="宋体" w:hint="eastAsia"/>
          <w:color w:val="auto"/>
          <w:sz w:val="24"/>
          <w:highlight w:val="none"/>
        </w:rPr>
        <w:t>单位</w:t>
      </w:r>
      <w:r>
        <w:rPr>
          <w:rFonts w:ascii="宋体" w:cs="宋体" w:hAnsi="宋体" w:hint="eastAsia"/>
          <w:color w:val="auto"/>
          <w:sz w:val="24"/>
          <w:szCs w:val="24"/>
          <w:highlight w:val="none"/>
        </w:rPr>
        <w:t>承诺：</w:t>
      </w:r>
    </w:p>
    <w:p>
      <w:pPr>
        <w:pStyle w:val="style0"/>
        <w:widowControl w:val="false"/>
        <w:tabs>
          <w:tab w:val="left" w:leader="none" w:pos="65"/>
        </w:tabs>
        <w:spacing w:lineRule="atLeast" w:line="460"/>
        <w:ind w:firstLine="480" w:firstLineChars="200"/>
        <w:textAlignment w:val="auto"/>
        <w:rPr>
          <w:rFonts w:ascii="宋体" w:cs="宋体" w:hAnsi="宋体"/>
          <w:color w:val="auto"/>
          <w:sz w:val="24"/>
          <w:szCs w:val="24"/>
          <w:highlight w:val="none"/>
        </w:rPr>
      </w:pPr>
      <w:r>
        <w:rPr>
          <w:rFonts w:ascii="宋体" w:cs="宋体" w:hAnsi="宋体" w:hint="eastAsia"/>
          <w:color w:val="auto"/>
          <w:sz w:val="24"/>
          <w:szCs w:val="24"/>
          <w:highlight w:val="none"/>
        </w:rPr>
        <w:t>一、遵循公开、公平、公正和</w:t>
      </w:r>
      <w:r>
        <w:rPr>
          <w:color w:val="auto"/>
          <w:highlight w:val="none"/>
        </w:rPr>
        <w:fldChar w:fldCharType="begin"/>
      </w:r>
      <w:r>
        <w:rPr>
          <w:color w:val="auto"/>
          <w:highlight w:val="none"/>
        </w:rPr>
        <w:instrText xml:space="preserve"> HYPERLINK "http://www.so.com/s?q=%E8%AF%9A%E5%AE%9E%E4%BF%A1%E7%94%A8&amp;ie=utf-8&amp;src=internal_wenda_recommend_textn" \t "https://wenda.so.com/q/_blank" </w:instrText>
      </w:r>
      <w:r>
        <w:rPr>
          <w:color w:val="auto"/>
          <w:highlight w:val="none"/>
        </w:rPr>
        <w:fldChar w:fldCharType="separate"/>
      </w:r>
      <w:r>
        <w:rPr>
          <w:rFonts w:ascii="宋体" w:cs="宋体" w:hAnsi="宋体" w:hint="eastAsia"/>
          <w:color w:val="auto"/>
          <w:sz w:val="24"/>
          <w:szCs w:val="24"/>
          <w:highlight w:val="none"/>
        </w:rPr>
        <w:t>诚实信用</w:t>
      </w:r>
      <w:r>
        <w:rPr>
          <w:rFonts w:ascii="宋体" w:cs="宋体" w:hAnsi="宋体" w:hint="eastAsia"/>
          <w:color w:val="auto"/>
          <w:sz w:val="24"/>
          <w:szCs w:val="24"/>
          <w:highlight w:val="none"/>
        </w:rPr>
        <w:fldChar w:fldCharType="end"/>
      </w:r>
      <w:r>
        <w:rPr>
          <w:rFonts w:ascii="宋体" w:cs="宋体" w:hAnsi="宋体" w:hint="eastAsia"/>
          <w:color w:val="auto"/>
          <w:sz w:val="24"/>
          <w:szCs w:val="24"/>
          <w:highlight w:val="none"/>
        </w:rPr>
        <w:t>的原则自愿参加本项目投标；</w:t>
      </w:r>
      <w:r>
        <w:rPr>
          <w:rFonts w:ascii="宋体" w:cs="宋体" w:hAnsi="宋体" w:hint="eastAsia"/>
          <w:color w:val="auto"/>
          <w:sz w:val="24"/>
          <w:szCs w:val="24"/>
          <w:highlight w:val="none"/>
        </w:rPr>
        <w:br/>
      </w:r>
      <w:r>
        <w:rPr>
          <w:rFonts w:ascii="宋体" w:cs="宋体" w:hAnsi="宋体" w:hint="eastAsia"/>
          <w:color w:val="auto"/>
          <w:sz w:val="24"/>
          <w:szCs w:val="24"/>
          <w:highlight w:val="none"/>
        </w:rPr>
        <w:t xml:space="preserve">    二、在政府采购活动中提供真实、准确、有效、合法的材料，不</w:t>
      </w:r>
      <w:r>
        <w:rPr>
          <w:rFonts w:ascii="宋体" w:cs="宋体" w:hAnsi="宋体" w:hint="eastAsia"/>
          <w:color w:val="auto"/>
          <w:sz w:val="24"/>
          <w:szCs w:val="24"/>
          <w:highlight w:val="none"/>
          <w:lang w:val="zh-CN"/>
        </w:rPr>
        <w:t>提供虚假材料；</w:t>
      </w:r>
    </w:p>
    <w:p>
      <w:pPr>
        <w:pStyle w:val="style0"/>
        <w:widowControl w:val="false"/>
        <w:tabs>
          <w:tab w:val="left" w:leader="none" w:pos="65"/>
        </w:tabs>
        <w:spacing w:lineRule="atLeast" w:line="460"/>
        <w:ind w:firstLine="480" w:firstLineChars="200"/>
        <w:textAlignment w:val="auto"/>
        <w:rPr>
          <w:rFonts w:ascii="宋体" w:cs="宋体" w:hAnsi="宋体"/>
          <w:color w:val="auto"/>
          <w:sz w:val="24"/>
          <w:szCs w:val="24"/>
          <w:highlight w:val="none"/>
          <w:lang w:val="zh-CN"/>
        </w:rPr>
      </w:pPr>
      <w:r>
        <w:rPr>
          <w:rFonts w:ascii="宋体" w:cs="宋体" w:hAnsi="宋体" w:hint="eastAsia"/>
          <w:color w:val="auto"/>
          <w:sz w:val="24"/>
          <w:szCs w:val="24"/>
          <w:highlight w:val="none"/>
        </w:rPr>
        <w:t>三、</w:t>
      </w:r>
      <w:r>
        <w:rPr>
          <w:rFonts w:ascii="宋体" w:cs="宋体" w:hAnsi="宋体" w:hint="eastAsia"/>
          <w:color w:val="auto"/>
          <w:sz w:val="24"/>
          <w:szCs w:val="24"/>
          <w:highlight w:val="none"/>
          <w:lang w:val="zh-CN"/>
        </w:rPr>
        <w:t>按照</w:t>
      </w:r>
      <w:r>
        <w:rPr>
          <w:rFonts w:ascii="宋体" w:cs="宋体" w:hAnsi="宋体" w:hint="eastAsia"/>
          <w:color w:val="auto"/>
          <w:sz w:val="24"/>
          <w:szCs w:val="24"/>
          <w:highlight w:val="none"/>
        </w:rPr>
        <w:t>磋商</w:t>
      </w:r>
      <w:r>
        <w:rPr>
          <w:rFonts w:ascii="宋体" w:cs="宋体" w:hAnsi="宋体" w:hint="eastAsia"/>
          <w:color w:val="auto"/>
          <w:sz w:val="24"/>
          <w:szCs w:val="24"/>
          <w:highlight w:val="none"/>
          <w:lang w:val="zh-CN"/>
        </w:rPr>
        <w:t>文件规定，在提交响应文件截止时间后，在</w:t>
      </w:r>
      <w:r>
        <w:rPr>
          <w:rFonts w:ascii="宋体" w:cs="宋体" w:hAnsi="宋体" w:hint="eastAsia"/>
          <w:color w:val="auto"/>
          <w:sz w:val="24"/>
          <w:szCs w:val="24"/>
          <w:highlight w:val="none"/>
        </w:rPr>
        <w:t>磋商</w:t>
      </w:r>
      <w:r>
        <w:rPr>
          <w:rFonts w:ascii="宋体" w:cs="宋体" w:hAnsi="宋体" w:hint="eastAsia"/>
          <w:color w:val="auto"/>
          <w:sz w:val="24"/>
          <w:szCs w:val="24"/>
          <w:highlight w:val="none"/>
          <w:lang w:val="zh-CN"/>
        </w:rPr>
        <w:t>文件规定的投标有效期限内不撤回响应文件；</w:t>
      </w:r>
    </w:p>
    <w:p>
      <w:pPr>
        <w:pStyle w:val="style0"/>
        <w:widowControl w:val="false"/>
        <w:tabs>
          <w:tab w:val="left" w:leader="none" w:pos="65"/>
        </w:tabs>
        <w:spacing w:lineRule="atLeast" w:line="460"/>
        <w:ind w:firstLine="480" w:firstLineChars="200"/>
        <w:textAlignment w:val="auto"/>
        <w:rPr>
          <w:rFonts w:ascii="宋体" w:cs="宋体" w:hAnsi="宋体"/>
          <w:color w:val="auto"/>
          <w:sz w:val="24"/>
          <w:szCs w:val="24"/>
          <w:highlight w:val="none"/>
          <w:lang w:val="zh-CN"/>
        </w:rPr>
      </w:pPr>
      <w:r>
        <w:rPr>
          <w:rFonts w:ascii="宋体" w:cs="宋体" w:hAnsi="宋体" w:hint="eastAsia"/>
          <w:color w:val="auto"/>
          <w:sz w:val="24"/>
          <w:szCs w:val="24"/>
          <w:highlight w:val="none"/>
        </w:rPr>
        <w:t>四、不</w:t>
      </w:r>
      <w:r>
        <w:rPr>
          <w:rFonts w:ascii="宋体" w:cs="宋体" w:hAnsi="宋体" w:hint="eastAsia"/>
          <w:color w:val="auto"/>
          <w:sz w:val="24"/>
          <w:szCs w:val="24"/>
          <w:highlight w:val="none"/>
          <w:lang w:val="zh-CN"/>
        </w:rPr>
        <w:t>与其他供应商、采购人或采购代理机构串通或恶意串通。</w:t>
      </w:r>
    </w:p>
    <w:p>
      <w:pPr>
        <w:pStyle w:val="style0"/>
        <w:widowControl w:val="false"/>
        <w:tabs>
          <w:tab w:val="left" w:leader="none" w:pos="65"/>
        </w:tabs>
        <w:spacing w:lineRule="atLeast" w:line="460"/>
        <w:ind w:firstLine="480" w:firstLineChars="200"/>
        <w:textAlignment w:val="auto"/>
        <w:rPr>
          <w:rFonts w:ascii="宋体" w:cs="宋体" w:hAnsi="宋体"/>
          <w:color w:val="auto"/>
          <w:sz w:val="24"/>
          <w:szCs w:val="24"/>
          <w:highlight w:val="none"/>
        </w:rPr>
      </w:pPr>
      <w:r>
        <w:rPr>
          <w:rFonts w:ascii="宋体" w:cs="宋体" w:hAnsi="宋体" w:hint="eastAsia"/>
          <w:color w:val="auto"/>
          <w:sz w:val="24"/>
          <w:szCs w:val="24"/>
          <w:highlight w:val="none"/>
        </w:rPr>
        <w:t>五、如我单位中标，</w:t>
      </w:r>
      <w:r>
        <w:rPr>
          <w:rFonts w:ascii="宋体" w:cs="宋体" w:hAnsi="宋体" w:hint="eastAsia"/>
          <w:color w:val="auto"/>
          <w:sz w:val="24"/>
          <w:szCs w:val="24"/>
          <w:highlight w:val="none"/>
          <w:lang w:val="zh-CN"/>
        </w:rPr>
        <w:t>除不可抗拒力或</w:t>
      </w:r>
      <w:r>
        <w:rPr>
          <w:rFonts w:ascii="宋体" w:cs="宋体" w:hAnsi="宋体" w:hint="eastAsia"/>
          <w:color w:val="auto"/>
          <w:sz w:val="24"/>
          <w:szCs w:val="24"/>
          <w:highlight w:val="none"/>
        </w:rPr>
        <w:t>磋商</w:t>
      </w:r>
      <w:r>
        <w:rPr>
          <w:rFonts w:ascii="宋体" w:cs="宋体" w:hAnsi="宋体" w:hint="eastAsia"/>
          <w:color w:val="auto"/>
          <w:sz w:val="24"/>
          <w:szCs w:val="24"/>
          <w:highlight w:val="none"/>
          <w:lang w:val="zh-CN"/>
        </w:rPr>
        <w:t>文件认可的情形外</w:t>
      </w:r>
      <w:r>
        <w:rPr>
          <w:rFonts w:ascii="宋体" w:cs="宋体" w:hAnsi="宋体" w:hint="eastAsia"/>
          <w:color w:val="auto"/>
          <w:sz w:val="24"/>
          <w:szCs w:val="24"/>
          <w:highlight w:val="none"/>
        </w:rPr>
        <w:t>，我单位承诺及时领取中标通知书，</w:t>
      </w:r>
      <w:r>
        <w:rPr>
          <w:rFonts w:ascii="宋体" w:cs="宋体" w:hAnsi="宋体" w:hint="eastAsia"/>
          <w:color w:val="auto"/>
          <w:sz w:val="24"/>
          <w:szCs w:val="24"/>
          <w:highlight w:val="none"/>
          <w:lang w:val="zh-CN"/>
        </w:rPr>
        <w:t>在成交通知书规定时间、地点与采购人签订合同；</w:t>
      </w:r>
      <w:r>
        <w:rPr>
          <w:rFonts w:ascii="宋体" w:cs="宋体" w:hAnsi="宋体" w:hint="eastAsia"/>
          <w:color w:val="auto"/>
          <w:sz w:val="24"/>
          <w:szCs w:val="24"/>
          <w:highlight w:val="none"/>
        </w:rPr>
        <w:br/>
      </w:r>
      <w:r>
        <w:rPr>
          <w:rFonts w:ascii="宋体" w:cs="宋体" w:hAnsi="宋体" w:hint="eastAsia"/>
          <w:color w:val="auto"/>
          <w:sz w:val="24"/>
          <w:szCs w:val="24"/>
          <w:highlight w:val="none"/>
        </w:rPr>
        <w:t xml:space="preserve">    六、</w:t>
      </w:r>
      <w:r>
        <w:rPr>
          <w:rFonts w:ascii="宋体" w:cs="宋体" w:hAnsi="宋体" w:hint="eastAsia"/>
          <w:color w:val="auto"/>
          <w:sz w:val="24"/>
          <w:szCs w:val="24"/>
          <w:highlight w:val="none"/>
          <w:lang w:val="zh-CN"/>
        </w:rPr>
        <w:t>遵守法律法规及</w:t>
      </w:r>
      <w:r>
        <w:rPr>
          <w:rFonts w:ascii="宋体" w:cs="宋体" w:hAnsi="宋体" w:hint="eastAsia"/>
          <w:color w:val="auto"/>
          <w:sz w:val="24"/>
          <w:szCs w:val="24"/>
          <w:highlight w:val="none"/>
        </w:rPr>
        <w:t>磋商</w:t>
      </w:r>
      <w:r>
        <w:rPr>
          <w:rFonts w:ascii="宋体" w:cs="宋体" w:hAnsi="宋体" w:hint="eastAsia"/>
          <w:color w:val="auto"/>
          <w:sz w:val="24"/>
          <w:szCs w:val="24"/>
          <w:highlight w:val="none"/>
          <w:lang w:val="zh-CN"/>
        </w:rPr>
        <w:t>文件规定的其他情况；</w:t>
      </w:r>
    </w:p>
    <w:p>
      <w:pPr>
        <w:pStyle w:val="style0"/>
        <w:widowControl w:val="false"/>
        <w:tabs>
          <w:tab w:val="left" w:leader="none" w:pos="65"/>
        </w:tabs>
        <w:spacing w:lineRule="atLeast" w:line="460"/>
        <w:ind w:firstLine="480" w:firstLineChars="200"/>
        <w:textAlignment w:val="auto"/>
        <w:rPr>
          <w:rFonts w:ascii="宋体" w:cs="宋体" w:hAnsi="宋体"/>
          <w:color w:val="auto"/>
          <w:sz w:val="24"/>
          <w:szCs w:val="24"/>
          <w:highlight w:val="none"/>
        </w:rPr>
      </w:pPr>
      <w:r>
        <w:rPr>
          <w:rFonts w:ascii="宋体" w:cs="宋体" w:hAnsi="宋体" w:hint="eastAsia"/>
          <w:color w:val="auto"/>
          <w:sz w:val="24"/>
          <w:szCs w:val="24"/>
          <w:highlight w:val="none"/>
        </w:rPr>
        <w:t>七、按磋商文件规定及时缴纳中标服务费。</w:t>
      </w:r>
    </w:p>
    <w:p>
      <w:pPr>
        <w:pStyle w:val="style0"/>
        <w:widowControl w:val="false"/>
        <w:tabs>
          <w:tab w:val="left" w:leader="none" w:pos="65"/>
        </w:tabs>
        <w:spacing w:lineRule="atLeast" w:line="460"/>
        <w:ind w:firstLine="480" w:firstLineChars="200"/>
        <w:textAlignment w:val="auto"/>
        <w:rPr>
          <w:rFonts w:ascii="宋体" w:cs="宋体" w:hAnsi="宋体"/>
          <w:color w:val="auto"/>
          <w:sz w:val="24"/>
          <w:szCs w:val="24"/>
          <w:highlight w:val="none"/>
        </w:rPr>
      </w:pPr>
      <w:r>
        <w:rPr>
          <w:rFonts w:ascii="宋体" w:cs="宋体" w:hAnsi="宋体" w:hint="eastAsia"/>
          <w:color w:val="auto"/>
          <w:sz w:val="24"/>
          <w:szCs w:val="24"/>
          <w:highlight w:val="none"/>
        </w:rPr>
        <w:t>八、违背上述承诺事项的，我单位无条件接受以下责任追究：</w:t>
      </w:r>
    </w:p>
    <w:p>
      <w:pPr>
        <w:pStyle w:val="style0"/>
        <w:widowControl w:val="false"/>
        <w:tabs>
          <w:tab w:val="left" w:leader="none" w:pos="65"/>
        </w:tabs>
        <w:spacing w:lineRule="atLeast" w:line="460"/>
        <w:ind w:firstLine="480" w:firstLineChars="200"/>
        <w:textAlignment w:val="auto"/>
        <w:rPr>
          <w:rFonts w:ascii="宋体" w:cs="宋体" w:hAnsi="宋体"/>
          <w:color w:val="auto"/>
          <w:sz w:val="24"/>
          <w:szCs w:val="24"/>
          <w:highlight w:val="none"/>
          <w:lang w:val="zh-CN"/>
        </w:rPr>
      </w:pPr>
      <w:r>
        <w:rPr>
          <w:rFonts w:ascii="宋体" w:cs="宋体" w:hAnsi="宋体" w:hint="eastAsia"/>
          <w:color w:val="auto"/>
          <w:sz w:val="24"/>
          <w:szCs w:val="24"/>
          <w:highlight w:val="none"/>
          <w:lang w:val="zh-CN"/>
        </w:rPr>
        <w:t>（一）法定责任：</w:t>
      </w:r>
      <w:r>
        <w:rPr>
          <w:rFonts w:ascii="宋体" w:cs="宋体" w:hAnsi="宋体" w:hint="eastAsia"/>
          <w:color w:val="auto"/>
          <w:sz w:val="24"/>
          <w:szCs w:val="24"/>
          <w:highlight w:val="none"/>
        </w:rPr>
        <w:t>按照政府采购相关法规，</w:t>
      </w:r>
      <w:r>
        <w:rPr>
          <w:rFonts w:ascii="宋体" w:cs="宋体" w:hAnsi="宋体" w:hint="eastAsia"/>
          <w:color w:val="auto"/>
          <w:sz w:val="24"/>
          <w:szCs w:val="24"/>
          <w:highlight w:val="none"/>
          <w:lang w:val="zh-CN"/>
        </w:rPr>
        <w:t>处以罚款，列入不良行为记录名单，在一至三年内禁止参加政府采购活动，有违法所得的，并处没收违法所得，情节严重的，由工商行政管理机关（市场监督机关）吊销营业执照；构成犯罪的，依法追究刑事责任。</w:t>
      </w:r>
    </w:p>
    <w:p>
      <w:pPr>
        <w:pStyle w:val="style0"/>
        <w:widowControl w:val="false"/>
        <w:tabs>
          <w:tab w:val="left" w:leader="none" w:pos="65"/>
        </w:tabs>
        <w:spacing w:lineRule="atLeast" w:line="460"/>
        <w:ind w:firstLine="480" w:firstLineChars="200"/>
        <w:textAlignment w:val="auto"/>
        <w:rPr>
          <w:rFonts w:ascii="宋体" w:cs="宋体" w:hAnsi="宋体"/>
          <w:color w:val="auto"/>
          <w:sz w:val="24"/>
          <w:szCs w:val="24"/>
          <w:highlight w:val="none"/>
          <w:lang w:val="zh-CN"/>
        </w:rPr>
      </w:pPr>
      <w:r>
        <w:rPr>
          <w:rFonts w:ascii="宋体" w:cs="宋体" w:hAnsi="宋体" w:hint="eastAsia"/>
          <w:color w:val="auto"/>
          <w:sz w:val="24"/>
          <w:szCs w:val="24"/>
          <w:highlight w:val="none"/>
        </w:rPr>
        <w:t>给采购人及他人造成损失的，愿承担相应的赔偿责任。</w:t>
      </w:r>
    </w:p>
    <w:p>
      <w:pPr>
        <w:pStyle w:val="style0"/>
        <w:widowControl w:val="false"/>
        <w:tabs>
          <w:tab w:val="left" w:leader="none" w:pos="65"/>
        </w:tabs>
        <w:spacing w:lineRule="atLeast" w:line="460"/>
        <w:ind w:firstLine="480" w:firstLineChars="200"/>
        <w:textAlignment w:val="auto"/>
        <w:rPr>
          <w:rFonts w:ascii="宋体" w:cs="宋体" w:hAnsi="宋体"/>
          <w:color w:val="auto"/>
          <w:sz w:val="24"/>
          <w:szCs w:val="24"/>
          <w:highlight w:val="none"/>
        </w:rPr>
      </w:pPr>
      <w:r>
        <w:rPr>
          <w:rFonts w:ascii="宋体" w:cs="宋体" w:hAnsi="宋体" w:hint="eastAsia"/>
          <w:color w:val="auto"/>
          <w:sz w:val="24"/>
          <w:szCs w:val="24"/>
          <w:highlight w:val="none"/>
          <w:lang w:val="zh-CN"/>
        </w:rPr>
        <w:t>（二）违约责任：</w:t>
      </w:r>
    </w:p>
    <w:p>
      <w:pPr>
        <w:pStyle w:val="style0"/>
        <w:widowControl w:val="false"/>
        <w:tabs>
          <w:tab w:val="left" w:leader="none" w:pos="65"/>
        </w:tabs>
        <w:spacing w:lineRule="atLeast" w:line="460"/>
        <w:ind w:firstLine="480" w:firstLineChars="200"/>
        <w:textAlignment w:val="auto"/>
        <w:rPr>
          <w:rFonts w:ascii="宋体" w:cs="宋体" w:hAnsi="宋体"/>
          <w:color w:val="auto"/>
          <w:sz w:val="24"/>
          <w:szCs w:val="24"/>
          <w:highlight w:val="none"/>
        </w:rPr>
      </w:pPr>
      <w:r>
        <w:rPr>
          <w:rFonts w:ascii="宋体" w:cs="宋体" w:hAnsi="宋体" w:hint="eastAsia"/>
          <w:color w:val="auto"/>
          <w:sz w:val="24"/>
          <w:szCs w:val="24"/>
          <w:highlight w:val="none"/>
        </w:rPr>
        <w:t>1、已中标的，中标（成交）无效；</w:t>
      </w:r>
    </w:p>
    <w:p>
      <w:pPr>
        <w:pStyle w:val="style0"/>
        <w:widowControl w:val="false"/>
        <w:tabs>
          <w:tab w:val="left" w:leader="none" w:pos="65"/>
        </w:tabs>
        <w:spacing w:lineRule="atLeast" w:line="460"/>
        <w:ind w:firstLine="480" w:firstLineChars="200"/>
        <w:textAlignment w:val="auto"/>
        <w:rPr>
          <w:rFonts w:ascii="宋体" w:cs="宋体" w:hAnsi="宋体"/>
          <w:color w:val="auto"/>
          <w:sz w:val="24"/>
          <w:szCs w:val="24"/>
          <w:highlight w:val="none"/>
        </w:rPr>
      </w:pPr>
      <w:r>
        <w:rPr>
          <w:rFonts w:ascii="宋体" w:cs="宋体" w:hAnsi="宋体" w:hint="eastAsia"/>
          <w:color w:val="auto"/>
          <w:sz w:val="24"/>
          <w:szCs w:val="24"/>
          <w:highlight w:val="none"/>
        </w:rPr>
        <w:t>2、支付采购人违约标的预算金额2%的</w:t>
      </w:r>
      <w:r>
        <w:rPr>
          <w:rFonts w:ascii="宋体" w:cs="宋体" w:hAnsi="宋体" w:hint="eastAsia"/>
          <w:color w:val="auto"/>
          <w:sz w:val="24"/>
          <w:szCs w:val="24"/>
          <w:highlight w:val="none"/>
          <w:lang w:val="zh-CN"/>
        </w:rPr>
        <w:t>违约金</w:t>
      </w:r>
      <w:r>
        <w:rPr>
          <w:rFonts w:ascii="宋体" w:cs="宋体" w:hAnsi="宋体" w:hint="eastAsia"/>
          <w:color w:val="auto"/>
          <w:sz w:val="24"/>
          <w:szCs w:val="24"/>
          <w:highlight w:val="none"/>
        </w:rPr>
        <w:t>；</w:t>
      </w:r>
    </w:p>
    <w:p>
      <w:pPr>
        <w:pStyle w:val="style0"/>
        <w:widowControl w:val="false"/>
        <w:tabs>
          <w:tab w:val="left" w:leader="none" w:pos="65"/>
        </w:tabs>
        <w:spacing w:lineRule="atLeast" w:line="460"/>
        <w:ind w:firstLine="480" w:firstLineChars="200"/>
        <w:textAlignment w:val="auto"/>
        <w:rPr>
          <w:rFonts w:ascii="宋体" w:cs="宋体" w:hAnsi="宋体"/>
          <w:color w:val="auto"/>
          <w:sz w:val="24"/>
          <w:szCs w:val="24"/>
          <w:highlight w:val="none"/>
          <w:lang w:val="zh-CN"/>
        </w:rPr>
      </w:pPr>
      <w:r>
        <w:rPr>
          <w:rFonts w:ascii="宋体" w:cs="宋体" w:hAnsi="宋体" w:hint="eastAsia"/>
          <w:color w:val="auto"/>
          <w:sz w:val="24"/>
          <w:szCs w:val="24"/>
          <w:highlight w:val="none"/>
        </w:rPr>
        <w:t>3、中标后未缴中标服务费的，作为违约及违背</w:t>
      </w:r>
      <w:r>
        <w:rPr>
          <w:color w:val="auto"/>
          <w:highlight w:val="none"/>
        </w:rPr>
        <w:fldChar w:fldCharType="begin"/>
      </w:r>
      <w:r>
        <w:rPr>
          <w:color w:val="auto"/>
          <w:highlight w:val="none"/>
        </w:rPr>
        <w:instrText xml:space="preserve"> HYPERLINK "http://www.so.com/s?q=%E8%AF%9A%E5%AE%9E%E4%BF%A1%E7%94%A8&amp;ie=utf-8&amp;src=internal_wenda_recommend_textn" \t "https://wenda.so.com/q/_blank" </w:instrText>
      </w:r>
      <w:r>
        <w:rPr>
          <w:color w:val="auto"/>
          <w:highlight w:val="none"/>
        </w:rPr>
        <w:fldChar w:fldCharType="separate"/>
      </w:r>
      <w:r>
        <w:rPr>
          <w:rFonts w:ascii="宋体" w:cs="宋体" w:hAnsi="宋体" w:hint="eastAsia"/>
          <w:color w:val="auto"/>
          <w:sz w:val="24"/>
          <w:szCs w:val="24"/>
          <w:highlight w:val="none"/>
        </w:rPr>
        <w:t>诚实信用</w:t>
      </w:r>
      <w:r>
        <w:rPr>
          <w:rFonts w:ascii="宋体" w:cs="宋体" w:hAnsi="宋体" w:hint="eastAsia"/>
          <w:color w:val="auto"/>
          <w:sz w:val="24"/>
          <w:szCs w:val="24"/>
          <w:highlight w:val="none"/>
        </w:rPr>
        <w:fldChar w:fldCharType="end"/>
      </w:r>
      <w:r>
        <w:rPr>
          <w:rFonts w:ascii="宋体" w:cs="宋体" w:hAnsi="宋体" w:hint="eastAsia"/>
          <w:color w:val="auto"/>
          <w:sz w:val="24"/>
          <w:szCs w:val="24"/>
          <w:highlight w:val="none"/>
        </w:rPr>
        <w:t>原则，在履行承诺前，代理机构将视我单位为失信企业、不予办理其后相关业务。</w:t>
      </w:r>
    </w:p>
    <w:p>
      <w:pPr>
        <w:pStyle w:val="style0"/>
        <w:widowControl w:val="false"/>
        <w:snapToGrid w:val="false"/>
        <w:spacing w:lineRule="exact" w:line="560"/>
        <w:ind w:left="0" w:leftChars="0" w:firstLine="555"/>
        <w:jc w:val="left"/>
        <w:rPr>
          <w:rFonts w:ascii="宋体" w:cs="宋体" w:eastAsia="宋体" w:hAnsi="宋体" w:hint="eastAsia"/>
          <w:color w:val="auto"/>
          <w:sz w:val="24"/>
          <w:szCs w:val="24"/>
          <w:highlight w:val="none"/>
          <w:lang w:val="zh-CN"/>
        </w:rPr>
      </w:pPr>
      <w:r>
        <w:rPr>
          <w:rFonts w:ascii="宋体" w:cs="宋体" w:eastAsia="宋体" w:hAnsi="宋体" w:hint="eastAsia"/>
          <w:color w:val="auto"/>
          <w:sz w:val="24"/>
          <w:szCs w:val="24"/>
          <w:highlight w:val="none"/>
        </w:rPr>
        <w:t>供应商（</w:t>
      </w:r>
      <w:r>
        <w:rPr>
          <w:rFonts w:ascii="宋体" w:cs="宋体" w:eastAsia="宋体" w:hAnsi="宋体" w:hint="eastAsia"/>
          <w:color w:val="auto"/>
          <w:sz w:val="24"/>
          <w:szCs w:val="24"/>
          <w:highlight w:val="none"/>
          <w:lang w:val="en-US" w:eastAsia="zh-CN"/>
        </w:rPr>
        <w:t>盖章</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zh-CN"/>
        </w:rPr>
        <w:t>：</w:t>
      </w:r>
    </w:p>
    <w:p>
      <w:pPr>
        <w:pStyle w:val="style0"/>
        <w:widowControl w:val="false"/>
        <w:snapToGrid w:val="false"/>
        <w:spacing w:lineRule="exact" w:line="560"/>
        <w:ind w:left="0" w:leftChars="0" w:firstLine="555"/>
        <w:jc w:val="left"/>
        <w:rPr>
          <w:rFonts w:ascii="宋体" w:cs="宋体" w:eastAsia="宋体" w:hAnsi="宋体" w:hint="eastAsia"/>
          <w:color w:val="auto"/>
          <w:sz w:val="24"/>
          <w:szCs w:val="24"/>
          <w:highlight w:val="none"/>
          <w:lang w:val="zh-CN"/>
        </w:rPr>
      </w:pPr>
      <w:r>
        <w:rPr>
          <w:rFonts w:ascii="宋体" w:cs="宋体" w:eastAsia="宋体" w:hAnsi="宋体" w:hint="eastAsia"/>
          <w:color w:val="auto"/>
          <w:sz w:val="24"/>
          <w:szCs w:val="24"/>
          <w:highlight w:val="none"/>
          <w:lang w:val="zh-CN"/>
        </w:rPr>
        <w:t>法定代表人</w:t>
      </w:r>
      <w:r>
        <w:rPr>
          <w:rFonts w:ascii="宋体" w:cs="宋体" w:eastAsia="宋体" w:hAnsi="宋体" w:hint="eastAsia"/>
          <w:color w:val="auto"/>
          <w:sz w:val="24"/>
          <w:szCs w:val="24"/>
          <w:highlight w:val="none"/>
          <w:lang w:val="en-US" w:eastAsia="zh-CN"/>
        </w:rPr>
        <w:t>或委托代理人</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en-US" w:eastAsia="zh-CN"/>
        </w:rPr>
        <w:t>签字或盖章</w:t>
      </w:r>
      <w:r>
        <w:rPr>
          <w:rFonts w:ascii="宋体" w:cs="宋体" w:eastAsia="宋体" w:hAnsi="宋体" w:hint="eastAsia"/>
          <w:color w:val="auto"/>
          <w:sz w:val="24"/>
          <w:szCs w:val="24"/>
          <w:highlight w:val="none"/>
        </w:rPr>
        <w:t>）</w:t>
      </w:r>
      <w:r>
        <w:rPr>
          <w:rFonts w:ascii="宋体" w:cs="宋体" w:eastAsia="宋体" w:hAnsi="宋体" w:hint="eastAsia"/>
          <w:color w:val="auto"/>
          <w:sz w:val="24"/>
          <w:szCs w:val="24"/>
          <w:highlight w:val="none"/>
          <w:lang w:val="zh-CN"/>
        </w:rPr>
        <w:t xml:space="preserve">：  </w:t>
      </w:r>
    </w:p>
    <w:p>
      <w:pPr>
        <w:pStyle w:val="style0"/>
        <w:widowControl w:val="false"/>
        <w:snapToGrid w:val="false"/>
        <w:spacing w:lineRule="exact" w:line="560"/>
        <w:ind w:left="0" w:leftChars="0" w:firstLine="555"/>
        <w:jc w:val="left"/>
        <w:rPr>
          <w:rFonts w:ascii="宋体" w:cs="宋体" w:eastAsia="宋体" w:hAnsi="宋体" w:hint="eastAsia"/>
          <w:color w:val="auto"/>
          <w:sz w:val="24"/>
          <w:szCs w:val="24"/>
          <w:highlight w:val="none"/>
          <w:lang w:val="zh-CN"/>
        </w:rPr>
      </w:pPr>
      <w:r>
        <w:rPr>
          <w:rFonts w:ascii="宋体" w:cs="宋体" w:eastAsia="宋体" w:hAnsi="宋体" w:hint="eastAsia"/>
          <w:color w:val="auto"/>
          <w:sz w:val="24"/>
          <w:szCs w:val="24"/>
          <w:highlight w:val="none"/>
          <w:lang w:val="zh-CN"/>
        </w:rPr>
        <w:t>日期：   年   月   日</w:t>
      </w:r>
    </w:p>
    <w:p>
      <w:pPr>
        <w:pStyle w:val="style0"/>
        <w:autoSpaceDE w:val="false"/>
        <w:autoSpaceDN w:val="false"/>
        <w:adjustRightInd w:val="false"/>
        <w:spacing w:lineRule="auto" w:line="360"/>
        <w:jc w:val="center"/>
        <w:rPr>
          <w:rFonts w:ascii="宋体" w:cs="宋体" w:hAnsi="宋体"/>
          <w:color w:val="auto"/>
          <w:sz w:val="24"/>
          <w:szCs w:val="24"/>
          <w:highlight w:val="none"/>
        </w:rPr>
      </w:pPr>
    </w:p>
    <w:p>
      <w:pPr>
        <w:pStyle w:val="style0"/>
        <w:autoSpaceDE w:val="false"/>
        <w:autoSpaceDN w:val="false"/>
        <w:adjustRightInd w:val="false"/>
        <w:spacing w:lineRule="auto" w:line="360"/>
        <w:jc w:val="center"/>
        <w:rPr>
          <w:rFonts w:ascii="宋体" w:cs="宋体" w:eastAsia="宋体" w:hAnsi="宋体" w:hint="eastAsia"/>
          <w:b/>
          <w:color w:val="auto"/>
          <w:sz w:val="30"/>
          <w:szCs w:val="30"/>
          <w:highlight w:val="none"/>
          <w:lang w:eastAsia="zh-CN"/>
        </w:rPr>
      </w:pPr>
      <w:r>
        <w:rPr>
          <w:rFonts w:ascii="宋体" w:cs="宋体" w:hAnsi="宋体" w:hint="eastAsia"/>
          <w:b/>
          <w:color w:val="auto"/>
          <w:sz w:val="30"/>
          <w:szCs w:val="30"/>
          <w:highlight w:val="none"/>
          <w:lang w:val="en-US" w:eastAsia="zh-CN"/>
        </w:rPr>
        <w:t>8.3 其他资格要求相关证明材料</w:t>
      </w:r>
    </w:p>
    <w:p>
      <w:pPr>
        <w:pStyle w:val="style0"/>
        <w:autoSpaceDE w:val="false"/>
        <w:autoSpaceDN w:val="false"/>
        <w:adjustRightInd w:val="false"/>
        <w:spacing w:lineRule="auto" w:line="360"/>
        <w:jc w:val="center"/>
        <w:rPr>
          <w:rFonts w:ascii="宋体" w:cs="宋体" w:hAnsi="宋体"/>
          <w:color w:val="auto"/>
          <w:sz w:val="24"/>
          <w:szCs w:val="24"/>
          <w:highlight w:val="none"/>
        </w:rPr>
      </w:pPr>
    </w:p>
    <w:p>
      <w:pPr>
        <w:pStyle w:val="style0"/>
        <w:autoSpaceDE w:val="false"/>
        <w:autoSpaceDN w:val="false"/>
        <w:adjustRightInd w:val="false"/>
        <w:spacing w:lineRule="auto" w:line="360"/>
        <w:rPr>
          <w:rFonts w:ascii="宋体" w:cs="宋体" w:hAnsi="宋体"/>
          <w:b/>
          <w:color w:val="auto"/>
          <w:sz w:val="30"/>
          <w:szCs w:val="30"/>
          <w:highlight w:val="none"/>
        </w:rPr>
      </w:pPr>
      <w:r>
        <w:rPr>
          <w:rFonts w:ascii="宋体" w:cs="宋体" w:hAnsi="宋体" w:hint="eastAsia"/>
          <w:b/>
          <w:color w:val="auto"/>
          <w:sz w:val="30"/>
          <w:szCs w:val="30"/>
          <w:highlight w:val="none"/>
          <w:lang w:val="en-US" w:eastAsia="zh-CN"/>
        </w:rPr>
        <w:t>九</w:t>
      </w:r>
      <w:r>
        <w:rPr>
          <w:rFonts w:ascii="宋体" w:cs="宋体" w:hAnsi="宋体" w:hint="eastAsia"/>
          <w:b/>
          <w:color w:val="auto"/>
          <w:sz w:val="30"/>
          <w:szCs w:val="30"/>
          <w:highlight w:val="none"/>
        </w:rPr>
        <w:t>、评审办法所需的其他材料</w:t>
      </w:r>
    </w:p>
    <w:p>
      <w:pPr>
        <w:pStyle w:val="style0"/>
        <w:widowControl w:val="false"/>
        <w:snapToGrid w:val="false"/>
        <w:spacing w:lineRule="exact" w:line="560"/>
        <w:jc w:val="center"/>
        <w:rPr>
          <w:rFonts w:ascii="宋体" w:cs="宋体" w:hAnsi="宋体"/>
          <w:b/>
          <w:color w:val="auto"/>
          <w:sz w:val="30"/>
          <w:szCs w:val="30"/>
          <w:highlight w:val="none"/>
        </w:rPr>
      </w:pPr>
    </w:p>
    <w:p>
      <w:pPr>
        <w:pStyle w:val="style0"/>
        <w:autoSpaceDE w:val="false"/>
        <w:autoSpaceDN w:val="false"/>
        <w:adjustRightInd w:val="false"/>
        <w:spacing w:lineRule="auto" w:line="360"/>
        <w:rPr>
          <w:rFonts w:ascii="宋体" w:cs="宋体" w:hAnsi="宋体"/>
          <w:b/>
          <w:color w:val="auto"/>
          <w:sz w:val="30"/>
          <w:szCs w:val="30"/>
          <w:highlight w:val="none"/>
        </w:rPr>
      </w:pPr>
      <w:r>
        <w:rPr>
          <w:rFonts w:ascii="宋体" w:cs="宋体" w:hAnsi="宋体" w:hint="eastAsia"/>
          <w:b/>
          <w:color w:val="auto"/>
          <w:sz w:val="30"/>
          <w:szCs w:val="30"/>
          <w:highlight w:val="none"/>
        </w:rPr>
        <w:t>十、供应商认为有必要提交的其它材料</w:t>
      </w:r>
    </w:p>
    <w:p>
      <w:pPr>
        <w:pStyle w:val="style0"/>
        <w:spacing w:lineRule="exact" w:line="588"/>
        <w:jc w:val="center"/>
        <w:rPr>
          <w:rFonts w:ascii="宋体" w:cs="宋体" w:hAnsi="宋体"/>
          <w:b/>
          <w:color w:val="auto"/>
          <w:sz w:val="30"/>
          <w:szCs w:val="30"/>
          <w:highlight w:val="none"/>
        </w:rPr>
      </w:pPr>
      <w:r>
        <w:rPr>
          <w:rFonts w:ascii="宋体" w:cs="宋体" w:hAnsi="宋体" w:hint="eastAsia"/>
          <w:b/>
          <w:color w:val="auto"/>
          <w:sz w:val="30"/>
          <w:szCs w:val="30"/>
          <w:highlight w:val="none"/>
        </w:rPr>
        <w:t xml:space="preserve">中小企业声明函  </w:t>
      </w:r>
    </w:p>
    <w:p>
      <w:pPr>
        <w:pStyle w:val="style0"/>
        <w:spacing w:lineRule="exact" w:line="588"/>
        <w:ind w:firstLine="504" w:firstLineChars="200"/>
        <w:rPr>
          <w:rFonts w:ascii="仿宋" w:cs="仿宋" w:eastAsia="仿宋" w:hAnsi="仿宋"/>
          <w:color w:val="auto"/>
          <w:spacing w:val="6"/>
          <w:sz w:val="24"/>
          <w:szCs w:val="24"/>
          <w:highlight w:val="none"/>
        </w:rPr>
      </w:pPr>
      <w:r>
        <w:rPr>
          <w:rFonts w:ascii="仿宋" w:cs="仿宋" w:eastAsia="仿宋" w:hAnsi="仿宋" w:hint="eastAsia"/>
          <w:color w:val="auto"/>
          <w:spacing w:val="6"/>
          <w:sz w:val="24"/>
          <w:szCs w:val="24"/>
          <w:highlight w:val="none"/>
        </w:rPr>
        <w:t>本公司（联合体）郑重声明，根据《政府采购促进中小企业发展管理办法》（财库〔2020〕46号）的规定，本公司(联合体）参加</w:t>
      </w:r>
      <w:r>
        <w:rPr>
          <w:rFonts w:ascii="仿宋" w:cs="仿宋" w:eastAsia="仿宋" w:hAnsi="仿宋" w:hint="eastAsia"/>
          <w:color w:val="auto"/>
          <w:spacing w:val="6"/>
          <w:sz w:val="24"/>
          <w:szCs w:val="24"/>
          <w:highlight w:val="none"/>
          <w:u w:val="single"/>
        </w:rPr>
        <w:t>（单位名称）</w:t>
      </w:r>
      <w:r>
        <w:rPr>
          <w:rFonts w:ascii="仿宋" w:cs="仿宋" w:eastAsia="仿宋" w:hAnsi="仿宋" w:hint="eastAsia"/>
          <w:color w:val="auto"/>
          <w:spacing w:val="6"/>
          <w:sz w:val="24"/>
          <w:szCs w:val="24"/>
          <w:highlight w:val="none"/>
        </w:rPr>
        <w:t>的</w:t>
      </w:r>
      <w:r>
        <w:rPr>
          <w:rFonts w:ascii="仿宋" w:cs="仿宋" w:eastAsia="仿宋" w:hAnsi="仿宋" w:hint="eastAsia"/>
          <w:color w:val="auto"/>
          <w:spacing w:val="6"/>
          <w:sz w:val="24"/>
          <w:szCs w:val="24"/>
          <w:highlight w:val="none"/>
          <w:u w:val="single"/>
        </w:rPr>
        <w:t>（项目名称）</w:t>
      </w:r>
      <w:r>
        <w:rPr>
          <w:rFonts w:ascii="仿宋" w:cs="仿宋" w:eastAsia="仿宋" w:hAnsi="仿宋" w:hint="eastAsia"/>
          <w:color w:val="auto"/>
          <w:spacing w:val="6"/>
          <w:sz w:val="24"/>
          <w:szCs w:val="24"/>
          <w:highlight w:val="none"/>
        </w:rPr>
        <w:t>采购活动，提供的货物全部由符合政策要求的中小企业制造。相关企业 (含联合体中的中小企业、签订分包意向协议的中小企业）的具体情况如下：</w:t>
      </w:r>
    </w:p>
    <w:p>
      <w:pPr>
        <w:pStyle w:val="style0"/>
        <w:spacing w:lineRule="exact" w:line="588"/>
        <w:ind w:firstLine="504" w:firstLineChars="200"/>
        <w:rPr>
          <w:rFonts w:ascii="仿宋" w:cs="仿宋" w:eastAsia="仿宋" w:hAnsi="仿宋"/>
          <w:color w:val="auto"/>
          <w:spacing w:val="6"/>
          <w:sz w:val="24"/>
          <w:szCs w:val="24"/>
          <w:highlight w:val="none"/>
        </w:rPr>
      </w:pPr>
      <w:r>
        <w:rPr>
          <w:rFonts w:ascii="仿宋" w:cs="仿宋" w:eastAsia="仿宋" w:hAnsi="仿宋" w:hint="eastAsia"/>
          <w:color w:val="auto"/>
          <w:spacing w:val="6"/>
          <w:sz w:val="24"/>
          <w:szCs w:val="24"/>
          <w:highlight w:val="none"/>
        </w:rPr>
        <w:t>1.</w:t>
      </w:r>
      <w:r>
        <w:rPr>
          <w:rFonts w:ascii="仿宋" w:cs="仿宋" w:eastAsia="仿宋" w:hAnsi="仿宋" w:hint="eastAsia"/>
          <w:color w:val="auto"/>
          <w:spacing w:val="6"/>
          <w:sz w:val="24"/>
          <w:szCs w:val="24"/>
          <w:highlight w:val="none"/>
          <w:u w:val="single"/>
        </w:rPr>
        <w:t>(标的名称)</w:t>
      </w:r>
      <w:r>
        <w:rPr>
          <w:rFonts w:ascii="仿宋" w:cs="仿宋" w:eastAsia="仿宋" w:hAnsi="仿宋" w:hint="eastAsia"/>
          <w:color w:val="auto"/>
          <w:spacing w:val="6"/>
          <w:sz w:val="24"/>
          <w:szCs w:val="24"/>
          <w:highlight w:val="none"/>
        </w:rPr>
        <w:t>，属于</w:t>
      </w:r>
      <w:r>
        <w:rPr>
          <w:rFonts w:ascii="仿宋" w:cs="仿宋" w:eastAsia="仿宋" w:hAnsi="仿宋" w:hint="eastAsia"/>
          <w:color w:val="auto"/>
          <w:spacing w:val="6"/>
          <w:sz w:val="24"/>
          <w:szCs w:val="24"/>
          <w:highlight w:val="none"/>
          <w:u w:val="single"/>
        </w:rPr>
        <w:t>（采购文件中明确的所属行业)</w:t>
      </w:r>
      <w:r>
        <w:rPr>
          <w:rFonts w:ascii="仿宋" w:cs="仿宋" w:eastAsia="仿宋" w:hAnsi="仿宋" w:hint="eastAsia"/>
          <w:color w:val="auto"/>
          <w:spacing w:val="6"/>
          <w:sz w:val="24"/>
          <w:szCs w:val="24"/>
          <w:highlight w:val="none"/>
        </w:rPr>
        <w:t>行业， 制造商为</w:t>
      </w:r>
      <w:r>
        <w:rPr>
          <w:rFonts w:ascii="仿宋" w:cs="仿宋" w:eastAsia="仿宋" w:hAnsi="仿宋" w:hint="eastAsia"/>
          <w:color w:val="auto"/>
          <w:spacing w:val="6"/>
          <w:sz w:val="24"/>
          <w:szCs w:val="24"/>
          <w:highlight w:val="none"/>
          <w:u w:val="single"/>
        </w:rPr>
        <w:t>（企业名称)</w:t>
      </w:r>
      <w:r>
        <w:rPr>
          <w:rFonts w:ascii="仿宋" w:cs="仿宋" w:eastAsia="仿宋" w:hAnsi="仿宋" w:hint="eastAsia"/>
          <w:color w:val="auto"/>
          <w:spacing w:val="6"/>
          <w:sz w:val="24"/>
          <w:szCs w:val="24"/>
          <w:highlight w:val="none"/>
        </w:rPr>
        <w:t>，从业人员人，营业收入为</w:t>
      </w:r>
      <w:r>
        <w:rPr>
          <w:rFonts w:ascii="仿宋" w:cs="仿宋" w:eastAsia="仿宋" w:hAnsi="仿宋" w:hint="eastAsia"/>
          <w:color w:val="auto"/>
          <w:spacing w:val="6"/>
          <w:sz w:val="24"/>
          <w:szCs w:val="24"/>
          <w:highlight w:val="none"/>
          <w:u w:val="single"/>
        </w:rPr>
        <w:t xml:space="preserve">_  </w:t>
      </w:r>
      <w:r>
        <w:rPr>
          <w:rFonts w:ascii="仿宋" w:cs="仿宋" w:eastAsia="仿宋" w:hAnsi="仿宋" w:hint="eastAsia"/>
          <w:color w:val="auto"/>
          <w:spacing w:val="6"/>
          <w:sz w:val="24"/>
          <w:szCs w:val="24"/>
          <w:highlight w:val="none"/>
        </w:rPr>
        <w:t xml:space="preserve">万元，资产总额为 </w:t>
      </w:r>
      <w:r>
        <w:rPr>
          <w:rFonts w:ascii="仿宋" w:cs="仿宋" w:eastAsia="仿宋" w:hAnsi="仿宋" w:hint="eastAsia"/>
          <w:color w:val="auto"/>
          <w:spacing w:val="6"/>
          <w:sz w:val="24"/>
          <w:szCs w:val="24"/>
          <w:highlight w:val="none"/>
          <w:u w:val="single"/>
        </w:rPr>
        <w:t xml:space="preserve"> _</w:t>
      </w:r>
      <w:r>
        <w:rPr>
          <w:rFonts w:ascii="仿宋" w:cs="仿宋" w:eastAsia="仿宋" w:hAnsi="仿宋" w:hint="eastAsia"/>
          <w:color w:val="auto"/>
          <w:spacing w:val="6"/>
          <w:sz w:val="24"/>
          <w:szCs w:val="24"/>
          <w:highlight w:val="none"/>
        </w:rPr>
        <w:t>万元</w:t>
      </w:r>
      <w:r>
        <w:rPr>
          <w:rFonts w:ascii="仿宋" w:cs="仿宋" w:eastAsia="仿宋" w:hAnsi="仿宋" w:hint="eastAsia"/>
          <w:color w:val="auto"/>
          <w:spacing w:val="6"/>
          <w:sz w:val="24"/>
          <w:szCs w:val="24"/>
          <w:highlight w:val="none"/>
          <w:vertAlign w:val="superscript"/>
        </w:rPr>
        <w:t>1</w:t>
      </w:r>
      <w:r>
        <w:rPr>
          <w:rFonts w:ascii="仿宋" w:cs="仿宋" w:eastAsia="仿宋" w:hAnsi="仿宋" w:hint="eastAsia"/>
          <w:color w:val="auto"/>
          <w:spacing w:val="6"/>
          <w:sz w:val="24"/>
          <w:szCs w:val="24"/>
          <w:highlight w:val="none"/>
        </w:rPr>
        <w:t>，属于</w:t>
      </w:r>
      <w:r>
        <w:rPr>
          <w:rFonts w:ascii="仿宋" w:cs="仿宋" w:eastAsia="仿宋" w:hAnsi="仿宋" w:hint="eastAsia"/>
          <w:color w:val="auto"/>
          <w:spacing w:val="6"/>
          <w:sz w:val="24"/>
          <w:szCs w:val="24"/>
          <w:highlight w:val="none"/>
          <w:u w:val="single"/>
        </w:rPr>
        <w:t>（中型企业、小 型企业、微型企业）</w:t>
      </w:r>
      <w:r>
        <w:rPr>
          <w:rFonts w:ascii="仿宋" w:cs="仿宋" w:eastAsia="仿宋" w:hAnsi="仿宋" w:hint="eastAsia"/>
          <w:color w:val="auto"/>
          <w:spacing w:val="6"/>
          <w:sz w:val="24"/>
          <w:szCs w:val="24"/>
          <w:highlight w:val="none"/>
        </w:rPr>
        <w:t>；</w:t>
      </w:r>
    </w:p>
    <w:p>
      <w:pPr>
        <w:pStyle w:val="style0"/>
        <w:spacing w:lineRule="exact" w:line="588"/>
        <w:ind w:firstLine="504" w:firstLineChars="200"/>
        <w:rPr>
          <w:rFonts w:ascii="仿宋" w:cs="仿宋" w:eastAsia="仿宋" w:hAnsi="仿宋"/>
          <w:color w:val="auto"/>
          <w:spacing w:val="6"/>
          <w:sz w:val="24"/>
          <w:szCs w:val="24"/>
          <w:highlight w:val="none"/>
        </w:rPr>
      </w:pPr>
      <w:r>
        <w:rPr>
          <w:rFonts w:ascii="仿宋" w:cs="仿宋" w:eastAsia="仿宋" w:hAnsi="仿宋" w:hint="eastAsia"/>
          <w:color w:val="auto"/>
          <w:spacing w:val="6"/>
          <w:sz w:val="24"/>
          <w:szCs w:val="24"/>
          <w:highlight w:val="none"/>
        </w:rPr>
        <w:t xml:space="preserve">2. </w:t>
      </w:r>
      <w:r>
        <w:rPr>
          <w:rFonts w:ascii="仿宋" w:cs="仿宋" w:eastAsia="仿宋" w:hAnsi="仿宋" w:hint="eastAsia"/>
          <w:color w:val="auto"/>
          <w:spacing w:val="6"/>
          <w:sz w:val="24"/>
          <w:szCs w:val="24"/>
          <w:highlight w:val="none"/>
          <w:u w:val="single"/>
        </w:rPr>
        <w:t>(标的名称)</w:t>
      </w:r>
      <w:r>
        <w:rPr>
          <w:rFonts w:ascii="仿宋" w:cs="仿宋" w:eastAsia="仿宋" w:hAnsi="仿宋" w:hint="eastAsia"/>
          <w:color w:val="auto"/>
          <w:spacing w:val="6"/>
          <w:sz w:val="24"/>
          <w:szCs w:val="24"/>
          <w:highlight w:val="none"/>
        </w:rPr>
        <w:t>，属于</w:t>
      </w:r>
      <w:r>
        <w:rPr>
          <w:rFonts w:ascii="仿宋" w:cs="仿宋" w:eastAsia="仿宋" w:hAnsi="仿宋" w:hint="eastAsia"/>
          <w:color w:val="auto"/>
          <w:spacing w:val="6"/>
          <w:sz w:val="24"/>
          <w:szCs w:val="24"/>
          <w:highlight w:val="none"/>
          <w:u w:val="single"/>
        </w:rPr>
        <w:t>（采购文件中明确的所属行业)</w:t>
      </w:r>
      <w:r>
        <w:rPr>
          <w:rFonts w:ascii="仿宋" w:cs="仿宋" w:eastAsia="仿宋" w:hAnsi="仿宋" w:hint="eastAsia"/>
          <w:color w:val="auto"/>
          <w:spacing w:val="6"/>
          <w:sz w:val="24"/>
          <w:szCs w:val="24"/>
          <w:highlight w:val="none"/>
        </w:rPr>
        <w:t>行业， 制造商为</w:t>
      </w:r>
      <w:r>
        <w:rPr>
          <w:rFonts w:ascii="仿宋" w:cs="仿宋" w:eastAsia="仿宋" w:hAnsi="仿宋" w:hint="eastAsia"/>
          <w:color w:val="auto"/>
          <w:spacing w:val="6"/>
          <w:sz w:val="24"/>
          <w:szCs w:val="24"/>
          <w:highlight w:val="none"/>
          <w:u w:val="single"/>
        </w:rPr>
        <w:t>（企业名称)</w:t>
      </w:r>
      <w:r>
        <w:rPr>
          <w:rFonts w:ascii="仿宋" w:cs="仿宋" w:eastAsia="仿宋" w:hAnsi="仿宋" w:hint="eastAsia"/>
          <w:color w:val="auto"/>
          <w:spacing w:val="6"/>
          <w:sz w:val="24"/>
          <w:szCs w:val="24"/>
          <w:highlight w:val="none"/>
        </w:rPr>
        <w:t>，从业人员人，营业收入为</w:t>
      </w:r>
      <w:r>
        <w:rPr>
          <w:rFonts w:ascii="仿宋" w:cs="仿宋" w:eastAsia="仿宋" w:hAnsi="仿宋" w:hint="eastAsia"/>
          <w:color w:val="auto"/>
          <w:spacing w:val="6"/>
          <w:sz w:val="24"/>
          <w:szCs w:val="24"/>
          <w:highlight w:val="none"/>
          <w:u w:val="single"/>
        </w:rPr>
        <w:t xml:space="preserve">_  </w:t>
      </w:r>
      <w:r>
        <w:rPr>
          <w:rFonts w:ascii="仿宋" w:cs="仿宋" w:eastAsia="仿宋" w:hAnsi="仿宋" w:hint="eastAsia"/>
          <w:color w:val="auto"/>
          <w:spacing w:val="6"/>
          <w:sz w:val="24"/>
          <w:szCs w:val="24"/>
          <w:highlight w:val="none"/>
        </w:rPr>
        <w:t xml:space="preserve">万元，资产总额为 </w:t>
      </w:r>
      <w:r>
        <w:rPr>
          <w:rFonts w:ascii="仿宋" w:cs="仿宋" w:eastAsia="仿宋" w:hAnsi="仿宋" w:hint="eastAsia"/>
          <w:color w:val="auto"/>
          <w:spacing w:val="6"/>
          <w:sz w:val="24"/>
          <w:szCs w:val="24"/>
          <w:highlight w:val="none"/>
          <w:u w:val="single"/>
        </w:rPr>
        <w:t xml:space="preserve"> _</w:t>
      </w:r>
      <w:r>
        <w:rPr>
          <w:rFonts w:ascii="仿宋" w:cs="仿宋" w:eastAsia="仿宋" w:hAnsi="仿宋" w:hint="eastAsia"/>
          <w:color w:val="auto"/>
          <w:spacing w:val="6"/>
          <w:sz w:val="24"/>
          <w:szCs w:val="24"/>
          <w:highlight w:val="none"/>
        </w:rPr>
        <w:t>万元，属于</w:t>
      </w:r>
      <w:r>
        <w:rPr>
          <w:rFonts w:ascii="仿宋" w:cs="仿宋" w:eastAsia="仿宋" w:hAnsi="仿宋" w:hint="eastAsia"/>
          <w:color w:val="auto"/>
          <w:spacing w:val="6"/>
          <w:sz w:val="24"/>
          <w:szCs w:val="24"/>
          <w:highlight w:val="none"/>
          <w:u w:val="single"/>
        </w:rPr>
        <w:t>（中型企业、小 型企业、微型企业）</w:t>
      </w:r>
      <w:r>
        <w:rPr>
          <w:rFonts w:ascii="仿宋" w:cs="仿宋" w:eastAsia="仿宋" w:hAnsi="仿宋" w:hint="eastAsia"/>
          <w:color w:val="auto"/>
          <w:spacing w:val="6"/>
          <w:sz w:val="24"/>
          <w:szCs w:val="24"/>
          <w:highlight w:val="none"/>
        </w:rPr>
        <w:t>；</w:t>
      </w:r>
    </w:p>
    <w:p>
      <w:pPr>
        <w:pStyle w:val="style0"/>
        <w:spacing w:lineRule="exact" w:line="588"/>
        <w:ind w:firstLine="504" w:firstLineChars="200"/>
        <w:rPr>
          <w:rFonts w:ascii="仿宋" w:cs="仿宋" w:eastAsia="仿宋" w:hAnsi="仿宋"/>
          <w:color w:val="auto"/>
          <w:spacing w:val="6"/>
          <w:sz w:val="24"/>
          <w:szCs w:val="24"/>
          <w:highlight w:val="none"/>
        </w:rPr>
      </w:pPr>
      <w:r>
        <w:rPr>
          <w:rFonts w:ascii="仿宋" w:cs="仿宋" w:eastAsia="仿宋" w:hAnsi="仿宋" w:hint="eastAsia"/>
          <w:color w:val="auto"/>
          <w:spacing w:val="6"/>
          <w:sz w:val="24"/>
          <w:szCs w:val="24"/>
          <w:highlight w:val="none"/>
        </w:rPr>
        <w:t>……</w:t>
      </w:r>
    </w:p>
    <w:p>
      <w:pPr>
        <w:pStyle w:val="style0"/>
        <w:spacing w:lineRule="exact" w:line="588"/>
        <w:ind w:firstLine="504" w:firstLineChars="200"/>
        <w:rPr>
          <w:rFonts w:ascii="仿宋" w:cs="仿宋" w:eastAsia="仿宋" w:hAnsi="仿宋"/>
          <w:color w:val="auto"/>
          <w:spacing w:val="6"/>
          <w:sz w:val="24"/>
          <w:szCs w:val="24"/>
          <w:highlight w:val="none"/>
        </w:rPr>
      </w:pPr>
      <w:r>
        <w:rPr>
          <w:rFonts w:ascii="仿宋" w:cs="仿宋" w:eastAsia="仿宋" w:hAnsi="仿宋" w:hint="eastAsia"/>
          <w:color w:val="auto"/>
          <w:spacing w:val="6"/>
          <w:sz w:val="24"/>
          <w:szCs w:val="24"/>
          <w:highlight w:val="none"/>
        </w:rPr>
        <w:t>以上企业，不属于大企业的分支机构，不存在控股股东为大企业的情形，也不存在与大企业的负责人为同一人的情形。</w:t>
      </w:r>
    </w:p>
    <w:p>
      <w:pPr>
        <w:pStyle w:val="style0"/>
        <w:spacing w:lineRule="exact" w:line="588"/>
        <w:ind w:firstLine="504" w:firstLineChars="200"/>
        <w:rPr>
          <w:rFonts w:ascii="仿宋" w:cs="仿宋" w:eastAsia="仿宋" w:hAnsi="仿宋"/>
          <w:color w:val="auto"/>
          <w:spacing w:val="6"/>
          <w:sz w:val="24"/>
          <w:szCs w:val="24"/>
          <w:highlight w:val="none"/>
        </w:rPr>
      </w:pPr>
      <w:r>
        <w:rPr>
          <w:rFonts w:ascii="仿宋" w:cs="仿宋" w:eastAsia="仿宋" w:hAnsi="仿宋" w:hint="eastAsia"/>
          <w:color w:val="auto"/>
          <w:spacing w:val="6"/>
          <w:sz w:val="24"/>
          <w:szCs w:val="24"/>
          <w:highlight w:val="none"/>
        </w:rPr>
        <w:t>本企业对上述声明内容的真实性负责。如有虚假，将依法承担相应责任。</w:t>
      </w:r>
    </w:p>
    <w:p>
      <w:pPr>
        <w:pStyle w:val="style0"/>
        <w:spacing w:lineRule="exact" w:line="588"/>
        <w:rPr>
          <w:rFonts w:ascii="仿宋" w:cs="仿宋" w:eastAsia="仿宋" w:hAnsi="仿宋"/>
          <w:color w:val="auto"/>
          <w:spacing w:val="6"/>
          <w:sz w:val="24"/>
          <w:szCs w:val="24"/>
          <w:highlight w:val="none"/>
        </w:rPr>
      </w:pPr>
    </w:p>
    <w:p>
      <w:pPr>
        <w:pStyle w:val="style4139"/>
        <w:shd w:val="clear" w:color="auto" w:fill="auto"/>
        <w:spacing w:after="228" w:lineRule="exact" w:line="300"/>
        <w:ind w:firstLine="4536" w:firstLineChars="1512"/>
        <w:rPr>
          <w:rFonts w:ascii="仿宋" w:cs="仿宋" w:eastAsia="仿宋" w:hAnsi="仿宋"/>
          <w:color w:val="auto"/>
          <w:sz w:val="24"/>
          <w:szCs w:val="24"/>
          <w:highlight w:val="none"/>
        </w:rPr>
      </w:pPr>
      <w:r>
        <w:rPr>
          <w:rFonts w:ascii="仿宋" w:cs="仿宋" w:eastAsia="仿宋" w:hAnsi="仿宋" w:hint="eastAsia"/>
          <w:color w:val="auto"/>
          <w:sz w:val="24"/>
          <w:szCs w:val="24"/>
          <w:highlight w:val="none"/>
        </w:rPr>
        <w:t>企业名称（盖章</w:t>
      </w:r>
      <w:r>
        <w:rPr>
          <w:rFonts w:ascii="仿宋" w:cs="仿宋" w:eastAsia="仿宋" w:hAnsi="仿宋" w:hint="eastAsia"/>
          <w:color w:val="auto"/>
          <w:sz w:val="24"/>
          <w:szCs w:val="24"/>
          <w:highlight w:val="none"/>
          <w:lang w:bidi="en-US"/>
        </w:rPr>
        <w:t>）</w:t>
      </w:r>
    </w:p>
    <w:p>
      <w:pPr>
        <w:pStyle w:val="style0"/>
        <w:autoSpaceDE w:val="false"/>
        <w:autoSpaceDN w:val="false"/>
        <w:adjustRightInd w:val="false"/>
        <w:spacing w:lineRule="auto" w:line="360"/>
        <w:ind w:firstLine="4536" w:firstLineChars="1890"/>
        <w:jc w:val="left"/>
        <w:rPr>
          <w:rFonts w:ascii="仿宋" w:cs="仿宋" w:eastAsia="仿宋" w:hAnsi="仿宋"/>
          <w:color w:val="auto"/>
          <w:spacing w:val="6"/>
          <w:sz w:val="24"/>
          <w:szCs w:val="24"/>
          <w:highlight w:val="none"/>
        </w:rPr>
      </w:pPr>
      <w:r>
        <w:rPr>
          <w:rFonts w:ascii="仿宋" w:cs="仿宋" w:eastAsia="仿宋" w:hAnsi="仿宋" w:hint="eastAsia"/>
          <w:color w:val="auto"/>
          <w:sz w:val="24"/>
          <w:szCs w:val="24"/>
          <w:highlight w:val="none"/>
        </w:rPr>
        <w:t>日期：</w:t>
      </w:r>
    </w:p>
    <w:p>
      <w:pPr>
        <w:pStyle w:val="style0"/>
        <w:spacing w:lineRule="auto" w:line="240"/>
        <w:jc w:val="center"/>
        <w:textAlignment w:val="auto"/>
        <w:rPr>
          <w:rFonts w:ascii="仿宋" w:cs="仿宋" w:eastAsia="仿宋" w:hAnsi="仿宋"/>
          <w:b/>
          <w:color w:val="auto"/>
          <w:sz w:val="30"/>
          <w:szCs w:val="30"/>
          <w:highlight w:val="none"/>
        </w:rPr>
      </w:pPr>
    </w:p>
    <w:p>
      <w:pPr>
        <w:pStyle w:val="style0"/>
        <w:spacing w:lineRule="auto" w:line="240"/>
        <w:rPr>
          <w:rStyle w:val="style4142"/>
          <w:rFonts w:ascii="仿宋" w:cs="仿宋" w:eastAsia="仿宋" w:hAnsi="仿宋"/>
          <w:color w:val="auto"/>
          <w:szCs w:val="21"/>
          <w:highlight w:val="none"/>
        </w:rPr>
      </w:pPr>
      <w:r>
        <w:rPr>
          <w:rFonts w:ascii="仿宋" w:cs="仿宋" w:eastAsia="仿宋" w:hAnsi="仿宋" w:hint="eastAsia"/>
          <w:color w:val="auto"/>
          <w:szCs w:val="21"/>
          <w:highlight w:val="none"/>
        </w:rPr>
        <w:t>注：1、</w:t>
      </w:r>
      <w:r>
        <w:rPr>
          <w:rStyle w:val="style4141"/>
          <w:rFonts w:ascii="仿宋" w:cs="仿宋" w:eastAsia="仿宋" w:hAnsi="仿宋" w:hint="eastAsia"/>
          <w:color w:val="auto"/>
          <w:szCs w:val="21"/>
          <w:highlight w:val="none"/>
          <w:vertAlign w:val="superscript"/>
        </w:rPr>
        <w:t>1</w:t>
      </w:r>
      <w:r>
        <w:rPr>
          <w:rStyle w:val="style4142"/>
          <w:rFonts w:ascii="仿宋" w:cs="仿宋" w:eastAsia="仿宋" w:hAnsi="仿宋" w:hint="eastAsia"/>
          <w:color w:val="auto"/>
          <w:szCs w:val="21"/>
          <w:highlight w:val="none"/>
        </w:rPr>
        <w:t>从业人员、营业收入、资产总额填报上一年度数据，无上一年度数据的新成立企业可不填报。</w:t>
      </w:r>
    </w:p>
    <w:p>
      <w:pPr>
        <w:pStyle w:val="style0"/>
        <w:spacing w:lineRule="auto" w:line="240"/>
        <w:ind w:left="181" w:leftChars="86" w:firstLine="270" w:firstLineChars="150"/>
        <w:rPr>
          <w:rFonts w:ascii="仿宋" w:cs="仿宋" w:eastAsia="仿宋" w:hAnsi="仿宋"/>
          <w:color w:val="auto"/>
          <w:szCs w:val="21"/>
          <w:highlight w:val="none"/>
        </w:rPr>
      </w:pPr>
      <w:r>
        <w:rPr>
          <w:rStyle w:val="style4142"/>
          <w:rFonts w:ascii="仿宋" w:cs="仿宋" w:eastAsia="仿宋" w:hAnsi="仿宋" w:hint="eastAsia"/>
          <w:color w:val="auto"/>
          <w:szCs w:val="21"/>
          <w:highlight w:val="none"/>
        </w:rPr>
        <w:t>2、谈判文件中未标注“专门面向中小企业采购”的未预留（非预留）项目，供应商可以根据自身情况提供《中小企业声明函》，未提供《中小企业声明函》的、将不享受小微企业价格扣除扶持政策。</w:t>
      </w:r>
    </w:p>
    <w:p>
      <w:pPr>
        <w:pStyle w:val="style0"/>
        <w:spacing w:lineRule="auto" w:line="240"/>
        <w:rPr>
          <w:rFonts w:ascii="仿宋" w:cs="仿宋" w:eastAsia="仿宋" w:hAnsi="仿宋"/>
          <w:color w:val="auto"/>
          <w:szCs w:val="21"/>
          <w:highlight w:val="none"/>
        </w:rPr>
      </w:pPr>
    </w:p>
    <w:p>
      <w:pPr>
        <w:pStyle w:val="style0"/>
        <w:spacing w:lineRule="exact" w:line="588"/>
        <w:jc w:val="center"/>
        <w:rPr>
          <w:rFonts w:ascii="仿宋" w:cs="仿宋" w:eastAsia="仿宋" w:hAnsi="仿宋"/>
          <w:b/>
          <w:color w:val="auto"/>
          <w:sz w:val="30"/>
          <w:szCs w:val="30"/>
          <w:highlight w:val="none"/>
        </w:rPr>
      </w:pPr>
      <w:r>
        <w:rPr>
          <w:rFonts w:ascii="仿宋" w:cs="仿宋" w:eastAsia="仿宋" w:hAnsi="仿宋" w:hint="eastAsia"/>
          <w:b/>
          <w:color w:val="auto"/>
          <w:sz w:val="30"/>
          <w:szCs w:val="30"/>
          <w:highlight w:val="none"/>
        </w:rPr>
        <w:br w:type="page"/>
      </w:r>
    </w:p>
    <w:p>
      <w:pPr>
        <w:pStyle w:val="style0"/>
        <w:spacing w:lineRule="exact" w:line="588"/>
        <w:jc w:val="center"/>
        <w:rPr>
          <w:rFonts w:ascii="宋体" w:cs="宋体" w:hAnsi="宋体"/>
          <w:color w:val="auto"/>
          <w:spacing w:val="6"/>
          <w:sz w:val="24"/>
          <w:szCs w:val="24"/>
          <w:highlight w:val="none"/>
        </w:rPr>
      </w:pPr>
      <w:r>
        <w:rPr>
          <w:rFonts w:ascii="宋体" w:cs="宋体" w:hAnsi="宋体" w:hint="eastAsia"/>
          <w:b/>
          <w:color w:val="auto"/>
          <w:sz w:val="30"/>
          <w:szCs w:val="30"/>
          <w:highlight w:val="none"/>
        </w:rPr>
        <w:t>残疾人福利性单位声明函</w:t>
      </w:r>
      <w:r>
        <w:rPr>
          <w:rFonts w:ascii="宋体" w:cs="宋体" w:hAnsi="宋体" w:hint="eastAsia"/>
          <w:color w:val="auto"/>
          <w:spacing w:val="6"/>
          <w:sz w:val="24"/>
          <w:szCs w:val="24"/>
          <w:highlight w:val="none"/>
        </w:rPr>
        <w:t>（如符合条件时填写</w:t>
      </w:r>
      <w:r>
        <w:rPr>
          <w:rFonts w:ascii="宋体" w:cs="宋体" w:hAnsi="宋体" w:hint="eastAsia"/>
          <w:color w:val="auto"/>
          <w:spacing w:val="6"/>
          <w:sz w:val="28"/>
          <w:szCs w:val="28"/>
          <w:highlight w:val="none"/>
          <w:vertAlign w:val="superscript"/>
        </w:rPr>
        <w:t>*</w:t>
      </w:r>
      <w:r>
        <w:rPr>
          <w:rFonts w:ascii="宋体" w:cs="宋体" w:hAnsi="宋体" w:hint="eastAsia"/>
          <w:color w:val="auto"/>
          <w:spacing w:val="6"/>
          <w:sz w:val="24"/>
          <w:szCs w:val="24"/>
          <w:highlight w:val="none"/>
        </w:rPr>
        <w:t>）</w:t>
      </w:r>
    </w:p>
    <w:p>
      <w:pPr>
        <w:pStyle w:val="style0"/>
        <w:spacing w:lineRule="exact" w:line="588"/>
        <w:rPr>
          <w:rFonts w:ascii="宋体" w:cs="宋体" w:hAnsi="宋体"/>
          <w:color w:val="auto"/>
          <w:spacing w:val="6"/>
          <w:sz w:val="24"/>
          <w:szCs w:val="24"/>
          <w:highlight w:val="none"/>
        </w:rPr>
      </w:pPr>
    </w:p>
    <w:p>
      <w:pPr>
        <w:pStyle w:val="style0"/>
        <w:spacing w:lineRule="exact" w:line="588"/>
        <w:ind w:firstLine="504" w:firstLineChars="200"/>
        <w:rPr>
          <w:rFonts w:ascii="宋体" w:cs="宋体" w:hAnsi="宋体"/>
          <w:color w:val="auto"/>
          <w:spacing w:val="6"/>
          <w:sz w:val="24"/>
          <w:szCs w:val="24"/>
          <w:highlight w:val="none"/>
        </w:rPr>
      </w:pPr>
      <w:r>
        <w:rPr>
          <w:rFonts w:ascii="宋体" w:cs="宋体" w:hAnsi="宋体" w:hint="eastAsia"/>
          <w:color w:val="auto"/>
          <w:spacing w:val="6"/>
          <w:sz w:val="24"/>
          <w:szCs w:val="24"/>
          <w:highlight w:val="none"/>
        </w:rPr>
        <w:t>本单位郑重声明，根据《财政部 民政部 中国残疾人联合会关于促进残疾人就业政府采购政策的通知》（财库</w:t>
      </w:r>
      <w:r>
        <w:rPr>
          <w:rFonts w:ascii="宋体" w:cs="宋体" w:hAnsi="宋体" w:hint="eastAsia"/>
          <w:color w:val="auto"/>
          <w:sz w:val="24"/>
          <w:szCs w:val="24"/>
          <w:highlight w:val="none"/>
        </w:rPr>
        <w:t>〔2017〕141</w:t>
      </w:r>
      <w:r>
        <w:rPr>
          <w:rFonts w:ascii="宋体" w:cs="宋体" w:hAnsi="宋体" w:hint="eastAsia"/>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style0"/>
        <w:spacing w:lineRule="exact" w:line="588"/>
        <w:ind w:firstLine="504" w:firstLineChars="200"/>
        <w:rPr>
          <w:rFonts w:ascii="宋体" w:cs="宋体" w:hAnsi="宋体"/>
          <w:color w:val="auto"/>
          <w:spacing w:val="6"/>
          <w:sz w:val="24"/>
          <w:szCs w:val="24"/>
          <w:highlight w:val="none"/>
        </w:rPr>
      </w:pPr>
      <w:r>
        <w:rPr>
          <w:rFonts w:ascii="宋体" w:cs="宋体" w:hAnsi="宋体" w:hint="eastAsia"/>
          <w:color w:val="auto"/>
          <w:spacing w:val="6"/>
          <w:sz w:val="24"/>
          <w:szCs w:val="24"/>
          <w:highlight w:val="none"/>
        </w:rPr>
        <w:t>本单位对上述声明的真实性负责。如有虚假，将依法承担相应责任。</w:t>
      </w:r>
    </w:p>
    <w:p>
      <w:pPr>
        <w:pStyle w:val="style0"/>
        <w:spacing w:lineRule="exact" w:line="588"/>
        <w:ind w:firstLine="504" w:firstLineChars="200"/>
        <w:rPr>
          <w:rFonts w:ascii="宋体" w:cs="宋体" w:hAnsi="宋体"/>
          <w:color w:val="auto"/>
          <w:spacing w:val="6"/>
          <w:sz w:val="24"/>
          <w:szCs w:val="24"/>
          <w:highlight w:val="none"/>
        </w:rPr>
      </w:pPr>
    </w:p>
    <w:p>
      <w:pPr>
        <w:pStyle w:val="style0"/>
        <w:spacing w:lineRule="exact" w:line="588"/>
        <w:ind w:firstLine="504" w:firstLineChars="200"/>
        <w:rPr>
          <w:rFonts w:ascii="宋体" w:cs="宋体" w:hAnsi="宋体"/>
          <w:color w:val="auto"/>
          <w:spacing w:val="6"/>
          <w:sz w:val="24"/>
          <w:szCs w:val="24"/>
          <w:highlight w:val="none"/>
        </w:rPr>
      </w:pPr>
    </w:p>
    <w:p>
      <w:pPr>
        <w:pStyle w:val="style0"/>
        <w:spacing w:lineRule="exact" w:line="588"/>
        <w:ind w:firstLine="504" w:firstLineChars="200"/>
        <w:rPr>
          <w:rFonts w:ascii="宋体" w:cs="宋体" w:hAnsi="宋体"/>
          <w:color w:val="auto"/>
          <w:spacing w:val="6"/>
          <w:sz w:val="24"/>
          <w:szCs w:val="24"/>
          <w:highlight w:val="none"/>
        </w:rPr>
      </w:pPr>
    </w:p>
    <w:p>
      <w:pPr>
        <w:pStyle w:val="style0"/>
        <w:snapToGrid w:val="false"/>
        <w:spacing w:before="100" w:beforeAutospacing="true" w:after="100" w:afterAutospacing="true" w:lineRule="exact" w:line="700"/>
        <w:ind w:right="641" w:firstLine="4960" w:firstLineChars="2067"/>
        <w:rPr>
          <w:rFonts w:ascii="宋体" w:cs="宋体" w:hAnsi="宋体"/>
          <w:color w:val="auto"/>
          <w:sz w:val="24"/>
          <w:szCs w:val="24"/>
          <w:highlight w:val="none"/>
        </w:rPr>
      </w:pPr>
      <w:r>
        <w:rPr>
          <w:rFonts w:ascii="宋体" w:cs="宋体" w:hAnsi="宋体" w:hint="eastAsia"/>
          <w:color w:val="auto"/>
          <w:sz w:val="24"/>
          <w:szCs w:val="24"/>
          <w:highlight w:val="none"/>
        </w:rPr>
        <w:t>单位名称（盖章</w:t>
      </w:r>
      <w:r>
        <w:rPr>
          <w:rFonts w:ascii="宋体" w:cs="宋体" w:hAnsi="宋体" w:hint="eastAsia"/>
          <w:color w:val="auto"/>
          <w:sz w:val="24"/>
          <w:szCs w:val="24"/>
          <w:highlight w:val="none"/>
          <w:lang w:bidi="en-US"/>
        </w:rPr>
        <w:t>）</w:t>
      </w:r>
      <w:r>
        <w:rPr>
          <w:rFonts w:ascii="宋体" w:cs="宋体" w:hAnsi="宋体" w:hint="eastAsia"/>
          <w:color w:val="auto"/>
          <w:sz w:val="24"/>
          <w:szCs w:val="24"/>
          <w:highlight w:val="none"/>
        </w:rPr>
        <w:t>：</w:t>
      </w:r>
    </w:p>
    <w:p>
      <w:pPr>
        <w:pStyle w:val="style0"/>
        <w:snapToGrid w:val="false"/>
        <w:spacing w:before="100" w:beforeAutospacing="true" w:after="100" w:afterAutospacing="true" w:lineRule="exact" w:line="540"/>
        <w:ind w:right="85" w:firstLine="5016" w:firstLineChars="2090"/>
        <w:jc w:val="left"/>
        <w:textAlignment w:val="top"/>
        <w:rPr>
          <w:rFonts w:ascii="宋体" w:cs="宋体" w:hAnsi="宋体"/>
          <w:color w:val="auto"/>
          <w:sz w:val="24"/>
          <w:szCs w:val="24"/>
          <w:highlight w:val="none"/>
        </w:rPr>
      </w:pPr>
      <w:r>
        <w:rPr>
          <w:rFonts w:ascii="宋体" w:cs="宋体" w:hAnsi="宋体" w:hint="eastAsia"/>
          <w:color w:val="auto"/>
          <w:sz w:val="24"/>
          <w:szCs w:val="24"/>
          <w:highlight w:val="none"/>
        </w:rPr>
        <w:t>日期：</w:t>
      </w:r>
    </w:p>
    <w:p>
      <w:pPr>
        <w:pStyle w:val="style0"/>
        <w:autoSpaceDE w:val="false"/>
        <w:autoSpaceDN w:val="false"/>
        <w:adjustRightInd w:val="false"/>
        <w:spacing w:lineRule="auto" w:line="360"/>
        <w:rPr>
          <w:rFonts w:ascii="宋体" w:cs="宋体" w:hAnsi="宋体"/>
          <w:b/>
          <w:color w:val="auto"/>
          <w:sz w:val="30"/>
          <w:szCs w:val="30"/>
          <w:highlight w:val="none"/>
          <w:lang w:val="zh-CN"/>
        </w:rPr>
      </w:pPr>
    </w:p>
    <w:p>
      <w:pPr>
        <w:pStyle w:val="style0"/>
        <w:autoSpaceDE w:val="false"/>
        <w:autoSpaceDN w:val="false"/>
        <w:adjustRightInd w:val="false"/>
        <w:spacing w:lineRule="auto" w:line="360"/>
        <w:jc w:val="center"/>
        <w:rPr>
          <w:rFonts w:ascii="宋体" w:cs="宋体" w:hAnsi="宋体"/>
          <w:color w:val="auto"/>
          <w:sz w:val="24"/>
          <w:szCs w:val="24"/>
          <w:highlight w:val="none"/>
        </w:rPr>
      </w:pPr>
    </w:p>
    <w:p>
      <w:pPr>
        <w:pStyle w:val="style0"/>
        <w:autoSpaceDE w:val="false"/>
        <w:autoSpaceDN w:val="false"/>
        <w:adjustRightInd w:val="false"/>
        <w:spacing w:lineRule="auto" w:line="360"/>
        <w:jc w:val="center"/>
        <w:rPr>
          <w:rFonts w:ascii="宋体" w:cs="宋体" w:hAnsi="宋体"/>
          <w:color w:val="auto"/>
          <w:sz w:val="24"/>
          <w:szCs w:val="24"/>
          <w:highlight w:val="none"/>
        </w:rPr>
      </w:pPr>
    </w:p>
    <w:p>
      <w:pPr>
        <w:pStyle w:val="style0"/>
        <w:spacing w:lineRule="auto" w:line="240"/>
        <w:ind w:firstLine="450" w:firstLineChars="250"/>
        <w:rPr>
          <w:rFonts w:ascii="宋体" w:cs="宋体" w:hAnsi="宋体"/>
          <w:color w:val="auto"/>
          <w:sz w:val="18"/>
          <w:szCs w:val="18"/>
          <w:highlight w:val="none"/>
        </w:rPr>
      </w:pPr>
      <w:r>
        <w:rPr>
          <w:rFonts w:ascii="宋体" w:cs="宋体" w:hAnsi="宋体" w:hint="eastAsia"/>
          <w:color w:val="auto"/>
          <w:sz w:val="18"/>
          <w:szCs w:val="18"/>
          <w:highlight w:val="none"/>
        </w:rPr>
        <w:t>注：1、按政策规定：符合条件的残疾人福利性单位视同小型、微型企业。残疾人福利性单位属于小型、微型企业的，不重复享受政策。</w:t>
      </w:r>
    </w:p>
    <w:p>
      <w:pPr>
        <w:pStyle w:val="style0"/>
        <w:spacing w:lineRule="auto" w:line="240"/>
        <w:ind w:firstLine="450" w:firstLineChars="250"/>
        <w:rPr>
          <w:rFonts w:ascii="宋体" w:cs="宋体" w:hAnsi="宋体"/>
          <w:color w:val="auto"/>
          <w:sz w:val="18"/>
          <w:szCs w:val="18"/>
          <w:highlight w:val="none"/>
        </w:rPr>
      </w:pPr>
      <w:r>
        <w:rPr>
          <w:rFonts w:ascii="宋体" w:cs="宋体" w:hAnsi="宋体" w:hint="eastAsia"/>
          <w:color w:val="auto"/>
          <w:sz w:val="18"/>
          <w:szCs w:val="18"/>
          <w:highlight w:val="none"/>
        </w:rPr>
        <w:t>2、</w:t>
      </w:r>
      <w:r>
        <w:rPr>
          <w:rFonts w:ascii="宋体" w:cs="宋体" w:hAnsi="宋体" w:hint="eastAsia"/>
          <w:b/>
          <w:color w:val="auto"/>
          <w:sz w:val="18"/>
          <w:szCs w:val="18"/>
          <w:highlight w:val="none"/>
          <w:vertAlign w:val="superscript"/>
        </w:rPr>
        <w:t>*</w:t>
      </w:r>
      <w:r>
        <w:rPr>
          <w:rFonts w:ascii="宋体" w:cs="宋体" w:hAnsi="宋体" w:hint="eastAsia"/>
          <w:color w:val="auto"/>
          <w:sz w:val="18"/>
          <w:szCs w:val="18"/>
          <w:highlight w:val="none"/>
        </w:rPr>
        <w:t>本格式由符合促进残疾人就业政府采购政策条件的残疾人福利性单位填写，非残疾人福利性单位无需填写。本项目（专门面向中小企业采购）中，残疾人福利性单位属于中型企业、小型、微型企业的，可只填写“ 中小企业声明函”，不再填写“残疾人福利性单位声明函”。</w:t>
      </w:r>
    </w:p>
    <w:p>
      <w:pPr>
        <w:pStyle w:val="style0"/>
        <w:spacing w:lineRule="auto" w:line="240"/>
        <w:ind w:firstLine="450" w:firstLineChars="250"/>
        <w:rPr>
          <w:rFonts w:ascii="宋体" w:cs="宋体" w:hAnsi="宋体"/>
          <w:color w:val="auto"/>
          <w:sz w:val="18"/>
          <w:szCs w:val="18"/>
          <w:highlight w:val="none"/>
          <w:lang w:val="zh-CN"/>
        </w:rPr>
      </w:pPr>
      <w:r>
        <w:rPr>
          <w:rFonts w:ascii="宋体" w:cs="宋体" w:hAnsi="宋体" w:hint="eastAsia"/>
          <w:color w:val="auto"/>
          <w:sz w:val="18"/>
          <w:szCs w:val="18"/>
          <w:highlight w:val="none"/>
        </w:rPr>
        <w:t>3、残疾人福利性单位填写“残疾人福利性单位声明函”后，仍需同时填写“中小企业声明函”、可在“中小企业声明函”注明“属于符合条件的残疾人福利性单位、视同小型、微型企业”。</w:t>
      </w:r>
    </w:p>
    <w:sectPr>
      <w:footerReference w:type="default" r:id="rId11"/>
      <w:footerReference w:type="first" r:id="rId12"/>
      <w:pgSz w:w="11905" w:h="16837" w:orient="portrait"/>
      <w:pgMar w:top="1417" w:right="1417" w:bottom="1417" w:left="1418" w:header="850" w:footer="964" w:gutter="0"/>
      <w:pgBorders w:zOrder="front" w:display="allPages" w:offsetFrom="text">
        <w:top w:val="none" w:sz="0" w:space="0" w:color="auto"/>
        <w:left w:val="none" w:sz="0" w:space="0" w:color="auto"/>
        <w:bottom w:val="none" w:sz="0" w:space="0" w:color="auto"/>
        <w:right w:val="none" w:sz="0" w:space="0" w:color="auto"/>
      </w:pgBorders>
      <w:pgNumType w:start="3"/>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1"/>
    <w:family w:val="swiss"/>
    <w:pitch w:val="default"/>
    <w:sig w:usb0="E0002AFF" w:usb1="C0007841" w:usb2="00000009" w:usb3="00000000" w:csb0="400001FF" w:csb1="FFFF0000"/>
  </w:font>
  <w:font w:name="宋体">
    <w:altName w:val="宋体"/>
    <w:panose1 w:val="02010600030001010101"/>
    <w:charset w:val="7a"/>
    <w:family w:val="auto"/>
    <w:pitch w:val="default"/>
    <w:sig w:usb0="00000003" w:usb1="288F0000" w:usb2="00000006" w:usb3="00000000" w:csb0="00040001" w:csb1="00000000"/>
  </w:font>
  <w:font w:name="Wingdings">
    <w:altName w:val="Wingdings"/>
    <w:panose1 w:val="05000000000000000000"/>
    <w:charset w:val="02"/>
    <w:family w:val="auto"/>
    <w:pitch w:val="default"/>
    <w:sig w:usb0="00000000" w:usb1="00000000" w:usb2="00000000" w:usb3="00000000" w:csb0="80000000" w:csb1="00000000"/>
  </w:font>
  <w:font w:name="Arial">
    <w:altName w:val="Arial"/>
    <w:panose1 w:val="020b0604020002020204"/>
    <w:charset w:val="01"/>
    <w:family w:val="swiss"/>
    <w:pitch w:val="default"/>
    <w:sig w:usb0="E0002AFF" w:usb1="C0007843" w:usb2="00000009" w:usb3="00000000" w:csb0="400001FF" w:csb1="FFFF0000"/>
  </w:font>
  <w:font w:name="黑体">
    <w:altName w:val="黑体"/>
    <w:panose1 w:val="02010609060001010101"/>
    <w:charset w:val="86"/>
    <w:family w:val="auto"/>
    <w:pitch w:val="default"/>
    <w:sig w:usb0="800002BF" w:usb1="38CF7CFA" w:usb2="00000016" w:usb3="00000000" w:csb0="00040001" w:csb1="00000000"/>
  </w:font>
  <w:font w:name="Courier New">
    <w:altName w:val="Courier New"/>
    <w:panose1 w:val="02070309020002020404"/>
    <w:charset w:val="01"/>
    <w:family w:val="modern"/>
    <w:pitch w:val="default"/>
    <w:sig w:usb0="E0002AFF" w:usb1="C0007843" w:usb2="00000009" w:usb3="00000000" w:csb0="400001FF" w:csb1="FFFF0000"/>
  </w:font>
  <w:font w:name="Symbol">
    <w:altName w:val="Symbol"/>
    <w:panose1 w:val="05050102010007020507"/>
    <w:charset w:val="02"/>
    <w:family w:val="roman"/>
    <w:pitch w:val="default"/>
    <w:sig w:usb0="00000000" w:usb1="00000000" w:usb2="00000000" w:usb3="00000000" w:csb0="80000000" w:csb1="00000000"/>
  </w:font>
  <w:font w:name="Calibri">
    <w:altName w:val="Calibri"/>
    <w:panose1 w:val="020f0502020002030204"/>
    <w:charset w:val="00"/>
    <w:family w:val="swiss"/>
    <w:pitch w:val="default"/>
    <w:sig w:usb0="E00002FF" w:usb1="4000ACFF" w:usb2="00000001" w:usb3="00000000" w:csb0="2000019F" w:csb1="00000000"/>
  </w:font>
  <w:font w:name="仿宋_GB2312">
    <w:altName w:val="仿宋"/>
    <w:panose1 w:val="02010609030001010101"/>
    <w:charset w:val="86"/>
    <w:family w:val="modern"/>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Tahoma">
    <w:altName w:val="Tahoma"/>
    <w:panose1 w:val="020b0604030005040204"/>
    <w:charset w:val="00"/>
    <w:family w:val="swiss"/>
    <w:pitch w:val="default"/>
    <w:sig w:usb0="E1002EFF" w:usb1="C000605B" w:usb2="00000029" w:usb3="00000000" w:csb0="200101FF" w:csb1="20280000"/>
  </w:font>
  <w:font w:name="Cambria">
    <w:altName w:val="Cambria"/>
    <w:panose1 w:val="02040503050004030204"/>
    <w:charset w:val="00"/>
    <w:family w:val="roman"/>
    <w:pitch w:val="default"/>
    <w:sig w:usb0="E00002FF" w:usb1="400004FF" w:usb2="00000000" w:usb3="00000000" w:csb0="2000019F" w:csb1="00000000"/>
  </w:font>
  <w:font w:name="MingLiU">
    <w:altName w:val="MingLiU"/>
    <w:panose1 w:val="02020509000000000000"/>
    <w:charset w:val="88"/>
    <w:family w:val="modern"/>
    <w:pitch w:val="default"/>
    <w:sig w:usb0="A00002FF" w:usb1="28CFFCFA" w:usb2="00000016" w:usb3="00000000" w:csb0="00100001" w:csb1="00000000"/>
  </w:font>
  <w:font w:name="楷体_GB2312">
    <w:altName w:val="楷体"/>
    <w:panose1 w:val="02010609030001010101"/>
    <w:charset w:val="86"/>
    <w:family w:val="modern"/>
    <w:pitch w:val="default"/>
    <w:sig w:usb0="00000000" w:usb1="00000000" w:usb2="00000000" w:usb3="00000000" w:csb0="00040000" w:csb1="00000000"/>
  </w:font>
  <w:font w:name="仿宋">
    <w:altName w:val="仿宋"/>
    <w:panose1 w:val="02010609060001010101"/>
    <w:charset w:val="86"/>
    <w:family w:val="modern"/>
    <w:pitch w:val="default"/>
    <w:sig w:usb0="800002BF" w:usb1="38CF7CFA" w:usb2="00000016" w:usb3="00000000" w:csb0="00040001" w:csb1="00000000"/>
  </w:font>
  <w:font w:name="Segoe Print">
    <w:altName w:val="Segoe Print"/>
    <w:panose1 w:val="02000600000000000000"/>
    <w:charset w:val="00"/>
    <w:family w:val="auto"/>
    <w:pitch w:val="default"/>
    <w:sig w:usb0="0000028F" w:usb1="00000000" w:usb2="00000000" w:usb3="00000000" w:csb0="2000009F" w:csb1="47010000"/>
  </w:font>
  <w:font w:name="楷体">
    <w:altName w:val="楷体"/>
    <w:panose1 w:val="02010609060001010101"/>
    <w:charset w:val="86"/>
    <w:family w:val="auto"/>
    <w:pitch w:val="default"/>
    <w:sig w:usb0="800002BF" w:usb1="38CF7CFA" w:usb2="00000016" w:usb3="00000000" w:csb0="00040001" w:csb1="00000000"/>
  </w:font>
</w:fonts>
</file>

<file path=word/footer3.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rPr/>
    </w:pPr>
  </w:p>
</w:ftr>
</file>

<file path=word/footer4.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widowControl w:val="false"/>
      <w:snapToGrid w:val="false"/>
      <w:spacing w:lineRule="atLeast" w:line="240"/>
      <w:ind w:right="21"/>
      <w:jc w:val="left"/>
      <w:rPr>
        <w:rFonts w:ascii="宋体" w:hAnsi="宋体"/>
        <w:szCs w:val="21"/>
        <w:u w:val="single"/>
      </w:rPr>
    </w:pPr>
    <w:r>
      <w:rPr>
        <w:rFonts w:ascii="宋体" w:hAnsi="宋体"/>
      </w:rPr>
      <mc:AlternateContent>
        <mc:Choice Requires="wps">
          <w:drawing>
            <wp:anchor distT="0" distB="0" distL="0" distR="0" simplePos="false" relativeHeight="3" behindDoc="true" locked="false" layoutInCell="false" allowOverlap="true">
              <wp:simplePos x="0" y="0"/>
              <wp:positionH relativeFrom="page">
                <wp:posOffset>899794</wp:posOffset>
              </wp:positionH>
              <wp:positionV relativeFrom="page">
                <wp:posOffset>10151745</wp:posOffset>
              </wp:positionV>
              <wp:extent cx="5759449" cy="179705"/>
              <wp:effectExtent l="0" t="0" r="0" b="0"/>
              <wp:wrapNone/>
              <wp:docPr id="4098" name="文本框 1026"/>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5759449" cy="179705"/>
                      </a:xfrm>
                      <a:prstGeom prst="rect"/>
                      <a:ln>
                        <a:noFill/>
                      </a:ln>
                    </wps:spPr>
                    <wps:bodyPr>
                      <a:prstTxWarp prst="textNoShape"/>
                    </wps:bodyPr>
                  </wps:wsp>
                </a:graphicData>
              </a:graphic>
            </wp:anchor>
          </w:drawing>
        </mc:Choice>
        <mc:Fallback>
          <w:pict>
            <v:rect id="4098" filled="f" stroked="f" style="position:absolute;margin-left:70.85pt;margin-top:799.35pt;width:453.5pt;height:14.15pt;z-index:-2147483644;mso-position-horizontal-relative:page;mso-position-vertical-relative:page;mso-width-relative:page;mso-height-relative:page;mso-wrap-distance-left:0.0pt;mso-wrap-distance-right:0.0pt;visibility:visible;" o:allowincell="false">
              <v:stroke on="f"/>
              <v:fill/>
            </v:rect>
          </w:pict>
        </mc:Fallback>
      </mc:AlternateContent>
    </w:r>
  </w:p>
</w:ftr>
</file>

<file path=word/footer6.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ind w:right="360"/>
      <w:rPr/>
    </w:pPr>
  </w:p>
</w:ftr>
</file>

<file path=word/footer9.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pBdr>
        <w:left w:val="none" w:sz="0" w:space="4" w:color="auto"/>
        <w:right w:val="none" w:sz="0" w:space="4" w:color="auto"/>
        <w:top w:val="single" w:sz="4" w:space="1" w:color="auto"/>
        <w:bottom w:val="none" w:sz="0" w:space="1" w:color="auto"/>
      </w:pBdr>
      <w:ind w:right="360"/>
      <w:rPr/>
    </w:pPr>
    <w:r>
      <w:rPr/>
      <mc:AlternateContent>
        <mc:Choice Requires="wps">
          <w:drawing>
            <wp:anchor distT="0" distB="0" distL="0" distR="0" simplePos="false" relativeHeight="5" behindDoc="false" locked="false" layoutInCell="true" allowOverlap="true">
              <wp:simplePos x="0" y="0"/>
              <wp:positionH relativeFrom="margin">
                <wp:align>center</wp:align>
              </wp:positionH>
              <wp:positionV relativeFrom="paragraph">
                <wp:posOffset>0</wp:posOffset>
              </wp:positionV>
              <wp:extent cx="1828800" cy="1828800"/>
              <wp:effectExtent l="0" t="0" r="0" b="0"/>
              <wp:wrapNone/>
              <wp:docPr id="4100" name="文本框 6"/>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828800" cy="1828800"/>
                      </a:xfrm>
                      <a:prstGeom prst="rect"/>
                      <a:ln>
                        <a:noFill/>
                      </a:ln>
                    </wps:spPr>
                    <wps:txbx id="4100">
                      <w:txbxContent>
                        <w:p>
                          <w:pPr>
                            <w:pStyle w:val="style32"/>
                            <w:rPr/>
                          </w:pPr>
                          <w:r>
                            <w:rPr/>
                            <w:fldChar w:fldCharType="begin"/>
                          </w:r>
                          <w:r>
                            <w:instrText xml:space="preserve"> PAGE  \* MERGEFORMAT </w:instrText>
                          </w:r>
                          <w:r>
                            <w:rPr/>
                            <w:fldChar w:fldCharType="separate"/>
                          </w:r>
                          <w:r>
                            <w:t>38</w:t>
                          </w:r>
                          <w:r>
                            <w:rPr/>
                            <w:fldChar w:fldCharType="end"/>
                          </w:r>
                        </w:p>
                      </w:txbxContent>
                    </wps:txbx>
                    <wps:bodyPr lIns="0" rIns="0" tIns="0" bIns="0" vert="horz" anchor="t" wrap="none" upright="false">
                      <a:prstTxWarp prst="textNoShape"/>
                      <a:spAutoFit/>
                    </wps:bodyPr>
                  </wps:wsp>
                </a:graphicData>
              </a:graphic>
            </wp:anchor>
          </w:drawing>
        </mc:Choice>
        <mc:Fallback>
          <w:pict>
            <v:rect id="4100" filled="f" stroked="f" style="position:absolute;margin-left:0.0pt;margin-top:0.0pt;width:144.0pt;height:144.0pt;z-index:5;mso-position-horizontal:center;mso-position-horizontal-relative:margin;mso-position-vertical-relative:text;mso-width-relative:page;mso-height-relative:page;mso-wrap-distance-left:0.0pt;mso-wrap-distance-right:0.0pt;visibility:visible;mso-wrap-style:none;">
              <v:stroke on="f" weight="0.5pt"/>
              <v:fill/>
              <v:textbox inset="0.0pt,0.0pt,0.0pt,0.0pt" style="mso-fit-shape-to-text:true;">
                <w:txbxContent>
                  <w:p>
                    <w:pPr>
                      <w:pStyle w:val="style32"/>
                      <w:rPr/>
                    </w:pPr>
                    <w:r>
                      <w:rPr/>
                      <w:fldChar w:fldCharType="begin"/>
                    </w:r>
                    <w:r>
                      <w:instrText xml:space="preserve"> PAGE  \* MERGEFORMAT </w:instrText>
                    </w:r>
                    <w:r>
                      <w:rPr/>
                      <w:fldChar w:fldCharType="separate"/>
                    </w:r>
                    <w:r>
                      <w:t>38</w:t>
                    </w:r>
                    <w:r>
                      <w:rPr/>
                      <w:fldChar w:fldCharType="end"/>
                    </w:r>
                  </w:p>
                </w:txbxContent>
              </v:textbox>
            </v:rect>
          </w:pict>
        </mc:Fallback>
      </mc:AlternateContent>
    </w:r>
  </w:p>
</w:ftr>
</file>

<file path=word/footer10.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widowControl w:val="false"/>
      <w:pBdr>
        <w:left w:val="none" w:sz="0" w:space="4" w:color="auto"/>
        <w:right w:val="none" w:sz="0" w:space="4" w:color="auto"/>
        <w:top w:val="single" w:sz="4" w:space="1" w:color="auto"/>
        <w:bottom w:val="none" w:sz="0" w:space="1" w:color="auto"/>
      </w:pBdr>
      <w:snapToGrid w:val="false"/>
      <w:spacing w:lineRule="atLeast" w:line="240"/>
      <w:ind w:right="21"/>
      <w:jc w:val="left"/>
      <w:rPr>
        <w:rFonts w:ascii="宋体" w:hAnsi="宋体"/>
        <w:szCs w:val="21"/>
        <w:u w:val="single"/>
      </w:rPr>
    </w:pPr>
    <w:r>
      <w:rPr/>
      <mc:AlternateContent>
        <mc:Choice Requires="wps">
          <w:drawing>
            <wp:anchor distT="0" distB="0" distL="0" distR="0" simplePos="false" relativeHeight="8" behindDoc="false" locked="false" layoutInCell="true" allowOverlap="true">
              <wp:simplePos x="0" y="0"/>
              <wp:positionH relativeFrom="margin">
                <wp:align>center</wp:align>
              </wp:positionH>
              <wp:positionV relativeFrom="paragraph">
                <wp:posOffset>0</wp:posOffset>
              </wp:positionV>
              <wp:extent cx="1828800" cy="1828800"/>
              <wp:effectExtent l="0" t="0" r="0" b="0"/>
              <wp:wrapNone/>
              <wp:docPr id="4101" name="文本框 1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828800" cy="1828800"/>
                      </a:xfrm>
                      <a:prstGeom prst="rect"/>
                      <a:ln>
                        <a:noFill/>
                      </a:ln>
                    </wps:spPr>
                    <wps:txbx id="4101">
                      <w:txbxContent>
                        <w:p>
                          <w:pPr>
                            <w:pStyle w:val="style32"/>
                            <w:rPr/>
                          </w:pPr>
                          <w:r>
                            <w:rPr/>
                            <w:fldChar w:fldCharType="begin"/>
                          </w:r>
                          <w:r>
                            <w:instrText xml:space="preserve"> PAGE  \* MERGEFORMAT </w:instrText>
                          </w:r>
                          <w:r>
                            <w:rPr/>
                            <w:fldChar w:fldCharType="separate"/>
                          </w:r>
                          <w:r>
                            <w:t>50</w:t>
                          </w:r>
                          <w:r>
                            <w:rPr/>
                            <w:fldChar w:fldCharType="end"/>
                          </w:r>
                        </w:p>
                      </w:txbxContent>
                    </wps:txbx>
                    <wps:bodyPr lIns="0" rIns="0" tIns="0" bIns="0" vert="horz" anchor="t" wrap="none" upright="false">
                      <a:prstTxWarp prst="textNoShape"/>
                      <a:spAutoFit/>
                    </wps:bodyPr>
                  </wps:wsp>
                </a:graphicData>
              </a:graphic>
            </wp:anchor>
          </w:drawing>
        </mc:Choice>
        <mc:Fallback>
          <w:pict>
            <v:rect id="4101" filled="f" stroked="f" style="position:absolute;margin-left:0.0pt;margin-top:0.0pt;width:144.0pt;height:144.0pt;z-index:8;mso-position-horizontal:center;mso-position-horizontal-relative:margin;mso-position-vertical-relative:text;mso-width-relative:page;mso-height-relative:page;mso-wrap-distance-left:0.0pt;mso-wrap-distance-right:0.0pt;visibility:visible;mso-wrap-style:none;">
              <v:stroke on="f" weight="0.5pt"/>
              <v:fill/>
              <v:textbox inset="0.0pt,0.0pt,0.0pt,0.0pt" style="mso-fit-shape-to-text:true;">
                <w:txbxContent>
                  <w:p>
                    <w:pPr>
                      <w:pStyle w:val="style32"/>
                      <w:rPr/>
                    </w:pPr>
                    <w:r>
                      <w:rPr/>
                      <w:fldChar w:fldCharType="begin"/>
                    </w:r>
                    <w:r>
                      <w:instrText xml:space="preserve"> PAGE  \* MERGEFORMAT </w:instrText>
                    </w:r>
                    <w:r>
                      <w:rPr/>
                      <w:fldChar w:fldCharType="separate"/>
                    </w:r>
                    <w:r>
                      <w:t>50</w:t>
                    </w:r>
                    <w:r>
                      <w:rPr/>
                      <w:fldChar w:fldCharType="end"/>
                    </w:r>
                  </w:p>
                </w:txbxContent>
              </v:textbox>
            </v:rect>
          </w:pict>
        </mc:Fallback>
      </mc:AlternateContent>
    </w:r>
    <w:r>
      <w:rPr>
        <w:rFonts w:ascii="宋体" w:hAnsi="宋体"/>
      </w:rPr>
      <mc:AlternateContent>
        <mc:Choice Requires="wps">
          <w:drawing>
            <wp:anchor distT="0" distB="0" distL="0" distR="0" simplePos="false" relativeHeight="6" behindDoc="true" locked="false" layoutInCell="false" allowOverlap="true">
              <wp:simplePos x="0" y="0"/>
              <wp:positionH relativeFrom="page">
                <wp:posOffset>899794</wp:posOffset>
              </wp:positionH>
              <wp:positionV relativeFrom="page">
                <wp:posOffset>10151745</wp:posOffset>
              </wp:positionV>
              <wp:extent cx="5759449" cy="179705"/>
              <wp:effectExtent l="0" t="0" r="0" b="0"/>
              <wp:wrapNone/>
              <wp:docPr id="4102" name="文本框 1026"/>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5759449" cy="179705"/>
                      </a:xfrm>
                      <a:prstGeom prst="rect"/>
                      <a:ln>
                        <a:noFill/>
                      </a:ln>
                    </wps:spPr>
                    <wps:bodyPr>
                      <a:prstTxWarp prst="textNoShape"/>
                    </wps:bodyPr>
                  </wps:wsp>
                </a:graphicData>
              </a:graphic>
            </wp:anchor>
          </w:drawing>
        </mc:Choice>
        <mc:Fallback>
          <w:pict>
            <v:rect id="4102" filled="f" stroked="f" style="position:absolute;margin-left:70.85pt;margin-top:799.35pt;width:453.5pt;height:14.15pt;z-index:-2147483641;mso-position-horizontal-relative:page;mso-position-vertical-relative:page;mso-width-relative:page;mso-height-relative:page;mso-wrap-distance-left:0.0pt;mso-wrap-distance-right:0.0pt;visibility:visible;" o:allowincell="false">
              <v:stroke on="f"/>
              <v:fill/>
            </v:rect>
          </w:pict>
        </mc:Fallback>
      </mc:AlternateContent>
    </w:r>
  </w:p>
</w:ftr>
</file>

<file path=word/footer1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pBdr>
        <w:left w:val="none" w:sz="0" w:space="4" w:color="auto"/>
        <w:right w:val="none" w:sz="0" w:space="4" w:color="auto"/>
        <w:top w:val="single" w:sz="4" w:space="1" w:color="auto"/>
        <w:bottom w:val="none" w:sz="0" w:space="1" w:color="auto"/>
      </w:pBdr>
      <w:ind w:right="360"/>
      <w:rPr/>
    </w:pPr>
    <w:r>
      <w:rPr/>
      <mc:AlternateContent>
        <mc:Choice Requires="wps">
          <w:drawing>
            <wp:anchor distT="0" distB="0" distL="0" distR="0" simplePos="false" relativeHeight="7" behindDoc="false" locked="false" layoutInCell="true" allowOverlap="true">
              <wp:simplePos x="0" y="0"/>
              <wp:positionH relativeFrom="margin">
                <wp:align>center</wp:align>
              </wp:positionH>
              <wp:positionV relativeFrom="paragraph">
                <wp:posOffset>0</wp:posOffset>
              </wp:positionV>
              <wp:extent cx="1828800" cy="1828800"/>
              <wp:effectExtent l="0" t="0" r="0" b="0"/>
              <wp:wrapNone/>
              <wp:docPr id="4103" name="文本框 1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828800" cy="1828800"/>
                      </a:xfrm>
                      <a:prstGeom prst="rect"/>
                      <a:ln>
                        <a:noFill/>
                      </a:ln>
                    </wps:spPr>
                    <wps:txbx id="4103">
                      <w:txbxContent>
                        <w:p>
                          <w:pPr>
                            <w:pStyle w:val="style32"/>
                            <w:rPr/>
                          </w:pPr>
                          <w:r>
                            <w:rPr/>
                            <w:fldChar w:fldCharType="begin"/>
                          </w:r>
                          <w:r>
                            <w:instrText xml:space="preserve"> PAGE  \* MERGEFORMAT </w:instrText>
                          </w:r>
                          <w:r>
                            <w:rPr/>
                            <w:fldChar w:fldCharType="separate"/>
                          </w:r>
                          <w:r>
                            <w:t>3</w:t>
                          </w:r>
                          <w:r>
                            <w:rPr/>
                            <w:fldChar w:fldCharType="end"/>
                          </w:r>
                        </w:p>
                      </w:txbxContent>
                    </wps:txbx>
                    <wps:bodyPr lIns="0" rIns="0" tIns="0" bIns="0" vert="horz" anchor="t" wrap="none" upright="false">
                      <a:prstTxWarp prst="textNoShape"/>
                      <a:spAutoFit/>
                    </wps:bodyPr>
                  </wps:wsp>
                </a:graphicData>
              </a:graphic>
            </wp:anchor>
          </w:drawing>
        </mc:Choice>
        <mc:Fallback>
          <w:pict>
            <v:rect id="4103" filled="f" stroked="f" style="position:absolute;margin-left:0.0pt;margin-top:0.0pt;width:144.0pt;height:144.0pt;z-index:7;mso-position-horizontal:center;mso-position-horizontal-relative:margin;mso-position-vertical-relative:text;mso-width-relative:page;mso-height-relative:page;mso-wrap-distance-left:0.0pt;mso-wrap-distance-right:0.0pt;visibility:visible;mso-wrap-style:none;">
              <v:stroke on="f" weight="0.5pt"/>
              <v:fill/>
              <v:textbox inset="0.0pt,0.0pt,0.0pt,0.0pt" style="mso-fit-shape-to-text:true;">
                <w:txbxContent>
                  <w:p>
                    <w:pPr>
                      <w:pStyle w:val="style32"/>
                      <w:rPr/>
                    </w:pPr>
                    <w:r>
                      <w:rPr/>
                      <w:fldChar w:fldCharType="begin"/>
                    </w:r>
                    <w:r>
                      <w:instrText xml:space="preserve"> PAGE  \* MERGEFORMAT </w:instrText>
                    </w:r>
                    <w:r>
                      <w:rPr/>
                      <w:fldChar w:fldCharType="separate"/>
                    </w:r>
                    <w:r>
                      <w:t>3</w:t>
                    </w:r>
                    <w:r>
                      <w:rPr/>
                      <w:fldChar w:fldCharType="end"/>
                    </w:r>
                  </w:p>
                </w:txbxContent>
              </v:textbox>
            </v:rect>
          </w:pict>
        </mc:Fallback>
      </mc:AlternateContent>
    </w: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rPr/>
    </w:pPr>
  </w:p>
</w:hdr>
</file>

<file path=word/header2.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widowControl w:val="false"/>
      <w:snapToGrid w:val="false"/>
      <w:spacing w:lineRule="auto" w:line="240"/>
      <w:ind w:firstLine="145" w:firstLineChars="50"/>
      <w:jc w:val="right"/>
      <w:rPr>
        <w:rFonts w:ascii="宋体" w:hAnsi="宋体"/>
        <w:szCs w:val="21"/>
      </w:rPr>
    </w:pPr>
    <w:r>
      <w:rPr>
        <w:rFonts w:ascii="黑体" w:eastAsia="黑体" w:hint="eastAsia"/>
        <w:b/>
        <w:color w:val="auto"/>
        <w:spacing w:val="40"/>
        <w:szCs w:val="21"/>
        <w:lang w:eastAsia="zh-CN"/>
      </w:rPr>
      <w:t>安阳市肿瘤医院</w:t>
    </w:r>
    <w:r>
      <w:rPr>
        <w:rFonts w:ascii="黑体" w:eastAsia="黑体" w:hint="eastAsia"/>
        <w:b/>
        <w:color w:val="auto"/>
        <w:spacing w:val="40"/>
        <w:szCs w:val="21"/>
      </w:rPr>
      <w:t>窨井盖智能模块采购项竞争性磋商文件</w:t>
    </w:r>
    <w:r>
      <w:rPr>
        <w:rFonts w:ascii="宋体" w:hAnsi="宋体"/>
      </w:rPr>
      <mc:AlternateContent>
        <mc:Choice Requires="wps">
          <w:drawing>
            <wp:anchor distT="0" distB="0" distL="0" distR="0" simplePos="false" relativeHeight="2" behindDoc="true" locked="false" layoutInCell="false" allowOverlap="true">
              <wp:simplePos x="0" y="0"/>
              <wp:positionH relativeFrom="page">
                <wp:posOffset>899794</wp:posOffset>
              </wp:positionH>
              <wp:positionV relativeFrom="page">
                <wp:posOffset>359410</wp:posOffset>
              </wp:positionV>
              <wp:extent cx="5759449" cy="179704"/>
              <wp:effectExtent l="0" t="0" r="0" b="0"/>
              <wp:wrapNone/>
              <wp:docPr id="4097" name="Text Box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5759449" cy="179704"/>
                      </a:xfrm>
                      <a:prstGeom prst="rect"/>
                      <a:ln>
                        <a:noFill/>
                      </a:ln>
                    </wps:spPr>
                    <wps:bodyPr>
                      <a:prstTxWarp prst="textNoShape"/>
                    </wps:bodyPr>
                  </wps:wsp>
                </a:graphicData>
              </a:graphic>
            </wp:anchor>
          </w:drawing>
        </mc:Choice>
        <mc:Fallback>
          <w:pict>
            <v:rect id="4097" filled="f" stroked="f" style="position:absolute;margin-left:70.85pt;margin-top:28.3pt;width:453.5pt;height:14.15pt;z-index:-2147483645;mso-position-horizontal-relative:page;mso-position-vertical-relative:page;mso-width-relative:page;mso-height-relative:page;mso-wrap-distance-left:0.0pt;mso-wrap-distance-right:0.0pt;visibility:visible;" o:allowincell="false">
              <v:stroke on="f"/>
              <v:fill/>
            </v:rect>
          </w:pict>
        </mc:Fallback>
      </mc:AlternateContent>
    </w:r>
  </w:p>
</w:hdr>
</file>

<file path=word/header5.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pBdr>
        <w:left w:val="none" w:sz="0" w:space="4" w:color="auto"/>
        <w:right w:val="none" w:sz="0" w:space="4" w:color="auto"/>
        <w:top w:val="none" w:sz="0" w:space="1" w:color="auto"/>
        <w:bottom w:val="none" w:sz="0" w:space="1" w:color="auto"/>
        <w:between w:val="none" w:sz="0" w:space="0" w:color="auto"/>
      </w:pBdr>
      <w:snapToGrid w:val="false"/>
      <w:spacing w:lineRule="atLeast" w:line="240"/>
      <w:jc w:val="center"/>
      <w:textAlignment w:val="baseline"/>
      <w:rPr/>
    </w:pPr>
  </w:p>
</w:hdr>
</file>

<file path=word/header7.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jc w:val="right"/>
      <w:rPr>
        <w:rFonts w:ascii="宋体" w:hAnsi="宋体"/>
        <w:szCs w:val="21"/>
      </w:rPr>
    </w:pPr>
    <w:r>
      <w:rPr>
        <w:rFonts w:hint="eastAsia"/>
        <w:b/>
        <w:bCs/>
        <w:sz w:val="21"/>
        <w:szCs w:val="21"/>
        <w:lang w:eastAsia="zh-CN"/>
      </w:rPr>
      <w:t>安阳市肿瘤医院工程造价咨询、审计机构入围项目</w:t>
    </w:r>
    <w:r>
      <w:rPr>
        <w:rFonts w:hint="eastAsia"/>
        <w:b/>
        <w:bCs/>
        <w:sz w:val="21"/>
        <w:szCs w:val="21"/>
      </w:rPr>
      <w:t>竞争性磋商文件</w:t>
    </w:r>
    <w:r>
      <w:rPr>
        <w:rFonts w:ascii="宋体" w:hAnsi="宋体"/>
      </w:rPr>
      <mc:AlternateContent>
        <mc:Choice Requires="wps">
          <w:drawing>
            <wp:anchor distT="0" distB="0" distL="0" distR="0" simplePos="false" relativeHeight="4" behindDoc="true" locked="false" layoutInCell="false" allowOverlap="true">
              <wp:simplePos x="0" y="0"/>
              <wp:positionH relativeFrom="page">
                <wp:posOffset>899794</wp:posOffset>
              </wp:positionH>
              <wp:positionV relativeFrom="page">
                <wp:posOffset>359410</wp:posOffset>
              </wp:positionV>
              <wp:extent cx="5759449" cy="179704"/>
              <wp:effectExtent l="0" t="0" r="0" b="0"/>
              <wp:wrapNone/>
              <wp:docPr id="4099" name="Text Box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5759449" cy="179704"/>
                      </a:xfrm>
                      <a:prstGeom prst="rect"/>
                      <a:ln>
                        <a:noFill/>
                      </a:ln>
                    </wps:spPr>
                    <wps:bodyPr>
                      <a:prstTxWarp prst="textNoShape"/>
                    </wps:bodyPr>
                  </wps:wsp>
                </a:graphicData>
              </a:graphic>
            </wp:anchor>
          </w:drawing>
        </mc:Choice>
        <mc:Fallback>
          <w:pict>
            <v:rect id="4099" filled="f" stroked="f" style="position:absolute;margin-left:70.85pt;margin-top:28.3pt;width:453.5pt;height:14.15pt;z-index:-2147483643;mso-position-horizontal-relative:page;mso-position-vertical-relative:page;mso-width-relative:page;mso-height-relative:page;mso-wrap-distance-left:0.0pt;mso-wrap-distance-right:0.0pt;visibility:visible;" o:allowincell="false">
              <v:stroke on="f"/>
              <v:fill/>
            </v:rect>
          </w:pict>
        </mc:Fallback>
      </mc:AlternateContent>
    </w:r>
  </w:p>
</w:hdr>
</file>

<file path=word/header8.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jc w:val="right"/>
      <w:rPr>
        <w:b/>
        <w:bCs/>
        <w:sz w:val="21"/>
        <w:szCs w:val="21"/>
      </w:rPr>
    </w:pPr>
    <w:r>
      <w:rPr>
        <w:rFonts w:hint="eastAsia"/>
        <w:b/>
        <w:bCs/>
        <w:sz w:val="21"/>
        <w:szCs w:val="21"/>
        <w:lang w:eastAsia="zh-CN"/>
      </w:rPr>
      <w:t>安阳市肿瘤医院工程造价咨询、审计机构入围项目</w:t>
    </w:r>
    <w:r>
      <w:rPr>
        <w:rFonts w:hint="eastAsia"/>
        <w:b/>
        <w:bCs/>
        <w:sz w:val="21"/>
        <w:szCs w:val="21"/>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singleLevel"/>
    <w:tmpl w:val="B3805C1B"/>
    <w:lvl w:ilvl="0">
      <w:start w:val="1"/>
      <w:numFmt w:val="decimal"/>
      <w:suff w:val="space"/>
      <w:lvlText w:val="%1."/>
      <w:lvlJc w:val="left"/>
      <w:pPr/>
    </w:lvl>
  </w:abstractNum>
  <w:abstractNum w:abstractNumId="1">
    <w:nsid w:val="00000001"/>
    <w:multiLevelType w:val="singleLevel"/>
    <w:tmpl w:val="DABE462E"/>
    <w:lvl w:ilvl="0">
      <w:start w:val="1"/>
      <w:numFmt w:val="decimal"/>
      <w:suff w:val="nothing"/>
      <w:lvlText w:val="%1、"/>
      <w:lvlJc w:val="left"/>
      <w:pPr/>
    </w:lvl>
  </w:abstractNum>
  <w:abstractNum w:abstractNumId="2">
    <w:nsid w:val="00000002"/>
    <w:multiLevelType w:val="singleLevel"/>
    <w:tmpl w:val="76C8DC72"/>
    <w:lvl w:ilvl="0">
      <w:start w:val="1"/>
      <w:numFmt w:val="decimal"/>
      <w:suff w:val="nothing"/>
      <w:lvlText w:val="%1、"/>
      <w:lvlJc w:val="left"/>
      <w:pPr/>
    </w:lvl>
  </w:abstractNum>
  <w:num w:numId="1">
    <w:abstractNumId w:val="1"/>
  </w:num>
  <w:num w:numId="2">
    <w:abstractNumId w:val="2"/>
  </w:num>
  <w:num w:numId="3">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10"/>
  <w:hideSpellingErrors/>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420"/>
  <w:drawingGridVerticalSpacing w:val="156"/>
  <w:displayHorizontalDrawingGridEvery w:val="1"/>
  <w:displayVerticalDrawingGridEvery w:val="1"/>
  <w:noPunctuationKerning/>
  <w:characterSpacingControl w:val="compressPunctuation"/>
  <w:noLineBreaksAfter w:lang="zh-CN" w:val="$([{£¥·‘“〈《「『【〔〖〝﹙﹛﹝＄（．［｛￡￥"/>
  <w:noLineBreaksBefore w:lang="zh-CN" w:val="!%),.:;&gt;?]}¢¨°·ˇˉ―‖’”…‰′″›℃∶、。〃〉》」』】〕〗〞︶︺︾﹀﹄﹚﹜﹞！＂％＇），．：；？］｀｜｝～￠"/>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宋体" w:hAnsi="Times New Roman"/>
      </w:rPr>
    </w:rPrDefault>
    <w:pPrDefault>
      <w:pPr/>
    </w:pPrDefault>
  </w:docDefaults>
  <w:style w:type="paragraph" w:default="1" w:styleId="style0">
    <w:name w:val="Normal"/>
    <w:next w:val="style50"/>
    <w:qFormat/>
    <w:uiPriority w:val="0"/>
    <w:pPr>
      <w:spacing w:lineRule="atLeast" w:line="357"/>
      <w:jc w:val="both"/>
      <w:textAlignment w:val="baseline"/>
    </w:pPr>
    <w:rPr>
      <w:rFonts w:ascii="Times New Roman" w:cs="Times New Roman" w:eastAsia="宋体" w:hAnsi="Times New Roman"/>
      <w:color w:val="000000"/>
      <w:sz w:val="21"/>
      <w:u w:color="000000"/>
      <w:lang w:val="en-US" w:bidi="ar-SA" w:eastAsia="zh-CN"/>
    </w:rPr>
  </w:style>
  <w:style w:type="paragraph" w:styleId="style1">
    <w:name w:val="heading 1"/>
    <w:basedOn w:val="style0"/>
    <w:next w:val="style0"/>
    <w:link w:val="style4100"/>
    <w:qFormat/>
    <w:uiPriority w:val="99"/>
    <w:pPr>
      <w:keepNext/>
      <w:keepLines/>
      <w:widowControl w:val="false"/>
      <w:spacing w:before="340" w:after="330" w:lineRule="auto" w:line="576"/>
      <w:textAlignment w:val="auto"/>
      <w:outlineLvl w:val="0"/>
    </w:pPr>
    <w:rPr>
      <w:b/>
      <w:bCs/>
      <w:kern w:val="44"/>
      <w:sz w:val="44"/>
      <w:szCs w:val="44"/>
    </w:rPr>
  </w:style>
  <w:style w:type="paragraph" w:styleId="style3">
    <w:name w:val="heading 3"/>
    <w:basedOn w:val="style0"/>
    <w:next w:val="style0"/>
    <w:link w:val="style4101"/>
    <w:qFormat/>
    <w:uiPriority w:val="99"/>
    <w:pPr>
      <w:keepNext/>
      <w:keepLines/>
      <w:spacing w:before="260" w:after="260" w:lineRule="atLeast" w:line="416"/>
      <w:outlineLvl w:val="2"/>
    </w:pPr>
    <w:rPr>
      <w:b/>
      <w:bCs/>
      <w:sz w:val="32"/>
      <w:szCs w:val="32"/>
    </w:rPr>
  </w:style>
  <w:style w:type="character" w:default="1" w:styleId="style65">
    <w:name w:val="Default Paragraph Font"/>
    <w:next w:val="style65"/>
    <w:qFormat/>
    <w:uiPriority w:val="1"/>
  </w:style>
  <w:style w:type="table" w:default="1" w:styleId="style105">
    <w:name w:val="Normal Table"/>
    <w:next w:val="style105"/>
    <w:qFormat/>
    <w:uiPriority w:val="99"/>
    <w:pPr/>
    <w:rPr/>
    <w:tblPr>
      <w:tblCellMar>
        <w:top w:w="0" w:type="dxa"/>
        <w:left w:w="108" w:type="dxa"/>
        <w:bottom w:w="0" w:type="dxa"/>
        <w:right w:w="108" w:type="dxa"/>
      </w:tblCellMar>
    </w:tblPr>
    <w:tcPr>
      <w:tcBorders/>
    </w:tcPr>
  </w:style>
  <w:style w:type="paragraph" w:styleId="style50">
    <w:name w:val="List 2"/>
    <w:basedOn w:val="style0"/>
    <w:next w:val="style50"/>
    <w:qFormat/>
    <w:uiPriority w:val="0"/>
    <w:pPr>
      <w:topLinePunct/>
      <w:adjustRightInd w:val="false"/>
      <w:spacing w:lineRule="atLeast" w:line="312"/>
      <w:ind w:left="840" w:hanging="420"/>
      <w:textAlignment w:val="baseline"/>
    </w:pPr>
    <w:rPr>
      <w:kern w:val="0"/>
      <w:szCs w:val="20"/>
    </w:rPr>
  </w:style>
  <w:style w:type="paragraph" w:styleId="style66">
    <w:name w:val="Body Text"/>
    <w:basedOn w:val="style0"/>
    <w:next w:val="style0"/>
    <w:link w:val="style4137"/>
    <w:qFormat/>
    <w:uiPriority w:val="99"/>
    <w:pPr>
      <w:spacing w:after="120"/>
    </w:pPr>
    <w:rPr/>
  </w:style>
  <w:style w:type="paragraph" w:styleId="style67">
    <w:name w:val="Body Text Indent"/>
    <w:basedOn w:val="style0"/>
    <w:next w:val="style37"/>
    <w:link w:val="style4102"/>
    <w:qFormat/>
    <w:uiPriority w:val="99"/>
    <w:pPr>
      <w:widowControl w:val="false"/>
      <w:snapToGrid w:val="false"/>
      <w:spacing w:before="283" w:lineRule="exact" w:line="560"/>
      <w:ind w:firstLine="510"/>
    </w:pPr>
    <w:rPr>
      <w:sz w:val="20"/>
    </w:rPr>
  </w:style>
  <w:style w:type="paragraph" w:styleId="style37">
    <w:name w:val="envelope return"/>
    <w:basedOn w:val="style0"/>
    <w:next w:val="style37"/>
    <w:qFormat/>
    <w:uiPriority w:val="0"/>
    <w:pPr>
      <w:snapToGrid w:val="false"/>
    </w:pPr>
    <w:rPr>
      <w:rFonts w:ascii="Arial" w:hAnsi="Arial"/>
    </w:rPr>
  </w:style>
  <w:style w:type="paragraph" w:styleId="style90">
    <w:name w:val="Plain Text"/>
    <w:basedOn w:val="style0"/>
    <w:next w:val="style90"/>
    <w:link w:val="style4103"/>
    <w:qFormat/>
    <w:uiPriority w:val="99"/>
    <w:pPr>
      <w:widowControl w:val="false"/>
      <w:spacing w:lineRule="auto" w:line="240"/>
      <w:textAlignment w:val="auto"/>
    </w:pPr>
    <w:rPr>
      <w:rFonts w:ascii="宋体" w:hAnsi="Courier New"/>
      <w:color w:val="auto"/>
      <w:kern w:val="2"/>
    </w:rPr>
  </w:style>
  <w:style w:type="paragraph" w:styleId="style76">
    <w:name w:val="Date"/>
    <w:basedOn w:val="style0"/>
    <w:next w:val="style0"/>
    <w:link w:val="style4104"/>
    <w:qFormat/>
    <w:uiPriority w:val="99"/>
    <w:pPr>
      <w:ind w:left="100" w:leftChars="2500"/>
    </w:pPr>
    <w:rPr/>
  </w:style>
  <w:style w:type="paragraph" w:styleId="style82">
    <w:name w:val="Body Text Indent 2"/>
    <w:basedOn w:val="style0"/>
    <w:next w:val="style82"/>
    <w:qFormat/>
    <w:uiPriority w:val="0"/>
    <w:pPr>
      <w:spacing w:lineRule="auto" w:line="480"/>
      <w:ind w:firstLine="480" w:firstLineChars="200"/>
    </w:pPr>
    <w:rPr>
      <w:rFonts w:ascii="仿宋_GB2312" w:eastAsia="仿宋_GB2312" w:hAnsi="宋体"/>
      <w:sz w:val="24"/>
      <w:szCs w:val="24"/>
    </w:rPr>
  </w:style>
  <w:style w:type="paragraph" w:styleId="style153">
    <w:name w:val="Balloon Text"/>
    <w:basedOn w:val="style0"/>
    <w:next w:val="style153"/>
    <w:link w:val="style4105"/>
    <w:qFormat/>
    <w:uiPriority w:val="99"/>
    <w:pPr>
      <w:spacing w:lineRule="auto" w:line="240"/>
    </w:pPr>
    <w:rPr>
      <w:sz w:val="18"/>
      <w:szCs w:val="18"/>
    </w:rPr>
  </w:style>
  <w:style w:type="paragraph" w:styleId="style32">
    <w:name w:val="footer"/>
    <w:basedOn w:val="style0"/>
    <w:next w:val="style32"/>
    <w:link w:val="style4106"/>
    <w:qFormat/>
    <w:uiPriority w:val="99"/>
    <w:pPr>
      <w:tabs>
        <w:tab w:val="center" w:leader="none" w:pos="4153"/>
        <w:tab w:val="right" w:leader="none" w:pos="8306"/>
      </w:tabs>
      <w:snapToGrid w:val="false"/>
      <w:spacing w:lineRule="atLeast" w:line="240"/>
      <w:jc w:val="left"/>
    </w:pPr>
    <w:rPr>
      <w:sz w:val="18"/>
      <w:szCs w:val="18"/>
    </w:rPr>
  </w:style>
  <w:style w:type="paragraph" w:styleId="style31">
    <w:name w:val="header"/>
    <w:basedOn w:val="style0"/>
    <w:next w:val="style31"/>
    <w:link w:val="style4107"/>
    <w:qFormat/>
    <w:uiPriority w:val="99"/>
    <w:pPr>
      <w:pBdr>
        <w:bottom w:val="single" w:sz="6" w:space="1" w:color="auto"/>
      </w:pBdr>
      <w:tabs>
        <w:tab w:val="center" w:leader="none" w:pos="4153"/>
        <w:tab w:val="right" w:leader="none" w:pos="8306"/>
      </w:tabs>
      <w:snapToGrid w:val="false"/>
      <w:spacing w:lineRule="atLeast" w:line="240"/>
      <w:jc w:val="center"/>
    </w:pPr>
    <w:rPr>
      <w:sz w:val="18"/>
      <w:szCs w:val="18"/>
    </w:rPr>
  </w:style>
  <w:style w:type="paragraph" w:styleId="style19">
    <w:name w:val="toc 1"/>
    <w:basedOn w:val="style0"/>
    <w:next w:val="style0"/>
    <w:qFormat/>
    <w:uiPriority w:val="39"/>
    <w:pPr/>
  </w:style>
  <w:style w:type="paragraph" w:styleId="style20">
    <w:name w:val="toc 2"/>
    <w:basedOn w:val="style0"/>
    <w:next w:val="style0"/>
    <w:qFormat/>
    <w:uiPriority w:val="39"/>
    <w:pPr>
      <w:ind w:left="420" w:leftChars="200"/>
    </w:pPr>
    <w:rPr/>
  </w:style>
  <w:style w:type="paragraph" w:styleId="style80">
    <w:name w:val="Body Text 2"/>
    <w:basedOn w:val="style0"/>
    <w:next w:val="style66"/>
    <w:link w:val="style4108"/>
    <w:qFormat/>
    <w:uiPriority w:val="99"/>
    <w:pPr>
      <w:spacing w:after="120" w:lineRule="auto" w:line="480"/>
    </w:pPr>
    <w:rPr>
      <w:sz w:val="20"/>
    </w:rPr>
  </w:style>
  <w:style w:type="paragraph" w:styleId="style94">
    <w:name w:val="Normal (Web)"/>
    <w:basedOn w:val="style0"/>
    <w:next w:val="style94"/>
    <w:qFormat/>
    <w:uiPriority w:val="99"/>
    <w:pPr>
      <w:spacing w:before="100" w:beforeAutospacing="true" w:after="100" w:afterAutospacing="true" w:lineRule="auto" w:line="240"/>
      <w:jc w:val="left"/>
      <w:textAlignment w:val="auto"/>
    </w:pPr>
    <w:rPr>
      <w:rFonts w:ascii="宋体" w:cs="宋体" w:hAnsi="宋体"/>
      <w:sz w:val="24"/>
      <w:szCs w:val="24"/>
    </w:rPr>
  </w:style>
  <w:style w:type="paragraph" w:styleId="style77">
    <w:name w:val="Body Text First Indent"/>
    <w:basedOn w:val="style66"/>
    <w:next w:val="style78"/>
    <w:link w:val="style4138"/>
    <w:qFormat/>
    <w:uiPriority w:val="99"/>
    <w:pPr>
      <w:ind w:firstLine="420" w:firstLineChars="100"/>
    </w:pPr>
    <w:rPr/>
  </w:style>
  <w:style w:type="paragraph" w:styleId="style78">
    <w:name w:val="Body Text First Indent 2"/>
    <w:basedOn w:val="style67"/>
    <w:next w:val="style0"/>
    <w:qFormat/>
    <w:uiPriority w:val="0"/>
    <w:pPr>
      <w:tabs>
        <w:tab w:val="left" w:leader="none" w:pos="0"/>
      </w:tabs>
      <w:ind w:firstLine="420"/>
    </w:pPr>
    <w:rPr/>
  </w:style>
  <w:style w:type="table" w:styleId="style154">
    <w:name w:val="Table Grid"/>
    <w:basedOn w:val="style105"/>
    <w:next w:val="style154"/>
    <w:qFormat/>
    <w:uiPriority w:val="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character" w:styleId="style87">
    <w:name w:val="Strong"/>
    <w:next w:val="style87"/>
    <w:qFormat/>
    <w:uiPriority w:val="99"/>
    <w:rPr>
      <w:rFonts w:cs="Times New Roman"/>
      <w:b/>
    </w:rPr>
  </w:style>
  <w:style w:type="character" w:styleId="style41">
    <w:name w:val="page number"/>
    <w:next w:val="style41"/>
    <w:qFormat/>
    <w:uiPriority w:val="99"/>
    <w:rPr>
      <w:rFonts w:cs="Times New Roman"/>
    </w:rPr>
  </w:style>
  <w:style w:type="character" w:styleId="style86">
    <w:name w:val="FollowedHyperlink"/>
    <w:basedOn w:val="style65"/>
    <w:next w:val="style86"/>
    <w:qFormat/>
    <w:uiPriority w:val="99"/>
    <w:rPr>
      <w:color w:val="444444"/>
      <w:sz w:val="21"/>
      <w:szCs w:val="21"/>
      <w:u w:val="none"/>
    </w:rPr>
  </w:style>
  <w:style w:type="character" w:styleId="style88">
    <w:name w:val="Emphasis"/>
    <w:basedOn w:val="style65"/>
    <w:next w:val="style88"/>
    <w:qFormat/>
    <w:uiPriority w:val="20"/>
    <w:rPr>
      <w:i/>
    </w:rPr>
  </w:style>
  <w:style w:type="character" w:styleId="style85">
    <w:name w:val="Hyperlink"/>
    <w:next w:val="style85"/>
    <w:qFormat/>
    <w:uiPriority w:val="99"/>
    <w:rPr>
      <w:rFonts w:cs="Times New Roman"/>
      <w:color w:val="0368a8"/>
      <w:u w:val="none"/>
    </w:rPr>
  </w:style>
  <w:style w:type="character" w:styleId="style98">
    <w:name w:val="HTML Code"/>
    <w:basedOn w:val="style65"/>
    <w:next w:val="style98"/>
    <w:qFormat/>
    <w:uiPriority w:val="99"/>
    <w:rPr>
      <w:rFonts w:ascii="monospace" w:cs="monospace" w:eastAsia="monospace" w:hAnsi="monospace" w:hint="default"/>
      <w:sz w:val="21"/>
      <w:szCs w:val="21"/>
    </w:rPr>
  </w:style>
  <w:style w:type="character" w:styleId="style100">
    <w:name w:val="HTML Keyboard"/>
    <w:basedOn w:val="style65"/>
    <w:next w:val="style100"/>
    <w:qFormat/>
    <w:uiPriority w:val="99"/>
    <w:rPr>
      <w:rFonts w:ascii="monospace" w:cs="monospace" w:eastAsia="monospace" w:hAnsi="monospace"/>
      <w:sz w:val="21"/>
      <w:szCs w:val="21"/>
    </w:rPr>
  </w:style>
  <w:style w:type="character" w:styleId="style102">
    <w:name w:val="HTML Sample"/>
    <w:basedOn w:val="style65"/>
    <w:next w:val="style102"/>
    <w:qFormat/>
    <w:uiPriority w:val="99"/>
    <w:rPr>
      <w:rFonts w:ascii="monospace" w:cs="monospace" w:eastAsia="monospace" w:hAnsi="monospace" w:hint="default"/>
      <w:sz w:val="21"/>
      <w:szCs w:val="21"/>
    </w:rPr>
  </w:style>
  <w:style w:type="paragraph" w:customStyle="1" w:styleId="style4097">
    <w:name w:val="Default"/>
    <w:next w:val="style4097"/>
    <w:qFormat/>
    <w:uiPriority w:val="99"/>
    <w:pPr>
      <w:widowControl w:val="false"/>
      <w:autoSpaceDE w:val="false"/>
      <w:autoSpaceDN w:val="false"/>
      <w:adjustRightInd w:val="false"/>
    </w:pPr>
    <w:rPr>
      <w:rFonts w:ascii="宋体" w:cs="Times New Roman" w:eastAsia="宋体" w:hAnsi="Times New Roman"/>
      <w:color w:val="000000"/>
      <w:sz w:val="24"/>
      <w:lang w:val="en-US" w:bidi="ar-SA" w:eastAsia="zh-CN"/>
    </w:rPr>
  </w:style>
  <w:style w:type="paragraph" w:customStyle="1" w:styleId="style4098">
    <w:name w:val="无间隔1"/>
    <w:next w:val="style4098"/>
    <w:qFormat/>
    <w:uiPriority w:val="0"/>
    <w:pPr>
      <w:widowControl w:val="false"/>
      <w:spacing w:after="200" w:lineRule="auto" w:line="276"/>
      <w:jc w:val="both"/>
    </w:pPr>
    <w:rPr>
      <w:rFonts w:ascii="Calibri" w:cs="Times New Roman" w:eastAsia="宋体" w:hAnsi="Calibri"/>
      <w:kern w:val="2"/>
      <w:sz w:val="21"/>
      <w:szCs w:val="22"/>
      <w:lang w:val="en-US" w:bidi="ar-SA" w:eastAsia="zh-CN"/>
    </w:rPr>
  </w:style>
  <w:style w:type="paragraph" w:customStyle="1" w:styleId="style4099">
    <w:name w:val="首行缩进"/>
    <w:basedOn w:val="style0"/>
    <w:next w:val="style4099"/>
    <w:qFormat/>
    <w:uiPriority w:val="99"/>
    <w:pPr>
      <w:ind w:firstLine="480" w:firstLineChars="200"/>
    </w:pPr>
    <w:rPr/>
  </w:style>
  <w:style w:type="character" w:customStyle="1" w:styleId="style4100">
    <w:name w:val="标题 1 Char"/>
    <w:next w:val="style4100"/>
    <w:link w:val="style1"/>
    <w:qFormat/>
    <w:uiPriority w:val="99"/>
    <w:rPr>
      <w:rFonts w:cs="Times New Roman"/>
      <w:b/>
      <w:color w:val="000000"/>
      <w:kern w:val="44"/>
      <w:sz w:val="44"/>
      <w:u w:val="none" w:color="000000"/>
    </w:rPr>
  </w:style>
  <w:style w:type="character" w:customStyle="1" w:styleId="style4101">
    <w:name w:val="标题 3 Char"/>
    <w:next w:val="style4101"/>
    <w:link w:val="style3"/>
    <w:qFormat/>
    <w:uiPriority w:val="99"/>
    <w:rPr>
      <w:rFonts w:cs="Times New Roman"/>
      <w:b/>
      <w:color w:val="000000"/>
      <w:sz w:val="32"/>
      <w:u w:val="none" w:color="000000"/>
    </w:rPr>
  </w:style>
  <w:style w:type="character" w:customStyle="1" w:styleId="style4102">
    <w:name w:val="正文文本缩进 Char"/>
    <w:next w:val="style4102"/>
    <w:link w:val="style67"/>
    <w:qFormat/>
    <w:uiPriority w:val="99"/>
    <w:rPr>
      <w:rFonts w:cs="Times New Roman"/>
      <w:color w:val="000000"/>
      <w:kern w:val="0"/>
      <w:sz w:val="20"/>
      <w:u w:val="none" w:color="000000"/>
    </w:rPr>
  </w:style>
  <w:style w:type="character" w:customStyle="1" w:styleId="style4103">
    <w:name w:val="纯文本 Char1"/>
    <w:next w:val="style4103"/>
    <w:link w:val="style90"/>
    <w:qFormat/>
    <w:uiPriority w:val="99"/>
    <w:rPr>
      <w:rFonts w:ascii="宋体" w:cs="Times New Roman" w:hAnsi="Courier New"/>
      <w:color w:val="000000"/>
      <w:kern w:val="0"/>
      <w:sz w:val="21"/>
      <w:u w:val="none" w:color="000000"/>
    </w:rPr>
  </w:style>
  <w:style w:type="character" w:customStyle="1" w:styleId="style4104">
    <w:name w:val="日期 Char"/>
    <w:next w:val="style4104"/>
    <w:link w:val="style76"/>
    <w:qFormat/>
    <w:uiPriority w:val="99"/>
    <w:rPr>
      <w:rFonts w:cs="Times New Roman"/>
      <w:color w:val="000000"/>
      <w:sz w:val="21"/>
      <w:u w:val="none" w:color="000000"/>
    </w:rPr>
  </w:style>
  <w:style w:type="character" w:customStyle="1" w:styleId="style4105">
    <w:name w:val="批注框文本 Char"/>
    <w:next w:val="style4105"/>
    <w:link w:val="style153"/>
    <w:qFormat/>
    <w:uiPriority w:val="99"/>
    <w:rPr>
      <w:rFonts w:cs="Times New Roman"/>
      <w:color w:val="000000"/>
      <w:sz w:val="18"/>
      <w:u w:val="none" w:color="000000"/>
    </w:rPr>
  </w:style>
  <w:style w:type="character" w:customStyle="1" w:styleId="style4106">
    <w:name w:val="页脚 Char"/>
    <w:next w:val="style4106"/>
    <w:link w:val="style32"/>
    <w:qFormat/>
    <w:uiPriority w:val="99"/>
    <w:rPr>
      <w:rFonts w:cs="Times New Roman"/>
      <w:color w:val="000000"/>
      <w:kern w:val="0"/>
      <w:sz w:val="18"/>
      <w:u w:val="none" w:color="000000"/>
    </w:rPr>
  </w:style>
  <w:style w:type="character" w:customStyle="1" w:styleId="style4107">
    <w:name w:val="页眉 Char"/>
    <w:next w:val="style4107"/>
    <w:link w:val="style31"/>
    <w:qFormat/>
    <w:uiPriority w:val="99"/>
    <w:rPr>
      <w:rFonts w:cs="Times New Roman"/>
      <w:color w:val="000000"/>
      <w:kern w:val="0"/>
      <w:sz w:val="18"/>
      <w:u w:val="none" w:color="000000"/>
    </w:rPr>
  </w:style>
  <w:style w:type="character" w:customStyle="1" w:styleId="style4108">
    <w:name w:val="正文文本 2 Char"/>
    <w:next w:val="style4108"/>
    <w:link w:val="style80"/>
    <w:qFormat/>
    <w:uiPriority w:val="99"/>
    <w:rPr>
      <w:rFonts w:cs="Times New Roman"/>
      <w:color w:val="000000"/>
      <w:kern w:val="0"/>
      <w:sz w:val="20"/>
      <w:u w:val="none" w:color="000000"/>
    </w:rPr>
  </w:style>
  <w:style w:type="paragraph" w:customStyle="1" w:styleId="style4109">
    <w:name w:val="目录1"/>
    <w:basedOn w:val="style0"/>
    <w:next w:val="style0"/>
    <w:qFormat/>
    <w:uiPriority w:val="99"/>
    <w:pPr>
      <w:tabs>
        <w:tab w:val="left" w:leader="dot" w:pos="8503"/>
      </w:tabs>
      <w:spacing w:after="136" w:lineRule="atLeast" w:line="289"/>
      <w:jc w:val="left"/>
    </w:pPr>
    <w:rPr>
      <w:rFonts w:ascii="Arial" w:eastAsia="黑体"/>
      <w:sz w:val="28"/>
    </w:rPr>
  </w:style>
  <w:style w:type="paragraph" w:customStyle="1" w:styleId="style4110">
    <w:name w:val="章标题"/>
    <w:basedOn w:val="style0"/>
    <w:next w:val="style4111"/>
    <w:qFormat/>
    <w:uiPriority w:val="99"/>
    <w:pPr>
      <w:spacing w:before="158" w:after="153" w:lineRule="atLeast" w:line="323"/>
      <w:jc w:val="center"/>
    </w:pPr>
    <w:rPr>
      <w:rFonts w:ascii="Arial" w:eastAsia="黑体"/>
      <w:sz w:val="31"/>
    </w:rPr>
  </w:style>
  <w:style w:type="paragraph" w:customStyle="1" w:styleId="style4111">
    <w:name w:val="节标题"/>
    <w:basedOn w:val="style0"/>
    <w:next w:val="style4112"/>
    <w:qFormat/>
    <w:uiPriority w:val="99"/>
    <w:pPr>
      <w:spacing w:lineRule="atLeast" w:line="289"/>
      <w:jc w:val="center"/>
    </w:pPr>
    <w:rPr>
      <w:sz w:val="28"/>
    </w:rPr>
  </w:style>
  <w:style w:type="paragraph" w:customStyle="1" w:styleId="style4112">
    <w:name w:val="小节标题"/>
    <w:basedOn w:val="style0"/>
    <w:next w:val="style0"/>
    <w:qFormat/>
    <w:uiPriority w:val="99"/>
    <w:pPr>
      <w:spacing w:before="175" w:after="102" w:lineRule="atLeast" w:line="351"/>
    </w:pPr>
    <w:rPr>
      <w:rFonts w:eastAsia="黑体"/>
    </w:rPr>
  </w:style>
  <w:style w:type="paragraph" w:customStyle="1" w:styleId="style4113">
    <w:name w:val="目录2"/>
    <w:basedOn w:val="style0"/>
    <w:next w:val="style0"/>
    <w:qFormat/>
    <w:uiPriority w:val="99"/>
    <w:pPr>
      <w:tabs>
        <w:tab w:val="left" w:leader="dot" w:pos="8503"/>
      </w:tabs>
      <w:spacing w:lineRule="atLeast" w:line="317"/>
      <w:ind w:firstLine="209"/>
    </w:pPr>
    <w:rPr/>
  </w:style>
  <w:style w:type="paragraph" w:customStyle="1" w:styleId="style4114">
    <w:name w:val="目录4"/>
    <w:basedOn w:val="style0"/>
    <w:next w:val="style0"/>
    <w:qFormat/>
    <w:uiPriority w:val="99"/>
    <w:pPr>
      <w:tabs>
        <w:tab w:val="left" w:leader="dot" w:pos="8503"/>
      </w:tabs>
      <w:spacing w:lineRule="atLeast" w:line="317"/>
      <w:ind w:firstLine="629"/>
    </w:pPr>
    <w:rPr/>
  </w:style>
  <w:style w:type="paragraph" w:customStyle="1" w:styleId="style4115">
    <w:name w:val="1 Char Char Char Char"/>
    <w:basedOn w:val="style0"/>
    <w:next w:val="style4115"/>
    <w:qFormat/>
    <w:uiPriority w:val="99"/>
    <w:pPr>
      <w:widowControl w:val="false"/>
      <w:spacing w:lineRule="auto" w:line="240"/>
      <w:textAlignment w:val="auto"/>
    </w:pPr>
    <w:rPr>
      <w:rFonts w:ascii="Tahoma" w:cs="Tahoma" w:hAnsi="Tahoma"/>
      <w:color w:val="auto"/>
      <w:kern w:val="2"/>
      <w:sz w:val="24"/>
      <w:szCs w:val="24"/>
    </w:rPr>
  </w:style>
  <w:style w:type="paragraph" w:customStyle="1" w:styleId="style4116">
    <w:name w:val="Char Char Char"/>
    <w:basedOn w:val="style0"/>
    <w:next w:val="style4116"/>
    <w:qFormat/>
    <w:uiPriority w:val="99"/>
    <w:pPr>
      <w:widowControl w:val="false"/>
      <w:spacing w:lineRule="auto" w:line="240"/>
      <w:textAlignment w:val="auto"/>
    </w:pPr>
    <w:rPr>
      <w:rFonts w:ascii="Tahoma" w:hAnsi="Tahoma"/>
      <w:color w:val="auto"/>
      <w:kern w:val="2"/>
      <w:sz w:val="24"/>
    </w:rPr>
  </w:style>
  <w:style w:type="paragraph" w:customStyle="1" w:styleId="style4117">
    <w:name w:val="目录3"/>
    <w:basedOn w:val="style0"/>
    <w:next w:val="style0"/>
    <w:qFormat/>
    <w:uiPriority w:val="99"/>
    <w:pPr>
      <w:tabs>
        <w:tab w:val="left" w:leader="dot" w:pos="8503"/>
      </w:tabs>
      <w:spacing w:lineRule="atLeast" w:line="317"/>
      <w:ind w:firstLine="419"/>
    </w:pPr>
    <w:rPr/>
  </w:style>
  <w:style w:type="paragraph" w:customStyle="1" w:styleId="style4118">
    <w:name w:val="目录标题"/>
    <w:basedOn w:val="style0"/>
    <w:next w:val="style0"/>
    <w:qFormat/>
    <w:uiPriority w:val="99"/>
    <w:pPr>
      <w:spacing w:before="566" w:after="544" w:lineRule="atLeast" w:line="566"/>
      <w:ind w:firstLine="419"/>
      <w:jc w:val="center"/>
    </w:pPr>
    <w:rPr>
      <w:rFonts w:ascii="Arial" w:eastAsia="黑体"/>
      <w:spacing w:val="566"/>
      <w:sz w:val="54"/>
    </w:rPr>
  </w:style>
  <w:style w:type="paragraph" w:customStyle="1" w:styleId="style4119">
    <w:name w:val="文章总标题"/>
    <w:basedOn w:val="style0"/>
    <w:next w:val="style4120"/>
    <w:qFormat/>
    <w:uiPriority w:val="99"/>
    <w:pPr>
      <w:spacing w:before="566" w:after="544" w:lineRule="atLeast" w:line="566"/>
      <w:jc w:val="center"/>
    </w:pPr>
    <w:rPr>
      <w:rFonts w:ascii="Arial" w:eastAsia="黑体"/>
      <w:sz w:val="54"/>
    </w:rPr>
  </w:style>
  <w:style w:type="paragraph" w:customStyle="1" w:styleId="style4120">
    <w:name w:val="文章附标题"/>
    <w:basedOn w:val="style0"/>
    <w:next w:val="style4110"/>
    <w:qFormat/>
    <w:uiPriority w:val="99"/>
    <w:pPr>
      <w:spacing w:before="187" w:after="175" w:lineRule="atLeast" w:line="374"/>
      <w:jc w:val="center"/>
    </w:pPr>
    <w:rPr>
      <w:sz w:val="36"/>
    </w:rPr>
  </w:style>
  <w:style w:type="paragraph" w:customStyle="1" w:styleId="style4121">
    <w:name w:val="Char1"/>
    <w:basedOn w:val="style0"/>
    <w:next w:val="style4121"/>
    <w:qFormat/>
    <w:uiPriority w:val="99"/>
    <w:pPr>
      <w:widowControl w:val="false"/>
      <w:spacing w:lineRule="auto" w:line="240"/>
      <w:textAlignment w:val="auto"/>
    </w:pPr>
    <w:rPr>
      <w:rFonts w:ascii="Tahoma" w:hAnsi="Tahoma"/>
      <w:color w:val="auto"/>
      <w:kern w:val="2"/>
      <w:sz w:val="24"/>
    </w:rPr>
  </w:style>
  <w:style w:type="paragraph" w:customStyle="1" w:styleId="style4122">
    <w:name w:val="Char11"/>
    <w:basedOn w:val="style0"/>
    <w:next w:val="style4122"/>
    <w:qFormat/>
    <w:uiPriority w:val="99"/>
    <w:pPr>
      <w:widowControl w:val="false"/>
      <w:spacing w:lineRule="auto" w:line="240"/>
      <w:textAlignment w:val="auto"/>
    </w:pPr>
    <w:rPr>
      <w:rFonts w:ascii="Tahoma" w:hAnsi="Tahoma"/>
      <w:color w:val="auto"/>
      <w:kern w:val="2"/>
      <w:sz w:val="24"/>
    </w:rPr>
  </w:style>
  <w:style w:type="paragraph" w:customStyle="1" w:styleId="style4123">
    <w:name w:val="Char Char Char Char Char Char Char"/>
    <w:basedOn w:val="style0"/>
    <w:next w:val="style4123"/>
    <w:qFormat/>
    <w:uiPriority w:val="99"/>
    <w:pPr>
      <w:widowControl w:val="false"/>
      <w:spacing w:lineRule="auto" w:line="240"/>
      <w:textAlignment w:val="auto"/>
    </w:pPr>
    <w:rPr>
      <w:rFonts w:ascii="Tahoma" w:hAnsi="Tahoma"/>
      <w:color w:val="auto"/>
      <w:kern w:val="2"/>
      <w:sz w:val="24"/>
    </w:rPr>
  </w:style>
  <w:style w:type="paragraph" w:customStyle="1" w:styleId="style4124">
    <w:name w:val="WPS Plain"/>
    <w:next w:val="style4124"/>
    <w:qFormat/>
    <w:uiPriority w:val="99"/>
    <w:pPr/>
    <w:rPr>
      <w:rFonts w:ascii="Times New Roman" w:cs="Times New Roman" w:eastAsia="宋体" w:hAnsi="Times New Roman"/>
      <w:lang w:val="en-US" w:bidi="ar-SA" w:eastAsia="zh-CN"/>
    </w:rPr>
  </w:style>
  <w:style w:type="paragraph" w:customStyle="1" w:styleId="style4125">
    <w:name w:val="cjk"/>
    <w:basedOn w:val="style0"/>
    <w:next w:val="style4125"/>
    <w:qFormat/>
    <w:uiPriority w:val="99"/>
    <w:pPr>
      <w:spacing w:before="100" w:beforeAutospacing="true" w:after="100" w:afterAutospacing="true" w:lineRule="auto" w:line="240"/>
      <w:jc w:val="left"/>
      <w:textAlignment w:val="auto"/>
    </w:pPr>
    <w:rPr>
      <w:rFonts w:ascii="宋体" w:cs="宋体" w:hAnsi="宋体"/>
      <w:color w:val="auto"/>
      <w:sz w:val="18"/>
      <w:szCs w:val="18"/>
    </w:rPr>
  </w:style>
  <w:style w:type="paragraph" w:customStyle="1" w:styleId="style4126">
    <w:name w:val="TOC 标题1"/>
    <w:basedOn w:val="style1"/>
    <w:next w:val="style0"/>
    <w:qFormat/>
    <w:uiPriority w:val="99"/>
    <w:pPr>
      <w:widowControl/>
      <w:spacing w:before="480" w:after="0" w:lineRule="auto" w:line="276"/>
      <w:jc w:val="left"/>
      <w:outlineLvl w:val="9"/>
    </w:pPr>
    <w:rPr>
      <w:rFonts w:ascii="Cambria" w:hAnsi="Cambria"/>
      <w:color w:val="365f91"/>
      <w:kern w:val="0"/>
      <w:sz w:val="28"/>
      <w:szCs w:val="28"/>
    </w:rPr>
  </w:style>
  <w:style w:type="character" w:customStyle="1" w:styleId="style4127">
    <w:name w:val="链接"/>
    <w:next w:val="style4127"/>
    <w:qFormat/>
    <w:uiPriority w:val="99"/>
    <w:rPr>
      <w:rFonts w:ascii="Times New Roman" w:eastAsia="宋体"/>
      <w:color w:val="0000ff"/>
      <w:sz w:val="21"/>
      <w:u w:val="single" w:color="0000ff"/>
      <w:lang w:val="en-US" w:eastAsia="zh-CN"/>
    </w:rPr>
  </w:style>
  <w:style w:type="character" w:customStyle="1" w:styleId="style4128">
    <w:name w:val="超级链接"/>
    <w:next w:val="style4128"/>
    <w:qFormat/>
    <w:uiPriority w:val="99"/>
    <w:rPr>
      <w:rFonts w:ascii="Times New Roman" w:eastAsia="宋体"/>
      <w:color w:val="0000ff"/>
      <w:sz w:val="21"/>
      <w:u w:val="single" w:color="0000ff"/>
      <w:lang w:val="en-US" w:eastAsia="zh-CN"/>
    </w:rPr>
  </w:style>
  <w:style w:type="character" w:customStyle="1" w:styleId="style4129">
    <w:name w:val="param_td12"/>
    <w:next w:val="style4129"/>
    <w:qFormat/>
    <w:uiPriority w:val="99"/>
  </w:style>
  <w:style w:type="character" w:customStyle="1" w:styleId="style4130">
    <w:name w:val="纯文本 Char"/>
    <w:next w:val="style4130"/>
    <w:qFormat/>
    <w:uiPriority w:val="99"/>
    <w:rPr>
      <w:rFonts w:ascii="宋体" w:eastAsia="宋体" w:hAnsi="Courier New"/>
      <w:kern w:val="2"/>
      <w:sz w:val="21"/>
      <w:lang w:val="en-US" w:eastAsia="zh-CN"/>
    </w:rPr>
  </w:style>
  <w:style w:type="character" w:customStyle="1" w:styleId="style4131">
    <w:name w:val="纯文本 Char Char"/>
    <w:next w:val="style4131"/>
    <w:qFormat/>
    <w:uiPriority w:val="99"/>
    <w:rPr>
      <w:rFonts w:ascii="宋体" w:eastAsia="宋体" w:hAnsi="Courier New"/>
      <w:kern w:val="2"/>
      <w:sz w:val="21"/>
      <w:lang w:val="en-US" w:eastAsia="zh-CN"/>
    </w:rPr>
  </w:style>
  <w:style w:type="character" w:customStyle="1" w:styleId="style4132">
    <w:name w:val="Char Char4"/>
    <w:next w:val="style4132"/>
    <w:qFormat/>
    <w:uiPriority w:val="99"/>
    <w:rPr>
      <w:rFonts w:ascii="宋体" w:eastAsia="宋体"/>
      <w:kern w:val="2"/>
      <w:sz w:val="28"/>
    </w:rPr>
  </w:style>
  <w:style w:type="character" w:customStyle="1" w:styleId="style4133">
    <w:name w:val="Plain Text Char1"/>
    <w:next w:val="style4133"/>
    <w:qFormat/>
    <w:uiPriority w:val="99"/>
    <w:rPr>
      <w:rFonts w:ascii="宋体" w:cs="Courier New" w:hAnsi="Courier New"/>
      <w:color w:val="000000"/>
      <w:kern w:val="0"/>
      <w:sz w:val="21"/>
      <w:szCs w:val="21"/>
      <w:u w:val="none" w:color="000000"/>
    </w:rPr>
  </w:style>
  <w:style w:type="character" w:customStyle="1" w:styleId="style4134">
    <w:name w:val="15"/>
    <w:basedOn w:val="style65"/>
    <w:next w:val="style4134"/>
    <w:qFormat/>
    <w:uiPriority w:val="0"/>
  </w:style>
  <w:style w:type="character" w:customStyle="1" w:styleId="style4135">
    <w:name w:val="样式 首行缩进:  0 字符 Char"/>
    <w:next w:val="style4135"/>
    <w:link w:val="style4136"/>
    <w:qFormat/>
    <w:uiPriority w:val="0"/>
    <w:rPr>
      <w:sz w:val="24"/>
    </w:rPr>
  </w:style>
  <w:style w:type="paragraph" w:customStyle="1" w:styleId="style4136">
    <w:name w:val="样式 首行缩进:  0 字符"/>
    <w:basedOn w:val="style0"/>
    <w:next w:val="style4136"/>
    <w:link w:val="style4135"/>
    <w:qFormat/>
    <w:uiPriority w:val="0"/>
    <w:pPr>
      <w:widowControl w:val="false"/>
      <w:spacing w:lineRule="auto" w:line="360"/>
      <w:ind w:firstLine="200" w:firstLineChars="200"/>
      <w:textAlignment w:val="auto"/>
    </w:pPr>
    <w:rPr>
      <w:color w:val="auto"/>
      <w:sz w:val="24"/>
    </w:rPr>
  </w:style>
  <w:style w:type="character" w:customStyle="1" w:styleId="style4137">
    <w:name w:val="正文文本 Char"/>
    <w:next w:val="style4137"/>
    <w:link w:val="style66"/>
    <w:qFormat/>
    <w:uiPriority w:val="99"/>
    <w:rPr>
      <w:color w:val="000000"/>
      <w:sz w:val="21"/>
      <w:u w:color="000000"/>
    </w:rPr>
  </w:style>
  <w:style w:type="character" w:customStyle="1" w:styleId="style4138">
    <w:name w:val="正文首行缩进 Char"/>
    <w:next w:val="style4138"/>
    <w:link w:val="style77"/>
    <w:qFormat/>
    <w:uiPriority w:val="99"/>
    <w:rPr>
      <w:color w:val="000000"/>
      <w:sz w:val="21"/>
      <w:u w:color="000000"/>
    </w:rPr>
  </w:style>
  <w:style w:type="paragraph" w:customStyle="1" w:styleId="style4139">
    <w:name w:val="正文文本 (2)"/>
    <w:basedOn w:val="style0"/>
    <w:next w:val="style4139"/>
    <w:qFormat/>
    <w:uiPriority w:val="0"/>
    <w:pPr>
      <w:widowControl w:val="false"/>
      <w:shd w:val="clear" w:color="auto" w:fill="ffffff"/>
      <w:spacing w:after="660" w:lineRule="atLeast" w:line="0"/>
      <w:jc w:val="left"/>
      <w:textAlignment w:val="auto"/>
    </w:pPr>
    <w:rPr>
      <w:rFonts w:ascii="MingLiU" w:cs="MingLiU" w:eastAsia="MingLiU" w:hAnsi="MingLiU"/>
      <w:color w:val="auto"/>
      <w:spacing w:val="30"/>
      <w:sz w:val="30"/>
      <w:szCs w:val="30"/>
    </w:rPr>
  </w:style>
  <w:style w:type="character" w:customStyle="1" w:styleId="style4140">
    <w:name w:val="正文文本 (2) + 斜体"/>
    <w:next w:val="style4140"/>
    <w:qFormat/>
    <w:uiPriority w:val="0"/>
    <w:rPr>
      <w:rFonts w:ascii="MingLiU" w:cs="MingLiU" w:eastAsia="MingLiU" w:hAnsi="MingLiU"/>
      <w:i/>
      <w:iCs/>
      <w:color w:val="000000"/>
      <w:spacing w:val="0"/>
      <w:w w:val="100"/>
      <w:position w:val="0"/>
      <w:sz w:val="30"/>
      <w:szCs w:val="30"/>
      <w:u w:val="none"/>
      <w:lang w:val="zh-CN" w:bidi="zh-CN" w:eastAsia="zh-CN"/>
    </w:rPr>
  </w:style>
  <w:style w:type="character" w:customStyle="1" w:styleId="style4141">
    <w:name w:val="页眉或页脚 + Calibri"/>
    <w:next w:val="style4141"/>
    <w:qFormat/>
    <w:uiPriority w:val="0"/>
    <w:rPr>
      <w:rFonts w:ascii="Calibri" w:cs="Calibri" w:eastAsia="Calibri" w:hAnsi="Calibri"/>
      <w:color w:val="000000"/>
      <w:spacing w:val="0"/>
      <w:w w:val="100"/>
      <w:position w:val="0"/>
      <w:sz w:val="20"/>
      <w:szCs w:val="20"/>
      <w:u w:val="none"/>
      <w:lang w:val="zh-CN" w:bidi="zh-CN" w:eastAsia="zh-CN"/>
    </w:rPr>
  </w:style>
  <w:style w:type="character" w:customStyle="1" w:styleId="style4142">
    <w:name w:val="页眉或页脚"/>
    <w:next w:val="style4142"/>
    <w:qFormat/>
    <w:uiPriority w:val="0"/>
    <w:rPr>
      <w:rFonts w:ascii="MingLiU" w:cs="MingLiU" w:eastAsia="MingLiU" w:hAnsi="MingLiU"/>
      <w:color w:val="000000"/>
      <w:spacing w:val="0"/>
      <w:w w:val="100"/>
      <w:position w:val="0"/>
      <w:sz w:val="18"/>
      <w:szCs w:val="18"/>
      <w:u w:val="none"/>
      <w:lang w:val="zh-CN" w:bidi="zh-CN" w:eastAsia="zh-CN"/>
    </w:rPr>
  </w:style>
  <w:style w:type="paragraph" w:styleId="style179">
    <w:name w:val="List Paragraph"/>
    <w:basedOn w:val="style0"/>
    <w:next w:val="style179"/>
    <w:qFormat/>
    <w:uiPriority w:val="99"/>
    <w:pPr>
      <w:ind w:firstLine="420" w:firstLineChars="200"/>
    </w:pPr>
    <w:rPr/>
  </w:style>
  <w:style w:type="character" w:customStyle="1" w:styleId="style4143">
    <w:name w:val="hover18"/>
    <w:basedOn w:val="style65"/>
    <w:next w:val="style4143"/>
    <w:qFormat/>
    <w:uiPriority w:val="0"/>
  </w:style>
  <w:style w:type="character" w:customStyle="1" w:styleId="style4144">
    <w:name w:val="not([class*=suffix])"/>
    <w:basedOn w:val="style65"/>
    <w:next w:val="style4144"/>
    <w:qFormat/>
    <w:uiPriority w:val="0"/>
    <w:rPr>
      <w:sz w:val="19"/>
      <w:szCs w:val="19"/>
    </w:rPr>
  </w:style>
  <w:style w:type="character" w:customStyle="1" w:styleId="style4145">
    <w:name w:val="not([class*=suffix])1"/>
    <w:basedOn w:val="style65"/>
    <w:next w:val="style4145"/>
    <w:qFormat/>
    <w:uiPriority w:val="0"/>
  </w:style>
  <w:style w:type="character" w:customStyle="1" w:styleId="style4146">
    <w:name w:val="current[data-v-5e1194b2]"/>
    <w:basedOn w:val="style65"/>
    <w:next w:val="style4146"/>
    <w:qFormat/>
    <w:uiPriority w:val="0"/>
    <w:rPr>
      <w:color w:val="ffffff"/>
      <w:shd w:val="clear" w:color="auto" w:fill="065cbc"/>
    </w:rPr>
  </w:style>
  <w:style w:type="character" w:customStyle="1" w:styleId="style4147">
    <w:name w:val="current[data-v-3f48f332]"/>
    <w:basedOn w:val="style65"/>
    <w:next w:val="style4147"/>
    <w:qFormat/>
    <w:uiPriority w:val="0"/>
    <w:rPr>
      <w:color w:val="ffffff"/>
      <w:shd w:val="clear" w:color="auto" w:fill="065cbc"/>
    </w:rPr>
  </w:style>
  <w:style w:type="paragraph" w:customStyle="1" w:styleId="style4148">
    <w:name w:val="列出段落2"/>
    <w:basedOn w:val="style0"/>
    <w:next w:val="style4148"/>
    <w:qFormat/>
    <w:uiPriority w:val="34"/>
    <w:pPr>
      <w:ind w:firstLine="420" w:firstLineChars="200"/>
    </w:pPr>
    <w:rPr/>
  </w:style>
  <w:style w:type="table" w:customStyle="1" w:styleId="style4149">
    <w:name w:val="Table Normal"/>
    <w:next w:val="style4149"/>
    <w:qFormat/>
    <w:uiPriority w:val="0"/>
    <w:pPr/>
    <w:rPr/>
    <w:tblPr>
      <w:tblCellMar>
        <w:top w:w="0" w:type="dxa"/>
        <w:left w:w="0" w:type="dxa"/>
        <w:bottom w:w="0" w:type="dxa"/>
        <w:right w:w="0" w:type="dxa"/>
      </w:tblCellMar>
    </w:tblPr>
    <w:tcPr>
      <w:tcBorders/>
    </w:tcPr>
  </w:style>
  <w:style w:type="paragraph" w:customStyle="1" w:styleId="style4150">
    <w:name w:val="Table Text"/>
    <w:basedOn w:val="style0"/>
    <w:next w:val="style4150"/>
    <w:qFormat/>
    <w:uiPriority w:val="0"/>
    <w:pPr/>
    <w:rPr>
      <w:rFonts w:ascii="宋体" w:cs="宋体" w:hAnsi="宋体"/>
      <w:sz w:val="24"/>
      <w:szCs w:val="24"/>
      <w:lang w:eastAsia="en-US"/>
    </w:rPr>
  </w:style>
  <w:style w:type="paragraph" w:customStyle="1" w:styleId="style4151">
    <w:name w:val="其他"/>
    <w:basedOn w:val="style0"/>
    <w:next w:val="style4151"/>
    <w:qFormat/>
    <w:uiPriority w:val="0"/>
    <w:pPr>
      <w:widowControl w:val="false"/>
      <w:shd w:val="clear" w:color="auto" w:fill="ffffff"/>
      <w:adjustRightInd w:val="false"/>
      <w:snapToGrid w:val="false"/>
      <w:spacing w:after="200" w:lineRule="auto" w:line="480"/>
      <w:jc w:val="left"/>
      <w:textAlignment w:val="auto"/>
    </w:pPr>
    <w:rPr>
      <w:rFonts w:ascii="宋体" w:cs="宋体" w:hAnsi="宋体"/>
      <w:color w:val="auto"/>
      <w:sz w:val="20"/>
      <w:lang w:val="zh-CN" w:bidi="zh-CN"/>
    </w:rPr>
  </w:style>
</w:styles>
</file>

<file path=word/_rels/document.xml.rels><?xml version="1.0" encoding="UTF-8"?>
<Relationships xmlns="http://schemas.openxmlformats.org/package/2006/relationships"><Relationship Id="rId11" Type="http://schemas.openxmlformats.org/officeDocument/2006/relationships/footer" Target="footer10.xml"/><Relationship Id="rId10" Type="http://schemas.openxmlformats.org/officeDocument/2006/relationships/footer" Target="footer9.xml"/><Relationship Id="rId13" Type="http://schemas.openxmlformats.org/officeDocument/2006/relationships/styles" Target="styles.xml"/><Relationship Id="rId12" Type="http://schemas.openxmlformats.org/officeDocument/2006/relationships/footer" Target="footer11.xml"/><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3.xml"/><Relationship Id="rId9" Type="http://schemas.openxmlformats.org/officeDocument/2006/relationships/header" Target="header8.xml"/><Relationship Id="rId15" Type="http://schemas.openxmlformats.org/officeDocument/2006/relationships/settings" Target="settings.xml"/><Relationship Id="rId14"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theme" Target="theme/theme1.xml"/><Relationship Id="rId5" Type="http://schemas.openxmlformats.org/officeDocument/2006/relationships/footer" Target="footer4.xml"/><Relationship Id="rId6" Type="http://schemas.openxmlformats.org/officeDocument/2006/relationships/header" Target="header5.xml"/><Relationship Id="rId7" Type="http://schemas.openxmlformats.org/officeDocument/2006/relationships/footer" Target="footer6.xml"/><Relationship Id="rId8"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Words>32827</Words>
  <Pages>59</Pages>
  <Characters>34315</Characters>
  <Application>WPS Office</Application>
  <DocSecurity>0</DocSecurity>
  <Paragraphs>1386</Paragraphs>
  <ScaleCrop>false</ScaleCrop>
  <Company>微软中国</Company>
  <LinksUpToDate>false</LinksUpToDate>
  <CharactersWithSpaces>35180</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2023-05-23T02:36:00Z</dcterms:created>
  <dc:creator>ZM</dc:creator>
  <lastModifiedBy>OCE-AN10</lastModifiedBy>
  <lastPrinted>2024-01-18T00:17:00Z</lastPrinted>
  <dcterms:modified xsi:type="dcterms:W3CDTF">2024-04-26T11:51:20Z</dcterms:modified>
  <revision>15</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B32E4AC14C4E40E28E646695C730ADB8_13</vt:lpwstr>
  </property>
  <property fmtid="{D5CDD505-2E9C-101B-9397-08002B2CF9AE}" pid="3" name="KSOProductBuildVer">
    <vt:lpwstr>2052-12.1.0.16729</vt:lpwstr>
  </property>
</Properties>
</file>