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5D9C9">
      <w:pPr>
        <w:adjustRightInd w:val="0"/>
        <w:snapToGrid w:val="0"/>
        <w:spacing w:after="156" w:afterLines="50" w:line="360" w:lineRule="auto"/>
        <w:jc w:val="center"/>
        <w:outlineLvl w:val="0"/>
        <w:rPr>
          <w:rFonts w:hint="eastAsia" w:ascii="黑体" w:eastAsia="黑体"/>
          <w:b/>
          <w:color w:val="000000" w:themeColor="text1"/>
          <w:kern w:val="44"/>
          <w:sz w:val="48"/>
          <w:szCs w:val="20"/>
          <w:highlight w:val="none"/>
          <w14:textFill>
            <w14:solidFill>
              <w14:schemeClr w14:val="tx1"/>
            </w14:solidFill>
          </w14:textFill>
        </w:rPr>
      </w:pPr>
      <w:bookmarkStart w:id="1" w:name="_GoBack"/>
      <w:bookmarkStart w:id="0" w:name="_Toc129880039"/>
      <w:r>
        <w:rPr>
          <w:rFonts w:hint="eastAsia" w:ascii="宋体" w:hAnsi="宋体"/>
          <w:b/>
          <w:color w:val="000000" w:themeColor="text1"/>
          <w:sz w:val="30"/>
          <w:szCs w:val="30"/>
          <w:highlight w:val="none"/>
          <w14:textFill>
            <w14:solidFill>
              <w14:schemeClr w14:val="tx1"/>
            </w14:solidFill>
          </w14:textFill>
        </w:rPr>
        <w:t>第八部分 采购需求</w:t>
      </w:r>
      <w:bookmarkEnd w:id="0"/>
    </w:p>
    <w:p w14:paraId="2F9F5F74">
      <w:pPr>
        <w:adjustRightInd w:val="0"/>
        <w:snapToGrid w:val="0"/>
        <w:spacing w:before="156" w:beforeLines="50" w:after="156" w:afterLines="50" w:line="360" w:lineRule="auto"/>
        <w:jc w:val="cente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货物需求一览表</w:t>
      </w:r>
    </w:p>
    <w:p w14:paraId="065DF1AE">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64452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1AA40542">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包号</w:t>
            </w:r>
          </w:p>
        </w:tc>
        <w:tc>
          <w:tcPr>
            <w:tcW w:w="2357" w:type="dxa"/>
            <w:noWrap w:val="0"/>
            <w:vAlign w:val="center"/>
          </w:tcPr>
          <w:p w14:paraId="36BE307F">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货物名称</w:t>
            </w:r>
          </w:p>
        </w:tc>
        <w:tc>
          <w:tcPr>
            <w:tcW w:w="1329" w:type="dxa"/>
            <w:noWrap w:val="0"/>
            <w:vAlign w:val="center"/>
          </w:tcPr>
          <w:p w14:paraId="2BE3F86A">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数量</w:t>
            </w:r>
          </w:p>
        </w:tc>
        <w:tc>
          <w:tcPr>
            <w:tcW w:w="2470" w:type="dxa"/>
            <w:noWrap w:val="0"/>
            <w:vAlign w:val="center"/>
          </w:tcPr>
          <w:p w14:paraId="1C66BF87">
            <w:pPr>
              <w:jc w:val="center"/>
              <w:rPr>
                <w:rFonts w:hint="default" w:ascii="宋体" w:hAnsi="Bookman Old Style" w:eastAsia="宋体"/>
                <w:color w:val="000000" w:themeColor="text1"/>
                <w:sz w:val="24"/>
                <w:highlight w:val="none"/>
                <w:lang w:val="en-US" w:eastAsia="zh-CN"/>
                <w14:textFill>
                  <w14:solidFill>
                    <w14:schemeClr w14:val="tx1"/>
                  </w14:solidFill>
                </w14:textFill>
              </w:rPr>
            </w:pPr>
            <w:r>
              <w:rPr>
                <w:rFonts w:hint="eastAsia" w:ascii="宋体" w:hAnsi="Bookman Old Style"/>
                <w:color w:val="000000" w:themeColor="text1"/>
                <w:sz w:val="24"/>
                <w:highlight w:val="none"/>
                <w:lang w:val="en-US" w:eastAsia="zh-CN"/>
                <w14:textFill>
                  <w14:solidFill>
                    <w14:schemeClr w14:val="tx1"/>
                  </w14:solidFill>
                </w14:textFill>
              </w:rPr>
              <w:t>是否接受进口</w:t>
            </w:r>
          </w:p>
        </w:tc>
      </w:tr>
      <w:tr w14:paraId="61834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33811361">
            <w:pPr>
              <w:jc w:val="center"/>
              <w:rPr>
                <w:rFonts w:hint="eastAsia" w:ascii="宋体" w:eastAsia="宋体"/>
                <w:color w:val="000000" w:themeColor="text1"/>
                <w:sz w:val="24"/>
                <w:highlight w:val="none"/>
                <w:lang w:eastAsia="zh-CN"/>
                <w14:textFill>
                  <w14:solidFill>
                    <w14:schemeClr w14:val="tx1"/>
                  </w14:solidFill>
                </w14:textFill>
              </w:rPr>
            </w:pPr>
            <w:r>
              <w:rPr>
                <w:rFonts w:hint="eastAsia" w:ascii="宋体"/>
                <w:color w:val="000000" w:themeColor="text1"/>
                <w:sz w:val="24"/>
                <w:highlight w:val="none"/>
                <w:lang w:val="en-US" w:eastAsia="zh-CN"/>
                <w14:textFill>
                  <w14:solidFill>
                    <w14:schemeClr w14:val="tx1"/>
                  </w14:solidFill>
                </w14:textFill>
              </w:rPr>
              <w:t>1</w:t>
            </w:r>
          </w:p>
        </w:tc>
        <w:tc>
          <w:tcPr>
            <w:tcW w:w="2357" w:type="dxa"/>
            <w:noWrap w:val="0"/>
            <w:vAlign w:val="center"/>
          </w:tcPr>
          <w:p w14:paraId="461B9A79">
            <w:pPr>
              <w:jc w:val="center"/>
              <w:rPr>
                <w:rFonts w:hint="eastAsia" w:ascii="Bookman Old Style" w:hAnsi="Bookman Old Style" w:eastAsia="宋体"/>
                <w:color w:val="000000" w:themeColor="text1"/>
                <w:sz w:val="24"/>
                <w:highlight w:val="none"/>
                <w:lang w:eastAsia="zh-CN"/>
                <w14:textFill>
                  <w14:solidFill>
                    <w14:schemeClr w14:val="tx1"/>
                  </w14:solidFill>
                </w14:textFill>
              </w:rPr>
            </w:pPr>
            <w:r>
              <w:rPr>
                <w:rFonts w:hint="eastAsia" w:ascii="Bookman Old Style" w:hAnsi="Bookman Old Style"/>
                <w:color w:val="000000" w:themeColor="text1"/>
                <w:sz w:val="24"/>
                <w:highlight w:val="none"/>
                <w:lang w:eastAsia="zh-CN"/>
                <w14:textFill>
                  <w14:solidFill>
                    <w14:schemeClr w14:val="tx1"/>
                  </w14:solidFill>
                </w14:textFill>
              </w:rPr>
              <w:t>自动化合成系统</w:t>
            </w:r>
          </w:p>
        </w:tc>
        <w:tc>
          <w:tcPr>
            <w:tcW w:w="1329" w:type="dxa"/>
            <w:noWrap w:val="0"/>
            <w:vAlign w:val="center"/>
          </w:tcPr>
          <w:p w14:paraId="2E128CF9">
            <w:pPr>
              <w:jc w:val="center"/>
              <w:rPr>
                <w:rFonts w:hint="default" w:ascii="宋体" w:hAnsi="Bookman Old Style" w:eastAsia="宋体"/>
                <w:color w:val="000000" w:themeColor="text1"/>
                <w:sz w:val="24"/>
                <w:highlight w:val="none"/>
                <w:lang w:val="en-US" w:eastAsia="zh-CN"/>
                <w14:textFill>
                  <w14:solidFill>
                    <w14:schemeClr w14:val="tx1"/>
                  </w14:solidFill>
                </w14:textFill>
              </w:rPr>
            </w:pPr>
            <w:r>
              <w:rPr>
                <w:rFonts w:hint="eastAsia" w:ascii="宋体" w:hAnsi="Bookman Old Style"/>
                <w:color w:val="000000" w:themeColor="text1"/>
                <w:sz w:val="24"/>
                <w:highlight w:val="none"/>
                <w:lang w:val="en-US" w:eastAsia="zh-CN"/>
                <w14:textFill>
                  <w14:solidFill>
                    <w14:schemeClr w14:val="tx1"/>
                  </w14:solidFill>
                </w14:textFill>
              </w:rPr>
              <w:t>1套</w:t>
            </w:r>
          </w:p>
        </w:tc>
        <w:tc>
          <w:tcPr>
            <w:tcW w:w="2470" w:type="dxa"/>
            <w:noWrap w:val="0"/>
            <w:vAlign w:val="center"/>
          </w:tcPr>
          <w:p w14:paraId="2A558C25">
            <w:pPr>
              <w:jc w:val="center"/>
              <w:rPr>
                <w:rFonts w:hint="default" w:ascii="宋体" w:hAnsi="Bookman Old Style" w:eastAsia="宋体"/>
                <w:color w:val="000000" w:themeColor="text1"/>
                <w:sz w:val="24"/>
                <w:highlight w:val="none"/>
                <w:lang w:val="en-US" w:eastAsia="zh-CN"/>
                <w14:textFill>
                  <w14:solidFill>
                    <w14:schemeClr w14:val="tx1"/>
                  </w14:solidFill>
                </w14:textFill>
              </w:rPr>
            </w:pPr>
            <w:r>
              <w:rPr>
                <w:rFonts w:hint="eastAsia" w:ascii="宋体" w:hAnsi="Bookman Old Style"/>
                <w:color w:val="000000" w:themeColor="text1"/>
                <w:sz w:val="24"/>
                <w:highlight w:val="none"/>
                <w:lang w:val="en-US" w:eastAsia="zh-CN"/>
                <w14:textFill>
                  <w14:solidFill>
                    <w14:schemeClr w14:val="tx1"/>
                  </w14:solidFill>
                </w14:textFill>
              </w:rPr>
              <w:t>否</w:t>
            </w:r>
          </w:p>
        </w:tc>
      </w:tr>
    </w:tbl>
    <w:p w14:paraId="733B0DD9">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p w14:paraId="3F6A4853">
      <w:pPr>
        <w:adjustRightInd w:val="0"/>
        <w:snapToGrid w:val="0"/>
        <w:jc w:val="center"/>
        <w:rPr>
          <w:rFonts w:hint="eastAsia" w:ascii="宋体" w:hAnsi="宋体"/>
          <w:b/>
          <w:color w:val="000000" w:themeColor="text1"/>
          <w:sz w:val="30"/>
          <w:szCs w:val="30"/>
          <w:highlight w:val="none"/>
          <w14:textFill>
            <w14:solidFill>
              <w14:schemeClr w14:val="tx1"/>
            </w14:solidFill>
          </w14:textFill>
        </w:rPr>
      </w:pPr>
    </w:p>
    <w:p w14:paraId="27577E42">
      <w:pPr>
        <w:rPr>
          <w:rFonts w:hint="eastAsia" w:ascii="Bookman Old Style" w:hAnsi="Bookman Old Style"/>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highlight w:val="none"/>
          <w14:textFill>
            <w14:solidFill>
              <w14:schemeClr w14:val="tx1"/>
            </w14:solidFill>
          </w14:textFill>
        </w:rPr>
        <w:t>不完整的投标将视为非响应性投标予以拒绝。</w:t>
      </w:r>
    </w:p>
    <w:p w14:paraId="58CC8E82">
      <w:pPr>
        <w:adjustRightInd w:val="0"/>
        <w:snapToGrid w:val="0"/>
        <w:rPr>
          <w:rFonts w:hint="eastAsia" w:ascii="宋体" w:hAnsi="宋体"/>
          <w:color w:val="000000" w:themeColor="text1"/>
          <w:szCs w:val="21"/>
          <w:highlight w:val="none"/>
          <w14:textFill>
            <w14:solidFill>
              <w14:schemeClr w14:val="tx1"/>
            </w14:solidFill>
          </w14:textFill>
        </w:rPr>
      </w:pPr>
    </w:p>
    <w:p w14:paraId="0F053E93">
      <w:pPr>
        <w:adjustRightInd w:val="0"/>
        <w:snapToGrid w:val="0"/>
        <w:rPr>
          <w:rFonts w:hint="eastAsia" w:ascii="宋体" w:hAnsi="宋体"/>
          <w:color w:val="000000" w:themeColor="text1"/>
          <w:szCs w:val="21"/>
          <w:highlight w:val="none"/>
          <w14:textFill>
            <w14:solidFill>
              <w14:schemeClr w14:val="tx1"/>
            </w14:solidFill>
          </w14:textFill>
        </w:rPr>
      </w:pPr>
    </w:p>
    <w:p w14:paraId="1D39CFBE">
      <w:pPr>
        <w:adjustRightInd w:val="0"/>
        <w:snapToGrid w:val="0"/>
        <w:rPr>
          <w:rFonts w:hint="eastAsia" w:ascii="宋体" w:hAnsi="宋体"/>
          <w:color w:val="000000" w:themeColor="text1"/>
          <w:szCs w:val="21"/>
          <w:highlight w:val="none"/>
          <w14:textFill>
            <w14:solidFill>
              <w14:schemeClr w14:val="tx1"/>
            </w14:solidFill>
          </w14:textFill>
        </w:rPr>
      </w:pPr>
    </w:p>
    <w:p w14:paraId="0D2C22AE">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一、总则</w:t>
      </w:r>
    </w:p>
    <w:p w14:paraId="5BE751DF">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1</w:t>
      </w:r>
      <w:r>
        <w:rPr>
          <w:rFonts w:hint="eastAsia" w:ascii="宋体" w:hAnsi="宋体"/>
          <w:b/>
          <w:color w:val="000000" w:themeColor="text1"/>
          <w:sz w:val="28"/>
          <w:szCs w:val="28"/>
          <w:highlight w:val="none"/>
          <w14:textFill>
            <w14:solidFill>
              <w14:schemeClr w14:val="tx1"/>
            </w14:solidFill>
          </w14:textFill>
        </w:rPr>
        <w:t>、投标要求</w:t>
      </w:r>
    </w:p>
    <w:p w14:paraId="35DC1952">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 </w:t>
      </w:r>
      <w:r>
        <w:rPr>
          <w:rFonts w:hint="eastAsia" w:ascii="宋体" w:hAnsi="宋体"/>
          <w:color w:val="000000" w:themeColor="text1"/>
          <w:sz w:val="24"/>
          <w:highlight w:val="none"/>
          <w14:textFill>
            <w14:solidFill>
              <w14:schemeClr w14:val="tx1"/>
            </w14:solidFill>
          </w14:textFill>
        </w:rPr>
        <w:t xml:space="preserve"> 投标人在准备投标书时，务必在所提供的商品的技术规格文件中，标明型号、商标名称、目录号。</w:t>
      </w:r>
    </w:p>
    <w:p w14:paraId="7BDD849C">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2E1D565">
      <w:pPr>
        <w:spacing w:line="360" w:lineRule="auto"/>
        <w:ind w:left="554" w:hanging="554" w:hangingChars="231"/>
        <w:rPr>
          <w:rFonts w:hint="eastAsia"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w:t>
      </w:r>
      <w:r>
        <w:rPr>
          <w:rFonts w:hint="eastAsia"/>
          <w:color w:val="000000" w:themeColor="text1"/>
          <w:sz w:val="24"/>
          <w:highlight w:val="none"/>
          <w14:textFill>
            <w14:solidFill>
              <w14:schemeClr w14:val="tx1"/>
            </w14:solidFill>
          </w14:textFill>
        </w:rPr>
        <w:t>投标人提供的</w:t>
      </w:r>
      <w:r>
        <w:rPr>
          <w:rFonts w:hint="eastAsia" w:ascii="宋体"/>
          <w:color w:val="000000" w:themeColor="text1"/>
          <w:sz w:val="24"/>
          <w:highlight w:val="none"/>
          <w14:textFill>
            <w14:solidFill>
              <w14:schemeClr w14:val="tx1"/>
            </w14:solidFill>
          </w14:textFill>
        </w:rPr>
        <w:t>产品</w:t>
      </w:r>
      <w:r>
        <w:rPr>
          <w:rFonts w:hint="eastAsia"/>
          <w:color w:val="000000" w:themeColor="text1"/>
          <w:sz w:val="24"/>
          <w:highlight w:val="none"/>
          <w14:textFill>
            <w14:solidFill>
              <w14:schemeClr w14:val="tx1"/>
            </w14:solidFill>
          </w14:textFill>
        </w:rPr>
        <w:t>样本，必须是“原件”而非复印件，</w:t>
      </w:r>
      <w:r>
        <w:rPr>
          <w:rFonts w:hint="eastAsia" w:ascii="宋体"/>
          <w:color w:val="000000" w:themeColor="text1"/>
          <w:sz w:val="24"/>
          <w:highlight w:val="none"/>
          <w14:textFill>
            <w14:solidFill>
              <w14:schemeClr w14:val="tx1"/>
            </w14:solidFill>
          </w14:textFill>
        </w:rPr>
        <w:t>图表、简图、电路图以及印刷电路板图等都应</w:t>
      </w:r>
      <w:r>
        <w:rPr>
          <w:rFonts w:hint="eastAsia"/>
          <w:color w:val="000000" w:themeColor="text1"/>
          <w:sz w:val="24"/>
          <w:highlight w:val="none"/>
          <w14:textFill>
            <w14:solidFill>
              <w14:schemeClr w14:val="tx1"/>
            </w14:solidFill>
          </w14:textFill>
        </w:rPr>
        <w:t>清晰易读。买方有权</w:t>
      </w:r>
      <w:r>
        <w:rPr>
          <w:rFonts w:hint="eastAsia" w:ascii="宋体"/>
          <w:color w:val="000000" w:themeColor="text1"/>
          <w:sz w:val="24"/>
          <w:highlight w:val="none"/>
          <w14:textFill>
            <w14:solidFill>
              <w14:schemeClr w14:val="tx1"/>
            </w14:solidFill>
          </w14:textFill>
        </w:rPr>
        <w:t>不付任何附加费用</w:t>
      </w:r>
      <w:r>
        <w:rPr>
          <w:rFonts w:hint="eastAsia"/>
          <w:color w:val="000000" w:themeColor="text1"/>
          <w:sz w:val="24"/>
          <w:highlight w:val="none"/>
          <w14:textFill>
            <w14:solidFill>
              <w14:schemeClr w14:val="tx1"/>
            </w14:solidFill>
          </w14:textFill>
        </w:rPr>
        <w:t>复制这些资料</w:t>
      </w:r>
      <w:r>
        <w:rPr>
          <w:rFonts w:hint="eastAsia" w:ascii="宋体"/>
          <w:color w:val="000000" w:themeColor="text1"/>
          <w:sz w:val="24"/>
          <w:highlight w:val="none"/>
          <w14:textFill>
            <w14:solidFill>
              <w14:schemeClr w14:val="tx1"/>
            </w14:solidFill>
          </w14:textFill>
        </w:rPr>
        <w:t>以供参考。</w:t>
      </w:r>
    </w:p>
    <w:p w14:paraId="4489062D">
      <w:pPr>
        <w:spacing w:line="360" w:lineRule="auto"/>
        <w:ind w:left="554" w:hanging="554" w:hangingChars="231"/>
        <w:rPr>
          <w:rFonts w:hint="eastAsia"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1.4  投标人的投标产品应符合国家有关部门规定的相应技术、</w:t>
      </w:r>
      <w:r>
        <w:rPr>
          <w:rFonts w:hint="eastAsia" w:ascii="宋体"/>
          <w:color w:val="000000" w:themeColor="text1"/>
          <w:sz w:val="24"/>
          <w:highlight w:val="none"/>
          <w:lang w:val="en-US" w:eastAsia="zh-CN"/>
          <w14:textFill>
            <w14:solidFill>
              <w14:schemeClr w14:val="tx1"/>
            </w14:solidFill>
          </w14:textFill>
        </w:rPr>
        <w:t>计量、</w:t>
      </w:r>
      <w:r>
        <w:rPr>
          <w:rFonts w:hint="eastAsia" w:ascii="宋体"/>
          <w:color w:val="000000" w:themeColor="text1"/>
          <w:sz w:val="24"/>
          <w:highlight w:val="none"/>
          <w14:textFill>
            <w14:solidFill>
              <w14:schemeClr w14:val="tx1"/>
            </w14:solidFill>
          </w14:textFill>
        </w:rPr>
        <w:t>节能、安全和环保</w:t>
      </w:r>
      <w:r>
        <w:rPr>
          <w:rFonts w:hint="eastAsia" w:ascii="宋体"/>
          <w:color w:val="000000" w:themeColor="text1"/>
          <w:sz w:val="24"/>
          <w:highlight w:val="none"/>
          <w:lang w:val="en-US" w:eastAsia="zh-CN"/>
          <w14:textFill>
            <w14:solidFill>
              <w14:schemeClr w14:val="tx1"/>
            </w14:solidFill>
          </w14:textFill>
        </w:rPr>
        <w:t>法规及</w:t>
      </w:r>
      <w:r>
        <w:rPr>
          <w:rFonts w:hint="eastAsia" w:ascii="宋体"/>
          <w:color w:val="000000" w:themeColor="text1"/>
          <w:sz w:val="24"/>
          <w:highlight w:val="none"/>
          <w14:textFill>
            <w14:solidFill>
              <w14:schemeClr w14:val="tx1"/>
            </w14:solidFill>
          </w14:textFill>
        </w:rPr>
        <w:t>标准；如国家有关部门对投标人的投标产品有强制性规定或要求的，则投标人的投标产品必须符合相应规定或要求</w:t>
      </w:r>
      <w:r>
        <w:rPr>
          <w:rFonts w:hint="eastAsia" w:ascii="宋体"/>
          <w:color w:val="000000" w:themeColor="text1"/>
          <w:sz w:val="24"/>
          <w:highlight w:val="none"/>
          <w:lang w:eastAsia="zh-CN"/>
          <w14:textFill>
            <w14:solidFill>
              <w14:schemeClr w14:val="tx1"/>
            </w14:solidFill>
          </w14:textFill>
        </w:rPr>
        <w:t>，</w:t>
      </w:r>
      <w:r>
        <w:rPr>
          <w:rFonts w:hint="eastAsia" w:ascii="宋体"/>
          <w:color w:val="000000" w:themeColor="text1"/>
          <w:sz w:val="24"/>
          <w:highlight w:val="none"/>
          <w:lang w:val="en-US" w:eastAsia="zh-CN"/>
          <w14:textFill>
            <w14:solidFill>
              <w14:schemeClr w14:val="tx1"/>
            </w14:solidFill>
          </w14:textFill>
        </w:rPr>
        <w:t>投标人须提供相关证明文件的复印件</w:t>
      </w:r>
      <w:r>
        <w:rPr>
          <w:rFonts w:hint="eastAsia" w:ascii="宋体"/>
          <w:color w:val="000000" w:themeColor="text1"/>
          <w:sz w:val="24"/>
          <w:highlight w:val="none"/>
          <w14:textFill>
            <w14:solidFill>
              <w14:schemeClr w14:val="tx1"/>
            </w14:solidFill>
          </w14:textFill>
        </w:rPr>
        <w:t>。</w:t>
      </w:r>
    </w:p>
    <w:p w14:paraId="12470B99">
      <w:pPr>
        <w:adjustRightInd w:val="0"/>
        <w:snapToGrid w:val="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2、评标标准</w:t>
      </w:r>
    </w:p>
    <w:p w14:paraId="51A4A3E9">
      <w:pPr>
        <w:spacing w:line="360" w:lineRule="auto"/>
        <w:ind w:left="554" w:hanging="554" w:hangingChars="231"/>
        <w:rPr>
          <w:rFonts w:hint="eastAsia"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除招标文件中指定的附件和专用工具外，</w:t>
      </w:r>
      <w:r>
        <w:rPr>
          <w:rFonts w:hint="eastAsia" w:ascii="宋体"/>
          <w:color w:val="000000" w:themeColor="text1"/>
          <w:sz w:val="24"/>
          <w:highlight w:val="none"/>
          <w14:textFill>
            <w14:solidFill>
              <w14:schemeClr w14:val="tx1"/>
            </w14:solidFill>
          </w14:textFill>
        </w:rPr>
        <w:t>投标人应提供仪器设备的正常运行和常规保养所需的全套标准附件、专用工具</w:t>
      </w:r>
      <w:r>
        <w:rPr>
          <w:rFonts w:hint="eastAsia"/>
          <w:color w:val="000000" w:themeColor="text1"/>
          <w:sz w:val="24"/>
          <w:highlight w:val="none"/>
          <w14:textFill>
            <w14:solidFill>
              <w14:schemeClr w14:val="tx1"/>
            </w14:solidFill>
          </w14:textFill>
        </w:rPr>
        <w:t>和消耗品</w:t>
      </w:r>
      <w:r>
        <w:rPr>
          <w:rFonts w:hint="eastAsia" w:ascii="宋体"/>
          <w:color w:val="000000" w:themeColor="text1"/>
          <w:sz w:val="24"/>
          <w:highlight w:val="none"/>
          <w14:textFill>
            <w14:solidFill>
              <w14:schemeClr w14:val="tx1"/>
            </w14:solidFill>
          </w14:textFill>
        </w:rPr>
        <w:t>。投标人在投标书中需列出这些附件和工具的数量和单价的清单，这些附件和工具的报价的总值需计入投标价中。</w:t>
      </w:r>
    </w:p>
    <w:p w14:paraId="59A18DBC">
      <w:pPr>
        <w:spacing w:line="360" w:lineRule="auto"/>
        <w:ind w:left="554" w:hanging="554" w:hangingChars="231"/>
        <w:rPr>
          <w:rFonts w:hint="eastAsia"/>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w:t>
      </w:r>
      <w:r>
        <w:rPr>
          <w:rFonts w:hint="eastAsia"/>
          <w:color w:val="000000" w:themeColor="text1"/>
          <w:sz w:val="24"/>
          <w:highlight w:val="none"/>
          <w14:textFill>
            <w14:solidFill>
              <w14:schemeClr w14:val="tx1"/>
            </w14:solidFill>
          </w14:textFill>
        </w:rPr>
        <w:t>对于标书</w:t>
      </w:r>
      <w:r>
        <w:rPr>
          <w:rFonts w:hint="eastAsia" w:ascii="宋体"/>
          <w:color w:val="000000" w:themeColor="text1"/>
          <w:sz w:val="24"/>
          <w:highlight w:val="none"/>
          <w14:textFill>
            <w14:solidFill>
              <w14:schemeClr w14:val="tx1"/>
            </w14:solidFill>
          </w14:textFill>
        </w:rPr>
        <w:t>技术规范中已列</w:t>
      </w:r>
      <w:r>
        <w:rPr>
          <w:rFonts w:hint="eastAsia"/>
          <w:color w:val="000000" w:themeColor="text1"/>
          <w:sz w:val="24"/>
          <w:highlight w:val="none"/>
          <w14:textFill>
            <w14:solidFill>
              <w14:schemeClr w14:val="tx1"/>
            </w14:solidFill>
          </w14:textFill>
        </w:rPr>
        <w:t>出的作为查询选件的附件、零配件、专用工具和消耗品，投标书中</w:t>
      </w:r>
      <w:r>
        <w:rPr>
          <w:rFonts w:hint="eastAsia" w:ascii="宋体"/>
          <w:color w:val="000000" w:themeColor="text1"/>
          <w:sz w:val="24"/>
          <w:highlight w:val="none"/>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1238C0CA">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  为便于用户进行接收仪器的准备工作，卖方应在合同生效后</w:t>
      </w:r>
      <w:r>
        <w:rPr>
          <w:rFonts w:hint="eastAsia" w:ascii="宋体" w:hAnsi="宋体"/>
          <w:b/>
          <w:color w:val="000000" w:themeColor="text1"/>
          <w:sz w:val="24"/>
          <w:highlight w:val="none"/>
          <w14:textFill>
            <w14:solidFill>
              <w14:schemeClr w14:val="tx1"/>
            </w14:solidFill>
          </w14:textFill>
        </w:rPr>
        <w:t>60</w:t>
      </w:r>
      <w:r>
        <w:rPr>
          <w:rFonts w:hint="eastAsia" w:ascii="宋体" w:hAnsi="宋体"/>
          <w:color w:val="000000" w:themeColor="text1"/>
          <w:sz w:val="24"/>
          <w:highlight w:val="none"/>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03E3029C">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6EFC8A8D">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22BBF6B9">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3、工作条件</w:t>
      </w:r>
    </w:p>
    <w:p w14:paraId="5EB8A002">
      <w:pPr>
        <w:spacing w:after="312" w:afterLines="10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除非在技术规格中另有说明，所有仪器、设备和系统都应符合下列要求：</w:t>
      </w:r>
      <w:r>
        <w:rPr>
          <w:rFonts w:ascii="宋体" w:hAnsi="宋体"/>
          <w:color w:val="000000" w:themeColor="text1"/>
          <w:sz w:val="24"/>
          <w:highlight w:val="none"/>
          <w14:textFill>
            <w14:solidFill>
              <w14:schemeClr w14:val="tx1"/>
            </w14:solidFill>
          </w14:textFill>
        </w:rPr>
        <w:t xml:space="preserve"> </w:t>
      </w:r>
    </w:p>
    <w:p w14:paraId="635BC027">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适于在气温为摄氏</w:t>
      </w:r>
      <w:r>
        <w:rPr>
          <w:rFonts w:ascii="宋体" w:hAnsi="宋体"/>
          <w:b/>
          <w:color w:val="000000" w:themeColor="text1"/>
          <w:sz w:val="24"/>
          <w:highlight w:val="none"/>
          <w14:textFill>
            <w14:solidFill>
              <w14:schemeClr w14:val="tx1"/>
            </w14:solidFill>
          </w14:textFill>
        </w:rPr>
        <w:t>-40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和相对湿度为</w:t>
      </w:r>
      <w:r>
        <w:rPr>
          <w:rFonts w:ascii="宋体" w:hAnsi="宋体"/>
          <w:b/>
          <w:color w:val="000000" w:themeColor="text1"/>
          <w:sz w:val="24"/>
          <w:highlight w:val="none"/>
          <w14:textFill>
            <w14:solidFill>
              <w14:schemeClr w14:val="tx1"/>
            </w14:solidFill>
          </w14:textFill>
        </w:rPr>
        <w:t>90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的环境条件下运输和贮存。</w:t>
      </w:r>
    </w:p>
    <w:p w14:paraId="7494D6CC">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适于在电源</w:t>
      </w:r>
      <w:r>
        <w:rPr>
          <w:rFonts w:ascii="宋体" w:hAnsi="宋体"/>
          <w:b/>
          <w:color w:val="000000" w:themeColor="text1"/>
          <w:sz w:val="24"/>
          <w:highlight w:val="none"/>
          <w14:textFill>
            <w14:solidFill>
              <w14:schemeClr w14:val="tx1"/>
            </w14:solidFill>
          </w14:textFill>
        </w:rPr>
        <w:t>220V</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sym w:font="Symbol" w:char="F0B1"/>
      </w:r>
      <w:r>
        <w:rPr>
          <w:rFonts w:ascii="宋体" w:hAnsi="宋体"/>
          <w:b/>
          <w:color w:val="000000" w:themeColor="text1"/>
          <w:sz w:val="24"/>
          <w:highlight w:val="none"/>
          <w14:textFill>
            <w14:solidFill>
              <w14:schemeClr w14:val="tx1"/>
            </w14:solidFill>
          </w14:textFill>
        </w:rPr>
        <w:t>10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/50Hz</w:t>
      </w:r>
      <w:r>
        <w:rPr>
          <w:rFonts w:hint="eastAsia" w:ascii="宋体" w:hAnsi="宋体"/>
          <w:color w:val="000000" w:themeColor="text1"/>
          <w:sz w:val="24"/>
          <w:highlight w:val="none"/>
          <w14:textFill>
            <w14:solidFill>
              <w14:schemeClr w14:val="tx1"/>
            </w14:solidFill>
          </w14:textFill>
        </w:rPr>
        <w:t>、气温摄氏</w:t>
      </w:r>
      <w:r>
        <w:rPr>
          <w:rFonts w:hint="eastAsia" w:ascii="宋体" w:hAnsi="宋体"/>
          <w:b/>
          <w:color w:val="000000" w:themeColor="text1"/>
          <w:sz w:val="24"/>
          <w:highlight w:val="none"/>
          <w14:textFill>
            <w14:solidFill>
              <w14:schemeClr w14:val="tx1"/>
            </w14:solidFill>
          </w14:textFill>
        </w:rPr>
        <w:t>+1</w:t>
      </w:r>
      <w:r>
        <w:rPr>
          <w:rFonts w:ascii="宋体" w:hAnsi="宋体"/>
          <w:b/>
          <w:color w:val="000000" w:themeColor="text1"/>
          <w:sz w:val="24"/>
          <w:highlight w:val="none"/>
          <w14:textFill>
            <w14:solidFill>
              <w14:schemeClr w14:val="tx1"/>
            </w14:solidFill>
          </w14:textFill>
        </w:rPr>
        <w:t>5</w:t>
      </w:r>
      <w:r>
        <w:rPr>
          <w:rFonts w:hint="eastAsia" w:ascii="宋体" w:hAnsi="宋体"/>
          <w:b/>
          <w:color w:val="000000" w:themeColor="text1"/>
          <w:sz w:val="24"/>
          <w:highlight w:val="none"/>
          <w14:textFill>
            <w14:solidFill>
              <w14:schemeClr w14:val="tx1"/>
            </w14:solidFill>
          </w14:textFill>
        </w:rPr>
        <w:t>℃～＋3</w:t>
      </w:r>
      <w:r>
        <w:rPr>
          <w:rFonts w:ascii="宋体" w:hAnsi="宋体"/>
          <w:b/>
          <w:color w:val="000000" w:themeColor="text1"/>
          <w:sz w:val="24"/>
          <w:highlight w:val="none"/>
          <w14:textFill>
            <w14:solidFill>
              <w14:schemeClr w14:val="tx1"/>
            </w14:solidFill>
          </w14:textFill>
        </w:rPr>
        <w:t>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和相对湿度小于</w:t>
      </w:r>
      <w:r>
        <w:rPr>
          <w:rFonts w:ascii="宋体" w:hAnsi="宋体"/>
          <w:b/>
          <w:color w:val="000000" w:themeColor="text1"/>
          <w:sz w:val="24"/>
          <w:highlight w:val="none"/>
          <w14:textFill>
            <w14:solidFill>
              <w14:schemeClr w14:val="tx1"/>
            </w14:solidFill>
          </w14:textFill>
        </w:rPr>
        <w:t>8</w:t>
      </w:r>
      <w:r>
        <w:rPr>
          <w:rFonts w:hint="eastAsia" w:ascii="宋体" w:hAnsi="宋体"/>
          <w:b/>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的环境条件下运行。</w:t>
      </w:r>
      <w:r>
        <w:rPr>
          <w:rFonts w:hint="eastAsia" w:ascii="宋体" w:hAnsi="宋体"/>
          <w:b/>
          <w:color w:val="000000" w:themeColor="text1"/>
          <w:sz w:val="24"/>
          <w:highlight w:val="none"/>
          <w14:textFill>
            <w14:solidFill>
              <w14:schemeClr w14:val="tx1"/>
            </w14:solidFill>
          </w14:textFill>
        </w:rPr>
        <w:t>能够连续正常工作。</w:t>
      </w:r>
    </w:p>
    <w:p w14:paraId="6505439A">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配置符合中国有关标准要求的插头，如果没有这样的插头，则需</w:t>
      </w:r>
      <w:r>
        <w:rPr>
          <w:rFonts w:hint="eastAsia" w:ascii="宋体"/>
          <w:color w:val="000000" w:themeColor="text1"/>
          <w:sz w:val="24"/>
          <w:highlight w:val="none"/>
          <w14:textFill>
            <w14:solidFill>
              <w14:schemeClr w14:val="tx1"/>
            </w14:solidFill>
          </w14:textFill>
        </w:rPr>
        <w:t>提供适当的转</w:t>
      </w:r>
      <w:r>
        <w:rPr>
          <w:rFonts w:hint="eastAsia" w:ascii="宋体" w:hAnsi="宋体"/>
          <w:color w:val="000000" w:themeColor="text1"/>
          <w:sz w:val="24"/>
          <w:highlight w:val="none"/>
          <w14:textFill>
            <w14:solidFill>
              <w14:schemeClr w14:val="tx1"/>
            </w14:solidFill>
          </w14:textFill>
        </w:rPr>
        <w:t>换插座。</w:t>
      </w:r>
    </w:p>
    <w:p w14:paraId="52236D69">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6F0528F3">
      <w:pPr>
        <w:rPr>
          <w:rFonts w:hint="eastAsia" w:eastAsia="黑体"/>
          <w:b/>
          <w:bCs/>
          <w:color w:val="000000" w:themeColor="text1"/>
          <w:kern w:val="44"/>
          <w:sz w:val="24"/>
          <w:highlight w:val="none"/>
          <w14:textFill>
            <w14:solidFill>
              <w14:schemeClr w14:val="tx1"/>
            </w14:solidFill>
          </w14:textFill>
        </w:rPr>
      </w:pPr>
    </w:p>
    <w:p w14:paraId="274AB5CC">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4、验收标准</w:t>
      </w:r>
    </w:p>
    <w:p w14:paraId="73272437">
      <w:pPr>
        <w:spacing w:after="312" w:afterLines="10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除非在技术规格中另有说明，所有仪器、设备和系统按下列要求进行验收：</w:t>
      </w:r>
      <w:r>
        <w:rPr>
          <w:rFonts w:ascii="宋体" w:hAnsi="宋体"/>
          <w:color w:val="000000" w:themeColor="text1"/>
          <w:sz w:val="24"/>
          <w:highlight w:val="none"/>
          <w14:textFill>
            <w14:solidFill>
              <w14:schemeClr w14:val="tx1"/>
            </w14:solidFill>
          </w14:textFill>
        </w:rPr>
        <w:t xml:space="preserve"> </w:t>
      </w:r>
    </w:p>
    <w:p w14:paraId="3D9C6E35">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仪器设备运抵安装现场后，买方将与卖方共同开箱验收</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如卖方届时不派人来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则验收结果应以买方的验收报告为最终验收结果。验收时发现短缺、破损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买方有权要求卖方负责更换。</w:t>
      </w:r>
    </w:p>
    <w:p w14:paraId="522C9F58">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w:t>
      </w:r>
      <w:r>
        <w:rPr>
          <w:rFonts w:hint="eastAsia"/>
          <w:color w:val="000000" w:themeColor="text1"/>
          <w:sz w:val="24"/>
          <w:highlight w:val="none"/>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5515AF16">
      <w:pPr>
        <w:spacing w:line="360" w:lineRule="auto"/>
        <w:ind w:left="554" w:hanging="554" w:hangingChars="231"/>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w:t>
      </w:r>
      <w:r>
        <w:rPr>
          <w:rFonts w:ascii="宋体" w:hAnsi="宋体"/>
          <w:color w:val="000000" w:themeColor="text1"/>
          <w:sz w:val="24"/>
          <w:highlight w:val="none"/>
          <w14:textFill>
            <w14:solidFill>
              <w14:schemeClr w14:val="tx1"/>
            </w14:solidFill>
          </w14:textFill>
        </w:rPr>
        <w:t>验收由采购人、中标人及相关人员依国家有关标准、合同及有关附件要求进行，验收完毕由采购人及中标人在验收报告上签名。</w:t>
      </w:r>
    </w:p>
    <w:p w14:paraId="7374CC31">
      <w:pPr>
        <w:pStyle w:val="3"/>
        <w:spacing w:line="360" w:lineRule="auto"/>
        <w:ind w:left="410" w:hanging="410" w:hangingChars="170"/>
        <w:rPr>
          <w:rFonts w:hint="eastAsia" w:hAnsi="宋体"/>
          <w:b/>
          <w:color w:val="000000" w:themeColor="text1"/>
          <w:sz w:val="24"/>
          <w:szCs w:val="24"/>
          <w:highlight w:val="none"/>
          <w14:textFill>
            <w14:solidFill>
              <w14:schemeClr w14:val="tx1"/>
            </w14:solidFill>
          </w14:textFill>
        </w:rPr>
      </w:pPr>
    </w:p>
    <w:p w14:paraId="52AF274D">
      <w:pPr>
        <w:adjustRightInd w:val="0"/>
        <w:snapToGrid w:val="0"/>
        <w:spacing w:line="360" w:lineRule="auto"/>
        <w:rPr>
          <w:rFonts w:hint="eastAsia" w:hAnsi="宋体"/>
          <w:b/>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highlight w:val="none"/>
          <w14:textFill>
            <w14:solidFill>
              <w14:schemeClr w14:val="tx1"/>
            </w14:solidFill>
          </w14:textFill>
        </w:rPr>
        <w:t>5、本</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采购需求</w:t>
      </w:r>
      <w:r>
        <w:rPr>
          <w:rFonts w:hint="eastAsia" w:ascii="Times New Roman" w:hAnsi="Times New Roman" w:eastAsia="宋体" w:cs="Times New Roman"/>
          <w:b/>
          <w:bCs/>
          <w:color w:val="000000" w:themeColor="text1"/>
          <w:sz w:val="24"/>
          <w:highlight w:val="none"/>
          <w14:textFill>
            <w14:solidFill>
              <w14:schemeClr w14:val="tx1"/>
            </w14:solidFill>
          </w14:textFill>
        </w:rPr>
        <w:t>书中标注“★”号</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技术条款</w:t>
      </w:r>
      <w:r>
        <w:rPr>
          <w:rFonts w:hint="eastAsia" w:ascii="Times New Roman" w:hAnsi="Times New Roman" w:eastAsia="宋体" w:cs="Times New Roman"/>
          <w:b/>
          <w:bCs/>
          <w:color w:val="000000" w:themeColor="text1"/>
          <w:sz w:val="24"/>
          <w:highlight w:val="none"/>
          <w14:textFill>
            <w14:solidFill>
              <w14:schemeClr w14:val="tx1"/>
            </w14:solidFill>
          </w14:textFill>
        </w:rPr>
        <w:t>的为实质性要求，</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不满足</w:t>
      </w:r>
      <w:r>
        <w:rPr>
          <w:rFonts w:hint="eastAsia" w:ascii="Times New Roman" w:hAnsi="Times New Roman" w:eastAsia="宋体" w:cs="Times New Roman"/>
          <w:b/>
          <w:bCs/>
          <w:color w:val="000000" w:themeColor="text1"/>
          <w:sz w:val="24"/>
          <w:highlight w:val="none"/>
          <w14:textFill>
            <w14:solidFill>
              <w14:schemeClr w14:val="tx1"/>
            </w14:solidFill>
          </w14:textFill>
        </w:rPr>
        <w:t>其</w:t>
      </w:r>
      <w:r>
        <w:rPr>
          <w:rFonts w:hint="eastAsia"/>
          <w:b/>
          <w:bCs/>
          <w:color w:val="000000" w:themeColor="text1"/>
          <w:sz w:val="24"/>
          <w:highlight w:val="none"/>
          <w14:textFill>
            <w14:solidFill>
              <w14:schemeClr w14:val="tx1"/>
            </w14:solidFill>
          </w14:textFill>
        </w:rPr>
        <w:t>投标</w:t>
      </w:r>
      <w:r>
        <w:rPr>
          <w:rFonts w:hint="eastAsia"/>
          <w:b/>
          <w:bCs/>
          <w:color w:val="000000" w:themeColor="text1"/>
          <w:sz w:val="24"/>
          <w:highlight w:val="none"/>
          <w:lang w:val="en-US" w:eastAsia="zh-CN"/>
          <w14:textFill>
            <w14:solidFill>
              <w14:schemeClr w14:val="tx1"/>
            </w14:solidFill>
          </w14:textFill>
        </w:rPr>
        <w:t>将视为无效投标被</w:t>
      </w:r>
      <w:r>
        <w:rPr>
          <w:rFonts w:hint="eastAsia"/>
          <w:b/>
          <w:bCs/>
          <w:color w:val="000000" w:themeColor="text1"/>
          <w:sz w:val="24"/>
          <w:highlight w:val="none"/>
          <w14:textFill>
            <w14:solidFill>
              <w14:schemeClr w14:val="tx1"/>
            </w14:solidFill>
          </w14:textFill>
        </w:rPr>
        <w:t>拒绝。</w:t>
      </w:r>
    </w:p>
    <w:p w14:paraId="42078003">
      <w:pPr>
        <w:adjustRightInd w:val="0"/>
        <w:snapToGrid w:val="0"/>
        <w:spacing w:line="360" w:lineRule="auto"/>
        <w:rPr>
          <w:rFonts w:hint="eastAsia" w:ascii="宋体" w:hAnsi="宋体"/>
          <w:b/>
          <w:color w:val="000000" w:themeColor="text1"/>
          <w:sz w:val="24"/>
          <w:highlight w:val="none"/>
          <w14:textFill>
            <w14:solidFill>
              <w14:schemeClr w14:val="tx1"/>
            </w14:solidFill>
          </w14:textFill>
        </w:rPr>
      </w:pPr>
    </w:p>
    <w:p w14:paraId="1F788D7F">
      <w:pPr>
        <w:adjustRightInd w:val="0"/>
        <w:snapToGrid w:val="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6、如在具体技术规格中有本总则不一致之处，以具体技术规格中的要求为准。</w:t>
      </w:r>
    </w:p>
    <w:p w14:paraId="1FA19F69">
      <w:pPr>
        <w:adjustRightInd w:val="0"/>
        <w:snapToGrid w:val="0"/>
        <w:spacing w:line="360" w:lineRule="auto"/>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二、具体技术规格</w:t>
      </w:r>
    </w:p>
    <w:p w14:paraId="6512C77A">
      <w:pPr>
        <w:jc w:val="center"/>
        <w:rPr>
          <w:rFonts w:hint="eastAsia" w:eastAsia="宋体"/>
          <w:b/>
          <w:color w:val="000000" w:themeColor="text1"/>
          <w:sz w:val="24"/>
          <w:highlight w:val="none"/>
          <w:lang w:eastAsia="zh-CN"/>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第1包 </w:t>
      </w:r>
      <w:r>
        <w:rPr>
          <w:rFonts w:hint="eastAsia"/>
          <w:b/>
          <w:color w:val="000000" w:themeColor="text1"/>
          <w:sz w:val="24"/>
          <w:highlight w:val="none"/>
          <w:lang w:eastAsia="zh-CN"/>
          <w14:textFill>
            <w14:solidFill>
              <w14:schemeClr w14:val="tx1"/>
            </w14:solidFill>
          </w14:textFill>
        </w:rPr>
        <w:t>自动化合成系统</w:t>
      </w:r>
    </w:p>
    <w:p w14:paraId="757989F4">
      <w:pPr>
        <w:rPr>
          <w:rFonts w:hint="eastAsia"/>
          <w:b/>
          <w:color w:val="000000" w:themeColor="text1"/>
          <w:sz w:val="24"/>
          <w:highlight w:val="none"/>
          <w14:textFill>
            <w14:solidFill>
              <w14:schemeClr w14:val="tx1"/>
            </w14:solidFill>
          </w14:textFill>
        </w:rPr>
      </w:pPr>
    </w:p>
    <w:p w14:paraId="1D6F9455">
      <w:pPr>
        <w:rPr>
          <w:rFonts w:hint="eastAsia"/>
          <w:b/>
          <w:color w:val="000000" w:themeColor="text1"/>
          <w:sz w:val="24"/>
          <w:highlight w:val="none"/>
          <w14:textFill>
            <w14:solidFill>
              <w14:schemeClr w14:val="tx1"/>
            </w14:solidFill>
          </w14:textFill>
        </w:rPr>
      </w:pPr>
    </w:p>
    <w:p w14:paraId="549F4275">
      <w:pPr>
        <w:numPr>
          <w:ilvl w:val="0"/>
          <w:numId w:val="1"/>
        </w:numP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技术要求：</w:t>
      </w:r>
    </w:p>
    <w:p w14:paraId="0EDBA208">
      <w:pPr>
        <w:rPr>
          <w:b/>
          <w:color w:val="000000" w:themeColor="text1"/>
          <w:sz w:val="24"/>
          <w:highlight w:val="none"/>
          <w14:textFill>
            <w14:solidFill>
              <w14:schemeClr w14:val="tx1"/>
            </w14:solidFill>
          </w14:textFill>
        </w:rPr>
      </w:pPr>
    </w:p>
    <w:p w14:paraId="1D5F1020">
      <w:pPr>
        <w:numPr>
          <w:ilvl w:val="0"/>
          <w:numId w:val="2"/>
        </w:num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工作条件：</w:t>
      </w:r>
    </w:p>
    <w:p w14:paraId="1551DD50">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 见总则第3条。</w:t>
      </w:r>
    </w:p>
    <w:p w14:paraId="3AE159B8">
      <w:pPr>
        <w:spacing w:line="360" w:lineRule="auto"/>
        <w:ind w:left="435" w:firstLine="240"/>
        <w:rPr>
          <w:rFonts w:hint="eastAsia"/>
          <w:color w:val="000000" w:themeColor="text1"/>
          <w:sz w:val="24"/>
          <w:highlight w:val="none"/>
          <w14:textFill>
            <w14:solidFill>
              <w14:schemeClr w14:val="tx1"/>
            </w14:solidFill>
          </w14:textFill>
        </w:rPr>
      </w:pPr>
    </w:p>
    <w:p w14:paraId="072A1286">
      <w:pPr>
        <w:numPr>
          <w:ilvl w:val="0"/>
          <w:numId w:val="2"/>
        </w:num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设备用途：</w:t>
      </w:r>
    </w:p>
    <w:p w14:paraId="7EF4D3AD">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default"/>
          <w:color w:val="000000" w:themeColor="text1"/>
          <w:sz w:val="24"/>
          <w:highlight w:val="none"/>
          <w14:textFill>
            <w14:solidFill>
              <w14:schemeClr w14:val="tx1"/>
            </w14:solidFill>
          </w14:textFill>
        </w:rPr>
        <w:t>用于提升聚酰亚胺智能创制的合成能力。</w:t>
      </w:r>
    </w:p>
    <w:p w14:paraId="6BCD4A0F">
      <w:pPr>
        <w:spacing w:line="360" w:lineRule="auto"/>
        <w:rPr>
          <w:rFonts w:hint="eastAsia"/>
          <w:color w:val="000000" w:themeColor="text1"/>
          <w:sz w:val="24"/>
          <w:highlight w:val="none"/>
          <w14:textFill>
            <w14:solidFill>
              <w14:schemeClr w14:val="tx1"/>
            </w14:solidFill>
          </w14:textFill>
        </w:rPr>
      </w:pPr>
    </w:p>
    <w:p w14:paraId="6416B9C3">
      <w:pPr>
        <w:numPr>
          <w:ilvl w:val="0"/>
          <w:numId w:val="2"/>
        </w:numPr>
        <w:spacing w:line="360" w:lineRule="auto"/>
        <w:rPr>
          <w:rFonts w:hint="eastAsia"/>
          <w:b/>
          <w:bCs/>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技术规格：</w:t>
      </w:r>
    </w:p>
    <w:p w14:paraId="2724A4B8">
      <w:pPr>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合成模块</w:t>
      </w:r>
    </w:p>
    <w:p w14:paraId="2C69D72D">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原料添加精度：固体原料（如二酐、二胺）添加精度需达到±0.1%，液体溶剂（如DMAc）添加精度达到±0.5%。</w:t>
      </w:r>
    </w:p>
    <w:p w14:paraId="092C963C">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温度控制范围与精度：反应温度控制范围为-10℃至250℃，精度达到±0.5℃。</w:t>
      </w:r>
    </w:p>
    <w:p w14:paraId="6ABD46F2">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粘度监测与调控精度：粘度监测范围为100 cP至500,000 cP，精度达到±10%，并具备自动补加溶剂功能。</w:t>
      </w:r>
    </w:p>
    <w:p w14:paraId="358A2A98">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★自动化程度与运行稳定性：设备需支持24小时不间断运行，具备全自动加料、搅拌、温度调节和粘度调控功能。</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提供承诺函（格式自拟）作为证明资料，承诺内容要求满足上述参数。承诺函应加盖公章，并由法定代表人或授权代表签署以确保法律效力。未提供承诺函或承诺内容不满足要求的作投标无效处理。</w:t>
      </w:r>
      <w:r>
        <w:rPr>
          <w:rFonts w:hint="eastAsia"/>
          <w:b w:val="0"/>
          <w:bCs w:val="0"/>
          <w:color w:val="000000" w:themeColor="text1"/>
          <w:sz w:val="24"/>
          <w:highlight w:val="none"/>
          <w:lang w:eastAsia="zh-CN"/>
          <w14:textFill>
            <w14:solidFill>
              <w14:schemeClr w14:val="tx1"/>
            </w14:solidFill>
          </w14:textFill>
        </w:rPr>
        <w:t>）</w:t>
      </w:r>
    </w:p>
    <w:p w14:paraId="16505632">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实现实验效果：依据智能化实验控制与整合系统配置好的实验流程完成实验全过程，包括先后加入所需固体或液体试剂，进行搅拌混合，在加热、回流的同时继续向反应体系添加试剂，并最终得到聚合物胶液。要求产出胶液固含量与实验设计值偏差不超过2%。实验全过程需由智能化合成系统进行灵活调度，实现全自动化完成；设备支持24小时不间断运行；24小时处理通量不小于5；相同实验多次平行开设，最终产物胶液粘度CV值不大于10%。</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提供承诺函（格式自拟）作为证明资料，承诺内容要求满足上述参数。承诺函应加盖公章，并由法定代表人或授权代表签署以确保法律效力。未提供承诺函或承诺内容不满足要求的作投标无效处理。</w:t>
      </w:r>
      <w:r>
        <w:rPr>
          <w:rFonts w:hint="eastAsia"/>
          <w:b w:val="0"/>
          <w:bCs w:val="0"/>
          <w:color w:val="000000" w:themeColor="text1"/>
          <w:sz w:val="24"/>
          <w:highlight w:val="none"/>
          <w:lang w:eastAsia="zh-CN"/>
          <w14:textFill>
            <w14:solidFill>
              <w14:schemeClr w14:val="tx1"/>
            </w14:solidFill>
          </w14:textFill>
        </w:rPr>
        <w:t>）</w:t>
      </w:r>
    </w:p>
    <w:p w14:paraId="3352969F">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移液泵组件：组件需为适配一次性吸头的自动移液枪模组，防止样品转移和试剂定量过程中的交叉污染；单次最大移液体积不小于10000ul，吸入误差 ≤ 1%（体积为10000ul时）；组件需集成吸头有无检测、自动脱吸头、液位检测、尖端堵塞检测功能；可实现一吸多分最小100ul加液量连续加液功能。</w:t>
      </w:r>
    </w:p>
    <w:p w14:paraId="29AC6D0C">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加热及搅拌组件：可放置500ml烧瓶；反应温度控制范围为-10℃至250℃，精度达到±0.5℃；提供内部保温棉用于保温；搅拌转速范围为0-2000rpm；粘度监测范围为100 cP至500</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000 cP，精度达到±10%，并具备自动补加溶剂功能。</w:t>
      </w:r>
    </w:p>
    <w:p w14:paraId="7D08D89D">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回流及分水组件：通过切换阀实现冷凝器和分水器的双功能集成。适用反应瓶最大体积500ml，最高回流温度不低于180℃。</w:t>
      </w:r>
    </w:p>
    <w:p w14:paraId="713E5076">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粉末加样组件：组件支持称量后不经容器中转，直接将粉末倒入带温控组件的大容量反应瓶，并实时监测加样重量；最大加样体积不小于100g；称重传感器精度0.1mg；可在混合、加热冷却和搅拌的情况下操作；固体原料（如二酐、二胺）添加精度需达到±0.1%。</w:t>
      </w:r>
    </w:p>
    <w:p w14:paraId="07F77EF4">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六轴机械臂：负载能力不小于5kg，臂展范围不小于900mm，重复定位精度不大于±0.02mm，防水保护等级≥IP54。</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提供产品彩页或产品说明书作为证明材料</w:t>
      </w:r>
      <w:r>
        <w:rPr>
          <w:rFonts w:hint="eastAsia"/>
          <w:b w:val="0"/>
          <w:bCs w:val="0"/>
          <w:color w:val="000000" w:themeColor="text1"/>
          <w:sz w:val="24"/>
          <w:highlight w:val="none"/>
          <w:lang w:eastAsia="zh-CN"/>
          <w14:textFill>
            <w14:solidFill>
              <w14:schemeClr w14:val="tx1"/>
            </w14:solidFill>
          </w14:textFill>
        </w:rPr>
        <w:t>）</w:t>
      </w:r>
    </w:p>
    <w:p w14:paraId="6C736D55">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电爪/夹爪：用于夹持物料瓶、反应瓶及其他配件；最大抓取力需达到200N，抓取精度≤0.05mm。</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提供产品彩页</w:t>
      </w:r>
      <w:r>
        <w:rPr>
          <w:rFonts w:hint="default"/>
          <w:b w:val="0"/>
          <w:bCs w:val="0"/>
          <w:color w:val="000000" w:themeColor="text1"/>
          <w:sz w:val="24"/>
          <w:highlight w:val="none"/>
          <w14:textFill>
            <w14:solidFill>
              <w14:schemeClr w14:val="tx1"/>
            </w14:solidFill>
          </w14:textFill>
        </w:rPr>
        <w:t>或产品说明书作为证明材料</w:t>
      </w:r>
      <w:r>
        <w:rPr>
          <w:rFonts w:hint="eastAsia"/>
          <w:b w:val="0"/>
          <w:bCs w:val="0"/>
          <w:color w:val="000000" w:themeColor="text1"/>
          <w:sz w:val="24"/>
          <w:highlight w:val="none"/>
          <w:lang w:eastAsia="zh-CN"/>
          <w14:textFill>
            <w14:solidFill>
              <w14:schemeClr w14:val="tx1"/>
            </w14:solidFill>
          </w14:textFill>
        </w:rPr>
        <w:t>）</w:t>
      </w:r>
    </w:p>
    <w:p w14:paraId="7B281FB3">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夹爪快换组件：用于快速更换六轴机械臂的末端夹爪，以便于抓取不同的物料。偶合/退偶时间0.5s，最大偶合距离1mm，重复定位精度±0.01mm，最大负载5kg。</w:t>
      </w:r>
    </w:p>
    <w:p w14:paraId="27E436E0">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直线模组：最大负载85kg，重复定位精度±0.08mm，标准行程50-3500mm。保证寿命10000公里。</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提供产品彩页或产品说明书作为证明材料</w:t>
      </w:r>
      <w:r>
        <w:rPr>
          <w:rFonts w:hint="eastAsia"/>
          <w:b w:val="0"/>
          <w:bCs w:val="0"/>
          <w:color w:val="000000" w:themeColor="text1"/>
          <w:sz w:val="24"/>
          <w:highlight w:val="none"/>
          <w:lang w:eastAsia="zh-CN"/>
          <w14:textFill>
            <w14:solidFill>
              <w14:schemeClr w14:val="tx1"/>
            </w14:solidFill>
          </w14:textFill>
        </w:rPr>
        <w:t>）</w:t>
      </w:r>
    </w:p>
    <w:p w14:paraId="3E38E1B6">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物料存放组件：反应器最大容积不小于500mL，存储工位不少于5个，防呆设计；粉末物料瓶最大容积不小于100ml，存储工位不少于5个；液体物料瓶最大容积不小于200ml，存储工位不少于15个。（按通量5次/天）</w:t>
      </w:r>
    </w:p>
    <w:p w14:paraId="3299C1FA">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识别检测组件：支持在物料瓶上粘贴二维码/条形码；支持通过传感器识别物料位置及是否存在漏放及转运过程中出现物料瓶脱离等问题；支持通过扫码器识别所需物料，避免物料错拿等问题。扫码器识别精度≥3mil/、像素1280*800、视场角度水平48.5°、视场角度垂直30.7°。</w:t>
      </w:r>
    </w:p>
    <w:p w14:paraId="5C28E35A">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清洗组件：用于自动化清洗冷凝回流管，使用气液两用泵和三通电磁阀，分别连接清洗液和大气对冷凝回流管进行清洗和吹干，保证下次使用。清洗泵流量范围为10-60ml/min；使用寿命≥1000h。</w:t>
      </w:r>
    </w:p>
    <w:p w14:paraId="724E890E">
      <w:pPr>
        <w:numPr>
          <w:ilvl w:val="0"/>
          <w:numId w:val="0"/>
        </w:numPr>
        <w:spacing w:line="360" w:lineRule="auto"/>
        <w:ind w:leftChars="0"/>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智能化软硬件协同模块</w:t>
      </w:r>
    </w:p>
    <w:p w14:paraId="6736F182">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14:textFill>
            <w14:solidFill>
              <w14:schemeClr w14:val="tx1"/>
            </w14:solidFill>
          </w14:textFill>
        </w:rPr>
        <w:t>★支持与智能化实验控制与整合系统打通，依据该系统的设计要求，提供动作指令下发、状态监控、物料追踪、增删改查的标准接口。</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提供承诺函（格式自拟）作为证明资料，承诺内容要求满足上述参数。承诺函应加盖公章，并由法定代表人或授权代表签署以确保法律效力。未提供承诺函或承诺内容不满足要求的作投标无效处理。</w:t>
      </w:r>
      <w:r>
        <w:rPr>
          <w:rFonts w:hint="eastAsia"/>
          <w:b w:val="0"/>
          <w:bCs w:val="0"/>
          <w:color w:val="000000" w:themeColor="text1"/>
          <w:sz w:val="24"/>
          <w:highlight w:val="none"/>
          <w:lang w:eastAsia="zh-CN"/>
          <w14:textFill>
            <w14:solidFill>
              <w14:schemeClr w14:val="tx1"/>
            </w14:solidFill>
          </w14:textFill>
        </w:rPr>
        <w:t>）</w:t>
      </w:r>
    </w:p>
    <w:p w14:paraId="505312DB">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支持数据</w:t>
      </w:r>
      <w:r>
        <w:rPr>
          <w:rFonts w:hint="default"/>
          <w:b w:val="0"/>
          <w:bCs w:val="0"/>
          <w:color w:val="000000" w:themeColor="text1"/>
          <w:sz w:val="24"/>
          <w:highlight w:val="none"/>
          <w14:textFill>
            <w14:solidFill>
              <w14:schemeClr w14:val="tx1"/>
            </w14:solidFill>
          </w14:textFill>
        </w:rPr>
        <w:t>存储：</w:t>
      </w:r>
      <w:r>
        <w:rPr>
          <w:rFonts w:hint="eastAsia"/>
          <w:b w:val="0"/>
          <w:bCs w:val="0"/>
          <w:color w:val="000000" w:themeColor="text1"/>
          <w:sz w:val="24"/>
          <w:highlight w:val="none"/>
          <w14:textFill>
            <w14:solidFill>
              <w14:schemeClr w14:val="tx1"/>
            </w14:solidFill>
          </w14:textFill>
        </w:rPr>
        <w:t>数据库预置不少于200万条分子数据信息，并支持绘制分子结构后直接检索数据库全库；数据库支持柱状图、饼图可视化，支持分子Smiles结构可视化；数据库支持不少于3种大语言模型进行检索问答。</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提供系统功能截图作为证明</w:t>
      </w:r>
      <w:r>
        <w:rPr>
          <w:rFonts w:hint="eastAsia"/>
          <w:b w:val="0"/>
          <w:bCs w:val="0"/>
          <w:color w:val="000000" w:themeColor="text1"/>
          <w:sz w:val="24"/>
          <w:highlight w:val="none"/>
          <w:lang w:eastAsia="zh-CN"/>
          <w14:textFill>
            <w14:solidFill>
              <w14:schemeClr w14:val="tx1"/>
            </w14:solidFill>
          </w14:textFill>
        </w:rPr>
        <w:t>）</w:t>
      </w:r>
    </w:p>
    <w:p w14:paraId="034717B7">
      <w:pPr>
        <w:numPr>
          <w:ilvl w:val="0"/>
          <w:numId w:val="3"/>
        </w:numPr>
        <w:spacing w:line="360" w:lineRule="auto"/>
        <w:ind w:left="420" w:leftChars="0" w:hanging="420" w:firstLineChars="0"/>
        <w:rPr>
          <w:rFonts w:hint="eastAsia"/>
          <w:b w:val="0"/>
          <w:bCs w:val="0"/>
          <w:color w:val="000000" w:themeColor="text1"/>
          <w:sz w:val="24"/>
          <w:highlight w:val="none"/>
          <w14:textFill>
            <w14:solidFill>
              <w14:schemeClr w14:val="tx1"/>
            </w14:solidFill>
          </w14:textFill>
        </w:rPr>
      </w:pP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支持将合成模块抽象为MCP工具并被智能体系统调用。</w:t>
      </w:r>
      <w:r>
        <w:rPr>
          <w:rFonts w:hint="eastAsia"/>
          <w:b w:val="0"/>
          <w:bCs w:val="0"/>
          <w:color w:val="000000" w:themeColor="text1"/>
          <w:sz w:val="24"/>
          <w:highlight w:val="none"/>
          <w:lang w:eastAsia="zh-CN"/>
          <w14:textFill>
            <w14:solidFill>
              <w14:schemeClr w14:val="tx1"/>
            </w14:solidFill>
          </w14:textFill>
        </w:rPr>
        <w:t>（</w:t>
      </w:r>
      <w:r>
        <w:rPr>
          <w:rFonts w:hint="eastAsia"/>
          <w:b w:val="0"/>
          <w:bCs w:val="0"/>
          <w:color w:val="000000" w:themeColor="text1"/>
          <w:sz w:val="24"/>
          <w:highlight w:val="none"/>
          <w14:textFill>
            <w14:solidFill>
              <w14:schemeClr w14:val="tx1"/>
            </w14:solidFill>
          </w14:textFill>
        </w:rPr>
        <w:t>提供智能体系统调用自动化设备抽象成的MCP工具的截图作为证明材料</w:t>
      </w:r>
      <w:r>
        <w:rPr>
          <w:rFonts w:hint="eastAsia"/>
          <w:b w:val="0"/>
          <w:bCs w:val="0"/>
          <w:color w:val="000000" w:themeColor="text1"/>
          <w:sz w:val="24"/>
          <w:highlight w:val="none"/>
          <w:lang w:eastAsia="zh-CN"/>
          <w14:textFill>
            <w14:solidFill>
              <w14:schemeClr w14:val="tx1"/>
            </w14:solidFill>
          </w14:textFill>
        </w:rPr>
        <w:t>）</w:t>
      </w:r>
    </w:p>
    <w:p w14:paraId="5BC5CFA1">
      <w:pPr>
        <w:spacing w:line="360" w:lineRule="auto"/>
        <w:rPr>
          <w:rFonts w:hint="eastAsia"/>
          <w:b/>
          <w:bCs/>
          <w:color w:val="000000" w:themeColor="text1"/>
          <w:sz w:val="24"/>
          <w:highlight w:val="none"/>
          <w14:textFill>
            <w14:solidFill>
              <w14:schemeClr w14:val="tx1"/>
            </w14:solidFill>
          </w14:textFill>
        </w:rPr>
      </w:pPr>
    </w:p>
    <w:p w14:paraId="3D63BB95">
      <w:pPr>
        <w:numPr>
          <w:ilvl w:val="0"/>
          <w:numId w:val="2"/>
        </w:num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产品配置要求</w:t>
      </w:r>
    </w:p>
    <w:p w14:paraId="06BE565C">
      <w:pPr>
        <w:numPr>
          <w:ilvl w:val="1"/>
          <w:numId w:val="4"/>
        </w:num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自动化合成系统</w:t>
      </w:r>
      <w:r>
        <w:rPr>
          <w:rFonts w:hint="eastAsia"/>
          <w:color w:val="000000" w:themeColor="text1"/>
          <w:sz w:val="24"/>
          <w:highlight w:val="none"/>
          <w:lang w:val="en-US" w:eastAsia="zh-CN"/>
          <w14:textFill>
            <w14:solidFill>
              <w14:schemeClr w14:val="tx1"/>
            </w14:solidFill>
          </w14:textFill>
        </w:rPr>
        <w:t xml:space="preserve"> 1套</w:t>
      </w:r>
    </w:p>
    <w:p w14:paraId="71E04EC0">
      <w:pPr>
        <w:spacing w:line="360" w:lineRule="auto"/>
        <w:ind w:left="523" w:hanging="523" w:hangingChars="218"/>
        <w:rPr>
          <w:rFonts w:hint="eastAsia" w:asci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rFonts w:hint="eastAsia"/>
          <w:color w:val="000000" w:themeColor="text1"/>
          <w:sz w:val="24"/>
          <w:highlight w:val="none"/>
          <w:lang w:val="en-US" w:eastAsia="zh-CN"/>
          <w14:textFill>
            <w14:solidFill>
              <w14:schemeClr w14:val="tx1"/>
            </w14:solidFill>
          </w14:textFill>
        </w:rPr>
        <w:t>2 其它保证仪器设备的正常运行和常规保养所需的附件、专用工具和消耗品。</w:t>
      </w:r>
    </w:p>
    <w:p w14:paraId="7577C78F">
      <w:pPr>
        <w:spacing w:line="360" w:lineRule="auto"/>
        <w:ind w:left="420" w:firstLine="240"/>
        <w:rPr>
          <w:rFonts w:hint="eastAsia"/>
          <w:color w:val="000000" w:themeColor="text1"/>
          <w:sz w:val="24"/>
          <w:highlight w:val="none"/>
          <w14:textFill>
            <w14:solidFill>
              <w14:schemeClr w14:val="tx1"/>
            </w14:solidFill>
          </w14:textFill>
        </w:rPr>
      </w:pPr>
    </w:p>
    <w:p w14:paraId="0FAF5A3D">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5</w:t>
      </w:r>
      <w:r>
        <w:rPr>
          <w:b/>
          <w:color w:val="000000" w:themeColor="text1"/>
          <w:sz w:val="24"/>
          <w:highlight w:val="none"/>
          <w14:textFill>
            <w14:solidFill>
              <w14:schemeClr w14:val="tx1"/>
            </w14:solidFill>
          </w14:textFill>
        </w:rPr>
        <w:t xml:space="preserve">. </w:t>
      </w:r>
      <w:r>
        <w:rPr>
          <w:rFonts w:hint="eastAsia"/>
          <w:b/>
          <w:color w:val="000000" w:themeColor="text1"/>
          <w:sz w:val="24"/>
          <w:highlight w:val="none"/>
          <w14:textFill>
            <w14:solidFill>
              <w14:schemeClr w14:val="tx1"/>
            </w14:solidFill>
          </w14:textFill>
        </w:rPr>
        <w:t>选购附件、备件及消耗品</w:t>
      </w:r>
    </w:p>
    <w:p w14:paraId="59E5FF32">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无</w:t>
      </w:r>
      <w:r>
        <w:rPr>
          <w:rFonts w:hint="eastAsia"/>
          <w:color w:val="000000" w:themeColor="text1"/>
          <w:sz w:val="24"/>
          <w:highlight w:val="none"/>
          <w14:textFill>
            <w14:solidFill>
              <w14:schemeClr w14:val="tx1"/>
            </w14:solidFill>
          </w14:textFill>
        </w:rPr>
        <w:t xml:space="preserve">        </w:t>
      </w:r>
    </w:p>
    <w:p w14:paraId="0E4FA242">
      <w:pPr>
        <w:tabs>
          <w:tab w:val="left" w:pos="540"/>
        </w:tabs>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p>
    <w:p w14:paraId="3ADE3F60">
      <w:pPr>
        <w:tabs>
          <w:tab w:val="left" w:pos="540"/>
        </w:tabs>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6.  技术文件：</w:t>
      </w:r>
    </w:p>
    <w:p w14:paraId="208A2DC5">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无</w:t>
      </w:r>
    </w:p>
    <w:p w14:paraId="36242CF0">
      <w:pPr>
        <w:spacing w:line="360" w:lineRule="auto"/>
        <w:rPr>
          <w:rFonts w:hint="eastAsia"/>
          <w:color w:val="000000" w:themeColor="text1"/>
          <w:sz w:val="24"/>
          <w:highlight w:val="none"/>
          <w:lang w:val="en-US" w:eastAsia="zh-CN"/>
          <w14:textFill>
            <w14:solidFill>
              <w14:schemeClr w14:val="tx1"/>
            </w14:solidFill>
          </w14:textFill>
        </w:rPr>
      </w:pPr>
    </w:p>
    <w:p w14:paraId="156075DC">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（二）质保及售后服务：</w:t>
      </w:r>
    </w:p>
    <w:p w14:paraId="0B8067CF">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1.保修期：安装验收通过之日起一年。</w:t>
      </w:r>
    </w:p>
    <w:p w14:paraId="417BDC1F">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2.在保修期内，任何由制造商选材和制造不当引起的质量问题，厂家负责免费维修。</w:t>
      </w:r>
    </w:p>
    <w:p w14:paraId="751A2219">
      <w:pPr>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3.一年保修期后，每年收取15%服务费</w:t>
      </w:r>
    </w:p>
    <w:p w14:paraId="2752DFFB">
      <w:pPr>
        <w:spacing w:line="360" w:lineRule="auto"/>
        <w:rPr>
          <w:rFonts w:hint="eastAsia"/>
          <w:color w:val="000000" w:themeColor="text1"/>
          <w:sz w:val="24"/>
          <w:highlight w:val="none"/>
          <w:lang w:val="da-DK"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lang w:val="da-DK" w:eastAsia="zh-CN"/>
          <w14:textFill>
            <w14:solidFill>
              <w14:schemeClr w14:val="tx1"/>
            </w14:solidFill>
          </w14:textFill>
        </w:rPr>
        <w:t>培训：提供设备操作培训、实验操作培训、软件应用培训等现场免费培训并提供操作手册。</w:t>
      </w:r>
    </w:p>
    <w:p w14:paraId="60A4ADC4">
      <w:pPr>
        <w:spacing w:line="360" w:lineRule="auto"/>
        <w:rPr>
          <w:rFonts w:hint="eastAsia"/>
          <w:color w:val="000000" w:themeColor="text1"/>
          <w:sz w:val="24"/>
          <w:highlight w:val="none"/>
          <w:lang w:val="da-DK"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lang w:val="da-DK" w:eastAsia="zh-CN"/>
          <w14:textFill>
            <w14:solidFill>
              <w14:schemeClr w14:val="tx1"/>
            </w14:solidFill>
          </w14:textFill>
        </w:rPr>
        <w:t>售后服务响应时间：工程师2小时内远程响应，48小时内上门服务。</w:t>
      </w:r>
    </w:p>
    <w:p w14:paraId="7511B2FA">
      <w:pPr>
        <w:spacing w:line="360" w:lineRule="auto"/>
        <w:rPr>
          <w:rFonts w:hint="eastAsia"/>
          <w:b/>
          <w:color w:val="000000" w:themeColor="text1"/>
          <w:sz w:val="24"/>
          <w:highlight w:val="none"/>
          <w14:textFill>
            <w14:solidFill>
              <w14:schemeClr w14:val="tx1"/>
            </w14:solidFill>
          </w14:textFill>
        </w:rPr>
      </w:pPr>
    </w:p>
    <w:p w14:paraId="460C0837">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（三） 订货数量：</w:t>
      </w:r>
    </w:p>
    <w:p w14:paraId="190249F7">
      <w:pPr>
        <w:spacing w:line="360" w:lineRule="auto"/>
        <w:ind w:firstLine="240" w:firstLineChars="100"/>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1套</w:t>
      </w:r>
    </w:p>
    <w:p w14:paraId="7D0B0582">
      <w:pPr>
        <w:spacing w:line="360" w:lineRule="auto"/>
        <w:rPr>
          <w:rFonts w:hint="eastAsia"/>
          <w:color w:val="000000" w:themeColor="text1"/>
          <w:sz w:val="24"/>
          <w:highlight w:val="none"/>
          <w14:textFill>
            <w14:solidFill>
              <w14:schemeClr w14:val="tx1"/>
            </w14:solidFill>
          </w14:textFill>
        </w:rPr>
      </w:pPr>
    </w:p>
    <w:p w14:paraId="7AD6019D">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w:t>
      </w:r>
      <w:r>
        <w:rPr>
          <w:rFonts w:hint="eastAsia"/>
          <w:b/>
          <w:color w:val="000000" w:themeColor="text1"/>
          <w:sz w:val="24"/>
          <w:highlight w:val="none"/>
          <w:lang w:val="en-US" w:eastAsia="zh-CN"/>
          <w14:textFill>
            <w14:solidFill>
              <w14:schemeClr w14:val="tx1"/>
            </w14:solidFill>
          </w14:textFill>
        </w:rPr>
        <w:t>四</w:t>
      </w:r>
      <w:r>
        <w:rPr>
          <w:rFonts w:hint="eastAsia"/>
          <w:b/>
          <w:color w:val="000000" w:themeColor="text1"/>
          <w:sz w:val="24"/>
          <w:highlight w:val="none"/>
          <w14:textFill>
            <w14:solidFill>
              <w14:schemeClr w14:val="tx1"/>
            </w14:solidFill>
          </w14:textFill>
        </w:rPr>
        <w:t>）交货日期</w:t>
      </w:r>
      <w:r>
        <w:rPr>
          <w:rFonts w:hint="eastAsia"/>
          <w:b/>
          <w:color w:val="000000" w:themeColor="text1"/>
          <w:sz w:val="24"/>
          <w:highlight w:val="none"/>
          <w:lang w:val="en-US" w:eastAsia="zh-CN"/>
          <w14:textFill>
            <w14:solidFill>
              <w14:schemeClr w14:val="tx1"/>
            </w14:solidFill>
          </w14:textFill>
        </w:rPr>
        <w:t>和交货地点（项目现场）</w:t>
      </w:r>
      <w:r>
        <w:rPr>
          <w:rFonts w:hint="eastAsia"/>
          <w:b/>
          <w:color w:val="000000" w:themeColor="text1"/>
          <w:sz w:val="24"/>
          <w:highlight w:val="none"/>
          <w14:textFill>
            <w14:solidFill>
              <w14:schemeClr w14:val="tx1"/>
            </w14:solidFill>
          </w14:textFill>
        </w:rPr>
        <w:t>：</w:t>
      </w:r>
    </w:p>
    <w:p w14:paraId="4FB1265F">
      <w:pPr>
        <w:spacing w:line="36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交</w:t>
      </w:r>
      <w:r>
        <w:rPr>
          <w:rFonts w:hint="eastAsia"/>
          <w:color w:val="000000" w:themeColor="text1"/>
          <w:sz w:val="24"/>
          <w:highlight w:val="none"/>
          <w14:textFill>
            <w14:solidFill>
              <w14:schemeClr w14:val="tx1"/>
            </w14:solidFill>
          </w14:textFill>
        </w:rPr>
        <w:t>货时间</w:t>
      </w:r>
      <w:r>
        <w:rPr>
          <w:rFonts w:hint="eastAsia"/>
          <w:color w:val="000000" w:themeColor="text1"/>
          <w:sz w:val="24"/>
          <w:highlight w:val="none"/>
          <w:lang w:eastAsia="zh-CN"/>
          <w14:textFill>
            <w14:solidFill>
              <w14:schemeClr w14:val="tx1"/>
            </w14:solidFill>
          </w14:textFill>
        </w:rPr>
        <w:t>：收到预付款后</w:t>
      </w:r>
      <w:r>
        <w:rPr>
          <w:rFonts w:hint="eastAsia"/>
          <w:color w:val="000000" w:themeColor="text1"/>
          <w:sz w:val="24"/>
          <w:highlight w:val="none"/>
          <w:lang w:val="en-US" w:eastAsia="zh-CN"/>
          <w14:textFill>
            <w14:solidFill>
              <w14:schemeClr w14:val="tx1"/>
            </w14:solidFill>
          </w14:textFill>
        </w:rPr>
        <w:t>12</w:t>
      </w:r>
      <w:r>
        <w:rPr>
          <w:rFonts w:hint="eastAsia"/>
          <w:color w:val="000000" w:themeColor="text1"/>
          <w:sz w:val="24"/>
          <w:highlight w:val="none"/>
          <w:lang w:eastAsia="zh-CN"/>
          <w14:textFill>
            <w14:solidFill>
              <w14:schemeClr w14:val="tx1"/>
            </w14:solidFill>
          </w14:textFill>
        </w:rPr>
        <w:t>个月内</w:t>
      </w:r>
    </w:p>
    <w:p w14:paraId="64EE2BEC">
      <w:pPr>
        <w:spacing w:line="360" w:lineRule="auto"/>
        <w:ind w:firstLine="240" w:firstLineChars="100"/>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交货地点</w:t>
      </w:r>
      <w:r>
        <w:rPr>
          <w:rFonts w:hint="eastAsia"/>
          <w:color w:val="000000" w:themeColor="text1"/>
          <w:sz w:val="24"/>
          <w:highlight w:val="none"/>
          <w:lang w:eastAsia="zh-CN"/>
          <w14:textFill>
            <w14:solidFill>
              <w14:schemeClr w14:val="tx1"/>
            </w14:solidFill>
          </w14:textFill>
        </w:rPr>
        <w:t>：中国科学院化学研究所</w:t>
      </w:r>
    </w:p>
    <w:p w14:paraId="287E3EEA">
      <w:pPr>
        <w:spacing w:line="360" w:lineRule="auto"/>
        <w:rPr>
          <w:rFonts w:hint="eastAsia"/>
          <w:color w:val="000000" w:themeColor="text1"/>
          <w:sz w:val="24"/>
          <w:highlight w:val="none"/>
          <w:lang w:eastAsia="zh-CN"/>
          <w14:textFill>
            <w14:solidFill>
              <w14:schemeClr w14:val="tx1"/>
            </w14:solidFill>
          </w14:textFill>
        </w:rPr>
      </w:pPr>
    </w:p>
    <w:p w14:paraId="13AB422F">
      <w:pPr>
        <w:spacing w:line="360" w:lineRule="auto"/>
        <w:rPr>
          <w:rFonts w:hint="eastAsia"/>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 xml:space="preserve">（五）付款方式：  </w:t>
      </w:r>
      <w:r>
        <w:rPr>
          <w:rFonts w:hint="eastAsia"/>
          <w:color w:val="000000" w:themeColor="text1"/>
          <w:sz w:val="24"/>
          <w:highlight w:val="none"/>
          <w14:textFill>
            <w14:solidFill>
              <w14:schemeClr w14:val="tx1"/>
            </w14:solidFill>
          </w14:textFill>
        </w:rPr>
        <w:t xml:space="preserve">                                       </w:t>
      </w:r>
    </w:p>
    <w:p w14:paraId="2E13CEBB">
      <w:pPr>
        <w:spacing w:line="360" w:lineRule="auto"/>
        <w:ind w:firstLine="480" w:firstLineChars="200"/>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首付款（签约后）50%，发货款（发货前）40%，验收后（验收报告签字盖章）10%</w:t>
      </w:r>
    </w:p>
    <w:p w14:paraId="03CB97C1">
      <w:pPr>
        <w:spacing w:line="360" w:lineRule="auto"/>
        <w:ind w:firstLine="480" w:firstLineChars="200"/>
        <w:rPr>
          <w:rFonts w:hint="eastAsia"/>
          <w:color w:val="000000" w:themeColor="text1"/>
          <w:sz w:val="24"/>
          <w:highlight w:val="none"/>
          <w:lang w:eastAsia="zh-CN"/>
          <w14:textFill>
            <w14:solidFill>
              <w14:schemeClr w14:val="tx1"/>
            </w14:solidFill>
          </w14:textFill>
        </w:rPr>
      </w:pPr>
    </w:p>
    <w:p w14:paraId="5720DC88">
      <w:pPr>
        <w:spacing w:line="360" w:lineRule="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w:t>
      </w:r>
      <w:r>
        <w:rPr>
          <w:rFonts w:hint="eastAsia"/>
          <w:b/>
          <w:color w:val="000000" w:themeColor="text1"/>
          <w:sz w:val="24"/>
          <w:highlight w:val="none"/>
          <w:lang w:val="en-US" w:eastAsia="zh-CN"/>
          <w14:textFill>
            <w14:solidFill>
              <w14:schemeClr w14:val="tx1"/>
            </w14:solidFill>
          </w14:textFill>
        </w:rPr>
        <w:t>六</w:t>
      </w:r>
      <w:r>
        <w:rPr>
          <w:rFonts w:hint="eastAsia"/>
          <w:b/>
          <w:color w:val="000000" w:themeColor="text1"/>
          <w:sz w:val="24"/>
          <w:highlight w:val="none"/>
          <w14:textFill>
            <w14:solidFill>
              <w14:schemeClr w14:val="tx1"/>
            </w14:solidFill>
          </w14:textFill>
        </w:rPr>
        <w:t>）执行的相关标准</w:t>
      </w:r>
    </w:p>
    <w:p w14:paraId="011EF4A4">
      <w:pPr>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inherit" w:hAnsi="inherit" w:cs="宋体"/>
          <w:color w:val="000000" w:themeColor="text1"/>
          <w:kern w:val="0"/>
          <w:sz w:val="24"/>
          <w:highlight w:val="none"/>
          <w14:textFill>
            <w14:solidFill>
              <w14:schemeClr w14:val="tx1"/>
            </w14:solidFill>
          </w14:textFill>
        </w:rPr>
        <w:t xml:space="preserve">   产品应满足相关国家标准及行业标准。</w:t>
      </w:r>
    </w:p>
    <w:p w14:paraId="34DCA905">
      <w:pPr>
        <w:rPr>
          <w:color w:val="000000" w:themeColor="text1"/>
          <w:highlight w:val="none"/>
          <w14:textFill>
            <w14:solidFill>
              <w14:schemeClr w14:val="tx1"/>
            </w14:solidFill>
          </w14:textFill>
        </w:rPr>
      </w:pPr>
    </w:p>
    <w:bookmarkEnd w:id="1"/>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inherit">
    <w:altName w:val="Noto Serif SC"/>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Noto Serif SC">
    <w:panose1 w:val="02020200000000000000"/>
    <w:charset w:val="86"/>
    <w:family w:val="auto"/>
    <w:pitch w:val="default"/>
    <w:sig w:usb0="20000083" w:usb1="2ADF3C10" w:usb2="00000016" w:usb3="00000000" w:csb0="6006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EF0500"/>
    <w:multiLevelType w:val="multilevel"/>
    <w:tmpl w:val="9CEF0500"/>
    <w:lvl w:ilvl="0" w:tentative="0">
      <w:start w:val="1"/>
      <w:numFmt w:val="decimal"/>
      <w:suff w:val="space"/>
      <w:lvlText w:val="3.%1"/>
      <w:lvlJc w:val="left"/>
      <w:pPr>
        <w:ind w:left="420" w:hanging="420"/>
      </w:pPr>
      <w:rPr>
        <w:rFonts w:hint="default"/>
      </w:rPr>
    </w:lvl>
    <w:lvl w:ilvl="1" w:tentative="0">
      <w:start w:val="1"/>
      <w:numFmt w:val="decimal"/>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744CE5"/>
    <w:rsid w:val="60417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99"/>
    <w:pPr>
      <w:jc w:val="left"/>
    </w:pPr>
    <w:rPr>
      <w:rFonts w:ascii="Cambria" w:hAnsi="Cambria"/>
      <w:szCs w:val="21"/>
    </w:rPr>
  </w:style>
  <w:style w:type="paragraph" w:styleId="3">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2025-11-14T07:58:11Z</dcterms:created>
  <dc:creator>yzjia</dc:creator>
  <cp:lastModifiedBy>godjiao</cp:lastModifiedBy>
  <dcterms:modified xsi:type="dcterms:W3CDTF">2025-11-14T07:58:35Z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eyJoZGlkIjoiY2IxMDc5ODZkZDE5M2E5MjdjM2ZkNDMyYjY0NzE3YmEiLCJ1c2VySWQiOiIyNDgyNzkwNjcifQ==</vt:lpwstr>
  </property>
  <property fmtid="{D5CDD505-2E9C-101B-9397-08002B2CF9AE}" pid="4" name="ICV">
    <vt:lpwstr>B3E482FEEEEF4E218F8988C7469B013F_12</vt:lpwstr>
  </property>
</Properties>
</file>