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3C1DE">
      <w:pPr>
        <w:spacing w:before="312" w:beforeLines="100"/>
        <w:jc w:val="center"/>
        <w:rPr>
          <w:rFonts w:ascii="黑体" w:hAnsi="黑体" w:eastAsia="黑体"/>
          <w:b/>
          <w:color w:val="auto"/>
          <w:spacing w:val="40"/>
          <w:sz w:val="104"/>
          <w:szCs w:val="104"/>
        </w:rPr>
      </w:pPr>
      <w:r>
        <w:rPr>
          <w:rFonts w:hint="eastAsia" w:ascii="黑体" w:hAnsi="黑体" w:eastAsia="黑体"/>
          <w:b/>
          <w:color w:val="auto"/>
          <w:spacing w:val="40"/>
          <w:sz w:val="104"/>
          <w:szCs w:val="104"/>
        </w:rPr>
        <w:t>公开招标文件</w:t>
      </w:r>
    </w:p>
    <w:p w14:paraId="17539ED4">
      <w:pPr>
        <w:jc w:val="center"/>
        <w:rPr>
          <w:rFonts w:ascii="黑体" w:hAnsi="黑体" w:eastAsia="黑体"/>
          <w:color w:val="auto"/>
        </w:rPr>
      </w:pPr>
      <w:r>
        <w:rPr>
          <w:rFonts w:ascii="黑体" w:hAnsi="黑体" w:eastAsia="黑体"/>
          <w:b/>
          <w:bCs/>
          <w:color w:val="auto"/>
          <w:sz w:val="32"/>
          <w:szCs w:val="32"/>
        </w:rPr>
        <w:drawing>
          <wp:inline distT="0" distB="0" distL="0" distR="0">
            <wp:extent cx="3797300" cy="4088130"/>
            <wp:effectExtent l="0" t="0" r="0" b="7620"/>
            <wp:docPr id="3" name="图片 1" descr="有德LOGO(小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有德LOGO(小版)"/>
                    <pic:cNvPicPr>
                      <a:picLocks noChangeAspect="1" noChangeArrowheads="1"/>
                    </pic:cNvPicPr>
                  </pic:nvPicPr>
                  <pic:blipFill>
                    <a:blip r:embed="rId6" cstate="print"/>
                    <a:srcRect/>
                    <a:stretch>
                      <a:fillRect/>
                    </a:stretch>
                  </pic:blipFill>
                  <pic:spPr>
                    <a:xfrm>
                      <a:off x="0" y="0"/>
                      <a:ext cx="3803383" cy="4094778"/>
                    </a:xfrm>
                    <a:prstGeom prst="rect">
                      <a:avLst/>
                    </a:prstGeom>
                    <a:noFill/>
                    <a:ln w="9525">
                      <a:noFill/>
                      <a:miter lim="800000"/>
                      <a:headEnd/>
                      <a:tailEnd/>
                    </a:ln>
                  </pic:spPr>
                </pic:pic>
              </a:graphicData>
            </a:graphic>
          </wp:inline>
        </w:drawing>
      </w:r>
    </w:p>
    <w:tbl>
      <w:tblPr>
        <w:tblStyle w:val="21"/>
        <w:tblW w:w="76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54"/>
        <w:gridCol w:w="5614"/>
      </w:tblGrid>
      <w:tr w14:paraId="2C83D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8" w:hRule="atLeast"/>
          <w:jc w:val="center"/>
        </w:trPr>
        <w:tc>
          <w:tcPr>
            <w:tcW w:w="2054" w:type="dxa"/>
          </w:tcPr>
          <w:p w14:paraId="70A6868F">
            <w:pPr>
              <w:spacing w:before="468" w:beforeLines="150"/>
              <w:rPr>
                <w:rFonts w:ascii="黑体" w:hAnsi="黑体" w:eastAsia="黑体"/>
                <w:b/>
                <w:color w:val="auto"/>
                <w:spacing w:val="40"/>
                <w:sz w:val="28"/>
                <w:szCs w:val="28"/>
              </w:rPr>
            </w:pPr>
            <w:r>
              <w:rPr>
                <w:rFonts w:hint="eastAsia" w:ascii="黑体" w:hAnsi="黑体" w:eastAsia="黑体"/>
                <w:b/>
                <w:color w:val="auto"/>
                <w:spacing w:val="40"/>
                <w:sz w:val="28"/>
                <w:szCs w:val="28"/>
              </w:rPr>
              <w:t>项目名称：</w:t>
            </w:r>
          </w:p>
        </w:tc>
        <w:tc>
          <w:tcPr>
            <w:tcW w:w="5614" w:type="dxa"/>
          </w:tcPr>
          <w:p w14:paraId="0314E8D1">
            <w:pPr>
              <w:tabs>
                <w:tab w:val="left" w:pos="-108"/>
              </w:tabs>
              <w:spacing w:before="468" w:beforeLines="150"/>
              <w:ind w:left="-107" w:leftChars="-51" w:firstLine="3"/>
              <w:jc w:val="left"/>
              <w:rPr>
                <w:rFonts w:ascii="黑体" w:hAnsi="黑体" w:eastAsia="黑体"/>
                <w:b/>
                <w:color w:val="auto"/>
                <w:sz w:val="28"/>
                <w:szCs w:val="28"/>
              </w:rPr>
            </w:pPr>
            <w:r>
              <w:rPr>
                <w:rFonts w:hint="eastAsia" w:ascii="黑体" w:hAnsi="黑体" w:eastAsia="黑体"/>
                <w:b/>
                <w:color w:val="auto"/>
                <w:sz w:val="28"/>
                <w:szCs w:val="28"/>
              </w:rPr>
              <w:t>东莞市汽车技术学校城市轨道交通通信与运营综合实训平台采购项目</w:t>
            </w:r>
          </w:p>
        </w:tc>
      </w:tr>
      <w:tr w14:paraId="44846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2054" w:type="dxa"/>
          </w:tcPr>
          <w:p w14:paraId="3956CEE9">
            <w:pPr>
              <w:rPr>
                <w:rFonts w:ascii="黑体" w:hAnsi="黑体" w:eastAsia="黑体"/>
                <w:b/>
                <w:color w:val="auto"/>
                <w:sz w:val="28"/>
                <w:szCs w:val="28"/>
              </w:rPr>
            </w:pPr>
            <w:r>
              <w:rPr>
                <w:rFonts w:hint="eastAsia" w:ascii="黑体" w:hAnsi="黑体" w:eastAsia="黑体"/>
                <w:b/>
                <w:color w:val="auto"/>
                <w:spacing w:val="40"/>
                <w:sz w:val="28"/>
                <w:szCs w:val="28"/>
              </w:rPr>
              <w:t>项目编号：</w:t>
            </w:r>
          </w:p>
        </w:tc>
        <w:tc>
          <w:tcPr>
            <w:tcW w:w="5614" w:type="dxa"/>
          </w:tcPr>
          <w:p w14:paraId="304170B7">
            <w:pPr>
              <w:tabs>
                <w:tab w:val="left" w:pos="-108"/>
              </w:tabs>
              <w:ind w:left="-107" w:leftChars="-51" w:firstLine="3"/>
              <w:jc w:val="left"/>
              <w:rPr>
                <w:rFonts w:ascii="黑体" w:hAnsi="黑体" w:eastAsia="黑体"/>
                <w:b/>
                <w:color w:val="auto"/>
                <w:sz w:val="28"/>
                <w:szCs w:val="28"/>
              </w:rPr>
            </w:pPr>
            <w:r>
              <w:rPr>
                <w:rFonts w:hint="eastAsia" w:ascii="黑体" w:hAnsi="黑体" w:eastAsia="黑体"/>
                <w:b/>
                <w:color w:val="auto"/>
                <w:sz w:val="28"/>
                <w:szCs w:val="28"/>
              </w:rPr>
              <w:t>YDZB24DGQY0190</w:t>
            </w:r>
          </w:p>
        </w:tc>
      </w:tr>
      <w:tr w14:paraId="4C929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2054" w:type="dxa"/>
          </w:tcPr>
          <w:p w14:paraId="28CD2AB0">
            <w:pPr>
              <w:rPr>
                <w:rFonts w:ascii="黑体" w:hAnsi="黑体" w:eastAsia="黑体"/>
                <w:b/>
                <w:color w:val="auto"/>
                <w:sz w:val="28"/>
                <w:szCs w:val="28"/>
              </w:rPr>
            </w:pPr>
            <w:r>
              <w:rPr>
                <w:rFonts w:hint="eastAsia" w:ascii="黑体" w:hAnsi="黑体" w:eastAsia="黑体"/>
                <w:b/>
                <w:color w:val="auto"/>
                <w:spacing w:val="40"/>
                <w:sz w:val="28"/>
                <w:szCs w:val="28"/>
              </w:rPr>
              <w:t>采购单位：</w:t>
            </w:r>
          </w:p>
        </w:tc>
        <w:tc>
          <w:tcPr>
            <w:tcW w:w="5614" w:type="dxa"/>
          </w:tcPr>
          <w:p w14:paraId="27461AC5">
            <w:pPr>
              <w:tabs>
                <w:tab w:val="left" w:pos="-108"/>
              </w:tabs>
              <w:jc w:val="left"/>
              <w:rPr>
                <w:rFonts w:ascii="黑体" w:hAnsi="黑体" w:eastAsia="黑体"/>
                <w:b/>
                <w:color w:val="auto"/>
                <w:sz w:val="28"/>
                <w:szCs w:val="28"/>
              </w:rPr>
            </w:pPr>
            <w:r>
              <w:rPr>
                <w:rFonts w:hint="eastAsia" w:ascii="黑体" w:hAnsi="黑体" w:eastAsia="黑体"/>
                <w:b/>
                <w:color w:val="auto"/>
                <w:sz w:val="28"/>
                <w:szCs w:val="28"/>
              </w:rPr>
              <w:t>东莞市汽车技术学校</w:t>
            </w:r>
          </w:p>
        </w:tc>
      </w:tr>
      <w:tr w14:paraId="56334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2054" w:type="dxa"/>
          </w:tcPr>
          <w:p w14:paraId="4AABAD45">
            <w:pPr>
              <w:rPr>
                <w:rFonts w:ascii="黑体" w:hAnsi="黑体" w:eastAsia="黑体"/>
                <w:b/>
                <w:color w:val="auto"/>
                <w:sz w:val="28"/>
                <w:szCs w:val="28"/>
              </w:rPr>
            </w:pPr>
            <w:r>
              <w:rPr>
                <w:rFonts w:hint="eastAsia" w:ascii="黑体" w:hAnsi="黑体" w:eastAsia="黑体"/>
                <w:b/>
                <w:color w:val="auto"/>
                <w:spacing w:val="-10"/>
                <w:sz w:val="28"/>
                <w:szCs w:val="28"/>
              </w:rPr>
              <w:t>采购代理机构</w:t>
            </w:r>
            <w:r>
              <w:rPr>
                <w:rFonts w:hint="eastAsia" w:ascii="黑体" w:hAnsi="黑体" w:eastAsia="黑体"/>
                <w:b/>
                <w:color w:val="auto"/>
                <w:sz w:val="28"/>
                <w:szCs w:val="28"/>
              </w:rPr>
              <w:t>：</w:t>
            </w:r>
          </w:p>
        </w:tc>
        <w:tc>
          <w:tcPr>
            <w:tcW w:w="5614" w:type="dxa"/>
          </w:tcPr>
          <w:p w14:paraId="51623799">
            <w:pPr>
              <w:tabs>
                <w:tab w:val="left" w:pos="-108"/>
              </w:tabs>
              <w:ind w:left="-107" w:leftChars="-51" w:firstLine="3"/>
              <w:jc w:val="left"/>
              <w:rPr>
                <w:rFonts w:ascii="黑体" w:hAnsi="黑体" w:eastAsia="黑体"/>
                <w:b/>
                <w:color w:val="auto"/>
                <w:spacing w:val="4"/>
                <w:sz w:val="28"/>
                <w:szCs w:val="28"/>
              </w:rPr>
            </w:pPr>
            <w:r>
              <w:rPr>
                <w:rFonts w:hint="eastAsia" w:ascii="黑体" w:hAnsi="黑体" w:eastAsia="黑体"/>
                <w:b/>
                <w:color w:val="auto"/>
                <w:spacing w:val="4"/>
                <w:sz w:val="28"/>
                <w:szCs w:val="28"/>
              </w:rPr>
              <w:t>广东有德招标采购有限公司</w:t>
            </w:r>
          </w:p>
        </w:tc>
      </w:tr>
    </w:tbl>
    <w:p w14:paraId="17FA8354">
      <w:pPr>
        <w:jc w:val="center"/>
        <w:rPr>
          <w:rFonts w:ascii="黑体" w:hAnsi="黑体" w:eastAsia="黑体"/>
          <w:b/>
          <w:color w:val="auto"/>
          <w:sz w:val="32"/>
          <w:szCs w:val="32"/>
        </w:rPr>
      </w:pPr>
    </w:p>
    <w:p w14:paraId="0D6C93C0">
      <w:pPr>
        <w:spacing w:before="156" w:beforeLines="50" w:line="360" w:lineRule="auto"/>
        <w:jc w:val="center"/>
        <w:rPr>
          <w:rFonts w:ascii="黑体" w:hAnsi="黑体" w:eastAsia="黑体"/>
          <w:b/>
          <w:color w:val="auto"/>
          <w:spacing w:val="60"/>
          <w:sz w:val="28"/>
          <w:szCs w:val="28"/>
        </w:rPr>
      </w:pPr>
      <w:r>
        <w:rPr>
          <w:rFonts w:hint="eastAsia" w:ascii="黑体" w:hAnsi="黑体" w:eastAsia="黑体"/>
          <w:b/>
          <w:color w:val="auto"/>
          <w:spacing w:val="60"/>
          <w:sz w:val="28"/>
          <w:szCs w:val="28"/>
        </w:rPr>
        <w:t>二〇二四年十一月</w:t>
      </w:r>
    </w:p>
    <w:p w14:paraId="2E07D56F">
      <w:pPr>
        <w:pageBreakBefore/>
        <w:spacing w:before="156" w:beforeLines="50" w:after="312" w:afterLines="100" w:line="480" w:lineRule="auto"/>
        <w:jc w:val="center"/>
        <w:rPr>
          <w:rFonts w:ascii="黑体" w:hAnsi="黑体" w:eastAsia="黑体"/>
          <w:b/>
          <w:color w:val="auto"/>
          <w:spacing w:val="60"/>
          <w:sz w:val="44"/>
          <w:szCs w:val="44"/>
        </w:rPr>
      </w:pPr>
      <w:r>
        <w:rPr>
          <w:rFonts w:hint="eastAsia" w:ascii="黑体" w:hAnsi="黑体" w:eastAsia="黑体"/>
          <w:b/>
          <w:color w:val="auto"/>
          <w:spacing w:val="60"/>
          <w:sz w:val="44"/>
          <w:szCs w:val="44"/>
        </w:rPr>
        <w:t>温馨提示</w:t>
      </w:r>
    </w:p>
    <w:p w14:paraId="1FB791D4">
      <w:pPr>
        <w:pStyle w:val="30"/>
        <w:numPr>
          <w:ilvl w:val="0"/>
          <w:numId w:val="1"/>
        </w:numPr>
        <w:spacing w:line="600" w:lineRule="exact"/>
        <w:ind w:firstLineChars="0"/>
        <w:jc w:val="left"/>
        <w:rPr>
          <w:rFonts w:ascii="黑体" w:hAnsi="黑体" w:eastAsia="黑体"/>
          <w:color w:val="auto"/>
          <w:szCs w:val="21"/>
        </w:rPr>
      </w:pPr>
      <w:r>
        <w:rPr>
          <w:rFonts w:hint="eastAsia" w:ascii="黑体" w:hAnsi="黑体" w:eastAsia="黑体"/>
          <w:color w:val="auto"/>
          <w:szCs w:val="21"/>
        </w:rPr>
        <w:t>投标截止时间一到，本公司不接收任何投标文件，因此，请适当提前到达。</w:t>
      </w:r>
    </w:p>
    <w:p w14:paraId="59268DE3">
      <w:pPr>
        <w:pStyle w:val="30"/>
        <w:numPr>
          <w:ilvl w:val="0"/>
          <w:numId w:val="1"/>
        </w:numPr>
        <w:spacing w:line="600" w:lineRule="exact"/>
        <w:ind w:firstLineChars="0"/>
        <w:jc w:val="left"/>
        <w:rPr>
          <w:rFonts w:ascii="黑体" w:hAnsi="黑体" w:eastAsia="黑体"/>
          <w:color w:val="auto"/>
        </w:rPr>
      </w:pPr>
      <w:r>
        <w:rPr>
          <w:rFonts w:hint="eastAsia" w:ascii="黑体" w:hAnsi="黑体" w:eastAsia="黑体"/>
          <w:color w:val="auto"/>
        </w:rPr>
        <w:t>请正确填写《开标一览表》。多包项目请仔细检查包组号，包组号跟包组名称必须一致。</w:t>
      </w:r>
    </w:p>
    <w:p w14:paraId="15B486CC">
      <w:pPr>
        <w:pStyle w:val="30"/>
        <w:numPr>
          <w:ilvl w:val="0"/>
          <w:numId w:val="1"/>
        </w:numPr>
        <w:spacing w:line="600" w:lineRule="exact"/>
        <w:ind w:firstLineChars="0"/>
        <w:jc w:val="left"/>
        <w:rPr>
          <w:rFonts w:ascii="黑体" w:hAnsi="黑体" w:eastAsia="黑体"/>
          <w:color w:val="auto"/>
        </w:rPr>
      </w:pPr>
      <w:r>
        <w:rPr>
          <w:rFonts w:hint="eastAsia" w:ascii="黑体" w:hAnsi="黑体" w:eastAsia="黑体"/>
          <w:color w:val="auto"/>
        </w:rPr>
        <w:t>请仔细检查投标文件是否已按招标文件盖章、签名(或盖私章)、签署日期。</w:t>
      </w:r>
    </w:p>
    <w:p w14:paraId="15B4589E">
      <w:pPr>
        <w:pStyle w:val="30"/>
        <w:numPr>
          <w:ilvl w:val="0"/>
          <w:numId w:val="1"/>
        </w:numPr>
        <w:spacing w:line="600" w:lineRule="exact"/>
        <w:ind w:firstLineChars="0"/>
        <w:jc w:val="left"/>
        <w:rPr>
          <w:rFonts w:ascii="黑体" w:hAnsi="黑体" w:eastAsia="黑体"/>
          <w:color w:val="auto"/>
        </w:rPr>
      </w:pPr>
      <w:r>
        <w:rPr>
          <w:rFonts w:hint="eastAsia" w:ascii="黑体" w:hAnsi="黑体" w:eastAsia="黑体"/>
          <w:color w:val="auto"/>
        </w:rPr>
        <w:t>加★号的条款必须一一响应。</w:t>
      </w:r>
    </w:p>
    <w:p w14:paraId="45D698CD">
      <w:pPr>
        <w:pStyle w:val="30"/>
        <w:numPr>
          <w:ilvl w:val="0"/>
          <w:numId w:val="1"/>
        </w:numPr>
        <w:spacing w:line="600" w:lineRule="exact"/>
        <w:ind w:firstLineChars="0"/>
        <w:jc w:val="left"/>
        <w:rPr>
          <w:rFonts w:ascii="黑体" w:hAnsi="黑体" w:eastAsia="黑体"/>
          <w:color w:val="auto"/>
        </w:rPr>
      </w:pPr>
      <w:r>
        <w:rPr>
          <w:rFonts w:hint="eastAsia" w:ascii="黑体" w:hAnsi="黑体" w:eastAsia="黑体"/>
          <w:color w:val="auto"/>
        </w:rPr>
        <w:t>投标文件应按顺序编制页码。</w:t>
      </w:r>
    </w:p>
    <w:p w14:paraId="7D643EF2">
      <w:pPr>
        <w:numPr>
          <w:ilvl w:val="0"/>
          <w:numId w:val="1"/>
        </w:numPr>
        <w:tabs>
          <w:tab w:val="left" w:pos="420"/>
        </w:tabs>
        <w:spacing w:line="600" w:lineRule="exact"/>
        <w:rPr>
          <w:rFonts w:ascii="黑体" w:hAnsi="黑体" w:eastAsia="黑体"/>
          <w:color w:val="auto"/>
          <w:szCs w:val="21"/>
        </w:rPr>
      </w:pPr>
      <w:r>
        <w:rPr>
          <w:rFonts w:hint="eastAsia" w:ascii="黑体" w:hAnsi="黑体" w:eastAsia="黑体"/>
          <w:color w:val="auto"/>
          <w:szCs w:val="21"/>
        </w:rPr>
        <w:t>投标人如需对项目提出询问或质疑，应按招标文件附件中的询问函和质疑函的格式提交。</w:t>
      </w:r>
    </w:p>
    <w:p w14:paraId="28EC4320">
      <w:pPr>
        <w:tabs>
          <w:tab w:val="left" w:pos="709"/>
        </w:tabs>
        <w:spacing w:before="156" w:beforeLines="50" w:line="600" w:lineRule="exact"/>
        <w:jc w:val="center"/>
        <w:rPr>
          <w:rFonts w:ascii="黑体" w:hAnsi="黑体" w:eastAsia="黑体"/>
          <w:b/>
          <w:color w:val="auto"/>
        </w:rPr>
      </w:pPr>
      <w:r>
        <w:rPr>
          <w:rFonts w:hint="eastAsia" w:ascii="黑体" w:hAnsi="黑体" w:eastAsia="黑体"/>
          <w:b/>
          <w:color w:val="auto"/>
        </w:rPr>
        <w:t xml:space="preserve"> (本提示内容非招标文件的组成部分，仅为善意提醒。如有不一致，以招标文件为准。)</w:t>
      </w:r>
    </w:p>
    <w:p w14:paraId="7A7AFA06">
      <w:pPr>
        <w:tabs>
          <w:tab w:val="left" w:pos="709"/>
        </w:tabs>
        <w:spacing w:before="156" w:beforeLines="50" w:line="600" w:lineRule="exact"/>
        <w:jc w:val="center"/>
        <w:rPr>
          <w:rFonts w:ascii="黑体" w:hAnsi="黑体" w:eastAsia="黑体"/>
          <w:b/>
          <w:color w:val="auto"/>
          <w:sz w:val="24"/>
          <w:szCs w:val="24"/>
        </w:rPr>
      </w:pPr>
      <w:r>
        <w:rPr>
          <w:rFonts w:hint="eastAsia" w:ascii="黑体" w:hAnsi="黑体" w:eastAsia="黑体"/>
          <w:b/>
          <w:color w:val="auto"/>
          <w:sz w:val="24"/>
          <w:szCs w:val="24"/>
        </w:rPr>
        <w:t>使用微信扫描二维码在线获取招标文件</w:t>
      </w:r>
    </w:p>
    <w:p w14:paraId="42049AEB">
      <w:pPr>
        <w:tabs>
          <w:tab w:val="left" w:pos="709"/>
        </w:tabs>
        <w:spacing w:before="156" w:beforeLines="50" w:line="600" w:lineRule="exact"/>
        <w:jc w:val="center"/>
        <w:rPr>
          <w:rFonts w:ascii="黑体" w:hAnsi="黑体" w:eastAsia="黑体"/>
          <w:b/>
          <w:color w:val="auto"/>
          <w:sz w:val="32"/>
          <w:szCs w:val="32"/>
        </w:rPr>
      </w:pPr>
      <w:r>
        <w:rPr>
          <w:rFonts w:ascii="黑体" w:hAnsi="黑体" w:eastAsia="黑体"/>
          <w:b/>
          <w:color w:val="auto"/>
          <w:sz w:val="32"/>
          <w:szCs w:val="32"/>
        </w:rPr>
        <w:drawing>
          <wp:anchor distT="0" distB="0" distL="114300" distR="114300" simplePos="0" relativeHeight="251659264" behindDoc="0" locked="0" layoutInCell="1" allowOverlap="1">
            <wp:simplePos x="0" y="0"/>
            <wp:positionH relativeFrom="column">
              <wp:posOffset>1411605</wp:posOffset>
            </wp:positionH>
            <wp:positionV relativeFrom="paragraph">
              <wp:posOffset>146685</wp:posOffset>
            </wp:positionV>
            <wp:extent cx="2712085" cy="2576195"/>
            <wp:effectExtent l="0" t="0" r="0" b="0"/>
            <wp:wrapNone/>
            <wp:docPr id="6" name="图片 2" descr="C:\Users\ADMINI~1\AppData\Local\Temp\WeChat Files\6b2d4e1d76675bde2c43827105fa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1\AppData\Local\Temp\WeChat Files\6b2d4e1d76675bde2c43827105fa874.jpg"/>
                    <pic:cNvPicPr>
                      <a:picLocks noChangeAspect="1" noChangeArrowheads="1"/>
                    </pic:cNvPicPr>
                  </pic:nvPicPr>
                  <pic:blipFill>
                    <a:blip r:embed="rId7" cstate="print"/>
                    <a:srcRect/>
                    <a:stretch>
                      <a:fillRect/>
                    </a:stretch>
                  </pic:blipFill>
                  <pic:spPr>
                    <a:xfrm>
                      <a:off x="0" y="0"/>
                      <a:ext cx="2712378" cy="2575909"/>
                    </a:xfrm>
                    <a:prstGeom prst="rect">
                      <a:avLst/>
                    </a:prstGeom>
                    <a:noFill/>
                    <a:ln w="9525">
                      <a:noFill/>
                      <a:miter lim="800000"/>
                      <a:headEnd/>
                      <a:tailEnd/>
                    </a:ln>
                  </pic:spPr>
                </pic:pic>
              </a:graphicData>
            </a:graphic>
          </wp:anchor>
        </w:drawing>
      </w:r>
    </w:p>
    <w:p w14:paraId="646742C9">
      <w:pPr>
        <w:tabs>
          <w:tab w:val="left" w:pos="709"/>
        </w:tabs>
        <w:spacing w:before="156" w:beforeLines="50" w:line="600" w:lineRule="exact"/>
        <w:rPr>
          <w:rFonts w:ascii="黑体" w:hAnsi="黑体" w:eastAsia="黑体"/>
          <w:b/>
          <w:color w:val="auto"/>
        </w:rPr>
      </w:pPr>
    </w:p>
    <w:p w14:paraId="781E6F35">
      <w:pPr>
        <w:rPr>
          <w:rFonts w:ascii="黑体" w:hAnsi="黑体" w:eastAsia="黑体"/>
          <w:color w:val="auto"/>
        </w:rPr>
      </w:pPr>
    </w:p>
    <w:p w14:paraId="7AB55843">
      <w:pPr>
        <w:jc w:val="right"/>
        <w:rPr>
          <w:rFonts w:ascii="黑体" w:hAnsi="黑体" w:eastAsia="黑体"/>
          <w:color w:val="auto"/>
        </w:rPr>
      </w:pPr>
    </w:p>
    <w:sdt>
      <w:sdtPr>
        <w:rPr>
          <w:rFonts w:ascii="宋体" w:hAnsi="宋体" w:eastAsia="宋体" w:cstheme="minorBidi"/>
          <w:b w:val="0"/>
          <w:bCs w:val="0"/>
          <w:color w:val="auto"/>
          <w:kern w:val="2"/>
          <w:sz w:val="21"/>
          <w:szCs w:val="22"/>
          <w:lang w:val="zh-CN"/>
        </w:rPr>
        <w:id w:val="-671422043"/>
        <w:docPartObj>
          <w:docPartGallery w:val="Table of Contents"/>
          <w:docPartUnique/>
        </w:docPartObj>
      </w:sdtPr>
      <w:sdtEndPr>
        <w:rPr>
          <w:rFonts w:ascii="黑体" w:hAnsi="黑体" w:eastAsia="黑体" w:cstheme="minorBidi"/>
          <w:b w:val="0"/>
          <w:bCs w:val="0"/>
          <w:color w:val="auto"/>
          <w:kern w:val="2"/>
          <w:sz w:val="21"/>
          <w:szCs w:val="22"/>
          <w:lang w:val="zh-CN"/>
        </w:rPr>
      </w:sdtEndPr>
      <w:sdtContent>
        <w:p w14:paraId="1C04C32B">
          <w:pPr>
            <w:pStyle w:val="35"/>
            <w:keepNext w:val="0"/>
            <w:keepLines w:val="0"/>
            <w:pageBreakBefore/>
            <w:widowControl w:val="0"/>
            <w:spacing w:before="0" w:line="360" w:lineRule="auto"/>
            <w:jc w:val="center"/>
            <w:rPr>
              <w:rFonts w:ascii="黑体" w:hAnsi="黑体" w:eastAsia="黑体"/>
              <w:color w:val="auto"/>
            </w:rPr>
          </w:pPr>
          <w:bookmarkStart w:id="0" w:name="_Toc391367873"/>
          <w:bookmarkStart w:id="1" w:name="_Toc391627747"/>
          <w:bookmarkStart w:id="2" w:name="_Toc405313951"/>
          <w:r>
            <w:rPr>
              <w:rFonts w:hint="eastAsia" w:ascii="黑体" w:hAnsi="黑体" w:eastAsia="黑体"/>
              <w:color w:val="auto"/>
              <w:lang w:val="zh-CN"/>
            </w:rPr>
            <w:t>目   录</w:t>
          </w:r>
        </w:p>
        <w:p w14:paraId="2E500B6A">
          <w:pPr>
            <w:pStyle w:val="16"/>
            <w:rPr>
              <w:rFonts w:ascii="黑体" w:hAnsi="黑体" w:cs="黑体"/>
              <w:color w:val="auto"/>
              <w:kern w:val="2"/>
              <w:sz w:val="21"/>
              <w:szCs w:val="21"/>
            </w:rPr>
          </w:pP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TOC \o "1-3" \h \z \u </w:instrText>
          </w:r>
          <w:r>
            <w:rPr>
              <w:rFonts w:hint="eastAsia" w:ascii="黑体" w:hAnsi="黑体" w:cs="黑体"/>
              <w:color w:val="auto"/>
              <w:sz w:val="21"/>
              <w:szCs w:val="21"/>
            </w:rPr>
            <w:fldChar w:fldCharType="separate"/>
          </w:r>
          <w:r>
            <w:rPr>
              <w:color w:val="auto"/>
            </w:rPr>
            <w:fldChar w:fldCharType="begin"/>
          </w:r>
          <w:r>
            <w:rPr>
              <w:color w:val="auto"/>
            </w:rPr>
            <w:instrText xml:space="preserve"> HYPERLINK \l "_Toc119514285" </w:instrText>
          </w:r>
          <w:r>
            <w:rPr>
              <w:color w:val="auto"/>
            </w:rPr>
            <w:fldChar w:fldCharType="separate"/>
          </w:r>
          <w:r>
            <w:rPr>
              <w:rStyle w:val="26"/>
              <w:rFonts w:hint="eastAsia" w:ascii="黑体" w:hAnsi="黑体" w:cs="黑体"/>
              <w:color w:val="auto"/>
              <w:spacing w:val="20"/>
              <w:sz w:val="21"/>
              <w:szCs w:val="21"/>
            </w:rPr>
            <w:t>第一部分 投标邀请</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_Toc119514285 \h </w:instrText>
          </w:r>
          <w:r>
            <w:rPr>
              <w:rFonts w:hint="eastAsia" w:ascii="黑体" w:hAnsi="黑体" w:cs="黑体"/>
              <w:color w:val="auto"/>
              <w:sz w:val="21"/>
              <w:szCs w:val="21"/>
            </w:rPr>
            <w:fldChar w:fldCharType="separate"/>
          </w:r>
          <w:r>
            <w:rPr>
              <w:rFonts w:hint="eastAsia" w:ascii="黑体" w:hAnsi="黑体" w:cs="黑体"/>
              <w:color w:val="auto"/>
              <w:sz w:val="21"/>
              <w:szCs w:val="21"/>
            </w:rPr>
            <w:t>3</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29C025FC">
          <w:pPr>
            <w:pStyle w:val="16"/>
            <w:rPr>
              <w:rFonts w:ascii="黑体" w:hAnsi="黑体" w:cs="黑体"/>
              <w:color w:val="auto"/>
              <w:kern w:val="2"/>
              <w:sz w:val="21"/>
              <w:szCs w:val="21"/>
            </w:rPr>
          </w:pPr>
          <w:r>
            <w:rPr>
              <w:color w:val="auto"/>
            </w:rPr>
            <w:fldChar w:fldCharType="begin"/>
          </w:r>
          <w:r>
            <w:rPr>
              <w:color w:val="auto"/>
            </w:rPr>
            <w:instrText xml:space="preserve"> HYPERLINK \l "_Toc119514286" </w:instrText>
          </w:r>
          <w:r>
            <w:rPr>
              <w:color w:val="auto"/>
            </w:rPr>
            <w:fldChar w:fldCharType="separate"/>
          </w:r>
          <w:r>
            <w:rPr>
              <w:rStyle w:val="26"/>
              <w:rFonts w:hint="eastAsia" w:ascii="黑体" w:hAnsi="黑体" w:cs="黑体"/>
              <w:color w:val="auto"/>
              <w:spacing w:val="20"/>
              <w:sz w:val="21"/>
              <w:szCs w:val="21"/>
            </w:rPr>
            <w:t>第二部分 采购需求</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_Toc119514286 \h </w:instrText>
          </w:r>
          <w:r>
            <w:rPr>
              <w:rFonts w:hint="eastAsia" w:ascii="黑体" w:hAnsi="黑体" w:cs="黑体"/>
              <w:color w:val="auto"/>
              <w:sz w:val="21"/>
              <w:szCs w:val="21"/>
            </w:rPr>
            <w:fldChar w:fldCharType="separate"/>
          </w:r>
          <w:r>
            <w:rPr>
              <w:rFonts w:hint="eastAsia" w:ascii="黑体" w:hAnsi="黑体" w:cs="黑体"/>
              <w:color w:val="auto"/>
              <w:sz w:val="21"/>
              <w:szCs w:val="21"/>
            </w:rPr>
            <w:t>7</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2A6FDB04">
          <w:pPr>
            <w:pStyle w:val="16"/>
            <w:rPr>
              <w:rFonts w:ascii="黑体" w:hAnsi="黑体" w:cs="黑体"/>
              <w:color w:val="auto"/>
              <w:kern w:val="2"/>
              <w:sz w:val="21"/>
              <w:szCs w:val="21"/>
            </w:rPr>
          </w:pPr>
          <w:r>
            <w:rPr>
              <w:color w:val="auto"/>
            </w:rPr>
            <w:fldChar w:fldCharType="begin"/>
          </w:r>
          <w:r>
            <w:rPr>
              <w:color w:val="auto"/>
            </w:rPr>
            <w:instrText xml:space="preserve"> HYPERLINK \l "_Toc119514287" </w:instrText>
          </w:r>
          <w:r>
            <w:rPr>
              <w:color w:val="auto"/>
            </w:rPr>
            <w:fldChar w:fldCharType="separate"/>
          </w:r>
          <w:r>
            <w:rPr>
              <w:rStyle w:val="26"/>
              <w:rFonts w:hint="eastAsia" w:ascii="黑体" w:hAnsi="黑体" w:cs="黑体"/>
              <w:color w:val="auto"/>
              <w:spacing w:val="20"/>
              <w:sz w:val="21"/>
              <w:szCs w:val="21"/>
            </w:rPr>
            <w:t>第三部分 投标人须知前附表</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_Toc119514287 \h </w:instrText>
          </w:r>
          <w:r>
            <w:rPr>
              <w:rFonts w:hint="eastAsia" w:ascii="黑体" w:hAnsi="黑体" w:cs="黑体"/>
              <w:color w:val="auto"/>
              <w:sz w:val="21"/>
              <w:szCs w:val="21"/>
            </w:rPr>
            <w:fldChar w:fldCharType="separate"/>
          </w:r>
          <w:r>
            <w:rPr>
              <w:rFonts w:hint="eastAsia" w:ascii="黑体" w:hAnsi="黑体" w:cs="黑体"/>
              <w:color w:val="auto"/>
              <w:sz w:val="21"/>
              <w:szCs w:val="21"/>
            </w:rPr>
            <w:t>23</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585012CF">
          <w:pPr>
            <w:pStyle w:val="16"/>
            <w:rPr>
              <w:rFonts w:ascii="黑体" w:hAnsi="黑体" w:cs="黑体"/>
              <w:color w:val="auto"/>
              <w:kern w:val="2"/>
              <w:sz w:val="21"/>
              <w:szCs w:val="21"/>
            </w:rPr>
          </w:pPr>
          <w:r>
            <w:rPr>
              <w:color w:val="auto"/>
            </w:rPr>
            <w:fldChar w:fldCharType="begin"/>
          </w:r>
          <w:r>
            <w:rPr>
              <w:color w:val="auto"/>
            </w:rPr>
            <w:instrText xml:space="preserve"> HYPERLINK \l "_Toc119514288" </w:instrText>
          </w:r>
          <w:r>
            <w:rPr>
              <w:color w:val="auto"/>
            </w:rPr>
            <w:fldChar w:fldCharType="separate"/>
          </w:r>
          <w:r>
            <w:rPr>
              <w:rStyle w:val="26"/>
              <w:rFonts w:hint="eastAsia" w:ascii="黑体" w:hAnsi="黑体" w:cs="黑体"/>
              <w:color w:val="auto"/>
              <w:spacing w:val="20"/>
              <w:sz w:val="21"/>
              <w:szCs w:val="21"/>
            </w:rPr>
            <w:t>第四部分 投标人须知</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_Toc119514288 \h </w:instrText>
          </w:r>
          <w:r>
            <w:rPr>
              <w:rFonts w:hint="eastAsia" w:ascii="黑体" w:hAnsi="黑体" w:cs="黑体"/>
              <w:color w:val="auto"/>
              <w:sz w:val="21"/>
              <w:szCs w:val="21"/>
            </w:rPr>
            <w:fldChar w:fldCharType="separate"/>
          </w:r>
          <w:r>
            <w:rPr>
              <w:rFonts w:hint="eastAsia" w:ascii="黑体" w:hAnsi="黑体" w:cs="黑体"/>
              <w:color w:val="auto"/>
              <w:sz w:val="21"/>
              <w:szCs w:val="21"/>
            </w:rPr>
            <w:t>25</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68EC4AD8">
          <w:pPr>
            <w:pStyle w:val="16"/>
            <w:rPr>
              <w:rFonts w:ascii="黑体" w:hAnsi="黑体" w:cs="黑体"/>
              <w:color w:val="auto"/>
              <w:kern w:val="2"/>
              <w:sz w:val="21"/>
              <w:szCs w:val="21"/>
            </w:rPr>
          </w:pPr>
          <w:r>
            <w:rPr>
              <w:color w:val="auto"/>
            </w:rPr>
            <w:fldChar w:fldCharType="begin"/>
          </w:r>
          <w:r>
            <w:rPr>
              <w:color w:val="auto"/>
            </w:rPr>
            <w:instrText xml:space="preserve"> HYPERLINK \l "_Toc119514289" </w:instrText>
          </w:r>
          <w:r>
            <w:rPr>
              <w:color w:val="auto"/>
            </w:rPr>
            <w:fldChar w:fldCharType="separate"/>
          </w:r>
          <w:r>
            <w:rPr>
              <w:rStyle w:val="26"/>
              <w:rFonts w:hint="eastAsia" w:ascii="黑体" w:hAnsi="黑体" w:cs="黑体"/>
              <w:color w:val="auto"/>
              <w:spacing w:val="20"/>
              <w:sz w:val="21"/>
              <w:szCs w:val="21"/>
            </w:rPr>
            <w:t>第五部分 评标方法、步骤、标准</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_Toc119514289 \h </w:instrText>
          </w:r>
          <w:r>
            <w:rPr>
              <w:rFonts w:hint="eastAsia" w:ascii="黑体" w:hAnsi="黑体" w:cs="黑体"/>
              <w:color w:val="auto"/>
              <w:sz w:val="21"/>
              <w:szCs w:val="21"/>
            </w:rPr>
            <w:fldChar w:fldCharType="separate"/>
          </w:r>
          <w:r>
            <w:rPr>
              <w:rFonts w:hint="eastAsia" w:ascii="黑体" w:hAnsi="黑体" w:cs="黑体"/>
              <w:color w:val="auto"/>
              <w:sz w:val="21"/>
              <w:szCs w:val="21"/>
            </w:rPr>
            <w:t>41</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10C84C19">
          <w:pPr>
            <w:pStyle w:val="16"/>
            <w:rPr>
              <w:rFonts w:ascii="黑体" w:hAnsi="黑体" w:cs="黑体"/>
              <w:color w:val="auto"/>
              <w:kern w:val="2"/>
              <w:sz w:val="21"/>
              <w:szCs w:val="21"/>
            </w:rPr>
          </w:pPr>
          <w:r>
            <w:rPr>
              <w:color w:val="auto"/>
            </w:rPr>
            <w:fldChar w:fldCharType="begin"/>
          </w:r>
          <w:r>
            <w:rPr>
              <w:color w:val="auto"/>
            </w:rPr>
            <w:instrText xml:space="preserve"> HYPERLINK \l "_Toc119514290" </w:instrText>
          </w:r>
          <w:r>
            <w:rPr>
              <w:color w:val="auto"/>
            </w:rPr>
            <w:fldChar w:fldCharType="separate"/>
          </w:r>
          <w:r>
            <w:rPr>
              <w:rStyle w:val="26"/>
              <w:rFonts w:hint="eastAsia" w:ascii="黑体" w:hAnsi="黑体" w:cs="黑体"/>
              <w:color w:val="auto"/>
              <w:spacing w:val="20"/>
              <w:sz w:val="21"/>
              <w:szCs w:val="21"/>
            </w:rPr>
            <w:t>第六部分 合同书格式</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_Toc119514290 \h </w:instrText>
          </w:r>
          <w:r>
            <w:rPr>
              <w:rFonts w:hint="eastAsia" w:ascii="黑体" w:hAnsi="黑体" w:cs="黑体"/>
              <w:color w:val="auto"/>
              <w:sz w:val="21"/>
              <w:szCs w:val="21"/>
            </w:rPr>
            <w:fldChar w:fldCharType="separate"/>
          </w:r>
          <w:r>
            <w:rPr>
              <w:rFonts w:hint="eastAsia" w:ascii="黑体" w:hAnsi="黑体" w:cs="黑体"/>
              <w:color w:val="auto"/>
              <w:sz w:val="21"/>
              <w:szCs w:val="21"/>
            </w:rPr>
            <w:t>51</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053E00D5">
          <w:pPr>
            <w:pStyle w:val="16"/>
            <w:rPr>
              <w:rFonts w:ascii="黑体" w:hAnsi="黑体" w:cs="黑体"/>
              <w:color w:val="auto"/>
              <w:kern w:val="2"/>
              <w:sz w:val="21"/>
              <w:szCs w:val="21"/>
            </w:rPr>
          </w:pPr>
          <w:r>
            <w:rPr>
              <w:color w:val="auto"/>
            </w:rPr>
            <w:fldChar w:fldCharType="begin"/>
          </w:r>
          <w:r>
            <w:rPr>
              <w:color w:val="auto"/>
            </w:rPr>
            <w:instrText xml:space="preserve"> HYPERLINK \l "_Toc119514291" </w:instrText>
          </w:r>
          <w:r>
            <w:rPr>
              <w:color w:val="auto"/>
            </w:rPr>
            <w:fldChar w:fldCharType="separate"/>
          </w:r>
          <w:r>
            <w:rPr>
              <w:rStyle w:val="26"/>
              <w:rFonts w:hint="eastAsia" w:ascii="黑体" w:hAnsi="黑体" w:cs="黑体"/>
              <w:color w:val="auto"/>
              <w:spacing w:val="20"/>
              <w:sz w:val="21"/>
              <w:szCs w:val="21"/>
            </w:rPr>
            <w:t>第七部分 投标文件格式</w:t>
          </w:r>
          <w:r>
            <w:rPr>
              <w:rFonts w:hint="eastAsia" w:ascii="黑体" w:hAnsi="黑体" w:cs="黑体"/>
              <w:color w:val="auto"/>
              <w:sz w:val="21"/>
              <w:szCs w:val="21"/>
            </w:rPr>
            <w:tab/>
          </w:r>
          <w:r>
            <w:rPr>
              <w:rFonts w:hint="eastAsia" w:ascii="黑体" w:hAnsi="黑体" w:cs="黑体"/>
              <w:color w:val="auto"/>
              <w:sz w:val="21"/>
              <w:szCs w:val="21"/>
            </w:rPr>
            <w:fldChar w:fldCharType="begin"/>
          </w:r>
          <w:r>
            <w:rPr>
              <w:rFonts w:hint="eastAsia" w:ascii="黑体" w:hAnsi="黑体" w:cs="黑体"/>
              <w:color w:val="auto"/>
              <w:sz w:val="21"/>
              <w:szCs w:val="21"/>
            </w:rPr>
            <w:instrText xml:space="preserve"> PAGEREF _Toc119514291 \h </w:instrText>
          </w:r>
          <w:r>
            <w:rPr>
              <w:rFonts w:hint="eastAsia" w:ascii="黑体" w:hAnsi="黑体" w:cs="黑体"/>
              <w:color w:val="auto"/>
              <w:sz w:val="21"/>
              <w:szCs w:val="21"/>
            </w:rPr>
            <w:fldChar w:fldCharType="separate"/>
          </w:r>
          <w:r>
            <w:rPr>
              <w:rFonts w:hint="eastAsia" w:ascii="黑体" w:hAnsi="黑体" w:cs="黑体"/>
              <w:color w:val="auto"/>
              <w:sz w:val="21"/>
              <w:szCs w:val="21"/>
            </w:rPr>
            <w:t>58</w:t>
          </w:r>
          <w:r>
            <w:rPr>
              <w:rFonts w:hint="eastAsia" w:ascii="黑体" w:hAnsi="黑体" w:cs="黑体"/>
              <w:color w:val="auto"/>
              <w:sz w:val="21"/>
              <w:szCs w:val="21"/>
            </w:rPr>
            <w:fldChar w:fldCharType="end"/>
          </w:r>
          <w:r>
            <w:rPr>
              <w:rFonts w:hint="eastAsia" w:ascii="黑体" w:hAnsi="黑体" w:cs="黑体"/>
              <w:color w:val="auto"/>
              <w:sz w:val="21"/>
              <w:szCs w:val="21"/>
            </w:rPr>
            <w:fldChar w:fldCharType="end"/>
          </w:r>
        </w:p>
        <w:p w14:paraId="4F9E1ECD">
          <w:pPr>
            <w:spacing w:line="360" w:lineRule="auto"/>
            <w:rPr>
              <w:rFonts w:ascii="黑体" w:hAnsi="黑体" w:eastAsia="黑体"/>
              <w:color w:val="auto"/>
            </w:rPr>
          </w:pPr>
          <w:r>
            <w:rPr>
              <w:rFonts w:hint="eastAsia" w:ascii="黑体" w:hAnsi="黑体" w:eastAsia="黑体" w:cs="黑体"/>
              <w:b/>
              <w:bCs/>
              <w:color w:val="auto"/>
              <w:szCs w:val="21"/>
              <w:lang w:val="zh-CN"/>
            </w:rPr>
            <w:fldChar w:fldCharType="end"/>
          </w:r>
        </w:p>
      </w:sdtContent>
    </w:sdt>
    <w:p w14:paraId="471B3DFE">
      <w:pPr>
        <w:pStyle w:val="3"/>
        <w:keepNext w:val="0"/>
        <w:keepLines w:val="0"/>
        <w:pageBreakBefore/>
        <w:spacing w:before="120" w:after="120" w:line="360" w:lineRule="auto"/>
        <w:jc w:val="center"/>
        <w:rPr>
          <w:rFonts w:ascii="黑体" w:hAnsi="黑体" w:eastAsia="黑体"/>
          <w:color w:val="auto"/>
          <w:spacing w:val="20"/>
          <w:sz w:val="32"/>
          <w:szCs w:val="32"/>
        </w:rPr>
      </w:pPr>
      <w:bookmarkStart w:id="3" w:name="_Toc119514285"/>
      <w:r>
        <w:rPr>
          <w:rFonts w:hint="eastAsia" w:ascii="黑体" w:hAnsi="黑体" w:eastAsia="黑体"/>
          <w:color w:val="auto"/>
          <w:spacing w:val="20"/>
          <w:sz w:val="32"/>
          <w:szCs w:val="32"/>
        </w:rPr>
        <w:t>第一部分</w:t>
      </w:r>
      <w:r>
        <w:rPr>
          <w:rFonts w:ascii="黑体" w:hAnsi="黑体" w:eastAsia="黑体"/>
          <w:color w:val="auto"/>
          <w:spacing w:val="20"/>
          <w:sz w:val="32"/>
          <w:szCs w:val="32"/>
        </w:rPr>
        <w:t xml:space="preserve"> </w:t>
      </w:r>
      <w:r>
        <w:rPr>
          <w:rFonts w:hint="eastAsia" w:ascii="黑体" w:hAnsi="黑体" w:eastAsia="黑体"/>
          <w:color w:val="auto"/>
          <w:spacing w:val="20"/>
          <w:sz w:val="32"/>
          <w:szCs w:val="32"/>
        </w:rPr>
        <w:t>投标邀请</w:t>
      </w:r>
      <w:bookmarkEnd w:id="0"/>
      <w:bookmarkEnd w:id="1"/>
      <w:bookmarkEnd w:id="2"/>
      <w:bookmarkEnd w:id="3"/>
    </w:p>
    <w:p w14:paraId="5DE4654E">
      <w:pPr>
        <w:widowControl/>
        <w:spacing w:before="156" w:beforeLines="50" w:after="156" w:afterLines="50" w:line="360" w:lineRule="atLeast"/>
        <w:jc w:val="left"/>
        <w:rPr>
          <w:rFonts w:ascii="黑体" w:hAnsi="黑体" w:eastAsia="黑体" w:cs="宋体"/>
          <w:b/>
          <w:color w:val="auto"/>
          <w:kern w:val="0"/>
          <w:sz w:val="24"/>
          <w:szCs w:val="24"/>
        </w:rPr>
      </w:pPr>
      <w:r>
        <w:rPr>
          <w:rFonts w:hint="eastAsia" w:ascii="黑体" w:hAnsi="黑体" w:eastAsia="黑体" w:cs="宋体"/>
          <w:b/>
          <w:color w:val="auto"/>
          <w:kern w:val="0"/>
          <w:sz w:val="24"/>
          <w:szCs w:val="24"/>
        </w:rPr>
        <w:t>项目概况</w:t>
      </w:r>
    </w:p>
    <w:p w14:paraId="5368C9FB">
      <w:pPr>
        <w:tabs>
          <w:tab w:val="left" w:pos="426"/>
        </w:tabs>
        <w:spacing w:before="312" w:beforeLines="100" w:line="360" w:lineRule="auto"/>
        <w:ind w:firstLine="420" w:firstLineChars="200"/>
        <w:rPr>
          <w:rFonts w:ascii="黑体" w:hAnsi="黑体" w:eastAsia="黑体"/>
          <w:color w:val="auto"/>
          <w:szCs w:val="21"/>
        </w:rPr>
      </w:pPr>
      <w:r>
        <w:rPr>
          <w:rFonts w:hint="eastAsia" w:ascii="黑体" w:hAnsi="黑体" w:eastAsia="黑体" w:cs="宋体"/>
          <w:color w:val="auto"/>
          <w:kern w:val="0"/>
          <w:szCs w:val="21"/>
          <w:u w:val="single"/>
        </w:rPr>
        <w:t>东莞市汽车技术学校城市轨道交通通信与运营综合实训平台采购项目</w:t>
      </w:r>
      <w:r>
        <w:rPr>
          <w:rFonts w:hint="eastAsia" w:ascii="黑体" w:hAnsi="黑体" w:eastAsia="黑体" w:cs="宋体"/>
          <w:color w:val="auto"/>
          <w:kern w:val="0"/>
          <w:szCs w:val="21"/>
        </w:rPr>
        <w:t>的潜在投标人应在</w:t>
      </w:r>
      <w:r>
        <w:rPr>
          <w:rFonts w:hint="eastAsia" w:ascii="黑体" w:hAnsi="黑体" w:eastAsia="黑体" w:cs="宋体"/>
          <w:color w:val="auto"/>
          <w:kern w:val="0"/>
          <w:szCs w:val="21"/>
          <w:u w:val="single"/>
        </w:rPr>
        <w:t>东莞市东城街道新源路海德琥珀台6栋1703室（有德招标）或使用微信扫描二维码进行获取（二维码详见招标文件温馨提示）或微信搜索公众号“有德招标东莞分公司”</w:t>
      </w:r>
      <w:r>
        <w:rPr>
          <w:rFonts w:hint="eastAsia" w:ascii="黑体" w:hAnsi="黑体" w:eastAsia="黑体" w:cs="宋体"/>
          <w:color w:val="auto"/>
          <w:kern w:val="0"/>
          <w:szCs w:val="21"/>
        </w:rPr>
        <w:t>获取招标文件，并于</w:t>
      </w:r>
      <w:r>
        <w:rPr>
          <w:rFonts w:hint="eastAsia" w:ascii="黑体" w:hAnsi="黑体" w:eastAsia="黑体" w:cs="宋体"/>
          <w:color w:val="auto"/>
          <w:kern w:val="0"/>
          <w:szCs w:val="21"/>
          <w:u w:val="single"/>
        </w:rPr>
        <w:t>2024</w:t>
      </w:r>
      <w:r>
        <w:rPr>
          <w:rFonts w:hint="eastAsia" w:ascii="黑体" w:hAnsi="黑体" w:eastAsia="黑体" w:cs="宋体"/>
          <w:color w:val="auto"/>
          <w:kern w:val="0"/>
          <w:szCs w:val="21"/>
        </w:rPr>
        <w:t>年</w:t>
      </w:r>
      <w:r>
        <w:rPr>
          <w:rFonts w:hint="eastAsia" w:ascii="黑体" w:hAnsi="黑体" w:eastAsia="黑体" w:cs="宋体"/>
          <w:color w:val="auto"/>
          <w:kern w:val="0"/>
          <w:szCs w:val="21"/>
          <w:u w:val="single"/>
          <w:lang w:val="en-US" w:eastAsia="zh-CN"/>
        </w:rPr>
        <w:t>11</w:t>
      </w:r>
      <w:r>
        <w:rPr>
          <w:rFonts w:hint="eastAsia" w:ascii="黑体" w:hAnsi="黑体" w:eastAsia="黑体" w:cs="宋体"/>
          <w:color w:val="auto"/>
          <w:kern w:val="0"/>
          <w:szCs w:val="21"/>
        </w:rPr>
        <w:t>月</w:t>
      </w:r>
      <w:r>
        <w:rPr>
          <w:rFonts w:hint="eastAsia" w:ascii="黑体" w:hAnsi="黑体" w:eastAsia="黑体" w:cs="宋体"/>
          <w:color w:val="auto"/>
          <w:kern w:val="0"/>
          <w:szCs w:val="21"/>
          <w:u w:val="single"/>
          <w:lang w:val="en-US" w:eastAsia="zh-CN"/>
        </w:rPr>
        <w:t>29</w:t>
      </w:r>
      <w:r>
        <w:rPr>
          <w:rFonts w:hint="eastAsia" w:ascii="黑体" w:hAnsi="黑体" w:eastAsia="黑体" w:cs="宋体"/>
          <w:color w:val="auto"/>
          <w:kern w:val="0"/>
          <w:szCs w:val="21"/>
        </w:rPr>
        <w:t>日</w:t>
      </w:r>
      <w:r>
        <w:rPr>
          <w:rFonts w:hint="eastAsia" w:ascii="黑体" w:hAnsi="黑体" w:eastAsia="黑体" w:cs="宋体"/>
          <w:color w:val="auto"/>
          <w:kern w:val="0"/>
          <w:szCs w:val="21"/>
          <w:u w:val="single"/>
          <w:lang w:val="en-US" w:eastAsia="zh-CN"/>
        </w:rPr>
        <w:t>14</w:t>
      </w:r>
      <w:r>
        <w:rPr>
          <w:rFonts w:hint="eastAsia" w:ascii="黑体" w:hAnsi="黑体" w:eastAsia="黑体" w:cs="宋体"/>
          <w:color w:val="auto"/>
          <w:kern w:val="0"/>
          <w:szCs w:val="21"/>
        </w:rPr>
        <w:t>点</w:t>
      </w:r>
      <w:r>
        <w:rPr>
          <w:rFonts w:hint="eastAsia" w:ascii="黑体" w:hAnsi="黑体" w:eastAsia="黑体" w:cs="宋体"/>
          <w:color w:val="auto"/>
          <w:kern w:val="0"/>
          <w:szCs w:val="21"/>
          <w:u w:val="single"/>
          <w:lang w:val="en-US" w:eastAsia="zh-CN"/>
        </w:rPr>
        <w:t>30</w:t>
      </w:r>
      <w:r>
        <w:rPr>
          <w:rFonts w:hint="eastAsia" w:ascii="黑体" w:hAnsi="黑体" w:eastAsia="黑体" w:cs="宋体"/>
          <w:color w:val="auto"/>
          <w:kern w:val="0"/>
          <w:szCs w:val="21"/>
        </w:rPr>
        <w:t>分（北京时间）前递交投标文件。</w:t>
      </w:r>
    </w:p>
    <w:p w14:paraId="37E55F9A">
      <w:pPr>
        <w:pStyle w:val="30"/>
        <w:numPr>
          <w:ilvl w:val="0"/>
          <w:numId w:val="2"/>
        </w:numPr>
        <w:tabs>
          <w:tab w:val="left" w:pos="426"/>
        </w:tabs>
        <w:spacing w:before="312" w:beforeLines="100" w:line="360" w:lineRule="auto"/>
        <w:ind w:firstLineChars="0"/>
        <w:rPr>
          <w:rFonts w:ascii="黑体" w:hAnsi="黑体" w:eastAsia="黑体"/>
          <w:color w:val="auto"/>
          <w:szCs w:val="21"/>
        </w:rPr>
      </w:pPr>
      <w:r>
        <w:rPr>
          <w:rFonts w:hint="eastAsia" w:ascii="黑体" w:hAnsi="黑体" w:eastAsia="黑体"/>
          <w:b/>
          <w:color w:val="auto"/>
          <w:szCs w:val="21"/>
        </w:rPr>
        <w:t>项目基本情况：</w:t>
      </w:r>
    </w:p>
    <w:p w14:paraId="25357CC7">
      <w:pPr>
        <w:tabs>
          <w:tab w:val="left" w:pos="426"/>
        </w:tabs>
        <w:spacing w:line="360" w:lineRule="auto"/>
        <w:ind w:left="420" w:hanging="420" w:hangingChars="200"/>
        <w:rPr>
          <w:rFonts w:hint="eastAsia" w:ascii="黑体" w:hAnsi="黑体" w:eastAsia="黑体"/>
          <w:color w:val="auto"/>
          <w:szCs w:val="21"/>
          <w:u w:val="single"/>
          <w:lang w:eastAsia="zh-CN"/>
        </w:rPr>
      </w:pPr>
      <w:r>
        <w:rPr>
          <w:rFonts w:hint="eastAsia" w:ascii="黑体" w:hAnsi="黑体" w:eastAsia="黑体"/>
          <w:color w:val="auto"/>
          <w:szCs w:val="21"/>
        </w:rPr>
        <w:t>项目编号：</w:t>
      </w:r>
      <w:r>
        <w:rPr>
          <w:rFonts w:hint="eastAsia" w:ascii="黑体" w:hAnsi="黑体" w:eastAsia="黑体"/>
          <w:color w:val="auto"/>
          <w:szCs w:val="21"/>
          <w:lang w:eastAsia="zh-CN"/>
        </w:rPr>
        <w:t>YDZB24DGQY0190</w:t>
      </w:r>
    </w:p>
    <w:p w14:paraId="33A1F96A">
      <w:pPr>
        <w:tabs>
          <w:tab w:val="left" w:pos="426"/>
        </w:tabs>
        <w:spacing w:line="360" w:lineRule="auto"/>
        <w:ind w:left="420" w:hanging="420" w:hangingChars="200"/>
        <w:rPr>
          <w:rFonts w:ascii="黑体" w:hAnsi="黑体" w:eastAsia="黑体"/>
          <w:color w:val="auto"/>
          <w:szCs w:val="21"/>
        </w:rPr>
      </w:pPr>
      <w:r>
        <w:rPr>
          <w:rFonts w:hint="eastAsia" w:ascii="黑体" w:hAnsi="黑体" w:eastAsia="黑体"/>
          <w:color w:val="auto"/>
          <w:szCs w:val="21"/>
        </w:rPr>
        <w:t>项目名称：东莞市汽车技术学校城市轨道交通通信与运营综合实训平台采购项目</w:t>
      </w:r>
    </w:p>
    <w:p w14:paraId="0FD25A13">
      <w:pPr>
        <w:tabs>
          <w:tab w:val="left" w:pos="426"/>
        </w:tabs>
        <w:spacing w:line="360" w:lineRule="auto"/>
        <w:ind w:left="420" w:hanging="420" w:hangingChars="200"/>
        <w:rPr>
          <w:rFonts w:ascii="黑体" w:hAnsi="黑体" w:eastAsia="黑体"/>
          <w:color w:val="auto"/>
          <w:szCs w:val="21"/>
        </w:rPr>
      </w:pPr>
      <w:r>
        <w:rPr>
          <w:rFonts w:hint="eastAsia" w:ascii="黑体" w:hAnsi="黑体" w:eastAsia="黑体"/>
          <w:color w:val="auto"/>
          <w:szCs w:val="21"/>
        </w:rPr>
        <w:t>采购方式：公开招标</w:t>
      </w:r>
    </w:p>
    <w:p w14:paraId="7A906DA8">
      <w:pPr>
        <w:tabs>
          <w:tab w:val="left" w:pos="426"/>
        </w:tabs>
        <w:spacing w:line="360" w:lineRule="auto"/>
        <w:ind w:left="420" w:hanging="420" w:hangingChars="200"/>
        <w:rPr>
          <w:rFonts w:ascii="黑体" w:hAnsi="黑体" w:eastAsia="黑体"/>
          <w:color w:val="auto"/>
          <w:szCs w:val="21"/>
        </w:rPr>
      </w:pPr>
      <w:r>
        <w:rPr>
          <w:rFonts w:hint="eastAsia" w:ascii="黑体" w:hAnsi="黑体" w:eastAsia="黑体"/>
          <w:color w:val="auto"/>
          <w:szCs w:val="21"/>
        </w:rPr>
        <w:t>预算金额：383,000.00元</w:t>
      </w:r>
    </w:p>
    <w:p w14:paraId="40D6CDE0">
      <w:pPr>
        <w:tabs>
          <w:tab w:val="left" w:pos="426"/>
        </w:tabs>
        <w:spacing w:line="360" w:lineRule="auto"/>
        <w:ind w:left="420" w:hanging="420" w:hangingChars="200"/>
        <w:rPr>
          <w:rFonts w:ascii="黑体" w:hAnsi="黑体" w:eastAsia="黑体"/>
          <w:color w:val="auto"/>
          <w:szCs w:val="21"/>
        </w:rPr>
      </w:pPr>
      <w:r>
        <w:rPr>
          <w:rFonts w:hint="eastAsia" w:ascii="黑体" w:hAnsi="黑体" w:eastAsia="黑体"/>
          <w:color w:val="auto"/>
          <w:szCs w:val="21"/>
        </w:rPr>
        <w:t>最高限价（如有）：/</w:t>
      </w:r>
    </w:p>
    <w:p w14:paraId="2FF2C2B2">
      <w:pPr>
        <w:tabs>
          <w:tab w:val="left" w:pos="426"/>
        </w:tabs>
        <w:spacing w:line="360" w:lineRule="auto"/>
        <w:ind w:left="422" w:hanging="422" w:hangingChars="200"/>
        <w:rPr>
          <w:rFonts w:ascii="黑体" w:hAnsi="黑体" w:eastAsia="黑体"/>
          <w:b/>
          <w:bCs/>
          <w:color w:val="auto"/>
          <w:szCs w:val="21"/>
        </w:rPr>
      </w:pPr>
      <w:r>
        <w:rPr>
          <w:rFonts w:hint="eastAsia" w:ascii="黑体" w:hAnsi="黑体" w:eastAsia="黑体"/>
          <w:b/>
          <w:bCs/>
          <w:color w:val="auto"/>
          <w:szCs w:val="21"/>
        </w:rPr>
        <w:t>采购需求：</w:t>
      </w:r>
    </w:p>
    <w:tbl>
      <w:tblPr>
        <w:tblStyle w:val="20"/>
        <w:tblW w:w="4972" w:type="pct"/>
        <w:tblInd w:w="0" w:type="dxa"/>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2405"/>
        <w:gridCol w:w="2288"/>
        <w:gridCol w:w="799"/>
        <w:gridCol w:w="2561"/>
      </w:tblGrid>
      <w:tr w14:paraId="5990CA36">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14:paraId="0C03620A">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包号</w:t>
            </w:r>
          </w:p>
        </w:tc>
        <w:tc>
          <w:tcPr>
            <w:tcW w:w="1379" w:type="pct"/>
            <w:vAlign w:val="center"/>
          </w:tcPr>
          <w:p w14:paraId="6FA214B1">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标的名称</w:t>
            </w:r>
          </w:p>
        </w:tc>
        <w:tc>
          <w:tcPr>
            <w:tcW w:w="1312" w:type="pct"/>
            <w:vAlign w:val="center"/>
          </w:tcPr>
          <w:p w14:paraId="52E25CDC">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采购包预算金额（元）</w:t>
            </w:r>
          </w:p>
        </w:tc>
        <w:tc>
          <w:tcPr>
            <w:tcW w:w="458" w:type="pct"/>
            <w:vAlign w:val="center"/>
          </w:tcPr>
          <w:p w14:paraId="44922752">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数量</w:t>
            </w:r>
          </w:p>
        </w:tc>
        <w:tc>
          <w:tcPr>
            <w:tcW w:w="1468" w:type="pct"/>
            <w:vAlign w:val="center"/>
          </w:tcPr>
          <w:p w14:paraId="308D85F2">
            <w:pPr>
              <w:spacing w:line="360" w:lineRule="auto"/>
              <w:jc w:val="center"/>
              <w:rPr>
                <w:rFonts w:ascii="黑体" w:hAnsi="黑体" w:eastAsia="黑体" w:cs="黑体"/>
                <w:color w:val="auto"/>
                <w:szCs w:val="21"/>
              </w:rPr>
            </w:pPr>
            <w:r>
              <w:rPr>
                <w:rFonts w:hint="eastAsia" w:ascii="黑体" w:hAnsi="黑体" w:eastAsia="黑体" w:cs="黑体"/>
                <w:color w:val="auto"/>
                <w:szCs w:val="21"/>
              </w:rPr>
              <w:t>简要技术需求或服务要求</w:t>
            </w:r>
          </w:p>
        </w:tc>
      </w:tr>
      <w:tr w14:paraId="7AFE4821">
        <w:tblPrEx>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14:paraId="36A2CEC7">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1</w:t>
            </w:r>
          </w:p>
        </w:tc>
        <w:tc>
          <w:tcPr>
            <w:tcW w:w="1379" w:type="pct"/>
            <w:vAlign w:val="center"/>
          </w:tcPr>
          <w:p w14:paraId="03AFF63A">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城市轨道交通通信与运营综合实训平台</w:t>
            </w:r>
          </w:p>
        </w:tc>
        <w:tc>
          <w:tcPr>
            <w:tcW w:w="1312" w:type="pct"/>
            <w:vAlign w:val="center"/>
          </w:tcPr>
          <w:p w14:paraId="52A2B331">
            <w:pPr>
              <w:spacing w:line="360" w:lineRule="auto"/>
              <w:jc w:val="center"/>
              <w:rPr>
                <w:rFonts w:ascii="黑体" w:hAnsi="黑体" w:eastAsia="黑体" w:cs="黑体"/>
                <w:bCs/>
                <w:color w:val="auto"/>
                <w:szCs w:val="21"/>
              </w:rPr>
            </w:pPr>
            <w:r>
              <w:rPr>
                <w:rFonts w:hint="eastAsia" w:ascii="黑体" w:hAnsi="黑体" w:eastAsia="黑体" w:cs="黑体"/>
                <w:color w:val="auto"/>
                <w:szCs w:val="21"/>
              </w:rPr>
              <w:t>383,000.00</w:t>
            </w:r>
          </w:p>
        </w:tc>
        <w:tc>
          <w:tcPr>
            <w:tcW w:w="458" w:type="pct"/>
            <w:vAlign w:val="center"/>
          </w:tcPr>
          <w:p w14:paraId="4A583CA6">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1批</w:t>
            </w:r>
          </w:p>
        </w:tc>
        <w:tc>
          <w:tcPr>
            <w:tcW w:w="1468" w:type="pct"/>
            <w:vAlign w:val="center"/>
          </w:tcPr>
          <w:p w14:paraId="1488DF54">
            <w:pPr>
              <w:spacing w:line="360" w:lineRule="auto"/>
              <w:jc w:val="center"/>
              <w:rPr>
                <w:rFonts w:ascii="黑体" w:hAnsi="黑体" w:eastAsia="黑体" w:cs="黑体"/>
                <w:color w:val="auto"/>
                <w:kern w:val="0"/>
                <w:szCs w:val="21"/>
              </w:rPr>
            </w:pPr>
            <w:r>
              <w:rPr>
                <w:rFonts w:hint="eastAsia" w:ascii="黑体" w:hAnsi="黑体" w:eastAsia="黑体" w:cs="黑体"/>
                <w:color w:val="auto"/>
              </w:rPr>
              <w:t>详见招标文件采购需求</w:t>
            </w:r>
          </w:p>
        </w:tc>
      </w:tr>
    </w:tbl>
    <w:p w14:paraId="167D617B">
      <w:pPr>
        <w:tabs>
          <w:tab w:val="left" w:pos="284"/>
        </w:tabs>
        <w:spacing w:line="360" w:lineRule="auto"/>
        <w:rPr>
          <w:rFonts w:ascii="黑体" w:hAnsi="黑体" w:eastAsia="黑体"/>
          <w:color w:val="auto"/>
          <w:szCs w:val="21"/>
        </w:rPr>
      </w:pPr>
      <w:r>
        <w:rPr>
          <w:rFonts w:hint="eastAsia" w:ascii="黑体" w:hAnsi="黑体" w:eastAsia="黑体"/>
          <w:color w:val="auto"/>
          <w:szCs w:val="21"/>
        </w:rPr>
        <w:t>合同履行期限：自合同签订之日起</w:t>
      </w:r>
      <w:r>
        <w:rPr>
          <w:rFonts w:hint="eastAsia" w:ascii="黑体" w:hAnsi="黑体" w:eastAsia="黑体"/>
          <w:color w:val="auto"/>
          <w:szCs w:val="21"/>
        </w:rPr>
        <w:t>10个日历天</w:t>
      </w:r>
      <w:r>
        <w:rPr>
          <w:rFonts w:hint="eastAsia" w:ascii="黑体" w:hAnsi="黑体" w:eastAsia="黑体"/>
          <w:color w:val="auto"/>
          <w:szCs w:val="21"/>
        </w:rPr>
        <w:t>内完成供货、安装调试及交付使用。</w:t>
      </w:r>
    </w:p>
    <w:p w14:paraId="4443D085">
      <w:pPr>
        <w:tabs>
          <w:tab w:val="left" w:pos="284"/>
        </w:tabs>
        <w:spacing w:line="360" w:lineRule="auto"/>
        <w:rPr>
          <w:rFonts w:ascii="黑体" w:hAnsi="黑体" w:eastAsia="黑体"/>
          <w:color w:val="auto"/>
          <w:szCs w:val="21"/>
        </w:rPr>
      </w:pPr>
      <w:r>
        <w:rPr>
          <w:rFonts w:hint="eastAsia" w:ascii="黑体" w:hAnsi="黑体" w:eastAsia="黑体"/>
          <w:color w:val="auto"/>
          <w:szCs w:val="21"/>
        </w:rPr>
        <w:t>本项目不接受联合体投标。</w:t>
      </w:r>
    </w:p>
    <w:p w14:paraId="27F1F934">
      <w:pPr>
        <w:pStyle w:val="30"/>
        <w:numPr>
          <w:ilvl w:val="0"/>
          <w:numId w:val="2"/>
        </w:numPr>
        <w:tabs>
          <w:tab w:val="left" w:pos="426"/>
        </w:tabs>
        <w:spacing w:line="360" w:lineRule="auto"/>
        <w:ind w:firstLineChars="0"/>
        <w:rPr>
          <w:rFonts w:ascii="黑体" w:hAnsi="黑体" w:eastAsia="黑体"/>
          <w:b/>
          <w:color w:val="auto"/>
          <w:szCs w:val="21"/>
        </w:rPr>
      </w:pPr>
      <w:r>
        <w:rPr>
          <w:rFonts w:hint="eastAsia" w:ascii="黑体" w:hAnsi="黑体" w:eastAsia="黑体"/>
          <w:b/>
          <w:color w:val="auto"/>
          <w:szCs w:val="21"/>
        </w:rPr>
        <w:t>申请人的资格要求</w:t>
      </w:r>
    </w:p>
    <w:p w14:paraId="5C8A3670">
      <w:pPr>
        <w:pStyle w:val="30"/>
        <w:numPr>
          <w:ilvl w:val="0"/>
          <w:numId w:val="3"/>
        </w:numPr>
        <w:spacing w:line="360" w:lineRule="auto"/>
        <w:ind w:firstLineChars="0"/>
        <w:rPr>
          <w:rFonts w:ascii="黑体" w:hAnsi="黑体" w:eastAsia="黑体"/>
          <w:color w:val="auto"/>
          <w:szCs w:val="21"/>
        </w:rPr>
      </w:pPr>
      <w:r>
        <w:rPr>
          <w:rFonts w:hint="eastAsia" w:ascii="黑体" w:hAnsi="黑体" w:eastAsia="黑体"/>
          <w:color w:val="auto"/>
          <w:szCs w:val="21"/>
        </w:rPr>
        <w:t>投标供应商应具备《中华人民共和国政府采购法》第二十二条规定的条件，提供下列材料：</w:t>
      </w:r>
    </w:p>
    <w:p w14:paraId="29E1DC06">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r>
        <w:rPr>
          <w:rFonts w:hint="eastAsia" w:ascii="黑体" w:hAnsi="黑体" w:eastAsia="黑体" w:cs="宋体"/>
          <w:color w:val="auto"/>
          <w:kern w:val="0"/>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规定。（分支机构投标，须取得具有法人资格的总公司（总所）出具给分支机构的授权书，并提供总公司（总所）和分支机构的营业执照（执业许可证）复印件。已由总公司（总所）授权的 ，总公司（总所）取得的相关资质证书对分支机构有效，法律法规或者行业另有规定的除外。）</w:t>
      </w:r>
    </w:p>
    <w:p w14:paraId="7B210E7F">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r>
        <w:rPr>
          <w:rFonts w:hint="eastAsia" w:ascii="黑体" w:hAnsi="黑体" w:eastAsia="黑体" w:cs="宋体"/>
          <w:color w:val="auto"/>
          <w:kern w:val="0"/>
          <w:szCs w:val="21"/>
        </w:rPr>
        <w:t>有依法缴纳税收和社会保障资金的良好记录，提供资格声明函，详见投标文件格式。</w:t>
      </w:r>
    </w:p>
    <w:p w14:paraId="2FB6ABB7">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bookmarkStart w:id="4" w:name="_Hlk90659088"/>
      <w:r>
        <w:rPr>
          <w:rFonts w:hint="eastAsia" w:ascii="黑体" w:hAnsi="黑体" w:eastAsia="黑体" w:cs="宋体"/>
          <w:color w:val="auto"/>
          <w:kern w:val="0"/>
          <w:szCs w:val="21"/>
        </w:rPr>
        <w:t>具有良好的商业信誉和健全的财务会计制度</w:t>
      </w:r>
      <w:bookmarkEnd w:id="4"/>
      <w:r>
        <w:rPr>
          <w:rFonts w:hint="eastAsia" w:ascii="黑体" w:hAnsi="黑体" w:eastAsia="黑体" w:cs="宋体"/>
          <w:color w:val="auto"/>
          <w:kern w:val="0"/>
          <w:szCs w:val="21"/>
        </w:rPr>
        <w:t>，提供资格声明函，详见投标文件格式。</w:t>
      </w:r>
    </w:p>
    <w:p w14:paraId="4E3C708A">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r>
        <w:rPr>
          <w:rFonts w:hint="eastAsia" w:ascii="黑体" w:hAnsi="黑体" w:eastAsia="黑体" w:cs="宋体"/>
          <w:color w:val="auto"/>
          <w:kern w:val="0"/>
          <w:szCs w:val="21"/>
        </w:rPr>
        <w:t>履行合同所必须的设备和专业技术能力：</w:t>
      </w:r>
      <w:bookmarkStart w:id="5" w:name="_Hlk90659431"/>
      <w:r>
        <w:rPr>
          <w:rFonts w:hint="eastAsia" w:ascii="黑体" w:hAnsi="黑体" w:eastAsia="黑体" w:cs="宋体"/>
          <w:color w:val="auto"/>
          <w:kern w:val="0"/>
          <w:szCs w:val="21"/>
        </w:rPr>
        <w:t>提供资格声明函，详见投标文件格式。</w:t>
      </w:r>
      <w:bookmarkEnd w:id="5"/>
    </w:p>
    <w:p w14:paraId="2AFE4D0E">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bookmarkStart w:id="6" w:name="_Hlk81177175"/>
      <w:r>
        <w:rPr>
          <w:rFonts w:hint="eastAsia" w:ascii="黑体" w:hAnsi="黑体" w:eastAsia="黑体" w:cs="宋体"/>
          <w:color w:val="auto"/>
          <w:kern w:val="0"/>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bookmarkEnd w:id="6"/>
      <w:r>
        <w:rPr>
          <w:rFonts w:hint="eastAsia" w:ascii="黑体" w:hAnsi="黑体" w:eastAsia="黑体" w:cs="宋体"/>
          <w:color w:val="auto"/>
          <w:kern w:val="0"/>
          <w:szCs w:val="21"/>
        </w:rPr>
        <w:t>提供资格声明函，详见投标文件格式。</w:t>
      </w:r>
    </w:p>
    <w:p w14:paraId="403F55E1">
      <w:pPr>
        <w:pStyle w:val="30"/>
        <w:widowControl/>
        <w:numPr>
          <w:ilvl w:val="0"/>
          <w:numId w:val="4"/>
        </w:numPr>
        <w:shd w:val="clear" w:color="auto" w:fill="FFFFFF"/>
        <w:spacing w:line="360" w:lineRule="auto"/>
        <w:ind w:firstLineChars="0"/>
        <w:textAlignment w:val="baseline"/>
        <w:rPr>
          <w:rFonts w:ascii="黑体" w:hAnsi="黑体" w:eastAsia="黑体" w:cs="宋体"/>
          <w:color w:val="auto"/>
          <w:kern w:val="0"/>
          <w:szCs w:val="21"/>
        </w:rPr>
      </w:pPr>
      <w:r>
        <w:rPr>
          <w:rFonts w:hint="eastAsia" w:ascii="黑体" w:hAnsi="黑体" w:eastAsia="黑体" w:cs="宋体"/>
          <w:color w:val="auto"/>
          <w:kern w:val="0"/>
          <w:szCs w:val="21"/>
        </w:rPr>
        <w:t>信用记录：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时间当天在“信用中国”网站（www.creditchina.gov.cn）及中国政府采购网（http：//www.ccgp.gov.cn/）查询结果为准，如相关失信记录已失效，供应商需提供相关证明资料）。</w:t>
      </w:r>
    </w:p>
    <w:p w14:paraId="04541F23">
      <w:pPr>
        <w:pStyle w:val="30"/>
        <w:numPr>
          <w:ilvl w:val="0"/>
          <w:numId w:val="3"/>
        </w:numPr>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供应商必须符合法律、行政法规规定的其他条件：单位负责人为同一人或者存在直接控股、管理关系的不同供应商，不得同时参加本采购项目（或采购包）投标。为本项目提供整体设计、规范编制或者项目管理、监理、检测等服务的供应商，不得再参与本项目投标。</w:t>
      </w:r>
      <w:bookmarkStart w:id="7" w:name="_Hlk81178057"/>
      <w:r>
        <w:rPr>
          <w:rFonts w:hint="eastAsia" w:ascii="黑体" w:hAnsi="黑体" w:eastAsia="黑体" w:cs="宋体"/>
          <w:color w:val="auto"/>
          <w:kern w:val="0"/>
          <w:szCs w:val="21"/>
        </w:rPr>
        <w:t>提供资格声明函，详见投标文件格式。</w:t>
      </w:r>
      <w:bookmarkEnd w:id="7"/>
    </w:p>
    <w:p w14:paraId="1B79DBE5">
      <w:pPr>
        <w:pStyle w:val="30"/>
        <w:numPr>
          <w:ilvl w:val="0"/>
          <w:numId w:val="3"/>
        </w:numPr>
        <w:spacing w:line="360" w:lineRule="auto"/>
        <w:ind w:firstLineChars="0"/>
        <w:rPr>
          <w:rFonts w:ascii="黑体" w:hAnsi="黑体" w:eastAsia="黑体"/>
          <w:color w:val="auto"/>
          <w:szCs w:val="21"/>
        </w:rPr>
      </w:pPr>
      <w:r>
        <w:rPr>
          <w:rFonts w:hint="eastAsia" w:ascii="黑体" w:hAnsi="黑体" w:eastAsia="黑体"/>
          <w:color w:val="auto"/>
          <w:szCs w:val="21"/>
        </w:rPr>
        <w:t>落实政府采购政策需满足的资格要求：无。</w:t>
      </w:r>
    </w:p>
    <w:p w14:paraId="6BE07F93">
      <w:pPr>
        <w:pStyle w:val="30"/>
        <w:numPr>
          <w:ilvl w:val="0"/>
          <w:numId w:val="3"/>
        </w:numPr>
        <w:spacing w:line="360" w:lineRule="auto"/>
        <w:ind w:firstLineChars="0"/>
        <w:rPr>
          <w:rFonts w:ascii="黑体" w:hAnsi="黑体" w:eastAsia="黑体"/>
          <w:color w:val="auto"/>
          <w:szCs w:val="21"/>
        </w:rPr>
      </w:pPr>
      <w:r>
        <w:rPr>
          <w:rFonts w:hint="eastAsia" w:ascii="黑体" w:hAnsi="黑体" w:eastAsia="黑体"/>
          <w:color w:val="auto"/>
          <w:szCs w:val="21"/>
        </w:rPr>
        <w:t>本项目的特定资格要求：无。</w:t>
      </w:r>
    </w:p>
    <w:p w14:paraId="5D4A3353">
      <w:pPr>
        <w:pStyle w:val="30"/>
        <w:numPr>
          <w:ilvl w:val="0"/>
          <w:numId w:val="2"/>
        </w:numPr>
        <w:tabs>
          <w:tab w:val="left" w:pos="426"/>
        </w:tabs>
        <w:spacing w:line="360" w:lineRule="auto"/>
        <w:ind w:firstLineChars="0"/>
        <w:rPr>
          <w:rFonts w:ascii="黑体" w:hAnsi="黑体" w:eastAsia="黑体"/>
          <w:b/>
          <w:color w:val="auto"/>
          <w:szCs w:val="21"/>
        </w:rPr>
      </w:pPr>
      <w:bookmarkStart w:id="8" w:name="_Hlk58185024"/>
      <w:bookmarkStart w:id="9" w:name="_Hlk90918431"/>
      <w:r>
        <w:rPr>
          <w:rFonts w:hint="eastAsia" w:ascii="黑体" w:hAnsi="黑体" w:eastAsia="黑体"/>
          <w:b/>
          <w:color w:val="auto"/>
          <w:szCs w:val="21"/>
        </w:rPr>
        <w:t>获取招标文件</w:t>
      </w:r>
    </w:p>
    <w:bookmarkEnd w:id="8"/>
    <w:p w14:paraId="108DA2F3">
      <w:pPr>
        <w:pStyle w:val="30"/>
        <w:spacing w:line="360" w:lineRule="auto"/>
        <w:ind w:left="420" w:firstLine="0" w:firstLineChars="0"/>
        <w:rPr>
          <w:rFonts w:ascii="黑体" w:hAnsi="黑体" w:eastAsia="黑体" w:cs="宋体"/>
          <w:color w:val="auto"/>
          <w:szCs w:val="21"/>
        </w:rPr>
      </w:pPr>
      <w:r>
        <w:rPr>
          <w:rFonts w:hint="eastAsia" w:ascii="黑体" w:hAnsi="黑体" w:eastAsia="黑体" w:cs="宋体"/>
          <w:color w:val="auto"/>
          <w:szCs w:val="21"/>
        </w:rPr>
        <w:t>时间：</w:t>
      </w:r>
      <w:r>
        <w:rPr>
          <w:rFonts w:hint="eastAsia" w:ascii="黑体" w:hAnsi="黑体" w:eastAsia="黑体" w:cs="宋体"/>
          <w:color w:val="auto"/>
          <w:szCs w:val="21"/>
          <w:u w:val="single"/>
        </w:rPr>
        <w:t>2024年</w:t>
      </w:r>
      <w:r>
        <w:rPr>
          <w:rFonts w:hint="eastAsia" w:ascii="黑体" w:hAnsi="黑体" w:eastAsia="黑体" w:cs="宋体"/>
          <w:color w:val="auto"/>
          <w:szCs w:val="21"/>
          <w:u w:val="single"/>
          <w:lang w:val="en-US" w:eastAsia="zh-CN"/>
        </w:rPr>
        <w:t>11</w:t>
      </w:r>
      <w:r>
        <w:rPr>
          <w:rFonts w:hint="eastAsia" w:ascii="黑体" w:hAnsi="黑体" w:eastAsia="黑体" w:cs="宋体"/>
          <w:color w:val="auto"/>
          <w:szCs w:val="21"/>
          <w:u w:val="single"/>
        </w:rPr>
        <w:t>月</w:t>
      </w:r>
      <w:r>
        <w:rPr>
          <w:rFonts w:hint="eastAsia" w:ascii="黑体" w:hAnsi="黑体" w:eastAsia="黑体" w:cs="宋体"/>
          <w:color w:val="auto"/>
          <w:szCs w:val="21"/>
          <w:u w:val="single"/>
          <w:lang w:val="en-US" w:eastAsia="zh-CN"/>
        </w:rPr>
        <w:t>8</w:t>
      </w:r>
      <w:r>
        <w:rPr>
          <w:rFonts w:hint="eastAsia" w:ascii="黑体" w:hAnsi="黑体" w:eastAsia="黑体" w:cs="宋体"/>
          <w:color w:val="auto"/>
          <w:szCs w:val="21"/>
          <w:u w:val="single"/>
        </w:rPr>
        <w:t>日</w:t>
      </w:r>
      <w:r>
        <w:rPr>
          <w:rFonts w:hint="eastAsia" w:ascii="黑体" w:hAnsi="黑体" w:eastAsia="黑体" w:cs="宋体"/>
          <w:color w:val="auto"/>
          <w:szCs w:val="21"/>
        </w:rPr>
        <w:t>至</w:t>
      </w:r>
      <w:r>
        <w:rPr>
          <w:rFonts w:hint="eastAsia" w:ascii="黑体" w:hAnsi="黑体" w:eastAsia="黑体" w:cs="宋体"/>
          <w:color w:val="auto"/>
          <w:szCs w:val="21"/>
          <w:u w:val="single"/>
        </w:rPr>
        <w:t>2024年</w:t>
      </w:r>
      <w:r>
        <w:rPr>
          <w:rFonts w:hint="eastAsia" w:ascii="黑体" w:hAnsi="黑体" w:eastAsia="黑体" w:cs="宋体"/>
          <w:color w:val="auto"/>
          <w:szCs w:val="21"/>
          <w:u w:val="single"/>
          <w:lang w:val="en-US" w:eastAsia="zh-CN"/>
        </w:rPr>
        <w:t>11</w:t>
      </w:r>
      <w:r>
        <w:rPr>
          <w:rFonts w:hint="eastAsia" w:ascii="黑体" w:hAnsi="黑体" w:eastAsia="黑体" w:cs="宋体"/>
          <w:color w:val="auto"/>
          <w:szCs w:val="21"/>
          <w:u w:val="single"/>
        </w:rPr>
        <w:t>月</w:t>
      </w:r>
      <w:r>
        <w:rPr>
          <w:rFonts w:hint="eastAsia" w:ascii="黑体" w:hAnsi="黑体" w:eastAsia="黑体" w:cs="宋体"/>
          <w:color w:val="auto"/>
          <w:szCs w:val="21"/>
          <w:u w:val="single"/>
          <w:lang w:val="en-US" w:eastAsia="zh-CN"/>
        </w:rPr>
        <w:t>15</w:t>
      </w:r>
      <w:r>
        <w:rPr>
          <w:rFonts w:hint="eastAsia" w:ascii="黑体" w:hAnsi="黑体" w:eastAsia="黑体" w:cs="宋体"/>
          <w:color w:val="auto"/>
          <w:szCs w:val="21"/>
          <w:u w:val="single"/>
        </w:rPr>
        <w:t>日</w:t>
      </w:r>
      <w:r>
        <w:rPr>
          <w:rFonts w:hint="eastAsia" w:ascii="黑体" w:hAnsi="黑体" w:eastAsia="黑体" w:cs="宋体"/>
          <w:iCs/>
          <w:color w:val="auto"/>
          <w:szCs w:val="21"/>
          <w:u w:val="single"/>
        </w:rPr>
        <w:t>（</w:t>
      </w:r>
      <w:r>
        <w:rPr>
          <w:rFonts w:hint="eastAsia" w:ascii="黑体" w:hAnsi="黑体" w:eastAsia="黑体" w:cs="宋体"/>
          <w:color w:val="auto"/>
          <w:szCs w:val="21"/>
          <w:u w:val="single"/>
        </w:rPr>
        <w:t>提供期限自本公告发布之日起不得少于5个工作日</w:t>
      </w:r>
      <w:r>
        <w:rPr>
          <w:rFonts w:hint="eastAsia" w:ascii="黑体" w:hAnsi="黑体" w:eastAsia="黑体" w:cs="宋体"/>
          <w:iCs/>
          <w:color w:val="auto"/>
          <w:szCs w:val="21"/>
          <w:u w:val="single"/>
        </w:rPr>
        <w:t>）</w:t>
      </w:r>
      <w:r>
        <w:rPr>
          <w:rFonts w:hint="eastAsia" w:ascii="黑体" w:hAnsi="黑体" w:eastAsia="黑体" w:cs="宋体"/>
          <w:color w:val="auto"/>
          <w:szCs w:val="21"/>
        </w:rPr>
        <w:t>，每天上午9：00至 12：00，下午2：30至5：30（北京时间，</w:t>
      </w:r>
      <w:r>
        <w:rPr>
          <w:rFonts w:ascii="黑体" w:hAnsi="黑体" w:eastAsia="黑体" w:cs="宋体"/>
          <w:color w:val="auto"/>
          <w:szCs w:val="21"/>
        </w:rPr>
        <w:t>法定节假日</w:t>
      </w:r>
      <w:r>
        <w:rPr>
          <w:rFonts w:hint="eastAsia" w:ascii="黑体" w:hAnsi="黑体" w:eastAsia="黑体" w:cs="宋体"/>
          <w:color w:val="auto"/>
          <w:szCs w:val="21"/>
        </w:rPr>
        <w:t>除外）</w:t>
      </w:r>
    </w:p>
    <w:p w14:paraId="50EEAA58">
      <w:pPr>
        <w:pStyle w:val="30"/>
        <w:spacing w:line="360" w:lineRule="auto"/>
        <w:ind w:left="420" w:firstLine="4" w:firstLineChars="2"/>
        <w:rPr>
          <w:rFonts w:ascii="黑体" w:hAnsi="黑体" w:eastAsia="黑体" w:cs="宋体"/>
          <w:color w:val="auto"/>
          <w:szCs w:val="21"/>
        </w:rPr>
      </w:pPr>
      <w:r>
        <w:rPr>
          <w:rFonts w:hint="eastAsia" w:ascii="黑体" w:hAnsi="黑体" w:eastAsia="黑体" w:cs="宋体"/>
          <w:color w:val="auto"/>
          <w:szCs w:val="21"/>
        </w:rPr>
        <w:t>地点：到东莞市东城街道新源路海德琥珀台6栋1703室（有德招标）进行获取或使用微信扫描二维码进行获取（二维码详见招标文件温馨提示）或微信搜索公众号“有德招标东莞分公司”进行获取。</w:t>
      </w:r>
    </w:p>
    <w:p w14:paraId="56855AFD">
      <w:pPr>
        <w:pStyle w:val="30"/>
        <w:spacing w:line="360" w:lineRule="auto"/>
        <w:ind w:left="420" w:firstLine="0" w:firstLineChars="0"/>
        <w:rPr>
          <w:rFonts w:ascii="黑体" w:hAnsi="黑体" w:eastAsia="黑体" w:cs="宋体"/>
          <w:color w:val="auto"/>
          <w:szCs w:val="21"/>
          <w:u w:val="single"/>
        </w:rPr>
      </w:pPr>
      <w:r>
        <w:rPr>
          <w:rFonts w:hint="eastAsia" w:ascii="黑体" w:hAnsi="黑体" w:eastAsia="黑体" w:cs="宋体"/>
          <w:color w:val="auto"/>
          <w:szCs w:val="21"/>
        </w:rPr>
        <w:t>方式：现场或线上获取</w:t>
      </w:r>
    </w:p>
    <w:p w14:paraId="435C6D4F">
      <w:pPr>
        <w:pStyle w:val="30"/>
        <w:spacing w:line="360" w:lineRule="auto"/>
        <w:ind w:left="420" w:firstLine="0" w:firstLineChars="0"/>
        <w:rPr>
          <w:rFonts w:ascii="黑体" w:hAnsi="黑体" w:eastAsia="黑体" w:cs="宋体"/>
          <w:color w:val="auto"/>
          <w:szCs w:val="21"/>
        </w:rPr>
      </w:pPr>
      <w:r>
        <w:rPr>
          <w:rFonts w:hint="eastAsia" w:ascii="黑体" w:hAnsi="黑体" w:eastAsia="黑体" w:cs="宋体"/>
          <w:color w:val="auto"/>
          <w:szCs w:val="21"/>
        </w:rPr>
        <w:t>售价：￥200.00元</w:t>
      </w:r>
    </w:p>
    <w:bookmarkEnd w:id="9"/>
    <w:p w14:paraId="1FE1AD2B">
      <w:pPr>
        <w:pStyle w:val="30"/>
        <w:numPr>
          <w:ilvl w:val="0"/>
          <w:numId w:val="2"/>
        </w:numPr>
        <w:tabs>
          <w:tab w:val="left" w:pos="426"/>
        </w:tabs>
        <w:spacing w:line="360" w:lineRule="auto"/>
        <w:ind w:left="0" w:firstLine="0" w:firstLineChars="0"/>
        <w:rPr>
          <w:rFonts w:ascii="黑体" w:hAnsi="黑体" w:eastAsia="黑体"/>
          <w:b/>
          <w:color w:val="auto"/>
          <w:szCs w:val="21"/>
        </w:rPr>
      </w:pPr>
      <w:r>
        <w:rPr>
          <w:rFonts w:hint="eastAsia" w:ascii="黑体" w:hAnsi="黑体" w:eastAsia="黑体"/>
          <w:b/>
          <w:color w:val="auto"/>
          <w:szCs w:val="21"/>
        </w:rPr>
        <w:t>提交投标文件截止时间、开标时间和地点</w:t>
      </w:r>
    </w:p>
    <w:p w14:paraId="4972B849">
      <w:pPr>
        <w:tabs>
          <w:tab w:val="left" w:pos="284"/>
          <w:tab w:val="left" w:pos="426"/>
        </w:tabs>
        <w:spacing w:line="360" w:lineRule="auto"/>
        <w:ind w:left="420" w:hanging="420" w:hangingChars="200"/>
        <w:rPr>
          <w:rFonts w:ascii="黑体" w:hAnsi="黑体" w:eastAsia="黑体"/>
          <w:color w:val="auto"/>
          <w:szCs w:val="21"/>
        </w:rPr>
      </w:pPr>
      <w:r>
        <w:rPr>
          <w:rFonts w:hint="eastAsia" w:ascii="黑体" w:hAnsi="黑体" w:eastAsia="黑体"/>
          <w:color w:val="auto"/>
          <w:szCs w:val="21"/>
        </w:rPr>
        <w:t xml:space="preserve">    </w:t>
      </w:r>
      <w:r>
        <w:rPr>
          <w:rFonts w:hint="eastAsia" w:ascii="黑体" w:hAnsi="黑体" w:eastAsia="黑体"/>
          <w:color w:val="auto"/>
          <w:szCs w:val="21"/>
          <w:u w:val="single"/>
        </w:rPr>
        <w:t>2024年</w:t>
      </w:r>
      <w:r>
        <w:rPr>
          <w:rFonts w:hint="eastAsia" w:ascii="黑体" w:hAnsi="黑体" w:eastAsia="黑体"/>
          <w:color w:val="auto"/>
          <w:szCs w:val="21"/>
          <w:u w:val="single"/>
          <w:lang w:val="en-US" w:eastAsia="zh-CN"/>
        </w:rPr>
        <w:t>11</w:t>
      </w:r>
      <w:r>
        <w:rPr>
          <w:rFonts w:hint="eastAsia" w:ascii="黑体" w:hAnsi="黑体" w:eastAsia="黑体"/>
          <w:color w:val="auto"/>
          <w:szCs w:val="21"/>
          <w:u w:val="single"/>
        </w:rPr>
        <w:t>月</w:t>
      </w:r>
      <w:r>
        <w:rPr>
          <w:rFonts w:hint="eastAsia" w:ascii="黑体" w:hAnsi="黑体" w:eastAsia="黑体"/>
          <w:color w:val="auto"/>
          <w:szCs w:val="21"/>
          <w:u w:val="single"/>
          <w:lang w:val="en-US" w:eastAsia="zh-CN"/>
        </w:rPr>
        <w:t>29</w:t>
      </w:r>
      <w:r>
        <w:rPr>
          <w:rFonts w:hint="eastAsia" w:ascii="黑体" w:hAnsi="黑体" w:eastAsia="黑体"/>
          <w:color w:val="auto"/>
          <w:szCs w:val="21"/>
          <w:u w:val="single"/>
        </w:rPr>
        <w:t>日</w:t>
      </w:r>
      <w:r>
        <w:rPr>
          <w:rFonts w:hint="eastAsia" w:ascii="黑体" w:hAnsi="黑体" w:eastAsia="黑体"/>
          <w:color w:val="auto"/>
          <w:szCs w:val="21"/>
          <w:u w:val="single"/>
          <w:lang w:val="en-US" w:eastAsia="zh-CN"/>
        </w:rPr>
        <w:t>14</w:t>
      </w:r>
      <w:r>
        <w:rPr>
          <w:rFonts w:hint="eastAsia" w:ascii="黑体" w:hAnsi="黑体" w:eastAsia="黑体"/>
          <w:color w:val="auto"/>
          <w:szCs w:val="21"/>
          <w:u w:val="single"/>
        </w:rPr>
        <w:t>点</w:t>
      </w:r>
      <w:r>
        <w:rPr>
          <w:rFonts w:hint="eastAsia" w:ascii="黑体" w:hAnsi="黑体" w:eastAsia="黑体"/>
          <w:color w:val="auto"/>
          <w:szCs w:val="21"/>
          <w:u w:val="single"/>
          <w:lang w:val="en-US" w:eastAsia="zh-CN"/>
        </w:rPr>
        <w:t>30</w:t>
      </w:r>
      <w:r>
        <w:rPr>
          <w:rFonts w:hint="eastAsia" w:ascii="黑体" w:hAnsi="黑体" w:eastAsia="黑体"/>
          <w:color w:val="auto"/>
          <w:szCs w:val="21"/>
          <w:u w:val="single"/>
        </w:rPr>
        <w:t>分</w:t>
      </w:r>
      <w:r>
        <w:rPr>
          <w:rFonts w:hint="eastAsia" w:ascii="黑体" w:hAnsi="黑体" w:eastAsia="黑体"/>
          <w:color w:val="auto"/>
          <w:szCs w:val="21"/>
        </w:rPr>
        <w:t>（北京时间）（自招标文件开始发出之日起至投标人提交投标文件截止之日止，不得少于20日）</w:t>
      </w:r>
    </w:p>
    <w:p w14:paraId="54366D13">
      <w:pPr>
        <w:pStyle w:val="30"/>
        <w:tabs>
          <w:tab w:val="left" w:pos="426"/>
        </w:tabs>
        <w:spacing w:line="360" w:lineRule="auto"/>
        <w:ind w:left="420" w:firstLine="0" w:firstLineChars="0"/>
        <w:rPr>
          <w:rFonts w:ascii="黑体" w:hAnsi="黑体" w:eastAsia="黑体"/>
          <w:color w:val="auto"/>
          <w:szCs w:val="21"/>
        </w:rPr>
      </w:pPr>
      <w:r>
        <w:rPr>
          <w:rFonts w:hint="eastAsia" w:ascii="黑体" w:hAnsi="黑体" w:eastAsia="黑体"/>
          <w:color w:val="auto"/>
          <w:szCs w:val="21"/>
        </w:rPr>
        <w:t>地点：东莞市东城街道新源路海德琥珀台6栋1703室</w:t>
      </w:r>
    </w:p>
    <w:p w14:paraId="0A96B296">
      <w:pPr>
        <w:pStyle w:val="30"/>
        <w:numPr>
          <w:ilvl w:val="0"/>
          <w:numId w:val="2"/>
        </w:numPr>
        <w:tabs>
          <w:tab w:val="left" w:pos="426"/>
        </w:tabs>
        <w:spacing w:line="360" w:lineRule="auto"/>
        <w:ind w:left="-2" w:leftChars="-1" w:firstLine="1" w:firstLineChars="0"/>
        <w:rPr>
          <w:rFonts w:ascii="黑体" w:hAnsi="黑体" w:eastAsia="黑体"/>
          <w:b/>
          <w:color w:val="auto"/>
          <w:szCs w:val="21"/>
        </w:rPr>
      </w:pPr>
      <w:r>
        <w:rPr>
          <w:rFonts w:hint="eastAsia" w:ascii="黑体" w:hAnsi="黑体" w:eastAsia="黑体"/>
          <w:b/>
          <w:color w:val="auto"/>
          <w:szCs w:val="21"/>
        </w:rPr>
        <w:t>公告期限</w:t>
      </w:r>
    </w:p>
    <w:p w14:paraId="50273B39">
      <w:pPr>
        <w:pStyle w:val="30"/>
        <w:tabs>
          <w:tab w:val="left" w:pos="426"/>
        </w:tabs>
        <w:spacing w:line="360" w:lineRule="auto"/>
        <w:ind w:left="420" w:firstLine="0" w:firstLineChars="0"/>
        <w:rPr>
          <w:rFonts w:ascii="黑体" w:hAnsi="黑体" w:eastAsia="黑体"/>
          <w:color w:val="auto"/>
          <w:szCs w:val="21"/>
        </w:rPr>
      </w:pPr>
      <w:r>
        <w:rPr>
          <w:rFonts w:hint="eastAsia" w:ascii="黑体" w:hAnsi="黑体" w:eastAsia="黑体"/>
          <w:color w:val="auto"/>
          <w:szCs w:val="21"/>
        </w:rPr>
        <w:t>自本公告发布之日起5个工作日。</w:t>
      </w:r>
    </w:p>
    <w:p w14:paraId="5B4DF1CC">
      <w:pPr>
        <w:pStyle w:val="30"/>
        <w:numPr>
          <w:ilvl w:val="0"/>
          <w:numId w:val="2"/>
        </w:numPr>
        <w:tabs>
          <w:tab w:val="left" w:pos="426"/>
        </w:tabs>
        <w:spacing w:line="360" w:lineRule="auto"/>
        <w:ind w:firstLineChars="0"/>
        <w:rPr>
          <w:rFonts w:ascii="黑体" w:hAnsi="黑体" w:eastAsia="黑体"/>
          <w:b/>
          <w:color w:val="auto"/>
          <w:szCs w:val="21"/>
        </w:rPr>
      </w:pPr>
      <w:r>
        <w:rPr>
          <w:rFonts w:hint="eastAsia" w:ascii="黑体" w:hAnsi="黑体" w:eastAsia="黑体"/>
          <w:b/>
          <w:color w:val="auto"/>
          <w:szCs w:val="21"/>
        </w:rPr>
        <w:t>其他补充事宜</w:t>
      </w:r>
    </w:p>
    <w:p w14:paraId="608835F4">
      <w:pPr>
        <w:pStyle w:val="30"/>
        <w:numPr>
          <w:ilvl w:val="0"/>
          <w:numId w:val="5"/>
        </w:numPr>
        <w:spacing w:line="360" w:lineRule="auto"/>
        <w:ind w:firstLineChars="0"/>
        <w:rPr>
          <w:rFonts w:ascii="黑体" w:hAnsi="黑体" w:eastAsia="黑体" w:cs="黑体"/>
          <w:bCs/>
          <w:color w:val="auto"/>
          <w:szCs w:val="21"/>
        </w:rPr>
      </w:pPr>
      <w:bookmarkStart w:id="10" w:name="_Hlk90919351"/>
      <w:r>
        <w:rPr>
          <w:rFonts w:hint="eastAsia" w:ascii="黑体" w:hAnsi="黑体" w:eastAsia="黑体" w:cs="黑体"/>
          <w:bCs/>
          <w:color w:val="auto"/>
          <w:szCs w:val="21"/>
        </w:rPr>
        <w:t>需要落实的政府采购政策：《政府采购促进中小企业发展管理办法》的通知（财库〔2020〕46号）、《关于政府采购支持监狱企业发展有关问题的通知》(财库〔2014〕68号)、《关于促进残疾人就业政府采购政策的通知》（财库〔2017〕141号)、《财政部 发展改革委 生态环境部 市场监管总局关于调整优化节能产品、环境标志产品政府采购执行机制的通知》（财库〔2019〕9号）、《关于印发〈商品包装政府采购需求标准（试行）〉、〈快递包装政府采购需求标准（试行）〉的通知》等。</w:t>
      </w:r>
    </w:p>
    <w:p w14:paraId="4CF5C177">
      <w:pPr>
        <w:pStyle w:val="30"/>
        <w:numPr>
          <w:ilvl w:val="0"/>
          <w:numId w:val="5"/>
        </w:numPr>
        <w:spacing w:line="360" w:lineRule="auto"/>
        <w:ind w:firstLineChars="0"/>
        <w:rPr>
          <w:rFonts w:ascii="黑体" w:hAnsi="黑体" w:eastAsia="黑体" w:cs="黑体"/>
          <w:bCs/>
          <w:color w:val="auto"/>
          <w:szCs w:val="21"/>
        </w:rPr>
      </w:pPr>
      <w:r>
        <w:rPr>
          <w:rFonts w:hint="eastAsia" w:ascii="黑体" w:hAnsi="黑体" w:eastAsia="黑体" w:cs="黑体"/>
          <w:bCs/>
          <w:color w:val="auto"/>
          <w:szCs w:val="21"/>
        </w:rPr>
        <w:t>本项目采购标的所属行业为</w:t>
      </w:r>
      <w:r>
        <w:rPr>
          <w:rFonts w:hint="eastAsia" w:ascii="黑体" w:hAnsi="黑体" w:eastAsia="黑体" w:cs="黑体"/>
          <w:bCs/>
          <w:color w:val="auto"/>
          <w:szCs w:val="21"/>
          <w:u w:val="single"/>
        </w:rPr>
        <w:t>工业</w:t>
      </w:r>
      <w:r>
        <w:rPr>
          <w:rFonts w:hint="eastAsia" w:ascii="黑体" w:hAnsi="黑体" w:eastAsia="黑体" w:cs="黑体"/>
          <w:bCs/>
          <w:color w:val="auto"/>
          <w:szCs w:val="21"/>
        </w:rPr>
        <w:t>。</w:t>
      </w:r>
    </w:p>
    <w:p w14:paraId="7AB96CA4">
      <w:pPr>
        <w:pStyle w:val="30"/>
        <w:numPr>
          <w:ilvl w:val="0"/>
          <w:numId w:val="5"/>
        </w:numPr>
        <w:spacing w:line="360" w:lineRule="auto"/>
        <w:ind w:firstLineChars="0"/>
        <w:rPr>
          <w:rFonts w:ascii="黑体" w:hAnsi="黑体" w:eastAsia="黑体" w:cs="黑体"/>
          <w:bCs/>
          <w:color w:val="auto"/>
          <w:szCs w:val="21"/>
        </w:rPr>
      </w:pPr>
      <w:r>
        <w:rPr>
          <w:rFonts w:hint="eastAsia" w:ascii="黑体" w:hAnsi="黑体" w:eastAsia="黑体" w:cs="黑体"/>
          <w:bCs/>
          <w:color w:val="auto"/>
          <w:szCs w:val="21"/>
        </w:rPr>
        <w:t>招标文件公示/下载媒体</w:t>
      </w:r>
    </w:p>
    <w:p w14:paraId="6173DDCA">
      <w:pPr>
        <w:pStyle w:val="30"/>
        <w:tabs>
          <w:tab w:val="left" w:pos="709"/>
        </w:tabs>
        <w:spacing w:line="360" w:lineRule="auto"/>
        <w:ind w:left="420" w:firstLine="0" w:firstLineChars="0"/>
        <w:rPr>
          <w:rFonts w:ascii="黑体" w:hAnsi="黑体" w:eastAsia="黑体" w:cs="黑体"/>
          <w:bCs/>
          <w:color w:val="auto"/>
          <w:szCs w:val="21"/>
        </w:rPr>
      </w:pPr>
      <w:r>
        <w:rPr>
          <w:rFonts w:hint="eastAsia" w:ascii="黑体" w:hAnsi="黑体" w:eastAsia="黑体" w:cs="黑体"/>
          <w:bCs/>
          <w:color w:val="auto"/>
          <w:szCs w:val="21"/>
        </w:rPr>
        <w:t>中国政府采购网</w:t>
      </w:r>
      <w:r>
        <w:rPr>
          <w:rFonts w:hint="eastAsia" w:ascii="黑体" w:hAnsi="黑体" w:eastAsia="黑体" w:cs="黑体"/>
          <w:bCs/>
          <w:color w:val="auto"/>
          <w:szCs w:val="21"/>
          <w:u w:val="single"/>
        </w:rPr>
        <w:t>(http：//www.ccgp.gov.cn/)</w:t>
      </w:r>
      <w:r>
        <w:rPr>
          <w:rFonts w:hint="eastAsia" w:ascii="黑体" w:hAnsi="黑体" w:eastAsia="黑体" w:cs="黑体"/>
          <w:bCs/>
          <w:color w:val="auto"/>
          <w:szCs w:val="21"/>
        </w:rPr>
        <w:t>、</w:t>
      </w:r>
      <w:r>
        <w:rPr>
          <w:rFonts w:hint="eastAsia" w:ascii="黑体" w:hAnsi="黑体" w:eastAsia="黑体" w:cs="黑体"/>
          <w:color w:val="auto"/>
          <w:spacing w:val="-4"/>
          <w:szCs w:val="21"/>
        </w:rPr>
        <w:t>中国采购与招标网（</w:t>
      </w:r>
      <w:r>
        <w:rPr>
          <w:color w:val="auto"/>
        </w:rPr>
        <w:fldChar w:fldCharType="begin"/>
      </w:r>
      <w:r>
        <w:rPr>
          <w:color w:val="auto"/>
        </w:rPr>
        <w:instrText xml:space="preserve"> HYPERLINK "http://www.chinabidding.com.cn/" </w:instrText>
      </w:r>
      <w:r>
        <w:rPr>
          <w:color w:val="auto"/>
        </w:rPr>
        <w:fldChar w:fldCharType="separate"/>
      </w:r>
      <w:r>
        <w:rPr>
          <w:rStyle w:val="26"/>
          <w:rFonts w:hint="eastAsia" w:ascii="黑体" w:hAnsi="黑体" w:eastAsia="黑体" w:cs="黑体"/>
          <w:color w:val="auto"/>
        </w:rPr>
        <w:t>http：//www.chinabidding.com.cn/</w:t>
      </w:r>
      <w:r>
        <w:rPr>
          <w:rStyle w:val="26"/>
          <w:rFonts w:hint="eastAsia" w:ascii="黑体" w:hAnsi="黑体" w:eastAsia="黑体" w:cs="黑体"/>
          <w:color w:val="auto"/>
        </w:rPr>
        <w:fldChar w:fldCharType="end"/>
      </w:r>
      <w:r>
        <w:rPr>
          <w:rFonts w:hint="eastAsia" w:ascii="黑体" w:hAnsi="黑体" w:eastAsia="黑体" w:cs="黑体"/>
          <w:color w:val="auto"/>
        </w:rPr>
        <w:t>）、</w:t>
      </w:r>
      <w:r>
        <w:rPr>
          <w:rFonts w:hint="eastAsia" w:ascii="黑体" w:hAnsi="黑体" w:eastAsia="黑体" w:cs="黑体"/>
          <w:bCs/>
          <w:color w:val="auto"/>
          <w:szCs w:val="21"/>
        </w:rPr>
        <w:t>广东有德招标采购有限公司网站</w:t>
      </w:r>
      <w:r>
        <w:rPr>
          <w:rFonts w:hint="eastAsia" w:ascii="黑体" w:hAnsi="黑体" w:eastAsia="黑体" w:cs="黑体"/>
          <w:bCs/>
          <w:color w:val="auto"/>
          <w:szCs w:val="21"/>
          <w:u w:val="single"/>
        </w:rPr>
        <w:t>(http：//www.youde.net/)</w:t>
      </w:r>
    </w:p>
    <w:p w14:paraId="7E36F360">
      <w:pPr>
        <w:pStyle w:val="30"/>
        <w:numPr>
          <w:ilvl w:val="0"/>
          <w:numId w:val="5"/>
        </w:numPr>
        <w:spacing w:line="360" w:lineRule="auto"/>
        <w:ind w:firstLineChars="0"/>
        <w:rPr>
          <w:rFonts w:ascii="黑体" w:hAnsi="黑体" w:eastAsia="黑体" w:cs="黑体"/>
          <w:bCs/>
          <w:color w:val="auto"/>
          <w:szCs w:val="21"/>
        </w:rPr>
      </w:pPr>
      <w:r>
        <w:rPr>
          <w:rFonts w:hint="eastAsia" w:ascii="黑体" w:hAnsi="黑体" w:eastAsia="黑体" w:cs="黑体"/>
          <w:bCs/>
          <w:color w:val="auto"/>
          <w:szCs w:val="21"/>
        </w:rPr>
        <w:t>拟参加本项目的潜在投标人须在规定时间内按要求获取招标文件后方可参与本项目的投标。获取招标文件后而不参加投标的潜在投标人，请在开标日期三日前以书面形式通知采购代理机构。</w:t>
      </w:r>
    </w:p>
    <w:p w14:paraId="674EDBFA">
      <w:pPr>
        <w:pStyle w:val="30"/>
        <w:numPr>
          <w:ilvl w:val="0"/>
          <w:numId w:val="5"/>
        </w:numPr>
        <w:spacing w:line="360" w:lineRule="auto"/>
        <w:ind w:firstLineChars="0"/>
        <w:rPr>
          <w:rFonts w:ascii="黑体" w:hAnsi="黑体" w:eastAsia="黑体" w:cs="黑体"/>
          <w:bCs/>
          <w:color w:val="auto"/>
          <w:szCs w:val="21"/>
        </w:rPr>
      </w:pPr>
      <w:r>
        <w:rPr>
          <w:rFonts w:hint="eastAsia" w:ascii="黑体" w:hAnsi="黑体" w:eastAsia="黑体" w:cs="黑体"/>
          <w:bCs/>
          <w:color w:val="auto"/>
          <w:szCs w:val="21"/>
        </w:rPr>
        <w:t xml:space="preserve">获取招标文件联系人及联系方式：范小姐（0769）23362836 </w:t>
      </w:r>
      <w:bookmarkStart w:id="11" w:name="_Hlk90986682"/>
      <w:r>
        <w:rPr>
          <w:rFonts w:hint="eastAsia" w:ascii="黑体" w:hAnsi="黑体" w:eastAsia="黑体" w:cs="黑体"/>
          <w:bCs/>
          <w:color w:val="auto"/>
          <w:szCs w:val="21"/>
        </w:rPr>
        <w:t>邮箱：</w:t>
      </w:r>
      <w:r>
        <w:rPr>
          <w:rFonts w:hint="eastAsia" w:ascii="黑体" w:hAnsi="黑体" w:eastAsia="黑体" w:cs="黑体"/>
          <w:color w:val="auto"/>
        </w:rPr>
        <w:t>youdedg@163.com</w:t>
      </w:r>
      <w:r>
        <w:rPr>
          <w:rFonts w:hint="eastAsia" w:ascii="黑体" w:hAnsi="黑体" w:eastAsia="黑体" w:cs="黑体"/>
          <w:bCs/>
          <w:color w:val="auto"/>
          <w:szCs w:val="21"/>
        </w:rPr>
        <w:t>。</w:t>
      </w:r>
      <w:bookmarkEnd w:id="11"/>
    </w:p>
    <w:bookmarkEnd w:id="10"/>
    <w:p w14:paraId="3EB36078">
      <w:pPr>
        <w:pStyle w:val="30"/>
        <w:numPr>
          <w:ilvl w:val="0"/>
          <w:numId w:val="2"/>
        </w:numPr>
        <w:tabs>
          <w:tab w:val="left" w:pos="426"/>
        </w:tabs>
        <w:spacing w:line="360" w:lineRule="auto"/>
        <w:ind w:firstLineChars="0"/>
        <w:rPr>
          <w:rFonts w:ascii="黑体" w:hAnsi="黑体" w:eastAsia="黑体"/>
          <w:b/>
          <w:color w:val="auto"/>
          <w:szCs w:val="21"/>
        </w:rPr>
      </w:pPr>
      <w:r>
        <w:rPr>
          <w:rFonts w:hint="eastAsia" w:ascii="黑体" w:hAnsi="黑体" w:eastAsia="黑体"/>
          <w:b/>
          <w:color w:val="auto"/>
          <w:szCs w:val="21"/>
        </w:rPr>
        <w:t>对本次招标提出询问，请按以下方式联系。</w:t>
      </w:r>
    </w:p>
    <w:p w14:paraId="65A083B1">
      <w:pPr>
        <w:pStyle w:val="30"/>
        <w:numPr>
          <w:ilvl w:val="0"/>
          <w:numId w:val="6"/>
        </w:numPr>
        <w:spacing w:line="360" w:lineRule="auto"/>
        <w:ind w:firstLineChars="0"/>
        <w:rPr>
          <w:rFonts w:ascii="黑体" w:hAnsi="黑体" w:eastAsia="黑体"/>
          <w:b/>
          <w:color w:val="auto"/>
          <w:szCs w:val="21"/>
        </w:rPr>
      </w:pPr>
      <w:r>
        <w:rPr>
          <w:rFonts w:hint="eastAsia" w:ascii="黑体" w:hAnsi="黑体" w:eastAsia="黑体"/>
          <w:b/>
          <w:color w:val="auto"/>
          <w:szCs w:val="21"/>
        </w:rPr>
        <w:t>采购人信息</w:t>
      </w:r>
    </w:p>
    <w:p w14:paraId="69B80DC6">
      <w:pPr>
        <w:tabs>
          <w:tab w:val="left" w:pos="567"/>
        </w:tabs>
        <w:spacing w:line="360" w:lineRule="auto"/>
        <w:ind w:left="424" w:leftChars="202"/>
        <w:rPr>
          <w:rFonts w:ascii="黑体" w:hAnsi="黑体" w:eastAsia="黑体"/>
          <w:bCs/>
          <w:color w:val="auto"/>
          <w:szCs w:val="21"/>
        </w:rPr>
      </w:pPr>
      <w:r>
        <w:rPr>
          <w:rFonts w:hint="eastAsia" w:ascii="黑体" w:hAnsi="黑体" w:eastAsia="黑体"/>
          <w:bCs/>
          <w:color w:val="auto"/>
          <w:szCs w:val="21"/>
        </w:rPr>
        <w:t>名称：东莞市汽车技术学校</w:t>
      </w:r>
    </w:p>
    <w:p w14:paraId="3436A01D">
      <w:pPr>
        <w:tabs>
          <w:tab w:val="left" w:pos="567"/>
        </w:tabs>
        <w:spacing w:line="360" w:lineRule="auto"/>
        <w:ind w:left="424" w:leftChars="202"/>
        <w:rPr>
          <w:rFonts w:ascii="黑体" w:hAnsi="黑体" w:eastAsia="黑体"/>
          <w:bCs/>
          <w:color w:val="auto"/>
          <w:szCs w:val="21"/>
        </w:rPr>
      </w:pPr>
      <w:r>
        <w:rPr>
          <w:rFonts w:hint="eastAsia" w:ascii="黑体" w:hAnsi="黑体" w:eastAsia="黑体"/>
          <w:bCs/>
          <w:color w:val="auto"/>
          <w:szCs w:val="21"/>
        </w:rPr>
        <w:t>地址：东莞市寮步镇寮城中路霞边段7号101号</w:t>
      </w:r>
    </w:p>
    <w:p w14:paraId="1735436A">
      <w:pPr>
        <w:tabs>
          <w:tab w:val="left" w:pos="567"/>
        </w:tabs>
        <w:spacing w:line="360" w:lineRule="auto"/>
        <w:ind w:left="424" w:leftChars="202"/>
        <w:rPr>
          <w:rFonts w:ascii="黑体" w:hAnsi="黑体" w:eastAsia="黑体"/>
          <w:b/>
          <w:color w:val="auto"/>
          <w:szCs w:val="21"/>
        </w:rPr>
      </w:pPr>
      <w:r>
        <w:rPr>
          <w:rFonts w:hint="eastAsia" w:ascii="黑体" w:hAnsi="黑体" w:eastAsia="黑体"/>
          <w:bCs/>
          <w:color w:val="auto"/>
          <w:szCs w:val="21"/>
        </w:rPr>
        <w:t>联系方式：（0769）83266616</w:t>
      </w:r>
    </w:p>
    <w:p w14:paraId="01CC8BB3">
      <w:pPr>
        <w:pStyle w:val="30"/>
        <w:numPr>
          <w:ilvl w:val="0"/>
          <w:numId w:val="6"/>
        </w:numPr>
        <w:spacing w:line="360" w:lineRule="auto"/>
        <w:ind w:firstLineChars="0"/>
        <w:rPr>
          <w:rFonts w:ascii="黑体" w:hAnsi="黑体" w:eastAsia="黑体"/>
          <w:b/>
          <w:color w:val="auto"/>
          <w:szCs w:val="21"/>
        </w:rPr>
      </w:pPr>
      <w:r>
        <w:rPr>
          <w:rFonts w:hint="eastAsia" w:ascii="黑体" w:hAnsi="黑体" w:eastAsia="黑体"/>
          <w:b/>
          <w:color w:val="auto"/>
          <w:szCs w:val="21"/>
        </w:rPr>
        <w:t>采购代理机构信息</w:t>
      </w:r>
    </w:p>
    <w:p w14:paraId="0F91B022">
      <w:pPr>
        <w:tabs>
          <w:tab w:val="left" w:pos="567"/>
        </w:tabs>
        <w:spacing w:line="360" w:lineRule="auto"/>
        <w:ind w:left="424" w:leftChars="202"/>
        <w:rPr>
          <w:rFonts w:ascii="黑体" w:hAnsi="黑体" w:eastAsia="黑体"/>
          <w:bCs/>
          <w:color w:val="auto"/>
          <w:szCs w:val="21"/>
        </w:rPr>
      </w:pPr>
      <w:bookmarkStart w:id="12" w:name="_Hlk90986307"/>
      <w:r>
        <w:rPr>
          <w:rFonts w:hint="eastAsia" w:ascii="黑体" w:hAnsi="黑体" w:eastAsia="黑体"/>
          <w:bCs/>
          <w:color w:val="auto"/>
          <w:szCs w:val="21"/>
        </w:rPr>
        <w:t xml:space="preserve">名 </w:t>
      </w:r>
      <w:r>
        <w:rPr>
          <w:rFonts w:ascii="黑体" w:hAnsi="黑体" w:eastAsia="黑体"/>
          <w:bCs/>
          <w:color w:val="auto"/>
          <w:szCs w:val="21"/>
        </w:rPr>
        <w:t xml:space="preserve"> </w:t>
      </w:r>
      <w:r>
        <w:rPr>
          <w:rFonts w:hint="eastAsia" w:ascii="黑体" w:hAnsi="黑体" w:eastAsia="黑体"/>
          <w:bCs/>
          <w:color w:val="auto"/>
          <w:szCs w:val="21"/>
        </w:rPr>
        <w:t>称：</w:t>
      </w:r>
      <w:bookmarkStart w:id="13" w:name="_Hlk58184619"/>
      <w:r>
        <w:rPr>
          <w:rFonts w:hint="eastAsia" w:ascii="黑体" w:hAnsi="黑体" w:eastAsia="黑体"/>
          <w:bCs/>
          <w:color w:val="auto"/>
          <w:szCs w:val="21"/>
        </w:rPr>
        <w:t>广东有德招标采购有限公司</w:t>
      </w:r>
      <w:bookmarkEnd w:id="13"/>
    </w:p>
    <w:p w14:paraId="0316C1FB">
      <w:pPr>
        <w:tabs>
          <w:tab w:val="left" w:pos="567"/>
        </w:tabs>
        <w:spacing w:line="360" w:lineRule="auto"/>
        <w:ind w:left="424" w:leftChars="202"/>
        <w:rPr>
          <w:rFonts w:ascii="黑体" w:hAnsi="黑体" w:eastAsia="黑体"/>
          <w:bCs/>
          <w:color w:val="auto"/>
          <w:szCs w:val="21"/>
        </w:rPr>
      </w:pPr>
      <w:r>
        <w:rPr>
          <w:rFonts w:hint="eastAsia" w:ascii="黑体" w:hAnsi="黑体" w:eastAsia="黑体"/>
          <w:bCs/>
          <w:color w:val="auto"/>
          <w:szCs w:val="21"/>
        </w:rPr>
        <w:t>地　址：东莞市东城街道新源路海德琥珀台6栋1703室</w:t>
      </w:r>
    </w:p>
    <w:p w14:paraId="411B3DFF">
      <w:pPr>
        <w:tabs>
          <w:tab w:val="left" w:pos="567"/>
        </w:tabs>
        <w:spacing w:line="360" w:lineRule="auto"/>
        <w:ind w:left="424" w:leftChars="202"/>
        <w:rPr>
          <w:rFonts w:ascii="黑体" w:hAnsi="黑体" w:eastAsia="黑体"/>
          <w:b/>
          <w:color w:val="auto"/>
          <w:szCs w:val="21"/>
        </w:rPr>
      </w:pPr>
      <w:r>
        <w:rPr>
          <w:rFonts w:hint="eastAsia" w:ascii="黑体" w:hAnsi="黑体" w:eastAsia="黑体"/>
          <w:bCs/>
          <w:color w:val="auto"/>
          <w:szCs w:val="21"/>
        </w:rPr>
        <w:t>联系方式：（0769）23362836</w:t>
      </w:r>
    </w:p>
    <w:bookmarkEnd w:id="12"/>
    <w:p w14:paraId="00AB8517">
      <w:pPr>
        <w:pStyle w:val="30"/>
        <w:numPr>
          <w:ilvl w:val="0"/>
          <w:numId w:val="6"/>
        </w:numPr>
        <w:spacing w:line="360" w:lineRule="auto"/>
        <w:ind w:firstLineChars="0"/>
        <w:rPr>
          <w:rFonts w:ascii="黑体" w:hAnsi="黑体" w:eastAsia="黑体"/>
          <w:b/>
          <w:color w:val="auto"/>
          <w:szCs w:val="21"/>
        </w:rPr>
      </w:pPr>
      <w:r>
        <w:rPr>
          <w:rFonts w:hint="eastAsia" w:ascii="黑体" w:hAnsi="黑体" w:eastAsia="黑体"/>
          <w:b/>
          <w:color w:val="auto"/>
          <w:szCs w:val="21"/>
        </w:rPr>
        <w:t>项目联系方式</w:t>
      </w:r>
    </w:p>
    <w:p w14:paraId="0424791B">
      <w:pPr>
        <w:tabs>
          <w:tab w:val="left" w:pos="567"/>
        </w:tabs>
        <w:spacing w:line="360" w:lineRule="auto"/>
        <w:ind w:left="283" w:leftChars="135" w:firstLine="142" w:firstLineChars="68"/>
        <w:rPr>
          <w:rFonts w:ascii="黑体" w:hAnsi="黑体" w:eastAsia="黑体"/>
          <w:bCs/>
          <w:color w:val="auto"/>
          <w:szCs w:val="21"/>
        </w:rPr>
      </w:pPr>
      <w:r>
        <w:rPr>
          <w:rFonts w:hint="eastAsia" w:ascii="黑体" w:hAnsi="黑体" w:eastAsia="黑体"/>
          <w:bCs/>
          <w:color w:val="auto"/>
          <w:szCs w:val="21"/>
        </w:rPr>
        <w:t>项目联系人：郑小姐</w:t>
      </w:r>
    </w:p>
    <w:p w14:paraId="4DD1A81B">
      <w:pPr>
        <w:tabs>
          <w:tab w:val="left" w:pos="567"/>
        </w:tabs>
        <w:spacing w:line="360" w:lineRule="auto"/>
        <w:ind w:left="283" w:leftChars="135" w:firstLine="142" w:firstLineChars="68"/>
        <w:rPr>
          <w:rFonts w:ascii="黑体" w:hAnsi="黑体" w:eastAsia="黑体"/>
          <w:b/>
          <w:color w:val="auto"/>
          <w:szCs w:val="21"/>
        </w:rPr>
      </w:pPr>
      <w:r>
        <w:rPr>
          <w:rFonts w:hint="eastAsia" w:ascii="黑体" w:hAnsi="黑体" w:eastAsia="黑体"/>
          <w:bCs/>
          <w:color w:val="auto"/>
          <w:szCs w:val="21"/>
        </w:rPr>
        <w:t>电　话：（0769）23362836-8019</w:t>
      </w:r>
    </w:p>
    <w:p w14:paraId="453AA438">
      <w:pPr>
        <w:tabs>
          <w:tab w:val="left" w:pos="567"/>
        </w:tabs>
        <w:spacing w:before="840" w:line="360" w:lineRule="auto"/>
        <w:jc w:val="right"/>
        <w:rPr>
          <w:rFonts w:ascii="黑体" w:hAnsi="黑体" w:eastAsia="黑体"/>
          <w:b/>
          <w:color w:val="auto"/>
          <w:szCs w:val="21"/>
        </w:rPr>
      </w:pPr>
      <w:r>
        <w:rPr>
          <w:rFonts w:hint="eastAsia" w:ascii="黑体" w:hAnsi="黑体" w:eastAsia="黑体"/>
          <w:b/>
          <w:color w:val="auto"/>
          <w:szCs w:val="21"/>
        </w:rPr>
        <w:t>发布人：广东有德招标采购有限公司</w:t>
      </w:r>
    </w:p>
    <w:p w14:paraId="395898DE">
      <w:pPr>
        <w:tabs>
          <w:tab w:val="left" w:pos="567"/>
        </w:tabs>
        <w:spacing w:before="156" w:line="360" w:lineRule="auto"/>
        <w:jc w:val="right"/>
        <w:rPr>
          <w:rFonts w:ascii="黑体" w:hAnsi="黑体" w:eastAsia="黑体"/>
          <w:b/>
          <w:color w:val="auto"/>
          <w:szCs w:val="21"/>
        </w:rPr>
      </w:pPr>
      <w:bookmarkStart w:id="111" w:name="_GoBack"/>
      <w:bookmarkEnd w:id="111"/>
      <w:r>
        <w:rPr>
          <w:rFonts w:hint="eastAsia" w:ascii="黑体" w:hAnsi="黑体" w:eastAsia="黑体"/>
          <w:b/>
          <w:color w:val="auto"/>
          <w:szCs w:val="21"/>
        </w:rPr>
        <w:t>发布时间：2024年</w:t>
      </w:r>
      <w:r>
        <w:rPr>
          <w:rFonts w:hint="eastAsia" w:ascii="黑体" w:hAnsi="黑体" w:eastAsia="黑体"/>
          <w:b/>
          <w:color w:val="auto"/>
          <w:szCs w:val="21"/>
          <w:lang w:val="en-US" w:eastAsia="zh-CN"/>
        </w:rPr>
        <w:t>11</w:t>
      </w:r>
      <w:r>
        <w:rPr>
          <w:rFonts w:hint="eastAsia" w:ascii="黑体" w:hAnsi="黑体" w:eastAsia="黑体"/>
          <w:b/>
          <w:color w:val="auto"/>
          <w:szCs w:val="21"/>
        </w:rPr>
        <w:t>月</w:t>
      </w:r>
      <w:r>
        <w:rPr>
          <w:rFonts w:hint="eastAsia" w:ascii="黑体" w:hAnsi="黑体" w:eastAsia="黑体"/>
          <w:b/>
          <w:color w:val="auto"/>
          <w:szCs w:val="21"/>
          <w:lang w:val="en-US" w:eastAsia="zh-CN"/>
        </w:rPr>
        <w:t>8</w:t>
      </w:r>
      <w:r>
        <w:rPr>
          <w:rFonts w:hint="eastAsia" w:ascii="黑体" w:hAnsi="黑体" w:eastAsia="黑体"/>
          <w:b/>
          <w:color w:val="auto"/>
          <w:szCs w:val="21"/>
        </w:rPr>
        <w:t>日</w:t>
      </w:r>
    </w:p>
    <w:p w14:paraId="63E432AB">
      <w:pPr>
        <w:pStyle w:val="3"/>
        <w:keepNext w:val="0"/>
        <w:keepLines w:val="0"/>
        <w:pageBreakBefore/>
        <w:spacing w:line="360" w:lineRule="auto"/>
        <w:jc w:val="center"/>
        <w:rPr>
          <w:rFonts w:ascii="黑体" w:hAnsi="黑体" w:eastAsia="黑体"/>
          <w:color w:val="auto"/>
          <w:spacing w:val="20"/>
          <w:sz w:val="32"/>
          <w:szCs w:val="32"/>
        </w:rPr>
      </w:pPr>
      <w:bookmarkStart w:id="14" w:name="_Toc119514286"/>
      <w:bookmarkStart w:id="15" w:name="_Toc405313952"/>
      <w:bookmarkStart w:id="16" w:name="_Hlk90986704"/>
      <w:r>
        <w:rPr>
          <w:rFonts w:hint="eastAsia" w:ascii="黑体" w:hAnsi="黑体" w:eastAsia="黑体"/>
          <w:color w:val="auto"/>
          <w:spacing w:val="20"/>
          <w:sz w:val="32"/>
          <w:szCs w:val="32"/>
        </w:rPr>
        <w:t>第二部分</w:t>
      </w:r>
      <w:r>
        <w:rPr>
          <w:rFonts w:ascii="黑体" w:hAnsi="黑体" w:eastAsia="黑体"/>
          <w:color w:val="auto"/>
          <w:spacing w:val="20"/>
          <w:sz w:val="32"/>
          <w:szCs w:val="32"/>
        </w:rPr>
        <w:t xml:space="preserve"> </w:t>
      </w:r>
      <w:r>
        <w:rPr>
          <w:rFonts w:hint="eastAsia" w:ascii="黑体" w:hAnsi="黑体" w:eastAsia="黑体"/>
          <w:color w:val="auto"/>
          <w:spacing w:val="20"/>
          <w:sz w:val="32"/>
          <w:szCs w:val="32"/>
        </w:rPr>
        <w:t>采购需求</w:t>
      </w:r>
      <w:bookmarkEnd w:id="14"/>
      <w:bookmarkEnd w:id="15"/>
    </w:p>
    <w:p w14:paraId="0EA1C09E">
      <w:pPr>
        <w:spacing w:line="360" w:lineRule="auto"/>
        <w:contextualSpacing/>
        <w:rPr>
          <w:rFonts w:ascii="黑体" w:hAnsi="黑体" w:eastAsia="黑体"/>
          <w:b/>
          <w:color w:val="auto"/>
          <w:szCs w:val="21"/>
        </w:rPr>
      </w:pPr>
      <w:bookmarkStart w:id="17" w:name="_Hlk90919605"/>
      <w:r>
        <w:rPr>
          <w:rFonts w:hint="eastAsia" w:ascii="黑体" w:hAnsi="黑体" w:eastAsia="黑体"/>
          <w:b/>
          <w:color w:val="auto"/>
          <w:szCs w:val="21"/>
        </w:rPr>
        <w:t>说明：</w:t>
      </w:r>
    </w:p>
    <w:p w14:paraId="1B2AFC7D">
      <w:pPr>
        <w:numPr>
          <w:ilvl w:val="0"/>
          <w:numId w:val="7"/>
        </w:numPr>
        <w:spacing w:line="360" w:lineRule="auto"/>
        <w:contextualSpacing/>
        <w:rPr>
          <w:rFonts w:ascii="黑体" w:hAnsi="黑体" w:eastAsia="黑体"/>
          <w:bCs/>
          <w:color w:val="auto"/>
          <w:szCs w:val="21"/>
        </w:rPr>
      </w:pPr>
      <w:r>
        <w:rPr>
          <w:rFonts w:hint="eastAsia" w:ascii="黑体" w:hAnsi="黑体" w:eastAsia="黑体"/>
          <w:bCs/>
          <w:color w:val="auto"/>
          <w:szCs w:val="21"/>
        </w:rPr>
        <w:t>投标人必须对本项目的所有采购内容或服务进行整体响应，任何只对其中部分内容进行响应都被视为无效投标。</w:t>
      </w:r>
    </w:p>
    <w:p w14:paraId="03C21D77">
      <w:pPr>
        <w:numPr>
          <w:ilvl w:val="0"/>
          <w:numId w:val="7"/>
        </w:numPr>
        <w:spacing w:line="360" w:lineRule="auto"/>
        <w:contextualSpacing/>
        <w:rPr>
          <w:rFonts w:ascii="黑体" w:hAnsi="黑体" w:eastAsia="黑体"/>
          <w:bCs/>
          <w:color w:val="auto"/>
          <w:szCs w:val="21"/>
        </w:rPr>
      </w:pPr>
      <w:r>
        <w:rPr>
          <w:rFonts w:hint="eastAsia" w:ascii="黑体" w:hAnsi="黑体" w:eastAsia="黑体"/>
          <w:bCs/>
          <w:color w:val="auto"/>
          <w:szCs w:val="21"/>
        </w:rPr>
        <w:t>采购需求中</w:t>
      </w:r>
      <w:r>
        <w:rPr>
          <w:rFonts w:hint="eastAsia" w:ascii="黑体" w:hAnsi="黑体" w:eastAsia="黑体"/>
          <w:b/>
          <w:color w:val="auto"/>
          <w:szCs w:val="21"/>
        </w:rPr>
        <w:t>带“</w:t>
      </w:r>
      <w:r>
        <w:rPr>
          <w:rFonts w:hint="eastAsia" w:hAnsi="宋体" w:cs="宋体"/>
          <w:b/>
          <w:color w:val="auto"/>
          <w:szCs w:val="21"/>
        </w:rPr>
        <w:t>■</w:t>
      </w:r>
      <w:r>
        <w:rPr>
          <w:rFonts w:hint="eastAsia" w:ascii="黑体" w:hAnsi="黑体" w:eastAsia="黑体"/>
          <w:b/>
          <w:color w:val="auto"/>
          <w:szCs w:val="21"/>
        </w:rPr>
        <w:t>”符号的内容为采购的主要标的（核心产品），投标人应在《分项报价表》中清晰列明“货物名称、品牌、规格型号、原产地、价格等”。本项目主要标的（核心产品）为</w:t>
      </w:r>
      <w:r>
        <w:rPr>
          <w:rFonts w:hint="eastAsia" w:ascii="黑体" w:hAnsi="黑体" w:eastAsia="黑体"/>
          <w:b/>
          <w:color w:val="auto"/>
          <w:szCs w:val="21"/>
          <w:u w:val="single"/>
        </w:rPr>
        <w:t>“</w:t>
      </w:r>
      <w:bookmarkStart w:id="18" w:name="OLE_LINK18"/>
      <w:r>
        <w:rPr>
          <w:rFonts w:hint="eastAsia" w:ascii="黑体" w:hAnsi="黑体" w:eastAsia="黑体"/>
          <w:b/>
          <w:color w:val="auto"/>
          <w:szCs w:val="21"/>
          <w:u w:val="single"/>
        </w:rPr>
        <w:t>城市轨道交通车站应急处置虚拟仿真系统</w:t>
      </w:r>
      <w:bookmarkEnd w:id="18"/>
      <w:r>
        <w:rPr>
          <w:rFonts w:hint="eastAsia" w:ascii="黑体" w:hAnsi="黑体" w:eastAsia="黑体"/>
          <w:b/>
          <w:color w:val="auto"/>
          <w:szCs w:val="21"/>
          <w:u w:val="single"/>
        </w:rPr>
        <w:t>”</w:t>
      </w:r>
      <w:r>
        <w:rPr>
          <w:rFonts w:hint="eastAsia" w:ascii="黑体" w:hAnsi="黑体" w:eastAsia="黑体"/>
          <w:b/>
          <w:color w:val="auto"/>
          <w:szCs w:val="21"/>
        </w:rPr>
        <w:t>。多家投标人提供的核心产品品牌相同的，按一家投标人计算。</w:t>
      </w:r>
    </w:p>
    <w:p w14:paraId="18307E00">
      <w:pPr>
        <w:numPr>
          <w:ilvl w:val="0"/>
          <w:numId w:val="7"/>
        </w:numPr>
        <w:spacing w:line="360" w:lineRule="auto"/>
        <w:contextualSpacing/>
        <w:rPr>
          <w:rFonts w:ascii="黑体" w:hAnsi="黑体" w:eastAsia="黑体"/>
          <w:bCs/>
          <w:color w:val="auto"/>
          <w:szCs w:val="21"/>
        </w:rPr>
      </w:pPr>
      <w:r>
        <w:rPr>
          <w:rFonts w:hint="eastAsia" w:ascii="黑体" w:hAnsi="黑体" w:eastAsia="黑体"/>
          <w:bCs/>
          <w:color w:val="auto"/>
          <w:szCs w:val="21"/>
        </w:rPr>
        <w:t>需求书中加注“★”的条款均被视为不可偏离条款，投标人要特别加以注意，必须对此响应并完全满足或优于这些条款，否则若有一项加注“★”的条款未响应或不满足，投标都将被视为无效投标。打“▲”号条款为重要条款，若有部分“▲”条款未响应或不满足，将根据评审要求影响其得分，但不作为无效投标条款。</w:t>
      </w:r>
    </w:p>
    <w:p w14:paraId="4D20ACE1">
      <w:pPr>
        <w:numPr>
          <w:ilvl w:val="0"/>
          <w:numId w:val="7"/>
        </w:numPr>
        <w:spacing w:line="360" w:lineRule="auto"/>
        <w:contextualSpacing/>
        <w:rPr>
          <w:rFonts w:ascii="黑体" w:hAnsi="黑体" w:eastAsia="黑体"/>
          <w:bCs/>
          <w:color w:val="auto"/>
          <w:szCs w:val="21"/>
        </w:rPr>
      </w:pPr>
      <w:r>
        <w:rPr>
          <w:rFonts w:hint="eastAsia" w:ascii="黑体" w:hAnsi="黑体" w:eastAsia="黑体"/>
          <w:bCs/>
          <w:color w:val="auto"/>
          <w:szCs w:val="21"/>
        </w:rPr>
        <w:t>投标报价为按照合同约定完成合同全部义务后所适用的总价格，包括但不限于货物（包括备品备件）的设计、制造、包装、仓储、运输、保险、货物运输保险费、装卸费、安装、调试、试运行、验收、培训、技术服务（包括技术资料、图纸的提供）、质保期保障服务等的全部含税费用。除本合同明确约定的费用外，采购人无需支付任何额外费用和承担任何额外义务。</w:t>
      </w:r>
    </w:p>
    <w:p w14:paraId="525ED7D4">
      <w:pPr>
        <w:pStyle w:val="30"/>
        <w:numPr>
          <w:ilvl w:val="0"/>
          <w:numId w:val="8"/>
        </w:numPr>
        <w:spacing w:before="312" w:beforeLines="100" w:line="360" w:lineRule="auto"/>
        <w:ind w:left="499" w:hanging="499" w:firstLineChars="0"/>
        <w:contextualSpacing/>
        <w:rPr>
          <w:rFonts w:ascii="黑体" w:hAnsi="黑体" w:eastAsia="黑体"/>
          <w:b/>
          <w:color w:val="auto"/>
          <w:szCs w:val="21"/>
        </w:rPr>
      </w:pPr>
      <w:r>
        <w:rPr>
          <w:rFonts w:hint="eastAsia" w:ascii="黑体" w:hAnsi="黑体" w:eastAsia="黑体"/>
          <w:b/>
          <w:color w:val="auto"/>
          <w:szCs w:val="21"/>
        </w:rPr>
        <w:t>采购清单</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450"/>
        <w:gridCol w:w="988"/>
        <w:gridCol w:w="2468"/>
      </w:tblGrid>
      <w:tr w14:paraId="13C1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Pr>
          <w:p w14:paraId="6AAEA9A5">
            <w:pPr>
              <w:spacing w:line="360" w:lineRule="auto"/>
              <w:jc w:val="center"/>
              <w:rPr>
                <w:rFonts w:ascii="黑体" w:hAnsi="黑体" w:eastAsia="黑体" w:cs="黑体"/>
                <w:color w:val="auto"/>
                <w:szCs w:val="21"/>
              </w:rPr>
            </w:pPr>
            <w:r>
              <w:rPr>
                <w:rFonts w:hint="eastAsia" w:ascii="黑体" w:hAnsi="黑体" w:eastAsia="黑体" w:cs="黑体"/>
                <w:color w:val="auto"/>
                <w:szCs w:val="21"/>
              </w:rPr>
              <w:t>序号</w:t>
            </w:r>
          </w:p>
        </w:tc>
        <w:tc>
          <w:tcPr>
            <w:tcW w:w="4450" w:type="dxa"/>
          </w:tcPr>
          <w:p w14:paraId="17C919E6">
            <w:pPr>
              <w:spacing w:line="360" w:lineRule="auto"/>
              <w:jc w:val="center"/>
              <w:rPr>
                <w:rFonts w:ascii="黑体" w:hAnsi="黑体" w:eastAsia="黑体" w:cs="黑体"/>
                <w:color w:val="auto"/>
                <w:szCs w:val="21"/>
              </w:rPr>
            </w:pPr>
            <w:r>
              <w:rPr>
                <w:rFonts w:hint="eastAsia" w:ascii="黑体" w:hAnsi="黑体" w:eastAsia="黑体" w:cs="黑体"/>
                <w:color w:val="auto"/>
                <w:szCs w:val="21"/>
              </w:rPr>
              <w:t>产品名称</w:t>
            </w:r>
          </w:p>
        </w:tc>
        <w:tc>
          <w:tcPr>
            <w:tcW w:w="988" w:type="dxa"/>
          </w:tcPr>
          <w:p w14:paraId="516DFC66">
            <w:pPr>
              <w:spacing w:line="360" w:lineRule="auto"/>
              <w:jc w:val="center"/>
              <w:rPr>
                <w:rFonts w:ascii="黑体" w:hAnsi="黑体" w:eastAsia="黑体" w:cs="黑体"/>
                <w:color w:val="auto"/>
                <w:szCs w:val="21"/>
              </w:rPr>
            </w:pPr>
            <w:r>
              <w:rPr>
                <w:rFonts w:hint="eastAsia" w:ascii="黑体" w:hAnsi="黑体" w:eastAsia="黑体" w:cs="黑体"/>
                <w:color w:val="auto"/>
                <w:szCs w:val="21"/>
              </w:rPr>
              <w:t>数量</w:t>
            </w:r>
          </w:p>
        </w:tc>
        <w:tc>
          <w:tcPr>
            <w:tcW w:w="2468" w:type="dxa"/>
          </w:tcPr>
          <w:p w14:paraId="07E05784">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★单价最高限价（元）</w:t>
            </w:r>
          </w:p>
        </w:tc>
      </w:tr>
      <w:tr w14:paraId="43BC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Pr>
          <w:p w14:paraId="418F3F5C">
            <w:pPr>
              <w:spacing w:line="360" w:lineRule="auto"/>
              <w:jc w:val="center"/>
              <w:rPr>
                <w:rFonts w:ascii="黑体" w:hAnsi="黑体" w:eastAsia="黑体" w:cs="黑体"/>
                <w:color w:val="auto"/>
                <w:szCs w:val="21"/>
              </w:rPr>
            </w:pPr>
            <w:r>
              <w:rPr>
                <w:rFonts w:hint="eastAsia" w:ascii="黑体" w:hAnsi="黑体" w:eastAsia="黑体" w:cs="黑体"/>
                <w:color w:val="auto"/>
                <w:szCs w:val="21"/>
              </w:rPr>
              <w:t>1</w:t>
            </w:r>
          </w:p>
        </w:tc>
        <w:tc>
          <w:tcPr>
            <w:tcW w:w="4450" w:type="dxa"/>
          </w:tcPr>
          <w:p w14:paraId="642440DC">
            <w:pPr>
              <w:spacing w:line="360" w:lineRule="auto"/>
              <w:jc w:val="center"/>
              <w:rPr>
                <w:rFonts w:ascii="黑体" w:hAnsi="黑体" w:eastAsia="黑体" w:cs="黑体"/>
                <w:color w:val="auto"/>
                <w:szCs w:val="21"/>
              </w:rPr>
            </w:pPr>
            <w:r>
              <w:rPr>
                <w:rFonts w:hint="eastAsia" w:ascii="黑体" w:hAnsi="黑体" w:eastAsia="黑体" w:cs="黑体"/>
                <w:bCs/>
                <w:color w:val="auto"/>
                <w:szCs w:val="21"/>
              </w:rPr>
              <w:t>■</w:t>
            </w:r>
            <w:r>
              <w:rPr>
                <w:rFonts w:hint="eastAsia" w:ascii="黑体" w:hAnsi="黑体" w:eastAsia="黑体" w:cs="黑体"/>
                <w:color w:val="auto"/>
                <w:kern w:val="1"/>
                <w:szCs w:val="21"/>
              </w:rPr>
              <w:t>城市轨道交通车站应急处置虚拟仿真系统</w:t>
            </w:r>
          </w:p>
        </w:tc>
        <w:tc>
          <w:tcPr>
            <w:tcW w:w="988" w:type="dxa"/>
          </w:tcPr>
          <w:p w14:paraId="14AA6F87">
            <w:pPr>
              <w:spacing w:line="360" w:lineRule="auto"/>
              <w:jc w:val="center"/>
              <w:rPr>
                <w:rFonts w:ascii="黑体" w:hAnsi="黑体" w:eastAsia="黑体" w:cs="黑体"/>
                <w:color w:val="auto"/>
                <w:szCs w:val="21"/>
              </w:rPr>
            </w:pPr>
            <w:r>
              <w:rPr>
                <w:rFonts w:hint="eastAsia" w:ascii="黑体" w:hAnsi="黑体" w:eastAsia="黑体" w:cs="黑体"/>
                <w:color w:val="auto"/>
                <w:szCs w:val="21"/>
              </w:rPr>
              <w:t>1套</w:t>
            </w:r>
          </w:p>
        </w:tc>
        <w:tc>
          <w:tcPr>
            <w:tcW w:w="2468" w:type="dxa"/>
          </w:tcPr>
          <w:p w14:paraId="76C5BB32">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93,000.00</w:t>
            </w:r>
          </w:p>
        </w:tc>
      </w:tr>
      <w:tr w14:paraId="004A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Pr>
          <w:p w14:paraId="0F59D630">
            <w:pPr>
              <w:spacing w:line="360" w:lineRule="auto"/>
              <w:jc w:val="center"/>
              <w:rPr>
                <w:rFonts w:ascii="黑体" w:hAnsi="黑体" w:eastAsia="黑体" w:cs="黑体"/>
                <w:color w:val="auto"/>
                <w:szCs w:val="21"/>
              </w:rPr>
            </w:pPr>
            <w:r>
              <w:rPr>
                <w:rFonts w:hint="eastAsia" w:ascii="黑体" w:hAnsi="黑体" w:eastAsia="黑体" w:cs="黑体"/>
                <w:color w:val="auto"/>
                <w:szCs w:val="21"/>
              </w:rPr>
              <w:t>2</w:t>
            </w:r>
          </w:p>
        </w:tc>
        <w:tc>
          <w:tcPr>
            <w:tcW w:w="4450" w:type="dxa"/>
          </w:tcPr>
          <w:p w14:paraId="1F52A86F">
            <w:pPr>
              <w:spacing w:line="360" w:lineRule="auto"/>
              <w:jc w:val="center"/>
              <w:rPr>
                <w:rFonts w:ascii="黑体" w:hAnsi="黑体" w:eastAsia="黑体" w:cs="黑体"/>
                <w:color w:val="auto"/>
                <w:szCs w:val="21"/>
              </w:rPr>
            </w:pPr>
            <w:r>
              <w:rPr>
                <w:rFonts w:hint="eastAsia" w:ascii="黑体" w:hAnsi="黑体" w:eastAsia="黑体" w:cs="黑体"/>
                <w:color w:val="auto"/>
                <w:kern w:val="1"/>
                <w:szCs w:val="21"/>
              </w:rPr>
              <w:t>城市轨道交通信号系统实物平台</w:t>
            </w:r>
          </w:p>
        </w:tc>
        <w:tc>
          <w:tcPr>
            <w:tcW w:w="988" w:type="dxa"/>
          </w:tcPr>
          <w:p w14:paraId="58549254">
            <w:pPr>
              <w:spacing w:line="360" w:lineRule="auto"/>
              <w:jc w:val="center"/>
              <w:rPr>
                <w:rFonts w:ascii="黑体" w:hAnsi="黑体" w:eastAsia="黑体" w:cs="黑体"/>
                <w:color w:val="auto"/>
                <w:szCs w:val="21"/>
              </w:rPr>
            </w:pPr>
            <w:r>
              <w:rPr>
                <w:rFonts w:hint="eastAsia" w:ascii="黑体" w:hAnsi="黑体" w:eastAsia="黑体" w:cs="黑体"/>
                <w:color w:val="auto"/>
                <w:szCs w:val="21"/>
              </w:rPr>
              <w:t>1套</w:t>
            </w:r>
          </w:p>
        </w:tc>
        <w:tc>
          <w:tcPr>
            <w:tcW w:w="2468" w:type="dxa"/>
          </w:tcPr>
          <w:p w14:paraId="44782A97">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290,000.00</w:t>
            </w:r>
          </w:p>
        </w:tc>
      </w:tr>
    </w:tbl>
    <w:p w14:paraId="2DFACDD4">
      <w:pPr>
        <w:pStyle w:val="30"/>
        <w:numPr>
          <w:ilvl w:val="0"/>
          <w:numId w:val="8"/>
        </w:numPr>
        <w:spacing w:before="312" w:beforeLines="100" w:line="360" w:lineRule="auto"/>
        <w:ind w:left="499" w:hanging="499" w:firstLineChars="0"/>
        <w:contextualSpacing/>
        <w:rPr>
          <w:rFonts w:ascii="黑体" w:hAnsi="黑体" w:eastAsia="黑体"/>
          <w:b/>
          <w:color w:val="auto"/>
          <w:szCs w:val="21"/>
        </w:rPr>
      </w:pPr>
      <w:r>
        <w:rPr>
          <w:rFonts w:hint="eastAsia" w:ascii="黑体" w:hAnsi="黑体" w:eastAsia="黑体"/>
          <w:b/>
          <w:color w:val="auto"/>
          <w:szCs w:val="21"/>
        </w:rPr>
        <w:t>商务要求</w:t>
      </w:r>
    </w:p>
    <w:p w14:paraId="067A9DAA">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交货时间及地点</w:t>
      </w:r>
    </w:p>
    <w:p w14:paraId="639C9B91">
      <w:pPr>
        <w:pStyle w:val="30"/>
        <w:numPr>
          <w:ilvl w:val="0"/>
          <w:numId w:val="10"/>
        </w:numPr>
        <w:spacing w:before="312" w:beforeLines="100" w:line="360" w:lineRule="auto"/>
        <w:ind w:firstLineChars="0"/>
        <w:contextualSpacing/>
        <w:rPr>
          <w:rFonts w:ascii="黑体" w:hAnsi="黑体" w:eastAsia="黑体"/>
          <w:color w:val="auto"/>
          <w:szCs w:val="21"/>
        </w:rPr>
      </w:pPr>
      <w:r>
        <w:rPr>
          <w:rFonts w:hint="eastAsia" w:ascii="黑体" w:hAnsi="黑体" w:eastAsia="黑体"/>
          <w:b/>
          <w:color w:val="auto"/>
          <w:szCs w:val="21"/>
        </w:rPr>
        <w:t>交货时间：</w:t>
      </w:r>
      <w:r>
        <w:rPr>
          <w:rFonts w:hint="eastAsia" w:ascii="黑体" w:hAnsi="黑体" w:eastAsia="黑体"/>
          <w:color w:val="auto"/>
          <w:szCs w:val="21"/>
        </w:rPr>
        <w:t>自合同签订之日起</w:t>
      </w:r>
      <w:r>
        <w:rPr>
          <w:rFonts w:hint="eastAsia" w:ascii="黑体" w:hAnsi="黑体" w:eastAsia="黑体"/>
          <w:color w:val="auto"/>
          <w:szCs w:val="21"/>
        </w:rPr>
        <w:t>10个日历天</w:t>
      </w:r>
      <w:r>
        <w:rPr>
          <w:rFonts w:hint="eastAsia" w:ascii="黑体" w:hAnsi="黑体" w:eastAsia="黑体"/>
          <w:color w:val="auto"/>
          <w:szCs w:val="21"/>
        </w:rPr>
        <w:t>内完成供货、安装调试及交付使用。</w:t>
      </w:r>
    </w:p>
    <w:p w14:paraId="3350646F">
      <w:pPr>
        <w:pStyle w:val="30"/>
        <w:numPr>
          <w:ilvl w:val="0"/>
          <w:numId w:val="10"/>
        </w:numPr>
        <w:spacing w:before="312" w:beforeLines="100" w:line="360" w:lineRule="auto"/>
        <w:ind w:firstLineChars="0"/>
        <w:contextualSpacing/>
        <w:rPr>
          <w:rFonts w:ascii="黑体" w:hAnsi="黑体" w:eastAsia="黑体"/>
          <w:color w:val="auto"/>
          <w:szCs w:val="21"/>
        </w:rPr>
      </w:pPr>
      <w:r>
        <w:rPr>
          <w:rFonts w:hint="eastAsia" w:ascii="黑体" w:hAnsi="黑体" w:eastAsia="黑体"/>
          <w:b/>
          <w:bCs/>
          <w:color w:val="auto"/>
          <w:szCs w:val="21"/>
        </w:rPr>
        <w:t>交货地点：</w:t>
      </w:r>
      <w:r>
        <w:rPr>
          <w:rFonts w:hint="eastAsia" w:ascii="黑体" w:hAnsi="黑体" w:eastAsia="黑体" w:cs="黑体"/>
          <w:color w:val="auto"/>
          <w:szCs w:val="21"/>
        </w:rPr>
        <w:t>采购人指定地点</w:t>
      </w:r>
      <w:r>
        <w:rPr>
          <w:rFonts w:hint="eastAsia" w:ascii="黑体" w:hAnsi="黑体" w:eastAsia="黑体"/>
          <w:color w:val="auto"/>
          <w:szCs w:val="21"/>
        </w:rPr>
        <w:t>。</w:t>
      </w:r>
    </w:p>
    <w:p w14:paraId="27A8B76A">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设备要求</w:t>
      </w:r>
    </w:p>
    <w:p w14:paraId="7EE4FBF3">
      <w:pPr>
        <w:pStyle w:val="30"/>
        <w:numPr>
          <w:ilvl w:val="0"/>
          <w:numId w:val="11"/>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货物为原制造商制造的全新产品，整机无污染，无侵权行为、表面无划损、无任何缺陷隐患，在中国境内可依常规安全合法使用。</w:t>
      </w:r>
    </w:p>
    <w:p w14:paraId="51BA57E0">
      <w:pPr>
        <w:pStyle w:val="30"/>
        <w:numPr>
          <w:ilvl w:val="0"/>
          <w:numId w:val="11"/>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货物为原厂商未启封全新包装，具出厂合格证，序列号、包装箱号与出厂批号一致，并可追索查阅。</w:t>
      </w:r>
    </w:p>
    <w:p w14:paraId="32EF0314">
      <w:pPr>
        <w:pStyle w:val="30"/>
        <w:numPr>
          <w:ilvl w:val="0"/>
          <w:numId w:val="11"/>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有关键设备的用户手册、保修手册、有关单证资料及配备件、随机工具等，使用操作及安全须知等重要资料应附有中文说明。</w:t>
      </w:r>
    </w:p>
    <w:p w14:paraId="50487C82">
      <w:pPr>
        <w:pStyle w:val="30"/>
        <w:numPr>
          <w:ilvl w:val="0"/>
          <w:numId w:val="11"/>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符合全国职业院校技能大赛城市轨道交通运营与维护赛项技术要求。</w:t>
      </w:r>
    </w:p>
    <w:p w14:paraId="3ECA40E3">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包装和运输要求</w:t>
      </w:r>
    </w:p>
    <w:p w14:paraId="220C9599">
      <w:pPr>
        <w:pStyle w:val="30"/>
        <w:numPr>
          <w:ilvl w:val="0"/>
          <w:numId w:val="12"/>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货物的包装和发运必须符合货物特性要求。</w:t>
      </w:r>
    </w:p>
    <w:p w14:paraId="130F53F3">
      <w:pPr>
        <w:pStyle w:val="30"/>
        <w:numPr>
          <w:ilvl w:val="0"/>
          <w:numId w:val="12"/>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为了保证货物在长途运输和装卸过程中的安全，货物包装应符合国家或行业标准规定。由于包装不善导致货物锈蚀、失缺或损坏，由中标人承担一切责任。</w:t>
      </w:r>
    </w:p>
    <w:p w14:paraId="651D7B16">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设备的安装与调试要求</w:t>
      </w:r>
    </w:p>
    <w:p w14:paraId="10E1A40E">
      <w:pPr>
        <w:pStyle w:val="30"/>
        <w:numPr>
          <w:ilvl w:val="0"/>
          <w:numId w:val="13"/>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中标人必须依照采购文件的要求和响投标文件的承诺，将设备、系统安装并调试至正常运行的最佳状态。</w:t>
      </w:r>
    </w:p>
    <w:p w14:paraId="1229E47F">
      <w:pPr>
        <w:pStyle w:val="30"/>
        <w:numPr>
          <w:ilvl w:val="0"/>
          <w:numId w:val="13"/>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 xml:space="preserve">合同设备安装： </w:t>
      </w:r>
    </w:p>
    <w:p w14:paraId="7975B83F">
      <w:pPr>
        <w:pStyle w:val="30"/>
        <w:numPr>
          <w:ilvl w:val="0"/>
          <w:numId w:val="14"/>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中标人负责合同设备的安装，一切费用由中标人负责</w:t>
      </w:r>
    </w:p>
    <w:p w14:paraId="4F173706">
      <w:pPr>
        <w:pStyle w:val="30"/>
        <w:numPr>
          <w:ilvl w:val="0"/>
          <w:numId w:val="14"/>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中标人安装时须对各安装场地内的其他设备、设施有良好保护措施。</w:t>
      </w:r>
    </w:p>
    <w:p w14:paraId="6CA9792E">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质量保证及售后服务要求</w:t>
      </w:r>
    </w:p>
    <w:p w14:paraId="46D40385">
      <w:pPr>
        <w:pStyle w:val="30"/>
        <w:numPr>
          <w:ilvl w:val="0"/>
          <w:numId w:val="15"/>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质量保证期（简称“质保期”）</w:t>
      </w:r>
      <w:r>
        <w:rPr>
          <w:rFonts w:hint="eastAsia" w:ascii="黑体" w:hAnsi="黑体" w:eastAsia="黑体"/>
          <w:bCs/>
          <w:color w:val="auto"/>
          <w:szCs w:val="21"/>
        </w:rPr>
        <w:t>为3年</w:t>
      </w:r>
      <w:r>
        <w:rPr>
          <w:rFonts w:hint="eastAsia" w:ascii="黑体" w:hAnsi="黑体" w:eastAsia="黑体"/>
          <w:bCs/>
          <w:color w:val="auto"/>
          <w:szCs w:val="21"/>
        </w:rPr>
        <w:t>，质保期自货物最终验收合格之日起算，质保期内中标人对所供货物提供质量保证以及原厂的设备维修上门保修服务（费用已包含在投标报价中，采购人不再另行支付）。</w:t>
      </w:r>
    </w:p>
    <w:p w14:paraId="33B9EE66">
      <w:pPr>
        <w:pStyle w:val="30"/>
        <w:numPr>
          <w:ilvl w:val="0"/>
          <w:numId w:val="15"/>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 xml:space="preserve">质保期内，所有硬件设备及其配件的维修费用均包含在投标报价中，采购人不再另行支付，如设备或零部件因非人为因素出现故障而造成短期停用时，则质保期和免费维修期相应顺延。如停用时间累计超过60天则质保期重新计算。 </w:t>
      </w:r>
    </w:p>
    <w:p w14:paraId="06CDF771">
      <w:pPr>
        <w:pStyle w:val="30"/>
        <w:numPr>
          <w:ilvl w:val="0"/>
          <w:numId w:val="15"/>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 xml:space="preserve">对采购人的服务通知，中标人在接报后2小时内（含）响应，12小时内（含）到达现场，24小时内（含）处理完毕。若在24小时内（含）仍未能有效解决，中标人须提供相同技术参数的设备予采购人临时使用。如货物经中标人 3 次维修仍不能达到合同约定的质量标准，视作中标人未能按时交货，采购人有权退货并追究中标人的违约责任。货到现场后由于采购人保管不当造成的问题，中标人亦应负责修复，但费用由采购人负担。 </w:t>
      </w:r>
    </w:p>
    <w:p w14:paraId="7B8AF397">
      <w:pPr>
        <w:pStyle w:val="30"/>
        <w:numPr>
          <w:ilvl w:val="0"/>
          <w:numId w:val="15"/>
        </w:numPr>
        <w:spacing w:before="312" w:beforeLines="100" w:line="360" w:lineRule="auto"/>
        <w:ind w:firstLineChars="0"/>
        <w:contextualSpacing/>
        <w:rPr>
          <w:rFonts w:ascii="黑体" w:hAnsi="黑体" w:eastAsia="黑体"/>
          <w:bCs/>
          <w:color w:val="auto"/>
          <w:szCs w:val="21"/>
        </w:rPr>
      </w:pPr>
      <w:r>
        <w:rPr>
          <w:rFonts w:hint="eastAsia" w:ascii="黑体" w:hAnsi="黑体" w:eastAsia="黑体"/>
          <w:bCs/>
          <w:color w:val="auto"/>
          <w:szCs w:val="21"/>
        </w:rPr>
        <w:t>在设备安装和调试完成后，中标人应提供培训服务，提供专业技术人员对采购人设备使用人员和相关管理人员进行培训，并保证两名以上操作人员熟练掌握操作技术为止。</w:t>
      </w:r>
    </w:p>
    <w:p w14:paraId="726DB0EC">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报价要求</w:t>
      </w:r>
    </w:p>
    <w:p w14:paraId="58AE378F">
      <w:pPr>
        <w:widowControl/>
        <w:spacing w:line="360" w:lineRule="auto"/>
        <w:ind w:firstLine="420" w:firstLineChars="200"/>
        <w:jc w:val="left"/>
        <w:rPr>
          <w:rFonts w:ascii="黑体" w:hAnsi="黑体" w:eastAsia="黑体" w:cs="黑体"/>
          <w:color w:val="auto"/>
          <w:kern w:val="0"/>
          <w:szCs w:val="21"/>
          <w:lang w:bidi="ar"/>
        </w:rPr>
      </w:pPr>
      <w:r>
        <w:rPr>
          <w:rFonts w:hint="eastAsia" w:ascii="黑体" w:hAnsi="黑体" w:eastAsia="黑体" w:cs="黑体"/>
          <w:color w:val="auto"/>
          <w:kern w:val="0"/>
          <w:szCs w:val="21"/>
          <w:lang w:bidi="ar"/>
        </w:rPr>
        <w:t>投标报价为采购人指定地点的现场交货价，包括但不限于：</w:t>
      </w:r>
    </w:p>
    <w:p w14:paraId="4D0BE7D8">
      <w:pPr>
        <w:widowControl/>
        <w:spacing w:line="360" w:lineRule="auto"/>
        <w:ind w:firstLine="420" w:firstLineChars="200"/>
        <w:jc w:val="left"/>
        <w:rPr>
          <w:rFonts w:ascii="黑体" w:hAnsi="黑体" w:eastAsia="黑体" w:cs="黑体"/>
          <w:color w:val="auto"/>
          <w:kern w:val="0"/>
          <w:szCs w:val="21"/>
          <w:lang w:bidi="ar"/>
        </w:rPr>
      </w:pPr>
      <w:r>
        <w:rPr>
          <w:rFonts w:hint="eastAsia" w:ascii="黑体" w:hAnsi="黑体" w:eastAsia="黑体" w:cs="黑体"/>
          <w:color w:val="auto"/>
          <w:kern w:val="0"/>
          <w:szCs w:val="21"/>
          <w:lang w:bidi="ar"/>
        </w:rPr>
        <w:t>①货物及标准附件、备品备件、专用工具的价格；</w:t>
      </w:r>
    </w:p>
    <w:p w14:paraId="09A763CE">
      <w:pPr>
        <w:widowControl/>
        <w:spacing w:line="360" w:lineRule="auto"/>
        <w:ind w:firstLine="420" w:firstLineChars="200"/>
        <w:jc w:val="left"/>
        <w:rPr>
          <w:rFonts w:ascii="黑体" w:hAnsi="黑体" w:eastAsia="黑体" w:cs="黑体"/>
          <w:color w:val="auto"/>
          <w:kern w:val="0"/>
          <w:szCs w:val="21"/>
          <w:lang w:bidi="ar"/>
        </w:rPr>
      </w:pPr>
      <w:r>
        <w:rPr>
          <w:rFonts w:hint="eastAsia" w:ascii="黑体" w:hAnsi="黑体" w:eastAsia="黑体" w:cs="黑体"/>
          <w:color w:val="auto"/>
          <w:kern w:val="0"/>
          <w:szCs w:val="21"/>
          <w:lang w:bidi="ar"/>
        </w:rPr>
        <w:t>②运输、装卸、安装、调试、培训、技术支持、售后服务等费用；</w:t>
      </w:r>
    </w:p>
    <w:p w14:paraId="0417BF4B">
      <w:pPr>
        <w:widowControl/>
        <w:spacing w:line="360" w:lineRule="auto"/>
        <w:ind w:firstLine="420" w:firstLineChars="200"/>
        <w:jc w:val="left"/>
        <w:rPr>
          <w:rFonts w:ascii="黑体" w:hAnsi="黑体" w:eastAsia="黑体" w:cs="黑体"/>
          <w:color w:val="auto"/>
          <w:szCs w:val="21"/>
        </w:rPr>
      </w:pPr>
      <w:r>
        <w:rPr>
          <w:rFonts w:hint="eastAsia" w:ascii="黑体" w:hAnsi="黑体" w:eastAsia="黑体" w:cs="黑体"/>
          <w:color w:val="auto"/>
          <w:kern w:val="0"/>
          <w:szCs w:val="21"/>
          <w:lang w:bidi="ar"/>
        </w:rPr>
        <w:t>③必要的保险费用和各项税费。</w:t>
      </w:r>
    </w:p>
    <w:p w14:paraId="59B8890E">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付款方式</w:t>
      </w:r>
    </w:p>
    <w:p w14:paraId="0091C1F6">
      <w:pPr>
        <w:numPr>
          <w:ilvl w:val="0"/>
          <w:numId w:val="16"/>
        </w:numPr>
        <w:spacing w:line="360" w:lineRule="auto"/>
        <w:rPr>
          <w:rFonts w:ascii="黑体" w:hAnsi="黑体" w:eastAsia="黑体" w:cs="黑体"/>
          <w:color w:val="auto"/>
        </w:rPr>
      </w:pPr>
      <w:r>
        <w:rPr>
          <w:rFonts w:hint="eastAsia" w:ascii="黑体" w:hAnsi="黑体" w:eastAsia="黑体" w:cs="黑体"/>
          <w:color w:val="auto"/>
        </w:rPr>
        <w:t>签订合同后收到中标人开具的正式发票后5个工作日内，采购人支付中标人合同总价的50%。（注：中标人凭以下有效文件与采购人结算：（1）合同；（2）中标人开具的正式发票；（3）中标通知书。）</w:t>
      </w:r>
    </w:p>
    <w:p w14:paraId="5447704E">
      <w:pPr>
        <w:numPr>
          <w:ilvl w:val="0"/>
          <w:numId w:val="16"/>
        </w:numPr>
        <w:spacing w:line="360" w:lineRule="auto"/>
        <w:rPr>
          <w:rFonts w:ascii="黑体" w:hAnsi="黑体" w:eastAsia="黑体" w:cs="黑体"/>
          <w:color w:val="auto"/>
        </w:rPr>
      </w:pPr>
      <w:r>
        <w:rPr>
          <w:rFonts w:hint="eastAsia" w:ascii="黑体" w:hAnsi="黑体" w:eastAsia="黑体" w:cs="黑体"/>
          <w:color w:val="auto"/>
        </w:rPr>
        <w:t>项目验收完成后，剩余款项采购人收到中标人开具的正式发票后5个工作日内向中标人付款。（注：中标人凭以下有效文件与采购人结算：（1）合同；（2）中标人开具的正式发票；（3）中标通知书；（4）验收报告。）</w:t>
      </w:r>
    </w:p>
    <w:p w14:paraId="561A17E4">
      <w:pPr>
        <w:spacing w:line="360" w:lineRule="auto"/>
        <w:ind w:firstLine="420" w:firstLineChars="200"/>
        <w:rPr>
          <w:rFonts w:ascii="黑体" w:hAnsi="黑体" w:eastAsia="黑体" w:cs="黑体"/>
          <w:b/>
          <w:color w:val="auto"/>
          <w:szCs w:val="21"/>
        </w:rPr>
      </w:pPr>
      <w:r>
        <w:rPr>
          <w:rFonts w:hint="eastAsia" w:ascii="黑体" w:hAnsi="黑体" w:eastAsia="黑体" w:cs="黑体"/>
          <w:color w:val="auto"/>
        </w:rPr>
        <w:t>因采购人使用的是财政资金，采购人在前款规定的付款时间为向政府财政部门提出办理财政支付申请手续的时间（不含政府财政支付部门审核的时间），在规定时间内提出支付申请手续后即视为采购人已经按期办理手续。</w:t>
      </w:r>
    </w:p>
    <w:p w14:paraId="160E2645">
      <w:pPr>
        <w:pStyle w:val="30"/>
        <w:numPr>
          <w:ilvl w:val="0"/>
          <w:numId w:val="9"/>
        </w:numPr>
        <w:spacing w:before="312" w:beforeLines="100" w:line="360" w:lineRule="auto"/>
        <w:ind w:left="199" w:leftChars="-95" w:hanging="398" w:hangingChars="189"/>
        <w:contextualSpacing/>
        <w:rPr>
          <w:rFonts w:ascii="黑体" w:hAnsi="黑体" w:eastAsia="黑体"/>
          <w:b/>
          <w:color w:val="auto"/>
          <w:szCs w:val="21"/>
        </w:rPr>
      </w:pPr>
      <w:r>
        <w:rPr>
          <w:rFonts w:hint="eastAsia" w:ascii="黑体" w:hAnsi="黑体" w:eastAsia="黑体"/>
          <w:b/>
          <w:color w:val="auto"/>
          <w:szCs w:val="21"/>
        </w:rPr>
        <w:t>验收标准及要求</w:t>
      </w:r>
    </w:p>
    <w:p w14:paraId="6FD38399">
      <w:pPr>
        <w:numPr>
          <w:ilvl w:val="0"/>
          <w:numId w:val="17"/>
        </w:numPr>
        <w:spacing w:line="360" w:lineRule="auto"/>
        <w:rPr>
          <w:rFonts w:ascii="黑体" w:hAnsi="黑体" w:eastAsia="黑体" w:cs="黑体"/>
          <w:b/>
          <w:bCs/>
          <w:color w:val="auto"/>
          <w:szCs w:val="21"/>
        </w:rPr>
      </w:pPr>
      <w:r>
        <w:rPr>
          <w:rFonts w:hint="eastAsia" w:ascii="黑体" w:hAnsi="黑体" w:eastAsia="黑体" w:cs="黑体"/>
          <w:b/>
          <w:bCs/>
          <w:color w:val="auto"/>
          <w:szCs w:val="21"/>
        </w:rPr>
        <w:t>交付验收标准依次序对照适用标准</w:t>
      </w:r>
    </w:p>
    <w:p w14:paraId="0B04EA87">
      <w:pPr>
        <w:numPr>
          <w:ilvl w:val="0"/>
          <w:numId w:val="18"/>
        </w:numPr>
        <w:spacing w:line="360" w:lineRule="auto"/>
        <w:rPr>
          <w:rFonts w:ascii="黑体" w:hAnsi="黑体" w:eastAsia="黑体" w:cs="黑体"/>
          <w:color w:val="auto"/>
          <w:szCs w:val="21"/>
        </w:rPr>
      </w:pPr>
      <w:r>
        <w:rPr>
          <w:rFonts w:hint="eastAsia" w:ascii="黑体" w:hAnsi="黑体" w:eastAsia="黑体" w:cs="黑体"/>
          <w:color w:val="auto"/>
        </w:rPr>
        <w:t>符合中华人民共和国国家安全质量标准、环保标准或行业标准；</w:t>
      </w:r>
    </w:p>
    <w:p w14:paraId="466AA1DB">
      <w:pPr>
        <w:numPr>
          <w:ilvl w:val="0"/>
          <w:numId w:val="18"/>
        </w:numPr>
        <w:spacing w:line="360" w:lineRule="auto"/>
        <w:rPr>
          <w:rFonts w:ascii="黑体" w:hAnsi="黑体" w:eastAsia="黑体" w:cs="黑体"/>
          <w:color w:val="auto"/>
          <w:szCs w:val="21"/>
        </w:rPr>
      </w:pPr>
      <w:r>
        <w:rPr>
          <w:rFonts w:hint="eastAsia" w:ascii="黑体" w:hAnsi="黑体" w:eastAsia="黑体" w:cs="黑体"/>
          <w:color w:val="auto"/>
        </w:rPr>
        <w:t>符合采购文件和投标承诺中采购人认可的合理最佳配置、参数及各项要求；</w:t>
      </w:r>
    </w:p>
    <w:p w14:paraId="51D23EC3">
      <w:pPr>
        <w:numPr>
          <w:ilvl w:val="0"/>
          <w:numId w:val="18"/>
        </w:numPr>
        <w:spacing w:line="360" w:lineRule="auto"/>
        <w:rPr>
          <w:rFonts w:ascii="黑体" w:hAnsi="黑体" w:eastAsia="黑体" w:cs="黑体"/>
          <w:color w:val="auto"/>
          <w:szCs w:val="21"/>
        </w:rPr>
      </w:pPr>
      <w:r>
        <w:rPr>
          <w:rFonts w:hint="eastAsia" w:ascii="黑体" w:hAnsi="黑体" w:eastAsia="黑体" w:cs="黑体"/>
          <w:color w:val="auto"/>
        </w:rPr>
        <w:t>采购人组成验收小组按国家有关规定、规范进行验收，必要时邀请相关的专业人员或机构参与验收。因货物质量问题发生争议时，由本地质量技术监督部门鉴定。货物符合质量技术标准的，鉴定费由采购人承担；否则鉴定费由中标人承担。</w:t>
      </w:r>
    </w:p>
    <w:p w14:paraId="4E7F9671">
      <w:pPr>
        <w:numPr>
          <w:ilvl w:val="0"/>
          <w:numId w:val="17"/>
        </w:numPr>
        <w:spacing w:line="360" w:lineRule="auto"/>
        <w:rPr>
          <w:rFonts w:ascii="黑体" w:hAnsi="黑体" w:eastAsia="黑体" w:cs="黑体"/>
          <w:b/>
          <w:bCs/>
          <w:color w:val="auto"/>
          <w:szCs w:val="21"/>
        </w:rPr>
      </w:pPr>
      <w:r>
        <w:rPr>
          <w:rFonts w:hint="eastAsia" w:ascii="黑体" w:hAnsi="黑体" w:eastAsia="黑体" w:cs="黑体"/>
          <w:b/>
          <w:bCs/>
          <w:color w:val="auto"/>
          <w:szCs w:val="21"/>
        </w:rPr>
        <w:t>验收要求</w:t>
      </w:r>
    </w:p>
    <w:p w14:paraId="2C998B26">
      <w:pPr>
        <w:numPr>
          <w:ilvl w:val="0"/>
          <w:numId w:val="19"/>
        </w:numPr>
        <w:spacing w:line="360" w:lineRule="auto"/>
        <w:rPr>
          <w:rFonts w:ascii="黑体" w:hAnsi="黑体" w:eastAsia="黑体" w:cs="黑体"/>
          <w:color w:val="auto"/>
        </w:rPr>
      </w:pPr>
      <w:r>
        <w:rPr>
          <w:rFonts w:hint="eastAsia" w:ascii="黑体" w:hAnsi="黑体" w:eastAsia="黑体" w:cs="黑体"/>
          <w:color w:val="auto"/>
        </w:rPr>
        <w:t>中标人应根据所提交的验收方案和实施办法，自行组织设备和人员，并在采购人监查下现场进行测试和验收。设备验收在采购人和中标人双方共同参与下按国家有关规定、规范以及采购文件的质量要求和技术指标、投标文件及承诺与本合同约定标准进行验收。</w:t>
      </w:r>
    </w:p>
    <w:p w14:paraId="0AE576C0">
      <w:pPr>
        <w:numPr>
          <w:ilvl w:val="0"/>
          <w:numId w:val="19"/>
        </w:numPr>
        <w:spacing w:line="360" w:lineRule="auto"/>
        <w:rPr>
          <w:rFonts w:ascii="黑体" w:hAnsi="黑体" w:eastAsia="黑体" w:cs="黑体"/>
          <w:color w:val="auto"/>
        </w:rPr>
      </w:pPr>
      <w:r>
        <w:rPr>
          <w:rFonts w:hint="eastAsia" w:ascii="黑体" w:hAnsi="黑体" w:eastAsia="黑体" w:cs="黑体"/>
          <w:color w:val="auto"/>
        </w:rPr>
        <w:t>所有设备、器材在开箱时必须完好，无破损。配置与装箱单相符。数量、质量及性能不低于合同要求。</w:t>
      </w:r>
    </w:p>
    <w:p w14:paraId="43C4D244">
      <w:pPr>
        <w:numPr>
          <w:ilvl w:val="0"/>
          <w:numId w:val="19"/>
        </w:numPr>
        <w:spacing w:line="360" w:lineRule="auto"/>
        <w:rPr>
          <w:rFonts w:ascii="黑体" w:hAnsi="黑体" w:eastAsia="黑体" w:cs="黑体"/>
          <w:color w:val="auto"/>
        </w:rPr>
      </w:pPr>
      <w:r>
        <w:rPr>
          <w:rFonts w:hint="eastAsia" w:ascii="黑体" w:hAnsi="黑体" w:eastAsia="黑体" w:cs="黑体"/>
          <w:color w:val="auto"/>
        </w:rPr>
        <w:t>拆箱后，中标人应对其全部产品、零件、配件、用户许可证书、资料、介质造册登记，并与装箱单对比，如有出入应立即书面记录，由中标人解决，如影响安装则按合同有关条款处理。</w:t>
      </w:r>
    </w:p>
    <w:p w14:paraId="18010796">
      <w:pPr>
        <w:numPr>
          <w:ilvl w:val="0"/>
          <w:numId w:val="19"/>
        </w:numPr>
        <w:spacing w:line="360" w:lineRule="auto"/>
        <w:rPr>
          <w:rFonts w:ascii="黑体" w:hAnsi="黑体" w:eastAsia="黑体" w:cs="黑体"/>
          <w:color w:val="auto"/>
        </w:rPr>
      </w:pPr>
      <w:r>
        <w:rPr>
          <w:rFonts w:hint="eastAsia" w:ascii="黑体" w:hAnsi="黑体" w:eastAsia="黑体" w:cs="黑体"/>
          <w:color w:val="auto"/>
        </w:rPr>
        <w:t>采购人收到中标人项目验收建议之日起按照合同的约定对履约情况进行验收，对每一项技术、服务、安全标准的履约情况进行确认。</w:t>
      </w:r>
    </w:p>
    <w:p w14:paraId="25BC0495">
      <w:pPr>
        <w:numPr>
          <w:ilvl w:val="0"/>
          <w:numId w:val="19"/>
        </w:numPr>
        <w:spacing w:line="360" w:lineRule="auto"/>
        <w:rPr>
          <w:rFonts w:ascii="黑体" w:hAnsi="黑体" w:eastAsia="黑体" w:cs="黑体"/>
          <w:color w:val="auto"/>
        </w:rPr>
      </w:pPr>
      <w:r>
        <w:rPr>
          <w:rFonts w:hint="eastAsia" w:ascii="黑体" w:hAnsi="黑体" w:eastAsia="黑体" w:cs="黑体"/>
          <w:color w:val="auto"/>
        </w:rPr>
        <w:t>验收时如发现所交付的设备有短装、次品、损坏或其它不符合验收的情况，采购人应作出详尽的现场记录，或由采购人、中标人双方签署备忘录。此现场记录或备忘录可用作补充、缺失和更换损坏部件的有效证据。由此产生的时间延误与有关费用由中标人承担，验收期限相应顺延。</w:t>
      </w:r>
    </w:p>
    <w:p w14:paraId="2472621E">
      <w:pPr>
        <w:numPr>
          <w:ilvl w:val="0"/>
          <w:numId w:val="19"/>
        </w:numPr>
        <w:spacing w:line="360" w:lineRule="auto"/>
        <w:rPr>
          <w:rFonts w:ascii="黑体" w:hAnsi="黑体" w:eastAsia="黑体" w:cs="黑体"/>
          <w:color w:val="auto"/>
        </w:rPr>
      </w:pPr>
      <w:r>
        <w:rPr>
          <w:rFonts w:hint="eastAsia" w:ascii="黑体" w:hAnsi="黑体" w:eastAsia="黑体" w:cs="黑体"/>
          <w:color w:val="auto"/>
        </w:rPr>
        <w:t>如果合同设备运输和安装过程中因事故造成货物短缺、损坏，中标人应及时安排补货、换货，以保证合同设备安装的成功完成。换货的相关费用由中标人承担。</w:t>
      </w:r>
    </w:p>
    <w:p w14:paraId="707FCE8E">
      <w:pPr>
        <w:numPr>
          <w:ilvl w:val="0"/>
          <w:numId w:val="19"/>
        </w:numPr>
        <w:spacing w:line="360" w:lineRule="auto"/>
        <w:rPr>
          <w:rFonts w:ascii="黑体" w:hAnsi="黑体" w:eastAsia="黑体" w:cs="黑体"/>
          <w:color w:val="auto"/>
        </w:rPr>
      </w:pPr>
      <w:r>
        <w:rPr>
          <w:rFonts w:hint="eastAsia" w:ascii="黑体" w:hAnsi="黑体" w:eastAsia="黑体" w:cs="黑体"/>
          <w:color w:val="auto"/>
        </w:rPr>
        <w:t>如质量验收合格，双方签署质量验收报告。</w:t>
      </w:r>
    </w:p>
    <w:p w14:paraId="29495E11">
      <w:pPr>
        <w:numPr>
          <w:ilvl w:val="0"/>
          <w:numId w:val="19"/>
        </w:numPr>
        <w:spacing w:line="360" w:lineRule="auto"/>
        <w:rPr>
          <w:rFonts w:ascii="黑体" w:hAnsi="黑体" w:eastAsia="黑体" w:cs="黑体"/>
          <w:color w:val="auto"/>
        </w:rPr>
      </w:pPr>
      <w:r>
        <w:rPr>
          <w:rFonts w:hint="eastAsia" w:ascii="黑体" w:hAnsi="黑体" w:eastAsia="黑体" w:cs="黑体"/>
          <w:color w:val="auto"/>
        </w:rPr>
        <w:t>中标人保证合同项下提供的设备不侵犯任何第三方的专利、商标或版权。否则，中标人须承担对第三方的专利或版权的侵权责任并承担因此而发生的所有费用。</w:t>
      </w:r>
    </w:p>
    <w:p w14:paraId="095BE6AA">
      <w:pPr>
        <w:numPr>
          <w:ilvl w:val="0"/>
          <w:numId w:val="19"/>
        </w:numPr>
        <w:spacing w:line="360" w:lineRule="auto"/>
        <w:rPr>
          <w:rFonts w:ascii="黑体" w:hAnsi="黑体" w:eastAsia="黑体" w:cs="黑体"/>
          <w:color w:val="auto"/>
        </w:rPr>
      </w:pPr>
      <w:r>
        <w:rPr>
          <w:rFonts w:hint="eastAsia" w:ascii="黑体" w:hAnsi="黑体" w:eastAsia="黑体" w:cs="黑体"/>
          <w:color w:val="auto"/>
        </w:rPr>
        <w:t>要求对全部设备、产品、型号、规格、数量、外型、外观、包装及资料、文件（如装箱单、保修单、随箱介质等）进行验收。</w:t>
      </w:r>
    </w:p>
    <w:p w14:paraId="4D9D3432">
      <w:pPr>
        <w:numPr>
          <w:ilvl w:val="0"/>
          <w:numId w:val="19"/>
        </w:numPr>
        <w:spacing w:line="360" w:lineRule="auto"/>
        <w:rPr>
          <w:rFonts w:ascii="黑体" w:hAnsi="黑体" w:eastAsia="黑体" w:cs="黑体"/>
          <w:color w:val="auto"/>
          <w:szCs w:val="21"/>
        </w:rPr>
      </w:pPr>
      <w:r>
        <w:rPr>
          <w:rFonts w:hint="eastAsia" w:ascii="黑体" w:hAnsi="黑体" w:eastAsia="黑体" w:cs="黑体"/>
          <w:b/>
          <w:bCs/>
          <w:color w:val="auto"/>
        </w:rPr>
        <w:t>★凡列入《中华人民共和国实施强制性产品认证的产品目录》的产品在验收时出具CCC认证证书复印件，并以在产品外部加施认证标志作为验收依据之一。（注：须提供承诺函并加盖投标人公章，承诺函格式不限，由投标人自行拟定）</w:t>
      </w:r>
    </w:p>
    <w:p w14:paraId="42657169">
      <w:pPr>
        <w:numPr>
          <w:ilvl w:val="0"/>
          <w:numId w:val="19"/>
        </w:numPr>
        <w:spacing w:line="360" w:lineRule="auto"/>
        <w:rPr>
          <w:rFonts w:ascii="黑体" w:hAnsi="黑体" w:eastAsia="黑体" w:cs="黑体"/>
          <w:color w:val="auto"/>
          <w:szCs w:val="21"/>
        </w:rPr>
      </w:pPr>
      <w:r>
        <w:rPr>
          <w:rFonts w:hint="eastAsia" w:ascii="黑体" w:hAnsi="黑体" w:eastAsia="黑体" w:cs="黑体"/>
          <w:color w:val="auto"/>
        </w:rPr>
        <w:t>中标人应负责在项目验收时将系统的全部有关产品说明书、原厂家安装手册、技术文件、资料、及安装、验收报告等文档汇集成册交付采购人。</w:t>
      </w:r>
    </w:p>
    <w:p w14:paraId="36B3D755">
      <w:pPr>
        <w:pStyle w:val="30"/>
        <w:numPr>
          <w:ilvl w:val="0"/>
          <w:numId w:val="8"/>
        </w:numPr>
        <w:spacing w:before="312" w:beforeLines="100" w:line="360" w:lineRule="auto"/>
        <w:ind w:left="499" w:hanging="499" w:firstLineChars="0"/>
        <w:contextualSpacing/>
        <w:rPr>
          <w:rFonts w:ascii="黑体" w:hAnsi="黑体" w:eastAsia="黑体"/>
          <w:b/>
          <w:color w:val="auto"/>
          <w:szCs w:val="21"/>
        </w:rPr>
      </w:pPr>
      <w:r>
        <w:rPr>
          <w:rFonts w:ascii="黑体" w:hAnsi="黑体" w:eastAsia="黑体"/>
          <w:b/>
          <w:color w:val="auto"/>
          <w:szCs w:val="21"/>
        </w:rPr>
        <w:t>技术</w:t>
      </w:r>
      <w:r>
        <w:rPr>
          <w:rFonts w:hint="eastAsia" w:ascii="黑体" w:hAnsi="黑体" w:eastAsia="黑体"/>
          <w:b/>
          <w:color w:val="auto"/>
          <w:szCs w:val="21"/>
        </w:rPr>
        <w:t>参数要求</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296"/>
        <w:gridCol w:w="6730"/>
      </w:tblGrid>
      <w:tr w14:paraId="16248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39" w:type="pct"/>
            <w:vAlign w:val="center"/>
          </w:tcPr>
          <w:p w14:paraId="453031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w:t>
            </w:r>
          </w:p>
        </w:tc>
        <w:tc>
          <w:tcPr>
            <w:tcW w:w="781" w:type="pct"/>
            <w:vAlign w:val="center"/>
          </w:tcPr>
          <w:p w14:paraId="696E8C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黑体" w:hAnsi="黑体" w:eastAsia="黑体" w:cs="黑体"/>
                <w:color w:val="auto"/>
                <w:kern w:val="1"/>
                <w:szCs w:val="21"/>
              </w:rPr>
            </w:pPr>
            <w:r>
              <w:rPr>
                <w:rFonts w:hint="eastAsia" w:ascii="黑体" w:hAnsi="黑体" w:eastAsia="黑体" w:cs="黑体"/>
                <w:b/>
                <w:color w:val="auto"/>
                <w:szCs w:val="21"/>
              </w:rPr>
              <w:t>■</w:t>
            </w:r>
            <w:r>
              <w:rPr>
                <w:rFonts w:hint="eastAsia" w:ascii="黑体" w:hAnsi="黑体" w:eastAsia="黑体" w:cs="黑体"/>
                <w:b/>
                <w:color w:val="auto"/>
                <w:kern w:val="1"/>
                <w:szCs w:val="21"/>
              </w:rPr>
              <w:t>城市轨道交通车站应急处置虚拟仿真系统</w:t>
            </w:r>
          </w:p>
        </w:tc>
        <w:tc>
          <w:tcPr>
            <w:tcW w:w="3880" w:type="pct"/>
          </w:tcPr>
          <w:p w14:paraId="23B483D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Cs w:val="21"/>
              </w:rPr>
            </w:pPr>
            <w:r>
              <w:rPr>
                <w:rFonts w:hint="eastAsia" w:ascii="黑体" w:hAnsi="黑体" w:eastAsia="黑体" w:cs="黑体"/>
                <w:color w:val="auto"/>
                <w:kern w:val="1"/>
                <w:szCs w:val="21"/>
              </w:rPr>
              <w:t>（一）</w:t>
            </w:r>
            <w:r>
              <w:rPr>
                <w:rFonts w:hint="eastAsia" w:ascii="黑体" w:hAnsi="黑体" w:eastAsia="黑体" w:cs="黑体"/>
                <w:color w:val="auto"/>
                <w:kern w:val="0"/>
                <w:szCs w:val="21"/>
              </w:rPr>
              <w:t>城市轨道交通车站服务实训系统</w:t>
            </w:r>
          </w:p>
          <w:p w14:paraId="182628A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1.场景内可以提供车站值班员岗位的模拟工作场景。</w:t>
            </w:r>
          </w:p>
          <w:p w14:paraId="04C9001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2.系统可实现城市轨道交通运营车站内各岗位工作技能实训，主要包含的实训内容有：值班站长工作职责、行车值班员工作职责、站务员工作职责。场景内可包含乘客运行、列车运行、设备运行等。</w:t>
            </w:r>
          </w:p>
          <w:p w14:paraId="65485D6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b/>
                <w:color w:val="auto"/>
                <w:kern w:val="0"/>
                <w:szCs w:val="21"/>
              </w:rPr>
            </w:pPr>
            <w:r>
              <w:rPr>
                <w:rFonts w:hint="eastAsia" w:ascii="黑体" w:hAnsi="黑体" w:eastAsia="黑体" w:cs="黑体"/>
                <w:b/>
                <w:bCs/>
                <w:color w:val="auto"/>
                <w:kern w:val="0"/>
                <w:szCs w:val="21"/>
              </w:rPr>
              <w:t>▲3.实训人员可通过第三人称视角及第一人称视角在场景内操作车站各种设备设施、应急备品、行车备品，可根据不同场景下的工作流程以及工作内容使用车站内的各项备品。</w:t>
            </w:r>
            <w:r>
              <w:rPr>
                <w:rFonts w:hint="eastAsia" w:ascii="黑体" w:hAnsi="黑体" w:eastAsia="黑体" w:cs="黑体"/>
                <w:b/>
                <w:bCs/>
                <w:color w:val="auto"/>
                <w:kern w:val="0"/>
                <w:szCs w:val="21"/>
                <w:lang w:eastAsia="zh-CN"/>
              </w:rPr>
              <w:t>【</w:t>
            </w:r>
            <w:r>
              <w:rPr>
                <w:rFonts w:hint="eastAsia" w:ascii="黑体" w:hAnsi="黑体" w:eastAsia="黑体" w:cs="黑体"/>
                <w:b/>
                <w:bCs/>
                <w:color w:val="auto"/>
                <w:kern w:val="0"/>
                <w:szCs w:val="21"/>
                <w:lang w:val="en-US" w:eastAsia="zh-CN"/>
              </w:rPr>
              <w:t>注：</w:t>
            </w:r>
            <w:r>
              <w:rPr>
                <w:rFonts w:hint="eastAsia" w:ascii="黑体" w:hAnsi="黑体" w:eastAsia="黑体" w:cs="黑体"/>
                <w:b/>
                <w:color w:val="auto"/>
                <w:kern w:val="0"/>
                <w:szCs w:val="21"/>
                <w:lang w:val="en-US" w:eastAsia="zh-CN"/>
              </w:rPr>
              <w:t>投标人</w:t>
            </w:r>
            <w:r>
              <w:rPr>
                <w:rFonts w:hint="eastAsia" w:ascii="黑体" w:hAnsi="黑体" w:eastAsia="黑体" w:cs="黑体"/>
                <w:b/>
                <w:color w:val="auto"/>
                <w:kern w:val="0"/>
                <w:szCs w:val="21"/>
              </w:rPr>
              <w:t>需在投标文件中提供进入到车站场景内，由场景呈现出的突发事件现场视频。（视频体现：a.场景内可以提供车站值班员岗位角色，并且可以提供第一人称视角和第三人称视角；b.场景内至少要包含车站站厅、站台、综控室、票务室、TVM设备室等区域；c.场景内需可以操作车站站台门、自动售票机、自动检票机、消防联动机柜、通讯电话等</w:t>
            </w:r>
            <w:r>
              <w:rPr>
                <w:rFonts w:hint="eastAsia" w:ascii="黑体" w:hAnsi="黑体" w:eastAsia="黑体" w:cs="黑体"/>
                <w:b/>
                <w:color w:val="auto"/>
                <w:kern w:val="0"/>
                <w:szCs w:val="21"/>
                <w:lang w:eastAsia="zh-CN"/>
              </w:rPr>
              <w:t>；</w:t>
            </w:r>
            <w:r>
              <w:rPr>
                <w:rFonts w:hint="eastAsia" w:ascii="黑体" w:hAnsi="黑体" w:eastAsia="黑体" w:cs="黑体"/>
                <w:b/>
                <w:color w:val="auto"/>
                <w:kern w:val="0"/>
                <w:szCs w:val="21"/>
              </w:rPr>
              <w:t>d.场景内需可操作车站备品如：车站围栏、应急抢险灯、安全帽、反光衣、绝缘手套、手信号灯、各种设备所需使用的钥匙等。）</w:t>
            </w:r>
            <w:r>
              <w:rPr>
                <w:rFonts w:hint="eastAsia" w:ascii="黑体" w:hAnsi="黑体" w:eastAsia="黑体" w:cs="黑体"/>
                <w:b/>
                <w:bCs/>
                <w:color w:val="auto"/>
                <w:kern w:val="0"/>
                <w:szCs w:val="21"/>
                <w:lang w:eastAsia="zh-CN"/>
              </w:rPr>
              <w:t>】</w:t>
            </w:r>
          </w:p>
          <w:p w14:paraId="759CD5B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4.场景中应急备品包含：移动围栏、防切割手套、黑黄警示胶带、灭火器、防护面罩等。</w:t>
            </w:r>
          </w:p>
          <w:p w14:paraId="7372ECF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5.场景中行车备品包含：手摇道岔工具、接地棒、验电器、红闪灯、手信号灯、各类设备操作钥匙等。</w:t>
            </w:r>
          </w:p>
          <w:p w14:paraId="5A154B3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6.系统内包含有IBP综合后备盘：IBP盘分为消防水泵模块、隧道通风模块、车站环控模块、站台门模块、自动扶梯模块、信号模块、门禁模块、牵引供电模块，各个模块均可对站内设备设施进行控制。</w:t>
            </w:r>
          </w:p>
          <w:p w14:paraId="5A119B4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6.1消防水泵模块：可开启或关闭站内消防水泵，可通过指示灯显示水泵状态。</w:t>
            </w:r>
          </w:p>
          <w:p w14:paraId="72FCA75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6.2隧道通风模块：可开启或关闭隧道风机通风模式，可通过指示灯显示风机状态。</w:t>
            </w:r>
          </w:p>
          <w:p w14:paraId="222334E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6.3车站环控模块：可开启或关闭车站各个区域的风机通风模式，可通过指示灯显示风机状态。</w:t>
            </w:r>
          </w:p>
          <w:p w14:paraId="6F8DDF0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6.4站台门模块：可开启车站整列站台门，可通过指示灯显示车站站台门状态。</w:t>
            </w:r>
          </w:p>
          <w:p w14:paraId="132E8E0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6.5自动扶梯模块：可操作站内全部扶梯的紧急停梯，以及操作某一部电扶梯的急停，可通过指示灯显示电扶梯运行状态及运行方向。</w:t>
            </w:r>
          </w:p>
          <w:p w14:paraId="69307EF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6.6信号模块：可操作站台扣车功能以及站台急停功能并可以进行取消操作，可通过指示灯显示站台扣车及急停状态。</w:t>
            </w:r>
          </w:p>
          <w:p w14:paraId="36A5512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6.7门禁模块：可释放站内全部门禁状态，可通过指示灯显示门禁状态。可设置AFC进站以及出站模式。</w:t>
            </w:r>
          </w:p>
          <w:p w14:paraId="55B922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6.8牵引供电模块：具备断开供电分区的牵引供电按钮，可通过指示灯显示牵引供电状态。</w:t>
            </w:r>
          </w:p>
          <w:p w14:paraId="37629C7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7.系统内包含有车站站台门：可实现对站台门的单个操作以及整列操作。站台门具备LCB模块、PSL模块。</w:t>
            </w:r>
          </w:p>
          <w:p w14:paraId="75AA5AA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7.1LCB模块：具有自动、手动开、手动关、隔离四个档位，自动模式下站台门通过信号联动或通过PSL以及IBP盘进行控制。</w:t>
            </w:r>
          </w:p>
          <w:p w14:paraId="0E98EBF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7.2PSL模块：可将站台门调至PSL就地控制模式，可通过开门、关门按钮开启或关闭整列站台门。具备互锁解除功能，切断整列站台门信号。</w:t>
            </w:r>
          </w:p>
          <w:p w14:paraId="72FAF39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8.系统内包含有车站售检票系统：系统主要包括半自动售票机、自动售票机、进出站检票机。</w:t>
            </w:r>
          </w:p>
          <w:p w14:paraId="79211E1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8.1自动售票机：可根据每日夜间清算流程进行硬币清空操作，并可实现票箱拆卸流程、纸币找零钱箱拆卸功能、纸币回收钱箱拆卸功能、硬币回收钱箱拆卸功能。</w:t>
            </w:r>
          </w:p>
          <w:p w14:paraId="34184A3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8.2进出站检票机：具备乘客投票操作，闸机卡票情况下可打开闸机柜门进行故障处理操作。</w:t>
            </w:r>
          </w:p>
          <w:p w14:paraId="45D8DC3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9.系统内包含有车站电扶梯：场景内电扶梯可正常运行，并且具备急停按钮，可通过急停按钮将电扶梯进行急停。并且具备人工开梯功能。</w:t>
            </w:r>
          </w:p>
          <w:p w14:paraId="6F6974E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10.系统内具备通讯功能，可实现各岗位之间的通讯及联络工作，主要用于仿真城市轨道交通车站运营工作人员日常联络方式。也可与其他部门运营人员联系，包括行调、环调、119、120、110等部门。</w:t>
            </w:r>
          </w:p>
          <w:p w14:paraId="69DE931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0"/>
                <w:szCs w:val="21"/>
                <w:lang w:eastAsia="zh-CN"/>
              </w:rPr>
            </w:pPr>
            <w:r>
              <w:rPr>
                <w:rFonts w:hint="eastAsia" w:ascii="黑体" w:hAnsi="黑体" w:eastAsia="黑体" w:cs="黑体"/>
                <w:b/>
                <w:bCs/>
                <w:color w:val="auto"/>
                <w:kern w:val="0"/>
                <w:szCs w:val="21"/>
              </w:rPr>
              <w:t>▲11.车站场景内可根据不同故障展示故障场景，主要内容有以下几种：IBP盘故障显示；站台急停按钮被触发；单个站台门故障现象；多对站台门故障现象；闸机故障现象；自动售票机故障现象；车站发生火灾现象。</w:t>
            </w:r>
            <w:r>
              <w:rPr>
                <w:rFonts w:hint="eastAsia" w:ascii="黑体" w:hAnsi="黑体" w:eastAsia="黑体" w:cs="黑体"/>
                <w:b/>
                <w:bCs/>
                <w:color w:val="auto"/>
                <w:kern w:val="0"/>
                <w:szCs w:val="21"/>
                <w:lang w:eastAsia="zh-CN"/>
              </w:rPr>
              <w:t>（</w:t>
            </w:r>
            <w:r>
              <w:rPr>
                <w:rFonts w:hint="eastAsia" w:ascii="黑体" w:hAnsi="黑体" w:eastAsia="黑体" w:cs="黑体"/>
                <w:b/>
                <w:bCs/>
                <w:color w:val="auto"/>
                <w:kern w:val="0"/>
                <w:szCs w:val="21"/>
                <w:lang w:val="en-US" w:eastAsia="zh-CN"/>
              </w:rPr>
              <w:t>注：</w:t>
            </w:r>
            <w:r>
              <w:rPr>
                <w:rFonts w:hint="eastAsia" w:ascii="黑体" w:hAnsi="黑体" w:eastAsia="黑体" w:cs="黑体"/>
                <w:b/>
                <w:color w:val="auto"/>
                <w:kern w:val="0"/>
                <w:szCs w:val="21"/>
                <w:lang w:val="en-US" w:eastAsia="zh-CN"/>
              </w:rPr>
              <w:t>投标人</w:t>
            </w:r>
            <w:r>
              <w:rPr>
                <w:rFonts w:hint="eastAsia" w:ascii="黑体" w:hAnsi="黑体" w:eastAsia="黑体" w:cs="黑体"/>
                <w:b/>
                <w:bCs/>
                <w:color w:val="auto"/>
                <w:kern w:val="0"/>
                <w:szCs w:val="21"/>
              </w:rPr>
              <w:t>需在投标文件中提供针对城市轨道交通突发事件提供对应的应急预案以及处理流程不少于10个，并且满足相关要求。</w:t>
            </w:r>
            <w:r>
              <w:rPr>
                <w:rFonts w:hint="eastAsia" w:ascii="黑体" w:hAnsi="黑体" w:eastAsia="黑体" w:cs="黑体"/>
                <w:b/>
                <w:bCs/>
                <w:color w:val="auto"/>
                <w:kern w:val="0"/>
                <w:szCs w:val="21"/>
                <w:lang w:eastAsia="zh-CN"/>
              </w:rPr>
              <w:t>）</w:t>
            </w:r>
          </w:p>
          <w:p w14:paraId="4A2675A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0"/>
                <w:szCs w:val="21"/>
                <w:lang w:eastAsia="zh-CN"/>
              </w:rPr>
            </w:pPr>
            <w:r>
              <w:rPr>
                <w:rFonts w:hint="eastAsia" w:ascii="黑体" w:hAnsi="黑体" w:eastAsia="黑体" w:cs="黑体"/>
                <w:b/>
                <w:bCs/>
                <w:color w:val="auto"/>
                <w:kern w:val="0"/>
                <w:szCs w:val="21"/>
              </w:rPr>
              <w:t>▲12.为支持系统故障学习配套城市轨道交通车站服务实训系统相关多媒体教学视频或动画，包含：城市轨道交通基础概论；城市轨道交通站内设备介绍；城市轨道交通站内设备操作方法；城市轨道交通日常运营与管理；城市轨道交通突发事件应急处理；城市轨道交通行车组织作业；城市轨道交通客运组织作业；城市轨道交通电话闭塞操作方法城市；轨道交通车站备品管理办法；城市轨道交通车站备品使用要求。</w:t>
            </w:r>
            <w:r>
              <w:rPr>
                <w:rFonts w:hint="eastAsia" w:ascii="黑体" w:hAnsi="黑体" w:eastAsia="黑体" w:cs="黑体"/>
                <w:b/>
                <w:bCs/>
                <w:color w:val="auto"/>
                <w:kern w:val="0"/>
                <w:szCs w:val="21"/>
                <w:lang w:eastAsia="zh-CN"/>
              </w:rPr>
              <w:t>（</w:t>
            </w:r>
            <w:r>
              <w:rPr>
                <w:rFonts w:hint="eastAsia" w:ascii="黑体" w:hAnsi="黑体" w:eastAsia="黑体" w:cs="黑体"/>
                <w:b/>
                <w:bCs/>
                <w:color w:val="auto"/>
                <w:kern w:val="0"/>
                <w:szCs w:val="21"/>
                <w:lang w:val="en-US" w:eastAsia="zh-CN"/>
              </w:rPr>
              <w:t>注：</w:t>
            </w:r>
            <w:r>
              <w:rPr>
                <w:rFonts w:hint="eastAsia" w:ascii="黑体" w:hAnsi="黑体" w:eastAsia="黑体" w:cs="黑体"/>
                <w:b/>
                <w:color w:val="auto"/>
                <w:kern w:val="0"/>
                <w:szCs w:val="21"/>
                <w:lang w:val="en-US" w:eastAsia="zh-CN"/>
              </w:rPr>
              <w:t>投标人</w:t>
            </w:r>
            <w:r>
              <w:rPr>
                <w:rFonts w:hint="eastAsia" w:ascii="黑体" w:hAnsi="黑体" w:eastAsia="黑体" w:cs="黑体"/>
                <w:b/>
                <w:bCs/>
                <w:color w:val="auto"/>
                <w:kern w:val="0"/>
                <w:szCs w:val="21"/>
              </w:rPr>
              <w:t>需在投标文件中提供包含但不限于以上内容的相关多媒体教学视频或动画。</w:t>
            </w:r>
            <w:r>
              <w:rPr>
                <w:rFonts w:hint="eastAsia" w:ascii="黑体" w:hAnsi="黑体" w:eastAsia="黑体" w:cs="黑体"/>
                <w:b/>
                <w:bCs/>
                <w:color w:val="auto"/>
                <w:kern w:val="0"/>
                <w:szCs w:val="21"/>
                <w:lang w:eastAsia="zh-CN"/>
              </w:rPr>
              <w:t>）</w:t>
            </w:r>
          </w:p>
          <w:p w14:paraId="24AFF90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（二）城市轨道交通综合监控系统（车站级）</w:t>
            </w:r>
          </w:p>
          <w:p w14:paraId="2ECC869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一、功能要求：</w:t>
            </w:r>
          </w:p>
          <w:p w14:paraId="46C14C8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1.ISCS综合监控系统按照城市轨道交通运营所用的真实系统为蓝本进行研发，系统内需集成以下模块：</w:t>
            </w:r>
          </w:p>
          <w:p w14:paraId="5448F44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1.1变电所自动化（PSCADA）: 地铁车站的电力监控系统，作为综合监控的一个子系统接入综合监控。在系统中设置电力设备如断路器、隔离开关等设备状态显示功能。</w:t>
            </w:r>
          </w:p>
          <w:p w14:paraId="37C14F3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0"/>
                <w:szCs w:val="21"/>
                <w:lang w:eastAsia="zh-CN"/>
              </w:rPr>
            </w:pPr>
            <w:r>
              <w:rPr>
                <w:rFonts w:hint="eastAsia" w:ascii="黑体" w:hAnsi="黑体" w:eastAsia="黑体" w:cs="黑体"/>
                <w:b/>
                <w:bCs/>
                <w:color w:val="auto"/>
                <w:kern w:val="0"/>
                <w:szCs w:val="21"/>
              </w:rPr>
              <w:t>▲1.2环境与设备监控系统（BAS）：车站大小系统为车站公共区和设备区提供通风、排风等设备状态显示功能。车站大小系统能再现地铁车站的送排风设备状态，提供包括各类风机、风阀的单点控制模拟，时间表模式功能的模拟。</w:t>
            </w:r>
            <w:r>
              <w:rPr>
                <w:rFonts w:hint="eastAsia" w:ascii="黑体" w:hAnsi="黑体" w:eastAsia="黑体" w:cs="黑体"/>
                <w:b/>
                <w:bCs/>
                <w:color w:val="auto"/>
                <w:kern w:val="0"/>
                <w:szCs w:val="21"/>
                <w:lang w:eastAsia="zh-CN"/>
              </w:rPr>
              <w:t>（</w:t>
            </w:r>
            <w:r>
              <w:rPr>
                <w:rFonts w:hint="eastAsia" w:ascii="黑体" w:hAnsi="黑体" w:eastAsia="黑体" w:cs="黑体"/>
                <w:b/>
                <w:bCs/>
                <w:color w:val="auto"/>
                <w:kern w:val="0"/>
                <w:szCs w:val="21"/>
                <w:lang w:val="en-US" w:eastAsia="zh-CN"/>
              </w:rPr>
              <w:t>注：投标人</w:t>
            </w:r>
            <w:r>
              <w:rPr>
                <w:rFonts w:hint="eastAsia" w:ascii="黑体" w:hAnsi="黑体" w:eastAsia="黑体" w:cs="黑体"/>
                <w:b/>
                <w:bCs/>
                <w:color w:val="auto"/>
                <w:kern w:val="0"/>
                <w:szCs w:val="21"/>
              </w:rPr>
              <w:t>需在投标文件中提供车站BAS系统通过模式控制启动站内通风系统演示视频。</w:t>
            </w:r>
            <w:r>
              <w:rPr>
                <w:rFonts w:hint="eastAsia" w:ascii="黑体" w:hAnsi="黑体" w:eastAsia="黑体" w:cs="黑体"/>
                <w:b/>
                <w:bCs/>
                <w:color w:val="auto"/>
                <w:kern w:val="0"/>
                <w:szCs w:val="21"/>
                <w:lang w:eastAsia="zh-CN"/>
              </w:rPr>
              <w:t>）</w:t>
            </w:r>
          </w:p>
          <w:p w14:paraId="14B03DD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1.3隧道排风系统：为区间隧道提供通风、排风等设备状态显示功能。隧道通风系统界面中能再现地铁车站的送排风设备状态，提供包括各类风机、风阀的单点控制模拟，模式功能的模拟。</w:t>
            </w:r>
          </w:p>
          <w:p w14:paraId="7824BEF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1.4空调水系统：界面再现地铁车站的供冷的实际操作和显示。</w:t>
            </w:r>
          </w:p>
          <w:p w14:paraId="038C755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1.5给排水系统:界面中能真实再现地铁车站的污废水排出的实际操作和显示。提供包括污水泵、废水泵、雨水泵、区间泵的监视与控制功能模拟。</w:t>
            </w:r>
          </w:p>
          <w:p w14:paraId="0DDEBAD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1.6车站给排水系统界面：显示BAS系统所监控的车站排水泵及给水系统电动蝶阀的状态信息。通过颜色的变化反映各种设备的状态和属性。</w:t>
            </w:r>
          </w:p>
          <w:p w14:paraId="05DA722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1.7电扶梯系统：电扶梯系统界面再现地铁车站的自动扶梯和电梯的运行状态显示。</w:t>
            </w:r>
          </w:p>
          <w:p w14:paraId="58784D21">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黑体" w:hAnsi="黑体" w:eastAsia="黑体" w:cs="黑体"/>
                <w:b/>
                <w:bCs/>
                <w:color w:val="auto"/>
                <w:kern w:val="0"/>
                <w:szCs w:val="21"/>
                <w:lang w:val="en-US" w:eastAsia="zh-CN"/>
              </w:rPr>
            </w:pPr>
            <w:r>
              <w:rPr>
                <w:rFonts w:hint="eastAsia" w:ascii="黑体" w:hAnsi="黑体" w:eastAsia="黑体" w:cs="黑体"/>
                <w:b/>
                <w:bCs/>
                <w:color w:val="auto"/>
                <w:kern w:val="0"/>
                <w:szCs w:val="21"/>
              </w:rPr>
              <w:t>▲1.8照明系统：照明系统界面中能真实再现地铁车站的各类照明的显示。</w:t>
            </w:r>
            <w:r>
              <w:rPr>
                <w:rFonts w:hint="eastAsia" w:ascii="黑体" w:hAnsi="黑体" w:eastAsia="黑体" w:cs="黑体"/>
                <w:b/>
                <w:bCs/>
                <w:color w:val="auto"/>
                <w:kern w:val="0"/>
                <w:szCs w:val="21"/>
                <w:lang w:eastAsia="zh-CN"/>
              </w:rPr>
              <w:t>（</w:t>
            </w:r>
            <w:r>
              <w:rPr>
                <w:rFonts w:hint="eastAsia" w:ascii="黑体" w:hAnsi="黑体" w:eastAsia="黑体" w:cs="黑体"/>
                <w:b/>
                <w:bCs/>
                <w:color w:val="auto"/>
                <w:kern w:val="0"/>
                <w:szCs w:val="21"/>
                <w:lang w:val="en-US" w:eastAsia="zh-CN"/>
              </w:rPr>
              <w:t>注：投标人</w:t>
            </w:r>
            <w:r>
              <w:rPr>
                <w:rFonts w:hint="eastAsia" w:ascii="黑体" w:hAnsi="黑体" w:eastAsia="黑体" w:cs="黑体"/>
                <w:b/>
                <w:bCs/>
                <w:color w:val="auto"/>
                <w:kern w:val="0"/>
                <w:szCs w:val="21"/>
              </w:rPr>
              <w:t>需在投标文件中提供ISCS综合监控系统控制车站服务实训系统内照明关闭演示视频。</w:t>
            </w:r>
            <w:r>
              <w:rPr>
                <w:rFonts w:hint="eastAsia" w:ascii="黑体" w:hAnsi="黑体" w:eastAsia="黑体" w:cs="黑体"/>
                <w:b/>
                <w:bCs/>
                <w:color w:val="auto"/>
                <w:kern w:val="0"/>
                <w:szCs w:val="21"/>
                <w:lang w:eastAsia="zh-CN"/>
              </w:rPr>
              <w:t>）</w:t>
            </w:r>
          </w:p>
          <w:p w14:paraId="7B49EBF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1.9火灾报警系统（FAS）：界面再现地铁车站FAS系统防烟分区显示。能够模拟火灾下的FAS报警功能及时间表联动功能。</w:t>
            </w:r>
          </w:p>
          <w:p w14:paraId="5DC6E45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1.10站台门系统（PSD）：PSD系统界面再现地铁车站站台门开关门状态的显示模拟。</w:t>
            </w:r>
          </w:p>
          <w:p w14:paraId="3D46878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1.11闭路电视系统（CCTV）：进行乘客信息监控模拟。</w:t>
            </w:r>
          </w:p>
          <w:p w14:paraId="3352CA4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1.12信号系统（SIG）：车站屏蔽门等各机电设备状态的监控。</w:t>
            </w:r>
          </w:p>
          <w:p w14:paraId="60E81BA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1.13自动售检票系统（AFC）：系统界面再现地铁车站检票闸机的状态显示。</w:t>
            </w:r>
          </w:p>
          <w:p w14:paraId="0AFC1A5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1.14广播系统（PA）：系统界面中能真实再现地铁车站中进行广播的预录制的信息操作，在车站区域播放广播的操作模拟。</w:t>
            </w:r>
          </w:p>
          <w:p w14:paraId="09D493E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1.15乘客信息系统（PIS）：系统界面再现地铁车站播出的乘客信息显示。</w:t>
            </w:r>
          </w:p>
          <w:p w14:paraId="54F6103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1.16门禁系统（ACS）：系统界面再现地铁车站各设备房间门禁的开关门状态显示。</w:t>
            </w:r>
          </w:p>
          <w:p w14:paraId="41DD54A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2.ISCS综合监控培训系统需满足学员处于模拟仿真的ISCS操作环境，满足学员能进行各种ISCS系统内设备控制的培训与考核，可对系统内单独设备进行控制、通过模式控制对设备进行批量控制。</w:t>
            </w:r>
          </w:p>
          <w:p w14:paraId="0124217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3.系统部分设备状态采用数字仿真的方式，用于运营人员的培训考核，采用与实际地铁线逻辑一致的地铁ISCS系统数据库、人机界面。</w:t>
            </w:r>
          </w:p>
          <w:p w14:paraId="4F6018A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4.针对重要的ISCS系统功能进行模拟培训，如：静态报表（仅部分静态报表，用来在屏幕上显示或打印）；报警（用于生成报警以培训操作员对报警的反应）、事件（操作记录等）。</w:t>
            </w:r>
          </w:p>
          <w:p w14:paraId="26E2216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5.系统具有设备监控功能：系统将保持当前已刷新的系统数据，可针对车站服务实训系统内的车站设备设施进行监控，需满足站内设备设施出现故障或者状态出现变化时可将相关设备信息在综合监控系统对应模块内进行显示。</w:t>
            </w:r>
          </w:p>
          <w:p w14:paraId="07E1ADD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6.实操培训功能：具有对操作人员、运行维护人员进行培训的功能，使其掌握ISCS的运行管理、操作、以及日常维护、故障排除等业务，允许实操人员进行模拟操作，并将操作信息发送至其他系统，使相关设备进行联动。</w:t>
            </w:r>
          </w:p>
          <w:p w14:paraId="6131446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二、人机界面</w:t>
            </w:r>
          </w:p>
          <w:p w14:paraId="3EB5194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仿真系统系统人机界面的界面风格和操作功能与实际运行的ISCS系统的人机界面相同，即和综合监控系统下各个系统的界面相同。所有的模拟行为和现场实际操作一致，唯一有区别的就是监视的数据源来自不同的地方，部分控制命令只是发到模拟仿真器。</w:t>
            </w:r>
          </w:p>
          <w:p w14:paraId="4A668EA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三、数据库</w:t>
            </w:r>
          </w:p>
          <w:p w14:paraId="1FCE7A5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在模拟监控模式下，允许操作员对模拟设备进行操作，操作功能包括单点的设置、模式控制功能(控制输出及状态返回模拟)，包括隧道通风系统、车站大小系统、车站空调水系统、给排水系统、电扶梯等系统各种运行工况的模拟操作、状态监视等。</w:t>
            </w:r>
          </w:p>
          <w:p w14:paraId="699EEBE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2.系统数据库数据结构和数据元素类型同和实际地铁运营系一致。</w:t>
            </w:r>
          </w:p>
          <w:p w14:paraId="3E58C6A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模式与联动</w:t>
            </w:r>
          </w:p>
          <w:p w14:paraId="633E4D8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1.监控系统采用运行模式切换控制的方式处理各种紧急事件，培训仿真系统在具备类似功能外，还必须设置单体模式和整体联动相结合的控制方式。</w:t>
            </w:r>
          </w:p>
          <w:p w14:paraId="3ECAF7E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0"/>
                <w:szCs w:val="21"/>
              </w:rPr>
            </w:pPr>
            <w:r>
              <w:rPr>
                <w:rFonts w:hint="eastAsia" w:ascii="黑体" w:hAnsi="黑体" w:eastAsia="黑体" w:cs="黑体"/>
                <w:color w:val="auto"/>
                <w:kern w:val="0"/>
                <w:szCs w:val="21"/>
              </w:rPr>
              <w:t>2.监控平台的联动管理系统提供方便直观的联动配置和联动执行客户端，包括联动预案的配置以及联动监视客户端。</w:t>
            </w:r>
          </w:p>
          <w:p w14:paraId="492DBDE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0"/>
                <w:szCs w:val="21"/>
              </w:rPr>
              <w:t>（三）城市轨道交通车站AT</w:t>
            </w:r>
            <w:r>
              <w:rPr>
                <w:rFonts w:hint="eastAsia" w:ascii="黑体" w:hAnsi="黑体" w:eastAsia="黑体" w:cs="黑体"/>
                <w:color w:val="auto"/>
                <w:kern w:val="1"/>
                <w:szCs w:val="21"/>
              </w:rPr>
              <w:t>S系统</w:t>
            </w:r>
          </w:p>
          <w:p w14:paraId="008C4F9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1.车站ATS系统需包含菜单、标题栏、视图、输入对话框等组成整个人机交互界面。</w:t>
            </w:r>
          </w:p>
          <w:p w14:paraId="3236750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车站ATS系统仿真内单个联锁区内线路信息及设备，并且状态显示均与中心ATS系统显示内容同步，可将列车运营及轨旁设备的状态和信息，通过控制中心的终端实时显示出来，可以通过这些终端屏幕，实时了解和掌握本联锁区内的列车的实际运行情况以及轨旁信号设备的显示情况，以便及时对行车作业进行分析和调整。</w:t>
            </w:r>
          </w:p>
          <w:p w14:paraId="41BC5F1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3.系统须包含的操作有：</w:t>
            </w:r>
          </w:p>
          <w:p w14:paraId="2C9BA37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3.1接取站控或紧急站控</w:t>
            </w:r>
          </w:p>
          <w:p w14:paraId="783FA05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3.2激活与取消自动折返</w:t>
            </w:r>
          </w:p>
          <w:p w14:paraId="395E175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3.3计轴复位操作</w:t>
            </w:r>
          </w:p>
          <w:p w14:paraId="330AE97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3.4信号机操作：排列/取消进路；人解列车进路；设置/取消自动通过进路；进路控制状态查看与转换；开放引导进路；封锁/解封信号机；信号重开。</w:t>
            </w:r>
          </w:p>
          <w:p w14:paraId="53BC29B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3.5区段操作：切除/激活区段；设置/取消临时限速。</w:t>
            </w:r>
          </w:p>
          <w:p w14:paraId="5C2AE1A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3.6道岔操作：道岔单操；道岔单锁/单解；道岔封锁/解封；道岔强扳授权。</w:t>
            </w:r>
          </w:p>
          <w:p w14:paraId="0F8590E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3.7站台操作：设置/取消跳停；设置提前发车；设置站停时间；设置运行等级；扣车/取消扣车。</w:t>
            </w:r>
          </w:p>
          <w:p w14:paraId="0B2E9B8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3.8车次窗操作：设置人工车/头码车/计划车。</w:t>
            </w:r>
          </w:p>
          <w:p w14:paraId="1ED2327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（四）中心ATS仿真系统</w:t>
            </w:r>
          </w:p>
          <w:p w14:paraId="5B8CA26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color w:val="auto"/>
                <w:kern w:val="1"/>
                <w:szCs w:val="21"/>
              </w:rPr>
            </w:pPr>
            <w:r>
              <w:rPr>
                <w:rFonts w:hint="eastAsia" w:ascii="黑体" w:hAnsi="黑体" w:eastAsia="黑体" w:cs="黑体"/>
                <w:b/>
                <w:bCs/>
                <w:color w:val="auto"/>
                <w:kern w:val="1"/>
                <w:szCs w:val="21"/>
              </w:rPr>
              <w:t>▲1.中心ATS仿真系统仿真行业主流操作系统，将列车运营及轨旁设备的状态和信息，通过控制中心的终端实时显示出来，可以通过这些终端屏幕，实时了解和掌握列车的实际运行情况以及轨旁信号设备的显示情况，以便及时对行车作业进行分析和调整，保证全线运营安全高效有序进行。如：向轨旁联锁发出指令办理进路，指挥列车按照列车运行图来运行等。</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需在投标文件中提供列车自动监控仿真系统的第三方认证的测试报告。</w:t>
            </w:r>
            <w:r>
              <w:rPr>
                <w:rFonts w:hint="eastAsia" w:ascii="黑体" w:hAnsi="黑体" w:eastAsia="黑体" w:cs="黑体"/>
                <w:b/>
                <w:bCs/>
                <w:color w:val="auto"/>
                <w:kern w:val="1"/>
                <w:szCs w:val="21"/>
                <w:lang w:eastAsia="zh-CN"/>
              </w:rPr>
              <w:t>）</w:t>
            </w:r>
          </w:p>
          <w:p w14:paraId="05293EF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系统可显示信息包含：自动折返状态、车站控制模式状态、区段状态、信号机状态、道岔状态、站台状态、屏蔽门状态、车次窗、区间供电状态。通过对上述状态的监控，以便及时对运营作业进行调整保障全线运营安全有序进行。在发生突发情况时，可通过该系统对事件进行全面的指挥，及时排除故障，恢复正常运营。</w:t>
            </w:r>
          </w:p>
          <w:p w14:paraId="2AD06EA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3.模块需符合GB 50157—2013中对于列车监控仿真模块的要求。</w:t>
            </w:r>
          </w:p>
          <w:p w14:paraId="65BAAE5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4.可操作的内容包含：</w:t>
            </w:r>
          </w:p>
          <w:p w14:paraId="1934DC0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4.1联锁区操作：控制权下放与收回；激活与取消自动折返；设置/恢复限速。</w:t>
            </w:r>
          </w:p>
          <w:p w14:paraId="120D0AF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4.2信号机操作：排列/取消进路；人解列车进路；设置/取消自动通过进路；进路控制状态查看与转换；开放引导进路；封锁/解封信号机。</w:t>
            </w:r>
          </w:p>
          <w:p w14:paraId="076DB9A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4.3区段操作：切除/激活区段；设置/取消临时限速。</w:t>
            </w:r>
          </w:p>
          <w:p w14:paraId="64D35E6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4.4道岔操作：道岔单操；道岔单锁/单解；道岔封锁/解封。</w:t>
            </w:r>
          </w:p>
          <w:p w14:paraId="40553F8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1"/>
                <w:szCs w:val="21"/>
                <w:lang w:eastAsia="zh-CN"/>
              </w:rPr>
            </w:pPr>
            <w:bookmarkStart w:id="19" w:name="OLE_LINK1"/>
            <w:r>
              <w:rPr>
                <w:rFonts w:hint="eastAsia" w:ascii="黑体" w:hAnsi="黑体" w:eastAsia="黑体" w:cs="黑体"/>
                <w:b/>
                <w:bCs/>
                <w:color w:val="auto"/>
                <w:kern w:val="1"/>
                <w:szCs w:val="21"/>
              </w:rPr>
              <w:t>▲</w:t>
            </w:r>
            <w:bookmarkEnd w:id="19"/>
            <w:r>
              <w:rPr>
                <w:rFonts w:hint="eastAsia" w:ascii="黑体" w:hAnsi="黑体" w:eastAsia="黑体" w:cs="黑体"/>
                <w:b/>
                <w:bCs/>
                <w:color w:val="auto"/>
                <w:kern w:val="1"/>
                <w:szCs w:val="21"/>
              </w:rPr>
              <w:t>4.5站台操作设置/取消跳停；设置提前发车；设置站停时间；设置运行等级；扣车/取消扣车。</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需在投标文件中提供中心ATS接收车站服务实训系统所发出的扣车信号、车站急停信号演示视频。</w:t>
            </w:r>
            <w:r>
              <w:rPr>
                <w:rFonts w:hint="eastAsia" w:ascii="黑体" w:hAnsi="黑体" w:eastAsia="黑体" w:cs="黑体"/>
                <w:b/>
                <w:bCs/>
                <w:color w:val="auto"/>
                <w:kern w:val="1"/>
                <w:szCs w:val="21"/>
                <w:lang w:eastAsia="zh-CN"/>
              </w:rPr>
              <w:t>）</w:t>
            </w:r>
          </w:p>
          <w:p w14:paraId="392A513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4.6车次窗操作：设置人工车/头码车/计划车。</w:t>
            </w:r>
          </w:p>
          <w:p w14:paraId="76C24D1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4.7其它操作。</w:t>
            </w:r>
          </w:p>
          <w:p w14:paraId="6B23927A">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黑体" w:hAnsi="黑体" w:eastAsia="黑体" w:cs="黑体"/>
                <w:b/>
                <w:bCs/>
                <w:color w:val="auto"/>
                <w:kern w:val="1"/>
                <w:szCs w:val="21"/>
                <w:lang w:val="en-US" w:eastAsia="zh-CN"/>
              </w:rPr>
            </w:pPr>
            <w:r>
              <w:rPr>
                <w:rFonts w:hint="eastAsia" w:ascii="黑体" w:hAnsi="黑体" w:eastAsia="黑体" w:cs="黑体"/>
                <w:b/>
                <w:bCs/>
                <w:color w:val="auto"/>
                <w:kern w:val="1"/>
                <w:szCs w:val="21"/>
              </w:rPr>
              <w:t>▲5.系统包含不少于20各车站与10各联锁区。</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需在投标文件中提供中心ATS仿真系统站场图内不得少于20个车站，联锁区不得少于10个的图片或视频演示。</w:t>
            </w:r>
            <w:r>
              <w:rPr>
                <w:rFonts w:hint="eastAsia" w:ascii="黑体" w:hAnsi="黑体" w:eastAsia="黑体" w:cs="黑体"/>
                <w:b/>
                <w:bCs/>
                <w:color w:val="auto"/>
                <w:kern w:val="1"/>
                <w:szCs w:val="21"/>
                <w:lang w:eastAsia="zh-CN"/>
              </w:rPr>
              <w:t>）</w:t>
            </w:r>
          </w:p>
          <w:p w14:paraId="194A44E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1"/>
                <w:szCs w:val="21"/>
                <w:lang w:eastAsia="zh-CN"/>
              </w:rPr>
            </w:pPr>
            <w:r>
              <w:rPr>
                <w:rFonts w:hint="eastAsia" w:ascii="黑体" w:hAnsi="黑体" w:eastAsia="黑体" w:cs="黑体"/>
                <w:b/>
                <w:bCs/>
                <w:color w:val="auto"/>
                <w:kern w:val="1"/>
                <w:szCs w:val="21"/>
              </w:rPr>
              <w:t>▲6.系统支持在线获取更新，当有新版本软件发布时，通过网络主动获取更新内容并进行软件更新，保障系统的可靠性与实时性。</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需在投标文件中提供在线更新视频，软件启动发现新版本后显示产品更新日志，并进行更新版本更新。更新后的版本号与最新版本号保持一致。</w:t>
            </w:r>
            <w:r>
              <w:rPr>
                <w:rFonts w:hint="eastAsia" w:ascii="黑体" w:hAnsi="黑体" w:eastAsia="黑体" w:cs="黑体"/>
                <w:b/>
                <w:bCs/>
                <w:color w:val="auto"/>
                <w:kern w:val="1"/>
                <w:szCs w:val="21"/>
                <w:lang w:eastAsia="zh-CN"/>
              </w:rPr>
              <w:t>）</w:t>
            </w:r>
          </w:p>
          <w:p w14:paraId="72D81AB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（五）通信系统</w:t>
            </w:r>
          </w:p>
          <w:p w14:paraId="7FF6ACA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1.通信仿真系统支持与车站、司机、其它部分进行通话。</w:t>
            </w:r>
          </w:p>
          <w:p w14:paraId="366C963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2.界面布局参照行业使用的无线电台与调度电话。</w:t>
            </w:r>
          </w:p>
          <w:p w14:paraId="2BB14FF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3.通过选择呼叫对象可进行单呼、群呼、呼叫全线等通话方式。</w:t>
            </w:r>
          </w:p>
          <w:p w14:paraId="3A535D6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4.在考核过程中模拟与其它角色沟通过程，并且部分语音内容结合场景实现对应角色的自动应答，将自动应答的内容显示在文本区域。</w:t>
            </w:r>
          </w:p>
          <w:p w14:paraId="51B9D7C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5.系统支持预置命令，在正常状态下实现对预置语音命令的识别并执行动作。</w:t>
            </w:r>
          </w:p>
          <w:p w14:paraId="276B618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1"/>
                <w:szCs w:val="21"/>
              </w:rPr>
            </w:pPr>
            <w:r>
              <w:rPr>
                <w:rFonts w:hint="eastAsia" w:ascii="黑体" w:hAnsi="黑体" w:eastAsia="黑体" w:cs="黑体"/>
                <w:b/>
                <w:bCs/>
                <w:color w:val="auto"/>
                <w:kern w:val="1"/>
                <w:szCs w:val="21"/>
              </w:rPr>
              <w:t>▲6.系统支持网络语音识别、本地语音识别两种语音识别模式,支持在网络不稳定时切换至本地语音识别达到脱机考核的目的，也可避免学员通过网络查找答题资料。本地语音识别功能支持在普通电脑上运行，并可对中文、英文正常进行识别。</w:t>
            </w:r>
            <w:bookmarkStart w:id="20" w:name="OLE_LINK2"/>
            <w:bookmarkStart w:id="21" w:name="OLE_LINK3"/>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w:t>
            </w:r>
            <w:r>
              <w:rPr>
                <w:rFonts w:hint="eastAsia" w:ascii="黑体" w:hAnsi="黑体" w:eastAsia="黑体" w:cs="黑体"/>
                <w:b/>
                <w:bCs/>
                <w:color w:val="auto"/>
                <w:kern w:val="1"/>
                <w:szCs w:val="21"/>
              </w:rPr>
              <w:t>供应商需在投标文件中提供本地语音识别功能视频</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rPr>
              <w:t>视频需在电脑没有联网的情况下，通过录入不同的语音，得到语音识别的内容,录入的语音需包含中文、英文总识别条数不得低于3条。并在视频中证明演示本地语音识别电脑配置：CPU不得高于：i7-13700；内存不得高于16GB；显存不得大于8GB。</w:t>
            </w:r>
            <w:r>
              <w:rPr>
                <w:rFonts w:hint="eastAsia" w:ascii="黑体" w:hAnsi="黑体" w:eastAsia="黑体" w:cs="黑体"/>
                <w:b/>
                <w:bCs/>
                <w:color w:val="auto"/>
                <w:kern w:val="1"/>
                <w:szCs w:val="21"/>
                <w:lang w:eastAsia="zh-CN"/>
              </w:rPr>
              <w:t>）</w:t>
            </w:r>
            <w:bookmarkEnd w:id="20"/>
            <w:bookmarkEnd w:id="21"/>
          </w:p>
          <w:p w14:paraId="0BB233D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（六）城市轨道交通应急处理考核管理系统</w:t>
            </w:r>
          </w:p>
          <w:p w14:paraId="3D079C2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1.该系统主要用于城市轨道交通车站服务实训系统的学生信息导入、试卷编辑以及成绩导出功能。学生信息导入。</w:t>
            </w:r>
          </w:p>
          <w:p w14:paraId="6D87611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2.可通过小组形式导入学生信息进行储存，用于登录城市轨道交通车站服务实训系统。</w:t>
            </w:r>
          </w:p>
          <w:p w14:paraId="61B6128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kern w:val="1"/>
                <w:szCs w:val="21"/>
              </w:rPr>
            </w:pPr>
            <w:r>
              <w:rPr>
                <w:rFonts w:hint="eastAsia" w:ascii="黑体" w:hAnsi="黑体" w:eastAsia="黑体" w:cs="黑体"/>
                <w:b/>
                <w:bCs/>
                <w:color w:val="auto"/>
                <w:kern w:val="1"/>
                <w:szCs w:val="21"/>
              </w:rPr>
              <w:t>▲3.试卷编辑：试卷编辑时可根据不同各个故障的时间以及类别进行编辑，整套试卷需包含行车组织与施工组织、客运与服务、票务运作、应急情况处理四个模块，主要应对于城市轨道交通服务员国家职业标准内高级站务员、高级行车值班员岗位工作要求。</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需在投标文件中提供该系统进行小组信息导入及试卷编辑功能页面截图不少于5张。</w:t>
            </w:r>
            <w:r>
              <w:rPr>
                <w:rFonts w:hint="eastAsia" w:ascii="黑体" w:hAnsi="黑体" w:eastAsia="黑体" w:cs="黑体"/>
                <w:b/>
                <w:bCs/>
                <w:color w:val="auto"/>
                <w:kern w:val="1"/>
                <w:szCs w:val="21"/>
                <w:lang w:eastAsia="zh-CN"/>
              </w:rPr>
              <w:t>）</w:t>
            </w:r>
          </w:p>
          <w:p w14:paraId="668AB21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4.包含以下任务类别：</w:t>
            </w:r>
          </w:p>
          <w:p w14:paraId="3CE577C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4.1岗前检查作业</w:t>
            </w:r>
          </w:p>
          <w:p w14:paraId="508DDC6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4.2控制权接收作业</w:t>
            </w:r>
          </w:p>
          <w:p w14:paraId="433A651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4.3扣车与取消扣车作业</w:t>
            </w:r>
          </w:p>
          <w:p w14:paraId="40FE323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4.4列车出入段作业</w:t>
            </w:r>
          </w:p>
          <w:p w14:paraId="6FC490C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4.5道岔单锁与单解作业</w:t>
            </w:r>
          </w:p>
          <w:p w14:paraId="5A4C2BC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4.6区故解作业</w:t>
            </w:r>
          </w:p>
          <w:p w14:paraId="2609871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4.7信号重开作业</w:t>
            </w:r>
          </w:p>
          <w:p w14:paraId="0F57257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4.8站台紧急停车按钮被激活处理</w:t>
            </w:r>
          </w:p>
          <w:p w14:paraId="6977B35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4.9道岔单扳试验</w:t>
            </w:r>
          </w:p>
          <w:p w14:paraId="476D5AC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4.10站台门故障应急处置</w:t>
            </w:r>
          </w:p>
          <w:p w14:paraId="7C32A1E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4.11火灾应急处置</w:t>
            </w:r>
          </w:p>
          <w:p w14:paraId="30B277D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4.12票务设备故障进行现场处置</w:t>
            </w:r>
          </w:p>
          <w:p w14:paraId="1FE7ADC5">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黑体" w:hAnsi="黑体" w:eastAsia="黑体" w:cs="黑体"/>
                <w:color w:val="auto"/>
                <w:szCs w:val="21"/>
              </w:rPr>
            </w:pPr>
            <w:r>
              <w:rPr>
                <w:rFonts w:hint="eastAsia" w:ascii="黑体" w:hAnsi="黑体" w:eastAsia="黑体" w:cs="黑体"/>
                <w:color w:val="auto"/>
                <w:kern w:val="1"/>
                <w:szCs w:val="21"/>
              </w:rPr>
              <w:t>5.支持成绩导出：可将考核人员成绩已小组方式进行导出，针对每个工作场景下的工作流程进行考核并做出判断给予成绩。</w:t>
            </w:r>
          </w:p>
        </w:tc>
      </w:tr>
      <w:tr w14:paraId="4361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339" w:type="pct"/>
            <w:vAlign w:val="center"/>
          </w:tcPr>
          <w:p w14:paraId="356419B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w:t>
            </w:r>
          </w:p>
        </w:tc>
        <w:tc>
          <w:tcPr>
            <w:tcW w:w="781" w:type="pct"/>
            <w:vAlign w:val="center"/>
          </w:tcPr>
          <w:p w14:paraId="1014C3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城市轨道交通信号系统实物平台</w:t>
            </w:r>
          </w:p>
        </w:tc>
        <w:tc>
          <w:tcPr>
            <w:tcW w:w="3880" w:type="pct"/>
          </w:tcPr>
          <w:p w14:paraId="3CDA5D5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城市轨道交通信号设备实物平台包含组合柜、集中控制柜、信号机、转辙机及道岔。通过平台的实训，使城市轨道交通信号专业学员了解并掌握计算机联锁设备、ATS系统、LED信号机、转辙机及外锁闭装置、50Hz相敏轨道电路、紧急停车按钮、屏蔽门控制等信号系统原理。平台设置智能故障考核系统，设置联锁设备故障、信号机点灯电路故障、转辙机动作及表示电路故障、50Hz相敏轨道电路故障、培养学员对信号设备进行测试、检修作业的能力以及对信号设备进行故障分析、定位及故障处理的能力。</w:t>
            </w:r>
          </w:p>
          <w:p w14:paraId="077D457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（一）LED信号机</w:t>
            </w:r>
          </w:p>
          <w:p w14:paraId="104BD56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1.需黄绿红三个信号机构，满足道岔兼防护信号机的显示要求，每个灯位均设置点灯变压器、LED发光盘、电阻板。</w:t>
            </w:r>
          </w:p>
          <w:p w14:paraId="1B48839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2.需符合TB/T 3242-2010 LED铁路信号机构通用技术条件。</w:t>
            </w:r>
          </w:p>
          <w:p w14:paraId="23DB3F8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（二）ZDJ9交流转辙机</w:t>
            </w:r>
          </w:p>
          <w:p w14:paraId="02205F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一、转辙机</w:t>
            </w:r>
          </w:p>
          <w:p w14:paraId="46973F5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1.包含动、静接点组，接线端子，安全开关，接点座，减速器，摩擦联结器，电机，滚珠丝杠，推板套，动作板，动作杆，表示杆，锁闭铁，启动片。</w:t>
            </w:r>
          </w:p>
          <w:p w14:paraId="08EE52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2.需符合TB/T 3113-2015 ZD9/ZDJ9系列电动转辙机</w:t>
            </w:r>
          </w:p>
          <w:p w14:paraId="4796D5A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二、安装装置及杆件</w:t>
            </w:r>
          </w:p>
          <w:p w14:paraId="40EE8B5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一、技术要求：</w:t>
            </w:r>
          </w:p>
          <w:p w14:paraId="19630E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1.托盘与道岔底座相连，支撑转辙机。</w:t>
            </w:r>
          </w:p>
          <w:p w14:paraId="1B9C7BF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2.表示杆，与尖轨和转辙机内表示杆连接，给出转辙机的位置表示。</w:t>
            </w:r>
          </w:p>
          <w:p w14:paraId="3A8810D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3.动作杆，与尖轨和转辙机内动作杆连接，带动道岔转至所需位置。</w:t>
            </w:r>
          </w:p>
          <w:p w14:paraId="7CDEFAC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三、方向盒</w:t>
            </w:r>
          </w:p>
          <w:p w14:paraId="4E85452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1.方向盒为万可式端子排，端子数量不少于24个。</w:t>
            </w:r>
          </w:p>
          <w:p w14:paraId="53CB9C7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2.包含ZDJ9表示电路用二极管，电阻。</w:t>
            </w:r>
          </w:p>
          <w:p w14:paraId="6470D80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（三）道岔</w:t>
            </w:r>
          </w:p>
          <w:p w14:paraId="6725660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1.道岔轨距为</w:t>
            </w:r>
            <w:r>
              <w:rPr>
                <w:rFonts w:hint="eastAsia" w:ascii="黑体" w:hAnsi="黑体" w:eastAsia="黑体" w:cs="黑体"/>
                <w:color w:val="auto"/>
                <w:kern w:val="1"/>
                <w:szCs w:val="21"/>
              </w:rPr>
              <w:t>≤</w:t>
            </w:r>
            <w:r>
              <w:rPr>
                <w:rFonts w:hint="eastAsia" w:ascii="黑体" w:hAnsi="黑体" w:eastAsia="黑体" w:cs="黑体"/>
                <w:color w:val="auto"/>
                <w:kern w:val="1"/>
                <w:szCs w:val="21"/>
              </w:rPr>
              <w:t>1435mm，钢轨为</w:t>
            </w:r>
            <w:r>
              <w:rPr>
                <w:rFonts w:hint="eastAsia" w:ascii="黑体" w:hAnsi="黑体" w:eastAsia="黑体" w:cs="黑体"/>
                <w:color w:val="auto"/>
                <w:kern w:val="1"/>
                <w:szCs w:val="21"/>
              </w:rPr>
              <w:t>≤</w:t>
            </w:r>
            <w:r>
              <w:rPr>
                <w:rFonts w:hint="eastAsia" w:ascii="黑体" w:hAnsi="黑体" w:eastAsia="黑体" w:cs="黑体"/>
                <w:color w:val="auto"/>
                <w:kern w:val="1"/>
                <w:szCs w:val="21"/>
              </w:rPr>
              <w:t>60Kg/m。</w:t>
            </w:r>
          </w:p>
          <w:p w14:paraId="53EB5A3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2.基本轨长度不小于1.5m，至少3根钢制枕木支撑。</w:t>
            </w:r>
          </w:p>
          <w:p w14:paraId="1061D4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3.包含至少6块滑床板，钢轨扣件，配套安装螺栓。</w:t>
            </w:r>
          </w:p>
          <w:p w14:paraId="0D8BBE3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（四）信号集中控制柜</w:t>
            </w:r>
          </w:p>
          <w:p w14:paraId="24BF9B4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一、工控机</w:t>
            </w:r>
          </w:p>
          <w:p w14:paraId="33FE69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1.CPU不低于双核G540；</w:t>
            </w:r>
          </w:p>
          <w:p w14:paraId="72ADD6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2.内存不低于1G；</w:t>
            </w:r>
          </w:p>
          <w:p w14:paraId="64D7BA2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3.硬盘不低于320G；</w:t>
            </w:r>
          </w:p>
          <w:p w14:paraId="10D559B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4.不小于18.5英寸的显示器；</w:t>
            </w:r>
          </w:p>
          <w:p w14:paraId="74EC000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5.鼠标及键盘1套；</w:t>
            </w:r>
          </w:p>
          <w:p w14:paraId="2FD9DAB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6.需符合GB/T 9813.1—2016计算机通用规范第1部分台式微型计算机标准。</w:t>
            </w:r>
          </w:p>
          <w:p w14:paraId="2C3B93A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二、ATS软件</w:t>
            </w:r>
          </w:p>
          <w:p w14:paraId="67C889C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ATS软件驱动信号继电器动作，采集信号继电器状态；</w:t>
            </w:r>
          </w:p>
          <w:p w14:paraId="4F5FE31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1.信号与进路操作：排列/取消进路，信号重开，引导进路，人解列车进路；</w:t>
            </w:r>
          </w:p>
          <w:p w14:paraId="5135366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2.道岔操作：道岔定/反操；</w:t>
            </w:r>
          </w:p>
          <w:p w14:paraId="720B7B7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3.站台门：模拟开门、模拟关门。</w:t>
            </w:r>
          </w:p>
          <w:p w14:paraId="16F766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三、电源系统</w:t>
            </w:r>
          </w:p>
          <w:p w14:paraId="6894F0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1.系统需提供AC110V，DC24V，AC380V电源；</w:t>
            </w:r>
          </w:p>
          <w:p w14:paraId="1C43DFD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2.交流110V变压器功率不低于2000VA，输入电压220~240V，输出电压110V~120V；</w:t>
            </w:r>
          </w:p>
          <w:p w14:paraId="100D9C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3.直流24电源模块不少于2个，每个模块输出至少2路24V直流电源，单个模块功率不低于120W；</w:t>
            </w:r>
          </w:p>
          <w:p w14:paraId="54CCD6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4.交流380V电源，输入AC220V，输出AC380V，输出3线制三相电源。</w:t>
            </w:r>
          </w:p>
          <w:p w14:paraId="0B5E8A5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四、联锁机笼</w:t>
            </w:r>
          </w:p>
          <w:p w14:paraId="12442C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1.采用6U机箱；</w:t>
            </w:r>
          </w:p>
          <w:p w14:paraId="67F2C56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2.支持RS232串口通信；</w:t>
            </w:r>
          </w:p>
          <w:p w14:paraId="277577E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3.包含I/O输入输出板、驱动板、采集板、双机冗余板，电源板、通信板、CPU板；</w:t>
            </w:r>
          </w:p>
          <w:p w14:paraId="6215DFE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4.支持48路继电器驱动采集。</w:t>
            </w:r>
          </w:p>
          <w:p w14:paraId="7F88EF4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五、智能故障控制箱</w:t>
            </w:r>
          </w:p>
          <w:p w14:paraId="740444F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1.额定电压为直流24V；</w:t>
            </w:r>
          </w:p>
          <w:p w14:paraId="48119F1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2.支持RS232、RS485两种串口通信；</w:t>
            </w:r>
          </w:p>
          <w:p w14:paraId="2902B4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3.支持32路输出；</w:t>
            </w:r>
          </w:p>
          <w:p w14:paraId="5240D48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4.触点容量10A/30DC 10A/250VAC。</w:t>
            </w:r>
          </w:p>
          <w:p w14:paraId="0B954AB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六、紧急停车按钮</w:t>
            </w:r>
          </w:p>
          <w:p w14:paraId="745930C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包含由蜂鸣器，紧急关闭LED灯、取消紧急按钮，紧急关闭按钮，报警切成、马赛克盘组成。</w:t>
            </w:r>
          </w:p>
          <w:p w14:paraId="06CF02A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七、屏蔽门就地控制箱</w:t>
            </w:r>
          </w:p>
          <w:p w14:paraId="1D71C93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屏蔽门关闭且锁紧、屏蔽门开启、互锁解除指示灯，正常/开门/关门三档旋钮，正常/互锁解除两档旋钮。</w:t>
            </w:r>
          </w:p>
          <w:p w14:paraId="660CC3D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八、轨道控制盘</w:t>
            </w:r>
          </w:p>
          <w:p w14:paraId="78481C1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1.模拟轨道室外设备，输入AC220V，输出AC24V电压；</w:t>
            </w:r>
          </w:p>
          <w:p w14:paraId="19FB9C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2.2个旋钮，可分别控制1送2受的轨道电压。</w:t>
            </w:r>
          </w:p>
          <w:p w14:paraId="3864007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（五）组合柜</w:t>
            </w:r>
          </w:p>
          <w:p w14:paraId="79C87F0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一、机柜</w:t>
            </w:r>
          </w:p>
          <w:p w14:paraId="33F8540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1.组合柜尺寸：</w:t>
            </w:r>
            <w:r>
              <w:rPr>
                <w:rFonts w:hint="eastAsia" w:ascii="黑体" w:hAnsi="黑体" w:eastAsia="黑体" w:cs="黑体"/>
                <w:color w:val="auto"/>
                <w:kern w:val="1"/>
                <w:szCs w:val="21"/>
              </w:rPr>
              <w:t>≤</w:t>
            </w:r>
            <w:r>
              <w:rPr>
                <w:rFonts w:hint="eastAsia" w:ascii="黑体" w:hAnsi="黑体" w:eastAsia="黑体" w:cs="黑体"/>
                <w:color w:val="auto"/>
                <w:kern w:val="1"/>
                <w:szCs w:val="21"/>
              </w:rPr>
              <w:t>1000mm*500mm*1750mm；</w:t>
            </w:r>
          </w:p>
          <w:p w14:paraId="5673FDC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2.加厚冷轧钢板、门栓转轴、耐磨、抗腐、防潮、不变色、经久耐用。</w:t>
            </w:r>
          </w:p>
          <w:p w14:paraId="32AF765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二、零层电源组合</w:t>
            </w:r>
          </w:p>
          <w:p w14:paraId="15EEBE0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电源包括电源KZ\KF、信号机电源XJZ\XJF、轨道输出电源GJZ/GJF，轨道电路局部电源JJZ/JJF,、岔表示电源DJZ\DJF、站联电源LZ\LF、联锁电源IOZ\IOF、道岔动作电源AC-380V。</w:t>
            </w:r>
          </w:p>
          <w:p w14:paraId="3D7857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三、信号组合</w:t>
            </w:r>
          </w:p>
          <w:p w14:paraId="29BE5ABA">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黑体" w:hAnsi="黑体" w:eastAsia="黑体" w:cs="黑体"/>
                <w:b/>
                <w:bCs/>
                <w:color w:val="auto"/>
                <w:kern w:val="1"/>
                <w:szCs w:val="21"/>
              </w:rPr>
            </w:pPr>
            <w:r>
              <w:rPr>
                <w:rFonts w:hint="eastAsia" w:ascii="黑体" w:hAnsi="黑体" w:eastAsia="黑体" w:cs="黑体"/>
                <w:b/>
                <w:bCs/>
                <w:color w:val="auto"/>
                <w:kern w:val="1"/>
                <w:szCs w:val="21"/>
              </w:rPr>
              <w:t>▲1.1个道岔控制组合、1个道岔辅助组合，1个信号机控制组合，1个轨道组合、1个紧急停车组合，1个屏蔽门控制组合，各组合采用计算机联锁标准组合。</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需提供相应设计图纸，继电器数量不少于30个；继电器型号需包含JWXC-1700、JZXC-H18、JWJXC-480、JWJXC-H340、JWJXC-H125\80、JYJXC-160\260、JPXC-1000、DBQ、BD1-7、RXYC-75/1KΩ、TFQ-A、WXJ-50/II。</w:t>
            </w:r>
            <w:r>
              <w:rPr>
                <w:rFonts w:hint="eastAsia" w:ascii="黑体" w:hAnsi="黑体" w:eastAsia="黑体" w:cs="黑体"/>
                <w:b/>
                <w:bCs/>
                <w:color w:val="auto"/>
                <w:kern w:val="1"/>
                <w:szCs w:val="21"/>
                <w:lang w:eastAsia="zh-CN"/>
              </w:rPr>
              <w:t>）</w:t>
            </w:r>
          </w:p>
          <w:p w14:paraId="49AEFB2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2.继电器需符合TB/T 3383-2023 铁路信号继电器 AX系列继电器 标准。</w:t>
            </w:r>
          </w:p>
          <w:p w14:paraId="2CA4F6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四、分线盘</w:t>
            </w:r>
          </w:p>
          <w:p w14:paraId="2506BE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包含至少6组分线盘，不少于48个端子。</w:t>
            </w:r>
          </w:p>
          <w:p w14:paraId="0E7DF40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五、接口柜</w:t>
            </w:r>
          </w:p>
          <w:p w14:paraId="7043A68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包含至少6组分线盘，不少于48个端子。</w:t>
            </w:r>
          </w:p>
          <w:p w14:paraId="1CE20C5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六、智能故障控制箱</w:t>
            </w:r>
          </w:p>
          <w:p w14:paraId="1EA7886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1.额定电压为直流24V；</w:t>
            </w:r>
          </w:p>
          <w:p w14:paraId="764E272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2.支持RS232、RS485两种串口通信；</w:t>
            </w:r>
          </w:p>
          <w:p w14:paraId="4D5FA2B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3.支持64路输出；</w:t>
            </w:r>
          </w:p>
          <w:p w14:paraId="3A3A2C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4.触点容量10A/30DC 10A/250VAC。</w:t>
            </w:r>
          </w:p>
          <w:p w14:paraId="04C4F5A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（六）智能故障控制系统</w:t>
            </w:r>
          </w:p>
          <w:p w14:paraId="1D74425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一、城轨信号系统故障智能考核系统（教师机）</w:t>
            </w:r>
          </w:p>
          <w:p w14:paraId="13D850D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系统包含考试监控、信息管理、试卷管理、成绩统计功能。</w:t>
            </w:r>
          </w:p>
          <w:p w14:paraId="2E5663D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1.考试监控支持以列表形式展示选手考试情况，包含在线统计，故障处理完成数量，且能以饼状图形式展示答题情况以及用时统计。</w:t>
            </w:r>
          </w:p>
          <w:p w14:paraId="1045F3C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2.信息管理支持添加/删除组别，支持以Excel表格形式批量导入添加选手信息，可对选手信息进行编辑及删除。</w:t>
            </w:r>
          </w:p>
          <w:p w14:paraId="0551B132">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黑体" w:hAnsi="黑体" w:eastAsia="黑体" w:cs="黑体"/>
                <w:b/>
                <w:bCs/>
                <w:color w:val="auto"/>
                <w:kern w:val="1"/>
                <w:szCs w:val="21"/>
                <w:lang w:eastAsia="zh-CN"/>
              </w:rPr>
            </w:pPr>
            <w:r>
              <w:rPr>
                <w:rFonts w:hint="eastAsia" w:ascii="黑体" w:hAnsi="黑体" w:eastAsia="黑体" w:cs="黑体"/>
                <w:b/>
                <w:bCs/>
                <w:color w:val="auto"/>
                <w:kern w:val="1"/>
                <w:szCs w:val="21"/>
              </w:rPr>
              <w:t>▲3.试卷管理支持试卷的创建、编辑、复制、导出。教员可根据需求，灵活选择题型和试题。故障考核试题包含信号机、轨道电路、联锁设备、转辙机四种，故障点不低于40个。</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需在投标文件中提供包含信号机、轨道电路、联锁设备、转辙机4个模块及不少于40个故障点的截图。</w:t>
            </w:r>
            <w:r>
              <w:rPr>
                <w:rFonts w:hint="eastAsia" w:ascii="黑体" w:hAnsi="黑体" w:eastAsia="黑体" w:cs="黑体"/>
                <w:b/>
                <w:bCs/>
                <w:color w:val="auto"/>
                <w:kern w:val="1"/>
                <w:szCs w:val="21"/>
                <w:lang w:eastAsia="zh-CN"/>
              </w:rPr>
              <w:t>）</w:t>
            </w:r>
          </w:p>
          <w:p w14:paraId="16AB9F7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（七）城轨信号系统故障智能控制系统（学生端）</w:t>
            </w:r>
          </w:p>
          <w:p w14:paraId="115E1E8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1.点击对应试题后，界面出现对应的电路图；</w:t>
            </w:r>
          </w:p>
          <w:p w14:paraId="6906DFA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黑体" w:hAnsi="黑体" w:eastAsia="黑体" w:cs="黑体"/>
                <w:color w:val="auto"/>
                <w:kern w:val="1"/>
                <w:szCs w:val="21"/>
              </w:rPr>
            </w:pPr>
            <w:r>
              <w:rPr>
                <w:rFonts w:hint="eastAsia" w:ascii="黑体" w:hAnsi="黑体" w:eastAsia="黑体" w:cs="黑体"/>
                <w:color w:val="auto"/>
                <w:kern w:val="1"/>
                <w:szCs w:val="21"/>
              </w:rPr>
              <w:t>2.试题作答正确后，可恢复设置的信号设备故障。</w:t>
            </w:r>
          </w:p>
          <w:p w14:paraId="472B0F33">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黑体" w:hAnsi="黑体" w:eastAsia="黑体" w:cs="黑体"/>
                <w:color w:val="auto"/>
                <w:lang w:eastAsia="zh-CN"/>
              </w:rPr>
            </w:pPr>
            <w:r>
              <w:rPr>
                <w:rFonts w:hint="eastAsia" w:ascii="黑体" w:hAnsi="黑体" w:eastAsia="黑体" w:cs="黑体"/>
                <w:b/>
                <w:bCs/>
                <w:color w:val="auto"/>
                <w:kern w:val="1"/>
                <w:szCs w:val="21"/>
              </w:rPr>
              <w:t>▲3.接收教师端下发的故障试题，根据试题下发故障到信号设备上</w:t>
            </w:r>
            <w:r>
              <w:rPr>
                <w:rFonts w:hint="eastAsia" w:ascii="黑体" w:hAnsi="黑体" w:eastAsia="黑体" w:cs="黑体"/>
                <w:b/>
                <w:bCs/>
                <w:color w:val="auto"/>
                <w:kern w:val="1"/>
                <w:szCs w:val="21"/>
                <w:lang w:eastAsia="zh-CN"/>
              </w:rPr>
              <w:t>。（</w:t>
            </w:r>
            <w:r>
              <w:rPr>
                <w:rFonts w:hint="eastAsia" w:ascii="黑体" w:hAnsi="黑体" w:eastAsia="黑体" w:cs="黑体"/>
                <w:b/>
                <w:bCs/>
                <w:color w:val="auto"/>
                <w:kern w:val="1"/>
                <w:szCs w:val="21"/>
                <w:lang w:val="en-US" w:eastAsia="zh-CN"/>
              </w:rPr>
              <w:t>注：投标人</w:t>
            </w:r>
            <w:r>
              <w:rPr>
                <w:rFonts w:hint="eastAsia" w:ascii="黑体" w:hAnsi="黑体" w:eastAsia="黑体" w:cs="黑体"/>
                <w:b/>
                <w:bCs/>
                <w:color w:val="auto"/>
                <w:kern w:val="1"/>
                <w:szCs w:val="21"/>
              </w:rPr>
              <w:t>需在投标文件中提供包含信号机、轨道电路、联锁设备、转辙机4种试题的考试界面</w:t>
            </w:r>
            <w:r>
              <w:rPr>
                <w:rFonts w:hint="eastAsia" w:ascii="黑体" w:hAnsi="黑体" w:eastAsia="黑体" w:cs="黑体"/>
                <w:b/>
                <w:bCs/>
                <w:color w:val="auto"/>
                <w:kern w:val="1"/>
                <w:szCs w:val="21"/>
                <w:lang w:val="en-US" w:eastAsia="zh-CN"/>
              </w:rPr>
              <w:t>截图</w:t>
            </w:r>
            <w:r>
              <w:rPr>
                <w:rFonts w:hint="eastAsia" w:ascii="黑体" w:hAnsi="黑体" w:eastAsia="黑体" w:cs="黑体"/>
                <w:b/>
                <w:bCs/>
                <w:color w:val="auto"/>
                <w:kern w:val="1"/>
                <w:szCs w:val="21"/>
              </w:rPr>
              <w:t>，提交故障类型有断线，混线，错线三种类型。</w:t>
            </w:r>
            <w:r>
              <w:rPr>
                <w:rFonts w:hint="eastAsia" w:ascii="黑体" w:hAnsi="黑体" w:eastAsia="黑体" w:cs="黑体"/>
                <w:b/>
                <w:bCs/>
                <w:color w:val="auto"/>
                <w:kern w:val="1"/>
                <w:szCs w:val="21"/>
                <w:lang w:eastAsia="zh-CN"/>
              </w:rPr>
              <w:t>）</w:t>
            </w:r>
          </w:p>
        </w:tc>
      </w:tr>
      <w:bookmarkEnd w:id="16"/>
      <w:bookmarkEnd w:id="17"/>
    </w:tbl>
    <w:p w14:paraId="31D4D8C6">
      <w:pPr>
        <w:pStyle w:val="3"/>
        <w:keepNext w:val="0"/>
        <w:keepLines w:val="0"/>
        <w:pageBreakBefore/>
        <w:spacing w:before="300" w:after="240" w:line="360" w:lineRule="auto"/>
        <w:jc w:val="center"/>
        <w:rPr>
          <w:rFonts w:ascii="黑体" w:hAnsi="黑体" w:eastAsia="黑体"/>
          <w:color w:val="auto"/>
          <w:spacing w:val="20"/>
          <w:sz w:val="32"/>
          <w:szCs w:val="32"/>
        </w:rPr>
      </w:pPr>
      <w:bookmarkStart w:id="22" w:name="_Toc391627749"/>
      <w:bookmarkStart w:id="23" w:name="_Toc405313953"/>
      <w:bookmarkStart w:id="24" w:name="_Toc119514287"/>
      <w:r>
        <w:rPr>
          <w:rFonts w:hint="eastAsia" w:ascii="黑体" w:hAnsi="黑体" w:eastAsia="黑体"/>
          <w:color w:val="auto"/>
          <w:spacing w:val="20"/>
          <w:sz w:val="32"/>
          <w:szCs w:val="32"/>
        </w:rPr>
        <w:t>第三部分</w:t>
      </w:r>
      <w:bookmarkEnd w:id="22"/>
      <w:bookmarkEnd w:id="23"/>
      <w:r>
        <w:rPr>
          <w:rFonts w:hint="eastAsia" w:ascii="黑体" w:hAnsi="黑体" w:eastAsia="黑体"/>
          <w:color w:val="auto"/>
          <w:spacing w:val="20"/>
          <w:sz w:val="32"/>
          <w:szCs w:val="32"/>
        </w:rPr>
        <w:t xml:space="preserve"> 投标人须知前附表</w:t>
      </w:r>
      <w:bookmarkEnd w:id="24"/>
    </w:p>
    <w:p w14:paraId="437CFB94">
      <w:pPr>
        <w:tabs>
          <w:tab w:val="left" w:pos="426"/>
        </w:tabs>
        <w:spacing w:after="156" w:afterLines="50" w:line="360" w:lineRule="auto"/>
        <w:ind w:firstLine="420" w:firstLineChars="200"/>
        <w:rPr>
          <w:rFonts w:ascii="黑体" w:hAnsi="黑体" w:eastAsia="黑体"/>
          <w:color w:val="auto"/>
          <w:szCs w:val="21"/>
        </w:rPr>
      </w:pPr>
      <w:r>
        <w:rPr>
          <w:rFonts w:hint="eastAsia" w:ascii="黑体" w:hAnsi="黑体" w:eastAsia="黑体"/>
          <w:color w:val="auto"/>
          <w:szCs w:val="21"/>
        </w:rPr>
        <w:t>本表的条款项号是与投标须知条款项号对应的，或增加的条款，是对第四部分《投标人须知》的补充、修改和完善，如果有矛盾的话，应以本表为准。</w:t>
      </w:r>
    </w:p>
    <w:tbl>
      <w:tblPr>
        <w:tblStyle w:val="2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33"/>
        <w:gridCol w:w="7634"/>
      </w:tblGrid>
      <w:tr w14:paraId="2FC9EB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07249478">
            <w:pPr>
              <w:spacing w:line="360" w:lineRule="exact"/>
              <w:ind w:right="-183"/>
              <w:jc w:val="left"/>
              <w:rPr>
                <w:rFonts w:ascii="黑体" w:hAnsi="黑体" w:eastAsia="黑体"/>
                <w:color w:val="auto"/>
                <w:szCs w:val="21"/>
                <w:lang w:val="zh-CN"/>
              </w:rPr>
            </w:pPr>
            <w:r>
              <w:rPr>
                <w:rFonts w:hint="eastAsia" w:ascii="黑体" w:hAnsi="黑体" w:eastAsia="黑体"/>
                <w:color w:val="auto"/>
                <w:szCs w:val="21"/>
              </w:rPr>
              <w:t>条款项号</w:t>
            </w:r>
          </w:p>
        </w:tc>
        <w:tc>
          <w:tcPr>
            <w:tcW w:w="4353" w:type="pct"/>
            <w:tcBorders>
              <w:top w:val="single" w:color="auto" w:sz="4" w:space="0"/>
              <w:left w:val="single" w:color="auto" w:sz="4" w:space="0"/>
              <w:bottom w:val="single" w:color="auto" w:sz="4" w:space="0"/>
              <w:right w:val="single" w:color="auto" w:sz="4" w:space="0"/>
            </w:tcBorders>
            <w:vAlign w:val="center"/>
          </w:tcPr>
          <w:p w14:paraId="3573AD5A">
            <w:pPr>
              <w:spacing w:line="360" w:lineRule="exact"/>
              <w:ind w:right="-183"/>
              <w:jc w:val="center"/>
              <w:rPr>
                <w:rFonts w:ascii="黑体" w:hAnsi="黑体" w:eastAsia="黑体"/>
                <w:color w:val="auto"/>
                <w:spacing w:val="20"/>
                <w:szCs w:val="21"/>
              </w:rPr>
            </w:pPr>
            <w:r>
              <w:rPr>
                <w:rFonts w:hint="eastAsia" w:ascii="黑体" w:hAnsi="黑体" w:eastAsia="黑体"/>
                <w:color w:val="auto"/>
                <w:spacing w:val="20"/>
                <w:szCs w:val="21"/>
              </w:rPr>
              <w:t>对应或增加的条款内容</w:t>
            </w:r>
          </w:p>
        </w:tc>
      </w:tr>
      <w:tr w14:paraId="435714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419CECEC">
            <w:pPr>
              <w:spacing w:line="360" w:lineRule="exact"/>
              <w:ind w:right="-183"/>
              <w:rPr>
                <w:rFonts w:ascii="黑体" w:hAnsi="黑体" w:eastAsia="黑体"/>
                <w:color w:val="auto"/>
                <w:szCs w:val="21"/>
              </w:rPr>
            </w:pPr>
            <w:r>
              <w:rPr>
                <w:rFonts w:hint="eastAsia" w:ascii="黑体" w:hAnsi="黑体" w:eastAsia="黑体"/>
                <w:color w:val="auto"/>
                <w:szCs w:val="21"/>
              </w:rPr>
              <w:t>对第四部分《投标人须知》的修改及补充：</w:t>
            </w:r>
          </w:p>
        </w:tc>
      </w:tr>
      <w:tr w14:paraId="73377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078A235A">
            <w:pPr>
              <w:spacing w:line="360" w:lineRule="exact"/>
              <w:ind w:right="-183"/>
              <w:jc w:val="left"/>
              <w:rPr>
                <w:rFonts w:ascii="黑体" w:hAnsi="黑体" w:eastAsia="黑体"/>
                <w:color w:val="auto"/>
                <w:szCs w:val="21"/>
              </w:rPr>
            </w:pPr>
            <w:r>
              <w:rPr>
                <w:rFonts w:hint="eastAsia" w:ascii="黑体" w:hAnsi="黑体" w:eastAsia="黑体"/>
                <w:color w:val="auto"/>
                <w:szCs w:val="21"/>
              </w:rPr>
              <w:t>一</w:t>
            </w:r>
            <w:r>
              <w:rPr>
                <w:rFonts w:ascii="黑体" w:hAnsi="黑体" w:eastAsia="黑体"/>
                <w:color w:val="auto"/>
                <w:szCs w:val="21"/>
              </w:rPr>
              <w:t xml:space="preserve"> </w:t>
            </w:r>
            <w:r>
              <w:rPr>
                <w:rFonts w:hint="eastAsia" w:ascii="黑体" w:hAnsi="黑体" w:eastAsia="黑体"/>
                <w:color w:val="auto"/>
                <w:szCs w:val="21"/>
              </w:rPr>
              <w:t>说明</w:t>
            </w:r>
          </w:p>
        </w:tc>
      </w:tr>
      <w:tr w14:paraId="5C06F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14:paraId="7CBFF97A">
            <w:pPr>
              <w:spacing w:line="380" w:lineRule="exact"/>
              <w:jc w:val="left"/>
              <w:rPr>
                <w:rFonts w:ascii="黑体" w:hAnsi="黑体" w:eastAsia="黑体"/>
                <w:color w:val="auto"/>
                <w:szCs w:val="21"/>
                <w:lang w:val="zh-CN"/>
              </w:rPr>
            </w:pPr>
            <w:r>
              <w:rPr>
                <w:rFonts w:ascii="黑体" w:hAnsi="黑体" w:eastAsia="黑体"/>
                <w:color w:val="auto"/>
                <w:szCs w:val="21"/>
                <w:lang w:val="zh-CN"/>
              </w:rPr>
              <w:t>2</w:t>
            </w:r>
            <w:r>
              <w:rPr>
                <w:rFonts w:hint="eastAsia" w:ascii="黑体" w:hAnsi="黑体" w:eastAsia="黑体"/>
                <w:color w:val="auto"/>
                <w:szCs w:val="21"/>
                <w:lang w:val="zh-CN"/>
              </w:rPr>
              <w:t>.2</w:t>
            </w:r>
          </w:p>
        </w:tc>
        <w:tc>
          <w:tcPr>
            <w:tcW w:w="4353" w:type="pct"/>
            <w:tcBorders>
              <w:top w:val="single" w:color="auto" w:sz="4" w:space="0"/>
              <w:left w:val="single" w:color="auto" w:sz="6" w:space="0"/>
              <w:bottom w:val="single" w:color="auto" w:sz="4" w:space="0"/>
              <w:right w:val="single" w:color="auto" w:sz="4" w:space="0"/>
            </w:tcBorders>
            <w:vAlign w:val="center"/>
          </w:tcPr>
          <w:p w14:paraId="5D686178">
            <w:pPr>
              <w:spacing w:line="360" w:lineRule="exact"/>
              <w:ind w:right="-183"/>
              <w:rPr>
                <w:rFonts w:ascii="黑体" w:hAnsi="黑体" w:eastAsia="黑体"/>
                <w:color w:val="auto"/>
                <w:szCs w:val="21"/>
              </w:rPr>
            </w:pPr>
            <w:r>
              <w:rPr>
                <w:rFonts w:hint="eastAsia" w:ascii="黑体" w:hAnsi="黑体" w:eastAsia="黑体"/>
                <w:color w:val="auto"/>
                <w:szCs w:val="21"/>
              </w:rPr>
              <w:t>资金来源：自筹资金</w:t>
            </w:r>
          </w:p>
        </w:tc>
      </w:tr>
      <w:tr w14:paraId="63CB9A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14:paraId="354EBF31">
            <w:pPr>
              <w:spacing w:line="380" w:lineRule="exact"/>
              <w:jc w:val="left"/>
              <w:rPr>
                <w:rFonts w:ascii="黑体" w:hAnsi="黑体" w:eastAsia="黑体"/>
                <w:color w:val="auto"/>
                <w:szCs w:val="21"/>
                <w:lang w:val="zh-CN"/>
              </w:rPr>
            </w:pPr>
            <w:r>
              <w:rPr>
                <w:rFonts w:hint="eastAsia" w:ascii="黑体" w:hAnsi="黑体" w:eastAsia="黑体"/>
                <w:color w:val="auto"/>
                <w:szCs w:val="21"/>
                <w:lang w:val="zh-CN"/>
              </w:rPr>
              <w:t>2</w:t>
            </w:r>
            <w:r>
              <w:rPr>
                <w:rFonts w:ascii="黑体" w:hAnsi="黑体" w:eastAsia="黑体"/>
                <w:color w:val="auto"/>
                <w:szCs w:val="21"/>
                <w:lang w:val="zh-CN"/>
              </w:rPr>
              <w:t>.3</w:t>
            </w:r>
          </w:p>
        </w:tc>
        <w:tc>
          <w:tcPr>
            <w:tcW w:w="4353" w:type="pct"/>
            <w:tcBorders>
              <w:top w:val="single" w:color="auto" w:sz="4" w:space="0"/>
              <w:left w:val="single" w:color="auto" w:sz="6" w:space="0"/>
              <w:bottom w:val="single" w:color="auto" w:sz="4" w:space="0"/>
              <w:right w:val="single" w:color="auto" w:sz="4" w:space="0"/>
            </w:tcBorders>
            <w:vAlign w:val="center"/>
          </w:tcPr>
          <w:p w14:paraId="6F62F1EB">
            <w:pPr>
              <w:spacing w:line="360" w:lineRule="exact"/>
              <w:ind w:right="-183"/>
              <w:rPr>
                <w:rFonts w:ascii="黑体" w:hAnsi="黑体" w:eastAsia="黑体"/>
                <w:color w:val="auto"/>
                <w:szCs w:val="21"/>
              </w:rPr>
            </w:pPr>
            <w:r>
              <w:rPr>
                <w:rFonts w:hint="eastAsia" w:ascii="黑体" w:hAnsi="黑体" w:eastAsia="黑体"/>
                <w:color w:val="auto"/>
                <w:szCs w:val="21"/>
              </w:rPr>
              <w:t>项目属性：货物类</w:t>
            </w:r>
          </w:p>
        </w:tc>
      </w:tr>
      <w:tr w14:paraId="25220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08"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14:paraId="0C3D4845">
            <w:pPr>
              <w:spacing w:line="380" w:lineRule="exact"/>
              <w:jc w:val="left"/>
              <w:rPr>
                <w:rFonts w:ascii="黑体" w:hAnsi="黑体" w:eastAsia="黑体"/>
                <w:color w:val="auto"/>
                <w:szCs w:val="21"/>
                <w:lang w:val="zh-CN"/>
              </w:rPr>
            </w:pPr>
            <w:r>
              <w:rPr>
                <w:rFonts w:ascii="黑体" w:hAnsi="黑体" w:eastAsia="黑体"/>
                <w:color w:val="auto"/>
                <w:szCs w:val="21"/>
                <w:lang w:val="zh-CN"/>
              </w:rPr>
              <w:t>3</w:t>
            </w:r>
            <w:r>
              <w:rPr>
                <w:rFonts w:hint="eastAsia" w:ascii="黑体" w:hAnsi="黑体" w:eastAsia="黑体"/>
                <w:color w:val="auto"/>
                <w:szCs w:val="21"/>
                <w:lang w:val="zh-CN"/>
              </w:rPr>
              <w:t>.1</w:t>
            </w:r>
          </w:p>
        </w:tc>
        <w:tc>
          <w:tcPr>
            <w:tcW w:w="4353" w:type="pct"/>
            <w:tcBorders>
              <w:top w:val="single" w:color="auto" w:sz="4" w:space="0"/>
              <w:left w:val="single" w:color="auto" w:sz="6" w:space="0"/>
              <w:bottom w:val="single" w:color="auto" w:sz="4" w:space="0"/>
              <w:right w:val="single" w:color="auto" w:sz="4" w:space="0"/>
            </w:tcBorders>
            <w:vAlign w:val="center"/>
          </w:tcPr>
          <w:p w14:paraId="3C45C1D9">
            <w:pPr>
              <w:spacing w:line="360" w:lineRule="exact"/>
              <w:ind w:right="-183"/>
              <w:rPr>
                <w:rFonts w:ascii="黑体" w:hAnsi="黑体" w:eastAsia="黑体"/>
                <w:color w:val="auto"/>
                <w:szCs w:val="21"/>
                <w:u w:val="single"/>
              </w:rPr>
            </w:pPr>
            <w:r>
              <w:rPr>
                <w:rFonts w:ascii="黑体" w:hAnsi="黑体" w:eastAsia="黑体"/>
                <w:color w:val="auto"/>
                <w:szCs w:val="21"/>
              </w:rPr>
              <w:t>“采购人”是指：</w:t>
            </w:r>
            <w:r>
              <w:rPr>
                <w:rFonts w:hint="eastAsia" w:ascii="黑体" w:hAnsi="黑体" w:eastAsia="黑体"/>
                <w:color w:val="auto"/>
                <w:szCs w:val="21"/>
              </w:rPr>
              <w:t>东莞市汽车技术学校</w:t>
            </w:r>
          </w:p>
          <w:p w14:paraId="7A040EA4">
            <w:pPr>
              <w:spacing w:line="360" w:lineRule="exact"/>
              <w:ind w:right="-183" w:firstLine="105" w:firstLineChars="50"/>
              <w:rPr>
                <w:rFonts w:ascii="黑体" w:hAnsi="黑体" w:eastAsia="黑体"/>
                <w:color w:val="auto"/>
                <w:szCs w:val="21"/>
              </w:rPr>
            </w:pPr>
            <w:r>
              <w:rPr>
                <w:rFonts w:hint="eastAsia" w:ascii="黑体" w:hAnsi="黑体" w:eastAsia="黑体"/>
                <w:color w:val="auto"/>
                <w:szCs w:val="21"/>
              </w:rPr>
              <w:t>采购人联系人：谌先生</w:t>
            </w:r>
          </w:p>
          <w:p w14:paraId="2FC982E0">
            <w:pPr>
              <w:spacing w:line="360" w:lineRule="exact"/>
              <w:ind w:right="-183" w:firstLine="105" w:firstLineChars="50"/>
              <w:rPr>
                <w:rFonts w:ascii="黑体" w:hAnsi="黑体" w:eastAsia="黑体"/>
                <w:color w:val="auto"/>
                <w:szCs w:val="21"/>
              </w:rPr>
            </w:pPr>
            <w:r>
              <w:rPr>
                <w:rFonts w:hint="eastAsia" w:ascii="黑体" w:hAnsi="黑体" w:eastAsia="黑体"/>
                <w:color w:val="auto"/>
                <w:szCs w:val="21"/>
              </w:rPr>
              <w:t>电</w:t>
            </w:r>
            <w:r>
              <w:rPr>
                <w:rFonts w:ascii="黑体" w:hAnsi="黑体" w:eastAsia="黑体"/>
                <w:color w:val="auto"/>
                <w:szCs w:val="21"/>
              </w:rPr>
              <w:t xml:space="preserve">  </w:t>
            </w:r>
            <w:r>
              <w:rPr>
                <w:rFonts w:hint="eastAsia" w:ascii="黑体" w:hAnsi="黑体" w:eastAsia="黑体"/>
                <w:color w:val="auto"/>
                <w:szCs w:val="21"/>
              </w:rPr>
              <w:t>话：</w:t>
            </w:r>
            <w:r>
              <w:rPr>
                <w:rFonts w:hint="eastAsia" w:ascii="黑体" w:hAnsi="黑体" w:eastAsia="黑体"/>
                <w:bCs/>
                <w:color w:val="auto"/>
                <w:szCs w:val="21"/>
              </w:rPr>
              <w:t>（0769）83266616</w:t>
            </w:r>
          </w:p>
          <w:p w14:paraId="712095E8">
            <w:pPr>
              <w:spacing w:line="360" w:lineRule="exact"/>
              <w:ind w:right="-183" w:firstLine="105" w:firstLineChars="50"/>
              <w:rPr>
                <w:rFonts w:ascii="黑体" w:hAnsi="黑体" w:eastAsia="黑体"/>
                <w:color w:val="auto"/>
                <w:szCs w:val="21"/>
              </w:rPr>
            </w:pPr>
            <w:r>
              <w:rPr>
                <w:rFonts w:hint="eastAsia" w:ascii="黑体" w:hAnsi="黑体" w:eastAsia="黑体"/>
                <w:color w:val="auto"/>
                <w:szCs w:val="21"/>
              </w:rPr>
              <w:t>地</w:t>
            </w:r>
            <w:r>
              <w:rPr>
                <w:rFonts w:ascii="黑体" w:hAnsi="黑体" w:eastAsia="黑体"/>
                <w:color w:val="auto"/>
                <w:szCs w:val="21"/>
              </w:rPr>
              <w:t xml:space="preserve">  </w:t>
            </w:r>
            <w:r>
              <w:rPr>
                <w:rFonts w:hint="eastAsia" w:ascii="黑体" w:hAnsi="黑体" w:eastAsia="黑体"/>
                <w:color w:val="auto"/>
                <w:szCs w:val="21"/>
              </w:rPr>
              <w:t>址：</w:t>
            </w:r>
            <w:r>
              <w:rPr>
                <w:rFonts w:hint="eastAsia" w:ascii="黑体" w:hAnsi="黑体" w:eastAsia="黑体"/>
                <w:bCs/>
                <w:color w:val="auto"/>
                <w:szCs w:val="21"/>
              </w:rPr>
              <w:t>东莞市寮步镇寮城中路霞边段7号101号</w:t>
            </w:r>
          </w:p>
        </w:tc>
      </w:tr>
      <w:tr w14:paraId="307A2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46" w:type="pct"/>
            <w:tcBorders>
              <w:top w:val="single" w:color="auto" w:sz="6" w:space="0"/>
              <w:left w:val="single" w:color="auto" w:sz="6" w:space="0"/>
              <w:bottom w:val="single" w:color="auto" w:sz="6" w:space="0"/>
              <w:right w:val="single" w:color="auto" w:sz="6" w:space="0"/>
            </w:tcBorders>
            <w:vAlign w:val="center"/>
          </w:tcPr>
          <w:p w14:paraId="59E17B3F">
            <w:pPr>
              <w:spacing w:line="380" w:lineRule="exact"/>
              <w:jc w:val="left"/>
              <w:rPr>
                <w:rFonts w:ascii="黑体" w:hAnsi="黑体" w:eastAsia="黑体"/>
                <w:color w:val="auto"/>
                <w:szCs w:val="21"/>
                <w:lang w:val="zh-CN"/>
              </w:rPr>
            </w:pPr>
            <w:bookmarkStart w:id="25" w:name="_Hlk119327990"/>
            <w:r>
              <w:rPr>
                <w:rFonts w:ascii="黑体" w:hAnsi="黑体" w:eastAsia="黑体"/>
                <w:color w:val="auto"/>
                <w:szCs w:val="21"/>
                <w:lang w:val="zh-CN"/>
              </w:rPr>
              <w:t>3</w:t>
            </w:r>
            <w:r>
              <w:rPr>
                <w:rFonts w:hint="eastAsia" w:ascii="黑体" w:hAnsi="黑体" w:eastAsia="黑体"/>
                <w:color w:val="auto"/>
                <w:szCs w:val="21"/>
                <w:lang w:val="zh-CN"/>
              </w:rPr>
              <w:t>.</w:t>
            </w:r>
            <w:r>
              <w:rPr>
                <w:rFonts w:ascii="黑体" w:hAnsi="黑体" w:eastAsia="黑体"/>
                <w:color w:val="auto"/>
                <w:szCs w:val="21"/>
                <w:lang w:val="zh-CN"/>
              </w:rPr>
              <w:t>2</w:t>
            </w:r>
          </w:p>
        </w:tc>
        <w:tc>
          <w:tcPr>
            <w:tcW w:w="4353" w:type="pct"/>
            <w:tcBorders>
              <w:top w:val="single" w:color="auto" w:sz="4" w:space="0"/>
              <w:left w:val="single" w:color="auto" w:sz="6" w:space="0"/>
              <w:bottom w:val="single" w:color="auto" w:sz="4" w:space="0"/>
              <w:right w:val="single" w:color="auto" w:sz="4" w:space="0"/>
            </w:tcBorders>
            <w:vAlign w:val="center"/>
          </w:tcPr>
          <w:p w14:paraId="480B7761">
            <w:pPr>
              <w:spacing w:line="360" w:lineRule="exact"/>
              <w:ind w:right="-183"/>
              <w:rPr>
                <w:rFonts w:ascii="黑体" w:hAnsi="黑体" w:eastAsia="黑体"/>
                <w:color w:val="auto"/>
                <w:szCs w:val="21"/>
              </w:rPr>
            </w:pPr>
            <w:r>
              <w:rPr>
                <w:rFonts w:ascii="黑体" w:hAnsi="黑体" w:eastAsia="黑体"/>
                <w:color w:val="auto"/>
                <w:szCs w:val="21"/>
              </w:rPr>
              <w:t>“采购代理机构”是指：</w:t>
            </w:r>
            <w:r>
              <w:rPr>
                <w:rFonts w:hint="eastAsia" w:ascii="黑体" w:hAnsi="黑体" w:eastAsia="黑体"/>
                <w:color w:val="auto"/>
                <w:szCs w:val="21"/>
              </w:rPr>
              <w:t>广东有德招标采购有限公司</w:t>
            </w:r>
          </w:p>
        </w:tc>
      </w:tr>
      <w:bookmarkEnd w:id="25"/>
      <w:tr w14:paraId="112CE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7879E895">
            <w:pPr>
              <w:spacing w:line="360" w:lineRule="exact"/>
              <w:ind w:right="-183"/>
              <w:rPr>
                <w:rFonts w:ascii="黑体" w:hAnsi="黑体" w:eastAsia="黑体"/>
                <w:color w:val="auto"/>
                <w:szCs w:val="21"/>
              </w:rPr>
            </w:pPr>
            <w:r>
              <w:rPr>
                <w:rFonts w:hint="eastAsia" w:ascii="黑体" w:hAnsi="黑体" w:eastAsia="黑体"/>
                <w:color w:val="auto"/>
                <w:szCs w:val="21"/>
              </w:rPr>
              <w:t>二</w:t>
            </w:r>
            <w:r>
              <w:rPr>
                <w:rFonts w:ascii="黑体" w:hAnsi="黑体" w:eastAsia="黑体"/>
                <w:color w:val="auto"/>
                <w:szCs w:val="21"/>
              </w:rPr>
              <w:t xml:space="preserve"> </w:t>
            </w:r>
            <w:r>
              <w:rPr>
                <w:rFonts w:hint="eastAsia" w:ascii="黑体" w:hAnsi="黑体" w:eastAsia="黑体"/>
                <w:color w:val="auto"/>
                <w:szCs w:val="21"/>
              </w:rPr>
              <w:t>招标文件</w:t>
            </w:r>
          </w:p>
        </w:tc>
      </w:tr>
      <w:tr w14:paraId="3AD3A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35BB6096">
            <w:pPr>
              <w:spacing w:line="360" w:lineRule="exact"/>
              <w:ind w:right="-183"/>
              <w:jc w:val="left"/>
              <w:rPr>
                <w:rFonts w:ascii="黑体" w:hAnsi="黑体" w:eastAsia="黑体"/>
                <w:color w:val="auto"/>
                <w:szCs w:val="21"/>
              </w:rPr>
            </w:pPr>
            <w:r>
              <w:rPr>
                <w:rFonts w:ascii="黑体" w:hAnsi="黑体" w:eastAsia="黑体"/>
                <w:color w:val="auto"/>
                <w:szCs w:val="21"/>
              </w:rPr>
              <w:t>8</w:t>
            </w:r>
            <w:r>
              <w:rPr>
                <w:rFonts w:hint="eastAsia" w:ascii="黑体" w:hAnsi="黑体" w:eastAsia="黑体"/>
                <w:color w:val="auto"/>
                <w:szCs w:val="21"/>
              </w:rPr>
              <w:t>.1</w:t>
            </w:r>
          </w:p>
        </w:tc>
        <w:tc>
          <w:tcPr>
            <w:tcW w:w="4353" w:type="pct"/>
            <w:tcBorders>
              <w:top w:val="single" w:color="auto" w:sz="4" w:space="0"/>
              <w:left w:val="single" w:color="auto" w:sz="4" w:space="0"/>
              <w:bottom w:val="single" w:color="auto" w:sz="4" w:space="0"/>
              <w:right w:val="single" w:color="auto" w:sz="4" w:space="0"/>
            </w:tcBorders>
            <w:vAlign w:val="center"/>
          </w:tcPr>
          <w:p w14:paraId="2295C0D3">
            <w:pPr>
              <w:spacing w:line="360" w:lineRule="exact"/>
              <w:ind w:right="-183"/>
              <w:rPr>
                <w:rFonts w:ascii="黑体" w:hAnsi="黑体" w:eastAsia="黑体"/>
                <w:color w:val="auto"/>
                <w:szCs w:val="21"/>
              </w:rPr>
            </w:pPr>
            <w:r>
              <w:rPr>
                <w:rFonts w:hint="eastAsia" w:ascii="黑体" w:hAnsi="黑体" w:eastAsia="黑体"/>
                <w:bCs/>
                <w:color w:val="auto"/>
                <w:szCs w:val="21"/>
              </w:rPr>
              <w:t>答疑会或现场考察：本项目不集中举行答疑会或现场考察</w:t>
            </w:r>
          </w:p>
        </w:tc>
      </w:tr>
      <w:tr w14:paraId="7892AD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57680EDD">
            <w:pPr>
              <w:spacing w:line="360" w:lineRule="exact"/>
              <w:ind w:right="-183"/>
              <w:rPr>
                <w:rFonts w:ascii="黑体" w:hAnsi="黑体" w:eastAsia="黑体"/>
                <w:bCs/>
                <w:color w:val="auto"/>
                <w:szCs w:val="21"/>
              </w:rPr>
            </w:pPr>
            <w:r>
              <w:rPr>
                <w:rFonts w:hint="eastAsia" w:ascii="黑体" w:hAnsi="黑体" w:eastAsia="黑体"/>
                <w:bCs/>
                <w:color w:val="auto"/>
                <w:szCs w:val="21"/>
              </w:rPr>
              <w:t>三</w:t>
            </w:r>
            <w:r>
              <w:rPr>
                <w:rFonts w:ascii="黑体" w:hAnsi="黑体" w:eastAsia="黑体"/>
                <w:bCs/>
                <w:color w:val="auto"/>
                <w:szCs w:val="21"/>
              </w:rPr>
              <w:t xml:space="preserve"> </w:t>
            </w:r>
            <w:r>
              <w:rPr>
                <w:rFonts w:hint="eastAsia" w:ascii="黑体" w:hAnsi="黑体" w:eastAsia="黑体"/>
                <w:bCs/>
                <w:color w:val="auto"/>
                <w:szCs w:val="21"/>
              </w:rPr>
              <w:t>投标文件的编制</w:t>
            </w:r>
          </w:p>
        </w:tc>
      </w:tr>
      <w:tr w14:paraId="5CA55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002C6E98">
            <w:pPr>
              <w:spacing w:line="360" w:lineRule="exact"/>
              <w:ind w:right="-183"/>
              <w:jc w:val="left"/>
              <w:rPr>
                <w:rFonts w:ascii="黑体" w:hAnsi="黑体" w:eastAsia="黑体"/>
                <w:color w:val="auto"/>
                <w:szCs w:val="21"/>
              </w:rPr>
            </w:pPr>
            <w:r>
              <w:rPr>
                <w:rFonts w:hint="eastAsia" w:ascii="黑体" w:hAnsi="黑体" w:eastAsia="黑体"/>
                <w:color w:val="auto"/>
                <w:szCs w:val="21"/>
              </w:rPr>
              <w:t>1</w:t>
            </w:r>
            <w:r>
              <w:rPr>
                <w:rFonts w:ascii="黑体" w:hAnsi="黑体" w:eastAsia="黑体"/>
                <w:color w:val="auto"/>
                <w:szCs w:val="21"/>
              </w:rPr>
              <w:t>2.5</w:t>
            </w:r>
          </w:p>
        </w:tc>
        <w:tc>
          <w:tcPr>
            <w:tcW w:w="4353" w:type="pct"/>
            <w:tcBorders>
              <w:top w:val="single" w:color="auto" w:sz="4" w:space="0"/>
              <w:left w:val="single" w:color="auto" w:sz="4" w:space="0"/>
              <w:bottom w:val="single" w:color="auto" w:sz="4" w:space="0"/>
              <w:right w:val="single" w:color="auto" w:sz="4" w:space="0"/>
            </w:tcBorders>
            <w:vAlign w:val="center"/>
          </w:tcPr>
          <w:p w14:paraId="5306C379">
            <w:pPr>
              <w:spacing w:line="360" w:lineRule="exact"/>
              <w:ind w:right="-183"/>
              <w:rPr>
                <w:rFonts w:ascii="黑体" w:hAnsi="黑体" w:eastAsia="黑体"/>
                <w:bCs/>
                <w:color w:val="auto"/>
                <w:spacing w:val="-4"/>
                <w:szCs w:val="21"/>
              </w:rPr>
            </w:pPr>
            <w:r>
              <w:rPr>
                <w:rFonts w:hint="eastAsia" w:ascii="黑体" w:hAnsi="黑体" w:eastAsia="黑体"/>
                <w:bCs/>
                <w:color w:val="auto"/>
                <w:spacing w:val="-4"/>
                <w:szCs w:val="21"/>
              </w:rPr>
              <w:t>投标人所报的投标价在合同执行过程中是固定不变的，不得以任何理由予以变更</w:t>
            </w:r>
          </w:p>
        </w:tc>
      </w:tr>
      <w:tr w14:paraId="1FF5EC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79F9DE98">
            <w:pPr>
              <w:spacing w:line="360" w:lineRule="exact"/>
              <w:ind w:right="-183"/>
              <w:jc w:val="left"/>
              <w:rPr>
                <w:rFonts w:ascii="黑体" w:hAnsi="黑体" w:eastAsia="黑体"/>
                <w:color w:val="auto"/>
                <w:szCs w:val="21"/>
              </w:rPr>
            </w:pPr>
            <w:r>
              <w:rPr>
                <w:rFonts w:ascii="黑体" w:hAnsi="黑体" w:eastAsia="黑体"/>
                <w:color w:val="auto"/>
                <w:szCs w:val="21"/>
              </w:rPr>
              <w:t>12.6</w:t>
            </w:r>
          </w:p>
        </w:tc>
        <w:tc>
          <w:tcPr>
            <w:tcW w:w="4353" w:type="pct"/>
            <w:tcBorders>
              <w:top w:val="single" w:color="auto" w:sz="4" w:space="0"/>
              <w:left w:val="single" w:color="auto" w:sz="4" w:space="0"/>
              <w:bottom w:val="single" w:color="auto" w:sz="4" w:space="0"/>
              <w:right w:val="single" w:color="auto" w:sz="4" w:space="0"/>
            </w:tcBorders>
            <w:vAlign w:val="center"/>
          </w:tcPr>
          <w:p w14:paraId="460E19D6">
            <w:pPr>
              <w:spacing w:line="360" w:lineRule="exact"/>
              <w:ind w:right="-183"/>
              <w:rPr>
                <w:rFonts w:ascii="黑体" w:hAnsi="黑体" w:eastAsia="黑体"/>
                <w:bCs/>
                <w:color w:val="auto"/>
                <w:szCs w:val="21"/>
              </w:rPr>
            </w:pPr>
            <w:r>
              <w:rPr>
                <w:rFonts w:hint="eastAsia" w:ascii="黑体" w:hAnsi="黑体" w:eastAsia="黑体"/>
                <w:bCs/>
                <w:color w:val="auto"/>
                <w:spacing w:val="-4"/>
                <w:szCs w:val="21"/>
              </w:rPr>
              <w:t>不允许有备选方案</w:t>
            </w:r>
          </w:p>
        </w:tc>
      </w:tr>
      <w:tr w14:paraId="7CE32E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50CC5E42">
            <w:pPr>
              <w:spacing w:line="360" w:lineRule="exact"/>
              <w:ind w:right="-183"/>
              <w:jc w:val="left"/>
              <w:rPr>
                <w:rFonts w:ascii="黑体" w:hAnsi="黑体" w:eastAsia="黑体"/>
                <w:color w:val="auto"/>
                <w:szCs w:val="21"/>
              </w:rPr>
            </w:pPr>
            <w:r>
              <w:rPr>
                <w:rFonts w:ascii="黑体" w:hAnsi="黑体" w:eastAsia="黑体"/>
                <w:color w:val="auto"/>
                <w:szCs w:val="21"/>
              </w:rPr>
              <w:t>12.7</w:t>
            </w:r>
          </w:p>
        </w:tc>
        <w:tc>
          <w:tcPr>
            <w:tcW w:w="4353" w:type="pct"/>
            <w:tcBorders>
              <w:top w:val="single" w:color="auto" w:sz="4" w:space="0"/>
              <w:left w:val="single" w:color="auto" w:sz="4" w:space="0"/>
              <w:bottom w:val="single" w:color="auto" w:sz="4" w:space="0"/>
              <w:right w:val="single" w:color="auto" w:sz="4" w:space="0"/>
            </w:tcBorders>
            <w:vAlign w:val="center"/>
          </w:tcPr>
          <w:p w14:paraId="44A74B67">
            <w:pPr>
              <w:spacing w:line="360" w:lineRule="exact"/>
              <w:ind w:right="-183"/>
              <w:rPr>
                <w:rFonts w:ascii="黑体" w:hAnsi="黑体" w:eastAsia="黑体"/>
                <w:bCs/>
                <w:color w:val="auto"/>
                <w:szCs w:val="21"/>
              </w:rPr>
            </w:pPr>
            <w:r>
              <w:rPr>
                <w:rFonts w:hint="eastAsia" w:ascii="黑体" w:hAnsi="黑体" w:eastAsia="黑体"/>
                <w:bCs/>
                <w:color w:val="auto"/>
                <w:spacing w:val="-4"/>
                <w:szCs w:val="21"/>
              </w:rPr>
              <w:t>不允许附加条件报价</w:t>
            </w:r>
          </w:p>
        </w:tc>
      </w:tr>
      <w:tr w14:paraId="603B1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76C18A21">
            <w:pPr>
              <w:spacing w:line="380" w:lineRule="exact"/>
              <w:jc w:val="left"/>
              <w:rPr>
                <w:rFonts w:ascii="黑体" w:hAnsi="黑体" w:eastAsia="黑体"/>
                <w:color w:val="auto"/>
                <w:szCs w:val="21"/>
                <w:lang w:val="zh-CN"/>
              </w:rPr>
            </w:pPr>
            <w:r>
              <w:rPr>
                <w:rFonts w:ascii="黑体" w:hAnsi="黑体" w:eastAsia="黑体"/>
                <w:color w:val="auto"/>
                <w:szCs w:val="21"/>
                <w:lang w:val="zh-CN"/>
              </w:rPr>
              <w:t>18</w:t>
            </w:r>
            <w:r>
              <w:rPr>
                <w:rFonts w:hint="eastAsia" w:ascii="黑体" w:hAnsi="黑体" w:eastAsia="黑体"/>
                <w:color w:val="auto"/>
                <w:szCs w:val="21"/>
                <w:lang w:val="zh-CN"/>
              </w:rPr>
              <w:t>.1</w:t>
            </w:r>
          </w:p>
        </w:tc>
        <w:tc>
          <w:tcPr>
            <w:tcW w:w="4353" w:type="pct"/>
            <w:tcBorders>
              <w:top w:val="single" w:color="auto" w:sz="4" w:space="0"/>
              <w:left w:val="single" w:color="auto" w:sz="4" w:space="0"/>
              <w:bottom w:val="single" w:color="auto" w:sz="4" w:space="0"/>
              <w:right w:val="single" w:color="auto" w:sz="4" w:space="0"/>
            </w:tcBorders>
            <w:vAlign w:val="center"/>
          </w:tcPr>
          <w:p w14:paraId="7EDAFE3F">
            <w:pPr>
              <w:spacing w:line="380" w:lineRule="exact"/>
              <w:ind w:right="-40"/>
              <w:rPr>
                <w:rFonts w:ascii="黑体" w:hAnsi="黑体" w:eastAsia="黑体"/>
                <w:color w:val="auto"/>
                <w:szCs w:val="21"/>
                <w:lang w:val="zh-CN"/>
              </w:rPr>
            </w:pPr>
            <w:r>
              <w:rPr>
                <w:rFonts w:hint="eastAsia" w:ascii="黑体" w:hAnsi="黑体" w:eastAsia="黑体"/>
                <w:color w:val="auto"/>
                <w:szCs w:val="21"/>
                <w:lang w:val="zh-CN"/>
              </w:rPr>
              <w:t>投标有效期：递交投标文件截止日后</w:t>
            </w:r>
            <w:r>
              <w:rPr>
                <w:rFonts w:ascii="黑体" w:hAnsi="黑体" w:eastAsia="黑体"/>
                <w:color w:val="auto"/>
                <w:szCs w:val="21"/>
                <w:u w:val="single"/>
                <w:lang w:val="zh-CN"/>
              </w:rPr>
              <w:t xml:space="preserve"> 90 </w:t>
            </w:r>
            <w:r>
              <w:rPr>
                <w:rFonts w:hint="eastAsia" w:ascii="黑体" w:hAnsi="黑体" w:eastAsia="黑体"/>
                <w:color w:val="auto"/>
                <w:szCs w:val="21"/>
                <w:lang w:val="zh-CN"/>
              </w:rPr>
              <w:t>天</w:t>
            </w:r>
          </w:p>
        </w:tc>
      </w:tr>
      <w:tr w14:paraId="07381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1C233C03">
            <w:pPr>
              <w:spacing w:line="380" w:lineRule="exact"/>
              <w:jc w:val="left"/>
              <w:rPr>
                <w:rFonts w:ascii="黑体" w:hAnsi="黑体" w:eastAsia="黑体"/>
                <w:color w:val="auto"/>
                <w:szCs w:val="21"/>
                <w:lang w:val="zh-CN"/>
              </w:rPr>
            </w:pPr>
            <w:r>
              <w:rPr>
                <w:rFonts w:ascii="黑体" w:hAnsi="黑体" w:eastAsia="黑体"/>
                <w:color w:val="auto"/>
                <w:szCs w:val="21"/>
                <w:lang w:val="zh-CN"/>
              </w:rPr>
              <w:t>19</w:t>
            </w:r>
            <w:r>
              <w:rPr>
                <w:rFonts w:hint="eastAsia" w:ascii="黑体" w:hAnsi="黑体" w:eastAsia="黑体"/>
                <w:color w:val="auto"/>
                <w:szCs w:val="21"/>
                <w:lang w:val="zh-CN"/>
              </w:rPr>
              <w:t>.1</w:t>
            </w:r>
          </w:p>
        </w:tc>
        <w:tc>
          <w:tcPr>
            <w:tcW w:w="4353" w:type="pct"/>
            <w:tcBorders>
              <w:top w:val="single" w:color="auto" w:sz="4" w:space="0"/>
              <w:left w:val="single" w:color="auto" w:sz="4" w:space="0"/>
              <w:bottom w:val="single" w:color="auto" w:sz="4" w:space="0"/>
              <w:right w:val="single" w:color="auto" w:sz="4" w:space="0"/>
            </w:tcBorders>
            <w:vAlign w:val="center"/>
          </w:tcPr>
          <w:p w14:paraId="334ED6DF">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投标文件份数：</w:t>
            </w:r>
            <w:r>
              <w:rPr>
                <w:rFonts w:ascii="黑体" w:hAnsi="黑体" w:eastAsia="黑体"/>
                <w:color w:val="auto"/>
                <w:szCs w:val="21"/>
                <w:lang w:val="zh-CN"/>
              </w:rPr>
              <w:t>正本一份，副本</w:t>
            </w:r>
            <w:r>
              <w:rPr>
                <w:rFonts w:hint="eastAsia" w:ascii="黑体" w:hAnsi="黑体" w:eastAsia="黑体"/>
                <w:color w:val="auto"/>
                <w:szCs w:val="21"/>
                <w:lang w:val="zh-CN"/>
              </w:rPr>
              <w:t>五</w:t>
            </w:r>
            <w:r>
              <w:rPr>
                <w:rFonts w:ascii="黑体" w:hAnsi="黑体" w:eastAsia="黑体"/>
                <w:color w:val="auto"/>
                <w:szCs w:val="21"/>
                <w:lang w:val="zh-CN"/>
              </w:rPr>
              <w:t>份，电子文件</w:t>
            </w:r>
            <w:r>
              <w:rPr>
                <w:rFonts w:hint="eastAsia" w:ascii="黑体" w:hAnsi="黑体" w:eastAsia="黑体"/>
                <w:color w:val="auto"/>
                <w:szCs w:val="21"/>
                <w:lang w:val="zh-CN"/>
              </w:rPr>
              <w:t>一</w:t>
            </w:r>
            <w:r>
              <w:rPr>
                <w:rFonts w:ascii="黑体" w:hAnsi="黑体" w:eastAsia="黑体"/>
                <w:color w:val="auto"/>
                <w:szCs w:val="21"/>
                <w:lang w:val="zh-CN"/>
              </w:rPr>
              <w:t>份</w:t>
            </w:r>
            <w:r>
              <w:rPr>
                <w:rFonts w:hint="eastAsia" w:ascii="黑体" w:hAnsi="黑体" w:eastAsia="黑体"/>
                <w:color w:val="auto"/>
                <w:szCs w:val="21"/>
                <w:lang w:val="zh-CN"/>
              </w:rPr>
              <w:t>，唱标信封一个。</w:t>
            </w:r>
          </w:p>
        </w:tc>
      </w:tr>
      <w:tr w14:paraId="5AEB7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0BBAA1EE">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五</w:t>
            </w:r>
            <w:r>
              <w:rPr>
                <w:rFonts w:ascii="黑体" w:hAnsi="黑体" w:eastAsia="黑体"/>
                <w:color w:val="auto"/>
                <w:szCs w:val="21"/>
                <w:lang w:val="zh-CN"/>
              </w:rPr>
              <w:t xml:space="preserve"> </w:t>
            </w:r>
            <w:r>
              <w:rPr>
                <w:rFonts w:hint="eastAsia" w:ascii="黑体" w:hAnsi="黑体" w:eastAsia="黑体"/>
                <w:color w:val="auto"/>
                <w:szCs w:val="21"/>
                <w:lang w:val="zh-CN"/>
              </w:rPr>
              <w:t>开标与评标准则</w:t>
            </w:r>
          </w:p>
        </w:tc>
      </w:tr>
      <w:tr w14:paraId="147C03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663699E4">
            <w:pPr>
              <w:spacing w:line="380" w:lineRule="exact"/>
              <w:ind w:right="-4"/>
              <w:jc w:val="left"/>
              <w:rPr>
                <w:rFonts w:ascii="黑体" w:hAnsi="黑体" w:eastAsia="黑体"/>
                <w:color w:val="auto"/>
                <w:szCs w:val="21"/>
                <w:lang w:val="zh-CN"/>
              </w:rPr>
            </w:pPr>
            <w:r>
              <w:rPr>
                <w:rFonts w:hint="eastAsia" w:ascii="黑体" w:hAnsi="黑体" w:eastAsia="黑体"/>
                <w:color w:val="auto"/>
                <w:szCs w:val="21"/>
                <w:lang w:val="zh-CN"/>
              </w:rPr>
              <w:t>2</w:t>
            </w:r>
            <w:r>
              <w:rPr>
                <w:rFonts w:ascii="黑体" w:hAnsi="黑体" w:eastAsia="黑体"/>
                <w:color w:val="auto"/>
                <w:szCs w:val="21"/>
                <w:lang w:val="zh-CN"/>
              </w:rPr>
              <w:t>5.2</w:t>
            </w:r>
          </w:p>
        </w:tc>
        <w:tc>
          <w:tcPr>
            <w:tcW w:w="4353" w:type="pct"/>
            <w:tcBorders>
              <w:top w:val="single" w:color="auto" w:sz="4" w:space="0"/>
              <w:left w:val="single" w:color="auto" w:sz="4" w:space="0"/>
              <w:bottom w:val="single" w:color="auto" w:sz="4" w:space="0"/>
              <w:right w:val="single" w:color="auto" w:sz="4" w:space="0"/>
            </w:tcBorders>
            <w:vAlign w:val="center"/>
          </w:tcPr>
          <w:p w14:paraId="63416C6A">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评标委员会由采购人代表和评审专家组成，成员人数为5人。</w:t>
            </w:r>
          </w:p>
        </w:tc>
      </w:tr>
      <w:tr w14:paraId="4E8C4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3827962C">
            <w:pPr>
              <w:spacing w:line="380" w:lineRule="exact"/>
              <w:ind w:right="-4"/>
              <w:jc w:val="left"/>
              <w:rPr>
                <w:rFonts w:ascii="黑体" w:hAnsi="黑体" w:eastAsia="黑体"/>
                <w:color w:val="auto"/>
                <w:szCs w:val="21"/>
                <w:lang w:val="zh-CN"/>
              </w:rPr>
            </w:pPr>
            <w:r>
              <w:rPr>
                <w:rFonts w:ascii="黑体" w:hAnsi="黑体" w:eastAsia="黑体"/>
                <w:color w:val="auto"/>
                <w:szCs w:val="21"/>
                <w:lang w:val="zh-CN"/>
              </w:rPr>
              <w:t>25</w:t>
            </w:r>
            <w:r>
              <w:rPr>
                <w:rFonts w:hint="eastAsia" w:ascii="黑体" w:hAnsi="黑体" w:eastAsia="黑体"/>
                <w:color w:val="auto"/>
                <w:szCs w:val="21"/>
                <w:lang w:val="zh-CN"/>
              </w:rPr>
              <w:t>.5</w:t>
            </w:r>
          </w:p>
        </w:tc>
        <w:tc>
          <w:tcPr>
            <w:tcW w:w="4353" w:type="pct"/>
            <w:tcBorders>
              <w:top w:val="single" w:color="auto" w:sz="4" w:space="0"/>
              <w:left w:val="single" w:color="auto" w:sz="4" w:space="0"/>
              <w:bottom w:val="single" w:color="auto" w:sz="4" w:space="0"/>
              <w:right w:val="single" w:color="auto" w:sz="4" w:space="0"/>
            </w:tcBorders>
            <w:vAlign w:val="center"/>
          </w:tcPr>
          <w:p w14:paraId="1FE3C8EC">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评标方法：采用综合评分法，详见第五部分。</w:t>
            </w:r>
          </w:p>
        </w:tc>
      </w:tr>
      <w:tr w14:paraId="2E71AD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237FFBBF">
            <w:pPr>
              <w:spacing w:line="380" w:lineRule="exact"/>
              <w:jc w:val="left"/>
              <w:rPr>
                <w:rFonts w:ascii="黑体" w:hAnsi="黑体" w:eastAsia="黑体"/>
                <w:color w:val="auto"/>
                <w:szCs w:val="21"/>
                <w:lang w:val="zh-CN"/>
              </w:rPr>
            </w:pPr>
            <w:r>
              <w:rPr>
                <w:rFonts w:hint="eastAsia" w:ascii="黑体" w:hAnsi="黑体" w:eastAsia="黑体"/>
                <w:color w:val="auto"/>
                <w:szCs w:val="21"/>
                <w:lang w:val="zh-CN"/>
              </w:rPr>
              <w:t>六</w:t>
            </w:r>
            <w:r>
              <w:rPr>
                <w:rFonts w:ascii="黑体" w:hAnsi="黑体" w:eastAsia="黑体"/>
                <w:color w:val="auto"/>
                <w:szCs w:val="21"/>
                <w:lang w:val="zh-CN"/>
              </w:rPr>
              <w:t xml:space="preserve"> </w:t>
            </w:r>
            <w:r>
              <w:rPr>
                <w:rFonts w:hint="eastAsia" w:ascii="黑体" w:hAnsi="黑体" w:eastAsia="黑体"/>
                <w:color w:val="auto"/>
                <w:szCs w:val="21"/>
                <w:lang w:val="zh-CN"/>
              </w:rPr>
              <w:t>授予合同</w:t>
            </w:r>
          </w:p>
        </w:tc>
      </w:tr>
      <w:tr w14:paraId="300B8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646" w:type="pct"/>
            <w:tcBorders>
              <w:top w:val="single" w:color="auto" w:sz="4" w:space="0"/>
              <w:left w:val="single" w:color="auto" w:sz="4" w:space="0"/>
              <w:bottom w:val="single" w:color="auto" w:sz="4" w:space="0"/>
              <w:right w:val="single" w:color="auto" w:sz="4" w:space="0"/>
            </w:tcBorders>
            <w:vAlign w:val="center"/>
          </w:tcPr>
          <w:p w14:paraId="422CAB89">
            <w:pPr>
              <w:spacing w:line="380" w:lineRule="exact"/>
              <w:ind w:right="-4"/>
              <w:jc w:val="left"/>
              <w:rPr>
                <w:rFonts w:ascii="黑体" w:hAnsi="黑体" w:eastAsia="黑体"/>
                <w:color w:val="auto"/>
                <w:szCs w:val="21"/>
                <w:lang w:val="zh-CN"/>
              </w:rPr>
            </w:pPr>
            <w:r>
              <w:rPr>
                <w:rFonts w:ascii="黑体" w:hAnsi="黑体" w:eastAsia="黑体"/>
                <w:color w:val="auto"/>
                <w:szCs w:val="21"/>
                <w:lang w:val="zh-CN"/>
              </w:rPr>
              <w:t>3</w:t>
            </w:r>
            <w:r>
              <w:rPr>
                <w:rFonts w:hint="eastAsia" w:ascii="黑体" w:hAnsi="黑体" w:eastAsia="黑体"/>
                <w:color w:val="auto"/>
                <w:szCs w:val="21"/>
                <w:lang w:val="zh-CN"/>
              </w:rPr>
              <w:t>2.1</w:t>
            </w:r>
          </w:p>
        </w:tc>
        <w:tc>
          <w:tcPr>
            <w:tcW w:w="4353" w:type="pct"/>
            <w:tcBorders>
              <w:top w:val="single" w:color="auto" w:sz="4" w:space="0"/>
              <w:left w:val="single" w:color="auto" w:sz="4" w:space="0"/>
              <w:bottom w:val="single" w:color="auto" w:sz="4" w:space="0"/>
              <w:right w:val="single" w:color="auto" w:sz="4" w:space="0"/>
            </w:tcBorders>
            <w:vAlign w:val="center"/>
          </w:tcPr>
          <w:p w14:paraId="58E208F5">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合同签订时间：自《中标通知书》发出之日起30日内。</w:t>
            </w:r>
          </w:p>
        </w:tc>
      </w:tr>
      <w:tr w14:paraId="0A1F81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646" w:type="pct"/>
            <w:tcBorders>
              <w:top w:val="single" w:color="auto" w:sz="4" w:space="0"/>
              <w:left w:val="single" w:color="auto" w:sz="4" w:space="0"/>
              <w:right w:val="single" w:color="auto" w:sz="4" w:space="0"/>
            </w:tcBorders>
            <w:vAlign w:val="center"/>
          </w:tcPr>
          <w:p w14:paraId="424B0981">
            <w:pPr>
              <w:spacing w:line="380" w:lineRule="exact"/>
              <w:ind w:right="-4"/>
              <w:jc w:val="left"/>
              <w:rPr>
                <w:rFonts w:ascii="黑体" w:hAnsi="黑体" w:eastAsia="黑体"/>
                <w:color w:val="auto"/>
                <w:szCs w:val="21"/>
                <w:lang w:val="zh-CN"/>
              </w:rPr>
            </w:pPr>
            <w:r>
              <w:rPr>
                <w:rFonts w:ascii="黑体" w:hAnsi="黑体" w:eastAsia="黑体"/>
                <w:color w:val="auto"/>
                <w:szCs w:val="21"/>
                <w:lang w:val="zh-CN"/>
              </w:rPr>
              <w:t>3</w:t>
            </w:r>
            <w:r>
              <w:rPr>
                <w:rFonts w:hint="eastAsia" w:ascii="黑体" w:hAnsi="黑体" w:eastAsia="黑体"/>
                <w:color w:val="auto"/>
                <w:szCs w:val="21"/>
                <w:lang w:val="zh-CN"/>
              </w:rPr>
              <w:t>5.1</w:t>
            </w:r>
          </w:p>
        </w:tc>
        <w:tc>
          <w:tcPr>
            <w:tcW w:w="4353" w:type="pct"/>
            <w:tcBorders>
              <w:top w:val="single" w:color="auto" w:sz="4" w:space="0"/>
              <w:left w:val="single" w:color="auto" w:sz="4" w:space="0"/>
              <w:bottom w:val="single" w:color="auto" w:sz="4" w:space="0"/>
              <w:right w:val="single" w:color="auto" w:sz="4" w:space="0"/>
            </w:tcBorders>
            <w:vAlign w:val="center"/>
          </w:tcPr>
          <w:p w14:paraId="57F296BE">
            <w:pPr>
              <w:spacing w:line="380" w:lineRule="exact"/>
              <w:ind w:right="-4"/>
              <w:rPr>
                <w:rFonts w:ascii="黑体" w:hAnsi="黑体" w:eastAsia="黑体"/>
                <w:color w:val="auto"/>
                <w:szCs w:val="21"/>
                <w:lang w:val="zh-CN"/>
              </w:rPr>
            </w:pPr>
            <w:r>
              <w:rPr>
                <w:rFonts w:hint="eastAsia" w:ascii="黑体" w:hAnsi="黑体" w:eastAsia="黑体"/>
                <w:color w:val="auto"/>
                <w:szCs w:val="21"/>
                <w:lang w:val="zh-CN"/>
              </w:rPr>
              <w:t>履约担保：</w:t>
            </w:r>
            <w:r>
              <w:rPr>
                <w:rFonts w:hint="eastAsia" w:ascii="黑体" w:hAnsi="黑体" w:eastAsia="黑体"/>
                <w:color w:val="auto"/>
                <w:szCs w:val="21"/>
              </w:rPr>
              <w:t>本项目不收取履约担保</w:t>
            </w:r>
            <w:r>
              <w:rPr>
                <w:rFonts w:hint="eastAsia" w:ascii="黑体" w:hAnsi="黑体" w:eastAsia="黑体"/>
                <w:color w:val="auto"/>
                <w:szCs w:val="21"/>
                <w:lang w:val="zh-CN"/>
              </w:rPr>
              <w:t>。</w:t>
            </w:r>
          </w:p>
        </w:tc>
      </w:tr>
    </w:tbl>
    <w:p w14:paraId="783DDEFB">
      <w:pPr>
        <w:pStyle w:val="3"/>
        <w:keepNext w:val="0"/>
        <w:keepLines w:val="0"/>
        <w:pageBreakBefore/>
        <w:spacing w:before="300" w:after="240" w:line="360" w:lineRule="auto"/>
        <w:jc w:val="center"/>
        <w:rPr>
          <w:rFonts w:ascii="黑体" w:hAnsi="黑体" w:eastAsia="黑体"/>
          <w:color w:val="auto"/>
          <w:spacing w:val="20"/>
          <w:sz w:val="32"/>
          <w:szCs w:val="32"/>
        </w:rPr>
      </w:pPr>
      <w:bookmarkStart w:id="26" w:name="_Toc405313954"/>
      <w:bookmarkStart w:id="27" w:name="_Toc119514288"/>
      <w:bookmarkStart w:id="28" w:name="_Toc391627750"/>
      <w:r>
        <w:rPr>
          <w:rFonts w:hint="eastAsia" w:ascii="黑体" w:hAnsi="黑体" w:eastAsia="黑体"/>
          <w:color w:val="auto"/>
          <w:spacing w:val="20"/>
          <w:sz w:val="32"/>
          <w:szCs w:val="32"/>
        </w:rPr>
        <w:t>第四部分 投标人须知</w:t>
      </w:r>
      <w:bookmarkEnd w:id="26"/>
      <w:bookmarkEnd w:id="27"/>
      <w:bookmarkEnd w:id="28"/>
    </w:p>
    <w:p w14:paraId="4F76D3D7">
      <w:pPr>
        <w:pStyle w:val="30"/>
        <w:numPr>
          <w:ilvl w:val="0"/>
          <w:numId w:val="20"/>
        </w:numPr>
        <w:spacing w:before="312" w:beforeLines="100" w:line="360" w:lineRule="auto"/>
        <w:ind w:firstLineChars="0"/>
        <w:rPr>
          <w:rFonts w:ascii="黑体" w:hAnsi="黑体" w:eastAsia="黑体"/>
          <w:b/>
          <w:bCs/>
          <w:color w:val="auto"/>
          <w:sz w:val="24"/>
          <w:szCs w:val="24"/>
        </w:rPr>
      </w:pPr>
      <w:r>
        <w:rPr>
          <w:rFonts w:hint="eastAsia" w:ascii="黑体" w:hAnsi="黑体" w:eastAsia="黑体"/>
          <w:b/>
          <w:bCs/>
          <w:color w:val="auto"/>
          <w:sz w:val="24"/>
          <w:szCs w:val="24"/>
        </w:rPr>
        <w:t>说明</w:t>
      </w:r>
    </w:p>
    <w:p w14:paraId="7877DB44">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总则</w:t>
      </w:r>
    </w:p>
    <w:p w14:paraId="15C697A4">
      <w:pPr>
        <w:spacing w:line="360" w:lineRule="auto"/>
        <w:ind w:firstLine="420" w:firstLineChars="200"/>
        <w:rPr>
          <w:rFonts w:ascii="黑体" w:hAnsi="黑体" w:eastAsia="黑体"/>
          <w:bCs/>
          <w:color w:val="auto"/>
        </w:rPr>
      </w:pPr>
      <w:r>
        <w:rPr>
          <w:rFonts w:hint="eastAsia" w:ascii="黑体" w:hAnsi="黑体" w:eastAsia="黑体"/>
          <w:bCs/>
          <w:color w:val="auto"/>
        </w:rPr>
        <w:t>采购人、采购代理机构及投标人进行的本次采购活动参考《</w:t>
      </w:r>
      <w:bookmarkStart w:id="29" w:name="_Hlk75725950"/>
      <w:r>
        <w:rPr>
          <w:rFonts w:hint="eastAsia" w:ascii="黑体" w:hAnsi="黑体" w:eastAsia="黑体"/>
          <w:bCs/>
          <w:color w:val="auto"/>
        </w:rPr>
        <w:t>中华人民共和国</w:t>
      </w:r>
      <w:bookmarkEnd w:id="29"/>
      <w:r>
        <w:rPr>
          <w:rFonts w:hint="eastAsia" w:ascii="黑体" w:hAnsi="黑体" w:eastAsia="黑体"/>
          <w:bCs/>
          <w:color w:val="auto"/>
        </w:rPr>
        <w:t xml:space="preserve">政府采购法》及其配套的法规、规章、政策。投标人应仔细阅读本项目招标公告及招标文件的所有内容（包括变更、补充、澄清以及修改等，且均为招标文件的组成部分），按照招标文件要求以及格式编制投标文件，并保证其真实性，否则一切后果自负。 </w:t>
      </w:r>
    </w:p>
    <w:p w14:paraId="2516D0DE">
      <w:pPr>
        <w:spacing w:line="360" w:lineRule="auto"/>
        <w:ind w:firstLine="420" w:firstLineChars="200"/>
        <w:rPr>
          <w:rFonts w:ascii="黑体" w:hAnsi="黑体" w:eastAsia="黑体"/>
          <w:bCs/>
          <w:color w:val="auto"/>
        </w:rPr>
      </w:pPr>
      <w:r>
        <w:rPr>
          <w:rFonts w:hint="eastAsia" w:ascii="黑体" w:hAnsi="黑体" w:eastAsia="黑体"/>
          <w:bCs/>
          <w:color w:val="auto"/>
        </w:rPr>
        <w:t>本次公开招标项目，是以招标公告的方式邀请非特定的投标人参加投标。</w:t>
      </w:r>
    </w:p>
    <w:p w14:paraId="0A30FE23">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适用范围</w:t>
      </w:r>
    </w:p>
    <w:p w14:paraId="6CD1F86B">
      <w:pPr>
        <w:pStyle w:val="30"/>
        <w:numPr>
          <w:ilvl w:val="0"/>
          <w:numId w:val="22"/>
        </w:numPr>
        <w:spacing w:line="360" w:lineRule="auto"/>
        <w:ind w:firstLineChars="0"/>
        <w:rPr>
          <w:rFonts w:ascii="黑体" w:hAnsi="黑体" w:eastAsia="黑体"/>
          <w:color w:val="auto"/>
        </w:rPr>
      </w:pPr>
      <w:r>
        <w:rPr>
          <w:rFonts w:hint="eastAsia" w:ascii="黑体" w:hAnsi="黑体" w:eastAsia="黑体"/>
          <w:color w:val="auto"/>
        </w:rPr>
        <w:t>本招标文件仅适用于本次招标公告中所涉及的项目和内容。</w:t>
      </w:r>
    </w:p>
    <w:p w14:paraId="10D02919">
      <w:pPr>
        <w:pStyle w:val="30"/>
        <w:numPr>
          <w:ilvl w:val="0"/>
          <w:numId w:val="22"/>
        </w:numPr>
        <w:spacing w:line="360" w:lineRule="auto"/>
        <w:ind w:firstLineChars="0"/>
        <w:rPr>
          <w:rFonts w:ascii="黑体" w:hAnsi="黑体" w:eastAsia="黑体"/>
          <w:b/>
          <w:color w:val="auto"/>
          <w:u w:val="single"/>
        </w:rPr>
      </w:pPr>
      <w:r>
        <w:rPr>
          <w:rFonts w:hint="eastAsia" w:ascii="黑体" w:hAnsi="黑体" w:eastAsia="黑体"/>
          <w:color w:val="auto"/>
        </w:rPr>
        <w:t>资金来源：</w:t>
      </w:r>
      <w:r>
        <w:rPr>
          <w:rFonts w:hint="eastAsia" w:ascii="黑体" w:hAnsi="黑体" w:eastAsia="黑体"/>
          <w:b/>
          <w:color w:val="auto"/>
          <w:u w:val="single"/>
        </w:rPr>
        <w:t>（详见投标人须知前附表）</w:t>
      </w:r>
      <w:r>
        <w:rPr>
          <w:rFonts w:hint="eastAsia" w:ascii="黑体" w:hAnsi="黑体" w:eastAsia="黑体"/>
          <w:color w:val="auto"/>
        </w:rPr>
        <w:t>。</w:t>
      </w:r>
    </w:p>
    <w:p w14:paraId="720036F1">
      <w:pPr>
        <w:pStyle w:val="30"/>
        <w:numPr>
          <w:ilvl w:val="0"/>
          <w:numId w:val="22"/>
        </w:numPr>
        <w:ind w:firstLineChars="0"/>
        <w:rPr>
          <w:rFonts w:ascii="黑体" w:hAnsi="黑体" w:eastAsia="黑体"/>
          <w:b/>
          <w:color w:val="auto"/>
        </w:rPr>
      </w:pPr>
      <w:r>
        <w:rPr>
          <w:rFonts w:hint="eastAsia" w:ascii="黑体" w:hAnsi="黑体" w:eastAsia="黑体"/>
          <w:b/>
          <w:color w:val="auto"/>
        </w:rPr>
        <w:t>项目属性：《详见投标人须知前附表》。</w:t>
      </w:r>
    </w:p>
    <w:p w14:paraId="33832A02">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定义</w:t>
      </w:r>
    </w:p>
    <w:p w14:paraId="1B60D0BC">
      <w:pPr>
        <w:pStyle w:val="30"/>
        <w:numPr>
          <w:ilvl w:val="0"/>
          <w:numId w:val="23"/>
        </w:numPr>
        <w:tabs>
          <w:tab w:val="left" w:pos="426"/>
        </w:tabs>
        <w:spacing w:line="360" w:lineRule="auto"/>
        <w:ind w:left="426" w:hanging="426" w:firstLineChars="0"/>
        <w:rPr>
          <w:rFonts w:ascii="黑体" w:hAnsi="黑体" w:eastAsia="黑体"/>
          <w:color w:val="auto"/>
        </w:rPr>
      </w:pPr>
      <w:r>
        <w:rPr>
          <w:rFonts w:ascii="黑体" w:hAnsi="黑体" w:eastAsia="黑体"/>
          <w:color w:val="auto"/>
        </w:rPr>
        <w:t>采购人</w:t>
      </w:r>
      <w:r>
        <w:rPr>
          <w:rFonts w:hint="eastAsia" w:ascii="黑体" w:hAnsi="黑体" w:eastAsia="黑体"/>
          <w:color w:val="auto"/>
        </w:rPr>
        <w:t>：是采购活动当事人之一，负责项目的整体规划、技术方案可行性设计论证与实施，作为合同采购方（用户）的主体承担质疑回复、履行合同、验收与评价等义务。</w:t>
      </w:r>
      <w:r>
        <w:rPr>
          <w:rFonts w:ascii="黑体" w:hAnsi="黑体" w:eastAsia="黑体"/>
          <w:color w:val="auto"/>
        </w:rPr>
        <w:t xml:space="preserve"> </w:t>
      </w:r>
    </w:p>
    <w:p w14:paraId="135D1F9A">
      <w:pPr>
        <w:pStyle w:val="30"/>
        <w:numPr>
          <w:ilvl w:val="0"/>
          <w:numId w:val="23"/>
        </w:numPr>
        <w:tabs>
          <w:tab w:val="left" w:pos="426"/>
        </w:tabs>
        <w:spacing w:line="360" w:lineRule="auto"/>
        <w:ind w:left="426" w:hanging="426" w:firstLineChars="0"/>
        <w:rPr>
          <w:rFonts w:ascii="黑体" w:hAnsi="黑体" w:eastAsia="黑体"/>
          <w:color w:val="auto"/>
        </w:rPr>
      </w:pPr>
      <w:r>
        <w:rPr>
          <w:rFonts w:hint="eastAsia" w:ascii="黑体" w:hAnsi="黑体" w:eastAsia="黑体"/>
          <w:color w:val="auto"/>
        </w:rPr>
        <w:t>采购代理机构：负责整个采购活动的组织，依法负责编制和发布招标文件，对招标文件拥有最终的解释权，不以任何身份出任评标委员会成员。</w:t>
      </w:r>
    </w:p>
    <w:p w14:paraId="0E3EF5E2">
      <w:pPr>
        <w:pStyle w:val="30"/>
        <w:numPr>
          <w:ilvl w:val="0"/>
          <w:numId w:val="23"/>
        </w:numPr>
        <w:tabs>
          <w:tab w:val="left" w:pos="426"/>
        </w:tabs>
        <w:spacing w:line="360" w:lineRule="auto"/>
        <w:ind w:hanging="941" w:firstLineChars="0"/>
        <w:rPr>
          <w:rFonts w:ascii="黑体" w:hAnsi="黑体" w:eastAsia="黑体"/>
          <w:color w:val="auto"/>
        </w:rPr>
      </w:pPr>
      <w:r>
        <w:rPr>
          <w:rFonts w:hint="eastAsia" w:ascii="黑体" w:hAnsi="黑体" w:eastAsia="黑体"/>
          <w:color w:val="auto"/>
        </w:rPr>
        <w:t>投标人：是响应招标参加投标竞争的法人或其他组织或自然人。</w:t>
      </w:r>
    </w:p>
    <w:p w14:paraId="7B152BB0">
      <w:pPr>
        <w:pStyle w:val="30"/>
        <w:numPr>
          <w:ilvl w:val="0"/>
          <w:numId w:val="23"/>
        </w:numPr>
        <w:tabs>
          <w:tab w:val="left" w:pos="426"/>
        </w:tabs>
        <w:spacing w:line="360" w:lineRule="auto"/>
        <w:ind w:left="426" w:hanging="426" w:firstLineChars="0"/>
        <w:rPr>
          <w:rFonts w:ascii="黑体" w:hAnsi="黑体" w:eastAsia="黑体"/>
          <w:color w:val="auto"/>
        </w:rPr>
      </w:pPr>
      <w:r>
        <w:rPr>
          <w:rFonts w:hint="eastAsia" w:ascii="黑体" w:hAnsi="黑体" w:eastAsia="黑体"/>
          <w:color w:val="auto"/>
        </w:rPr>
        <w:t xml:space="preserve">评标委员会：是指根据《中华人民共和国政府采购法》等法律法规规定，由采购人代表和有关专家组成以确定中标供应商或者推荐中标候选人的临时组织。 </w:t>
      </w:r>
    </w:p>
    <w:p w14:paraId="5A91FF02">
      <w:pPr>
        <w:pStyle w:val="30"/>
        <w:numPr>
          <w:ilvl w:val="0"/>
          <w:numId w:val="23"/>
        </w:numPr>
        <w:tabs>
          <w:tab w:val="left" w:pos="426"/>
        </w:tabs>
        <w:spacing w:line="360" w:lineRule="auto"/>
        <w:ind w:left="426" w:hanging="426" w:firstLineChars="0"/>
        <w:rPr>
          <w:rFonts w:ascii="黑体" w:hAnsi="黑体" w:eastAsia="黑体"/>
          <w:color w:val="auto"/>
        </w:rPr>
      </w:pPr>
      <w:r>
        <w:rPr>
          <w:rFonts w:hint="eastAsia" w:ascii="黑体" w:hAnsi="黑体" w:eastAsia="黑体"/>
          <w:color w:val="auto"/>
        </w:rPr>
        <w:t>中标人：是指经评标委员会评审确定的对招标文件做出实质性响应，经采购人按照规定在评标委员会推荐的中标候选人中确定的或评标委员会受采购人委托直接确认的投标人。</w:t>
      </w:r>
    </w:p>
    <w:p w14:paraId="5EFD08CD">
      <w:pPr>
        <w:pStyle w:val="30"/>
        <w:numPr>
          <w:ilvl w:val="0"/>
          <w:numId w:val="23"/>
        </w:numPr>
        <w:tabs>
          <w:tab w:val="left" w:pos="426"/>
        </w:tabs>
        <w:spacing w:line="360" w:lineRule="auto"/>
        <w:ind w:hanging="941" w:firstLineChars="0"/>
        <w:rPr>
          <w:rFonts w:ascii="黑体" w:hAnsi="黑体" w:eastAsia="黑体"/>
          <w:color w:val="auto"/>
        </w:rPr>
      </w:pPr>
      <w:r>
        <w:rPr>
          <w:rFonts w:ascii="黑体" w:hAnsi="黑体" w:eastAsia="黑体"/>
          <w:color w:val="auto"/>
        </w:rPr>
        <w:t>合格的投标人</w:t>
      </w:r>
      <w:r>
        <w:rPr>
          <w:rFonts w:hint="eastAsia" w:ascii="黑体" w:hAnsi="黑体" w:eastAsia="黑体"/>
          <w:color w:val="auto"/>
        </w:rPr>
        <w:t>是指：详见《第一部分投标邀请》申请人的资格要求</w:t>
      </w:r>
    </w:p>
    <w:p w14:paraId="309757EC">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合格的货物和服务</w:t>
      </w:r>
    </w:p>
    <w:p w14:paraId="378DC795">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货物是指投标人制造或组织符合招标文件要求的货物等。投标的货物必须是其合法生产、合法来源的符合国家有关标准要求的货物，并满足招标文件规定的规格、参数、质量、价格、有效期、售后服务等要求。</w:t>
      </w:r>
    </w:p>
    <w:p w14:paraId="69D5282F">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服务是指除货物和工程以外的其他政府采购对象，且满足实质性采购需求。</w:t>
      </w:r>
    </w:p>
    <w:p w14:paraId="143B60A1">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政府采购应当采购本国产品，确需采购进口产品（是指通过中国海关报关验放进入中国境内且产自关境外的产品）的，</w:t>
      </w:r>
      <w:bookmarkStart w:id="30" w:name="_Toc211763038"/>
      <w:r>
        <w:rPr>
          <w:rFonts w:hint="eastAsia" w:ascii="黑体" w:hAnsi="黑体" w:eastAsia="黑体"/>
          <w:bCs/>
          <w:color w:val="auto"/>
          <w:szCs w:val="21"/>
        </w:rPr>
        <w:t>应当获得财政部门核准。依据《政府采购进口产品管理办法</w:t>
      </w:r>
      <w:bookmarkEnd w:id="30"/>
      <w:r>
        <w:rPr>
          <w:rFonts w:hint="eastAsia" w:ascii="黑体" w:hAnsi="黑体" w:eastAsia="黑体"/>
          <w:bCs/>
          <w:color w:val="auto"/>
          <w:szCs w:val="21"/>
        </w:rPr>
        <w:t>》优先采购向我国企业转让技术、与我国企业签订消化吸收再创新方案的供应商的进口产品。</w:t>
      </w:r>
    </w:p>
    <w:p w14:paraId="05DD4A95">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如本项目采购产品属于实施政府强制采购品目清单范围的节能产品，则投标人所报产品必须获得国家确定的认证机构出具的、处于有效期之内的节能产品认证证书，否则投标无效。</w:t>
      </w:r>
    </w:p>
    <w:p w14:paraId="7989BD40">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投标人提供的所有服务，其质量、技术等特征必须符合国家、行业现行法律、法规的相关标准和《中华人民共和国政府采购法》的有关规定及采购需求。</w:t>
      </w:r>
    </w:p>
    <w:p w14:paraId="2F836A34">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pacing w:val="-6"/>
          <w:szCs w:val="21"/>
        </w:rPr>
        <w:t>采购人有权拒绝接受任何不合格的服务，由此产生的费用及相关后果均由投标人自行承担；</w:t>
      </w:r>
    </w:p>
    <w:p w14:paraId="763DC9E0">
      <w:pPr>
        <w:pStyle w:val="30"/>
        <w:numPr>
          <w:ilvl w:val="0"/>
          <w:numId w:val="24"/>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人应保证本项目的投标技术、服务或其任何一部分不会产生因第三方提出侵犯其专利权、商标权或其他知识产权而引起的法律和经济纠纷；如果投标人不拥有相应的知识产权，则须在报价中包括合法获取该知识产权的相关费用，并在投标文件中附有相关证明文件。如因第三方提出其专利权、商标权或其他知识产权的侵权之诉，则一切法律责任由投标人承担。</w:t>
      </w:r>
    </w:p>
    <w:p w14:paraId="43E7C172">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投标费用</w:t>
      </w:r>
    </w:p>
    <w:p w14:paraId="632D2859">
      <w:pPr>
        <w:pStyle w:val="30"/>
        <w:numPr>
          <w:ilvl w:val="0"/>
          <w:numId w:val="25"/>
        </w:numPr>
        <w:spacing w:line="360" w:lineRule="auto"/>
        <w:ind w:firstLineChars="0"/>
        <w:rPr>
          <w:rFonts w:ascii="黑体" w:hAnsi="黑体" w:eastAsia="黑体"/>
          <w:bCs/>
          <w:color w:val="auto"/>
          <w:szCs w:val="21"/>
        </w:rPr>
      </w:pPr>
      <w:r>
        <w:rPr>
          <w:rFonts w:ascii="黑体" w:hAnsi="黑体" w:eastAsia="黑体"/>
          <w:bCs/>
          <w:color w:val="auto"/>
          <w:szCs w:val="21"/>
        </w:rPr>
        <w:t>投标人应承担所有与准备和参加投标有关的费用。不论投标的结果如何，采购代理机构和采购人均无义务和责任承担</w:t>
      </w:r>
      <w:r>
        <w:rPr>
          <w:rFonts w:hint="eastAsia" w:ascii="黑体" w:hAnsi="黑体" w:eastAsia="黑体"/>
          <w:bCs/>
          <w:color w:val="auto"/>
          <w:szCs w:val="21"/>
        </w:rPr>
        <w:t>相关</w:t>
      </w:r>
      <w:r>
        <w:rPr>
          <w:rFonts w:ascii="黑体" w:hAnsi="黑体" w:eastAsia="黑体"/>
          <w:bCs/>
          <w:color w:val="auto"/>
          <w:szCs w:val="21"/>
        </w:rPr>
        <w:t>费用</w:t>
      </w:r>
      <w:r>
        <w:rPr>
          <w:rFonts w:hint="eastAsia" w:ascii="黑体" w:hAnsi="黑体" w:eastAsia="黑体"/>
          <w:bCs/>
          <w:color w:val="auto"/>
          <w:szCs w:val="21"/>
        </w:rPr>
        <w:t>。</w:t>
      </w:r>
    </w:p>
    <w:p w14:paraId="3FCCA23F">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投标保证金（本项目不收取投标保证金）</w:t>
      </w:r>
    </w:p>
    <w:p w14:paraId="370CE30C">
      <w:pPr>
        <w:pStyle w:val="30"/>
        <w:numPr>
          <w:ilvl w:val="0"/>
          <w:numId w:val="20"/>
        </w:numPr>
        <w:spacing w:before="312" w:beforeLines="100" w:line="360" w:lineRule="auto"/>
        <w:ind w:firstLineChars="0"/>
        <w:rPr>
          <w:rFonts w:ascii="黑体" w:hAnsi="黑体" w:eastAsia="黑体"/>
          <w:b/>
          <w:bCs/>
          <w:color w:val="auto"/>
          <w:sz w:val="24"/>
          <w:szCs w:val="24"/>
        </w:rPr>
      </w:pPr>
      <w:r>
        <w:rPr>
          <w:rFonts w:hint="eastAsia" w:ascii="黑体" w:hAnsi="黑体" w:eastAsia="黑体"/>
          <w:b/>
          <w:bCs/>
          <w:color w:val="auto"/>
          <w:sz w:val="24"/>
          <w:szCs w:val="24"/>
        </w:rPr>
        <w:t>招标文件</w:t>
      </w:r>
      <w:bookmarkStart w:id="31" w:name="_Toc357676115"/>
    </w:p>
    <w:p w14:paraId="062E6D19">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招标文件的编制依据与构成</w:t>
      </w:r>
      <w:bookmarkEnd w:id="31"/>
    </w:p>
    <w:p w14:paraId="1C16776A">
      <w:pPr>
        <w:pStyle w:val="30"/>
        <w:numPr>
          <w:ilvl w:val="0"/>
          <w:numId w:val="26"/>
        </w:numPr>
        <w:spacing w:line="360" w:lineRule="auto"/>
        <w:ind w:firstLineChars="0"/>
        <w:rPr>
          <w:rFonts w:ascii="黑体" w:hAnsi="黑体" w:eastAsia="黑体"/>
          <w:bCs/>
          <w:color w:val="auto"/>
          <w:szCs w:val="21"/>
        </w:rPr>
      </w:pPr>
      <w:r>
        <w:rPr>
          <w:rFonts w:hint="eastAsia" w:ascii="黑体" w:hAnsi="黑体" w:eastAsia="黑体"/>
          <w:bCs/>
          <w:color w:val="auto"/>
          <w:szCs w:val="21"/>
        </w:rPr>
        <w:t>本招标文件的编制参考</w:t>
      </w:r>
      <w:r>
        <w:rPr>
          <w:rFonts w:hint="eastAsia" w:ascii="黑体" w:hAnsi="黑体" w:eastAsia="黑体"/>
          <w:color w:val="auto"/>
          <w:szCs w:val="21"/>
        </w:rPr>
        <w:t>《中华人民共和国政府采购法》、《中华人民共和国政府采购法实施条例》、财政部《政府采购货物和服务招标投标管理办法》</w:t>
      </w:r>
      <w:r>
        <w:rPr>
          <w:rFonts w:hint="eastAsia" w:ascii="黑体" w:hAnsi="黑体" w:eastAsia="黑体"/>
          <w:bCs/>
          <w:color w:val="auto"/>
          <w:szCs w:val="21"/>
        </w:rPr>
        <w:t>等法律法规。</w:t>
      </w:r>
    </w:p>
    <w:p w14:paraId="4D0BF29D">
      <w:pPr>
        <w:pStyle w:val="30"/>
        <w:numPr>
          <w:ilvl w:val="0"/>
          <w:numId w:val="26"/>
        </w:numPr>
        <w:spacing w:line="360" w:lineRule="auto"/>
        <w:ind w:firstLineChars="0"/>
        <w:rPr>
          <w:rFonts w:ascii="黑体" w:hAnsi="黑体" w:eastAsia="黑体"/>
          <w:bCs/>
          <w:color w:val="auto"/>
          <w:szCs w:val="21"/>
        </w:rPr>
      </w:pPr>
      <w:r>
        <w:rPr>
          <w:rFonts w:hint="eastAsia" w:ascii="黑体" w:hAnsi="黑体" w:eastAsia="黑体"/>
          <w:bCs/>
          <w:color w:val="auto"/>
          <w:szCs w:val="21"/>
        </w:rPr>
        <w:t>要求提供的服务、采购过程和合同条件在招标文件中均有说明。招标文件以中文文字编写。招标文件由下列文件以及在招标过程中发出的澄清、修改和补充文件组成，组成内容如下：</w:t>
      </w:r>
    </w:p>
    <w:p w14:paraId="5EA6EC00">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第一部分</w:t>
      </w:r>
      <w:r>
        <w:rPr>
          <w:rFonts w:ascii="黑体" w:hAnsi="黑体" w:eastAsia="黑体"/>
          <w:bCs/>
          <w:color w:val="auto"/>
          <w:szCs w:val="21"/>
        </w:rPr>
        <w:t xml:space="preserve"> </w:t>
      </w:r>
      <w:r>
        <w:rPr>
          <w:rFonts w:hint="eastAsia" w:ascii="黑体" w:hAnsi="黑体" w:eastAsia="黑体"/>
          <w:bCs/>
          <w:color w:val="auto"/>
          <w:szCs w:val="21"/>
        </w:rPr>
        <w:t>投标邀请</w:t>
      </w:r>
    </w:p>
    <w:p w14:paraId="6A893FAE">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第二部分</w:t>
      </w:r>
      <w:r>
        <w:rPr>
          <w:rFonts w:ascii="黑体" w:hAnsi="黑体" w:eastAsia="黑体"/>
          <w:bCs/>
          <w:color w:val="auto"/>
          <w:szCs w:val="21"/>
        </w:rPr>
        <w:t xml:space="preserve"> </w:t>
      </w:r>
      <w:r>
        <w:rPr>
          <w:rFonts w:hint="eastAsia" w:ascii="黑体" w:hAnsi="黑体" w:eastAsia="黑体"/>
          <w:bCs/>
          <w:color w:val="auto"/>
          <w:szCs w:val="21"/>
        </w:rPr>
        <w:t>采购需求</w:t>
      </w:r>
    </w:p>
    <w:p w14:paraId="3ED1D954">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第三部分</w:t>
      </w:r>
      <w:r>
        <w:rPr>
          <w:rFonts w:ascii="黑体" w:hAnsi="黑体" w:eastAsia="黑体"/>
          <w:bCs/>
          <w:color w:val="auto"/>
          <w:szCs w:val="21"/>
        </w:rPr>
        <w:t xml:space="preserve"> </w:t>
      </w:r>
      <w:r>
        <w:rPr>
          <w:rFonts w:hint="eastAsia" w:ascii="黑体" w:hAnsi="黑体" w:eastAsia="黑体"/>
          <w:bCs/>
          <w:color w:val="auto"/>
          <w:szCs w:val="21"/>
        </w:rPr>
        <w:t>投标人须知前附表</w:t>
      </w:r>
    </w:p>
    <w:p w14:paraId="4ABD3C3C">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第四部分 投标人须知</w:t>
      </w:r>
    </w:p>
    <w:p w14:paraId="18E1D0FA">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第五部分</w:t>
      </w:r>
      <w:r>
        <w:rPr>
          <w:rFonts w:ascii="黑体" w:hAnsi="黑体" w:eastAsia="黑体"/>
          <w:bCs/>
          <w:color w:val="auto"/>
          <w:szCs w:val="21"/>
        </w:rPr>
        <w:t xml:space="preserve"> </w:t>
      </w:r>
      <w:r>
        <w:rPr>
          <w:rFonts w:hint="eastAsia" w:ascii="黑体" w:hAnsi="黑体" w:eastAsia="黑体"/>
          <w:bCs/>
          <w:color w:val="auto"/>
          <w:szCs w:val="21"/>
        </w:rPr>
        <w:t>评标方法、步骤、标准</w:t>
      </w:r>
    </w:p>
    <w:p w14:paraId="4F7A562B">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第六部分</w:t>
      </w:r>
      <w:r>
        <w:rPr>
          <w:rFonts w:ascii="黑体" w:hAnsi="黑体" w:eastAsia="黑体"/>
          <w:bCs/>
          <w:color w:val="auto"/>
          <w:szCs w:val="21"/>
        </w:rPr>
        <w:t xml:space="preserve"> </w:t>
      </w:r>
      <w:r>
        <w:rPr>
          <w:rFonts w:hint="eastAsia" w:ascii="黑体" w:hAnsi="黑体" w:eastAsia="黑体"/>
          <w:bCs/>
          <w:color w:val="auto"/>
          <w:szCs w:val="21"/>
        </w:rPr>
        <w:t>合同书格式</w:t>
      </w:r>
    </w:p>
    <w:p w14:paraId="24249B2E">
      <w:pPr>
        <w:spacing w:line="360" w:lineRule="auto"/>
        <w:ind w:firstLine="424" w:firstLineChars="202"/>
        <w:rPr>
          <w:rFonts w:ascii="黑体" w:hAnsi="黑体" w:eastAsia="黑体"/>
          <w:bCs/>
          <w:color w:val="auto"/>
          <w:szCs w:val="21"/>
        </w:rPr>
      </w:pPr>
      <w:r>
        <w:rPr>
          <w:rFonts w:hint="eastAsia" w:ascii="黑体" w:hAnsi="黑体" w:eastAsia="黑体"/>
          <w:bCs/>
          <w:color w:val="auto"/>
          <w:szCs w:val="21"/>
        </w:rPr>
        <w:t>第七部分</w:t>
      </w:r>
      <w:r>
        <w:rPr>
          <w:rFonts w:ascii="黑体" w:hAnsi="黑体" w:eastAsia="黑体"/>
          <w:bCs/>
          <w:color w:val="auto"/>
          <w:szCs w:val="21"/>
        </w:rPr>
        <w:t xml:space="preserve"> </w:t>
      </w:r>
      <w:r>
        <w:rPr>
          <w:rFonts w:hint="eastAsia" w:ascii="黑体" w:hAnsi="黑体" w:eastAsia="黑体"/>
          <w:bCs/>
          <w:color w:val="auto"/>
          <w:szCs w:val="21"/>
        </w:rPr>
        <w:t>投标文件格式</w:t>
      </w:r>
    </w:p>
    <w:p w14:paraId="0E06CA44">
      <w:pPr>
        <w:pStyle w:val="30"/>
        <w:numPr>
          <w:ilvl w:val="0"/>
          <w:numId w:val="26"/>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人应认真阅读、并充分理解招标文件的全部内容（包括所有的补充、修改内容重要事项、格式、条款和服务要求等）。投标人没有按照招标文件要求提交全部资料，或者投标文件没有对招标文件在各方面都作出实质性响应是投标人的风险，有可能导致其投标被拒绝，或被认定为无效投标或被确定为投标无效。</w:t>
      </w:r>
    </w:p>
    <w:p w14:paraId="52E75A41">
      <w:pPr>
        <w:pStyle w:val="30"/>
        <w:numPr>
          <w:ilvl w:val="0"/>
          <w:numId w:val="26"/>
        </w:numPr>
        <w:spacing w:line="360" w:lineRule="auto"/>
        <w:ind w:firstLineChars="0"/>
        <w:rPr>
          <w:rFonts w:ascii="黑体" w:hAnsi="黑体" w:eastAsia="黑体"/>
          <w:bCs/>
          <w:color w:val="auto"/>
          <w:szCs w:val="21"/>
        </w:rPr>
      </w:pPr>
      <w:r>
        <w:rPr>
          <w:rFonts w:hint="eastAsia" w:ascii="黑体" w:hAnsi="黑体" w:eastAsia="黑体"/>
          <w:bCs/>
          <w:color w:val="auto"/>
          <w:szCs w:val="21"/>
        </w:rPr>
        <w:t>本招标文件的解释权归“广东有德招标采购有限公司”所有。</w:t>
      </w:r>
    </w:p>
    <w:p w14:paraId="1CECEEDB">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招标文件的答疑、澄清或修改</w:t>
      </w:r>
    </w:p>
    <w:p w14:paraId="7CC59F53">
      <w:pPr>
        <w:pStyle w:val="30"/>
        <w:numPr>
          <w:ilvl w:val="0"/>
          <w:numId w:val="27"/>
        </w:numPr>
        <w:spacing w:line="360" w:lineRule="auto"/>
        <w:ind w:firstLineChars="0"/>
        <w:rPr>
          <w:rFonts w:ascii="黑体" w:hAnsi="黑体" w:eastAsia="黑体"/>
          <w:bCs/>
          <w:color w:val="auto"/>
          <w:szCs w:val="21"/>
        </w:rPr>
      </w:pPr>
      <w:r>
        <w:rPr>
          <w:rFonts w:hint="eastAsia" w:ascii="黑体" w:hAnsi="黑体" w:eastAsia="黑体"/>
          <w:bCs/>
          <w:color w:val="auto"/>
          <w:szCs w:val="21"/>
        </w:rPr>
        <w:t>除非</w:t>
      </w:r>
      <w:r>
        <w:rPr>
          <w:rFonts w:hint="eastAsia" w:ascii="黑体" w:hAnsi="黑体" w:eastAsia="黑体"/>
          <w:b/>
          <w:bCs/>
          <w:color w:val="auto"/>
          <w:szCs w:val="21"/>
          <w:u w:val="single"/>
        </w:rPr>
        <w:t>投标人须知前附表</w:t>
      </w:r>
      <w:r>
        <w:rPr>
          <w:rFonts w:ascii="黑体" w:hAnsi="黑体" w:eastAsia="黑体"/>
          <w:b/>
          <w:bCs/>
          <w:color w:val="auto"/>
          <w:szCs w:val="21"/>
          <w:u w:val="single"/>
        </w:rPr>
        <w:t xml:space="preserve"> </w:t>
      </w:r>
      <w:r>
        <w:rPr>
          <w:rFonts w:hint="eastAsia" w:ascii="黑体" w:hAnsi="黑体" w:eastAsia="黑体"/>
          <w:bCs/>
          <w:color w:val="auto"/>
          <w:szCs w:val="21"/>
        </w:rPr>
        <w:t>中另有规定，不举行项目集中答疑会或现场考察，如举行集中答疑会或现场考察的，则按以下规定：</w:t>
      </w:r>
    </w:p>
    <w:p w14:paraId="7B2D98B5">
      <w:pPr>
        <w:pStyle w:val="30"/>
        <w:numPr>
          <w:ilvl w:val="2"/>
          <w:numId w:val="21"/>
        </w:numPr>
        <w:spacing w:line="360" w:lineRule="auto"/>
        <w:ind w:firstLineChars="0"/>
        <w:rPr>
          <w:rFonts w:ascii="黑体" w:hAnsi="黑体" w:eastAsia="黑体"/>
          <w:bCs/>
          <w:color w:val="auto"/>
          <w:szCs w:val="21"/>
        </w:rPr>
      </w:pPr>
      <w:r>
        <w:rPr>
          <w:rFonts w:hint="eastAsia" w:ascii="黑体" w:hAnsi="黑体" w:eastAsia="黑体"/>
          <w:bCs/>
          <w:color w:val="auto"/>
          <w:szCs w:val="21"/>
        </w:rPr>
        <w:t>在</w:t>
      </w:r>
      <w:r>
        <w:rPr>
          <w:rFonts w:ascii="黑体" w:hAnsi="黑体" w:eastAsia="黑体"/>
          <w:bCs/>
          <w:color w:val="auto"/>
          <w:szCs w:val="21"/>
          <w:u w:val="single"/>
        </w:rPr>
        <w:t xml:space="preserve"> </w:t>
      </w:r>
      <w:r>
        <w:rPr>
          <w:rFonts w:hint="eastAsia" w:ascii="黑体" w:hAnsi="黑体" w:eastAsia="黑体"/>
          <w:b/>
          <w:bCs/>
          <w:color w:val="auto"/>
          <w:szCs w:val="21"/>
          <w:u w:val="single"/>
        </w:rPr>
        <w:t>投标人须知前附表</w:t>
      </w:r>
      <w:r>
        <w:rPr>
          <w:rFonts w:ascii="黑体" w:hAnsi="黑体" w:eastAsia="黑体"/>
          <w:b/>
          <w:bCs/>
          <w:color w:val="auto"/>
          <w:szCs w:val="21"/>
          <w:u w:val="single"/>
        </w:rPr>
        <w:t xml:space="preserve"> </w:t>
      </w:r>
      <w:r>
        <w:rPr>
          <w:rFonts w:hint="eastAsia" w:ascii="黑体" w:hAnsi="黑体" w:eastAsia="黑体"/>
          <w:bCs/>
          <w:color w:val="auto"/>
          <w:szCs w:val="21"/>
        </w:rPr>
        <w:t>中规定的日期、时间和地点组织公开答疑会或现场考察。</w:t>
      </w:r>
    </w:p>
    <w:p w14:paraId="77F86275">
      <w:pPr>
        <w:pStyle w:val="30"/>
        <w:numPr>
          <w:ilvl w:val="2"/>
          <w:numId w:val="21"/>
        </w:numPr>
        <w:spacing w:line="360" w:lineRule="auto"/>
        <w:ind w:firstLineChars="0"/>
        <w:rPr>
          <w:rFonts w:ascii="黑体" w:hAnsi="黑体" w:eastAsia="黑体"/>
          <w:bCs/>
          <w:color w:val="auto"/>
          <w:szCs w:val="21"/>
        </w:rPr>
      </w:pPr>
      <w:r>
        <w:rPr>
          <w:rFonts w:hint="eastAsia" w:ascii="黑体" w:hAnsi="黑体" w:eastAsia="黑体"/>
          <w:bCs/>
          <w:color w:val="auto"/>
          <w:szCs w:val="21"/>
        </w:rPr>
        <w:t>潜在投标人对本项目提出的疑问，需在答疑会或现场考察召开日前至少一个工作日将问题清单以书面形式（加盖公章）提交至采购代理机构，潜在投标人代表于上述的时间和地点出席答疑会或现场考察。</w:t>
      </w:r>
    </w:p>
    <w:p w14:paraId="7A409DB0">
      <w:pPr>
        <w:pStyle w:val="30"/>
        <w:numPr>
          <w:ilvl w:val="2"/>
          <w:numId w:val="21"/>
        </w:numPr>
        <w:spacing w:line="360" w:lineRule="auto"/>
        <w:ind w:firstLineChars="0"/>
        <w:rPr>
          <w:rFonts w:ascii="黑体" w:hAnsi="黑体" w:eastAsia="黑体"/>
          <w:bCs/>
          <w:color w:val="auto"/>
          <w:szCs w:val="21"/>
        </w:rPr>
      </w:pPr>
      <w:r>
        <w:rPr>
          <w:rFonts w:hint="eastAsia" w:ascii="黑体" w:hAnsi="黑体" w:eastAsia="黑体"/>
          <w:bCs/>
          <w:color w:val="auto"/>
          <w:szCs w:val="21"/>
        </w:rPr>
        <w:t>已获取招标文件的投标人如不出席答疑会或现场考察视为对招标文件所有内容无任何异议。</w:t>
      </w:r>
    </w:p>
    <w:p w14:paraId="0B393A7A">
      <w:pPr>
        <w:pStyle w:val="30"/>
        <w:numPr>
          <w:ilvl w:val="2"/>
          <w:numId w:val="21"/>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投标人在规定的时间内未对招标文件提出澄清或疑问的，采购代理机构将视其为无异议。</w:t>
      </w:r>
    </w:p>
    <w:p w14:paraId="6BC4D9BC">
      <w:pPr>
        <w:pStyle w:val="30"/>
        <w:numPr>
          <w:ilvl w:val="2"/>
          <w:numId w:val="21"/>
        </w:numPr>
        <w:spacing w:line="360" w:lineRule="auto"/>
        <w:ind w:firstLineChars="0"/>
        <w:rPr>
          <w:rFonts w:ascii="黑体" w:hAnsi="黑体" w:eastAsia="黑体"/>
          <w:bCs/>
          <w:color w:val="auto"/>
          <w:szCs w:val="21"/>
        </w:rPr>
      </w:pPr>
      <w:r>
        <w:rPr>
          <w:rFonts w:hint="eastAsia" w:ascii="黑体" w:hAnsi="黑体" w:eastAsia="黑体"/>
          <w:bCs/>
          <w:color w:val="auto"/>
          <w:szCs w:val="21"/>
        </w:rPr>
        <w:t>对招标文件中描述有歧义或前后不一致的地方，评标委员会有权进行评判，但对同一条款的评判应适用于每个投标人。</w:t>
      </w:r>
    </w:p>
    <w:p w14:paraId="3E892BCB">
      <w:pPr>
        <w:pStyle w:val="30"/>
        <w:numPr>
          <w:ilvl w:val="0"/>
          <w:numId w:val="27"/>
        </w:numPr>
        <w:spacing w:line="360" w:lineRule="auto"/>
        <w:ind w:firstLineChars="0"/>
        <w:rPr>
          <w:rFonts w:ascii="黑体" w:hAnsi="黑体" w:eastAsia="黑体"/>
          <w:bCs/>
          <w:color w:val="auto"/>
          <w:szCs w:val="21"/>
        </w:rPr>
      </w:pPr>
      <w:r>
        <w:rPr>
          <w:rFonts w:ascii="黑体" w:hAnsi="黑体" w:eastAsia="黑体"/>
          <w:bCs/>
          <w:color w:val="auto"/>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黑体" w:hAnsi="黑体" w:eastAsia="黑体"/>
          <w:bCs/>
          <w:color w:val="auto"/>
          <w:szCs w:val="21"/>
        </w:rPr>
        <w:t>。</w:t>
      </w:r>
    </w:p>
    <w:p w14:paraId="33AE0D39">
      <w:pPr>
        <w:pStyle w:val="30"/>
        <w:numPr>
          <w:ilvl w:val="0"/>
          <w:numId w:val="27"/>
        </w:numPr>
        <w:spacing w:line="360" w:lineRule="auto"/>
        <w:ind w:firstLineChars="0"/>
        <w:rPr>
          <w:rFonts w:ascii="黑体" w:hAnsi="黑体" w:eastAsia="黑体"/>
          <w:bCs/>
          <w:color w:val="auto"/>
          <w:szCs w:val="21"/>
        </w:rPr>
      </w:pPr>
      <w:r>
        <w:rPr>
          <w:rFonts w:ascii="黑体" w:hAnsi="黑体" w:eastAsia="黑体"/>
          <w:bCs/>
          <w:color w:val="auto"/>
          <w:szCs w:val="21"/>
        </w:rPr>
        <w:t>招标文件的</w:t>
      </w:r>
      <w:r>
        <w:rPr>
          <w:rFonts w:hint="eastAsia" w:ascii="黑体" w:hAnsi="黑体" w:eastAsia="黑体"/>
          <w:bCs/>
          <w:color w:val="auto"/>
          <w:szCs w:val="21"/>
        </w:rPr>
        <w:t>澄清或</w:t>
      </w:r>
      <w:r>
        <w:rPr>
          <w:rFonts w:ascii="黑体" w:hAnsi="黑体" w:eastAsia="黑体"/>
          <w:bCs/>
          <w:color w:val="auto"/>
          <w:szCs w:val="21"/>
        </w:rPr>
        <w:t>修改内容作为招标文件的组成部分，具有约束作用</w:t>
      </w:r>
      <w:r>
        <w:rPr>
          <w:rFonts w:hint="eastAsia" w:ascii="黑体" w:hAnsi="黑体" w:eastAsia="黑体"/>
          <w:bCs/>
          <w:color w:val="auto"/>
          <w:szCs w:val="21"/>
        </w:rPr>
        <w:t>。</w:t>
      </w:r>
      <w:r>
        <w:rPr>
          <w:rFonts w:ascii="黑体" w:hAnsi="黑体" w:eastAsia="黑体"/>
          <w:bCs/>
          <w:color w:val="auto"/>
          <w:szCs w:val="21"/>
        </w:rPr>
        <w:t>当招标文件、招标文件的澄清</w:t>
      </w:r>
      <w:r>
        <w:rPr>
          <w:rFonts w:hint="eastAsia" w:ascii="黑体" w:hAnsi="黑体" w:eastAsia="黑体"/>
          <w:bCs/>
          <w:color w:val="auto"/>
          <w:szCs w:val="21"/>
        </w:rPr>
        <w:t>或</w:t>
      </w:r>
      <w:r>
        <w:rPr>
          <w:rFonts w:ascii="黑体" w:hAnsi="黑体" w:eastAsia="黑体"/>
          <w:bCs/>
          <w:color w:val="auto"/>
          <w:szCs w:val="21"/>
        </w:rPr>
        <w:t>修改等在同一内容的表述上不一致时，以最后发出的书面文件为准。</w:t>
      </w:r>
    </w:p>
    <w:p w14:paraId="70C6CC53">
      <w:pPr>
        <w:pStyle w:val="30"/>
        <w:numPr>
          <w:ilvl w:val="0"/>
          <w:numId w:val="27"/>
        </w:numPr>
        <w:spacing w:line="360" w:lineRule="auto"/>
        <w:ind w:firstLineChars="0"/>
        <w:rPr>
          <w:rFonts w:ascii="黑体" w:hAnsi="黑体" w:eastAsia="黑体"/>
          <w:bCs/>
          <w:color w:val="auto"/>
          <w:szCs w:val="21"/>
        </w:rPr>
      </w:pPr>
      <w:r>
        <w:rPr>
          <w:rFonts w:hint="eastAsia" w:ascii="黑体" w:hAnsi="黑体" w:eastAsia="黑体"/>
          <w:bCs/>
          <w:color w:val="auto"/>
          <w:szCs w:val="21"/>
        </w:rPr>
        <w:t>招标期间，投标人有义务上网查看，公告一经上网发布，即视为送达。</w:t>
      </w:r>
      <w:r>
        <w:rPr>
          <w:rFonts w:ascii="黑体" w:hAnsi="黑体" w:eastAsia="黑体"/>
          <w:bCs/>
          <w:color w:val="auto"/>
          <w:szCs w:val="21"/>
        </w:rPr>
        <w:t>投标人应于收到该</w:t>
      </w:r>
      <w:r>
        <w:rPr>
          <w:rFonts w:hint="eastAsia" w:ascii="黑体" w:hAnsi="黑体" w:eastAsia="黑体"/>
          <w:bCs/>
          <w:color w:val="auto"/>
          <w:szCs w:val="21"/>
        </w:rPr>
        <w:t>澄清或</w:t>
      </w:r>
      <w:r>
        <w:rPr>
          <w:rFonts w:ascii="黑体" w:hAnsi="黑体" w:eastAsia="黑体"/>
          <w:bCs/>
          <w:color w:val="auto"/>
          <w:szCs w:val="21"/>
        </w:rPr>
        <w:t>修改文件的</w:t>
      </w:r>
      <w:r>
        <w:rPr>
          <w:rFonts w:hint="eastAsia" w:ascii="黑体" w:hAnsi="黑体" w:eastAsia="黑体"/>
          <w:bCs/>
          <w:color w:val="auto"/>
          <w:szCs w:val="21"/>
        </w:rPr>
        <w:t>二十四小时</w:t>
      </w:r>
      <w:r>
        <w:rPr>
          <w:rFonts w:ascii="黑体" w:hAnsi="黑体" w:eastAsia="黑体"/>
          <w:bCs/>
          <w:color w:val="auto"/>
          <w:szCs w:val="21"/>
        </w:rPr>
        <w:t>内以书面形式给予确认</w:t>
      </w:r>
      <w:r>
        <w:rPr>
          <w:rFonts w:hint="eastAsia" w:ascii="黑体" w:hAnsi="黑体" w:eastAsia="黑体"/>
          <w:bCs/>
          <w:color w:val="auto"/>
          <w:szCs w:val="21"/>
        </w:rPr>
        <w:t>。</w:t>
      </w:r>
    </w:p>
    <w:p w14:paraId="0D6CA021">
      <w:pPr>
        <w:pStyle w:val="30"/>
        <w:numPr>
          <w:ilvl w:val="0"/>
          <w:numId w:val="20"/>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投标文件的编制</w:t>
      </w:r>
    </w:p>
    <w:p w14:paraId="374B69C1">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投标的语言</w:t>
      </w:r>
    </w:p>
    <w:p w14:paraId="71A6A74A">
      <w:pPr>
        <w:pStyle w:val="30"/>
        <w:numPr>
          <w:ilvl w:val="0"/>
          <w:numId w:val="28"/>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人提交的投标文件以及投标人与招标采购单位就有关投标的所有来往函电均应使用中文书写。投标人提交的支持资料和己印刷的文献可以用另一种语言，但相应内容应附有中文翻译本，在解释投标文件的修改内容时以中文翻译本为准。对中文翻译有异议的，以权威机构的译本为准。</w:t>
      </w:r>
    </w:p>
    <w:p w14:paraId="574E8D32">
      <w:pPr>
        <w:pStyle w:val="30"/>
        <w:numPr>
          <w:ilvl w:val="0"/>
          <w:numId w:val="21"/>
        </w:numPr>
        <w:spacing w:before="312" w:beforeLines="100" w:line="360" w:lineRule="auto"/>
        <w:ind w:firstLineChars="0"/>
        <w:rPr>
          <w:rFonts w:ascii="黑体" w:hAnsi="黑体" w:eastAsia="黑体"/>
          <w:b/>
          <w:color w:val="auto"/>
        </w:rPr>
      </w:pPr>
      <w:bookmarkStart w:id="32" w:name="_Toc357676120"/>
      <w:r>
        <w:rPr>
          <w:rFonts w:hint="eastAsia" w:ascii="黑体" w:hAnsi="黑体" w:eastAsia="黑体"/>
          <w:b/>
          <w:color w:val="auto"/>
        </w:rPr>
        <w:t>投标文件的构成</w:t>
      </w:r>
      <w:bookmarkEnd w:id="32"/>
    </w:p>
    <w:p w14:paraId="01E1554B">
      <w:pPr>
        <w:pStyle w:val="30"/>
        <w:numPr>
          <w:ilvl w:val="0"/>
          <w:numId w:val="29"/>
        </w:numPr>
        <w:tabs>
          <w:tab w:val="left" w:pos="420"/>
        </w:tabs>
        <w:spacing w:line="360" w:lineRule="auto"/>
        <w:ind w:firstLineChars="0"/>
        <w:rPr>
          <w:rFonts w:ascii="黑体" w:hAnsi="黑体" w:eastAsia="黑体"/>
          <w:bCs/>
          <w:color w:val="auto"/>
          <w:szCs w:val="21"/>
        </w:rPr>
      </w:pPr>
      <w:r>
        <w:rPr>
          <w:rFonts w:hint="eastAsia" w:ascii="黑体" w:hAnsi="黑体" w:eastAsia="黑体"/>
          <w:bCs/>
          <w:color w:val="auto"/>
          <w:szCs w:val="21"/>
        </w:rPr>
        <w:t>投标人编写的投标文件，编排顺序参见投标文件格式。投标文件的构成应符合法律法规及招标文件的要求。</w:t>
      </w:r>
    </w:p>
    <w:p w14:paraId="52335273">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投标文件的编写</w:t>
      </w:r>
    </w:p>
    <w:p w14:paraId="2D4A79F7">
      <w:pPr>
        <w:pStyle w:val="30"/>
        <w:numPr>
          <w:ilvl w:val="0"/>
          <w:numId w:val="30"/>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投标人应完整、真实、准确地填写招标文件中提供的投标函、开标一览表、分项报价表（如适用）以及招标文件中规定的其它所有内容。</w:t>
      </w:r>
    </w:p>
    <w:p w14:paraId="36710042">
      <w:pPr>
        <w:pStyle w:val="30"/>
        <w:numPr>
          <w:ilvl w:val="0"/>
          <w:numId w:val="30"/>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对招标文件中多个包组进行投标的，其投标文件的编制可按每个包组的要求分别装订和封装。投标人应当对投标文件进行装订，对未经装订的投标文件可能发生的文件散落或缺损，由此造成的后果和责任由投标人承担。</w:t>
      </w:r>
    </w:p>
    <w:p w14:paraId="33DAB543">
      <w:pPr>
        <w:pStyle w:val="30"/>
        <w:numPr>
          <w:ilvl w:val="0"/>
          <w:numId w:val="30"/>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投标人必须对投标文件所提供的全部资料的真实性承担法律责任，并无条件接受采购人和政府采购监督管理部门对其中任何资料进行核实（核对原件）的要求。</w:t>
      </w:r>
    </w:p>
    <w:p w14:paraId="3FA0445A">
      <w:pPr>
        <w:pStyle w:val="30"/>
        <w:numPr>
          <w:ilvl w:val="0"/>
          <w:numId w:val="30"/>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如果因为投标人的投标文件只填写和提供了本招标文件要求的部分内容和附件，或没有提供招标文件中所要求的全部资料及数据，由此造成的后果和责任由投标人承担。</w:t>
      </w:r>
    </w:p>
    <w:p w14:paraId="107500F6">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投标报价</w:t>
      </w:r>
    </w:p>
    <w:p w14:paraId="1BFFC1C0">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投标人应按照“第二部分　采购需求”中采购项目服务要求规定的内容、责任范围进行报价。并按《开标一览表》及《分项报价表》（如适用）的要求报出总价和分项价格。</w:t>
      </w:r>
    </w:p>
    <w:p w14:paraId="054307CE">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投标分项报价表内容应包含：</w:t>
      </w:r>
    </w:p>
    <w:p w14:paraId="23E6229D">
      <w:pPr>
        <w:pStyle w:val="30"/>
        <w:numPr>
          <w:ilvl w:val="2"/>
          <w:numId w:val="32"/>
        </w:numPr>
        <w:spacing w:line="360" w:lineRule="auto"/>
        <w:ind w:firstLineChars="0"/>
        <w:rPr>
          <w:rFonts w:ascii="黑体" w:hAnsi="黑体" w:eastAsia="黑体"/>
          <w:bCs/>
          <w:color w:val="auto"/>
          <w:szCs w:val="21"/>
        </w:rPr>
      </w:pPr>
      <w:r>
        <w:rPr>
          <w:rFonts w:hint="eastAsia" w:ascii="黑体" w:hAnsi="黑体" w:eastAsia="黑体"/>
          <w:bCs/>
          <w:color w:val="auto"/>
          <w:szCs w:val="21"/>
        </w:rPr>
        <w:t>招标文件要求全部货物及服务所需的费用；</w:t>
      </w:r>
    </w:p>
    <w:p w14:paraId="28A19DA3">
      <w:pPr>
        <w:pStyle w:val="30"/>
        <w:numPr>
          <w:ilvl w:val="2"/>
          <w:numId w:val="32"/>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投标报价包含履行合同所有相关内容所需的费用；</w:t>
      </w:r>
    </w:p>
    <w:p w14:paraId="6BBFED0C">
      <w:pPr>
        <w:pStyle w:val="30"/>
        <w:numPr>
          <w:ilvl w:val="2"/>
          <w:numId w:val="32"/>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投标报价均应包含所有的税费；</w:t>
      </w:r>
    </w:p>
    <w:p w14:paraId="5393F78F">
      <w:pPr>
        <w:pStyle w:val="30"/>
        <w:numPr>
          <w:ilvl w:val="2"/>
          <w:numId w:val="32"/>
        </w:numPr>
        <w:spacing w:line="360" w:lineRule="auto"/>
        <w:ind w:firstLineChars="0"/>
        <w:rPr>
          <w:rFonts w:ascii="黑体" w:hAnsi="黑体" w:eastAsia="黑体"/>
          <w:bCs/>
          <w:color w:val="auto"/>
          <w:szCs w:val="21"/>
        </w:rPr>
      </w:pPr>
      <w:r>
        <w:rPr>
          <w:rFonts w:hint="eastAsia" w:ascii="黑体" w:hAnsi="黑体" w:eastAsia="黑体"/>
          <w:bCs/>
          <w:color w:val="auto"/>
          <w:szCs w:val="21"/>
        </w:rPr>
        <w:t>其他一切隐含及不可预见的费用。</w:t>
      </w:r>
    </w:p>
    <w:p w14:paraId="11E8D9C4">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投标报价为本次招标内容的总价包干，投标报价即为合同价，不得在中标后提出任何增加费用要求，投标人在投标时应充分考虑相关风险性因素。</w:t>
      </w:r>
    </w:p>
    <w:p w14:paraId="63CE53E7">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投标人在中标并签署合同后，服务期限内出现的任何遗漏，均由中标人负责，采购人将不再支付任何费用。</w:t>
      </w:r>
    </w:p>
    <w:p w14:paraId="05AA7971">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除</w:t>
      </w:r>
      <w:r>
        <w:rPr>
          <w:rFonts w:ascii="黑体" w:hAnsi="黑体" w:eastAsia="黑体"/>
          <w:bCs/>
          <w:color w:val="auto"/>
          <w:szCs w:val="21"/>
          <w:u w:val="single"/>
        </w:rPr>
        <w:t xml:space="preserve"> </w:t>
      </w:r>
      <w:r>
        <w:rPr>
          <w:rFonts w:hint="eastAsia" w:ascii="黑体" w:hAnsi="黑体" w:eastAsia="黑体"/>
          <w:b/>
          <w:bCs/>
          <w:color w:val="auto"/>
          <w:szCs w:val="21"/>
          <w:u w:val="single"/>
        </w:rPr>
        <w:t>投标人须知前附表</w:t>
      </w:r>
      <w:r>
        <w:rPr>
          <w:rFonts w:ascii="黑体" w:hAnsi="黑体" w:eastAsia="黑体"/>
          <w:b/>
          <w:bCs/>
          <w:color w:val="auto"/>
          <w:szCs w:val="21"/>
          <w:u w:val="single"/>
        </w:rPr>
        <w:t xml:space="preserve"> </w:t>
      </w:r>
      <w:r>
        <w:rPr>
          <w:rFonts w:hint="eastAsia" w:ascii="黑体" w:hAnsi="黑体" w:eastAsia="黑体"/>
          <w:bCs/>
          <w:color w:val="auto"/>
          <w:szCs w:val="21"/>
        </w:rPr>
        <w:t>中另有规定外，投标人所报的投标价在合同执行过程中是固定不变的，不得以任何理由予以变更。任何包含价格调整要求的投标被认为是非实质性响应投标而予以拒绝。</w:t>
      </w:r>
    </w:p>
    <w:p w14:paraId="71C07556">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除</w:t>
      </w:r>
      <w:r>
        <w:rPr>
          <w:rFonts w:ascii="黑体" w:hAnsi="黑体" w:eastAsia="黑体"/>
          <w:bCs/>
          <w:color w:val="auto"/>
          <w:szCs w:val="21"/>
          <w:u w:val="single"/>
        </w:rPr>
        <w:t xml:space="preserve"> </w:t>
      </w:r>
      <w:r>
        <w:rPr>
          <w:rFonts w:hint="eastAsia" w:ascii="黑体" w:hAnsi="黑体" w:eastAsia="黑体"/>
          <w:b/>
          <w:bCs/>
          <w:color w:val="auto"/>
          <w:szCs w:val="21"/>
          <w:u w:val="single"/>
        </w:rPr>
        <w:t>投标人须知前附表</w:t>
      </w:r>
      <w:r>
        <w:rPr>
          <w:rFonts w:ascii="黑体" w:hAnsi="黑体" w:eastAsia="黑体"/>
          <w:b/>
          <w:bCs/>
          <w:color w:val="auto"/>
          <w:szCs w:val="21"/>
          <w:u w:val="single"/>
        </w:rPr>
        <w:t xml:space="preserve"> </w:t>
      </w:r>
      <w:r>
        <w:rPr>
          <w:rFonts w:hint="eastAsia" w:ascii="黑体" w:hAnsi="黑体" w:eastAsia="黑体"/>
          <w:bCs/>
          <w:color w:val="auto"/>
          <w:szCs w:val="21"/>
        </w:rPr>
        <w:t>中允许有备选方案外，本次招标不接受选择性报价，否则将被视为无效投标。</w:t>
      </w:r>
    </w:p>
    <w:p w14:paraId="6575F8E6">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除</w:t>
      </w:r>
      <w:r>
        <w:rPr>
          <w:rFonts w:ascii="黑体" w:hAnsi="黑体" w:eastAsia="黑体"/>
          <w:bCs/>
          <w:color w:val="auto"/>
          <w:szCs w:val="21"/>
          <w:u w:val="single"/>
        </w:rPr>
        <w:t xml:space="preserve"> </w:t>
      </w:r>
      <w:r>
        <w:rPr>
          <w:rFonts w:hint="eastAsia" w:ascii="黑体" w:hAnsi="黑体" w:eastAsia="黑体"/>
          <w:b/>
          <w:bCs/>
          <w:color w:val="auto"/>
          <w:szCs w:val="21"/>
          <w:u w:val="single"/>
        </w:rPr>
        <w:t>投标须知前附表</w:t>
      </w:r>
      <w:r>
        <w:rPr>
          <w:rFonts w:ascii="黑体" w:hAnsi="黑体" w:eastAsia="黑体"/>
          <w:b/>
          <w:bCs/>
          <w:color w:val="auto"/>
          <w:szCs w:val="21"/>
          <w:u w:val="single"/>
        </w:rPr>
        <w:t xml:space="preserve"> </w:t>
      </w:r>
      <w:r>
        <w:rPr>
          <w:rFonts w:hint="eastAsia" w:ascii="黑体" w:hAnsi="黑体" w:eastAsia="黑体"/>
          <w:bCs/>
          <w:color w:val="auto"/>
          <w:szCs w:val="21"/>
        </w:rPr>
        <w:t>另有规定外，本次招标不接受具有附加条件的报价，否则将被视为无效投标。</w:t>
      </w:r>
    </w:p>
    <w:p w14:paraId="77D81B4D">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
          <w:bCs/>
          <w:color w:val="auto"/>
          <w:spacing w:val="-6"/>
          <w:szCs w:val="21"/>
        </w:rPr>
        <w:t>投标人的投标报价高于采购预算或最高单价限价的，该投标人的投标文件将被视为非响应性报价作无效投标处理。</w:t>
      </w:r>
    </w:p>
    <w:p w14:paraId="4B700145">
      <w:pPr>
        <w:pStyle w:val="30"/>
        <w:numPr>
          <w:ilvl w:val="0"/>
          <w:numId w:val="3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中标人向采购代理机构交纳中标服务费，中标服务费不在投标报价中单列。</w:t>
      </w:r>
    </w:p>
    <w:p w14:paraId="1E913EDC">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投标货币</w:t>
      </w:r>
    </w:p>
    <w:p w14:paraId="104B8FBC">
      <w:pPr>
        <w:pStyle w:val="30"/>
        <w:numPr>
          <w:ilvl w:val="0"/>
          <w:numId w:val="33"/>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投标货币以人民币标价，以其它货币标价的投标将予以拒绝。</w:t>
      </w:r>
    </w:p>
    <w:p w14:paraId="31ECB028">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联合体投标</w:t>
      </w:r>
    </w:p>
    <w:p w14:paraId="04491CDE">
      <w:pPr>
        <w:pStyle w:val="30"/>
        <w:numPr>
          <w:ilvl w:val="0"/>
          <w:numId w:val="34"/>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除非</w:t>
      </w:r>
      <w:r>
        <w:rPr>
          <w:rFonts w:hint="eastAsia" w:ascii="黑体" w:hAnsi="黑体" w:eastAsia="黑体"/>
          <w:b/>
          <w:bCs/>
          <w:color w:val="auto"/>
          <w:szCs w:val="21"/>
          <w:u w:val="single"/>
        </w:rPr>
        <w:t>投标邀请</w:t>
      </w:r>
      <w:r>
        <w:rPr>
          <w:rFonts w:hint="eastAsia" w:ascii="黑体" w:hAnsi="黑体" w:eastAsia="黑体"/>
          <w:bCs/>
          <w:color w:val="auto"/>
          <w:szCs w:val="21"/>
        </w:rPr>
        <w:t>中另有规定，不接受联合体投标。如果投标邀请中规定允许联合体投标的，则必须满足：</w:t>
      </w:r>
    </w:p>
    <w:p w14:paraId="07246CC9">
      <w:pPr>
        <w:pStyle w:val="30"/>
        <w:numPr>
          <w:ilvl w:val="0"/>
          <w:numId w:val="35"/>
        </w:numPr>
        <w:spacing w:line="360" w:lineRule="auto"/>
        <w:ind w:left="709" w:hanging="709" w:firstLineChars="0"/>
        <w:rPr>
          <w:rFonts w:ascii="黑体" w:hAnsi="黑体" w:eastAsia="黑体"/>
          <w:bCs/>
          <w:color w:val="auto"/>
          <w:szCs w:val="21"/>
        </w:rPr>
      </w:pPr>
      <w:r>
        <w:rPr>
          <w:rFonts w:hint="eastAsia" w:ascii="黑体" w:hAnsi="黑体" w:eastAsia="黑体"/>
          <w:bCs/>
          <w:color w:val="auto"/>
          <w:szCs w:val="21"/>
        </w:rPr>
        <w:t>以联合体形式进行政府采购的，参加联合体的投标人均应当具备《中华人民共和国政府采购法》第二十二条规定的条件，联合体各方之间应当签订联合体协议，明确约定联合体各方承担的工作和义务，并将共同联合体协议连同投标文件一并提交；</w:t>
      </w:r>
    </w:p>
    <w:p w14:paraId="35F80DD4">
      <w:pPr>
        <w:pStyle w:val="30"/>
        <w:numPr>
          <w:ilvl w:val="0"/>
          <w:numId w:val="35"/>
        </w:numPr>
        <w:spacing w:line="360" w:lineRule="auto"/>
        <w:ind w:left="709" w:hanging="709" w:firstLineChars="0"/>
        <w:rPr>
          <w:rFonts w:ascii="黑体" w:hAnsi="黑体" w:eastAsia="黑体"/>
          <w:bCs/>
          <w:color w:val="auto"/>
          <w:szCs w:val="21"/>
        </w:rPr>
      </w:pPr>
      <w:r>
        <w:rPr>
          <w:rFonts w:hint="eastAsia" w:ascii="黑体" w:hAnsi="黑体" w:eastAsia="黑体"/>
          <w:bCs/>
          <w:color w:val="auto"/>
          <w:szCs w:val="21"/>
        </w:rPr>
        <w:t>联合体各方签订共同投标协议书后，不得再以自己名义单独在同一项目（采购包）中投标，也不得组成新的联合体参加同一项目（采购包）投标，若违反规定则其参与的所有投标将视为无效投标；</w:t>
      </w:r>
    </w:p>
    <w:p w14:paraId="0B17BA78">
      <w:pPr>
        <w:pStyle w:val="30"/>
        <w:numPr>
          <w:ilvl w:val="0"/>
          <w:numId w:val="35"/>
        </w:numPr>
        <w:spacing w:line="360" w:lineRule="auto"/>
        <w:ind w:left="709" w:hanging="709" w:firstLineChars="0"/>
        <w:rPr>
          <w:rFonts w:ascii="黑体" w:hAnsi="黑体" w:eastAsia="黑体"/>
          <w:bCs/>
          <w:color w:val="auto"/>
          <w:szCs w:val="21"/>
        </w:rPr>
      </w:pPr>
      <w:r>
        <w:rPr>
          <w:rFonts w:hint="eastAsia" w:ascii="黑体" w:hAnsi="黑体" w:eastAsia="黑体"/>
          <w:bCs/>
          <w:color w:val="auto"/>
          <w:szCs w:val="21"/>
        </w:rPr>
        <w:t>联合体投标的，可以由联合体中的一方或者共同提交投标保证金，以一方名义提交投标保证金的，对联合体各方均具有约束力；</w:t>
      </w:r>
    </w:p>
    <w:p w14:paraId="372375AA">
      <w:pPr>
        <w:pStyle w:val="30"/>
        <w:numPr>
          <w:ilvl w:val="0"/>
          <w:numId w:val="35"/>
        </w:numPr>
        <w:spacing w:line="360" w:lineRule="auto"/>
        <w:ind w:left="709" w:hanging="709" w:firstLineChars="0"/>
        <w:rPr>
          <w:rFonts w:ascii="黑体" w:hAnsi="黑体" w:eastAsia="黑体"/>
          <w:bCs/>
          <w:color w:val="auto"/>
          <w:szCs w:val="21"/>
        </w:rPr>
      </w:pPr>
      <w:r>
        <w:rPr>
          <w:rFonts w:hint="eastAsia" w:ascii="黑体" w:hAnsi="黑体" w:eastAsia="黑体"/>
          <w:bCs/>
          <w:color w:val="auto"/>
          <w:szCs w:val="21"/>
        </w:rPr>
        <w:t>联合体中有同类资质的投标人按照联合体分工承担相同工作的，按照资质等级较低的投标人确定资质等级。</w:t>
      </w:r>
    </w:p>
    <w:p w14:paraId="7812ED23">
      <w:pPr>
        <w:pStyle w:val="30"/>
        <w:numPr>
          <w:ilvl w:val="0"/>
          <w:numId w:val="35"/>
        </w:numPr>
        <w:spacing w:line="360" w:lineRule="auto"/>
        <w:ind w:left="709" w:hanging="709" w:firstLineChars="0"/>
        <w:rPr>
          <w:rFonts w:ascii="黑体" w:hAnsi="黑体" w:eastAsia="黑体"/>
          <w:bCs/>
          <w:color w:val="auto"/>
          <w:szCs w:val="21"/>
        </w:rPr>
      </w:pPr>
      <w:r>
        <w:rPr>
          <w:rFonts w:hint="eastAsia" w:ascii="黑体" w:hAnsi="黑体" w:eastAsia="黑体"/>
          <w:bCs/>
          <w:color w:val="auto"/>
          <w:szCs w:val="21"/>
        </w:rPr>
        <w:t>联合体各方应当共同与采购人签订采购合同，就采购合同约定的事项对采购人承担连带责任。</w:t>
      </w:r>
    </w:p>
    <w:p w14:paraId="521B708D">
      <w:pPr>
        <w:pStyle w:val="30"/>
        <w:numPr>
          <w:ilvl w:val="0"/>
          <w:numId w:val="21"/>
        </w:numPr>
        <w:spacing w:before="312" w:beforeLines="100" w:line="360" w:lineRule="auto"/>
        <w:ind w:firstLineChars="0"/>
        <w:rPr>
          <w:rFonts w:ascii="黑体" w:hAnsi="黑体" w:eastAsia="黑体"/>
          <w:b/>
          <w:color w:val="auto"/>
        </w:rPr>
      </w:pPr>
      <w:bookmarkStart w:id="33" w:name="_Toc357676125"/>
      <w:r>
        <w:rPr>
          <w:rFonts w:hint="eastAsia" w:ascii="黑体" w:hAnsi="黑体" w:eastAsia="黑体"/>
          <w:b/>
          <w:color w:val="auto"/>
        </w:rPr>
        <w:t>关于中小微企业投标</w:t>
      </w:r>
    </w:p>
    <w:p w14:paraId="1FBF77F8">
      <w:pPr>
        <w:pStyle w:val="30"/>
        <w:numPr>
          <w:ilvl w:val="0"/>
          <w:numId w:val="36"/>
        </w:numPr>
        <w:spacing w:line="360" w:lineRule="auto"/>
        <w:ind w:left="567" w:hanging="567" w:firstLineChars="0"/>
        <w:rPr>
          <w:rFonts w:ascii="黑体" w:hAnsi="黑体" w:eastAsia="黑体"/>
          <w:bCs/>
          <w:color w:val="auto"/>
        </w:rPr>
      </w:pPr>
      <w:r>
        <w:rPr>
          <w:rFonts w:hint="eastAsia" w:ascii="黑体" w:hAnsi="黑体" w:eastAsia="黑体"/>
          <w:bCs/>
          <w:color w:val="auto"/>
        </w:rPr>
        <w:t>中小微企业响应是指在政府采购活动中，供应商提供的货物均由中小微企业制造、工程均由中小微企业承建或者服务均由中小微企业承接，并在投标文件中提供《中小企业声明函》。</w:t>
      </w:r>
    </w:p>
    <w:p w14:paraId="53A0B9BB">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证明投标人合格和资格的文件</w:t>
      </w:r>
      <w:bookmarkEnd w:id="33"/>
    </w:p>
    <w:p w14:paraId="2B29F975">
      <w:pPr>
        <w:pStyle w:val="30"/>
        <w:numPr>
          <w:ilvl w:val="0"/>
          <w:numId w:val="3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提交证明其有资格参加投标和中标后有能力履行合同的文件，并作为其投标文件的一部分。如果投标人为联合体，应提交联合体各方的资格证明文件、共同投标协议并注明主体方及各方拟承担的工作和责任。</w:t>
      </w:r>
    </w:p>
    <w:p w14:paraId="3CDBFE34">
      <w:pPr>
        <w:pStyle w:val="30"/>
        <w:numPr>
          <w:ilvl w:val="0"/>
          <w:numId w:val="3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投标人提交的资格证明文件应证明其满足本须知定义的合格投标人。</w:t>
      </w:r>
    </w:p>
    <w:p w14:paraId="4068917E">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投标担保（本项目不收取投标保证金）</w:t>
      </w:r>
    </w:p>
    <w:p w14:paraId="0E01B820">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投标有效期</w:t>
      </w:r>
    </w:p>
    <w:p w14:paraId="22C91128">
      <w:pPr>
        <w:pStyle w:val="30"/>
        <w:numPr>
          <w:ilvl w:val="0"/>
          <w:numId w:val="38"/>
        </w:numPr>
        <w:spacing w:line="360" w:lineRule="auto"/>
        <w:ind w:left="567" w:hanging="567" w:firstLineChars="0"/>
        <w:rPr>
          <w:rFonts w:ascii="黑体" w:hAnsi="黑体" w:eastAsia="黑体"/>
          <w:bCs/>
          <w:color w:val="auto"/>
          <w:spacing w:val="-2"/>
          <w:szCs w:val="21"/>
        </w:rPr>
      </w:pPr>
      <w:r>
        <w:rPr>
          <w:rFonts w:hint="eastAsia" w:ascii="黑体" w:hAnsi="黑体" w:eastAsia="黑体"/>
          <w:bCs/>
          <w:color w:val="auto"/>
          <w:spacing w:val="-2"/>
          <w:szCs w:val="21"/>
        </w:rPr>
        <w:t>投标</w:t>
      </w:r>
      <w:r>
        <w:rPr>
          <w:rFonts w:hint="eastAsia" w:ascii="黑体" w:hAnsi="黑体" w:eastAsia="黑体"/>
          <w:color w:val="auto"/>
        </w:rPr>
        <w:t>有效期自招标文件规定的</w:t>
      </w:r>
      <w:r>
        <w:rPr>
          <w:rFonts w:hint="eastAsia" w:ascii="黑体" w:hAnsi="黑体" w:eastAsia="黑体"/>
          <w:bCs/>
          <w:color w:val="auto"/>
          <w:spacing w:val="-2"/>
          <w:szCs w:val="21"/>
        </w:rPr>
        <w:t>投标文件</w:t>
      </w:r>
      <w:r>
        <w:rPr>
          <w:rFonts w:hint="eastAsia" w:ascii="黑体" w:hAnsi="黑体" w:eastAsia="黑体"/>
          <w:color w:val="auto"/>
        </w:rPr>
        <w:t>递交截止时间起算</w:t>
      </w:r>
      <w:r>
        <w:rPr>
          <w:rFonts w:hint="eastAsia" w:ascii="黑体" w:hAnsi="黑体" w:eastAsia="黑体"/>
          <w:bCs/>
          <w:color w:val="auto"/>
          <w:spacing w:val="-2"/>
          <w:szCs w:val="21"/>
        </w:rPr>
        <w:t>，并在</w:t>
      </w:r>
      <w:r>
        <w:rPr>
          <w:rFonts w:hint="eastAsia" w:ascii="黑体" w:hAnsi="黑体" w:eastAsia="黑体"/>
          <w:b/>
          <w:color w:val="auto"/>
          <w:szCs w:val="21"/>
          <w:u w:val="single"/>
        </w:rPr>
        <w:t>投标人须知前附表</w:t>
      </w:r>
      <w:r>
        <w:rPr>
          <w:rFonts w:hint="eastAsia" w:ascii="黑体" w:hAnsi="黑体" w:eastAsia="黑体"/>
          <w:color w:val="auto"/>
        </w:rPr>
        <w:t>中所述期限内有效</w:t>
      </w:r>
      <w:r>
        <w:rPr>
          <w:rFonts w:hint="eastAsia" w:ascii="黑体" w:hAnsi="黑体" w:eastAsia="黑体"/>
          <w:bCs/>
          <w:color w:val="auto"/>
          <w:spacing w:val="-2"/>
          <w:szCs w:val="21"/>
        </w:rPr>
        <w:t>。投标有效期</w:t>
      </w:r>
      <w:r>
        <w:rPr>
          <w:rFonts w:hint="eastAsia" w:ascii="黑体" w:hAnsi="黑体" w:eastAsia="黑体"/>
          <w:color w:val="auto"/>
        </w:rPr>
        <w:t>比规定时间短</w:t>
      </w:r>
      <w:r>
        <w:rPr>
          <w:rFonts w:hint="eastAsia" w:ascii="黑体" w:hAnsi="黑体" w:eastAsia="黑体"/>
          <w:bCs/>
          <w:color w:val="auto"/>
          <w:spacing w:val="-2"/>
          <w:szCs w:val="21"/>
        </w:rPr>
        <w:t>的投标将被视为非实质性响应，视为无效投标。</w:t>
      </w:r>
    </w:p>
    <w:p w14:paraId="3A5B9C84">
      <w:pPr>
        <w:pStyle w:val="30"/>
        <w:numPr>
          <w:ilvl w:val="0"/>
          <w:numId w:val="38"/>
        </w:numPr>
        <w:spacing w:line="360" w:lineRule="auto"/>
        <w:ind w:left="567" w:hanging="567" w:firstLineChars="0"/>
        <w:rPr>
          <w:rFonts w:ascii="黑体" w:hAnsi="黑体" w:eastAsia="黑体"/>
          <w:bCs/>
          <w:color w:val="auto"/>
          <w:spacing w:val="-2"/>
          <w:szCs w:val="21"/>
        </w:rPr>
      </w:pPr>
      <w:r>
        <w:rPr>
          <w:rFonts w:hint="eastAsia" w:ascii="黑体" w:hAnsi="黑体" w:eastAsia="黑体"/>
          <w:bCs/>
          <w:color w:val="auto"/>
          <w:szCs w:val="21"/>
        </w:rPr>
        <w:t>出现特殊情况需延长投标有效期的，采购人或采购代理机构可于投标有效期满之前要求投标人同意延长有效期，要求与答复均以书面形式通知所有投标人。投标人同意延长的，应相应延长其投标保证金的有效期，但不得要求或被允许修改或撤销其投标文件；投标人可以拒绝延长有效期，但其投标将会被视为无效，拒绝延长有效期的投标人有权收回其投标保证金。</w:t>
      </w:r>
    </w:p>
    <w:p w14:paraId="7969F7AC">
      <w:pPr>
        <w:pStyle w:val="30"/>
        <w:numPr>
          <w:ilvl w:val="0"/>
          <w:numId w:val="21"/>
        </w:numPr>
        <w:spacing w:before="312" w:beforeLines="100" w:line="360" w:lineRule="auto"/>
        <w:ind w:firstLineChars="0"/>
        <w:rPr>
          <w:rFonts w:ascii="黑体" w:hAnsi="黑体" w:eastAsia="黑体"/>
          <w:b/>
          <w:color w:val="auto"/>
        </w:rPr>
      </w:pPr>
      <w:bookmarkStart w:id="34" w:name="_Toc357676129"/>
      <w:r>
        <w:rPr>
          <w:rFonts w:hint="eastAsia" w:ascii="黑体" w:hAnsi="黑体" w:eastAsia="黑体"/>
          <w:b/>
          <w:color w:val="auto"/>
        </w:rPr>
        <w:t>投标文件的式样和签署</w:t>
      </w:r>
      <w:bookmarkEnd w:id="34"/>
    </w:p>
    <w:p w14:paraId="5358B42B">
      <w:pPr>
        <w:pStyle w:val="30"/>
        <w:numPr>
          <w:ilvl w:val="0"/>
          <w:numId w:val="3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投标文件的式样：投标人应准备一份投标文件正本、电子文件、唱标信封和</w:t>
      </w:r>
      <w:r>
        <w:rPr>
          <w:rFonts w:ascii="黑体" w:hAnsi="黑体" w:eastAsia="黑体"/>
          <w:bCs/>
          <w:color w:val="auto"/>
          <w:szCs w:val="21"/>
          <w:u w:val="single"/>
        </w:rPr>
        <w:t xml:space="preserve"> </w:t>
      </w:r>
      <w:bookmarkStart w:id="35" w:name="_Hlk81180014"/>
      <w:r>
        <w:rPr>
          <w:rFonts w:hint="eastAsia" w:ascii="黑体" w:hAnsi="黑体" w:eastAsia="黑体"/>
          <w:b/>
          <w:color w:val="auto"/>
          <w:szCs w:val="21"/>
          <w:u w:val="single"/>
        </w:rPr>
        <w:t>详见投标人须知前附表</w:t>
      </w:r>
      <w:r>
        <w:rPr>
          <w:rFonts w:ascii="黑体" w:hAnsi="黑体" w:eastAsia="黑体"/>
          <w:b/>
          <w:color w:val="auto"/>
          <w:szCs w:val="21"/>
          <w:u w:val="single"/>
        </w:rPr>
        <w:t xml:space="preserve"> </w:t>
      </w:r>
      <w:bookmarkEnd w:id="35"/>
      <w:r>
        <w:rPr>
          <w:rFonts w:hint="eastAsia" w:ascii="黑体" w:hAnsi="黑体" w:eastAsia="黑体"/>
          <w:bCs/>
          <w:color w:val="auto"/>
          <w:szCs w:val="21"/>
        </w:rPr>
        <w:t>中规定数目的副本，投标文件的副本可采用正本的复印件。每套投标文件须清楚地标明“正本”或“副本”。若副本与正本不符，以正本为准。</w:t>
      </w:r>
    </w:p>
    <w:p w14:paraId="088D870F">
      <w:pPr>
        <w:pStyle w:val="30"/>
        <w:numPr>
          <w:ilvl w:val="0"/>
          <w:numId w:val="3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投标文件的签署：</w:t>
      </w:r>
    </w:p>
    <w:p w14:paraId="79DF11CB">
      <w:pPr>
        <w:pStyle w:val="30"/>
        <w:numPr>
          <w:ilvl w:val="2"/>
          <w:numId w:val="40"/>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文件的正本需打印或用不褪色墨水书写，投标文件要求签名的由法定代表人或经其正式授权的代表签字，投标文件要求盖章的需加盖投标人公章，副本可由正本复印而成，与正本具有同等法律效力。授权代表须将以书面形式出具的《法定代表人授权委托书》附在投标文件中；</w:t>
      </w:r>
    </w:p>
    <w:p w14:paraId="29863395">
      <w:pPr>
        <w:pStyle w:val="30"/>
        <w:numPr>
          <w:ilvl w:val="2"/>
          <w:numId w:val="40"/>
        </w:numPr>
        <w:spacing w:line="360" w:lineRule="auto"/>
        <w:ind w:firstLineChars="0"/>
        <w:rPr>
          <w:rFonts w:ascii="黑体" w:hAnsi="黑体" w:eastAsia="黑体"/>
          <w:bCs/>
          <w:color w:val="auto"/>
          <w:szCs w:val="21"/>
        </w:rPr>
      </w:pPr>
      <w:r>
        <w:rPr>
          <w:rFonts w:hint="eastAsia" w:ascii="黑体" w:hAnsi="黑体" w:eastAsia="黑体"/>
          <w:bCs/>
          <w:color w:val="auto"/>
          <w:szCs w:val="21"/>
        </w:rPr>
        <w:t>投标文件中的任何重要的插字、涂改和增删，必须由法定代表人或经其正式授权的代表在旁边签署。</w:t>
      </w:r>
    </w:p>
    <w:p w14:paraId="40E37EC0">
      <w:pPr>
        <w:pStyle w:val="30"/>
        <w:numPr>
          <w:ilvl w:val="0"/>
          <w:numId w:val="39"/>
        </w:numPr>
        <w:spacing w:line="360" w:lineRule="auto"/>
        <w:ind w:left="567" w:hanging="567" w:firstLineChars="0"/>
        <w:rPr>
          <w:rFonts w:ascii="黑体" w:hAnsi="黑体" w:eastAsia="黑体"/>
          <w:bCs/>
          <w:color w:val="auto"/>
          <w:szCs w:val="21"/>
        </w:rPr>
      </w:pPr>
      <w:r>
        <w:rPr>
          <w:rFonts w:hint="eastAsia" w:ascii="黑体" w:hAnsi="黑体" w:eastAsia="黑体" w:cs="Times New Roman"/>
          <w:bCs/>
          <w:color w:val="auto"/>
          <w:szCs w:val="21"/>
        </w:rPr>
        <w:t>投标文件的“正本”及所有“副本”的封面及骑缝均须由投标人加盖投标人公章</w:t>
      </w:r>
      <w:r>
        <w:rPr>
          <w:rFonts w:hint="eastAsia" w:ascii="黑体" w:hAnsi="黑体" w:eastAsia="黑体"/>
          <w:bCs/>
          <w:color w:val="auto"/>
          <w:szCs w:val="21"/>
        </w:rPr>
        <w:t>。</w:t>
      </w:r>
    </w:p>
    <w:p w14:paraId="273C72D0">
      <w:pPr>
        <w:pStyle w:val="30"/>
        <w:numPr>
          <w:ilvl w:val="0"/>
          <w:numId w:val="20"/>
        </w:numPr>
        <w:spacing w:before="312" w:beforeLines="100" w:line="360" w:lineRule="auto"/>
        <w:ind w:firstLineChars="0"/>
        <w:rPr>
          <w:rFonts w:ascii="黑体" w:hAnsi="黑体" w:eastAsia="黑体"/>
          <w:b/>
          <w:bCs/>
          <w:color w:val="auto"/>
          <w:sz w:val="24"/>
          <w:szCs w:val="24"/>
        </w:rPr>
      </w:pPr>
      <w:r>
        <w:rPr>
          <w:rFonts w:hint="eastAsia" w:ascii="黑体" w:hAnsi="黑体" w:eastAsia="黑体"/>
          <w:b/>
          <w:bCs/>
          <w:color w:val="auto"/>
          <w:sz w:val="24"/>
          <w:szCs w:val="24"/>
        </w:rPr>
        <w:t>投标文件的递交</w:t>
      </w:r>
    </w:p>
    <w:p w14:paraId="5514B0A7">
      <w:pPr>
        <w:pStyle w:val="30"/>
        <w:numPr>
          <w:ilvl w:val="0"/>
          <w:numId w:val="21"/>
        </w:numPr>
        <w:spacing w:line="360" w:lineRule="auto"/>
        <w:ind w:firstLineChars="0"/>
        <w:rPr>
          <w:rFonts w:ascii="黑体" w:hAnsi="黑体" w:eastAsia="黑体"/>
          <w:b/>
          <w:color w:val="auto"/>
        </w:rPr>
      </w:pPr>
      <w:bookmarkStart w:id="36" w:name="_Toc357676131"/>
      <w:r>
        <w:rPr>
          <w:rFonts w:hint="eastAsia" w:ascii="黑体" w:hAnsi="黑体" w:eastAsia="黑体"/>
          <w:b/>
          <w:color w:val="auto"/>
        </w:rPr>
        <w:t>投标文件的装订、密封和标记</w:t>
      </w:r>
      <w:bookmarkEnd w:id="36"/>
    </w:p>
    <w:p w14:paraId="6B5D57A7">
      <w:pPr>
        <w:pStyle w:val="30"/>
        <w:numPr>
          <w:ilvl w:val="0"/>
          <w:numId w:val="4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投标人应当对投标文件进行装订（所有文件均不允许采用活动夹方式装订），如投标人对招标文件多个包组进行投标的，其投标文件的编制应按每个包的要求分别装订和封装。</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478"/>
        <w:gridCol w:w="1624"/>
        <w:gridCol w:w="3971"/>
      </w:tblGrid>
      <w:tr w14:paraId="54A1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396" w:type="pct"/>
            <w:vAlign w:val="center"/>
          </w:tcPr>
          <w:p w14:paraId="2632FE1E">
            <w:pPr>
              <w:spacing w:line="360" w:lineRule="auto"/>
              <w:jc w:val="center"/>
              <w:rPr>
                <w:rFonts w:ascii="黑体" w:hAnsi="黑体" w:eastAsia="黑体"/>
                <w:b/>
                <w:color w:val="auto"/>
                <w:szCs w:val="21"/>
              </w:rPr>
            </w:pPr>
            <w:r>
              <w:rPr>
                <w:rFonts w:hint="eastAsia" w:ascii="黑体" w:hAnsi="黑体" w:eastAsia="黑体"/>
                <w:b/>
                <w:color w:val="auto"/>
                <w:szCs w:val="21"/>
              </w:rPr>
              <w:t>序号</w:t>
            </w:r>
          </w:p>
        </w:tc>
        <w:tc>
          <w:tcPr>
            <w:tcW w:w="1413" w:type="pct"/>
            <w:vAlign w:val="center"/>
          </w:tcPr>
          <w:p w14:paraId="1EC9DFE6">
            <w:pPr>
              <w:spacing w:line="360" w:lineRule="auto"/>
              <w:jc w:val="center"/>
              <w:rPr>
                <w:rFonts w:ascii="黑体" w:hAnsi="黑体" w:eastAsia="黑体"/>
                <w:b/>
                <w:color w:val="auto"/>
                <w:szCs w:val="21"/>
              </w:rPr>
            </w:pPr>
            <w:r>
              <w:rPr>
                <w:rFonts w:hint="eastAsia" w:ascii="黑体" w:hAnsi="黑体" w:eastAsia="黑体"/>
                <w:b/>
                <w:color w:val="auto"/>
                <w:szCs w:val="21"/>
              </w:rPr>
              <w:t>文件名称</w:t>
            </w:r>
          </w:p>
        </w:tc>
        <w:tc>
          <w:tcPr>
            <w:tcW w:w="926" w:type="pct"/>
            <w:vAlign w:val="center"/>
          </w:tcPr>
          <w:p w14:paraId="06B79859">
            <w:pPr>
              <w:spacing w:line="360" w:lineRule="auto"/>
              <w:jc w:val="center"/>
              <w:rPr>
                <w:rFonts w:ascii="黑体" w:hAnsi="黑体" w:eastAsia="黑体"/>
                <w:b/>
                <w:color w:val="auto"/>
                <w:szCs w:val="21"/>
              </w:rPr>
            </w:pPr>
            <w:r>
              <w:rPr>
                <w:rFonts w:hint="eastAsia" w:ascii="黑体" w:hAnsi="黑体" w:eastAsia="黑体"/>
                <w:b/>
                <w:color w:val="auto"/>
                <w:szCs w:val="21"/>
              </w:rPr>
              <w:t>装订</w:t>
            </w:r>
          </w:p>
        </w:tc>
        <w:tc>
          <w:tcPr>
            <w:tcW w:w="2264" w:type="pct"/>
            <w:vAlign w:val="center"/>
          </w:tcPr>
          <w:p w14:paraId="522AE064">
            <w:pPr>
              <w:spacing w:line="360" w:lineRule="auto"/>
              <w:jc w:val="center"/>
              <w:rPr>
                <w:rFonts w:ascii="黑体" w:hAnsi="黑体" w:eastAsia="黑体"/>
                <w:b/>
                <w:color w:val="auto"/>
                <w:szCs w:val="21"/>
              </w:rPr>
            </w:pPr>
            <w:r>
              <w:rPr>
                <w:rFonts w:hint="eastAsia" w:ascii="黑体" w:hAnsi="黑体" w:eastAsia="黑体"/>
                <w:b/>
                <w:color w:val="auto"/>
                <w:szCs w:val="21"/>
              </w:rPr>
              <w:t>包装</w:t>
            </w:r>
          </w:p>
        </w:tc>
      </w:tr>
      <w:tr w14:paraId="1365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pct"/>
            <w:vAlign w:val="center"/>
          </w:tcPr>
          <w:p w14:paraId="60383A9E">
            <w:pPr>
              <w:spacing w:line="360" w:lineRule="auto"/>
              <w:jc w:val="center"/>
              <w:rPr>
                <w:rFonts w:ascii="黑体" w:hAnsi="黑体" w:eastAsia="黑体"/>
                <w:color w:val="auto"/>
                <w:szCs w:val="21"/>
              </w:rPr>
            </w:pPr>
            <w:r>
              <w:rPr>
                <w:rFonts w:hint="eastAsia" w:ascii="黑体" w:hAnsi="黑体" w:eastAsia="黑体"/>
                <w:color w:val="auto"/>
                <w:szCs w:val="21"/>
              </w:rPr>
              <w:t>1</w:t>
            </w:r>
          </w:p>
        </w:tc>
        <w:tc>
          <w:tcPr>
            <w:tcW w:w="1413" w:type="pct"/>
            <w:vAlign w:val="center"/>
          </w:tcPr>
          <w:p w14:paraId="4D60CDF8">
            <w:pPr>
              <w:spacing w:line="360" w:lineRule="auto"/>
              <w:jc w:val="center"/>
              <w:rPr>
                <w:rFonts w:ascii="黑体" w:hAnsi="黑体" w:eastAsia="黑体"/>
                <w:color w:val="auto"/>
                <w:szCs w:val="21"/>
              </w:rPr>
            </w:pPr>
            <w:r>
              <w:rPr>
                <w:rFonts w:hint="eastAsia" w:ascii="黑体" w:hAnsi="黑体" w:eastAsia="黑体"/>
                <w:color w:val="auto"/>
                <w:szCs w:val="21"/>
              </w:rPr>
              <w:t>投标文件</w:t>
            </w:r>
          </w:p>
        </w:tc>
        <w:tc>
          <w:tcPr>
            <w:tcW w:w="926" w:type="pct"/>
            <w:vAlign w:val="center"/>
          </w:tcPr>
          <w:p w14:paraId="598E0645">
            <w:pPr>
              <w:spacing w:line="360" w:lineRule="auto"/>
              <w:jc w:val="center"/>
              <w:rPr>
                <w:rFonts w:ascii="黑体" w:hAnsi="黑体" w:eastAsia="黑体"/>
                <w:color w:val="auto"/>
                <w:szCs w:val="21"/>
              </w:rPr>
            </w:pPr>
            <w:r>
              <w:rPr>
                <w:rFonts w:hint="eastAsia" w:ascii="黑体" w:hAnsi="黑体" w:eastAsia="黑体"/>
                <w:color w:val="auto"/>
                <w:szCs w:val="21"/>
              </w:rPr>
              <w:t>独立装订</w:t>
            </w:r>
          </w:p>
        </w:tc>
        <w:tc>
          <w:tcPr>
            <w:tcW w:w="2264" w:type="pct"/>
            <w:vAlign w:val="center"/>
          </w:tcPr>
          <w:p w14:paraId="003C22C6">
            <w:pPr>
              <w:spacing w:line="360" w:lineRule="auto"/>
              <w:jc w:val="center"/>
              <w:rPr>
                <w:rFonts w:ascii="黑体" w:hAnsi="黑体" w:eastAsia="黑体"/>
                <w:color w:val="auto"/>
                <w:szCs w:val="21"/>
              </w:rPr>
            </w:pPr>
            <w:r>
              <w:rPr>
                <w:rFonts w:hint="eastAsia" w:ascii="黑体" w:hAnsi="黑体" w:eastAsia="黑体"/>
                <w:color w:val="auto"/>
                <w:szCs w:val="21"/>
              </w:rPr>
              <w:t>正本、副本一起密封包装</w:t>
            </w:r>
          </w:p>
        </w:tc>
      </w:tr>
      <w:tr w14:paraId="44A1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96" w:type="pct"/>
            <w:vAlign w:val="center"/>
          </w:tcPr>
          <w:p w14:paraId="29553D8D">
            <w:pPr>
              <w:spacing w:line="360" w:lineRule="auto"/>
              <w:jc w:val="center"/>
              <w:rPr>
                <w:rFonts w:ascii="黑体" w:hAnsi="黑体" w:eastAsia="黑体"/>
                <w:color w:val="auto"/>
                <w:szCs w:val="21"/>
              </w:rPr>
            </w:pPr>
            <w:r>
              <w:rPr>
                <w:rFonts w:ascii="黑体" w:hAnsi="黑体" w:eastAsia="黑体"/>
                <w:color w:val="auto"/>
                <w:szCs w:val="21"/>
              </w:rPr>
              <w:t>2</w:t>
            </w:r>
          </w:p>
        </w:tc>
        <w:tc>
          <w:tcPr>
            <w:tcW w:w="1413" w:type="pct"/>
            <w:vAlign w:val="center"/>
          </w:tcPr>
          <w:p w14:paraId="153033A8">
            <w:pPr>
              <w:spacing w:line="360" w:lineRule="auto"/>
              <w:jc w:val="center"/>
              <w:rPr>
                <w:rFonts w:ascii="黑体" w:hAnsi="黑体" w:eastAsia="黑体"/>
                <w:color w:val="auto"/>
                <w:szCs w:val="21"/>
              </w:rPr>
            </w:pPr>
            <w:r>
              <w:rPr>
                <w:rFonts w:hint="eastAsia" w:ascii="黑体" w:hAnsi="黑体" w:eastAsia="黑体"/>
                <w:color w:val="auto"/>
                <w:szCs w:val="21"/>
              </w:rPr>
              <w:t>唱标信封</w:t>
            </w:r>
          </w:p>
        </w:tc>
        <w:tc>
          <w:tcPr>
            <w:tcW w:w="926" w:type="pct"/>
            <w:vAlign w:val="center"/>
          </w:tcPr>
          <w:p w14:paraId="07C65620">
            <w:pPr>
              <w:spacing w:line="360" w:lineRule="auto"/>
              <w:jc w:val="center"/>
              <w:rPr>
                <w:rFonts w:ascii="黑体" w:hAnsi="黑体" w:eastAsia="黑体"/>
                <w:color w:val="auto"/>
                <w:szCs w:val="21"/>
              </w:rPr>
            </w:pPr>
            <w:r>
              <w:rPr>
                <w:rFonts w:hint="eastAsia" w:ascii="黑体" w:hAnsi="黑体" w:eastAsia="黑体"/>
                <w:color w:val="auto"/>
                <w:szCs w:val="21"/>
              </w:rPr>
              <w:t>独立装订</w:t>
            </w:r>
          </w:p>
        </w:tc>
        <w:tc>
          <w:tcPr>
            <w:tcW w:w="2264" w:type="pct"/>
            <w:vAlign w:val="center"/>
          </w:tcPr>
          <w:p w14:paraId="02481530">
            <w:pPr>
              <w:spacing w:line="360" w:lineRule="auto"/>
              <w:jc w:val="center"/>
              <w:rPr>
                <w:rFonts w:ascii="黑体" w:hAnsi="黑体" w:eastAsia="黑体"/>
                <w:color w:val="auto"/>
                <w:szCs w:val="21"/>
              </w:rPr>
            </w:pPr>
            <w:r>
              <w:rPr>
                <w:rFonts w:hint="eastAsia" w:ascii="黑体" w:hAnsi="黑体" w:eastAsia="黑体"/>
                <w:color w:val="auto"/>
                <w:szCs w:val="21"/>
              </w:rPr>
              <w:t>单独密封包装(内附电子文件)</w:t>
            </w:r>
          </w:p>
        </w:tc>
      </w:tr>
    </w:tbl>
    <w:p w14:paraId="2DB1C15F">
      <w:pPr>
        <w:pStyle w:val="30"/>
        <w:numPr>
          <w:ilvl w:val="0"/>
          <w:numId w:val="4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电子文件</w:t>
      </w:r>
      <w:bookmarkStart w:id="37" w:name="_Hlk86740118"/>
      <w:r>
        <w:rPr>
          <w:rFonts w:hint="eastAsia" w:ascii="黑体" w:hAnsi="黑体" w:eastAsia="黑体"/>
          <w:bCs/>
          <w:color w:val="auto"/>
          <w:szCs w:val="21"/>
        </w:rPr>
        <w:t>须同时提交以下文件</w:t>
      </w:r>
      <w:bookmarkEnd w:id="37"/>
      <w:r>
        <w:rPr>
          <w:rFonts w:hint="eastAsia" w:ascii="黑体" w:hAnsi="黑体" w:eastAsia="黑体"/>
          <w:bCs/>
          <w:color w:val="auto"/>
          <w:szCs w:val="21"/>
        </w:rPr>
        <w:t>：</w:t>
      </w:r>
      <w:bookmarkStart w:id="38" w:name="_Hlk86740096"/>
      <w:r>
        <w:rPr>
          <w:rFonts w:hint="eastAsia" w:ascii="黑体" w:hAnsi="黑体" w:eastAsia="黑体"/>
          <w:bCs/>
          <w:color w:val="auto"/>
          <w:szCs w:val="21"/>
        </w:rPr>
        <w:t>①可编辑的WORD或 EXCEL 格式文件。②按招标文件要求签署、盖章后的正本投标文件扫描成PDF格式文件。</w:t>
      </w:r>
      <w:r>
        <w:rPr>
          <w:rFonts w:ascii="黑体" w:hAnsi="黑体" w:eastAsia="黑体"/>
          <w:bCs/>
          <w:color w:val="auto"/>
          <w:szCs w:val="21"/>
        </w:rPr>
        <w:t>电子文件</w:t>
      </w:r>
      <w:r>
        <w:rPr>
          <w:rFonts w:hint="eastAsia" w:ascii="黑体" w:hAnsi="黑体" w:eastAsia="黑体"/>
          <w:bCs/>
          <w:color w:val="auto"/>
          <w:szCs w:val="21"/>
        </w:rPr>
        <w:t>由</w:t>
      </w:r>
      <w:r>
        <w:rPr>
          <w:rFonts w:ascii="黑体" w:hAnsi="黑体" w:eastAsia="黑体"/>
          <w:bCs/>
          <w:color w:val="auto"/>
          <w:szCs w:val="21"/>
        </w:rPr>
        <w:t>CD-R光盘</w:t>
      </w:r>
      <w:r>
        <w:rPr>
          <w:rFonts w:hint="eastAsia" w:ascii="黑体" w:hAnsi="黑体" w:eastAsia="黑体"/>
          <w:bCs/>
          <w:color w:val="auto"/>
          <w:szCs w:val="21"/>
        </w:rPr>
        <w:t>或U盘</w:t>
      </w:r>
      <w:r>
        <w:rPr>
          <w:rFonts w:ascii="黑体" w:hAnsi="黑体" w:eastAsia="黑体"/>
          <w:bCs/>
          <w:color w:val="auto"/>
          <w:szCs w:val="21"/>
        </w:rPr>
        <w:t>储存</w:t>
      </w:r>
      <w:bookmarkEnd w:id="38"/>
      <w:r>
        <w:rPr>
          <w:rFonts w:hint="eastAsia" w:ascii="黑体" w:hAnsi="黑体" w:eastAsia="黑体"/>
          <w:bCs/>
          <w:color w:val="auto"/>
          <w:szCs w:val="21"/>
        </w:rPr>
        <w:t>。</w:t>
      </w:r>
    </w:p>
    <w:p w14:paraId="02E0FB24">
      <w:pPr>
        <w:pStyle w:val="30"/>
        <w:numPr>
          <w:ilvl w:val="0"/>
          <w:numId w:val="4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为方便开标唱标，投标人应将投标函、开标一览表、分项报价表、法定代表人身份证明书或法定代表人授权委托书一起密封提交，若联合体投标，应将各方共同签署的《联合体投标协议》一并提交；并在信封上标明“唱标信封”的字样。</w:t>
      </w:r>
    </w:p>
    <w:p w14:paraId="632EB161">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投标文件</w:t>
      </w:r>
      <w:r>
        <w:rPr>
          <w:rFonts w:hint="eastAsia" w:ascii="黑体" w:hAnsi="黑体" w:eastAsia="黑体"/>
          <w:b/>
          <w:bCs/>
          <w:color w:val="auto"/>
          <w:szCs w:val="21"/>
        </w:rPr>
        <w:t>包装密封</w:t>
      </w:r>
    </w:p>
    <w:p w14:paraId="4E2E269D">
      <w:pPr>
        <w:pStyle w:val="30"/>
        <w:numPr>
          <w:ilvl w:val="0"/>
          <w:numId w:val="42"/>
        </w:numPr>
        <w:tabs>
          <w:tab w:val="left" w:pos="567"/>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投标人应将投标文件密封包装；</w:t>
      </w:r>
    </w:p>
    <w:p w14:paraId="3477BA4C">
      <w:pPr>
        <w:pStyle w:val="30"/>
        <w:numPr>
          <w:ilvl w:val="0"/>
          <w:numId w:val="42"/>
        </w:numPr>
        <w:tabs>
          <w:tab w:val="left" w:pos="567"/>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不足以造成投标文件可从外包装内散出而导致投标文件泄密的，不认定为投标文件未密封。</w:t>
      </w:r>
    </w:p>
    <w:p w14:paraId="17C304CA">
      <w:pPr>
        <w:pStyle w:val="30"/>
        <w:numPr>
          <w:ilvl w:val="0"/>
          <w:numId w:val="42"/>
        </w:numPr>
        <w:tabs>
          <w:tab w:val="left" w:pos="567"/>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包装封套均应注明：</w:t>
      </w:r>
    </w:p>
    <w:p w14:paraId="411EF93A">
      <w:pPr>
        <w:pStyle w:val="30"/>
        <w:spacing w:line="360" w:lineRule="auto"/>
        <w:ind w:left="567" w:firstLine="0" w:firstLineChars="0"/>
        <w:rPr>
          <w:rFonts w:ascii="黑体" w:hAnsi="黑体" w:eastAsia="黑体"/>
          <w:color w:val="auto"/>
          <w:szCs w:val="21"/>
          <w:u w:val="single"/>
        </w:rPr>
      </w:pPr>
      <w:r>
        <w:rPr>
          <w:rFonts w:hint="eastAsia" w:ascii="黑体" w:hAnsi="黑体" w:eastAsia="黑体"/>
          <w:bCs/>
          <w:color w:val="auto"/>
          <w:szCs w:val="21"/>
        </w:rPr>
        <w:t>收件人名称：</w:t>
      </w:r>
      <w:r>
        <w:rPr>
          <w:rFonts w:ascii="黑体" w:hAnsi="黑体" w:eastAsia="黑体"/>
          <w:color w:val="auto"/>
          <w:szCs w:val="21"/>
          <w:u w:val="single"/>
        </w:rPr>
        <w:t xml:space="preserve">广东有德招标采购有限公司         </w:t>
      </w:r>
    </w:p>
    <w:p w14:paraId="66677F53">
      <w:pPr>
        <w:pStyle w:val="30"/>
        <w:spacing w:line="360" w:lineRule="auto"/>
        <w:ind w:left="567" w:firstLine="0" w:firstLineChars="0"/>
        <w:rPr>
          <w:rFonts w:ascii="黑体" w:hAnsi="黑体" w:eastAsia="黑体"/>
          <w:bCs/>
          <w:color w:val="auto"/>
          <w:szCs w:val="21"/>
        </w:rPr>
      </w:pPr>
      <w:r>
        <w:rPr>
          <w:rFonts w:hint="eastAsia" w:ascii="黑体" w:hAnsi="黑体" w:eastAsia="黑体"/>
          <w:color w:val="auto"/>
          <w:szCs w:val="21"/>
        </w:rPr>
        <w:t>投标人名称：</w:t>
      </w:r>
      <w:r>
        <w:rPr>
          <w:rFonts w:ascii="黑体" w:hAnsi="黑体" w:eastAsia="黑体"/>
          <w:color w:val="auto"/>
          <w:szCs w:val="21"/>
          <w:u w:val="single"/>
        </w:rPr>
        <w:t xml:space="preserve">                                 </w:t>
      </w:r>
    </w:p>
    <w:p w14:paraId="377D0E58">
      <w:pPr>
        <w:pStyle w:val="30"/>
        <w:spacing w:line="360" w:lineRule="auto"/>
        <w:ind w:left="567" w:firstLine="0" w:firstLineChars="0"/>
        <w:rPr>
          <w:rFonts w:ascii="黑体" w:hAnsi="黑体" w:eastAsia="黑体"/>
          <w:bCs/>
          <w:color w:val="auto"/>
          <w:szCs w:val="21"/>
        </w:rPr>
      </w:pPr>
      <w:r>
        <w:rPr>
          <w:rFonts w:hint="eastAsia" w:ascii="黑体" w:hAnsi="黑体" w:eastAsia="黑体"/>
          <w:bCs/>
          <w:color w:val="auto"/>
          <w:szCs w:val="21"/>
        </w:rPr>
        <w:t>项目名称：</w:t>
      </w:r>
      <w:r>
        <w:rPr>
          <w:rFonts w:ascii="黑体" w:hAnsi="黑体" w:eastAsia="黑体"/>
          <w:bCs/>
          <w:color w:val="auto"/>
          <w:szCs w:val="21"/>
          <w:u w:val="single"/>
        </w:rPr>
        <w:t xml:space="preserve">        （详见投标邀请）         </w:t>
      </w:r>
    </w:p>
    <w:p w14:paraId="22D7DBD1">
      <w:pPr>
        <w:pStyle w:val="30"/>
        <w:spacing w:line="360" w:lineRule="auto"/>
        <w:ind w:left="567" w:firstLine="0" w:firstLineChars="0"/>
        <w:rPr>
          <w:rFonts w:ascii="黑体" w:hAnsi="黑体" w:eastAsia="黑体"/>
          <w:bCs/>
          <w:color w:val="auto"/>
          <w:szCs w:val="21"/>
        </w:rPr>
      </w:pPr>
      <w:r>
        <w:rPr>
          <w:rFonts w:hint="eastAsia" w:ascii="黑体" w:hAnsi="黑体" w:eastAsia="黑体"/>
          <w:bCs/>
          <w:color w:val="auto"/>
          <w:szCs w:val="21"/>
        </w:rPr>
        <w:t>项目编号：</w:t>
      </w:r>
      <w:r>
        <w:rPr>
          <w:rFonts w:ascii="黑体" w:hAnsi="黑体" w:eastAsia="黑体"/>
          <w:bCs/>
          <w:color w:val="auto"/>
          <w:szCs w:val="21"/>
          <w:u w:val="single"/>
        </w:rPr>
        <w:t xml:space="preserve">        （详见投标邀请）         </w:t>
      </w:r>
    </w:p>
    <w:p w14:paraId="17CC9906">
      <w:pPr>
        <w:pStyle w:val="30"/>
        <w:spacing w:line="360" w:lineRule="auto"/>
        <w:ind w:left="567" w:firstLine="0" w:firstLineChars="0"/>
        <w:rPr>
          <w:rFonts w:ascii="黑体" w:hAnsi="黑体" w:eastAsia="黑体"/>
          <w:bCs/>
          <w:color w:val="auto"/>
          <w:szCs w:val="21"/>
        </w:rPr>
      </w:pPr>
      <w:r>
        <w:rPr>
          <w:rFonts w:hint="eastAsia" w:ascii="黑体" w:hAnsi="黑体" w:eastAsia="黑体"/>
          <w:bCs/>
          <w:color w:val="auto"/>
          <w:szCs w:val="21"/>
        </w:rPr>
        <w:t>注明：“</w:t>
      </w:r>
      <w:r>
        <w:rPr>
          <w:rFonts w:hint="eastAsia" w:ascii="黑体" w:hAnsi="黑体" w:eastAsia="黑体"/>
          <w:bCs/>
          <w:color w:val="auto"/>
          <w:szCs w:val="21"/>
          <w:u w:val="single"/>
        </w:rPr>
        <w:t>于</w:t>
      </w:r>
      <w:r>
        <w:rPr>
          <w:rFonts w:ascii="黑体" w:hAnsi="黑体" w:eastAsia="黑体"/>
          <w:bCs/>
          <w:color w:val="auto"/>
          <w:szCs w:val="21"/>
          <w:u w:val="single"/>
        </w:rPr>
        <w:t xml:space="preserve">  </w:t>
      </w:r>
      <w:r>
        <w:rPr>
          <w:rFonts w:hint="eastAsia" w:ascii="黑体" w:hAnsi="黑体" w:eastAsia="黑体"/>
          <w:bCs/>
          <w:color w:val="auto"/>
          <w:szCs w:val="21"/>
          <w:u w:val="single"/>
        </w:rPr>
        <w:t>年</w:t>
      </w:r>
      <w:r>
        <w:rPr>
          <w:rFonts w:ascii="黑体" w:hAnsi="黑体" w:eastAsia="黑体"/>
          <w:bCs/>
          <w:color w:val="auto"/>
          <w:szCs w:val="21"/>
          <w:u w:val="single"/>
        </w:rPr>
        <w:t xml:space="preserve">  </w:t>
      </w:r>
      <w:r>
        <w:rPr>
          <w:rFonts w:hint="eastAsia" w:ascii="黑体" w:hAnsi="黑体" w:eastAsia="黑体"/>
          <w:bCs/>
          <w:color w:val="auto"/>
          <w:szCs w:val="21"/>
          <w:u w:val="single"/>
        </w:rPr>
        <w:t>月</w:t>
      </w:r>
      <w:r>
        <w:rPr>
          <w:rFonts w:ascii="黑体" w:hAnsi="黑体" w:eastAsia="黑体"/>
          <w:bCs/>
          <w:color w:val="auto"/>
          <w:szCs w:val="21"/>
          <w:u w:val="single"/>
        </w:rPr>
        <w:t xml:space="preserve">  </w:t>
      </w:r>
      <w:r>
        <w:rPr>
          <w:rFonts w:hint="eastAsia" w:ascii="黑体" w:hAnsi="黑体" w:eastAsia="黑体"/>
          <w:bCs/>
          <w:color w:val="auto"/>
          <w:szCs w:val="21"/>
          <w:u w:val="single"/>
        </w:rPr>
        <w:t>日北京时间</w:t>
      </w:r>
      <w:r>
        <w:rPr>
          <w:rFonts w:ascii="黑体" w:hAnsi="黑体" w:eastAsia="黑体"/>
          <w:bCs/>
          <w:color w:val="auto"/>
          <w:szCs w:val="21"/>
          <w:u w:val="single"/>
        </w:rPr>
        <w:t xml:space="preserve">  ：</w:t>
      </w:r>
      <w:r>
        <w:rPr>
          <w:rFonts w:hint="eastAsia" w:ascii="黑体" w:hAnsi="黑体" w:eastAsia="黑体"/>
          <w:bCs/>
          <w:color w:val="auto"/>
          <w:szCs w:val="21"/>
          <w:u w:val="single"/>
        </w:rPr>
        <w:t xml:space="preserve"> </w:t>
      </w:r>
      <w:r>
        <w:rPr>
          <w:rFonts w:ascii="黑体" w:hAnsi="黑体" w:eastAsia="黑体"/>
          <w:bCs/>
          <w:color w:val="auto"/>
          <w:szCs w:val="21"/>
          <w:u w:val="single"/>
        </w:rPr>
        <w:t xml:space="preserve"> </w:t>
      </w:r>
      <w:r>
        <w:rPr>
          <w:rFonts w:hint="eastAsia" w:ascii="黑体" w:hAnsi="黑体" w:eastAsia="黑体"/>
          <w:bCs/>
          <w:color w:val="auto"/>
          <w:szCs w:val="21"/>
        </w:rPr>
        <w:t>（详见投标邀请）之前不得启封”的字样。</w:t>
      </w:r>
    </w:p>
    <w:p w14:paraId="20A85147">
      <w:pPr>
        <w:pStyle w:val="30"/>
        <w:numPr>
          <w:ilvl w:val="0"/>
          <w:numId w:val="42"/>
        </w:numPr>
        <w:tabs>
          <w:tab w:val="left" w:pos="567"/>
        </w:tabs>
        <w:spacing w:line="360" w:lineRule="auto"/>
        <w:ind w:left="567" w:hanging="567" w:firstLineChars="0"/>
        <w:rPr>
          <w:rFonts w:ascii="黑体" w:hAnsi="黑体" w:eastAsia="黑体"/>
          <w:bCs/>
          <w:color w:val="auto"/>
          <w:spacing w:val="-4"/>
          <w:szCs w:val="21"/>
        </w:rPr>
      </w:pPr>
      <w:r>
        <w:rPr>
          <w:rFonts w:hint="eastAsia" w:ascii="黑体" w:hAnsi="黑体" w:eastAsia="黑体"/>
          <w:bCs/>
          <w:color w:val="auto"/>
          <w:spacing w:val="-4"/>
          <w:szCs w:val="21"/>
        </w:rPr>
        <w:t>如果未按本须知上款要求加写标记和密封，采购代理机构对误投或提前启封概不负责。</w:t>
      </w:r>
    </w:p>
    <w:p w14:paraId="3E50B696">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投标截止期</w:t>
      </w:r>
    </w:p>
    <w:p w14:paraId="5E1C1D8A">
      <w:pPr>
        <w:pStyle w:val="30"/>
        <w:numPr>
          <w:ilvl w:val="0"/>
          <w:numId w:val="43"/>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投标人应在不迟于</w:t>
      </w:r>
      <w:r>
        <w:rPr>
          <w:rFonts w:hint="eastAsia" w:ascii="黑体" w:hAnsi="黑体" w:eastAsia="黑体"/>
          <w:b/>
          <w:bCs/>
          <w:color w:val="auto"/>
          <w:szCs w:val="21"/>
          <w:u w:val="single"/>
        </w:rPr>
        <w:t>投标邀请</w:t>
      </w:r>
      <w:r>
        <w:rPr>
          <w:rFonts w:hint="eastAsia" w:ascii="黑体" w:hAnsi="黑体" w:eastAsia="黑体"/>
          <w:bCs/>
          <w:color w:val="auto"/>
          <w:szCs w:val="21"/>
        </w:rPr>
        <w:t>中规定的截止日期和时间将投标文件递交至采购代理机构，递交地点应是</w:t>
      </w:r>
      <w:r>
        <w:rPr>
          <w:rFonts w:hint="eastAsia" w:ascii="黑体" w:hAnsi="黑体" w:eastAsia="黑体"/>
          <w:b/>
          <w:bCs/>
          <w:color w:val="auto"/>
          <w:szCs w:val="21"/>
          <w:u w:val="single"/>
        </w:rPr>
        <w:t>投标邀请</w:t>
      </w:r>
      <w:r>
        <w:rPr>
          <w:rFonts w:hint="eastAsia" w:ascii="黑体" w:hAnsi="黑体" w:eastAsia="黑体"/>
          <w:bCs/>
          <w:color w:val="auto"/>
          <w:szCs w:val="21"/>
        </w:rPr>
        <w:t>中指明的地址。</w:t>
      </w:r>
    </w:p>
    <w:p w14:paraId="2108CA78">
      <w:pPr>
        <w:pStyle w:val="30"/>
        <w:numPr>
          <w:ilvl w:val="0"/>
          <w:numId w:val="43"/>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采购代理机构将拒绝在规定的投标截止期后收到的任何投标文件。</w:t>
      </w:r>
    </w:p>
    <w:p w14:paraId="12645117">
      <w:pPr>
        <w:pStyle w:val="30"/>
        <w:numPr>
          <w:ilvl w:val="0"/>
          <w:numId w:val="21"/>
        </w:numPr>
        <w:spacing w:before="312" w:beforeLines="100" w:line="360" w:lineRule="auto"/>
        <w:ind w:firstLineChars="0"/>
        <w:rPr>
          <w:rFonts w:ascii="黑体" w:hAnsi="黑体" w:eastAsia="黑体"/>
          <w:b/>
          <w:color w:val="auto"/>
        </w:rPr>
      </w:pPr>
      <w:bookmarkStart w:id="39" w:name="_Toc357676133"/>
      <w:r>
        <w:rPr>
          <w:rFonts w:hint="eastAsia" w:ascii="黑体" w:hAnsi="黑体" w:eastAsia="黑体"/>
          <w:b/>
          <w:color w:val="auto"/>
        </w:rPr>
        <w:t>投标文件的修改和撤回</w:t>
      </w:r>
      <w:bookmarkEnd w:id="39"/>
    </w:p>
    <w:p w14:paraId="4F5A9FAD">
      <w:pPr>
        <w:pStyle w:val="30"/>
        <w:numPr>
          <w:ilvl w:val="0"/>
          <w:numId w:val="44"/>
        </w:numPr>
        <w:spacing w:line="360" w:lineRule="auto"/>
        <w:ind w:left="567" w:hanging="567" w:firstLineChars="0"/>
        <w:rPr>
          <w:rFonts w:ascii="黑体" w:hAnsi="黑体" w:eastAsia="黑体"/>
          <w:bCs/>
          <w:color w:val="auto"/>
          <w:szCs w:val="21"/>
        </w:rPr>
      </w:pPr>
      <w:r>
        <w:rPr>
          <w:rFonts w:hint="eastAsia" w:ascii="黑体" w:hAnsi="黑体" w:eastAsia="黑体"/>
          <w:bCs/>
          <w:color w:val="auto"/>
          <w:spacing w:val="-2"/>
          <w:szCs w:val="21"/>
        </w:rPr>
        <w:t>投</w:t>
      </w:r>
      <w:r>
        <w:rPr>
          <w:rFonts w:hint="eastAsia" w:ascii="黑体" w:hAnsi="黑体" w:eastAsia="黑体"/>
          <w:bCs/>
          <w:color w:val="auto"/>
          <w:szCs w:val="21"/>
        </w:rPr>
        <w:t>标人在投标截止时间前，可以对所递交的投标文件进行补充、修改或者撤回，并书面通知采购代理机构。补充、修改的内容应当按照招标文件要求签署、盖章，密封后，作为投标文件的组成部分。</w:t>
      </w:r>
    </w:p>
    <w:p w14:paraId="1CBA64D8">
      <w:pPr>
        <w:pStyle w:val="30"/>
        <w:numPr>
          <w:ilvl w:val="0"/>
          <w:numId w:val="44"/>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在投标截止时间之后，投标人不得对其投标文件做任何修改和补充。</w:t>
      </w:r>
    </w:p>
    <w:p w14:paraId="30DDAF2E">
      <w:pPr>
        <w:pStyle w:val="30"/>
        <w:numPr>
          <w:ilvl w:val="0"/>
          <w:numId w:val="44"/>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在提交投标文件截止时间至投标有效期满之前，投标人不得撤回其投标文件。</w:t>
      </w:r>
    </w:p>
    <w:p w14:paraId="261FD5B2">
      <w:pPr>
        <w:pStyle w:val="30"/>
        <w:numPr>
          <w:ilvl w:val="0"/>
          <w:numId w:val="20"/>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开标与评标准则</w:t>
      </w:r>
    </w:p>
    <w:p w14:paraId="4E1DB306">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开标</w:t>
      </w:r>
    </w:p>
    <w:p w14:paraId="597993F4">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采购代理机构按</w:t>
      </w:r>
      <w:r>
        <w:rPr>
          <w:rFonts w:hint="eastAsia" w:ascii="黑体" w:hAnsi="黑体" w:eastAsia="黑体"/>
          <w:b/>
          <w:bCs/>
          <w:color w:val="auto"/>
          <w:szCs w:val="21"/>
          <w:u w:val="single"/>
        </w:rPr>
        <w:t>投标邀请</w:t>
      </w:r>
      <w:r>
        <w:rPr>
          <w:rFonts w:hint="eastAsia" w:ascii="黑体" w:hAnsi="黑体" w:eastAsia="黑体"/>
          <w:bCs/>
          <w:color w:val="auto"/>
          <w:szCs w:val="21"/>
        </w:rPr>
        <w:t>中规定的日期、时间和地点组织公开开标。开标时邀请所有投标人代表参加。参加开标的法定代表人或其授权代表携带有效身份证签名报到以证明其出席。</w:t>
      </w:r>
    </w:p>
    <w:p w14:paraId="51AB41FA">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开标由采购代理机构主持，邀请投标人参加。评标委员会成员不得参加开标活动。</w:t>
      </w:r>
    </w:p>
    <w:p w14:paraId="29C69B4F">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投标人不足</w:t>
      </w:r>
      <w:r>
        <w:rPr>
          <w:rFonts w:ascii="黑体" w:hAnsi="黑体" w:eastAsia="黑体"/>
          <w:bCs/>
          <w:color w:val="auto"/>
          <w:szCs w:val="21"/>
        </w:rPr>
        <w:t>3家的，不得开标。</w:t>
      </w:r>
    </w:p>
    <w:p w14:paraId="5F6800C1">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开标时，由投标人或其推选的代表检查投标文件的密封情况；经确认无误后，由采购人或采购代理机构工作人员当众拆封，宣布投标人名称、投标价格和招标文件规定的需要宣布的其他内容。</w:t>
      </w:r>
    </w:p>
    <w:p w14:paraId="1C81B6E0">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开标过程应当由采购人或者采购代理机构负责记录，由参加开标的各投标人代表和相关工作人员签字确认。</w:t>
      </w:r>
    </w:p>
    <w:p w14:paraId="0BF7CF82">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5D5DCC0F">
      <w:pPr>
        <w:pStyle w:val="30"/>
        <w:numPr>
          <w:ilvl w:val="0"/>
          <w:numId w:val="45"/>
        </w:numPr>
        <w:tabs>
          <w:tab w:val="left" w:pos="420"/>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投标人未参加开标的，视同认可开标结果。</w:t>
      </w:r>
    </w:p>
    <w:p w14:paraId="7AA1E3B5">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评标委员会和评标方法</w:t>
      </w:r>
    </w:p>
    <w:p w14:paraId="22D80E92">
      <w:pPr>
        <w:pStyle w:val="30"/>
        <w:numPr>
          <w:ilvl w:val="0"/>
          <w:numId w:val="46"/>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评标由依照政府采购法律、法规、规章、政策的规定，组建的评标委员会负责。</w:t>
      </w:r>
    </w:p>
    <w:p w14:paraId="76504129">
      <w:pPr>
        <w:pStyle w:val="30"/>
        <w:numPr>
          <w:ilvl w:val="0"/>
          <w:numId w:val="46"/>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评标委员会由采购人代表和评审专家组成，成员人数应为</w:t>
      </w:r>
      <w:r>
        <w:rPr>
          <w:rFonts w:hint="eastAsia" w:ascii="黑体" w:hAnsi="黑体" w:eastAsia="黑体"/>
          <w:b/>
          <w:color w:val="auto"/>
          <w:szCs w:val="21"/>
          <w:u w:val="single"/>
        </w:rPr>
        <w:t>详见投标人须知前附表</w:t>
      </w:r>
      <w:r>
        <w:rPr>
          <w:rFonts w:ascii="黑体" w:hAnsi="黑体" w:eastAsia="黑体"/>
          <w:bCs/>
          <w:color w:val="auto"/>
          <w:szCs w:val="21"/>
        </w:rPr>
        <w:t>，其中评审专家不得少于成员总数的三分之二。</w:t>
      </w:r>
    </w:p>
    <w:p w14:paraId="1EE4DF5A">
      <w:pPr>
        <w:pStyle w:val="30"/>
        <w:numPr>
          <w:ilvl w:val="0"/>
          <w:numId w:val="46"/>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评标委员会成员依法从政府采购评审专家库中，通过随机方式抽取。</w:t>
      </w:r>
    </w:p>
    <w:p w14:paraId="62DEF047">
      <w:pPr>
        <w:pStyle w:val="30"/>
        <w:numPr>
          <w:ilvl w:val="0"/>
          <w:numId w:val="46"/>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评标委员会将按照招标文件确定的评标方法进行评标。评标委员会对投标文件的评审分为符合性检查和商务评审、技术评审、价格评审。</w:t>
      </w:r>
    </w:p>
    <w:p w14:paraId="4C8A276C">
      <w:pPr>
        <w:pStyle w:val="30"/>
        <w:numPr>
          <w:ilvl w:val="0"/>
          <w:numId w:val="46"/>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本次评标采用</w:t>
      </w:r>
      <w:r>
        <w:rPr>
          <w:rFonts w:ascii="黑体" w:hAnsi="黑体" w:eastAsia="黑体"/>
          <w:b/>
          <w:bCs/>
          <w:color w:val="auto"/>
          <w:szCs w:val="21"/>
          <w:u w:val="single"/>
        </w:rPr>
        <w:t xml:space="preserve"> 详见</w:t>
      </w:r>
      <w:r>
        <w:rPr>
          <w:rFonts w:hint="eastAsia" w:ascii="黑体" w:hAnsi="黑体" w:eastAsia="黑体"/>
          <w:b/>
          <w:bCs/>
          <w:color w:val="auto"/>
          <w:szCs w:val="21"/>
          <w:u w:val="single"/>
        </w:rPr>
        <w:t>投标人须知前附表</w:t>
      </w:r>
      <w:r>
        <w:rPr>
          <w:rFonts w:ascii="黑体" w:hAnsi="黑体" w:eastAsia="黑体"/>
          <w:b/>
          <w:bCs/>
          <w:color w:val="auto"/>
          <w:szCs w:val="21"/>
          <w:u w:val="single"/>
        </w:rPr>
        <w:t xml:space="preserve"> </w:t>
      </w:r>
      <w:r>
        <w:rPr>
          <w:rFonts w:hint="eastAsia" w:ascii="黑体" w:hAnsi="黑体" w:eastAsia="黑体"/>
          <w:bCs/>
          <w:color w:val="auto"/>
          <w:szCs w:val="21"/>
        </w:rPr>
        <w:t>中选定的方法，具体见招标文件第五部分“评标方法、步骤、标准”。</w:t>
      </w:r>
    </w:p>
    <w:p w14:paraId="695310AF">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投标文件的资格性与符合性审查</w:t>
      </w:r>
    </w:p>
    <w:p w14:paraId="4D0154D1">
      <w:pPr>
        <w:pStyle w:val="30"/>
        <w:numPr>
          <w:ilvl w:val="0"/>
          <w:numId w:val="47"/>
        </w:numPr>
        <w:tabs>
          <w:tab w:val="left" w:pos="426"/>
          <w:tab w:val="left" w:pos="567"/>
        </w:tabs>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 xml:space="preserve"> 资格性审查：</w:t>
      </w:r>
      <w:bookmarkStart w:id="40" w:name="_Hlk90649924"/>
      <w:bookmarkStart w:id="41" w:name="_Hlk79422321"/>
      <w:r>
        <w:rPr>
          <w:rFonts w:hint="eastAsia" w:ascii="黑体" w:hAnsi="黑体" w:eastAsia="黑体"/>
          <w:bCs/>
          <w:color w:val="auto"/>
          <w:szCs w:val="21"/>
        </w:rPr>
        <w:t>公开招标采购项目开标结束后</w:t>
      </w:r>
      <w:bookmarkEnd w:id="40"/>
      <w:r>
        <w:rPr>
          <w:rFonts w:hint="eastAsia" w:ascii="黑体" w:hAnsi="黑体" w:eastAsia="黑体"/>
          <w:bCs/>
          <w:color w:val="auto"/>
          <w:szCs w:val="21"/>
        </w:rPr>
        <w:t>，采购人或者采购代理机构应当依法对投标人的资格进行审查</w:t>
      </w:r>
      <w:bookmarkEnd w:id="41"/>
      <w:r>
        <w:rPr>
          <w:rFonts w:hint="eastAsia" w:ascii="黑体" w:hAnsi="黑体" w:eastAsia="黑体"/>
          <w:bCs/>
          <w:color w:val="auto"/>
          <w:szCs w:val="21"/>
        </w:rPr>
        <w:t>。</w:t>
      </w:r>
    </w:p>
    <w:p w14:paraId="5D8B6F76">
      <w:pPr>
        <w:pStyle w:val="30"/>
        <w:numPr>
          <w:ilvl w:val="0"/>
          <w:numId w:val="4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符合性审查：评标委员会对符合资格的投标人的投标文件进行符合性审查，以确定其是否满足招标文件实质性要求。</w:t>
      </w:r>
    </w:p>
    <w:p w14:paraId="03D0AF92">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投标文件的澄清</w:t>
      </w:r>
    </w:p>
    <w:p w14:paraId="40D2EE54">
      <w:pPr>
        <w:pStyle w:val="30"/>
        <w:numPr>
          <w:ilvl w:val="0"/>
          <w:numId w:val="48"/>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评标期间，对于投标文件中含义不明确、同类问题表述不一致或者有明显文字和计算错误的内容，评标委员会以书面的形式要求投标人作出必要的澄清、说明或者补正。</w:t>
      </w:r>
    </w:p>
    <w:p w14:paraId="1BF7EC6A">
      <w:pPr>
        <w:pStyle w:val="30"/>
        <w:numPr>
          <w:ilvl w:val="0"/>
          <w:numId w:val="48"/>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投标人的澄清、说明或者补正采用书面形式，并加盖公章，或者由法定代表人或其授权的代表签字。投标人的澄清、说明或者补正不得超出投标文件的范围或者改变投标文件的实质性内容。</w:t>
      </w:r>
    </w:p>
    <w:p w14:paraId="4C82018A">
      <w:pPr>
        <w:pStyle w:val="30"/>
        <w:numPr>
          <w:ilvl w:val="0"/>
          <w:numId w:val="48"/>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投标人的澄清文件是其投标文件的组成部分。</w:t>
      </w:r>
    </w:p>
    <w:p w14:paraId="25320FDD">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定标原则与授标</w:t>
      </w:r>
    </w:p>
    <w:p w14:paraId="4B4AFD41">
      <w:pPr>
        <w:pStyle w:val="30"/>
        <w:numPr>
          <w:ilvl w:val="0"/>
          <w:numId w:val="4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评标委员会按照招标文件确定的评标方法、步骤、标准，对投标文件进行评审，提出书面评标报告。</w:t>
      </w:r>
    </w:p>
    <w:p w14:paraId="2BBFDF98">
      <w:pPr>
        <w:pStyle w:val="30"/>
        <w:numPr>
          <w:ilvl w:val="0"/>
          <w:numId w:val="49"/>
        </w:numPr>
        <w:spacing w:line="360" w:lineRule="auto"/>
        <w:ind w:left="567" w:hanging="567" w:firstLineChars="0"/>
        <w:rPr>
          <w:rFonts w:ascii="黑体" w:hAnsi="黑体" w:eastAsia="黑体"/>
          <w:bCs/>
          <w:color w:val="auto"/>
          <w:szCs w:val="21"/>
        </w:rPr>
      </w:pPr>
      <w:r>
        <w:rPr>
          <w:rFonts w:ascii="黑体" w:hAnsi="黑体" w:eastAsia="黑体"/>
          <w:bCs/>
          <w:color w:val="auto"/>
          <w:szCs w:val="21"/>
        </w:rPr>
        <w:t>采购代理机构</w:t>
      </w:r>
      <w:r>
        <w:rPr>
          <w:rFonts w:hint="eastAsia" w:ascii="黑体" w:hAnsi="黑体" w:eastAsia="黑体"/>
          <w:bCs/>
          <w:color w:val="auto"/>
          <w:szCs w:val="21"/>
        </w:rPr>
        <w:t>自评标</w:t>
      </w:r>
      <w:r>
        <w:rPr>
          <w:rFonts w:ascii="黑体" w:hAnsi="黑体" w:eastAsia="黑体"/>
          <w:bCs/>
          <w:color w:val="auto"/>
          <w:szCs w:val="21"/>
        </w:rPr>
        <w:t>结束</w:t>
      </w:r>
      <w:r>
        <w:rPr>
          <w:rFonts w:hint="eastAsia" w:ascii="黑体" w:hAnsi="黑体" w:eastAsia="黑体"/>
          <w:bCs/>
          <w:color w:val="auto"/>
          <w:szCs w:val="21"/>
        </w:rPr>
        <w:t>后</w:t>
      </w:r>
      <w:r>
        <w:rPr>
          <w:rFonts w:ascii="黑体" w:hAnsi="黑体" w:eastAsia="黑体"/>
          <w:bCs/>
          <w:color w:val="auto"/>
          <w:szCs w:val="21"/>
        </w:rPr>
        <w:t>2个工作日内将</w:t>
      </w:r>
      <w:r>
        <w:rPr>
          <w:rFonts w:hint="eastAsia" w:ascii="黑体" w:hAnsi="黑体" w:eastAsia="黑体"/>
          <w:bCs/>
          <w:color w:val="auto"/>
          <w:szCs w:val="21"/>
        </w:rPr>
        <w:t>评标</w:t>
      </w:r>
      <w:r>
        <w:rPr>
          <w:rFonts w:ascii="黑体" w:hAnsi="黑体" w:eastAsia="黑体"/>
          <w:bCs/>
          <w:color w:val="auto"/>
          <w:szCs w:val="21"/>
        </w:rPr>
        <w:t>报告送采购人。采购人应当自收到</w:t>
      </w:r>
      <w:r>
        <w:rPr>
          <w:rFonts w:hint="eastAsia" w:ascii="黑体" w:hAnsi="黑体" w:eastAsia="黑体"/>
          <w:bCs/>
          <w:color w:val="auto"/>
          <w:szCs w:val="21"/>
        </w:rPr>
        <w:t>评标</w:t>
      </w:r>
      <w:r>
        <w:rPr>
          <w:rFonts w:ascii="黑体" w:hAnsi="黑体" w:eastAsia="黑体"/>
          <w:bCs/>
          <w:color w:val="auto"/>
          <w:szCs w:val="21"/>
        </w:rPr>
        <w:t>报告之日起5个工作日内在</w:t>
      </w:r>
      <w:r>
        <w:rPr>
          <w:rFonts w:hint="eastAsia" w:ascii="黑体" w:hAnsi="黑体" w:eastAsia="黑体"/>
          <w:bCs/>
          <w:color w:val="auto"/>
          <w:szCs w:val="21"/>
        </w:rPr>
        <w:t>评标报告确定的</w:t>
      </w:r>
      <w:r>
        <w:rPr>
          <w:rFonts w:ascii="黑体" w:hAnsi="黑体" w:eastAsia="黑体"/>
          <w:bCs/>
          <w:color w:val="auto"/>
          <w:szCs w:val="21"/>
        </w:rPr>
        <w:t>中标候选人</w:t>
      </w:r>
      <w:r>
        <w:rPr>
          <w:rFonts w:hint="eastAsia" w:ascii="黑体" w:hAnsi="黑体" w:eastAsia="黑体"/>
          <w:bCs/>
          <w:color w:val="auto"/>
          <w:szCs w:val="21"/>
        </w:rPr>
        <w:t>名单</w:t>
      </w:r>
      <w:r>
        <w:rPr>
          <w:rFonts w:ascii="黑体" w:hAnsi="黑体" w:eastAsia="黑体"/>
          <w:bCs/>
          <w:color w:val="auto"/>
          <w:szCs w:val="21"/>
        </w:rPr>
        <w:t>中按顺序确定中标</w:t>
      </w:r>
      <w:r>
        <w:rPr>
          <w:rFonts w:hint="eastAsia" w:ascii="黑体" w:hAnsi="黑体" w:eastAsia="黑体"/>
          <w:bCs/>
          <w:color w:val="auto"/>
          <w:szCs w:val="21"/>
        </w:rPr>
        <w:t>人。</w:t>
      </w:r>
    </w:p>
    <w:p w14:paraId="23E2F03F">
      <w:pPr>
        <w:pStyle w:val="30"/>
        <w:numPr>
          <w:ilvl w:val="0"/>
          <w:numId w:val="4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采购人在收到评标报告</w:t>
      </w:r>
      <w:r>
        <w:rPr>
          <w:rFonts w:ascii="黑体" w:hAnsi="黑体" w:eastAsia="黑体"/>
          <w:bCs/>
          <w:color w:val="auto"/>
          <w:szCs w:val="21"/>
        </w:rPr>
        <w:t>5个工作日内未按评标报告推荐的中标候选人顺序确定中标人，又不</w:t>
      </w:r>
      <w:r>
        <w:rPr>
          <w:rFonts w:hint="eastAsia" w:ascii="黑体" w:hAnsi="黑体" w:eastAsia="黑体"/>
          <w:bCs/>
          <w:color w:val="auto"/>
          <w:spacing w:val="-4"/>
          <w:szCs w:val="21"/>
        </w:rPr>
        <w:t>能说明合法理由的，视同按评标报告推荐的顺序确定排名第一的中标候选人为中标人。</w:t>
      </w:r>
    </w:p>
    <w:p w14:paraId="5B52DFA9">
      <w:pPr>
        <w:pStyle w:val="30"/>
        <w:widowControl/>
        <w:numPr>
          <w:ilvl w:val="0"/>
          <w:numId w:val="21"/>
        </w:numPr>
        <w:spacing w:line="360" w:lineRule="auto"/>
        <w:ind w:firstLineChars="0"/>
        <w:jc w:val="left"/>
        <w:rPr>
          <w:rFonts w:ascii="黑体" w:hAnsi="黑体" w:eastAsia="黑体"/>
          <w:b/>
          <w:color w:val="auto"/>
          <w:szCs w:val="21"/>
        </w:rPr>
      </w:pPr>
      <w:r>
        <w:rPr>
          <w:rFonts w:ascii="黑体" w:hAnsi="黑体" w:eastAsia="黑体"/>
          <w:b/>
          <w:color w:val="auto"/>
          <w:szCs w:val="21"/>
        </w:rPr>
        <w:t>特别说明</w:t>
      </w:r>
    </w:p>
    <w:p w14:paraId="5985461D">
      <w:pPr>
        <w:pStyle w:val="30"/>
        <w:widowControl/>
        <w:numPr>
          <w:ilvl w:val="0"/>
          <w:numId w:val="50"/>
        </w:numPr>
        <w:tabs>
          <w:tab w:val="left" w:pos="567"/>
        </w:tabs>
        <w:spacing w:line="360" w:lineRule="auto"/>
        <w:ind w:firstLineChars="0"/>
        <w:jc w:val="left"/>
        <w:rPr>
          <w:rFonts w:ascii="黑体" w:hAnsi="黑体" w:eastAsia="黑体"/>
          <w:b/>
          <w:bCs/>
          <w:color w:val="auto"/>
          <w:szCs w:val="21"/>
        </w:rPr>
      </w:pPr>
      <w:r>
        <w:rPr>
          <w:rFonts w:hint="eastAsia" w:ascii="黑体" w:hAnsi="黑体" w:eastAsia="黑体"/>
          <w:b/>
          <w:bCs/>
          <w:color w:val="auto"/>
          <w:szCs w:val="21"/>
        </w:rPr>
        <w:t>有下列情形之一的，视为投标人串通投标，其投标无效：</w:t>
      </w:r>
    </w:p>
    <w:p w14:paraId="65F6593B">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不同投标人的投标文件由同一单位或者个人编制；</w:t>
      </w:r>
    </w:p>
    <w:p w14:paraId="32E116DA">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不同投标人委托同一单位或者个人办理投标事宜；</w:t>
      </w:r>
    </w:p>
    <w:p w14:paraId="6CC07376">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不同投标人的投标文件载明的项目管理成员或者联系人员为同一人；</w:t>
      </w:r>
    </w:p>
    <w:p w14:paraId="3360271E">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不同投标人的投标文件异常一致或者投标报价呈规律性差异；</w:t>
      </w:r>
    </w:p>
    <w:p w14:paraId="0EA6C410">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不同投标人的投标文件相互混装；</w:t>
      </w:r>
    </w:p>
    <w:p w14:paraId="6EFF3078">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不同投标人的投标保证金从同一单位或者个人的账户转出。</w:t>
      </w:r>
    </w:p>
    <w:p w14:paraId="04E2ED06">
      <w:pPr>
        <w:pStyle w:val="30"/>
        <w:widowControl/>
        <w:numPr>
          <w:ilvl w:val="1"/>
          <w:numId w:val="21"/>
        </w:numPr>
        <w:spacing w:line="360" w:lineRule="auto"/>
        <w:ind w:firstLineChars="0"/>
        <w:jc w:val="left"/>
        <w:rPr>
          <w:rFonts w:ascii="黑体" w:hAnsi="黑体" w:eastAsia="黑体"/>
          <w:b/>
          <w:bCs/>
          <w:color w:val="auto"/>
          <w:szCs w:val="21"/>
        </w:rPr>
      </w:pPr>
      <w:r>
        <w:rPr>
          <w:rFonts w:hint="eastAsia" w:ascii="黑体" w:hAnsi="黑体" w:eastAsia="黑体"/>
          <w:b/>
          <w:bCs/>
          <w:color w:val="auto"/>
          <w:szCs w:val="21"/>
        </w:rPr>
        <w:t>投标人存在下列情况之一的，投标无效：</w:t>
      </w:r>
    </w:p>
    <w:p w14:paraId="5C038D39">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未按照招标文件的规定提交投标保证金的；</w:t>
      </w:r>
    </w:p>
    <w:p w14:paraId="3170DF45">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投标文件未按招标文件要求签署、盖章的；</w:t>
      </w:r>
    </w:p>
    <w:p w14:paraId="6C0E2B68">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不具备招标文件中规定的资格要求的；</w:t>
      </w:r>
    </w:p>
    <w:p w14:paraId="46DCB1B1">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报价超过招标文件中规定的预算金额或者最高限价的；</w:t>
      </w:r>
    </w:p>
    <w:p w14:paraId="1EE7FDE6">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投标文件含有采购人不能接受的附加条件的；</w:t>
      </w:r>
    </w:p>
    <w:p w14:paraId="191F51B8">
      <w:pPr>
        <w:pStyle w:val="30"/>
        <w:widowControl/>
        <w:numPr>
          <w:ilvl w:val="2"/>
          <w:numId w:val="21"/>
        </w:numPr>
        <w:spacing w:line="360" w:lineRule="auto"/>
        <w:ind w:firstLineChars="0"/>
        <w:jc w:val="left"/>
        <w:rPr>
          <w:rFonts w:ascii="黑体" w:hAnsi="黑体" w:eastAsia="黑体"/>
          <w:color w:val="auto"/>
          <w:szCs w:val="21"/>
        </w:rPr>
      </w:pPr>
      <w:r>
        <w:rPr>
          <w:rFonts w:hint="eastAsia" w:ascii="黑体" w:hAnsi="黑体" w:eastAsia="黑体"/>
          <w:color w:val="auto"/>
          <w:szCs w:val="21"/>
        </w:rPr>
        <w:t>法律、法规和招标文件规定的其他无效情形。</w:t>
      </w:r>
    </w:p>
    <w:p w14:paraId="1BA970B2">
      <w:pPr>
        <w:pStyle w:val="30"/>
        <w:widowControl/>
        <w:numPr>
          <w:ilvl w:val="1"/>
          <w:numId w:val="21"/>
        </w:numPr>
        <w:spacing w:line="360" w:lineRule="auto"/>
        <w:ind w:firstLineChars="0"/>
        <w:jc w:val="left"/>
        <w:rPr>
          <w:rFonts w:ascii="黑体" w:hAnsi="黑体" w:eastAsia="黑体"/>
          <w:b/>
          <w:bCs/>
          <w:color w:val="auto"/>
          <w:szCs w:val="21"/>
        </w:rPr>
      </w:pPr>
      <w:r>
        <w:rPr>
          <w:rFonts w:ascii="黑体" w:hAnsi="黑体" w:eastAsia="黑体"/>
          <w:b/>
          <w:bCs/>
          <w:color w:val="auto"/>
          <w:szCs w:val="21"/>
        </w:rPr>
        <w:t>废标</w:t>
      </w:r>
    </w:p>
    <w:p w14:paraId="0B3CFFEC">
      <w:pPr>
        <w:pStyle w:val="30"/>
        <w:widowControl/>
        <w:numPr>
          <w:ilvl w:val="2"/>
          <w:numId w:val="21"/>
        </w:numPr>
        <w:spacing w:line="360" w:lineRule="auto"/>
        <w:ind w:firstLineChars="0"/>
        <w:jc w:val="left"/>
        <w:rPr>
          <w:rFonts w:ascii="黑体" w:hAnsi="黑体" w:eastAsia="黑体"/>
          <w:color w:val="auto"/>
          <w:szCs w:val="21"/>
        </w:rPr>
      </w:pPr>
      <w:r>
        <w:rPr>
          <w:rFonts w:ascii="黑体" w:hAnsi="黑体" w:eastAsia="黑体"/>
          <w:color w:val="auto"/>
          <w:szCs w:val="21"/>
        </w:rPr>
        <w:t>在招标采购中，出现下列情形之一的，应予废标</w:t>
      </w:r>
      <w:r>
        <w:rPr>
          <w:rFonts w:hint="eastAsia" w:ascii="黑体" w:hAnsi="黑体" w:eastAsia="黑体"/>
          <w:color w:val="auto"/>
          <w:szCs w:val="21"/>
        </w:rPr>
        <w:t>。</w:t>
      </w:r>
    </w:p>
    <w:p w14:paraId="3FC00782">
      <w:pPr>
        <w:pStyle w:val="30"/>
        <w:widowControl/>
        <w:numPr>
          <w:ilvl w:val="3"/>
          <w:numId w:val="51"/>
        </w:numPr>
        <w:tabs>
          <w:tab w:val="left" w:pos="1060"/>
          <w:tab w:val="left" w:pos="1480"/>
        </w:tabs>
        <w:spacing w:line="360" w:lineRule="auto"/>
        <w:ind w:left="993" w:hanging="993" w:firstLineChars="0"/>
        <w:jc w:val="left"/>
        <w:rPr>
          <w:rFonts w:ascii="黑体" w:hAnsi="黑体" w:eastAsia="黑体"/>
          <w:color w:val="auto"/>
          <w:szCs w:val="21"/>
        </w:rPr>
      </w:pPr>
      <w:r>
        <w:rPr>
          <w:rFonts w:ascii="黑体" w:hAnsi="黑体" w:eastAsia="黑体"/>
          <w:color w:val="auto"/>
          <w:szCs w:val="21"/>
        </w:rPr>
        <w:t>符合专业条件的供应商或者对</w:t>
      </w:r>
      <w:r>
        <w:rPr>
          <w:rFonts w:hint="eastAsia" w:ascii="黑体" w:hAnsi="黑体" w:eastAsia="黑体"/>
          <w:color w:val="auto"/>
          <w:szCs w:val="21"/>
        </w:rPr>
        <w:t>招标</w:t>
      </w:r>
      <w:r>
        <w:rPr>
          <w:rFonts w:ascii="黑体" w:hAnsi="黑体" w:eastAsia="黑体"/>
          <w:color w:val="auto"/>
          <w:szCs w:val="21"/>
        </w:rPr>
        <w:t>文件作实质响应的供应商不足三家的；</w:t>
      </w:r>
    </w:p>
    <w:p w14:paraId="4C9C0E0B">
      <w:pPr>
        <w:pStyle w:val="30"/>
        <w:widowControl/>
        <w:numPr>
          <w:ilvl w:val="3"/>
          <w:numId w:val="51"/>
        </w:numPr>
        <w:tabs>
          <w:tab w:val="left" w:pos="1060"/>
          <w:tab w:val="left" w:pos="1480"/>
        </w:tabs>
        <w:spacing w:line="360" w:lineRule="auto"/>
        <w:ind w:left="993" w:hanging="993" w:firstLineChars="0"/>
        <w:jc w:val="left"/>
        <w:rPr>
          <w:rFonts w:ascii="黑体" w:hAnsi="黑体" w:eastAsia="黑体"/>
          <w:color w:val="auto"/>
          <w:szCs w:val="21"/>
        </w:rPr>
      </w:pPr>
      <w:r>
        <w:rPr>
          <w:rFonts w:ascii="黑体" w:hAnsi="黑体" w:eastAsia="黑体"/>
          <w:color w:val="auto"/>
          <w:szCs w:val="21"/>
        </w:rPr>
        <w:t>出现影响采购公正的违法、违规行为的；</w:t>
      </w:r>
    </w:p>
    <w:p w14:paraId="37D5D8D7">
      <w:pPr>
        <w:pStyle w:val="30"/>
        <w:widowControl/>
        <w:numPr>
          <w:ilvl w:val="3"/>
          <w:numId w:val="51"/>
        </w:numPr>
        <w:tabs>
          <w:tab w:val="left" w:pos="1060"/>
          <w:tab w:val="left" w:pos="1480"/>
        </w:tabs>
        <w:spacing w:line="360" w:lineRule="auto"/>
        <w:ind w:left="993" w:hanging="993" w:firstLineChars="0"/>
        <w:jc w:val="left"/>
        <w:rPr>
          <w:rFonts w:ascii="黑体" w:hAnsi="黑体" w:eastAsia="黑体"/>
          <w:color w:val="auto"/>
          <w:szCs w:val="21"/>
        </w:rPr>
      </w:pPr>
      <w:r>
        <w:rPr>
          <w:rFonts w:ascii="黑体" w:hAnsi="黑体" w:eastAsia="黑体"/>
          <w:color w:val="auto"/>
          <w:szCs w:val="21"/>
        </w:rPr>
        <w:t>投标人的报价均超过了采购预算，采购人不能支付的；</w:t>
      </w:r>
    </w:p>
    <w:p w14:paraId="30EF21EC">
      <w:pPr>
        <w:pStyle w:val="30"/>
        <w:widowControl/>
        <w:numPr>
          <w:ilvl w:val="3"/>
          <w:numId w:val="51"/>
        </w:numPr>
        <w:tabs>
          <w:tab w:val="left" w:pos="1060"/>
          <w:tab w:val="left" w:pos="1480"/>
        </w:tabs>
        <w:spacing w:line="360" w:lineRule="auto"/>
        <w:ind w:left="993" w:hanging="993" w:firstLineChars="0"/>
        <w:jc w:val="left"/>
        <w:rPr>
          <w:rFonts w:ascii="黑体" w:hAnsi="黑体" w:eastAsia="黑体"/>
          <w:color w:val="auto"/>
          <w:szCs w:val="21"/>
        </w:rPr>
      </w:pPr>
      <w:r>
        <w:rPr>
          <w:rFonts w:ascii="黑体" w:hAnsi="黑体" w:eastAsia="黑体"/>
          <w:color w:val="auto"/>
          <w:szCs w:val="21"/>
        </w:rPr>
        <w:t>因重大变故，采购任务取消的</w:t>
      </w:r>
      <w:r>
        <w:rPr>
          <w:rFonts w:hint="eastAsia" w:ascii="黑体" w:hAnsi="黑体" w:eastAsia="黑体"/>
          <w:color w:val="auto"/>
          <w:szCs w:val="21"/>
        </w:rPr>
        <w:t>。</w:t>
      </w:r>
    </w:p>
    <w:p w14:paraId="698F4BD2">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询问、质疑、投诉</w:t>
      </w:r>
    </w:p>
    <w:p w14:paraId="2A4F4B28">
      <w:pPr>
        <w:pStyle w:val="30"/>
        <w:numPr>
          <w:ilvl w:val="0"/>
          <w:numId w:val="52"/>
        </w:numPr>
        <w:tabs>
          <w:tab w:val="left" w:pos="640"/>
        </w:tabs>
        <w:spacing w:line="360" w:lineRule="auto"/>
        <w:ind w:firstLineChars="0"/>
        <w:rPr>
          <w:rFonts w:ascii="黑体" w:hAnsi="黑体" w:eastAsia="黑体"/>
          <w:bCs/>
          <w:color w:val="auto"/>
          <w:szCs w:val="21"/>
        </w:rPr>
      </w:pPr>
      <w:r>
        <w:rPr>
          <w:rFonts w:hint="eastAsia" w:ascii="黑体" w:hAnsi="黑体" w:eastAsia="黑体"/>
          <w:bCs/>
          <w:color w:val="auto"/>
          <w:szCs w:val="21"/>
        </w:rPr>
        <w:t>询问</w:t>
      </w:r>
    </w:p>
    <w:p w14:paraId="709F0462">
      <w:pPr>
        <w:pStyle w:val="30"/>
        <w:numPr>
          <w:ilvl w:val="2"/>
          <w:numId w:val="53"/>
        </w:numPr>
        <w:spacing w:line="360" w:lineRule="auto"/>
        <w:ind w:firstLineChars="0"/>
        <w:rPr>
          <w:rFonts w:ascii="黑体" w:hAnsi="黑体" w:eastAsia="黑体"/>
          <w:bCs/>
          <w:color w:val="auto"/>
          <w:szCs w:val="21"/>
        </w:rPr>
      </w:pPr>
      <w:r>
        <w:rPr>
          <w:rFonts w:hint="eastAsia" w:ascii="黑体" w:hAnsi="黑体" w:eastAsia="黑体"/>
          <w:bCs/>
          <w:color w:val="auto"/>
          <w:szCs w:val="21"/>
        </w:rPr>
        <w:t>供应商对政府采购活动事项有疑问的，可以向采购人或者采购代理机构提出询问，询问可以口头方式提出，也可以书面方式提出。</w:t>
      </w:r>
    </w:p>
    <w:p w14:paraId="6B6D8C6B">
      <w:pPr>
        <w:pStyle w:val="30"/>
        <w:numPr>
          <w:ilvl w:val="2"/>
          <w:numId w:val="53"/>
        </w:numPr>
        <w:spacing w:line="360" w:lineRule="auto"/>
        <w:ind w:firstLineChars="0"/>
        <w:rPr>
          <w:rFonts w:ascii="黑体" w:hAnsi="黑体" w:eastAsia="黑体"/>
          <w:bCs/>
          <w:color w:val="auto"/>
          <w:szCs w:val="21"/>
        </w:rPr>
      </w:pPr>
      <w:r>
        <w:rPr>
          <w:rFonts w:hint="eastAsia" w:ascii="黑体" w:hAnsi="黑体" w:eastAsia="黑体"/>
          <w:bCs/>
          <w:color w:val="auto"/>
          <w:szCs w:val="21"/>
        </w:rPr>
        <w:t>如采用书面方式提出询问，供应商为自然人的，询问函应当由本人签字；供应商为法人或者其他组织的，应当由法定代表人、主要负责人或授权代表签字并加盖公章或者盖章，并加盖公章。响应供应商递交询问函时非法定代表人亲自办理的需提供法定代表人授权委托书（应载明授权代表的姓名或者名称、代理事项、具体权限、期限和相关事项）及授权代表身份证复印件。</w:t>
      </w:r>
    </w:p>
    <w:p w14:paraId="3803F357">
      <w:pPr>
        <w:pStyle w:val="30"/>
        <w:numPr>
          <w:ilvl w:val="2"/>
          <w:numId w:val="53"/>
        </w:numPr>
        <w:spacing w:line="360" w:lineRule="auto"/>
        <w:ind w:firstLineChars="0"/>
        <w:rPr>
          <w:rFonts w:ascii="黑体" w:hAnsi="黑体" w:eastAsia="黑体"/>
          <w:bCs/>
          <w:color w:val="auto"/>
          <w:szCs w:val="21"/>
        </w:rPr>
      </w:pPr>
      <w:r>
        <w:rPr>
          <w:rFonts w:hint="eastAsia" w:ascii="黑体" w:hAnsi="黑体" w:eastAsia="黑体"/>
          <w:bCs/>
          <w:color w:val="auto"/>
          <w:szCs w:val="21"/>
        </w:rPr>
        <w:t>采购人或者采购代理机构在三个工作日内对供应商依法提出的询问作出答复。</w:t>
      </w:r>
    </w:p>
    <w:p w14:paraId="396BEEDC">
      <w:pPr>
        <w:pStyle w:val="30"/>
        <w:numPr>
          <w:ilvl w:val="0"/>
          <w:numId w:val="52"/>
        </w:numPr>
        <w:tabs>
          <w:tab w:val="left" w:pos="640"/>
        </w:tabs>
        <w:spacing w:line="360" w:lineRule="auto"/>
        <w:ind w:firstLineChars="0"/>
        <w:rPr>
          <w:rFonts w:ascii="黑体" w:hAnsi="黑体" w:eastAsia="黑体"/>
          <w:bCs/>
          <w:color w:val="auto"/>
          <w:szCs w:val="21"/>
        </w:rPr>
      </w:pPr>
      <w:r>
        <w:rPr>
          <w:rFonts w:hint="eastAsia" w:ascii="黑体" w:hAnsi="黑体" w:eastAsia="黑体"/>
          <w:bCs/>
          <w:color w:val="auto"/>
          <w:szCs w:val="21"/>
        </w:rPr>
        <w:t>质疑</w:t>
      </w:r>
    </w:p>
    <w:p w14:paraId="2371CD7C">
      <w:pPr>
        <w:pStyle w:val="30"/>
        <w:numPr>
          <w:ilvl w:val="2"/>
          <w:numId w:val="54"/>
        </w:numPr>
        <w:spacing w:line="360" w:lineRule="auto"/>
        <w:ind w:firstLineChars="0"/>
        <w:rPr>
          <w:rFonts w:ascii="黑体" w:hAnsi="黑体" w:eastAsia="黑体"/>
          <w:bCs/>
          <w:color w:val="auto"/>
          <w:szCs w:val="21"/>
        </w:rPr>
      </w:pPr>
      <w:r>
        <w:rPr>
          <w:rFonts w:hint="eastAsia" w:ascii="黑体" w:hAnsi="黑体" w:eastAsia="黑体" w:cs="宋体"/>
          <w:color w:val="auto"/>
          <w:kern w:val="0"/>
          <w:szCs w:val="21"/>
        </w:rPr>
        <w:t>供应商认为采购文件、采购过程、中标或者成交结果使自己的权益受到损害的，可以在知道或者应知其权益受到损害之日起7个工作日内，以书面形式向采购人、采购代理机构提出质疑。</w:t>
      </w:r>
    </w:p>
    <w:p w14:paraId="7B0C2333">
      <w:pPr>
        <w:pStyle w:val="30"/>
        <w:numPr>
          <w:ilvl w:val="2"/>
          <w:numId w:val="54"/>
        </w:numPr>
        <w:spacing w:line="360" w:lineRule="auto"/>
        <w:ind w:firstLineChars="0"/>
        <w:rPr>
          <w:rFonts w:ascii="黑体" w:hAnsi="黑体" w:eastAsia="黑体"/>
          <w:bCs/>
          <w:color w:val="auto"/>
          <w:szCs w:val="21"/>
        </w:rPr>
      </w:pPr>
      <w:r>
        <w:rPr>
          <w:rFonts w:hint="eastAsia" w:ascii="黑体" w:hAnsi="黑体" w:eastAsia="黑体"/>
          <w:bCs/>
          <w:color w:val="auto"/>
          <w:szCs w:val="21"/>
        </w:rPr>
        <w:t>提出质疑的供应商应当是参与所质疑项目采购活动的供应商。</w:t>
      </w:r>
    </w:p>
    <w:p w14:paraId="58BB6635">
      <w:pPr>
        <w:pStyle w:val="30"/>
        <w:numPr>
          <w:ilvl w:val="0"/>
          <w:numId w:val="52"/>
        </w:numPr>
        <w:tabs>
          <w:tab w:val="left" w:pos="640"/>
        </w:tabs>
        <w:spacing w:line="360" w:lineRule="auto"/>
        <w:ind w:firstLineChars="0"/>
        <w:rPr>
          <w:rFonts w:ascii="黑体" w:hAnsi="黑体" w:eastAsia="黑体"/>
          <w:bCs/>
          <w:color w:val="auto"/>
          <w:szCs w:val="21"/>
        </w:rPr>
      </w:pPr>
      <w:r>
        <w:rPr>
          <w:rFonts w:hint="eastAsia" w:ascii="黑体" w:hAnsi="黑体" w:eastAsia="黑体"/>
          <w:bCs/>
          <w:color w:val="auto"/>
          <w:szCs w:val="21"/>
        </w:rPr>
        <w:t>提交要求：</w:t>
      </w:r>
    </w:p>
    <w:p w14:paraId="186C198A">
      <w:pPr>
        <w:pStyle w:val="30"/>
        <w:numPr>
          <w:ilvl w:val="2"/>
          <w:numId w:val="55"/>
        </w:numPr>
        <w:spacing w:line="360" w:lineRule="auto"/>
        <w:ind w:firstLineChars="0"/>
        <w:rPr>
          <w:rFonts w:ascii="黑体" w:hAnsi="黑体" w:eastAsia="黑体"/>
          <w:bCs/>
          <w:color w:val="auto"/>
          <w:szCs w:val="21"/>
        </w:rPr>
      </w:pPr>
      <w:r>
        <w:rPr>
          <w:rFonts w:hint="eastAsia" w:ascii="黑体" w:hAnsi="黑体" w:eastAsia="黑体"/>
          <w:bCs/>
          <w:color w:val="auto"/>
          <w:szCs w:val="21"/>
        </w:rPr>
        <w:t>以书面形式向采购人或者采购代理机构一次性提出针对同一采购程序环节的质疑。</w:t>
      </w:r>
    </w:p>
    <w:p w14:paraId="535EE88D">
      <w:pPr>
        <w:pStyle w:val="30"/>
        <w:numPr>
          <w:ilvl w:val="2"/>
          <w:numId w:val="55"/>
        </w:numPr>
        <w:spacing w:line="360" w:lineRule="auto"/>
        <w:ind w:firstLineChars="0"/>
        <w:rPr>
          <w:rFonts w:ascii="黑体" w:hAnsi="黑体" w:eastAsia="黑体"/>
          <w:bCs/>
          <w:color w:val="auto"/>
          <w:szCs w:val="21"/>
        </w:rPr>
      </w:pPr>
      <w:r>
        <w:rPr>
          <w:rFonts w:hint="eastAsia" w:ascii="黑体" w:hAnsi="黑体" w:eastAsia="黑体"/>
          <w:bCs/>
          <w:color w:val="auto"/>
          <w:spacing w:val="-4"/>
          <w:szCs w:val="21"/>
        </w:rPr>
        <w:t>以联合体形式参加政府采购活动的，其质疑应当由组成联合体的所有供应商共同提出</w:t>
      </w:r>
      <w:r>
        <w:rPr>
          <w:rFonts w:hint="eastAsia" w:ascii="黑体" w:hAnsi="黑体" w:eastAsia="黑体"/>
          <w:bCs/>
          <w:color w:val="auto"/>
          <w:szCs w:val="21"/>
        </w:rPr>
        <w:t>。</w:t>
      </w:r>
    </w:p>
    <w:p w14:paraId="3475B8ED">
      <w:pPr>
        <w:pStyle w:val="30"/>
        <w:numPr>
          <w:ilvl w:val="2"/>
          <w:numId w:val="55"/>
        </w:numPr>
        <w:spacing w:line="360" w:lineRule="auto"/>
        <w:ind w:firstLineChars="0"/>
        <w:rPr>
          <w:rFonts w:ascii="黑体" w:hAnsi="黑体" w:eastAsia="黑体"/>
          <w:bCs/>
          <w:color w:val="auto"/>
          <w:szCs w:val="21"/>
        </w:rPr>
      </w:pPr>
      <w:r>
        <w:rPr>
          <w:rFonts w:hint="eastAsia" w:ascii="黑体" w:hAnsi="黑体" w:eastAsia="黑体"/>
          <w:bCs/>
          <w:color w:val="auto"/>
          <w:szCs w:val="21"/>
        </w:rPr>
        <w:t>质疑函内容：应包括供应商的姓名或者名称、地址、邮编、联系人及联系电话；质疑项目的名称及编号；具体且明确的质疑事项和与质疑事项相关的请求；事实依据、必要的法律依据、提出质疑的日期。供应商为自然人的，质疑函应当由本人签字；供应商为法人或者其他组织的，应当由法定代表人、主要负责人或授权代表签字或者盖章，并加盖公章。响应供应商递交质疑函时非法定代表人亲自办理的需提供法定代表人授权委托书（应载明授权代表的姓名或者名称、代理事项、具体权限、期限和相关事项）及授权代表身份证复印件。</w:t>
      </w:r>
    </w:p>
    <w:p w14:paraId="05A82B6F">
      <w:pPr>
        <w:pStyle w:val="30"/>
        <w:numPr>
          <w:ilvl w:val="2"/>
          <w:numId w:val="55"/>
        </w:numPr>
        <w:spacing w:line="360" w:lineRule="auto"/>
        <w:ind w:firstLineChars="0"/>
        <w:rPr>
          <w:rFonts w:ascii="黑体" w:hAnsi="黑体" w:eastAsia="黑体"/>
          <w:bCs/>
          <w:color w:val="auto"/>
          <w:szCs w:val="21"/>
        </w:rPr>
      </w:pPr>
      <w:r>
        <w:rPr>
          <w:rFonts w:hint="eastAsia" w:ascii="黑体" w:hAnsi="黑体" w:eastAsia="黑体"/>
          <w:bCs/>
          <w:color w:val="auto"/>
          <w:szCs w:val="21"/>
        </w:rPr>
        <w:t>供应商捏造事实、提供虚假材料或者以非法手段取得证明材料不能作为质疑的证明材料。采购人或者采购代理机构在收到投标人的书面质疑后</w:t>
      </w:r>
      <w:r>
        <w:rPr>
          <w:rFonts w:ascii="黑体" w:hAnsi="黑体" w:eastAsia="黑体"/>
          <w:bCs/>
          <w:color w:val="auto"/>
          <w:szCs w:val="21"/>
        </w:rPr>
        <w:t>7个工作日内作出答复，并以书面形式通知质疑投标人和其他有关投标人，但答复内容不涉及商业秘密。质疑投标人须提供相关证明材料，包括但不限于权益受损害的情况说明及受损害的原因、证据内容等，并对质疑内容的真实性承担责任。</w:t>
      </w:r>
    </w:p>
    <w:p w14:paraId="33EE8BD0">
      <w:pPr>
        <w:pStyle w:val="30"/>
        <w:numPr>
          <w:ilvl w:val="2"/>
          <w:numId w:val="55"/>
        </w:numPr>
        <w:spacing w:line="360" w:lineRule="auto"/>
        <w:ind w:firstLineChars="0"/>
        <w:rPr>
          <w:rFonts w:ascii="黑体" w:hAnsi="黑体" w:eastAsia="黑体"/>
          <w:bCs/>
          <w:color w:val="auto"/>
          <w:szCs w:val="21"/>
        </w:rPr>
      </w:pPr>
      <w:r>
        <w:rPr>
          <w:rFonts w:hint="eastAsia" w:ascii="黑体" w:hAnsi="黑体" w:eastAsia="黑体"/>
          <w:bCs/>
          <w:color w:val="auto"/>
          <w:szCs w:val="21"/>
        </w:rPr>
        <w:t>采购人或采购代理机构接收以书面形式递交的质疑函，接收质疑函的联系人、联系方式和通讯地址：</w:t>
      </w:r>
    </w:p>
    <w:p w14:paraId="7271ADFE">
      <w:pPr>
        <w:ind w:firstLine="707" w:firstLineChars="337"/>
        <w:rPr>
          <w:rFonts w:ascii="黑体" w:hAnsi="黑体" w:eastAsia="黑体"/>
          <w:color w:val="auto"/>
          <w:szCs w:val="21"/>
        </w:rPr>
      </w:pPr>
      <w:r>
        <w:rPr>
          <w:rFonts w:hint="eastAsia" w:ascii="黑体" w:hAnsi="黑体" w:eastAsia="黑体"/>
          <w:color w:val="auto"/>
          <w:szCs w:val="21"/>
        </w:rPr>
        <w:t>联系人：郑小姐</w:t>
      </w:r>
      <w:r>
        <w:rPr>
          <w:rFonts w:ascii="黑体" w:hAnsi="黑体" w:eastAsia="黑体"/>
          <w:color w:val="auto"/>
          <w:szCs w:val="21"/>
        </w:rPr>
        <w:t xml:space="preserve">       </w:t>
      </w:r>
      <w:r>
        <w:rPr>
          <w:rFonts w:hint="eastAsia" w:ascii="黑体" w:hAnsi="黑体" w:eastAsia="黑体"/>
          <w:color w:val="auto"/>
          <w:szCs w:val="21"/>
        </w:rPr>
        <w:t>联系电话：（</w:t>
      </w:r>
      <w:r>
        <w:rPr>
          <w:rFonts w:ascii="黑体" w:hAnsi="黑体" w:eastAsia="黑体"/>
          <w:color w:val="auto"/>
          <w:szCs w:val="21"/>
        </w:rPr>
        <w:t>0769）23362836</w:t>
      </w:r>
    </w:p>
    <w:p w14:paraId="34BADF85">
      <w:pPr>
        <w:spacing w:line="360" w:lineRule="auto"/>
        <w:ind w:firstLine="707" w:firstLineChars="337"/>
        <w:rPr>
          <w:rFonts w:ascii="黑体" w:hAnsi="黑体" w:eastAsia="黑体"/>
          <w:color w:val="auto"/>
          <w:szCs w:val="21"/>
        </w:rPr>
      </w:pPr>
      <w:r>
        <w:rPr>
          <w:rFonts w:hint="eastAsia" w:ascii="黑体" w:hAnsi="黑体" w:eastAsia="黑体"/>
          <w:color w:val="auto"/>
          <w:szCs w:val="21"/>
        </w:rPr>
        <w:t>联系地址：东莞市东城街道新源路海德琥珀台6栋1703室</w:t>
      </w:r>
    </w:p>
    <w:p w14:paraId="799BF84D">
      <w:pPr>
        <w:pStyle w:val="30"/>
        <w:numPr>
          <w:ilvl w:val="0"/>
          <w:numId w:val="52"/>
        </w:numPr>
        <w:tabs>
          <w:tab w:val="left" w:pos="640"/>
        </w:tabs>
        <w:spacing w:line="360" w:lineRule="auto"/>
        <w:ind w:firstLineChars="0"/>
        <w:rPr>
          <w:rFonts w:ascii="黑体" w:hAnsi="黑体" w:eastAsia="黑体"/>
          <w:bCs/>
          <w:color w:val="auto"/>
          <w:szCs w:val="21"/>
        </w:rPr>
      </w:pPr>
      <w:r>
        <w:rPr>
          <w:rFonts w:hint="eastAsia" w:ascii="黑体" w:hAnsi="黑体" w:eastAsia="黑体"/>
          <w:bCs/>
          <w:color w:val="auto"/>
          <w:szCs w:val="21"/>
        </w:rPr>
        <w:t>投诉</w:t>
      </w:r>
    </w:p>
    <w:p w14:paraId="41B60F6A">
      <w:pPr>
        <w:pStyle w:val="30"/>
        <w:widowControl/>
        <w:numPr>
          <w:ilvl w:val="2"/>
          <w:numId w:val="56"/>
        </w:numPr>
        <w:shd w:val="clear" w:color="auto" w:fill="FFFFFF"/>
        <w:wordWrap w:val="0"/>
        <w:spacing w:line="360" w:lineRule="auto"/>
        <w:ind w:firstLineChars="0"/>
        <w:jc w:val="left"/>
        <w:rPr>
          <w:rFonts w:ascii="黑体" w:hAnsi="黑体" w:eastAsia="黑体" w:cs="宋体"/>
          <w:color w:val="auto"/>
          <w:kern w:val="0"/>
          <w:szCs w:val="21"/>
        </w:rPr>
      </w:pPr>
      <w:r>
        <w:rPr>
          <w:rFonts w:hint="eastAsia" w:ascii="黑体" w:hAnsi="黑体" w:eastAsia="黑体" w:cs="宋体"/>
          <w:color w:val="auto"/>
          <w:kern w:val="0"/>
          <w:szCs w:val="21"/>
        </w:rPr>
        <w:t>质疑供应商对采购人、采购代理机构的答复不满意，或者采购人、采购代理机构未在规定时间内作出答复的，可以在答复期满后15个工作日内根据《政府采购质疑和投诉办法》(财政部令第94号)第六条规定向财政部门提起投诉。</w:t>
      </w:r>
    </w:p>
    <w:p w14:paraId="216C5399">
      <w:pPr>
        <w:pStyle w:val="30"/>
        <w:widowControl/>
        <w:numPr>
          <w:ilvl w:val="2"/>
          <w:numId w:val="56"/>
        </w:numPr>
        <w:shd w:val="clear" w:color="auto" w:fill="FFFFFF"/>
        <w:wordWrap w:val="0"/>
        <w:spacing w:line="360" w:lineRule="auto"/>
        <w:ind w:firstLineChars="0"/>
        <w:jc w:val="left"/>
        <w:rPr>
          <w:rFonts w:ascii="黑体" w:hAnsi="黑体" w:eastAsia="黑体" w:cs="宋体"/>
          <w:color w:val="auto"/>
          <w:kern w:val="0"/>
          <w:szCs w:val="21"/>
        </w:rPr>
      </w:pPr>
      <w:r>
        <w:rPr>
          <w:rFonts w:hint="eastAsia" w:ascii="黑体" w:hAnsi="黑体" w:eastAsia="黑体" w:cs="宋体"/>
          <w:color w:val="auto"/>
          <w:kern w:val="0"/>
          <w:szCs w:val="21"/>
        </w:rPr>
        <w:t>投诉人在全国范围12个月内三次以上投诉查无实据的，由财政部门列入不良行为记录名单。</w:t>
      </w:r>
    </w:p>
    <w:p w14:paraId="5C13EA8C">
      <w:pPr>
        <w:pStyle w:val="30"/>
        <w:widowControl/>
        <w:numPr>
          <w:ilvl w:val="2"/>
          <w:numId w:val="56"/>
        </w:numPr>
        <w:shd w:val="clear" w:color="auto" w:fill="FFFFFF"/>
        <w:wordWrap w:val="0"/>
        <w:spacing w:line="360" w:lineRule="auto"/>
        <w:ind w:firstLineChars="0"/>
        <w:jc w:val="left"/>
        <w:rPr>
          <w:rFonts w:ascii="黑体" w:hAnsi="黑体" w:eastAsia="黑体" w:cs="宋体"/>
          <w:color w:val="auto"/>
          <w:kern w:val="0"/>
          <w:szCs w:val="21"/>
        </w:rPr>
      </w:pPr>
      <w:r>
        <w:rPr>
          <w:rFonts w:hint="eastAsia" w:ascii="黑体" w:hAnsi="黑体" w:eastAsia="黑体" w:cs="宋体"/>
          <w:color w:val="auto"/>
          <w:kern w:val="0"/>
          <w:szCs w:val="21"/>
        </w:rPr>
        <w:t>投诉人有下列行为之一的，属于虚假、恶意投诉，由财政部门列入不良行为记录名单，禁止其1至3年内参加政府采购活动：（一）捏造事实;（二）提供虚假材料;（三）以非法手段取得证明材料。证据来源的合法性存在明显疑问，投诉人无法证明其取得方式合法的，视为以非法手段取得证明材料。</w:t>
      </w:r>
    </w:p>
    <w:p w14:paraId="19E44800">
      <w:pPr>
        <w:pStyle w:val="30"/>
        <w:widowControl/>
        <w:numPr>
          <w:ilvl w:val="2"/>
          <w:numId w:val="56"/>
        </w:numPr>
        <w:shd w:val="clear" w:color="auto" w:fill="FFFFFF"/>
        <w:wordWrap w:val="0"/>
        <w:spacing w:line="360" w:lineRule="auto"/>
        <w:ind w:firstLineChars="0"/>
        <w:jc w:val="left"/>
        <w:rPr>
          <w:rFonts w:ascii="黑体" w:hAnsi="黑体" w:eastAsia="黑体" w:cs="宋体"/>
          <w:color w:val="auto"/>
          <w:spacing w:val="-4"/>
          <w:kern w:val="0"/>
          <w:szCs w:val="21"/>
        </w:rPr>
      </w:pPr>
      <w:r>
        <w:rPr>
          <w:rFonts w:hint="eastAsia" w:ascii="黑体" w:hAnsi="黑体" w:eastAsia="黑体" w:cs="宋体"/>
          <w:color w:val="auto"/>
          <w:spacing w:val="-4"/>
          <w:kern w:val="0"/>
          <w:szCs w:val="21"/>
        </w:rPr>
        <w:t>以联合体形式参加政府采购活动的，其投诉应当由组成联合体的所有供应商共同提出。</w:t>
      </w:r>
    </w:p>
    <w:p w14:paraId="4AD1B103">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中标通知书</w:t>
      </w:r>
    </w:p>
    <w:p w14:paraId="6F4A8CF0">
      <w:pPr>
        <w:pStyle w:val="30"/>
        <w:numPr>
          <w:ilvl w:val="0"/>
          <w:numId w:val="5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采购人或者采购代理机构应当自中标人确定之日起</w:t>
      </w:r>
      <w:r>
        <w:rPr>
          <w:rFonts w:ascii="黑体" w:hAnsi="黑体" w:eastAsia="黑体"/>
          <w:bCs/>
          <w:color w:val="auto"/>
          <w:szCs w:val="21"/>
        </w:rPr>
        <w:t>2个工作日内在指定媒体公告中标结果和发出中标通知书，公告期为1个工作日</w:t>
      </w:r>
      <w:r>
        <w:rPr>
          <w:rFonts w:hint="eastAsia" w:ascii="黑体" w:hAnsi="黑体" w:eastAsia="黑体"/>
          <w:bCs/>
          <w:color w:val="auto"/>
          <w:szCs w:val="21"/>
        </w:rPr>
        <w:t>。</w:t>
      </w:r>
    </w:p>
    <w:p w14:paraId="3ACCD251">
      <w:pPr>
        <w:pStyle w:val="30"/>
        <w:numPr>
          <w:ilvl w:val="0"/>
          <w:numId w:val="5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《中标通知书》对中标人和采购人具有同等法律效力。</w:t>
      </w:r>
    </w:p>
    <w:p w14:paraId="6B174405">
      <w:pPr>
        <w:pStyle w:val="30"/>
        <w:numPr>
          <w:ilvl w:val="0"/>
          <w:numId w:val="5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中标通知书发出后，采购人不得违法改变中标结果，中标人无正当理由不得放弃中标。</w:t>
      </w:r>
    </w:p>
    <w:p w14:paraId="4814AE8F">
      <w:pPr>
        <w:pStyle w:val="30"/>
        <w:numPr>
          <w:ilvl w:val="0"/>
          <w:numId w:val="57"/>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《中标通知书》将作为授予合同资格的合法依据，是合同的一个组成部分。</w:t>
      </w:r>
    </w:p>
    <w:p w14:paraId="0B6A4822">
      <w:pPr>
        <w:pStyle w:val="30"/>
        <w:numPr>
          <w:ilvl w:val="0"/>
          <w:numId w:val="20"/>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授予合同</w:t>
      </w:r>
    </w:p>
    <w:p w14:paraId="6E600B16">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合同的订立</w:t>
      </w:r>
    </w:p>
    <w:p w14:paraId="3ED6E178">
      <w:pPr>
        <w:pStyle w:val="30"/>
        <w:numPr>
          <w:ilvl w:val="0"/>
          <w:numId w:val="58"/>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采购人应当自《中标通知书》发出之日起30日内，按照招标文件和中标人投标文件的约定，与中标人签订书面合同。所签订的合同不得对招标文件确定的事项和中标人投标文件作实质性修改。</w:t>
      </w:r>
    </w:p>
    <w:p w14:paraId="7BD65657">
      <w:pPr>
        <w:pStyle w:val="30"/>
        <w:numPr>
          <w:ilvl w:val="0"/>
          <w:numId w:val="58"/>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采购人或者采购代理机构不得向中标人提出任何不合理的要求，作为签订合同的条件，不得与中标人私下订立背离合同实质性内容的协议。</w:t>
      </w:r>
    </w:p>
    <w:p w14:paraId="34BBB1F8">
      <w:pPr>
        <w:pStyle w:val="30"/>
        <w:numPr>
          <w:ilvl w:val="0"/>
          <w:numId w:val="58"/>
        </w:numPr>
        <w:spacing w:line="360" w:lineRule="auto"/>
        <w:ind w:left="567" w:hanging="567" w:firstLineChars="0"/>
        <w:rPr>
          <w:rFonts w:ascii="黑体" w:hAnsi="黑体" w:eastAsia="黑体"/>
          <w:bCs/>
          <w:color w:val="auto"/>
          <w:szCs w:val="21"/>
        </w:rPr>
      </w:pPr>
      <w:r>
        <w:rPr>
          <w:rFonts w:ascii="黑体" w:hAnsi="黑体" w:eastAsia="黑体"/>
          <w:bCs/>
          <w:color w:val="auto"/>
          <w:szCs w:val="21"/>
        </w:rPr>
        <w:t>中标</w:t>
      </w:r>
      <w:r>
        <w:rPr>
          <w:rFonts w:hint="eastAsia" w:ascii="黑体" w:hAnsi="黑体" w:eastAsia="黑体"/>
          <w:bCs/>
          <w:color w:val="auto"/>
          <w:szCs w:val="21"/>
        </w:rPr>
        <w:t>人</w:t>
      </w:r>
      <w:r>
        <w:rPr>
          <w:rFonts w:ascii="黑体" w:hAnsi="黑体" w:eastAsia="黑体"/>
          <w:bCs/>
          <w:color w:val="auto"/>
          <w:szCs w:val="21"/>
        </w:rPr>
        <w:t>拒绝与采购人签订合同的，采购人可以按照评审报告推荐的中标候选人名单排序，确定下一候选人为中标</w:t>
      </w:r>
      <w:r>
        <w:rPr>
          <w:rFonts w:hint="eastAsia" w:ascii="黑体" w:hAnsi="黑体" w:eastAsia="黑体"/>
          <w:bCs/>
          <w:color w:val="auto"/>
          <w:szCs w:val="21"/>
        </w:rPr>
        <w:t>人</w:t>
      </w:r>
      <w:r>
        <w:rPr>
          <w:rFonts w:ascii="黑体" w:hAnsi="黑体" w:eastAsia="黑体"/>
          <w:bCs/>
          <w:color w:val="auto"/>
          <w:szCs w:val="21"/>
        </w:rPr>
        <w:t>，也可以重新开展政府采购活动。</w:t>
      </w:r>
    </w:p>
    <w:p w14:paraId="4B17ECE6">
      <w:pPr>
        <w:pStyle w:val="30"/>
        <w:spacing w:line="360" w:lineRule="auto"/>
        <w:ind w:firstLine="0" w:firstLineChars="0"/>
        <w:rPr>
          <w:rFonts w:ascii="黑体" w:hAnsi="黑体" w:eastAsia="黑体"/>
          <w:bCs/>
          <w:color w:val="auto"/>
          <w:szCs w:val="21"/>
        </w:rPr>
      </w:pPr>
    </w:p>
    <w:p w14:paraId="557FC08C">
      <w:pPr>
        <w:pStyle w:val="30"/>
        <w:numPr>
          <w:ilvl w:val="0"/>
          <w:numId w:val="21"/>
        </w:numPr>
        <w:spacing w:line="360" w:lineRule="auto"/>
        <w:ind w:firstLineChars="0"/>
        <w:rPr>
          <w:rFonts w:ascii="黑体" w:hAnsi="黑体" w:eastAsia="黑体"/>
          <w:b/>
          <w:color w:val="auto"/>
        </w:rPr>
      </w:pPr>
      <w:r>
        <w:rPr>
          <w:rFonts w:hint="eastAsia" w:ascii="黑体" w:hAnsi="黑体" w:eastAsia="黑体"/>
          <w:b/>
          <w:color w:val="auto"/>
        </w:rPr>
        <w:t>合同的履行</w:t>
      </w:r>
    </w:p>
    <w:p w14:paraId="533D830E">
      <w:pPr>
        <w:pStyle w:val="30"/>
        <w:numPr>
          <w:ilvl w:val="0"/>
          <w:numId w:val="5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采购人和中标人应当根据合同的约定依法履行合同义务。</w:t>
      </w:r>
    </w:p>
    <w:p w14:paraId="2DBECAA3">
      <w:pPr>
        <w:pStyle w:val="30"/>
        <w:numPr>
          <w:ilvl w:val="0"/>
          <w:numId w:val="5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政府采购合同订立后，合同各方不得擅自变更、中止或者终止合同。政府采购合同需要变更的，采购人应将有关合同变更内容，以书面形式报相关监管部门备案；因特殊情况需要中止或终止合同的，采购人应将中止或终止合同的理由以及相应措施，以书面形式报同级政府采购监督管理部门备案。</w:t>
      </w:r>
    </w:p>
    <w:p w14:paraId="5BBD0222">
      <w:pPr>
        <w:pStyle w:val="30"/>
        <w:numPr>
          <w:ilvl w:val="0"/>
          <w:numId w:val="59"/>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政府采购合同履行中，采购人需追加与合同标的相同的货物、工程或者服务的，在不改变合同其他条款的前提下，可以与中标人签订补充合同，但所补充合同的采购金额不得超过原合同采购金额的百分之十。签订补充合同的必须按规定备案。</w:t>
      </w:r>
    </w:p>
    <w:p w14:paraId="7DB739BF">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履约担保（本项目不收取履约担保）</w:t>
      </w:r>
    </w:p>
    <w:p w14:paraId="58A365CA">
      <w:pPr>
        <w:pStyle w:val="30"/>
        <w:numPr>
          <w:ilvl w:val="0"/>
          <w:numId w:val="21"/>
        </w:numPr>
        <w:spacing w:before="312" w:beforeLines="100" w:line="360" w:lineRule="auto"/>
        <w:ind w:firstLineChars="0"/>
        <w:rPr>
          <w:rFonts w:ascii="黑体" w:hAnsi="黑体" w:eastAsia="黑体"/>
          <w:b/>
          <w:color w:val="auto"/>
        </w:rPr>
      </w:pPr>
      <w:r>
        <w:rPr>
          <w:rFonts w:hint="eastAsia" w:ascii="黑体" w:hAnsi="黑体" w:eastAsia="黑体"/>
          <w:b/>
          <w:color w:val="auto"/>
        </w:rPr>
        <w:t>发票</w:t>
      </w:r>
    </w:p>
    <w:p w14:paraId="3DC6A783">
      <w:pPr>
        <w:pStyle w:val="30"/>
        <w:numPr>
          <w:ilvl w:val="0"/>
          <w:numId w:val="60"/>
        </w:numPr>
        <w:spacing w:line="360" w:lineRule="auto"/>
        <w:ind w:firstLineChars="0"/>
        <w:rPr>
          <w:rFonts w:ascii="黑体" w:hAnsi="黑体" w:eastAsia="黑体"/>
          <w:bCs/>
          <w:color w:val="auto"/>
          <w:spacing w:val="-2"/>
          <w:szCs w:val="21"/>
        </w:rPr>
      </w:pPr>
      <w:r>
        <w:rPr>
          <w:rFonts w:hint="eastAsia" w:ascii="黑体" w:hAnsi="黑体" w:eastAsia="黑体"/>
          <w:bCs/>
          <w:color w:val="auto"/>
          <w:spacing w:val="-2"/>
          <w:szCs w:val="21"/>
        </w:rPr>
        <w:t xml:space="preserve"> 中标人与采购人签署合同后，开具发票时，开发票的单位名称必须与中标人的名称一致。</w:t>
      </w:r>
    </w:p>
    <w:p w14:paraId="58046A02">
      <w:pPr>
        <w:pStyle w:val="30"/>
        <w:numPr>
          <w:ilvl w:val="0"/>
          <w:numId w:val="21"/>
        </w:numPr>
        <w:spacing w:before="312" w:beforeLines="100" w:line="360" w:lineRule="auto"/>
        <w:ind w:firstLineChars="0"/>
        <w:rPr>
          <w:rFonts w:ascii="黑体" w:hAnsi="黑体" w:eastAsia="黑体"/>
          <w:b/>
          <w:color w:val="auto"/>
        </w:rPr>
      </w:pPr>
      <w:bookmarkStart w:id="42" w:name="_Toc357676148"/>
      <w:r>
        <w:rPr>
          <w:rFonts w:hint="eastAsia" w:ascii="黑体" w:hAnsi="黑体" w:eastAsia="黑体"/>
          <w:b/>
          <w:color w:val="auto"/>
        </w:rPr>
        <w:t>招标代理服务费</w:t>
      </w:r>
      <w:bookmarkEnd w:id="42"/>
    </w:p>
    <w:p w14:paraId="00B28D2E">
      <w:pPr>
        <w:pStyle w:val="30"/>
        <w:numPr>
          <w:ilvl w:val="0"/>
          <w:numId w:val="6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中标人应在领取《中标通知书》原件时向采购代理机构一次性支付招标代理服务费人民币陆仟元整（￥6,000.00）。</w:t>
      </w:r>
    </w:p>
    <w:p w14:paraId="49C853D2">
      <w:pPr>
        <w:pStyle w:val="30"/>
        <w:numPr>
          <w:ilvl w:val="0"/>
          <w:numId w:val="61"/>
        </w:numPr>
        <w:spacing w:line="360" w:lineRule="auto"/>
        <w:ind w:left="567" w:hanging="567" w:firstLineChars="0"/>
        <w:rPr>
          <w:rFonts w:ascii="黑体" w:hAnsi="黑体" w:eastAsia="黑体"/>
          <w:bCs/>
          <w:color w:val="auto"/>
          <w:szCs w:val="21"/>
        </w:rPr>
      </w:pPr>
      <w:r>
        <w:rPr>
          <w:rFonts w:ascii="黑体" w:hAnsi="黑体" w:eastAsia="黑体"/>
          <w:bCs/>
          <w:color w:val="auto"/>
          <w:szCs w:val="21"/>
        </w:rPr>
        <w:t>招标代理服务费币种为人民币</w:t>
      </w:r>
      <w:r>
        <w:rPr>
          <w:rFonts w:hint="eastAsia" w:ascii="黑体" w:hAnsi="黑体" w:eastAsia="黑体"/>
          <w:bCs/>
          <w:color w:val="auto"/>
          <w:szCs w:val="21"/>
        </w:rPr>
        <w:t>。</w:t>
      </w:r>
    </w:p>
    <w:p w14:paraId="5A46C479">
      <w:pPr>
        <w:pStyle w:val="30"/>
        <w:numPr>
          <w:ilvl w:val="0"/>
          <w:numId w:val="61"/>
        </w:numPr>
        <w:spacing w:line="360" w:lineRule="auto"/>
        <w:ind w:left="567" w:hanging="567" w:firstLineChars="0"/>
        <w:rPr>
          <w:rFonts w:ascii="黑体" w:hAnsi="黑体" w:eastAsia="黑体"/>
          <w:bCs/>
          <w:color w:val="auto"/>
          <w:szCs w:val="21"/>
        </w:rPr>
      </w:pPr>
      <w:r>
        <w:rPr>
          <w:rFonts w:hint="eastAsia" w:ascii="黑体" w:hAnsi="黑体" w:eastAsia="黑体"/>
          <w:bCs/>
          <w:color w:val="auto"/>
          <w:szCs w:val="21"/>
        </w:rPr>
        <w:t>招标服务费只收现金、银行转账或电汇。</w:t>
      </w:r>
    </w:p>
    <w:p w14:paraId="2C53D261">
      <w:pPr>
        <w:pStyle w:val="30"/>
        <w:numPr>
          <w:ilvl w:val="0"/>
          <w:numId w:val="61"/>
        </w:numPr>
        <w:spacing w:line="360" w:lineRule="auto"/>
        <w:ind w:left="567" w:hanging="567" w:firstLineChars="0"/>
        <w:rPr>
          <w:rFonts w:ascii="黑体" w:hAnsi="黑体" w:eastAsia="黑体"/>
          <w:bCs/>
          <w:color w:val="auto"/>
          <w:szCs w:val="21"/>
        </w:rPr>
      </w:pPr>
      <w:r>
        <w:rPr>
          <w:rFonts w:ascii="黑体" w:hAnsi="黑体" w:eastAsia="黑体"/>
          <w:bCs/>
          <w:color w:val="auto"/>
          <w:szCs w:val="21"/>
        </w:rPr>
        <w:t>招标代理服务费收取</w:t>
      </w:r>
      <w:r>
        <w:rPr>
          <w:rFonts w:hint="eastAsia" w:ascii="黑体" w:hAnsi="黑体" w:eastAsia="黑体"/>
          <w:bCs/>
          <w:color w:val="auto"/>
          <w:szCs w:val="21"/>
        </w:rPr>
        <w:t>账户：</w:t>
      </w:r>
    </w:p>
    <w:p w14:paraId="320E9170">
      <w:pPr>
        <w:pStyle w:val="30"/>
        <w:spacing w:line="360" w:lineRule="auto"/>
        <w:ind w:firstLine="567" w:firstLineChars="270"/>
        <w:rPr>
          <w:rFonts w:ascii="黑体" w:hAnsi="黑体" w:eastAsia="黑体"/>
          <w:bCs/>
          <w:color w:val="auto"/>
          <w:szCs w:val="21"/>
        </w:rPr>
      </w:pPr>
      <w:r>
        <w:rPr>
          <w:rFonts w:ascii="黑体" w:hAnsi="黑体" w:eastAsia="黑体"/>
          <w:bCs/>
          <w:color w:val="auto"/>
          <w:szCs w:val="21"/>
        </w:rPr>
        <w:t>收款单位名称：</w:t>
      </w:r>
      <w:r>
        <w:rPr>
          <w:rFonts w:hint="eastAsia" w:ascii="黑体" w:hAnsi="黑体" w:eastAsia="黑体"/>
          <w:bCs/>
          <w:color w:val="auto"/>
          <w:szCs w:val="21"/>
        </w:rPr>
        <w:t>广东有德招标采购有限公司东莞分公司</w:t>
      </w:r>
    </w:p>
    <w:p w14:paraId="407A510C">
      <w:pPr>
        <w:pStyle w:val="30"/>
        <w:spacing w:line="360" w:lineRule="auto"/>
        <w:ind w:firstLine="567" w:firstLineChars="270"/>
        <w:rPr>
          <w:rFonts w:ascii="黑体" w:hAnsi="黑体" w:eastAsia="黑体"/>
          <w:bCs/>
          <w:color w:val="auto"/>
          <w:szCs w:val="21"/>
        </w:rPr>
      </w:pPr>
      <w:r>
        <w:rPr>
          <w:rFonts w:ascii="黑体" w:hAnsi="黑体" w:eastAsia="黑体"/>
          <w:bCs/>
          <w:color w:val="auto"/>
          <w:szCs w:val="21"/>
        </w:rPr>
        <w:t>开户银行：</w:t>
      </w:r>
      <w:r>
        <w:rPr>
          <w:rFonts w:hint="eastAsia" w:ascii="黑体" w:hAnsi="黑体" w:eastAsia="黑体"/>
          <w:bCs/>
          <w:color w:val="auto"/>
          <w:szCs w:val="21"/>
        </w:rPr>
        <w:t>中国建设银行股份有限公司东莞南城支行</w:t>
      </w:r>
    </w:p>
    <w:p w14:paraId="66CD5A43">
      <w:pPr>
        <w:pStyle w:val="30"/>
        <w:spacing w:line="360" w:lineRule="auto"/>
        <w:ind w:firstLine="567" w:firstLineChars="270"/>
        <w:rPr>
          <w:rFonts w:ascii="黑体" w:hAnsi="黑体" w:eastAsia="黑体"/>
          <w:bCs/>
          <w:color w:val="auto"/>
          <w:szCs w:val="21"/>
        </w:rPr>
      </w:pPr>
      <w:r>
        <w:rPr>
          <w:rFonts w:ascii="黑体" w:hAnsi="黑体" w:eastAsia="黑体"/>
          <w:bCs/>
          <w:color w:val="auto"/>
          <w:szCs w:val="21"/>
        </w:rPr>
        <w:t>收款账号：44001776040053011261</w:t>
      </w:r>
    </w:p>
    <w:p w14:paraId="0B2EAD01">
      <w:pPr>
        <w:pStyle w:val="30"/>
        <w:numPr>
          <w:ilvl w:val="0"/>
          <w:numId w:val="21"/>
        </w:numPr>
        <w:spacing w:before="312" w:beforeLines="100" w:line="360" w:lineRule="auto"/>
        <w:ind w:firstLineChars="0"/>
        <w:rPr>
          <w:rFonts w:ascii="黑体" w:hAnsi="黑体" w:eastAsia="黑体" w:cs="黑体"/>
          <w:b/>
          <w:color w:val="auto"/>
        </w:rPr>
      </w:pPr>
      <w:r>
        <w:rPr>
          <w:rFonts w:hint="eastAsia" w:ascii="黑体" w:hAnsi="黑体" w:eastAsia="黑体" w:cs="黑体"/>
          <w:b/>
          <w:color w:val="auto"/>
        </w:rPr>
        <w:t>招标文件符号说明</w:t>
      </w:r>
    </w:p>
    <w:p w14:paraId="34EDAC34">
      <w:pPr>
        <w:pStyle w:val="30"/>
        <w:numPr>
          <w:ilvl w:val="0"/>
          <w:numId w:val="62"/>
        </w:numPr>
        <w:spacing w:line="360" w:lineRule="auto"/>
        <w:ind w:left="567" w:hanging="567" w:firstLineChars="0"/>
        <w:rPr>
          <w:rFonts w:ascii="黑体" w:hAnsi="黑体" w:eastAsia="黑体" w:cs="黑体"/>
          <w:bCs/>
          <w:color w:val="auto"/>
          <w:szCs w:val="21"/>
        </w:rPr>
      </w:pPr>
      <w:r>
        <w:rPr>
          <w:rFonts w:hint="eastAsia" w:ascii="黑体" w:hAnsi="黑体" w:eastAsia="黑体" w:cs="黑体"/>
          <w:bCs/>
          <w:color w:val="auto"/>
          <w:szCs w:val="21"/>
        </w:rPr>
        <w:t>招标文件中，打“★”号条款为实质性条款，若有任何一条负偏离或不满足则导致投标无效。打“▲”号条款为重要技术参数，若有部分“▲”条款未响应或不满足，将根据评审要求影响其得分，但不作为无效投标条款。打“■”号条款为核心产品。</w:t>
      </w:r>
    </w:p>
    <w:p w14:paraId="6C20E4FD">
      <w:pPr>
        <w:pageBreakBefore/>
        <w:rPr>
          <w:rFonts w:ascii="黑体" w:hAnsi="黑体" w:eastAsia="黑体"/>
          <w:color w:val="auto"/>
        </w:rPr>
      </w:pPr>
      <w:bookmarkStart w:id="43" w:name="_Toc515040753"/>
      <w:bookmarkStart w:id="44" w:name="_Toc515363625"/>
      <w:r>
        <w:rPr>
          <w:rFonts w:hint="eastAsia" w:ascii="黑体" w:hAnsi="黑体" w:eastAsia="黑体"/>
          <w:color w:val="auto"/>
        </w:rPr>
        <w:t>附件1  询问函格式</w:t>
      </w:r>
      <w:bookmarkEnd w:id="43"/>
      <w:bookmarkEnd w:id="44"/>
    </w:p>
    <w:p w14:paraId="48E81DDA">
      <w:pPr>
        <w:spacing w:before="312" w:beforeLines="100" w:after="312" w:afterLines="100"/>
        <w:jc w:val="center"/>
        <w:rPr>
          <w:rFonts w:ascii="黑体" w:hAnsi="黑体" w:eastAsia="黑体" w:cs="Times New Roman"/>
          <w:b/>
          <w:bCs/>
          <w:color w:val="auto"/>
          <w:spacing w:val="20"/>
          <w:sz w:val="28"/>
          <w:szCs w:val="28"/>
        </w:rPr>
      </w:pPr>
      <w:r>
        <w:rPr>
          <w:rFonts w:hint="eastAsia" w:ascii="黑体" w:hAnsi="黑体" w:eastAsia="黑体" w:cs="Times New Roman"/>
          <w:b/>
          <w:bCs/>
          <w:color w:val="auto"/>
          <w:spacing w:val="20"/>
          <w:sz w:val="28"/>
          <w:szCs w:val="28"/>
        </w:rPr>
        <w:t>询问函</w:t>
      </w:r>
    </w:p>
    <w:p w14:paraId="1EFC0A70">
      <w:pPr>
        <w:widowControl/>
        <w:adjustRightInd w:val="0"/>
        <w:spacing w:after="156" w:afterLines="50" w:line="360" w:lineRule="auto"/>
        <w:rPr>
          <w:rFonts w:ascii="黑体" w:hAnsi="黑体" w:eastAsia="黑体"/>
          <w:color w:val="auto"/>
          <w:szCs w:val="21"/>
        </w:rPr>
      </w:pPr>
      <w:r>
        <w:rPr>
          <w:rFonts w:ascii="黑体" w:hAnsi="黑体" w:eastAsia="黑体"/>
          <w:color w:val="auto"/>
          <w:szCs w:val="21"/>
          <w:u w:val="single"/>
        </w:rPr>
        <w:t>广东有德招标采购有限公司</w:t>
      </w:r>
      <w:r>
        <w:rPr>
          <w:rFonts w:hint="eastAsia" w:ascii="黑体" w:hAnsi="黑体" w:eastAsia="黑体"/>
          <w:color w:val="auto"/>
          <w:szCs w:val="21"/>
        </w:rPr>
        <w:t>：</w:t>
      </w:r>
    </w:p>
    <w:p w14:paraId="2B447DD3">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我单位已获取招标文件并准备参与</w:t>
      </w:r>
      <w:r>
        <w:rPr>
          <w:rFonts w:ascii="黑体" w:hAnsi="黑体" w:eastAsia="黑体"/>
          <w:i/>
          <w:color w:val="auto"/>
          <w:szCs w:val="21"/>
          <w:u w:val="single"/>
        </w:rPr>
        <w:t xml:space="preserve">           </w:t>
      </w:r>
      <w:r>
        <w:rPr>
          <w:rFonts w:hint="eastAsia" w:ascii="黑体" w:hAnsi="黑体" w:eastAsia="黑体"/>
          <w:color w:val="auto"/>
          <w:szCs w:val="21"/>
        </w:rPr>
        <w:t>项目（项目编号</w:t>
      </w:r>
      <w:r>
        <w:rPr>
          <w:rFonts w:hint="eastAsia" w:ascii="黑体" w:hAnsi="黑体" w:eastAsia="黑体"/>
          <w:color w:val="auto"/>
          <w:szCs w:val="21"/>
          <w:u w:val="single"/>
        </w:rPr>
        <w:t>：</w:t>
      </w:r>
      <w:r>
        <w:rPr>
          <w:rFonts w:ascii="黑体" w:hAnsi="黑体" w:eastAsia="黑体"/>
          <w:color w:val="auto"/>
          <w:szCs w:val="21"/>
          <w:u w:val="single"/>
        </w:rPr>
        <w:t xml:space="preserve">        </w:t>
      </w:r>
      <w:r>
        <w:rPr>
          <w:rFonts w:hint="eastAsia" w:ascii="黑体" w:hAnsi="黑体" w:eastAsia="黑体"/>
          <w:color w:val="auto"/>
          <w:szCs w:val="21"/>
        </w:rPr>
        <w:t>）的投标（或报价）活动，现有以下几个内容（或条款）存在疑问（或无法理解），特提出询问。</w:t>
      </w:r>
    </w:p>
    <w:p w14:paraId="18578AE0">
      <w:pPr>
        <w:widowControl/>
        <w:tabs>
          <w:tab w:val="center" w:pos="5019"/>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一、</w:t>
      </w:r>
      <w:r>
        <w:rPr>
          <w:rFonts w:ascii="黑体" w:hAnsi="黑体" w:eastAsia="黑体"/>
          <w:color w:val="auto"/>
          <w:szCs w:val="21"/>
          <w:u w:val="single"/>
        </w:rPr>
        <w:t xml:space="preserve">                        </w:t>
      </w:r>
      <w:r>
        <w:rPr>
          <w:rFonts w:ascii="黑体" w:hAnsi="黑体" w:eastAsia="黑体"/>
          <w:color w:val="auto"/>
          <w:szCs w:val="21"/>
        </w:rPr>
        <w:t>（事项一）</w:t>
      </w:r>
      <w:r>
        <w:rPr>
          <w:rFonts w:ascii="黑体" w:hAnsi="黑体" w:eastAsia="黑体"/>
          <w:color w:val="auto"/>
          <w:szCs w:val="21"/>
        </w:rPr>
        <w:tab/>
      </w:r>
    </w:p>
    <w:p w14:paraId="4F317CA8">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w:t>
      </w:r>
      <w:r>
        <w:rPr>
          <w:rFonts w:ascii="黑体" w:hAnsi="黑体" w:eastAsia="黑体"/>
          <w:color w:val="auto"/>
          <w:szCs w:val="21"/>
        </w:rPr>
        <w:t>1）</w:t>
      </w:r>
      <w:r>
        <w:rPr>
          <w:rFonts w:ascii="黑体" w:hAnsi="黑体" w:eastAsia="黑体"/>
          <w:color w:val="auto"/>
          <w:szCs w:val="21"/>
          <w:u w:val="single"/>
        </w:rPr>
        <w:t xml:space="preserve">                       </w:t>
      </w:r>
      <w:r>
        <w:rPr>
          <w:rFonts w:ascii="黑体" w:hAnsi="黑体" w:eastAsia="黑体"/>
          <w:color w:val="auto"/>
          <w:szCs w:val="21"/>
        </w:rPr>
        <w:t>（问题或条款内容）</w:t>
      </w:r>
    </w:p>
    <w:p w14:paraId="250EDE76">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w:t>
      </w:r>
      <w:r>
        <w:rPr>
          <w:rFonts w:ascii="黑体" w:hAnsi="黑体" w:eastAsia="黑体"/>
          <w:color w:val="auto"/>
          <w:szCs w:val="21"/>
        </w:rPr>
        <w:t>2）</w:t>
      </w:r>
      <w:r>
        <w:rPr>
          <w:rFonts w:ascii="黑体" w:hAnsi="黑体" w:eastAsia="黑体"/>
          <w:color w:val="auto"/>
          <w:szCs w:val="21"/>
          <w:u w:val="single"/>
        </w:rPr>
        <w:t xml:space="preserve">                       </w:t>
      </w:r>
      <w:r>
        <w:rPr>
          <w:rFonts w:ascii="黑体" w:hAnsi="黑体" w:eastAsia="黑体"/>
          <w:color w:val="auto"/>
          <w:szCs w:val="21"/>
        </w:rPr>
        <w:t>（说明疑问或无法理解原因）</w:t>
      </w:r>
    </w:p>
    <w:p w14:paraId="6408A296">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w:t>
      </w:r>
      <w:r>
        <w:rPr>
          <w:rFonts w:ascii="黑体" w:hAnsi="黑体" w:eastAsia="黑体"/>
          <w:color w:val="auto"/>
          <w:szCs w:val="21"/>
        </w:rPr>
        <w:t>3）</w:t>
      </w:r>
      <w:r>
        <w:rPr>
          <w:rFonts w:ascii="黑体" w:hAnsi="黑体" w:eastAsia="黑体"/>
          <w:color w:val="auto"/>
          <w:szCs w:val="21"/>
          <w:u w:val="single"/>
        </w:rPr>
        <w:t xml:space="preserve">                       </w:t>
      </w:r>
      <w:r>
        <w:rPr>
          <w:rFonts w:ascii="黑体" w:hAnsi="黑体" w:eastAsia="黑体"/>
          <w:color w:val="auto"/>
          <w:szCs w:val="21"/>
        </w:rPr>
        <w:t>（建议）</w:t>
      </w:r>
    </w:p>
    <w:p w14:paraId="1E312227">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二、</w:t>
      </w:r>
      <w:r>
        <w:rPr>
          <w:rFonts w:ascii="黑体" w:hAnsi="黑体" w:eastAsia="黑体"/>
          <w:color w:val="auto"/>
          <w:szCs w:val="21"/>
          <w:u w:val="single"/>
        </w:rPr>
        <w:t xml:space="preserve">                       </w:t>
      </w:r>
      <w:r>
        <w:rPr>
          <w:rFonts w:ascii="黑体" w:hAnsi="黑体" w:eastAsia="黑体"/>
          <w:color w:val="auto"/>
          <w:szCs w:val="21"/>
        </w:rPr>
        <w:t xml:space="preserve"> （事项二）</w:t>
      </w:r>
    </w:p>
    <w:p w14:paraId="3A9A6523">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w:t>
      </w:r>
    </w:p>
    <w:p w14:paraId="54B611C6">
      <w:pPr>
        <w:widowControl/>
        <w:tabs>
          <w:tab w:val="left" w:pos="6300"/>
        </w:tabs>
        <w:adjustRightInd w:val="0"/>
        <w:spacing w:line="360" w:lineRule="auto"/>
        <w:ind w:firstLine="420" w:firstLineChars="200"/>
        <w:rPr>
          <w:rFonts w:ascii="黑体" w:hAnsi="黑体" w:eastAsia="黑体"/>
          <w:color w:val="auto"/>
          <w:szCs w:val="21"/>
        </w:rPr>
      </w:pPr>
      <w:r>
        <w:rPr>
          <w:rFonts w:hint="eastAsia" w:ascii="黑体" w:hAnsi="黑体" w:eastAsia="黑体"/>
          <w:color w:val="auto"/>
          <w:szCs w:val="21"/>
        </w:rPr>
        <w:t>随附相关证明材料如下：（目录）。</w:t>
      </w:r>
    </w:p>
    <w:p w14:paraId="40E2BD8D">
      <w:pPr>
        <w:widowControl/>
        <w:tabs>
          <w:tab w:val="left" w:pos="6300"/>
        </w:tabs>
        <w:adjustRightInd w:val="0"/>
        <w:spacing w:line="360" w:lineRule="auto"/>
        <w:ind w:firstLine="1260" w:firstLineChars="600"/>
        <w:rPr>
          <w:rFonts w:ascii="黑体" w:hAnsi="黑体" w:eastAsia="黑体"/>
          <w:color w:val="auto"/>
          <w:szCs w:val="21"/>
        </w:rPr>
      </w:pPr>
      <w:r>
        <w:rPr>
          <w:rFonts w:hint="eastAsia" w:ascii="黑体" w:hAnsi="黑体" w:eastAsia="黑体"/>
          <w:color w:val="auto"/>
          <w:szCs w:val="21"/>
        </w:rPr>
        <w:t>询问人：（公章）</w:t>
      </w:r>
    </w:p>
    <w:p w14:paraId="36FA036D">
      <w:pPr>
        <w:widowControl/>
        <w:tabs>
          <w:tab w:val="left" w:pos="6300"/>
        </w:tabs>
        <w:adjustRightInd w:val="0"/>
        <w:spacing w:line="360" w:lineRule="auto"/>
        <w:ind w:firstLine="1260" w:firstLineChars="600"/>
        <w:rPr>
          <w:rFonts w:ascii="黑体" w:hAnsi="黑体" w:eastAsia="黑体"/>
          <w:color w:val="auto"/>
          <w:szCs w:val="21"/>
        </w:rPr>
      </w:pPr>
      <w:r>
        <w:rPr>
          <w:rFonts w:hint="eastAsia" w:ascii="黑体" w:hAnsi="黑体" w:eastAsia="黑体"/>
          <w:color w:val="auto"/>
          <w:szCs w:val="21"/>
        </w:rPr>
        <w:t>法定代表人（授权代表）：</w:t>
      </w:r>
    </w:p>
    <w:p w14:paraId="749F53FD">
      <w:pPr>
        <w:tabs>
          <w:tab w:val="left" w:pos="6300"/>
        </w:tabs>
        <w:adjustRightInd w:val="0"/>
        <w:spacing w:line="360" w:lineRule="auto"/>
        <w:ind w:firstLine="1260" w:firstLineChars="600"/>
        <w:rPr>
          <w:rFonts w:ascii="黑体" w:hAnsi="黑体" w:eastAsia="黑体"/>
          <w:color w:val="auto"/>
          <w:szCs w:val="21"/>
        </w:rPr>
      </w:pPr>
      <w:r>
        <w:rPr>
          <w:rFonts w:hint="eastAsia" w:ascii="黑体" w:hAnsi="黑体" w:eastAsia="黑体"/>
          <w:color w:val="auto"/>
          <w:szCs w:val="21"/>
        </w:rPr>
        <w:t>地址</w:t>
      </w:r>
      <w:r>
        <w:rPr>
          <w:rFonts w:ascii="黑体" w:hAnsi="黑体" w:eastAsia="黑体"/>
          <w:color w:val="auto"/>
          <w:szCs w:val="21"/>
        </w:rPr>
        <w:t>/邮编：</w:t>
      </w:r>
    </w:p>
    <w:p w14:paraId="7A40168F">
      <w:pPr>
        <w:tabs>
          <w:tab w:val="left" w:pos="6300"/>
        </w:tabs>
        <w:adjustRightInd w:val="0"/>
        <w:spacing w:line="360" w:lineRule="auto"/>
        <w:ind w:firstLine="1260" w:firstLineChars="600"/>
        <w:rPr>
          <w:rFonts w:ascii="黑体" w:hAnsi="黑体" w:eastAsia="黑体"/>
          <w:color w:val="auto"/>
          <w:szCs w:val="21"/>
        </w:rPr>
      </w:pPr>
      <w:r>
        <w:rPr>
          <w:rFonts w:hint="eastAsia" w:ascii="黑体" w:hAnsi="黑体" w:eastAsia="黑体"/>
          <w:color w:val="auto"/>
          <w:szCs w:val="21"/>
        </w:rPr>
        <w:t>电话</w:t>
      </w:r>
      <w:r>
        <w:rPr>
          <w:rFonts w:ascii="黑体" w:hAnsi="黑体" w:eastAsia="黑体"/>
          <w:color w:val="auto"/>
          <w:szCs w:val="21"/>
        </w:rPr>
        <w:t>/传真：</w:t>
      </w:r>
    </w:p>
    <w:p w14:paraId="477D023F">
      <w:pPr>
        <w:adjustRightInd w:val="0"/>
        <w:spacing w:before="624" w:beforeLines="200" w:line="360" w:lineRule="auto"/>
        <w:jc w:val="right"/>
        <w:rPr>
          <w:rFonts w:ascii="黑体" w:hAnsi="黑体" w:eastAsia="黑体"/>
          <w:color w:val="auto"/>
          <w:szCs w:val="21"/>
        </w:rPr>
      </w:pPr>
      <w:r>
        <w:rPr>
          <w:rFonts w:hint="eastAsia" w:ascii="黑体" w:hAnsi="黑体" w:eastAsia="黑体"/>
          <w:color w:val="auto"/>
          <w:szCs w:val="21"/>
        </w:rPr>
        <w:t>年</w:t>
      </w:r>
      <w:r>
        <w:rPr>
          <w:rFonts w:ascii="黑体" w:hAnsi="黑体" w:eastAsia="黑体"/>
          <w:color w:val="auto"/>
          <w:szCs w:val="21"/>
        </w:rPr>
        <w:t xml:space="preserve">     </w:t>
      </w:r>
      <w:r>
        <w:rPr>
          <w:rFonts w:hint="eastAsia" w:ascii="黑体" w:hAnsi="黑体" w:eastAsia="黑体"/>
          <w:color w:val="auto"/>
          <w:szCs w:val="21"/>
        </w:rPr>
        <w:t>月</w:t>
      </w:r>
      <w:r>
        <w:rPr>
          <w:rFonts w:ascii="黑体" w:hAnsi="黑体" w:eastAsia="黑体"/>
          <w:color w:val="auto"/>
          <w:szCs w:val="21"/>
        </w:rPr>
        <w:t xml:space="preserve">     </w:t>
      </w:r>
      <w:r>
        <w:rPr>
          <w:rFonts w:hint="eastAsia" w:ascii="黑体" w:hAnsi="黑体" w:eastAsia="黑体"/>
          <w:color w:val="auto"/>
          <w:szCs w:val="21"/>
        </w:rPr>
        <w:t>日</w:t>
      </w:r>
    </w:p>
    <w:p w14:paraId="7ADAD436">
      <w:pPr>
        <w:snapToGrid w:val="0"/>
        <w:spacing w:line="360" w:lineRule="auto"/>
        <w:ind w:firstLine="422" w:firstLineChars="201"/>
        <w:rPr>
          <w:rFonts w:ascii="黑体" w:hAnsi="黑体" w:eastAsia="黑体"/>
          <w:color w:val="auto"/>
          <w:szCs w:val="21"/>
        </w:rPr>
      </w:pPr>
    </w:p>
    <w:p w14:paraId="7AE8A692">
      <w:pPr>
        <w:pageBreakBefore/>
        <w:rPr>
          <w:rFonts w:ascii="黑体" w:hAnsi="黑体" w:eastAsia="黑体"/>
          <w:b/>
          <w:color w:val="auto"/>
        </w:rPr>
      </w:pPr>
      <w:bookmarkStart w:id="45" w:name="_Toc515363626"/>
      <w:bookmarkStart w:id="46" w:name="_Toc515040754"/>
      <w:r>
        <w:rPr>
          <w:rFonts w:hint="eastAsia" w:ascii="黑体" w:hAnsi="黑体" w:eastAsia="黑体"/>
          <w:b/>
          <w:color w:val="auto"/>
        </w:rPr>
        <w:t>附件2  质疑函格式</w:t>
      </w:r>
      <w:bookmarkEnd w:id="45"/>
      <w:bookmarkEnd w:id="46"/>
    </w:p>
    <w:p w14:paraId="5A53FCFF">
      <w:pPr>
        <w:spacing w:before="312" w:beforeLines="100" w:after="312" w:afterLines="100"/>
        <w:jc w:val="center"/>
        <w:rPr>
          <w:rFonts w:ascii="黑体" w:hAnsi="黑体" w:eastAsia="黑体" w:cs="Times New Roman"/>
          <w:b/>
          <w:color w:val="auto"/>
          <w:spacing w:val="20"/>
          <w:sz w:val="28"/>
          <w:szCs w:val="28"/>
        </w:rPr>
      </w:pPr>
      <w:r>
        <w:rPr>
          <w:rFonts w:hint="eastAsia" w:ascii="黑体" w:hAnsi="黑体" w:eastAsia="黑体" w:cs="Times New Roman"/>
          <w:b/>
          <w:color w:val="auto"/>
          <w:spacing w:val="20"/>
          <w:sz w:val="28"/>
          <w:szCs w:val="28"/>
        </w:rPr>
        <w:t>质疑函</w:t>
      </w:r>
    </w:p>
    <w:p w14:paraId="54BF36A4">
      <w:pPr>
        <w:adjustRightInd w:val="0"/>
        <w:snapToGrid w:val="0"/>
        <w:spacing w:line="360" w:lineRule="auto"/>
        <w:rPr>
          <w:rFonts w:ascii="黑体" w:hAnsi="黑体" w:eastAsia="黑体" w:cs="仿宋"/>
          <w:bCs/>
          <w:color w:val="auto"/>
          <w:szCs w:val="21"/>
        </w:rPr>
      </w:pPr>
      <w:r>
        <w:rPr>
          <w:rFonts w:hint="eastAsia" w:ascii="黑体" w:hAnsi="黑体" w:eastAsia="黑体" w:cs="仿宋"/>
          <w:bCs/>
          <w:color w:val="auto"/>
          <w:szCs w:val="21"/>
        </w:rPr>
        <w:t>一、质疑供应商基本信息</w:t>
      </w:r>
    </w:p>
    <w:p w14:paraId="0D50AFF4">
      <w:pPr>
        <w:adjustRightInd w:val="0"/>
        <w:snapToGrid w:val="0"/>
        <w:spacing w:line="360" w:lineRule="auto"/>
        <w:rPr>
          <w:rFonts w:ascii="黑体" w:hAnsi="黑体" w:eastAsia="黑体" w:cs="仿宋"/>
          <w:color w:val="auto"/>
          <w:szCs w:val="21"/>
          <w:u w:val="dotted"/>
        </w:rPr>
      </w:pPr>
      <w:r>
        <w:rPr>
          <w:rFonts w:hint="eastAsia" w:ascii="黑体" w:hAnsi="黑体" w:eastAsia="黑体" w:cs="仿宋"/>
          <w:color w:val="auto"/>
          <w:szCs w:val="21"/>
        </w:rPr>
        <w:t>质疑供应商：</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7A715780">
      <w:pPr>
        <w:adjustRightInd w:val="0"/>
        <w:snapToGrid w:val="0"/>
        <w:spacing w:line="360" w:lineRule="auto"/>
        <w:rPr>
          <w:rFonts w:ascii="黑体" w:hAnsi="黑体" w:eastAsia="黑体" w:cs="仿宋"/>
          <w:color w:val="auto"/>
          <w:szCs w:val="21"/>
        </w:rPr>
      </w:pPr>
      <w:r>
        <w:rPr>
          <w:rFonts w:hint="eastAsia" w:ascii="黑体" w:hAnsi="黑体" w:eastAsia="黑体" w:cs="仿宋"/>
          <w:color w:val="auto"/>
          <w:szCs w:val="21"/>
        </w:rPr>
        <w:t>地址：</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rPr>
        <w:t>邮编：</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6E9DAFE3">
      <w:pPr>
        <w:adjustRightInd w:val="0"/>
        <w:snapToGrid w:val="0"/>
        <w:spacing w:line="360" w:lineRule="auto"/>
        <w:rPr>
          <w:rFonts w:ascii="黑体" w:hAnsi="黑体" w:eastAsia="黑体" w:cs="仿宋"/>
          <w:color w:val="auto"/>
          <w:szCs w:val="21"/>
        </w:rPr>
      </w:pPr>
      <w:r>
        <w:rPr>
          <w:rFonts w:hint="eastAsia" w:ascii="黑体" w:hAnsi="黑体" w:eastAsia="黑体" w:cs="仿宋"/>
          <w:color w:val="auto"/>
          <w:szCs w:val="21"/>
        </w:rPr>
        <w:t>联系人：</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hint="eastAsia" w:ascii="黑体" w:hAnsi="黑体" w:eastAsia="黑体" w:cs="仿宋"/>
          <w:color w:val="auto"/>
          <w:szCs w:val="21"/>
        </w:rPr>
        <w:t>联系电话：</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707991BC">
      <w:pPr>
        <w:adjustRightInd w:val="0"/>
        <w:snapToGrid w:val="0"/>
        <w:spacing w:line="360" w:lineRule="auto"/>
        <w:rPr>
          <w:rFonts w:ascii="黑体" w:hAnsi="黑体" w:eastAsia="黑体" w:cs="仿宋"/>
          <w:color w:val="auto"/>
          <w:szCs w:val="21"/>
          <w:u w:val="dotted"/>
        </w:rPr>
      </w:pPr>
      <w:r>
        <w:rPr>
          <w:rFonts w:hint="eastAsia" w:ascii="黑体" w:hAnsi="黑体" w:eastAsia="黑体" w:cs="仿宋"/>
          <w:color w:val="auto"/>
          <w:szCs w:val="21"/>
        </w:rPr>
        <w:t>授权代表：</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5C2D1028">
      <w:pPr>
        <w:adjustRightInd w:val="0"/>
        <w:snapToGrid w:val="0"/>
        <w:spacing w:line="360" w:lineRule="auto"/>
        <w:rPr>
          <w:rFonts w:ascii="黑体" w:hAnsi="黑体" w:eastAsia="黑体" w:cs="仿宋"/>
          <w:b/>
          <w:color w:val="auto"/>
          <w:szCs w:val="21"/>
        </w:rPr>
      </w:pPr>
      <w:r>
        <w:rPr>
          <w:rFonts w:hint="eastAsia" w:ascii="黑体" w:hAnsi="黑体" w:eastAsia="黑体" w:cs="仿宋"/>
          <w:color w:val="auto"/>
          <w:szCs w:val="21"/>
        </w:rPr>
        <w:t>联系电话：</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1BAEF9F8">
      <w:pPr>
        <w:adjustRightInd w:val="0"/>
        <w:snapToGrid w:val="0"/>
        <w:spacing w:line="360" w:lineRule="auto"/>
        <w:rPr>
          <w:rFonts w:ascii="黑体" w:hAnsi="黑体" w:eastAsia="黑体" w:cs="仿宋"/>
          <w:b/>
          <w:color w:val="auto"/>
          <w:szCs w:val="21"/>
        </w:rPr>
      </w:pPr>
      <w:r>
        <w:rPr>
          <w:rFonts w:hint="eastAsia" w:ascii="黑体" w:hAnsi="黑体" w:eastAsia="黑体" w:cs="仿宋"/>
          <w:color w:val="auto"/>
          <w:szCs w:val="21"/>
        </w:rPr>
        <w:t>地   址：</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rPr>
        <w:t>邮编：</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266902E8">
      <w:pPr>
        <w:adjustRightInd w:val="0"/>
        <w:snapToGrid w:val="0"/>
        <w:spacing w:before="156" w:beforeLines="50" w:line="360" w:lineRule="auto"/>
        <w:rPr>
          <w:rFonts w:ascii="黑体" w:hAnsi="黑体" w:eastAsia="黑体" w:cs="仿宋"/>
          <w:bCs/>
          <w:color w:val="auto"/>
          <w:szCs w:val="21"/>
        </w:rPr>
      </w:pPr>
      <w:r>
        <w:rPr>
          <w:rFonts w:hint="eastAsia" w:ascii="黑体" w:hAnsi="黑体" w:eastAsia="黑体" w:cs="仿宋"/>
          <w:bCs/>
          <w:color w:val="auto"/>
          <w:szCs w:val="21"/>
        </w:rPr>
        <w:t xml:space="preserve">二、质疑项目基本情况 </w:t>
      </w:r>
    </w:p>
    <w:p w14:paraId="5A6267C7">
      <w:pPr>
        <w:adjustRightInd w:val="0"/>
        <w:snapToGrid w:val="0"/>
        <w:spacing w:line="360" w:lineRule="auto"/>
        <w:rPr>
          <w:rFonts w:ascii="黑体" w:hAnsi="黑体" w:eastAsia="黑体" w:cs="仿宋"/>
          <w:color w:val="auto"/>
          <w:szCs w:val="21"/>
        </w:rPr>
      </w:pPr>
      <w:r>
        <w:rPr>
          <w:rFonts w:hint="eastAsia" w:ascii="黑体" w:hAnsi="黑体" w:eastAsia="黑体" w:cs="仿宋"/>
          <w:color w:val="auto"/>
          <w:szCs w:val="21"/>
        </w:rPr>
        <w:t>质疑项目的名称：</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689BB3ED">
      <w:pPr>
        <w:adjustRightInd w:val="0"/>
        <w:snapToGrid w:val="0"/>
        <w:spacing w:line="360" w:lineRule="auto"/>
        <w:rPr>
          <w:rFonts w:ascii="黑体" w:hAnsi="黑体" w:eastAsia="黑体" w:cs="仿宋"/>
          <w:color w:val="auto"/>
          <w:szCs w:val="21"/>
        </w:rPr>
      </w:pPr>
      <w:r>
        <w:rPr>
          <w:rFonts w:hint="eastAsia" w:ascii="黑体" w:hAnsi="黑体" w:eastAsia="黑体" w:cs="仿宋"/>
          <w:color w:val="auto"/>
          <w:szCs w:val="21"/>
        </w:rPr>
        <w:t>质疑项目的编号：</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rPr>
        <w:t>包号：</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202460BE">
      <w:pPr>
        <w:adjustRightInd w:val="0"/>
        <w:snapToGrid w:val="0"/>
        <w:spacing w:line="360" w:lineRule="auto"/>
        <w:rPr>
          <w:rFonts w:ascii="黑体" w:hAnsi="黑体" w:eastAsia="黑体" w:cs="仿宋"/>
          <w:color w:val="auto"/>
          <w:szCs w:val="21"/>
          <w:u w:val="single"/>
        </w:rPr>
      </w:pPr>
      <w:r>
        <w:rPr>
          <w:rFonts w:hint="eastAsia" w:ascii="黑体" w:hAnsi="黑体" w:eastAsia="黑体" w:cs="仿宋"/>
          <w:color w:val="auto"/>
          <w:szCs w:val="21"/>
        </w:rPr>
        <w:t>采购人名称：</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541B5838">
      <w:pPr>
        <w:adjustRightInd w:val="0"/>
        <w:snapToGrid w:val="0"/>
        <w:spacing w:line="360" w:lineRule="auto"/>
        <w:rPr>
          <w:rFonts w:ascii="黑体" w:hAnsi="黑体" w:eastAsia="黑体" w:cs="仿宋"/>
          <w:color w:val="auto"/>
          <w:szCs w:val="21"/>
          <w:u w:val="single"/>
        </w:rPr>
      </w:pPr>
      <w:r>
        <w:rPr>
          <w:rFonts w:hint="eastAsia" w:ascii="黑体" w:hAnsi="黑体" w:eastAsia="黑体" w:cs="仿宋"/>
          <w:color w:val="auto"/>
          <w:szCs w:val="21"/>
        </w:rPr>
        <w:t>采购文件获取日期：</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1547A6AC">
      <w:pPr>
        <w:adjustRightInd w:val="0"/>
        <w:snapToGrid w:val="0"/>
        <w:spacing w:before="156" w:beforeLines="50" w:line="360" w:lineRule="auto"/>
        <w:rPr>
          <w:rFonts w:ascii="黑体" w:hAnsi="黑体" w:eastAsia="黑体" w:cs="仿宋"/>
          <w:bCs/>
          <w:color w:val="auto"/>
          <w:szCs w:val="21"/>
        </w:rPr>
      </w:pPr>
      <w:r>
        <w:rPr>
          <w:rFonts w:hint="eastAsia" w:ascii="黑体" w:hAnsi="黑体" w:eastAsia="黑体" w:cs="仿宋"/>
          <w:bCs/>
          <w:color w:val="auto"/>
          <w:szCs w:val="21"/>
        </w:rPr>
        <w:t>三、质疑事项具体内容</w:t>
      </w:r>
    </w:p>
    <w:p w14:paraId="1031FDE4">
      <w:pPr>
        <w:adjustRightInd w:val="0"/>
        <w:snapToGrid w:val="0"/>
        <w:spacing w:line="360" w:lineRule="auto"/>
        <w:rPr>
          <w:rFonts w:ascii="黑体" w:hAnsi="黑体" w:eastAsia="黑体" w:cs="仿宋"/>
          <w:color w:val="auto"/>
          <w:szCs w:val="21"/>
          <w:u w:val="single"/>
        </w:rPr>
      </w:pPr>
      <w:r>
        <w:rPr>
          <w:rFonts w:hint="eastAsia" w:ascii="黑体" w:hAnsi="黑体" w:eastAsia="黑体" w:cs="仿宋"/>
          <w:color w:val="auto"/>
          <w:szCs w:val="21"/>
        </w:rPr>
        <w:t>质疑事项</w:t>
      </w:r>
      <w:r>
        <w:rPr>
          <w:rFonts w:ascii="黑体" w:hAnsi="黑体" w:eastAsia="黑体" w:cs="仿宋"/>
          <w:color w:val="auto"/>
          <w:szCs w:val="21"/>
        </w:rPr>
        <w:t>1：</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0C9E1DA7">
      <w:pPr>
        <w:adjustRightInd w:val="0"/>
        <w:snapToGrid w:val="0"/>
        <w:spacing w:line="360" w:lineRule="auto"/>
        <w:rPr>
          <w:rFonts w:ascii="黑体" w:hAnsi="黑体" w:eastAsia="黑体" w:cs="仿宋"/>
          <w:color w:val="auto"/>
          <w:szCs w:val="21"/>
          <w:u w:val="single"/>
        </w:rPr>
      </w:pPr>
      <w:r>
        <w:rPr>
          <w:rFonts w:hint="eastAsia" w:ascii="黑体" w:hAnsi="黑体" w:eastAsia="黑体" w:cs="仿宋"/>
          <w:color w:val="auto"/>
          <w:szCs w:val="21"/>
        </w:rPr>
        <w:t>事实依据：</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3966EBFF">
      <w:pPr>
        <w:adjustRightInd w:val="0"/>
        <w:snapToGrid w:val="0"/>
        <w:spacing w:line="360" w:lineRule="auto"/>
        <w:rPr>
          <w:rFonts w:ascii="黑体" w:hAnsi="黑体" w:eastAsia="黑体" w:cs="仿宋"/>
          <w:color w:val="auto"/>
          <w:szCs w:val="21"/>
          <w:u w:val="single"/>
        </w:rPr>
      </w:pPr>
      <w:r>
        <w:rPr>
          <w:rFonts w:hint="eastAsia" w:ascii="黑体" w:hAnsi="黑体" w:eastAsia="黑体" w:cs="仿宋"/>
          <w:color w:val="auto"/>
          <w:szCs w:val="21"/>
        </w:rPr>
        <w:t>法律依据：</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44AD793D">
      <w:pPr>
        <w:adjustRightInd w:val="0"/>
        <w:snapToGrid w:val="0"/>
        <w:spacing w:line="360" w:lineRule="auto"/>
        <w:rPr>
          <w:rFonts w:ascii="黑体" w:hAnsi="黑体" w:eastAsia="黑体" w:cs="仿宋"/>
          <w:color w:val="auto"/>
          <w:szCs w:val="21"/>
          <w:u w:val="dotted"/>
        </w:rPr>
      </w:pPr>
      <w:r>
        <w:rPr>
          <w:rFonts w:hint="eastAsia" w:ascii="黑体" w:hAnsi="黑体" w:eastAsia="黑体" w:cs="仿宋"/>
          <w:color w:val="auto"/>
          <w:szCs w:val="21"/>
        </w:rPr>
        <w:t>质疑事项</w:t>
      </w:r>
      <w:r>
        <w:rPr>
          <w:rFonts w:ascii="黑体" w:hAnsi="黑体" w:eastAsia="黑体" w:cs="仿宋"/>
          <w:color w:val="auto"/>
          <w:szCs w:val="21"/>
        </w:rPr>
        <w:t>2</w:t>
      </w:r>
    </w:p>
    <w:p w14:paraId="7FF45B6F">
      <w:pPr>
        <w:adjustRightInd w:val="0"/>
        <w:snapToGrid w:val="0"/>
        <w:spacing w:line="360" w:lineRule="auto"/>
        <w:rPr>
          <w:rFonts w:ascii="黑体" w:hAnsi="黑体" w:eastAsia="黑体" w:cs="仿宋"/>
          <w:color w:val="auto"/>
          <w:szCs w:val="21"/>
        </w:rPr>
      </w:pPr>
      <w:r>
        <w:rPr>
          <w:rFonts w:hint="eastAsia" w:ascii="黑体" w:hAnsi="黑体" w:eastAsia="黑体" w:cs="仿宋"/>
          <w:color w:val="auto"/>
          <w:szCs w:val="21"/>
        </w:rPr>
        <w:t>……</w:t>
      </w:r>
    </w:p>
    <w:p w14:paraId="60248B70">
      <w:pPr>
        <w:adjustRightInd w:val="0"/>
        <w:snapToGrid w:val="0"/>
        <w:spacing w:line="360" w:lineRule="auto"/>
        <w:rPr>
          <w:rFonts w:ascii="黑体" w:hAnsi="黑体" w:eastAsia="黑体" w:cs="仿宋"/>
          <w:bCs/>
          <w:color w:val="auto"/>
          <w:szCs w:val="21"/>
        </w:rPr>
      </w:pPr>
      <w:r>
        <w:rPr>
          <w:rFonts w:hint="eastAsia" w:ascii="黑体" w:hAnsi="黑体" w:eastAsia="黑体" w:cs="仿宋"/>
          <w:bCs/>
          <w:color w:val="auto"/>
          <w:szCs w:val="21"/>
        </w:rPr>
        <w:t>四、与质疑事项相关的质疑请求</w:t>
      </w:r>
    </w:p>
    <w:p w14:paraId="6DCCFED7">
      <w:pPr>
        <w:adjustRightInd w:val="0"/>
        <w:snapToGrid w:val="0"/>
        <w:spacing w:line="360" w:lineRule="auto"/>
        <w:rPr>
          <w:rFonts w:ascii="黑体" w:hAnsi="黑体" w:eastAsia="黑体" w:cs="仿宋"/>
          <w:color w:val="auto"/>
          <w:szCs w:val="21"/>
          <w:u w:val="dotted"/>
        </w:rPr>
      </w:pPr>
      <w:r>
        <w:rPr>
          <w:rFonts w:hint="eastAsia" w:ascii="黑体" w:hAnsi="黑体" w:eastAsia="黑体" w:cs="仿宋"/>
          <w:color w:val="auto"/>
          <w:szCs w:val="21"/>
        </w:rPr>
        <w:t>请求：</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r>
        <w:rPr>
          <w:rFonts w:ascii="黑体" w:hAnsi="黑体" w:eastAsia="黑体" w:cs="仿宋"/>
          <w:color w:val="auto"/>
          <w:szCs w:val="21"/>
          <w:u w:val="single"/>
        </w:rPr>
        <w:t xml:space="preserve">  </w:t>
      </w:r>
      <w:r>
        <w:rPr>
          <w:rFonts w:hint="eastAsia" w:ascii="黑体" w:hAnsi="黑体" w:eastAsia="黑体" w:cs="仿宋"/>
          <w:color w:val="auto"/>
          <w:szCs w:val="21"/>
          <w:u w:val="single"/>
        </w:rPr>
        <w:t xml:space="preserve">             </w:t>
      </w:r>
    </w:p>
    <w:p w14:paraId="2D780AFE">
      <w:pPr>
        <w:adjustRightInd w:val="0"/>
        <w:snapToGrid w:val="0"/>
        <w:spacing w:line="360" w:lineRule="auto"/>
        <w:rPr>
          <w:rFonts w:ascii="黑体" w:hAnsi="黑体" w:eastAsia="黑体"/>
          <w:color w:val="auto"/>
          <w:szCs w:val="21"/>
        </w:rPr>
      </w:pPr>
      <w:r>
        <w:rPr>
          <w:rFonts w:hint="eastAsia" w:ascii="黑体" w:hAnsi="黑体" w:eastAsia="黑体"/>
          <w:color w:val="auto"/>
          <w:szCs w:val="21"/>
        </w:rPr>
        <w:t>签字</w:t>
      </w:r>
      <w:r>
        <w:rPr>
          <w:rFonts w:ascii="黑体" w:hAnsi="黑体" w:eastAsia="黑体"/>
          <w:color w:val="auto"/>
          <w:szCs w:val="21"/>
        </w:rPr>
        <w:t xml:space="preserve">(签章)：                   公章：                      </w:t>
      </w:r>
    </w:p>
    <w:p w14:paraId="63E174E1">
      <w:pPr>
        <w:adjustRightInd w:val="0"/>
        <w:snapToGrid w:val="0"/>
        <w:spacing w:line="360" w:lineRule="auto"/>
        <w:rPr>
          <w:rFonts w:ascii="黑体" w:hAnsi="黑体" w:eastAsia="黑体"/>
          <w:color w:val="auto"/>
          <w:szCs w:val="21"/>
        </w:rPr>
      </w:pPr>
      <w:r>
        <w:rPr>
          <w:rFonts w:hint="eastAsia" w:ascii="黑体" w:hAnsi="黑体" w:eastAsia="黑体"/>
          <w:color w:val="auto"/>
          <w:szCs w:val="21"/>
        </w:rPr>
        <w:t>日    期：</w:t>
      </w:r>
      <w:r>
        <w:rPr>
          <w:rFonts w:ascii="黑体" w:hAnsi="黑体" w:eastAsia="黑体"/>
          <w:color w:val="auto"/>
          <w:szCs w:val="21"/>
        </w:rPr>
        <w:t xml:space="preserve">    </w:t>
      </w:r>
    </w:p>
    <w:p w14:paraId="038B3B76">
      <w:pPr>
        <w:adjustRightInd w:val="0"/>
        <w:snapToGrid w:val="0"/>
        <w:spacing w:line="360" w:lineRule="auto"/>
        <w:rPr>
          <w:rFonts w:ascii="黑体" w:hAnsi="黑体" w:eastAsia="黑体" w:cs="仿宋"/>
          <w:color w:val="auto"/>
          <w:szCs w:val="21"/>
        </w:rPr>
      </w:pPr>
    </w:p>
    <w:p w14:paraId="1DA97336">
      <w:pPr>
        <w:adjustRightInd w:val="0"/>
        <w:snapToGrid w:val="0"/>
        <w:spacing w:line="360" w:lineRule="auto"/>
        <w:rPr>
          <w:rFonts w:ascii="黑体" w:hAnsi="黑体" w:eastAsia="黑体" w:cs="仿宋"/>
          <w:color w:val="auto"/>
          <w:szCs w:val="21"/>
        </w:rPr>
      </w:pPr>
    </w:p>
    <w:p w14:paraId="3225E564">
      <w:pPr>
        <w:adjustRightInd w:val="0"/>
        <w:snapToGrid w:val="0"/>
        <w:spacing w:line="360" w:lineRule="auto"/>
        <w:rPr>
          <w:rFonts w:ascii="黑体" w:hAnsi="黑体" w:eastAsia="黑体"/>
          <w:b/>
          <w:color w:val="auto"/>
          <w:szCs w:val="21"/>
        </w:rPr>
      </w:pPr>
      <w:r>
        <w:rPr>
          <w:rFonts w:hint="eastAsia" w:ascii="黑体" w:hAnsi="黑体" w:eastAsia="黑体"/>
          <w:b/>
          <w:color w:val="auto"/>
          <w:szCs w:val="21"/>
        </w:rPr>
        <w:t>质疑函制作说明：</w:t>
      </w:r>
    </w:p>
    <w:p w14:paraId="055416E4">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ascii="黑体" w:hAnsi="黑体" w:eastAsia="黑体"/>
          <w:color w:val="auto"/>
          <w:szCs w:val="21"/>
        </w:rPr>
        <w:t>供应商提出质疑时，应提交质疑函和必要的证明材料。</w:t>
      </w:r>
    </w:p>
    <w:p w14:paraId="1382B031">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hint="eastAsia" w:ascii="黑体" w:hAnsi="黑体" w:eastAsia="黑体"/>
          <w:color w:val="auto"/>
          <w:szCs w:val="21"/>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2902E36">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hint="eastAsia" w:ascii="黑体" w:hAnsi="黑体" w:eastAsia="黑体"/>
          <w:color w:val="auto"/>
          <w:szCs w:val="21"/>
        </w:rPr>
        <w:t>质疑供应商若对项目的某一分包进行质疑，质疑函中应列明具体分包号。</w:t>
      </w:r>
    </w:p>
    <w:p w14:paraId="00BA28CC">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hint="eastAsia" w:ascii="黑体" w:hAnsi="黑体" w:eastAsia="黑体"/>
          <w:color w:val="auto"/>
          <w:szCs w:val="21"/>
        </w:rPr>
        <w:t>质疑函的质疑事项应具体、明确，并有必要的事实依据和法律依据。</w:t>
      </w:r>
    </w:p>
    <w:p w14:paraId="1362FEA6">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hint="eastAsia" w:ascii="黑体" w:hAnsi="黑体" w:eastAsia="黑体"/>
          <w:color w:val="auto"/>
          <w:szCs w:val="21"/>
        </w:rPr>
        <w:t>质疑函的质疑请求应与质疑事项相关。</w:t>
      </w:r>
    </w:p>
    <w:p w14:paraId="69D19B74">
      <w:pPr>
        <w:pStyle w:val="30"/>
        <w:widowControl/>
        <w:numPr>
          <w:ilvl w:val="0"/>
          <w:numId w:val="63"/>
        </w:numPr>
        <w:adjustRightInd w:val="0"/>
        <w:snapToGrid w:val="0"/>
        <w:spacing w:line="360" w:lineRule="auto"/>
        <w:ind w:firstLineChars="0"/>
        <w:jc w:val="left"/>
        <w:rPr>
          <w:rFonts w:ascii="黑体" w:hAnsi="黑体" w:eastAsia="黑体"/>
          <w:b/>
          <w:color w:val="auto"/>
          <w:szCs w:val="21"/>
        </w:rPr>
      </w:pPr>
      <w:r>
        <w:rPr>
          <w:rFonts w:hint="eastAsia" w:ascii="黑体" w:hAnsi="黑体" w:eastAsia="黑体"/>
          <w:color w:val="auto"/>
          <w:szCs w:val="21"/>
        </w:rPr>
        <w:t>质疑供应商为自然人的，质疑函应由本人签字；质疑供应商为法人或者其他组织的，质疑函应由法定代表人、主要负责人，或者其授权代表签字或者盖章，并加盖公章。</w:t>
      </w:r>
    </w:p>
    <w:p w14:paraId="67ABB794">
      <w:pPr>
        <w:pStyle w:val="30"/>
        <w:spacing w:line="360" w:lineRule="auto"/>
        <w:ind w:left="420" w:firstLine="0" w:firstLineChars="0"/>
        <w:rPr>
          <w:rFonts w:ascii="宋体" w:hAnsi="宋体" w:eastAsia="宋体"/>
          <w:bCs/>
          <w:color w:val="auto"/>
          <w:szCs w:val="21"/>
        </w:rPr>
      </w:pPr>
    </w:p>
    <w:p w14:paraId="5B2B5BA1">
      <w:pPr>
        <w:pStyle w:val="3"/>
        <w:keepNext w:val="0"/>
        <w:keepLines w:val="0"/>
        <w:pageBreakBefore/>
        <w:spacing w:line="360" w:lineRule="auto"/>
        <w:jc w:val="center"/>
        <w:rPr>
          <w:rFonts w:ascii="黑体" w:hAnsi="黑体" w:eastAsia="黑体"/>
          <w:color w:val="auto"/>
          <w:spacing w:val="20"/>
          <w:sz w:val="32"/>
          <w:szCs w:val="32"/>
        </w:rPr>
      </w:pPr>
      <w:bookmarkStart w:id="47" w:name="_Toc405313955"/>
      <w:bookmarkStart w:id="48" w:name="_Toc391627751"/>
      <w:bookmarkStart w:id="49" w:name="_Toc119514289"/>
      <w:r>
        <w:rPr>
          <w:rFonts w:hint="eastAsia" w:ascii="黑体" w:hAnsi="黑体" w:eastAsia="黑体"/>
          <w:color w:val="auto"/>
          <w:spacing w:val="20"/>
          <w:sz w:val="32"/>
          <w:szCs w:val="32"/>
        </w:rPr>
        <w:t>第五部分</w:t>
      </w:r>
      <w:r>
        <w:rPr>
          <w:rFonts w:ascii="黑体" w:hAnsi="黑体" w:eastAsia="黑体"/>
          <w:color w:val="auto"/>
          <w:spacing w:val="20"/>
          <w:sz w:val="32"/>
          <w:szCs w:val="32"/>
        </w:rPr>
        <w:t xml:space="preserve"> </w:t>
      </w:r>
      <w:r>
        <w:rPr>
          <w:rFonts w:hint="eastAsia" w:ascii="黑体" w:hAnsi="黑体" w:eastAsia="黑体"/>
          <w:color w:val="auto"/>
          <w:spacing w:val="20"/>
          <w:sz w:val="32"/>
          <w:szCs w:val="32"/>
        </w:rPr>
        <w:t>评标方法、步骤、标准</w:t>
      </w:r>
      <w:bookmarkEnd w:id="47"/>
      <w:bookmarkEnd w:id="48"/>
      <w:bookmarkEnd w:id="49"/>
    </w:p>
    <w:p w14:paraId="24692512">
      <w:pPr>
        <w:pStyle w:val="30"/>
        <w:numPr>
          <w:ilvl w:val="0"/>
          <w:numId w:val="64"/>
        </w:numPr>
        <w:spacing w:before="312" w:beforeLines="100" w:line="360" w:lineRule="auto"/>
        <w:ind w:firstLineChars="0"/>
        <w:rPr>
          <w:rFonts w:ascii="黑体" w:hAnsi="黑体" w:eastAsia="黑体"/>
          <w:b/>
          <w:bCs/>
          <w:color w:val="auto"/>
          <w:sz w:val="24"/>
          <w:szCs w:val="24"/>
        </w:rPr>
      </w:pPr>
      <w:r>
        <w:rPr>
          <w:rFonts w:hint="eastAsia" w:ascii="黑体" w:hAnsi="黑体" w:eastAsia="黑体"/>
          <w:b/>
          <w:bCs/>
          <w:color w:val="auto"/>
          <w:sz w:val="24"/>
          <w:szCs w:val="24"/>
        </w:rPr>
        <w:t>总则</w:t>
      </w:r>
    </w:p>
    <w:p w14:paraId="2F7D3E6B">
      <w:pPr>
        <w:pStyle w:val="30"/>
        <w:numPr>
          <w:ilvl w:val="0"/>
          <w:numId w:val="65"/>
        </w:numPr>
        <w:spacing w:line="360" w:lineRule="auto"/>
        <w:ind w:firstLineChars="0"/>
        <w:rPr>
          <w:rFonts w:ascii="黑体" w:hAnsi="黑体" w:eastAsia="黑体"/>
          <w:b/>
          <w:bCs/>
          <w:color w:val="auto"/>
          <w:szCs w:val="21"/>
        </w:rPr>
      </w:pPr>
      <w:r>
        <w:rPr>
          <w:rFonts w:hint="eastAsia" w:ascii="黑体" w:hAnsi="黑体" w:eastAsia="黑体"/>
          <w:b/>
          <w:bCs/>
          <w:color w:val="auto"/>
          <w:szCs w:val="21"/>
        </w:rPr>
        <w:t>评标委员会</w:t>
      </w:r>
    </w:p>
    <w:p w14:paraId="7F4254FF">
      <w:pPr>
        <w:pStyle w:val="30"/>
        <w:numPr>
          <w:ilvl w:val="1"/>
          <w:numId w:val="66"/>
        </w:numPr>
        <w:spacing w:line="360" w:lineRule="auto"/>
        <w:ind w:firstLineChars="0"/>
        <w:rPr>
          <w:rFonts w:ascii="黑体" w:hAnsi="黑体" w:eastAsia="黑体"/>
          <w:bCs/>
          <w:color w:val="auto"/>
          <w:szCs w:val="21"/>
        </w:rPr>
      </w:pPr>
      <w:r>
        <w:rPr>
          <w:rFonts w:hint="eastAsia" w:ascii="黑体" w:hAnsi="黑体" w:eastAsia="黑体"/>
          <w:bCs/>
          <w:color w:val="auto"/>
          <w:szCs w:val="21"/>
        </w:rPr>
        <w:t>本次招标依法组建评标委员会。</w:t>
      </w:r>
    </w:p>
    <w:p w14:paraId="569702E8">
      <w:pPr>
        <w:pStyle w:val="30"/>
        <w:numPr>
          <w:ilvl w:val="1"/>
          <w:numId w:val="66"/>
        </w:numPr>
        <w:spacing w:line="360" w:lineRule="auto"/>
        <w:ind w:firstLineChars="0"/>
        <w:rPr>
          <w:rFonts w:ascii="黑体" w:hAnsi="黑体" w:eastAsia="黑体"/>
          <w:bCs/>
          <w:color w:val="auto"/>
          <w:szCs w:val="21"/>
        </w:rPr>
      </w:pPr>
      <w:r>
        <w:rPr>
          <w:rFonts w:hint="eastAsia" w:ascii="黑体" w:hAnsi="黑体" w:eastAsia="黑体" w:cs="宋体"/>
          <w:color w:val="auto"/>
          <w:szCs w:val="21"/>
          <w:lang w:eastAsia="zh-TW"/>
        </w:rPr>
        <w:t>评标委员会成员名单在评标结果公告前应当保密。</w:t>
      </w:r>
      <w:r>
        <w:rPr>
          <w:rFonts w:hint="eastAsia" w:ascii="黑体" w:hAnsi="黑体" w:eastAsia="黑体"/>
          <w:bCs/>
          <w:color w:val="auto"/>
          <w:szCs w:val="21"/>
        </w:rPr>
        <w:t>评审专家有下列情形之一的，受到邀请应主动提出回避，采购当事人也可以要求该评审专家回避：</w:t>
      </w:r>
    </w:p>
    <w:p w14:paraId="36602F4D">
      <w:pPr>
        <w:pStyle w:val="30"/>
        <w:numPr>
          <w:ilvl w:val="2"/>
          <w:numId w:val="67"/>
        </w:numPr>
        <w:spacing w:line="360" w:lineRule="auto"/>
        <w:ind w:firstLineChars="0"/>
        <w:rPr>
          <w:rFonts w:ascii="黑体" w:hAnsi="黑体" w:eastAsia="黑体"/>
          <w:bCs/>
          <w:color w:val="auto"/>
          <w:szCs w:val="21"/>
        </w:rPr>
      </w:pPr>
      <w:r>
        <w:rPr>
          <w:rFonts w:hint="eastAsia" w:ascii="黑体" w:hAnsi="黑体" w:eastAsia="黑体" w:cs="宋体"/>
          <w:color w:val="auto"/>
          <w:szCs w:val="21"/>
          <w:lang w:eastAsia="zh-TW"/>
        </w:rPr>
        <w:t>参加采购活动前</w:t>
      </w:r>
      <w:r>
        <w:rPr>
          <w:rFonts w:ascii="黑体" w:hAnsi="黑体" w:eastAsia="黑体" w:cs="宋体"/>
          <w:color w:val="auto"/>
          <w:szCs w:val="21"/>
          <w:lang w:eastAsia="zh-TW"/>
        </w:rPr>
        <w:t>3年内与供应商存在劳动关系</w:t>
      </w:r>
      <w:r>
        <w:rPr>
          <w:rFonts w:hint="eastAsia" w:ascii="黑体" w:hAnsi="黑体" w:eastAsia="黑体" w:cs="宋体"/>
          <w:color w:val="auto"/>
          <w:szCs w:val="21"/>
          <w:lang w:eastAsia="zh-TW"/>
        </w:rPr>
        <w:t>；</w:t>
      </w:r>
    </w:p>
    <w:p w14:paraId="7D5B8377">
      <w:pPr>
        <w:pStyle w:val="30"/>
        <w:numPr>
          <w:ilvl w:val="2"/>
          <w:numId w:val="67"/>
        </w:numPr>
        <w:spacing w:line="360" w:lineRule="auto"/>
        <w:ind w:firstLineChars="0"/>
        <w:rPr>
          <w:rFonts w:ascii="黑体" w:hAnsi="黑体" w:eastAsia="黑体"/>
          <w:bCs/>
          <w:color w:val="auto"/>
          <w:szCs w:val="21"/>
        </w:rPr>
      </w:pPr>
      <w:r>
        <w:rPr>
          <w:rFonts w:hint="eastAsia" w:ascii="黑体" w:hAnsi="黑体" w:eastAsia="黑体" w:cs="宋体"/>
          <w:color w:val="auto"/>
          <w:szCs w:val="21"/>
          <w:lang w:eastAsia="zh-TW"/>
        </w:rPr>
        <w:t>参加采购活动前</w:t>
      </w:r>
      <w:r>
        <w:rPr>
          <w:rFonts w:ascii="黑体" w:hAnsi="黑体" w:eastAsia="黑体" w:cs="宋体"/>
          <w:color w:val="auto"/>
          <w:szCs w:val="21"/>
          <w:lang w:eastAsia="zh-TW"/>
        </w:rPr>
        <w:t>3年内担任供应商的董事、监事；</w:t>
      </w:r>
    </w:p>
    <w:p w14:paraId="3982FD3E">
      <w:pPr>
        <w:pStyle w:val="30"/>
        <w:numPr>
          <w:ilvl w:val="2"/>
          <w:numId w:val="67"/>
        </w:numPr>
        <w:spacing w:line="360" w:lineRule="auto"/>
        <w:ind w:firstLineChars="0"/>
        <w:rPr>
          <w:rFonts w:ascii="黑体" w:hAnsi="黑体" w:eastAsia="黑体"/>
          <w:bCs/>
          <w:color w:val="auto"/>
          <w:szCs w:val="21"/>
        </w:rPr>
      </w:pPr>
      <w:r>
        <w:rPr>
          <w:rFonts w:hint="eastAsia" w:ascii="黑体" w:hAnsi="黑体" w:eastAsia="黑体"/>
          <w:bCs/>
          <w:color w:val="auto"/>
          <w:szCs w:val="21"/>
        </w:rPr>
        <w:t>参加采购活动前</w:t>
      </w:r>
      <w:r>
        <w:rPr>
          <w:rFonts w:ascii="黑体" w:hAnsi="黑体" w:eastAsia="黑体"/>
          <w:bCs/>
          <w:color w:val="auto"/>
          <w:szCs w:val="21"/>
        </w:rPr>
        <w:t>3年内是供应商的控股股东或者实际控制人</w:t>
      </w:r>
      <w:r>
        <w:rPr>
          <w:rFonts w:hint="eastAsia" w:ascii="黑体" w:hAnsi="黑体" w:eastAsia="黑体"/>
          <w:bCs/>
          <w:color w:val="auto"/>
          <w:szCs w:val="21"/>
        </w:rPr>
        <w:t>；</w:t>
      </w:r>
    </w:p>
    <w:p w14:paraId="1CA76942">
      <w:pPr>
        <w:pStyle w:val="30"/>
        <w:numPr>
          <w:ilvl w:val="2"/>
          <w:numId w:val="67"/>
        </w:numPr>
        <w:spacing w:line="360" w:lineRule="auto"/>
        <w:ind w:firstLineChars="0"/>
        <w:rPr>
          <w:rFonts w:ascii="黑体" w:hAnsi="黑体" w:eastAsia="黑体"/>
          <w:bCs/>
          <w:color w:val="auto"/>
          <w:szCs w:val="21"/>
        </w:rPr>
      </w:pPr>
      <w:r>
        <w:rPr>
          <w:rFonts w:hint="eastAsia" w:ascii="黑体" w:hAnsi="黑体" w:eastAsia="黑体"/>
          <w:bCs/>
          <w:color w:val="auto"/>
          <w:szCs w:val="21"/>
        </w:rPr>
        <w:t>与供应商的法定代表人或者负责人有夫妻、直系血亲、三代以内旁系血亲或者近姻亲关系；</w:t>
      </w:r>
    </w:p>
    <w:p w14:paraId="21586184">
      <w:pPr>
        <w:pStyle w:val="30"/>
        <w:numPr>
          <w:ilvl w:val="2"/>
          <w:numId w:val="67"/>
        </w:numPr>
        <w:spacing w:line="360" w:lineRule="auto"/>
        <w:ind w:firstLineChars="0"/>
        <w:rPr>
          <w:rFonts w:ascii="黑体" w:hAnsi="黑体" w:eastAsia="黑体"/>
          <w:bCs/>
          <w:color w:val="auto"/>
          <w:szCs w:val="21"/>
        </w:rPr>
      </w:pPr>
      <w:r>
        <w:rPr>
          <w:rFonts w:hint="eastAsia" w:ascii="黑体" w:hAnsi="黑体" w:eastAsia="黑体" w:cs="宋体"/>
          <w:color w:val="auto"/>
          <w:szCs w:val="21"/>
          <w:lang w:eastAsia="zh-TW"/>
        </w:rPr>
        <w:t>与供应商有其他可能影响政府采购活动公平、公正进行的关系。</w:t>
      </w:r>
    </w:p>
    <w:p w14:paraId="15AF3401">
      <w:pPr>
        <w:pStyle w:val="30"/>
        <w:numPr>
          <w:ilvl w:val="1"/>
          <w:numId w:val="66"/>
        </w:numPr>
        <w:spacing w:line="360" w:lineRule="auto"/>
        <w:ind w:firstLineChars="0"/>
        <w:rPr>
          <w:rFonts w:ascii="黑体" w:hAnsi="黑体" w:eastAsia="黑体"/>
          <w:bCs/>
          <w:color w:val="auto"/>
          <w:szCs w:val="21"/>
        </w:rPr>
      </w:pPr>
      <w:r>
        <w:rPr>
          <w:rFonts w:hint="eastAsia" w:ascii="黑体" w:hAnsi="黑体" w:eastAsia="黑体"/>
          <w:bCs/>
          <w:color w:val="auto"/>
          <w:szCs w:val="21"/>
        </w:rPr>
        <w:t>评标委员会负责具体评标事务，并独立履行下列职责：</w:t>
      </w:r>
    </w:p>
    <w:p w14:paraId="3B623044">
      <w:pPr>
        <w:pStyle w:val="30"/>
        <w:widowControl/>
        <w:numPr>
          <w:ilvl w:val="2"/>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审查、评价投标文件是否符合招标文件的商务、技术等实质性要求；</w:t>
      </w:r>
    </w:p>
    <w:p w14:paraId="1C9A629C">
      <w:pPr>
        <w:pStyle w:val="30"/>
        <w:widowControl/>
        <w:numPr>
          <w:ilvl w:val="2"/>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要求投标人对投标文件有关事项作出澄清或者说明；</w:t>
      </w:r>
    </w:p>
    <w:p w14:paraId="66E3CC3E">
      <w:pPr>
        <w:pStyle w:val="30"/>
        <w:widowControl/>
        <w:numPr>
          <w:ilvl w:val="2"/>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对投标文件进行比较和评价；</w:t>
      </w:r>
    </w:p>
    <w:p w14:paraId="2BBCD6BA">
      <w:pPr>
        <w:pStyle w:val="30"/>
        <w:widowControl/>
        <w:numPr>
          <w:ilvl w:val="2"/>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确定中标候选人名单，以及根据采购人委托直接确定中标人；</w:t>
      </w:r>
    </w:p>
    <w:p w14:paraId="7982605A">
      <w:pPr>
        <w:pStyle w:val="30"/>
        <w:widowControl/>
        <w:numPr>
          <w:ilvl w:val="2"/>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向采购人、采购代理机构或者有关部门报告评标中发现的违法行为。</w:t>
      </w:r>
    </w:p>
    <w:p w14:paraId="7438D125">
      <w:pPr>
        <w:pStyle w:val="30"/>
        <w:widowControl/>
        <w:numPr>
          <w:ilvl w:val="1"/>
          <w:numId w:val="66"/>
        </w:numPr>
        <w:spacing w:line="360" w:lineRule="auto"/>
        <w:ind w:firstLineChars="0"/>
        <w:jc w:val="left"/>
        <w:rPr>
          <w:rFonts w:ascii="黑体" w:hAnsi="黑体" w:eastAsia="黑体" w:cs="宋体"/>
          <w:color w:val="auto"/>
          <w:szCs w:val="21"/>
          <w:lang w:eastAsia="zh-TW"/>
        </w:rPr>
      </w:pPr>
      <w:r>
        <w:rPr>
          <w:rFonts w:hint="eastAsia" w:ascii="黑体" w:hAnsi="黑体" w:eastAsia="黑体" w:cs="宋体"/>
          <w:color w:val="auto"/>
          <w:szCs w:val="21"/>
          <w:lang w:eastAsia="zh-TW"/>
        </w:rPr>
        <w:t>对于投标文件中含义不明确、同类问题表述不一致或者有明显文字和计算错误的内容，评标委员会应当以书面形式要求投标人作出必要的澄清、说明或者补正。</w:t>
      </w:r>
    </w:p>
    <w:p w14:paraId="71F191BE">
      <w:pPr>
        <w:pStyle w:val="30"/>
        <w:numPr>
          <w:ilvl w:val="1"/>
          <w:numId w:val="66"/>
        </w:numPr>
        <w:spacing w:line="360" w:lineRule="auto"/>
        <w:ind w:firstLineChars="0"/>
        <w:rPr>
          <w:rFonts w:ascii="黑体" w:hAnsi="黑体" w:eastAsia="黑体"/>
          <w:bCs/>
          <w:color w:val="auto"/>
          <w:szCs w:val="21"/>
        </w:rPr>
      </w:pPr>
      <w:r>
        <w:rPr>
          <w:rFonts w:hint="eastAsia" w:ascii="黑体" w:hAnsi="黑体" w:eastAsia="黑体"/>
          <w:bCs/>
          <w:color w:val="auto"/>
          <w:szCs w:val="21"/>
        </w:rPr>
        <w:t>评标委员会成员对需要共同认定的事项存在争议的，应当按照少数服从多数的原则作出结论。持不同意见的评标委员会成员应当在评标报告上签署不同意见及理由，否则视为同意评标报告。</w:t>
      </w:r>
    </w:p>
    <w:p w14:paraId="436B9B69">
      <w:pPr>
        <w:pStyle w:val="30"/>
        <w:numPr>
          <w:ilvl w:val="1"/>
          <w:numId w:val="66"/>
        </w:numPr>
        <w:spacing w:line="360" w:lineRule="auto"/>
        <w:ind w:firstLineChars="0"/>
        <w:rPr>
          <w:rFonts w:ascii="黑体" w:hAnsi="黑体" w:eastAsia="黑体"/>
          <w:bCs/>
          <w:color w:val="auto"/>
          <w:spacing w:val="-4"/>
          <w:szCs w:val="21"/>
        </w:rPr>
      </w:pPr>
      <w:r>
        <w:rPr>
          <w:rFonts w:hint="eastAsia" w:ascii="黑体" w:hAnsi="黑体" w:eastAsia="黑体"/>
          <w:bCs/>
          <w:color w:val="auto"/>
          <w:spacing w:val="-4"/>
          <w:szCs w:val="21"/>
        </w:rPr>
        <w:t>参与评标工作的所有人员必须遵守</w:t>
      </w:r>
      <w:r>
        <w:rPr>
          <w:rFonts w:hint="eastAsia" w:ascii="黑体" w:hAnsi="黑体" w:eastAsia="黑体"/>
          <w:color w:val="auto"/>
          <w:spacing w:val="-4"/>
          <w:szCs w:val="21"/>
        </w:rPr>
        <w:t>《中华人民共和国政府采购法》、《中华人民共和国政府采购法实施条例》、财政部《政府采购货物和服务招标投标管理办法》、广东省实施《中华人民共和国政府采购法》办法</w:t>
      </w:r>
      <w:r>
        <w:rPr>
          <w:rFonts w:hint="eastAsia" w:ascii="黑体" w:hAnsi="黑体" w:eastAsia="黑体"/>
          <w:bCs/>
          <w:color w:val="auto"/>
          <w:spacing w:val="-4"/>
          <w:szCs w:val="21"/>
        </w:rPr>
        <w:t>及相关法律、法规的规定，以确保评标的公平、公正。</w:t>
      </w:r>
    </w:p>
    <w:p w14:paraId="01029C68">
      <w:pPr>
        <w:pStyle w:val="30"/>
        <w:numPr>
          <w:ilvl w:val="0"/>
          <w:numId w:val="65"/>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评标方法</w:t>
      </w:r>
    </w:p>
    <w:p w14:paraId="141B84E6">
      <w:pPr>
        <w:pStyle w:val="30"/>
        <w:numPr>
          <w:ilvl w:val="1"/>
          <w:numId w:val="68"/>
        </w:numPr>
        <w:spacing w:line="360" w:lineRule="auto"/>
        <w:ind w:left="426" w:hanging="426" w:firstLineChars="0"/>
        <w:rPr>
          <w:rFonts w:ascii="黑体" w:hAnsi="黑体" w:eastAsia="黑体"/>
          <w:bCs/>
          <w:color w:val="auto"/>
          <w:szCs w:val="21"/>
        </w:rPr>
      </w:pPr>
      <w:r>
        <w:rPr>
          <w:rFonts w:hint="eastAsia" w:ascii="黑体" w:hAnsi="黑体" w:eastAsia="黑体"/>
          <w:bCs/>
          <w:color w:val="auto"/>
          <w:szCs w:val="21"/>
        </w:rPr>
        <w:t>本项目按照</w:t>
      </w:r>
      <w:r>
        <w:rPr>
          <w:rFonts w:hint="eastAsia" w:ascii="黑体" w:hAnsi="黑体" w:eastAsia="黑体"/>
          <w:b/>
          <w:bCs/>
          <w:color w:val="auto"/>
          <w:szCs w:val="21"/>
          <w:u w:val="single"/>
        </w:rPr>
        <w:t>投标人须知前附表</w:t>
      </w:r>
      <w:r>
        <w:rPr>
          <w:rFonts w:hint="eastAsia" w:ascii="黑体" w:hAnsi="黑体" w:eastAsia="黑体"/>
          <w:b/>
          <w:bCs/>
          <w:color w:val="auto"/>
          <w:szCs w:val="21"/>
        </w:rPr>
        <w:t>规定</w:t>
      </w:r>
      <w:r>
        <w:rPr>
          <w:rFonts w:hint="eastAsia" w:ascii="黑体" w:hAnsi="黑体" w:eastAsia="黑体"/>
          <w:bCs/>
          <w:color w:val="auto"/>
          <w:szCs w:val="21"/>
        </w:rPr>
        <w:t>的评标方法进行评审。</w:t>
      </w:r>
    </w:p>
    <w:p w14:paraId="43F04786">
      <w:pPr>
        <w:pStyle w:val="30"/>
        <w:numPr>
          <w:ilvl w:val="1"/>
          <w:numId w:val="68"/>
        </w:numPr>
        <w:spacing w:line="360" w:lineRule="auto"/>
        <w:ind w:left="426" w:hanging="426" w:firstLineChars="0"/>
        <w:rPr>
          <w:rFonts w:ascii="黑体" w:hAnsi="黑体" w:eastAsia="黑体"/>
          <w:bCs/>
          <w:color w:val="auto"/>
          <w:szCs w:val="21"/>
        </w:rPr>
      </w:pPr>
      <w:r>
        <w:rPr>
          <w:rFonts w:hint="eastAsia" w:ascii="黑体" w:hAnsi="黑体" w:eastAsia="黑体"/>
          <w:bCs/>
          <w:color w:val="auto"/>
          <w:szCs w:val="21"/>
        </w:rPr>
        <w:t>综合评分法：是指投标文件满足招标文件全部实质性要求，且按照评审因素的量化指标评审得分最高的投标人为中标候选人的评标方法。</w:t>
      </w:r>
    </w:p>
    <w:p w14:paraId="1E34D140">
      <w:pPr>
        <w:pStyle w:val="30"/>
        <w:numPr>
          <w:ilvl w:val="0"/>
          <w:numId w:val="69"/>
        </w:numPr>
        <w:tabs>
          <w:tab w:val="left" w:pos="567"/>
        </w:tabs>
        <w:spacing w:line="360" w:lineRule="auto"/>
        <w:ind w:firstLineChars="0"/>
        <w:rPr>
          <w:rFonts w:ascii="黑体" w:hAnsi="黑体" w:eastAsia="黑体"/>
          <w:bCs/>
          <w:color w:val="auto"/>
          <w:szCs w:val="21"/>
        </w:rPr>
      </w:pPr>
      <w:r>
        <w:rPr>
          <w:rFonts w:hint="eastAsia" w:ascii="黑体" w:hAnsi="黑体" w:eastAsia="黑体"/>
          <w:bCs/>
          <w:color w:val="auto"/>
          <w:szCs w:val="21"/>
        </w:rPr>
        <w:t>各项得分按四舍五入原则精确到小数点后两位。</w:t>
      </w:r>
    </w:p>
    <w:p w14:paraId="6EE7037E">
      <w:pPr>
        <w:pStyle w:val="30"/>
        <w:numPr>
          <w:ilvl w:val="0"/>
          <w:numId w:val="65"/>
        </w:numPr>
        <w:spacing w:before="312" w:beforeLines="100" w:line="360" w:lineRule="auto"/>
        <w:ind w:firstLineChars="0"/>
        <w:rPr>
          <w:rFonts w:ascii="黑体" w:hAnsi="黑体" w:eastAsia="黑体"/>
          <w:bCs/>
          <w:color w:val="auto"/>
          <w:szCs w:val="21"/>
        </w:rPr>
      </w:pPr>
      <w:r>
        <w:rPr>
          <w:rFonts w:hint="eastAsia" w:ascii="黑体" w:hAnsi="黑体" w:eastAsia="黑体"/>
          <w:b/>
          <w:bCs/>
          <w:color w:val="auto"/>
          <w:szCs w:val="21"/>
        </w:rPr>
        <w:t>评标步骤</w:t>
      </w:r>
    </w:p>
    <w:p w14:paraId="47EADA3C">
      <w:pPr>
        <w:pStyle w:val="30"/>
        <w:numPr>
          <w:ilvl w:val="1"/>
          <w:numId w:val="70"/>
        </w:numPr>
        <w:spacing w:line="360" w:lineRule="auto"/>
        <w:ind w:left="426" w:hanging="426" w:firstLineChars="0"/>
        <w:rPr>
          <w:rFonts w:ascii="黑体" w:hAnsi="黑体" w:eastAsia="黑体"/>
          <w:color w:val="auto"/>
        </w:rPr>
      </w:pPr>
      <w:r>
        <w:rPr>
          <w:rFonts w:hint="eastAsia" w:ascii="黑体" w:hAnsi="黑体" w:eastAsia="黑体"/>
          <w:bCs/>
          <w:color w:val="auto"/>
          <w:szCs w:val="21"/>
        </w:rPr>
        <w:t>综合评分法：</w:t>
      </w:r>
      <w:bookmarkStart w:id="50" w:name="_Hlk81182166"/>
      <w:bookmarkStart w:id="51" w:name="_Hlk81181953"/>
      <w:r>
        <w:rPr>
          <w:rFonts w:hint="eastAsia" w:ascii="黑体" w:hAnsi="黑体" w:eastAsia="黑体"/>
          <w:bCs/>
          <w:color w:val="auto"/>
          <w:szCs w:val="21"/>
        </w:rPr>
        <w:t>公开招标采购项目开标结束后，采购人或者采购代理机构应当依法对投标人的资格进行审查</w:t>
      </w:r>
      <w:bookmarkEnd w:id="50"/>
      <w:r>
        <w:rPr>
          <w:rFonts w:hint="eastAsia" w:ascii="黑体" w:hAnsi="黑体" w:eastAsia="黑体"/>
          <w:color w:val="auto"/>
        </w:rPr>
        <w:t>（</w:t>
      </w:r>
      <w:bookmarkStart w:id="52" w:name="_Hlk79425785"/>
      <w:r>
        <w:rPr>
          <w:rFonts w:hint="eastAsia" w:ascii="黑体" w:hAnsi="黑体" w:eastAsia="黑体"/>
          <w:color w:val="auto"/>
        </w:rPr>
        <w:t>详见附表一资格性审查表</w:t>
      </w:r>
      <w:bookmarkEnd w:id="52"/>
      <w:r>
        <w:rPr>
          <w:rFonts w:hint="eastAsia" w:ascii="黑体" w:hAnsi="黑体" w:eastAsia="黑体"/>
          <w:color w:val="auto"/>
        </w:rPr>
        <w:t>），通过资格性审查的投标人由评标委员会对其投标文件进行符合性评审（</w:t>
      </w:r>
      <w:bookmarkStart w:id="53" w:name="_Hlk79425810"/>
      <w:r>
        <w:rPr>
          <w:rFonts w:hint="eastAsia" w:ascii="黑体" w:hAnsi="黑体" w:eastAsia="黑体"/>
          <w:color w:val="auto"/>
        </w:rPr>
        <w:t>详见附表二</w:t>
      </w:r>
      <w:r>
        <w:rPr>
          <w:rFonts w:ascii="黑体" w:hAnsi="黑体" w:eastAsia="黑体"/>
          <w:color w:val="auto"/>
        </w:rPr>
        <w:t>符合性审查表</w:t>
      </w:r>
      <w:bookmarkEnd w:id="53"/>
      <w:r>
        <w:rPr>
          <w:rFonts w:hint="eastAsia" w:ascii="黑体" w:hAnsi="黑体" w:eastAsia="黑体"/>
          <w:color w:val="auto"/>
        </w:rPr>
        <w:t>），</w:t>
      </w:r>
      <w:bookmarkStart w:id="54" w:name="_Hlk81182229"/>
      <w:r>
        <w:rPr>
          <w:rFonts w:hint="eastAsia" w:ascii="黑体" w:hAnsi="黑体" w:eastAsia="黑体"/>
          <w:color w:val="auto"/>
        </w:rPr>
        <w:t>只有通过符合性审查的投标</w:t>
      </w:r>
      <w:bookmarkEnd w:id="54"/>
      <w:r>
        <w:rPr>
          <w:rFonts w:hint="eastAsia" w:ascii="黑体" w:hAnsi="黑体" w:eastAsia="黑体"/>
          <w:color w:val="auto"/>
        </w:rPr>
        <w:t>才能进入详细的评审和价格评审，</w:t>
      </w:r>
      <w:bookmarkEnd w:id="51"/>
      <w:r>
        <w:rPr>
          <w:rFonts w:hint="eastAsia" w:ascii="黑体" w:hAnsi="黑体" w:eastAsia="黑体"/>
          <w:color w:val="auto"/>
        </w:rPr>
        <w:t>最后评标委员会出具评标报告。</w:t>
      </w:r>
    </w:p>
    <w:p w14:paraId="7EAAAEB8">
      <w:pPr>
        <w:pStyle w:val="30"/>
        <w:numPr>
          <w:ilvl w:val="1"/>
          <w:numId w:val="70"/>
        </w:numPr>
        <w:spacing w:line="360" w:lineRule="auto"/>
        <w:ind w:left="426" w:hanging="426" w:firstLineChars="0"/>
        <w:rPr>
          <w:rFonts w:ascii="黑体" w:hAnsi="黑体" w:eastAsia="黑体"/>
          <w:color w:val="auto"/>
        </w:rPr>
      </w:pPr>
      <w:r>
        <w:rPr>
          <w:rFonts w:hint="eastAsia" w:ascii="黑体" w:hAnsi="黑体" w:eastAsia="黑体"/>
          <w:color w:val="auto"/>
        </w:rPr>
        <w:t>评标时，评标委员会各成员应当独立对每个投标人的投标文件进行评价，并汇总每个投</w:t>
      </w:r>
    </w:p>
    <w:p w14:paraId="1BE9E444">
      <w:pPr>
        <w:pStyle w:val="30"/>
        <w:spacing w:line="360" w:lineRule="auto"/>
        <w:ind w:left="426" w:firstLine="0" w:firstLineChars="0"/>
        <w:rPr>
          <w:rFonts w:ascii="黑体" w:hAnsi="黑体" w:eastAsia="黑体"/>
          <w:color w:val="auto"/>
        </w:rPr>
      </w:pPr>
      <w:r>
        <w:rPr>
          <w:rFonts w:hint="eastAsia" w:ascii="黑体" w:hAnsi="黑体" w:eastAsia="黑体"/>
          <w:color w:val="auto"/>
        </w:rPr>
        <w:t>标人的得分。</w:t>
      </w:r>
    </w:p>
    <w:p w14:paraId="4E70F3D5">
      <w:pPr>
        <w:pStyle w:val="30"/>
        <w:numPr>
          <w:ilvl w:val="1"/>
          <w:numId w:val="70"/>
        </w:numPr>
        <w:spacing w:line="360" w:lineRule="auto"/>
        <w:ind w:left="426" w:hanging="426" w:firstLineChars="0"/>
        <w:rPr>
          <w:rFonts w:ascii="黑体" w:hAnsi="黑体" w:eastAsia="黑体"/>
          <w:color w:val="auto"/>
        </w:rPr>
      </w:pPr>
      <w:r>
        <w:rPr>
          <w:rFonts w:hint="eastAsia" w:ascii="黑体" w:hAnsi="黑体" w:eastAsia="黑体"/>
          <w:color w:val="auto"/>
        </w:rPr>
        <w:t>评标过程中，不得去掉报价中的最高报价和最低报价。</w:t>
      </w:r>
    </w:p>
    <w:p w14:paraId="6BCDB299">
      <w:pPr>
        <w:pStyle w:val="30"/>
        <w:numPr>
          <w:ilvl w:val="0"/>
          <w:numId w:val="64"/>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投标无效的情形</w:t>
      </w:r>
    </w:p>
    <w:p w14:paraId="5520E015">
      <w:pPr>
        <w:pStyle w:val="30"/>
        <w:numPr>
          <w:ilvl w:val="0"/>
          <w:numId w:val="65"/>
        </w:numPr>
        <w:spacing w:line="360" w:lineRule="auto"/>
        <w:ind w:firstLineChars="0"/>
        <w:rPr>
          <w:rFonts w:ascii="黑体" w:hAnsi="黑体" w:eastAsia="黑体"/>
          <w:bCs/>
          <w:color w:val="auto"/>
          <w:szCs w:val="21"/>
        </w:rPr>
      </w:pPr>
      <w:r>
        <w:rPr>
          <w:rFonts w:hint="eastAsia" w:ascii="黑体" w:hAnsi="黑体" w:eastAsia="黑体"/>
          <w:bCs/>
          <w:color w:val="auto"/>
          <w:szCs w:val="21"/>
        </w:rPr>
        <w:t>详见资格性审查、符合性审查和招标文件其他投标无效条款。</w:t>
      </w:r>
    </w:p>
    <w:p w14:paraId="79EAE9FE">
      <w:pPr>
        <w:pStyle w:val="30"/>
        <w:numPr>
          <w:ilvl w:val="0"/>
          <w:numId w:val="64"/>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详细评审</w:t>
      </w:r>
    </w:p>
    <w:p w14:paraId="2DAD3E28">
      <w:pPr>
        <w:pStyle w:val="30"/>
        <w:numPr>
          <w:ilvl w:val="0"/>
          <w:numId w:val="65"/>
        </w:numPr>
        <w:tabs>
          <w:tab w:val="left" w:pos="426"/>
        </w:tabs>
        <w:spacing w:line="360" w:lineRule="auto"/>
        <w:ind w:firstLineChars="0"/>
        <w:rPr>
          <w:rFonts w:ascii="黑体" w:hAnsi="黑体" w:eastAsia="黑体"/>
          <w:bCs/>
          <w:color w:val="auto"/>
          <w:szCs w:val="21"/>
        </w:rPr>
      </w:pPr>
      <w:r>
        <w:rPr>
          <w:rFonts w:hint="eastAsia" w:ascii="黑体" w:hAnsi="黑体" w:eastAsia="黑体"/>
          <w:bCs/>
          <w:color w:val="auto"/>
          <w:szCs w:val="21"/>
        </w:rPr>
        <w:t>评标委员会应当按照招标文件中规定的评标方法和标准，对符合性审查合格的投标文件进行商务和技术评估，综合比较与评价。具体商务、技术部分的</w:t>
      </w:r>
      <w:bookmarkStart w:id="55" w:name="_Hlk75740750"/>
      <w:r>
        <w:rPr>
          <w:rFonts w:hint="eastAsia" w:ascii="黑体" w:hAnsi="黑体" w:eastAsia="黑体"/>
          <w:bCs/>
          <w:color w:val="auto"/>
          <w:szCs w:val="21"/>
        </w:rPr>
        <w:t>评审</w:t>
      </w:r>
      <w:bookmarkEnd w:id="55"/>
      <w:r>
        <w:rPr>
          <w:rFonts w:hint="eastAsia" w:ascii="黑体" w:hAnsi="黑体" w:eastAsia="黑体"/>
          <w:bCs/>
          <w:color w:val="auto"/>
          <w:szCs w:val="21"/>
        </w:rPr>
        <w:t>因素详见</w:t>
      </w:r>
      <w:r>
        <w:rPr>
          <w:rFonts w:hint="eastAsia" w:ascii="黑体" w:hAnsi="黑体" w:eastAsia="黑体"/>
          <w:color w:val="auto"/>
        </w:rPr>
        <w:t>《商务、技术评审细则》（附表三）。</w:t>
      </w:r>
    </w:p>
    <w:p w14:paraId="3CE8A20C">
      <w:pPr>
        <w:pStyle w:val="30"/>
        <w:numPr>
          <w:ilvl w:val="0"/>
          <w:numId w:val="64"/>
        </w:numPr>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价格评审</w:t>
      </w:r>
    </w:p>
    <w:p w14:paraId="4F63A580">
      <w:pPr>
        <w:pStyle w:val="30"/>
        <w:numPr>
          <w:ilvl w:val="0"/>
          <w:numId w:val="65"/>
        </w:numPr>
        <w:tabs>
          <w:tab w:val="left" w:pos="426"/>
        </w:tabs>
        <w:spacing w:line="360" w:lineRule="auto"/>
        <w:ind w:firstLineChars="0"/>
        <w:rPr>
          <w:rFonts w:ascii="黑体" w:hAnsi="黑体" w:eastAsia="黑体"/>
          <w:bCs/>
          <w:color w:val="auto"/>
          <w:szCs w:val="21"/>
        </w:rPr>
      </w:pPr>
      <w:r>
        <w:rPr>
          <w:rFonts w:hint="eastAsia" w:ascii="黑体" w:hAnsi="黑体" w:eastAsia="黑体"/>
          <w:bCs/>
          <w:color w:val="auto"/>
          <w:szCs w:val="21"/>
        </w:rPr>
        <w:t>投标文件报价出现前后不一致的，除招标文件另有规定外，按照下列规定修正：</w:t>
      </w:r>
    </w:p>
    <w:p w14:paraId="3A47E99F">
      <w:pPr>
        <w:pStyle w:val="30"/>
        <w:numPr>
          <w:ilvl w:val="1"/>
          <w:numId w:val="71"/>
        </w:numPr>
        <w:spacing w:line="360" w:lineRule="auto"/>
        <w:ind w:firstLineChars="0"/>
        <w:rPr>
          <w:rFonts w:ascii="黑体" w:hAnsi="黑体" w:eastAsia="黑体"/>
          <w:bCs/>
          <w:color w:val="auto"/>
          <w:szCs w:val="21"/>
        </w:rPr>
      </w:pPr>
      <w:r>
        <w:rPr>
          <w:rFonts w:hint="eastAsia" w:ascii="黑体" w:hAnsi="黑体" w:eastAsia="黑体"/>
          <w:color w:val="auto"/>
        </w:rPr>
        <w:t>投标文件中开标一览表（报价表）内容与投标文件中相应内容不一致的，以开标一览表（报价表）为准；</w:t>
      </w:r>
    </w:p>
    <w:p w14:paraId="17258219">
      <w:pPr>
        <w:pStyle w:val="30"/>
        <w:numPr>
          <w:ilvl w:val="1"/>
          <w:numId w:val="71"/>
        </w:numPr>
        <w:spacing w:line="360" w:lineRule="auto"/>
        <w:ind w:firstLineChars="0"/>
        <w:rPr>
          <w:rFonts w:ascii="黑体" w:hAnsi="黑体" w:eastAsia="黑体"/>
          <w:bCs/>
          <w:color w:val="auto"/>
          <w:szCs w:val="21"/>
        </w:rPr>
      </w:pPr>
      <w:r>
        <w:rPr>
          <w:rFonts w:hint="eastAsia" w:ascii="黑体" w:hAnsi="黑体" w:eastAsia="黑体"/>
          <w:bCs/>
          <w:color w:val="auto"/>
          <w:szCs w:val="21"/>
        </w:rPr>
        <w:t>大写金额和小写金额不一致的，以大写金额为准；</w:t>
      </w:r>
    </w:p>
    <w:p w14:paraId="613F17EB">
      <w:pPr>
        <w:pStyle w:val="30"/>
        <w:numPr>
          <w:ilvl w:val="1"/>
          <w:numId w:val="71"/>
        </w:numPr>
        <w:spacing w:line="360" w:lineRule="auto"/>
        <w:ind w:firstLineChars="0"/>
        <w:rPr>
          <w:rFonts w:ascii="黑体" w:hAnsi="黑体" w:eastAsia="黑体"/>
          <w:bCs/>
          <w:color w:val="auto"/>
          <w:szCs w:val="21"/>
        </w:rPr>
      </w:pPr>
      <w:r>
        <w:rPr>
          <w:rFonts w:hint="eastAsia" w:ascii="黑体" w:hAnsi="黑体" w:eastAsia="黑体"/>
          <w:bCs/>
          <w:color w:val="auto"/>
          <w:szCs w:val="21"/>
        </w:rPr>
        <w:t>单价金额小数点或者百分比有明显错位的，以开标一览表的总价为准，并修改单价；</w:t>
      </w:r>
    </w:p>
    <w:p w14:paraId="4430EFD7">
      <w:pPr>
        <w:pStyle w:val="30"/>
        <w:numPr>
          <w:ilvl w:val="1"/>
          <w:numId w:val="71"/>
        </w:numPr>
        <w:spacing w:line="360" w:lineRule="auto"/>
        <w:ind w:firstLineChars="0"/>
        <w:rPr>
          <w:rFonts w:ascii="黑体" w:hAnsi="黑体" w:eastAsia="黑体"/>
          <w:bCs/>
          <w:color w:val="auto"/>
          <w:szCs w:val="21"/>
        </w:rPr>
      </w:pPr>
      <w:r>
        <w:rPr>
          <w:rFonts w:hint="eastAsia" w:ascii="黑体" w:hAnsi="黑体" w:eastAsia="黑体"/>
          <w:bCs/>
          <w:color w:val="auto"/>
          <w:szCs w:val="21"/>
        </w:rPr>
        <w:t>总价金额与按单价汇总金额不一致的，以单价金额计算结果为准。</w:t>
      </w:r>
    </w:p>
    <w:p w14:paraId="356CA262">
      <w:pPr>
        <w:pStyle w:val="30"/>
        <w:tabs>
          <w:tab w:val="left" w:pos="426"/>
        </w:tabs>
        <w:spacing w:line="360" w:lineRule="auto"/>
        <w:ind w:left="567" w:firstLine="0" w:firstLineChars="0"/>
        <w:rPr>
          <w:rFonts w:ascii="黑体" w:hAnsi="黑体" w:eastAsia="黑体"/>
          <w:bCs/>
          <w:color w:val="auto"/>
          <w:szCs w:val="21"/>
        </w:rPr>
      </w:pPr>
      <w:r>
        <w:rPr>
          <w:rFonts w:hint="eastAsia" w:ascii="黑体" w:hAnsi="黑体" w:eastAsia="黑体"/>
          <w:bCs/>
          <w:color w:val="auto"/>
          <w:szCs w:val="21"/>
        </w:rPr>
        <w:t>同时出现两种以上不一致的，按照前款规定的顺序修正。修正后的报价</w:t>
      </w:r>
      <w:r>
        <w:rPr>
          <w:rFonts w:hint="eastAsia" w:ascii="黑体" w:hAnsi="黑体" w:eastAsia="黑体" w:cs="宋体"/>
          <w:color w:val="auto"/>
          <w:szCs w:val="21"/>
          <w:lang w:eastAsia="zh-TW"/>
        </w:rPr>
        <w:t>按照《政府采购货物和服务招标投标管理办法》第五十一条第二款的规定</w:t>
      </w:r>
      <w:r>
        <w:rPr>
          <w:rFonts w:hint="eastAsia" w:ascii="黑体" w:hAnsi="黑体" w:eastAsia="黑体"/>
          <w:bCs/>
          <w:color w:val="auto"/>
          <w:szCs w:val="21"/>
        </w:rPr>
        <w:t>经投标人确认后产生约束力，投标人不确认的，其投标无效。</w:t>
      </w:r>
    </w:p>
    <w:p w14:paraId="4285BE5B">
      <w:pPr>
        <w:pStyle w:val="30"/>
        <w:numPr>
          <w:ilvl w:val="1"/>
          <w:numId w:val="71"/>
        </w:numPr>
        <w:spacing w:line="360" w:lineRule="auto"/>
        <w:ind w:firstLineChars="0"/>
        <w:rPr>
          <w:rFonts w:ascii="黑体" w:hAnsi="黑体" w:eastAsia="黑体"/>
          <w:bCs/>
          <w:color w:val="auto"/>
          <w:szCs w:val="21"/>
        </w:rPr>
      </w:pPr>
      <w:bookmarkStart w:id="56" w:name="_Hlk86745538"/>
      <w:r>
        <w:rPr>
          <w:rFonts w:hint="eastAsia" w:ascii="黑体" w:hAnsi="黑体" w:eastAsia="黑体"/>
          <w:bCs/>
          <w:color w:val="auto"/>
          <w:szCs w:val="21"/>
        </w:rPr>
        <w:t>投标文件中</w:t>
      </w:r>
      <w:bookmarkStart w:id="57" w:name="_Hlk81348653"/>
      <w:r>
        <w:rPr>
          <w:rFonts w:hint="eastAsia" w:ascii="黑体" w:hAnsi="黑体" w:eastAsia="黑体"/>
          <w:bCs/>
          <w:color w:val="auto"/>
          <w:szCs w:val="21"/>
        </w:rPr>
        <w:t>开标一览表（报价表）、</w:t>
      </w:r>
      <w:r>
        <w:rPr>
          <w:rFonts w:hint="eastAsia" w:ascii="黑体" w:hAnsi="黑体" w:eastAsia="黑体"/>
          <w:color w:val="auto"/>
          <w:szCs w:val="21"/>
        </w:rPr>
        <w:t>分项报价表</w:t>
      </w:r>
      <w:r>
        <w:rPr>
          <w:rFonts w:hint="eastAsia" w:ascii="黑体" w:hAnsi="黑体" w:eastAsia="黑体"/>
          <w:bCs/>
          <w:color w:val="auto"/>
          <w:szCs w:val="21"/>
        </w:rPr>
        <w:t>内容</w:t>
      </w:r>
      <w:bookmarkEnd w:id="57"/>
      <w:r>
        <w:rPr>
          <w:rFonts w:hint="eastAsia" w:ascii="黑体" w:hAnsi="黑体" w:eastAsia="黑体"/>
          <w:bCs/>
          <w:color w:val="auto"/>
          <w:szCs w:val="21"/>
        </w:rPr>
        <w:t>与唱标信封中开标一览表（报价表、</w:t>
      </w:r>
      <w:r>
        <w:rPr>
          <w:rFonts w:hint="eastAsia" w:ascii="黑体" w:hAnsi="黑体" w:eastAsia="黑体"/>
          <w:color w:val="auto"/>
          <w:szCs w:val="21"/>
        </w:rPr>
        <w:t>分项报价报</w:t>
      </w:r>
      <w:r>
        <w:rPr>
          <w:rFonts w:hint="eastAsia" w:ascii="黑体" w:hAnsi="黑体" w:eastAsia="黑体"/>
          <w:bCs/>
          <w:color w:val="auto"/>
          <w:szCs w:val="21"/>
        </w:rPr>
        <w:t>内容不一致的，以唱标信封中开标一览表（报价表）、</w:t>
      </w:r>
      <w:r>
        <w:rPr>
          <w:rFonts w:hint="eastAsia" w:ascii="黑体" w:hAnsi="黑体" w:eastAsia="黑体"/>
          <w:color w:val="auto"/>
          <w:szCs w:val="21"/>
        </w:rPr>
        <w:t>分项报价表</w:t>
      </w:r>
      <w:r>
        <w:rPr>
          <w:rFonts w:hint="eastAsia" w:ascii="黑体" w:hAnsi="黑体" w:eastAsia="黑体"/>
          <w:bCs/>
          <w:color w:val="auto"/>
          <w:szCs w:val="21"/>
        </w:rPr>
        <w:t>内容为准。</w:t>
      </w:r>
    </w:p>
    <w:bookmarkEnd w:id="56"/>
    <w:p w14:paraId="5419E3A2">
      <w:pPr>
        <w:pStyle w:val="30"/>
        <w:numPr>
          <w:ilvl w:val="0"/>
          <w:numId w:val="65"/>
        </w:numPr>
        <w:tabs>
          <w:tab w:val="left" w:pos="426"/>
        </w:tabs>
        <w:spacing w:line="360" w:lineRule="auto"/>
        <w:ind w:firstLineChars="0"/>
        <w:rPr>
          <w:rFonts w:ascii="黑体" w:hAnsi="黑体" w:eastAsia="黑体"/>
          <w:bCs/>
          <w:color w:val="auto"/>
          <w:szCs w:val="21"/>
        </w:rPr>
      </w:pPr>
      <w:r>
        <w:rPr>
          <w:rFonts w:hint="eastAsia" w:ascii="黑体" w:hAnsi="黑体" w:eastAsia="黑体"/>
          <w:bCs/>
          <w:color w:val="auto"/>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19D9F63">
      <w:pPr>
        <w:pStyle w:val="30"/>
        <w:numPr>
          <w:ilvl w:val="0"/>
          <w:numId w:val="65"/>
        </w:numPr>
        <w:tabs>
          <w:tab w:val="left" w:pos="426"/>
        </w:tabs>
        <w:spacing w:before="312" w:beforeLines="100" w:line="360" w:lineRule="auto"/>
        <w:ind w:firstLineChars="0"/>
        <w:rPr>
          <w:rFonts w:ascii="黑体" w:hAnsi="黑体" w:eastAsia="黑体"/>
          <w:b/>
          <w:bCs/>
          <w:color w:val="auto"/>
          <w:szCs w:val="21"/>
        </w:rPr>
      </w:pPr>
      <w:r>
        <w:rPr>
          <w:rFonts w:hint="eastAsia" w:ascii="黑体" w:hAnsi="黑体" w:eastAsia="黑体"/>
          <w:b/>
          <w:bCs/>
          <w:color w:val="auto"/>
          <w:szCs w:val="21"/>
        </w:rPr>
        <w:t>政府采购政策落实</w:t>
      </w:r>
    </w:p>
    <w:p w14:paraId="3B159F3D">
      <w:pPr>
        <w:pStyle w:val="30"/>
        <w:numPr>
          <w:ilvl w:val="1"/>
          <w:numId w:val="72"/>
        </w:numPr>
        <w:spacing w:line="360" w:lineRule="auto"/>
        <w:ind w:firstLineChars="0"/>
        <w:rPr>
          <w:rFonts w:ascii="黑体" w:hAnsi="黑体" w:eastAsia="黑体"/>
          <w:b/>
          <w:bCs/>
          <w:color w:val="auto"/>
          <w:szCs w:val="21"/>
        </w:rPr>
      </w:pPr>
      <w:r>
        <w:rPr>
          <w:rFonts w:hint="eastAsia" w:ascii="黑体" w:hAnsi="黑体" w:eastAsia="黑体"/>
          <w:b/>
          <w:bCs/>
          <w:color w:val="auto"/>
          <w:szCs w:val="21"/>
        </w:rPr>
        <w:t>对小型或微型企业投标的扶持</w:t>
      </w:r>
    </w:p>
    <w:p w14:paraId="75DA2E35">
      <w:pPr>
        <w:pStyle w:val="30"/>
        <w:numPr>
          <w:ilvl w:val="2"/>
          <w:numId w:val="73"/>
        </w:numPr>
        <w:spacing w:line="360" w:lineRule="auto"/>
        <w:ind w:firstLineChars="0"/>
        <w:rPr>
          <w:rFonts w:ascii="黑体" w:hAnsi="黑体" w:eastAsia="黑体"/>
          <w:bCs/>
          <w:color w:val="auto"/>
          <w:szCs w:val="21"/>
        </w:rPr>
      </w:pPr>
      <w:bookmarkStart w:id="58" w:name="_Hlk90987722"/>
      <w:r>
        <w:rPr>
          <w:rFonts w:hint="eastAsia" w:ascii="黑体" w:hAnsi="黑体" w:eastAsia="黑体"/>
          <w:bCs/>
          <w:color w:val="auto"/>
          <w:szCs w:val="21"/>
        </w:rPr>
        <w:t>根据财政部、工业和信息化部制定《政府采购促进中小企业发展管理办法》（财库[</w:t>
      </w:r>
      <w:r>
        <w:rPr>
          <w:rFonts w:ascii="黑体" w:hAnsi="黑体" w:eastAsia="黑体"/>
          <w:bCs/>
          <w:color w:val="auto"/>
          <w:szCs w:val="21"/>
        </w:rPr>
        <w:t>2020]46</w:t>
      </w:r>
      <w:r>
        <w:rPr>
          <w:rFonts w:hint="eastAsia" w:ascii="黑体" w:hAnsi="黑体" w:eastAsia="黑体"/>
          <w:bCs/>
          <w:color w:val="auto"/>
          <w:szCs w:val="21"/>
        </w:rPr>
        <w:t>号）的规定，</w:t>
      </w:r>
      <w:r>
        <w:rPr>
          <w:rFonts w:hint="eastAsia" w:ascii="黑体" w:hAnsi="黑体" w:eastAsia="黑体"/>
          <w:b/>
          <w:color w:val="auto"/>
          <w:szCs w:val="21"/>
        </w:rPr>
        <w:t>对小微企业报价给予</w:t>
      </w:r>
      <w:r>
        <w:rPr>
          <w:rFonts w:ascii="黑体" w:hAnsi="黑体" w:eastAsia="黑体"/>
          <w:b/>
          <w:color w:val="auto"/>
          <w:szCs w:val="21"/>
        </w:rPr>
        <w:t>10</w:t>
      </w:r>
      <w:r>
        <w:rPr>
          <w:rFonts w:hint="eastAsia" w:ascii="黑体" w:hAnsi="黑体" w:eastAsia="黑体"/>
          <w:b/>
          <w:color w:val="auto"/>
          <w:szCs w:val="21"/>
        </w:rPr>
        <w:t>%的扣除，用扣除后的价格参与评审。</w:t>
      </w:r>
      <w:r>
        <w:rPr>
          <w:rFonts w:hint="eastAsia" w:ascii="黑体" w:hAnsi="黑体" w:eastAsia="黑体"/>
          <w:bCs/>
          <w:color w:val="auto"/>
          <w:szCs w:val="21"/>
        </w:rPr>
        <w:t>参加政府采购活动的中小企业应当提供《中小企业声明函》（</w:t>
      </w:r>
      <w:bookmarkEnd w:id="58"/>
      <w:r>
        <w:rPr>
          <w:rFonts w:hint="eastAsia" w:ascii="黑体" w:hAnsi="黑体" w:eastAsia="黑体"/>
          <w:bCs/>
          <w:color w:val="auto"/>
          <w:szCs w:val="21"/>
        </w:rPr>
        <w:t>格式详见招标文件第七部分投标文件格式）。</w:t>
      </w:r>
    </w:p>
    <w:p w14:paraId="144C9E0D">
      <w:pPr>
        <w:pStyle w:val="30"/>
        <w:numPr>
          <w:ilvl w:val="1"/>
          <w:numId w:val="72"/>
        </w:numPr>
        <w:spacing w:line="360" w:lineRule="auto"/>
        <w:ind w:firstLineChars="0"/>
        <w:rPr>
          <w:rFonts w:ascii="黑体" w:hAnsi="黑体" w:eastAsia="黑体"/>
          <w:b/>
          <w:bCs/>
          <w:color w:val="auto"/>
          <w:szCs w:val="21"/>
        </w:rPr>
      </w:pPr>
      <w:r>
        <w:rPr>
          <w:rFonts w:hint="eastAsia" w:ascii="黑体" w:hAnsi="黑体" w:eastAsia="黑体"/>
          <w:b/>
          <w:bCs/>
          <w:color w:val="auto"/>
          <w:szCs w:val="21"/>
        </w:rPr>
        <w:t>对监狱企业投标的扶持</w:t>
      </w:r>
    </w:p>
    <w:p w14:paraId="1B16278B">
      <w:pPr>
        <w:pStyle w:val="30"/>
        <w:numPr>
          <w:ilvl w:val="2"/>
          <w:numId w:val="74"/>
        </w:numPr>
        <w:spacing w:line="360" w:lineRule="auto"/>
        <w:ind w:firstLineChars="0"/>
        <w:rPr>
          <w:rFonts w:ascii="黑体" w:hAnsi="黑体" w:eastAsia="黑体"/>
          <w:bCs/>
          <w:color w:val="auto"/>
          <w:szCs w:val="21"/>
        </w:rPr>
      </w:pPr>
      <w:r>
        <w:rPr>
          <w:rFonts w:hint="eastAsia" w:ascii="黑体" w:hAnsi="黑体" w:eastAsia="黑体"/>
          <w:bCs/>
          <w:color w:val="auto"/>
          <w:szCs w:val="21"/>
        </w:rPr>
        <w:t>为发挥政府采购支持监狱企业发展的作用，根据《关于政府采购支持监狱企业发展有关问题的通知》（财库</w:t>
      </w:r>
      <w:r>
        <w:rPr>
          <w:rFonts w:ascii="黑体" w:hAnsi="黑体" w:eastAsia="黑体"/>
          <w:bCs/>
          <w:color w:val="auto"/>
          <w:szCs w:val="21"/>
        </w:rPr>
        <w:t>[2014]68号）的规定，监狱企业视同小型、微型企业，享受一定比例的价格折扣优惠，用扣除后的价格作为其参与评审的价格。监狱企业参加政府采购活动时，应当提供由省级或以上监狱管理局、戒毒管理局（含新疆生产建设兵团）出具的属于监狱企业的证明文件，否则不予认可。（格式详见招标文件第七部分投标文件格式）</w:t>
      </w:r>
    </w:p>
    <w:p w14:paraId="3CD2DD39">
      <w:pPr>
        <w:pStyle w:val="30"/>
        <w:numPr>
          <w:ilvl w:val="1"/>
          <w:numId w:val="72"/>
        </w:numPr>
        <w:spacing w:line="360" w:lineRule="auto"/>
        <w:ind w:firstLineChars="0"/>
        <w:rPr>
          <w:rFonts w:ascii="黑体" w:hAnsi="黑体" w:eastAsia="黑体"/>
          <w:b/>
          <w:bCs/>
          <w:color w:val="auto"/>
          <w:szCs w:val="21"/>
        </w:rPr>
      </w:pPr>
      <w:r>
        <w:rPr>
          <w:rFonts w:hint="eastAsia" w:ascii="黑体" w:hAnsi="黑体" w:eastAsia="黑体"/>
          <w:b/>
          <w:bCs/>
          <w:color w:val="auto"/>
          <w:szCs w:val="21"/>
        </w:rPr>
        <w:t>对残疾人福利性单位投标的扶持</w:t>
      </w:r>
    </w:p>
    <w:p w14:paraId="2E16B9DA">
      <w:pPr>
        <w:pStyle w:val="30"/>
        <w:numPr>
          <w:ilvl w:val="2"/>
          <w:numId w:val="75"/>
        </w:numPr>
        <w:spacing w:line="360" w:lineRule="auto"/>
        <w:ind w:left="708" w:hanging="707" w:hangingChars="337"/>
        <w:rPr>
          <w:rFonts w:ascii="黑体" w:hAnsi="黑体" w:eastAsia="黑体"/>
          <w:bCs/>
          <w:color w:val="auto"/>
          <w:szCs w:val="21"/>
        </w:rPr>
      </w:pPr>
      <w:r>
        <w:rPr>
          <w:rFonts w:hint="eastAsia" w:ascii="黑体" w:hAnsi="黑体" w:eastAsia="黑体"/>
          <w:bCs/>
          <w:color w:val="auto"/>
          <w:szCs w:val="21"/>
        </w:rPr>
        <w:t>为了发挥政府采购促进残疾人就业的作用，根据财政部</w:t>
      </w:r>
      <w:r>
        <w:rPr>
          <w:rFonts w:ascii="黑体" w:hAnsi="黑体" w:eastAsia="黑体"/>
          <w:bCs/>
          <w:color w:val="auto"/>
          <w:szCs w:val="21"/>
        </w:rPr>
        <w:t xml:space="preserve"> </w:t>
      </w:r>
      <w:r>
        <w:rPr>
          <w:rFonts w:hint="eastAsia" w:ascii="黑体" w:hAnsi="黑体" w:eastAsia="黑体"/>
          <w:bCs/>
          <w:color w:val="auto"/>
          <w:szCs w:val="21"/>
        </w:rPr>
        <w:t>民政部</w:t>
      </w:r>
      <w:r>
        <w:rPr>
          <w:rFonts w:ascii="黑体" w:hAnsi="黑体" w:eastAsia="黑体"/>
          <w:bCs/>
          <w:color w:val="auto"/>
          <w:szCs w:val="21"/>
        </w:rPr>
        <w:t xml:space="preserve"> </w:t>
      </w:r>
      <w:r>
        <w:rPr>
          <w:rFonts w:hint="eastAsia" w:ascii="黑体" w:hAnsi="黑体" w:eastAsia="黑体"/>
          <w:bCs/>
          <w:color w:val="auto"/>
          <w:szCs w:val="21"/>
        </w:rPr>
        <w:t>中国残疾人联合会《关于促进残疾人就业政府采购政策的通知》（财库</w:t>
      </w:r>
      <w:r>
        <w:rPr>
          <w:rFonts w:ascii="黑体" w:hAnsi="黑体" w:eastAsia="黑体"/>
          <w:bCs/>
          <w:color w:val="auto"/>
          <w:szCs w:val="21"/>
        </w:rPr>
        <w:t>[2017]</w:t>
      </w:r>
      <w:r>
        <w:rPr>
          <w:rFonts w:hint="eastAsia" w:ascii="黑体" w:hAnsi="黑体" w:eastAsia="黑体"/>
          <w:bCs/>
          <w:color w:val="auto"/>
          <w:szCs w:val="21"/>
        </w:rPr>
        <w:t>1</w:t>
      </w:r>
      <w:r>
        <w:rPr>
          <w:rFonts w:ascii="黑体" w:hAnsi="黑体" w:eastAsia="黑体"/>
          <w:bCs/>
          <w:color w:val="auto"/>
          <w:szCs w:val="21"/>
        </w:rPr>
        <w:t>41号）的规定，残疾人福利性单位视同小型、微型企业，享受一定比例的价格折扣优惠，用扣除后的价格作为其参与评审的价格。参加政府采购活动的残疾人福利性单位应当提供《残疾人福利性单位声明函》</w:t>
      </w:r>
      <w:r>
        <w:rPr>
          <w:rFonts w:hint="eastAsia" w:ascii="黑体" w:hAnsi="黑体" w:eastAsia="黑体"/>
          <w:bCs/>
          <w:color w:val="auto"/>
          <w:szCs w:val="21"/>
        </w:rPr>
        <w:t>（格式详见招标文件第七部分投标文件格式）。</w:t>
      </w:r>
    </w:p>
    <w:p w14:paraId="294E86AC">
      <w:pPr>
        <w:pStyle w:val="30"/>
        <w:numPr>
          <w:ilvl w:val="1"/>
          <w:numId w:val="72"/>
        </w:numPr>
        <w:spacing w:line="360" w:lineRule="auto"/>
        <w:ind w:firstLineChars="0"/>
        <w:rPr>
          <w:rFonts w:ascii="黑体" w:hAnsi="黑体" w:eastAsia="黑体"/>
          <w:bCs/>
          <w:color w:val="auto"/>
          <w:szCs w:val="21"/>
        </w:rPr>
      </w:pPr>
      <w:r>
        <w:rPr>
          <w:rFonts w:hint="eastAsia" w:ascii="黑体" w:hAnsi="黑体" w:eastAsia="黑体"/>
          <w:bCs/>
          <w:color w:val="auto"/>
          <w:szCs w:val="21"/>
        </w:rPr>
        <w:t>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ascii="黑体" w:hAnsi="黑体" w:eastAsia="黑体"/>
          <w:bCs/>
          <w:color w:val="auto"/>
          <w:szCs w:val="21"/>
        </w:rPr>
        <w:t>4</w:t>
      </w:r>
      <w:r>
        <w:rPr>
          <w:rFonts w:hint="eastAsia" w:ascii="黑体" w:hAnsi="黑体" w:eastAsia="黑体"/>
          <w:bCs/>
          <w:color w:val="auto"/>
          <w:szCs w:val="21"/>
        </w:rPr>
        <w:t>%的扣除</w:t>
      </w:r>
      <w:r>
        <w:rPr>
          <w:rFonts w:ascii="黑体" w:hAnsi="黑体" w:eastAsia="黑体"/>
          <w:bCs/>
          <w:color w:val="auto"/>
          <w:szCs w:val="21"/>
        </w:rPr>
        <w:t>。</w:t>
      </w:r>
    </w:p>
    <w:p w14:paraId="24283A5D">
      <w:pPr>
        <w:pStyle w:val="30"/>
        <w:numPr>
          <w:ilvl w:val="1"/>
          <w:numId w:val="72"/>
        </w:numPr>
        <w:spacing w:line="360" w:lineRule="auto"/>
        <w:ind w:firstLineChars="0"/>
        <w:rPr>
          <w:rFonts w:ascii="黑体" w:hAnsi="黑体" w:eastAsia="黑体"/>
          <w:b/>
          <w:color w:val="auto"/>
        </w:rPr>
      </w:pPr>
      <w:bookmarkStart w:id="59" w:name="_Hlk86745708"/>
      <w:bookmarkStart w:id="60" w:name="_Hlk90987823"/>
      <w:r>
        <w:rPr>
          <w:rFonts w:hint="eastAsia" w:ascii="黑体" w:hAnsi="黑体" w:eastAsia="黑体"/>
          <w:b/>
          <w:color w:val="auto"/>
        </w:rPr>
        <w:t>监狱企业产品、残疾人福利性单位产品价格扣除</w:t>
      </w:r>
    </w:p>
    <w:p w14:paraId="0999A7EE">
      <w:pPr>
        <w:pStyle w:val="30"/>
        <w:spacing w:line="360" w:lineRule="auto"/>
        <w:ind w:left="567" w:firstLine="0" w:firstLineChars="0"/>
        <w:rPr>
          <w:rFonts w:ascii="黑体" w:hAnsi="黑体" w:eastAsia="黑体"/>
          <w:bCs/>
          <w:color w:val="auto"/>
        </w:rPr>
      </w:pPr>
      <w:r>
        <w:rPr>
          <w:rFonts w:hint="eastAsia" w:ascii="黑体" w:hAnsi="黑体" w:eastAsia="黑体"/>
          <w:bCs/>
          <w:color w:val="auto"/>
        </w:rPr>
        <w:t>监狱企业、</w:t>
      </w:r>
      <w:r>
        <w:rPr>
          <w:rFonts w:ascii="黑体" w:hAnsi="黑体" w:eastAsia="黑体"/>
          <w:bCs/>
          <w:color w:val="auto"/>
        </w:rPr>
        <w:t>残疾人福利性单位视同小微企业</w:t>
      </w:r>
      <w:r>
        <w:rPr>
          <w:rFonts w:hint="eastAsia" w:ascii="黑体" w:hAnsi="黑体" w:eastAsia="黑体"/>
          <w:bCs/>
          <w:color w:val="auto"/>
        </w:rPr>
        <w:t>，按上述第</w:t>
      </w:r>
      <w:r>
        <w:rPr>
          <w:rFonts w:ascii="黑体" w:hAnsi="黑体" w:eastAsia="黑体"/>
          <w:bCs/>
          <w:color w:val="auto"/>
        </w:rPr>
        <w:t>8.1.1</w:t>
      </w:r>
      <w:r>
        <w:rPr>
          <w:rFonts w:hint="eastAsia" w:ascii="黑体" w:hAnsi="黑体" w:eastAsia="黑体"/>
          <w:bCs/>
          <w:color w:val="auto"/>
        </w:rPr>
        <w:t>、8</w:t>
      </w:r>
      <w:r>
        <w:rPr>
          <w:rFonts w:ascii="黑体" w:hAnsi="黑体" w:eastAsia="黑体"/>
          <w:bCs/>
          <w:color w:val="auto"/>
        </w:rPr>
        <w:t>.4</w:t>
      </w:r>
      <w:r>
        <w:rPr>
          <w:rFonts w:hint="eastAsia" w:ascii="黑体" w:hAnsi="黑体" w:eastAsia="黑体"/>
          <w:bCs/>
          <w:color w:val="auto"/>
        </w:rPr>
        <w:t>条款享受评审中价格扣除。</w:t>
      </w:r>
    </w:p>
    <w:bookmarkEnd w:id="59"/>
    <w:p w14:paraId="036DD38D">
      <w:pPr>
        <w:pStyle w:val="30"/>
        <w:numPr>
          <w:ilvl w:val="1"/>
          <w:numId w:val="72"/>
        </w:numPr>
        <w:spacing w:line="360" w:lineRule="auto"/>
        <w:ind w:firstLineChars="0"/>
        <w:rPr>
          <w:rFonts w:ascii="黑体" w:hAnsi="黑体" w:eastAsia="黑体"/>
          <w:b/>
          <w:color w:val="auto"/>
          <w:szCs w:val="21"/>
        </w:rPr>
      </w:pPr>
      <w:r>
        <w:rPr>
          <w:rFonts w:hint="eastAsia" w:ascii="黑体" w:hAnsi="黑体" w:eastAsia="黑体"/>
          <w:b/>
          <w:color w:val="auto"/>
          <w:szCs w:val="21"/>
        </w:rPr>
        <w:t>投标人同时为小型、微型企业、监狱企业、残疾人福利性单位任两种或以上情况的，评审中只享受一次价格扣除，不重复进行价格扣除。</w:t>
      </w:r>
    </w:p>
    <w:bookmarkEnd w:id="60"/>
    <w:p w14:paraId="5EC7722E">
      <w:pPr>
        <w:pStyle w:val="30"/>
        <w:numPr>
          <w:ilvl w:val="1"/>
          <w:numId w:val="72"/>
        </w:numPr>
        <w:spacing w:line="360" w:lineRule="auto"/>
        <w:ind w:firstLineChars="0"/>
        <w:rPr>
          <w:rFonts w:ascii="黑体" w:hAnsi="黑体" w:eastAsia="黑体"/>
          <w:b/>
          <w:color w:val="auto"/>
        </w:rPr>
      </w:pPr>
      <w:r>
        <w:rPr>
          <w:rFonts w:hint="eastAsia" w:ascii="黑体" w:hAnsi="黑体" w:eastAsia="黑体"/>
          <w:b/>
          <w:color w:val="auto"/>
        </w:rPr>
        <w:t>节能产品、环境标志产品价格扣除：</w:t>
      </w:r>
    </w:p>
    <w:p w14:paraId="12F1F0C5">
      <w:pPr>
        <w:pStyle w:val="30"/>
        <w:numPr>
          <w:ilvl w:val="0"/>
          <w:numId w:val="76"/>
        </w:numPr>
        <w:spacing w:line="360" w:lineRule="auto"/>
        <w:ind w:left="709" w:hanging="709" w:firstLineChars="0"/>
        <w:rPr>
          <w:rFonts w:ascii="黑体" w:hAnsi="黑体" w:eastAsia="黑体"/>
          <w:color w:val="auto"/>
          <w:szCs w:val="21"/>
        </w:rPr>
      </w:pPr>
      <w:r>
        <w:rPr>
          <w:rFonts w:hint="eastAsia" w:ascii="黑体" w:hAnsi="黑体" w:eastAsia="黑体"/>
          <w:color w:val="auto"/>
          <w:szCs w:val="21"/>
        </w:rPr>
        <w:t>投标产品(针对非政府强制采购产品)纳入财政部、发展改革委颁发最新节能产品政府采购品目清单的，</w:t>
      </w:r>
      <w:r>
        <w:rPr>
          <w:rFonts w:hint="eastAsia" w:ascii="黑体" w:hAnsi="黑体" w:eastAsia="黑体"/>
          <w:b/>
          <w:color w:val="auto"/>
        </w:rPr>
        <w:t>对</w:t>
      </w:r>
      <w:r>
        <w:rPr>
          <w:rFonts w:hint="eastAsia" w:ascii="黑体" w:hAnsi="黑体" w:eastAsia="黑体"/>
          <w:b/>
          <w:color w:val="auto"/>
          <w:szCs w:val="21"/>
        </w:rPr>
        <w:t>节能</w:t>
      </w:r>
      <w:r>
        <w:rPr>
          <w:rFonts w:hint="eastAsia" w:ascii="黑体" w:hAnsi="黑体" w:eastAsia="黑体"/>
          <w:b/>
          <w:color w:val="auto"/>
        </w:rPr>
        <w:t>产品的价格给予1%的扣除</w:t>
      </w:r>
      <w:r>
        <w:rPr>
          <w:rFonts w:hint="eastAsia" w:ascii="黑体" w:hAnsi="黑体" w:eastAsia="黑体"/>
          <w:bCs/>
          <w:color w:val="auto"/>
        </w:rPr>
        <w:t>，用扣除后的价格参与评审。（</w:t>
      </w:r>
      <w:r>
        <w:rPr>
          <w:rFonts w:hint="eastAsia" w:ascii="黑体" w:hAnsi="黑体" w:eastAsia="黑体"/>
          <w:color w:val="auto"/>
          <w:szCs w:val="21"/>
        </w:rPr>
        <w:t>提供投标产品有效期内的节能产品认证证书复印件加盖投标人公章）。</w:t>
      </w:r>
    </w:p>
    <w:p w14:paraId="7FD36BDE">
      <w:pPr>
        <w:pStyle w:val="30"/>
        <w:numPr>
          <w:ilvl w:val="0"/>
          <w:numId w:val="76"/>
        </w:numPr>
        <w:spacing w:line="360" w:lineRule="auto"/>
        <w:ind w:left="709" w:hanging="709" w:firstLineChars="0"/>
        <w:rPr>
          <w:rFonts w:ascii="黑体" w:hAnsi="黑体" w:eastAsia="黑体"/>
          <w:color w:val="auto"/>
          <w:szCs w:val="21"/>
        </w:rPr>
      </w:pPr>
      <w:r>
        <w:rPr>
          <w:rFonts w:hint="eastAsia" w:ascii="黑体" w:hAnsi="黑体" w:eastAsia="黑体"/>
          <w:color w:val="auto"/>
          <w:szCs w:val="21"/>
        </w:rPr>
        <w:t>投标产品纳入财政部、环境保护部颁布最新环境标志产品政府采购品目清单的，</w:t>
      </w:r>
      <w:r>
        <w:rPr>
          <w:rFonts w:hint="eastAsia" w:ascii="黑体" w:hAnsi="黑体" w:eastAsia="黑体"/>
          <w:bCs/>
          <w:color w:val="auto"/>
        </w:rPr>
        <w:t>对</w:t>
      </w:r>
      <w:r>
        <w:rPr>
          <w:rFonts w:hint="eastAsia" w:ascii="黑体" w:hAnsi="黑体" w:eastAsia="黑体"/>
          <w:color w:val="auto"/>
          <w:szCs w:val="21"/>
        </w:rPr>
        <w:t>环境标志产品</w:t>
      </w:r>
      <w:r>
        <w:rPr>
          <w:rFonts w:hint="eastAsia" w:ascii="黑体" w:hAnsi="黑体" w:eastAsia="黑体"/>
          <w:bCs/>
          <w:color w:val="auto"/>
        </w:rPr>
        <w:t>的价格给予1%的扣除，用扣除后的价格参与评审。（</w:t>
      </w:r>
      <w:r>
        <w:rPr>
          <w:rFonts w:hint="eastAsia" w:ascii="黑体" w:hAnsi="黑体" w:eastAsia="黑体"/>
          <w:color w:val="auto"/>
          <w:szCs w:val="21"/>
        </w:rPr>
        <w:t>提供投标产品有效期内的环境标志产品认证证书复印件加盖投标人公章）。</w:t>
      </w:r>
    </w:p>
    <w:p w14:paraId="24241B1D">
      <w:pPr>
        <w:pStyle w:val="30"/>
        <w:numPr>
          <w:ilvl w:val="1"/>
          <w:numId w:val="72"/>
        </w:numPr>
        <w:spacing w:line="360" w:lineRule="auto"/>
        <w:ind w:firstLineChars="0"/>
        <w:rPr>
          <w:rFonts w:ascii="黑体" w:hAnsi="黑体" w:eastAsia="黑体"/>
          <w:bCs/>
          <w:color w:val="auto"/>
          <w:szCs w:val="21"/>
        </w:rPr>
      </w:pPr>
      <w:r>
        <w:rPr>
          <w:rFonts w:hint="eastAsia" w:ascii="黑体" w:hAnsi="黑体" w:eastAsia="黑体"/>
          <w:bCs/>
          <w:color w:val="auto"/>
          <w:szCs w:val="21"/>
        </w:rPr>
        <w:t>价格分应当采用低价优先法计算，即满足招标文件要求且投标价格最低的投标报价为评标基准价，其价格分为满分。其他投标人的价格分统一按照下列公式计算：</w:t>
      </w:r>
    </w:p>
    <w:p w14:paraId="4DEE60DA">
      <w:pPr>
        <w:pStyle w:val="30"/>
        <w:spacing w:line="360" w:lineRule="auto"/>
        <w:ind w:left="567" w:firstLine="0" w:firstLineChars="0"/>
        <w:jc w:val="left"/>
        <w:rPr>
          <w:rFonts w:ascii="黑体" w:hAnsi="黑体" w:eastAsia="黑体"/>
          <w:color w:val="auto"/>
        </w:rPr>
      </w:pPr>
      <w:r>
        <w:rPr>
          <w:rFonts w:hint="eastAsia" w:ascii="黑体" w:hAnsi="黑体" w:eastAsia="黑体"/>
          <w:bCs/>
          <w:color w:val="auto"/>
          <w:szCs w:val="21"/>
        </w:rPr>
        <w:t>投标人价格得分</w:t>
      </w:r>
      <w:r>
        <w:rPr>
          <w:rFonts w:ascii="黑体" w:hAnsi="黑体" w:eastAsia="黑体"/>
          <w:bCs/>
          <w:color w:val="auto"/>
          <w:szCs w:val="21"/>
        </w:rPr>
        <w:t>=(评标基准价／</w:t>
      </w:r>
      <w:r>
        <w:rPr>
          <w:rFonts w:hint="eastAsia" w:ascii="黑体" w:hAnsi="黑体" w:eastAsia="黑体"/>
          <w:bCs/>
          <w:color w:val="auto"/>
          <w:szCs w:val="21"/>
        </w:rPr>
        <w:t>投标报价</w:t>
      </w:r>
      <w:r>
        <w:rPr>
          <w:rFonts w:ascii="黑体" w:hAnsi="黑体" w:eastAsia="黑体"/>
          <w:bCs/>
          <w:color w:val="auto"/>
          <w:szCs w:val="21"/>
        </w:rPr>
        <w:t>)×</w:t>
      </w:r>
      <w:r>
        <w:rPr>
          <w:rFonts w:hint="eastAsia" w:ascii="黑体" w:hAnsi="黑体" w:eastAsia="黑体"/>
          <w:color w:val="auto"/>
        </w:rPr>
        <w:t>价格权值</w:t>
      </w:r>
      <w:r>
        <w:rPr>
          <w:rFonts w:ascii="黑体" w:hAnsi="黑体" w:eastAsia="黑体"/>
          <w:bCs/>
          <w:color w:val="auto"/>
          <w:szCs w:val="21"/>
        </w:rPr>
        <w:t>×100</w:t>
      </w:r>
    </w:p>
    <w:p w14:paraId="4F5EF581">
      <w:pPr>
        <w:spacing w:line="360" w:lineRule="auto"/>
        <w:ind w:firstLine="565" w:firstLineChars="280"/>
        <w:jc w:val="left"/>
        <w:rPr>
          <w:rFonts w:ascii="黑体" w:hAnsi="黑体" w:eastAsia="黑体"/>
          <w:bCs/>
          <w:color w:val="auto"/>
          <w:spacing w:val="-4"/>
          <w:szCs w:val="21"/>
        </w:rPr>
      </w:pPr>
      <w:r>
        <w:rPr>
          <w:rFonts w:hint="eastAsia" w:ascii="黑体" w:hAnsi="黑体" w:eastAsia="黑体"/>
          <w:bCs/>
          <w:color w:val="auto"/>
          <w:spacing w:val="-4"/>
          <w:szCs w:val="21"/>
        </w:rPr>
        <w:t>注：因落实政府采购政策进行价格调整的，以调整后的价格计算评标基准价和投标报价。</w:t>
      </w:r>
    </w:p>
    <w:p w14:paraId="0C3FD076">
      <w:pPr>
        <w:pStyle w:val="30"/>
        <w:numPr>
          <w:ilvl w:val="0"/>
          <w:numId w:val="65"/>
        </w:numPr>
        <w:tabs>
          <w:tab w:val="left" w:pos="426"/>
        </w:tabs>
        <w:spacing w:before="156" w:beforeLines="50" w:after="156" w:afterLines="50" w:line="360" w:lineRule="auto"/>
        <w:ind w:firstLineChars="0"/>
        <w:rPr>
          <w:rFonts w:ascii="黑体" w:hAnsi="黑体" w:eastAsia="黑体"/>
          <w:b/>
          <w:bCs/>
          <w:color w:val="auto"/>
          <w:szCs w:val="21"/>
        </w:rPr>
      </w:pPr>
      <w:r>
        <w:rPr>
          <w:rFonts w:hint="eastAsia" w:ascii="黑体" w:hAnsi="黑体" w:eastAsia="黑体"/>
          <w:b/>
          <w:bCs/>
          <w:color w:val="auto"/>
          <w:szCs w:val="21"/>
        </w:rPr>
        <w:t>商务技术及价格评分</w:t>
      </w:r>
      <w:r>
        <w:rPr>
          <w:rFonts w:hint="eastAsia" w:ascii="黑体" w:hAnsi="黑体" w:eastAsia="黑体"/>
          <w:b/>
          <w:bCs/>
          <w:color w:val="auto"/>
        </w:rPr>
        <w:t>权值</w:t>
      </w:r>
      <w:r>
        <w:rPr>
          <w:rFonts w:hint="eastAsia" w:ascii="黑体" w:hAnsi="黑体" w:eastAsia="黑体"/>
          <w:b/>
          <w:bCs/>
          <w:color w:val="auto"/>
          <w:szCs w:val="21"/>
        </w:rPr>
        <w:t>分配</w:t>
      </w:r>
    </w:p>
    <w:tbl>
      <w:tblPr>
        <w:tblStyle w:val="2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711"/>
        <w:gridCol w:w="1897"/>
        <w:gridCol w:w="1895"/>
        <w:gridCol w:w="1895"/>
        <w:gridCol w:w="1369"/>
      </w:tblGrid>
      <w:tr w14:paraId="01D08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976" w:type="pct"/>
            <w:vAlign w:val="center"/>
          </w:tcPr>
          <w:p w14:paraId="1588EA73">
            <w:pPr>
              <w:jc w:val="center"/>
              <w:rPr>
                <w:rFonts w:ascii="黑体" w:hAnsi="黑体" w:eastAsia="黑体"/>
                <w:color w:val="auto"/>
              </w:rPr>
            </w:pPr>
            <w:r>
              <w:rPr>
                <w:rFonts w:hint="eastAsia" w:ascii="黑体" w:hAnsi="黑体" w:eastAsia="黑体"/>
                <w:color w:val="auto"/>
              </w:rPr>
              <w:t>评分项目</w:t>
            </w:r>
          </w:p>
        </w:tc>
        <w:tc>
          <w:tcPr>
            <w:tcW w:w="1082" w:type="pct"/>
            <w:vAlign w:val="center"/>
          </w:tcPr>
          <w:p w14:paraId="0D3A81C9">
            <w:pPr>
              <w:jc w:val="center"/>
              <w:rPr>
                <w:rFonts w:ascii="黑体" w:hAnsi="黑体" w:eastAsia="黑体"/>
                <w:color w:val="auto"/>
              </w:rPr>
            </w:pPr>
            <w:r>
              <w:rPr>
                <w:rFonts w:hint="eastAsia" w:ascii="黑体" w:hAnsi="黑体" w:eastAsia="黑体"/>
                <w:color w:val="auto"/>
              </w:rPr>
              <w:t>价格部分</w:t>
            </w:r>
          </w:p>
        </w:tc>
        <w:tc>
          <w:tcPr>
            <w:tcW w:w="1081" w:type="pct"/>
            <w:vAlign w:val="center"/>
          </w:tcPr>
          <w:p w14:paraId="375C85B4">
            <w:pPr>
              <w:jc w:val="center"/>
              <w:rPr>
                <w:rFonts w:ascii="黑体" w:hAnsi="黑体" w:eastAsia="黑体"/>
                <w:color w:val="auto"/>
              </w:rPr>
            </w:pPr>
            <w:r>
              <w:rPr>
                <w:rFonts w:hint="eastAsia" w:ascii="黑体" w:hAnsi="黑体" w:eastAsia="黑体"/>
                <w:color w:val="auto"/>
              </w:rPr>
              <w:t>商务部分</w:t>
            </w:r>
          </w:p>
        </w:tc>
        <w:tc>
          <w:tcPr>
            <w:tcW w:w="1081" w:type="pct"/>
            <w:vAlign w:val="center"/>
          </w:tcPr>
          <w:p w14:paraId="028ADD42">
            <w:pPr>
              <w:jc w:val="center"/>
              <w:rPr>
                <w:rFonts w:ascii="黑体" w:hAnsi="黑体" w:eastAsia="黑体"/>
                <w:color w:val="auto"/>
              </w:rPr>
            </w:pPr>
            <w:r>
              <w:rPr>
                <w:rFonts w:hint="eastAsia" w:ascii="黑体" w:hAnsi="黑体" w:eastAsia="黑体"/>
                <w:color w:val="auto"/>
              </w:rPr>
              <w:t>技术部分</w:t>
            </w:r>
          </w:p>
        </w:tc>
        <w:tc>
          <w:tcPr>
            <w:tcW w:w="780" w:type="pct"/>
            <w:vAlign w:val="center"/>
          </w:tcPr>
          <w:p w14:paraId="345523CE">
            <w:pPr>
              <w:jc w:val="center"/>
              <w:rPr>
                <w:rFonts w:ascii="黑体" w:hAnsi="黑体" w:eastAsia="黑体"/>
                <w:color w:val="auto"/>
              </w:rPr>
            </w:pPr>
            <w:r>
              <w:rPr>
                <w:rFonts w:hint="eastAsia" w:ascii="黑体" w:hAnsi="黑体" w:eastAsia="黑体"/>
                <w:color w:val="auto"/>
              </w:rPr>
              <w:t>合计</w:t>
            </w:r>
          </w:p>
        </w:tc>
      </w:tr>
      <w:tr w14:paraId="2521B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976" w:type="pct"/>
            <w:vAlign w:val="center"/>
          </w:tcPr>
          <w:p w14:paraId="096FF5A2">
            <w:pPr>
              <w:jc w:val="center"/>
              <w:rPr>
                <w:rFonts w:ascii="黑体" w:hAnsi="黑体" w:eastAsia="黑体"/>
                <w:color w:val="auto"/>
              </w:rPr>
            </w:pPr>
            <w:r>
              <w:rPr>
                <w:rFonts w:hint="eastAsia" w:ascii="黑体" w:hAnsi="黑体" w:eastAsia="黑体"/>
                <w:color w:val="auto"/>
              </w:rPr>
              <w:t>权值（%）</w:t>
            </w:r>
          </w:p>
        </w:tc>
        <w:tc>
          <w:tcPr>
            <w:tcW w:w="1082" w:type="pct"/>
            <w:vAlign w:val="center"/>
          </w:tcPr>
          <w:p w14:paraId="524ED0A3">
            <w:pPr>
              <w:jc w:val="center"/>
              <w:rPr>
                <w:rFonts w:ascii="黑体" w:hAnsi="黑体" w:eastAsia="黑体"/>
                <w:color w:val="auto"/>
              </w:rPr>
            </w:pPr>
            <w:r>
              <w:rPr>
                <w:rFonts w:hint="eastAsia" w:ascii="黑体" w:hAnsi="黑体" w:eastAsia="黑体"/>
                <w:color w:val="auto"/>
              </w:rPr>
              <w:t>30%</w:t>
            </w:r>
          </w:p>
        </w:tc>
        <w:tc>
          <w:tcPr>
            <w:tcW w:w="1081" w:type="pct"/>
            <w:vAlign w:val="center"/>
          </w:tcPr>
          <w:p w14:paraId="5AD7F28D">
            <w:pPr>
              <w:jc w:val="center"/>
              <w:rPr>
                <w:rFonts w:ascii="黑体" w:hAnsi="黑体" w:eastAsia="黑体"/>
                <w:color w:val="auto"/>
              </w:rPr>
            </w:pPr>
            <w:r>
              <w:rPr>
                <w:rFonts w:hint="eastAsia" w:ascii="黑体" w:hAnsi="黑体" w:eastAsia="黑体"/>
                <w:color w:val="auto"/>
              </w:rPr>
              <w:t>20%</w:t>
            </w:r>
          </w:p>
        </w:tc>
        <w:tc>
          <w:tcPr>
            <w:tcW w:w="1081" w:type="pct"/>
            <w:vAlign w:val="center"/>
          </w:tcPr>
          <w:p w14:paraId="709ED575">
            <w:pPr>
              <w:jc w:val="center"/>
              <w:rPr>
                <w:rFonts w:ascii="黑体" w:hAnsi="黑体" w:eastAsia="黑体"/>
                <w:i/>
                <w:color w:val="auto"/>
              </w:rPr>
            </w:pPr>
            <w:r>
              <w:rPr>
                <w:rFonts w:hint="eastAsia" w:ascii="黑体" w:hAnsi="黑体" w:eastAsia="黑体"/>
                <w:color w:val="auto"/>
              </w:rPr>
              <w:t>50%</w:t>
            </w:r>
          </w:p>
        </w:tc>
        <w:tc>
          <w:tcPr>
            <w:tcW w:w="780" w:type="pct"/>
          </w:tcPr>
          <w:p w14:paraId="0108AC5A">
            <w:pPr>
              <w:jc w:val="center"/>
              <w:rPr>
                <w:rFonts w:ascii="黑体" w:hAnsi="黑体" w:eastAsia="黑体"/>
                <w:color w:val="auto"/>
              </w:rPr>
            </w:pPr>
            <w:r>
              <w:rPr>
                <w:rFonts w:hint="eastAsia" w:ascii="黑体" w:hAnsi="黑体" w:eastAsia="黑体"/>
                <w:color w:val="auto"/>
              </w:rPr>
              <w:t>100%</w:t>
            </w:r>
          </w:p>
        </w:tc>
      </w:tr>
    </w:tbl>
    <w:p w14:paraId="1C89E506">
      <w:pPr>
        <w:pStyle w:val="30"/>
        <w:numPr>
          <w:ilvl w:val="0"/>
          <w:numId w:val="77"/>
        </w:numPr>
        <w:spacing w:before="156" w:beforeLines="50" w:line="360" w:lineRule="auto"/>
        <w:ind w:firstLineChars="0"/>
        <w:rPr>
          <w:rFonts w:ascii="黑体" w:hAnsi="黑体" w:eastAsia="黑体"/>
          <w:bCs/>
          <w:color w:val="auto"/>
          <w:szCs w:val="21"/>
        </w:rPr>
      </w:pPr>
      <w:r>
        <w:rPr>
          <w:rFonts w:hint="eastAsia" w:ascii="黑体" w:hAnsi="黑体" w:eastAsia="黑体"/>
          <w:bCs/>
          <w:color w:val="auto"/>
          <w:szCs w:val="21"/>
        </w:rPr>
        <w:t>综合得分＝商务得分＋技术得分＋价格得分</w:t>
      </w:r>
    </w:p>
    <w:p w14:paraId="6A990AAF">
      <w:pPr>
        <w:pStyle w:val="30"/>
        <w:numPr>
          <w:ilvl w:val="0"/>
          <w:numId w:val="65"/>
        </w:numPr>
        <w:tabs>
          <w:tab w:val="left" w:pos="426"/>
        </w:tabs>
        <w:spacing w:line="360" w:lineRule="auto"/>
        <w:ind w:firstLineChars="0"/>
        <w:rPr>
          <w:rFonts w:ascii="黑体" w:hAnsi="黑体" w:eastAsia="黑体"/>
          <w:b/>
          <w:bCs/>
          <w:color w:val="auto"/>
          <w:szCs w:val="21"/>
        </w:rPr>
      </w:pPr>
      <w:r>
        <w:rPr>
          <w:rFonts w:hint="eastAsia" w:ascii="黑体" w:hAnsi="黑体" w:eastAsia="黑体"/>
          <w:b/>
          <w:bCs/>
          <w:color w:val="auto"/>
          <w:szCs w:val="21"/>
        </w:rPr>
        <w:t>中标候选人</w:t>
      </w:r>
    </w:p>
    <w:p w14:paraId="69332FAA">
      <w:pPr>
        <w:pStyle w:val="30"/>
        <w:numPr>
          <w:ilvl w:val="1"/>
          <w:numId w:val="78"/>
        </w:numPr>
        <w:spacing w:line="360" w:lineRule="auto"/>
        <w:ind w:firstLineChars="0"/>
        <w:rPr>
          <w:rFonts w:ascii="黑体" w:hAnsi="黑体" w:eastAsia="黑体"/>
          <w:bCs/>
          <w:color w:val="auto"/>
          <w:szCs w:val="21"/>
        </w:rPr>
      </w:pPr>
      <w:r>
        <w:rPr>
          <w:rFonts w:hint="eastAsia" w:ascii="黑体" w:hAnsi="黑体" w:eastAsia="黑体"/>
          <w:bCs/>
          <w:color w:val="auto"/>
          <w:szCs w:val="21"/>
        </w:rPr>
        <w:t>评标委员会将根据各投标人的评标排序，依次推荐本项目的中标候选人，起草并签署评标报告。本项目评标委员会共推荐</w:t>
      </w:r>
      <w:r>
        <w:rPr>
          <w:rFonts w:ascii="黑体" w:hAnsi="黑体" w:eastAsia="黑体"/>
          <w:bCs/>
          <w:color w:val="auto"/>
          <w:szCs w:val="21"/>
          <w:u w:val="single"/>
        </w:rPr>
        <w:t>2</w:t>
      </w:r>
      <w:r>
        <w:rPr>
          <w:rFonts w:hint="eastAsia" w:ascii="黑体" w:hAnsi="黑体" w:eastAsia="黑体"/>
          <w:bCs/>
          <w:color w:val="auto"/>
          <w:szCs w:val="21"/>
        </w:rPr>
        <w:t>名中标候选人。</w:t>
      </w:r>
    </w:p>
    <w:p w14:paraId="7FF8E01B">
      <w:pPr>
        <w:pStyle w:val="30"/>
        <w:numPr>
          <w:ilvl w:val="1"/>
          <w:numId w:val="78"/>
        </w:numPr>
        <w:tabs>
          <w:tab w:val="left" w:pos="567"/>
          <w:tab w:val="left" w:pos="709"/>
        </w:tabs>
        <w:spacing w:line="360" w:lineRule="auto"/>
        <w:ind w:firstLineChars="0"/>
        <w:rPr>
          <w:rFonts w:ascii="黑体" w:hAnsi="黑体" w:eastAsia="黑体"/>
          <w:bCs/>
          <w:color w:val="auto"/>
          <w:szCs w:val="21"/>
        </w:rPr>
      </w:pPr>
      <w:r>
        <w:rPr>
          <w:rFonts w:hint="eastAsia" w:ascii="黑体" w:hAnsi="黑体" w:eastAsia="黑体"/>
          <w:bCs/>
          <w:color w:val="auto"/>
          <w:szCs w:val="21"/>
        </w:rPr>
        <w:t>使用综合评分法的采购项目：提供相同品牌产品或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Start w:id="61" w:name="_Hlk81183397"/>
      <w:r>
        <w:rPr>
          <w:rFonts w:hint="eastAsia" w:ascii="黑体" w:hAnsi="黑体" w:eastAsia="黑体"/>
          <w:bCs/>
          <w:color w:val="auto"/>
          <w:szCs w:val="21"/>
        </w:rPr>
        <w:t>非单一产品采购项目，采购人将根据采购项目技术构成、产品价格比重等合理确定核心产品，并在招标文件中载明。多家投标人提供的核心产品品牌相同的，按上述规定处理。</w:t>
      </w:r>
    </w:p>
    <w:bookmarkEnd w:id="61"/>
    <w:p w14:paraId="1B9A8549">
      <w:pPr>
        <w:pStyle w:val="30"/>
        <w:numPr>
          <w:ilvl w:val="1"/>
          <w:numId w:val="78"/>
        </w:numPr>
        <w:tabs>
          <w:tab w:val="left" w:pos="567"/>
          <w:tab w:val="left" w:pos="709"/>
        </w:tabs>
        <w:spacing w:line="360" w:lineRule="auto"/>
        <w:ind w:firstLineChars="0"/>
        <w:rPr>
          <w:rFonts w:ascii="黑体" w:hAnsi="黑体" w:eastAsia="黑体"/>
          <w:color w:val="auto"/>
        </w:rPr>
      </w:pPr>
      <w:r>
        <w:rPr>
          <w:rFonts w:hint="eastAsia" w:ascii="黑体" w:hAnsi="黑体" w:eastAsia="黑体"/>
          <w:bCs/>
          <w:color w:val="auto"/>
          <w:szCs w:val="21"/>
        </w:rPr>
        <w:t>采</w:t>
      </w:r>
      <w:r>
        <w:rPr>
          <w:rFonts w:ascii="黑体" w:hAnsi="黑体" w:eastAsia="黑体"/>
          <w:bCs/>
          <w:color w:val="auto"/>
          <w:szCs w:val="21"/>
        </w:rPr>
        <w:t>用综合评分法的，</w:t>
      </w:r>
      <w:r>
        <w:rPr>
          <w:rFonts w:hint="eastAsia" w:ascii="黑体" w:hAnsi="黑体" w:eastAsia="黑体"/>
          <w:bCs/>
          <w:color w:val="auto"/>
          <w:szCs w:val="21"/>
        </w:rPr>
        <w:t>评审结果</w:t>
      </w:r>
      <w:r>
        <w:rPr>
          <w:rFonts w:ascii="黑体" w:hAnsi="黑体" w:eastAsia="黑体"/>
          <w:bCs/>
          <w:color w:val="auto"/>
          <w:szCs w:val="21"/>
        </w:rPr>
        <w:t>按评审后得分由高到低的顺序排列。得分相同的，按投标报价由低到高顺序排列。</w:t>
      </w:r>
      <w:r>
        <w:rPr>
          <w:rFonts w:hint="eastAsia" w:ascii="黑体" w:hAnsi="黑体" w:eastAsia="黑体"/>
          <w:bCs/>
          <w:color w:val="auto"/>
          <w:szCs w:val="21"/>
        </w:rPr>
        <w:t>得分且投标报价相同并列的。投标文件满足招标文件全部实质性要求，且按照评审因素的量化指标评审得分最高的投标人为排名第一的中标候选人。</w:t>
      </w:r>
    </w:p>
    <w:p w14:paraId="1917B456">
      <w:pPr>
        <w:pStyle w:val="30"/>
        <w:pageBreakBefore/>
        <w:numPr>
          <w:ilvl w:val="0"/>
          <w:numId w:val="79"/>
        </w:numPr>
        <w:spacing w:before="156" w:beforeLines="50" w:after="312" w:afterLines="100" w:line="360" w:lineRule="auto"/>
        <w:ind w:left="422" w:hanging="422" w:hangingChars="200"/>
        <w:rPr>
          <w:rFonts w:ascii="黑体" w:hAnsi="黑体" w:eastAsia="黑体"/>
          <w:b/>
          <w:bCs/>
          <w:color w:val="auto"/>
          <w:szCs w:val="21"/>
        </w:rPr>
      </w:pPr>
      <w:r>
        <w:rPr>
          <w:rFonts w:hint="eastAsia" w:ascii="黑体" w:hAnsi="黑体" w:eastAsia="黑体"/>
          <w:b/>
          <w:bCs/>
          <w:color w:val="auto"/>
          <w:szCs w:val="21"/>
        </w:rPr>
        <w:t>附表一</w:t>
      </w:r>
      <w:r>
        <w:rPr>
          <w:rFonts w:ascii="黑体" w:hAnsi="黑体" w:eastAsia="黑体"/>
          <w:b/>
          <w:bCs/>
          <w:color w:val="auto"/>
          <w:szCs w:val="21"/>
        </w:rPr>
        <w:t xml:space="preserve"> </w:t>
      </w:r>
      <w:bookmarkStart w:id="62" w:name="_Hlk79422957"/>
      <w:r>
        <w:rPr>
          <w:rFonts w:hint="eastAsia" w:ascii="黑体" w:hAnsi="黑体" w:eastAsia="黑体"/>
          <w:b/>
          <w:bCs/>
          <w:color w:val="auto"/>
          <w:szCs w:val="21"/>
        </w:rPr>
        <w:t>资格性审查表</w:t>
      </w:r>
      <w:bookmarkEnd w:id="62"/>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2421"/>
        <w:gridCol w:w="5571"/>
      </w:tblGrid>
      <w:tr w14:paraId="4433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4332399D">
            <w:pPr>
              <w:spacing w:line="360" w:lineRule="auto"/>
              <w:jc w:val="center"/>
              <w:rPr>
                <w:rFonts w:ascii="黑体" w:hAnsi="黑体" w:eastAsia="黑体"/>
                <w:b/>
                <w:color w:val="auto"/>
                <w:szCs w:val="21"/>
              </w:rPr>
            </w:pPr>
            <w:r>
              <w:rPr>
                <w:rFonts w:hint="eastAsia" w:ascii="黑体" w:hAnsi="黑体" w:eastAsia="黑体"/>
                <w:b/>
                <w:color w:val="auto"/>
                <w:szCs w:val="21"/>
              </w:rPr>
              <w:t>序号</w:t>
            </w:r>
          </w:p>
        </w:tc>
        <w:tc>
          <w:tcPr>
            <w:tcW w:w="4558" w:type="pct"/>
            <w:gridSpan w:val="2"/>
            <w:tcBorders>
              <w:tl2br w:val="nil"/>
            </w:tcBorders>
            <w:vAlign w:val="center"/>
          </w:tcPr>
          <w:p w14:paraId="40DEE04D">
            <w:pPr>
              <w:spacing w:line="360" w:lineRule="auto"/>
              <w:jc w:val="center"/>
              <w:rPr>
                <w:rFonts w:ascii="黑体" w:hAnsi="黑体" w:eastAsia="黑体"/>
                <w:b/>
                <w:color w:val="auto"/>
                <w:szCs w:val="21"/>
              </w:rPr>
            </w:pPr>
            <w:r>
              <w:rPr>
                <w:rFonts w:hint="eastAsia" w:ascii="黑体" w:hAnsi="黑体" w:eastAsia="黑体"/>
                <w:b/>
                <w:color w:val="auto"/>
                <w:szCs w:val="21"/>
              </w:rPr>
              <w:t>评审内容</w:t>
            </w:r>
          </w:p>
        </w:tc>
      </w:tr>
      <w:tr w14:paraId="3665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2C5A0310">
            <w:pPr>
              <w:spacing w:line="360" w:lineRule="auto"/>
              <w:jc w:val="center"/>
              <w:rPr>
                <w:rFonts w:ascii="黑体" w:hAnsi="黑体" w:eastAsia="黑体"/>
                <w:bCs/>
                <w:color w:val="auto"/>
                <w:szCs w:val="21"/>
              </w:rPr>
            </w:pPr>
            <w:r>
              <w:rPr>
                <w:rFonts w:hint="eastAsia" w:ascii="黑体" w:hAnsi="黑体" w:eastAsia="黑体"/>
                <w:bCs/>
                <w:color w:val="auto"/>
                <w:szCs w:val="21"/>
              </w:rPr>
              <w:t>1</w:t>
            </w:r>
          </w:p>
        </w:tc>
        <w:tc>
          <w:tcPr>
            <w:tcW w:w="4558" w:type="pct"/>
            <w:gridSpan w:val="2"/>
            <w:tcBorders>
              <w:tl2br w:val="nil"/>
            </w:tcBorders>
            <w:vAlign w:val="center"/>
          </w:tcPr>
          <w:p w14:paraId="362F777A">
            <w:pPr>
              <w:spacing w:line="360" w:lineRule="auto"/>
              <w:jc w:val="left"/>
              <w:rPr>
                <w:rFonts w:ascii="黑体" w:hAnsi="黑体" w:eastAsia="黑体"/>
                <w:bCs/>
                <w:color w:val="auto"/>
                <w:szCs w:val="21"/>
              </w:rPr>
            </w:pPr>
            <w:r>
              <w:rPr>
                <w:rFonts w:hint="eastAsia" w:ascii="黑体" w:hAnsi="黑体" w:eastAsia="黑体"/>
                <w:color w:val="auto"/>
                <w:szCs w:val="21"/>
              </w:rPr>
              <w:t>投标供应商应具备《中华人民共和国政府采购法》第二十二条规定的条件，提供下列材料：</w:t>
            </w:r>
          </w:p>
        </w:tc>
      </w:tr>
      <w:tr w14:paraId="70B7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5510BE9A">
            <w:pPr>
              <w:jc w:val="center"/>
              <w:rPr>
                <w:rFonts w:ascii="黑体" w:hAnsi="黑体" w:eastAsia="黑体"/>
                <w:color w:val="auto"/>
                <w:szCs w:val="21"/>
              </w:rPr>
            </w:pPr>
            <w:r>
              <w:rPr>
                <w:rFonts w:hint="eastAsia" w:ascii="黑体" w:hAnsi="黑体" w:eastAsia="黑体"/>
                <w:color w:val="auto"/>
                <w:szCs w:val="21"/>
              </w:rPr>
              <w:t>1</w:t>
            </w:r>
            <w:r>
              <w:rPr>
                <w:rFonts w:ascii="黑体" w:hAnsi="黑体" w:eastAsia="黑体"/>
                <w:color w:val="auto"/>
                <w:szCs w:val="21"/>
              </w:rPr>
              <w:t>.1</w:t>
            </w:r>
          </w:p>
        </w:tc>
        <w:tc>
          <w:tcPr>
            <w:tcW w:w="1381" w:type="pct"/>
            <w:tcBorders>
              <w:tl2br w:val="nil"/>
            </w:tcBorders>
            <w:vAlign w:val="center"/>
          </w:tcPr>
          <w:p w14:paraId="5F8E8F10">
            <w:pPr>
              <w:spacing w:line="360" w:lineRule="auto"/>
              <w:jc w:val="left"/>
              <w:rPr>
                <w:rFonts w:ascii="黑体" w:hAnsi="黑体" w:eastAsia="黑体"/>
                <w:color w:val="auto"/>
                <w:szCs w:val="21"/>
              </w:rPr>
            </w:pPr>
            <w:r>
              <w:rPr>
                <w:rFonts w:hint="eastAsia" w:ascii="黑体" w:hAnsi="黑体" w:eastAsia="黑体"/>
                <w:color w:val="auto"/>
                <w:szCs w:val="21"/>
              </w:rPr>
              <w:t>具有独立承担民事责任的能力</w:t>
            </w:r>
          </w:p>
        </w:tc>
        <w:tc>
          <w:tcPr>
            <w:tcW w:w="3177" w:type="pct"/>
            <w:vAlign w:val="center"/>
          </w:tcPr>
          <w:p w14:paraId="1BC1E504">
            <w:pPr>
              <w:widowControl/>
              <w:shd w:val="clear" w:color="auto" w:fill="FFFFFF"/>
              <w:spacing w:line="360" w:lineRule="auto"/>
              <w:textAlignment w:val="baseline"/>
              <w:rPr>
                <w:rFonts w:ascii="黑体" w:hAnsi="黑体" w:eastAsia="黑体" w:cs="宋体"/>
                <w:color w:val="auto"/>
                <w:kern w:val="0"/>
                <w:szCs w:val="21"/>
              </w:rPr>
            </w:pPr>
            <w:r>
              <w:rPr>
                <w:rFonts w:hint="eastAsia" w:ascii="黑体" w:hAnsi="黑体" w:eastAsia="黑体" w:cs="宋体"/>
                <w:color w:val="auto"/>
                <w:kern w:val="0"/>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 其规定。（分支机构投标，须取得具有法人资格的总公司（总所）出具给分支机构的授权书，并 提供总公司（总所）和分支机构的营业执照（执业许可证）复印件。已由总公司（总所）授权的 ，总公司（总所）取得的相关资质证书对分支机构有效，法律法规或者行业另有规定的除外。）</w:t>
            </w:r>
          </w:p>
        </w:tc>
      </w:tr>
      <w:tr w14:paraId="2A43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245359E3">
            <w:pPr>
              <w:jc w:val="center"/>
              <w:rPr>
                <w:rFonts w:ascii="黑体" w:hAnsi="黑体" w:eastAsia="黑体"/>
                <w:color w:val="auto"/>
                <w:szCs w:val="21"/>
              </w:rPr>
            </w:pPr>
            <w:r>
              <w:rPr>
                <w:rFonts w:ascii="黑体" w:hAnsi="黑体" w:eastAsia="黑体"/>
                <w:color w:val="auto"/>
                <w:szCs w:val="21"/>
              </w:rPr>
              <w:t>1.</w:t>
            </w:r>
            <w:r>
              <w:rPr>
                <w:rFonts w:hint="eastAsia" w:ascii="黑体" w:hAnsi="黑体" w:eastAsia="黑体"/>
                <w:color w:val="auto"/>
                <w:szCs w:val="21"/>
              </w:rPr>
              <w:t>2</w:t>
            </w:r>
          </w:p>
        </w:tc>
        <w:tc>
          <w:tcPr>
            <w:tcW w:w="1381" w:type="pct"/>
            <w:tcBorders>
              <w:tl2br w:val="nil"/>
            </w:tcBorders>
            <w:vAlign w:val="center"/>
          </w:tcPr>
          <w:p w14:paraId="4DC3E2D9">
            <w:pPr>
              <w:spacing w:line="360" w:lineRule="auto"/>
              <w:jc w:val="left"/>
              <w:rPr>
                <w:rFonts w:ascii="黑体" w:hAnsi="黑体" w:eastAsia="黑体"/>
                <w:color w:val="auto"/>
                <w:szCs w:val="21"/>
              </w:rPr>
            </w:pPr>
            <w:r>
              <w:rPr>
                <w:rFonts w:hint="eastAsia" w:ascii="黑体" w:hAnsi="黑体" w:eastAsia="黑体" w:cs="宋体"/>
                <w:color w:val="auto"/>
                <w:kern w:val="0"/>
                <w:szCs w:val="21"/>
              </w:rPr>
              <w:t>有依法缴纳税收和社会保障资金的良好记录</w:t>
            </w:r>
          </w:p>
        </w:tc>
        <w:tc>
          <w:tcPr>
            <w:tcW w:w="3177" w:type="pct"/>
            <w:vAlign w:val="center"/>
          </w:tcPr>
          <w:p w14:paraId="7C9F06C6">
            <w:pPr>
              <w:spacing w:line="360" w:lineRule="auto"/>
              <w:jc w:val="left"/>
              <w:rPr>
                <w:rFonts w:ascii="黑体" w:hAnsi="黑体" w:eastAsia="黑体"/>
                <w:bCs/>
                <w:color w:val="auto"/>
                <w:szCs w:val="21"/>
              </w:rPr>
            </w:pPr>
            <w:r>
              <w:rPr>
                <w:rFonts w:hint="eastAsia" w:ascii="黑体" w:hAnsi="黑体" w:eastAsia="黑体" w:cs="宋体"/>
                <w:color w:val="auto"/>
                <w:kern w:val="0"/>
                <w:szCs w:val="21"/>
              </w:rPr>
              <w:t>提供资格声明函，详见投标文件格式。</w:t>
            </w:r>
          </w:p>
        </w:tc>
      </w:tr>
      <w:tr w14:paraId="0DE9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7082242A">
            <w:pPr>
              <w:jc w:val="center"/>
              <w:rPr>
                <w:rFonts w:ascii="黑体" w:hAnsi="黑体" w:eastAsia="黑体"/>
                <w:color w:val="auto"/>
                <w:szCs w:val="21"/>
              </w:rPr>
            </w:pPr>
            <w:r>
              <w:rPr>
                <w:rFonts w:ascii="黑体" w:hAnsi="黑体" w:eastAsia="黑体"/>
                <w:color w:val="auto"/>
                <w:szCs w:val="21"/>
              </w:rPr>
              <w:t>1.3</w:t>
            </w:r>
          </w:p>
        </w:tc>
        <w:tc>
          <w:tcPr>
            <w:tcW w:w="1381" w:type="pct"/>
            <w:tcBorders>
              <w:tl2br w:val="nil"/>
            </w:tcBorders>
            <w:vAlign w:val="center"/>
          </w:tcPr>
          <w:p w14:paraId="38D3002E">
            <w:pPr>
              <w:spacing w:line="360" w:lineRule="auto"/>
              <w:jc w:val="left"/>
              <w:rPr>
                <w:rFonts w:ascii="黑体" w:hAnsi="黑体" w:eastAsia="黑体"/>
                <w:color w:val="auto"/>
                <w:szCs w:val="21"/>
              </w:rPr>
            </w:pPr>
            <w:r>
              <w:rPr>
                <w:rFonts w:hint="eastAsia" w:ascii="黑体" w:hAnsi="黑体" w:eastAsia="黑体" w:cs="宋体"/>
                <w:color w:val="auto"/>
                <w:kern w:val="0"/>
                <w:szCs w:val="21"/>
              </w:rPr>
              <w:t>具有良好的商业信誉和健全的财务会计制度</w:t>
            </w:r>
          </w:p>
        </w:tc>
        <w:tc>
          <w:tcPr>
            <w:tcW w:w="3177" w:type="pct"/>
            <w:vAlign w:val="center"/>
          </w:tcPr>
          <w:p w14:paraId="6FAB502D">
            <w:pPr>
              <w:spacing w:line="360" w:lineRule="auto"/>
              <w:jc w:val="left"/>
              <w:rPr>
                <w:rFonts w:ascii="黑体" w:hAnsi="黑体" w:eastAsia="黑体"/>
                <w:bCs/>
                <w:color w:val="auto"/>
                <w:szCs w:val="21"/>
              </w:rPr>
            </w:pPr>
            <w:r>
              <w:rPr>
                <w:rFonts w:hint="eastAsia" w:ascii="黑体" w:hAnsi="黑体" w:eastAsia="黑体" w:cs="宋体"/>
                <w:color w:val="auto"/>
                <w:kern w:val="0"/>
                <w:szCs w:val="21"/>
              </w:rPr>
              <w:t>提供资格声明函，详见投标文件格式。</w:t>
            </w:r>
          </w:p>
        </w:tc>
      </w:tr>
      <w:tr w14:paraId="2B17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4FFE140B">
            <w:pPr>
              <w:jc w:val="center"/>
              <w:rPr>
                <w:rFonts w:ascii="黑体" w:hAnsi="黑体" w:eastAsia="黑体"/>
                <w:color w:val="auto"/>
                <w:szCs w:val="21"/>
              </w:rPr>
            </w:pPr>
            <w:r>
              <w:rPr>
                <w:rFonts w:ascii="黑体" w:hAnsi="黑体" w:eastAsia="黑体"/>
                <w:color w:val="auto"/>
                <w:szCs w:val="21"/>
              </w:rPr>
              <w:t>1.4</w:t>
            </w:r>
          </w:p>
        </w:tc>
        <w:tc>
          <w:tcPr>
            <w:tcW w:w="1381" w:type="pct"/>
            <w:tcBorders>
              <w:tl2br w:val="nil"/>
            </w:tcBorders>
            <w:vAlign w:val="center"/>
          </w:tcPr>
          <w:p w14:paraId="36E9466E">
            <w:pPr>
              <w:spacing w:line="360" w:lineRule="auto"/>
              <w:jc w:val="left"/>
              <w:rPr>
                <w:rFonts w:ascii="黑体" w:hAnsi="黑体" w:eastAsia="黑体"/>
                <w:color w:val="auto"/>
                <w:szCs w:val="21"/>
              </w:rPr>
            </w:pPr>
            <w:r>
              <w:rPr>
                <w:rFonts w:hint="eastAsia" w:ascii="黑体" w:hAnsi="黑体" w:eastAsia="黑体"/>
                <w:color w:val="auto"/>
                <w:szCs w:val="21"/>
              </w:rPr>
              <w:t>履行合同所必须的设备和专业技术能力</w:t>
            </w:r>
          </w:p>
        </w:tc>
        <w:tc>
          <w:tcPr>
            <w:tcW w:w="3177" w:type="pct"/>
            <w:vAlign w:val="center"/>
          </w:tcPr>
          <w:p w14:paraId="3D62AF60">
            <w:pPr>
              <w:spacing w:line="360" w:lineRule="auto"/>
              <w:jc w:val="left"/>
              <w:rPr>
                <w:rFonts w:ascii="黑体" w:hAnsi="黑体" w:eastAsia="黑体"/>
                <w:bCs/>
                <w:color w:val="auto"/>
                <w:szCs w:val="21"/>
              </w:rPr>
            </w:pPr>
            <w:r>
              <w:rPr>
                <w:rFonts w:hint="eastAsia" w:ascii="黑体" w:hAnsi="黑体" w:eastAsia="黑体"/>
                <w:bCs/>
                <w:color w:val="auto"/>
                <w:szCs w:val="21"/>
              </w:rPr>
              <w:t>提供资格声明函，详见投标文件格式。</w:t>
            </w:r>
          </w:p>
        </w:tc>
      </w:tr>
      <w:tr w14:paraId="5234F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0386C408">
            <w:pPr>
              <w:jc w:val="center"/>
              <w:rPr>
                <w:rFonts w:ascii="黑体" w:hAnsi="黑体" w:eastAsia="黑体"/>
                <w:color w:val="auto"/>
                <w:szCs w:val="21"/>
              </w:rPr>
            </w:pPr>
            <w:r>
              <w:rPr>
                <w:rFonts w:ascii="黑体" w:hAnsi="黑体" w:eastAsia="黑体"/>
                <w:color w:val="auto"/>
                <w:szCs w:val="21"/>
              </w:rPr>
              <w:t>1.</w:t>
            </w:r>
            <w:r>
              <w:rPr>
                <w:rFonts w:hint="eastAsia" w:ascii="黑体" w:hAnsi="黑体" w:eastAsia="黑体"/>
                <w:color w:val="auto"/>
                <w:szCs w:val="21"/>
              </w:rPr>
              <w:t>5</w:t>
            </w:r>
          </w:p>
        </w:tc>
        <w:tc>
          <w:tcPr>
            <w:tcW w:w="1381" w:type="pct"/>
            <w:tcBorders>
              <w:tl2br w:val="nil"/>
            </w:tcBorders>
            <w:vAlign w:val="center"/>
          </w:tcPr>
          <w:p w14:paraId="5BD252CA">
            <w:pPr>
              <w:spacing w:line="360" w:lineRule="auto"/>
              <w:jc w:val="left"/>
              <w:rPr>
                <w:rFonts w:ascii="黑体" w:hAnsi="黑体" w:eastAsia="黑体" w:cs="Times New Roman"/>
                <w:color w:val="auto"/>
                <w:szCs w:val="21"/>
              </w:rPr>
            </w:pPr>
            <w:r>
              <w:rPr>
                <w:rFonts w:hint="eastAsia" w:ascii="黑体" w:hAnsi="黑体" w:eastAsia="黑体" w:cs="Times New Roman"/>
                <w:color w:val="auto"/>
                <w:szCs w:val="21"/>
              </w:rPr>
              <w:t>参加采购活动前3年内，在经营活动中没有重大违法记录：</w:t>
            </w:r>
          </w:p>
        </w:tc>
        <w:tc>
          <w:tcPr>
            <w:tcW w:w="3177" w:type="pct"/>
            <w:vAlign w:val="center"/>
          </w:tcPr>
          <w:p w14:paraId="1606F675">
            <w:pPr>
              <w:spacing w:line="360" w:lineRule="auto"/>
              <w:rPr>
                <w:rFonts w:ascii="黑体" w:hAnsi="黑体" w:eastAsia="黑体"/>
                <w:bCs/>
                <w:color w:val="auto"/>
                <w:szCs w:val="21"/>
              </w:rPr>
            </w:pPr>
            <w:r>
              <w:rPr>
                <w:rFonts w:hint="eastAsia" w:ascii="黑体" w:hAnsi="黑体" w:eastAsia="黑体"/>
                <w:bCs/>
                <w:color w:val="auto"/>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662B96C">
            <w:pPr>
              <w:spacing w:line="360" w:lineRule="auto"/>
              <w:rPr>
                <w:rFonts w:ascii="黑体" w:hAnsi="黑体" w:eastAsia="黑体"/>
                <w:bCs/>
                <w:color w:val="auto"/>
                <w:szCs w:val="21"/>
              </w:rPr>
            </w:pPr>
            <w:r>
              <w:rPr>
                <w:rFonts w:hint="eastAsia" w:ascii="黑体" w:hAnsi="黑体" w:eastAsia="黑体"/>
                <w:bCs/>
                <w:color w:val="auto"/>
                <w:szCs w:val="21"/>
              </w:rPr>
              <w:t>提供资格声明函，详见投标文件格式。</w:t>
            </w:r>
          </w:p>
        </w:tc>
      </w:tr>
      <w:tr w14:paraId="2237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5AB65F15">
            <w:pPr>
              <w:jc w:val="center"/>
              <w:rPr>
                <w:rFonts w:ascii="黑体" w:hAnsi="黑体" w:eastAsia="黑体"/>
                <w:color w:val="auto"/>
                <w:szCs w:val="21"/>
              </w:rPr>
            </w:pPr>
            <w:r>
              <w:rPr>
                <w:rFonts w:ascii="黑体" w:hAnsi="黑体" w:eastAsia="黑体"/>
                <w:color w:val="auto"/>
                <w:szCs w:val="21"/>
              </w:rPr>
              <w:t>1.</w:t>
            </w:r>
            <w:r>
              <w:rPr>
                <w:rFonts w:hint="eastAsia" w:ascii="黑体" w:hAnsi="黑体" w:eastAsia="黑体"/>
                <w:color w:val="auto"/>
                <w:szCs w:val="21"/>
              </w:rPr>
              <w:t>6</w:t>
            </w:r>
          </w:p>
        </w:tc>
        <w:tc>
          <w:tcPr>
            <w:tcW w:w="1381" w:type="pct"/>
            <w:tcBorders>
              <w:tl2br w:val="nil"/>
            </w:tcBorders>
            <w:vAlign w:val="center"/>
          </w:tcPr>
          <w:p w14:paraId="3C0FDCFB">
            <w:pPr>
              <w:spacing w:line="360" w:lineRule="auto"/>
              <w:jc w:val="left"/>
              <w:rPr>
                <w:rFonts w:ascii="黑体" w:hAnsi="黑体" w:eastAsia="黑体"/>
                <w:color w:val="auto"/>
                <w:szCs w:val="21"/>
              </w:rPr>
            </w:pPr>
            <w:r>
              <w:rPr>
                <w:rFonts w:hint="eastAsia" w:ascii="黑体" w:hAnsi="黑体" w:eastAsia="黑体"/>
                <w:color w:val="auto"/>
                <w:szCs w:val="21"/>
              </w:rPr>
              <w:t>信用记录</w:t>
            </w:r>
          </w:p>
        </w:tc>
        <w:tc>
          <w:tcPr>
            <w:tcW w:w="3177" w:type="pct"/>
            <w:vAlign w:val="center"/>
          </w:tcPr>
          <w:p w14:paraId="1D04C1BE">
            <w:pPr>
              <w:spacing w:line="360" w:lineRule="auto"/>
              <w:rPr>
                <w:rFonts w:ascii="黑体" w:hAnsi="黑体" w:eastAsia="黑体"/>
                <w:bCs/>
                <w:color w:val="auto"/>
                <w:szCs w:val="21"/>
              </w:rPr>
            </w:pPr>
            <w:r>
              <w:rPr>
                <w:rFonts w:hint="eastAsia" w:ascii="黑体" w:hAnsi="黑体" w:eastAsia="黑体"/>
                <w:bCs/>
                <w:color w:val="auto"/>
                <w:szCs w:val="21"/>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时间当天在“信用中国”网站（www.creditchina.gov.cn）及中国政府采购网（http：//www.ccgp.gov.cn/）查询结果为准，如相关失信记录已失效，供应商需提供相关证明资料）。</w:t>
            </w:r>
          </w:p>
        </w:tc>
      </w:tr>
      <w:tr w14:paraId="3DE5E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5108D49D">
            <w:pPr>
              <w:jc w:val="center"/>
              <w:rPr>
                <w:rFonts w:ascii="黑体" w:hAnsi="黑体" w:eastAsia="黑体"/>
                <w:color w:val="auto"/>
              </w:rPr>
            </w:pPr>
            <w:r>
              <w:rPr>
                <w:rFonts w:ascii="黑体" w:hAnsi="黑体" w:eastAsia="黑体"/>
                <w:color w:val="auto"/>
              </w:rPr>
              <w:t>2</w:t>
            </w:r>
          </w:p>
        </w:tc>
        <w:tc>
          <w:tcPr>
            <w:tcW w:w="1381" w:type="pct"/>
            <w:tcBorders>
              <w:tl2br w:val="nil"/>
            </w:tcBorders>
            <w:vAlign w:val="center"/>
          </w:tcPr>
          <w:p w14:paraId="6F45A2EE">
            <w:pPr>
              <w:spacing w:line="360" w:lineRule="auto"/>
              <w:rPr>
                <w:rFonts w:ascii="黑体" w:hAnsi="黑体" w:eastAsia="黑体" w:cs="宋体"/>
                <w:color w:val="auto"/>
                <w:kern w:val="0"/>
                <w:szCs w:val="21"/>
              </w:rPr>
            </w:pPr>
            <w:r>
              <w:rPr>
                <w:rFonts w:hint="eastAsia" w:ascii="黑体" w:hAnsi="黑体" w:eastAsia="黑体" w:cs="宋体"/>
                <w:color w:val="auto"/>
                <w:kern w:val="0"/>
                <w:szCs w:val="21"/>
              </w:rPr>
              <w:t>供应商必须符合法律、行政法规规定的其他条件</w:t>
            </w:r>
          </w:p>
        </w:tc>
        <w:tc>
          <w:tcPr>
            <w:tcW w:w="3177" w:type="pct"/>
            <w:tcBorders>
              <w:tl2br w:val="nil"/>
            </w:tcBorders>
            <w:vAlign w:val="center"/>
          </w:tcPr>
          <w:p w14:paraId="2173D0D3">
            <w:pPr>
              <w:spacing w:line="360" w:lineRule="auto"/>
              <w:rPr>
                <w:rFonts w:ascii="黑体" w:hAnsi="黑体" w:eastAsia="黑体" w:cs="宋体"/>
                <w:color w:val="auto"/>
                <w:kern w:val="0"/>
                <w:szCs w:val="21"/>
              </w:rPr>
            </w:pPr>
            <w:r>
              <w:rPr>
                <w:rFonts w:hint="eastAsia" w:ascii="黑体" w:hAnsi="黑体" w:eastAsia="黑体" w:cs="宋体"/>
                <w:color w:val="auto"/>
                <w:kern w:val="0"/>
                <w:szCs w:val="21"/>
              </w:rPr>
              <w:t>单位负责人为同一人或者存在直接控股、管理关系的不同供应商，不得同时参加本采购项目（或采购包）投标。为本项目提供整体设计、规范编制或者项目管理、监理、检测等服务的供应商，不得再参与本项目投标。</w:t>
            </w:r>
          </w:p>
          <w:p w14:paraId="1C2217B9">
            <w:pPr>
              <w:spacing w:line="360" w:lineRule="auto"/>
              <w:rPr>
                <w:rFonts w:ascii="黑体" w:hAnsi="黑体" w:eastAsia="黑体" w:cs="宋体"/>
                <w:color w:val="auto"/>
                <w:kern w:val="0"/>
                <w:szCs w:val="21"/>
              </w:rPr>
            </w:pPr>
            <w:r>
              <w:rPr>
                <w:rFonts w:hint="eastAsia" w:ascii="黑体" w:hAnsi="黑体" w:eastAsia="黑体" w:cs="宋体"/>
                <w:color w:val="auto"/>
                <w:kern w:val="0"/>
                <w:szCs w:val="21"/>
              </w:rPr>
              <w:t>提供书面声明，格式自定。</w:t>
            </w:r>
          </w:p>
        </w:tc>
      </w:tr>
      <w:tr w14:paraId="3AE5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01531D97">
            <w:pPr>
              <w:jc w:val="center"/>
              <w:rPr>
                <w:rFonts w:ascii="黑体" w:hAnsi="黑体" w:eastAsia="黑体"/>
                <w:color w:val="auto"/>
              </w:rPr>
            </w:pPr>
            <w:r>
              <w:rPr>
                <w:rFonts w:ascii="黑体" w:hAnsi="黑体" w:eastAsia="黑体"/>
                <w:color w:val="auto"/>
              </w:rPr>
              <w:t>3</w:t>
            </w:r>
          </w:p>
        </w:tc>
        <w:tc>
          <w:tcPr>
            <w:tcW w:w="1381" w:type="pct"/>
            <w:tcBorders>
              <w:tl2br w:val="nil"/>
            </w:tcBorders>
            <w:vAlign w:val="center"/>
          </w:tcPr>
          <w:p w14:paraId="3B50D208">
            <w:pPr>
              <w:spacing w:line="360" w:lineRule="auto"/>
              <w:jc w:val="left"/>
              <w:rPr>
                <w:rFonts w:ascii="黑体" w:hAnsi="黑体" w:eastAsia="黑体"/>
                <w:color w:val="auto"/>
                <w:szCs w:val="21"/>
              </w:rPr>
            </w:pPr>
            <w:r>
              <w:rPr>
                <w:rFonts w:hint="eastAsia" w:ascii="黑体" w:hAnsi="黑体" w:eastAsia="黑体"/>
                <w:color w:val="auto"/>
                <w:szCs w:val="21"/>
              </w:rPr>
              <w:t>落实政府采购政策需满足的资格要求</w:t>
            </w:r>
          </w:p>
        </w:tc>
        <w:tc>
          <w:tcPr>
            <w:tcW w:w="3177" w:type="pct"/>
            <w:vAlign w:val="center"/>
          </w:tcPr>
          <w:p w14:paraId="55DD26CF">
            <w:pPr>
              <w:spacing w:line="360" w:lineRule="auto"/>
              <w:jc w:val="center"/>
              <w:rPr>
                <w:rFonts w:ascii="黑体" w:hAnsi="黑体" w:eastAsia="黑体"/>
                <w:bCs/>
                <w:color w:val="auto"/>
                <w:szCs w:val="21"/>
              </w:rPr>
            </w:pPr>
            <w:r>
              <w:rPr>
                <w:rFonts w:hint="eastAsia" w:ascii="黑体" w:hAnsi="黑体" w:eastAsia="黑体"/>
                <w:bCs/>
                <w:color w:val="auto"/>
                <w:szCs w:val="21"/>
              </w:rPr>
              <w:t>无</w:t>
            </w:r>
          </w:p>
        </w:tc>
      </w:tr>
      <w:tr w14:paraId="6156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42" w:type="pct"/>
            <w:vAlign w:val="center"/>
          </w:tcPr>
          <w:p w14:paraId="55E5BE64">
            <w:pPr>
              <w:jc w:val="center"/>
              <w:rPr>
                <w:rFonts w:ascii="黑体" w:hAnsi="黑体" w:eastAsia="黑体"/>
                <w:color w:val="auto"/>
              </w:rPr>
            </w:pPr>
            <w:r>
              <w:rPr>
                <w:rFonts w:ascii="黑体" w:hAnsi="黑体" w:eastAsia="黑体"/>
                <w:color w:val="auto"/>
              </w:rPr>
              <w:t>4</w:t>
            </w:r>
          </w:p>
        </w:tc>
        <w:tc>
          <w:tcPr>
            <w:tcW w:w="1381" w:type="pct"/>
            <w:tcBorders>
              <w:tl2br w:val="nil"/>
            </w:tcBorders>
            <w:vAlign w:val="center"/>
          </w:tcPr>
          <w:p w14:paraId="68BB1707">
            <w:pPr>
              <w:spacing w:line="360" w:lineRule="auto"/>
              <w:jc w:val="left"/>
              <w:rPr>
                <w:rFonts w:ascii="黑体" w:hAnsi="黑体" w:eastAsia="黑体"/>
                <w:color w:val="auto"/>
                <w:szCs w:val="21"/>
              </w:rPr>
            </w:pPr>
            <w:r>
              <w:rPr>
                <w:rFonts w:hint="eastAsia" w:ascii="黑体" w:hAnsi="黑体" w:eastAsia="黑体"/>
                <w:color w:val="auto"/>
                <w:szCs w:val="21"/>
              </w:rPr>
              <w:t>本项目的特定资格要求</w:t>
            </w:r>
          </w:p>
        </w:tc>
        <w:tc>
          <w:tcPr>
            <w:tcW w:w="3177" w:type="pct"/>
            <w:vAlign w:val="center"/>
          </w:tcPr>
          <w:p w14:paraId="783972B4">
            <w:pPr>
              <w:spacing w:line="360" w:lineRule="auto"/>
              <w:jc w:val="center"/>
              <w:rPr>
                <w:rFonts w:ascii="黑体" w:hAnsi="黑体" w:eastAsia="黑体"/>
                <w:bCs/>
                <w:color w:val="auto"/>
                <w:szCs w:val="21"/>
              </w:rPr>
            </w:pPr>
            <w:r>
              <w:rPr>
                <w:rFonts w:hint="eastAsia" w:ascii="黑体" w:hAnsi="黑体" w:eastAsia="黑体"/>
                <w:bCs/>
                <w:color w:val="auto"/>
                <w:szCs w:val="21"/>
              </w:rPr>
              <w:t>无</w:t>
            </w:r>
          </w:p>
        </w:tc>
      </w:tr>
    </w:tbl>
    <w:p w14:paraId="682516F9">
      <w:pPr>
        <w:rPr>
          <w:color w:val="auto"/>
        </w:rPr>
      </w:pPr>
    </w:p>
    <w:p w14:paraId="13DEA3F9">
      <w:pPr>
        <w:pStyle w:val="30"/>
        <w:numPr>
          <w:ilvl w:val="0"/>
          <w:numId w:val="80"/>
        </w:numPr>
        <w:spacing w:before="156" w:beforeLines="50" w:line="360" w:lineRule="auto"/>
        <w:ind w:firstLineChars="0"/>
        <w:rPr>
          <w:rFonts w:ascii="黑体" w:hAnsi="黑体" w:eastAsia="黑体"/>
          <w:b/>
          <w:bCs/>
          <w:color w:val="auto"/>
          <w:szCs w:val="21"/>
        </w:rPr>
      </w:pPr>
      <w:r>
        <w:rPr>
          <w:rFonts w:hint="eastAsia" w:ascii="黑体" w:hAnsi="黑体" w:eastAsia="黑体"/>
          <w:b/>
          <w:bCs/>
          <w:color w:val="auto"/>
          <w:szCs w:val="21"/>
        </w:rPr>
        <w:t>说明：</w:t>
      </w:r>
    </w:p>
    <w:p w14:paraId="716A4AFD">
      <w:pPr>
        <w:spacing w:line="360" w:lineRule="auto"/>
        <w:ind w:firstLine="420" w:firstLineChars="200"/>
        <w:rPr>
          <w:rFonts w:ascii="黑体" w:hAnsi="黑体" w:eastAsia="黑体"/>
          <w:color w:val="auto"/>
          <w:szCs w:val="21"/>
        </w:rPr>
      </w:pPr>
      <w:r>
        <w:rPr>
          <w:rFonts w:hint="eastAsia" w:ascii="黑体" w:hAnsi="黑体" w:eastAsia="黑体"/>
          <w:color w:val="auto"/>
          <w:szCs w:val="21"/>
        </w:rPr>
        <w:t>投标人必须严格按照《资格性审查表》的评审内容的要求如实提供证明材料并应加盖投标人公章，若投标人不满足《资格性审查表》中任何情形之一的，则其投标无效。</w:t>
      </w:r>
      <w:r>
        <w:rPr>
          <w:rFonts w:ascii="黑体" w:hAnsi="黑体" w:eastAsia="黑体"/>
          <w:color w:val="auto"/>
          <w:szCs w:val="21"/>
        </w:rPr>
        <w:cr/>
      </w:r>
    </w:p>
    <w:p w14:paraId="67049BFE">
      <w:pPr>
        <w:pStyle w:val="30"/>
        <w:pageBreakBefore/>
        <w:numPr>
          <w:ilvl w:val="0"/>
          <w:numId w:val="79"/>
        </w:numPr>
        <w:spacing w:before="156" w:beforeLines="50" w:after="312" w:afterLines="100" w:line="360" w:lineRule="auto"/>
        <w:ind w:left="422" w:hanging="422" w:hangingChars="200"/>
        <w:rPr>
          <w:rFonts w:ascii="黑体" w:hAnsi="黑体" w:eastAsia="黑体"/>
          <w:b/>
          <w:bCs/>
          <w:color w:val="auto"/>
          <w:szCs w:val="21"/>
        </w:rPr>
      </w:pPr>
      <w:r>
        <w:rPr>
          <w:rFonts w:hint="eastAsia" w:ascii="黑体" w:hAnsi="黑体" w:eastAsia="黑体"/>
          <w:b/>
          <w:bCs/>
          <w:color w:val="auto"/>
          <w:szCs w:val="21"/>
        </w:rPr>
        <w:t>附表二</w:t>
      </w:r>
      <w:r>
        <w:rPr>
          <w:rFonts w:ascii="黑体" w:hAnsi="黑体" w:eastAsia="黑体"/>
          <w:b/>
          <w:bCs/>
          <w:color w:val="auto"/>
          <w:szCs w:val="21"/>
        </w:rPr>
        <w:t xml:space="preserve"> </w:t>
      </w:r>
      <w:bookmarkStart w:id="63" w:name="_Hlk79425582"/>
      <w:r>
        <w:rPr>
          <w:rFonts w:ascii="黑体" w:hAnsi="黑体" w:eastAsia="黑体"/>
          <w:b/>
          <w:bCs/>
          <w:color w:val="auto"/>
          <w:szCs w:val="21"/>
        </w:rPr>
        <w:t xml:space="preserve"> </w:t>
      </w:r>
      <w:bookmarkStart w:id="64" w:name="_Hlk80867805"/>
      <w:r>
        <w:rPr>
          <w:rFonts w:ascii="黑体" w:hAnsi="黑体" w:eastAsia="黑体"/>
          <w:b/>
          <w:bCs/>
          <w:color w:val="auto"/>
          <w:szCs w:val="21"/>
        </w:rPr>
        <w:t>符合性审查表</w:t>
      </w:r>
      <w:bookmarkEnd w:id="63"/>
      <w:bookmarkEnd w:id="64"/>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7755"/>
      </w:tblGrid>
      <w:tr w14:paraId="073C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77" w:type="pct"/>
            <w:vAlign w:val="center"/>
          </w:tcPr>
          <w:p w14:paraId="5825117D">
            <w:pPr>
              <w:spacing w:line="360" w:lineRule="auto"/>
              <w:jc w:val="center"/>
              <w:rPr>
                <w:rFonts w:ascii="黑体" w:hAnsi="黑体" w:eastAsia="黑体"/>
                <w:b/>
                <w:color w:val="auto"/>
                <w:szCs w:val="21"/>
              </w:rPr>
            </w:pPr>
            <w:r>
              <w:rPr>
                <w:rFonts w:hint="eastAsia" w:ascii="黑体" w:hAnsi="黑体" w:eastAsia="黑体"/>
                <w:b/>
                <w:color w:val="auto"/>
                <w:szCs w:val="21"/>
              </w:rPr>
              <w:t>序号</w:t>
            </w:r>
          </w:p>
        </w:tc>
        <w:tc>
          <w:tcPr>
            <w:tcW w:w="4422" w:type="pct"/>
            <w:vAlign w:val="center"/>
          </w:tcPr>
          <w:p w14:paraId="7D385C39">
            <w:pPr>
              <w:spacing w:line="360" w:lineRule="auto"/>
              <w:jc w:val="center"/>
              <w:rPr>
                <w:rFonts w:ascii="黑体" w:hAnsi="黑体" w:eastAsia="黑体" w:cs="Times New Roman"/>
                <w:b/>
                <w:color w:val="auto"/>
                <w:szCs w:val="21"/>
              </w:rPr>
            </w:pPr>
            <w:r>
              <w:rPr>
                <w:rFonts w:hint="eastAsia" w:ascii="黑体" w:hAnsi="黑体" w:eastAsia="黑体" w:cs="Times New Roman"/>
                <w:b/>
                <w:color w:val="auto"/>
                <w:szCs w:val="21"/>
              </w:rPr>
              <w:t>评审内容</w:t>
            </w:r>
          </w:p>
        </w:tc>
      </w:tr>
      <w:tr w14:paraId="1F6B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77" w:type="pct"/>
            <w:vAlign w:val="center"/>
          </w:tcPr>
          <w:p w14:paraId="0098F9F5">
            <w:pPr>
              <w:spacing w:line="360" w:lineRule="auto"/>
              <w:jc w:val="center"/>
              <w:rPr>
                <w:rFonts w:ascii="黑体" w:hAnsi="黑体" w:eastAsia="黑体"/>
                <w:bCs/>
                <w:color w:val="auto"/>
                <w:szCs w:val="21"/>
              </w:rPr>
            </w:pPr>
            <w:r>
              <w:rPr>
                <w:rFonts w:hint="eastAsia" w:ascii="黑体" w:hAnsi="黑体" w:eastAsia="黑体"/>
                <w:bCs/>
                <w:color w:val="auto"/>
                <w:szCs w:val="21"/>
              </w:rPr>
              <w:t>1</w:t>
            </w:r>
          </w:p>
        </w:tc>
        <w:tc>
          <w:tcPr>
            <w:tcW w:w="4422" w:type="pct"/>
            <w:shd w:val="clear" w:color="auto" w:fill="auto"/>
            <w:vAlign w:val="center"/>
          </w:tcPr>
          <w:p w14:paraId="58D0A562">
            <w:pPr>
              <w:spacing w:line="360" w:lineRule="auto"/>
              <w:jc w:val="left"/>
              <w:rPr>
                <w:rFonts w:ascii="黑体" w:hAnsi="黑体" w:eastAsia="黑体" w:cs="Times New Roman"/>
                <w:color w:val="auto"/>
                <w:szCs w:val="21"/>
              </w:rPr>
            </w:pPr>
            <w:r>
              <w:rPr>
                <w:rFonts w:hint="eastAsia" w:ascii="黑体" w:hAnsi="黑体" w:eastAsia="黑体" w:cs="Times New Roman"/>
                <w:color w:val="auto"/>
                <w:szCs w:val="21"/>
              </w:rPr>
              <w:t>投标报价不超过</w:t>
            </w:r>
            <w:r>
              <w:rPr>
                <w:rFonts w:hint="eastAsia" w:ascii="黑体" w:hAnsi="黑体" w:eastAsia="黑体"/>
                <w:color w:val="auto"/>
                <w:szCs w:val="21"/>
              </w:rPr>
              <w:t>本项目采购预算或最高限价。</w:t>
            </w:r>
          </w:p>
        </w:tc>
      </w:tr>
      <w:tr w14:paraId="67C1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77" w:type="pct"/>
            <w:vAlign w:val="center"/>
          </w:tcPr>
          <w:p w14:paraId="4F47AAC6">
            <w:pPr>
              <w:spacing w:line="360" w:lineRule="auto"/>
              <w:jc w:val="center"/>
              <w:rPr>
                <w:rFonts w:ascii="黑体" w:hAnsi="黑体" w:eastAsia="黑体"/>
                <w:bCs/>
                <w:color w:val="auto"/>
                <w:szCs w:val="21"/>
              </w:rPr>
            </w:pPr>
            <w:r>
              <w:rPr>
                <w:rFonts w:hint="eastAsia" w:ascii="黑体" w:hAnsi="黑体" w:eastAsia="黑体"/>
                <w:bCs/>
                <w:color w:val="auto"/>
                <w:szCs w:val="21"/>
              </w:rPr>
              <w:t>2</w:t>
            </w:r>
          </w:p>
        </w:tc>
        <w:tc>
          <w:tcPr>
            <w:tcW w:w="4422" w:type="pct"/>
            <w:shd w:val="clear" w:color="auto" w:fill="auto"/>
            <w:vAlign w:val="center"/>
          </w:tcPr>
          <w:p w14:paraId="72CB8F5F">
            <w:pPr>
              <w:spacing w:line="360" w:lineRule="auto"/>
              <w:jc w:val="left"/>
              <w:rPr>
                <w:rFonts w:ascii="黑体" w:hAnsi="黑体" w:eastAsia="黑体" w:cs="Times New Roman"/>
                <w:color w:val="auto"/>
                <w:szCs w:val="21"/>
              </w:rPr>
            </w:pPr>
            <w:r>
              <w:rPr>
                <w:rFonts w:hint="eastAsia" w:ascii="黑体" w:hAnsi="黑体" w:eastAsia="黑体" w:cs="Times New Roman"/>
                <w:color w:val="auto"/>
                <w:szCs w:val="21"/>
              </w:rPr>
              <w:t>法人授权委托证明。</w:t>
            </w:r>
          </w:p>
          <w:p w14:paraId="3E91E7EF">
            <w:pPr>
              <w:spacing w:line="360" w:lineRule="auto"/>
              <w:jc w:val="left"/>
              <w:rPr>
                <w:rFonts w:ascii="黑体" w:hAnsi="黑体" w:eastAsia="黑体" w:cs="Times New Roman"/>
                <w:color w:val="auto"/>
                <w:szCs w:val="21"/>
              </w:rPr>
            </w:pPr>
            <w:r>
              <w:rPr>
                <w:rFonts w:hint="eastAsia" w:ascii="黑体" w:hAnsi="黑体" w:eastAsia="黑体" w:cs="Times New Roman"/>
                <w:color w:val="auto"/>
                <w:szCs w:val="21"/>
              </w:rPr>
              <w:t>(投标人代表为法定代表人的除外)</w:t>
            </w:r>
          </w:p>
        </w:tc>
      </w:tr>
      <w:tr w14:paraId="5FA2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pct"/>
            <w:vAlign w:val="center"/>
          </w:tcPr>
          <w:p w14:paraId="175AF3DC">
            <w:pPr>
              <w:spacing w:line="360" w:lineRule="auto"/>
              <w:jc w:val="center"/>
              <w:rPr>
                <w:rFonts w:ascii="黑体" w:hAnsi="黑体" w:eastAsia="黑体"/>
                <w:bCs/>
                <w:color w:val="auto"/>
                <w:szCs w:val="21"/>
              </w:rPr>
            </w:pPr>
            <w:r>
              <w:rPr>
                <w:rFonts w:hint="eastAsia" w:ascii="黑体" w:hAnsi="黑体" w:eastAsia="黑体"/>
                <w:bCs/>
                <w:color w:val="auto"/>
                <w:szCs w:val="21"/>
              </w:rPr>
              <w:t>3</w:t>
            </w:r>
          </w:p>
        </w:tc>
        <w:tc>
          <w:tcPr>
            <w:tcW w:w="4422" w:type="pct"/>
            <w:shd w:val="clear" w:color="auto" w:fill="auto"/>
            <w:vAlign w:val="center"/>
          </w:tcPr>
          <w:p w14:paraId="186C1F1C">
            <w:pPr>
              <w:spacing w:line="360" w:lineRule="auto"/>
              <w:jc w:val="left"/>
              <w:rPr>
                <w:rFonts w:ascii="黑体" w:hAnsi="黑体" w:eastAsia="黑体" w:cs="Times New Roman"/>
                <w:color w:val="auto"/>
                <w:szCs w:val="21"/>
              </w:rPr>
            </w:pPr>
            <w:r>
              <w:rPr>
                <w:rFonts w:hint="eastAsia" w:ascii="黑体" w:hAnsi="黑体" w:eastAsia="黑体" w:cs="Times New Roman"/>
                <w:color w:val="auto"/>
                <w:szCs w:val="21"/>
              </w:rPr>
              <w:t>投标函已提交并符合招标文件要求的，且投标有效期不少于招标文件中载明的投标有效期。</w:t>
            </w:r>
          </w:p>
        </w:tc>
      </w:tr>
      <w:tr w14:paraId="2F89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77" w:type="pct"/>
            <w:vAlign w:val="center"/>
          </w:tcPr>
          <w:p w14:paraId="0A0679C0">
            <w:pPr>
              <w:spacing w:line="360" w:lineRule="auto"/>
              <w:jc w:val="center"/>
              <w:rPr>
                <w:rFonts w:ascii="黑体" w:hAnsi="黑体" w:eastAsia="黑体"/>
                <w:bCs/>
                <w:color w:val="auto"/>
                <w:szCs w:val="21"/>
              </w:rPr>
            </w:pPr>
            <w:r>
              <w:rPr>
                <w:rFonts w:hint="eastAsia" w:ascii="黑体" w:hAnsi="黑体" w:eastAsia="黑体"/>
                <w:bCs/>
                <w:color w:val="auto"/>
                <w:szCs w:val="21"/>
              </w:rPr>
              <w:t>4</w:t>
            </w:r>
          </w:p>
        </w:tc>
        <w:tc>
          <w:tcPr>
            <w:tcW w:w="4422" w:type="pct"/>
            <w:shd w:val="clear" w:color="auto" w:fill="auto"/>
            <w:vAlign w:val="center"/>
          </w:tcPr>
          <w:p w14:paraId="7021CE54">
            <w:pPr>
              <w:spacing w:line="360" w:lineRule="auto"/>
              <w:jc w:val="left"/>
              <w:rPr>
                <w:rFonts w:ascii="黑体" w:hAnsi="黑体" w:eastAsia="黑体"/>
                <w:color w:val="auto"/>
                <w:szCs w:val="21"/>
              </w:rPr>
            </w:pPr>
            <w:r>
              <w:rPr>
                <w:rFonts w:hint="eastAsia" w:ascii="黑体" w:hAnsi="黑体" w:eastAsia="黑体" w:cs="Times New Roman"/>
                <w:color w:val="auto"/>
                <w:szCs w:val="21"/>
              </w:rPr>
              <w:t>投标文件的签署、盖章符合招标文件要求。</w:t>
            </w:r>
          </w:p>
        </w:tc>
      </w:tr>
      <w:tr w14:paraId="58EB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77" w:type="pct"/>
            <w:vAlign w:val="center"/>
          </w:tcPr>
          <w:p w14:paraId="079DC802">
            <w:pPr>
              <w:spacing w:line="360" w:lineRule="auto"/>
              <w:jc w:val="center"/>
              <w:rPr>
                <w:rFonts w:ascii="黑体" w:hAnsi="黑体" w:eastAsia="黑体"/>
                <w:bCs/>
                <w:color w:val="auto"/>
                <w:szCs w:val="21"/>
              </w:rPr>
            </w:pPr>
            <w:r>
              <w:rPr>
                <w:rFonts w:hint="eastAsia" w:ascii="黑体" w:hAnsi="黑体" w:eastAsia="黑体"/>
                <w:bCs/>
                <w:color w:val="auto"/>
                <w:szCs w:val="21"/>
              </w:rPr>
              <w:t>5</w:t>
            </w:r>
          </w:p>
        </w:tc>
        <w:tc>
          <w:tcPr>
            <w:tcW w:w="4422" w:type="pct"/>
            <w:shd w:val="clear" w:color="auto" w:fill="auto"/>
            <w:vAlign w:val="center"/>
          </w:tcPr>
          <w:p w14:paraId="1013F3A6">
            <w:pPr>
              <w:spacing w:line="360" w:lineRule="auto"/>
              <w:jc w:val="left"/>
              <w:rPr>
                <w:rFonts w:ascii="黑体" w:hAnsi="黑体" w:eastAsia="黑体"/>
                <w:bCs/>
                <w:color w:val="auto"/>
                <w:szCs w:val="21"/>
              </w:rPr>
            </w:pPr>
            <w:r>
              <w:rPr>
                <w:rFonts w:hint="eastAsia" w:ascii="黑体" w:hAnsi="黑体" w:eastAsia="黑体"/>
                <w:bCs/>
                <w:color w:val="auto"/>
                <w:szCs w:val="21"/>
              </w:rPr>
              <w:t>采购需求当中的★条款满足要求。</w:t>
            </w:r>
          </w:p>
        </w:tc>
      </w:tr>
      <w:tr w14:paraId="2C52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14:paraId="24F7D0B8">
            <w:pPr>
              <w:spacing w:line="360" w:lineRule="auto"/>
              <w:jc w:val="center"/>
              <w:rPr>
                <w:rFonts w:ascii="黑体" w:hAnsi="黑体" w:eastAsia="黑体"/>
                <w:bCs/>
                <w:color w:val="auto"/>
                <w:szCs w:val="21"/>
              </w:rPr>
            </w:pPr>
            <w:r>
              <w:rPr>
                <w:rFonts w:hint="eastAsia" w:ascii="黑体" w:hAnsi="黑体" w:eastAsia="黑体"/>
                <w:bCs/>
                <w:color w:val="auto"/>
                <w:szCs w:val="21"/>
              </w:rPr>
              <w:t>6</w:t>
            </w:r>
          </w:p>
        </w:tc>
        <w:tc>
          <w:tcPr>
            <w:tcW w:w="4422" w:type="pct"/>
            <w:shd w:val="clear" w:color="auto" w:fill="auto"/>
            <w:vAlign w:val="center"/>
          </w:tcPr>
          <w:p w14:paraId="23F85219">
            <w:pPr>
              <w:spacing w:line="360" w:lineRule="auto"/>
              <w:jc w:val="left"/>
              <w:rPr>
                <w:rFonts w:ascii="黑体" w:hAnsi="黑体" w:eastAsia="黑体"/>
                <w:bCs/>
                <w:color w:val="auto"/>
                <w:szCs w:val="21"/>
              </w:rPr>
            </w:pPr>
            <w:r>
              <w:rPr>
                <w:rFonts w:hint="eastAsia" w:ascii="黑体" w:hAnsi="黑体" w:eastAsia="黑体"/>
                <w:bCs/>
                <w:color w:val="auto"/>
                <w:szCs w:val="21"/>
              </w:rPr>
              <w:t>投标文件未出现选择性报价或有附加条件报价的情形。</w:t>
            </w:r>
          </w:p>
        </w:tc>
      </w:tr>
      <w:tr w14:paraId="7DBB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14:paraId="7D866952">
            <w:pPr>
              <w:spacing w:line="360" w:lineRule="auto"/>
              <w:jc w:val="center"/>
              <w:rPr>
                <w:rFonts w:ascii="黑体" w:hAnsi="黑体" w:eastAsia="黑体"/>
                <w:bCs/>
                <w:color w:val="auto"/>
                <w:szCs w:val="21"/>
              </w:rPr>
            </w:pPr>
            <w:r>
              <w:rPr>
                <w:rFonts w:hint="eastAsia" w:ascii="黑体" w:hAnsi="黑体" w:eastAsia="黑体"/>
                <w:bCs/>
                <w:color w:val="auto"/>
                <w:szCs w:val="21"/>
              </w:rPr>
              <w:t>7</w:t>
            </w:r>
          </w:p>
        </w:tc>
        <w:tc>
          <w:tcPr>
            <w:tcW w:w="4422" w:type="pct"/>
            <w:shd w:val="clear" w:color="auto" w:fill="auto"/>
            <w:vAlign w:val="center"/>
          </w:tcPr>
          <w:p w14:paraId="7030E959">
            <w:pPr>
              <w:spacing w:line="360" w:lineRule="auto"/>
              <w:jc w:val="left"/>
              <w:rPr>
                <w:rFonts w:ascii="黑体" w:hAnsi="黑体" w:eastAsia="黑体"/>
                <w:bCs/>
                <w:color w:val="auto"/>
                <w:szCs w:val="21"/>
              </w:rPr>
            </w:pPr>
            <w:r>
              <w:rPr>
                <w:rFonts w:hint="eastAsia" w:ascii="黑体" w:hAnsi="黑体" w:eastAsia="黑体"/>
                <w:bCs/>
                <w:color w:val="auto"/>
                <w:szCs w:val="21"/>
              </w:rPr>
              <w:t>投标文件没有招标文件中规定的其它无效投标条款的。</w:t>
            </w:r>
          </w:p>
        </w:tc>
      </w:tr>
      <w:tr w14:paraId="2B7F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77" w:type="pct"/>
            <w:vAlign w:val="center"/>
          </w:tcPr>
          <w:p w14:paraId="1FFD4901">
            <w:pPr>
              <w:spacing w:line="360" w:lineRule="auto"/>
              <w:jc w:val="center"/>
              <w:rPr>
                <w:rFonts w:ascii="黑体" w:hAnsi="黑体" w:eastAsia="黑体"/>
                <w:bCs/>
                <w:color w:val="auto"/>
                <w:szCs w:val="21"/>
              </w:rPr>
            </w:pPr>
            <w:r>
              <w:rPr>
                <w:rFonts w:hint="eastAsia" w:ascii="黑体" w:hAnsi="黑体" w:eastAsia="黑体"/>
                <w:bCs/>
                <w:color w:val="auto"/>
                <w:szCs w:val="21"/>
              </w:rPr>
              <w:t>8</w:t>
            </w:r>
          </w:p>
        </w:tc>
        <w:tc>
          <w:tcPr>
            <w:tcW w:w="4422" w:type="pct"/>
            <w:shd w:val="clear" w:color="auto" w:fill="auto"/>
            <w:vAlign w:val="center"/>
          </w:tcPr>
          <w:p w14:paraId="6832D864">
            <w:pPr>
              <w:spacing w:line="360" w:lineRule="auto"/>
              <w:jc w:val="left"/>
              <w:rPr>
                <w:rFonts w:ascii="黑体" w:hAnsi="黑体" w:eastAsia="黑体"/>
                <w:bCs/>
                <w:color w:val="auto"/>
                <w:szCs w:val="21"/>
              </w:rPr>
            </w:pPr>
            <w:r>
              <w:rPr>
                <w:rFonts w:hint="eastAsia" w:ascii="黑体" w:hAnsi="黑体" w:eastAsia="黑体"/>
                <w:bCs/>
                <w:color w:val="auto"/>
                <w:szCs w:val="21"/>
              </w:rPr>
              <w:t>按有关法律、法规、规章不属于投标无效的。</w:t>
            </w:r>
          </w:p>
        </w:tc>
      </w:tr>
    </w:tbl>
    <w:p w14:paraId="7F61ACDE">
      <w:pPr>
        <w:pStyle w:val="30"/>
        <w:numPr>
          <w:ilvl w:val="0"/>
          <w:numId w:val="80"/>
        </w:numPr>
        <w:spacing w:before="468" w:beforeLines="150" w:line="360" w:lineRule="auto"/>
        <w:ind w:firstLineChars="0"/>
        <w:rPr>
          <w:rFonts w:ascii="黑体" w:hAnsi="黑体" w:eastAsia="黑体"/>
          <w:b/>
          <w:bCs/>
          <w:color w:val="auto"/>
          <w:szCs w:val="21"/>
        </w:rPr>
      </w:pPr>
      <w:r>
        <w:rPr>
          <w:rFonts w:hint="eastAsia" w:ascii="黑体" w:hAnsi="黑体" w:eastAsia="黑体"/>
          <w:b/>
          <w:bCs/>
          <w:color w:val="auto"/>
          <w:szCs w:val="21"/>
        </w:rPr>
        <w:t>说明：</w:t>
      </w:r>
    </w:p>
    <w:p w14:paraId="02FE1772">
      <w:pPr>
        <w:spacing w:before="156" w:beforeLines="50" w:line="360" w:lineRule="auto"/>
        <w:ind w:firstLine="420" w:firstLineChars="200"/>
        <w:rPr>
          <w:rFonts w:ascii="宋体" w:hAnsi="宋体" w:eastAsia="宋体"/>
          <w:b/>
          <w:bCs/>
          <w:color w:val="auto"/>
          <w:szCs w:val="21"/>
        </w:rPr>
      </w:pPr>
      <w:r>
        <w:rPr>
          <w:rFonts w:hint="eastAsia" w:ascii="黑体" w:hAnsi="黑体" w:eastAsia="黑体"/>
          <w:color w:val="auto"/>
          <w:szCs w:val="21"/>
        </w:rPr>
        <w:t>投标人必须严格按照《符合性审查表》的评审内容的要求如实提供证明材料并应加盖投标人公章，若投标人不满足《符合性审查表》中任何情形之一的，则其投标无效。</w:t>
      </w:r>
    </w:p>
    <w:p w14:paraId="1151B74E">
      <w:pPr>
        <w:pStyle w:val="30"/>
        <w:pageBreakBefore/>
        <w:numPr>
          <w:ilvl w:val="0"/>
          <w:numId w:val="79"/>
        </w:numPr>
        <w:spacing w:before="312" w:beforeLines="100" w:after="312" w:afterLines="100" w:line="360" w:lineRule="auto"/>
        <w:ind w:left="422" w:hanging="422" w:hangingChars="200"/>
        <w:rPr>
          <w:rFonts w:ascii="黑体" w:hAnsi="黑体" w:eastAsia="黑体"/>
          <w:b/>
          <w:bCs/>
          <w:color w:val="auto"/>
          <w:szCs w:val="21"/>
        </w:rPr>
      </w:pPr>
      <w:r>
        <w:rPr>
          <w:rFonts w:hint="eastAsia" w:ascii="黑体" w:hAnsi="黑体" w:eastAsia="黑体"/>
          <w:b/>
          <w:bCs/>
          <w:color w:val="auto"/>
          <w:szCs w:val="21"/>
        </w:rPr>
        <w:t>附表三</w:t>
      </w:r>
      <w:r>
        <w:rPr>
          <w:rFonts w:ascii="黑体" w:hAnsi="黑体" w:eastAsia="黑体"/>
          <w:b/>
          <w:bCs/>
          <w:color w:val="auto"/>
          <w:szCs w:val="21"/>
        </w:rPr>
        <w:t xml:space="preserve">  详细评审表</w:t>
      </w:r>
      <w:r>
        <w:rPr>
          <w:rFonts w:hint="eastAsia" w:ascii="黑体" w:hAnsi="黑体" w:eastAsia="黑体"/>
          <w:b/>
          <w:bCs/>
          <w:color w:val="auto"/>
          <w:szCs w:val="21"/>
        </w:rPr>
        <w:t>（含商务、技术评审细则）</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763"/>
        <w:gridCol w:w="926"/>
        <w:gridCol w:w="6366"/>
      </w:tblGrid>
      <w:tr w14:paraId="3199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06" w:type="pct"/>
            <w:vAlign w:val="center"/>
          </w:tcPr>
          <w:p w14:paraId="0CD80E62">
            <w:pPr>
              <w:pStyle w:val="36"/>
              <w:spacing w:after="62" w:afterLines="20" w:line="440" w:lineRule="exact"/>
              <w:ind w:firstLine="0" w:firstLineChars="0"/>
              <w:jc w:val="center"/>
              <w:rPr>
                <w:rFonts w:ascii="黑体" w:hAnsi="黑体" w:eastAsia="黑体"/>
                <w:b/>
                <w:color w:val="auto"/>
                <w:sz w:val="21"/>
                <w:szCs w:val="21"/>
              </w:rPr>
            </w:pPr>
            <w:r>
              <w:rPr>
                <w:rFonts w:hint="eastAsia" w:ascii="黑体" w:hAnsi="黑体" w:eastAsia="黑体"/>
                <w:b/>
                <w:color w:val="auto"/>
                <w:sz w:val="21"/>
                <w:szCs w:val="21"/>
              </w:rPr>
              <w:t>序号</w:t>
            </w:r>
          </w:p>
        </w:tc>
        <w:tc>
          <w:tcPr>
            <w:tcW w:w="435" w:type="pct"/>
            <w:vAlign w:val="center"/>
          </w:tcPr>
          <w:p w14:paraId="4AB9946B">
            <w:pPr>
              <w:pStyle w:val="36"/>
              <w:spacing w:after="62" w:afterLines="20" w:line="440" w:lineRule="exact"/>
              <w:ind w:firstLine="0" w:firstLineChars="0"/>
              <w:jc w:val="center"/>
              <w:rPr>
                <w:rFonts w:ascii="黑体" w:hAnsi="黑体" w:eastAsia="黑体"/>
                <w:b/>
                <w:color w:val="auto"/>
                <w:sz w:val="21"/>
                <w:szCs w:val="21"/>
              </w:rPr>
            </w:pPr>
            <w:r>
              <w:rPr>
                <w:rFonts w:hint="eastAsia" w:ascii="黑体" w:hAnsi="黑体" w:eastAsia="黑体"/>
                <w:b/>
                <w:color w:val="auto"/>
                <w:sz w:val="21"/>
                <w:szCs w:val="21"/>
              </w:rPr>
              <w:t>评分内容</w:t>
            </w:r>
          </w:p>
        </w:tc>
        <w:tc>
          <w:tcPr>
            <w:tcW w:w="528" w:type="pct"/>
            <w:vAlign w:val="center"/>
          </w:tcPr>
          <w:p w14:paraId="25B6BC61">
            <w:pPr>
              <w:pStyle w:val="36"/>
              <w:spacing w:after="62" w:afterLines="20" w:line="440" w:lineRule="exact"/>
              <w:ind w:firstLine="0" w:firstLineChars="0"/>
              <w:jc w:val="center"/>
              <w:rPr>
                <w:rFonts w:ascii="黑体" w:hAnsi="黑体" w:eastAsia="黑体"/>
                <w:b/>
                <w:color w:val="auto"/>
                <w:sz w:val="21"/>
                <w:szCs w:val="21"/>
              </w:rPr>
            </w:pPr>
            <w:r>
              <w:rPr>
                <w:rFonts w:hint="eastAsia" w:ascii="黑体" w:hAnsi="黑体" w:eastAsia="黑体"/>
                <w:b/>
                <w:color w:val="auto"/>
                <w:sz w:val="21"/>
                <w:szCs w:val="21"/>
              </w:rPr>
              <w:t>分值</w:t>
            </w:r>
          </w:p>
        </w:tc>
        <w:tc>
          <w:tcPr>
            <w:tcW w:w="3630" w:type="pct"/>
            <w:vAlign w:val="center"/>
          </w:tcPr>
          <w:p w14:paraId="3FD19E33">
            <w:pPr>
              <w:pStyle w:val="36"/>
              <w:spacing w:after="62" w:afterLines="20" w:line="440" w:lineRule="exact"/>
              <w:ind w:firstLine="0" w:firstLineChars="0"/>
              <w:jc w:val="center"/>
              <w:rPr>
                <w:rFonts w:ascii="黑体" w:hAnsi="黑体" w:eastAsia="黑体"/>
                <w:b/>
                <w:color w:val="auto"/>
                <w:sz w:val="21"/>
                <w:szCs w:val="21"/>
              </w:rPr>
            </w:pPr>
            <w:r>
              <w:rPr>
                <w:rFonts w:hint="eastAsia" w:ascii="黑体" w:hAnsi="黑体" w:eastAsia="黑体"/>
                <w:b/>
                <w:color w:val="auto"/>
                <w:sz w:val="21"/>
                <w:szCs w:val="21"/>
              </w:rPr>
              <w:t>评审标准</w:t>
            </w:r>
          </w:p>
        </w:tc>
      </w:tr>
      <w:tr w14:paraId="277E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000" w:type="pct"/>
            <w:gridSpan w:val="4"/>
            <w:vAlign w:val="center"/>
          </w:tcPr>
          <w:p w14:paraId="33F794AD">
            <w:pPr>
              <w:pStyle w:val="36"/>
              <w:spacing w:after="62" w:afterLines="20" w:line="440" w:lineRule="exact"/>
              <w:ind w:firstLine="0" w:firstLineChars="0"/>
              <w:jc w:val="center"/>
              <w:rPr>
                <w:rFonts w:ascii="黑体" w:hAnsi="黑体" w:eastAsia="黑体"/>
                <w:b/>
                <w:color w:val="auto"/>
                <w:sz w:val="21"/>
                <w:szCs w:val="21"/>
              </w:rPr>
            </w:pPr>
            <w:r>
              <w:rPr>
                <w:rFonts w:hint="eastAsia" w:ascii="黑体" w:hAnsi="黑体" w:eastAsia="黑体"/>
                <w:b/>
                <w:color w:val="auto"/>
                <w:sz w:val="21"/>
                <w:szCs w:val="21"/>
              </w:rPr>
              <w:t>商务评审细则（20分）</w:t>
            </w:r>
          </w:p>
        </w:tc>
      </w:tr>
      <w:tr w14:paraId="1D7DF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406" w:type="pct"/>
            <w:vAlign w:val="center"/>
          </w:tcPr>
          <w:p w14:paraId="2A9FCBE6">
            <w:pPr>
              <w:spacing w:before="31" w:beforeLines="10" w:after="93" w:afterLines="30" w:line="440" w:lineRule="exact"/>
              <w:jc w:val="center"/>
              <w:rPr>
                <w:rFonts w:ascii="黑体" w:hAnsi="黑体" w:eastAsia="黑体"/>
                <w:color w:val="auto"/>
                <w:szCs w:val="21"/>
              </w:rPr>
            </w:pPr>
            <w:r>
              <w:rPr>
                <w:rFonts w:hint="eastAsia" w:ascii="黑体" w:hAnsi="黑体" w:eastAsia="黑体"/>
                <w:color w:val="auto"/>
                <w:szCs w:val="21"/>
              </w:rPr>
              <w:t>1</w:t>
            </w:r>
          </w:p>
        </w:tc>
        <w:tc>
          <w:tcPr>
            <w:tcW w:w="435" w:type="pct"/>
            <w:vAlign w:val="center"/>
          </w:tcPr>
          <w:p w14:paraId="30D98783">
            <w:pPr>
              <w:spacing w:before="31" w:beforeLines="10" w:after="30" w:line="440" w:lineRule="exact"/>
              <w:jc w:val="center"/>
              <w:rPr>
                <w:rFonts w:ascii="黑体" w:hAnsi="黑体" w:eastAsia="黑体"/>
                <w:bCs/>
                <w:color w:val="auto"/>
                <w:szCs w:val="21"/>
              </w:rPr>
            </w:pPr>
            <w:r>
              <w:rPr>
                <w:rFonts w:hint="eastAsia" w:ascii="黑体" w:hAnsi="黑体" w:eastAsia="黑体"/>
                <w:bCs/>
                <w:color w:val="auto"/>
                <w:szCs w:val="21"/>
              </w:rPr>
              <w:t>企业认证</w:t>
            </w:r>
          </w:p>
        </w:tc>
        <w:tc>
          <w:tcPr>
            <w:tcW w:w="528" w:type="pct"/>
            <w:vAlign w:val="center"/>
          </w:tcPr>
          <w:p w14:paraId="14A14DC7">
            <w:pPr>
              <w:widowControl/>
              <w:spacing w:before="31" w:beforeLines="10" w:after="30" w:line="440" w:lineRule="exact"/>
              <w:jc w:val="center"/>
              <w:rPr>
                <w:rFonts w:ascii="黑体" w:hAnsi="黑体" w:eastAsia="黑体"/>
                <w:bCs/>
                <w:color w:val="auto"/>
                <w:szCs w:val="21"/>
              </w:rPr>
            </w:pPr>
            <w:r>
              <w:rPr>
                <w:rFonts w:hint="eastAsia" w:ascii="黑体" w:hAnsi="黑体" w:eastAsia="黑体"/>
                <w:bCs/>
                <w:color w:val="auto"/>
                <w:szCs w:val="21"/>
              </w:rPr>
              <w:t>6分</w:t>
            </w:r>
          </w:p>
        </w:tc>
        <w:tc>
          <w:tcPr>
            <w:tcW w:w="3630" w:type="pct"/>
            <w:vAlign w:val="center"/>
          </w:tcPr>
          <w:p w14:paraId="40D11357">
            <w:pPr>
              <w:spacing w:before="31" w:beforeLines="10" w:after="30" w:line="440" w:lineRule="exact"/>
              <w:rPr>
                <w:rFonts w:ascii="黑体" w:hAnsi="黑体" w:eastAsia="黑体"/>
                <w:bCs/>
                <w:color w:val="auto"/>
              </w:rPr>
            </w:pPr>
            <w:r>
              <w:rPr>
                <w:rFonts w:hint="eastAsia" w:ascii="黑体" w:hAnsi="黑体" w:eastAsia="黑体"/>
                <w:bCs/>
                <w:color w:val="auto"/>
              </w:rPr>
              <w:t>投标人获得国家认证认可监督管理部门批准设立的认证机构颁发并在有效期内的以下证书，每具有一个得2分，最高得6分：</w:t>
            </w:r>
          </w:p>
          <w:p w14:paraId="42F3116E">
            <w:pPr>
              <w:spacing w:before="31" w:beforeLines="10" w:after="30" w:line="440" w:lineRule="exact"/>
              <w:rPr>
                <w:rFonts w:ascii="黑体" w:hAnsi="黑体" w:eastAsia="黑体"/>
                <w:bCs/>
                <w:color w:val="auto"/>
              </w:rPr>
            </w:pPr>
            <w:r>
              <w:rPr>
                <w:rFonts w:hint="eastAsia" w:ascii="黑体" w:hAnsi="黑体" w:eastAsia="黑体"/>
                <w:bCs/>
                <w:color w:val="auto"/>
              </w:rPr>
              <w:t>①质量管理体系认证证书；</w:t>
            </w:r>
          </w:p>
          <w:p w14:paraId="030C79E1">
            <w:pPr>
              <w:spacing w:before="31" w:beforeLines="10" w:after="30" w:line="440" w:lineRule="exact"/>
              <w:rPr>
                <w:rFonts w:ascii="黑体" w:hAnsi="黑体" w:eastAsia="黑体"/>
                <w:bCs/>
                <w:color w:val="auto"/>
              </w:rPr>
            </w:pPr>
            <w:r>
              <w:rPr>
                <w:rFonts w:hint="eastAsia" w:ascii="黑体" w:hAnsi="黑体" w:eastAsia="黑体"/>
                <w:bCs/>
                <w:color w:val="auto"/>
              </w:rPr>
              <w:t>②环境管理体系认证证书；</w:t>
            </w:r>
          </w:p>
          <w:p w14:paraId="490106C5">
            <w:pPr>
              <w:spacing w:before="31" w:beforeLines="10" w:after="30" w:line="440" w:lineRule="exact"/>
              <w:rPr>
                <w:rFonts w:ascii="黑体" w:hAnsi="黑体" w:eastAsia="黑体"/>
                <w:bCs/>
                <w:color w:val="auto"/>
              </w:rPr>
            </w:pPr>
            <w:r>
              <w:rPr>
                <w:rFonts w:hint="eastAsia" w:ascii="黑体" w:hAnsi="黑体" w:eastAsia="黑体"/>
                <w:bCs/>
                <w:color w:val="auto"/>
              </w:rPr>
              <w:t>③职业健康安全体系认证证书。</w:t>
            </w:r>
          </w:p>
          <w:p w14:paraId="6918BE97">
            <w:pPr>
              <w:spacing w:before="31" w:beforeLines="10" w:after="30" w:line="440" w:lineRule="exact"/>
              <w:rPr>
                <w:rFonts w:ascii="黑体" w:hAnsi="黑体" w:eastAsia="黑体"/>
                <w:b/>
                <w:bCs/>
                <w:color w:val="auto"/>
                <w:szCs w:val="21"/>
                <w:u w:val="single"/>
              </w:rPr>
            </w:pPr>
            <w:r>
              <w:rPr>
                <w:rFonts w:hint="eastAsia" w:ascii="黑体" w:hAnsi="黑体" w:eastAsia="黑体"/>
                <w:b/>
                <w:color w:val="auto"/>
                <w:u w:val="single"/>
              </w:rPr>
              <w:t>注：须提供证书复印件，同时提供在“全国认证认可信息公共服务平台”（http：//cx.cnca.cn）对体系证书的信息查询截图作为评审依据，已失效、撤销、暂停或不提供的不得分。</w:t>
            </w:r>
          </w:p>
        </w:tc>
      </w:tr>
      <w:tr w14:paraId="7C2C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406" w:type="pct"/>
            <w:vAlign w:val="center"/>
          </w:tcPr>
          <w:p w14:paraId="555CA33E">
            <w:pPr>
              <w:spacing w:before="31" w:beforeLines="10" w:after="93" w:afterLines="30" w:line="440" w:lineRule="exact"/>
              <w:jc w:val="center"/>
              <w:rPr>
                <w:rFonts w:ascii="黑体" w:hAnsi="黑体" w:eastAsia="黑体"/>
                <w:color w:val="auto"/>
                <w:szCs w:val="21"/>
              </w:rPr>
            </w:pPr>
            <w:r>
              <w:rPr>
                <w:rFonts w:hint="eastAsia" w:ascii="黑体" w:hAnsi="黑体" w:eastAsia="黑体"/>
                <w:color w:val="auto"/>
                <w:szCs w:val="21"/>
              </w:rPr>
              <w:t>2</w:t>
            </w:r>
          </w:p>
        </w:tc>
        <w:tc>
          <w:tcPr>
            <w:tcW w:w="435" w:type="pct"/>
            <w:vAlign w:val="center"/>
          </w:tcPr>
          <w:p w14:paraId="5752454C">
            <w:pPr>
              <w:spacing w:before="31" w:beforeLines="10" w:after="30" w:line="440" w:lineRule="exact"/>
              <w:jc w:val="center"/>
              <w:rPr>
                <w:rFonts w:ascii="黑体" w:hAnsi="黑体" w:eastAsia="黑体"/>
                <w:bCs/>
                <w:color w:val="auto"/>
                <w:szCs w:val="21"/>
              </w:rPr>
            </w:pPr>
            <w:r>
              <w:rPr>
                <w:rFonts w:hint="eastAsia" w:ascii="黑体" w:hAnsi="黑体" w:eastAsia="黑体"/>
                <w:bCs/>
                <w:color w:val="auto"/>
                <w:szCs w:val="21"/>
              </w:rPr>
              <w:t>业绩</w:t>
            </w:r>
          </w:p>
        </w:tc>
        <w:tc>
          <w:tcPr>
            <w:tcW w:w="528" w:type="pct"/>
            <w:vAlign w:val="center"/>
          </w:tcPr>
          <w:p w14:paraId="52FE4535">
            <w:pPr>
              <w:widowControl/>
              <w:spacing w:before="31" w:beforeLines="10" w:after="30" w:line="440" w:lineRule="exact"/>
              <w:jc w:val="center"/>
              <w:rPr>
                <w:rFonts w:ascii="黑体" w:hAnsi="黑体" w:eastAsia="黑体"/>
                <w:bCs/>
                <w:color w:val="auto"/>
                <w:szCs w:val="21"/>
              </w:rPr>
            </w:pPr>
            <w:r>
              <w:rPr>
                <w:rFonts w:hint="eastAsia" w:ascii="黑体" w:hAnsi="黑体" w:eastAsia="黑体"/>
                <w:bCs/>
                <w:color w:val="auto"/>
                <w:szCs w:val="21"/>
              </w:rPr>
              <w:t>14分</w:t>
            </w:r>
          </w:p>
        </w:tc>
        <w:tc>
          <w:tcPr>
            <w:tcW w:w="3630" w:type="pct"/>
            <w:vAlign w:val="center"/>
          </w:tcPr>
          <w:p w14:paraId="41F65B66">
            <w:pPr>
              <w:spacing w:line="360" w:lineRule="auto"/>
              <w:rPr>
                <w:rFonts w:ascii="黑体" w:hAnsi="黑体" w:eastAsia="黑体"/>
                <w:color w:val="auto"/>
              </w:rPr>
            </w:pPr>
            <w:r>
              <w:rPr>
                <w:rFonts w:hint="eastAsia" w:ascii="黑体" w:hAnsi="黑体" w:eastAsia="黑体"/>
                <w:color w:val="auto"/>
              </w:rPr>
              <w:t>投标人提供自2021年1月1日以来（以合同签订时间为准）具有城市轨道交通实训平台销售业绩的，每提供一个有效业绩得2分，最高得14分。</w:t>
            </w:r>
          </w:p>
          <w:p w14:paraId="0F99BAEA">
            <w:pPr>
              <w:spacing w:line="440" w:lineRule="exact"/>
              <w:rPr>
                <w:rFonts w:ascii="黑体" w:hAnsi="黑体" w:eastAsia="黑体"/>
                <w:b/>
                <w:bCs/>
                <w:color w:val="auto"/>
                <w:szCs w:val="21"/>
                <w:u w:val="single"/>
              </w:rPr>
            </w:pPr>
            <w:r>
              <w:rPr>
                <w:rFonts w:hint="eastAsia" w:ascii="黑体" w:hAnsi="黑体" w:eastAsia="黑体"/>
                <w:b/>
                <w:bCs/>
                <w:color w:val="auto"/>
                <w:u w:val="single"/>
              </w:rPr>
              <w:t>注：须同时提供合同复印件加盖投标人公章，未提供不得分。</w:t>
            </w:r>
          </w:p>
        </w:tc>
      </w:tr>
      <w:tr w14:paraId="40BA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000" w:type="pct"/>
            <w:gridSpan w:val="4"/>
            <w:vAlign w:val="center"/>
          </w:tcPr>
          <w:p w14:paraId="03504546">
            <w:pPr>
              <w:pStyle w:val="36"/>
              <w:spacing w:after="62" w:afterLines="20" w:line="440" w:lineRule="exact"/>
              <w:ind w:firstLine="0" w:firstLineChars="0"/>
              <w:jc w:val="center"/>
              <w:rPr>
                <w:rFonts w:ascii="黑体" w:hAnsi="黑体" w:eastAsia="黑体"/>
                <w:color w:val="auto"/>
              </w:rPr>
            </w:pPr>
            <w:r>
              <w:rPr>
                <w:rFonts w:hint="eastAsia" w:ascii="黑体" w:hAnsi="黑体" w:eastAsia="黑体"/>
                <w:b/>
                <w:color w:val="auto"/>
                <w:sz w:val="21"/>
                <w:szCs w:val="21"/>
              </w:rPr>
              <w:t>技术评审细则（50分）</w:t>
            </w:r>
          </w:p>
        </w:tc>
      </w:tr>
      <w:tr w14:paraId="1BF9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406" w:type="pct"/>
            <w:vAlign w:val="center"/>
          </w:tcPr>
          <w:p w14:paraId="6690A9EC">
            <w:pPr>
              <w:spacing w:before="31" w:beforeLines="10" w:after="93" w:afterLines="30" w:line="440" w:lineRule="exact"/>
              <w:jc w:val="center"/>
              <w:rPr>
                <w:rFonts w:ascii="黑体" w:hAnsi="黑体" w:eastAsia="黑体"/>
                <w:color w:val="auto"/>
                <w:szCs w:val="21"/>
              </w:rPr>
            </w:pPr>
            <w:r>
              <w:rPr>
                <w:rFonts w:ascii="黑体" w:hAnsi="黑体" w:eastAsia="黑体"/>
                <w:color w:val="auto"/>
                <w:szCs w:val="21"/>
              </w:rPr>
              <w:t>1</w:t>
            </w:r>
          </w:p>
        </w:tc>
        <w:tc>
          <w:tcPr>
            <w:tcW w:w="435" w:type="pct"/>
            <w:vAlign w:val="center"/>
          </w:tcPr>
          <w:p w14:paraId="261DBA37">
            <w:pPr>
              <w:spacing w:line="360" w:lineRule="auto"/>
              <w:jc w:val="center"/>
              <w:rPr>
                <w:rFonts w:ascii="黑体" w:hAnsi="黑体" w:eastAsia="黑体"/>
                <w:color w:val="auto"/>
                <w:szCs w:val="21"/>
              </w:rPr>
            </w:pPr>
            <w:r>
              <w:rPr>
                <w:rFonts w:hint="eastAsia" w:ascii="黑体" w:hAnsi="黑体" w:eastAsia="黑体"/>
                <w:color w:val="auto"/>
              </w:rPr>
              <w:t>技术响应程度</w:t>
            </w:r>
          </w:p>
        </w:tc>
        <w:tc>
          <w:tcPr>
            <w:tcW w:w="528" w:type="pct"/>
            <w:vAlign w:val="center"/>
          </w:tcPr>
          <w:p w14:paraId="786F2501">
            <w:pPr>
              <w:widowControl/>
              <w:spacing w:before="31" w:beforeLines="10" w:after="30" w:line="440" w:lineRule="exact"/>
              <w:jc w:val="center"/>
              <w:rPr>
                <w:rFonts w:ascii="黑体" w:hAnsi="黑体" w:eastAsia="黑体"/>
                <w:color w:val="auto"/>
                <w:szCs w:val="21"/>
              </w:rPr>
            </w:pPr>
            <w:r>
              <w:rPr>
                <w:rFonts w:ascii="黑体" w:hAnsi="黑体" w:eastAsia="黑体"/>
                <w:color w:val="auto"/>
                <w:szCs w:val="21"/>
              </w:rPr>
              <w:t>28</w:t>
            </w:r>
            <w:r>
              <w:rPr>
                <w:rFonts w:hint="eastAsia" w:ascii="黑体" w:hAnsi="黑体" w:eastAsia="黑体"/>
                <w:color w:val="auto"/>
                <w:szCs w:val="21"/>
              </w:rPr>
              <w:t>分</w:t>
            </w:r>
          </w:p>
        </w:tc>
        <w:tc>
          <w:tcPr>
            <w:tcW w:w="3630" w:type="pct"/>
            <w:vAlign w:val="center"/>
          </w:tcPr>
          <w:p w14:paraId="3942EF79">
            <w:pPr>
              <w:pStyle w:val="36"/>
              <w:spacing w:line="420" w:lineRule="exact"/>
              <w:ind w:firstLine="0" w:firstLineChars="0"/>
              <w:contextualSpacing/>
              <w:rPr>
                <w:rFonts w:ascii="黑体" w:hAnsi="黑体" w:eastAsia="黑体"/>
                <w:color w:val="auto"/>
                <w:sz w:val="21"/>
                <w:szCs w:val="21"/>
              </w:rPr>
            </w:pPr>
            <w:r>
              <w:rPr>
                <w:rFonts w:hint="eastAsia" w:ascii="黑体" w:hAnsi="黑体" w:eastAsia="黑体"/>
                <w:color w:val="auto"/>
                <w:sz w:val="21"/>
                <w:szCs w:val="21"/>
              </w:rPr>
              <w:t>根据投标人所投产品对《用户需求书》中的“▲”号条款技术参数响应情况进行评分</w:t>
            </w:r>
            <w:r>
              <w:rPr>
                <w:rFonts w:hint="eastAsia" w:ascii="黑体" w:hAnsi="黑体" w:eastAsia="黑体"/>
                <w:color w:val="auto"/>
                <w:sz w:val="21"/>
                <w:szCs w:val="21"/>
              </w:rPr>
              <w:t>：每满足一项得</w:t>
            </w:r>
            <w:r>
              <w:rPr>
                <w:rFonts w:ascii="黑体" w:hAnsi="黑体" w:eastAsia="黑体"/>
                <w:color w:val="auto"/>
                <w:sz w:val="21"/>
                <w:szCs w:val="21"/>
              </w:rPr>
              <w:t>2</w:t>
            </w:r>
            <w:r>
              <w:rPr>
                <w:rFonts w:hint="eastAsia" w:ascii="黑体" w:hAnsi="黑体" w:eastAsia="黑体"/>
                <w:color w:val="auto"/>
                <w:sz w:val="21"/>
                <w:szCs w:val="21"/>
              </w:rPr>
              <w:t>分，全部满足的得</w:t>
            </w:r>
            <w:r>
              <w:rPr>
                <w:rFonts w:ascii="黑体" w:hAnsi="黑体" w:eastAsia="黑体"/>
                <w:color w:val="auto"/>
                <w:sz w:val="21"/>
                <w:szCs w:val="21"/>
              </w:rPr>
              <w:t>28</w:t>
            </w:r>
            <w:r>
              <w:rPr>
                <w:rFonts w:hint="eastAsia" w:ascii="黑体" w:hAnsi="黑体" w:eastAsia="黑体"/>
                <w:color w:val="auto"/>
                <w:sz w:val="21"/>
                <w:szCs w:val="21"/>
              </w:rPr>
              <w:t>分。</w:t>
            </w:r>
          </w:p>
          <w:p w14:paraId="181C9CF9">
            <w:pPr>
              <w:spacing w:before="31" w:beforeLines="10" w:after="30" w:line="440" w:lineRule="exact"/>
              <w:rPr>
                <w:rFonts w:ascii="黑体" w:hAnsi="黑体" w:eastAsia="黑体"/>
                <w:b/>
                <w:bCs/>
                <w:color w:val="auto"/>
                <w:u w:val="single"/>
              </w:rPr>
            </w:pPr>
            <w:r>
              <w:rPr>
                <w:rFonts w:hint="eastAsia" w:ascii="黑体" w:hAnsi="黑体" w:eastAsia="黑体"/>
                <w:b/>
                <w:bCs/>
                <w:color w:val="auto"/>
                <w:u w:val="single"/>
              </w:rPr>
              <w:t>注：投标人必须按照《▲号条款要求扣分明细响应表》要求逐条响应，并按以下要求提供证明材料：①</w:t>
            </w:r>
            <w:r>
              <w:rPr>
                <w:rFonts w:hint="eastAsia" w:ascii="黑体" w:hAnsi="黑体" w:eastAsia="黑体" w:cs="黑体"/>
                <w:b/>
                <w:bCs/>
                <w:color w:val="auto"/>
                <w:u w:val="single"/>
              </w:rPr>
              <w:t>采购需求书</w:t>
            </w:r>
            <w:r>
              <w:rPr>
                <w:rFonts w:hint="eastAsia" w:ascii="黑体" w:hAnsi="黑体" w:eastAsia="黑体"/>
                <w:b/>
                <w:bCs/>
                <w:color w:val="auto"/>
                <w:u w:val="single"/>
              </w:rPr>
              <w:t>中有要求的按要求提供证明材料；②</w:t>
            </w:r>
            <w:r>
              <w:rPr>
                <w:rFonts w:hint="eastAsia" w:ascii="黑体" w:hAnsi="黑体" w:eastAsia="黑体" w:cs="黑体"/>
                <w:b/>
                <w:bCs/>
                <w:color w:val="auto"/>
                <w:u w:val="single"/>
              </w:rPr>
              <w:t>采购需求书</w:t>
            </w:r>
            <w:r>
              <w:rPr>
                <w:rFonts w:hint="eastAsia" w:ascii="黑体" w:hAnsi="黑体" w:eastAsia="黑体"/>
                <w:b/>
                <w:bCs/>
                <w:color w:val="auto"/>
                <w:u w:val="single"/>
              </w:rPr>
              <w:t>中未要求提供证明资料的，则投标文件中须提供所投产品制造商的公开网址链接及参数截图，或制造商针对本项目所作的技术参数说明，或第三方检测机构出具的检测报告、公开发行的彩页等，须复印件加盖投标人公章。</w:t>
            </w:r>
          </w:p>
          <w:p w14:paraId="271DC30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eastAsia="黑体"/>
                <w:color w:val="auto"/>
                <w:lang w:val="en-US" w:eastAsia="zh-CN"/>
              </w:rPr>
            </w:pPr>
            <w:r>
              <w:rPr>
                <w:rFonts w:ascii="黑体" w:hAnsi="黑体" w:eastAsia="黑体"/>
                <w:b/>
                <w:bCs/>
                <w:color w:val="auto"/>
                <w:u w:val="single"/>
              </w:rPr>
              <w:t>注：</w:t>
            </w:r>
            <w:r>
              <w:rPr>
                <w:rFonts w:hint="eastAsia" w:ascii="黑体" w:hAnsi="黑体" w:eastAsia="黑体"/>
                <w:b/>
                <w:bCs/>
                <w:color w:val="auto"/>
                <w:u w:val="single"/>
                <w:lang w:val="en-US" w:eastAsia="zh-CN"/>
              </w:rPr>
              <w:t>①视频</w:t>
            </w:r>
            <w:r>
              <w:rPr>
                <w:rFonts w:ascii="黑体" w:hAnsi="黑体" w:eastAsia="黑体"/>
                <w:b/>
                <w:bCs/>
                <w:color w:val="auto"/>
                <w:u w:val="single"/>
              </w:rPr>
              <w:t>演示的内容生成mp4</w:t>
            </w:r>
            <w:r>
              <w:rPr>
                <w:rFonts w:hint="eastAsia" w:ascii="黑体" w:hAnsi="黑体" w:eastAsia="黑体"/>
                <w:b/>
                <w:bCs/>
                <w:color w:val="auto"/>
                <w:u w:val="single"/>
              </w:rPr>
              <w:t>格式视频文件，整体演示时长要求在</w:t>
            </w:r>
            <w:r>
              <w:rPr>
                <w:rFonts w:ascii="黑体" w:hAnsi="黑体" w:eastAsia="黑体"/>
                <w:b/>
                <w:bCs/>
                <w:color w:val="auto"/>
                <w:u w:val="single"/>
              </w:rPr>
              <w:t>10</w:t>
            </w:r>
            <w:r>
              <w:rPr>
                <w:rFonts w:hint="eastAsia" w:ascii="黑体" w:hAnsi="黑体" w:eastAsia="黑体"/>
                <w:b/>
                <w:bCs/>
                <w:color w:val="auto"/>
                <w:u w:val="single"/>
              </w:rPr>
              <w:t>分钟以内全部演示。演示内容须为在真实系统</w:t>
            </w:r>
            <w:r>
              <w:rPr>
                <w:rFonts w:ascii="黑体" w:hAnsi="黑体" w:eastAsia="黑体"/>
                <w:b/>
                <w:bCs/>
                <w:color w:val="auto"/>
                <w:u w:val="single"/>
              </w:rPr>
              <w:t>/</w:t>
            </w:r>
            <w:r>
              <w:rPr>
                <w:rFonts w:hint="eastAsia" w:ascii="黑体" w:hAnsi="黑体" w:eastAsia="黑体"/>
                <w:b/>
                <w:bCs/>
                <w:color w:val="auto"/>
                <w:u w:val="single"/>
              </w:rPr>
              <w:t>软件环境中操作演示的录屏视频；</w:t>
            </w:r>
            <w:r>
              <w:rPr>
                <w:rFonts w:hint="eastAsia" w:ascii="黑体" w:hAnsi="黑体" w:eastAsia="黑体"/>
                <w:b/>
                <w:bCs/>
                <w:color w:val="auto"/>
                <w:u w:val="single"/>
                <w:lang w:val="en-US" w:eastAsia="zh-CN"/>
              </w:rPr>
              <w:t>②</w:t>
            </w:r>
            <w:r>
              <w:rPr>
                <w:rFonts w:hint="eastAsia" w:ascii="黑体" w:hAnsi="黑体" w:eastAsia="黑体"/>
                <w:b/>
                <w:bCs/>
                <w:color w:val="auto"/>
                <w:u w:val="single"/>
              </w:rPr>
              <w:t>不接受</w:t>
            </w:r>
            <w:r>
              <w:rPr>
                <w:rFonts w:ascii="黑体" w:hAnsi="黑体" w:eastAsia="黑体"/>
                <w:b/>
                <w:bCs/>
                <w:color w:val="auto"/>
                <w:u w:val="single"/>
              </w:rPr>
              <w:t>PPT</w:t>
            </w:r>
            <w:r>
              <w:rPr>
                <w:rFonts w:hint="eastAsia" w:ascii="黑体" w:hAnsi="黑体" w:eastAsia="黑体"/>
                <w:b/>
                <w:bCs/>
                <w:color w:val="auto"/>
                <w:u w:val="single"/>
              </w:rPr>
              <w:t>演示、系统截图演示、以及非本单位产品的演示。</w:t>
            </w:r>
            <w:r>
              <w:rPr>
                <w:rFonts w:hint="eastAsia" w:ascii="黑体" w:hAnsi="黑体" w:eastAsia="黑体"/>
                <w:b/>
                <w:bCs/>
                <w:color w:val="auto"/>
                <w:u w:val="single"/>
                <w:lang w:val="en-US" w:eastAsia="zh-CN"/>
              </w:rPr>
              <w:t>③</w:t>
            </w:r>
            <w:r>
              <w:rPr>
                <w:rFonts w:hint="eastAsia" w:ascii="黑体" w:hAnsi="黑体" w:eastAsia="黑体"/>
                <w:b/>
                <w:bCs/>
                <w:color w:val="auto"/>
                <w:u w:val="single"/>
              </w:rPr>
              <w:t>演示视频载体为U盘，可放置于电子文件一同提交。</w:t>
            </w:r>
            <w:r>
              <w:rPr>
                <w:rFonts w:hint="eastAsia" w:ascii="黑体" w:hAnsi="黑体" w:eastAsia="黑体"/>
                <w:b/>
                <w:bCs/>
                <w:color w:val="auto"/>
                <w:u w:val="single"/>
                <w:lang w:val="en-US" w:eastAsia="zh-CN"/>
              </w:rPr>
              <w:t>④视频格式应确保能用Windows操作系统内置播放器可以正常播放，若视频不能正常播放造成的后果由投标人自行承担。</w:t>
            </w:r>
          </w:p>
        </w:tc>
      </w:tr>
      <w:tr w14:paraId="5051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406" w:type="pct"/>
            <w:vAlign w:val="center"/>
          </w:tcPr>
          <w:p w14:paraId="0DEBC7DE">
            <w:pPr>
              <w:spacing w:before="31" w:beforeLines="10" w:after="93" w:afterLines="30" w:line="440" w:lineRule="exact"/>
              <w:jc w:val="center"/>
              <w:rPr>
                <w:rFonts w:ascii="黑体" w:hAnsi="黑体" w:eastAsia="黑体" w:cs="黑体"/>
                <w:color w:val="auto"/>
                <w:szCs w:val="21"/>
              </w:rPr>
            </w:pPr>
            <w:r>
              <w:rPr>
                <w:rFonts w:hint="eastAsia" w:ascii="黑体" w:hAnsi="黑体" w:eastAsia="黑体" w:cs="黑体"/>
                <w:color w:val="auto"/>
                <w:szCs w:val="21"/>
              </w:rPr>
              <w:t>2</w:t>
            </w:r>
          </w:p>
        </w:tc>
        <w:tc>
          <w:tcPr>
            <w:tcW w:w="435" w:type="pct"/>
            <w:vAlign w:val="center"/>
          </w:tcPr>
          <w:p w14:paraId="28325FC3">
            <w:pPr>
              <w:spacing w:line="360" w:lineRule="auto"/>
              <w:jc w:val="center"/>
              <w:rPr>
                <w:rFonts w:ascii="黑体" w:hAnsi="黑体" w:eastAsia="黑体" w:cs="黑体"/>
                <w:color w:val="auto"/>
              </w:rPr>
            </w:pPr>
            <w:r>
              <w:rPr>
                <w:rFonts w:hint="eastAsia" w:ascii="黑体" w:hAnsi="黑体" w:eastAsia="黑体" w:cs="黑体"/>
                <w:color w:val="auto"/>
              </w:rPr>
              <w:t>整体供货服务流程</w:t>
            </w:r>
          </w:p>
        </w:tc>
        <w:tc>
          <w:tcPr>
            <w:tcW w:w="528" w:type="pct"/>
            <w:vAlign w:val="center"/>
          </w:tcPr>
          <w:p w14:paraId="0B2B10A6">
            <w:pPr>
              <w:widowControl/>
              <w:spacing w:line="360" w:lineRule="auto"/>
              <w:jc w:val="center"/>
              <w:rPr>
                <w:rFonts w:ascii="黑体" w:hAnsi="黑体" w:eastAsia="黑体" w:cs="黑体"/>
                <w:color w:val="auto"/>
                <w:szCs w:val="21"/>
              </w:rPr>
            </w:pPr>
            <w:r>
              <w:rPr>
                <w:rFonts w:ascii="黑体" w:hAnsi="黑体" w:eastAsia="黑体" w:cs="黑体"/>
                <w:bCs/>
                <w:color w:val="auto"/>
                <w:szCs w:val="21"/>
              </w:rPr>
              <w:t>8</w:t>
            </w:r>
            <w:r>
              <w:rPr>
                <w:rFonts w:hint="eastAsia" w:ascii="黑体" w:hAnsi="黑体" w:eastAsia="黑体" w:cs="黑体"/>
                <w:bCs/>
                <w:color w:val="auto"/>
                <w:szCs w:val="21"/>
              </w:rPr>
              <w:t>分</w:t>
            </w:r>
          </w:p>
        </w:tc>
        <w:tc>
          <w:tcPr>
            <w:tcW w:w="3630" w:type="pct"/>
            <w:vAlign w:val="center"/>
          </w:tcPr>
          <w:p w14:paraId="763539F6">
            <w:pPr>
              <w:spacing w:line="360" w:lineRule="auto"/>
              <w:rPr>
                <w:rFonts w:ascii="黑体" w:hAnsi="黑体" w:eastAsia="黑体" w:cs="黑体"/>
                <w:color w:val="auto"/>
                <w:kern w:val="0"/>
                <w:szCs w:val="21"/>
              </w:rPr>
            </w:pPr>
            <w:r>
              <w:rPr>
                <w:rFonts w:hint="eastAsia" w:ascii="黑体" w:hAnsi="黑体" w:eastAsia="黑体" w:cs="黑体"/>
                <w:color w:val="auto"/>
                <w:kern w:val="0"/>
                <w:szCs w:val="21"/>
              </w:rPr>
              <w:t>根据投标人针对本项目提供的整体供货服务流程内容是否全面、思路清晰，对重点、难点分析准确、透彻，对应措施科学、可操作性，服务计划是否完善、统筹是否合理等进行评审：</w:t>
            </w:r>
          </w:p>
          <w:p w14:paraId="79F49759">
            <w:pPr>
              <w:spacing w:line="360" w:lineRule="auto"/>
              <w:rPr>
                <w:rFonts w:ascii="黑体" w:hAnsi="黑体" w:eastAsia="黑体" w:cs="黑体"/>
                <w:color w:val="auto"/>
                <w:kern w:val="0"/>
                <w:szCs w:val="21"/>
              </w:rPr>
            </w:pPr>
            <w:r>
              <w:rPr>
                <w:rFonts w:hint="eastAsia" w:ascii="黑体" w:hAnsi="黑体" w:eastAsia="黑体" w:cs="黑体"/>
                <w:color w:val="auto"/>
                <w:kern w:val="0"/>
                <w:szCs w:val="21"/>
              </w:rPr>
              <w:t>①整体供货服务流程内容非常全面，思路清晰明确，具有很强的逻辑性，对本项目供货重点和难点分析非常准确、透彻，对应措施具有高度的科学性，可操作性极强，能切实有效地解决实际问题，服务计划完善，对供货时间、资源等进行了合理且高效的统筹安排的，得</w:t>
            </w:r>
            <w:r>
              <w:rPr>
                <w:rFonts w:ascii="黑体" w:hAnsi="黑体" w:eastAsia="黑体" w:cs="黑体"/>
                <w:color w:val="auto"/>
                <w:kern w:val="0"/>
                <w:szCs w:val="21"/>
              </w:rPr>
              <w:t>8</w:t>
            </w:r>
            <w:r>
              <w:rPr>
                <w:rFonts w:hint="eastAsia" w:ascii="黑体" w:hAnsi="黑体" w:eastAsia="黑体" w:cs="黑体"/>
                <w:color w:val="auto"/>
                <w:kern w:val="0"/>
                <w:szCs w:val="21"/>
              </w:rPr>
              <w:t>分；</w:t>
            </w:r>
          </w:p>
          <w:p w14:paraId="250C1FDE">
            <w:pPr>
              <w:spacing w:line="360" w:lineRule="auto"/>
              <w:rPr>
                <w:rFonts w:ascii="黑体" w:hAnsi="黑体" w:eastAsia="黑体" w:cs="黑体"/>
                <w:color w:val="auto"/>
                <w:kern w:val="0"/>
                <w:szCs w:val="21"/>
              </w:rPr>
            </w:pPr>
            <w:r>
              <w:rPr>
                <w:rFonts w:hint="eastAsia" w:ascii="黑体" w:hAnsi="黑体" w:eastAsia="黑体" w:cs="黑体"/>
                <w:color w:val="auto"/>
                <w:kern w:val="0"/>
                <w:szCs w:val="21"/>
              </w:rPr>
              <w:t>②供货服务流程内容比较全面，对本项目供货重点、难点有较为准确的把握，对应措施合理且具有一定的科学性，可操作性较好，能够较好地应对常见问题。服务计划较为完善，统筹安排较为合理，能够保证整个供货服务流程的顺利推进的，得</w:t>
            </w:r>
            <w:r>
              <w:rPr>
                <w:rFonts w:ascii="黑体" w:hAnsi="黑体" w:eastAsia="黑体" w:cs="黑体"/>
                <w:color w:val="auto"/>
                <w:kern w:val="0"/>
                <w:szCs w:val="21"/>
              </w:rPr>
              <w:t>5</w:t>
            </w:r>
            <w:r>
              <w:rPr>
                <w:rFonts w:hint="eastAsia" w:ascii="黑体" w:hAnsi="黑体" w:eastAsia="黑体" w:cs="黑体"/>
                <w:color w:val="auto"/>
                <w:kern w:val="0"/>
                <w:szCs w:val="21"/>
              </w:rPr>
              <w:t>分；</w:t>
            </w:r>
          </w:p>
          <w:p w14:paraId="19FD7985">
            <w:pPr>
              <w:spacing w:line="360" w:lineRule="auto"/>
              <w:rPr>
                <w:rFonts w:ascii="黑体" w:hAnsi="黑体" w:eastAsia="黑体" w:cs="黑体"/>
                <w:color w:val="auto"/>
                <w:kern w:val="0"/>
                <w:szCs w:val="21"/>
              </w:rPr>
            </w:pPr>
            <w:r>
              <w:rPr>
                <w:rFonts w:hint="eastAsia" w:ascii="黑体" w:hAnsi="黑体" w:eastAsia="黑体" w:cs="黑体"/>
                <w:color w:val="auto"/>
                <w:kern w:val="0"/>
                <w:szCs w:val="21"/>
              </w:rPr>
              <w:t>③供货服务流程内容基本完整，思路基本清晰，对本项目供货重点、难点的分析基本到位，对应措施具有一定的可行性，服务计划基本合理，但在资源利用效率或进度安排上可能存在一些不足的，得</w:t>
            </w:r>
            <w:r>
              <w:rPr>
                <w:rFonts w:ascii="黑体" w:hAnsi="黑体" w:eastAsia="黑体" w:cs="黑体"/>
                <w:color w:val="auto"/>
                <w:kern w:val="0"/>
                <w:szCs w:val="21"/>
              </w:rPr>
              <w:t>3</w:t>
            </w:r>
            <w:r>
              <w:rPr>
                <w:rFonts w:hint="eastAsia" w:ascii="黑体" w:hAnsi="黑体" w:eastAsia="黑体" w:cs="黑体"/>
                <w:color w:val="auto"/>
                <w:kern w:val="0"/>
                <w:szCs w:val="21"/>
              </w:rPr>
              <w:t>分；</w:t>
            </w:r>
          </w:p>
          <w:p w14:paraId="7D938A10">
            <w:pPr>
              <w:spacing w:line="360" w:lineRule="auto"/>
              <w:rPr>
                <w:rFonts w:ascii="黑体" w:hAnsi="黑体" w:eastAsia="黑体" w:cs="黑体"/>
                <w:color w:val="auto"/>
                <w:kern w:val="0"/>
                <w:szCs w:val="21"/>
              </w:rPr>
            </w:pPr>
            <w:r>
              <w:rPr>
                <w:rFonts w:hint="eastAsia" w:ascii="黑体" w:hAnsi="黑体" w:eastAsia="黑体" w:cs="黑体"/>
                <w:color w:val="auto"/>
                <w:kern w:val="0"/>
                <w:szCs w:val="21"/>
              </w:rPr>
              <w:t>④供货服务流程内容存在明显的不全面之处，有较多遗漏或错误。对本项目供货重点、难点分析不准确，存在较大偏差，导致应对措施也缺乏针对性和有效性。服务计划缺乏合理性和统筹性，无法保障整个供货服务流程的顺利进行的，得1分；</w:t>
            </w:r>
          </w:p>
          <w:p w14:paraId="6496472C">
            <w:pPr>
              <w:spacing w:line="360" w:lineRule="auto"/>
              <w:rPr>
                <w:rFonts w:ascii="黑体" w:hAnsi="黑体" w:eastAsia="黑体" w:cs="黑体"/>
                <w:b/>
                <w:bCs/>
                <w:color w:val="auto"/>
                <w:u w:val="single"/>
              </w:rPr>
            </w:pPr>
            <w:r>
              <w:rPr>
                <w:rFonts w:hint="eastAsia" w:ascii="黑体" w:hAnsi="黑体" w:eastAsia="黑体" w:cs="黑体"/>
                <w:color w:val="auto"/>
                <w:kern w:val="0"/>
                <w:szCs w:val="21"/>
              </w:rPr>
              <w:t>⑤</w:t>
            </w:r>
            <w:r>
              <w:rPr>
                <w:rFonts w:hint="eastAsia" w:ascii="黑体" w:hAnsi="黑体" w:eastAsia="黑体" w:cs="黑体"/>
                <w:color w:val="auto"/>
                <w:szCs w:val="21"/>
              </w:rPr>
              <w:t>未提供对应方案不得分。</w:t>
            </w:r>
          </w:p>
        </w:tc>
      </w:tr>
      <w:tr w14:paraId="4485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06" w:type="pct"/>
            <w:vAlign w:val="center"/>
          </w:tcPr>
          <w:p w14:paraId="3F027D93">
            <w:pPr>
              <w:spacing w:before="31" w:beforeLines="10" w:after="93" w:afterLines="30" w:line="440" w:lineRule="exact"/>
              <w:jc w:val="center"/>
              <w:rPr>
                <w:rFonts w:ascii="黑体" w:hAnsi="黑体" w:eastAsia="黑体" w:cs="黑体"/>
                <w:color w:val="auto"/>
                <w:szCs w:val="21"/>
              </w:rPr>
            </w:pPr>
            <w:r>
              <w:rPr>
                <w:rFonts w:hint="eastAsia" w:ascii="黑体" w:hAnsi="黑体" w:eastAsia="黑体" w:cs="黑体"/>
                <w:color w:val="auto"/>
                <w:szCs w:val="21"/>
              </w:rPr>
              <w:t>3</w:t>
            </w:r>
          </w:p>
        </w:tc>
        <w:tc>
          <w:tcPr>
            <w:tcW w:w="435" w:type="pct"/>
            <w:vAlign w:val="center"/>
          </w:tcPr>
          <w:p w14:paraId="4D7406F7">
            <w:pPr>
              <w:spacing w:before="31" w:beforeLines="10" w:after="30" w:line="440" w:lineRule="exact"/>
              <w:jc w:val="center"/>
              <w:rPr>
                <w:rFonts w:ascii="黑体" w:hAnsi="黑体" w:eastAsia="黑体" w:cs="黑体"/>
                <w:bCs/>
                <w:color w:val="auto"/>
                <w:szCs w:val="21"/>
              </w:rPr>
            </w:pPr>
            <w:r>
              <w:rPr>
                <w:rFonts w:hint="eastAsia" w:ascii="黑体" w:hAnsi="黑体" w:eastAsia="黑体" w:cs="黑体"/>
                <w:color w:val="auto"/>
                <w:szCs w:val="21"/>
              </w:rPr>
              <w:t>培训要求</w:t>
            </w:r>
          </w:p>
        </w:tc>
        <w:tc>
          <w:tcPr>
            <w:tcW w:w="528" w:type="pct"/>
            <w:vAlign w:val="center"/>
          </w:tcPr>
          <w:p w14:paraId="3E99F7E3">
            <w:pPr>
              <w:widowControl/>
              <w:spacing w:before="31" w:beforeLines="10" w:after="30" w:line="440" w:lineRule="exact"/>
              <w:jc w:val="center"/>
              <w:rPr>
                <w:rFonts w:ascii="黑体" w:hAnsi="黑体" w:eastAsia="黑体" w:cs="黑体"/>
                <w:color w:val="auto"/>
                <w:szCs w:val="21"/>
              </w:rPr>
            </w:pPr>
            <w:r>
              <w:rPr>
                <w:rFonts w:ascii="黑体" w:hAnsi="黑体" w:eastAsia="黑体" w:cs="黑体"/>
                <w:color w:val="auto"/>
                <w:szCs w:val="21"/>
              </w:rPr>
              <w:t>7</w:t>
            </w:r>
            <w:r>
              <w:rPr>
                <w:rFonts w:hint="eastAsia" w:ascii="黑体" w:hAnsi="黑体" w:eastAsia="黑体" w:cs="黑体"/>
                <w:color w:val="auto"/>
                <w:szCs w:val="21"/>
              </w:rPr>
              <w:t>分</w:t>
            </w:r>
          </w:p>
        </w:tc>
        <w:tc>
          <w:tcPr>
            <w:tcW w:w="3630" w:type="pct"/>
            <w:vAlign w:val="center"/>
          </w:tcPr>
          <w:p w14:paraId="36C3FD60">
            <w:pPr>
              <w:spacing w:before="31" w:beforeLines="10" w:after="30" w:line="440" w:lineRule="exact"/>
              <w:rPr>
                <w:rFonts w:ascii="黑体" w:hAnsi="黑体" w:eastAsia="黑体" w:cs="黑体"/>
                <w:color w:val="auto"/>
                <w:szCs w:val="21"/>
              </w:rPr>
            </w:pPr>
            <w:r>
              <w:rPr>
                <w:rFonts w:hint="eastAsia" w:ascii="黑体" w:hAnsi="黑体" w:eastAsia="黑体" w:cs="黑体"/>
                <w:color w:val="auto"/>
                <w:szCs w:val="21"/>
              </w:rPr>
              <w:t>根据投标人提供的项目培训方案（</w:t>
            </w:r>
            <w:r>
              <w:rPr>
                <w:rFonts w:hint="eastAsia" w:ascii="黑体" w:hAnsi="黑体" w:eastAsia="黑体" w:cs="黑体"/>
                <w:color w:val="auto"/>
                <w:kern w:val="0"/>
                <w:szCs w:val="21"/>
              </w:rPr>
              <w:t>仪器的基本结构、性能、主要部件的构造及原理，使用方法、维护方法、保养与管理，常见故障的排除，紧急情况的处理）的可行性、合理性、实用性等方面进行评审</w:t>
            </w:r>
            <w:r>
              <w:rPr>
                <w:rFonts w:hint="eastAsia" w:ascii="黑体" w:hAnsi="黑体" w:eastAsia="黑体" w:cs="黑体"/>
                <w:color w:val="auto"/>
                <w:szCs w:val="21"/>
              </w:rPr>
              <w:t>进行评审：</w:t>
            </w:r>
          </w:p>
          <w:p w14:paraId="4F8EF136">
            <w:pPr>
              <w:spacing w:before="31" w:beforeLines="10" w:after="30" w:line="440" w:lineRule="exact"/>
              <w:rPr>
                <w:rFonts w:ascii="黑体" w:hAnsi="黑体" w:eastAsia="黑体" w:cs="黑体"/>
                <w:color w:val="auto"/>
                <w:szCs w:val="21"/>
              </w:rPr>
            </w:pPr>
            <w:r>
              <w:rPr>
                <w:rFonts w:hint="eastAsia" w:ascii="黑体" w:hAnsi="黑体" w:eastAsia="黑体" w:cs="黑体"/>
                <w:color w:val="auto"/>
                <w:kern w:val="0"/>
                <w:szCs w:val="21"/>
              </w:rPr>
              <w:t>①</w:t>
            </w:r>
            <w:r>
              <w:rPr>
                <w:rFonts w:hint="eastAsia" w:ascii="黑体" w:hAnsi="黑体" w:eastAsia="黑体" w:cs="黑体"/>
                <w:color w:val="auto"/>
                <w:kern w:val="0"/>
                <w:szCs w:val="21"/>
              </w:rPr>
              <w:t>培训课程设计和内容针对本项目所采购的设备制定相应课程，培训内容非常详实、授课讲师人员组织安排非常合理，培训目标非常明确，有利于培训对象的学习及知识的掌握，经培训后能确保操作人员相关的实操技能并能进行基础的保养和简单维修</w:t>
            </w:r>
            <w:r>
              <w:rPr>
                <w:rFonts w:hint="eastAsia" w:ascii="黑体" w:hAnsi="黑体" w:eastAsia="黑体" w:cs="黑体"/>
                <w:color w:val="auto"/>
                <w:szCs w:val="21"/>
              </w:rPr>
              <w:t>的，得</w:t>
            </w:r>
            <w:r>
              <w:rPr>
                <w:rFonts w:ascii="黑体" w:hAnsi="黑体" w:eastAsia="黑体" w:cs="黑体"/>
                <w:color w:val="auto"/>
                <w:szCs w:val="21"/>
              </w:rPr>
              <w:t>7</w:t>
            </w:r>
            <w:r>
              <w:rPr>
                <w:rFonts w:hint="eastAsia" w:ascii="黑体" w:hAnsi="黑体" w:eastAsia="黑体" w:cs="黑体"/>
                <w:color w:val="auto"/>
                <w:szCs w:val="21"/>
              </w:rPr>
              <w:t>分；</w:t>
            </w:r>
          </w:p>
          <w:p w14:paraId="40DAAC8A">
            <w:pPr>
              <w:spacing w:before="31" w:beforeLines="10" w:after="30" w:line="440" w:lineRule="exact"/>
              <w:rPr>
                <w:rFonts w:ascii="黑体" w:hAnsi="黑体" w:eastAsia="黑体" w:cs="黑体"/>
                <w:color w:val="auto"/>
                <w:szCs w:val="21"/>
              </w:rPr>
            </w:pPr>
            <w:r>
              <w:rPr>
                <w:rFonts w:hint="eastAsia" w:ascii="黑体" w:hAnsi="黑体" w:eastAsia="黑体" w:cs="黑体"/>
                <w:color w:val="auto"/>
                <w:szCs w:val="21"/>
              </w:rPr>
              <w:t>②</w:t>
            </w:r>
            <w:r>
              <w:rPr>
                <w:rFonts w:hint="eastAsia" w:ascii="黑体" w:hAnsi="黑体" w:eastAsia="黑体" w:cs="黑体"/>
                <w:color w:val="auto"/>
                <w:kern w:val="0"/>
                <w:szCs w:val="21"/>
              </w:rPr>
              <w:t>培训课程设计和内容有设备特点制定相应课程，培训内容较为丰富、授课讲师人员组织安排合理，培训目标相对明确，比较有利于培训对象的学习及掌握操作技巧</w:t>
            </w:r>
            <w:r>
              <w:rPr>
                <w:rFonts w:hint="eastAsia" w:ascii="黑体" w:hAnsi="黑体" w:eastAsia="黑体" w:cs="黑体"/>
                <w:color w:val="auto"/>
                <w:szCs w:val="21"/>
              </w:rPr>
              <w:t>的，得</w:t>
            </w:r>
            <w:r>
              <w:rPr>
                <w:rFonts w:ascii="黑体" w:hAnsi="黑体" w:eastAsia="黑体" w:cs="黑体"/>
                <w:color w:val="auto"/>
                <w:szCs w:val="21"/>
              </w:rPr>
              <w:t>5</w:t>
            </w:r>
            <w:r>
              <w:rPr>
                <w:rFonts w:hint="eastAsia" w:ascii="黑体" w:hAnsi="黑体" w:eastAsia="黑体" w:cs="黑体"/>
                <w:color w:val="auto"/>
                <w:szCs w:val="21"/>
              </w:rPr>
              <w:t>分；</w:t>
            </w:r>
          </w:p>
          <w:p w14:paraId="300864B4">
            <w:pPr>
              <w:spacing w:before="31" w:beforeLines="10" w:after="30" w:line="440" w:lineRule="exact"/>
              <w:rPr>
                <w:rFonts w:ascii="黑体" w:hAnsi="黑体" w:eastAsia="黑体" w:cs="黑体"/>
                <w:color w:val="auto"/>
                <w:szCs w:val="21"/>
              </w:rPr>
            </w:pPr>
            <w:r>
              <w:rPr>
                <w:rFonts w:hint="eastAsia" w:ascii="黑体" w:hAnsi="黑体" w:eastAsia="黑体" w:cs="黑体"/>
                <w:color w:val="auto"/>
                <w:szCs w:val="21"/>
              </w:rPr>
              <w:t>③</w:t>
            </w:r>
            <w:r>
              <w:rPr>
                <w:rFonts w:hint="eastAsia" w:ascii="黑体" w:hAnsi="黑体" w:eastAsia="黑体" w:cs="黑体"/>
                <w:color w:val="auto"/>
                <w:kern w:val="0"/>
                <w:szCs w:val="21"/>
              </w:rPr>
              <w:t>培训课程设计和内容未能根据设备特点制定相应课程，培训内容尚可，培训目标不太明确，基本能确保培训对象的学习及掌握操作技巧</w:t>
            </w:r>
            <w:r>
              <w:rPr>
                <w:rFonts w:hint="eastAsia" w:ascii="黑体" w:hAnsi="黑体" w:eastAsia="黑体" w:cs="黑体"/>
                <w:color w:val="auto"/>
                <w:szCs w:val="21"/>
              </w:rPr>
              <w:t>的，得</w:t>
            </w:r>
            <w:r>
              <w:rPr>
                <w:rFonts w:ascii="黑体" w:hAnsi="黑体" w:eastAsia="黑体" w:cs="黑体"/>
                <w:color w:val="auto"/>
                <w:szCs w:val="21"/>
              </w:rPr>
              <w:t>3</w:t>
            </w:r>
            <w:r>
              <w:rPr>
                <w:rFonts w:hint="eastAsia" w:ascii="黑体" w:hAnsi="黑体" w:eastAsia="黑体" w:cs="黑体"/>
                <w:color w:val="auto"/>
                <w:szCs w:val="21"/>
              </w:rPr>
              <w:t>分；</w:t>
            </w:r>
          </w:p>
          <w:p w14:paraId="63D2377C">
            <w:pPr>
              <w:spacing w:before="31" w:beforeLines="10" w:after="30" w:line="440" w:lineRule="exact"/>
              <w:rPr>
                <w:rFonts w:ascii="黑体" w:hAnsi="黑体" w:eastAsia="黑体" w:cs="黑体"/>
                <w:color w:val="auto"/>
                <w:szCs w:val="21"/>
              </w:rPr>
            </w:pPr>
            <w:r>
              <w:rPr>
                <w:rFonts w:hint="eastAsia" w:ascii="黑体" w:hAnsi="黑体" w:eastAsia="黑体" w:cs="黑体"/>
                <w:color w:val="auto"/>
                <w:szCs w:val="21"/>
              </w:rPr>
              <w:t>④</w:t>
            </w:r>
            <w:r>
              <w:rPr>
                <w:rFonts w:hint="eastAsia" w:ascii="黑体" w:hAnsi="黑体" w:eastAsia="黑体" w:cs="黑体"/>
                <w:color w:val="auto"/>
                <w:kern w:val="0"/>
                <w:szCs w:val="21"/>
              </w:rPr>
              <w:t>培训课程设计和内容未根据设备特点制定相应课程，培训内容单一，培训目标未明确，无法确保培训对象的学习及掌握操作技巧</w:t>
            </w:r>
            <w:r>
              <w:rPr>
                <w:rFonts w:hint="eastAsia" w:ascii="黑体" w:hAnsi="黑体" w:eastAsia="黑体" w:cs="黑体"/>
                <w:color w:val="auto"/>
                <w:szCs w:val="21"/>
              </w:rPr>
              <w:t>的，得1分；</w:t>
            </w:r>
          </w:p>
          <w:p w14:paraId="4ACB0E1B">
            <w:pPr>
              <w:spacing w:before="31" w:beforeLines="10" w:after="30" w:line="440" w:lineRule="exact"/>
              <w:rPr>
                <w:rFonts w:ascii="黑体" w:hAnsi="黑体" w:eastAsia="黑体" w:cs="黑体"/>
                <w:color w:val="auto"/>
                <w:szCs w:val="21"/>
              </w:rPr>
            </w:pPr>
            <w:r>
              <w:rPr>
                <w:rFonts w:hint="eastAsia" w:ascii="黑体" w:hAnsi="黑体" w:eastAsia="黑体" w:cs="黑体"/>
                <w:color w:val="auto"/>
                <w:kern w:val="0"/>
                <w:szCs w:val="21"/>
              </w:rPr>
              <w:t>⑤</w:t>
            </w:r>
            <w:r>
              <w:rPr>
                <w:rFonts w:hint="eastAsia" w:ascii="黑体" w:hAnsi="黑体" w:eastAsia="黑体" w:cs="黑体"/>
                <w:color w:val="auto"/>
                <w:szCs w:val="21"/>
              </w:rPr>
              <w:t>未提供对应方案不得分。</w:t>
            </w:r>
          </w:p>
        </w:tc>
      </w:tr>
      <w:tr w14:paraId="0D88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06" w:type="pct"/>
            <w:vAlign w:val="center"/>
          </w:tcPr>
          <w:p w14:paraId="0E09C623">
            <w:pPr>
              <w:spacing w:line="360" w:lineRule="auto"/>
              <w:jc w:val="center"/>
              <w:rPr>
                <w:rFonts w:ascii="黑体" w:hAnsi="黑体" w:eastAsia="黑体" w:cs="黑体"/>
                <w:color w:val="auto"/>
                <w:szCs w:val="21"/>
              </w:rPr>
            </w:pPr>
            <w:r>
              <w:rPr>
                <w:rFonts w:hint="eastAsia" w:ascii="黑体" w:hAnsi="黑体" w:eastAsia="黑体" w:cs="黑体"/>
                <w:color w:val="auto"/>
                <w:szCs w:val="21"/>
              </w:rPr>
              <w:t>4</w:t>
            </w:r>
          </w:p>
        </w:tc>
        <w:tc>
          <w:tcPr>
            <w:tcW w:w="435" w:type="pct"/>
            <w:vAlign w:val="center"/>
          </w:tcPr>
          <w:p w14:paraId="48152D8B">
            <w:pPr>
              <w:spacing w:line="360" w:lineRule="auto"/>
              <w:jc w:val="center"/>
              <w:rPr>
                <w:rFonts w:ascii="黑体" w:hAnsi="黑体" w:eastAsia="黑体" w:cs="黑体"/>
                <w:bCs/>
                <w:color w:val="auto"/>
                <w:szCs w:val="21"/>
              </w:rPr>
            </w:pPr>
            <w:r>
              <w:rPr>
                <w:rFonts w:hint="eastAsia" w:ascii="黑体" w:hAnsi="黑体" w:eastAsia="黑体" w:cs="黑体"/>
                <w:bCs/>
                <w:color w:val="auto"/>
                <w:szCs w:val="21"/>
              </w:rPr>
              <w:t>应急预案</w:t>
            </w:r>
          </w:p>
        </w:tc>
        <w:tc>
          <w:tcPr>
            <w:tcW w:w="528" w:type="pct"/>
            <w:vAlign w:val="center"/>
          </w:tcPr>
          <w:p w14:paraId="6508C45A">
            <w:pPr>
              <w:widowControl/>
              <w:spacing w:line="360" w:lineRule="auto"/>
              <w:jc w:val="center"/>
              <w:rPr>
                <w:rFonts w:ascii="黑体" w:hAnsi="黑体" w:eastAsia="黑体" w:cs="黑体"/>
                <w:color w:val="auto"/>
                <w:szCs w:val="21"/>
              </w:rPr>
            </w:pPr>
            <w:r>
              <w:rPr>
                <w:rFonts w:ascii="黑体" w:hAnsi="黑体" w:eastAsia="黑体" w:cs="黑体"/>
                <w:color w:val="auto"/>
                <w:szCs w:val="21"/>
              </w:rPr>
              <w:t>7</w:t>
            </w:r>
            <w:r>
              <w:rPr>
                <w:rFonts w:hint="eastAsia" w:ascii="黑体" w:hAnsi="黑体" w:eastAsia="黑体" w:cs="黑体"/>
                <w:color w:val="auto"/>
                <w:szCs w:val="21"/>
              </w:rPr>
              <w:t>分</w:t>
            </w:r>
          </w:p>
        </w:tc>
        <w:tc>
          <w:tcPr>
            <w:tcW w:w="3630" w:type="pct"/>
            <w:vAlign w:val="center"/>
          </w:tcPr>
          <w:p w14:paraId="298D3119">
            <w:pPr>
              <w:spacing w:line="360" w:lineRule="auto"/>
              <w:rPr>
                <w:rFonts w:ascii="黑体" w:hAnsi="黑体" w:eastAsia="黑体" w:cs="黑体"/>
                <w:color w:val="auto"/>
                <w:szCs w:val="21"/>
              </w:rPr>
            </w:pPr>
            <w:r>
              <w:rPr>
                <w:rFonts w:hint="eastAsia" w:ascii="黑体" w:hAnsi="黑体" w:eastAsia="黑体" w:cs="黑体"/>
                <w:color w:val="auto"/>
                <w:szCs w:val="21"/>
              </w:rPr>
              <w:t>根据各投标人针对本项目设备出现包括但不限于设备突发紧急维修情况、备品备件临时紧急供货等提出的应急预案措施，根据预案及措施切合实际的程度、详细具体的程度及承诺情况进行评审：</w:t>
            </w:r>
          </w:p>
          <w:p w14:paraId="352DA35E">
            <w:pPr>
              <w:spacing w:line="360" w:lineRule="auto"/>
              <w:rPr>
                <w:rFonts w:ascii="黑体" w:hAnsi="黑体" w:eastAsia="黑体" w:cs="黑体"/>
                <w:color w:val="auto"/>
                <w:szCs w:val="21"/>
              </w:rPr>
            </w:pPr>
            <w:r>
              <w:rPr>
                <w:rFonts w:hint="eastAsia" w:ascii="黑体" w:hAnsi="黑体" w:eastAsia="黑体" w:cs="黑体"/>
                <w:color w:val="auto"/>
                <w:szCs w:val="21"/>
              </w:rPr>
              <w:t>①预案和措施紧密结合项目实际情况，内容详尽、具体，并在方案中明确承诺将按照预案和措施执行，并对执行效果承担相应责任的，得</w:t>
            </w:r>
            <w:r>
              <w:rPr>
                <w:rFonts w:ascii="黑体" w:hAnsi="黑体" w:eastAsia="黑体" w:cs="黑体"/>
                <w:color w:val="auto"/>
                <w:szCs w:val="21"/>
              </w:rPr>
              <w:t>7</w:t>
            </w:r>
            <w:r>
              <w:rPr>
                <w:rFonts w:hint="eastAsia" w:ascii="黑体" w:hAnsi="黑体" w:eastAsia="黑体" w:cs="黑体"/>
                <w:color w:val="auto"/>
                <w:szCs w:val="21"/>
              </w:rPr>
              <w:t>分；</w:t>
            </w:r>
          </w:p>
          <w:p w14:paraId="4FBEE708">
            <w:pPr>
              <w:pStyle w:val="68"/>
              <w:spacing w:line="360" w:lineRule="auto"/>
              <w:jc w:val="left"/>
              <w:rPr>
                <w:rFonts w:ascii="黑体" w:hAnsi="黑体" w:eastAsia="黑体" w:cs="黑体"/>
                <w:bCs/>
                <w:color w:val="auto"/>
                <w:szCs w:val="21"/>
              </w:rPr>
            </w:pPr>
            <w:r>
              <w:rPr>
                <w:rFonts w:hint="eastAsia" w:ascii="黑体" w:hAnsi="黑体" w:eastAsia="黑体" w:cs="黑体"/>
                <w:b w:val="0"/>
                <w:color w:val="auto"/>
                <w:szCs w:val="21"/>
              </w:rPr>
              <w:t>②预案和措施基本符合项目实际情况，内容相对完整，方案中承诺将按照预案和措施执行，并对执行效果承担一定责任的，得</w:t>
            </w:r>
            <w:r>
              <w:rPr>
                <w:rFonts w:ascii="黑体" w:hAnsi="黑体" w:eastAsia="黑体" w:cs="黑体"/>
                <w:b w:val="0"/>
                <w:color w:val="auto"/>
                <w:szCs w:val="21"/>
              </w:rPr>
              <w:t>5</w:t>
            </w:r>
            <w:r>
              <w:rPr>
                <w:rFonts w:hint="eastAsia" w:ascii="黑体" w:hAnsi="黑体" w:eastAsia="黑体" w:cs="黑体"/>
                <w:b w:val="0"/>
                <w:color w:val="auto"/>
                <w:szCs w:val="21"/>
              </w:rPr>
              <w:t>分；</w:t>
            </w:r>
          </w:p>
          <w:p w14:paraId="2AC40072">
            <w:pPr>
              <w:spacing w:line="360" w:lineRule="auto"/>
              <w:rPr>
                <w:rFonts w:ascii="黑体" w:hAnsi="黑体" w:eastAsia="黑体" w:cs="黑体"/>
                <w:color w:val="auto"/>
                <w:szCs w:val="21"/>
              </w:rPr>
            </w:pPr>
            <w:r>
              <w:rPr>
                <w:rFonts w:hint="eastAsia" w:ascii="黑体" w:hAnsi="黑体" w:eastAsia="黑体" w:cs="黑体"/>
                <w:color w:val="auto"/>
                <w:szCs w:val="21"/>
              </w:rPr>
              <w:t>③预案和措施在一定程度上考虑了项目实际情况，内容相对简单，在方案中做出了一定的承诺，但可能缺乏明确的执行计划和责任承担的，得</w:t>
            </w:r>
            <w:r>
              <w:rPr>
                <w:rFonts w:ascii="黑体" w:hAnsi="黑体" w:eastAsia="黑体" w:cs="黑体"/>
                <w:color w:val="auto"/>
                <w:szCs w:val="21"/>
              </w:rPr>
              <w:t>3</w:t>
            </w:r>
            <w:r>
              <w:rPr>
                <w:rFonts w:hint="eastAsia" w:ascii="黑体" w:hAnsi="黑体" w:eastAsia="黑体" w:cs="黑体"/>
                <w:color w:val="auto"/>
                <w:szCs w:val="21"/>
              </w:rPr>
              <w:t>分；</w:t>
            </w:r>
          </w:p>
          <w:p w14:paraId="1EB8E9F8">
            <w:pPr>
              <w:pStyle w:val="2"/>
              <w:rPr>
                <w:rFonts w:ascii="黑体" w:hAnsi="黑体" w:eastAsia="黑体" w:cs="黑体"/>
                <w:color w:val="auto"/>
                <w:szCs w:val="21"/>
              </w:rPr>
            </w:pPr>
            <w:r>
              <w:rPr>
                <w:rFonts w:hint="eastAsia" w:ascii="黑体" w:hAnsi="黑体" w:eastAsia="黑体" w:cs="黑体"/>
                <w:color w:val="auto"/>
                <w:szCs w:val="21"/>
              </w:rPr>
              <w:t>④预案和措施未能充分考虑项目实际情况，预案和措施内容简单粗糙，在方案中未做出明确承诺或承诺内容模糊不清，无法确保预案和措施的有效实施的，得1分；</w:t>
            </w:r>
          </w:p>
          <w:p w14:paraId="7517BABB">
            <w:pPr>
              <w:rPr>
                <w:rFonts w:ascii="黑体" w:hAnsi="黑体" w:eastAsia="黑体" w:cs="黑体"/>
                <w:color w:val="auto"/>
              </w:rPr>
            </w:pPr>
            <w:r>
              <w:rPr>
                <w:rFonts w:hint="eastAsia" w:ascii="黑体" w:hAnsi="黑体" w:eastAsia="黑体" w:cs="黑体"/>
                <w:color w:val="auto"/>
                <w:kern w:val="0"/>
                <w:szCs w:val="21"/>
              </w:rPr>
              <w:t>⑤</w:t>
            </w:r>
            <w:r>
              <w:rPr>
                <w:rFonts w:hint="eastAsia" w:ascii="黑体" w:hAnsi="黑体" w:eastAsia="黑体" w:cs="黑体"/>
                <w:color w:val="auto"/>
                <w:szCs w:val="21"/>
              </w:rPr>
              <w:t>未提供对应方案不得分。</w:t>
            </w:r>
          </w:p>
        </w:tc>
      </w:tr>
    </w:tbl>
    <w:p w14:paraId="0282244F">
      <w:pPr>
        <w:pStyle w:val="3"/>
        <w:keepNext w:val="0"/>
        <w:keepLines w:val="0"/>
        <w:pageBreakBefore/>
        <w:spacing w:line="360" w:lineRule="auto"/>
        <w:jc w:val="center"/>
        <w:rPr>
          <w:rFonts w:ascii="黑体" w:hAnsi="黑体" w:eastAsia="黑体"/>
          <w:color w:val="auto"/>
          <w:spacing w:val="20"/>
          <w:sz w:val="32"/>
          <w:szCs w:val="32"/>
        </w:rPr>
      </w:pPr>
      <w:bookmarkStart w:id="65" w:name="_Toc405313956"/>
      <w:bookmarkStart w:id="66" w:name="_Toc119514290"/>
      <w:bookmarkStart w:id="67" w:name="_Toc391627752"/>
      <w:r>
        <w:rPr>
          <w:rFonts w:hint="eastAsia" w:ascii="黑体" w:hAnsi="黑体" w:eastAsia="黑体"/>
          <w:color w:val="auto"/>
          <w:spacing w:val="20"/>
          <w:sz w:val="32"/>
          <w:szCs w:val="32"/>
        </w:rPr>
        <w:t>第六部分</w:t>
      </w:r>
      <w:r>
        <w:rPr>
          <w:rFonts w:ascii="黑体" w:hAnsi="黑体" w:eastAsia="黑体"/>
          <w:color w:val="auto"/>
          <w:spacing w:val="20"/>
          <w:sz w:val="32"/>
          <w:szCs w:val="32"/>
        </w:rPr>
        <w:t xml:space="preserve"> </w:t>
      </w:r>
      <w:r>
        <w:rPr>
          <w:rFonts w:hint="eastAsia" w:ascii="黑体" w:hAnsi="黑体" w:eastAsia="黑体"/>
          <w:color w:val="auto"/>
          <w:spacing w:val="20"/>
          <w:sz w:val="32"/>
          <w:szCs w:val="32"/>
        </w:rPr>
        <w:t>合同书格式</w:t>
      </w:r>
      <w:bookmarkEnd w:id="65"/>
      <w:bookmarkEnd w:id="66"/>
      <w:bookmarkEnd w:id="67"/>
    </w:p>
    <w:p w14:paraId="1A0F9301">
      <w:pPr>
        <w:spacing w:line="360" w:lineRule="auto"/>
        <w:jc w:val="center"/>
        <w:rPr>
          <w:rFonts w:ascii="黑体" w:hAnsi="黑体" w:eastAsia="黑体"/>
          <w:color w:val="auto"/>
        </w:rPr>
      </w:pPr>
      <w:r>
        <w:rPr>
          <w:rFonts w:hint="eastAsia" w:ascii="黑体" w:hAnsi="黑体" w:eastAsia="黑体"/>
          <w:color w:val="auto"/>
        </w:rPr>
        <w:t>（本格式编排在招标文件中，供投标人参考，投标时不需填写）</w:t>
      </w:r>
    </w:p>
    <w:p w14:paraId="774B2CCF">
      <w:pPr>
        <w:spacing w:line="360" w:lineRule="auto"/>
        <w:jc w:val="center"/>
        <w:rPr>
          <w:rFonts w:ascii="黑体" w:hAnsi="黑体" w:eastAsia="黑体"/>
          <w:bCs/>
          <w:color w:val="auto"/>
          <w:szCs w:val="21"/>
        </w:rPr>
      </w:pPr>
    </w:p>
    <w:p w14:paraId="43AD85B3">
      <w:pPr>
        <w:spacing w:before="468" w:beforeLines="150" w:after="780" w:afterLines="250" w:line="360" w:lineRule="auto"/>
        <w:jc w:val="center"/>
        <w:rPr>
          <w:rFonts w:ascii="黑体" w:hAnsi="黑体" w:eastAsia="黑体"/>
          <w:bCs/>
          <w:color w:val="auto"/>
          <w:sz w:val="50"/>
          <w:szCs w:val="50"/>
        </w:rPr>
      </w:pPr>
      <w:r>
        <w:rPr>
          <w:rFonts w:hint="eastAsia" w:ascii="黑体" w:hAnsi="黑体" w:eastAsia="黑体"/>
          <w:bCs/>
          <w:color w:val="auto"/>
          <w:sz w:val="50"/>
          <w:szCs w:val="50"/>
        </w:rPr>
        <w:t>东莞市汽车技术学校城市轨道交通通信与运营综合实训平台采购项目</w:t>
      </w:r>
    </w:p>
    <w:p w14:paraId="17951235">
      <w:pPr>
        <w:spacing w:line="360" w:lineRule="auto"/>
        <w:jc w:val="center"/>
        <w:rPr>
          <w:rFonts w:ascii="黑体" w:hAnsi="黑体" w:eastAsia="黑体"/>
          <w:bCs/>
          <w:color w:val="auto"/>
          <w:sz w:val="50"/>
          <w:szCs w:val="50"/>
        </w:rPr>
      </w:pPr>
    </w:p>
    <w:p w14:paraId="32130FE3">
      <w:pPr>
        <w:spacing w:before="1092" w:beforeLines="350" w:after="468" w:afterLines="150" w:line="360" w:lineRule="auto"/>
        <w:jc w:val="center"/>
        <w:rPr>
          <w:rFonts w:ascii="黑体" w:hAnsi="黑体" w:eastAsia="黑体"/>
          <w:b/>
          <w:bCs/>
          <w:color w:val="auto"/>
          <w:spacing w:val="60"/>
          <w:sz w:val="52"/>
          <w:szCs w:val="52"/>
        </w:rPr>
      </w:pPr>
      <w:r>
        <w:rPr>
          <w:rFonts w:hint="eastAsia" w:ascii="黑体" w:hAnsi="黑体" w:eastAsia="黑体"/>
          <w:b/>
          <w:bCs/>
          <w:color w:val="auto"/>
          <w:spacing w:val="60"/>
          <w:sz w:val="52"/>
          <w:szCs w:val="52"/>
        </w:rPr>
        <w:t>合同文件</w:t>
      </w:r>
    </w:p>
    <w:p w14:paraId="31EFBC50">
      <w:pPr>
        <w:spacing w:line="360" w:lineRule="auto"/>
        <w:jc w:val="center"/>
        <w:rPr>
          <w:rFonts w:ascii="黑体" w:hAnsi="黑体" w:eastAsia="黑体"/>
          <w:b/>
          <w:bCs/>
          <w:color w:val="auto"/>
          <w:szCs w:val="21"/>
        </w:rPr>
      </w:pPr>
      <w:r>
        <w:rPr>
          <w:rFonts w:hint="eastAsia" w:ascii="黑体" w:hAnsi="黑体" w:eastAsia="黑体"/>
          <w:b/>
          <w:bCs/>
          <w:color w:val="auto"/>
          <w:szCs w:val="21"/>
        </w:rPr>
        <w:t>（合同编号：</w:t>
      </w:r>
      <w:r>
        <w:rPr>
          <w:rFonts w:ascii="黑体" w:hAnsi="黑体" w:eastAsia="黑体"/>
          <w:b/>
          <w:bCs/>
          <w:color w:val="auto"/>
          <w:szCs w:val="21"/>
          <w:u w:val="single"/>
        </w:rPr>
        <w:t xml:space="preserve">         </w:t>
      </w:r>
      <w:r>
        <w:rPr>
          <w:rFonts w:hint="eastAsia" w:ascii="黑体" w:hAnsi="黑体" w:eastAsia="黑体"/>
          <w:b/>
          <w:bCs/>
          <w:color w:val="auto"/>
          <w:szCs w:val="21"/>
        </w:rPr>
        <w:t>）</w:t>
      </w:r>
    </w:p>
    <w:p w14:paraId="614CFF0A">
      <w:pPr>
        <w:spacing w:line="360" w:lineRule="auto"/>
        <w:rPr>
          <w:rFonts w:ascii="黑体" w:hAnsi="黑体" w:eastAsia="黑体"/>
          <w:b/>
          <w:bCs/>
          <w:color w:val="auto"/>
          <w:szCs w:val="21"/>
        </w:rPr>
      </w:pPr>
    </w:p>
    <w:p w14:paraId="601B5BFC">
      <w:pPr>
        <w:spacing w:line="360" w:lineRule="auto"/>
        <w:rPr>
          <w:rFonts w:ascii="黑体" w:hAnsi="黑体" w:eastAsia="黑体"/>
          <w:b/>
          <w:bCs/>
          <w:color w:val="auto"/>
          <w:szCs w:val="21"/>
        </w:rPr>
      </w:pPr>
    </w:p>
    <w:p w14:paraId="765DB205">
      <w:pPr>
        <w:spacing w:line="360" w:lineRule="auto"/>
        <w:rPr>
          <w:rFonts w:ascii="黑体" w:hAnsi="黑体" w:eastAsia="黑体"/>
          <w:b/>
          <w:bCs/>
          <w:color w:val="auto"/>
          <w:szCs w:val="21"/>
        </w:rPr>
      </w:pPr>
    </w:p>
    <w:p w14:paraId="1EA38217">
      <w:pPr>
        <w:spacing w:line="360" w:lineRule="auto"/>
        <w:rPr>
          <w:rFonts w:ascii="黑体" w:hAnsi="黑体" w:eastAsia="黑体"/>
          <w:b/>
          <w:bCs/>
          <w:color w:val="auto"/>
          <w:szCs w:val="21"/>
        </w:rPr>
      </w:pPr>
    </w:p>
    <w:tbl>
      <w:tblPr>
        <w:tblStyle w:val="2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49"/>
        <w:gridCol w:w="4961"/>
      </w:tblGrid>
      <w:tr w14:paraId="3457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jc w:val="center"/>
        </w:trPr>
        <w:tc>
          <w:tcPr>
            <w:tcW w:w="2349" w:type="dxa"/>
          </w:tcPr>
          <w:p w14:paraId="7FB4A1DA">
            <w:pPr>
              <w:spacing w:line="360" w:lineRule="auto"/>
              <w:rPr>
                <w:rFonts w:ascii="黑体" w:hAnsi="黑体" w:eastAsia="黑体"/>
                <w:b/>
                <w:bCs/>
                <w:color w:val="auto"/>
                <w:sz w:val="28"/>
                <w:szCs w:val="28"/>
              </w:rPr>
            </w:pPr>
            <w:r>
              <w:rPr>
                <w:rFonts w:hint="eastAsia" w:ascii="黑体" w:hAnsi="黑体" w:eastAsia="黑体"/>
                <w:b/>
                <w:bCs/>
                <w:color w:val="auto"/>
                <w:sz w:val="28"/>
                <w:szCs w:val="28"/>
              </w:rPr>
              <w:t>甲方（采购人）：</w:t>
            </w:r>
          </w:p>
        </w:tc>
        <w:tc>
          <w:tcPr>
            <w:tcW w:w="4961" w:type="dxa"/>
          </w:tcPr>
          <w:p w14:paraId="2AFB4E56">
            <w:pPr>
              <w:spacing w:line="360" w:lineRule="auto"/>
              <w:rPr>
                <w:rFonts w:ascii="黑体" w:hAnsi="黑体" w:eastAsia="黑体"/>
                <w:b/>
                <w:bCs/>
                <w:color w:val="auto"/>
                <w:sz w:val="28"/>
                <w:szCs w:val="28"/>
                <w:u w:val="single"/>
              </w:rPr>
            </w:pPr>
            <w:r>
              <w:rPr>
                <w:rFonts w:ascii="黑体" w:hAnsi="黑体" w:eastAsia="黑体"/>
                <w:b/>
                <w:bCs/>
                <w:color w:val="auto"/>
                <w:sz w:val="28"/>
                <w:szCs w:val="28"/>
                <w:u w:val="single"/>
              </w:rPr>
              <w:t xml:space="preserve">                                            </w:t>
            </w:r>
          </w:p>
        </w:tc>
      </w:tr>
      <w:tr w14:paraId="054A5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2349" w:type="dxa"/>
          </w:tcPr>
          <w:p w14:paraId="20E38ADD">
            <w:pPr>
              <w:spacing w:line="360" w:lineRule="auto"/>
              <w:rPr>
                <w:rFonts w:ascii="黑体" w:hAnsi="黑体" w:eastAsia="黑体"/>
                <w:b/>
                <w:bCs/>
                <w:color w:val="auto"/>
                <w:sz w:val="28"/>
                <w:szCs w:val="28"/>
              </w:rPr>
            </w:pPr>
            <w:r>
              <w:rPr>
                <w:rFonts w:hint="eastAsia" w:ascii="黑体" w:hAnsi="黑体" w:eastAsia="黑体"/>
                <w:b/>
                <w:bCs/>
                <w:color w:val="auto"/>
                <w:sz w:val="28"/>
                <w:szCs w:val="28"/>
              </w:rPr>
              <w:t>乙方（中标人）：</w:t>
            </w:r>
          </w:p>
        </w:tc>
        <w:tc>
          <w:tcPr>
            <w:tcW w:w="4961" w:type="dxa"/>
          </w:tcPr>
          <w:p w14:paraId="3277B247">
            <w:pPr>
              <w:spacing w:line="360" w:lineRule="auto"/>
              <w:rPr>
                <w:rFonts w:ascii="黑体" w:hAnsi="黑体" w:eastAsia="黑体"/>
                <w:b/>
                <w:bCs/>
                <w:color w:val="auto"/>
                <w:sz w:val="28"/>
                <w:szCs w:val="28"/>
                <w:u w:val="single"/>
              </w:rPr>
            </w:pPr>
            <w:r>
              <w:rPr>
                <w:rFonts w:ascii="黑体" w:hAnsi="黑体" w:eastAsia="黑体"/>
                <w:b/>
                <w:bCs/>
                <w:color w:val="auto"/>
                <w:sz w:val="28"/>
                <w:szCs w:val="28"/>
                <w:u w:val="single"/>
              </w:rPr>
              <w:t xml:space="preserve">                                            </w:t>
            </w:r>
          </w:p>
        </w:tc>
      </w:tr>
      <w:tr w14:paraId="7C21D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jc w:val="center"/>
        </w:trPr>
        <w:tc>
          <w:tcPr>
            <w:tcW w:w="2349" w:type="dxa"/>
          </w:tcPr>
          <w:p w14:paraId="253BA8C9">
            <w:pPr>
              <w:spacing w:line="360" w:lineRule="auto"/>
              <w:rPr>
                <w:rFonts w:ascii="黑体" w:hAnsi="黑体" w:eastAsia="黑体"/>
                <w:b/>
                <w:bCs/>
                <w:color w:val="auto"/>
                <w:spacing w:val="9"/>
                <w:sz w:val="28"/>
                <w:szCs w:val="28"/>
              </w:rPr>
            </w:pPr>
            <w:r>
              <w:rPr>
                <w:rFonts w:hint="eastAsia" w:ascii="黑体" w:hAnsi="黑体" w:eastAsia="黑体"/>
                <w:b/>
                <w:bCs/>
                <w:color w:val="auto"/>
                <w:spacing w:val="9"/>
                <w:sz w:val="28"/>
                <w:szCs w:val="28"/>
              </w:rPr>
              <w:t>协议签订时间：</w:t>
            </w:r>
          </w:p>
        </w:tc>
        <w:tc>
          <w:tcPr>
            <w:tcW w:w="4961" w:type="dxa"/>
          </w:tcPr>
          <w:p w14:paraId="44690493">
            <w:pPr>
              <w:spacing w:line="360" w:lineRule="auto"/>
              <w:rPr>
                <w:rFonts w:ascii="黑体" w:hAnsi="黑体" w:eastAsia="黑体"/>
                <w:b/>
                <w:bCs/>
                <w:color w:val="auto"/>
                <w:sz w:val="28"/>
                <w:szCs w:val="28"/>
                <w:u w:val="single"/>
              </w:rPr>
            </w:pPr>
            <w:r>
              <w:rPr>
                <w:rFonts w:ascii="黑体" w:hAnsi="黑体" w:eastAsia="黑体"/>
                <w:b/>
                <w:bCs/>
                <w:color w:val="auto"/>
                <w:sz w:val="28"/>
                <w:szCs w:val="28"/>
                <w:u w:val="single"/>
              </w:rPr>
              <w:t xml:space="preserve">                                            </w:t>
            </w:r>
          </w:p>
        </w:tc>
      </w:tr>
    </w:tbl>
    <w:p w14:paraId="0F6C668A">
      <w:pPr>
        <w:spacing w:line="360" w:lineRule="auto"/>
        <w:rPr>
          <w:rFonts w:ascii="黑体" w:hAnsi="黑体" w:eastAsia="黑体"/>
          <w:b/>
          <w:bCs/>
          <w:color w:val="auto"/>
          <w:szCs w:val="21"/>
        </w:rPr>
      </w:pPr>
    </w:p>
    <w:p w14:paraId="5EC21862">
      <w:pPr>
        <w:tabs>
          <w:tab w:val="left" w:pos="720"/>
        </w:tabs>
        <w:spacing w:line="360" w:lineRule="auto"/>
        <w:jc w:val="center"/>
        <w:rPr>
          <w:rFonts w:ascii="黑体" w:hAnsi="黑体" w:eastAsia="黑体"/>
          <w:color w:val="auto"/>
          <w:spacing w:val="20"/>
          <w:sz w:val="28"/>
          <w:szCs w:val="28"/>
        </w:rPr>
      </w:pPr>
      <w:r>
        <w:rPr>
          <w:rFonts w:hint="eastAsia" w:ascii="黑体" w:hAnsi="黑体" w:eastAsia="黑体"/>
          <w:color w:val="auto"/>
          <w:spacing w:val="20"/>
          <w:sz w:val="28"/>
          <w:szCs w:val="28"/>
        </w:rPr>
        <w:t>二〇二四年</w:t>
      </w:r>
      <w:r>
        <w:rPr>
          <w:rFonts w:ascii="黑体" w:hAnsi="黑体" w:eastAsia="黑体"/>
          <w:color w:val="auto"/>
          <w:spacing w:val="20"/>
          <w:sz w:val="28"/>
          <w:szCs w:val="28"/>
          <w:u w:val="single"/>
        </w:rPr>
        <w:t xml:space="preserve">   </w:t>
      </w:r>
      <w:r>
        <w:rPr>
          <w:rFonts w:hint="eastAsia" w:ascii="黑体" w:hAnsi="黑体" w:eastAsia="黑体"/>
          <w:color w:val="auto"/>
          <w:spacing w:val="20"/>
          <w:sz w:val="28"/>
          <w:szCs w:val="28"/>
        </w:rPr>
        <w:t>月于东莞</w:t>
      </w:r>
    </w:p>
    <w:p w14:paraId="59E45E73">
      <w:pPr>
        <w:topLinePunct/>
        <w:spacing w:line="360" w:lineRule="auto"/>
        <w:jc w:val="center"/>
        <w:rPr>
          <w:rFonts w:ascii="黑体" w:hAnsi="黑体" w:eastAsia="黑体" w:cs="黑体"/>
          <w:b/>
          <w:color w:val="auto"/>
          <w:sz w:val="24"/>
          <w:szCs w:val="24"/>
        </w:rPr>
      </w:pPr>
      <w:r>
        <w:rPr>
          <w:rFonts w:hint="eastAsia" w:ascii="黑体" w:hAnsi="黑体" w:eastAsia="黑体" w:cs="黑体"/>
          <w:b/>
          <w:color w:val="auto"/>
          <w:sz w:val="24"/>
          <w:szCs w:val="24"/>
        </w:rPr>
        <w:t>东莞市汽车技术学校城市轨道交通通信与运营综合实训平台采购项目合同</w:t>
      </w:r>
    </w:p>
    <w:p w14:paraId="1BF4310A">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 xml:space="preserve">甲方： </w:t>
      </w:r>
    </w:p>
    <w:p w14:paraId="1C76B58A">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乙方：</w:t>
      </w:r>
    </w:p>
    <w:p w14:paraId="199DCD19">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 xml:space="preserve"> 根据  年  月  日由广东有德招标采购有限公司组织的东莞市汽车技术学校城市轨道交通通信与运营综合实训平台采购项目（项目编号：</w:t>
      </w:r>
      <w:r>
        <w:rPr>
          <w:rFonts w:hint="eastAsia" w:ascii="黑体" w:hAnsi="黑体" w:eastAsia="黑体" w:cs="黑体"/>
          <w:color w:val="auto"/>
          <w:szCs w:val="21"/>
          <w:lang w:eastAsia="zh-CN"/>
        </w:rPr>
        <w:t>YDZB24DGQY0190</w:t>
      </w:r>
      <w:r>
        <w:rPr>
          <w:rFonts w:hint="eastAsia" w:ascii="黑体" w:hAnsi="黑体" w:eastAsia="黑体" w:cs="黑体"/>
          <w:color w:val="auto"/>
          <w:szCs w:val="21"/>
        </w:rPr>
        <w:t>）的要求，按照《民法典》的相关规定，本着平等互利和诚实信用的原则，经甲、乙双方协商一致，为明确双方责任和权利，特签订本合同，共同遵守。具体条款如下：</w:t>
      </w:r>
    </w:p>
    <w:p w14:paraId="76FDD60E">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 xml:space="preserve">一、供货品目及金额（技术参数详见附件清单） </w:t>
      </w:r>
    </w:p>
    <w:tbl>
      <w:tblPr>
        <w:tblStyle w:val="20"/>
        <w:tblW w:w="4997"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38"/>
        <w:gridCol w:w="1117"/>
        <w:gridCol w:w="1174"/>
        <w:gridCol w:w="1109"/>
        <w:gridCol w:w="689"/>
        <w:gridCol w:w="722"/>
        <w:gridCol w:w="1271"/>
        <w:gridCol w:w="1271"/>
        <w:gridCol w:w="771"/>
      </w:tblGrid>
      <w:tr w14:paraId="2C5687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jc w:val="center"/>
        </w:trPr>
        <w:tc>
          <w:tcPr>
            <w:tcW w:w="364" w:type="pct"/>
            <w:noWrap/>
            <w:vAlign w:val="center"/>
          </w:tcPr>
          <w:p w14:paraId="26F4A539">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序号</w:t>
            </w:r>
          </w:p>
        </w:tc>
        <w:tc>
          <w:tcPr>
            <w:tcW w:w="638" w:type="pct"/>
            <w:noWrap/>
            <w:vAlign w:val="center"/>
          </w:tcPr>
          <w:p w14:paraId="452ADDF0">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货物名称</w:t>
            </w:r>
          </w:p>
        </w:tc>
        <w:tc>
          <w:tcPr>
            <w:tcW w:w="670" w:type="pct"/>
            <w:noWrap/>
            <w:vAlign w:val="center"/>
          </w:tcPr>
          <w:p w14:paraId="26B5F505">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品牌</w:t>
            </w:r>
          </w:p>
          <w:p w14:paraId="3E141DBA">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制造商</w:t>
            </w:r>
          </w:p>
        </w:tc>
        <w:tc>
          <w:tcPr>
            <w:tcW w:w="633" w:type="pct"/>
            <w:noWrap/>
            <w:vAlign w:val="center"/>
          </w:tcPr>
          <w:p w14:paraId="7833035D">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型号规格</w:t>
            </w:r>
          </w:p>
        </w:tc>
        <w:tc>
          <w:tcPr>
            <w:tcW w:w="393" w:type="pct"/>
            <w:noWrap/>
            <w:vAlign w:val="center"/>
          </w:tcPr>
          <w:p w14:paraId="3DAEE34E">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数量</w:t>
            </w:r>
          </w:p>
        </w:tc>
        <w:tc>
          <w:tcPr>
            <w:tcW w:w="412" w:type="pct"/>
            <w:noWrap/>
            <w:vAlign w:val="center"/>
          </w:tcPr>
          <w:p w14:paraId="16547F3B">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单位</w:t>
            </w:r>
          </w:p>
        </w:tc>
        <w:tc>
          <w:tcPr>
            <w:tcW w:w="725" w:type="pct"/>
            <w:noWrap/>
            <w:vAlign w:val="center"/>
          </w:tcPr>
          <w:p w14:paraId="05B040EF">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单价（元）</w:t>
            </w:r>
          </w:p>
        </w:tc>
        <w:tc>
          <w:tcPr>
            <w:tcW w:w="725" w:type="pct"/>
            <w:noWrap/>
            <w:vAlign w:val="center"/>
          </w:tcPr>
          <w:p w14:paraId="5C8DBD37">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总价（元）</w:t>
            </w:r>
          </w:p>
        </w:tc>
        <w:tc>
          <w:tcPr>
            <w:tcW w:w="437" w:type="pct"/>
            <w:noWrap/>
            <w:vAlign w:val="center"/>
          </w:tcPr>
          <w:p w14:paraId="38CEAE84">
            <w:pPr>
              <w:spacing w:line="360" w:lineRule="auto"/>
              <w:jc w:val="center"/>
              <w:rPr>
                <w:rFonts w:ascii="黑体" w:hAnsi="黑体" w:eastAsia="黑体" w:cs="黑体"/>
                <w:b/>
                <w:bCs/>
                <w:color w:val="auto"/>
                <w:szCs w:val="21"/>
              </w:rPr>
            </w:pPr>
            <w:r>
              <w:rPr>
                <w:rFonts w:hint="eastAsia" w:ascii="黑体" w:hAnsi="黑体" w:eastAsia="黑体" w:cs="黑体"/>
                <w:b/>
                <w:bCs/>
                <w:color w:val="auto"/>
                <w:szCs w:val="21"/>
              </w:rPr>
              <w:t>备注</w:t>
            </w:r>
          </w:p>
        </w:tc>
      </w:tr>
      <w:tr w14:paraId="58A06D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364" w:type="pct"/>
            <w:noWrap/>
            <w:vAlign w:val="center"/>
          </w:tcPr>
          <w:p w14:paraId="164DB6BE">
            <w:pPr>
              <w:tabs>
                <w:tab w:val="left" w:pos="1955"/>
              </w:tabs>
              <w:spacing w:line="360" w:lineRule="auto"/>
              <w:jc w:val="center"/>
              <w:rPr>
                <w:rFonts w:ascii="黑体" w:hAnsi="黑体" w:eastAsia="黑体" w:cs="黑体"/>
                <w:color w:val="auto"/>
                <w:szCs w:val="21"/>
              </w:rPr>
            </w:pPr>
          </w:p>
        </w:tc>
        <w:tc>
          <w:tcPr>
            <w:tcW w:w="638" w:type="pct"/>
            <w:noWrap/>
            <w:vAlign w:val="center"/>
          </w:tcPr>
          <w:p w14:paraId="4E0A8BDE">
            <w:pPr>
              <w:pStyle w:val="65"/>
              <w:spacing w:line="360" w:lineRule="auto"/>
              <w:rPr>
                <w:rFonts w:ascii="黑体" w:hAnsi="黑体" w:eastAsia="黑体" w:cs="黑体"/>
                <w:color w:val="auto"/>
                <w:szCs w:val="21"/>
              </w:rPr>
            </w:pPr>
          </w:p>
        </w:tc>
        <w:tc>
          <w:tcPr>
            <w:tcW w:w="670" w:type="pct"/>
            <w:noWrap/>
            <w:vAlign w:val="center"/>
          </w:tcPr>
          <w:p w14:paraId="1731EDAB">
            <w:pPr>
              <w:pStyle w:val="65"/>
              <w:spacing w:line="360" w:lineRule="auto"/>
              <w:rPr>
                <w:rFonts w:ascii="黑体" w:hAnsi="黑体" w:eastAsia="黑体" w:cs="黑体"/>
                <w:color w:val="auto"/>
                <w:szCs w:val="21"/>
              </w:rPr>
            </w:pPr>
          </w:p>
        </w:tc>
        <w:tc>
          <w:tcPr>
            <w:tcW w:w="633" w:type="pct"/>
            <w:noWrap/>
            <w:vAlign w:val="center"/>
          </w:tcPr>
          <w:p w14:paraId="0C6248D9">
            <w:pPr>
              <w:pStyle w:val="65"/>
              <w:spacing w:line="360" w:lineRule="auto"/>
              <w:rPr>
                <w:rFonts w:ascii="黑体" w:hAnsi="黑体" w:eastAsia="黑体" w:cs="黑体"/>
                <w:color w:val="auto"/>
                <w:szCs w:val="21"/>
              </w:rPr>
            </w:pPr>
          </w:p>
        </w:tc>
        <w:tc>
          <w:tcPr>
            <w:tcW w:w="393" w:type="pct"/>
            <w:noWrap/>
            <w:vAlign w:val="center"/>
          </w:tcPr>
          <w:p w14:paraId="09C1555C">
            <w:pPr>
              <w:pStyle w:val="65"/>
              <w:spacing w:line="360" w:lineRule="auto"/>
              <w:rPr>
                <w:rFonts w:ascii="黑体" w:hAnsi="黑体" w:eastAsia="黑体" w:cs="黑体"/>
                <w:color w:val="auto"/>
                <w:szCs w:val="21"/>
              </w:rPr>
            </w:pPr>
          </w:p>
        </w:tc>
        <w:tc>
          <w:tcPr>
            <w:tcW w:w="412" w:type="pct"/>
            <w:noWrap/>
            <w:vAlign w:val="center"/>
          </w:tcPr>
          <w:p w14:paraId="1689D18D">
            <w:pPr>
              <w:pStyle w:val="65"/>
              <w:spacing w:line="360" w:lineRule="auto"/>
              <w:rPr>
                <w:rFonts w:ascii="黑体" w:hAnsi="黑体" w:eastAsia="黑体" w:cs="黑体"/>
                <w:color w:val="auto"/>
                <w:szCs w:val="21"/>
              </w:rPr>
            </w:pPr>
          </w:p>
        </w:tc>
        <w:tc>
          <w:tcPr>
            <w:tcW w:w="725" w:type="pct"/>
            <w:noWrap/>
            <w:vAlign w:val="center"/>
          </w:tcPr>
          <w:p w14:paraId="3DECABE3">
            <w:pPr>
              <w:spacing w:line="360" w:lineRule="auto"/>
              <w:jc w:val="center"/>
              <w:rPr>
                <w:rFonts w:ascii="黑体" w:hAnsi="黑体" w:eastAsia="黑体" w:cs="黑体"/>
                <w:color w:val="auto"/>
                <w:szCs w:val="21"/>
              </w:rPr>
            </w:pPr>
          </w:p>
        </w:tc>
        <w:tc>
          <w:tcPr>
            <w:tcW w:w="725" w:type="pct"/>
            <w:noWrap/>
            <w:vAlign w:val="center"/>
          </w:tcPr>
          <w:p w14:paraId="6B3C5499">
            <w:pPr>
              <w:spacing w:line="360" w:lineRule="auto"/>
              <w:jc w:val="center"/>
              <w:rPr>
                <w:rFonts w:ascii="黑体" w:hAnsi="黑体" w:eastAsia="黑体" w:cs="黑体"/>
                <w:color w:val="auto"/>
                <w:szCs w:val="21"/>
              </w:rPr>
            </w:pPr>
          </w:p>
        </w:tc>
        <w:tc>
          <w:tcPr>
            <w:tcW w:w="437" w:type="pct"/>
            <w:noWrap/>
            <w:vAlign w:val="center"/>
          </w:tcPr>
          <w:p w14:paraId="6361B559">
            <w:pPr>
              <w:pStyle w:val="65"/>
              <w:spacing w:line="360" w:lineRule="auto"/>
              <w:rPr>
                <w:rFonts w:ascii="黑体" w:hAnsi="黑体" w:eastAsia="黑体" w:cs="黑体"/>
                <w:color w:val="auto"/>
                <w:szCs w:val="21"/>
              </w:rPr>
            </w:pPr>
          </w:p>
        </w:tc>
      </w:tr>
      <w:tr w14:paraId="07B66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364" w:type="pct"/>
            <w:noWrap/>
            <w:vAlign w:val="center"/>
          </w:tcPr>
          <w:p w14:paraId="2B43C263">
            <w:pPr>
              <w:tabs>
                <w:tab w:val="left" w:pos="1955"/>
              </w:tabs>
              <w:spacing w:line="360" w:lineRule="auto"/>
              <w:jc w:val="center"/>
              <w:rPr>
                <w:rFonts w:ascii="黑体" w:hAnsi="黑体" w:eastAsia="黑体" w:cs="黑体"/>
                <w:color w:val="auto"/>
                <w:szCs w:val="21"/>
              </w:rPr>
            </w:pPr>
          </w:p>
        </w:tc>
        <w:tc>
          <w:tcPr>
            <w:tcW w:w="638" w:type="pct"/>
            <w:noWrap/>
            <w:vAlign w:val="center"/>
          </w:tcPr>
          <w:p w14:paraId="21326AB7">
            <w:pPr>
              <w:pStyle w:val="65"/>
              <w:spacing w:line="360" w:lineRule="auto"/>
              <w:rPr>
                <w:rFonts w:ascii="黑体" w:hAnsi="黑体" w:eastAsia="黑体" w:cs="黑体"/>
                <w:color w:val="auto"/>
                <w:szCs w:val="21"/>
              </w:rPr>
            </w:pPr>
          </w:p>
        </w:tc>
        <w:tc>
          <w:tcPr>
            <w:tcW w:w="670" w:type="pct"/>
            <w:noWrap/>
            <w:vAlign w:val="center"/>
          </w:tcPr>
          <w:p w14:paraId="1EC6DCA4">
            <w:pPr>
              <w:spacing w:line="360" w:lineRule="auto"/>
              <w:rPr>
                <w:rFonts w:ascii="黑体" w:hAnsi="黑体" w:eastAsia="黑体" w:cs="黑体"/>
                <w:color w:val="auto"/>
                <w:szCs w:val="21"/>
              </w:rPr>
            </w:pPr>
          </w:p>
        </w:tc>
        <w:tc>
          <w:tcPr>
            <w:tcW w:w="633" w:type="pct"/>
            <w:noWrap/>
            <w:vAlign w:val="center"/>
          </w:tcPr>
          <w:p w14:paraId="1AFC6447">
            <w:pPr>
              <w:spacing w:line="360" w:lineRule="auto"/>
              <w:rPr>
                <w:rFonts w:ascii="黑体" w:hAnsi="黑体" w:eastAsia="黑体" w:cs="黑体"/>
                <w:color w:val="auto"/>
                <w:szCs w:val="21"/>
              </w:rPr>
            </w:pPr>
          </w:p>
        </w:tc>
        <w:tc>
          <w:tcPr>
            <w:tcW w:w="393" w:type="pct"/>
            <w:noWrap/>
            <w:vAlign w:val="center"/>
          </w:tcPr>
          <w:p w14:paraId="38ED9C6E">
            <w:pPr>
              <w:pStyle w:val="65"/>
              <w:spacing w:line="360" w:lineRule="auto"/>
              <w:rPr>
                <w:rFonts w:ascii="黑体" w:hAnsi="黑体" w:eastAsia="黑体" w:cs="黑体"/>
                <w:color w:val="auto"/>
                <w:szCs w:val="21"/>
              </w:rPr>
            </w:pPr>
          </w:p>
        </w:tc>
        <w:tc>
          <w:tcPr>
            <w:tcW w:w="412" w:type="pct"/>
            <w:noWrap/>
            <w:vAlign w:val="center"/>
          </w:tcPr>
          <w:p w14:paraId="0448655D">
            <w:pPr>
              <w:pStyle w:val="65"/>
              <w:spacing w:line="360" w:lineRule="auto"/>
              <w:rPr>
                <w:rFonts w:ascii="黑体" w:hAnsi="黑体" w:eastAsia="黑体" w:cs="黑体"/>
                <w:color w:val="auto"/>
                <w:szCs w:val="21"/>
              </w:rPr>
            </w:pPr>
          </w:p>
        </w:tc>
        <w:tc>
          <w:tcPr>
            <w:tcW w:w="725" w:type="pct"/>
            <w:noWrap/>
            <w:vAlign w:val="center"/>
          </w:tcPr>
          <w:p w14:paraId="492CB59D">
            <w:pPr>
              <w:spacing w:line="360" w:lineRule="auto"/>
              <w:jc w:val="center"/>
              <w:rPr>
                <w:rFonts w:ascii="黑体" w:hAnsi="黑体" w:eastAsia="黑体" w:cs="黑体"/>
                <w:color w:val="auto"/>
                <w:szCs w:val="21"/>
              </w:rPr>
            </w:pPr>
          </w:p>
        </w:tc>
        <w:tc>
          <w:tcPr>
            <w:tcW w:w="725" w:type="pct"/>
            <w:noWrap/>
            <w:vAlign w:val="center"/>
          </w:tcPr>
          <w:p w14:paraId="1E7712AE">
            <w:pPr>
              <w:spacing w:line="360" w:lineRule="auto"/>
              <w:jc w:val="center"/>
              <w:rPr>
                <w:rFonts w:ascii="黑体" w:hAnsi="黑体" w:eastAsia="黑体" w:cs="黑体"/>
                <w:color w:val="auto"/>
                <w:szCs w:val="21"/>
              </w:rPr>
            </w:pPr>
          </w:p>
        </w:tc>
        <w:tc>
          <w:tcPr>
            <w:tcW w:w="437" w:type="pct"/>
            <w:noWrap/>
            <w:vAlign w:val="center"/>
          </w:tcPr>
          <w:p w14:paraId="36AF0588">
            <w:pPr>
              <w:pStyle w:val="65"/>
              <w:spacing w:line="360" w:lineRule="auto"/>
              <w:rPr>
                <w:rFonts w:ascii="黑体" w:hAnsi="黑体" w:eastAsia="黑体" w:cs="黑体"/>
                <w:color w:val="auto"/>
                <w:szCs w:val="21"/>
              </w:rPr>
            </w:pPr>
          </w:p>
        </w:tc>
      </w:tr>
      <w:tr w14:paraId="3416AD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8" w:hRule="atLeast"/>
          <w:jc w:val="center"/>
        </w:trPr>
        <w:tc>
          <w:tcPr>
            <w:tcW w:w="5000" w:type="pct"/>
            <w:gridSpan w:val="9"/>
            <w:noWrap/>
            <w:vAlign w:val="center"/>
          </w:tcPr>
          <w:p w14:paraId="654E22FF">
            <w:pPr>
              <w:spacing w:line="360" w:lineRule="auto"/>
              <w:jc w:val="right"/>
              <w:rPr>
                <w:rFonts w:ascii="黑体" w:hAnsi="黑体" w:eastAsia="黑体" w:cs="黑体"/>
                <w:color w:val="auto"/>
                <w:szCs w:val="21"/>
              </w:rPr>
            </w:pPr>
            <w:r>
              <w:rPr>
                <w:rFonts w:hint="eastAsia" w:ascii="黑体" w:hAnsi="黑体" w:eastAsia="黑体" w:cs="黑体"/>
                <w:color w:val="auto"/>
                <w:szCs w:val="21"/>
              </w:rPr>
              <w:t>总计：人民币        整（￥       ）</w:t>
            </w:r>
          </w:p>
        </w:tc>
      </w:tr>
    </w:tbl>
    <w:p w14:paraId="47E00A15">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合同总价：人民币大写：      元（￥      ）。</w:t>
      </w:r>
    </w:p>
    <w:p w14:paraId="3D701AC1">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此合同价格为规定地点交货价（包括货物</w:t>
      </w:r>
      <w:r>
        <w:rPr>
          <w:rFonts w:hint="eastAsia" w:ascii="黑体" w:hAnsi="黑体" w:eastAsia="黑体" w:cs="黑体"/>
          <w:bCs/>
          <w:color w:val="auto"/>
          <w:szCs w:val="21"/>
        </w:rPr>
        <w:t>及标准附件、备品备件、专用工具</w:t>
      </w:r>
      <w:r>
        <w:rPr>
          <w:rFonts w:hint="eastAsia" w:ascii="黑体" w:hAnsi="黑体" w:eastAsia="黑体" w:cs="黑体"/>
          <w:color w:val="auto"/>
          <w:szCs w:val="21"/>
        </w:rPr>
        <w:t>报价、运输费、装卸费、保险费、安装调试费、技术培训费、税金及免费保修期内所发生的维修、维护费等所有费用。）</w:t>
      </w:r>
    </w:p>
    <w:p w14:paraId="5749A11C">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二、</w:t>
      </w:r>
      <w:r>
        <w:rPr>
          <w:rFonts w:hint="eastAsia" w:ascii="黑体" w:hAnsi="黑体" w:eastAsia="黑体" w:cs="黑体"/>
          <w:b/>
          <w:bCs/>
          <w:color w:val="auto"/>
          <w:szCs w:val="21"/>
          <w:lang w:val="en-US" w:eastAsia="zh-CN"/>
        </w:rPr>
        <w:t>设备</w:t>
      </w:r>
      <w:r>
        <w:rPr>
          <w:rFonts w:hint="eastAsia" w:ascii="黑体" w:hAnsi="黑体" w:eastAsia="黑体" w:cs="黑体"/>
          <w:b/>
          <w:bCs/>
          <w:color w:val="auto"/>
          <w:szCs w:val="21"/>
        </w:rPr>
        <w:t>要求</w:t>
      </w:r>
    </w:p>
    <w:p w14:paraId="08FF1F5F">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1、货物为原制造商制造的全新产品，整机无污染，无侵权行为、表面无划损、无任何缺陷隐患，在中国境内可依常规安全合法使用。</w:t>
      </w:r>
    </w:p>
    <w:p w14:paraId="6E89E60C">
      <w:pPr>
        <w:spacing w:line="360" w:lineRule="auto"/>
        <w:ind w:firstLine="420" w:firstLineChars="200"/>
        <w:rPr>
          <w:rFonts w:hint="eastAsia" w:ascii="黑体" w:hAnsi="黑体" w:eastAsia="黑体"/>
          <w:bCs/>
          <w:color w:val="auto"/>
          <w:szCs w:val="21"/>
          <w:lang w:eastAsia="zh-CN"/>
        </w:rPr>
      </w:pPr>
      <w:r>
        <w:rPr>
          <w:rFonts w:hint="eastAsia" w:ascii="黑体" w:hAnsi="黑体" w:eastAsia="黑体"/>
          <w:bCs/>
          <w:color w:val="auto"/>
          <w:szCs w:val="21"/>
          <w:lang w:val="en-US" w:eastAsia="zh-CN"/>
        </w:rPr>
        <w:t>2、</w:t>
      </w:r>
      <w:r>
        <w:rPr>
          <w:rFonts w:hint="eastAsia" w:ascii="黑体" w:hAnsi="黑体" w:eastAsia="黑体"/>
          <w:bCs/>
          <w:color w:val="auto"/>
          <w:szCs w:val="21"/>
        </w:rPr>
        <w:t>货物为原厂商未启封全新包装，具出厂合格证，序列号、包装箱号与出厂批号一致，并可追索查阅</w:t>
      </w:r>
      <w:r>
        <w:rPr>
          <w:rFonts w:hint="eastAsia" w:ascii="黑体" w:hAnsi="黑体" w:eastAsia="黑体"/>
          <w:bCs/>
          <w:color w:val="auto"/>
          <w:szCs w:val="21"/>
          <w:lang w:eastAsia="zh-CN"/>
        </w:rPr>
        <w:t>。</w:t>
      </w:r>
    </w:p>
    <w:p w14:paraId="461395EA">
      <w:pPr>
        <w:spacing w:line="360" w:lineRule="auto"/>
        <w:ind w:firstLine="420" w:firstLineChars="200"/>
        <w:rPr>
          <w:rFonts w:hint="eastAsia" w:ascii="黑体" w:hAnsi="黑体" w:eastAsia="黑体"/>
          <w:bCs/>
          <w:color w:val="auto"/>
          <w:szCs w:val="21"/>
        </w:rPr>
      </w:pPr>
      <w:r>
        <w:rPr>
          <w:rFonts w:hint="eastAsia" w:ascii="黑体" w:hAnsi="黑体" w:eastAsia="黑体"/>
          <w:bCs/>
          <w:color w:val="auto"/>
          <w:szCs w:val="21"/>
          <w:lang w:val="en-US" w:eastAsia="zh-CN"/>
        </w:rPr>
        <w:t>3、</w:t>
      </w:r>
      <w:r>
        <w:rPr>
          <w:rFonts w:hint="eastAsia" w:ascii="黑体" w:hAnsi="黑体" w:eastAsia="黑体"/>
          <w:bCs/>
          <w:color w:val="auto"/>
          <w:szCs w:val="21"/>
        </w:rPr>
        <w:t>有关键设备的用户手册、保修手册、有关单证资料及配备件、随机工具等，使用操作及安全须知等重要资料应附有中文说明。</w:t>
      </w:r>
    </w:p>
    <w:p w14:paraId="3A48238C">
      <w:pPr>
        <w:spacing w:line="360" w:lineRule="auto"/>
        <w:ind w:firstLine="420" w:firstLineChars="200"/>
        <w:rPr>
          <w:rFonts w:ascii="黑体" w:hAnsi="黑体" w:eastAsia="黑体"/>
          <w:bCs/>
          <w:color w:val="auto"/>
          <w:szCs w:val="21"/>
        </w:rPr>
      </w:pPr>
      <w:r>
        <w:rPr>
          <w:rFonts w:hint="eastAsia" w:ascii="黑体" w:hAnsi="黑体" w:eastAsia="黑体"/>
          <w:bCs/>
          <w:color w:val="auto"/>
          <w:szCs w:val="21"/>
          <w:lang w:val="en-US" w:eastAsia="zh-CN"/>
        </w:rPr>
        <w:t>4、</w:t>
      </w:r>
      <w:r>
        <w:rPr>
          <w:rFonts w:hint="eastAsia" w:ascii="黑体" w:hAnsi="黑体" w:eastAsia="黑体"/>
          <w:bCs/>
          <w:color w:val="auto"/>
          <w:szCs w:val="21"/>
        </w:rPr>
        <w:t>符合全国职业院校技能大赛城市轨道交通运营与维护赛项技术要求。</w:t>
      </w:r>
    </w:p>
    <w:p w14:paraId="61E082DA">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三、</w:t>
      </w:r>
      <w:r>
        <w:rPr>
          <w:rFonts w:hint="eastAsia" w:ascii="黑体" w:hAnsi="黑体" w:eastAsia="黑体" w:cs="黑体"/>
          <w:b/>
          <w:bCs/>
          <w:color w:val="auto"/>
          <w:szCs w:val="21"/>
          <w:lang w:val="en-US" w:eastAsia="zh-CN"/>
        </w:rPr>
        <w:t>包装和运输要求</w:t>
      </w:r>
    </w:p>
    <w:p w14:paraId="1E1DB0DA">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1、货物的包装和发运必须符合货物特性要求。</w:t>
      </w:r>
    </w:p>
    <w:p w14:paraId="1B8A37DB">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2、为了保证货物在长途运输和装卸过程中的安全，货物包装应符合国家或行业标准规定。由于包装不善导致货物锈蚀、失缺或损坏，由</w:t>
      </w:r>
      <w:r>
        <w:rPr>
          <w:rFonts w:hint="eastAsia" w:ascii="黑体" w:hAnsi="黑体" w:eastAsia="黑体" w:cs="黑体"/>
          <w:color w:val="auto"/>
          <w:szCs w:val="21"/>
          <w:lang w:eastAsia="zh-CN"/>
        </w:rPr>
        <w:t>乙方</w:t>
      </w:r>
      <w:r>
        <w:rPr>
          <w:rFonts w:hint="eastAsia" w:ascii="黑体" w:hAnsi="黑体" w:eastAsia="黑体" w:cs="黑体"/>
          <w:color w:val="auto"/>
          <w:szCs w:val="21"/>
        </w:rPr>
        <w:t>承担一切责任。</w:t>
      </w:r>
    </w:p>
    <w:p w14:paraId="70DC13B2">
      <w:pPr>
        <w:spacing w:line="360" w:lineRule="auto"/>
        <w:ind w:firstLine="422" w:firstLineChars="200"/>
        <w:rPr>
          <w:rFonts w:hint="eastAsia" w:ascii="黑体" w:hAnsi="黑体" w:eastAsia="黑体" w:cs="黑体"/>
          <w:b/>
          <w:bCs/>
          <w:color w:val="auto"/>
          <w:szCs w:val="21"/>
        </w:rPr>
      </w:pPr>
      <w:r>
        <w:rPr>
          <w:rFonts w:hint="eastAsia" w:ascii="黑体" w:hAnsi="黑体" w:eastAsia="黑体" w:cs="黑体"/>
          <w:b/>
          <w:bCs/>
          <w:color w:val="auto"/>
          <w:szCs w:val="21"/>
        </w:rPr>
        <w:t>四、设备的安装与调试要求</w:t>
      </w:r>
    </w:p>
    <w:p w14:paraId="45C83E42">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1、</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必须依照采购文件的要求和响投标文件的承诺，将设备、系统安装并调试至正常运行的最佳状态。</w:t>
      </w:r>
    </w:p>
    <w:p w14:paraId="30FE0AAF">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 xml:space="preserve">2、合同设备安装： </w:t>
      </w:r>
    </w:p>
    <w:p w14:paraId="3CFB36AB">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(1)</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负责合同设备的安装，一切费用由</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负责</w:t>
      </w:r>
    </w:p>
    <w:p w14:paraId="6F8957EB">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(2)</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安装时须对各安装场地内的其他设备、设施有良好保护措施。</w:t>
      </w:r>
    </w:p>
    <w:p w14:paraId="548C1C9B">
      <w:pPr>
        <w:spacing w:line="360" w:lineRule="auto"/>
        <w:ind w:firstLine="422" w:firstLineChars="200"/>
        <w:rPr>
          <w:rFonts w:hint="eastAsia" w:ascii="黑体" w:hAnsi="黑体" w:eastAsia="黑体" w:cs="黑体"/>
          <w:b/>
          <w:bCs/>
          <w:color w:val="auto"/>
          <w:szCs w:val="21"/>
        </w:rPr>
      </w:pPr>
      <w:r>
        <w:rPr>
          <w:rFonts w:hint="eastAsia" w:ascii="黑体" w:hAnsi="黑体" w:eastAsia="黑体" w:cs="黑体"/>
          <w:b/>
          <w:bCs/>
          <w:color w:val="auto"/>
          <w:szCs w:val="21"/>
        </w:rPr>
        <w:t>五、质量保证及售后服务要求</w:t>
      </w:r>
    </w:p>
    <w:p w14:paraId="4928FC46">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1、质量保证期（简称“质保期”）为3年，质保期自货物最终验收合格之日起算，质保期内</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对所供货物提供质量保证以及原厂的设备维修上门保修服务（费用已包含在投标报价中，</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不再另行支付）。</w:t>
      </w:r>
    </w:p>
    <w:p w14:paraId="3B9FD372">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2、质保期内，所有硬件设备及其配件的维修费用均包含在投标报价中，</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 xml:space="preserve">不再另行支付，如设备或零部件因非人为因素出现故障而造成短期停用时，则质保期和免费维修期相应顺延。如停用时间累计超过60天则质保期重新计算。 </w:t>
      </w:r>
    </w:p>
    <w:p w14:paraId="17AA544B">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3、对</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的服务通知，</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在接报后2小时内（含）响应，12小时内（含）到达现场，24小时内（含）处理完毕。若在24小时内（含）仍未能有效解决，</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须提供相同技术参数的设备予</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临时使用。如货物经</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 xml:space="preserve"> 3 次维修仍不能达到合同约定的质量标准，视作</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未能按时交货，</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有权退货并追究</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的违约责任。货到现场后由于</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保管不当造成的问题，</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亦应负责修复，但费用由</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 xml:space="preserve">负担。 </w:t>
      </w:r>
    </w:p>
    <w:p w14:paraId="209D7DC5">
      <w:pPr>
        <w:spacing w:line="360" w:lineRule="auto"/>
        <w:ind w:firstLine="420" w:firstLineChars="200"/>
        <w:rPr>
          <w:rFonts w:hint="eastAsia" w:ascii="黑体" w:hAnsi="黑体" w:eastAsia="黑体" w:cs="黑体"/>
          <w:b w:val="0"/>
          <w:bCs w:val="0"/>
          <w:color w:val="auto"/>
          <w:szCs w:val="21"/>
        </w:rPr>
      </w:pPr>
      <w:r>
        <w:rPr>
          <w:rFonts w:hint="eastAsia" w:ascii="黑体" w:hAnsi="黑体" w:eastAsia="黑体" w:cs="黑体"/>
          <w:b w:val="0"/>
          <w:bCs w:val="0"/>
          <w:color w:val="auto"/>
          <w:szCs w:val="21"/>
        </w:rPr>
        <w:t>4、在设备安装和调试完成后，</w:t>
      </w:r>
      <w:r>
        <w:rPr>
          <w:rFonts w:hint="eastAsia" w:ascii="黑体" w:hAnsi="黑体" w:eastAsia="黑体" w:cs="黑体"/>
          <w:b w:val="0"/>
          <w:bCs w:val="0"/>
          <w:color w:val="auto"/>
          <w:szCs w:val="21"/>
          <w:lang w:eastAsia="zh-CN"/>
        </w:rPr>
        <w:t>乙方</w:t>
      </w:r>
      <w:r>
        <w:rPr>
          <w:rFonts w:hint="eastAsia" w:ascii="黑体" w:hAnsi="黑体" w:eastAsia="黑体" w:cs="黑体"/>
          <w:b w:val="0"/>
          <w:bCs w:val="0"/>
          <w:color w:val="auto"/>
          <w:szCs w:val="21"/>
        </w:rPr>
        <w:t>应提供培训服务，提供专业技术人员对</w:t>
      </w:r>
      <w:r>
        <w:rPr>
          <w:rFonts w:hint="eastAsia" w:ascii="黑体" w:hAnsi="黑体" w:eastAsia="黑体" w:cs="黑体"/>
          <w:b w:val="0"/>
          <w:bCs w:val="0"/>
          <w:color w:val="auto"/>
          <w:szCs w:val="21"/>
          <w:lang w:eastAsia="zh-CN"/>
        </w:rPr>
        <w:t>甲方</w:t>
      </w:r>
      <w:r>
        <w:rPr>
          <w:rFonts w:hint="eastAsia" w:ascii="黑体" w:hAnsi="黑体" w:eastAsia="黑体" w:cs="黑体"/>
          <w:b w:val="0"/>
          <w:bCs w:val="0"/>
          <w:color w:val="auto"/>
          <w:szCs w:val="21"/>
        </w:rPr>
        <w:t>设备使用人员和相关管理人员进行培训，并保证两名以上操作人员熟练掌握操作技术为止。</w:t>
      </w:r>
    </w:p>
    <w:p w14:paraId="02F818A4">
      <w:pPr>
        <w:spacing w:line="360" w:lineRule="auto"/>
        <w:ind w:firstLine="422" w:firstLineChars="200"/>
        <w:rPr>
          <w:rFonts w:hint="eastAsia" w:ascii="黑体" w:hAnsi="黑体" w:eastAsia="黑体" w:cs="黑体"/>
          <w:b/>
          <w:bCs/>
          <w:color w:val="auto"/>
          <w:szCs w:val="21"/>
          <w:lang w:eastAsia="zh-CN"/>
        </w:rPr>
      </w:pPr>
      <w:r>
        <w:rPr>
          <w:rFonts w:hint="eastAsia" w:ascii="黑体" w:hAnsi="黑体" w:eastAsia="黑体" w:cs="黑体"/>
          <w:b/>
          <w:bCs/>
          <w:color w:val="auto"/>
          <w:szCs w:val="21"/>
          <w:lang w:val="en-US" w:eastAsia="zh-CN"/>
        </w:rPr>
        <w:t>六</w:t>
      </w:r>
      <w:r>
        <w:rPr>
          <w:rFonts w:hint="eastAsia" w:ascii="黑体" w:hAnsi="黑体" w:eastAsia="黑体" w:cs="黑体"/>
          <w:b/>
          <w:bCs/>
          <w:color w:val="auto"/>
          <w:szCs w:val="21"/>
        </w:rPr>
        <w:t>、付款</w:t>
      </w:r>
      <w:r>
        <w:rPr>
          <w:rFonts w:hint="eastAsia" w:ascii="黑体" w:hAnsi="黑体" w:eastAsia="黑体" w:cs="黑体"/>
          <w:b/>
          <w:bCs/>
          <w:color w:val="auto"/>
          <w:szCs w:val="21"/>
          <w:lang w:val="en-US" w:eastAsia="zh-CN"/>
        </w:rPr>
        <w:t>方式</w:t>
      </w:r>
    </w:p>
    <w:p w14:paraId="5AFD3368">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1、签订合同后收到</w:t>
      </w:r>
      <w:r>
        <w:rPr>
          <w:rFonts w:hint="eastAsia" w:ascii="黑体" w:hAnsi="黑体" w:eastAsia="黑体" w:cs="黑体"/>
          <w:color w:val="auto"/>
          <w:szCs w:val="21"/>
          <w:lang w:eastAsia="zh-CN"/>
        </w:rPr>
        <w:t>乙方</w:t>
      </w:r>
      <w:r>
        <w:rPr>
          <w:rFonts w:hint="eastAsia" w:ascii="黑体" w:hAnsi="黑体" w:eastAsia="黑体" w:cs="黑体"/>
          <w:color w:val="auto"/>
          <w:szCs w:val="21"/>
        </w:rPr>
        <w:t>开具的正式发票后5个工作日内，</w:t>
      </w:r>
      <w:r>
        <w:rPr>
          <w:rFonts w:hint="eastAsia" w:ascii="黑体" w:hAnsi="黑体" w:eastAsia="黑体" w:cs="黑体"/>
          <w:color w:val="auto"/>
          <w:szCs w:val="21"/>
          <w:lang w:eastAsia="zh-CN"/>
        </w:rPr>
        <w:t>甲方</w:t>
      </w:r>
      <w:r>
        <w:rPr>
          <w:rFonts w:hint="eastAsia" w:ascii="黑体" w:hAnsi="黑体" w:eastAsia="黑体" w:cs="黑体"/>
          <w:color w:val="auto"/>
          <w:szCs w:val="21"/>
        </w:rPr>
        <w:t>支付</w:t>
      </w:r>
      <w:r>
        <w:rPr>
          <w:rFonts w:hint="eastAsia" w:ascii="黑体" w:hAnsi="黑体" w:eastAsia="黑体" w:cs="黑体"/>
          <w:color w:val="auto"/>
          <w:szCs w:val="21"/>
          <w:lang w:eastAsia="zh-CN"/>
        </w:rPr>
        <w:t>乙方</w:t>
      </w:r>
      <w:r>
        <w:rPr>
          <w:rFonts w:hint="eastAsia" w:ascii="黑体" w:hAnsi="黑体" w:eastAsia="黑体" w:cs="黑体"/>
          <w:color w:val="auto"/>
          <w:szCs w:val="21"/>
        </w:rPr>
        <w:t>合同总价的50%。（注：</w:t>
      </w:r>
      <w:r>
        <w:rPr>
          <w:rFonts w:hint="eastAsia" w:ascii="黑体" w:hAnsi="黑体" w:eastAsia="黑体" w:cs="黑体"/>
          <w:color w:val="auto"/>
          <w:szCs w:val="21"/>
          <w:lang w:eastAsia="zh-CN"/>
        </w:rPr>
        <w:t>乙方</w:t>
      </w:r>
      <w:r>
        <w:rPr>
          <w:rFonts w:hint="eastAsia" w:ascii="黑体" w:hAnsi="黑体" w:eastAsia="黑体" w:cs="黑体"/>
          <w:color w:val="auto"/>
          <w:szCs w:val="21"/>
        </w:rPr>
        <w:t>凭以下有效文件与</w:t>
      </w:r>
      <w:r>
        <w:rPr>
          <w:rFonts w:hint="eastAsia" w:ascii="黑体" w:hAnsi="黑体" w:eastAsia="黑体" w:cs="黑体"/>
          <w:color w:val="auto"/>
          <w:szCs w:val="21"/>
          <w:lang w:eastAsia="zh-CN"/>
        </w:rPr>
        <w:t>甲方</w:t>
      </w:r>
      <w:r>
        <w:rPr>
          <w:rFonts w:hint="eastAsia" w:ascii="黑体" w:hAnsi="黑体" w:eastAsia="黑体" w:cs="黑体"/>
          <w:color w:val="auto"/>
          <w:szCs w:val="21"/>
        </w:rPr>
        <w:t>结算：（1）合同；（2）</w:t>
      </w:r>
      <w:r>
        <w:rPr>
          <w:rFonts w:hint="eastAsia" w:ascii="黑体" w:hAnsi="黑体" w:eastAsia="黑体" w:cs="黑体"/>
          <w:color w:val="auto"/>
          <w:szCs w:val="21"/>
          <w:lang w:eastAsia="zh-CN"/>
        </w:rPr>
        <w:t>乙方</w:t>
      </w:r>
      <w:r>
        <w:rPr>
          <w:rFonts w:hint="eastAsia" w:ascii="黑体" w:hAnsi="黑体" w:eastAsia="黑体" w:cs="黑体"/>
          <w:color w:val="auto"/>
          <w:szCs w:val="21"/>
        </w:rPr>
        <w:t>开具的正式发票；（3）中标通知书。）</w:t>
      </w:r>
    </w:p>
    <w:p w14:paraId="5FF6540C">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2、项目验收完成后，剩余款项</w:t>
      </w:r>
      <w:r>
        <w:rPr>
          <w:rFonts w:hint="eastAsia" w:ascii="黑体" w:hAnsi="黑体" w:eastAsia="黑体" w:cs="黑体"/>
          <w:color w:val="auto"/>
          <w:szCs w:val="21"/>
          <w:lang w:eastAsia="zh-CN"/>
        </w:rPr>
        <w:t>甲方</w:t>
      </w:r>
      <w:r>
        <w:rPr>
          <w:rFonts w:hint="eastAsia" w:ascii="黑体" w:hAnsi="黑体" w:eastAsia="黑体" w:cs="黑体"/>
          <w:color w:val="auto"/>
          <w:szCs w:val="21"/>
        </w:rPr>
        <w:t>收到</w:t>
      </w:r>
      <w:r>
        <w:rPr>
          <w:rFonts w:hint="eastAsia" w:ascii="黑体" w:hAnsi="黑体" w:eastAsia="黑体" w:cs="黑体"/>
          <w:color w:val="auto"/>
          <w:szCs w:val="21"/>
          <w:lang w:eastAsia="zh-CN"/>
        </w:rPr>
        <w:t>乙方</w:t>
      </w:r>
      <w:r>
        <w:rPr>
          <w:rFonts w:hint="eastAsia" w:ascii="黑体" w:hAnsi="黑体" w:eastAsia="黑体" w:cs="黑体"/>
          <w:color w:val="auto"/>
          <w:szCs w:val="21"/>
        </w:rPr>
        <w:t>开具的正式发票后5个工作日内向</w:t>
      </w:r>
      <w:r>
        <w:rPr>
          <w:rFonts w:hint="eastAsia" w:ascii="黑体" w:hAnsi="黑体" w:eastAsia="黑体" w:cs="黑体"/>
          <w:color w:val="auto"/>
          <w:szCs w:val="21"/>
          <w:lang w:eastAsia="zh-CN"/>
        </w:rPr>
        <w:t>乙方</w:t>
      </w:r>
      <w:r>
        <w:rPr>
          <w:rFonts w:hint="eastAsia" w:ascii="黑体" w:hAnsi="黑体" w:eastAsia="黑体" w:cs="黑体"/>
          <w:color w:val="auto"/>
          <w:szCs w:val="21"/>
        </w:rPr>
        <w:t>付款。（注：</w:t>
      </w:r>
      <w:r>
        <w:rPr>
          <w:rFonts w:hint="eastAsia" w:ascii="黑体" w:hAnsi="黑体" w:eastAsia="黑体" w:cs="黑体"/>
          <w:color w:val="auto"/>
          <w:szCs w:val="21"/>
          <w:lang w:eastAsia="zh-CN"/>
        </w:rPr>
        <w:t>乙方</w:t>
      </w:r>
      <w:r>
        <w:rPr>
          <w:rFonts w:hint="eastAsia" w:ascii="黑体" w:hAnsi="黑体" w:eastAsia="黑体" w:cs="黑体"/>
          <w:color w:val="auto"/>
          <w:szCs w:val="21"/>
        </w:rPr>
        <w:t>凭以下有效文件与</w:t>
      </w:r>
      <w:r>
        <w:rPr>
          <w:rFonts w:hint="eastAsia" w:ascii="黑体" w:hAnsi="黑体" w:eastAsia="黑体" w:cs="黑体"/>
          <w:color w:val="auto"/>
          <w:szCs w:val="21"/>
          <w:lang w:eastAsia="zh-CN"/>
        </w:rPr>
        <w:t>甲方</w:t>
      </w:r>
      <w:r>
        <w:rPr>
          <w:rFonts w:hint="eastAsia" w:ascii="黑体" w:hAnsi="黑体" w:eastAsia="黑体" w:cs="黑体"/>
          <w:color w:val="auto"/>
          <w:szCs w:val="21"/>
        </w:rPr>
        <w:t>结算：（1）合同；（2）</w:t>
      </w:r>
      <w:r>
        <w:rPr>
          <w:rFonts w:hint="eastAsia" w:ascii="黑体" w:hAnsi="黑体" w:eastAsia="黑体" w:cs="黑体"/>
          <w:color w:val="auto"/>
          <w:szCs w:val="21"/>
          <w:lang w:eastAsia="zh-CN"/>
        </w:rPr>
        <w:t>乙方</w:t>
      </w:r>
      <w:r>
        <w:rPr>
          <w:rFonts w:hint="eastAsia" w:ascii="黑体" w:hAnsi="黑体" w:eastAsia="黑体" w:cs="黑体"/>
          <w:color w:val="auto"/>
          <w:szCs w:val="21"/>
        </w:rPr>
        <w:t>开具的正式发票；（3）中标通知书；（4）验收报告。）</w:t>
      </w:r>
    </w:p>
    <w:p w14:paraId="1B16C09E">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因</w:t>
      </w:r>
      <w:r>
        <w:rPr>
          <w:rFonts w:hint="eastAsia" w:ascii="黑体" w:hAnsi="黑体" w:eastAsia="黑体" w:cs="黑体"/>
          <w:color w:val="auto"/>
          <w:szCs w:val="21"/>
          <w:lang w:eastAsia="zh-CN"/>
        </w:rPr>
        <w:t>甲方</w:t>
      </w:r>
      <w:r>
        <w:rPr>
          <w:rFonts w:hint="eastAsia" w:ascii="黑体" w:hAnsi="黑体" w:eastAsia="黑体" w:cs="黑体"/>
          <w:color w:val="auto"/>
          <w:szCs w:val="21"/>
        </w:rPr>
        <w:t>使用的是财政资金，</w:t>
      </w:r>
      <w:r>
        <w:rPr>
          <w:rFonts w:hint="eastAsia" w:ascii="黑体" w:hAnsi="黑体" w:eastAsia="黑体" w:cs="黑体"/>
          <w:color w:val="auto"/>
          <w:szCs w:val="21"/>
          <w:lang w:eastAsia="zh-CN"/>
        </w:rPr>
        <w:t>甲方</w:t>
      </w:r>
      <w:r>
        <w:rPr>
          <w:rFonts w:hint="eastAsia" w:ascii="黑体" w:hAnsi="黑体" w:eastAsia="黑体" w:cs="黑体"/>
          <w:color w:val="auto"/>
          <w:szCs w:val="21"/>
        </w:rPr>
        <w:t>在前款规定的付款时间为向政府财政部门提出办理财政支付申请手续的时间（不含政府财政支付部门审核的时间），在规定时间内提出支付申请手续后即视为</w:t>
      </w:r>
      <w:r>
        <w:rPr>
          <w:rFonts w:hint="eastAsia" w:ascii="黑体" w:hAnsi="黑体" w:eastAsia="黑体" w:cs="黑体"/>
          <w:color w:val="auto"/>
          <w:szCs w:val="21"/>
          <w:lang w:eastAsia="zh-CN"/>
        </w:rPr>
        <w:t>甲方</w:t>
      </w:r>
      <w:r>
        <w:rPr>
          <w:rFonts w:hint="eastAsia" w:ascii="黑体" w:hAnsi="黑体" w:eastAsia="黑体" w:cs="黑体"/>
          <w:color w:val="auto"/>
          <w:szCs w:val="21"/>
        </w:rPr>
        <w:t>已经按期办理手续。</w:t>
      </w:r>
    </w:p>
    <w:p w14:paraId="499ED8DB">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lang w:val="en-US" w:eastAsia="zh-CN"/>
        </w:rPr>
        <w:t>七</w:t>
      </w:r>
      <w:r>
        <w:rPr>
          <w:rFonts w:hint="eastAsia" w:ascii="黑体" w:hAnsi="黑体" w:eastAsia="黑体" w:cs="黑体"/>
          <w:b/>
          <w:bCs/>
          <w:color w:val="auto"/>
          <w:szCs w:val="21"/>
        </w:rPr>
        <w:t>、验收标准及要求</w:t>
      </w:r>
    </w:p>
    <w:p w14:paraId="01DE4AA6">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1、交付验收标准依次序对照适用标准</w:t>
      </w:r>
    </w:p>
    <w:p w14:paraId="056F0353">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(1)符合中华人民共和国国家安全质量标准、环保标准或行业标准；</w:t>
      </w:r>
    </w:p>
    <w:p w14:paraId="28FC1464">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(2)符合采购文件和投标承诺中</w:t>
      </w:r>
      <w:r>
        <w:rPr>
          <w:rFonts w:hint="eastAsia" w:ascii="黑体" w:hAnsi="黑体" w:eastAsia="黑体" w:cs="黑体"/>
          <w:color w:val="auto"/>
          <w:szCs w:val="21"/>
          <w:lang w:eastAsia="zh-CN"/>
        </w:rPr>
        <w:t>甲方</w:t>
      </w:r>
      <w:r>
        <w:rPr>
          <w:rFonts w:hint="eastAsia" w:ascii="黑体" w:hAnsi="黑体" w:eastAsia="黑体" w:cs="黑体"/>
          <w:color w:val="auto"/>
          <w:szCs w:val="21"/>
        </w:rPr>
        <w:t>认可的合理最佳配置、参数及各项要求；</w:t>
      </w:r>
    </w:p>
    <w:p w14:paraId="3A59CF35">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(3)</w:t>
      </w:r>
      <w:r>
        <w:rPr>
          <w:rFonts w:hint="eastAsia" w:ascii="黑体" w:hAnsi="黑体" w:eastAsia="黑体" w:cs="黑体"/>
          <w:color w:val="auto"/>
          <w:szCs w:val="21"/>
          <w:lang w:eastAsia="zh-CN"/>
        </w:rPr>
        <w:t>甲方</w:t>
      </w:r>
      <w:r>
        <w:rPr>
          <w:rFonts w:hint="eastAsia" w:ascii="黑体" w:hAnsi="黑体" w:eastAsia="黑体" w:cs="黑体"/>
          <w:color w:val="auto"/>
          <w:szCs w:val="21"/>
        </w:rPr>
        <w:t>组成验收小组按国家有关规定、规范进行验收，必要时邀请相关的专业人员或机构参与验收。因货物质量问题发生争议时，由本地质量技术监督部门鉴定。货物符合质量技术标准的，鉴定费由</w:t>
      </w:r>
      <w:r>
        <w:rPr>
          <w:rFonts w:hint="eastAsia" w:ascii="黑体" w:hAnsi="黑体" w:eastAsia="黑体" w:cs="黑体"/>
          <w:color w:val="auto"/>
          <w:szCs w:val="21"/>
          <w:lang w:eastAsia="zh-CN"/>
        </w:rPr>
        <w:t>甲方</w:t>
      </w:r>
      <w:r>
        <w:rPr>
          <w:rFonts w:hint="eastAsia" w:ascii="黑体" w:hAnsi="黑体" w:eastAsia="黑体" w:cs="黑体"/>
          <w:color w:val="auto"/>
          <w:szCs w:val="21"/>
        </w:rPr>
        <w:t>承担；否则鉴定费由</w:t>
      </w:r>
      <w:r>
        <w:rPr>
          <w:rFonts w:hint="eastAsia" w:ascii="黑体" w:hAnsi="黑体" w:eastAsia="黑体" w:cs="黑体"/>
          <w:color w:val="auto"/>
          <w:szCs w:val="21"/>
          <w:lang w:eastAsia="zh-CN"/>
        </w:rPr>
        <w:t>乙方</w:t>
      </w:r>
      <w:r>
        <w:rPr>
          <w:rFonts w:hint="eastAsia" w:ascii="黑体" w:hAnsi="黑体" w:eastAsia="黑体" w:cs="黑体"/>
          <w:color w:val="auto"/>
          <w:szCs w:val="21"/>
        </w:rPr>
        <w:t>承担。</w:t>
      </w:r>
    </w:p>
    <w:p w14:paraId="4C74229D">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2、验收要求</w:t>
      </w:r>
    </w:p>
    <w:p w14:paraId="5D10AA07">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w:t>
      </w:r>
      <w:r>
        <w:rPr>
          <w:rFonts w:hint="eastAsia" w:ascii="黑体" w:hAnsi="黑体" w:eastAsia="黑体" w:cs="黑体"/>
          <w:color w:val="auto"/>
          <w:szCs w:val="21"/>
          <w:lang w:eastAsia="zh-CN"/>
        </w:rPr>
        <w:t>乙方</w:t>
      </w:r>
      <w:r>
        <w:rPr>
          <w:rFonts w:hint="eastAsia" w:ascii="黑体" w:hAnsi="黑体" w:eastAsia="黑体" w:cs="黑体"/>
          <w:color w:val="auto"/>
          <w:szCs w:val="21"/>
        </w:rPr>
        <w:t>应根据所提交的验收方案和实施办法，自行组织设备和人员，并在</w:t>
      </w:r>
      <w:r>
        <w:rPr>
          <w:rFonts w:hint="eastAsia" w:ascii="黑体" w:hAnsi="黑体" w:eastAsia="黑体" w:cs="黑体"/>
          <w:color w:val="auto"/>
          <w:szCs w:val="21"/>
          <w:lang w:eastAsia="zh-CN"/>
        </w:rPr>
        <w:t>甲方</w:t>
      </w:r>
      <w:r>
        <w:rPr>
          <w:rFonts w:hint="eastAsia" w:ascii="黑体" w:hAnsi="黑体" w:eastAsia="黑体" w:cs="黑体"/>
          <w:color w:val="auto"/>
          <w:szCs w:val="21"/>
        </w:rPr>
        <w:t>监查下现场进行测试和验收。设备验收在</w:t>
      </w:r>
      <w:r>
        <w:rPr>
          <w:rFonts w:hint="eastAsia" w:ascii="黑体" w:hAnsi="黑体" w:eastAsia="黑体" w:cs="黑体"/>
          <w:color w:val="auto"/>
          <w:szCs w:val="21"/>
          <w:lang w:eastAsia="zh-CN"/>
        </w:rPr>
        <w:t>甲方</w:t>
      </w:r>
      <w:r>
        <w:rPr>
          <w:rFonts w:hint="eastAsia" w:ascii="黑体" w:hAnsi="黑体" w:eastAsia="黑体" w:cs="黑体"/>
          <w:color w:val="auto"/>
          <w:szCs w:val="21"/>
        </w:rPr>
        <w:t>和</w:t>
      </w:r>
      <w:r>
        <w:rPr>
          <w:rFonts w:hint="eastAsia" w:ascii="黑体" w:hAnsi="黑体" w:eastAsia="黑体" w:cs="黑体"/>
          <w:color w:val="auto"/>
          <w:szCs w:val="21"/>
          <w:lang w:eastAsia="zh-CN"/>
        </w:rPr>
        <w:t>乙方</w:t>
      </w:r>
      <w:r>
        <w:rPr>
          <w:rFonts w:hint="eastAsia" w:ascii="黑体" w:hAnsi="黑体" w:eastAsia="黑体" w:cs="黑体"/>
          <w:color w:val="auto"/>
          <w:szCs w:val="21"/>
        </w:rPr>
        <w:t>双方共同参与下按国家有关规定、规范以及采购文件的质量要求和技术指标、投标文件及承诺与本合同约定标准进行验收。</w:t>
      </w:r>
    </w:p>
    <w:p w14:paraId="3075AE1C">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(2)所有设备、器材在开箱时必须完好，无破损。配置与装箱单相符。数量、质量及性能不低于合同要求。</w:t>
      </w:r>
    </w:p>
    <w:p w14:paraId="01682E75">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(3)拆箱后，</w:t>
      </w:r>
      <w:r>
        <w:rPr>
          <w:rFonts w:hint="eastAsia" w:ascii="黑体" w:hAnsi="黑体" w:eastAsia="黑体" w:cs="黑体"/>
          <w:color w:val="auto"/>
          <w:szCs w:val="21"/>
          <w:lang w:eastAsia="zh-CN"/>
        </w:rPr>
        <w:t>乙方</w:t>
      </w:r>
      <w:r>
        <w:rPr>
          <w:rFonts w:hint="eastAsia" w:ascii="黑体" w:hAnsi="黑体" w:eastAsia="黑体" w:cs="黑体"/>
          <w:color w:val="auto"/>
          <w:szCs w:val="21"/>
        </w:rPr>
        <w:t>应对其全部产品、零件、配件、用户许可证书、资料、介质造册登记，并与装箱单对比，如有出入应立即书面记录，由</w:t>
      </w:r>
      <w:r>
        <w:rPr>
          <w:rFonts w:hint="eastAsia" w:ascii="黑体" w:hAnsi="黑体" w:eastAsia="黑体" w:cs="黑体"/>
          <w:color w:val="auto"/>
          <w:szCs w:val="21"/>
          <w:lang w:eastAsia="zh-CN"/>
        </w:rPr>
        <w:t>乙方</w:t>
      </w:r>
      <w:r>
        <w:rPr>
          <w:rFonts w:hint="eastAsia" w:ascii="黑体" w:hAnsi="黑体" w:eastAsia="黑体" w:cs="黑体"/>
          <w:color w:val="auto"/>
          <w:szCs w:val="21"/>
        </w:rPr>
        <w:t>解决，如影响安装则按合同有关条款处理。</w:t>
      </w:r>
    </w:p>
    <w:p w14:paraId="5FC9584F">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(4)</w:t>
      </w:r>
      <w:r>
        <w:rPr>
          <w:rFonts w:hint="eastAsia" w:ascii="黑体" w:hAnsi="黑体" w:eastAsia="黑体" w:cs="黑体"/>
          <w:color w:val="auto"/>
          <w:szCs w:val="21"/>
          <w:lang w:eastAsia="zh-CN"/>
        </w:rPr>
        <w:t>甲方</w:t>
      </w:r>
      <w:r>
        <w:rPr>
          <w:rFonts w:hint="eastAsia" w:ascii="黑体" w:hAnsi="黑体" w:eastAsia="黑体" w:cs="黑体"/>
          <w:color w:val="auto"/>
          <w:szCs w:val="21"/>
        </w:rPr>
        <w:t>收到</w:t>
      </w:r>
      <w:r>
        <w:rPr>
          <w:rFonts w:hint="eastAsia" w:ascii="黑体" w:hAnsi="黑体" w:eastAsia="黑体" w:cs="黑体"/>
          <w:color w:val="auto"/>
          <w:szCs w:val="21"/>
          <w:lang w:eastAsia="zh-CN"/>
        </w:rPr>
        <w:t>乙方</w:t>
      </w:r>
      <w:r>
        <w:rPr>
          <w:rFonts w:hint="eastAsia" w:ascii="黑体" w:hAnsi="黑体" w:eastAsia="黑体" w:cs="黑体"/>
          <w:color w:val="auto"/>
          <w:szCs w:val="21"/>
        </w:rPr>
        <w:t>项目验收建议之日起按照合同的约定对履约情况进行验收，对每一项技术、服务、安全标准的履约情况进行确认。</w:t>
      </w:r>
    </w:p>
    <w:p w14:paraId="4B34BEF8">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(5)验收时如发现所交付的设备有短装、次品、损坏或其它不符合验收的情况，</w:t>
      </w:r>
      <w:r>
        <w:rPr>
          <w:rFonts w:hint="eastAsia" w:ascii="黑体" w:hAnsi="黑体" w:eastAsia="黑体" w:cs="黑体"/>
          <w:color w:val="auto"/>
          <w:szCs w:val="21"/>
          <w:lang w:eastAsia="zh-CN"/>
        </w:rPr>
        <w:t>甲方</w:t>
      </w:r>
      <w:r>
        <w:rPr>
          <w:rFonts w:hint="eastAsia" w:ascii="黑体" w:hAnsi="黑体" w:eastAsia="黑体" w:cs="黑体"/>
          <w:color w:val="auto"/>
          <w:szCs w:val="21"/>
        </w:rPr>
        <w:t>应作出详尽的现场记录，或由</w:t>
      </w:r>
      <w:r>
        <w:rPr>
          <w:rFonts w:hint="eastAsia" w:ascii="黑体" w:hAnsi="黑体" w:eastAsia="黑体" w:cs="黑体"/>
          <w:color w:val="auto"/>
          <w:szCs w:val="21"/>
          <w:lang w:eastAsia="zh-CN"/>
        </w:rPr>
        <w:t>甲方</w:t>
      </w:r>
      <w:r>
        <w:rPr>
          <w:rFonts w:hint="eastAsia" w:ascii="黑体" w:hAnsi="黑体" w:eastAsia="黑体" w:cs="黑体"/>
          <w:color w:val="auto"/>
          <w:szCs w:val="21"/>
        </w:rPr>
        <w:t>、</w:t>
      </w:r>
      <w:r>
        <w:rPr>
          <w:rFonts w:hint="eastAsia" w:ascii="黑体" w:hAnsi="黑体" w:eastAsia="黑体" w:cs="黑体"/>
          <w:color w:val="auto"/>
          <w:szCs w:val="21"/>
          <w:lang w:eastAsia="zh-CN"/>
        </w:rPr>
        <w:t>乙方</w:t>
      </w:r>
      <w:r>
        <w:rPr>
          <w:rFonts w:hint="eastAsia" w:ascii="黑体" w:hAnsi="黑体" w:eastAsia="黑体" w:cs="黑体"/>
          <w:color w:val="auto"/>
          <w:szCs w:val="21"/>
        </w:rPr>
        <w:t>双方签署备忘录。此现场记录或备忘录可用作补充、缺失和更换损坏部件的有效证据。由此产生的时间延误与有关费用由</w:t>
      </w:r>
      <w:r>
        <w:rPr>
          <w:rFonts w:hint="eastAsia" w:ascii="黑体" w:hAnsi="黑体" w:eastAsia="黑体" w:cs="黑体"/>
          <w:color w:val="auto"/>
          <w:szCs w:val="21"/>
          <w:lang w:eastAsia="zh-CN"/>
        </w:rPr>
        <w:t>乙方</w:t>
      </w:r>
      <w:r>
        <w:rPr>
          <w:rFonts w:hint="eastAsia" w:ascii="黑体" w:hAnsi="黑体" w:eastAsia="黑体" w:cs="黑体"/>
          <w:color w:val="auto"/>
          <w:szCs w:val="21"/>
        </w:rPr>
        <w:t>承担，验收期限相应顺延。</w:t>
      </w:r>
    </w:p>
    <w:p w14:paraId="4C884146">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(6)如果合同设备运输和安装过程中因事故造成货物短缺、损坏，</w:t>
      </w:r>
      <w:r>
        <w:rPr>
          <w:rFonts w:hint="eastAsia" w:ascii="黑体" w:hAnsi="黑体" w:eastAsia="黑体" w:cs="黑体"/>
          <w:color w:val="auto"/>
          <w:szCs w:val="21"/>
          <w:lang w:eastAsia="zh-CN"/>
        </w:rPr>
        <w:t>乙方</w:t>
      </w:r>
      <w:r>
        <w:rPr>
          <w:rFonts w:hint="eastAsia" w:ascii="黑体" w:hAnsi="黑体" w:eastAsia="黑体" w:cs="黑体"/>
          <w:color w:val="auto"/>
          <w:szCs w:val="21"/>
        </w:rPr>
        <w:t>应及时安排补货、换货，以保证合同设备安装的成功完成。换货的相关费用由</w:t>
      </w:r>
      <w:r>
        <w:rPr>
          <w:rFonts w:hint="eastAsia" w:ascii="黑体" w:hAnsi="黑体" w:eastAsia="黑体" w:cs="黑体"/>
          <w:color w:val="auto"/>
          <w:szCs w:val="21"/>
          <w:lang w:eastAsia="zh-CN"/>
        </w:rPr>
        <w:t>乙方</w:t>
      </w:r>
      <w:r>
        <w:rPr>
          <w:rFonts w:hint="eastAsia" w:ascii="黑体" w:hAnsi="黑体" w:eastAsia="黑体" w:cs="黑体"/>
          <w:color w:val="auto"/>
          <w:szCs w:val="21"/>
        </w:rPr>
        <w:t>承担。</w:t>
      </w:r>
    </w:p>
    <w:p w14:paraId="3072E031">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(7)如质量验收合格，双方签署质量验收报告。</w:t>
      </w:r>
    </w:p>
    <w:p w14:paraId="04598429">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(8)</w:t>
      </w:r>
      <w:r>
        <w:rPr>
          <w:rFonts w:hint="eastAsia" w:ascii="黑体" w:hAnsi="黑体" w:eastAsia="黑体" w:cs="黑体"/>
          <w:color w:val="auto"/>
          <w:szCs w:val="21"/>
          <w:lang w:eastAsia="zh-CN"/>
        </w:rPr>
        <w:t>乙方</w:t>
      </w:r>
      <w:r>
        <w:rPr>
          <w:rFonts w:hint="eastAsia" w:ascii="黑体" w:hAnsi="黑体" w:eastAsia="黑体" w:cs="黑体"/>
          <w:color w:val="auto"/>
          <w:szCs w:val="21"/>
        </w:rPr>
        <w:t>保证合同项下提供的设备不侵犯任何第三方的专利、商标或版权。否则，</w:t>
      </w:r>
      <w:r>
        <w:rPr>
          <w:rFonts w:hint="eastAsia" w:ascii="黑体" w:hAnsi="黑体" w:eastAsia="黑体" w:cs="黑体"/>
          <w:color w:val="auto"/>
          <w:szCs w:val="21"/>
          <w:lang w:eastAsia="zh-CN"/>
        </w:rPr>
        <w:t>乙方</w:t>
      </w:r>
      <w:r>
        <w:rPr>
          <w:rFonts w:hint="eastAsia" w:ascii="黑体" w:hAnsi="黑体" w:eastAsia="黑体" w:cs="黑体"/>
          <w:color w:val="auto"/>
          <w:szCs w:val="21"/>
        </w:rPr>
        <w:t>须承担对第三方的专利或版权的侵权责任并承担因此而发生的所有费用。</w:t>
      </w:r>
    </w:p>
    <w:p w14:paraId="09814A90">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(9)要求对全部设备、产品、型号、规格、数量、外型、外观、包装及资料、文件（如装箱单、保修单、随箱介质等）进行验收。</w:t>
      </w:r>
    </w:p>
    <w:p w14:paraId="1512339B">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(10)凡列入《中华人民共和国实施强制性产品认证的产品目录》的产品在验收时出具CCC认证证书复印件，并以在产品外部加施认证标志作为验收依据之一。</w:t>
      </w:r>
    </w:p>
    <w:p w14:paraId="6640741F">
      <w:pPr>
        <w:spacing w:line="360" w:lineRule="auto"/>
        <w:ind w:firstLine="420" w:firstLineChars="200"/>
        <w:rPr>
          <w:rFonts w:hint="eastAsia" w:ascii="黑体" w:hAnsi="黑体" w:eastAsia="黑体" w:cs="黑体"/>
          <w:color w:val="auto"/>
          <w:szCs w:val="21"/>
        </w:rPr>
      </w:pPr>
      <w:r>
        <w:rPr>
          <w:rFonts w:hint="eastAsia" w:ascii="黑体" w:hAnsi="黑体" w:eastAsia="黑体" w:cs="黑体"/>
          <w:color w:val="auto"/>
          <w:szCs w:val="21"/>
        </w:rPr>
        <w:t>(11)</w:t>
      </w:r>
      <w:r>
        <w:rPr>
          <w:rFonts w:hint="eastAsia" w:ascii="黑体" w:hAnsi="黑体" w:eastAsia="黑体" w:cs="黑体"/>
          <w:color w:val="auto"/>
          <w:szCs w:val="21"/>
          <w:lang w:eastAsia="zh-CN"/>
        </w:rPr>
        <w:t>乙方</w:t>
      </w:r>
      <w:r>
        <w:rPr>
          <w:rFonts w:hint="eastAsia" w:ascii="黑体" w:hAnsi="黑体" w:eastAsia="黑体" w:cs="黑体"/>
          <w:color w:val="auto"/>
          <w:szCs w:val="21"/>
        </w:rPr>
        <w:t>应负责在项目验收时将系统的全部有关产品说明书、原厂家安装手册、技术文件、资料、及安装、验收报告等文档汇集成册交付</w:t>
      </w:r>
      <w:r>
        <w:rPr>
          <w:rFonts w:hint="eastAsia" w:ascii="黑体" w:hAnsi="黑体" w:eastAsia="黑体" w:cs="黑体"/>
          <w:color w:val="auto"/>
          <w:szCs w:val="21"/>
          <w:lang w:eastAsia="zh-CN"/>
        </w:rPr>
        <w:t>甲方</w:t>
      </w:r>
      <w:r>
        <w:rPr>
          <w:rFonts w:hint="eastAsia" w:ascii="黑体" w:hAnsi="黑体" w:eastAsia="黑体" w:cs="黑体"/>
          <w:color w:val="auto"/>
          <w:szCs w:val="21"/>
        </w:rPr>
        <w:t>。</w:t>
      </w:r>
    </w:p>
    <w:p w14:paraId="24E9CC0F">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lang w:val="en-US" w:eastAsia="zh-CN"/>
        </w:rPr>
        <w:t>八</w:t>
      </w:r>
      <w:r>
        <w:rPr>
          <w:rFonts w:hint="eastAsia" w:ascii="黑体" w:hAnsi="黑体" w:eastAsia="黑体" w:cs="黑体"/>
          <w:b/>
          <w:bCs/>
          <w:color w:val="auto"/>
          <w:szCs w:val="21"/>
        </w:rPr>
        <w:t>、合同的转让和分包</w:t>
      </w:r>
    </w:p>
    <w:p w14:paraId="3DAFFB8E">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1、本合同为总承包合同，不能以任何形式进行分包；</w:t>
      </w:r>
    </w:p>
    <w:p w14:paraId="0A19513A">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2、乙方不得部分转让或全部转让其应履行的合同义务。如甲方发现乙方转包或分包证据，乙方立刻失去继续供货资格，乙方不得破坏现场与施工效果，甲方不再付款。</w:t>
      </w:r>
    </w:p>
    <w:p w14:paraId="153E3796">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lang w:val="en-US" w:eastAsia="zh-CN"/>
        </w:rPr>
        <w:t>九</w:t>
      </w:r>
      <w:r>
        <w:rPr>
          <w:rFonts w:hint="eastAsia" w:ascii="黑体" w:hAnsi="黑体" w:eastAsia="黑体" w:cs="黑体"/>
          <w:b/>
          <w:bCs/>
          <w:color w:val="auto"/>
          <w:szCs w:val="21"/>
        </w:rPr>
        <w:t>、保密</w:t>
      </w:r>
    </w:p>
    <w:p w14:paraId="75C3815B">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未经甲方事先书面同意，乙方不得将由甲方为本合同提供的条文、规格、计划、图纸、模型、样品或资料提供给予本合同无关的任何第三方，不得将其用于履行本合同之外的其它用途。即使向与履行本合同有关的人员提供，也应注意保密并限于履行合同所必需的范围。</w:t>
      </w:r>
    </w:p>
    <w:p w14:paraId="70B01643">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2、除了合同本身之外，上款所列举的任何物件均是甲方的财产。如果甲方有要求，乙方在完成合同后应将这些物件及全部自制件还给甲方。</w:t>
      </w:r>
    </w:p>
    <w:p w14:paraId="608A5CF4">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lang w:val="en-US" w:eastAsia="zh-CN"/>
        </w:rPr>
        <w:t>十</w:t>
      </w:r>
      <w:r>
        <w:rPr>
          <w:rFonts w:hint="eastAsia" w:ascii="黑体" w:hAnsi="黑体" w:eastAsia="黑体" w:cs="黑体"/>
          <w:b/>
          <w:bCs/>
          <w:color w:val="auto"/>
          <w:szCs w:val="21"/>
        </w:rPr>
        <w:t>、知识产权</w:t>
      </w:r>
    </w:p>
    <w:p w14:paraId="4AF4AE67">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1、乙方应保证，甲方在中华人民共和国使用该货物或货物的任何一部分时，如受第三方提出的侵犯其专利权、商标权或其他知识产权的起诉，由乙方承担一切责任。</w:t>
      </w:r>
    </w:p>
    <w:p w14:paraId="0C8278BE">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2、乙方为执行本合同而提供的技术资料、软件的使用权归甲方所有。</w:t>
      </w:r>
    </w:p>
    <w:p w14:paraId="2EC43B9D">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lang w:val="en-US" w:eastAsia="zh-CN"/>
        </w:rPr>
        <w:t>十一</w:t>
      </w:r>
      <w:r>
        <w:rPr>
          <w:rFonts w:hint="eastAsia" w:ascii="黑体" w:hAnsi="黑体" w:eastAsia="黑体" w:cs="黑体"/>
          <w:b/>
          <w:bCs/>
          <w:color w:val="auto"/>
          <w:szCs w:val="21"/>
        </w:rPr>
        <w:t>、产权与风险转移</w:t>
      </w:r>
    </w:p>
    <w:p w14:paraId="544BD52C">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1、乙方交由承运人运输的在途货物，毁损、灭失的风险由乙方承担。</w:t>
      </w:r>
    </w:p>
    <w:p w14:paraId="321F5A56">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2、货物的产权，损坏、灭失的风险，在货物通过验收合格交付使用时起由乙方转移至甲方。</w:t>
      </w:r>
    </w:p>
    <w:p w14:paraId="6854E633">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3、因货物验收不合格甲方拒收，或双方已解除合同，货物毁损、灭失的风险由乙方承担。</w:t>
      </w:r>
    </w:p>
    <w:p w14:paraId="14ABB1F2">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4、产权和风险的转移，不影响因乙方履行义务不符合约定，甲方要求其承担违约责任的权利。</w:t>
      </w:r>
    </w:p>
    <w:p w14:paraId="531432A5">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十</w:t>
      </w:r>
      <w:r>
        <w:rPr>
          <w:rFonts w:hint="eastAsia" w:ascii="黑体" w:hAnsi="黑体" w:eastAsia="黑体" w:cs="黑体"/>
          <w:b/>
          <w:bCs/>
          <w:color w:val="auto"/>
          <w:szCs w:val="21"/>
          <w:lang w:val="en-US" w:eastAsia="zh-CN"/>
        </w:rPr>
        <w:t>二</w:t>
      </w:r>
      <w:r>
        <w:rPr>
          <w:rFonts w:hint="eastAsia" w:ascii="黑体" w:hAnsi="黑体" w:eastAsia="黑体" w:cs="黑体"/>
          <w:b/>
          <w:bCs/>
          <w:color w:val="auto"/>
          <w:szCs w:val="21"/>
        </w:rPr>
        <w:t>、违约责任</w:t>
      </w:r>
    </w:p>
    <w:p w14:paraId="2DEA6C4E">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1、乙方未能交付物品，则向甲方支付合同总额20%的违约金。</w:t>
      </w:r>
    </w:p>
    <w:p w14:paraId="7E362B88">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2、乙方交付的物品及服务不符合投标文件或本合同规定的，甲方有权拒收，乙方向甲方支付合同总额20%的违约金，且甲方不退还乙方交纳的履约保证金。</w:t>
      </w:r>
    </w:p>
    <w:p w14:paraId="100A8EC6">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3、甲方无正当理由拒收物品，拒付货款的，则向乙方支付合同总额20%的违约金。</w:t>
      </w:r>
    </w:p>
    <w:p w14:paraId="25A0819B">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4、乙方逾期交付物品，则每日按合同总额3‰向甲方偿付违约金，违约金总额不超过合同总金额的20%。逾期交付超过30天，甲方有权终止合同，不退还乙方交纳的履约保证金，乙方仍须向甲方支付前述违约金。</w:t>
      </w:r>
    </w:p>
    <w:p w14:paraId="4F80022A">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5、乙方必须按甲方指定地点按时交货，货物不符合质量标准的，乙方必须按时负责调换至合格为止，并承担由此产生的实际费用。不能按时调换至合格者，按不能交货处理</w:t>
      </w:r>
    </w:p>
    <w:p w14:paraId="6721F2D1">
      <w:pPr>
        <w:tabs>
          <w:tab w:val="left" w:pos="780"/>
        </w:tabs>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6、乙方未按约定提供技术支持和售后服务的，应当承担违约责任。乙方响应甲方报障不及时，延误达四小时以上的，或累计延误达到三次的，乙方应当每次向甲方按合同总额的1%支付违约金；给甲方造成损失的，还应当赔偿损失。如设备未能按要求修复，乙方又未能提供同类设备替代的，乙方应当向甲方按合同总额的20%支付违约金，且甲方不退还乙方交纳的履约保证金；甲方在乙方不能修复也不提供同类设备替代的情况下，有权交由第三方提供维修服务和更换故障设备，所需费用由乙方承担。</w:t>
      </w:r>
    </w:p>
    <w:p w14:paraId="0E6A0D5E">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十</w:t>
      </w:r>
      <w:r>
        <w:rPr>
          <w:rFonts w:hint="eastAsia" w:ascii="黑体" w:hAnsi="黑体" w:eastAsia="黑体" w:cs="黑体"/>
          <w:b/>
          <w:bCs/>
          <w:color w:val="auto"/>
          <w:szCs w:val="21"/>
          <w:lang w:val="en-US" w:eastAsia="zh-CN"/>
        </w:rPr>
        <w:t>三</w:t>
      </w:r>
      <w:r>
        <w:rPr>
          <w:rFonts w:hint="eastAsia" w:ascii="黑体" w:hAnsi="黑体" w:eastAsia="黑体" w:cs="黑体"/>
          <w:b/>
          <w:bCs/>
          <w:color w:val="auto"/>
          <w:szCs w:val="21"/>
        </w:rPr>
        <w:t>、争议的解决</w:t>
      </w:r>
    </w:p>
    <w:p w14:paraId="07AD3C52">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本合同发生争议，由双方协商解决，协商不成时可向甲方所在地人民法院起诉。</w:t>
      </w:r>
    </w:p>
    <w:p w14:paraId="02A0FC22">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十</w:t>
      </w:r>
      <w:r>
        <w:rPr>
          <w:rFonts w:hint="eastAsia" w:ascii="黑体" w:hAnsi="黑体" w:eastAsia="黑体" w:cs="黑体"/>
          <w:b/>
          <w:bCs/>
          <w:color w:val="auto"/>
          <w:szCs w:val="21"/>
          <w:lang w:val="en-US" w:eastAsia="zh-CN"/>
        </w:rPr>
        <w:t>四</w:t>
      </w:r>
      <w:r>
        <w:rPr>
          <w:rFonts w:hint="eastAsia" w:ascii="黑体" w:hAnsi="黑体" w:eastAsia="黑体" w:cs="黑体"/>
          <w:b/>
          <w:bCs/>
          <w:color w:val="auto"/>
          <w:szCs w:val="21"/>
        </w:rPr>
        <w:t>、合同终止</w:t>
      </w:r>
    </w:p>
    <w:p w14:paraId="64737200">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如果一方严重违反合同，并在收到对方违约通知书后在30天内仍未能改正违约的，另一方可立即终止本合同。</w:t>
      </w:r>
    </w:p>
    <w:p w14:paraId="29A4AA69">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十</w:t>
      </w:r>
      <w:r>
        <w:rPr>
          <w:rFonts w:hint="eastAsia" w:ascii="黑体" w:hAnsi="黑体" w:eastAsia="黑体" w:cs="黑体"/>
          <w:b/>
          <w:bCs/>
          <w:color w:val="auto"/>
          <w:szCs w:val="21"/>
          <w:lang w:val="en-US" w:eastAsia="zh-CN"/>
        </w:rPr>
        <w:t>五</w:t>
      </w:r>
      <w:r>
        <w:rPr>
          <w:rFonts w:hint="eastAsia" w:ascii="黑体" w:hAnsi="黑体" w:eastAsia="黑体" w:cs="黑体"/>
          <w:b/>
          <w:bCs/>
          <w:color w:val="auto"/>
          <w:szCs w:val="21"/>
        </w:rPr>
        <w:t>、不可抗力</w:t>
      </w:r>
    </w:p>
    <w:p w14:paraId="0CD95A88">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5B5E65E">
      <w:pPr>
        <w:spacing w:line="360" w:lineRule="auto"/>
        <w:ind w:firstLine="422" w:firstLineChars="200"/>
        <w:rPr>
          <w:rFonts w:ascii="黑体" w:hAnsi="黑体" w:eastAsia="黑体" w:cs="黑体"/>
          <w:b/>
          <w:bCs/>
          <w:color w:val="auto"/>
          <w:szCs w:val="21"/>
        </w:rPr>
      </w:pPr>
      <w:r>
        <w:rPr>
          <w:rFonts w:hint="eastAsia" w:ascii="黑体" w:hAnsi="黑体" w:eastAsia="黑体" w:cs="黑体"/>
          <w:b/>
          <w:bCs/>
          <w:color w:val="auto"/>
          <w:szCs w:val="21"/>
        </w:rPr>
        <w:t>十</w:t>
      </w:r>
      <w:r>
        <w:rPr>
          <w:rFonts w:hint="eastAsia" w:ascii="黑体" w:hAnsi="黑体" w:eastAsia="黑体" w:cs="黑体"/>
          <w:b/>
          <w:bCs/>
          <w:color w:val="auto"/>
          <w:szCs w:val="21"/>
          <w:lang w:val="en-US" w:eastAsia="zh-CN"/>
        </w:rPr>
        <w:t>六</w:t>
      </w:r>
      <w:r>
        <w:rPr>
          <w:rFonts w:hint="eastAsia" w:ascii="黑体" w:hAnsi="黑体" w:eastAsia="黑体" w:cs="黑体"/>
          <w:b/>
          <w:bCs/>
          <w:color w:val="auto"/>
          <w:szCs w:val="21"/>
        </w:rPr>
        <w:t>、其它约定条款</w:t>
      </w:r>
    </w:p>
    <w:p w14:paraId="3A8E92C7">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1、本合同一式陆份，甲方执肆份，乙方执贰份。陆份合同具有同等法律效力。</w:t>
      </w:r>
    </w:p>
    <w:p w14:paraId="5D9C4B8B">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2、本合同所有附件、招标文件、投标文件、中标通知书均为合同的有效组成部分，与本合同具有同等法律效力。</w:t>
      </w:r>
    </w:p>
    <w:p w14:paraId="372B6EE8">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3、在执行本合同的过程中，所有经双方签署确认的文件（包括会议纪要、补充协议、往来信函）即成为本合同的有效组成部分。文件解释说明如出现前后不一致之处，在供需双方协商未果的情况下，以文件生成时间在后的解释说明为准。</w:t>
      </w:r>
    </w:p>
    <w:p w14:paraId="74704D59">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4、除需方事先书面同意外，供方不得部分或全部转让其应履行的合同项下的义务。</w:t>
      </w:r>
    </w:p>
    <w:p w14:paraId="6B4C2016">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5、未尽事宜，由甲乙双方协商解决。</w:t>
      </w:r>
    </w:p>
    <w:p w14:paraId="67B6767D">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6、本合同在甲乙双方法人代表或其授权代表签字盖章后即生效。</w:t>
      </w:r>
    </w:p>
    <w:p w14:paraId="5979E970">
      <w:pPr>
        <w:spacing w:line="360" w:lineRule="auto"/>
        <w:ind w:firstLine="420" w:firstLineChars="200"/>
        <w:rPr>
          <w:rFonts w:ascii="黑体" w:hAnsi="黑体" w:eastAsia="黑体" w:cs="黑体"/>
          <w:color w:val="auto"/>
          <w:szCs w:val="21"/>
        </w:rPr>
      </w:pPr>
    </w:p>
    <w:p w14:paraId="00ACDCEF">
      <w:pPr>
        <w:spacing w:line="360" w:lineRule="auto"/>
        <w:ind w:firstLine="420" w:firstLineChars="200"/>
        <w:rPr>
          <w:rFonts w:ascii="黑体" w:hAnsi="黑体" w:eastAsia="黑体" w:cs="黑体"/>
          <w:color w:val="auto"/>
          <w:szCs w:val="21"/>
        </w:rPr>
      </w:pPr>
    </w:p>
    <w:p w14:paraId="589C2E02">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甲方：                              乙方：</w:t>
      </w:r>
    </w:p>
    <w:p w14:paraId="1D6DB904">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地址：                              地址：</w:t>
      </w:r>
    </w:p>
    <w:p w14:paraId="48975C17">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法定代表人：                        法定代表人：</w:t>
      </w:r>
    </w:p>
    <w:p w14:paraId="393F7740">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 xml:space="preserve">授权委托代理人：                    授权委托代理人： </w:t>
      </w:r>
    </w:p>
    <w:p w14:paraId="57B47129">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电话：                              电话：</w:t>
      </w:r>
    </w:p>
    <w:p w14:paraId="05D980AF">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传真：                              传真：</w:t>
      </w:r>
    </w:p>
    <w:p w14:paraId="432B06E2">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开户银行：                          开户银行：</w:t>
      </w:r>
    </w:p>
    <w:p w14:paraId="5152CD2C">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帐  号：                            帐   号：</w:t>
      </w:r>
    </w:p>
    <w:p w14:paraId="7D35B46B">
      <w:pPr>
        <w:spacing w:line="360" w:lineRule="auto"/>
        <w:ind w:firstLine="420" w:firstLineChars="200"/>
        <w:rPr>
          <w:rFonts w:ascii="黑体" w:hAnsi="黑体" w:eastAsia="黑体" w:cs="黑体"/>
          <w:color w:val="auto"/>
          <w:szCs w:val="21"/>
        </w:rPr>
      </w:pPr>
      <w:r>
        <w:rPr>
          <w:rFonts w:hint="eastAsia" w:ascii="黑体" w:hAnsi="黑体" w:eastAsia="黑体" w:cs="黑体"/>
          <w:color w:val="auto"/>
          <w:szCs w:val="21"/>
        </w:rPr>
        <w:t>日  期：                            日   期：</w:t>
      </w:r>
    </w:p>
    <w:p w14:paraId="423C2637">
      <w:pPr>
        <w:spacing w:line="360" w:lineRule="auto"/>
        <w:ind w:firstLine="420" w:firstLineChars="200"/>
        <w:rPr>
          <w:rFonts w:ascii="黑体" w:hAnsi="黑体" w:eastAsia="黑体" w:cs="黑体"/>
          <w:color w:val="auto"/>
          <w:szCs w:val="21"/>
        </w:rPr>
      </w:pPr>
    </w:p>
    <w:p w14:paraId="7075A126">
      <w:pPr>
        <w:spacing w:line="360" w:lineRule="auto"/>
        <w:ind w:firstLine="420" w:firstLineChars="200"/>
        <w:rPr>
          <w:rFonts w:ascii="黑体" w:hAnsi="黑体" w:eastAsia="黑体" w:cs="黑体"/>
          <w:color w:val="auto"/>
          <w:szCs w:val="21"/>
        </w:rPr>
      </w:pPr>
    </w:p>
    <w:p w14:paraId="5613781F">
      <w:pPr>
        <w:tabs>
          <w:tab w:val="left" w:pos="720"/>
        </w:tabs>
        <w:spacing w:line="360" w:lineRule="auto"/>
        <w:rPr>
          <w:rFonts w:ascii="黑体" w:hAnsi="黑体" w:eastAsia="黑体"/>
          <w:color w:val="auto"/>
          <w:spacing w:val="20"/>
          <w:sz w:val="28"/>
          <w:szCs w:val="28"/>
        </w:rPr>
      </w:pPr>
      <w:r>
        <w:rPr>
          <w:rFonts w:hint="eastAsia" w:ascii="黑体" w:hAnsi="黑体" w:eastAsia="黑体" w:cs="黑体"/>
          <w:b/>
          <w:bCs/>
          <w:color w:val="auto"/>
          <w:szCs w:val="21"/>
        </w:rPr>
        <w:t>附件：技术参数</w:t>
      </w:r>
    </w:p>
    <w:p w14:paraId="16392C38">
      <w:pPr>
        <w:spacing w:after="156" w:afterLines="50" w:line="360" w:lineRule="auto"/>
        <w:rPr>
          <w:rFonts w:ascii="黑体" w:hAnsi="黑体" w:eastAsia="黑体"/>
          <w:b/>
          <w:color w:val="auto"/>
          <w:spacing w:val="20"/>
          <w:szCs w:val="21"/>
        </w:rPr>
      </w:pPr>
    </w:p>
    <w:p w14:paraId="79F345C4">
      <w:pPr>
        <w:spacing w:after="156" w:afterLines="50" w:line="360" w:lineRule="auto"/>
        <w:rPr>
          <w:rFonts w:ascii="黑体" w:hAnsi="黑体" w:eastAsia="黑体"/>
          <w:b/>
          <w:color w:val="auto"/>
          <w:spacing w:val="20"/>
          <w:szCs w:val="21"/>
        </w:rPr>
      </w:pPr>
    </w:p>
    <w:p w14:paraId="58356742">
      <w:pPr>
        <w:pStyle w:val="3"/>
        <w:keepNext w:val="0"/>
        <w:keepLines w:val="0"/>
        <w:pageBreakBefore/>
        <w:spacing w:line="360" w:lineRule="auto"/>
        <w:jc w:val="center"/>
        <w:rPr>
          <w:rFonts w:ascii="黑体" w:hAnsi="黑体" w:eastAsia="黑体"/>
          <w:color w:val="auto"/>
          <w:spacing w:val="20"/>
          <w:sz w:val="32"/>
          <w:szCs w:val="32"/>
        </w:rPr>
      </w:pPr>
      <w:bookmarkStart w:id="68" w:name="_Toc405313957"/>
      <w:bookmarkStart w:id="69" w:name="_Toc391627753"/>
      <w:bookmarkStart w:id="70" w:name="_Toc119514291"/>
      <w:r>
        <w:rPr>
          <w:rFonts w:hint="eastAsia" w:ascii="黑体" w:hAnsi="黑体" w:eastAsia="黑体"/>
          <w:color w:val="auto"/>
          <w:spacing w:val="20"/>
          <w:sz w:val="32"/>
          <w:szCs w:val="32"/>
        </w:rPr>
        <w:t>第七部分</w:t>
      </w:r>
      <w:r>
        <w:rPr>
          <w:rFonts w:ascii="黑体" w:hAnsi="黑体" w:eastAsia="黑体"/>
          <w:color w:val="auto"/>
          <w:spacing w:val="20"/>
          <w:sz w:val="32"/>
          <w:szCs w:val="32"/>
        </w:rPr>
        <w:t xml:space="preserve"> </w:t>
      </w:r>
      <w:r>
        <w:rPr>
          <w:rFonts w:hint="eastAsia" w:ascii="黑体" w:hAnsi="黑体" w:eastAsia="黑体"/>
          <w:color w:val="auto"/>
          <w:spacing w:val="20"/>
          <w:sz w:val="32"/>
          <w:szCs w:val="32"/>
        </w:rPr>
        <w:t>投标文件格式</w:t>
      </w:r>
      <w:bookmarkEnd w:id="68"/>
      <w:bookmarkEnd w:id="69"/>
      <w:bookmarkEnd w:id="70"/>
    </w:p>
    <w:p w14:paraId="71C6F4FC">
      <w:pPr>
        <w:pStyle w:val="30"/>
        <w:spacing w:after="312" w:afterLines="100" w:line="360" w:lineRule="auto"/>
        <w:ind w:left="420" w:right="108" w:firstLine="0" w:firstLineChars="0"/>
        <w:jc w:val="right"/>
        <w:rPr>
          <w:rFonts w:ascii="黑体" w:hAnsi="黑体" w:eastAsia="黑体"/>
          <w:b/>
          <w:color w:val="auto"/>
          <w:sz w:val="36"/>
          <w:szCs w:val="36"/>
        </w:rPr>
      </w:pPr>
      <w:r>
        <w:rPr>
          <w:rFonts w:hint="eastAsia" w:ascii="黑体" w:hAnsi="黑体" w:eastAsia="黑体"/>
          <w:b/>
          <w:color w:val="auto"/>
          <w:sz w:val="36"/>
          <w:szCs w:val="36"/>
        </w:rPr>
        <w:t>正本</w:t>
      </w:r>
      <w:r>
        <w:rPr>
          <w:rFonts w:ascii="黑体" w:hAnsi="黑体" w:eastAsia="黑体"/>
          <w:b/>
          <w:color w:val="auto"/>
          <w:sz w:val="36"/>
          <w:szCs w:val="36"/>
        </w:rPr>
        <w:t>/副本</w:t>
      </w:r>
    </w:p>
    <w:p w14:paraId="500231FF">
      <w:pPr>
        <w:spacing w:before="1092" w:beforeLines="350" w:after="780" w:afterLines="250" w:line="360" w:lineRule="auto"/>
        <w:jc w:val="center"/>
        <w:rPr>
          <w:rFonts w:ascii="黑体" w:hAnsi="黑体" w:eastAsia="黑体"/>
          <w:bCs/>
          <w:color w:val="auto"/>
          <w:sz w:val="50"/>
          <w:szCs w:val="50"/>
        </w:rPr>
      </w:pPr>
      <w:r>
        <w:rPr>
          <w:rFonts w:hint="eastAsia" w:ascii="黑体" w:hAnsi="黑体" w:eastAsia="黑体"/>
          <w:bCs/>
          <w:color w:val="auto"/>
          <w:sz w:val="50"/>
          <w:szCs w:val="50"/>
        </w:rPr>
        <w:t>东莞市汽车技术学校城市轨道交通通信与运营综合实训平台采购项目</w:t>
      </w:r>
    </w:p>
    <w:p w14:paraId="60C0779C">
      <w:pPr>
        <w:spacing w:line="360" w:lineRule="auto"/>
        <w:jc w:val="center"/>
        <w:rPr>
          <w:rFonts w:ascii="黑体" w:hAnsi="黑体" w:eastAsia="黑体"/>
          <w:b/>
          <w:color w:val="auto"/>
          <w:szCs w:val="21"/>
        </w:rPr>
      </w:pPr>
      <w:r>
        <w:rPr>
          <w:rFonts w:hint="eastAsia" w:ascii="黑体" w:hAnsi="黑体" w:eastAsia="黑体"/>
          <w:b/>
          <w:color w:val="auto"/>
          <w:szCs w:val="21"/>
        </w:rPr>
        <w:t>（项目编号：</w:t>
      </w:r>
      <w:r>
        <w:rPr>
          <w:rFonts w:ascii="黑体" w:hAnsi="黑体" w:eastAsia="黑体"/>
          <w:b/>
          <w:color w:val="auto"/>
          <w:szCs w:val="21"/>
          <w:u w:val="single"/>
        </w:rPr>
        <w:t xml:space="preserve">             </w:t>
      </w:r>
      <w:r>
        <w:rPr>
          <w:rFonts w:hint="eastAsia" w:ascii="黑体" w:hAnsi="黑体" w:eastAsia="黑体"/>
          <w:b/>
          <w:color w:val="auto"/>
          <w:szCs w:val="21"/>
        </w:rPr>
        <w:t>）</w:t>
      </w:r>
    </w:p>
    <w:p w14:paraId="52C4CFD5">
      <w:pPr>
        <w:spacing w:before="1248" w:beforeLines="400" w:line="360" w:lineRule="auto"/>
        <w:jc w:val="center"/>
        <w:rPr>
          <w:rFonts w:ascii="黑体" w:hAnsi="黑体" w:eastAsia="黑体"/>
          <w:b/>
          <w:color w:val="auto"/>
          <w:spacing w:val="60"/>
          <w:sz w:val="72"/>
          <w:szCs w:val="72"/>
        </w:rPr>
      </w:pPr>
      <w:r>
        <w:rPr>
          <w:rFonts w:hint="eastAsia" w:ascii="黑体" w:hAnsi="黑体" w:eastAsia="黑体"/>
          <w:b/>
          <w:color w:val="auto"/>
          <w:spacing w:val="60"/>
          <w:sz w:val="72"/>
          <w:szCs w:val="72"/>
        </w:rPr>
        <w:t>投标文件</w:t>
      </w:r>
    </w:p>
    <w:p w14:paraId="6B6BDEE7">
      <w:pPr>
        <w:spacing w:after="1560" w:afterLines="500" w:line="360" w:lineRule="auto"/>
        <w:jc w:val="center"/>
        <w:rPr>
          <w:rFonts w:ascii="黑体" w:hAnsi="黑体" w:eastAsia="黑体"/>
          <w:b/>
          <w:color w:val="auto"/>
          <w:szCs w:val="21"/>
        </w:rPr>
      </w:pPr>
      <w:r>
        <w:rPr>
          <w:rFonts w:hint="eastAsia" w:ascii="黑体" w:hAnsi="黑体" w:eastAsia="黑体"/>
          <w:b/>
          <w:color w:val="auto"/>
          <w:szCs w:val="21"/>
        </w:rPr>
        <w:t>（封面格式仅供参考）</w:t>
      </w:r>
    </w:p>
    <w:tbl>
      <w:tblPr>
        <w:tblStyle w:val="21"/>
        <w:tblW w:w="418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85"/>
        <w:gridCol w:w="5251"/>
      </w:tblGrid>
      <w:tr w14:paraId="5526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421" w:type="pct"/>
            <w:vAlign w:val="center"/>
          </w:tcPr>
          <w:p w14:paraId="4FB9A784">
            <w:pPr>
              <w:spacing w:line="360" w:lineRule="auto"/>
              <w:jc w:val="right"/>
              <w:rPr>
                <w:rFonts w:ascii="黑体" w:hAnsi="黑体" w:eastAsia="黑体"/>
                <w:color w:val="auto"/>
                <w:sz w:val="24"/>
                <w:szCs w:val="24"/>
              </w:rPr>
            </w:pPr>
            <w:r>
              <w:rPr>
                <w:rFonts w:hint="eastAsia" w:ascii="黑体" w:hAnsi="黑体" w:eastAsia="黑体"/>
                <w:color w:val="auto"/>
                <w:sz w:val="24"/>
                <w:szCs w:val="24"/>
              </w:rPr>
              <w:t>投标人名称：</w:t>
            </w:r>
          </w:p>
        </w:tc>
        <w:tc>
          <w:tcPr>
            <w:tcW w:w="3579" w:type="pct"/>
            <w:vAlign w:val="center"/>
          </w:tcPr>
          <w:p w14:paraId="4835061F">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458E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421" w:type="pct"/>
            <w:vAlign w:val="center"/>
          </w:tcPr>
          <w:p w14:paraId="28D447B5">
            <w:pPr>
              <w:spacing w:line="360" w:lineRule="auto"/>
              <w:jc w:val="right"/>
              <w:rPr>
                <w:rFonts w:ascii="黑体" w:hAnsi="黑体" w:eastAsia="黑体"/>
                <w:color w:val="auto"/>
                <w:sz w:val="24"/>
                <w:szCs w:val="24"/>
              </w:rPr>
            </w:pPr>
            <w:r>
              <w:rPr>
                <w:rFonts w:hint="eastAsia" w:ascii="黑体" w:hAnsi="黑体" w:eastAsia="黑体"/>
                <w:color w:val="auto"/>
                <w:sz w:val="24"/>
                <w:szCs w:val="24"/>
              </w:rPr>
              <w:t>投标人地址：</w:t>
            </w:r>
          </w:p>
        </w:tc>
        <w:tc>
          <w:tcPr>
            <w:tcW w:w="3579" w:type="pct"/>
            <w:vAlign w:val="center"/>
          </w:tcPr>
          <w:p w14:paraId="7821B625">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41689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1421" w:type="pct"/>
            <w:vAlign w:val="center"/>
          </w:tcPr>
          <w:p w14:paraId="391D2311">
            <w:pPr>
              <w:spacing w:line="360" w:lineRule="auto"/>
              <w:jc w:val="right"/>
              <w:rPr>
                <w:rFonts w:ascii="黑体" w:hAnsi="黑体" w:eastAsia="黑体"/>
                <w:color w:val="auto"/>
                <w:spacing w:val="-10"/>
                <w:sz w:val="24"/>
                <w:szCs w:val="24"/>
              </w:rPr>
            </w:pPr>
            <w:r>
              <w:rPr>
                <w:rFonts w:hint="eastAsia" w:ascii="黑体" w:hAnsi="黑体" w:eastAsia="黑体"/>
                <w:color w:val="auto"/>
                <w:sz w:val="24"/>
                <w:szCs w:val="24"/>
              </w:rPr>
              <w:t>投标联系人</w:t>
            </w:r>
            <w:r>
              <w:rPr>
                <w:rFonts w:hint="eastAsia" w:ascii="黑体" w:hAnsi="黑体" w:eastAsia="黑体"/>
                <w:color w:val="auto"/>
                <w:spacing w:val="-10"/>
                <w:sz w:val="24"/>
                <w:szCs w:val="24"/>
              </w:rPr>
              <w:t>：</w:t>
            </w:r>
          </w:p>
        </w:tc>
        <w:tc>
          <w:tcPr>
            <w:tcW w:w="3579" w:type="pct"/>
            <w:vAlign w:val="center"/>
          </w:tcPr>
          <w:p w14:paraId="2EC164C1">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5EDFF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421" w:type="pct"/>
            <w:vAlign w:val="center"/>
          </w:tcPr>
          <w:p w14:paraId="11CE77B7">
            <w:pPr>
              <w:tabs>
                <w:tab w:val="left" w:pos="170"/>
              </w:tabs>
              <w:spacing w:line="360" w:lineRule="auto"/>
              <w:jc w:val="right"/>
              <w:rPr>
                <w:rFonts w:ascii="黑体" w:hAnsi="黑体" w:eastAsia="黑体"/>
                <w:color w:val="auto"/>
                <w:sz w:val="24"/>
                <w:szCs w:val="24"/>
              </w:rPr>
            </w:pPr>
            <w:r>
              <w:rPr>
                <w:rFonts w:hint="eastAsia" w:ascii="黑体" w:hAnsi="黑体" w:eastAsia="黑体"/>
                <w:color w:val="auto"/>
                <w:spacing w:val="24"/>
                <w:sz w:val="24"/>
                <w:szCs w:val="24"/>
              </w:rPr>
              <w:t>联系电话</w:t>
            </w:r>
            <w:r>
              <w:rPr>
                <w:rFonts w:hint="eastAsia" w:ascii="黑体" w:hAnsi="黑体" w:eastAsia="黑体"/>
                <w:color w:val="auto"/>
                <w:sz w:val="24"/>
                <w:szCs w:val="24"/>
              </w:rPr>
              <w:t>：</w:t>
            </w:r>
          </w:p>
        </w:tc>
        <w:tc>
          <w:tcPr>
            <w:tcW w:w="3579" w:type="pct"/>
            <w:vAlign w:val="center"/>
          </w:tcPr>
          <w:p w14:paraId="0A71BCEE">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bl>
    <w:p w14:paraId="3D899348">
      <w:pPr>
        <w:spacing w:before="936" w:beforeLines="300" w:line="600" w:lineRule="exact"/>
        <w:jc w:val="center"/>
        <w:rPr>
          <w:rFonts w:ascii="黑体" w:hAnsi="黑体" w:eastAsia="黑体"/>
          <w:b/>
          <w:color w:val="auto"/>
          <w:spacing w:val="40"/>
          <w:sz w:val="24"/>
          <w:szCs w:val="24"/>
        </w:rPr>
      </w:pPr>
      <w:r>
        <w:rPr>
          <w:rFonts w:hint="eastAsia" w:ascii="黑体" w:hAnsi="黑体" w:eastAsia="黑体"/>
          <w:b/>
          <w:color w:val="auto"/>
          <w:spacing w:val="40"/>
          <w:sz w:val="24"/>
          <w:szCs w:val="24"/>
        </w:rPr>
        <w:t>日期：</w:t>
      </w:r>
      <w:r>
        <w:rPr>
          <w:rFonts w:hint="eastAsia" w:ascii="黑体" w:hAnsi="黑体" w:eastAsia="黑体"/>
          <w:b/>
          <w:color w:val="auto"/>
          <w:spacing w:val="20"/>
          <w:szCs w:val="21"/>
        </w:rPr>
        <w:t xml:space="preserve">    </w:t>
      </w:r>
      <w:r>
        <w:rPr>
          <w:rFonts w:hint="eastAsia" w:ascii="黑体" w:hAnsi="黑体" w:eastAsia="黑体"/>
          <w:b/>
          <w:color w:val="auto"/>
          <w:spacing w:val="40"/>
          <w:sz w:val="24"/>
          <w:szCs w:val="24"/>
        </w:rPr>
        <w:t>年</w:t>
      </w:r>
      <w:r>
        <w:rPr>
          <w:rFonts w:ascii="黑体" w:hAnsi="黑体" w:eastAsia="黑体"/>
          <w:b/>
          <w:color w:val="auto"/>
          <w:spacing w:val="40"/>
          <w:sz w:val="24"/>
          <w:szCs w:val="24"/>
        </w:rPr>
        <w:t xml:space="preserve">  </w:t>
      </w:r>
      <w:r>
        <w:rPr>
          <w:rFonts w:hint="eastAsia" w:ascii="黑体" w:hAnsi="黑体" w:eastAsia="黑体"/>
          <w:b/>
          <w:color w:val="auto"/>
          <w:spacing w:val="40"/>
          <w:sz w:val="24"/>
          <w:szCs w:val="24"/>
        </w:rPr>
        <w:t>月</w:t>
      </w:r>
      <w:r>
        <w:rPr>
          <w:rFonts w:ascii="黑体" w:hAnsi="黑体" w:eastAsia="黑体"/>
          <w:b/>
          <w:color w:val="auto"/>
          <w:spacing w:val="40"/>
          <w:sz w:val="24"/>
          <w:szCs w:val="24"/>
        </w:rPr>
        <w:t xml:space="preserve">  </w:t>
      </w:r>
      <w:r>
        <w:rPr>
          <w:rFonts w:hint="eastAsia" w:ascii="黑体" w:hAnsi="黑体" w:eastAsia="黑体"/>
          <w:b/>
          <w:color w:val="auto"/>
          <w:spacing w:val="40"/>
          <w:sz w:val="24"/>
          <w:szCs w:val="24"/>
        </w:rPr>
        <w:t>日</w:t>
      </w:r>
    </w:p>
    <w:p w14:paraId="4C3880D9">
      <w:pPr>
        <w:spacing w:before="936" w:beforeLines="300" w:line="600" w:lineRule="exact"/>
        <w:jc w:val="center"/>
        <w:rPr>
          <w:rFonts w:ascii="黑体" w:hAnsi="黑体" w:eastAsia="黑体"/>
          <w:b/>
          <w:color w:val="auto"/>
          <w:spacing w:val="40"/>
          <w:sz w:val="24"/>
          <w:szCs w:val="24"/>
        </w:rPr>
      </w:pPr>
    </w:p>
    <w:p w14:paraId="29EADA6F">
      <w:pPr>
        <w:rPr>
          <w:rFonts w:ascii="黑体" w:hAnsi="黑体" w:eastAsia="黑体"/>
          <w:b/>
          <w:bCs/>
          <w:color w:val="auto"/>
        </w:rPr>
      </w:pPr>
      <w:bookmarkStart w:id="71" w:name="_Toc405313958"/>
      <w:bookmarkStart w:id="72" w:name="_Toc391627754"/>
      <w:bookmarkStart w:id="73" w:name="_Hlk81205692"/>
      <w:r>
        <w:rPr>
          <w:rFonts w:hint="eastAsia" w:ascii="黑体" w:hAnsi="黑体" w:eastAsia="黑体"/>
          <w:b/>
          <w:bCs/>
          <w:color w:val="auto"/>
        </w:rPr>
        <w:t>投标文件目录（投标文件包括但不限于以下组成内容，请按顺序制作。）</w:t>
      </w:r>
      <w:r>
        <w:rPr>
          <w:rFonts w:ascii="黑体" w:hAnsi="黑体" w:eastAsia="黑体"/>
          <w:b/>
          <w:bCs/>
          <w:color w:val="auto"/>
        </w:rPr>
        <w:cr/>
      </w:r>
    </w:p>
    <w:p w14:paraId="12252A16">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资格性自查索引表</w:t>
      </w:r>
    </w:p>
    <w:p w14:paraId="13DFB85E">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符合性自查索引表</w:t>
      </w:r>
    </w:p>
    <w:p w14:paraId="12AC3769">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详细评审索引表</w:t>
      </w:r>
    </w:p>
    <w:p w14:paraId="65194476">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开标一览表</w:t>
      </w:r>
    </w:p>
    <w:p w14:paraId="515FB45A">
      <w:pPr>
        <w:pStyle w:val="30"/>
        <w:numPr>
          <w:ilvl w:val="3"/>
          <w:numId w:val="81"/>
        </w:numPr>
        <w:spacing w:line="360" w:lineRule="auto"/>
        <w:ind w:left="567" w:hanging="425" w:firstLineChars="0"/>
        <w:jc w:val="left"/>
        <w:rPr>
          <w:rFonts w:ascii="黑体" w:hAnsi="黑体" w:eastAsia="黑体"/>
          <w:color w:val="auto"/>
        </w:rPr>
      </w:pPr>
      <w:r>
        <w:rPr>
          <w:rFonts w:hint="eastAsia" w:ascii="黑体" w:hAnsi="黑体" w:eastAsia="黑体"/>
          <w:color w:val="auto"/>
        </w:rPr>
        <w:t>分项报价表</w:t>
      </w:r>
    </w:p>
    <w:p w14:paraId="393D2E19">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中小企业声明函（如需）</w:t>
      </w:r>
    </w:p>
    <w:p w14:paraId="292DC87B">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残疾人福利性单位声明函（如需）</w:t>
      </w:r>
    </w:p>
    <w:p w14:paraId="7533DE70">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监狱企业的证明文件（如需）</w:t>
      </w:r>
    </w:p>
    <w:p w14:paraId="7BF7B286">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政策适用性说明（如需）</w:t>
      </w:r>
    </w:p>
    <w:p w14:paraId="78C5764F">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投标函</w:t>
      </w:r>
    </w:p>
    <w:p w14:paraId="0520BD3D">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资格声明函</w:t>
      </w:r>
    </w:p>
    <w:p w14:paraId="05AFA546">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法定代表人身份证明书</w:t>
      </w:r>
    </w:p>
    <w:p w14:paraId="5A1B7D92">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法定代表人授权委托书</w:t>
      </w:r>
    </w:p>
    <w:p w14:paraId="45FF3FA8">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投标人基本情况说明</w:t>
      </w:r>
    </w:p>
    <w:p w14:paraId="60F5AC1E">
      <w:pPr>
        <w:spacing w:line="360" w:lineRule="auto"/>
        <w:ind w:left="567" w:hanging="425"/>
        <w:jc w:val="left"/>
        <w:rPr>
          <w:rFonts w:ascii="黑体" w:hAnsi="黑体" w:eastAsia="黑体"/>
          <w:color w:val="auto"/>
        </w:rPr>
      </w:pPr>
      <w:r>
        <w:rPr>
          <w:rFonts w:hint="eastAsia" w:ascii="黑体" w:hAnsi="黑体" w:eastAsia="黑体"/>
          <w:color w:val="auto"/>
        </w:rPr>
        <w:t>1</w:t>
      </w:r>
      <w:r>
        <w:rPr>
          <w:rFonts w:ascii="黑体" w:hAnsi="黑体" w:eastAsia="黑体"/>
          <w:color w:val="auto"/>
        </w:rPr>
        <w:t>4.1</w:t>
      </w:r>
      <w:bookmarkStart w:id="74" w:name="_Hlk81207453"/>
      <w:r>
        <w:rPr>
          <w:rFonts w:hint="eastAsia" w:ascii="黑体" w:hAnsi="黑体" w:eastAsia="黑体"/>
          <w:color w:val="auto"/>
        </w:rPr>
        <w:t>投标人资格证明文件</w:t>
      </w:r>
      <w:bookmarkEnd w:id="74"/>
    </w:p>
    <w:p w14:paraId="38213A1C">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业绩表</w:t>
      </w:r>
      <w:r>
        <w:rPr>
          <w:rFonts w:ascii="黑体" w:hAnsi="黑体" w:eastAsia="黑体"/>
          <w:color w:val="auto"/>
        </w:rPr>
        <w:tab/>
      </w:r>
    </w:p>
    <w:p w14:paraId="39C8960A">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商务要求偏离表</w:t>
      </w:r>
      <w:r>
        <w:rPr>
          <w:rFonts w:ascii="黑体" w:hAnsi="黑体" w:eastAsia="黑体"/>
          <w:color w:val="auto"/>
        </w:rPr>
        <w:tab/>
      </w:r>
    </w:p>
    <w:p w14:paraId="572FA973">
      <w:pPr>
        <w:pStyle w:val="30"/>
        <w:numPr>
          <w:ilvl w:val="3"/>
          <w:numId w:val="81"/>
        </w:numPr>
        <w:spacing w:line="360" w:lineRule="auto"/>
        <w:ind w:left="567" w:hanging="425" w:firstLineChars="0"/>
        <w:jc w:val="left"/>
        <w:rPr>
          <w:rFonts w:ascii="黑体" w:hAnsi="黑体" w:eastAsia="黑体"/>
          <w:color w:val="auto"/>
        </w:rPr>
      </w:pPr>
      <w:r>
        <w:rPr>
          <w:rFonts w:hint="eastAsia" w:ascii="黑体" w:hAnsi="黑体" w:eastAsia="黑体"/>
          <w:color w:val="auto"/>
        </w:rPr>
        <w:t>投标货物详细说明</w:t>
      </w:r>
    </w:p>
    <w:p w14:paraId="441AFB0F">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拟投入本项目设备情况表</w:t>
      </w:r>
    </w:p>
    <w:p w14:paraId="5E256649">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项目技术服务人员情况表</w:t>
      </w:r>
    </w:p>
    <w:p w14:paraId="1EC3B747">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项目负责人简历表</w:t>
      </w:r>
    </w:p>
    <w:p w14:paraId="4CD4611D">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技术要求偏离表</w:t>
      </w:r>
    </w:p>
    <w:p w14:paraId="7079AD97">
      <w:pPr>
        <w:pStyle w:val="30"/>
        <w:numPr>
          <w:ilvl w:val="3"/>
          <w:numId w:val="81"/>
        </w:numPr>
        <w:spacing w:line="360" w:lineRule="auto"/>
        <w:ind w:left="567" w:hanging="425" w:firstLineChars="0"/>
        <w:jc w:val="left"/>
        <w:rPr>
          <w:rFonts w:ascii="黑体" w:hAnsi="黑体" w:eastAsia="黑体"/>
          <w:color w:val="auto"/>
        </w:rPr>
      </w:pPr>
      <w:r>
        <w:rPr>
          <w:rFonts w:hint="eastAsia" w:ascii="黑体" w:hAnsi="黑体" w:eastAsia="黑体"/>
          <w:color w:val="auto"/>
        </w:rPr>
        <w:t>★号条款响应一览表</w:t>
      </w:r>
    </w:p>
    <w:p w14:paraId="368B2113">
      <w:pPr>
        <w:pStyle w:val="30"/>
        <w:numPr>
          <w:ilvl w:val="3"/>
          <w:numId w:val="81"/>
        </w:numPr>
        <w:spacing w:line="360" w:lineRule="auto"/>
        <w:ind w:left="567" w:hanging="425" w:firstLineChars="0"/>
        <w:jc w:val="left"/>
        <w:rPr>
          <w:rFonts w:ascii="黑体" w:hAnsi="黑体" w:eastAsia="黑体"/>
          <w:color w:val="auto"/>
        </w:rPr>
      </w:pPr>
      <w:r>
        <w:rPr>
          <w:rFonts w:hint="eastAsia" w:ascii="黑体" w:hAnsi="黑体" w:eastAsia="黑体"/>
          <w:color w:val="auto"/>
        </w:rPr>
        <w:t>▲号条款要求扣分明细响应表</w:t>
      </w:r>
    </w:p>
    <w:p w14:paraId="0281F18C">
      <w:pPr>
        <w:pStyle w:val="30"/>
        <w:numPr>
          <w:ilvl w:val="3"/>
          <w:numId w:val="81"/>
        </w:numPr>
        <w:spacing w:line="360" w:lineRule="auto"/>
        <w:ind w:left="567" w:hanging="425" w:firstLineChars="0"/>
        <w:jc w:val="left"/>
        <w:rPr>
          <w:rFonts w:ascii="黑体" w:hAnsi="黑体" w:eastAsia="黑体"/>
          <w:color w:val="auto"/>
        </w:rPr>
      </w:pPr>
      <w:r>
        <w:rPr>
          <w:rFonts w:ascii="黑体" w:hAnsi="黑体" w:eastAsia="黑体"/>
          <w:color w:val="auto"/>
        </w:rPr>
        <w:t>项目</w:t>
      </w:r>
      <w:r>
        <w:rPr>
          <w:rFonts w:hint="eastAsia" w:ascii="黑体" w:hAnsi="黑体" w:eastAsia="黑体"/>
          <w:color w:val="auto"/>
        </w:rPr>
        <w:t>技术</w:t>
      </w:r>
      <w:r>
        <w:rPr>
          <w:rFonts w:ascii="黑体" w:hAnsi="黑体" w:eastAsia="黑体"/>
          <w:color w:val="auto"/>
        </w:rPr>
        <w:t>实施方案（投标人自行编写）</w:t>
      </w:r>
    </w:p>
    <w:p w14:paraId="14DC1777">
      <w:pPr>
        <w:spacing w:line="360" w:lineRule="auto"/>
        <w:jc w:val="left"/>
        <w:rPr>
          <w:rFonts w:ascii="黑体" w:hAnsi="黑体" w:eastAsia="黑体"/>
          <w:color w:val="auto"/>
        </w:rPr>
      </w:pPr>
    </w:p>
    <w:p w14:paraId="3733E74A">
      <w:pPr>
        <w:rPr>
          <w:color w:val="auto"/>
        </w:rPr>
      </w:pPr>
    </w:p>
    <w:p w14:paraId="06FCB1EE">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资格性自查索引表</w:t>
      </w:r>
    </w:p>
    <w:p w14:paraId="746515FF">
      <w:pPr>
        <w:spacing w:before="312" w:beforeLines="100" w:after="312" w:afterLines="100"/>
        <w:jc w:val="center"/>
        <w:rPr>
          <w:rFonts w:ascii="黑体" w:hAnsi="黑体" w:eastAsia="黑体" w:cs="Times New Roman"/>
          <w:b/>
          <w:color w:val="auto"/>
          <w:spacing w:val="20"/>
          <w:sz w:val="30"/>
          <w:szCs w:val="30"/>
        </w:rPr>
      </w:pPr>
      <w:r>
        <w:rPr>
          <w:rFonts w:hint="eastAsia" w:ascii="黑体" w:hAnsi="黑体" w:eastAsia="黑体" w:cs="Times New Roman"/>
          <w:b/>
          <w:color w:val="auto"/>
          <w:spacing w:val="20"/>
          <w:sz w:val="30"/>
          <w:szCs w:val="30"/>
        </w:rPr>
        <w:t>资格性自查索引表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4936"/>
        <w:gridCol w:w="1312"/>
        <w:gridCol w:w="1806"/>
      </w:tblGrid>
      <w:tr w14:paraId="7A05C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07" w:type="pct"/>
            <w:vAlign w:val="center"/>
          </w:tcPr>
          <w:p w14:paraId="791DEB9A">
            <w:pPr>
              <w:spacing w:line="360" w:lineRule="auto"/>
              <w:jc w:val="center"/>
              <w:rPr>
                <w:rFonts w:ascii="黑体" w:hAnsi="黑体" w:eastAsia="黑体"/>
                <w:b/>
                <w:bCs/>
                <w:color w:val="auto"/>
                <w:szCs w:val="21"/>
              </w:rPr>
            </w:pPr>
            <w:r>
              <w:rPr>
                <w:rFonts w:hint="eastAsia" w:ascii="黑体" w:hAnsi="黑体" w:eastAsia="黑体"/>
                <w:b/>
                <w:bCs/>
                <w:color w:val="auto"/>
                <w:szCs w:val="21"/>
              </w:rPr>
              <w:t>序号</w:t>
            </w:r>
          </w:p>
        </w:tc>
        <w:tc>
          <w:tcPr>
            <w:tcW w:w="2815" w:type="pct"/>
            <w:tcBorders>
              <w:bottom w:val="single" w:color="auto" w:sz="4" w:space="0"/>
              <w:tl2br w:val="nil"/>
            </w:tcBorders>
            <w:vAlign w:val="center"/>
          </w:tcPr>
          <w:p w14:paraId="17FA2FE0">
            <w:pPr>
              <w:spacing w:line="360" w:lineRule="auto"/>
              <w:ind w:left="211" w:hanging="211" w:hangingChars="100"/>
              <w:jc w:val="center"/>
              <w:rPr>
                <w:rFonts w:ascii="黑体" w:hAnsi="黑体" w:eastAsia="黑体"/>
                <w:b/>
                <w:bCs/>
                <w:color w:val="auto"/>
                <w:szCs w:val="21"/>
              </w:rPr>
            </w:pPr>
            <w:r>
              <w:rPr>
                <w:rFonts w:hint="eastAsia" w:ascii="黑体" w:hAnsi="黑体" w:eastAsia="黑体"/>
                <w:b/>
                <w:bCs/>
                <w:color w:val="auto"/>
                <w:szCs w:val="21"/>
              </w:rPr>
              <w:t>审查内容</w:t>
            </w:r>
          </w:p>
        </w:tc>
        <w:tc>
          <w:tcPr>
            <w:tcW w:w="748" w:type="pct"/>
            <w:vAlign w:val="center"/>
          </w:tcPr>
          <w:p w14:paraId="3D8FCF56">
            <w:pPr>
              <w:spacing w:line="360" w:lineRule="auto"/>
              <w:jc w:val="center"/>
              <w:rPr>
                <w:rFonts w:ascii="黑体" w:hAnsi="黑体" w:eastAsia="黑体"/>
                <w:b/>
                <w:bCs/>
                <w:color w:val="auto"/>
                <w:szCs w:val="21"/>
              </w:rPr>
            </w:pPr>
            <w:r>
              <w:rPr>
                <w:rFonts w:hint="eastAsia" w:ascii="黑体" w:hAnsi="黑体" w:eastAsia="黑体"/>
                <w:b/>
                <w:bCs/>
                <w:color w:val="auto"/>
                <w:szCs w:val="21"/>
              </w:rPr>
              <w:t>自查</w:t>
            </w:r>
          </w:p>
          <w:p w14:paraId="1AE44DE7">
            <w:pPr>
              <w:spacing w:line="360" w:lineRule="auto"/>
              <w:jc w:val="center"/>
              <w:rPr>
                <w:rFonts w:ascii="黑体" w:hAnsi="黑体" w:eastAsia="黑体"/>
                <w:b/>
                <w:bCs/>
                <w:color w:val="auto"/>
                <w:szCs w:val="21"/>
              </w:rPr>
            </w:pPr>
            <w:r>
              <w:rPr>
                <w:rFonts w:hint="eastAsia" w:ascii="黑体" w:hAnsi="黑体" w:eastAsia="黑体"/>
                <w:b/>
                <w:bCs/>
                <w:color w:val="auto"/>
                <w:szCs w:val="21"/>
              </w:rPr>
              <w:t>结论</w:t>
            </w:r>
          </w:p>
        </w:tc>
        <w:tc>
          <w:tcPr>
            <w:tcW w:w="1030" w:type="pct"/>
            <w:vAlign w:val="center"/>
          </w:tcPr>
          <w:p w14:paraId="141CAF68">
            <w:pPr>
              <w:spacing w:line="360" w:lineRule="auto"/>
              <w:jc w:val="center"/>
              <w:rPr>
                <w:rFonts w:ascii="黑体" w:hAnsi="黑体" w:eastAsia="黑体"/>
                <w:b/>
                <w:bCs/>
                <w:color w:val="auto"/>
                <w:spacing w:val="-10"/>
                <w:szCs w:val="21"/>
              </w:rPr>
            </w:pPr>
            <w:r>
              <w:rPr>
                <w:rFonts w:ascii="黑体" w:hAnsi="黑体" w:eastAsia="黑体"/>
                <w:b/>
                <w:bCs/>
                <w:color w:val="auto"/>
                <w:spacing w:val="-10"/>
                <w:szCs w:val="21"/>
              </w:rPr>
              <w:t>投标文件响应页码</w:t>
            </w:r>
          </w:p>
        </w:tc>
      </w:tr>
      <w:tr w14:paraId="54CD9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07" w:type="pct"/>
            <w:vAlign w:val="center"/>
          </w:tcPr>
          <w:p w14:paraId="750B7D29">
            <w:pPr>
              <w:spacing w:line="360" w:lineRule="auto"/>
              <w:jc w:val="center"/>
              <w:rPr>
                <w:rFonts w:ascii="黑体" w:hAnsi="黑体" w:eastAsia="黑体"/>
                <w:bCs/>
                <w:color w:val="auto"/>
                <w:szCs w:val="21"/>
              </w:rPr>
            </w:pPr>
            <w:r>
              <w:rPr>
                <w:rFonts w:ascii="黑体" w:hAnsi="黑体" w:eastAsia="黑体"/>
                <w:bCs/>
                <w:color w:val="auto"/>
                <w:szCs w:val="21"/>
              </w:rPr>
              <w:t>1</w:t>
            </w:r>
          </w:p>
        </w:tc>
        <w:tc>
          <w:tcPr>
            <w:tcW w:w="2815" w:type="pct"/>
            <w:tcBorders>
              <w:tl2br w:val="nil"/>
            </w:tcBorders>
            <w:vAlign w:val="center"/>
          </w:tcPr>
          <w:p w14:paraId="6F0EB719">
            <w:pPr>
              <w:jc w:val="left"/>
              <w:rPr>
                <w:rFonts w:ascii="黑体" w:hAnsi="黑体" w:eastAsia="黑体"/>
                <w:color w:val="auto"/>
              </w:rPr>
            </w:pPr>
          </w:p>
        </w:tc>
        <w:tc>
          <w:tcPr>
            <w:tcW w:w="748" w:type="pct"/>
            <w:vAlign w:val="center"/>
          </w:tcPr>
          <w:p w14:paraId="57A143C7">
            <w:pPr>
              <w:spacing w:line="360" w:lineRule="auto"/>
              <w:jc w:val="center"/>
              <w:rPr>
                <w:rFonts w:ascii="黑体" w:hAnsi="黑体" w:eastAsia="黑体"/>
                <w:bCs/>
                <w:color w:val="auto"/>
                <w:szCs w:val="21"/>
              </w:rPr>
            </w:pPr>
          </w:p>
        </w:tc>
        <w:tc>
          <w:tcPr>
            <w:tcW w:w="1030" w:type="pct"/>
            <w:vAlign w:val="center"/>
          </w:tcPr>
          <w:p w14:paraId="6C564198">
            <w:pPr>
              <w:spacing w:line="360" w:lineRule="auto"/>
              <w:jc w:val="center"/>
              <w:rPr>
                <w:rFonts w:ascii="黑体" w:hAnsi="黑体" w:eastAsia="黑体"/>
                <w:bCs/>
                <w:color w:val="auto"/>
                <w:szCs w:val="21"/>
              </w:rPr>
            </w:pPr>
          </w:p>
        </w:tc>
      </w:tr>
      <w:tr w14:paraId="3BC7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67488CBC">
            <w:pPr>
              <w:spacing w:line="360" w:lineRule="auto"/>
              <w:jc w:val="center"/>
              <w:rPr>
                <w:rFonts w:ascii="黑体" w:hAnsi="黑体" w:eastAsia="黑体"/>
                <w:bCs/>
                <w:color w:val="auto"/>
                <w:szCs w:val="21"/>
              </w:rPr>
            </w:pPr>
            <w:r>
              <w:rPr>
                <w:rFonts w:ascii="黑体" w:hAnsi="黑体" w:eastAsia="黑体"/>
                <w:bCs/>
                <w:color w:val="auto"/>
                <w:szCs w:val="21"/>
              </w:rPr>
              <w:t>2</w:t>
            </w:r>
          </w:p>
        </w:tc>
        <w:tc>
          <w:tcPr>
            <w:tcW w:w="2815" w:type="pct"/>
            <w:vAlign w:val="center"/>
          </w:tcPr>
          <w:p w14:paraId="25EEEF7A">
            <w:pPr>
              <w:spacing w:line="360" w:lineRule="auto"/>
              <w:jc w:val="left"/>
              <w:rPr>
                <w:rFonts w:ascii="黑体" w:hAnsi="黑体" w:eastAsia="黑体"/>
                <w:b/>
                <w:bCs/>
                <w:color w:val="auto"/>
                <w:szCs w:val="21"/>
              </w:rPr>
            </w:pPr>
          </w:p>
        </w:tc>
        <w:tc>
          <w:tcPr>
            <w:tcW w:w="748" w:type="pct"/>
            <w:vAlign w:val="center"/>
          </w:tcPr>
          <w:p w14:paraId="2CE16A47">
            <w:pPr>
              <w:spacing w:line="360" w:lineRule="auto"/>
              <w:jc w:val="center"/>
              <w:rPr>
                <w:rFonts w:ascii="黑体" w:hAnsi="黑体" w:eastAsia="黑体"/>
                <w:b/>
                <w:bCs/>
                <w:color w:val="auto"/>
                <w:szCs w:val="21"/>
              </w:rPr>
            </w:pPr>
          </w:p>
        </w:tc>
        <w:tc>
          <w:tcPr>
            <w:tcW w:w="1030" w:type="pct"/>
            <w:vAlign w:val="center"/>
          </w:tcPr>
          <w:p w14:paraId="0EF53AAB">
            <w:pPr>
              <w:spacing w:line="360" w:lineRule="auto"/>
              <w:jc w:val="center"/>
              <w:rPr>
                <w:rFonts w:ascii="黑体" w:hAnsi="黑体" w:eastAsia="黑体"/>
                <w:b/>
                <w:bCs/>
                <w:color w:val="auto"/>
                <w:szCs w:val="21"/>
              </w:rPr>
            </w:pPr>
          </w:p>
        </w:tc>
      </w:tr>
      <w:tr w14:paraId="1CDD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196A6869">
            <w:pPr>
              <w:spacing w:line="360" w:lineRule="auto"/>
              <w:jc w:val="center"/>
              <w:rPr>
                <w:rFonts w:ascii="黑体" w:hAnsi="黑体" w:eastAsia="黑体"/>
                <w:bCs/>
                <w:color w:val="auto"/>
                <w:szCs w:val="21"/>
              </w:rPr>
            </w:pPr>
            <w:r>
              <w:rPr>
                <w:rFonts w:ascii="黑体" w:hAnsi="黑体" w:eastAsia="黑体"/>
                <w:bCs/>
                <w:color w:val="auto"/>
                <w:szCs w:val="21"/>
              </w:rPr>
              <w:t>3</w:t>
            </w:r>
          </w:p>
        </w:tc>
        <w:tc>
          <w:tcPr>
            <w:tcW w:w="2815" w:type="pct"/>
            <w:vAlign w:val="center"/>
          </w:tcPr>
          <w:p w14:paraId="552A309A">
            <w:pPr>
              <w:spacing w:line="360" w:lineRule="auto"/>
              <w:jc w:val="left"/>
              <w:rPr>
                <w:rFonts w:ascii="黑体" w:hAnsi="黑体" w:eastAsia="黑体"/>
                <w:b/>
                <w:bCs/>
                <w:color w:val="auto"/>
                <w:szCs w:val="21"/>
              </w:rPr>
            </w:pPr>
          </w:p>
        </w:tc>
        <w:tc>
          <w:tcPr>
            <w:tcW w:w="748" w:type="pct"/>
            <w:vAlign w:val="center"/>
          </w:tcPr>
          <w:p w14:paraId="3C6A1868">
            <w:pPr>
              <w:spacing w:line="360" w:lineRule="auto"/>
              <w:jc w:val="center"/>
              <w:rPr>
                <w:rFonts w:ascii="黑体" w:hAnsi="黑体" w:eastAsia="黑体"/>
                <w:b/>
                <w:bCs/>
                <w:color w:val="auto"/>
                <w:szCs w:val="21"/>
              </w:rPr>
            </w:pPr>
          </w:p>
        </w:tc>
        <w:tc>
          <w:tcPr>
            <w:tcW w:w="1030" w:type="pct"/>
            <w:vAlign w:val="center"/>
          </w:tcPr>
          <w:p w14:paraId="64649182">
            <w:pPr>
              <w:spacing w:line="360" w:lineRule="auto"/>
              <w:jc w:val="center"/>
              <w:rPr>
                <w:rFonts w:ascii="黑体" w:hAnsi="黑体" w:eastAsia="黑体"/>
                <w:b/>
                <w:bCs/>
                <w:color w:val="auto"/>
                <w:szCs w:val="21"/>
              </w:rPr>
            </w:pPr>
          </w:p>
        </w:tc>
      </w:tr>
      <w:tr w14:paraId="1DA6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53BEE831">
            <w:pPr>
              <w:spacing w:line="360" w:lineRule="auto"/>
              <w:jc w:val="center"/>
              <w:rPr>
                <w:rFonts w:ascii="黑体" w:hAnsi="黑体" w:eastAsia="黑体"/>
                <w:bCs/>
                <w:color w:val="auto"/>
                <w:szCs w:val="21"/>
              </w:rPr>
            </w:pPr>
            <w:r>
              <w:rPr>
                <w:rFonts w:ascii="黑体" w:hAnsi="黑体" w:eastAsia="黑体"/>
                <w:bCs/>
                <w:color w:val="auto"/>
                <w:szCs w:val="21"/>
              </w:rPr>
              <w:t>4</w:t>
            </w:r>
          </w:p>
        </w:tc>
        <w:tc>
          <w:tcPr>
            <w:tcW w:w="2815" w:type="pct"/>
            <w:vAlign w:val="center"/>
          </w:tcPr>
          <w:p w14:paraId="03499288">
            <w:pPr>
              <w:spacing w:line="360" w:lineRule="auto"/>
              <w:jc w:val="left"/>
              <w:rPr>
                <w:rFonts w:ascii="黑体" w:hAnsi="黑体" w:eastAsia="黑体"/>
                <w:b/>
                <w:bCs/>
                <w:color w:val="auto"/>
                <w:szCs w:val="21"/>
              </w:rPr>
            </w:pPr>
          </w:p>
        </w:tc>
        <w:tc>
          <w:tcPr>
            <w:tcW w:w="748" w:type="pct"/>
            <w:vAlign w:val="center"/>
          </w:tcPr>
          <w:p w14:paraId="593C3601">
            <w:pPr>
              <w:spacing w:line="360" w:lineRule="auto"/>
              <w:jc w:val="center"/>
              <w:rPr>
                <w:rFonts w:ascii="黑体" w:hAnsi="黑体" w:eastAsia="黑体"/>
                <w:b/>
                <w:bCs/>
                <w:color w:val="auto"/>
                <w:szCs w:val="21"/>
              </w:rPr>
            </w:pPr>
          </w:p>
        </w:tc>
        <w:tc>
          <w:tcPr>
            <w:tcW w:w="1030" w:type="pct"/>
            <w:vAlign w:val="center"/>
          </w:tcPr>
          <w:p w14:paraId="57FE094E">
            <w:pPr>
              <w:spacing w:line="360" w:lineRule="auto"/>
              <w:jc w:val="center"/>
              <w:rPr>
                <w:rFonts w:ascii="黑体" w:hAnsi="黑体" w:eastAsia="黑体"/>
                <w:b/>
                <w:bCs/>
                <w:color w:val="auto"/>
                <w:szCs w:val="21"/>
              </w:rPr>
            </w:pPr>
          </w:p>
        </w:tc>
      </w:tr>
    </w:tbl>
    <w:p w14:paraId="04676A3D">
      <w:pPr>
        <w:spacing w:before="156" w:beforeLines="50" w:line="360" w:lineRule="auto"/>
        <w:rPr>
          <w:rFonts w:ascii="黑体" w:hAnsi="黑体" w:eastAsia="黑体"/>
          <w:color w:val="auto"/>
        </w:rPr>
      </w:pPr>
      <w:r>
        <w:rPr>
          <w:rFonts w:hint="eastAsia" w:ascii="黑体" w:hAnsi="黑体" w:eastAsia="黑体"/>
          <w:color w:val="auto"/>
        </w:rPr>
        <w:t>注明：</w:t>
      </w:r>
    </w:p>
    <w:p w14:paraId="62EF86B8">
      <w:pPr>
        <w:pStyle w:val="30"/>
        <w:numPr>
          <w:ilvl w:val="0"/>
          <w:numId w:val="83"/>
        </w:numPr>
        <w:spacing w:line="360" w:lineRule="auto"/>
        <w:ind w:firstLineChars="0"/>
        <w:rPr>
          <w:rFonts w:ascii="黑体" w:hAnsi="黑体" w:eastAsia="黑体"/>
          <w:color w:val="auto"/>
        </w:rPr>
      </w:pPr>
      <w:r>
        <w:rPr>
          <w:rFonts w:hint="eastAsia" w:ascii="黑体" w:hAnsi="黑体" w:eastAsia="黑体"/>
          <w:color w:val="auto"/>
        </w:rPr>
        <w:t>自查结论处请填写：通过</w:t>
      </w:r>
      <w:r>
        <w:rPr>
          <w:rFonts w:ascii="黑体" w:hAnsi="黑体" w:eastAsia="黑体"/>
          <w:color w:val="auto"/>
        </w:rPr>
        <w:t>/不通过；</w:t>
      </w:r>
    </w:p>
    <w:p w14:paraId="46DC5827">
      <w:pPr>
        <w:pStyle w:val="30"/>
        <w:numPr>
          <w:ilvl w:val="0"/>
          <w:numId w:val="83"/>
        </w:numPr>
        <w:spacing w:line="360" w:lineRule="auto"/>
        <w:ind w:firstLineChars="0"/>
        <w:rPr>
          <w:rFonts w:ascii="黑体" w:hAnsi="黑体" w:eastAsia="黑体"/>
          <w:color w:val="auto"/>
        </w:rPr>
      </w:pPr>
      <w:r>
        <w:rPr>
          <w:rFonts w:hint="eastAsia" w:ascii="黑体" w:hAnsi="黑体" w:eastAsia="黑体"/>
          <w:color w:val="auto"/>
          <w:szCs w:val="21"/>
        </w:rPr>
        <w:t>按招标文件第五部分</w:t>
      </w:r>
      <w:r>
        <w:rPr>
          <w:rFonts w:ascii="黑体" w:hAnsi="黑体" w:eastAsia="黑体"/>
          <w:color w:val="auto"/>
          <w:szCs w:val="21"/>
        </w:rPr>
        <w:t xml:space="preserve"> </w:t>
      </w:r>
      <w:r>
        <w:rPr>
          <w:rFonts w:hint="eastAsia" w:ascii="黑体" w:hAnsi="黑体" w:eastAsia="黑体"/>
          <w:color w:val="auto"/>
          <w:szCs w:val="21"/>
        </w:rPr>
        <w:t>评标方法、步骤、标准之附表资格性审查表（</w:t>
      </w:r>
      <w:r>
        <w:rPr>
          <w:rFonts w:hint="eastAsia" w:ascii="黑体" w:hAnsi="黑体" w:eastAsia="黑体"/>
          <w:color w:val="auto"/>
          <w:kern w:val="0"/>
          <w:szCs w:val="21"/>
        </w:rPr>
        <w:t>附表一）</w:t>
      </w:r>
      <w:r>
        <w:rPr>
          <w:rFonts w:hint="eastAsia" w:ascii="黑体" w:hAnsi="黑体" w:eastAsia="黑体"/>
          <w:color w:val="auto"/>
          <w:szCs w:val="21"/>
        </w:rPr>
        <w:t>相对应条款填写</w:t>
      </w:r>
      <w:r>
        <w:rPr>
          <w:rFonts w:hint="eastAsia" w:ascii="黑体" w:hAnsi="黑体" w:eastAsia="黑体"/>
          <w:color w:val="auto"/>
        </w:rPr>
        <w:t>。</w:t>
      </w:r>
    </w:p>
    <w:p w14:paraId="12B13FBF">
      <w:pPr>
        <w:spacing w:line="360" w:lineRule="auto"/>
        <w:rPr>
          <w:rFonts w:ascii="黑体" w:hAnsi="黑体" w:eastAsia="黑体"/>
          <w:color w:val="auto"/>
        </w:rPr>
      </w:pPr>
    </w:p>
    <w:p w14:paraId="3087AB73">
      <w:pPr>
        <w:spacing w:line="360" w:lineRule="auto"/>
        <w:rPr>
          <w:rFonts w:ascii="黑体" w:hAnsi="黑体" w:eastAsia="黑体"/>
          <w:color w:val="auto"/>
        </w:rPr>
      </w:pPr>
    </w:p>
    <w:p w14:paraId="2C3ED14E">
      <w:pPr>
        <w:spacing w:line="360" w:lineRule="auto"/>
        <w:rPr>
          <w:rFonts w:ascii="黑体" w:hAnsi="黑体" w:eastAsia="黑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14:paraId="2F12F476">
        <w:tc>
          <w:tcPr>
            <w:tcW w:w="5353" w:type="dxa"/>
          </w:tcPr>
          <w:p w14:paraId="1E1A0F3C">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4A1E52CD">
            <w:pPr>
              <w:spacing w:line="360" w:lineRule="auto"/>
              <w:rPr>
                <w:rFonts w:ascii="黑体" w:hAnsi="黑体" w:eastAsia="黑体"/>
                <w:color w:val="auto"/>
                <w:szCs w:val="21"/>
              </w:rPr>
            </w:pPr>
          </w:p>
        </w:tc>
      </w:tr>
      <w:tr w14:paraId="3C4A731C">
        <w:tblPrEx>
          <w:tblCellMar>
            <w:top w:w="0" w:type="dxa"/>
            <w:left w:w="108" w:type="dxa"/>
            <w:bottom w:w="0" w:type="dxa"/>
            <w:right w:w="108" w:type="dxa"/>
          </w:tblCellMar>
        </w:tblPrEx>
        <w:tc>
          <w:tcPr>
            <w:tcW w:w="5353" w:type="dxa"/>
          </w:tcPr>
          <w:p w14:paraId="5F8C5383">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5910B750">
            <w:pPr>
              <w:spacing w:line="360" w:lineRule="auto"/>
              <w:rPr>
                <w:rFonts w:ascii="黑体" w:hAnsi="黑体" w:eastAsia="黑体"/>
                <w:color w:val="auto"/>
                <w:szCs w:val="21"/>
              </w:rPr>
            </w:pPr>
          </w:p>
        </w:tc>
      </w:tr>
    </w:tbl>
    <w:p w14:paraId="2F274F15">
      <w:pPr>
        <w:rPr>
          <w:rFonts w:ascii="黑体" w:hAnsi="黑体" w:eastAsia="黑体"/>
          <w:color w:val="auto"/>
        </w:rPr>
      </w:pPr>
    </w:p>
    <w:p w14:paraId="315FB64E">
      <w:pPr>
        <w:rPr>
          <w:rFonts w:ascii="黑体" w:hAnsi="黑体" w:eastAsia="黑体"/>
          <w:color w:val="auto"/>
        </w:rPr>
      </w:pPr>
    </w:p>
    <w:p w14:paraId="615246E7">
      <w:pPr>
        <w:rPr>
          <w:rFonts w:ascii="黑体" w:hAnsi="黑体" w:eastAsia="黑体"/>
          <w:color w:val="auto"/>
        </w:rPr>
      </w:pPr>
    </w:p>
    <w:p w14:paraId="57F06DB2">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符合性自查索引表</w:t>
      </w:r>
    </w:p>
    <w:p w14:paraId="43E34D17">
      <w:pPr>
        <w:spacing w:before="312" w:beforeLines="100" w:after="312" w:afterLines="100"/>
        <w:jc w:val="center"/>
        <w:rPr>
          <w:rFonts w:ascii="黑体" w:hAnsi="黑体" w:eastAsia="黑体" w:cs="Times New Roman"/>
          <w:b/>
          <w:color w:val="auto"/>
          <w:spacing w:val="20"/>
          <w:sz w:val="30"/>
          <w:szCs w:val="30"/>
        </w:rPr>
      </w:pPr>
      <w:r>
        <w:rPr>
          <w:rFonts w:hint="eastAsia" w:ascii="黑体" w:hAnsi="黑体" w:eastAsia="黑体" w:cs="Times New Roman"/>
          <w:b/>
          <w:color w:val="auto"/>
          <w:spacing w:val="20"/>
          <w:sz w:val="30"/>
          <w:szCs w:val="30"/>
        </w:rPr>
        <w:t>符合性自查索引表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4936"/>
        <w:gridCol w:w="1312"/>
        <w:gridCol w:w="1806"/>
      </w:tblGrid>
      <w:tr w14:paraId="6518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407" w:type="pct"/>
            <w:vAlign w:val="center"/>
          </w:tcPr>
          <w:p w14:paraId="6B445EB9">
            <w:pPr>
              <w:spacing w:line="360" w:lineRule="auto"/>
              <w:jc w:val="center"/>
              <w:rPr>
                <w:rFonts w:ascii="黑体" w:hAnsi="黑体" w:eastAsia="黑体"/>
                <w:b/>
                <w:bCs/>
                <w:color w:val="auto"/>
                <w:szCs w:val="21"/>
              </w:rPr>
            </w:pPr>
            <w:r>
              <w:rPr>
                <w:rFonts w:hint="eastAsia" w:ascii="黑体" w:hAnsi="黑体" w:eastAsia="黑体"/>
                <w:b/>
                <w:bCs/>
                <w:color w:val="auto"/>
                <w:szCs w:val="21"/>
              </w:rPr>
              <w:t>序号</w:t>
            </w:r>
          </w:p>
        </w:tc>
        <w:tc>
          <w:tcPr>
            <w:tcW w:w="2815" w:type="pct"/>
            <w:tcBorders>
              <w:bottom w:val="single" w:color="auto" w:sz="4" w:space="0"/>
              <w:tl2br w:val="nil"/>
            </w:tcBorders>
            <w:vAlign w:val="center"/>
          </w:tcPr>
          <w:p w14:paraId="199AF1EC">
            <w:pPr>
              <w:spacing w:line="360" w:lineRule="auto"/>
              <w:ind w:left="211" w:hanging="211" w:hangingChars="100"/>
              <w:jc w:val="center"/>
              <w:rPr>
                <w:rFonts w:ascii="黑体" w:hAnsi="黑体" w:eastAsia="黑体"/>
                <w:b/>
                <w:bCs/>
                <w:color w:val="auto"/>
                <w:szCs w:val="21"/>
              </w:rPr>
            </w:pPr>
            <w:r>
              <w:rPr>
                <w:rFonts w:hint="eastAsia" w:ascii="黑体" w:hAnsi="黑体" w:eastAsia="黑体"/>
                <w:b/>
                <w:bCs/>
                <w:color w:val="auto"/>
                <w:szCs w:val="21"/>
              </w:rPr>
              <w:t>审查内容</w:t>
            </w:r>
          </w:p>
        </w:tc>
        <w:tc>
          <w:tcPr>
            <w:tcW w:w="748" w:type="pct"/>
            <w:vAlign w:val="center"/>
          </w:tcPr>
          <w:p w14:paraId="5A1F44A7">
            <w:pPr>
              <w:spacing w:line="360" w:lineRule="auto"/>
              <w:jc w:val="center"/>
              <w:rPr>
                <w:rFonts w:ascii="黑体" w:hAnsi="黑体" w:eastAsia="黑体"/>
                <w:b/>
                <w:bCs/>
                <w:color w:val="auto"/>
                <w:szCs w:val="21"/>
              </w:rPr>
            </w:pPr>
            <w:r>
              <w:rPr>
                <w:rFonts w:hint="eastAsia" w:ascii="黑体" w:hAnsi="黑体" w:eastAsia="黑体"/>
                <w:b/>
                <w:bCs/>
                <w:color w:val="auto"/>
                <w:szCs w:val="21"/>
              </w:rPr>
              <w:t>自查</w:t>
            </w:r>
          </w:p>
          <w:p w14:paraId="65B76AFD">
            <w:pPr>
              <w:spacing w:line="360" w:lineRule="auto"/>
              <w:jc w:val="center"/>
              <w:rPr>
                <w:rFonts w:ascii="黑体" w:hAnsi="黑体" w:eastAsia="黑体"/>
                <w:b/>
                <w:bCs/>
                <w:color w:val="auto"/>
                <w:szCs w:val="21"/>
              </w:rPr>
            </w:pPr>
            <w:r>
              <w:rPr>
                <w:rFonts w:hint="eastAsia" w:ascii="黑体" w:hAnsi="黑体" w:eastAsia="黑体"/>
                <w:b/>
                <w:bCs/>
                <w:color w:val="auto"/>
                <w:szCs w:val="21"/>
              </w:rPr>
              <w:t>结论</w:t>
            </w:r>
          </w:p>
        </w:tc>
        <w:tc>
          <w:tcPr>
            <w:tcW w:w="1030" w:type="pct"/>
            <w:vAlign w:val="center"/>
          </w:tcPr>
          <w:p w14:paraId="4F4F6190">
            <w:pPr>
              <w:spacing w:line="360" w:lineRule="auto"/>
              <w:jc w:val="center"/>
              <w:rPr>
                <w:rFonts w:ascii="黑体" w:hAnsi="黑体" w:eastAsia="黑体"/>
                <w:b/>
                <w:bCs/>
                <w:color w:val="auto"/>
                <w:spacing w:val="-10"/>
                <w:szCs w:val="21"/>
              </w:rPr>
            </w:pPr>
            <w:r>
              <w:rPr>
                <w:rFonts w:ascii="黑体" w:hAnsi="黑体" w:eastAsia="黑体"/>
                <w:b/>
                <w:bCs/>
                <w:color w:val="auto"/>
                <w:spacing w:val="-10"/>
                <w:szCs w:val="21"/>
              </w:rPr>
              <w:t>投标文件响应页码</w:t>
            </w:r>
          </w:p>
        </w:tc>
      </w:tr>
      <w:tr w14:paraId="5212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407" w:type="pct"/>
            <w:vAlign w:val="center"/>
          </w:tcPr>
          <w:p w14:paraId="72DB17A8">
            <w:pPr>
              <w:spacing w:line="360" w:lineRule="auto"/>
              <w:jc w:val="center"/>
              <w:rPr>
                <w:rFonts w:ascii="黑体" w:hAnsi="黑体" w:eastAsia="黑体"/>
                <w:bCs/>
                <w:color w:val="auto"/>
                <w:szCs w:val="21"/>
              </w:rPr>
            </w:pPr>
            <w:r>
              <w:rPr>
                <w:rFonts w:ascii="黑体" w:hAnsi="黑体" w:eastAsia="黑体"/>
                <w:bCs/>
                <w:color w:val="auto"/>
                <w:szCs w:val="21"/>
              </w:rPr>
              <w:t>1</w:t>
            </w:r>
          </w:p>
        </w:tc>
        <w:tc>
          <w:tcPr>
            <w:tcW w:w="2815" w:type="pct"/>
            <w:tcBorders>
              <w:tl2br w:val="nil"/>
            </w:tcBorders>
            <w:vAlign w:val="center"/>
          </w:tcPr>
          <w:p w14:paraId="3DBE6EA6">
            <w:pPr>
              <w:jc w:val="left"/>
              <w:rPr>
                <w:rFonts w:ascii="黑体" w:hAnsi="黑体" w:eastAsia="黑体"/>
                <w:color w:val="auto"/>
              </w:rPr>
            </w:pPr>
          </w:p>
        </w:tc>
        <w:tc>
          <w:tcPr>
            <w:tcW w:w="748" w:type="pct"/>
            <w:vAlign w:val="center"/>
          </w:tcPr>
          <w:p w14:paraId="405DE248">
            <w:pPr>
              <w:spacing w:line="360" w:lineRule="auto"/>
              <w:jc w:val="center"/>
              <w:rPr>
                <w:rFonts w:ascii="黑体" w:hAnsi="黑体" w:eastAsia="黑体"/>
                <w:bCs/>
                <w:color w:val="auto"/>
                <w:szCs w:val="21"/>
              </w:rPr>
            </w:pPr>
          </w:p>
        </w:tc>
        <w:tc>
          <w:tcPr>
            <w:tcW w:w="1030" w:type="pct"/>
            <w:vAlign w:val="center"/>
          </w:tcPr>
          <w:p w14:paraId="3032878A">
            <w:pPr>
              <w:spacing w:line="360" w:lineRule="auto"/>
              <w:jc w:val="center"/>
              <w:rPr>
                <w:rFonts w:ascii="黑体" w:hAnsi="黑体" w:eastAsia="黑体"/>
                <w:bCs/>
                <w:color w:val="auto"/>
                <w:szCs w:val="21"/>
              </w:rPr>
            </w:pPr>
          </w:p>
        </w:tc>
      </w:tr>
      <w:tr w14:paraId="6B4A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59D34579">
            <w:pPr>
              <w:spacing w:line="360" w:lineRule="auto"/>
              <w:jc w:val="center"/>
              <w:rPr>
                <w:rFonts w:ascii="黑体" w:hAnsi="黑体" w:eastAsia="黑体"/>
                <w:bCs/>
                <w:color w:val="auto"/>
                <w:szCs w:val="21"/>
              </w:rPr>
            </w:pPr>
            <w:r>
              <w:rPr>
                <w:rFonts w:ascii="黑体" w:hAnsi="黑体" w:eastAsia="黑体"/>
                <w:bCs/>
                <w:color w:val="auto"/>
                <w:szCs w:val="21"/>
              </w:rPr>
              <w:t>2</w:t>
            </w:r>
          </w:p>
        </w:tc>
        <w:tc>
          <w:tcPr>
            <w:tcW w:w="2815" w:type="pct"/>
            <w:vAlign w:val="center"/>
          </w:tcPr>
          <w:p w14:paraId="5D4AE437">
            <w:pPr>
              <w:spacing w:line="360" w:lineRule="auto"/>
              <w:jc w:val="left"/>
              <w:rPr>
                <w:rFonts w:ascii="黑体" w:hAnsi="黑体" w:eastAsia="黑体"/>
                <w:b/>
                <w:bCs/>
                <w:color w:val="auto"/>
                <w:szCs w:val="21"/>
              </w:rPr>
            </w:pPr>
          </w:p>
        </w:tc>
        <w:tc>
          <w:tcPr>
            <w:tcW w:w="748" w:type="pct"/>
            <w:vAlign w:val="center"/>
          </w:tcPr>
          <w:p w14:paraId="18FAD5C7">
            <w:pPr>
              <w:spacing w:line="360" w:lineRule="auto"/>
              <w:jc w:val="center"/>
              <w:rPr>
                <w:rFonts w:ascii="黑体" w:hAnsi="黑体" w:eastAsia="黑体"/>
                <w:b/>
                <w:bCs/>
                <w:color w:val="auto"/>
                <w:szCs w:val="21"/>
              </w:rPr>
            </w:pPr>
          </w:p>
        </w:tc>
        <w:tc>
          <w:tcPr>
            <w:tcW w:w="1030" w:type="pct"/>
            <w:vAlign w:val="center"/>
          </w:tcPr>
          <w:p w14:paraId="35C8ACEF">
            <w:pPr>
              <w:spacing w:line="360" w:lineRule="auto"/>
              <w:jc w:val="center"/>
              <w:rPr>
                <w:rFonts w:ascii="黑体" w:hAnsi="黑体" w:eastAsia="黑体"/>
                <w:b/>
                <w:bCs/>
                <w:color w:val="auto"/>
                <w:szCs w:val="21"/>
              </w:rPr>
            </w:pPr>
          </w:p>
        </w:tc>
      </w:tr>
      <w:tr w14:paraId="57A7C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091801C8">
            <w:pPr>
              <w:spacing w:line="360" w:lineRule="auto"/>
              <w:jc w:val="center"/>
              <w:rPr>
                <w:rFonts w:ascii="黑体" w:hAnsi="黑体" w:eastAsia="黑体"/>
                <w:bCs/>
                <w:color w:val="auto"/>
                <w:szCs w:val="21"/>
              </w:rPr>
            </w:pPr>
            <w:r>
              <w:rPr>
                <w:rFonts w:ascii="黑体" w:hAnsi="黑体" w:eastAsia="黑体"/>
                <w:bCs/>
                <w:color w:val="auto"/>
                <w:szCs w:val="21"/>
              </w:rPr>
              <w:t>3</w:t>
            </w:r>
          </w:p>
        </w:tc>
        <w:tc>
          <w:tcPr>
            <w:tcW w:w="2815" w:type="pct"/>
            <w:vAlign w:val="center"/>
          </w:tcPr>
          <w:p w14:paraId="4E22DCB0">
            <w:pPr>
              <w:spacing w:line="360" w:lineRule="auto"/>
              <w:jc w:val="left"/>
              <w:rPr>
                <w:rFonts w:ascii="黑体" w:hAnsi="黑体" w:eastAsia="黑体"/>
                <w:b/>
                <w:bCs/>
                <w:color w:val="auto"/>
                <w:szCs w:val="21"/>
              </w:rPr>
            </w:pPr>
          </w:p>
        </w:tc>
        <w:tc>
          <w:tcPr>
            <w:tcW w:w="748" w:type="pct"/>
            <w:vAlign w:val="center"/>
          </w:tcPr>
          <w:p w14:paraId="48BE1D1D">
            <w:pPr>
              <w:spacing w:line="360" w:lineRule="auto"/>
              <w:jc w:val="center"/>
              <w:rPr>
                <w:rFonts w:ascii="黑体" w:hAnsi="黑体" w:eastAsia="黑体"/>
                <w:b/>
                <w:bCs/>
                <w:color w:val="auto"/>
                <w:szCs w:val="21"/>
              </w:rPr>
            </w:pPr>
          </w:p>
        </w:tc>
        <w:tc>
          <w:tcPr>
            <w:tcW w:w="1030" w:type="pct"/>
            <w:vAlign w:val="center"/>
          </w:tcPr>
          <w:p w14:paraId="7BBD8423">
            <w:pPr>
              <w:spacing w:line="360" w:lineRule="auto"/>
              <w:jc w:val="center"/>
              <w:rPr>
                <w:rFonts w:ascii="黑体" w:hAnsi="黑体" w:eastAsia="黑体"/>
                <w:b/>
                <w:bCs/>
                <w:color w:val="auto"/>
                <w:szCs w:val="21"/>
              </w:rPr>
            </w:pPr>
          </w:p>
        </w:tc>
      </w:tr>
      <w:tr w14:paraId="6FE7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4EACCAB7">
            <w:pPr>
              <w:spacing w:line="360" w:lineRule="auto"/>
              <w:jc w:val="center"/>
              <w:rPr>
                <w:rFonts w:ascii="黑体" w:hAnsi="黑体" w:eastAsia="黑体"/>
                <w:bCs/>
                <w:color w:val="auto"/>
                <w:szCs w:val="21"/>
              </w:rPr>
            </w:pPr>
            <w:r>
              <w:rPr>
                <w:rFonts w:ascii="黑体" w:hAnsi="黑体" w:eastAsia="黑体"/>
                <w:bCs/>
                <w:color w:val="auto"/>
                <w:szCs w:val="21"/>
              </w:rPr>
              <w:t>4</w:t>
            </w:r>
          </w:p>
        </w:tc>
        <w:tc>
          <w:tcPr>
            <w:tcW w:w="2815" w:type="pct"/>
            <w:vAlign w:val="center"/>
          </w:tcPr>
          <w:p w14:paraId="69FD4E05">
            <w:pPr>
              <w:spacing w:line="360" w:lineRule="auto"/>
              <w:jc w:val="left"/>
              <w:rPr>
                <w:rFonts w:ascii="黑体" w:hAnsi="黑体" w:eastAsia="黑体"/>
                <w:b/>
                <w:bCs/>
                <w:color w:val="auto"/>
                <w:szCs w:val="21"/>
              </w:rPr>
            </w:pPr>
          </w:p>
        </w:tc>
        <w:tc>
          <w:tcPr>
            <w:tcW w:w="748" w:type="pct"/>
            <w:vAlign w:val="center"/>
          </w:tcPr>
          <w:p w14:paraId="13B37212">
            <w:pPr>
              <w:spacing w:line="360" w:lineRule="auto"/>
              <w:jc w:val="center"/>
              <w:rPr>
                <w:rFonts w:ascii="黑体" w:hAnsi="黑体" w:eastAsia="黑体"/>
                <w:b/>
                <w:bCs/>
                <w:color w:val="auto"/>
                <w:szCs w:val="21"/>
              </w:rPr>
            </w:pPr>
          </w:p>
        </w:tc>
        <w:tc>
          <w:tcPr>
            <w:tcW w:w="1030" w:type="pct"/>
            <w:vAlign w:val="center"/>
          </w:tcPr>
          <w:p w14:paraId="46E7A391">
            <w:pPr>
              <w:spacing w:line="360" w:lineRule="auto"/>
              <w:jc w:val="center"/>
              <w:rPr>
                <w:rFonts w:ascii="黑体" w:hAnsi="黑体" w:eastAsia="黑体"/>
                <w:b/>
                <w:bCs/>
                <w:color w:val="auto"/>
                <w:szCs w:val="21"/>
              </w:rPr>
            </w:pPr>
          </w:p>
        </w:tc>
      </w:tr>
      <w:tr w14:paraId="1B12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407" w:type="pct"/>
            <w:vAlign w:val="center"/>
          </w:tcPr>
          <w:p w14:paraId="7F139B8C">
            <w:pPr>
              <w:spacing w:line="360" w:lineRule="auto"/>
              <w:jc w:val="center"/>
              <w:rPr>
                <w:rFonts w:ascii="黑体" w:hAnsi="黑体" w:eastAsia="黑体"/>
                <w:bCs/>
                <w:color w:val="auto"/>
                <w:szCs w:val="21"/>
              </w:rPr>
            </w:pPr>
            <w:r>
              <w:rPr>
                <w:rFonts w:ascii="黑体" w:hAnsi="黑体" w:eastAsia="黑体"/>
                <w:bCs/>
                <w:color w:val="auto"/>
                <w:szCs w:val="21"/>
              </w:rPr>
              <w:t>5</w:t>
            </w:r>
          </w:p>
        </w:tc>
        <w:tc>
          <w:tcPr>
            <w:tcW w:w="2815" w:type="pct"/>
            <w:vAlign w:val="center"/>
          </w:tcPr>
          <w:p w14:paraId="0287A2F4">
            <w:pPr>
              <w:spacing w:line="360" w:lineRule="auto"/>
              <w:jc w:val="left"/>
              <w:rPr>
                <w:rFonts w:ascii="黑体" w:hAnsi="黑体" w:eastAsia="黑体"/>
                <w:color w:val="auto"/>
                <w:szCs w:val="21"/>
              </w:rPr>
            </w:pPr>
          </w:p>
        </w:tc>
        <w:tc>
          <w:tcPr>
            <w:tcW w:w="748" w:type="pct"/>
            <w:vAlign w:val="center"/>
          </w:tcPr>
          <w:p w14:paraId="6F8B35CA">
            <w:pPr>
              <w:spacing w:line="360" w:lineRule="auto"/>
              <w:jc w:val="center"/>
              <w:rPr>
                <w:rFonts w:ascii="黑体" w:hAnsi="黑体" w:eastAsia="黑体"/>
                <w:b/>
                <w:bCs/>
                <w:color w:val="auto"/>
                <w:szCs w:val="21"/>
              </w:rPr>
            </w:pPr>
          </w:p>
        </w:tc>
        <w:tc>
          <w:tcPr>
            <w:tcW w:w="1030" w:type="pct"/>
            <w:vAlign w:val="center"/>
          </w:tcPr>
          <w:p w14:paraId="33E9519E">
            <w:pPr>
              <w:spacing w:line="360" w:lineRule="auto"/>
              <w:jc w:val="center"/>
              <w:rPr>
                <w:rFonts w:ascii="黑体" w:hAnsi="黑体" w:eastAsia="黑体"/>
                <w:b/>
                <w:bCs/>
                <w:color w:val="auto"/>
                <w:szCs w:val="21"/>
              </w:rPr>
            </w:pPr>
          </w:p>
        </w:tc>
      </w:tr>
      <w:tr w14:paraId="79387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07" w:type="pct"/>
            <w:vAlign w:val="center"/>
          </w:tcPr>
          <w:p w14:paraId="525E4FBD">
            <w:pPr>
              <w:spacing w:line="360" w:lineRule="auto"/>
              <w:jc w:val="center"/>
              <w:rPr>
                <w:rFonts w:ascii="黑体" w:hAnsi="黑体" w:eastAsia="黑体"/>
                <w:bCs/>
                <w:color w:val="auto"/>
                <w:szCs w:val="21"/>
              </w:rPr>
            </w:pPr>
            <w:r>
              <w:rPr>
                <w:rFonts w:ascii="黑体" w:hAnsi="黑体" w:eastAsia="黑体"/>
                <w:bCs/>
                <w:color w:val="auto"/>
                <w:szCs w:val="21"/>
              </w:rPr>
              <w:t>6</w:t>
            </w:r>
          </w:p>
        </w:tc>
        <w:tc>
          <w:tcPr>
            <w:tcW w:w="2815" w:type="pct"/>
            <w:vAlign w:val="center"/>
          </w:tcPr>
          <w:p w14:paraId="41485E93">
            <w:pPr>
              <w:spacing w:line="360" w:lineRule="auto"/>
              <w:jc w:val="left"/>
              <w:rPr>
                <w:rFonts w:ascii="黑体" w:hAnsi="黑体" w:eastAsia="黑体"/>
                <w:b/>
                <w:bCs/>
                <w:color w:val="auto"/>
                <w:szCs w:val="21"/>
              </w:rPr>
            </w:pPr>
          </w:p>
        </w:tc>
        <w:tc>
          <w:tcPr>
            <w:tcW w:w="748" w:type="pct"/>
            <w:vAlign w:val="center"/>
          </w:tcPr>
          <w:p w14:paraId="49B862B8">
            <w:pPr>
              <w:spacing w:line="360" w:lineRule="auto"/>
              <w:jc w:val="center"/>
              <w:rPr>
                <w:rFonts w:ascii="黑体" w:hAnsi="黑体" w:eastAsia="黑体"/>
                <w:b/>
                <w:bCs/>
                <w:color w:val="auto"/>
                <w:szCs w:val="21"/>
              </w:rPr>
            </w:pPr>
          </w:p>
        </w:tc>
        <w:tc>
          <w:tcPr>
            <w:tcW w:w="1030" w:type="pct"/>
            <w:vAlign w:val="center"/>
          </w:tcPr>
          <w:p w14:paraId="304FE414">
            <w:pPr>
              <w:spacing w:line="360" w:lineRule="auto"/>
              <w:jc w:val="center"/>
              <w:rPr>
                <w:rFonts w:ascii="黑体" w:hAnsi="黑体" w:eastAsia="黑体"/>
                <w:b/>
                <w:bCs/>
                <w:color w:val="auto"/>
                <w:szCs w:val="21"/>
              </w:rPr>
            </w:pPr>
          </w:p>
        </w:tc>
      </w:tr>
      <w:tr w14:paraId="5D92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407" w:type="pct"/>
            <w:vAlign w:val="center"/>
          </w:tcPr>
          <w:p w14:paraId="0D546A54">
            <w:pPr>
              <w:spacing w:line="360" w:lineRule="auto"/>
              <w:jc w:val="center"/>
              <w:rPr>
                <w:rFonts w:ascii="黑体" w:hAnsi="黑体" w:eastAsia="黑体"/>
                <w:bCs/>
                <w:color w:val="auto"/>
                <w:szCs w:val="21"/>
              </w:rPr>
            </w:pPr>
            <w:r>
              <w:rPr>
                <w:rFonts w:ascii="黑体" w:hAnsi="黑体" w:eastAsia="黑体"/>
                <w:bCs/>
                <w:color w:val="auto"/>
                <w:szCs w:val="21"/>
              </w:rPr>
              <w:t>7</w:t>
            </w:r>
          </w:p>
        </w:tc>
        <w:tc>
          <w:tcPr>
            <w:tcW w:w="2815" w:type="pct"/>
            <w:vAlign w:val="center"/>
          </w:tcPr>
          <w:p w14:paraId="5977F25C">
            <w:pPr>
              <w:spacing w:line="360" w:lineRule="auto"/>
              <w:jc w:val="left"/>
              <w:rPr>
                <w:rFonts w:ascii="黑体" w:hAnsi="黑体" w:eastAsia="黑体"/>
                <w:color w:val="auto"/>
                <w:szCs w:val="21"/>
              </w:rPr>
            </w:pPr>
          </w:p>
        </w:tc>
        <w:tc>
          <w:tcPr>
            <w:tcW w:w="748" w:type="pct"/>
            <w:vAlign w:val="center"/>
          </w:tcPr>
          <w:p w14:paraId="08B9A4D9">
            <w:pPr>
              <w:spacing w:line="360" w:lineRule="auto"/>
              <w:jc w:val="center"/>
              <w:rPr>
                <w:rFonts w:ascii="黑体" w:hAnsi="黑体" w:eastAsia="黑体"/>
                <w:b/>
                <w:bCs/>
                <w:color w:val="auto"/>
                <w:szCs w:val="21"/>
              </w:rPr>
            </w:pPr>
          </w:p>
        </w:tc>
        <w:tc>
          <w:tcPr>
            <w:tcW w:w="1030" w:type="pct"/>
            <w:vAlign w:val="center"/>
          </w:tcPr>
          <w:p w14:paraId="28D7C1C1">
            <w:pPr>
              <w:spacing w:line="360" w:lineRule="auto"/>
              <w:jc w:val="center"/>
              <w:rPr>
                <w:rFonts w:ascii="黑体" w:hAnsi="黑体" w:eastAsia="黑体"/>
                <w:b/>
                <w:bCs/>
                <w:color w:val="auto"/>
                <w:szCs w:val="21"/>
              </w:rPr>
            </w:pPr>
          </w:p>
        </w:tc>
      </w:tr>
      <w:tr w14:paraId="4846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407" w:type="pct"/>
            <w:vAlign w:val="center"/>
          </w:tcPr>
          <w:p w14:paraId="6B461230">
            <w:pPr>
              <w:spacing w:line="360" w:lineRule="auto"/>
              <w:jc w:val="center"/>
              <w:rPr>
                <w:rFonts w:ascii="黑体" w:hAnsi="黑体" w:eastAsia="黑体"/>
                <w:bCs/>
                <w:color w:val="auto"/>
                <w:szCs w:val="21"/>
              </w:rPr>
            </w:pPr>
            <w:r>
              <w:rPr>
                <w:rFonts w:ascii="黑体" w:hAnsi="黑体" w:eastAsia="黑体"/>
                <w:bCs/>
                <w:color w:val="auto"/>
                <w:szCs w:val="21"/>
              </w:rPr>
              <w:t>8</w:t>
            </w:r>
          </w:p>
        </w:tc>
        <w:tc>
          <w:tcPr>
            <w:tcW w:w="2815" w:type="pct"/>
            <w:vAlign w:val="center"/>
          </w:tcPr>
          <w:p w14:paraId="408B9184">
            <w:pPr>
              <w:spacing w:line="360" w:lineRule="auto"/>
              <w:jc w:val="left"/>
              <w:rPr>
                <w:rFonts w:ascii="黑体" w:hAnsi="黑体" w:eastAsia="黑体"/>
                <w:color w:val="auto"/>
                <w:szCs w:val="21"/>
              </w:rPr>
            </w:pPr>
          </w:p>
        </w:tc>
        <w:tc>
          <w:tcPr>
            <w:tcW w:w="748" w:type="pct"/>
            <w:vAlign w:val="center"/>
          </w:tcPr>
          <w:p w14:paraId="307B5F43">
            <w:pPr>
              <w:spacing w:line="360" w:lineRule="auto"/>
              <w:jc w:val="center"/>
              <w:rPr>
                <w:rFonts w:ascii="黑体" w:hAnsi="黑体" w:eastAsia="黑体"/>
                <w:b/>
                <w:bCs/>
                <w:color w:val="auto"/>
                <w:szCs w:val="21"/>
              </w:rPr>
            </w:pPr>
          </w:p>
        </w:tc>
        <w:tc>
          <w:tcPr>
            <w:tcW w:w="1030" w:type="pct"/>
            <w:vAlign w:val="center"/>
          </w:tcPr>
          <w:p w14:paraId="689FD27A">
            <w:pPr>
              <w:spacing w:line="360" w:lineRule="auto"/>
              <w:jc w:val="center"/>
              <w:rPr>
                <w:rFonts w:ascii="黑体" w:hAnsi="黑体" w:eastAsia="黑体"/>
                <w:b/>
                <w:bCs/>
                <w:color w:val="auto"/>
                <w:szCs w:val="21"/>
              </w:rPr>
            </w:pPr>
          </w:p>
        </w:tc>
      </w:tr>
      <w:tr w14:paraId="0B7D3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407" w:type="pct"/>
            <w:vAlign w:val="center"/>
          </w:tcPr>
          <w:p w14:paraId="20B8E21A">
            <w:pPr>
              <w:spacing w:line="360" w:lineRule="auto"/>
              <w:jc w:val="center"/>
              <w:rPr>
                <w:rFonts w:ascii="黑体" w:hAnsi="黑体" w:eastAsia="黑体"/>
                <w:bCs/>
                <w:color w:val="auto"/>
                <w:szCs w:val="21"/>
              </w:rPr>
            </w:pPr>
            <w:r>
              <w:rPr>
                <w:rFonts w:ascii="黑体" w:hAnsi="黑体" w:eastAsia="黑体"/>
                <w:bCs/>
                <w:color w:val="auto"/>
                <w:szCs w:val="21"/>
              </w:rPr>
              <w:t>9</w:t>
            </w:r>
          </w:p>
        </w:tc>
        <w:tc>
          <w:tcPr>
            <w:tcW w:w="2815" w:type="pct"/>
            <w:vAlign w:val="center"/>
          </w:tcPr>
          <w:p w14:paraId="2115BE03">
            <w:pPr>
              <w:spacing w:line="360" w:lineRule="auto"/>
              <w:jc w:val="left"/>
              <w:rPr>
                <w:rFonts w:ascii="黑体" w:hAnsi="黑体" w:eastAsia="黑体"/>
                <w:bCs/>
                <w:color w:val="auto"/>
                <w:szCs w:val="21"/>
              </w:rPr>
            </w:pPr>
          </w:p>
        </w:tc>
        <w:tc>
          <w:tcPr>
            <w:tcW w:w="748" w:type="pct"/>
            <w:vAlign w:val="center"/>
          </w:tcPr>
          <w:p w14:paraId="6B6572D8">
            <w:pPr>
              <w:spacing w:line="360" w:lineRule="auto"/>
              <w:jc w:val="center"/>
              <w:rPr>
                <w:rFonts w:ascii="黑体" w:hAnsi="黑体" w:eastAsia="黑体"/>
                <w:b/>
                <w:bCs/>
                <w:color w:val="auto"/>
                <w:szCs w:val="21"/>
              </w:rPr>
            </w:pPr>
          </w:p>
        </w:tc>
        <w:tc>
          <w:tcPr>
            <w:tcW w:w="1030" w:type="pct"/>
            <w:vAlign w:val="center"/>
          </w:tcPr>
          <w:p w14:paraId="4C96E4D2">
            <w:pPr>
              <w:spacing w:line="360" w:lineRule="auto"/>
              <w:jc w:val="center"/>
              <w:rPr>
                <w:rFonts w:ascii="黑体" w:hAnsi="黑体" w:eastAsia="黑体"/>
                <w:b/>
                <w:bCs/>
                <w:color w:val="auto"/>
                <w:szCs w:val="21"/>
              </w:rPr>
            </w:pPr>
          </w:p>
        </w:tc>
      </w:tr>
    </w:tbl>
    <w:p w14:paraId="51EDCE83">
      <w:pPr>
        <w:spacing w:before="156" w:beforeLines="50" w:line="360" w:lineRule="auto"/>
        <w:rPr>
          <w:rFonts w:ascii="黑体" w:hAnsi="黑体" w:eastAsia="黑体"/>
          <w:color w:val="auto"/>
        </w:rPr>
      </w:pPr>
      <w:r>
        <w:rPr>
          <w:rFonts w:hint="eastAsia" w:ascii="黑体" w:hAnsi="黑体" w:eastAsia="黑体"/>
          <w:color w:val="auto"/>
        </w:rPr>
        <w:t>注明：</w:t>
      </w:r>
    </w:p>
    <w:p w14:paraId="04432928">
      <w:pPr>
        <w:pStyle w:val="30"/>
        <w:numPr>
          <w:ilvl w:val="0"/>
          <w:numId w:val="84"/>
        </w:numPr>
        <w:spacing w:line="360" w:lineRule="auto"/>
        <w:ind w:firstLineChars="0"/>
        <w:rPr>
          <w:rFonts w:ascii="黑体" w:hAnsi="黑体" w:eastAsia="黑体"/>
          <w:color w:val="auto"/>
        </w:rPr>
      </w:pPr>
      <w:r>
        <w:rPr>
          <w:rFonts w:hint="eastAsia" w:ascii="黑体" w:hAnsi="黑体" w:eastAsia="黑体"/>
          <w:color w:val="auto"/>
        </w:rPr>
        <w:t>自查结论处请填写：通过</w:t>
      </w:r>
      <w:r>
        <w:rPr>
          <w:rFonts w:ascii="黑体" w:hAnsi="黑体" w:eastAsia="黑体"/>
          <w:color w:val="auto"/>
        </w:rPr>
        <w:t>/不通过</w:t>
      </w:r>
      <w:r>
        <w:rPr>
          <w:rFonts w:hint="eastAsia" w:ascii="黑体" w:hAnsi="黑体" w:eastAsia="黑体"/>
          <w:color w:val="auto"/>
        </w:rPr>
        <w:t>；</w:t>
      </w:r>
    </w:p>
    <w:p w14:paraId="42491970">
      <w:pPr>
        <w:pStyle w:val="30"/>
        <w:numPr>
          <w:ilvl w:val="0"/>
          <w:numId w:val="84"/>
        </w:numPr>
        <w:spacing w:line="360" w:lineRule="auto"/>
        <w:ind w:firstLineChars="0"/>
        <w:rPr>
          <w:rFonts w:ascii="黑体" w:hAnsi="黑体" w:eastAsia="黑体"/>
          <w:color w:val="auto"/>
        </w:rPr>
      </w:pPr>
      <w:r>
        <w:rPr>
          <w:rFonts w:hint="eastAsia" w:ascii="黑体" w:hAnsi="黑体" w:eastAsia="黑体"/>
          <w:color w:val="auto"/>
          <w:szCs w:val="21"/>
        </w:rPr>
        <w:t>按招标文件第五部分</w:t>
      </w:r>
      <w:r>
        <w:rPr>
          <w:rFonts w:ascii="黑体" w:hAnsi="黑体" w:eastAsia="黑体"/>
          <w:color w:val="auto"/>
          <w:szCs w:val="21"/>
        </w:rPr>
        <w:t xml:space="preserve"> </w:t>
      </w:r>
      <w:r>
        <w:rPr>
          <w:rFonts w:hint="eastAsia" w:ascii="黑体" w:hAnsi="黑体" w:eastAsia="黑体"/>
          <w:color w:val="auto"/>
          <w:szCs w:val="21"/>
        </w:rPr>
        <w:t>评标方法、步骤、标准之符合性审查表（</w:t>
      </w:r>
      <w:r>
        <w:rPr>
          <w:rFonts w:hint="eastAsia" w:ascii="黑体" w:hAnsi="黑体" w:eastAsia="黑体"/>
          <w:color w:val="auto"/>
          <w:kern w:val="0"/>
          <w:szCs w:val="21"/>
        </w:rPr>
        <w:t>附表二）</w:t>
      </w:r>
      <w:r>
        <w:rPr>
          <w:rFonts w:hint="eastAsia" w:ascii="黑体" w:hAnsi="黑体" w:eastAsia="黑体"/>
          <w:color w:val="auto"/>
          <w:szCs w:val="21"/>
        </w:rPr>
        <w:t>相对应条款填写</w:t>
      </w:r>
      <w:r>
        <w:rPr>
          <w:rFonts w:hint="eastAsia" w:ascii="黑体" w:hAnsi="黑体" w:eastAsia="黑体"/>
          <w:color w:val="auto"/>
        </w:rPr>
        <w:t>。</w:t>
      </w:r>
    </w:p>
    <w:p w14:paraId="269BB7CC">
      <w:pPr>
        <w:spacing w:line="360" w:lineRule="auto"/>
        <w:rPr>
          <w:rFonts w:ascii="黑体" w:hAnsi="黑体" w:eastAsia="黑体"/>
          <w:color w:val="auto"/>
        </w:rPr>
      </w:pPr>
    </w:p>
    <w:p w14:paraId="4B9C5DEF">
      <w:pPr>
        <w:spacing w:line="360" w:lineRule="auto"/>
        <w:rPr>
          <w:rFonts w:ascii="黑体" w:hAnsi="黑体" w:eastAsia="黑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14:paraId="73E08D18">
        <w:tc>
          <w:tcPr>
            <w:tcW w:w="5353" w:type="dxa"/>
          </w:tcPr>
          <w:p w14:paraId="0F18CEA6">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5495036C">
            <w:pPr>
              <w:spacing w:line="360" w:lineRule="auto"/>
              <w:rPr>
                <w:rFonts w:ascii="黑体" w:hAnsi="黑体" w:eastAsia="黑体"/>
                <w:color w:val="auto"/>
                <w:szCs w:val="21"/>
              </w:rPr>
            </w:pPr>
          </w:p>
        </w:tc>
      </w:tr>
      <w:tr w14:paraId="6B313201">
        <w:tblPrEx>
          <w:tblCellMar>
            <w:top w:w="0" w:type="dxa"/>
            <w:left w:w="108" w:type="dxa"/>
            <w:bottom w:w="0" w:type="dxa"/>
            <w:right w:w="108" w:type="dxa"/>
          </w:tblCellMar>
        </w:tblPrEx>
        <w:tc>
          <w:tcPr>
            <w:tcW w:w="5353" w:type="dxa"/>
          </w:tcPr>
          <w:p w14:paraId="671CC336">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3E77B746">
            <w:pPr>
              <w:spacing w:line="360" w:lineRule="auto"/>
              <w:rPr>
                <w:rFonts w:ascii="黑体" w:hAnsi="黑体" w:eastAsia="黑体"/>
                <w:color w:val="auto"/>
                <w:szCs w:val="21"/>
              </w:rPr>
            </w:pPr>
          </w:p>
        </w:tc>
      </w:tr>
    </w:tbl>
    <w:p w14:paraId="758EF211">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详细评审索引表</w:t>
      </w:r>
    </w:p>
    <w:p w14:paraId="02A6F82E">
      <w:pPr>
        <w:spacing w:before="312" w:beforeLines="100" w:after="312" w:afterLines="100"/>
        <w:jc w:val="center"/>
        <w:rPr>
          <w:rFonts w:ascii="黑体" w:hAnsi="黑体" w:eastAsia="黑体"/>
          <w:b/>
          <w:color w:val="auto"/>
          <w:spacing w:val="20"/>
          <w:sz w:val="30"/>
          <w:szCs w:val="30"/>
        </w:rPr>
      </w:pPr>
      <w:r>
        <w:rPr>
          <w:rFonts w:hint="eastAsia" w:ascii="黑体" w:hAnsi="黑体" w:eastAsia="黑体"/>
          <w:b/>
          <w:color w:val="auto"/>
          <w:spacing w:val="20"/>
          <w:sz w:val="30"/>
          <w:szCs w:val="30"/>
        </w:rPr>
        <w:t>详细评审索引表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551"/>
        <w:gridCol w:w="3382"/>
        <w:gridCol w:w="2452"/>
      </w:tblGrid>
      <w:tr w14:paraId="422A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2" w:type="dxa"/>
            <w:gridSpan w:val="4"/>
            <w:vAlign w:val="center"/>
          </w:tcPr>
          <w:p w14:paraId="10F853A0">
            <w:pPr>
              <w:spacing w:line="360" w:lineRule="auto"/>
              <w:jc w:val="center"/>
              <w:rPr>
                <w:rFonts w:ascii="黑体" w:hAnsi="黑体" w:eastAsia="黑体"/>
                <w:b/>
                <w:color w:val="auto"/>
                <w:szCs w:val="21"/>
              </w:rPr>
            </w:pPr>
            <w:r>
              <w:rPr>
                <w:rFonts w:hint="eastAsia" w:ascii="黑体" w:hAnsi="黑体" w:eastAsia="黑体"/>
                <w:b/>
                <w:color w:val="auto"/>
                <w:szCs w:val="21"/>
              </w:rPr>
              <w:t>商务评审细则</w:t>
            </w:r>
          </w:p>
        </w:tc>
      </w:tr>
      <w:tr w14:paraId="19ED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40B8BB78">
            <w:pPr>
              <w:spacing w:line="360" w:lineRule="auto"/>
              <w:jc w:val="center"/>
              <w:rPr>
                <w:rFonts w:ascii="黑体" w:hAnsi="黑体" w:eastAsia="黑体"/>
                <w:b/>
                <w:color w:val="auto"/>
                <w:szCs w:val="21"/>
              </w:rPr>
            </w:pPr>
            <w:r>
              <w:rPr>
                <w:rFonts w:hint="eastAsia" w:ascii="黑体" w:hAnsi="黑体" w:eastAsia="黑体"/>
                <w:b/>
                <w:color w:val="auto"/>
                <w:szCs w:val="21"/>
              </w:rPr>
              <w:t>序号</w:t>
            </w:r>
          </w:p>
        </w:tc>
        <w:tc>
          <w:tcPr>
            <w:tcW w:w="1551" w:type="dxa"/>
            <w:vAlign w:val="center"/>
          </w:tcPr>
          <w:p w14:paraId="2D293733">
            <w:pPr>
              <w:spacing w:line="360" w:lineRule="auto"/>
              <w:jc w:val="center"/>
              <w:rPr>
                <w:rFonts w:ascii="黑体" w:hAnsi="黑体" w:eastAsia="黑体"/>
                <w:b/>
                <w:color w:val="auto"/>
                <w:szCs w:val="21"/>
              </w:rPr>
            </w:pPr>
            <w:r>
              <w:rPr>
                <w:rFonts w:hint="eastAsia" w:ascii="黑体" w:hAnsi="黑体" w:eastAsia="黑体"/>
                <w:b/>
                <w:color w:val="auto"/>
                <w:szCs w:val="21"/>
              </w:rPr>
              <w:t>评分内容</w:t>
            </w:r>
          </w:p>
        </w:tc>
        <w:tc>
          <w:tcPr>
            <w:tcW w:w="3382" w:type="dxa"/>
            <w:vAlign w:val="center"/>
          </w:tcPr>
          <w:p w14:paraId="38CA2AEE">
            <w:pPr>
              <w:spacing w:line="360" w:lineRule="auto"/>
              <w:jc w:val="center"/>
              <w:rPr>
                <w:rFonts w:ascii="黑体" w:hAnsi="黑体" w:eastAsia="黑体"/>
                <w:b/>
                <w:color w:val="auto"/>
                <w:szCs w:val="21"/>
              </w:rPr>
            </w:pPr>
            <w:r>
              <w:rPr>
                <w:rFonts w:hint="eastAsia" w:ascii="黑体" w:hAnsi="黑体" w:eastAsia="黑体"/>
                <w:b/>
                <w:color w:val="auto"/>
                <w:szCs w:val="21"/>
              </w:rPr>
              <w:t>评分标准</w:t>
            </w:r>
          </w:p>
        </w:tc>
        <w:tc>
          <w:tcPr>
            <w:tcW w:w="2452" w:type="dxa"/>
            <w:vAlign w:val="center"/>
          </w:tcPr>
          <w:p w14:paraId="3519BC99">
            <w:pPr>
              <w:spacing w:line="360" w:lineRule="auto"/>
              <w:jc w:val="center"/>
              <w:rPr>
                <w:rFonts w:ascii="黑体" w:hAnsi="黑体" w:eastAsia="黑体"/>
                <w:b/>
                <w:color w:val="auto"/>
                <w:szCs w:val="21"/>
              </w:rPr>
            </w:pPr>
            <w:r>
              <w:rPr>
                <w:rFonts w:hint="eastAsia" w:ascii="黑体" w:hAnsi="黑体" w:eastAsia="黑体"/>
                <w:b/>
                <w:color w:val="auto"/>
                <w:szCs w:val="21"/>
              </w:rPr>
              <w:t>投标文件响应页码</w:t>
            </w:r>
          </w:p>
        </w:tc>
      </w:tr>
      <w:tr w14:paraId="3F7A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7216B25D">
            <w:pPr>
              <w:spacing w:line="360" w:lineRule="auto"/>
              <w:jc w:val="center"/>
              <w:rPr>
                <w:rFonts w:ascii="黑体" w:hAnsi="黑体" w:eastAsia="黑体"/>
                <w:b/>
                <w:color w:val="auto"/>
                <w:szCs w:val="21"/>
              </w:rPr>
            </w:pPr>
          </w:p>
        </w:tc>
        <w:tc>
          <w:tcPr>
            <w:tcW w:w="1551" w:type="dxa"/>
            <w:vAlign w:val="center"/>
          </w:tcPr>
          <w:p w14:paraId="05CD60D4">
            <w:pPr>
              <w:spacing w:line="360" w:lineRule="auto"/>
              <w:jc w:val="center"/>
              <w:rPr>
                <w:rFonts w:ascii="黑体" w:hAnsi="黑体" w:eastAsia="黑体"/>
                <w:b/>
                <w:color w:val="auto"/>
                <w:szCs w:val="21"/>
              </w:rPr>
            </w:pPr>
          </w:p>
        </w:tc>
        <w:tc>
          <w:tcPr>
            <w:tcW w:w="3382" w:type="dxa"/>
            <w:vAlign w:val="center"/>
          </w:tcPr>
          <w:p w14:paraId="21109B1D">
            <w:pPr>
              <w:spacing w:line="360" w:lineRule="auto"/>
              <w:jc w:val="center"/>
              <w:rPr>
                <w:rFonts w:ascii="黑体" w:hAnsi="黑体" w:eastAsia="黑体"/>
                <w:b/>
                <w:color w:val="auto"/>
                <w:szCs w:val="21"/>
              </w:rPr>
            </w:pPr>
          </w:p>
        </w:tc>
        <w:tc>
          <w:tcPr>
            <w:tcW w:w="2452" w:type="dxa"/>
            <w:vAlign w:val="center"/>
          </w:tcPr>
          <w:p w14:paraId="1AB528AE">
            <w:pPr>
              <w:spacing w:line="360" w:lineRule="auto"/>
              <w:jc w:val="center"/>
              <w:rPr>
                <w:rFonts w:ascii="黑体" w:hAnsi="黑体" w:eastAsia="黑体"/>
                <w:b/>
                <w:color w:val="auto"/>
                <w:szCs w:val="21"/>
              </w:rPr>
            </w:pPr>
          </w:p>
        </w:tc>
      </w:tr>
      <w:tr w14:paraId="5A45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26021B9B">
            <w:pPr>
              <w:spacing w:line="360" w:lineRule="auto"/>
              <w:jc w:val="center"/>
              <w:rPr>
                <w:rFonts w:ascii="黑体" w:hAnsi="黑体" w:eastAsia="黑体"/>
                <w:b/>
                <w:color w:val="auto"/>
                <w:szCs w:val="21"/>
              </w:rPr>
            </w:pPr>
          </w:p>
        </w:tc>
        <w:tc>
          <w:tcPr>
            <w:tcW w:w="1551" w:type="dxa"/>
            <w:vAlign w:val="center"/>
          </w:tcPr>
          <w:p w14:paraId="004C54E4">
            <w:pPr>
              <w:spacing w:line="360" w:lineRule="auto"/>
              <w:jc w:val="center"/>
              <w:rPr>
                <w:rFonts w:ascii="黑体" w:hAnsi="黑体" w:eastAsia="黑体"/>
                <w:b/>
                <w:color w:val="auto"/>
                <w:szCs w:val="21"/>
              </w:rPr>
            </w:pPr>
          </w:p>
        </w:tc>
        <w:tc>
          <w:tcPr>
            <w:tcW w:w="3382" w:type="dxa"/>
            <w:vAlign w:val="center"/>
          </w:tcPr>
          <w:p w14:paraId="35587254">
            <w:pPr>
              <w:spacing w:line="360" w:lineRule="auto"/>
              <w:jc w:val="center"/>
              <w:rPr>
                <w:rFonts w:ascii="黑体" w:hAnsi="黑体" w:eastAsia="黑体"/>
                <w:b/>
                <w:color w:val="auto"/>
                <w:szCs w:val="21"/>
              </w:rPr>
            </w:pPr>
          </w:p>
        </w:tc>
        <w:tc>
          <w:tcPr>
            <w:tcW w:w="2452" w:type="dxa"/>
            <w:vAlign w:val="center"/>
          </w:tcPr>
          <w:p w14:paraId="144DF1FA">
            <w:pPr>
              <w:spacing w:line="360" w:lineRule="auto"/>
              <w:jc w:val="center"/>
              <w:rPr>
                <w:rFonts w:ascii="黑体" w:hAnsi="黑体" w:eastAsia="黑体"/>
                <w:b/>
                <w:color w:val="auto"/>
                <w:szCs w:val="21"/>
              </w:rPr>
            </w:pPr>
          </w:p>
        </w:tc>
      </w:tr>
      <w:tr w14:paraId="745F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0DD49779">
            <w:pPr>
              <w:spacing w:line="360" w:lineRule="auto"/>
              <w:jc w:val="center"/>
              <w:rPr>
                <w:rFonts w:ascii="黑体" w:hAnsi="黑体" w:eastAsia="黑体"/>
                <w:b/>
                <w:color w:val="auto"/>
                <w:szCs w:val="21"/>
              </w:rPr>
            </w:pPr>
          </w:p>
        </w:tc>
        <w:tc>
          <w:tcPr>
            <w:tcW w:w="1551" w:type="dxa"/>
            <w:vAlign w:val="center"/>
          </w:tcPr>
          <w:p w14:paraId="074DE114">
            <w:pPr>
              <w:spacing w:line="360" w:lineRule="auto"/>
              <w:jc w:val="center"/>
              <w:rPr>
                <w:rFonts w:ascii="黑体" w:hAnsi="黑体" w:eastAsia="黑体"/>
                <w:b/>
                <w:color w:val="auto"/>
                <w:szCs w:val="21"/>
              </w:rPr>
            </w:pPr>
          </w:p>
        </w:tc>
        <w:tc>
          <w:tcPr>
            <w:tcW w:w="3382" w:type="dxa"/>
            <w:vAlign w:val="center"/>
          </w:tcPr>
          <w:p w14:paraId="7F73CDB7">
            <w:pPr>
              <w:spacing w:line="360" w:lineRule="auto"/>
              <w:jc w:val="center"/>
              <w:rPr>
                <w:rFonts w:ascii="黑体" w:hAnsi="黑体" w:eastAsia="黑体"/>
                <w:b/>
                <w:color w:val="auto"/>
                <w:szCs w:val="21"/>
              </w:rPr>
            </w:pPr>
          </w:p>
        </w:tc>
        <w:tc>
          <w:tcPr>
            <w:tcW w:w="2452" w:type="dxa"/>
            <w:vAlign w:val="center"/>
          </w:tcPr>
          <w:p w14:paraId="1E864099">
            <w:pPr>
              <w:spacing w:line="360" w:lineRule="auto"/>
              <w:jc w:val="center"/>
              <w:rPr>
                <w:rFonts w:ascii="黑体" w:hAnsi="黑体" w:eastAsia="黑体"/>
                <w:b/>
                <w:color w:val="auto"/>
                <w:szCs w:val="21"/>
              </w:rPr>
            </w:pPr>
          </w:p>
        </w:tc>
      </w:tr>
      <w:tr w14:paraId="412F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0F0A46D1">
            <w:pPr>
              <w:spacing w:line="360" w:lineRule="auto"/>
              <w:jc w:val="center"/>
              <w:rPr>
                <w:rFonts w:ascii="黑体" w:hAnsi="黑体" w:eastAsia="黑体"/>
                <w:b/>
                <w:color w:val="auto"/>
                <w:szCs w:val="21"/>
              </w:rPr>
            </w:pPr>
          </w:p>
        </w:tc>
        <w:tc>
          <w:tcPr>
            <w:tcW w:w="1551" w:type="dxa"/>
            <w:vAlign w:val="center"/>
          </w:tcPr>
          <w:p w14:paraId="43D4B360">
            <w:pPr>
              <w:spacing w:line="360" w:lineRule="auto"/>
              <w:jc w:val="center"/>
              <w:rPr>
                <w:rFonts w:ascii="黑体" w:hAnsi="黑体" w:eastAsia="黑体"/>
                <w:b/>
                <w:color w:val="auto"/>
                <w:szCs w:val="21"/>
              </w:rPr>
            </w:pPr>
          </w:p>
        </w:tc>
        <w:tc>
          <w:tcPr>
            <w:tcW w:w="3382" w:type="dxa"/>
            <w:vAlign w:val="center"/>
          </w:tcPr>
          <w:p w14:paraId="3D2E8E6C">
            <w:pPr>
              <w:spacing w:line="360" w:lineRule="auto"/>
              <w:jc w:val="center"/>
              <w:rPr>
                <w:rFonts w:ascii="黑体" w:hAnsi="黑体" w:eastAsia="黑体"/>
                <w:b/>
                <w:color w:val="auto"/>
                <w:szCs w:val="21"/>
              </w:rPr>
            </w:pPr>
          </w:p>
        </w:tc>
        <w:tc>
          <w:tcPr>
            <w:tcW w:w="2452" w:type="dxa"/>
            <w:vAlign w:val="center"/>
          </w:tcPr>
          <w:p w14:paraId="620033A9">
            <w:pPr>
              <w:spacing w:line="360" w:lineRule="auto"/>
              <w:jc w:val="center"/>
              <w:rPr>
                <w:rFonts w:ascii="黑体" w:hAnsi="黑体" w:eastAsia="黑体"/>
                <w:b/>
                <w:color w:val="auto"/>
                <w:szCs w:val="21"/>
              </w:rPr>
            </w:pPr>
          </w:p>
        </w:tc>
      </w:tr>
      <w:tr w14:paraId="39D3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2" w:type="dxa"/>
            <w:gridSpan w:val="4"/>
            <w:vAlign w:val="center"/>
          </w:tcPr>
          <w:p w14:paraId="6123136E">
            <w:pPr>
              <w:spacing w:line="360" w:lineRule="auto"/>
              <w:jc w:val="center"/>
              <w:rPr>
                <w:rFonts w:ascii="黑体" w:hAnsi="黑体" w:eastAsia="黑体"/>
                <w:b/>
                <w:color w:val="auto"/>
                <w:szCs w:val="21"/>
              </w:rPr>
            </w:pPr>
            <w:r>
              <w:rPr>
                <w:rFonts w:hint="eastAsia" w:ascii="黑体" w:hAnsi="黑体" w:eastAsia="黑体"/>
                <w:b/>
                <w:color w:val="auto"/>
                <w:szCs w:val="21"/>
              </w:rPr>
              <w:t>技术评审细则</w:t>
            </w:r>
          </w:p>
        </w:tc>
      </w:tr>
      <w:tr w14:paraId="56C7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770413BE">
            <w:pPr>
              <w:spacing w:line="360" w:lineRule="auto"/>
              <w:jc w:val="center"/>
              <w:rPr>
                <w:rFonts w:ascii="黑体" w:hAnsi="黑体" w:eastAsia="黑体"/>
                <w:b/>
                <w:color w:val="auto"/>
                <w:szCs w:val="21"/>
              </w:rPr>
            </w:pPr>
            <w:r>
              <w:rPr>
                <w:rFonts w:hint="eastAsia" w:ascii="黑体" w:hAnsi="黑体" w:eastAsia="黑体"/>
                <w:b/>
                <w:color w:val="auto"/>
                <w:szCs w:val="21"/>
              </w:rPr>
              <w:t>序号</w:t>
            </w:r>
          </w:p>
        </w:tc>
        <w:tc>
          <w:tcPr>
            <w:tcW w:w="1551" w:type="dxa"/>
            <w:vAlign w:val="center"/>
          </w:tcPr>
          <w:p w14:paraId="57D8BC8E">
            <w:pPr>
              <w:spacing w:line="360" w:lineRule="auto"/>
              <w:jc w:val="center"/>
              <w:rPr>
                <w:rFonts w:ascii="黑体" w:hAnsi="黑体" w:eastAsia="黑体"/>
                <w:b/>
                <w:color w:val="auto"/>
                <w:szCs w:val="21"/>
              </w:rPr>
            </w:pPr>
            <w:r>
              <w:rPr>
                <w:rFonts w:hint="eastAsia" w:ascii="黑体" w:hAnsi="黑体" w:eastAsia="黑体"/>
                <w:b/>
                <w:color w:val="auto"/>
                <w:szCs w:val="21"/>
              </w:rPr>
              <w:t>评分内容</w:t>
            </w:r>
          </w:p>
        </w:tc>
        <w:tc>
          <w:tcPr>
            <w:tcW w:w="3382" w:type="dxa"/>
            <w:vAlign w:val="center"/>
          </w:tcPr>
          <w:p w14:paraId="422D490B">
            <w:pPr>
              <w:spacing w:line="360" w:lineRule="auto"/>
              <w:jc w:val="center"/>
              <w:rPr>
                <w:rFonts w:ascii="黑体" w:hAnsi="黑体" w:eastAsia="黑体"/>
                <w:b/>
                <w:color w:val="auto"/>
                <w:szCs w:val="21"/>
              </w:rPr>
            </w:pPr>
            <w:r>
              <w:rPr>
                <w:rFonts w:hint="eastAsia" w:ascii="黑体" w:hAnsi="黑体" w:eastAsia="黑体"/>
                <w:b/>
                <w:color w:val="auto"/>
                <w:szCs w:val="21"/>
              </w:rPr>
              <w:t>评分标准</w:t>
            </w:r>
          </w:p>
        </w:tc>
        <w:tc>
          <w:tcPr>
            <w:tcW w:w="2452" w:type="dxa"/>
            <w:vAlign w:val="center"/>
          </w:tcPr>
          <w:p w14:paraId="62713C77">
            <w:pPr>
              <w:spacing w:line="360" w:lineRule="auto"/>
              <w:jc w:val="center"/>
              <w:rPr>
                <w:rFonts w:ascii="黑体" w:hAnsi="黑体" w:eastAsia="黑体"/>
                <w:b/>
                <w:color w:val="auto"/>
                <w:szCs w:val="21"/>
              </w:rPr>
            </w:pPr>
            <w:r>
              <w:rPr>
                <w:rFonts w:hint="eastAsia" w:ascii="黑体" w:hAnsi="黑体" w:eastAsia="黑体"/>
                <w:b/>
                <w:color w:val="auto"/>
                <w:szCs w:val="21"/>
              </w:rPr>
              <w:t>投标文件响应页码</w:t>
            </w:r>
          </w:p>
        </w:tc>
      </w:tr>
      <w:tr w14:paraId="5A23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4F950A0B">
            <w:pPr>
              <w:spacing w:line="360" w:lineRule="auto"/>
              <w:jc w:val="center"/>
              <w:rPr>
                <w:rFonts w:ascii="黑体" w:hAnsi="黑体" w:eastAsia="黑体"/>
                <w:b/>
                <w:color w:val="auto"/>
                <w:szCs w:val="21"/>
              </w:rPr>
            </w:pPr>
          </w:p>
        </w:tc>
        <w:tc>
          <w:tcPr>
            <w:tcW w:w="1551" w:type="dxa"/>
            <w:vAlign w:val="center"/>
          </w:tcPr>
          <w:p w14:paraId="4717BD01">
            <w:pPr>
              <w:spacing w:line="360" w:lineRule="auto"/>
              <w:jc w:val="center"/>
              <w:rPr>
                <w:rFonts w:ascii="黑体" w:hAnsi="黑体" w:eastAsia="黑体"/>
                <w:b/>
                <w:color w:val="auto"/>
                <w:szCs w:val="21"/>
              </w:rPr>
            </w:pPr>
          </w:p>
        </w:tc>
        <w:tc>
          <w:tcPr>
            <w:tcW w:w="3382" w:type="dxa"/>
            <w:vAlign w:val="center"/>
          </w:tcPr>
          <w:p w14:paraId="5BE13E2D">
            <w:pPr>
              <w:spacing w:line="360" w:lineRule="auto"/>
              <w:jc w:val="center"/>
              <w:rPr>
                <w:rFonts w:ascii="黑体" w:hAnsi="黑体" w:eastAsia="黑体"/>
                <w:b/>
                <w:color w:val="auto"/>
                <w:szCs w:val="21"/>
              </w:rPr>
            </w:pPr>
          </w:p>
        </w:tc>
        <w:tc>
          <w:tcPr>
            <w:tcW w:w="2452" w:type="dxa"/>
            <w:vAlign w:val="center"/>
          </w:tcPr>
          <w:p w14:paraId="5E45DBCE">
            <w:pPr>
              <w:spacing w:line="360" w:lineRule="auto"/>
              <w:jc w:val="center"/>
              <w:rPr>
                <w:rFonts w:ascii="黑体" w:hAnsi="黑体" w:eastAsia="黑体"/>
                <w:b/>
                <w:color w:val="auto"/>
                <w:szCs w:val="21"/>
              </w:rPr>
            </w:pPr>
          </w:p>
        </w:tc>
      </w:tr>
      <w:tr w14:paraId="1E4E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6609C870">
            <w:pPr>
              <w:spacing w:line="360" w:lineRule="auto"/>
              <w:jc w:val="center"/>
              <w:rPr>
                <w:rFonts w:ascii="黑体" w:hAnsi="黑体" w:eastAsia="黑体"/>
                <w:b/>
                <w:color w:val="auto"/>
                <w:szCs w:val="21"/>
              </w:rPr>
            </w:pPr>
          </w:p>
        </w:tc>
        <w:tc>
          <w:tcPr>
            <w:tcW w:w="1551" w:type="dxa"/>
            <w:vAlign w:val="center"/>
          </w:tcPr>
          <w:p w14:paraId="31B9FFB8">
            <w:pPr>
              <w:spacing w:line="360" w:lineRule="auto"/>
              <w:jc w:val="center"/>
              <w:rPr>
                <w:rFonts w:ascii="黑体" w:hAnsi="黑体" w:eastAsia="黑体"/>
                <w:b/>
                <w:color w:val="auto"/>
                <w:szCs w:val="21"/>
              </w:rPr>
            </w:pPr>
          </w:p>
        </w:tc>
        <w:tc>
          <w:tcPr>
            <w:tcW w:w="3382" w:type="dxa"/>
            <w:vAlign w:val="center"/>
          </w:tcPr>
          <w:p w14:paraId="36771C16">
            <w:pPr>
              <w:spacing w:line="360" w:lineRule="auto"/>
              <w:jc w:val="center"/>
              <w:rPr>
                <w:rFonts w:ascii="黑体" w:hAnsi="黑体" w:eastAsia="黑体"/>
                <w:b/>
                <w:color w:val="auto"/>
                <w:szCs w:val="21"/>
              </w:rPr>
            </w:pPr>
          </w:p>
        </w:tc>
        <w:tc>
          <w:tcPr>
            <w:tcW w:w="2452" w:type="dxa"/>
            <w:vAlign w:val="center"/>
          </w:tcPr>
          <w:p w14:paraId="392EECCE">
            <w:pPr>
              <w:spacing w:line="360" w:lineRule="auto"/>
              <w:jc w:val="center"/>
              <w:rPr>
                <w:rFonts w:ascii="黑体" w:hAnsi="黑体" w:eastAsia="黑体"/>
                <w:b/>
                <w:color w:val="auto"/>
                <w:szCs w:val="21"/>
              </w:rPr>
            </w:pPr>
          </w:p>
        </w:tc>
      </w:tr>
      <w:tr w14:paraId="7E00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1F74890B">
            <w:pPr>
              <w:spacing w:line="360" w:lineRule="auto"/>
              <w:jc w:val="center"/>
              <w:rPr>
                <w:rFonts w:ascii="黑体" w:hAnsi="黑体" w:eastAsia="黑体"/>
                <w:b/>
                <w:color w:val="auto"/>
                <w:szCs w:val="21"/>
              </w:rPr>
            </w:pPr>
          </w:p>
        </w:tc>
        <w:tc>
          <w:tcPr>
            <w:tcW w:w="1551" w:type="dxa"/>
            <w:vAlign w:val="center"/>
          </w:tcPr>
          <w:p w14:paraId="4CCAB37D">
            <w:pPr>
              <w:spacing w:line="360" w:lineRule="auto"/>
              <w:jc w:val="center"/>
              <w:rPr>
                <w:rFonts w:ascii="黑体" w:hAnsi="黑体" w:eastAsia="黑体"/>
                <w:b/>
                <w:color w:val="auto"/>
                <w:szCs w:val="21"/>
              </w:rPr>
            </w:pPr>
          </w:p>
        </w:tc>
        <w:tc>
          <w:tcPr>
            <w:tcW w:w="3382" w:type="dxa"/>
            <w:vAlign w:val="center"/>
          </w:tcPr>
          <w:p w14:paraId="52E6D4AD">
            <w:pPr>
              <w:spacing w:line="360" w:lineRule="auto"/>
              <w:jc w:val="center"/>
              <w:rPr>
                <w:rFonts w:ascii="黑体" w:hAnsi="黑体" w:eastAsia="黑体"/>
                <w:b/>
                <w:color w:val="auto"/>
                <w:szCs w:val="21"/>
              </w:rPr>
            </w:pPr>
          </w:p>
        </w:tc>
        <w:tc>
          <w:tcPr>
            <w:tcW w:w="2452" w:type="dxa"/>
            <w:vAlign w:val="center"/>
          </w:tcPr>
          <w:p w14:paraId="02050553">
            <w:pPr>
              <w:spacing w:line="360" w:lineRule="auto"/>
              <w:jc w:val="center"/>
              <w:rPr>
                <w:rFonts w:ascii="黑体" w:hAnsi="黑体" w:eastAsia="黑体"/>
                <w:b/>
                <w:color w:val="auto"/>
                <w:szCs w:val="21"/>
              </w:rPr>
            </w:pPr>
          </w:p>
        </w:tc>
      </w:tr>
      <w:tr w14:paraId="17D2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7103E694">
            <w:pPr>
              <w:spacing w:line="360" w:lineRule="auto"/>
              <w:jc w:val="center"/>
              <w:rPr>
                <w:rFonts w:ascii="黑体" w:hAnsi="黑体" w:eastAsia="黑体"/>
                <w:b/>
                <w:color w:val="auto"/>
                <w:szCs w:val="21"/>
              </w:rPr>
            </w:pPr>
          </w:p>
        </w:tc>
        <w:tc>
          <w:tcPr>
            <w:tcW w:w="1551" w:type="dxa"/>
            <w:vAlign w:val="center"/>
          </w:tcPr>
          <w:p w14:paraId="40B64F97">
            <w:pPr>
              <w:spacing w:line="360" w:lineRule="auto"/>
              <w:jc w:val="center"/>
              <w:rPr>
                <w:rFonts w:ascii="黑体" w:hAnsi="黑体" w:eastAsia="黑体"/>
                <w:b/>
                <w:color w:val="auto"/>
                <w:szCs w:val="21"/>
              </w:rPr>
            </w:pPr>
          </w:p>
        </w:tc>
        <w:tc>
          <w:tcPr>
            <w:tcW w:w="3382" w:type="dxa"/>
            <w:vAlign w:val="center"/>
          </w:tcPr>
          <w:p w14:paraId="087EAD2F">
            <w:pPr>
              <w:spacing w:line="360" w:lineRule="auto"/>
              <w:jc w:val="center"/>
              <w:rPr>
                <w:rFonts w:ascii="黑体" w:hAnsi="黑体" w:eastAsia="黑体"/>
                <w:b/>
                <w:color w:val="auto"/>
                <w:szCs w:val="21"/>
              </w:rPr>
            </w:pPr>
          </w:p>
        </w:tc>
        <w:tc>
          <w:tcPr>
            <w:tcW w:w="2452" w:type="dxa"/>
            <w:vAlign w:val="center"/>
          </w:tcPr>
          <w:p w14:paraId="23263F2F">
            <w:pPr>
              <w:spacing w:line="360" w:lineRule="auto"/>
              <w:jc w:val="center"/>
              <w:rPr>
                <w:rFonts w:ascii="黑体" w:hAnsi="黑体" w:eastAsia="黑体"/>
                <w:b/>
                <w:color w:val="auto"/>
                <w:szCs w:val="21"/>
              </w:rPr>
            </w:pPr>
          </w:p>
        </w:tc>
      </w:tr>
      <w:tr w14:paraId="3A9C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4C0F1D0F">
            <w:pPr>
              <w:spacing w:line="360" w:lineRule="auto"/>
              <w:jc w:val="center"/>
              <w:rPr>
                <w:rFonts w:ascii="黑体" w:hAnsi="黑体" w:eastAsia="黑体"/>
                <w:b/>
                <w:color w:val="auto"/>
                <w:szCs w:val="21"/>
              </w:rPr>
            </w:pPr>
          </w:p>
        </w:tc>
        <w:tc>
          <w:tcPr>
            <w:tcW w:w="1551" w:type="dxa"/>
            <w:vAlign w:val="center"/>
          </w:tcPr>
          <w:p w14:paraId="3156A09D">
            <w:pPr>
              <w:spacing w:line="360" w:lineRule="auto"/>
              <w:jc w:val="center"/>
              <w:rPr>
                <w:rFonts w:ascii="黑体" w:hAnsi="黑体" w:eastAsia="黑体"/>
                <w:b/>
                <w:color w:val="auto"/>
                <w:szCs w:val="21"/>
              </w:rPr>
            </w:pPr>
          </w:p>
        </w:tc>
        <w:tc>
          <w:tcPr>
            <w:tcW w:w="3382" w:type="dxa"/>
            <w:vAlign w:val="center"/>
          </w:tcPr>
          <w:p w14:paraId="6D723623">
            <w:pPr>
              <w:spacing w:line="360" w:lineRule="auto"/>
              <w:jc w:val="center"/>
              <w:rPr>
                <w:rFonts w:ascii="黑体" w:hAnsi="黑体" w:eastAsia="黑体"/>
                <w:b/>
                <w:color w:val="auto"/>
                <w:szCs w:val="21"/>
              </w:rPr>
            </w:pPr>
          </w:p>
        </w:tc>
        <w:tc>
          <w:tcPr>
            <w:tcW w:w="2452" w:type="dxa"/>
            <w:vAlign w:val="center"/>
          </w:tcPr>
          <w:p w14:paraId="10F32B31">
            <w:pPr>
              <w:spacing w:line="360" w:lineRule="auto"/>
              <w:jc w:val="center"/>
              <w:rPr>
                <w:rFonts w:ascii="黑体" w:hAnsi="黑体" w:eastAsia="黑体"/>
                <w:b/>
                <w:color w:val="auto"/>
                <w:szCs w:val="21"/>
              </w:rPr>
            </w:pPr>
          </w:p>
        </w:tc>
      </w:tr>
      <w:tr w14:paraId="56B9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vAlign w:val="center"/>
          </w:tcPr>
          <w:p w14:paraId="778ABE4F">
            <w:pPr>
              <w:spacing w:line="360" w:lineRule="auto"/>
              <w:jc w:val="center"/>
              <w:rPr>
                <w:rFonts w:ascii="黑体" w:hAnsi="黑体" w:eastAsia="黑体"/>
                <w:b/>
                <w:color w:val="auto"/>
                <w:szCs w:val="21"/>
              </w:rPr>
            </w:pPr>
          </w:p>
        </w:tc>
        <w:tc>
          <w:tcPr>
            <w:tcW w:w="1551" w:type="dxa"/>
            <w:vAlign w:val="center"/>
          </w:tcPr>
          <w:p w14:paraId="4E53D769">
            <w:pPr>
              <w:spacing w:line="360" w:lineRule="auto"/>
              <w:jc w:val="center"/>
              <w:rPr>
                <w:rFonts w:ascii="黑体" w:hAnsi="黑体" w:eastAsia="黑体"/>
                <w:b/>
                <w:color w:val="auto"/>
                <w:szCs w:val="21"/>
              </w:rPr>
            </w:pPr>
          </w:p>
        </w:tc>
        <w:tc>
          <w:tcPr>
            <w:tcW w:w="3382" w:type="dxa"/>
            <w:vAlign w:val="center"/>
          </w:tcPr>
          <w:p w14:paraId="03136D0D">
            <w:pPr>
              <w:spacing w:line="360" w:lineRule="auto"/>
              <w:jc w:val="center"/>
              <w:rPr>
                <w:rFonts w:ascii="黑体" w:hAnsi="黑体" w:eastAsia="黑体"/>
                <w:b/>
                <w:color w:val="auto"/>
                <w:szCs w:val="21"/>
              </w:rPr>
            </w:pPr>
          </w:p>
        </w:tc>
        <w:tc>
          <w:tcPr>
            <w:tcW w:w="2452" w:type="dxa"/>
            <w:vAlign w:val="center"/>
          </w:tcPr>
          <w:p w14:paraId="058972C4">
            <w:pPr>
              <w:spacing w:line="360" w:lineRule="auto"/>
              <w:jc w:val="center"/>
              <w:rPr>
                <w:rFonts w:ascii="黑体" w:hAnsi="黑体" w:eastAsia="黑体"/>
                <w:b/>
                <w:color w:val="auto"/>
                <w:szCs w:val="21"/>
              </w:rPr>
            </w:pPr>
          </w:p>
        </w:tc>
      </w:tr>
    </w:tbl>
    <w:p w14:paraId="2A02F0BA">
      <w:pPr>
        <w:spacing w:before="156" w:beforeLines="50" w:line="360" w:lineRule="auto"/>
        <w:rPr>
          <w:rFonts w:ascii="黑体" w:hAnsi="黑体" w:eastAsia="黑体"/>
          <w:color w:val="auto"/>
        </w:rPr>
      </w:pPr>
      <w:r>
        <w:rPr>
          <w:rFonts w:hint="eastAsia" w:ascii="黑体" w:hAnsi="黑体" w:eastAsia="黑体"/>
          <w:color w:val="auto"/>
          <w:szCs w:val="21"/>
        </w:rPr>
        <w:t>注明：按招标文件第五部分</w:t>
      </w:r>
      <w:r>
        <w:rPr>
          <w:rFonts w:ascii="黑体" w:hAnsi="黑体" w:eastAsia="黑体"/>
          <w:color w:val="auto"/>
          <w:szCs w:val="21"/>
        </w:rPr>
        <w:t xml:space="preserve"> </w:t>
      </w:r>
      <w:r>
        <w:rPr>
          <w:rFonts w:hint="eastAsia" w:ascii="黑体" w:hAnsi="黑体" w:eastAsia="黑体"/>
          <w:color w:val="auto"/>
          <w:szCs w:val="21"/>
        </w:rPr>
        <w:t>评标方法、步骤、标准之附表三详细评审表相对应条款填写。</w:t>
      </w:r>
    </w:p>
    <w:p w14:paraId="639CDEE1">
      <w:pPr>
        <w:spacing w:line="360" w:lineRule="auto"/>
        <w:rPr>
          <w:rFonts w:ascii="黑体" w:hAnsi="黑体" w:eastAsia="黑体"/>
          <w:color w:val="auto"/>
        </w:rPr>
      </w:pPr>
    </w:p>
    <w:p w14:paraId="11A27A4E">
      <w:pPr>
        <w:spacing w:line="360" w:lineRule="auto"/>
        <w:rPr>
          <w:rFonts w:ascii="黑体" w:hAnsi="黑体" w:eastAsia="黑体"/>
          <w:color w:val="auto"/>
        </w:rPr>
      </w:pPr>
    </w:p>
    <w:p w14:paraId="01BB7D2B">
      <w:pPr>
        <w:spacing w:line="360" w:lineRule="auto"/>
        <w:rPr>
          <w:rFonts w:ascii="黑体" w:hAnsi="黑体" w:eastAsia="黑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14:paraId="132D991E">
        <w:tblPrEx>
          <w:tblCellMar>
            <w:top w:w="0" w:type="dxa"/>
            <w:left w:w="108" w:type="dxa"/>
            <w:bottom w:w="0" w:type="dxa"/>
            <w:right w:w="108" w:type="dxa"/>
          </w:tblCellMar>
        </w:tblPrEx>
        <w:tc>
          <w:tcPr>
            <w:tcW w:w="5353" w:type="dxa"/>
          </w:tcPr>
          <w:p w14:paraId="1BB2571A">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13EC00E9">
            <w:pPr>
              <w:spacing w:line="360" w:lineRule="auto"/>
              <w:rPr>
                <w:rFonts w:ascii="黑体" w:hAnsi="黑体" w:eastAsia="黑体"/>
                <w:color w:val="auto"/>
                <w:szCs w:val="21"/>
              </w:rPr>
            </w:pPr>
          </w:p>
        </w:tc>
      </w:tr>
      <w:tr w14:paraId="20CCBD6C">
        <w:tblPrEx>
          <w:tblCellMar>
            <w:top w:w="0" w:type="dxa"/>
            <w:left w:w="108" w:type="dxa"/>
            <w:bottom w:w="0" w:type="dxa"/>
            <w:right w:w="108" w:type="dxa"/>
          </w:tblCellMar>
        </w:tblPrEx>
        <w:tc>
          <w:tcPr>
            <w:tcW w:w="5353" w:type="dxa"/>
          </w:tcPr>
          <w:p w14:paraId="1AFD9556">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4ADD9D5D">
            <w:pPr>
              <w:spacing w:line="360" w:lineRule="auto"/>
              <w:rPr>
                <w:rFonts w:ascii="黑体" w:hAnsi="黑体" w:eastAsia="黑体"/>
                <w:color w:val="auto"/>
                <w:szCs w:val="21"/>
              </w:rPr>
            </w:pPr>
          </w:p>
        </w:tc>
      </w:tr>
    </w:tbl>
    <w:p w14:paraId="0219CB14">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开标一览表</w:t>
      </w:r>
      <w:bookmarkEnd w:id="71"/>
      <w:bookmarkEnd w:id="72"/>
    </w:p>
    <w:p w14:paraId="7DF01D35">
      <w:pPr>
        <w:spacing w:before="624" w:beforeLines="200" w:after="312" w:afterLines="100" w:line="360" w:lineRule="auto"/>
        <w:jc w:val="center"/>
        <w:rPr>
          <w:rFonts w:ascii="黑体" w:hAnsi="黑体" w:eastAsia="黑体"/>
          <w:b/>
          <w:color w:val="auto"/>
          <w:spacing w:val="20"/>
          <w:sz w:val="28"/>
          <w:szCs w:val="28"/>
        </w:rPr>
      </w:pPr>
      <w:r>
        <w:rPr>
          <w:rFonts w:hint="eastAsia" w:ascii="黑体" w:hAnsi="黑体" w:eastAsia="黑体"/>
          <w:b/>
          <w:color w:val="auto"/>
          <w:spacing w:val="20"/>
          <w:sz w:val="28"/>
          <w:szCs w:val="28"/>
        </w:rPr>
        <w:t>开标一览表</w:t>
      </w:r>
    </w:p>
    <w:tbl>
      <w:tblPr>
        <w:tblStyle w:val="20"/>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4"/>
        <w:gridCol w:w="3935"/>
        <w:gridCol w:w="3060"/>
        <w:gridCol w:w="1078"/>
      </w:tblGrid>
      <w:tr w14:paraId="47A54A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396" w:type="pct"/>
            <w:tcBorders>
              <w:top w:val="single" w:color="auto" w:sz="4" w:space="0"/>
              <w:left w:val="single" w:color="auto" w:sz="4" w:space="0"/>
              <w:right w:val="single" w:color="auto" w:sz="4" w:space="0"/>
            </w:tcBorders>
            <w:vAlign w:val="center"/>
          </w:tcPr>
          <w:p w14:paraId="4303F03C">
            <w:pPr>
              <w:overflowPunct w:val="0"/>
              <w:adjustRightInd w:val="0"/>
              <w:spacing w:line="460" w:lineRule="exact"/>
              <w:jc w:val="center"/>
              <w:rPr>
                <w:rFonts w:ascii="黑体" w:hAnsi="黑体" w:eastAsia="黑体"/>
                <w:b/>
                <w:color w:val="auto"/>
                <w:szCs w:val="21"/>
              </w:rPr>
            </w:pPr>
            <w:r>
              <w:rPr>
                <w:rFonts w:hint="eastAsia" w:ascii="黑体" w:hAnsi="黑体" w:eastAsia="黑体"/>
                <w:b/>
                <w:color w:val="auto"/>
                <w:szCs w:val="21"/>
              </w:rPr>
              <w:t>序号</w:t>
            </w:r>
          </w:p>
        </w:tc>
        <w:tc>
          <w:tcPr>
            <w:tcW w:w="2244" w:type="pct"/>
            <w:tcBorders>
              <w:top w:val="single" w:color="auto" w:sz="4" w:space="0"/>
              <w:left w:val="single" w:color="auto" w:sz="4" w:space="0"/>
              <w:right w:val="single" w:color="auto" w:sz="4" w:space="0"/>
            </w:tcBorders>
            <w:vAlign w:val="center"/>
          </w:tcPr>
          <w:p w14:paraId="7FC26778">
            <w:pPr>
              <w:overflowPunct w:val="0"/>
              <w:adjustRightInd w:val="0"/>
              <w:spacing w:line="460" w:lineRule="exact"/>
              <w:jc w:val="center"/>
              <w:rPr>
                <w:rFonts w:ascii="黑体" w:hAnsi="黑体" w:eastAsia="黑体"/>
                <w:b/>
                <w:color w:val="auto"/>
                <w:szCs w:val="21"/>
              </w:rPr>
            </w:pPr>
            <w:r>
              <w:rPr>
                <w:rFonts w:hint="eastAsia" w:ascii="黑体" w:hAnsi="黑体" w:eastAsia="黑体"/>
                <w:b/>
                <w:color w:val="auto"/>
                <w:szCs w:val="21"/>
              </w:rPr>
              <w:t>项目名称及项目编号</w:t>
            </w:r>
          </w:p>
        </w:tc>
        <w:tc>
          <w:tcPr>
            <w:tcW w:w="1745" w:type="pct"/>
            <w:tcBorders>
              <w:top w:val="single" w:color="auto" w:sz="4" w:space="0"/>
              <w:left w:val="single" w:color="auto" w:sz="4" w:space="0"/>
              <w:bottom w:val="single" w:color="auto" w:sz="4" w:space="0"/>
              <w:right w:val="single" w:color="auto" w:sz="4" w:space="0"/>
            </w:tcBorders>
            <w:vAlign w:val="center"/>
          </w:tcPr>
          <w:p w14:paraId="3DC5EA61">
            <w:pPr>
              <w:overflowPunct w:val="0"/>
              <w:adjustRightInd w:val="0"/>
              <w:spacing w:line="460" w:lineRule="exact"/>
              <w:jc w:val="center"/>
              <w:rPr>
                <w:rFonts w:ascii="黑体" w:hAnsi="黑体" w:eastAsia="黑体"/>
                <w:b/>
                <w:color w:val="auto"/>
                <w:szCs w:val="21"/>
              </w:rPr>
            </w:pPr>
            <w:r>
              <w:rPr>
                <w:rFonts w:hint="eastAsia" w:ascii="黑体" w:hAnsi="黑体" w:eastAsia="黑体"/>
                <w:b/>
                <w:color w:val="auto"/>
                <w:szCs w:val="21"/>
              </w:rPr>
              <w:t>总报价（单位：元）</w:t>
            </w:r>
          </w:p>
        </w:tc>
        <w:tc>
          <w:tcPr>
            <w:tcW w:w="615" w:type="pct"/>
            <w:tcBorders>
              <w:top w:val="single" w:color="auto" w:sz="4" w:space="0"/>
              <w:left w:val="single" w:color="auto" w:sz="4" w:space="0"/>
              <w:right w:val="single" w:color="auto" w:sz="4" w:space="0"/>
            </w:tcBorders>
            <w:vAlign w:val="center"/>
          </w:tcPr>
          <w:p w14:paraId="32CC5215">
            <w:pPr>
              <w:overflowPunct w:val="0"/>
              <w:adjustRightInd w:val="0"/>
              <w:spacing w:line="460" w:lineRule="exact"/>
              <w:jc w:val="center"/>
              <w:rPr>
                <w:rFonts w:ascii="黑体" w:hAnsi="黑体" w:eastAsia="黑体"/>
                <w:b/>
                <w:color w:val="auto"/>
                <w:szCs w:val="21"/>
              </w:rPr>
            </w:pPr>
            <w:r>
              <w:rPr>
                <w:rFonts w:hint="eastAsia" w:ascii="黑体" w:hAnsi="黑体" w:eastAsia="黑体"/>
                <w:b/>
                <w:color w:val="auto"/>
                <w:szCs w:val="21"/>
              </w:rPr>
              <w:t>备注</w:t>
            </w:r>
          </w:p>
        </w:tc>
      </w:tr>
      <w:tr w14:paraId="0190F2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3" w:hRule="atLeast"/>
          <w:jc w:val="center"/>
        </w:trPr>
        <w:tc>
          <w:tcPr>
            <w:tcW w:w="396" w:type="pct"/>
            <w:tcBorders>
              <w:top w:val="single" w:color="auto" w:sz="4" w:space="0"/>
              <w:left w:val="single" w:color="auto" w:sz="4" w:space="0"/>
              <w:bottom w:val="single" w:color="auto" w:sz="4" w:space="0"/>
              <w:right w:val="single" w:color="auto" w:sz="4" w:space="0"/>
            </w:tcBorders>
            <w:vAlign w:val="center"/>
          </w:tcPr>
          <w:p w14:paraId="11372B9F">
            <w:pPr>
              <w:overflowPunct w:val="0"/>
              <w:adjustRightInd w:val="0"/>
              <w:spacing w:line="460" w:lineRule="exact"/>
              <w:jc w:val="center"/>
              <w:rPr>
                <w:rFonts w:ascii="黑体" w:hAnsi="黑体" w:eastAsia="黑体"/>
                <w:color w:val="auto"/>
                <w:szCs w:val="21"/>
              </w:rPr>
            </w:pPr>
            <w:r>
              <w:rPr>
                <w:rFonts w:ascii="黑体" w:hAnsi="黑体" w:eastAsia="黑体"/>
                <w:color w:val="auto"/>
                <w:szCs w:val="21"/>
              </w:rPr>
              <w:t>1</w:t>
            </w:r>
          </w:p>
        </w:tc>
        <w:tc>
          <w:tcPr>
            <w:tcW w:w="2244" w:type="pct"/>
            <w:tcBorders>
              <w:top w:val="single" w:color="auto" w:sz="4" w:space="0"/>
              <w:left w:val="single" w:color="auto" w:sz="4" w:space="0"/>
              <w:bottom w:val="single" w:color="auto" w:sz="4" w:space="0"/>
              <w:right w:val="single" w:color="auto" w:sz="4" w:space="0"/>
            </w:tcBorders>
            <w:vAlign w:val="center"/>
          </w:tcPr>
          <w:p w14:paraId="263111D8">
            <w:pPr>
              <w:overflowPunct w:val="0"/>
              <w:adjustRightInd w:val="0"/>
              <w:spacing w:line="460" w:lineRule="exact"/>
              <w:jc w:val="center"/>
              <w:rPr>
                <w:rFonts w:ascii="黑体" w:hAnsi="黑体" w:eastAsia="黑体"/>
                <w:color w:val="auto"/>
                <w:szCs w:val="21"/>
              </w:rPr>
            </w:pPr>
          </w:p>
        </w:tc>
        <w:tc>
          <w:tcPr>
            <w:tcW w:w="1745" w:type="pct"/>
            <w:tcBorders>
              <w:top w:val="single" w:color="auto" w:sz="4" w:space="0"/>
              <w:left w:val="single" w:color="auto" w:sz="4" w:space="0"/>
              <w:bottom w:val="single" w:color="auto" w:sz="4" w:space="0"/>
              <w:right w:val="single" w:color="auto" w:sz="4" w:space="0"/>
            </w:tcBorders>
            <w:vAlign w:val="center"/>
          </w:tcPr>
          <w:p w14:paraId="60631ED1">
            <w:pPr>
              <w:overflowPunct w:val="0"/>
              <w:adjustRightInd w:val="0"/>
              <w:spacing w:line="460" w:lineRule="exact"/>
              <w:jc w:val="left"/>
              <w:rPr>
                <w:rFonts w:ascii="黑体" w:hAnsi="黑体" w:eastAsia="黑体"/>
                <w:color w:val="auto"/>
                <w:szCs w:val="21"/>
              </w:rPr>
            </w:pPr>
            <w:r>
              <w:rPr>
                <w:rFonts w:hint="eastAsia" w:ascii="黑体" w:hAnsi="黑体" w:eastAsia="黑体"/>
                <w:color w:val="auto"/>
                <w:szCs w:val="21"/>
              </w:rPr>
              <w:t>大写：</w:t>
            </w:r>
            <w:r>
              <w:rPr>
                <w:rFonts w:ascii="黑体" w:hAnsi="黑体" w:eastAsia="黑体"/>
                <w:color w:val="auto"/>
                <w:szCs w:val="21"/>
                <w:u w:val="single"/>
              </w:rPr>
              <w:t xml:space="preserve">                    </w:t>
            </w:r>
          </w:p>
          <w:p w14:paraId="50785421">
            <w:pPr>
              <w:overflowPunct w:val="0"/>
              <w:adjustRightInd w:val="0"/>
              <w:spacing w:line="460" w:lineRule="exact"/>
              <w:jc w:val="left"/>
              <w:rPr>
                <w:rFonts w:ascii="黑体" w:hAnsi="黑体" w:eastAsia="黑体"/>
                <w:color w:val="auto"/>
                <w:szCs w:val="21"/>
              </w:rPr>
            </w:pPr>
            <w:r>
              <w:rPr>
                <w:rFonts w:hint="eastAsia" w:ascii="黑体" w:hAnsi="黑体" w:eastAsia="黑体"/>
                <w:color w:val="auto"/>
                <w:szCs w:val="21"/>
              </w:rPr>
              <w:t>小写：</w:t>
            </w:r>
            <w:r>
              <w:rPr>
                <w:rFonts w:ascii="黑体" w:hAnsi="黑体" w:eastAsia="黑体"/>
                <w:color w:val="auto"/>
                <w:szCs w:val="21"/>
                <w:u w:val="single"/>
              </w:rPr>
              <w:t xml:space="preserve">                    </w:t>
            </w:r>
          </w:p>
        </w:tc>
        <w:tc>
          <w:tcPr>
            <w:tcW w:w="615" w:type="pct"/>
            <w:tcBorders>
              <w:top w:val="single" w:color="auto" w:sz="4" w:space="0"/>
              <w:left w:val="single" w:color="auto" w:sz="4" w:space="0"/>
              <w:bottom w:val="single" w:color="auto" w:sz="4" w:space="0"/>
              <w:right w:val="single" w:color="auto" w:sz="4" w:space="0"/>
            </w:tcBorders>
            <w:vAlign w:val="center"/>
          </w:tcPr>
          <w:p w14:paraId="4C25E071">
            <w:pPr>
              <w:overflowPunct w:val="0"/>
              <w:adjustRightInd w:val="0"/>
              <w:spacing w:line="460" w:lineRule="exact"/>
              <w:jc w:val="center"/>
              <w:rPr>
                <w:rFonts w:ascii="黑体" w:hAnsi="黑体" w:eastAsia="黑体"/>
                <w:color w:val="auto"/>
                <w:szCs w:val="21"/>
              </w:rPr>
            </w:pPr>
          </w:p>
        </w:tc>
      </w:tr>
    </w:tbl>
    <w:p w14:paraId="6455555C">
      <w:pPr>
        <w:spacing w:before="312" w:beforeLines="100" w:line="360" w:lineRule="auto"/>
        <w:rPr>
          <w:rFonts w:ascii="黑体" w:hAnsi="黑体" w:eastAsia="黑体"/>
          <w:color w:val="auto"/>
          <w:szCs w:val="21"/>
        </w:rPr>
      </w:pPr>
      <w:r>
        <w:rPr>
          <w:rFonts w:hint="eastAsia" w:ascii="黑体" w:hAnsi="黑体" w:eastAsia="黑体"/>
          <w:color w:val="auto"/>
          <w:szCs w:val="21"/>
        </w:rPr>
        <w:t>注明：</w:t>
      </w:r>
    </w:p>
    <w:p w14:paraId="71E81606">
      <w:pPr>
        <w:pStyle w:val="30"/>
        <w:numPr>
          <w:ilvl w:val="0"/>
          <w:numId w:val="85"/>
        </w:numPr>
        <w:spacing w:line="360" w:lineRule="auto"/>
        <w:ind w:firstLineChars="0"/>
        <w:rPr>
          <w:rFonts w:ascii="黑体" w:hAnsi="黑体" w:eastAsia="黑体"/>
          <w:color w:val="auto"/>
          <w:szCs w:val="21"/>
        </w:rPr>
      </w:pPr>
      <w:r>
        <w:rPr>
          <w:rFonts w:hint="eastAsia" w:ascii="黑体" w:hAnsi="黑体" w:eastAsia="黑体"/>
          <w:color w:val="auto"/>
          <w:szCs w:val="21"/>
        </w:rPr>
        <w:t>投标总价栏须用文字和数字两种方式表示的投标总价。</w:t>
      </w:r>
    </w:p>
    <w:p w14:paraId="007706FE">
      <w:pPr>
        <w:pStyle w:val="30"/>
        <w:numPr>
          <w:ilvl w:val="0"/>
          <w:numId w:val="85"/>
        </w:numPr>
        <w:spacing w:line="360" w:lineRule="auto"/>
        <w:ind w:firstLineChars="0"/>
        <w:rPr>
          <w:rFonts w:ascii="黑体" w:hAnsi="黑体" w:eastAsia="黑体"/>
          <w:color w:val="auto"/>
          <w:szCs w:val="21"/>
        </w:rPr>
      </w:pPr>
      <w:r>
        <w:rPr>
          <w:rFonts w:hint="eastAsia" w:ascii="黑体" w:hAnsi="黑体" w:eastAsia="黑体"/>
          <w:color w:val="auto"/>
          <w:szCs w:val="21"/>
        </w:rPr>
        <w:t>开标一览表内容与投标文件中相应内容不一致的，以开标一览表为准。</w:t>
      </w:r>
    </w:p>
    <w:p w14:paraId="53C8B912">
      <w:pPr>
        <w:pStyle w:val="30"/>
        <w:numPr>
          <w:ilvl w:val="0"/>
          <w:numId w:val="85"/>
        </w:numPr>
        <w:spacing w:line="360" w:lineRule="auto"/>
        <w:ind w:firstLineChars="0"/>
        <w:rPr>
          <w:rFonts w:ascii="黑体" w:hAnsi="黑体" w:eastAsia="黑体"/>
          <w:color w:val="auto"/>
          <w:szCs w:val="21"/>
        </w:rPr>
      </w:pPr>
      <w:r>
        <w:rPr>
          <w:rFonts w:hint="eastAsia" w:ascii="黑体" w:hAnsi="黑体" w:eastAsia="黑体"/>
          <w:color w:val="auto"/>
          <w:szCs w:val="21"/>
        </w:rPr>
        <w:t>大写金额和小写金额不一致的，以大写金额为准。</w:t>
      </w:r>
    </w:p>
    <w:p w14:paraId="2A2D4054">
      <w:pPr>
        <w:spacing w:line="360" w:lineRule="auto"/>
        <w:rPr>
          <w:rFonts w:ascii="黑体" w:hAnsi="黑体" w:eastAsia="黑体"/>
          <w:color w:val="auto"/>
          <w:szCs w:val="21"/>
        </w:rPr>
      </w:pPr>
    </w:p>
    <w:p w14:paraId="1AE231E1">
      <w:pPr>
        <w:spacing w:line="360" w:lineRule="auto"/>
        <w:rPr>
          <w:rFonts w:ascii="黑体" w:hAnsi="黑体" w:eastAsia="黑体"/>
          <w:color w:val="auto"/>
          <w:szCs w:val="21"/>
        </w:rPr>
      </w:pPr>
    </w:p>
    <w:p w14:paraId="2707EE26">
      <w:pPr>
        <w:spacing w:line="360" w:lineRule="auto"/>
        <w:rPr>
          <w:rFonts w:ascii="黑体" w:hAnsi="黑体" w:eastAsia="黑体"/>
          <w:color w:val="auto"/>
          <w:szCs w:val="21"/>
        </w:rPr>
      </w:pPr>
    </w:p>
    <w:p w14:paraId="14EB4994">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29"/>
      </w:tblGrid>
      <w:tr w14:paraId="11F2A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14:paraId="1F7CB450">
            <w:pPr>
              <w:overflowPunct w:val="0"/>
              <w:adjustRightInd w:val="0"/>
              <w:spacing w:line="48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p>
        </w:tc>
      </w:tr>
      <w:tr w14:paraId="2976B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14:paraId="659DC863">
            <w:pPr>
              <w:spacing w:line="480" w:lineRule="auto"/>
              <w:rPr>
                <w:rFonts w:ascii="黑体" w:hAnsi="黑体" w:eastAsia="黑体"/>
                <w:color w:val="auto"/>
                <w:szCs w:val="21"/>
              </w:rPr>
            </w:pPr>
            <w:r>
              <w:rPr>
                <w:rFonts w:hint="eastAsia" w:ascii="黑体" w:hAnsi="黑体" w:eastAsia="黑体"/>
                <w:color w:val="auto"/>
                <w:szCs w:val="21"/>
              </w:rPr>
              <w:t>投标人法定代表人或被授权人（签名或盖私章）：</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p>
        </w:tc>
      </w:tr>
      <w:tr w14:paraId="02968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629" w:type="dxa"/>
          </w:tcPr>
          <w:p w14:paraId="4A651F6A">
            <w:pPr>
              <w:spacing w:line="48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r>
    </w:tbl>
    <w:p w14:paraId="270D400D">
      <w:pPr>
        <w:spacing w:line="360" w:lineRule="auto"/>
        <w:rPr>
          <w:rFonts w:ascii="黑体" w:hAnsi="黑体" w:eastAsia="黑体"/>
          <w:color w:val="auto"/>
          <w:szCs w:val="21"/>
        </w:rPr>
      </w:pPr>
    </w:p>
    <w:p w14:paraId="7F0DBB14">
      <w:pPr>
        <w:spacing w:line="360" w:lineRule="auto"/>
        <w:rPr>
          <w:rFonts w:ascii="黑体" w:hAnsi="黑体" w:eastAsia="黑体"/>
          <w:color w:val="auto"/>
          <w:szCs w:val="21"/>
        </w:rPr>
      </w:pPr>
    </w:p>
    <w:p w14:paraId="2F24D26F">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bookmarkStart w:id="75" w:name="_Toc391627755"/>
      <w:bookmarkStart w:id="76" w:name="_Toc405313959"/>
      <w:r>
        <w:rPr>
          <w:rFonts w:hint="eastAsia" w:ascii="黑体" w:hAnsi="黑体" w:eastAsia="黑体"/>
          <w:b/>
          <w:bCs/>
          <w:color w:val="auto"/>
        </w:rPr>
        <w:t>分项报价表</w:t>
      </w:r>
      <w:bookmarkEnd w:id="75"/>
      <w:bookmarkEnd w:id="76"/>
    </w:p>
    <w:p w14:paraId="5165C64B">
      <w:pPr>
        <w:spacing w:before="312" w:beforeLines="100" w:line="360" w:lineRule="auto"/>
        <w:jc w:val="center"/>
        <w:rPr>
          <w:rFonts w:ascii="黑体" w:hAnsi="黑体" w:eastAsia="黑体"/>
          <w:b/>
          <w:color w:val="auto"/>
          <w:spacing w:val="20"/>
          <w:sz w:val="28"/>
          <w:szCs w:val="28"/>
        </w:rPr>
      </w:pPr>
      <w:r>
        <w:rPr>
          <w:rFonts w:hint="eastAsia" w:ascii="黑体" w:hAnsi="黑体" w:eastAsia="黑体"/>
          <w:b/>
          <w:color w:val="auto"/>
          <w:spacing w:val="20"/>
          <w:sz w:val="28"/>
          <w:szCs w:val="28"/>
        </w:rPr>
        <w:t>分项报价表</w:t>
      </w:r>
    </w:p>
    <w:p w14:paraId="458412C5">
      <w:pPr>
        <w:spacing w:line="360" w:lineRule="auto"/>
        <w:jc w:val="right"/>
        <w:rPr>
          <w:rFonts w:ascii="黑体" w:hAnsi="黑体" w:eastAsia="黑体"/>
          <w:b/>
          <w:color w:val="auto"/>
          <w:spacing w:val="20"/>
          <w:szCs w:val="21"/>
        </w:rPr>
      </w:pPr>
      <w:r>
        <w:rPr>
          <w:rFonts w:hint="eastAsia" w:ascii="黑体" w:hAnsi="黑体" w:eastAsia="黑体"/>
          <w:b/>
          <w:color w:val="auto"/>
          <w:spacing w:val="20"/>
          <w:szCs w:val="21"/>
        </w:rPr>
        <w:t>报价单位：人民币元</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315"/>
        <w:gridCol w:w="1459"/>
        <w:gridCol w:w="1022"/>
        <w:gridCol w:w="1313"/>
        <w:gridCol w:w="1024"/>
        <w:gridCol w:w="729"/>
        <w:gridCol w:w="1183"/>
      </w:tblGrid>
      <w:tr w14:paraId="7DC7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12" w:type="pct"/>
            <w:vAlign w:val="center"/>
          </w:tcPr>
          <w:p w14:paraId="5A145683">
            <w:pPr>
              <w:adjustRightInd w:val="0"/>
              <w:snapToGrid w:val="0"/>
              <w:spacing w:line="360" w:lineRule="auto"/>
              <w:jc w:val="center"/>
              <w:rPr>
                <w:rFonts w:ascii="黑体" w:hAnsi="黑体" w:eastAsia="黑体"/>
                <w:b/>
                <w:color w:val="auto"/>
                <w:szCs w:val="21"/>
              </w:rPr>
            </w:pPr>
            <w:bookmarkStart w:id="77" w:name="_Hlk119659673"/>
            <w:r>
              <w:rPr>
                <w:rFonts w:ascii="黑体" w:hAnsi="黑体" w:eastAsia="黑体"/>
                <w:b/>
                <w:color w:val="auto"/>
                <w:szCs w:val="21"/>
              </w:rPr>
              <w:t>序号</w:t>
            </w:r>
          </w:p>
        </w:tc>
        <w:tc>
          <w:tcPr>
            <w:tcW w:w="750" w:type="pct"/>
            <w:vAlign w:val="center"/>
          </w:tcPr>
          <w:p w14:paraId="698BFA35">
            <w:pPr>
              <w:adjustRightInd w:val="0"/>
              <w:snapToGrid w:val="0"/>
              <w:spacing w:line="360" w:lineRule="auto"/>
              <w:jc w:val="center"/>
              <w:rPr>
                <w:rFonts w:ascii="黑体" w:hAnsi="黑体" w:eastAsia="黑体"/>
                <w:b/>
                <w:color w:val="auto"/>
                <w:szCs w:val="21"/>
              </w:rPr>
            </w:pPr>
            <w:r>
              <w:rPr>
                <w:rFonts w:hint="eastAsia" w:ascii="黑体" w:hAnsi="黑体" w:eastAsia="黑体"/>
                <w:b/>
                <w:color w:val="auto"/>
                <w:szCs w:val="21"/>
              </w:rPr>
              <w:t>货物</w:t>
            </w:r>
            <w:r>
              <w:rPr>
                <w:rFonts w:ascii="黑体" w:hAnsi="黑体" w:eastAsia="黑体"/>
                <w:b/>
                <w:color w:val="auto"/>
                <w:szCs w:val="21"/>
              </w:rPr>
              <w:t>名称</w:t>
            </w:r>
          </w:p>
        </w:tc>
        <w:tc>
          <w:tcPr>
            <w:tcW w:w="832" w:type="pct"/>
            <w:vAlign w:val="center"/>
          </w:tcPr>
          <w:p w14:paraId="670EC7AC">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制造商/</w:t>
            </w:r>
          </w:p>
          <w:p w14:paraId="4FCC43F6">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生产厂家</w:t>
            </w:r>
          </w:p>
        </w:tc>
        <w:tc>
          <w:tcPr>
            <w:tcW w:w="583" w:type="pct"/>
            <w:vAlign w:val="center"/>
          </w:tcPr>
          <w:p w14:paraId="4A99E755">
            <w:pPr>
              <w:adjustRightInd w:val="0"/>
              <w:snapToGrid w:val="0"/>
              <w:spacing w:line="360" w:lineRule="auto"/>
              <w:jc w:val="center"/>
              <w:rPr>
                <w:rFonts w:ascii="黑体" w:hAnsi="黑体" w:eastAsia="黑体"/>
                <w:b/>
                <w:color w:val="auto"/>
                <w:szCs w:val="21"/>
              </w:rPr>
            </w:pPr>
            <w:r>
              <w:rPr>
                <w:rFonts w:hint="eastAsia" w:ascii="黑体" w:hAnsi="黑体" w:eastAsia="黑体"/>
                <w:b/>
                <w:color w:val="auto"/>
                <w:szCs w:val="21"/>
              </w:rPr>
              <w:t>原</w:t>
            </w:r>
            <w:r>
              <w:rPr>
                <w:rFonts w:ascii="黑体" w:hAnsi="黑体" w:eastAsia="黑体"/>
                <w:b/>
                <w:color w:val="auto"/>
                <w:szCs w:val="21"/>
              </w:rPr>
              <w:t>产地</w:t>
            </w:r>
          </w:p>
        </w:tc>
        <w:tc>
          <w:tcPr>
            <w:tcW w:w="749" w:type="pct"/>
            <w:vAlign w:val="center"/>
          </w:tcPr>
          <w:p w14:paraId="44BFC13A">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品牌、规格、型号</w:t>
            </w:r>
          </w:p>
        </w:tc>
        <w:tc>
          <w:tcPr>
            <w:tcW w:w="584" w:type="pct"/>
            <w:vAlign w:val="center"/>
          </w:tcPr>
          <w:p w14:paraId="0A61778D">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单价（元）</w:t>
            </w:r>
          </w:p>
        </w:tc>
        <w:tc>
          <w:tcPr>
            <w:tcW w:w="416" w:type="pct"/>
            <w:vAlign w:val="center"/>
          </w:tcPr>
          <w:p w14:paraId="06BA9CC5">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数量</w:t>
            </w:r>
          </w:p>
        </w:tc>
        <w:tc>
          <w:tcPr>
            <w:tcW w:w="674" w:type="pct"/>
            <w:vAlign w:val="center"/>
          </w:tcPr>
          <w:p w14:paraId="4B7BD6E3">
            <w:pPr>
              <w:adjustRightInd w:val="0"/>
              <w:snapToGrid w:val="0"/>
              <w:spacing w:line="360" w:lineRule="auto"/>
              <w:jc w:val="center"/>
              <w:rPr>
                <w:rFonts w:ascii="黑体" w:hAnsi="黑体" w:eastAsia="黑体"/>
                <w:b/>
                <w:color w:val="auto"/>
                <w:szCs w:val="21"/>
              </w:rPr>
            </w:pPr>
            <w:r>
              <w:rPr>
                <w:rFonts w:ascii="黑体" w:hAnsi="黑体" w:eastAsia="黑体"/>
                <w:b/>
                <w:color w:val="auto"/>
                <w:szCs w:val="21"/>
              </w:rPr>
              <w:t>合价（元）</w:t>
            </w:r>
          </w:p>
        </w:tc>
      </w:tr>
      <w:tr w14:paraId="5E99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Align w:val="center"/>
          </w:tcPr>
          <w:p w14:paraId="36ABB30D">
            <w:pPr>
              <w:adjustRightInd w:val="0"/>
              <w:snapToGrid w:val="0"/>
              <w:spacing w:line="480" w:lineRule="auto"/>
              <w:jc w:val="center"/>
              <w:rPr>
                <w:rFonts w:ascii="黑体" w:hAnsi="黑体" w:eastAsia="黑体"/>
                <w:color w:val="auto"/>
                <w:szCs w:val="21"/>
              </w:rPr>
            </w:pPr>
          </w:p>
        </w:tc>
        <w:tc>
          <w:tcPr>
            <w:tcW w:w="750" w:type="pct"/>
            <w:vAlign w:val="center"/>
          </w:tcPr>
          <w:p w14:paraId="3E285DF1">
            <w:pPr>
              <w:adjustRightInd w:val="0"/>
              <w:snapToGrid w:val="0"/>
              <w:spacing w:line="480" w:lineRule="auto"/>
              <w:jc w:val="left"/>
              <w:rPr>
                <w:rFonts w:ascii="黑体" w:hAnsi="黑体" w:eastAsia="黑体"/>
                <w:color w:val="auto"/>
                <w:szCs w:val="21"/>
              </w:rPr>
            </w:pPr>
          </w:p>
        </w:tc>
        <w:tc>
          <w:tcPr>
            <w:tcW w:w="832" w:type="pct"/>
            <w:vAlign w:val="center"/>
          </w:tcPr>
          <w:p w14:paraId="0EB8DA34">
            <w:pPr>
              <w:adjustRightInd w:val="0"/>
              <w:snapToGrid w:val="0"/>
              <w:spacing w:line="480" w:lineRule="auto"/>
              <w:jc w:val="left"/>
              <w:rPr>
                <w:rFonts w:ascii="黑体" w:hAnsi="黑体" w:eastAsia="黑体"/>
                <w:color w:val="auto"/>
                <w:szCs w:val="21"/>
              </w:rPr>
            </w:pPr>
          </w:p>
        </w:tc>
        <w:tc>
          <w:tcPr>
            <w:tcW w:w="583" w:type="pct"/>
          </w:tcPr>
          <w:p w14:paraId="7B1E43FF">
            <w:pPr>
              <w:adjustRightInd w:val="0"/>
              <w:snapToGrid w:val="0"/>
              <w:spacing w:line="480" w:lineRule="auto"/>
              <w:jc w:val="left"/>
              <w:rPr>
                <w:rFonts w:ascii="黑体" w:hAnsi="黑体" w:eastAsia="黑体"/>
                <w:color w:val="auto"/>
                <w:szCs w:val="21"/>
              </w:rPr>
            </w:pPr>
          </w:p>
        </w:tc>
        <w:tc>
          <w:tcPr>
            <w:tcW w:w="749" w:type="pct"/>
            <w:vAlign w:val="center"/>
          </w:tcPr>
          <w:p w14:paraId="75565B9A">
            <w:pPr>
              <w:adjustRightInd w:val="0"/>
              <w:snapToGrid w:val="0"/>
              <w:spacing w:line="480" w:lineRule="auto"/>
              <w:jc w:val="left"/>
              <w:rPr>
                <w:rFonts w:ascii="黑体" w:hAnsi="黑体" w:eastAsia="黑体"/>
                <w:color w:val="auto"/>
                <w:szCs w:val="21"/>
              </w:rPr>
            </w:pPr>
          </w:p>
        </w:tc>
        <w:tc>
          <w:tcPr>
            <w:tcW w:w="584" w:type="pct"/>
            <w:vAlign w:val="center"/>
          </w:tcPr>
          <w:p w14:paraId="4F1C89C2">
            <w:pPr>
              <w:adjustRightInd w:val="0"/>
              <w:snapToGrid w:val="0"/>
              <w:spacing w:line="480" w:lineRule="auto"/>
              <w:jc w:val="left"/>
              <w:rPr>
                <w:rFonts w:ascii="黑体" w:hAnsi="黑体" w:eastAsia="黑体"/>
                <w:color w:val="auto"/>
                <w:szCs w:val="21"/>
              </w:rPr>
            </w:pPr>
          </w:p>
        </w:tc>
        <w:tc>
          <w:tcPr>
            <w:tcW w:w="416" w:type="pct"/>
            <w:vAlign w:val="center"/>
          </w:tcPr>
          <w:p w14:paraId="5DD98F26">
            <w:pPr>
              <w:adjustRightInd w:val="0"/>
              <w:snapToGrid w:val="0"/>
              <w:spacing w:line="480" w:lineRule="auto"/>
              <w:jc w:val="left"/>
              <w:rPr>
                <w:rFonts w:ascii="黑体" w:hAnsi="黑体" w:eastAsia="黑体"/>
                <w:color w:val="auto"/>
                <w:szCs w:val="21"/>
              </w:rPr>
            </w:pPr>
          </w:p>
        </w:tc>
        <w:tc>
          <w:tcPr>
            <w:tcW w:w="674" w:type="pct"/>
            <w:vAlign w:val="center"/>
          </w:tcPr>
          <w:p w14:paraId="1464ED1B">
            <w:pPr>
              <w:adjustRightInd w:val="0"/>
              <w:snapToGrid w:val="0"/>
              <w:spacing w:line="480" w:lineRule="auto"/>
              <w:jc w:val="left"/>
              <w:rPr>
                <w:rFonts w:ascii="黑体" w:hAnsi="黑体" w:eastAsia="黑体"/>
                <w:color w:val="auto"/>
                <w:szCs w:val="21"/>
              </w:rPr>
            </w:pPr>
          </w:p>
        </w:tc>
      </w:tr>
      <w:tr w14:paraId="0C9B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Align w:val="center"/>
          </w:tcPr>
          <w:p w14:paraId="1A630F67">
            <w:pPr>
              <w:adjustRightInd w:val="0"/>
              <w:snapToGrid w:val="0"/>
              <w:spacing w:line="480" w:lineRule="auto"/>
              <w:jc w:val="center"/>
              <w:rPr>
                <w:rFonts w:ascii="黑体" w:hAnsi="黑体" w:eastAsia="黑体"/>
                <w:color w:val="auto"/>
                <w:szCs w:val="21"/>
              </w:rPr>
            </w:pPr>
          </w:p>
        </w:tc>
        <w:tc>
          <w:tcPr>
            <w:tcW w:w="750" w:type="pct"/>
            <w:vAlign w:val="center"/>
          </w:tcPr>
          <w:p w14:paraId="2FF4E85D">
            <w:pPr>
              <w:adjustRightInd w:val="0"/>
              <w:snapToGrid w:val="0"/>
              <w:spacing w:line="480" w:lineRule="auto"/>
              <w:jc w:val="left"/>
              <w:rPr>
                <w:rFonts w:ascii="黑体" w:hAnsi="黑体" w:eastAsia="黑体"/>
                <w:color w:val="auto"/>
                <w:szCs w:val="21"/>
              </w:rPr>
            </w:pPr>
          </w:p>
        </w:tc>
        <w:tc>
          <w:tcPr>
            <w:tcW w:w="832" w:type="pct"/>
            <w:vAlign w:val="center"/>
          </w:tcPr>
          <w:p w14:paraId="5F455843">
            <w:pPr>
              <w:adjustRightInd w:val="0"/>
              <w:snapToGrid w:val="0"/>
              <w:spacing w:line="480" w:lineRule="auto"/>
              <w:jc w:val="left"/>
              <w:rPr>
                <w:rFonts w:ascii="黑体" w:hAnsi="黑体" w:eastAsia="黑体"/>
                <w:color w:val="auto"/>
                <w:szCs w:val="21"/>
              </w:rPr>
            </w:pPr>
          </w:p>
        </w:tc>
        <w:tc>
          <w:tcPr>
            <w:tcW w:w="583" w:type="pct"/>
          </w:tcPr>
          <w:p w14:paraId="1B5FB10E">
            <w:pPr>
              <w:adjustRightInd w:val="0"/>
              <w:snapToGrid w:val="0"/>
              <w:spacing w:line="480" w:lineRule="auto"/>
              <w:jc w:val="left"/>
              <w:rPr>
                <w:rFonts w:ascii="黑体" w:hAnsi="黑体" w:eastAsia="黑体"/>
                <w:color w:val="auto"/>
                <w:szCs w:val="21"/>
              </w:rPr>
            </w:pPr>
          </w:p>
        </w:tc>
        <w:tc>
          <w:tcPr>
            <w:tcW w:w="749" w:type="pct"/>
            <w:vAlign w:val="center"/>
          </w:tcPr>
          <w:p w14:paraId="68C6B363">
            <w:pPr>
              <w:adjustRightInd w:val="0"/>
              <w:snapToGrid w:val="0"/>
              <w:spacing w:line="480" w:lineRule="auto"/>
              <w:jc w:val="left"/>
              <w:rPr>
                <w:rFonts w:ascii="黑体" w:hAnsi="黑体" w:eastAsia="黑体"/>
                <w:color w:val="auto"/>
                <w:szCs w:val="21"/>
              </w:rPr>
            </w:pPr>
          </w:p>
        </w:tc>
        <w:tc>
          <w:tcPr>
            <w:tcW w:w="584" w:type="pct"/>
            <w:vAlign w:val="center"/>
          </w:tcPr>
          <w:p w14:paraId="33C7A3B4">
            <w:pPr>
              <w:adjustRightInd w:val="0"/>
              <w:snapToGrid w:val="0"/>
              <w:spacing w:line="480" w:lineRule="auto"/>
              <w:jc w:val="left"/>
              <w:rPr>
                <w:rFonts w:ascii="黑体" w:hAnsi="黑体" w:eastAsia="黑体"/>
                <w:color w:val="auto"/>
                <w:szCs w:val="21"/>
              </w:rPr>
            </w:pPr>
          </w:p>
        </w:tc>
        <w:tc>
          <w:tcPr>
            <w:tcW w:w="416" w:type="pct"/>
            <w:vAlign w:val="center"/>
          </w:tcPr>
          <w:p w14:paraId="7FF1C390">
            <w:pPr>
              <w:adjustRightInd w:val="0"/>
              <w:snapToGrid w:val="0"/>
              <w:spacing w:line="480" w:lineRule="auto"/>
              <w:jc w:val="left"/>
              <w:rPr>
                <w:rFonts w:ascii="黑体" w:hAnsi="黑体" w:eastAsia="黑体"/>
                <w:color w:val="auto"/>
                <w:szCs w:val="21"/>
              </w:rPr>
            </w:pPr>
          </w:p>
        </w:tc>
        <w:tc>
          <w:tcPr>
            <w:tcW w:w="674" w:type="pct"/>
            <w:vAlign w:val="center"/>
          </w:tcPr>
          <w:p w14:paraId="76956EDA">
            <w:pPr>
              <w:adjustRightInd w:val="0"/>
              <w:snapToGrid w:val="0"/>
              <w:spacing w:line="480" w:lineRule="auto"/>
              <w:jc w:val="left"/>
              <w:rPr>
                <w:rFonts w:ascii="黑体" w:hAnsi="黑体" w:eastAsia="黑体"/>
                <w:color w:val="auto"/>
                <w:szCs w:val="21"/>
              </w:rPr>
            </w:pPr>
          </w:p>
        </w:tc>
      </w:tr>
      <w:tr w14:paraId="0728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Align w:val="center"/>
          </w:tcPr>
          <w:p w14:paraId="67C72E55">
            <w:pPr>
              <w:adjustRightInd w:val="0"/>
              <w:snapToGrid w:val="0"/>
              <w:spacing w:line="480" w:lineRule="auto"/>
              <w:jc w:val="center"/>
              <w:rPr>
                <w:rFonts w:ascii="黑体" w:hAnsi="黑体" w:eastAsia="黑体"/>
                <w:color w:val="auto"/>
                <w:szCs w:val="21"/>
              </w:rPr>
            </w:pPr>
          </w:p>
        </w:tc>
        <w:tc>
          <w:tcPr>
            <w:tcW w:w="750" w:type="pct"/>
            <w:vAlign w:val="center"/>
          </w:tcPr>
          <w:p w14:paraId="52DD6612">
            <w:pPr>
              <w:adjustRightInd w:val="0"/>
              <w:snapToGrid w:val="0"/>
              <w:spacing w:line="480" w:lineRule="auto"/>
              <w:jc w:val="left"/>
              <w:rPr>
                <w:rFonts w:ascii="黑体" w:hAnsi="黑体" w:eastAsia="黑体"/>
                <w:color w:val="auto"/>
                <w:szCs w:val="21"/>
              </w:rPr>
            </w:pPr>
          </w:p>
        </w:tc>
        <w:tc>
          <w:tcPr>
            <w:tcW w:w="832" w:type="pct"/>
            <w:vAlign w:val="center"/>
          </w:tcPr>
          <w:p w14:paraId="4E2B900F">
            <w:pPr>
              <w:adjustRightInd w:val="0"/>
              <w:snapToGrid w:val="0"/>
              <w:spacing w:line="480" w:lineRule="auto"/>
              <w:jc w:val="left"/>
              <w:rPr>
                <w:rFonts w:ascii="黑体" w:hAnsi="黑体" w:eastAsia="黑体"/>
                <w:color w:val="auto"/>
                <w:szCs w:val="21"/>
              </w:rPr>
            </w:pPr>
          </w:p>
        </w:tc>
        <w:tc>
          <w:tcPr>
            <w:tcW w:w="583" w:type="pct"/>
          </w:tcPr>
          <w:p w14:paraId="630401C5">
            <w:pPr>
              <w:adjustRightInd w:val="0"/>
              <w:snapToGrid w:val="0"/>
              <w:spacing w:line="480" w:lineRule="auto"/>
              <w:jc w:val="left"/>
              <w:rPr>
                <w:rFonts w:ascii="黑体" w:hAnsi="黑体" w:eastAsia="黑体"/>
                <w:color w:val="auto"/>
                <w:szCs w:val="21"/>
              </w:rPr>
            </w:pPr>
          </w:p>
        </w:tc>
        <w:tc>
          <w:tcPr>
            <w:tcW w:w="749" w:type="pct"/>
            <w:vAlign w:val="center"/>
          </w:tcPr>
          <w:p w14:paraId="7AB44C7B">
            <w:pPr>
              <w:adjustRightInd w:val="0"/>
              <w:snapToGrid w:val="0"/>
              <w:spacing w:line="480" w:lineRule="auto"/>
              <w:jc w:val="left"/>
              <w:rPr>
                <w:rFonts w:ascii="黑体" w:hAnsi="黑体" w:eastAsia="黑体"/>
                <w:color w:val="auto"/>
                <w:szCs w:val="21"/>
              </w:rPr>
            </w:pPr>
          </w:p>
        </w:tc>
        <w:tc>
          <w:tcPr>
            <w:tcW w:w="584" w:type="pct"/>
            <w:vAlign w:val="center"/>
          </w:tcPr>
          <w:p w14:paraId="7D8EE6BE">
            <w:pPr>
              <w:adjustRightInd w:val="0"/>
              <w:snapToGrid w:val="0"/>
              <w:spacing w:line="480" w:lineRule="auto"/>
              <w:jc w:val="left"/>
              <w:rPr>
                <w:rFonts w:ascii="黑体" w:hAnsi="黑体" w:eastAsia="黑体"/>
                <w:color w:val="auto"/>
                <w:szCs w:val="21"/>
              </w:rPr>
            </w:pPr>
          </w:p>
        </w:tc>
        <w:tc>
          <w:tcPr>
            <w:tcW w:w="416" w:type="pct"/>
            <w:vAlign w:val="center"/>
          </w:tcPr>
          <w:p w14:paraId="553C8224">
            <w:pPr>
              <w:adjustRightInd w:val="0"/>
              <w:snapToGrid w:val="0"/>
              <w:spacing w:line="480" w:lineRule="auto"/>
              <w:jc w:val="left"/>
              <w:rPr>
                <w:rFonts w:ascii="黑体" w:hAnsi="黑体" w:eastAsia="黑体"/>
                <w:color w:val="auto"/>
                <w:szCs w:val="21"/>
              </w:rPr>
            </w:pPr>
          </w:p>
        </w:tc>
        <w:tc>
          <w:tcPr>
            <w:tcW w:w="674" w:type="pct"/>
            <w:vAlign w:val="center"/>
          </w:tcPr>
          <w:p w14:paraId="5973258D">
            <w:pPr>
              <w:adjustRightInd w:val="0"/>
              <w:snapToGrid w:val="0"/>
              <w:spacing w:line="480" w:lineRule="auto"/>
              <w:jc w:val="left"/>
              <w:rPr>
                <w:rFonts w:ascii="黑体" w:hAnsi="黑体" w:eastAsia="黑体"/>
                <w:color w:val="auto"/>
                <w:szCs w:val="21"/>
              </w:rPr>
            </w:pPr>
          </w:p>
        </w:tc>
      </w:tr>
      <w:tr w14:paraId="77A1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Align w:val="center"/>
          </w:tcPr>
          <w:p w14:paraId="1630C928">
            <w:pPr>
              <w:adjustRightInd w:val="0"/>
              <w:snapToGrid w:val="0"/>
              <w:spacing w:line="480" w:lineRule="auto"/>
              <w:jc w:val="center"/>
              <w:rPr>
                <w:rFonts w:ascii="黑体" w:hAnsi="黑体" w:eastAsia="黑体"/>
                <w:color w:val="auto"/>
                <w:szCs w:val="21"/>
              </w:rPr>
            </w:pPr>
          </w:p>
        </w:tc>
        <w:tc>
          <w:tcPr>
            <w:tcW w:w="750" w:type="pct"/>
            <w:vAlign w:val="center"/>
          </w:tcPr>
          <w:p w14:paraId="5C22EEF7">
            <w:pPr>
              <w:adjustRightInd w:val="0"/>
              <w:snapToGrid w:val="0"/>
              <w:spacing w:line="480" w:lineRule="auto"/>
              <w:jc w:val="left"/>
              <w:rPr>
                <w:rFonts w:ascii="黑体" w:hAnsi="黑体" w:eastAsia="黑体"/>
                <w:color w:val="auto"/>
                <w:szCs w:val="21"/>
              </w:rPr>
            </w:pPr>
          </w:p>
        </w:tc>
        <w:tc>
          <w:tcPr>
            <w:tcW w:w="832" w:type="pct"/>
            <w:vAlign w:val="center"/>
          </w:tcPr>
          <w:p w14:paraId="0DB93882">
            <w:pPr>
              <w:adjustRightInd w:val="0"/>
              <w:snapToGrid w:val="0"/>
              <w:spacing w:line="480" w:lineRule="auto"/>
              <w:jc w:val="left"/>
              <w:rPr>
                <w:rFonts w:ascii="黑体" w:hAnsi="黑体" w:eastAsia="黑体"/>
                <w:color w:val="auto"/>
                <w:szCs w:val="21"/>
              </w:rPr>
            </w:pPr>
          </w:p>
        </w:tc>
        <w:tc>
          <w:tcPr>
            <w:tcW w:w="583" w:type="pct"/>
          </w:tcPr>
          <w:p w14:paraId="2C7CBE89">
            <w:pPr>
              <w:adjustRightInd w:val="0"/>
              <w:snapToGrid w:val="0"/>
              <w:spacing w:line="480" w:lineRule="auto"/>
              <w:jc w:val="left"/>
              <w:rPr>
                <w:rFonts w:ascii="黑体" w:hAnsi="黑体" w:eastAsia="黑体"/>
                <w:color w:val="auto"/>
                <w:szCs w:val="21"/>
              </w:rPr>
            </w:pPr>
          </w:p>
        </w:tc>
        <w:tc>
          <w:tcPr>
            <w:tcW w:w="749" w:type="pct"/>
            <w:vAlign w:val="center"/>
          </w:tcPr>
          <w:p w14:paraId="2CBAEAD2">
            <w:pPr>
              <w:adjustRightInd w:val="0"/>
              <w:snapToGrid w:val="0"/>
              <w:spacing w:line="480" w:lineRule="auto"/>
              <w:jc w:val="left"/>
              <w:rPr>
                <w:rFonts w:ascii="黑体" w:hAnsi="黑体" w:eastAsia="黑体"/>
                <w:color w:val="auto"/>
                <w:szCs w:val="21"/>
              </w:rPr>
            </w:pPr>
          </w:p>
        </w:tc>
        <w:tc>
          <w:tcPr>
            <w:tcW w:w="584" w:type="pct"/>
            <w:vAlign w:val="center"/>
          </w:tcPr>
          <w:p w14:paraId="7751EDF9">
            <w:pPr>
              <w:adjustRightInd w:val="0"/>
              <w:snapToGrid w:val="0"/>
              <w:spacing w:line="480" w:lineRule="auto"/>
              <w:jc w:val="left"/>
              <w:rPr>
                <w:rFonts w:ascii="黑体" w:hAnsi="黑体" w:eastAsia="黑体"/>
                <w:color w:val="auto"/>
                <w:szCs w:val="21"/>
              </w:rPr>
            </w:pPr>
          </w:p>
        </w:tc>
        <w:tc>
          <w:tcPr>
            <w:tcW w:w="416" w:type="pct"/>
            <w:vAlign w:val="center"/>
          </w:tcPr>
          <w:p w14:paraId="20FF889D">
            <w:pPr>
              <w:adjustRightInd w:val="0"/>
              <w:snapToGrid w:val="0"/>
              <w:spacing w:line="480" w:lineRule="auto"/>
              <w:jc w:val="left"/>
              <w:rPr>
                <w:rFonts w:ascii="黑体" w:hAnsi="黑体" w:eastAsia="黑体"/>
                <w:color w:val="auto"/>
                <w:szCs w:val="21"/>
              </w:rPr>
            </w:pPr>
          </w:p>
        </w:tc>
        <w:tc>
          <w:tcPr>
            <w:tcW w:w="674" w:type="pct"/>
            <w:vAlign w:val="center"/>
          </w:tcPr>
          <w:p w14:paraId="120B4C3A">
            <w:pPr>
              <w:adjustRightInd w:val="0"/>
              <w:snapToGrid w:val="0"/>
              <w:spacing w:line="480" w:lineRule="auto"/>
              <w:jc w:val="left"/>
              <w:rPr>
                <w:rFonts w:ascii="黑体" w:hAnsi="黑体" w:eastAsia="黑体"/>
                <w:color w:val="auto"/>
                <w:szCs w:val="21"/>
              </w:rPr>
            </w:pPr>
          </w:p>
        </w:tc>
      </w:tr>
      <w:tr w14:paraId="5ECEE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2" w:type="pct"/>
            <w:vAlign w:val="center"/>
          </w:tcPr>
          <w:p w14:paraId="6AECAC36">
            <w:pPr>
              <w:adjustRightInd w:val="0"/>
              <w:snapToGrid w:val="0"/>
              <w:spacing w:line="480" w:lineRule="auto"/>
              <w:jc w:val="left"/>
              <w:rPr>
                <w:rFonts w:ascii="黑体" w:hAnsi="黑体" w:eastAsia="黑体"/>
                <w:color w:val="auto"/>
                <w:szCs w:val="21"/>
              </w:rPr>
            </w:pPr>
          </w:p>
        </w:tc>
        <w:tc>
          <w:tcPr>
            <w:tcW w:w="750" w:type="pct"/>
            <w:vAlign w:val="center"/>
          </w:tcPr>
          <w:p w14:paraId="38FE31C2">
            <w:pPr>
              <w:adjustRightInd w:val="0"/>
              <w:snapToGrid w:val="0"/>
              <w:spacing w:line="480" w:lineRule="auto"/>
              <w:jc w:val="left"/>
              <w:rPr>
                <w:rFonts w:ascii="黑体" w:hAnsi="黑体" w:eastAsia="黑体"/>
                <w:color w:val="auto"/>
                <w:szCs w:val="21"/>
              </w:rPr>
            </w:pPr>
          </w:p>
        </w:tc>
        <w:tc>
          <w:tcPr>
            <w:tcW w:w="832" w:type="pct"/>
            <w:vAlign w:val="center"/>
          </w:tcPr>
          <w:p w14:paraId="53424B50">
            <w:pPr>
              <w:adjustRightInd w:val="0"/>
              <w:snapToGrid w:val="0"/>
              <w:spacing w:line="480" w:lineRule="auto"/>
              <w:jc w:val="left"/>
              <w:rPr>
                <w:rFonts w:ascii="黑体" w:hAnsi="黑体" w:eastAsia="黑体"/>
                <w:color w:val="auto"/>
                <w:szCs w:val="21"/>
              </w:rPr>
            </w:pPr>
          </w:p>
        </w:tc>
        <w:tc>
          <w:tcPr>
            <w:tcW w:w="583" w:type="pct"/>
          </w:tcPr>
          <w:p w14:paraId="3FACBBCD">
            <w:pPr>
              <w:adjustRightInd w:val="0"/>
              <w:snapToGrid w:val="0"/>
              <w:spacing w:line="480" w:lineRule="auto"/>
              <w:jc w:val="left"/>
              <w:rPr>
                <w:rFonts w:ascii="黑体" w:hAnsi="黑体" w:eastAsia="黑体"/>
                <w:color w:val="auto"/>
                <w:szCs w:val="21"/>
              </w:rPr>
            </w:pPr>
          </w:p>
        </w:tc>
        <w:tc>
          <w:tcPr>
            <w:tcW w:w="749" w:type="pct"/>
            <w:vAlign w:val="center"/>
          </w:tcPr>
          <w:p w14:paraId="2FDA8DFE">
            <w:pPr>
              <w:adjustRightInd w:val="0"/>
              <w:snapToGrid w:val="0"/>
              <w:spacing w:line="480" w:lineRule="auto"/>
              <w:jc w:val="left"/>
              <w:rPr>
                <w:rFonts w:ascii="黑体" w:hAnsi="黑体" w:eastAsia="黑体"/>
                <w:color w:val="auto"/>
                <w:szCs w:val="21"/>
              </w:rPr>
            </w:pPr>
          </w:p>
        </w:tc>
        <w:tc>
          <w:tcPr>
            <w:tcW w:w="584" w:type="pct"/>
            <w:vAlign w:val="center"/>
          </w:tcPr>
          <w:p w14:paraId="02D5BAA5">
            <w:pPr>
              <w:adjustRightInd w:val="0"/>
              <w:snapToGrid w:val="0"/>
              <w:spacing w:line="480" w:lineRule="auto"/>
              <w:jc w:val="left"/>
              <w:rPr>
                <w:rFonts w:ascii="黑体" w:hAnsi="黑体" w:eastAsia="黑体"/>
                <w:color w:val="auto"/>
                <w:szCs w:val="21"/>
              </w:rPr>
            </w:pPr>
          </w:p>
        </w:tc>
        <w:tc>
          <w:tcPr>
            <w:tcW w:w="416" w:type="pct"/>
            <w:vAlign w:val="center"/>
          </w:tcPr>
          <w:p w14:paraId="45089761">
            <w:pPr>
              <w:adjustRightInd w:val="0"/>
              <w:snapToGrid w:val="0"/>
              <w:spacing w:line="480" w:lineRule="auto"/>
              <w:jc w:val="left"/>
              <w:rPr>
                <w:rFonts w:ascii="黑体" w:hAnsi="黑体" w:eastAsia="黑体"/>
                <w:color w:val="auto"/>
                <w:szCs w:val="21"/>
              </w:rPr>
            </w:pPr>
          </w:p>
        </w:tc>
        <w:tc>
          <w:tcPr>
            <w:tcW w:w="674" w:type="pct"/>
            <w:vAlign w:val="center"/>
          </w:tcPr>
          <w:p w14:paraId="26E080DF">
            <w:pPr>
              <w:adjustRightInd w:val="0"/>
              <w:snapToGrid w:val="0"/>
              <w:spacing w:line="480" w:lineRule="auto"/>
              <w:jc w:val="left"/>
              <w:rPr>
                <w:rFonts w:ascii="黑体" w:hAnsi="黑体" w:eastAsia="黑体"/>
                <w:color w:val="auto"/>
                <w:szCs w:val="21"/>
              </w:rPr>
            </w:pPr>
          </w:p>
        </w:tc>
      </w:tr>
      <w:tr w14:paraId="60938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7" w:type="pct"/>
            <w:gridSpan w:val="4"/>
            <w:vAlign w:val="center"/>
          </w:tcPr>
          <w:p w14:paraId="39541B37">
            <w:pPr>
              <w:adjustRightInd w:val="0"/>
              <w:snapToGrid w:val="0"/>
              <w:spacing w:line="480" w:lineRule="auto"/>
              <w:jc w:val="right"/>
              <w:rPr>
                <w:rFonts w:ascii="黑体" w:hAnsi="黑体" w:eastAsia="黑体"/>
                <w:color w:val="auto"/>
                <w:szCs w:val="21"/>
              </w:rPr>
            </w:pPr>
            <w:r>
              <w:rPr>
                <w:rFonts w:ascii="黑体" w:hAnsi="黑体" w:eastAsia="黑体"/>
                <w:b/>
                <w:color w:val="auto"/>
                <w:szCs w:val="21"/>
              </w:rPr>
              <w:t>总价（元）</w:t>
            </w:r>
          </w:p>
        </w:tc>
        <w:tc>
          <w:tcPr>
            <w:tcW w:w="2423" w:type="pct"/>
            <w:gridSpan w:val="4"/>
            <w:vAlign w:val="center"/>
          </w:tcPr>
          <w:p w14:paraId="2F77033C">
            <w:pPr>
              <w:spacing w:line="360" w:lineRule="auto"/>
              <w:rPr>
                <w:rFonts w:ascii="黑体" w:hAnsi="黑体" w:eastAsia="黑体"/>
                <w:color w:val="auto"/>
                <w:szCs w:val="21"/>
              </w:rPr>
            </w:pPr>
            <w:r>
              <w:rPr>
                <w:rFonts w:hint="eastAsia" w:ascii="黑体" w:hAnsi="黑体" w:eastAsia="黑体"/>
                <w:color w:val="auto"/>
                <w:szCs w:val="21"/>
              </w:rPr>
              <w:t>大写：</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r>
              <w:rPr>
                <w:rFonts w:ascii="黑体" w:hAnsi="黑体" w:eastAsia="黑体"/>
                <w:color w:val="auto"/>
                <w:szCs w:val="21"/>
                <w:u w:val="single"/>
              </w:rPr>
              <w:t xml:space="preserve">  </w:t>
            </w:r>
            <w:r>
              <w:rPr>
                <w:rFonts w:hint="eastAsia" w:ascii="黑体" w:hAnsi="黑体" w:eastAsia="黑体"/>
                <w:color w:val="auto"/>
                <w:szCs w:val="21"/>
                <w:u w:val="single"/>
              </w:rPr>
              <w:t>元</w:t>
            </w:r>
          </w:p>
          <w:p w14:paraId="51931440">
            <w:pPr>
              <w:adjustRightInd w:val="0"/>
              <w:snapToGrid w:val="0"/>
              <w:spacing w:line="480" w:lineRule="auto"/>
              <w:rPr>
                <w:rFonts w:ascii="黑体" w:hAnsi="黑体" w:eastAsia="黑体"/>
                <w:color w:val="auto"/>
                <w:szCs w:val="21"/>
              </w:rPr>
            </w:pPr>
            <w:r>
              <w:rPr>
                <w:rFonts w:hint="eastAsia" w:ascii="黑体" w:hAnsi="黑体" w:eastAsia="黑体"/>
                <w:color w:val="auto"/>
                <w:szCs w:val="21"/>
              </w:rPr>
              <w:t>小写：</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r>
              <w:rPr>
                <w:rFonts w:ascii="黑体" w:hAnsi="黑体" w:eastAsia="黑体"/>
                <w:color w:val="auto"/>
                <w:szCs w:val="21"/>
                <w:u w:val="single"/>
              </w:rPr>
              <w:t xml:space="preserve">          </w:t>
            </w:r>
            <w:r>
              <w:rPr>
                <w:rFonts w:hint="eastAsia" w:ascii="黑体" w:hAnsi="黑体" w:eastAsia="黑体"/>
                <w:color w:val="auto"/>
                <w:szCs w:val="21"/>
                <w:u w:val="single"/>
              </w:rPr>
              <w:t>元</w:t>
            </w:r>
          </w:p>
        </w:tc>
      </w:tr>
      <w:bookmarkEnd w:id="77"/>
    </w:tbl>
    <w:p w14:paraId="5B87ECFC">
      <w:pPr>
        <w:spacing w:before="312" w:beforeLines="100" w:line="360" w:lineRule="auto"/>
        <w:rPr>
          <w:rFonts w:ascii="黑体" w:hAnsi="黑体" w:eastAsia="黑体"/>
          <w:color w:val="auto"/>
          <w:szCs w:val="21"/>
        </w:rPr>
      </w:pPr>
      <w:r>
        <w:rPr>
          <w:rFonts w:hint="eastAsia" w:ascii="黑体" w:hAnsi="黑体" w:eastAsia="黑体"/>
          <w:color w:val="auto"/>
          <w:szCs w:val="21"/>
        </w:rPr>
        <w:t>注明：</w:t>
      </w:r>
    </w:p>
    <w:p w14:paraId="44148CB1">
      <w:pPr>
        <w:pStyle w:val="30"/>
        <w:numPr>
          <w:ilvl w:val="0"/>
          <w:numId w:val="86"/>
        </w:numPr>
        <w:spacing w:line="360" w:lineRule="auto"/>
        <w:ind w:firstLineChars="0"/>
        <w:rPr>
          <w:rFonts w:ascii="黑体" w:hAnsi="黑体" w:eastAsia="黑体"/>
          <w:color w:val="auto"/>
          <w:szCs w:val="21"/>
        </w:rPr>
      </w:pPr>
      <w:r>
        <w:rPr>
          <w:rFonts w:hint="eastAsia" w:ascii="黑体" w:hAnsi="黑体" w:eastAsia="黑体"/>
          <w:color w:val="auto"/>
          <w:szCs w:val="21"/>
        </w:rPr>
        <w:t>此表为报价总表的分项报价表。</w:t>
      </w:r>
    </w:p>
    <w:p w14:paraId="52761000">
      <w:pPr>
        <w:pStyle w:val="30"/>
        <w:numPr>
          <w:ilvl w:val="0"/>
          <w:numId w:val="86"/>
        </w:numPr>
        <w:spacing w:line="360" w:lineRule="auto"/>
        <w:ind w:firstLineChars="0"/>
        <w:rPr>
          <w:rFonts w:ascii="黑体" w:hAnsi="黑体" w:eastAsia="黑体"/>
          <w:color w:val="auto"/>
          <w:szCs w:val="21"/>
        </w:rPr>
      </w:pPr>
      <w:r>
        <w:rPr>
          <w:rFonts w:hint="eastAsia" w:ascii="黑体" w:hAnsi="黑体" w:eastAsia="黑体"/>
          <w:color w:val="auto"/>
          <w:szCs w:val="21"/>
        </w:rPr>
        <w:t>如果单价和总价不符时，以单价为准，修正总价。</w:t>
      </w:r>
    </w:p>
    <w:p w14:paraId="269DB58F">
      <w:pPr>
        <w:pStyle w:val="30"/>
        <w:numPr>
          <w:ilvl w:val="0"/>
          <w:numId w:val="86"/>
        </w:numPr>
        <w:spacing w:line="360" w:lineRule="auto"/>
        <w:ind w:firstLineChars="0"/>
        <w:rPr>
          <w:rFonts w:ascii="黑体" w:hAnsi="黑体" w:eastAsia="黑体"/>
          <w:color w:val="auto"/>
          <w:szCs w:val="21"/>
        </w:rPr>
      </w:pPr>
      <w:r>
        <w:rPr>
          <w:rFonts w:hint="eastAsia" w:ascii="黑体" w:hAnsi="黑体" w:eastAsia="黑体"/>
          <w:color w:val="auto"/>
          <w:szCs w:val="21"/>
        </w:rPr>
        <w:t>投标人应列明按“采购需求”所要求提供的所有报价项的价格明细。</w:t>
      </w:r>
    </w:p>
    <w:p w14:paraId="7E768DAE">
      <w:pPr>
        <w:tabs>
          <w:tab w:val="left" w:pos="1180"/>
        </w:tabs>
        <w:rPr>
          <w:rFonts w:ascii="黑体" w:hAnsi="黑体" w:eastAsia="黑体"/>
          <w:color w:val="auto"/>
          <w:sz w:val="28"/>
          <w:szCs w:val="28"/>
        </w:rPr>
      </w:pPr>
    </w:p>
    <w:p w14:paraId="35A9FFA7">
      <w:pPr>
        <w:tabs>
          <w:tab w:val="left" w:pos="1180"/>
        </w:tabs>
        <w:rPr>
          <w:rFonts w:ascii="黑体" w:hAnsi="黑体" w:eastAsia="黑体"/>
          <w:color w:val="auto"/>
          <w:sz w:val="28"/>
          <w:szCs w:val="28"/>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2D98892E">
        <w:tblPrEx>
          <w:tblCellMar>
            <w:top w:w="0" w:type="dxa"/>
            <w:left w:w="108" w:type="dxa"/>
            <w:bottom w:w="0" w:type="dxa"/>
            <w:right w:w="108" w:type="dxa"/>
          </w:tblCellMar>
        </w:tblPrEx>
        <w:tc>
          <w:tcPr>
            <w:tcW w:w="5353" w:type="dxa"/>
          </w:tcPr>
          <w:p w14:paraId="2FD1F68E">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hint="eastAsia" w:ascii="黑体" w:hAnsi="黑体" w:eastAsia="黑体"/>
                <w:color w:val="auto"/>
                <w:szCs w:val="21"/>
                <w:u w:val="single"/>
              </w:rPr>
              <w:t xml:space="preserve">                         </w:t>
            </w:r>
          </w:p>
        </w:tc>
        <w:tc>
          <w:tcPr>
            <w:tcW w:w="3175" w:type="dxa"/>
          </w:tcPr>
          <w:p w14:paraId="32FE7F95">
            <w:pPr>
              <w:spacing w:line="360" w:lineRule="auto"/>
              <w:rPr>
                <w:rFonts w:ascii="黑体" w:hAnsi="黑体" w:eastAsia="黑体"/>
                <w:color w:val="auto"/>
                <w:szCs w:val="21"/>
              </w:rPr>
            </w:pPr>
          </w:p>
        </w:tc>
      </w:tr>
      <w:tr w14:paraId="6243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26EE5C51">
            <w:pPr>
              <w:spacing w:line="360" w:lineRule="auto"/>
              <w:rPr>
                <w:rFonts w:ascii="黑体" w:hAnsi="黑体" w:eastAsia="黑体"/>
                <w:color w:val="auto"/>
                <w:szCs w:val="21"/>
              </w:rPr>
            </w:pPr>
            <w:r>
              <w:rPr>
                <w:rFonts w:hint="eastAsia" w:ascii="黑体" w:hAnsi="黑体" w:eastAsia="黑体"/>
                <w:color w:val="auto"/>
                <w:szCs w:val="21"/>
              </w:rPr>
              <w:t>日期：</w:t>
            </w:r>
            <w:r>
              <w:rPr>
                <w:rFonts w:hint="eastAsia" w:ascii="黑体" w:hAnsi="黑体" w:eastAsia="黑体"/>
                <w:color w:val="auto"/>
                <w:szCs w:val="21"/>
                <w:u w:val="single"/>
              </w:rPr>
              <w:t xml:space="preserve">             年           月            日</w:t>
            </w:r>
          </w:p>
        </w:tc>
        <w:tc>
          <w:tcPr>
            <w:tcW w:w="3175" w:type="dxa"/>
          </w:tcPr>
          <w:p w14:paraId="3911662E">
            <w:pPr>
              <w:spacing w:line="360" w:lineRule="auto"/>
              <w:rPr>
                <w:rFonts w:ascii="黑体" w:hAnsi="黑体" w:eastAsia="黑体"/>
                <w:color w:val="auto"/>
                <w:szCs w:val="21"/>
              </w:rPr>
            </w:pPr>
          </w:p>
        </w:tc>
      </w:tr>
    </w:tbl>
    <w:p w14:paraId="342F90D1">
      <w:pPr>
        <w:tabs>
          <w:tab w:val="left" w:pos="1180"/>
        </w:tabs>
        <w:rPr>
          <w:rFonts w:ascii="黑体" w:hAnsi="黑体" w:eastAsia="黑体"/>
          <w:color w:val="auto"/>
          <w:sz w:val="28"/>
          <w:szCs w:val="28"/>
        </w:rPr>
      </w:pPr>
    </w:p>
    <w:p w14:paraId="5E776290">
      <w:pPr>
        <w:pStyle w:val="30"/>
        <w:pageBreakBefore/>
        <w:numPr>
          <w:ilvl w:val="0"/>
          <w:numId w:val="82"/>
        </w:numPr>
        <w:tabs>
          <w:tab w:val="left" w:pos="284"/>
          <w:tab w:val="left" w:pos="426"/>
        </w:tabs>
        <w:ind w:left="1679" w:hanging="1537" w:firstLineChars="0"/>
        <w:jc w:val="left"/>
        <w:rPr>
          <w:rFonts w:ascii="黑体" w:hAnsi="黑体" w:eastAsia="黑体"/>
          <w:b/>
          <w:bCs/>
          <w:color w:val="auto"/>
        </w:rPr>
      </w:pPr>
      <w:r>
        <w:rPr>
          <w:rFonts w:hint="eastAsia" w:ascii="黑体" w:hAnsi="黑体" w:eastAsia="黑体"/>
          <w:b/>
          <w:bCs/>
          <w:color w:val="auto"/>
        </w:rPr>
        <w:t>中小企业声明函（如需）</w:t>
      </w:r>
    </w:p>
    <w:p w14:paraId="4758805C">
      <w:pPr>
        <w:spacing w:before="468" w:beforeLines="150" w:after="312" w:afterLines="100" w:line="360" w:lineRule="auto"/>
        <w:jc w:val="center"/>
        <w:rPr>
          <w:rFonts w:ascii="黑体" w:hAnsi="黑体" w:eastAsia="黑体"/>
          <w:b/>
          <w:color w:val="auto"/>
          <w:spacing w:val="20"/>
          <w:sz w:val="30"/>
          <w:szCs w:val="30"/>
        </w:rPr>
      </w:pPr>
      <w:bookmarkStart w:id="78" w:name="_Hlk90663850"/>
      <w:r>
        <w:rPr>
          <w:rFonts w:hint="eastAsia" w:ascii="黑体" w:hAnsi="黑体" w:eastAsia="黑体"/>
          <w:b/>
          <w:color w:val="auto"/>
          <w:spacing w:val="20"/>
          <w:sz w:val="30"/>
          <w:szCs w:val="30"/>
        </w:rPr>
        <w:t>中小企业声明函（货物）</w:t>
      </w:r>
    </w:p>
    <w:p w14:paraId="02F7F2C1">
      <w:pPr>
        <w:spacing w:line="360" w:lineRule="auto"/>
        <w:ind w:firstLine="424" w:firstLineChars="202"/>
        <w:rPr>
          <w:rFonts w:ascii="黑体" w:hAnsi="黑体" w:eastAsia="黑体"/>
          <w:color w:val="auto"/>
          <w:szCs w:val="21"/>
        </w:rPr>
      </w:pPr>
      <w:r>
        <w:rPr>
          <w:rFonts w:hint="eastAsia" w:ascii="黑体" w:hAnsi="黑体" w:eastAsia="黑体"/>
          <w:color w:val="auto"/>
          <w:szCs w:val="21"/>
        </w:rPr>
        <w:t>本公司（联合体）郑重声明，根据《政府采购促进中小企业发展管理办法》（财库﹝2020﹞46 号）的规定，本公司（联合体）参加</w:t>
      </w:r>
      <w:r>
        <w:rPr>
          <w:rFonts w:hint="eastAsia" w:ascii="黑体" w:hAnsi="黑体" w:eastAsia="黑体"/>
          <w:color w:val="auto"/>
          <w:szCs w:val="21"/>
          <w:u w:val="single"/>
        </w:rPr>
        <w:t>（单位名称）</w:t>
      </w:r>
      <w:r>
        <w:rPr>
          <w:rFonts w:hint="eastAsia" w:ascii="黑体" w:hAnsi="黑体" w:eastAsia="黑体"/>
          <w:color w:val="auto"/>
          <w:szCs w:val="21"/>
        </w:rPr>
        <w:t>的</w:t>
      </w:r>
      <w:r>
        <w:rPr>
          <w:rFonts w:hint="eastAsia" w:ascii="黑体" w:hAnsi="黑体" w:eastAsia="黑体"/>
          <w:color w:val="auto"/>
          <w:szCs w:val="21"/>
          <w:u w:val="single"/>
        </w:rPr>
        <w:t>（项目名称）</w:t>
      </w:r>
      <w:r>
        <w:rPr>
          <w:rFonts w:hint="eastAsia" w:ascii="黑体" w:hAnsi="黑体" w:eastAsia="黑体"/>
          <w:color w:val="auto"/>
          <w:szCs w:val="21"/>
        </w:rPr>
        <w:t>采购活动，提供的货物全部由符合政策要求的中小企业制造。相关企业（含联合体中的中小企业、签订分包意向协议的中小企业）的具体情况如下：</w:t>
      </w:r>
    </w:p>
    <w:p w14:paraId="3BDAA9A0">
      <w:pPr>
        <w:spacing w:line="360" w:lineRule="auto"/>
        <w:ind w:firstLine="424" w:firstLineChars="202"/>
        <w:rPr>
          <w:rFonts w:ascii="黑体" w:hAnsi="黑体" w:eastAsia="黑体"/>
          <w:color w:val="auto"/>
          <w:szCs w:val="21"/>
        </w:rPr>
      </w:pPr>
      <w:r>
        <w:rPr>
          <w:rFonts w:hint="eastAsia" w:ascii="黑体" w:hAnsi="黑体" w:eastAsia="黑体"/>
          <w:color w:val="auto"/>
          <w:szCs w:val="21"/>
        </w:rPr>
        <w:t>1.</w:t>
      </w:r>
      <w:r>
        <w:rPr>
          <w:rFonts w:hint="eastAsia" w:ascii="黑体" w:hAnsi="黑体" w:eastAsia="黑体"/>
          <w:color w:val="auto"/>
          <w:szCs w:val="21"/>
          <w:u w:val="single"/>
        </w:rPr>
        <w:t xml:space="preserve"> （标的名称） </w:t>
      </w:r>
      <w:r>
        <w:rPr>
          <w:rFonts w:hint="eastAsia" w:ascii="黑体" w:hAnsi="黑体" w:eastAsia="黑体"/>
          <w:color w:val="auto"/>
          <w:szCs w:val="21"/>
        </w:rPr>
        <w:t>，属于</w:t>
      </w:r>
      <w:r>
        <w:rPr>
          <w:rFonts w:hint="eastAsia" w:ascii="黑体" w:hAnsi="黑体" w:eastAsia="黑体"/>
          <w:color w:val="auto"/>
          <w:szCs w:val="21"/>
          <w:u w:val="single"/>
        </w:rPr>
        <w:t>（采购文件中明确的所属行业）</w:t>
      </w:r>
      <w:r>
        <w:rPr>
          <w:rFonts w:hint="eastAsia" w:ascii="黑体" w:hAnsi="黑体" w:eastAsia="黑体"/>
          <w:color w:val="auto"/>
          <w:szCs w:val="21"/>
        </w:rPr>
        <w:t>行业；制造商为</w:t>
      </w:r>
      <w:r>
        <w:rPr>
          <w:rFonts w:hint="eastAsia" w:ascii="黑体" w:hAnsi="黑体" w:eastAsia="黑体"/>
          <w:color w:val="auto"/>
          <w:szCs w:val="21"/>
          <w:u w:val="single"/>
        </w:rPr>
        <w:t>（企业名称）</w:t>
      </w:r>
      <w:r>
        <w:rPr>
          <w:rFonts w:hint="eastAsia" w:ascii="黑体" w:hAnsi="黑体" w:eastAsia="黑体"/>
          <w:color w:val="auto"/>
          <w:szCs w:val="21"/>
        </w:rPr>
        <w:t>，从业人员</w:t>
      </w:r>
      <w:r>
        <w:rPr>
          <w:rFonts w:hint="eastAsia" w:ascii="黑体" w:hAnsi="黑体" w:eastAsia="黑体"/>
          <w:color w:val="auto"/>
          <w:szCs w:val="21"/>
          <w:u w:val="single"/>
        </w:rPr>
        <w:t xml:space="preserve">        </w:t>
      </w:r>
      <w:r>
        <w:rPr>
          <w:rFonts w:hint="eastAsia" w:ascii="黑体" w:hAnsi="黑体" w:eastAsia="黑体"/>
          <w:color w:val="auto"/>
          <w:szCs w:val="21"/>
        </w:rPr>
        <w:t xml:space="preserve">人，营业收入为 </w:t>
      </w:r>
      <w:r>
        <w:rPr>
          <w:rFonts w:hint="eastAsia" w:ascii="黑体" w:hAnsi="黑体" w:eastAsia="黑体"/>
          <w:color w:val="auto"/>
          <w:szCs w:val="21"/>
          <w:u w:val="single"/>
        </w:rPr>
        <w:t xml:space="preserve">      </w:t>
      </w:r>
      <w:r>
        <w:rPr>
          <w:rFonts w:hint="eastAsia" w:ascii="黑体" w:hAnsi="黑体" w:eastAsia="黑体"/>
          <w:color w:val="auto"/>
          <w:szCs w:val="21"/>
        </w:rPr>
        <w:t>万元，资产总额为</w:t>
      </w:r>
      <w:r>
        <w:rPr>
          <w:rFonts w:hint="eastAsia" w:ascii="黑体" w:hAnsi="黑体" w:eastAsia="黑体"/>
          <w:color w:val="auto"/>
          <w:szCs w:val="21"/>
          <w:u w:val="single"/>
        </w:rPr>
        <w:t xml:space="preserve">      </w:t>
      </w:r>
      <w:r>
        <w:rPr>
          <w:rFonts w:hint="eastAsia" w:ascii="黑体" w:hAnsi="黑体" w:eastAsia="黑体"/>
          <w:color w:val="auto"/>
          <w:szCs w:val="21"/>
        </w:rPr>
        <w:t xml:space="preserve"> 万元</w:t>
      </w:r>
      <w:r>
        <w:rPr>
          <w:rFonts w:hint="eastAsia" w:ascii="黑体" w:hAnsi="黑体" w:eastAsia="黑体"/>
          <w:color w:val="auto"/>
          <w:szCs w:val="21"/>
          <w:vertAlign w:val="superscript"/>
        </w:rPr>
        <w:t>1</w:t>
      </w:r>
      <w:r>
        <w:rPr>
          <w:rFonts w:hint="eastAsia" w:ascii="黑体" w:hAnsi="黑体" w:eastAsia="黑体"/>
          <w:color w:val="auto"/>
          <w:szCs w:val="21"/>
        </w:rPr>
        <w:t>，属于</w:t>
      </w:r>
      <w:r>
        <w:rPr>
          <w:rFonts w:hint="eastAsia" w:ascii="黑体" w:hAnsi="黑体" w:eastAsia="黑体"/>
          <w:color w:val="auto"/>
          <w:szCs w:val="21"/>
          <w:u w:val="single"/>
        </w:rPr>
        <w:t>（中型企业、小型企业、微型企业）</w:t>
      </w:r>
      <w:r>
        <w:rPr>
          <w:rFonts w:hint="eastAsia" w:ascii="黑体" w:hAnsi="黑体" w:eastAsia="黑体"/>
          <w:color w:val="auto"/>
          <w:szCs w:val="21"/>
        </w:rPr>
        <w:t>；</w:t>
      </w:r>
    </w:p>
    <w:p w14:paraId="60ADFD7A">
      <w:pPr>
        <w:spacing w:line="360" w:lineRule="auto"/>
        <w:ind w:firstLine="424" w:firstLineChars="202"/>
        <w:rPr>
          <w:rFonts w:ascii="黑体" w:hAnsi="黑体" w:eastAsia="黑体"/>
          <w:color w:val="auto"/>
          <w:szCs w:val="21"/>
        </w:rPr>
      </w:pPr>
      <w:r>
        <w:rPr>
          <w:rFonts w:hint="eastAsia" w:ascii="黑体" w:hAnsi="黑体" w:eastAsia="黑体"/>
          <w:color w:val="auto"/>
          <w:szCs w:val="21"/>
        </w:rPr>
        <w:t>2.</w:t>
      </w:r>
      <w:r>
        <w:rPr>
          <w:rFonts w:hint="eastAsia" w:ascii="黑体" w:hAnsi="黑体" w:eastAsia="黑体"/>
          <w:color w:val="auto"/>
          <w:szCs w:val="21"/>
          <w:u w:val="single"/>
        </w:rPr>
        <w:t xml:space="preserve"> （标的名称）</w:t>
      </w:r>
      <w:r>
        <w:rPr>
          <w:rFonts w:hint="eastAsia" w:ascii="黑体" w:hAnsi="黑体" w:eastAsia="黑体"/>
          <w:color w:val="auto"/>
          <w:szCs w:val="21"/>
        </w:rPr>
        <w:t xml:space="preserve"> ，属于</w:t>
      </w:r>
      <w:r>
        <w:rPr>
          <w:rFonts w:hint="eastAsia" w:ascii="黑体" w:hAnsi="黑体" w:eastAsia="黑体"/>
          <w:color w:val="auto"/>
          <w:szCs w:val="21"/>
          <w:u w:val="single"/>
        </w:rPr>
        <w:t>（采购文件中明确的所属行业）</w:t>
      </w:r>
      <w:r>
        <w:rPr>
          <w:rFonts w:hint="eastAsia" w:ascii="黑体" w:hAnsi="黑体" w:eastAsia="黑体"/>
          <w:color w:val="auto"/>
          <w:szCs w:val="21"/>
        </w:rPr>
        <w:t>行业；制造商为</w:t>
      </w:r>
      <w:r>
        <w:rPr>
          <w:rFonts w:hint="eastAsia" w:ascii="黑体" w:hAnsi="黑体" w:eastAsia="黑体"/>
          <w:color w:val="auto"/>
          <w:szCs w:val="21"/>
          <w:u w:val="single"/>
        </w:rPr>
        <w:t>（企业名称）</w:t>
      </w:r>
      <w:r>
        <w:rPr>
          <w:rFonts w:hint="eastAsia" w:ascii="黑体" w:hAnsi="黑体" w:eastAsia="黑体"/>
          <w:color w:val="auto"/>
          <w:szCs w:val="21"/>
        </w:rPr>
        <w:t>，从业人员</w:t>
      </w:r>
      <w:r>
        <w:rPr>
          <w:rFonts w:hint="eastAsia" w:ascii="黑体" w:hAnsi="黑体" w:eastAsia="黑体"/>
          <w:color w:val="auto"/>
          <w:szCs w:val="21"/>
          <w:u w:val="single"/>
        </w:rPr>
        <w:t xml:space="preserve">        </w:t>
      </w:r>
      <w:r>
        <w:rPr>
          <w:rFonts w:hint="eastAsia" w:ascii="黑体" w:hAnsi="黑体" w:eastAsia="黑体"/>
          <w:color w:val="auto"/>
          <w:szCs w:val="21"/>
        </w:rPr>
        <w:t>人，营业收入为</w:t>
      </w:r>
      <w:r>
        <w:rPr>
          <w:rFonts w:hint="eastAsia" w:ascii="黑体" w:hAnsi="黑体" w:eastAsia="黑体"/>
          <w:color w:val="auto"/>
          <w:szCs w:val="21"/>
          <w:u w:val="single"/>
        </w:rPr>
        <w:t xml:space="preserve">      </w:t>
      </w:r>
      <w:r>
        <w:rPr>
          <w:rFonts w:hint="eastAsia" w:ascii="黑体" w:hAnsi="黑体" w:eastAsia="黑体"/>
          <w:color w:val="auto"/>
          <w:szCs w:val="21"/>
        </w:rPr>
        <w:t>万元，资产总额为</w:t>
      </w:r>
      <w:r>
        <w:rPr>
          <w:rFonts w:hint="eastAsia" w:ascii="黑体" w:hAnsi="黑体" w:eastAsia="黑体"/>
          <w:color w:val="auto"/>
          <w:szCs w:val="21"/>
          <w:u w:val="single"/>
        </w:rPr>
        <w:t xml:space="preserve">      </w:t>
      </w:r>
      <w:r>
        <w:rPr>
          <w:rFonts w:hint="eastAsia" w:ascii="黑体" w:hAnsi="黑体" w:eastAsia="黑体"/>
          <w:color w:val="auto"/>
          <w:szCs w:val="21"/>
        </w:rPr>
        <w:t>万元，属于</w:t>
      </w:r>
      <w:r>
        <w:rPr>
          <w:rFonts w:hint="eastAsia" w:ascii="黑体" w:hAnsi="黑体" w:eastAsia="黑体"/>
          <w:color w:val="auto"/>
          <w:szCs w:val="21"/>
          <w:u w:val="single"/>
        </w:rPr>
        <w:t>（中型企业、小型企业、微型企业）</w:t>
      </w:r>
      <w:r>
        <w:rPr>
          <w:rFonts w:hint="eastAsia" w:ascii="黑体" w:hAnsi="黑体" w:eastAsia="黑体"/>
          <w:color w:val="auto"/>
          <w:szCs w:val="21"/>
        </w:rPr>
        <w:t>；</w:t>
      </w:r>
    </w:p>
    <w:p w14:paraId="71F21C5A">
      <w:pPr>
        <w:spacing w:line="360" w:lineRule="auto"/>
        <w:ind w:firstLine="424" w:firstLineChars="202"/>
        <w:rPr>
          <w:rFonts w:ascii="黑体" w:hAnsi="黑体" w:eastAsia="黑体"/>
          <w:color w:val="auto"/>
          <w:szCs w:val="21"/>
        </w:rPr>
      </w:pPr>
      <w:r>
        <w:rPr>
          <w:rFonts w:hint="eastAsia" w:ascii="黑体" w:hAnsi="黑体" w:eastAsia="黑体"/>
          <w:color w:val="auto"/>
          <w:szCs w:val="21"/>
        </w:rPr>
        <w:t>……</w:t>
      </w:r>
    </w:p>
    <w:p w14:paraId="4F1F9CE7">
      <w:pPr>
        <w:spacing w:line="360" w:lineRule="auto"/>
        <w:ind w:firstLine="424" w:firstLineChars="202"/>
        <w:rPr>
          <w:rFonts w:ascii="黑体" w:hAnsi="黑体" w:eastAsia="黑体"/>
          <w:color w:val="auto"/>
          <w:szCs w:val="21"/>
        </w:rPr>
      </w:pPr>
      <w:r>
        <w:rPr>
          <w:rFonts w:hint="eastAsia" w:ascii="黑体" w:hAnsi="黑体" w:eastAsia="黑体"/>
          <w:color w:val="auto"/>
          <w:szCs w:val="21"/>
        </w:rPr>
        <w:t>以上企业，不属于大企业的分支机构，不存在控股股东为大企业的情形，也不存在与大企业的负责人为同一人的情形。</w:t>
      </w:r>
    </w:p>
    <w:p w14:paraId="0BA01B2B">
      <w:pPr>
        <w:spacing w:line="360" w:lineRule="auto"/>
        <w:ind w:firstLine="424" w:firstLineChars="202"/>
        <w:rPr>
          <w:rFonts w:ascii="黑体" w:hAnsi="黑体" w:eastAsia="黑体"/>
          <w:color w:val="auto"/>
          <w:szCs w:val="21"/>
        </w:rPr>
      </w:pPr>
      <w:r>
        <w:rPr>
          <w:rFonts w:hint="eastAsia" w:ascii="黑体" w:hAnsi="黑体" w:eastAsia="黑体"/>
          <w:color w:val="auto"/>
          <w:szCs w:val="21"/>
        </w:rPr>
        <w:t>本企业对上述声明内容的真实性负责。如有虚假，将依法承担相应责任。</w:t>
      </w:r>
    </w:p>
    <w:p w14:paraId="1F84198A">
      <w:pPr>
        <w:spacing w:before="936" w:beforeLines="300" w:line="360" w:lineRule="auto"/>
        <w:ind w:right="420"/>
        <w:jc w:val="center"/>
        <w:rPr>
          <w:rFonts w:ascii="黑体" w:hAnsi="黑体" w:eastAsia="黑体"/>
          <w:color w:val="auto"/>
          <w:szCs w:val="21"/>
        </w:rPr>
      </w:pPr>
      <w:r>
        <w:rPr>
          <w:rFonts w:hint="eastAsia" w:ascii="黑体" w:hAnsi="黑体" w:eastAsia="黑体"/>
          <w:color w:val="auto"/>
          <w:szCs w:val="21"/>
        </w:rPr>
        <w:t xml:space="preserve">                        企业名称（盖章）：</w:t>
      </w:r>
    </w:p>
    <w:p w14:paraId="63CE7EB0">
      <w:pPr>
        <w:spacing w:line="360" w:lineRule="auto"/>
        <w:ind w:firstLine="5527" w:firstLineChars="2632"/>
        <w:jc w:val="left"/>
        <w:rPr>
          <w:rFonts w:ascii="黑体" w:hAnsi="黑体" w:eastAsia="黑体"/>
          <w:color w:val="auto"/>
          <w:szCs w:val="21"/>
        </w:rPr>
      </w:pPr>
      <w:r>
        <w:rPr>
          <w:rFonts w:hint="eastAsia" w:ascii="黑体" w:hAnsi="黑体" w:eastAsia="黑体"/>
          <w:color w:val="auto"/>
          <w:szCs w:val="21"/>
        </w:rPr>
        <w:t>日期：</w:t>
      </w:r>
    </w:p>
    <w:p w14:paraId="64110B3F">
      <w:pPr>
        <w:spacing w:line="360" w:lineRule="auto"/>
        <w:rPr>
          <w:rFonts w:ascii="黑体" w:hAnsi="黑体" w:eastAsia="黑体"/>
          <w:color w:val="auto"/>
          <w:szCs w:val="21"/>
        </w:rPr>
      </w:pPr>
    </w:p>
    <w:p w14:paraId="16E9B601">
      <w:pPr>
        <w:spacing w:line="360" w:lineRule="auto"/>
        <w:rPr>
          <w:rFonts w:ascii="黑体" w:hAnsi="黑体" w:eastAsia="黑体"/>
          <w:color w:val="auto"/>
          <w:szCs w:val="21"/>
        </w:rPr>
      </w:pPr>
    </w:p>
    <w:p w14:paraId="2BA66CD9">
      <w:pPr>
        <w:spacing w:line="360" w:lineRule="auto"/>
        <w:rPr>
          <w:rFonts w:ascii="黑体" w:hAnsi="黑体" w:eastAsia="黑体"/>
          <w:color w:val="auto"/>
          <w:szCs w:val="21"/>
        </w:rPr>
      </w:pPr>
    </w:p>
    <w:p w14:paraId="00472741">
      <w:pPr>
        <w:spacing w:line="360" w:lineRule="auto"/>
        <w:rPr>
          <w:rFonts w:ascii="黑体" w:hAnsi="黑体" w:eastAsia="黑体"/>
          <w:color w:val="auto"/>
          <w:szCs w:val="21"/>
        </w:rPr>
      </w:pPr>
      <w:r>
        <w:rPr>
          <w:rFonts w:hint="eastAsia" w:ascii="黑体" w:hAnsi="黑体" w:eastAsia="黑体"/>
          <w:color w:val="auto"/>
          <w:szCs w:val="21"/>
        </w:rPr>
        <w:t>1.从业人员、营业收入、资产总额填报上一年度数据，无上一年度数据的新成立企业可不填报。</w:t>
      </w:r>
    </w:p>
    <w:bookmarkEnd w:id="78"/>
    <w:p w14:paraId="496CCBC0">
      <w:pPr>
        <w:spacing w:before="936" w:beforeLines="300" w:line="360" w:lineRule="auto"/>
        <w:ind w:right="-51"/>
        <w:jc w:val="left"/>
        <w:rPr>
          <w:rFonts w:ascii="黑体" w:hAnsi="黑体" w:eastAsia="黑体"/>
          <w:color w:val="auto"/>
          <w:spacing w:val="-4"/>
          <w:szCs w:val="21"/>
        </w:rPr>
      </w:pPr>
    </w:p>
    <w:p w14:paraId="49D07FD4">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残疾人福利性单位声明函（如需）</w:t>
      </w:r>
    </w:p>
    <w:p w14:paraId="6E80AABD">
      <w:pPr>
        <w:spacing w:before="312" w:beforeLines="1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残疾人福利性单位声明函</w:t>
      </w:r>
    </w:p>
    <w:p w14:paraId="44DE3CA7">
      <w:pPr>
        <w:spacing w:line="480" w:lineRule="auto"/>
        <w:ind w:firstLine="630" w:firstLineChars="300"/>
        <w:rPr>
          <w:rFonts w:ascii="黑体" w:hAnsi="黑体" w:eastAsia="黑体"/>
          <w:color w:val="auto"/>
        </w:rPr>
      </w:pPr>
      <w:r>
        <w:rPr>
          <w:rFonts w:hint="eastAsia" w:ascii="黑体" w:hAnsi="黑体" w:eastAsia="黑体"/>
          <w:bCs/>
          <w:color w:val="auto"/>
        </w:rPr>
        <w:t>本单位郑重声明，根据《财政部</w:t>
      </w:r>
      <w:r>
        <w:rPr>
          <w:rFonts w:ascii="黑体" w:hAnsi="黑体" w:eastAsia="黑体"/>
          <w:bCs/>
          <w:color w:val="auto"/>
        </w:rPr>
        <w:t xml:space="preserve"> </w:t>
      </w:r>
      <w:r>
        <w:rPr>
          <w:rFonts w:hint="eastAsia" w:ascii="黑体" w:hAnsi="黑体" w:eastAsia="黑体"/>
          <w:bCs/>
          <w:color w:val="auto"/>
        </w:rPr>
        <w:t>民政部</w:t>
      </w:r>
      <w:r>
        <w:rPr>
          <w:rFonts w:ascii="黑体" w:hAnsi="黑体" w:eastAsia="黑体"/>
          <w:bCs/>
          <w:color w:val="auto"/>
        </w:rPr>
        <w:t xml:space="preserve"> </w:t>
      </w:r>
      <w:r>
        <w:rPr>
          <w:rFonts w:hint="eastAsia" w:ascii="黑体" w:hAnsi="黑体" w:eastAsia="黑体"/>
          <w:bCs/>
          <w:color w:val="auto"/>
        </w:rPr>
        <w:t>中国残疾人联合会关于促进残疾人就业政府采购政策的通知》（财库〔</w:t>
      </w:r>
      <w:r>
        <w:rPr>
          <w:rFonts w:ascii="黑体" w:hAnsi="黑体" w:eastAsia="黑体"/>
          <w:bCs/>
          <w:color w:val="auto"/>
        </w:rPr>
        <w:t>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9F94B0">
      <w:pPr>
        <w:spacing w:line="480" w:lineRule="auto"/>
        <w:ind w:firstLine="420" w:firstLineChars="200"/>
        <w:rPr>
          <w:rFonts w:ascii="黑体" w:hAnsi="黑体" w:eastAsia="黑体"/>
          <w:color w:val="auto"/>
        </w:rPr>
      </w:pPr>
      <w:r>
        <w:rPr>
          <w:rFonts w:hint="eastAsia" w:ascii="黑体" w:hAnsi="黑体" w:eastAsia="黑体"/>
          <w:color w:val="auto"/>
        </w:rPr>
        <w:t>本单位对上述声明的真实性负责。如有虚假，将依法承担相应责任。</w:t>
      </w:r>
    </w:p>
    <w:p w14:paraId="1C7F1B7F">
      <w:pPr>
        <w:spacing w:line="360" w:lineRule="auto"/>
        <w:rPr>
          <w:rFonts w:ascii="黑体" w:hAnsi="黑体" w:eastAsia="黑体"/>
          <w:color w:val="auto"/>
        </w:rPr>
      </w:pPr>
    </w:p>
    <w:p w14:paraId="4C0A0CAD">
      <w:pPr>
        <w:spacing w:line="360" w:lineRule="auto"/>
        <w:rPr>
          <w:rFonts w:ascii="黑体" w:hAnsi="黑体" w:eastAsia="黑体"/>
          <w:color w:val="auto"/>
        </w:rPr>
      </w:pPr>
    </w:p>
    <w:p w14:paraId="5325D071">
      <w:pPr>
        <w:spacing w:line="360" w:lineRule="auto"/>
        <w:rPr>
          <w:rFonts w:ascii="黑体" w:hAnsi="黑体" w:eastAsia="黑体"/>
          <w:color w:val="auto"/>
        </w:rPr>
      </w:pPr>
    </w:p>
    <w:tbl>
      <w:tblPr>
        <w:tblStyle w:val="20"/>
        <w:tblW w:w="0" w:type="auto"/>
        <w:tblInd w:w="0" w:type="dxa"/>
        <w:tblLayout w:type="autofit"/>
        <w:tblCellMar>
          <w:top w:w="0" w:type="dxa"/>
          <w:left w:w="108" w:type="dxa"/>
          <w:bottom w:w="0" w:type="dxa"/>
          <w:right w:w="108" w:type="dxa"/>
        </w:tblCellMar>
      </w:tblPr>
      <w:tblGrid>
        <w:gridCol w:w="5353"/>
        <w:gridCol w:w="3175"/>
      </w:tblGrid>
      <w:tr w14:paraId="3D3FDAE2">
        <w:tblPrEx>
          <w:tblCellMar>
            <w:top w:w="0" w:type="dxa"/>
            <w:left w:w="108" w:type="dxa"/>
            <w:bottom w:w="0" w:type="dxa"/>
            <w:right w:w="108" w:type="dxa"/>
          </w:tblCellMar>
        </w:tblPrEx>
        <w:tc>
          <w:tcPr>
            <w:tcW w:w="5353" w:type="dxa"/>
            <w:shd w:val="clear" w:color="auto" w:fill="auto"/>
          </w:tcPr>
          <w:p w14:paraId="72D01DF4">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shd w:val="clear" w:color="auto" w:fill="auto"/>
          </w:tcPr>
          <w:p w14:paraId="6B63DAA5">
            <w:pPr>
              <w:spacing w:line="360" w:lineRule="auto"/>
              <w:rPr>
                <w:rFonts w:ascii="黑体" w:hAnsi="黑体" w:eastAsia="黑体"/>
                <w:color w:val="auto"/>
                <w:szCs w:val="21"/>
              </w:rPr>
            </w:pPr>
          </w:p>
        </w:tc>
      </w:tr>
      <w:tr w14:paraId="6315C635">
        <w:tblPrEx>
          <w:tblCellMar>
            <w:top w:w="0" w:type="dxa"/>
            <w:left w:w="108" w:type="dxa"/>
            <w:bottom w:w="0" w:type="dxa"/>
            <w:right w:w="108" w:type="dxa"/>
          </w:tblCellMar>
        </w:tblPrEx>
        <w:tc>
          <w:tcPr>
            <w:tcW w:w="5353" w:type="dxa"/>
            <w:shd w:val="clear" w:color="auto" w:fill="auto"/>
          </w:tcPr>
          <w:p w14:paraId="66A6DEC6">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shd w:val="clear" w:color="auto" w:fill="auto"/>
          </w:tcPr>
          <w:p w14:paraId="5D895B3D">
            <w:pPr>
              <w:spacing w:line="360" w:lineRule="auto"/>
              <w:rPr>
                <w:rFonts w:ascii="黑体" w:hAnsi="黑体" w:eastAsia="黑体"/>
                <w:color w:val="auto"/>
                <w:szCs w:val="21"/>
              </w:rPr>
            </w:pPr>
          </w:p>
        </w:tc>
      </w:tr>
    </w:tbl>
    <w:p w14:paraId="49FBEC9B">
      <w:pPr>
        <w:rPr>
          <w:rFonts w:ascii="黑体" w:hAnsi="黑体" w:eastAsia="黑体"/>
          <w:color w:val="auto"/>
        </w:rPr>
      </w:pPr>
    </w:p>
    <w:p w14:paraId="6E4AD963">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监狱企业的证明文件（如需）</w:t>
      </w:r>
    </w:p>
    <w:p w14:paraId="7BBC0EF1">
      <w:pPr>
        <w:rPr>
          <w:color w:val="auto"/>
        </w:rPr>
      </w:pPr>
    </w:p>
    <w:p w14:paraId="7EC429F0">
      <w:pPr>
        <w:spacing w:before="312" w:beforeLines="1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监狱企业的证明文件</w:t>
      </w:r>
    </w:p>
    <w:p w14:paraId="6FBD4042">
      <w:pPr>
        <w:spacing w:line="440" w:lineRule="exact"/>
        <w:rPr>
          <w:rFonts w:ascii="黑体" w:hAnsi="黑体" w:eastAsia="黑体"/>
          <w:color w:val="auto"/>
        </w:rPr>
      </w:pPr>
      <w:r>
        <w:rPr>
          <w:rFonts w:hint="eastAsia" w:ascii="黑体" w:hAnsi="黑体" w:eastAsia="黑体"/>
          <w:color w:val="auto"/>
        </w:rPr>
        <w:t>说明：监狱企业参加政府采购活动时，应当提供由省级以上监狱管理局、戒毒管理局（含新疆生产建设兵团）出具的属于监狱企业的证明文件并加盖投标单位公章。</w:t>
      </w:r>
    </w:p>
    <w:p w14:paraId="3FADCA15">
      <w:pPr>
        <w:rPr>
          <w:color w:val="auto"/>
        </w:rPr>
      </w:pPr>
    </w:p>
    <w:p w14:paraId="2E38E484">
      <w:pPr>
        <w:pStyle w:val="30"/>
        <w:pageBreakBefore/>
        <w:numPr>
          <w:ilvl w:val="0"/>
          <w:numId w:val="82"/>
        </w:numPr>
        <w:tabs>
          <w:tab w:val="left" w:pos="284"/>
          <w:tab w:val="left" w:pos="426"/>
          <w:tab w:val="left" w:pos="709"/>
        </w:tabs>
        <w:ind w:left="1679" w:hanging="1537" w:firstLineChars="0"/>
        <w:jc w:val="left"/>
        <w:rPr>
          <w:rFonts w:ascii="黑体" w:hAnsi="黑体" w:eastAsia="黑体"/>
          <w:b/>
          <w:bCs/>
          <w:color w:val="auto"/>
        </w:rPr>
      </w:pPr>
      <w:r>
        <w:rPr>
          <w:rFonts w:hint="eastAsia" w:ascii="黑体" w:hAnsi="黑体" w:eastAsia="黑体"/>
          <w:b/>
          <w:bCs/>
          <w:color w:val="auto"/>
        </w:rPr>
        <w:t>政策适用性说明（如需）</w:t>
      </w:r>
    </w:p>
    <w:p w14:paraId="67DABE97">
      <w:pPr>
        <w:spacing w:before="312" w:beforeLines="1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政策适用性说明</w:t>
      </w:r>
    </w:p>
    <w:p w14:paraId="6C3C2E78">
      <w:pPr>
        <w:spacing w:after="156" w:afterLines="50" w:line="360" w:lineRule="auto"/>
        <w:rPr>
          <w:rFonts w:ascii="黑体" w:hAnsi="黑体" w:eastAsia="黑体"/>
          <w:bCs/>
          <w:color w:val="auto"/>
          <w:szCs w:val="21"/>
          <w:lang w:val="zh-CN"/>
        </w:rPr>
      </w:pPr>
      <w:r>
        <w:rPr>
          <w:rFonts w:hint="eastAsia" w:ascii="黑体" w:hAnsi="黑体" w:eastAsia="黑体"/>
          <w:bCs/>
          <w:color w:val="auto"/>
          <w:szCs w:val="21"/>
          <w:lang w:val="zh-CN"/>
        </w:rPr>
        <w:t>按照政府采购有关政策的要求，在本次的技术方案中，采用符合政策的小型或微型企业产品、节能产品、环保标志产品，主要产品与核心技术介绍说明如下：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3"/>
        <w:gridCol w:w="2185"/>
        <w:gridCol w:w="1020"/>
        <w:gridCol w:w="1022"/>
        <w:gridCol w:w="733"/>
        <w:gridCol w:w="877"/>
        <w:gridCol w:w="868"/>
        <w:gridCol w:w="1659"/>
      </w:tblGrid>
      <w:tr w14:paraId="3880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230" w:type="pct"/>
            <w:vAlign w:val="center"/>
          </w:tcPr>
          <w:p w14:paraId="7FBE6F1C">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序号</w:t>
            </w:r>
          </w:p>
        </w:tc>
        <w:tc>
          <w:tcPr>
            <w:tcW w:w="1246" w:type="pct"/>
            <w:vAlign w:val="center"/>
          </w:tcPr>
          <w:p w14:paraId="3693AC5D">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主要产品</w:t>
            </w:r>
            <w:r>
              <w:rPr>
                <w:rFonts w:ascii="黑体" w:hAnsi="黑体" w:eastAsia="黑体"/>
                <w:color w:val="auto"/>
                <w:szCs w:val="21"/>
                <w:lang w:val="en-GB"/>
              </w:rPr>
              <w:t>/技术名称</w:t>
            </w:r>
          </w:p>
          <w:p w14:paraId="43045186">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pacing w:val="-6"/>
                <w:szCs w:val="21"/>
                <w:lang w:val="en-GB"/>
              </w:rPr>
              <w:t>(规格型号、注册商标)</w:t>
            </w:r>
          </w:p>
        </w:tc>
        <w:tc>
          <w:tcPr>
            <w:tcW w:w="582" w:type="pct"/>
            <w:vAlign w:val="center"/>
          </w:tcPr>
          <w:p w14:paraId="76A627F1">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制造商</w:t>
            </w:r>
            <w:r>
              <w:rPr>
                <w:rFonts w:ascii="黑体" w:hAnsi="黑体" w:eastAsia="黑体"/>
                <w:color w:val="auto"/>
                <w:szCs w:val="21"/>
                <w:lang w:val="en-GB"/>
              </w:rPr>
              <w:br w:type="textWrapping"/>
            </w:r>
          </w:p>
          <w:p w14:paraId="06D705D9">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pacing w:val="-6"/>
                <w:szCs w:val="21"/>
                <w:lang w:val="en-GB"/>
              </w:rPr>
              <w:t>(开发商)</w:t>
            </w:r>
          </w:p>
        </w:tc>
        <w:tc>
          <w:tcPr>
            <w:tcW w:w="583" w:type="pct"/>
            <w:vAlign w:val="center"/>
          </w:tcPr>
          <w:p w14:paraId="173D855B">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制造商</w:t>
            </w:r>
            <w:r>
              <w:rPr>
                <w:rFonts w:ascii="黑体" w:hAnsi="黑体" w:eastAsia="黑体"/>
                <w:color w:val="auto"/>
                <w:szCs w:val="21"/>
                <w:lang w:val="en-GB"/>
              </w:rPr>
              <w:br w:type="textWrapping"/>
            </w:r>
          </w:p>
          <w:p w14:paraId="16549162">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pacing w:val="-8"/>
                <w:szCs w:val="21"/>
                <w:lang w:val="en-GB"/>
              </w:rPr>
              <w:t>企业类型</w:t>
            </w:r>
          </w:p>
        </w:tc>
        <w:tc>
          <w:tcPr>
            <w:tcW w:w="418" w:type="pct"/>
            <w:vAlign w:val="center"/>
          </w:tcPr>
          <w:p w14:paraId="1B53A234">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节能</w:t>
            </w:r>
            <w:r>
              <w:rPr>
                <w:rFonts w:ascii="黑体" w:hAnsi="黑体" w:eastAsia="黑体"/>
                <w:color w:val="auto"/>
                <w:szCs w:val="21"/>
                <w:lang w:val="en-GB"/>
              </w:rPr>
              <w:br w:type="textWrapping"/>
            </w:r>
          </w:p>
          <w:p w14:paraId="130BA003">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产品</w:t>
            </w:r>
          </w:p>
        </w:tc>
        <w:tc>
          <w:tcPr>
            <w:tcW w:w="500" w:type="pct"/>
            <w:vAlign w:val="center"/>
          </w:tcPr>
          <w:p w14:paraId="132A867C">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环保标</w:t>
            </w:r>
          </w:p>
          <w:p w14:paraId="3C230D43">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志产品</w:t>
            </w:r>
          </w:p>
        </w:tc>
        <w:tc>
          <w:tcPr>
            <w:tcW w:w="495" w:type="pct"/>
            <w:vAlign w:val="center"/>
          </w:tcPr>
          <w:p w14:paraId="7FEFF48D">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认证证</w:t>
            </w:r>
          </w:p>
          <w:p w14:paraId="24CB3CA5">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书编号</w:t>
            </w:r>
          </w:p>
        </w:tc>
        <w:tc>
          <w:tcPr>
            <w:tcW w:w="946" w:type="pct"/>
            <w:vAlign w:val="center"/>
          </w:tcPr>
          <w:p w14:paraId="113F6B2E">
            <w:pPr>
              <w:tabs>
                <w:tab w:val="left" w:pos="1260"/>
              </w:tabs>
              <w:ind w:left="-53" w:leftChars="-25" w:right="-53" w:rightChars="-25"/>
              <w:jc w:val="center"/>
              <w:rPr>
                <w:rFonts w:ascii="黑体" w:hAnsi="黑体" w:eastAsia="黑体"/>
                <w:color w:val="auto"/>
                <w:szCs w:val="21"/>
                <w:lang w:val="en-GB"/>
              </w:rPr>
            </w:pPr>
            <w:r>
              <w:rPr>
                <w:rFonts w:hint="eastAsia" w:ascii="黑体" w:hAnsi="黑体" w:eastAsia="黑体"/>
                <w:color w:val="auto"/>
                <w:szCs w:val="21"/>
                <w:lang w:val="en-GB"/>
              </w:rPr>
              <w:t>该产品报价在总报价中占比</w:t>
            </w:r>
            <w:r>
              <w:rPr>
                <w:rFonts w:ascii="黑体" w:hAnsi="黑体" w:eastAsia="黑体"/>
                <w:color w:val="auto"/>
                <w:szCs w:val="21"/>
                <w:lang w:val="en-GB"/>
              </w:rPr>
              <w:t>(%)</w:t>
            </w:r>
          </w:p>
        </w:tc>
      </w:tr>
      <w:tr w14:paraId="3C56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0ECF3E39">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1</w:t>
            </w:r>
          </w:p>
        </w:tc>
        <w:tc>
          <w:tcPr>
            <w:tcW w:w="1246" w:type="pct"/>
            <w:vAlign w:val="center"/>
          </w:tcPr>
          <w:p w14:paraId="3BF7BE9C">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64795FE3">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524B7B14">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5EE3A4B8">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351412EC">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0DE60207">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2235AF12">
            <w:pPr>
              <w:tabs>
                <w:tab w:val="left" w:pos="1260"/>
              </w:tabs>
              <w:ind w:left="-53" w:leftChars="-25" w:right="-53" w:rightChars="-25"/>
              <w:jc w:val="center"/>
              <w:rPr>
                <w:rFonts w:ascii="黑体" w:hAnsi="黑体" w:eastAsia="黑体"/>
                <w:color w:val="auto"/>
                <w:szCs w:val="21"/>
                <w:lang w:val="en-GB"/>
              </w:rPr>
            </w:pPr>
          </w:p>
        </w:tc>
      </w:tr>
      <w:tr w14:paraId="59E6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377A7C10">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2</w:t>
            </w:r>
          </w:p>
        </w:tc>
        <w:tc>
          <w:tcPr>
            <w:tcW w:w="1246" w:type="pct"/>
            <w:vAlign w:val="center"/>
          </w:tcPr>
          <w:p w14:paraId="72FF79BD">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4084DE31">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51D3AD1A">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7571EFAE">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4131FD7F">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19B4F4B6">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469C5D97">
            <w:pPr>
              <w:tabs>
                <w:tab w:val="left" w:pos="1260"/>
              </w:tabs>
              <w:ind w:left="-53" w:leftChars="-25" w:right="-53" w:rightChars="-25"/>
              <w:jc w:val="center"/>
              <w:rPr>
                <w:rFonts w:ascii="黑体" w:hAnsi="黑体" w:eastAsia="黑体"/>
                <w:color w:val="auto"/>
                <w:szCs w:val="21"/>
                <w:lang w:val="en-GB"/>
              </w:rPr>
            </w:pPr>
          </w:p>
        </w:tc>
      </w:tr>
      <w:tr w14:paraId="4688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17DC2636">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3</w:t>
            </w:r>
          </w:p>
        </w:tc>
        <w:tc>
          <w:tcPr>
            <w:tcW w:w="1246" w:type="pct"/>
            <w:vAlign w:val="center"/>
          </w:tcPr>
          <w:p w14:paraId="4ABF10A8">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2CBE4CD5">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7A86F4E3">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228C5A39">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36F618A6">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110A410C">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64A013E3">
            <w:pPr>
              <w:tabs>
                <w:tab w:val="left" w:pos="1260"/>
              </w:tabs>
              <w:ind w:left="-53" w:leftChars="-25" w:right="-53" w:rightChars="-25"/>
              <w:jc w:val="center"/>
              <w:rPr>
                <w:rFonts w:ascii="黑体" w:hAnsi="黑体" w:eastAsia="黑体"/>
                <w:color w:val="auto"/>
                <w:szCs w:val="21"/>
                <w:lang w:val="en-GB"/>
              </w:rPr>
            </w:pPr>
          </w:p>
        </w:tc>
      </w:tr>
      <w:tr w14:paraId="2102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4725376D">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4</w:t>
            </w:r>
          </w:p>
        </w:tc>
        <w:tc>
          <w:tcPr>
            <w:tcW w:w="1246" w:type="pct"/>
            <w:vAlign w:val="center"/>
          </w:tcPr>
          <w:p w14:paraId="097C00D1">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2BD5BEBA">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28C99A26">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44B1F6F7">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761E0E63">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5B5AFE83">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628F333E">
            <w:pPr>
              <w:tabs>
                <w:tab w:val="left" w:pos="1260"/>
              </w:tabs>
              <w:ind w:left="-53" w:leftChars="-25" w:right="-53" w:rightChars="-25"/>
              <w:jc w:val="center"/>
              <w:rPr>
                <w:rFonts w:ascii="黑体" w:hAnsi="黑体" w:eastAsia="黑体"/>
                <w:color w:val="auto"/>
                <w:szCs w:val="21"/>
                <w:lang w:val="en-GB"/>
              </w:rPr>
            </w:pPr>
          </w:p>
        </w:tc>
      </w:tr>
      <w:tr w14:paraId="5790D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41D954B2">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5</w:t>
            </w:r>
          </w:p>
        </w:tc>
        <w:tc>
          <w:tcPr>
            <w:tcW w:w="1246" w:type="pct"/>
            <w:vAlign w:val="center"/>
          </w:tcPr>
          <w:p w14:paraId="14B0625D">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598E5BE0">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6BC21AD3">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243529B3">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3861A4B4">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2620DF2A">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2C91BD36">
            <w:pPr>
              <w:tabs>
                <w:tab w:val="left" w:pos="1260"/>
              </w:tabs>
              <w:ind w:left="-53" w:leftChars="-25" w:right="-53" w:rightChars="-25"/>
              <w:jc w:val="center"/>
              <w:rPr>
                <w:rFonts w:ascii="黑体" w:hAnsi="黑体" w:eastAsia="黑体"/>
                <w:color w:val="auto"/>
                <w:szCs w:val="21"/>
                <w:lang w:val="en-GB"/>
              </w:rPr>
            </w:pPr>
          </w:p>
        </w:tc>
      </w:tr>
      <w:tr w14:paraId="7D0A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30" w:type="pct"/>
            <w:vAlign w:val="center"/>
          </w:tcPr>
          <w:p w14:paraId="36610980">
            <w:pPr>
              <w:tabs>
                <w:tab w:val="left" w:pos="1260"/>
              </w:tabs>
              <w:ind w:left="-53" w:leftChars="-25" w:right="-53" w:rightChars="-25"/>
              <w:jc w:val="center"/>
              <w:rPr>
                <w:rFonts w:ascii="黑体" w:hAnsi="黑体" w:eastAsia="黑体"/>
                <w:color w:val="auto"/>
                <w:szCs w:val="21"/>
                <w:lang w:val="en-GB"/>
              </w:rPr>
            </w:pPr>
            <w:r>
              <w:rPr>
                <w:rFonts w:ascii="黑体" w:hAnsi="黑体" w:eastAsia="黑体"/>
                <w:color w:val="auto"/>
                <w:szCs w:val="21"/>
                <w:lang w:val="en-GB"/>
              </w:rPr>
              <w:t>…</w:t>
            </w:r>
          </w:p>
        </w:tc>
        <w:tc>
          <w:tcPr>
            <w:tcW w:w="1246" w:type="pct"/>
            <w:vAlign w:val="center"/>
          </w:tcPr>
          <w:p w14:paraId="2BF6B905">
            <w:pPr>
              <w:tabs>
                <w:tab w:val="left" w:pos="1260"/>
              </w:tabs>
              <w:ind w:left="-53" w:leftChars="-25" w:right="-53" w:rightChars="-25"/>
              <w:jc w:val="center"/>
              <w:rPr>
                <w:rFonts w:ascii="黑体" w:hAnsi="黑体" w:eastAsia="黑体"/>
                <w:color w:val="auto"/>
                <w:szCs w:val="21"/>
                <w:lang w:val="en-GB"/>
              </w:rPr>
            </w:pPr>
          </w:p>
        </w:tc>
        <w:tc>
          <w:tcPr>
            <w:tcW w:w="582" w:type="pct"/>
            <w:vAlign w:val="center"/>
          </w:tcPr>
          <w:p w14:paraId="25B41592">
            <w:pPr>
              <w:tabs>
                <w:tab w:val="left" w:pos="1260"/>
              </w:tabs>
              <w:ind w:left="-53" w:leftChars="-25" w:right="-53" w:rightChars="-25"/>
              <w:jc w:val="center"/>
              <w:rPr>
                <w:rFonts w:ascii="黑体" w:hAnsi="黑体" w:eastAsia="黑体"/>
                <w:color w:val="auto"/>
                <w:szCs w:val="21"/>
                <w:lang w:val="en-GB"/>
              </w:rPr>
            </w:pPr>
          </w:p>
        </w:tc>
        <w:tc>
          <w:tcPr>
            <w:tcW w:w="583" w:type="pct"/>
            <w:vAlign w:val="center"/>
          </w:tcPr>
          <w:p w14:paraId="498688AF">
            <w:pPr>
              <w:tabs>
                <w:tab w:val="left" w:pos="1260"/>
              </w:tabs>
              <w:ind w:left="-53" w:leftChars="-25" w:right="-53" w:rightChars="-25"/>
              <w:jc w:val="center"/>
              <w:rPr>
                <w:rFonts w:ascii="黑体" w:hAnsi="黑体" w:eastAsia="黑体"/>
                <w:color w:val="auto"/>
                <w:szCs w:val="21"/>
                <w:lang w:val="en-GB"/>
              </w:rPr>
            </w:pPr>
          </w:p>
        </w:tc>
        <w:tc>
          <w:tcPr>
            <w:tcW w:w="418" w:type="pct"/>
            <w:vAlign w:val="center"/>
          </w:tcPr>
          <w:p w14:paraId="4CC82F8D">
            <w:pPr>
              <w:tabs>
                <w:tab w:val="left" w:pos="1260"/>
              </w:tabs>
              <w:ind w:left="-53" w:leftChars="-25" w:right="-53" w:rightChars="-25"/>
              <w:jc w:val="center"/>
              <w:rPr>
                <w:rFonts w:ascii="黑体" w:hAnsi="黑体" w:eastAsia="黑体"/>
                <w:color w:val="auto"/>
                <w:szCs w:val="21"/>
                <w:lang w:val="en-GB"/>
              </w:rPr>
            </w:pPr>
          </w:p>
        </w:tc>
        <w:tc>
          <w:tcPr>
            <w:tcW w:w="500" w:type="pct"/>
            <w:vAlign w:val="center"/>
          </w:tcPr>
          <w:p w14:paraId="142FE220">
            <w:pPr>
              <w:tabs>
                <w:tab w:val="left" w:pos="1260"/>
              </w:tabs>
              <w:ind w:left="-53" w:leftChars="-25" w:right="-53" w:rightChars="-25"/>
              <w:jc w:val="center"/>
              <w:rPr>
                <w:rFonts w:ascii="黑体" w:hAnsi="黑体" w:eastAsia="黑体"/>
                <w:color w:val="auto"/>
                <w:szCs w:val="21"/>
                <w:lang w:val="en-GB"/>
              </w:rPr>
            </w:pPr>
          </w:p>
        </w:tc>
        <w:tc>
          <w:tcPr>
            <w:tcW w:w="495" w:type="pct"/>
            <w:vAlign w:val="center"/>
          </w:tcPr>
          <w:p w14:paraId="091721E1">
            <w:pPr>
              <w:tabs>
                <w:tab w:val="left" w:pos="1260"/>
              </w:tabs>
              <w:ind w:left="-53" w:leftChars="-25" w:right="-53" w:rightChars="-25"/>
              <w:jc w:val="center"/>
              <w:rPr>
                <w:rFonts w:ascii="黑体" w:hAnsi="黑体" w:eastAsia="黑体"/>
                <w:color w:val="auto"/>
                <w:szCs w:val="21"/>
                <w:lang w:val="en-GB"/>
              </w:rPr>
            </w:pPr>
          </w:p>
        </w:tc>
        <w:tc>
          <w:tcPr>
            <w:tcW w:w="946" w:type="pct"/>
            <w:vAlign w:val="center"/>
          </w:tcPr>
          <w:p w14:paraId="4A5CE299">
            <w:pPr>
              <w:tabs>
                <w:tab w:val="left" w:pos="1260"/>
              </w:tabs>
              <w:ind w:left="-53" w:leftChars="-25" w:right="-53" w:rightChars="-25"/>
              <w:jc w:val="center"/>
              <w:rPr>
                <w:rFonts w:ascii="黑体" w:hAnsi="黑体" w:eastAsia="黑体"/>
                <w:color w:val="auto"/>
                <w:szCs w:val="21"/>
                <w:lang w:val="en-GB"/>
              </w:rPr>
            </w:pPr>
          </w:p>
        </w:tc>
      </w:tr>
    </w:tbl>
    <w:p w14:paraId="1DC9606D">
      <w:pPr>
        <w:spacing w:before="156" w:beforeLines="50" w:line="360" w:lineRule="auto"/>
        <w:rPr>
          <w:rFonts w:ascii="黑体" w:hAnsi="黑体" w:eastAsia="黑体"/>
          <w:bCs/>
          <w:color w:val="auto"/>
          <w:szCs w:val="21"/>
          <w:lang w:val="en-GB"/>
        </w:rPr>
      </w:pPr>
      <w:r>
        <w:rPr>
          <w:rFonts w:hint="eastAsia" w:ascii="黑体" w:hAnsi="黑体" w:eastAsia="黑体"/>
          <w:bCs/>
          <w:color w:val="auto"/>
          <w:szCs w:val="21"/>
          <w:lang w:val="en-GB"/>
        </w:rPr>
        <w:t>注明：</w:t>
      </w:r>
    </w:p>
    <w:p w14:paraId="0EEEBC4D">
      <w:pPr>
        <w:pStyle w:val="30"/>
        <w:numPr>
          <w:ilvl w:val="0"/>
          <w:numId w:val="87"/>
        </w:numPr>
        <w:spacing w:line="360" w:lineRule="auto"/>
        <w:ind w:left="284" w:hanging="284" w:firstLineChars="0"/>
        <w:rPr>
          <w:rFonts w:ascii="黑体" w:hAnsi="黑体" w:eastAsia="黑体"/>
          <w:bCs/>
          <w:color w:val="auto"/>
          <w:szCs w:val="21"/>
          <w:lang w:val="en-GB"/>
        </w:rPr>
      </w:pPr>
      <w:r>
        <w:rPr>
          <w:rFonts w:hint="eastAsia" w:ascii="黑体" w:hAnsi="黑体" w:eastAsia="黑体"/>
          <w:bCs/>
          <w:color w:val="auto"/>
          <w:szCs w:val="21"/>
          <w:lang w:val="en-GB"/>
        </w:rPr>
        <w:t>制造商为小型或微型企业时才需要填“制造商企业类型”栏，填写内容为“小型”或“微型”；</w:t>
      </w:r>
    </w:p>
    <w:p w14:paraId="1F8169D7">
      <w:pPr>
        <w:pStyle w:val="30"/>
        <w:numPr>
          <w:ilvl w:val="0"/>
          <w:numId w:val="87"/>
        </w:numPr>
        <w:tabs>
          <w:tab w:val="left" w:pos="142"/>
        </w:tabs>
        <w:spacing w:line="360" w:lineRule="auto"/>
        <w:ind w:left="272" w:leftChars="-1" w:hanging="274" w:hangingChars="136"/>
        <w:rPr>
          <w:rFonts w:ascii="黑体" w:hAnsi="黑体" w:eastAsia="黑体"/>
          <w:bCs/>
          <w:color w:val="auto"/>
          <w:spacing w:val="-4"/>
          <w:szCs w:val="21"/>
          <w:lang w:val="en-GB"/>
        </w:rPr>
      </w:pPr>
      <w:r>
        <w:rPr>
          <w:rFonts w:hint="eastAsia" w:ascii="黑体" w:hAnsi="黑体" w:eastAsia="黑体"/>
          <w:bCs/>
          <w:color w:val="auto"/>
          <w:spacing w:val="-4"/>
          <w:szCs w:val="21"/>
          <w:lang w:val="en-GB"/>
        </w:rPr>
        <w:t>节能产品须填写认证证书编号，并提供投标产品的节能产品认证证书复印件加盖投标人公章；</w:t>
      </w:r>
    </w:p>
    <w:p w14:paraId="602EE1EA">
      <w:pPr>
        <w:pStyle w:val="30"/>
        <w:numPr>
          <w:ilvl w:val="0"/>
          <w:numId w:val="87"/>
        </w:numPr>
        <w:spacing w:line="360" w:lineRule="auto"/>
        <w:ind w:left="284" w:hanging="284" w:firstLineChars="0"/>
        <w:rPr>
          <w:rFonts w:ascii="黑体" w:hAnsi="黑体" w:eastAsia="黑体"/>
          <w:bCs/>
          <w:color w:val="auto"/>
          <w:szCs w:val="21"/>
          <w:lang w:val="en-GB"/>
        </w:rPr>
      </w:pPr>
      <w:r>
        <w:rPr>
          <w:rFonts w:hint="eastAsia" w:ascii="黑体" w:hAnsi="黑体" w:eastAsia="黑体"/>
          <w:bCs/>
          <w:color w:val="auto"/>
          <w:szCs w:val="21"/>
          <w:lang w:val="en-GB"/>
        </w:rPr>
        <w:t>环保标志产品须填写认证证书编号，并提供投标产品的环保标志产品认证证书复印件加盖投标人公章。</w:t>
      </w:r>
    </w:p>
    <w:p w14:paraId="5CF852AC">
      <w:pPr>
        <w:pStyle w:val="30"/>
        <w:numPr>
          <w:ilvl w:val="0"/>
          <w:numId w:val="87"/>
        </w:numPr>
        <w:spacing w:line="360" w:lineRule="auto"/>
        <w:ind w:left="284" w:hanging="284" w:firstLineChars="0"/>
        <w:rPr>
          <w:rFonts w:ascii="黑体" w:hAnsi="黑体" w:eastAsia="黑体"/>
          <w:bCs/>
          <w:color w:val="auto"/>
          <w:szCs w:val="21"/>
          <w:lang w:val="en-GB"/>
        </w:rPr>
      </w:pPr>
      <w:r>
        <w:rPr>
          <w:rFonts w:hint="eastAsia" w:ascii="黑体" w:hAnsi="黑体" w:eastAsia="黑体"/>
          <w:bCs/>
          <w:color w:val="auto"/>
          <w:szCs w:val="21"/>
          <w:lang w:val="en-GB"/>
        </w:rPr>
        <w:t>以上证明资料未按要求提供或未提供完整的，视为未提供处理。</w:t>
      </w:r>
    </w:p>
    <w:p w14:paraId="3EBD4424">
      <w:pPr>
        <w:spacing w:line="360" w:lineRule="auto"/>
        <w:rPr>
          <w:rFonts w:ascii="黑体" w:hAnsi="黑体" w:eastAsia="黑体"/>
          <w:bCs/>
          <w:color w:val="auto"/>
          <w:szCs w:val="21"/>
          <w:lang w:val="en-GB"/>
        </w:rPr>
      </w:pPr>
    </w:p>
    <w:tbl>
      <w:tblPr>
        <w:tblStyle w:val="20"/>
        <w:tblW w:w="0" w:type="auto"/>
        <w:tblInd w:w="0" w:type="dxa"/>
        <w:tblLayout w:type="autofit"/>
        <w:tblCellMar>
          <w:top w:w="0" w:type="dxa"/>
          <w:left w:w="108" w:type="dxa"/>
          <w:bottom w:w="0" w:type="dxa"/>
          <w:right w:w="108" w:type="dxa"/>
        </w:tblCellMar>
      </w:tblPr>
      <w:tblGrid>
        <w:gridCol w:w="5991"/>
        <w:gridCol w:w="2537"/>
      </w:tblGrid>
      <w:tr w14:paraId="7E3BB1CB">
        <w:tblPrEx>
          <w:tblCellMar>
            <w:top w:w="0" w:type="dxa"/>
            <w:left w:w="108" w:type="dxa"/>
            <w:bottom w:w="0" w:type="dxa"/>
            <w:right w:w="108" w:type="dxa"/>
          </w:tblCellMar>
        </w:tblPrEx>
        <w:tc>
          <w:tcPr>
            <w:tcW w:w="5991" w:type="dxa"/>
            <w:shd w:val="clear" w:color="auto" w:fill="auto"/>
          </w:tcPr>
          <w:p w14:paraId="521B39C6">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 xml:space="preserve">投标人名称（加盖公章）： </w:t>
            </w:r>
            <w:r>
              <w:rPr>
                <w:rFonts w:ascii="黑体" w:hAnsi="黑体" w:eastAsia="黑体"/>
                <w:color w:val="auto"/>
                <w:szCs w:val="21"/>
                <w:u w:val="single"/>
              </w:rPr>
              <w:t xml:space="preserve">                        </w:t>
            </w:r>
          </w:p>
        </w:tc>
        <w:tc>
          <w:tcPr>
            <w:tcW w:w="2537" w:type="dxa"/>
            <w:shd w:val="clear" w:color="auto" w:fill="auto"/>
          </w:tcPr>
          <w:p w14:paraId="5DFA93D2">
            <w:pPr>
              <w:overflowPunct w:val="0"/>
              <w:adjustRightInd w:val="0"/>
              <w:spacing w:line="360" w:lineRule="auto"/>
              <w:rPr>
                <w:rFonts w:ascii="黑体" w:hAnsi="黑体" w:eastAsia="黑体"/>
                <w:color w:val="auto"/>
                <w:szCs w:val="21"/>
              </w:rPr>
            </w:pPr>
          </w:p>
        </w:tc>
      </w:tr>
      <w:tr w14:paraId="11A8E269">
        <w:tblPrEx>
          <w:tblCellMar>
            <w:top w:w="0" w:type="dxa"/>
            <w:left w:w="108" w:type="dxa"/>
            <w:bottom w:w="0" w:type="dxa"/>
            <w:right w:w="108" w:type="dxa"/>
          </w:tblCellMar>
        </w:tblPrEx>
        <w:tc>
          <w:tcPr>
            <w:tcW w:w="5991" w:type="dxa"/>
            <w:shd w:val="clear" w:color="auto" w:fill="auto"/>
          </w:tcPr>
          <w:p w14:paraId="3E5D3BD7">
            <w:pPr>
              <w:overflowPunct w:val="0"/>
              <w:adjustRightInd w:val="0"/>
              <w:spacing w:line="360" w:lineRule="auto"/>
              <w:rPr>
                <w:rFonts w:ascii="黑体" w:hAnsi="黑体" w:eastAsia="黑体"/>
                <w:color w:val="auto"/>
                <w:szCs w:val="21"/>
                <w:u w:val="single"/>
              </w:rPr>
            </w:pPr>
            <w:r>
              <w:rPr>
                <w:rFonts w:hint="eastAsia" w:ascii="黑体" w:hAnsi="黑体" w:eastAsia="黑体"/>
                <w:color w:val="auto"/>
                <w:szCs w:val="21"/>
              </w:rPr>
              <w:t>日期：</w:t>
            </w:r>
            <w:r>
              <w:rPr>
                <w:rFonts w:ascii="黑体" w:hAnsi="黑体" w:eastAsia="黑体"/>
                <w:color w:val="auto"/>
                <w:szCs w:val="21"/>
              </w:rPr>
              <w:t xml:space="preserve"> </w:t>
            </w:r>
            <w:r>
              <w:rPr>
                <w:rFonts w:ascii="黑体" w:hAnsi="黑体" w:eastAsia="黑体"/>
                <w:color w:val="auto"/>
                <w:szCs w:val="21"/>
                <w:u w:val="single"/>
              </w:rPr>
              <w:t xml:space="preserve">            年           月            日</w:t>
            </w:r>
          </w:p>
        </w:tc>
        <w:tc>
          <w:tcPr>
            <w:tcW w:w="2537" w:type="dxa"/>
            <w:shd w:val="clear" w:color="auto" w:fill="auto"/>
          </w:tcPr>
          <w:p w14:paraId="42BCA9C4">
            <w:pPr>
              <w:overflowPunct w:val="0"/>
              <w:adjustRightInd w:val="0"/>
              <w:spacing w:line="360" w:lineRule="auto"/>
              <w:rPr>
                <w:rFonts w:ascii="黑体" w:hAnsi="黑体" w:eastAsia="黑体"/>
                <w:color w:val="auto"/>
                <w:szCs w:val="21"/>
                <w:u w:val="single"/>
              </w:rPr>
            </w:pPr>
          </w:p>
        </w:tc>
      </w:tr>
    </w:tbl>
    <w:p w14:paraId="0BB51202">
      <w:pPr>
        <w:tabs>
          <w:tab w:val="left" w:pos="1180"/>
        </w:tabs>
        <w:rPr>
          <w:rFonts w:ascii="黑体" w:hAnsi="黑体" w:eastAsia="黑体"/>
          <w:color w:val="auto"/>
          <w:sz w:val="28"/>
          <w:szCs w:val="28"/>
        </w:rPr>
      </w:pPr>
    </w:p>
    <w:p w14:paraId="2F5FFEA3">
      <w:pPr>
        <w:pStyle w:val="36"/>
        <w:spacing w:before="156" w:beforeLines="50" w:line="360" w:lineRule="auto"/>
        <w:ind w:firstLine="0" w:firstLineChars="0"/>
        <w:rPr>
          <w:rFonts w:ascii="黑体" w:hAnsi="黑体" w:eastAsia="黑体"/>
          <w:b/>
          <w:color w:val="auto"/>
          <w:sz w:val="21"/>
          <w:szCs w:val="21"/>
        </w:rPr>
      </w:pPr>
    </w:p>
    <w:p w14:paraId="36DAE504">
      <w:pPr>
        <w:pStyle w:val="36"/>
        <w:spacing w:before="156" w:beforeLines="50" w:line="360" w:lineRule="auto"/>
        <w:ind w:firstLine="0" w:firstLineChars="0"/>
        <w:rPr>
          <w:rFonts w:ascii="黑体" w:hAnsi="黑体" w:eastAsia="黑体"/>
          <w:b/>
          <w:color w:val="auto"/>
          <w:sz w:val="21"/>
          <w:szCs w:val="21"/>
        </w:rPr>
      </w:pPr>
    </w:p>
    <w:p w14:paraId="19A46442">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79" w:name="_Toc405313961"/>
      <w:bookmarkStart w:id="80" w:name="_Toc391627757"/>
      <w:r>
        <w:rPr>
          <w:rFonts w:hint="eastAsia" w:ascii="黑体" w:hAnsi="黑体" w:eastAsia="黑体"/>
          <w:b/>
          <w:bCs/>
          <w:color w:val="auto"/>
        </w:rPr>
        <w:t>投标函</w:t>
      </w:r>
      <w:bookmarkEnd w:id="79"/>
      <w:bookmarkEnd w:id="80"/>
    </w:p>
    <w:p w14:paraId="4C1AB8F1">
      <w:pPr>
        <w:spacing w:before="156" w:beforeLines="50" w:after="156" w:afterLines="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投标函</w:t>
      </w:r>
    </w:p>
    <w:p w14:paraId="425962A4">
      <w:pPr>
        <w:spacing w:before="156" w:beforeLines="50" w:after="156" w:afterLines="50" w:line="360" w:lineRule="auto"/>
        <w:rPr>
          <w:rFonts w:ascii="黑体" w:hAnsi="黑体" w:eastAsia="黑体"/>
          <w:b/>
          <w:color w:val="auto"/>
        </w:rPr>
      </w:pPr>
      <w:r>
        <w:rPr>
          <w:rFonts w:hint="eastAsia" w:ascii="黑体" w:hAnsi="黑体" w:eastAsia="黑体"/>
          <w:b/>
          <w:color w:val="auto"/>
        </w:rPr>
        <w:t>致：广东有德招标采购有限公司</w:t>
      </w:r>
    </w:p>
    <w:p w14:paraId="38B1AAB7">
      <w:pPr>
        <w:autoSpaceDE w:val="0"/>
        <w:autoSpaceDN w:val="0"/>
        <w:adjustRightInd w:val="0"/>
        <w:spacing w:line="360" w:lineRule="auto"/>
        <w:ind w:right="26" w:firstLine="420" w:firstLineChars="200"/>
        <w:rPr>
          <w:rFonts w:ascii="黑体" w:hAnsi="黑体" w:eastAsia="黑体"/>
          <w:color w:val="auto"/>
          <w:kern w:val="0"/>
          <w:szCs w:val="21"/>
        </w:rPr>
      </w:pPr>
      <w:r>
        <w:rPr>
          <w:rFonts w:hint="eastAsia" w:ascii="黑体" w:hAnsi="黑体" w:eastAsia="黑体"/>
          <w:bCs/>
          <w:color w:val="auto"/>
          <w:kern w:val="0"/>
          <w:szCs w:val="21"/>
        </w:rPr>
        <w:t>依据贵方</w:t>
      </w:r>
      <w:r>
        <w:rPr>
          <w:rFonts w:ascii="黑体" w:hAnsi="黑体" w:eastAsia="黑体"/>
          <w:bCs/>
          <w:color w:val="auto"/>
          <w:kern w:val="0"/>
          <w:szCs w:val="21"/>
          <w:u w:val="single"/>
        </w:rPr>
        <w:t xml:space="preserve">    </w:t>
      </w:r>
      <w:r>
        <w:rPr>
          <w:rFonts w:hint="eastAsia" w:ascii="黑体" w:hAnsi="黑体" w:eastAsia="黑体"/>
          <w:b/>
          <w:bCs/>
          <w:color w:val="auto"/>
          <w:szCs w:val="21"/>
          <w:u w:val="single"/>
        </w:rPr>
        <w:t>项目名称</w:t>
      </w:r>
      <w:r>
        <w:rPr>
          <w:rFonts w:ascii="黑体" w:hAnsi="黑体" w:eastAsia="黑体"/>
          <w:b/>
          <w:bCs/>
          <w:color w:val="auto"/>
          <w:szCs w:val="21"/>
          <w:u w:val="single"/>
        </w:rPr>
        <w:t xml:space="preserve"> </w:t>
      </w:r>
      <w:r>
        <w:rPr>
          <w:rFonts w:ascii="黑体" w:hAnsi="黑体" w:eastAsia="黑体"/>
          <w:bCs/>
          <w:color w:val="auto"/>
          <w:szCs w:val="21"/>
          <w:u w:val="single"/>
        </w:rPr>
        <w:t xml:space="preserve">    </w:t>
      </w:r>
      <w:r>
        <w:rPr>
          <w:rFonts w:hint="eastAsia" w:ascii="黑体" w:hAnsi="黑体" w:eastAsia="黑体"/>
          <w:bCs/>
          <w:color w:val="auto"/>
          <w:kern w:val="0"/>
          <w:szCs w:val="21"/>
        </w:rPr>
        <w:t>项目</w:t>
      </w:r>
      <w:r>
        <w:rPr>
          <w:rFonts w:hint="eastAsia" w:ascii="黑体" w:hAnsi="黑体" w:eastAsia="黑体"/>
          <w:bCs/>
          <w:color w:val="auto"/>
          <w:szCs w:val="21"/>
          <w:u w:val="single"/>
        </w:rPr>
        <w:t>（</w:t>
      </w:r>
      <w:r>
        <w:rPr>
          <w:rFonts w:hint="eastAsia" w:ascii="黑体" w:hAnsi="黑体" w:eastAsia="黑体"/>
          <w:b/>
          <w:bCs/>
          <w:color w:val="auto"/>
          <w:szCs w:val="21"/>
          <w:u w:val="single"/>
        </w:rPr>
        <w:t>项目编号：</w:t>
      </w:r>
      <w:r>
        <w:rPr>
          <w:rFonts w:ascii="黑体" w:hAnsi="黑体" w:eastAsia="黑体"/>
          <w:bCs/>
          <w:color w:val="auto"/>
          <w:szCs w:val="21"/>
          <w:u w:val="single"/>
        </w:rPr>
        <w:t xml:space="preserve">        )</w:t>
      </w:r>
      <w:r>
        <w:rPr>
          <w:rFonts w:hint="eastAsia" w:ascii="黑体" w:hAnsi="黑体" w:eastAsia="黑体"/>
          <w:bCs/>
          <w:color w:val="auto"/>
          <w:kern w:val="0"/>
          <w:szCs w:val="21"/>
        </w:rPr>
        <w:t>的投标邀请，我方代表</w:t>
      </w:r>
      <w:r>
        <w:rPr>
          <w:rFonts w:ascii="黑体" w:hAnsi="黑体" w:eastAsia="黑体"/>
          <w:bCs/>
          <w:color w:val="auto"/>
          <w:kern w:val="0"/>
          <w:szCs w:val="21"/>
          <w:u w:val="single"/>
        </w:rPr>
        <w:t xml:space="preserve"> </w:t>
      </w:r>
      <w:r>
        <w:rPr>
          <w:rFonts w:hint="eastAsia" w:ascii="黑体" w:hAnsi="黑体" w:eastAsia="黑体"/>
          <w:b/>
          <w:bCs/>
          <w:color w:val="auto"/>
          <w:szCs w:val="21"/>
          <w:u w:val="single"/>
        </w:rPr>
        <w:t>（姓名、职务）</w:t>
      </w:r>
      <w:r>
        <w:rPr>
          <w:rFonts w:ascii="黑体" w:hAnsi="黑体" w:eastAsia="黑体"/>
          <w:bCs/>
          <w:color w:val="auto"/>
          <w:szCs w:val="21"/>
          <w:u w:val="single"/>
        </w:rPr>
        <w:t xml:space="preserve"> </w:t>
      </w:r>
      <w:r>
        <w:rPr>
          <w:rFonts w:hint="eastAsia" w:ascii="黑体" w:hAnsi="黑体" w:eastAsia="黑体"/>
          <w:bCs/>
          <w:color w:val="auto"/>
          <w:kern w:val="0"/>
          <w:szCs w:val="21"/>
        </w:rPr>
        <w:t>经正式授权并代表</w:t>
      </w:r>
      <w:r>
        <w:rPr>
          <w:rFonts w:ascii="黑体" w:hAnsi="黑体" w:eastAsia="黑体"/>
          <w:bCs/>
          <w:color w:val="auto"/>
          <w:kern w:val="0"/>
          <w:szCs w:val="21"/>
          <w:u w:val="single"/>
        </w:rPr>
        <w:t xml:space="preserve"> </w:t>
      </w:r>
      <w:r>
        <w:rPr>
          <w:rFonts w:hint="eastAsia" w:ascii="黑体" w:hAnsi="黑体" w:eastAsia="黑体"/>
          <w:b/>
          <w:bCs/>
          <w:color w:val="auto"/>
          <w:szCs w:val="21"/>
          <w:u w:val="single"/>
        </w:rPr>
        <w:t>（投标人名称）</w:t>
      </w:r>
      <w:r>
        <w:rPr>
          <w:rFonts w:ascii="黑体" w:hAnsi="黑体" w:eastAsia="黑体"/>
          <w:bCs/>
          <w:color w:val="auto"/>
          <w:szCs w:val="21"/>
          <w:u w:val="single"/>
        </w:rPr>
        <w:t xml:space="preserve"> </w:t>
      </w:r>
      <w:r>
        <w:rPr>
          <w:rFonts w:hint="eastAsia" w:ascii="黑体" w:hAnsi="黑体" w:eastAsia="黑体"/>
          <w:bCs/>
          <w:color w:val="auto"/>
          <w:szCs w:val="21"/>
        </w:rPr>
        <w:t>提交唱标信封一份、</w:t>
      </w:r>
      <w:r>
        <w:rPr>
          <w:rFonts w:hint="eastAsia" w:ascii="黑体" w:hAnsi="黑体" w:eastAsia="黑体"/>
          <w:bCs/>
          <w:color w:val="auto"/>
          <w:kern w:val="0"/>
          <w:szCs w:val="21"/>
        </w:rPr>
        <w:t>投标文件</w:t>
      </w:r>
      <w:r>
        <w:rPr>
          <w:rFonts w:ascii="黑体" w:hAnsi="黑体" w:eastAsia="黑体"/>
          <w:bCs/>
          <w:color w:val="auto"/>
          <w:kern w:val="0"/>
          <w:szCs w:val="21"/>
        </w:rPr>
        <w:t>正本一份，副本</w:t>
      </w:r>
      <w:r>
        <w:rPr>
          <w:rFonts w:ascii="黑体" w:hAnsi="黑体" w:eastAsia="黑体"/>
          <w:bCs/>
          <w:color w:val="auto"/>
          <w:kern w:val="0"/>
          <w:szCs w:val="21"/>
          <w:u w:val="single"/>
        </w:rPr>
        <w:t xml:space="preserve"> （</w:t>
      </w:r>
      <w:r>
        <w:rPr>
          <w:rFonts w:hint="eastAsia" w:ascii="黑体" w:hAnsi="黑体" w:eastAsia="黑体"/>
          <w:b/>
          <w:bCs/>
          <w:color w:val="auto"/>
          <w:kern w:val="0"/>
          <w:szCs w:val="21"/>
          <w:u w:val="single"/>
        </w:rPr>
        <w:t>详见投标人须知前附表</w:t>
      </w:r>
      <w:r>
        <w:rPr>
          <w:rFonts w:ascii="黑体" w:hAnsi="黑体" w:eastAsia="黑体"/>
          <w:b/>
          <w:bCs/>
          <w:color w:val="auto"/>
          <w:kern w:val="0"/>
          <w:szCs w:val="21"/>
          <w:u w:val="single"/>
        </w:rPr>
        <w:t xml:space="preserve">） </w:t>
      </w:r>
      <w:r>
        <w:rPr>
          <w:rFonts w:ascii="黑体" w:hAnsi="黑体" w:eastAsia="黑体"/>
          <w:bCs/>
          <w:color w:val="auto"/>
          <w:kern w:val="0"/>
          <w:szCs w:val="21"/>
          <w:u w:val="single"/>
        </w:rPr>
        <w:t xml:space="preserve"> </w:t>
      </w:r>
      <w:r>
        <w:rPr>
          <w:rFonts w:hint="eastAsia" w:ascii="黑体" w:hAnsi="黑体" w:eastAsia="黑体"/>
          <w:bCs/>
          <w:color w:val="auto"/>
          <w:kern w:val="0"/>
          <w:szCs w:val="21"/>
        </w:rPr>
        <w:t>份。</w:t>
      </w:r>
    </w:p>
    <w:p w14:paraId="25B829EB">
      <w:pPr>
        <w:autoSpaceDE w:val="0"/>
        <w:autoSpaceDN w:val="0"/>
        <w:adjustRightInd w:val="0"/>
        <w:spacing w:line="360" w:lineRule="auto"/>
        <w:ind w:right="246"/>
        <w:rPr>
          <w:rFonts w:ascii="黑体" w:hAnsi="黑体" w:eastAsia="黑体"/>
          <w:color w:val="auto"/>
          <w:kern w:val="0"/>
          <w:szCs w:val="21"/>
        </w:rPr>
      </w:pPr>
      <w:r>
        <w:rPr>
          <w:rFonts w:hint="eastAsia" w:ascii="黑体" w:hAnsi="黑体" w:eastAsia="黑体"/>
          <w:color w:val="auto"/>
          <w:kern w:val="0"/>
          <w:szCs w:val="21"/>
        </w:rPr>
        <w:t>在此，我方声明如下：</w:t>
      </w:r>
    </w:p>
    <w:p w14:paraId="02EAA77B">
      <w:pPr>
        <w:pStyle w:val="30"/>
        <w:numPr>
          <w:ilvl w:val="0"/>
          <w:numId w:val="88"/>
        </w:numPr>
        <w:tabs>
          <w:tab w:val="left" w:pos="420"/>
        </w:tabs>
        <w:spacing w:line="360" w:lineRule="auto"/>
        <w:ind w:firstLineChars="0"/>
        <w:rPr>
          <w:rFonts w:ascii="黑体" w:hAnsi="黑体" w:eastAsia="黑体"/>
          <w:color w:val="auto"/>
          <w:szCs w:val="21"/>
        </w:rPr>
      </w:pPr>
      <w:r>
        <w:rPr>
          <w:rFonts w:hint="eastAsia" w:ascii="黑体" w:hAnsi="黑体" w:eastAsia="黑体"/>
          <w:color w:val="auto"/>
          <w:spacing w:val="-6"/>
          <w:szCs w:val="21"/>
        </w:rPr>
        <w:t>同意并接受招标文件的各项要求，遵守招标文件中的各项规定，按招标文件的要求提供报价</w:t>
      </w:r>
      <w:r>
        <w:rPr>
          <w:rFonts w:hint="eastAsia" w:ascii="黑体" w:hAnsi="黑体" w:eastAsia="黑体"/>
          <w:color w:val="auto"/>
          <w:szCs w:val="21"/>
        </w:rPr>
        <w:t>。</w:t>
      </w:r>
    </w:p>
    <w:p w14:paraId="456ABF14">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投标有效期为递交投标文件截止日起 90 天，如中标，有效期将延至合同终止日为止。</w:t>
      </w:r>
    </w:p>
    <w:p w14:paraId="50BB90F5">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我方已经详细地阅读了全部招标文件及其附件，</w:t>
      </w:r>
      <w:bookmarkStart w:id="81" w:name="_Hlk90989655"/>
      <w:r>
        <w:rPr>
          <w:rFonts w:hint="eastAsia" w:ascii="黑体" w:hAnsi="黑体" w:eastAsia="黑体"/>
          <w:color w:val="auto"/>
          <w:spacing w:val="-6"/>
          <w:szCs w:val="21"/>
        </w:rPr>
        <w:t>包括澄清及参考文件(如有)。我方已完全清晰理解招标文件的要求，不存在任何含糊不清和误解之处，同意放弃对这些文件所提出的询问和质疑的权利。</w:t>
      </w:r>
      <w:bookmarkEnd w:id="81"/>
    </w:p>
    <w:p w14:paraId="70DAB6E9">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我方已毫无保留地向贵方提供一切所需的证明材料。</w:t>
      </w:r>
    </w:p>
    <w:p w14:paraId="55684F0C">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我方承诺在本次投标文件中提供的一切文件，无论是原件还是复印件均为真实和准确的，绝无任何虚假、伪造和夸大的成份，否则，愿承担相应的后果和法律责任。</w:t>
      </w:r>
    </w:p>
    <w:p w14:paraId="062FF0A5">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我方完全服从和尊重评委会所作的评定结果，同时清楚理解到报价最低并非意味着必定获得中标资格。</w:t>
      </w:r>
    </w:p>
    <w:p w14:paraId="6D1ED4E6">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我方同意按招标文件规定向采购代理机构缴纳中标服务费。</w:t>
      </w:r>
    </w:p>
    <w:p w14:paraId="42FE249D">
      <w:pPr>
        <w:pStyle w:val="30"/>
        <w:numPr>
          <w:ilvl w:val="0"/>
          <w:numId w:val="88"/>
        </w:numPr>
        <w:tabs>
          <w:tab w:val="left" w:pos="420"/>
        </w:tabs>
        <w:spacing w:line="360" w:lineRule="auto"/>
        <w:ind w:firstLineChars="0"/>
        <w:rPr>
          <w:rFonts w:ascii="黑体" w:hAnsi="黑体" w:eastAsia="黑体"/>
          <w:color w:val="auto"/>
          <w:spacing w:val="-6"/>
          <w:szCs w:val="21"/>
        </w:rPr>
      </w:pPr>
      <w:r>
        <w:rPr>
          <w:rFonts w:hint="eastAsia" w:ascii="黑体" w:hAnsi="黑体" w:eastAsia="黑体"/>
          <w:color w:val="auto"/>
          <w:spacing w:val="-6"/>
          <w:szCs w:val="21"/>
        </w:rPr>
        <w:t>所有与本招标有关的函件请发往下列地址：</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83"/>
        <w:gridCol w:w="4384"/>
      </w:tblGrid>
      <w:tr w14:paraId="74B91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14:paraId="3CB9E8A8">
            <w:pPr>
              <w:spacing w:before="156" w:beforeLines="50" w:line="360" w:lineRule="auto"/>
              <w:rPr>
                <w:rFonts w:ascii="黑体" w:hAnsi="黑体" w:eastAsia="黑体"/>
                <w:color w:val="auto"/>
                <w:szCs w:val="21"/>
              </w:rPr>
            </w:pPr>
            <w:r>
              <w:rPr>
                <w:rFonts w:hint="eastAsia" w:ascii="黑体" w:hAnsi="黑体" w:eastAsia="黑体"/>
                <w:color w:val="auto"/>
                <w:szCs w:val="21"/>
              </w:rPr>
              <w:t>投标人地址：</w:t>
            </w:r>
            <w:r>
              <w:rPr>
                <w:rFonts w:ascii="黑体" w:hAnsi="黑体" w:eastAsia="黑体"/>
                <w:color w:val="auto"/>
                <w:szCs w:val="21"/>
                <w:u w:val="single"/>
              </w:rPr>
              <w:t xml:space="preserve">                          </w:t>
            </w:r>
          </w:p>
        </w:tc>
        <w:tc>
          <w:tcPr>
            <w:tcW w:w="2500" w:type="pct"/>
          </w:tcPr>
          <w:p w14:paraId="334570F2">
            <w:pPr>
              <w:spacing w:before="156" w:beforeLines="50" w:line="360" w:lineRule="auto"/>
              <w:rPr>
                <w:rFonts w:ascii="黑体" w:hAnsi="黑体" w:eastAsia="黑体"/>
                <w:color w:val="auto"/>
                <w:szCs w:val="21"/>
              </w:rPr>
            </w:pPr>
            <w:r>
              <w:rPr>
                <w:rFonts w:hint="eastAsia" w:ascii="黑体" w:hAnsi="黑体" w:eastAsia="黑体"/>
                <w:color w:val="auto"/>
                <w:szCs w:val="21"/>
              </w:rPr>
              <w:t>邮编：</w:t>
            </w:r>
            <w:r>
              <w:rPr>
                <w:rFonts w:ascii="黑体" w:hAnsi="黑体" w:eastAsia="黑体"/>
                <w:color w:val="auto"/>
                <w:szCs w:val="21"/>
                <w:u w:val="single"/>
              </w:rPr>
              <w:t xml:space="preserve">                                </w:t>
            </w:r>
          </w:p>
        </w:tc>
      </w:tr>
      <w:tr w14:paraId="44954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14:paraId="63D83585">
            <w:pPr>
              <w:spacing w:line="360" w:lineRule="auto"/>
              <w:rPr>
                <w:rFonts w:ascii="黑体" w:hAnsi="黑体" w:eastAsia="黑体"/>
                <w:color w:val="auto"/>
                <w:szCs w:val="21"/>
              </w:rPr>
            </w:pPr>
            <w:r>
              <w:rPr>
                <w:rFonts w:hint="eastAsia" w:ascii="黑体" w:hAnsi="黑体" w:eastAsia="黑体"/>
                <w:color w:val="auto"/>
                <w:szCs w:val="21"/>
              </w:rPr>
              <w:t>联系电话：</w:t>
            </w:r>
            <w:r>
              <w:rPr>
                <w:rFonts w:ascii="黑体" w:hAnsi="黑体" w:eastAsia="黑体"/>
                <w:color w:val="auto"/>
                <w:szCs w:val="21"/>
                <w:u w:val="single"/>
              </w:rPr>
              <w:t xml:space="preserve">                            </w:t>
            </w:r>
          </w:p>
        </w:tc>
        <w:tc>
          <w:tcPr>
            <w:tcW w:w="2500" w:type="pct"/>
          </w:tcPr>
          <w:p w14:paraId="25507719">
            <w:pPr>
              <w:spacing w:line="360" w:lineRule="auto"/>
              <w:rPr>
                <w:rFonts w:ascii="黑体" w:hAnsi="黑体" w:eastAsia="黑体"/>
                <w:color w:val="auto"/>
                <w:szCs w:val="21"/>
              </w:rPr>
            </w:pPr>
            <w:r>
              <w:rPr>
                <w:rFonts w:hint="eastAsia" w:ascii="黑体" w:hAnsi="黑体" w:eastAsia="黑体"/>
                <w:color w:val="auto"/>
                <w:szCs w:val="21"/>
              </w:rPr>
              <w:t>传真：</w:t>
            </w:r>
            <w:r>
              <w:rPr>
                <w:rFonts w:ascii="黑体" w:hAnsi="黑体" w:eastAsia="黑体"/>
                <w:color w:val="auto"/>
                <w:szCs w:val="21"/>
                <w:u w:val="single"/>
              </w:rPr>
              <w:t xml:space="preserve">                                </w:t>
            </w:r>
          </w:p>
        </w:tc>
      </w:tr>
      <w:tr w14:paraId="1CC05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500" w:type="pct"/>
          </w:tcPr>
          <w:p w14:paraId="3E7876D6">
            <w:pPr>
              <w:spacing w:line="360" w:lineRule="auto"/>
              <w:rPr>
                <w:rFonts w:ascii="黑体" w:hAnsi="黑体" w:eastAsia="黑体"/>
                <w:color w:val="auto"/>
                <w:szCs w:val="21"/>
              </w:rPr>
            </w:pPr>
            <w:r>
              <w:rPr>
                <w:rFonts w:hint="eastAsia" w:ascii="黑体" w:hAnsi="黑体" w:eastAsia="黑体"/>
                <w:color w:val="auto"/>
                <w:szCs w:val="21"/>
              </w:rPr>
              <w:t>项目联系人：</w:t>
            </w:r>
            <w:r>
              <w:rPr>
                <w:rFonts w:ascii="黑体" w:hAnsi="黑体" w:eastAsia="黑体"/>
                <w:color w:val="auto"/>
                <w:szCs w:val="21"/>
                <w:u w:val="single"/>
              </w:rPr>
              <w:t xml:space="preserve">                          </w:t>
            </w:r>
          </w:p>
        </w:tc>
        <w:tc>
          <w:tcPr>
            <w:tcW w:w="2500" w:type="pct"/>
          </w:tcPr>
          <w:p w14:paraId="7CC0046C">
            <w:pPr>
              <w:spacing w:line="360" w:lineRule="auto"/>
              <w:rPr>
                <w:rFonts w:ascii="黑体" w:hAnsi="黑体" w:eastAsia="黑体"/>
                <w:color w:val="auto"/>
                <w:szCs w:val="21"/>
              </w:rPr>
            </w:pPr>
            <w:r>
              <w:rPr>
                <w:rFonts w:hint="eastAsia" w:ascii="黑体" w:hAnsi="黑体" w:eastAsia="黑体"/>
                <w:color w:val="auto"/>
                <w:szCs w:val="21"/>
              </w:rPr>
              <w:t>手机：</w:t>
            </w:r>
            <w:r>
              <w:rPr>
                <w:rFonts w:ascii="黑体" w:hAnsi="黑体" w:eastAsia="黑体"/>
                <w:color w:val="auto"/>
                <w:szCs w:val="21"/>
                <w:u w:val="single"/>
              </w:rPr>
              <w:t xml:space="preserve">                                </w:t>
            </w:r>
          </w:p>
        </w:tc>
      </w:tr>
      <w:tr w14:paraId="1887D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14:paraId="47C05EC6">
            <w:pPr>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r>
      <w:tr w14:paraId="36AF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14:paraId="77B07F3F">
            <w:pPr>
              <w:spacing w:line="360" w:lineRule="auto"/>
              <w:jc w:val="left"/>
              <w:rPr>
                <w:rFonts w:ascii="黑体" w:hAnsi="黑体" w:eastAsia="黑体"/>
                <w:color w:val="auto"/>
                <w:szCs w:val="21"/>
              </w:rPr>
            </w:pPr>
            <w:r>
              <w:rPr>
                <w:rFonts w:hint="eastAsia" w:ascii="黑体" w:hAnsi="黑体" w:eastAsia="黑体"/>
                <w:color w:val="auto"/>
                <w:szCs w:val="21"/>
              </w:rPr>
              <w:t>投标人法定代表人或被授权人（签名或盖私章）：</w:t>
            </w:r>
            <w:r>
              <w:rPr>
                <w:rFonts w:ascii="黑体" w:hAnsi="黑体" w:eastAsia="黑体"/>
                <w:color w:val="auto"/>
                <w:szCs w:val="21"/>
                <w:u w:val="single"/>
              </w:rPr>
              <w:t xml:space="preserve">                                   </w:t>
            </w:r>
          </w:p>
        </w:tc>
      </w:tr>
      <w:tr w14:paraId="2851D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14:paraId="546DFBD1">
            <w:pPr>
              <w:spacing w:line="360" w:lineRule="auto"/>
              <w:jc w:val="left"/>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w:t>
            </w:r>
            <w:r>
              <w:rPr>
                <w:rFonts w:hint="eastAsia" w:ascii="黑体" w:hAnsi="黑体" w:eastAsia="黑体"/>
                <w:color w:val="auto"/>
                <w:szCs w:val="21"/>
                <w:u w:val="single"/>
              </w:rPr>
              <w:t>年</w:t>
            </w:r>
            <w:r>
              <w:rPr>
                <w:rFonts w:ascii="黑体" w:hAnsi="黑体" w:eastAsia="黑体"/>
                <w:color w:val="auto"/>
                <w:szCs w:val="21"/>
                <w:u w:val="single"/>
              </w:rPr>
              <w:t xml:space="preserve">        </w:t>
            </w:r>
            <w:r>
              <w:rPr>
                <w:rFonts w:hint="eastAsia" w:ascii="黑体" w:hAnsi="黑体" w:eastAsia="黑体"/>
                <w:color w:val="auto"/>
                <w:szCs w:val="21"/>
                <w:u w:val="single"/>
              </w:rPr>
              <w:t>月</w:t>
            </w:r>
            <w:r>
              <w:rPr>
                <w:rFonts w:ascii="黑体" w:hAnsi="黑体" w:eastAsia="黑体"/>
                <w:color w:val="auto"/>
                <w:szCs w:val="21"/>
                <w:u w:val="single"/>
              </w:rPr>
              <w:t xml:space="preserve">         </w:t>
            </w:r>
            <w:r>
              <w:rPr>
                <w:rFonts w:hint="eastAsia" w:ascii="黑体" w:hAnsi="黑体" w:eastAsia="黑体"/>
                <w:color w:val="auto"/>
                <w:szCs w:val="21"/>
                <w:u w:val="single"/>
              </w:rPr>
              <w:t>日</w:t>
            </w:r>
          </w:p>
        </w:tc>
      </w:tr>
    </w:tbl>
    <w:p w14:paraId="7389C668">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82" w:name="_Toc405313969"/>
      <w:bookmarkStart w:id="83" w:name="_Toc391627764"/>
      <w:bookmarkStart w:id="84" w:name="_Toc75734373"/>
      <w:bookmarkStart w:id="85" w:name="_Toc405313962"/>
      <w:bookmarkStart w:id="86" w:name="_Toc391627758"/>
      <w:r>
        <w:rPr>
          <w:rFonts w:hint="eastAsia" w:ascii="黑体" w:hAnsi="黑体" w:eastAsia="黑体"/>
          <w:b/>
          <w:bCs/>
          <w:color w:val="auto"/>
        </w:rPr>
        <w:t>资格</w:t>
      </w:r>
      <w:bookmarkEnd w:id="82"/>
      <w:bookmarkEnd w:id="83"/>
      <w:r>
        <w:rPr>
          <w:rFonts w:hint="eastAsia" w:ascii="黑体" w:hAnsi="黑体" w:eastAsia="黑体"/>
          <w:b/>
          <w:bCs/>
          <w:color w:val="auto"/>
        </w:rPr>
        <w:t>声明函</w:t>
      </w:r>
      <w:bookmarkEnd w:id="84"/>
    </w:p>
    <w:p w14:paraId="22C18079">
      <w:pPr>
        <w:spacing w:before="156" w:beforeLines="50" w:after="312" w:afterLines="100" w:line="360" w:lineRule="auto"/>
        <w:jc w:val="center"/>
        <w:rPr>
          <w:rFonts w:ascii="黑体" w:hAnsi="黑体" w:eastAsia="黑体"/>
          <w:b/>
          <w:color w:val="auto"/>
          <w:spacing w:val="20"/>
          <w:sz w:val="30"/>
          <w:szCs w:val="30"/>
        </w:rPr>
      </w:pPr>
      <w:bookmarkStart w:id="87" w:name="_Hlk81177964"/>
      <w:r>
        <w:rPr>
          <w:rFonts w:hint="eastAsia" w:ascii="黑体" w:hAnsi="黑体" w:eastAsia="黑体"/>
          <w:b/>
          <w:color w:val="auto"/>
          <w:spacing w:val="20"/>
          <w:sz w:val="30"/>
          <w:szCs w:val="30"/>
        </w:rPr>
        <w:t>资格声明函</w:t>
      </w:r>
    </w:p>
    <w:bookmarkEnd w:id="87"/>
    <w:p w14:paraId="0A2ECC45">
      <w:pPr>
        <w:adjustRightInd w:val="0"/>
        <w:snapToGrid w:val="0"/>
        <w:spacing w:after="156" w:afterLines="50" w:line="360" w:lineRule="auto"/>
        <w:rPr>
          <w:rFonts w:ascii="黑体" w:hAnsi="黑体" w:eastAsia="黑体"/>
          <w:b/>
          <w:color w:val="auto"/>
          <w:szCs w:val="21"/>
        </w:rPr>
      </w:pPr>
      <w:r>
        <w:rPr>
          <w:rFonts w:hint="eastAsia" w:ascii="黑体" w:hAnsi="黑体" w:eastAsia="黑体"/>
          <w:b/>
          <w:color w:val="auto"/>
          <w:szCs w:val="21"/>
        </w:rPr>
        <w:t>广东有德招标采购有限公司：</w:t>
      </w:r>
    </w:p>
    <w:p w14:paraId="34C83B03">
      <w:pPr>
        <w:adjustRightInd w:val="0"/>
        <w:snapToGrid w:val="0"/>
        <w:spacing w:line="360" w:lineRule="auto"/>
        <w:ind w:firstLine="424" w:firstLineChars="202"/>
        <w:rPr>
          <w:rFonts w:ascii="黑体" w:hAnsi="黑体" w:eastAsia="黑体"/>
          <w:color w:val="auto"/>
          <w:szCs w:val="21"/>
        </w:rPr>
      </w:pPr>
      <w:r>
        <w:rPr>
          <w:rFonts w:hint="eastAsia" w:ascii="黑体" w:hAnsi="黑体" w:eastAsia="黑体"/>
          <w:color w:val="auto"/>
          <w:szCs w:val="21"/>
        </w:rPr>
        <w:t xml:space="preserve">关于贵公司 </w:t>
      </w:r>
      <w:r>
        <w:rPr>
          <w:rFonts w:hint="eastAsia" w:ascii="黑体" w:hAnsi="黑体" w:eastAsia="黑体"/>
          <w:color w:val="auto"/>
          <w:szCs w:val="21"/>
          <w:u w:val="single"/>
        </w:rPr>
        <w:t xml:space="preserve">     </w:t>
      </w:r>
      <w:r>
        <w:rPr>
          <w:rFonts w:hint="eastAsia" w:ascii="黑体" w:hAnsi="黑体" w:eastAsia="黑体"/>
          <w:color w:val="auto"/>
          <w:szCs w:val="21"/>
        </w:rPr>
        <w:t>年</w:t>
      </w:r>
      <w:r>
        <w:rPr>
          <w:rFonts w:hint="eastAsia" w:ascii="黑体" w:hAnsi="黑体" w:eastAsia="黑体"/>
          <w:color w:val="auto"/>
          <w:szCs w:val="21"/>
          <w:u w:val="single"/>
        </w:rPr>
        <w:t xml:space="preserve">      </w:t>
      </w:r>
      <w:r>
        <w:rPr>
          <w:rFonts w:hint="eastAsia" w:ascii="黑体" w:hAnsi="黑体" w:eastAsia="黑体"/>
          <w:color w:val="auto"/>
          <w:szCs w:val="21"/>
        </w:rPr>
        <w:t>月</w:t>
      </w:r>
      <w:r>
        <w:rPr>
          <w:rFonts w:hint="eastAsia" w:ascii="黑体" w:hAnsi="黑体" w:eastAsia="黑体"/>
          <w:color w:val="auto"/>
          <w:szCs w:val="21"/>
          <w:u w:val="single"/>
        </w:rPr>
        <w:t xml:space="preserve">     </w:t>
      </w:r>
      <w:r>
        <w:rPr>
          <w:rFonts w:hint="eastAsia" w:ascii="黑体" w:hAnsi="黑体" w:eastAsia="黑体"/>
          <w:color w:val="auto"/>
          <w:szCs w:val="21"/>
        </w:rPr>
        <w:t>日发布</w:t>
      </w:r>
      <w:r>
        <w:rPr>
          <w:rFonts w:hint="eastAsia" w:ascii="黑体" w:hAnsi="黑体" w:eastAsia="黑体"/>
          <w:color w:val="auto"/>
          <w:szCs w:val="21"/>
          <w:u w:val="single"/>
        </w:rPr>
        <w:t xml:space="preserve">               </w:t>
      </w:r>
      <w:r>
        <w:rPr>
          <w:rFonts w:hint="eastAsia" w:ascii="黑体" w:hAnsi="黑体" w:eastAsia="黑体"/>
          <w:color w:val="auto"/>
          <w:szCs w:val="21"/>
        </w:rPr>
        <w:t>项目（项目编号：</w:t>
      </w:r>
      <w:r>
        <w:rPr>
          <w:rFonts w:hint="eastAsia" w:ascii="黑体" w:hAnsi="黑体" w:eastAsia="黑体"/>
          <w:color w:val="auto"/>
          <w:szCs w:val="21"/>
          <w:u w:val="single"/>
        </w:rPr>
        <w:t xml:space="preserve">           </w:t>
      </w:r>
      <w:r>
        <w:rPr>
          <w:rFonts w:hint="eastAsia" w:ascii="黑体" w:hAnsi="黑体" w:eastAsia="黑体"/>
          <w:color w:val="auto"/>
          <w:szCs w:val="21"/>
        </w:rPr>
        <w:t>）的采购公告，本单位愿意参加投标，并声明：</w:t>
      </w:r>
    </w:p>
    <w:p w14:paraId="1770B36A">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本单位具有依法缴纳税收和社会保障资金的良好记录。</w:t>
      </w:r>
    </w:p>
    <w:p w14:paraId="2B0CC0C5">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本单位具有良好的商业信誉和健全的财务会计制度。</w:t>
      </w:r>
    </w:p>
    <w:p w14:paraId="26BEF24C">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本单位具有履行合同所必需的设备和专业技术能力。</w:t>
      </w:r>
    </w:p>
    <w:p w14:paraId="55F72C3F">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EAF84E7">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本单位具备法律、行政法规规定的其他条件。</w:t>
      </w:r>
    </w:p>
    <w:p w14:paraId="40831C5B">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本单位承诺单位负责人为同一人或者存在直接控股、管理关系的不同供应商，不得同时参加本采购项目（或采购包）投标。</w:t>
      </w:r>
    </w:p>
    <w:p w14:paraId="15CBC27A">
      <w:pPr>
        <w:pStyle w:val="30"/>
        <w:widowControl/>
        <w:numPr>
          <w:ilvl w:val="0"/>
          <w:numId w:val="89"/>
        </w:numPr>
        <w:tabs>
          <w:tab w:val="left" w:pos="420"/>
        </w:tabs>
        <w:adjustRightInd w:val="0"/>
        <w:snapToGrid w:val="0"/>
        <w:spacing w:line="360" w:lineRule="auto"/>
        <w:ind w:firstLineChars="0"/>
        <w:rPr>
          <w:rFonts w:ascii="黑体" w:hAnsi="黑体" w:eastAsia="黑体" w:cs="宋体"/>
          <w:color w:val="auto"/>
          <w:kern w:val="0"/>
          <w:szCs w:val="21"/>
        </w:rPr>
      </w:pPr>
      <w:r>
        <w:rPr>
          <w:rFonts w:hint="eastAsia" w:ascii="黑体" w:hAnsi="黑体" w:eastAsia="黑体" w:cs="宋体"/>
          <w:color w:val="auto"/>
          <w:kern w:val="0"/>
          <w:szCs w:val="21"/>
        </w:rPr>
        <w:t>本单位承诺为本项目提供整体设计、规范编制或者项目管理、监理、检测等服务的供应商，不得再参与本项目投标。</w:t>
      </w:r>
    </w:p>
    <w:p w14:paraId="0BAFC6F3">
      <w:pPr>
        <w:adjustRightInd w:val="0"/>
        <w:snapToGrid w:val="0"/>
        <w:spacing w:line="360" w:lineRule="auto"/>
        <w:ind w:firstLine="424" w:firstLineChars="202"/>
        <w:rPr>
          <w:rFonts w:ascii="黑体" w:hAnsi="黑体" w:eastAsia="黑体"/>
          <w:color w:val="auto"/>
          <w:szCs w:val="21"/>
        </w:rPr>
      </w:pPr>
      <w:r>
        <w:rPr>
          <w:rFonts w:hint="eastAsia" w:ascii="黑体" w:hAnsi="黑体" w:eastAsia="黑体"/>
          <w:color w:val="auto"/>
          <w:szCs w:val="21"/>
        </w:rPr>
        <w:t>本单位承诺在本次招标采购活动中，如有违法、违规、弄虚作假行为，所造成的损失、不良后果及法律责任，一律由本单位承担。</w:t>
      </w:r>
    </w:p>
    <w:p w14:paraId="4CE49B25">
      <w:pPr>
        <w:adjustRightInd w:val="0"/>
        <w:snapToGrid w:val="0"/>
        <w:spacing w:before="156" w:beforeLines="50" w:line="360" w:lineRule="auto"/>
        <w:ind w:firstLine="420"/>
        <w:rPr>
          <w:rFonts w:ascii="黑体" w:hAnsi="黑体" w:eastAsia="黑体"/>
          <w:color w:val="auto"/>
          <w:szCs w:val="21"/>
        </w:rPr>
      </w:pPr>
      <w:r>
        <w:rPr>
          <w:rFonts w:hint="eastAsia" w:ascii="黑体" w:hAnsi="黑体" w:eastAsia="黑体"/>
          <w:color w:val="auto"/>
          <w:szCs w:val="21"/>
        </w:rPr>
        <w:t>特此声明！</w:t>
      </w:r>
    </w:p>
    <w:p w14:paraId="7515BCFB">
      <w:pPr>
        <w:tabs>
          <w:tab w:val="left" w:pos="851"/>
        </w:tabs>
        <w:adjustRightInd w:val="0"/>
        <w:snapToGrid w:val="0"/>
        <w:spacing w:before="312" w:beforeLines="100" w:line="360" w:lineRule="auto"/>
        <w:ind w:firstLine="420"/>
        <w:rPr>
          <w:rFonts w:ascii="黑体" w:hAnsi="黑体" w:eastAsia="黑体"/>
          <w:b/>
          <w:color w:val="auto"/>
          <w:szCs w:val="21"/>
        </w:rPr>
      </w:pPr>
      <w:r>
        <w:rPr>
          <w:rFonts w:hint="eastAsia" w:ascii="黑体" w:hAnsi="黑体" w:eastAsia="黑体"/>
          <w:b/>
          <w:color w:val="auto"/>
          <w:szCs w:val="21"/>
        </w:rPr>
        <w:t>备注： 1.本声明函必须提供且内容不得擅自删改，否则视为无效投标。</w:t>
      </w:r>
    </w:p>
    <w:p w14:paraId="6AF38C66">
      <w:pPr>
        <w:adjustRightInd w:val="0"/>
        <w:snapToGrid w:val="0"/>
        <w:spacing w:line="360" w:lineRule="auto"/>
        <w:ind w:firstLine="1132" w:firstLineChars="537"/>
        <w:rPr>
          <w:rFonts w:ascii="黑体" w:hAnsi="黑体" w:eastAsia="黑体"/>
          <w:b/>
          <w:color w:val="auto"/>
          <w:szCs w:val="21"/>
        </w:rPr>
      </w:pPr>
      <w:r>
        <w:rPr>
          <w:rFonts w:ascii="黑体" w:hAnsi="黑体" w:eastAsia="黑体"/>
          <w:b/>
          <w:color w:val="auto"/>
          <w:szCs w:val="21"/>
        </w:rPr>
        <w:t>2</w:t>
      </w:r>
      <w:r>
        <w:rPr>
          <w:rFonts w:hint="eastAsia" w:ascii="黑体" w:hAnsi="黑体" w:eastAsia="黑体"/>
          <w:b/>
          <w:color w:val="auto"/>
          <w:szCs w:val="21"/>
        </w:rPr>
        <w:t>.</w:t>
      </w:r>
      <w:r>
        <w:rPr>
          <w:rFonts w:ascii="黑体" w:hAnsi="黑体" w:eastAsia="黑体"/>
          <w:b/>
          <w:color w:val="auto"/>
          <w:szCs w:val="21"/>
        </w:rPr>
        <w:t>本</w:t>
      </w:r>
      <w:bookmarkStart w:id="88" w:name="_Hlk20518506"/>
      <w:r>
        <w:rPr>
          <w:rFonts w:ascii="黑体" w:hAnsi="黑体" w:eastAsia="黑体"/>
          <w:b/>
          <w:color w:val="auto"/>
          <w:szCs w:val="21"/>
        </w:rPr>
        <w:t>声明</w:t>
      </w:r>
      <w:bookmarkEnd w:id="88"/>
      <w:r>
        <w:rPr>
          <w:rFonts w:ascii="黑体" w:hAnsi="黑体" w:eastAsia="黑体"/>
          <w:b/>
          <w:color w:val="auto"/>
          <w:szCs w:val="21"/>
        </w:rPr>
        <w:t>函如有虚假或与事实不符的，作无效投标处理。</w:t>
      </w:r>
    </w:p>
    <w:p w14:paraId="5A813F03">
      <w:pPr>
        <w:adjustRightInd w:val="0"/>
        <w:snapToGrid w:val="0"/>
        <w:spacing w:after="156" w:afterLines="50" w:line="360" w:lineRule="auto"/>
        <w:jc w:val="left"/>
        <w:rPr>
          <w:rFonts w:ascii="黑体" w:hAnsi="黑体" w:eastAsia="黑体"/>
          <w:b/>
          <w:color w:val="auto"/>
          <w:szCs w:val="21"/>
        </w:rPr>
      </w:pPr>
    </w:p>
    <w:p w14:paraId="15281236">
      <w:pPr>
        <w:adjustRightInd w:val="0"/>
        <w:snapToGrid w:val="0"/>
        <w:spacing w:after="156" w:afterLines="50" w:line="360" w:lineRule="auto"/>
        <w:jc w:val="left"/>
        <w:rPr>
          <w:rFonts w:ascii="黑体" w:hAnsi="黑体" w:eastAsia="黑体"/>
          <w:b/>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5387F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62EAD1CF">
            <w:pPr>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2B697ACB">
            <w:pPr>
              <w:spacing w:line="360" w:lineRule="auto"/>
              <w:rPr>
                <w:rFonts w:ascii="黑体" w:hAnsi="黑体" w:eastAsia="黑体"/>
                <w:color w:val="auto"/>
                <w:szCs w:val="21"/>
              </w:rPr>
            </w:pPr>
          </w:p>
        </w:tc>
      </w:tr>
      <w:tr w14:paraId="12D3D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322B8C7D">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447DDE8A">
            <w:pPr>
              <w:spacing w:line="360" w:lineRule="auto"/>
              <w:rPr>
                <w:rFonts w:ascii="黑体" w:hAnsi="黑体" w:eastAsia="黑体"/>
                <w:color w:val="auto"/>
                <w:szCs w:val="21"/>
              </w:rPr>
            </w:pPr>
          </w:p>
        </w:tc>
      </w:tr>
    </w:tbl>
    <w:p w14:paraId="01E77787">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r>
        <w:rPr>
          <w:rFonts w:hint="eastAsia" w:ascii="黑体" w:hAnsi="黑体" w:eastAsia="黑体"/>
          <w:b/>
          <w:bCs/>
          <w:color w:val="auto"/>
        </w:rPr>
        <w:t>法定代表人身份证明书</w:t>
      </w:r>
      <w:bookmarkEnd w:id="85"/>
      <w:bookmarkEnd w:id="86"/>
    </w:p>
    <w:p w14:paraId="0E8B3604">
      <w:pPr>
        <w:spacing w:before="156" w:beforeLines="50" w:after="156" w:afterLines="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法定代表人身份证明书</w:t>
      </w:r>
    </w:p>
    <w:p w14:paraId="789765E9">
      <w:pPr>
        <w:spacing w:before="312" w:beforeLines="100" w:after="156" w:afterLines="50" w:line="360" w:lineRule="auto"/>
        <w:rPr>
          <w:rFonts w:ascii="黑体" w:hAnsi="黑体" w:eastAsia="黑体"/>
          <w:b/>
          <w:color w:val="auto"/>
        </w:rPr>
      </w:pPr>
      <w:r>
        <w:rPr>
          <w:rFonts w:hint="eastAsia" w:ascii="黑体" w:hAnsi="黑体" w:eastAsia="黑体"/>
          <w:b/>
          <w:color w:val="auto"/>
        </w:rPr>
        <w:t>致：广东有德招标采购有限公司</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81"/>
        <w:gridCol w:w="5886"/>
      </w:tblGrid>
      <w:tr w14:paraId="10530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2"/>
          </w:tcPr>
          <w:p w14:paraId="50193F23">
            <w:pPr>
              <w:spacing w:line="360" w:lineRule="auto"/>
              <w:rPr>
                <w:rFonts w:ascii="黑体" w:hAnsi="黑体" w:eastAsia="黑体"/>
                <w:color w:val="auto"/>
                <w:szCs w:val="21"/>
              </w:rPr>
            </w:pPr>
            <w:r>
              <w:rPr>
                <w:rFonts w:ascii="黑体" w:hAnsi="黑体" w:eastAsia="黑体"/>
                <w:color w:val="auto"/>
                <w:szCs w:val="21"/>
                <w:u w:val="single"/>
              </w:rPr>
              <w:t xml:space="preserve">                 </w:t>
            </w:r>
            <w:r>
              <w:rPr>
                <w:rFonts w:hint="eastAsia" w:ascii="黑体" w:hAnsi="黑体" w:eastAsia="黑体"/>
                <w:color w:val="auto"/>
                <w:szCs w:val="21"/>
              </w:rPr>
              <w:t>同志，现任我单位</w:t>
            </w:r>
            <w:r>
              <w:rPr>
                <w:rFonts w:ascii="黑体" w:hAnsi="黑体" w:eastAsia="黑体"/>
                <w:color w:val="auto"/>
                <w:szCs w:val="21"/>
                <w:u w:val="single"/>
              </w:rPr>
              <w:t xml:space="preserve">               </w:t>
            </w:r>
            <w:r>
              <w:rPr>
                <w:rFonts w:hint="eastAsia" w:ascii="黑体" w:hAnsi="黑体" w:eastAsia="黑体"/>
                <w:color w:val="auto"/>
                <w:szCs w:val="21"/>
              </w:rPr>
              <w:t>职务，为法定代表人，特此证明。</w:t>
            </w:r>
          </w:p>
        </w:tc>
      </w:tr>
      <w:tr w14:paraId="1678E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1" w:hRule="atLeast"/>
          <w:jc w:val="center"/>
        </w:trPr>
        <w:tc>
          <w:tcPr>
            <w:tcW w:w="5000" w:type="pct"/>
            <w:gridSpan w:val="2"/>
          </w:tcPr>
          <w:p w14:paraId="14202F7F">
            <w:pPr>
              <w:spacing w:line="360" w:lineRule="auto"/>
              <w:rPr>
                <w:rFonts w:ascii="黑体" w:hAnsi="黑体" w:eastAsia="黑体"/>
                <w:color w:val="auto"/>
                <w:szCs w:val="21"/>
              </w:rPr>
            </w:pPr>
          </w:p>
          <w:p w14:paraId="797FDBFA">
            <w:pPr>
              <w:spacing w:line="360" w:lineRule="auto"/>
              <w:rPr>
                <w:rFonts w:ascii="黑体" w:hAnsi="黑体" w:eastAsia="黑体"/>
                <w:color w:val="auto"/>
                <w:szCs w:val="21"/>
              </w:rPr>
            </w:pPr>
            <w:r>
              <w:rPr>
                <w:rFonts w:hint="eastAsia" w:ascii="黑体" w:hAnsi="黑体" w:eastAsia="黑体"/>
                <w:color w:val="auto"/>
                <w:szCs w:val="21"/>
              </w:rPr>
              <w:t>附：</w:t>
            </w:r>
          </w:p>
          <w:p w14:paraId="0E8CE790">
            <w:pPr>
              <w:spacing w:line="360" w:lineRule="auto"/>
              <w:rPr>
                <w:rFonts w:ascii="黑体" w:hAnsi="黑体" w:eastAsia="黑体"/>
                <w:color w:val="auto"/>
                <w:szCs w:val="21"/>
              </w:rPr>
            </w:pPr>
            <w:r>
              <w:rPr>
                <w:rFonts w:hint="eastAsia" w:ascii="黑体" w:hAnsi="黑体" w:eastAsia="黑体"/>
                <w:color w:val="auto"/>
                <w:szCs w:val="21"/>
              </w:rPr>
              <w:t xml:space="preserve">代表人性别：    </w:t>
            </w:r>
          </w:p>
          <w:p w14:paraId="197C1BC9">
            <w:pPr>
              <w:spacing w:line="360" w:lineRule="auto"/>
              <w:rPr>
                <w:rFonts w:ascii="黑体" w:hAnsi="黑体" w:eastAsia="黑体"/>
                <w:color w:val="auto"/>
                <w:szCs w:val="21"/>
              </w:rPr>
            </w:pPr>
            <w:r>
              <w:rPr>
                <w:rFonts w:hint="eastAsia" w:ascii="黑体" w:hAnsi="黑体" w:eastAsia="黑体"/>
                <w:color w:val="auto"/>
                <w:szCs w:val="21"/>
              </w:rPr>
              <w:t xml:space="preserve">身份证号码： </w:t>
            </w:r>
          </w:p>
          <w:p w14:paraId="784E96B1">
            <w:pPr>
              <w:spacing w:line="360" w:lineRule="auto"/>
              <w:rPr>
                <w:rFonts w:ascii="黑体" w:hAnsi="黑体" w:eastAsia="黑体"/>
                <w:color w:val="auto"/>
                <w:szCs w:val="21"/>
              </w:rPr>
            </w:pPr>
            <w:r>
              <w:rPr>
                <w:rFonts w:hint="eastAsia" w:ascii="黑体" w:hAnsi="黑体" w:eastAsia="黑体"/>
                <w:color w:val="auto"/>
                <w:szCs w:val="21"/>
              </w:rPr>
              <w:t xml:space="preserve">联系电话：  </w:t>
            </w:r>
          </w:p>
          <w:p w14:paraId="1159F73A">
            <w:pPr>
              <w:spacing w:line="360" w:lineRule="auto"/>
              <w:rPr>
                <w:rFonts w:ascii="黑体" w:hAnsi="黑体" w:eastAsia="黑体"/>
                <w:color w:val="auto"/>
                <w:szCs w:val="21"/>
              </w:rPr>
            </w:pPr>
            <w:r>
              <w:rPr>
                <w:rFonts w:hint="eastAsia" w:ascii="黑体" w:hAnsi="黑体" w:eastAsia="黑体"/>
                <w:color w:val="auto"/>
                <w:szCs w:val="21"/>
              </w:rPr>
              <w:t xml:space="preserve">主营（产）：            </w:t>
            </w:r>
          </w:p>
        </w:tc>
      </w:tr>
      <w:tr w14:paraId="624B1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5000" w:type="pct"/>
            <w:gridSpan w:val="2"/>
          </w:tcPr>
          <w:p w14:paraId="39A6E1A7">
            <w:pPr>
              <w:spacing w:line="360" w:lineRule="auto"/>
              <w:rPr>
                <w:rFonts w:ascii="黑体" w:hAnsi="黑体" w:eastAsia="黑体"/>
                <w:color w:val="auto"/>
                <w:szCs w:val="21"/>
              </w:rPr>
            </w:pPr>
          </w:p>
        </w:tc>
      </w:tr>
      <w:tr w14:paraId="7EC6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14:paraId="2EBAA683">
            <w:pPr>
              <w:spacing w:line="360" w:lineRule="auto"/>
              <w:rPr>
                <w:rFonts w:ascii="黑体" w:hAnsi="黑体" w:eastAsia="黑体"/>
                <w:color w:val="auto"/>
                <w:szCs w:val="21"/>
              </w:rPr>
            </w:pPr>
          </w:p>
        </w:tc>
        <w:tc>
          <w:tcPr>
            <w:tcW w:w="3357" w:type="pct"/>
          </w:tcPr>
          <w:p w14:paraId="64EAEFC3">
            <w:pPr>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r>
      <w:tr w14:paraId="49DDE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14:paraId="6CC4C919">
            <w:pPr>
              <w:spacing w:line="360" w:lineRule="auto"/>
              <w:rPr>
                <w:rFonts w:ascii="黑体" w:hAnsi="黑体" w:eastAsia="黑体"/>
                <w:color w:val="auto"/>
                <w:szCs w:val="21"/>
              </w:rPr>
            </w:pPr>
          </w:p>
        </w:tc>
        <w:tc>
          <w:tcPr>
            <w:tcW w:w="3357" w:type="pct"/>
          </w:tcPr>
          <w:p w14:paraId="60F055D4">
            <w:pPr>
              <w:spacing w:line="360" w:lineRule="auto"/>
              <w:rPr>
                <w:rFonts w:ascii="黑体" w:hAnsi="黑体" w:eastAsia="黑体"/>
                <w:color w:val="auto"/>
                <w:szCs w:val="21"/>
              </w:rPr>
            </w:pPr>
            <w:r>
              <w:rPr>
                <w:rFonts w:hint="eastAsia" w:ascii="黑体" w:hAnsi="黑体" w:eastAsia="黑体"/>
                <w:color w:val="auto"/>
                <w:szCs w:val="21"/>
              </w:rPr>
              <w:t>法定代表人（签名或盖私章）：</w:t>
            </w:r>
            <w:r>
              <w:rPr>
                <w:rFonts w:ascii="黑体" w:hAnsi="黑体" w:eastAsia="黑体"/>
                <w:color w:val="auto"/>
                <w:szCs w:val="21"/>
                <w:u w:val="single"/>
              </w:rPr>
              <w:t xml:space="preserve">                         </w:t>
            </w:r>
          </w:p>
        </w:tc>
      </w:tr>
      <w:tr w14:paraId="00211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3" w:type="pct"/>
          </w:tcPr>
          <w:p w14:paraId="36DA1D01">
            <w:pPr>
              <w:spacing w:line="360" w:lineRule="auto"/>
              <w:rPr>
                <w:rFonts w:ascii="黑体" w:hAnsi="黑体" w:eastAsia="黑体"/>
                <w:color w:val="auto"/>
                <w:szCs w:val="21"/>
              </w:rPr>
            </w:pPr>
          </w:p>
        </w:tc>
        <w:tc>
          <w:tcPr>
            <w:tcW w:w="3357" w:type="pct"/>
          </w:tcPr>
          <w:p w14:paraId="158571C5">
            <w:pPr>
              <w:spacing w:after="312" w:afterLines="100"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r>
    </w:tbl>
    <w:p w14:paraId="40837CEC">
      <w:pPr>
        <w:spacing w:before="156" w:beforeLines="50" w:after="156" w:afterLines="50" w:line="360" w:lineRule="auto"/>
        <w:rPr>
          <w:rFonts w:ascii="黑体" w:hAnsi="黑体" w:eastAsia="黑体"/>
          <w:color w:val="auto"/>
          <w:szCs w:val="21"/>
        </w:rPr>
      </w:pPr>
      <w:r>
        <w:rPr>
          <w:rFonts w:hint="eastAsia" w:ascii="黑体" w:hAnsi="黑体" w:eastAsia="黑体"/>
          <w:color w:val="auto"/>
          <w:szCs w:val="21"/>
        </w:rPr>
        <w:t>须附：法定代表人有效期内身份证复印件</w:t>
      </w:r>
    </w:p>
    <w:tbl>
      <w:tblPr>
        <w:tblStyle w:val="20"/>
        <w:tblW w:w="5000" w:type="pct"/>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383"/>
        <w:gridCol w:w="4384"/>
      </w:tblGrid>
      <w:tr w14:paraId="61911B8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1833" w:hRule="atLeast"/>
          <w:jc w:val="center"/>
        </w:trPr>
        <w:tc>
          <w:tcPr>
            <w:tcW w:w="2500" w:type="pct"/>
            <w:vAlign w:val="center"/>
          </w:tcPr>
          <w:p w14:paraId="00688074">
            <w:pPr>
              <w:pStyle w:val="36"/>
              <w:spacing w:line="460" w:lineRule="exact"/>
              <w:ind w:firstLine="0" w:firstLineChars="0"/>
              <w:jc w:val="center"/>
              <w:rPr>
                <w:rFonts w:ascii="黑体" w:hAnsi="黑体" w:eastAsia="黑体"/>
                <w:color w:val="auto"/>
                <w:sz w:val="22"/>
                <w:szCs w:val="22"/>
              </w:rPr>
            </w:pPr>
            <w:r>
              <w:rPr>
                <w:rFonts w:hint="eastAsia" w:ascii="黑体" w:hAnsi="黑体" w:eastAsia="黑体"/>
                <w:color w:val="auto"/>
                <w:sz w:val="22"/>
                <w:szCs w:val="22"/>
              </w:rPr>
              <w:t>正面</w:t>
            </w:r>
          </w:p>
        </w:tc>
        <w:tc>
          <w:tcPr>
            <w:tcW w:w="2500" w:type="pct"/>
            <w:vAlign w:val="center"/>
          </w:tcPr>
          <w:p w14:paraId="6E6DCF7C">
            <w:pPr>
              <w:pStyle w:val="36"/>
              <w:spacing w:line="460" w:lineRule="exact"/>
              <w:ind w:firstLine="0" w:firstLineChars="0"/>
              <w:jc w:val="center"/>
              <w:rPr>
                <w:rFonts w:ascii="黑体" w:hAnsi="黑体" w:eastAsia="黑体"/>
                <w:color w:val="auto"/>
                <w:sz w:val="22"/>
                <w:szCs w:val="22"/>
              </w:rPr>
            </w:pPr>
            <w:r>
              <w:rPr>
                <w:rFonts w:hint="eastAsia" w:ascii="黑体" w:hAnsi="黑体" w:eastAsia="黑体"/>
                <w:color w:val="auto"/>
                <w:sz w:val="22"/>
                <w:szCs w:val="22"/>
              </w:rPr>
              <w:t>背面</w:t>
            </w:r>
          </w:p>
        </w:tc>
      </w:tr>
    </w:tbl>
    <w:p w14:paraId="4AB442EE">
      <w:pPr>
        <w:spacing w:before="156" w:beforeLines="50" w:after="93" w:afterLines="30" w:line="360" w:lineRule="auto"/>
        <w:rPr>
          <w:rFonts w:ascii="黑体" w:hAnsi="黑体" w:eastAsia="黑体"/>
          <w:color w:val="auto"/>
          <w:szCs w:val="21"/>
        </w:rPr>
      </w:pPr>
    </w:p>
    <w:p w14:paraId="26DCA017">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89" w:name="_Toc405313963"/>
      <w:bookmarkStart w:id="90" w:name="_Toc391627759"/>
      <w:r>
        <w:rPr>
          <w:rFonts w:hint="eastAsia" w:ascii="黑体" w:hAnsi="黑体" w:eastAsia="黑体"/>
          <w:b/>
          <w:bCs/>
          <w:color w:val="auto"/>
        </w:rPr>
        <w:t>法定代表人授权委托书</w:t>
      </w:r>
      <w:bookmarkEnd w:id="89"/>
      <w:bookmarkEnd w:id="90"/>
    </w:p>
    <w:p w14:paraId="37F9D1C8">
      <w:pPr>
        <w:spacing w:before="156" w:beforeLines="50" w:after="156" w:afterLines="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法定代表人授权委托书</w:t>
      </w:r>
    </w:p>
    <w:p w14:paraId="1A740A68">
      <w:pPr>
        <w:spacing w:before="468" w:beforeLines="150" w:after="312" w:afterLines="100" w:line="360" w:lineRule="auto"/>
        <w:rPr>
          <w:rFonts w:ascii="黑体" w:hAnsi="黑体" w:eastAsia="黑体"/>
          <w:b/>
          <w:color w:val="auto"/>
        </w:rPr>
      </w:pPr>
      <w:r>
        <w:rPr>
          <w:rFonts w:hint="eastAsia" w:ascii="黑体" w:hAnsi="黑体" w:eastAsia="黑体"/>
          <w:b/>
          <w:color w:val="auto"/>
        </w:rPr>
        <w:t>致：广东有德招标采购有限公司</w:t>
      </w:r>
    </w:p>
    <w:p w14:paraId="22887260">
      <w:pPr>
        <w:pStyle w:val="36"/>
        <w:spacing w:line="360" w:lineRule="auto"/>
        <w:ind w:firstLine="450" w:firstLineChars="0"/>
        <w:rPr>
          <w:rFonts w:ascii="黑体" w:hAnsi="黑体" w:eastAsia="黑体"/>
          <w:color w:val="auto"/>
          <w:sz w:val="21"/>
          <w:szCs w:val="21"/>
        </w:rPr>
      </w:pPr>
      <w:r>
        <w:rPr>
          <w:rFonts w:hint="eastAsia" w:ascii="黑体" w:hAnsi="黑体" w:eastAsia="黑体"/>
          <w:color w:val="auto"/>
          <w:sz w:val="21"/>
          <w:szCs w:val="21"/>
        </w:rPr>
        <w:t>本人</w:t>
      </w:r>
      <w:r>
        <w:rPr>
          <w:rFonts w:ascii="黑体" w:hAnsi="黑体" w:eastAsia="黑体"/>
          <w:color w:val="auto"/>
          <w:sz w:val="21"/>
          <w:szCs w:val="21"/>
          <w:u w:val="single"/>
        </w:rPr>
        <w:t xml:space="preserve">   </w:t>
      </w:r>
      <w:r>
        <w:rPr>
          <w:rFonts w:hint="eastAsia" w:ascii="黑体" w:hAnsi="黑体" w:eastAsia="黑体"/>
          <w:color w:val="auto"/>
          <w:sz w:val="21"/>
          <w:szCs w:val="21"/>
          <w:u w:val="single"/>
        </w:rPr>
        <w:t>（姓名）</w:t>
      </w:r>
      <w:r>
        <w:rPr>
          <w:rFonts w:ascii="黑体" w:hAnsi="黑体" w:eastAsia="黑体"/>
          <w:color w:val="auto"/>
          <w:sz w:val="21"/>
          <w:szCs w:val="21"/>
          <w:u w:val="single"/>
        </w:rPr>
        <w:t xml:space="preserve">  </w:t>
      </w:r>
      <w:r>
        <w:rPr>
          <w:rFonts w:hint="eastAsia" w:ascii="黑体" w:hAnsi="黑体" w:eastAsia="黑体"/>
          <w:color w:val="auto"/>
          <w:sz w:val="21"/>
          <w:szCs w:val="21"/>
        </w:rPr>
        <w:t>系</w:t>
      </w:r>
      <w:r>
        <w:rPr>
          <w:rFonts w:ascii="黑体" w:hAnsi="黑体" w:eastAsia="黑体"/>
          <w:color w:val="auto"/>
          <w:sz w:val="21"/>
          <w:szCs w:val="21"/>
          <w:u w:val="single"/>
        </w:rPr>
        <w:t xml:space="preserve">     （投标人名称）    </w:t>
      </w:r>
      <w:r>
        <w:rPr>
          <w:rFonts w:hint="eastAsia" w:ascii="黑体" w:hAnsi="黑体" w:eastAsia="黑体"/>
          <w:color w:val="auto"/>
          <w:sz w:val="21"/>
          <w:szCs w:val="21"/>
        </w:rPr>
        <w:t>的法定代表人，现委托</w:t>
      </w:r>
      <w:r>
        <w:rPr>
          <w:rFonts w:ascii="黑体" w:hAnsi="黑体" w:eastAsia="黑体"/>
          <w:color w:val="auto"/>
          <w:sz w:val="21"/>
          <w:szCs w:val="21"/>
          <w:u w:val="single"/>
        </w:rPr>
        <w:t xml:space="preserve"> （姓名） </w:t>
      </w:r>
      <w:r>
        <w:rPr>
          <w:rFonts w:hint="eastAsia" w:ascii="黑体" w:hAnsi="黑体" w:eastAsia="黑体"/>
          <w:color w:val="auto"/>
          <w:sz w:val="21"/>
          <w:szCs w:val="21"/>
        </w:rPr>
        <w:t>为我方合法代理人。代理人根据授权，以我方名义签署、澄清、说明、补正、递交、撤回、修改</w:t>
      </w:r>
      <w:r>
        <w:rPr>
          <w:rFonts w:ascii="黑体" w:hAnsi="黑体" w:eastAsia="黑体"/>
          <w:color w:val="auto"/>
          <w:sz w:val="21"/>
          <w:szCs w:val="21"/>
          <w:u w:val="single"/>
        </w:rPr>
        <w:t xml:space="preserve">          （项目名称）      </w:t>
      </w:r>
      <w:r>
        <w:rPr>
          <w:rFonts w:hint="eastAsia" w:ascii="黑体" w:hAnsi="黑体" w:eastAsia="黑体"/>
          <w:color w:val="auto"/>
          <w:sz w:val="21"/>
          <w:szCs w:val="21"/>
        </w:rPr>
        <w:t>（项目编号：</w:t>
      </w:r>
      <w:r>
        <w:rPr>
          <w:rFonts w:hint="eastAsia" w:ascii="黑体" w:hAnsi="黑体" w:eastAsia="黑体"/>
          <w:color w:val="auto"/>
          <w:sz w:val="21"/>
          <w:szCs w:val="21"/>
          <w:u w:val="single"/>
        </w:rPr>
        <w:t>　　</w:t>
      </w:r>
      <w:r>
        <w:rPr>
          <w:rFonts w:ascii="黑体" w:hAnsi="黑体" w:eastAsia="黑体"/>
          <w:color w:val="auto"/>
          <w:sz w:val="21"/>
          <w:szCs w:val="21"/>
          <w:u w:val="single"/>
        </w:rPr>
        <w:t xml:space="preserve">     </w:t>
      </w:r>
      <w:r>
        <w:rPr>
          <w:rFonts w:hint="eastAsia" w:ascii="黑体" w:hAnsi="黑体" w:eastAsia="黑体"/>
          <w:color w:val="auto"/>
          <w:sz w:val="21"/>
          <w:szCs w:val="21"/>
          <w:u w:val="single"/>
        </w:rPr>
        <w:t>　</w:t>
      </w:r>
      <w:r>
        <w:rPr>
          <w:rFonts w:hint="eastAsia" w:ascii="黑体" w:hAnsi="黑体" w:eastAsia="黑体"/>
          <w:color w:val="auto"/>
          <w:sz w:val="21"/>
          <w:szCs w:val="21"/>
        </w:rPr>
        <w:t>）投标文件、签订合同和处理有关事宜，其法律后果由我方承担。</w:t>
      </w:r>
    </w:p>
    <w:p w14:paraId="48EA545D">
      <w:pPr>
        <w:pStyle w:val="36"/>
        <w:spacing w:line="360" w:lineRule="auto"/>
        <w:ind w:firstLine="428" w:firstLineChars="204"/>
        <w:rPr>
          <w:rFonts w:ascii="黑体" w:hAnsi="黑体" w:eastAsia="黑体"/>
          <w:color w:val="auto"/>
          <w:sz w:val="21"/>
          <w:szCs w:val="21"/>
        </w:rPr>
      </w:pPr>
      <w:r>
        <w:rPr>
          <w:rFonts w:hint="eastAsia" w:ascii="黑体" w:hAnsi="黑体" w:eastAsia="黑体"/>
          <w:color w:val="auto"/>
          <w:sz w:val="21"/>
          <w:szCs w:val="21"/>
        </w:rPr>
        <w:t>本委托书于</w:t>
      </w:r>
      <w:r>
        <w:rPr>
          <w:rFonts w:hint="eastAsia" w:ascii="黑体" w:hAnsi="黑体" w:eastAsia="黑体"/>
          <w:color w:val="auto"/>
          <w:sz w:val="21"/>
          <w:szCs w:val="21"/>
          <w:u w:val="single"/>
        </w:rPr>
        <w:t>　</w:t>
      </w:r>
      <w:r>
        <w:rPr>
          <w:rFonts w:ascii="黑体" w:hAnsi="黑体" w:eastAsia="黑体"/>
          <w:color w:val="auto"/>
          <w:sz w:val="21"/>
          <w:szCs w:val="21"/>
          <w:u w:val="single"/>
        </w:rPr>
        <w:t xml:space="preserve">    </w:t>
      </w:r>
      <w:r>
        <w:rPr>
          <w:rFonts w:hint="eastAsia" w:ascii="黑体" w:hAnsi="黑体" w:eastAsia="黑体"/>
          <w:color w:val="auto"/>
          <w:sz w:val="21"/>
          <w:szCs w:val="21"/>
        </w:rPr>
        <w:t>年</w:t>
      </w:r>
      <w:r>
        <w:rPr>
          <w:rFonts w:hint="eastAsia" w:ascii="黑体" w:hAnsi="黑体" w:eastAsia="黑体"/>
          <w:color w:val="auto"/>
          <w:sz w:val="21"/>
          <w:szCs w:val="21"/>
          <w:u w:val="single"/>
        </w:rPr>
        <w:t>　</w:t>
      </w:r>
      <w:r>
        <w:rPr>
          <w:rFonts w:ascii="黑体" w:hAnsi="黑体" w:eastAsia="黑体"/>
          <w:color w:val="auto"/>
          <w:sz w:val="21"/>
          <w:szCs w:val="21"/>
          <w:u w:val="single"/>
        </w:rPr>
        <w:t xml:space="preserve"> </w:t>
      </w:r>
      <w:r>
        <w:rPr>
          <w:rFonts w:hint="eastAsia" w:ascii="黑体" w:hAnsi="黑体" w:eastAsia="黑体"/>
          <w:color w:val="auto"/>
          <w:sz w:val="21"/>
          <w:szCs w:val="21"/>
        </w:rPr>
        <w:t>月</w:t>
      </w:r>
      <w:r>
        <w:rPr>
          <w:rFonts w:hint="eastAsia" w:ascii="黑体" w:hAnsi="黑体" w:eastAsia="黑体"/>
          <w:color w:val="auto"/>
          <w:sz w:val="21"/>
          <w:szCs w:val="21"/>
          <w:u w:val="single"/>
        </w:rPr>
        <w:t>　</w:t>
      </w:r>
      <w:r>
        <w:rPr>
          <w:rFonts w:ascii="黑体" w:hAnsi="黑体" w:eastAsia="黑体"/>
          <w:color w:val="auto"/>
          <w:sz w:val="21"/>
          <w:szCs w:val="21"/>
          <w:u w:val="single"/>
        </w:rPr>
        <w:t xml:space="preserve"> </w:t>
      </w:r>
      <w:r>
        <w:rPr>
          <w:rFonts w:hint="eastAsia" w:ascii="黑体" w:hAnsi="黑体" w:eastAsia="黑体"/>
          <w:color w:val="auto"/>
          <w:sz w:val="21"/>
          <w:szCs w:val="21"/>
        </w:rPr>
        <w:t>日签字生效，特此证明。</w:t>
      </w:r>
    </w:p>
    <w:p w14:paraId="1525B531">
      <w:pPr>
        <w:pStyle w:val="36"/>
        <w:spacing w:line="360" w:lineRule="auto"/>
        <w:ind w:firstLine="428" w:firstLineChars="204"/>
        <w:rPr>
          <w:rFonts w:ascii="黑体" w:hAnsi="黑体" w:eastAsia="黑体"/>
          <w:color w:val="auto"/>
          <w:sz w:val="21"/>
          <w:szCs w:val="21"/>
        </w:rPr>
      </w:pPr>
    </w:p>
    <w:p w14:paraId="6E93B12C">
      <w:pPr>
        <w:pStyle w:val="36"/>
        <w:spacing w:line="360" w:lineRule="auto"/>
        <w:ind w:firstLine="0" w:firstLineChars="0"/>
        <w:rPr>
          <w:rFonts w:ascii="黑体" w:hAnsi="黑体" w:eastAsia="黑体"/>
          <w:color w:val="auto"/>
          <w:sz w:val="21"/>
          <w:szCs w:val="21"/>
        </w:rPr>
      </w:pPr>
    </w:p>
    <w:p w14:paraId="2413D83F">
      <w:pPr>
        <w:pStyle w:val="36"/>
        <w:spacing w:line="360" w:lineRule="auto"/>
        <w:ind w:firstLine="0" w:firstLineChars="0"/>
        <w:rPr>
          <w:rFonts w:ascii="黑体" w:hAnsi="黑体" w:eastAsia="黑体"/>
          <w:color w:val="auto"/>
          <w:sz w:val="21"/>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02"/>
        <w:gridCol w:w="5726"/>
      </w:tblGrid>
      <w:tr w14:paraId="06610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108F6E8B">
            <w:pPr>
              <w:pStyle w:val="36"/>
              <w:spacing w:line="360" w:lineRule="auto"/>
              <w:ind w:firstLine="0" w:firstLineChars="0"/>
              <w:rPr>
                <w:rFonts w:ascii="黑体" w:hAnsi="黑体" w:eastAsia="黑体"/>
                <w:color w:val="auto"/>
                <w:sz w:val="21"/>
                <w:szCs w:val="21"/>
              </w:rPr>
            </w:pPr>
          </w:p>
        </w:tc>
        <w:tc>
          <w:tcPr>
            <w:tcW w:w="5726" w:type="dxa"/>
          </w:tcPr>
          <w:p w14:paraId="1544D5BE">
            <w:pPr>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r>
      <w:tr w14:paraId="20821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37BB48B2">
            <w:pPr>
              <w:pStyle w:val="36"/>
              <w:spacing w:line="360" w:lineRule="auto"/>
              <w:ind w:firstLine="0" w:firstLineChars="0"/>
              <w:rPr>
                <w:rFonts w:ascii="黑体" w:hAnsi="黑体" w:eastAsia="黑体"/>
                <w:color w:val="auto"/>
                <w:sz w:val="21"/>
                <w:szCs w:val="21"/>
              </w:rPr>
            </w:pPr>
          </w:p>
        </w:tc>
        <w:tc>
          <w:tcPr>
            <w:tcW w:w="5726" w:type="dxa"/>
          </w:tcPr>
          <w:p w14:paraId="68E7F8E1">
            <w:pPr>
              <w:spacing w:line="360" w:lineRule="auto"/>
              <w:rPr>
                <w:rFonts w:ascii="黑体" w:hAnsi="黑体" w:eastAsia="黑体"/>
                <w:color w:val="auto"/>
                <w:szCs w:val="21"/>
              </w:rPr>
            </w:pPr>
            <w:r>
              <w:rPr>
                <w:rFonts w:hint="eastAsia" w:ascii="黑体" w:hAnsi="黑体" w:eastAsia="黑体"/>
                <w:color w:val="auto"/>
                <w:szCs w:val="21"/>
              </w:rPr>
              <w:t>法定代表人（签名或盖私章）：</w:t>
            </w:r>
            <w:r>
              <w:rPr>
                <w:rFonts w:ascii="黑体" w:hAnsi="黑体" w:eastAsia="黑体"/>
                <w:color w:val="auto"/>
                <w:szCs w:val="21"/>
                <w:u w:val="single"/>
              </w:rPr>
              <w:t xml:space="preserve">                         </w:t>
            </w:r>
          </w:p>
        </w:tc>
      </w:tr>
      <w:tr w14:paraId="6400F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4298DA62">
            <w:pPr>
              <w:pStyle w:val="36"/>
              <w:spacing w:line="360" w:lineRule="auto"/>
              <w:ind w:firstLine="0" w:firstLineChars="0"/>
              <w:rPr>
                <w:rFonts w:ascii="黑体" w:hAnsi="黑体" w:eastAsia="黑体"/>
                <w:color w:val="auto"/>
                <w:sz w:val="21"/>
                <w:szCs w:val="21"/>
              </w:rPr>
            </w:pPr>
          </w:p>
        </w:tc>
        <w:tc>
          <w:tcPr>
            <w:tcW w:w="5726" w:type="dxa"/>
          </w:tcPr>
          <w:p w14:paraId="3C3879B2">
            <w:pPr>
              <w:spacing w:line="360" w:lineRule="auto"/>
              <w:rPr>
                <w:rFonts w:ascii="黑体" w:hAnsi="黑体" w:eastAsia="黑体"/>
                <w:color w:val="auto"/>
                <w:szCs w:val="21"/>
              </w:rPr>
            </w:pPr>
            <w:r>
              <w:rPr>
                <w:rFonts w:hint="eastAsia" w:ascii="黑体" w:hAnsi="黑体" w:eastAsia="黑体"/>
                <w:color w:val="auto"/>
                <w:szCs w:val="21"/>
              </w:rPr>
              <w:t>职务：</w:t>
            </w:r>
            <w:r>
              <w:rPr>
                <w:rFonts w:ascii="黑体" w:hAnsi="黑体" w:eastAsia="黑体"/>
                <w:color w:val="auto"/>
                <w:szCs w:val="21"/>
                <w:u w:val="single"/>
              </w:rPr>
              <w:t xml:space="preserve">                                              </w:t>
            </w:r>
          </w:p>
        </w:tc>
      </w:tr>
      <w:tr w14:paraId="180C5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5A3FEBCE">
            <w:pPr>
              <w:pStyle w:val="36"/>
              <w:spacing w:line="360" w:lineRule="auto"/>
              <w:ind w:firstLine="0" w:firstLineChars="0"/>
              <w:rPr>
                <w:rFonts w:ascii="黑体" w:hAnsi="黑体" w:eastAsia="黑体"/>
                <w:color w:val="auto"/>
                <w:sz w:val="21"/>
                <w:szCs w:val="21"/>
              </w:rPr>
            </w:pPr>
          </w:p>
        </w:tc>
        <w:tc>
          <w:tcPr>
            <w:tcW w:w="5726" w:type="dxa"/>
          </w:tcPr>
          <w:p w14:paraId="696529FD">
            <w:pPr>
              <w:spacing w:line="360" w:lineRule="auto"/>
              <w:rPr>
                <w:rFonts w:ascii="黑体" w:hAnsi="黑体" w:eastAsia="黑体"/>
                <w:color w:val="auto"/>
                <w:szCs w:val="21"/>
              </w:rPr>
            </w:pPr>
            <w:r>
              <w:rPr>
                <w:rFonts w:hint="eastAsia" w:ascii="黑体" w:hAnsi="黑体" w:eastAsia="黑体"/>
                <w:color w:val="auto"/>
                <w:szCs w:val="21"/>
              </w:rPr>
              <w:t>被授权人（签名或盖私章）：</w:t>
            </w:r>
            <w:r>
              <w:rPr>
                <w:rFonts w:ascii="黑体" w:hAnsi="黑体" w:eastAsia="黑体"/>
                <w:color w:val="auto"/>
                <w:szCs w:val="21"/>
                <w:u w:val="single"/>
              </w:rPr>
              <w:t xml:space="preserve">                           </w:t>
            </w:r>
          </w:p>
        </w:tc>
      </w:tr>
      <w:tr w14:paraId="0518D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2B03807C">
            <w:pPr>
              <w:pStyle w:val="36"/>
              <w:spacing w:line="360" w:lineRule="auto"/>
              <w:ind w:firstLine="0" w:firstLineChars="0"/>
              <w:rPr>
                <w:rFonts w:ascii="黑体" w:hAnsi="黑体" w:eastAsia="黑体"/>
                <w:color w:val="auto"/>
                <w:sz w:val="21"/>
                <w:szCs w:val="21"/>
              </w:rPr>
            </w:pPr>
          </w:p>
        </w:tc>
        <w:tc>
          <w:tcPr>
            <w:tcW w:w="5726" w:type="dxa"/>
          </w:tcPr>
          <w:p w14:paraId="379D10C0">
            <w:pPr>
              <w:spacing w:line="360" w:lineRule="auto"/>
              <w:rPr>
                <w:rFonts w:ascii="黑体" w:hAnsi="黑体" w:eastAsia="黑体"/>
                <w:color w:val="auto"/>
                <w:szCs w:val="21"/>
              </w:rPr>
            </w:pPr>
            <w:r>
              <w:rPr>
                <w:rFonts w:hint="eastAsia" w:ascii="黑体" w:hAnsi="黑体" w:eastAsia="黑体"/>
                <w:color w:val="auto"/>
                <w:szCs w:val="21"/>
              </w:rPr>
              <w:t>职务：</w:t>
            </w:r>
            <w:r>
              <w:rPr>
                <w:rFonts w:ascii="黑体" w:hAnsi="黑体" w:eastAsia="黑体"/>
                <w:color w:val="auto"/>
                <w:szCs w:val="21"/>
                <w:u w:val="single"/>
              </w:rPr>
              <w:t xml:space="preserve">                                              </w:t>
            </w:r>
          </w:p>
        </w:tc>
      </w:tr>
      <w:tr w14:paraId="35134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02" w:type="dxa"/>
          </w:tcPr>
          <w:p w14:paraId="3BAFE078">
            <w:pPr>
              <w:pStyle w:val="36"/>
              <w:spacing w:line="360" w:lineRule="auto"/>
              <w:ind w:firstLine="0" w:firstLineChars="0"/>
              <w:rPr>
                <w:rFonts w:ascii="黑体" w:hAnsi="黑体" w:eastAsia="黑体"/>
                <w:color w:val="auto"/>
                <w:sz w:val="21"/>
                <w:szCs w:val="21"/>
              </w:rPr>
            </w:pPr>
          </w:p>
        </w:tc>
        <w:tc>
          <w:tcPr>
            <w:tcW w:w="5726" w:type="dxa"/>
          </w:tcPr>
          <w:p w14:paraId="74380FCE">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r>
    </w:tbl>
    <w:p w14:paraId="78B6EF3D">
      <w:pPr>
        <w:pStyle w:val="36"/>
        <w:spacing w:line="360" w:lineRule="auto"/>
        <w:ind w:firstLine="0" w:firstLineChars="0"/>
        <w:rPr>
          <w:rFonts w:ascii="黑体" w:hAnsi="黑体" w:eastAsia="黑体"/>
          <w:color w:val="auto"/>
          <w:sz w:val="21"/>
          <w:szCs w:val="21"/>
        </w:rPr>
      </w:pPr>
    </w:p>
    <w:p w14:paraId="3DF0143D">
      <w:pPr>
        <w:pStyle w:val="36"/>
        <w:spacing w:line="360" w:lineRule="auto"/>
        <w:ind w:firstLine="0" w:firstLineChars="0"/>
        <w:rPr>
          <w:rFonts w:ascii="黑体" w:hAnsi="黑体" w:eastAsia="黑体"/>
          <w:color w:val="auto"/>
          <w:sz w:val="21"/>
          <w:szCs w:val="21"/>
        </w:rPr>
      </w:pPr>
    </w:p>
    <w:p w14:paraId="7F77BCA0">
      <w:pPr>
        <w:spacing w:after="156" w:afterLines="50" w:line="360" w:lineRule="auto"/>
        <w:rPr>
          <w:rFonts w:ascii="黑体" w:hAnsi="黑体" w:eastAsia="黑体"/>
          <w:color w:val="auto"/>
          <w:szCs w:val="21"/>
        </w:rPr>
      </w:pPr>
      <w:r>
        <w:rPr>
          <w:rFonts w:hint="eastAsia" w:ascii="黑体" w:hAnsi="黑体" w:eastAsia="黑体"/>
          <w:color w:val="auto"/>
          <w:szCs w:val="21"/>
        </w:rPr>
        <w:t>须附：被授权人有效期内身份证复印件</w:t>
      </w:r>
    </w:p>
    <w:tbl>
      <w:tblPr>
        <w:tblStyle w:val="20"/>
        <w:tblW w:w="5000" w:type="pct"/>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383"/>
        <w:gridCol w:w="4384"/>
      </w:tblGrid>
      <w:tr w14:paraId="5948883F">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310" w:hRule="atLeast"/>
          <w:jc w:val="center"/>
        </w:trPr>
        <w:tc>
          <w:tcPr>
            <w:tcW w:w="2500" w:type="pct"/>
            <w:vAlign w:val="center"/>
          </w:tcPr>
          <w:p w14:paraId="0A675F93">
            <w:pPr>
              <w:pStyle w:val="36"/>
              <w:spacing w:line="460" w:lineRule="exact"/>
              <w:ind w:firstLine="0" w:firstLineChars="0"/>
              <w:jc w:val="center"/>
              <w:rPr>
                <w:rFonts w:ascii="黑体" w:hAnsi="黑体" w:eastAsia="黑体"/>
                <w:color w:val="auto"/>
                <w:sz w:val="22"/>
                <w:szCs w:val="22"/>
              </w:rPr>
            </w:pPr>
            <w:r>
              <w:rPr>
                <w:rFonts w:hint="eastAsia" w:ascii="黑体" w:hAnsi="黑体" w:eastAsia="黑体"/>
                <w:color w:val="auto"/>
                <w:sz w:val="22"/>
                <w:szCs w:val="22"/>
              </w:rPr>
              <w:t>正面</w:t>
            </w:r>
          </w:p>
        </w:tc>
        <w:tc>
          <w:tcPr>
            <w:tcW w:w="2500" w:type="pct"/>
            <w:vAlign w:val="center"/>
          </w:tcPr>
          <w:p w14:paraId="26EE1B0F">
            <w:pPr>
              <w:pStyle w:val="36"/>
              <w:spacing w:line="460" w:lineRule="exact"/>
              <w:ind w:firstLine="0" w:firstLineChars="0"/>
              <w:jc w:val="center"/>
              <w:rPr>
                <w:rFonts w:ascii="黑体" w:hAnsi="黑体" w:eastAsia="黑体"/>
                <w:color w:val="auto"/>
                <w:sz w:val="22"/>
                <w:szCs w:val="22"/>
              </w:rPr>
            </w:pPr>
            <w:r>
              <w:rPr>
                <w:rFonts w:hint="eastAsia" w:ascii="黑体" w:hAnsi="黑体" w:eastAsia="黑体"/>
                <w:color w:val="auto"/>
                <w:sz w:val="22"/>
                <w:szCs w:val="22"/>
              </w:rPr>
              <w:t>背面</w:t>
            </w:r>
          </w:p>
        </w:tc>
      </w:tr>
    </w:tbl>
    <w:p w14:paraId="46A15A35">
      <w:pPr>
        <w:pStyle w:val="30"/>
        <w:pageBreakBefore/>
        <w:numPr>
          <w:ilvl w:val="0"/>
          <w:numId w:val="82"/>
        </w:numPr>
        <w:tabs>
          <w:tab w:val="left" w:pos="284"/>
          <w:tab w:val="left" w:pos="426"/>
        </w:tabs>
        <w:ind w:left="1679" w:hanging="1679" w:firstLineChars="0"/>
        <w:jc w:val="left"/>
        <w:rPr>
          <w:rFonts w:ascii="黑体" w:hAnsi="黑体" w:eastAsia="黑体"/>
          <w:b/>
          <w:bCs/>
          <w:color w:val="auto"/>
        </w:rPr>
      </w:pPr>
      <w:bookmarkStart w:id="91" w:name="_Toc405313964"/>
      <w:bookmarkStart w:id="92" w:name="_Toc391627760"/>
      <w:r>
        <w:rPr>
          <w:rFonts w:hint="eastAsia" w:ascii="黑体" w:hAnsi="黑体" w:eastAsia="黑体"/>
          <w:b/>
          <w:bCs/>
          <w:color w:val="auto"/>
        </w:rPr>
        <w:t>投标人基本情况说明</w:t>
      </w:r>
      <w:bookmarkEnd w:id="91"/>
      <w:bookmarkEnd w:id="92"/>
    </w:p>
    <w:p w14:paraId="2840AB8F">
      <w:pPr>
        <w:spacing w:before="156" w:beforeLines="50" w:after="156" w:afterLines="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投标人基本情况说明</w:t>
      </w:r>
    </w:p>
    <w:p w14:paraId="70F63A2C">
      <w:pPr>
        <w:pStyle w:val="30"/>
        <w:numPr>
          <w:ilvl w:val="0"/>
          <w:numId w:val="90"/>
        </w:numPr>
        <w:spacing w:after="156" w:afterLines="50" w:line="360" w:lineRule="auto"/>
        <w:ind w:firstLineChars="0"/>
        <w:rPr>
          <w:rFonts w:ascii="黑体" w:hAnsi="黑体" w:eastAsia="黑体"/>
          <w:color w:val="auto"/>
          <w:szCs w:val="21"/>
        </w:rPr>
      </w:pPr>
      <w:r>
        <w:rPr>
          <w:rFonts w:ascii="黑体" w:hAnsi="黑体" w:eastAsia="黑体"/>
          <w:color w:val="auto"/>
          <w:szCs w:val="21"/>
        </w:rPr>
        <w:t>公司基本情况</w:t>
      </w:r>
    </w:p>
    <w:tbl>
      <w:tblPr>
        <w:tblStyle w:val="2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53"/>
        <w:gridCol w:w="2439"/>
        <w:gridCol w:w="1068"/>
        <w:gridCol w:w="1410"/>
        <w:gridCol w:w="2097"/>
      </w:tblGrid>
      <w:tr w14:paraId="589D6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14:paraId="46BAFC3E">
            <w:pPr>
              <w:spacing w:line="360" w:lineRule="auto"/>
              <w:rPr>
                <w:rFonts w:ascii="黑体" w:hAnsi="黑体" w:eastAsia="黑体"/>
                <w:color w:val="auto"/>
                <w:szCs w:val="21"/>
              </w:rPr>
            </w:pPr>
            <w:r>
              <w:rPr>
                <w:rFonts w:ascii="黑体" w:hAnsi="黑体" w:eastAsia="黑体"/>
                <w:color w:val="auto"/>
                <w:szCs w:val="21"/>
              </w:rPr>
              <w:t>公司名称：</w:t>
            </w:r>
            <w:r>
              <w:rPr>
                <w:rFonts w:ascii="黑体" w:hAnsi="黑体" w:eastAsia="黑体"/>
                <w:color w:val="auto"/>
                <w:szCs w:val="21"/>
                <w:u w:val="single"/>
              </w:rPr>
              <w:t xml:space="preserve">           </w:t>
            </w:r>
            <w:r>
              <w:rPr>
                <w:rFonts w:hint="eastAsia" w:ascii="黑体" w:hAnsi="黑体" w:eastAsia="黑体"/>
                <w:color w:val="auto"/>
                <w:szCs w:val="21"/>
                <w:u w:val="single"/>
              </w:rPr>
              <w:t xml:space="preserve">                    </w:t>
            </w:r>
            <w:r>
              <w:rPr>
                <w:rFonts w:ascii="黑体" w:hAnsi="黑体" w:eastAsia="黑体"/>
                <w:color w:val="auto"/>
                <w:szCs w:val="21"/>
                <w:u w:val="single"/>
              </w:rPr>
              <w:t xml:space="preserve">    </w:t>
            </w:r>
            <w:r>
              <w:rPr>
                <w:rFonts w:ascii="黑体" w:hAnsi="黑体" w:eastAsia="黑体"/>
                <w:color w:val="auto"/>
                <w:szCs w:val="21"/>
              </w:rPr>
              <w:t xml:space="preserve"> </w:t>
            </w:r>
          </w:p>
        </w:tc>
        <w:tc>
          <w:tcPr>
            <w:tcW w:w="2000" w:type="pct"/>
            <w:gridSpan w:val="2"/>
          </w:tcPr>
          <w:p w14:paraId="2A340FA5">
            <w:pPr>
              <w:spacing w:line="360" w:lineRule="auto"/>
              <w:rPr>
                <w:rFonts w:ascii="黑体" w:hAnsi="黑体" w:eastAsia="黑体"/>
                <w:color w:val="auto"/>
                <w:szCs w:val="21"/>
              </w:rPr>
            </w:pPr>
            <w:r>
              <w:rPr>
                <w:rFonts w:hint="eastAsia" w:ascii="黑体" w:hAnsi="黑体" w:eastAsia="黑体"/>
                <w:color w:val="auto"/>
                <w:szCs w:val="21"/>
              </w:rPr>
              <w:t>公司固话：</w:t>
            </w:r>
            <w:r>
              <w:rPr>
                <w:rFonts w:hint="eastAsia" w:ascii="黑体" w:hAnsi="黑体" w:eastAsia="黑体"/>
                <w:color w:val="auto"/>
                <w:szCs w:val="21"/>
                <w:u w:val="single"/>
              </w:rPr>
              <w:t xml:space="preserve">                    </w:t>
            </w:r>
          </w:p>
        </w:tc>
      </w:tr>
      <w:tr w14:paraId="6D2BA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14:paraId="300E552D">
            <w:pPr>
              <w:spacing w:line="360" w:lineRule="auto"/>
              <w:rPr>
                <w:rFonts w:ascii="黑体" w:hAnsi="黑体" w:eastAsia="黑体"/>
                <w:color w:val="auto"/>
                <w:szCs w:val="21"/>
              </w:rPr>
            </w:pPr>
            <w:r>
              <w:rPr>
                <w:rFonts w:hint="eastAsia" w:ascii="黑体" w:hAnsi="黑体" w:eastAsia="黑体"/>
                <w:color w:val="auto"/>
                <w:szCs w:val="21"/>
              </w:rPr>
              <w:t>单位地址：</w:t>
            </w:r>
            <w:r>
              <w:rPr>
                <w:rFonts w:hint="eastAsia" w:ascii="黑体" w:hAnsi="黑体" w:eastAsia="黑体"/>
                <w:color w:val="auto"/>
                <w:szCs w:val="21"/>
                <w:u w:val="single"/>
              </w:rPr>
              <w:t xml:space="preserve">                                    </w:t>
            </w:r>
          </w:p>
        </w:tc>
        <w:tc>
          <w:tcPr>
            <w:tcW w:w="2000" w:type="pct"/>
            <w:gridSpan w:val="2"/>
          </w:tcPr>
          <w:p w14:paraId="7D625253">
            <w:pPr>
              <w:spacing w:line="360" w:lineRule="auto"/>
              <w:rPr>
                <w:rFonts w:ascii="黑体" w:hAnsi="黑体" w:eastAsia="黑体"/>
                <w:color w:val="auto"/>
                <w:szCs w:val="21"/>
              </w:rPr>
            </w:pPr>
            <w:r>
              <w:rPr>
                <w:rFonts w:hint="eastAsia" w:ascii="黑体" w:hAnsi="黑体" w:eastAsia="黑体"/>
                <w:color w:val="auto"/>
                <w:szCs w:val="21"/>
              </w:rPr>
              <w:t>公司传真：</w:t>
            </w:r>
            <w:r>
              <w:rPr>
                <w:rFonts w:hint="eastAsia" w:ascii="黑体" w:hAnsi="黑体" w:eastAsia="黑体"/>
                <w:color w:val="auto"/>
                <w:szCs w:val="21"/>
                <w:u w:val="single"/>
              </w:rPr>
              <w:t xml:space="preserve">                    </w:t>
            </w:r>
          </w:p>
        </w:tc>
      </w:tr>
      <w:tr w14:paraId="7DB7C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14:paraId="7E254CF2">
            <w:pPr>
              <w:spacing w:line="360" w:lineRule="auto"/>
              <w:rPr>
                <w:rFonts w:ascii="黑体" w:hAnsi="黑体" w:eastAsia="黑体"/>
                <w:color w:val="auto"/>
                <w:szCs w:val="21"/>
              </w:rPr>
            </w:pPr>
            <w:r>
              <w:rPr>
                <w:rFonts w:hint="eastAsia" w:ascii="黑体" w:hAnsi="黑体" w:eastAsia="黑体"/>
                <w:color w:val="auto"/>
                <w:szCs w:val="21"/>
              </w:rPr>
              <w:t>注册资金：</w:t>
            </w:r>
            <w:r>
              <w:rPr>
                <w:rFonts w:hint="eastAsia" w:ascii="黑体" w:hAnsi="黑体" w:eastAsia="黑体"/>
                <w:color w:val="auto"/>
                <w:szCs w:val="21"/>
                <w:u w:val="single"/>
              </w:rPr>
              <w:t xml:space="preserve">                                    </w:t>
            </w:r>
          </w:p>
        </w:tc>
        <w:tc>
          <w:tcPr>
            <w:tcW w:w="2000" w:type="pct"/>
            <w:gridSpan w:val="2"/>
          </w:tcPr>
          <w:p w14:paraId="6CB6B8C3">
            <w:pPr>
              <w:spacing w:line="360" w:lineRule="auto"/>
              <w:rPr>
                <w:rFonts w:ascii="黑体" w:hAnsi="黑体" w:eastAsia="黑体"/>
                <w:color w:val="auto"/>
                <w:szCs w:val="21"/>
              </w:rPr>
            </w:pPr>
            <w:r>
              <w:rPr>
                <w:rFonts w:hint="eastAsia" w:ascii="黑体" w:hAnsi="黑体" w:eastAsia="黑体"/>
                <w:color w:val="auto"/>
                <w:szCs w:val="21"/>
              </w:rPr>
              <w:t>单位性质：</w:t>
            </w:r>
            <w:r>
              <w:rPr>
                <w:rFonts w:hint="eastAsia" w:ascii="黑体" w:hAnsi="黑体" w:eastAsia="黑体"/>
                <w:color w:val="auto"/>
                <w:szCs w:val="21"/>
                <w:u w:val="single"/>
              </w:rPr>
              <w:t xml:space="preserve">                    </w:t>
            </w:r>
          </w:p>
        </w:tc>
      </w:tr>
      <w:tr w14:paraId="6994E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000" w:type="pct"/>
            <w:gridSpan w:val="3"/>
          </w:tcPr>
          <w:p w14:paraId="3DA13CA6">
            <w:pPr>
              <w:spacing w:line="360" w:lineRule="auto"/>
              <w:rPr>
                <w:rFonts w:ascii="黑体" w:hAnsi="黑体" w:eastAsia="黑体"/>
                <w:color w:val="auto"/>
                <w:szCs w:val="21"/>
              </w:rPr>
            </w:pPr>
            <w:r>
              <w:rPr>
                <w:rFonts w:hint="eastAsia" w:ascii="黑体" w:hAnsi="黑体" w:eastAsia="黑体"/>
                <w:color w:val="auto"/>
                <w:szCs w:val="21"/>
              </w:rPr>
              <w:t>公司开户银行名称：</w:t>
            </w:r>
            <w:r>
              <w:rPr>
                <w:rFonts w:hint="eastAsia" w:ascii="黑体" w:hAnsi="黑体" w:eastAsia="黑体"/>
                <w:color w:val="auto"/>
                <w:szCs w:val="21"/>
                <w:u w:val="single"/>
              </w:rPr>
              <w:t xml:space="preserve">                            </w:t>
            </w:r>
          </w:p>
        </w:tc>
        <w:tc>
          <w:tcPr>
            <w:tcW w:w="2000" w:type="pct"/>
            <w:gridSpan w:val="2"/>
          </w:tcPr>
          <w:p w14:paraId="67CC7CB2">
            <w:pPr>
              <w:spacing w:line="360" w:lineRule="auto"/>
              <w:rPr>
                <w:rFonts w:ascii="黑体" w:hAnsi="黑体" w:eastAsia="黑体"/>
                <w:color w:val="auto"/>
                <w:szCs w:val="21"/>
              </w:rPr>
            </w:pPr>
            <w:r>
              <w:rPr>
                <w:rFonts w:hint="eastAsia" w:ascii="黑体" w:hAnsi="黑体" w:eastAsia="黑体"/>
                <w:color w:val="auto"/>
                <w:szCs w:val="21"/>
              </w:rPr>
              <w:t>开户账号：</w:t>
            </w:r>
            <w:r>
              <w:rPr>
                <w:rFonts w:hint="eastAsia" w:ascii="黑体" w:hAnsi="黑体" w:eastAsia="黑体"/>
                <w:color w:val="auto"/>
                <w:szCs w:val="21"/>
                <w:u w:val="single"/>
              </w:rPr>
              <w:t xml:space="preserve">                    </w:t>
            </w:r>
          </w:p>
        </w:tc>
      </w:tr>
      <w:tr w14:paraId="73CD7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5"/>
          </w:tcPr>
          <w:p w14:paraId="1717B09D">
            <w:pPr>
              <w:spacing w:line="360" w:lineRule="auto"/>
              <w:rPr>
                <w:rFonts w:ascii="黑体" w:hAnsi="黑体" w:eastAsia="黑体"/>
                <w:color w:val="auto"/>
                <w:szCs w:val="21"/>
              </w:rPr>
            </w:pPr>
            <w:r>
              <w:rPr>
                <w:rFonts w:ascii="黑体" w:hAnsi="黑体" w:eastAsia="黑体"/>
                <w:color w:val="auto"/>
                <w:szCs w:val="21"/>
              </w:rPr>
              <w:t>营业注册执照</w:t>
            </w:r>
            <w:r>
              <w:rPr>
                <w:rFonts w:hint="eastAsia" w:ascii="黑体" w:hAnsi="黑体" w:eastAsia="黑体"/>
                <w:color w:val="auto"/>
                <w:szCs w:val="21"/>
              </w:rPr>
              <w:t>或事业单位法人证书</w:t>
            </w:r>
            <w:r>
              <w:rPr>
                <w:rFonts w:ascii="黑体" w:hAnsi="黑体" w:eastAsia="黑体"/>
                <w:color w:val="auto"/>
                <w:szCs w:val="21"/>
              </w:rPr>
              <w:t>号</w:t>
            </w:r>
            <w:r>
              <w:rPr>
                <w:rFonts w:hint="eastAsia" w:ascii="黑体" w:hAnsi="黑体" w:eastAsia="黑体"/>
                <w:color w:val="auto"/>
                <w:szCs w:val="21"/>
              </w:rPr>
              <w:t>：</w:t>
            </w:r>
            <w:r>
              <w:rPr>
                <w:rFonts w:hint="eastAsia" w:ascii="黑体" w:hAnsi="黑体" w:eastAsia="黑体"/>
                <w:color w:val="auto"/>
                <w:szCs w:val="21"/>
                <w:u w:val="single"/>
              </w:rPr>
              <w:t xml:space="preserve">                                             </w:t>
            </w:r>
          </w:p>
        </w:tc>
      </w:tr>
      <w:tr w14:paraId="6C5B6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5000" w:type="pct"/>
            <w:gridSpan w:val="5"/>
          </w:tcPr>
          <w:p w14:paraId="6CB843D6">
            <w:pPr>
              <w:spacing w:line="360" w:lineRule="auto"/>
              <w:rPr>
                <w:rFonts w:ascii="黑体" w:hAnsi="黑体" w:eastAsia="黑体"/>
                <w:color w:val="auto"/>
                <w:szCs w:val="21"/>
              </w:rPr>
            </w:pPr>
            <w:r>
              <w:rPr>
                <w:rFonts w:hint="eastAsia" w:ascii="黑体" w:hAnsi="黑体" w:eastAsia="黑体"/>
                <w:color w:val="auto"/>
                <w:szCs w:val="21"/>
              </w:rPr>
              <w:t>公司财务状况：（如有）                                  【价格单位：（人民币）元】</w:t>
            </w:r>
          </w:p>
        </w:tc>
      </w:tr>
      <w:tr w14:paraId="2C934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vAlign w:val="center"/>
          </w:tcPr>
          <w:p w14:paraId="03004D0A">
            <w:pPr>
              <w:spacing w:line="360" w:lineRule="auto"/>
              <w:jc w:val="center"/>
              <w:rPr>
                <w:rFonts w:ascii="黑体" w:hAnsi="黑体" w:eastAsia="黑体"/>
                <w:color w:val="auto"/>
                <w:szCs w:val="21"/>
              </w:rPr>
            </w:pPr>
            <w:r>
              <w:rPr>
                <w:rFonts w:hint="eastAsia" w:ascii="黑体" w:hAnsi="黑体" w:eastAsia="黑体"/>
                <w:color w:val="auto"/>
                <w:szCs w:val="21"/>
              </w:rPr>
              <w:t>年  度</w:t>
            </w:r>
          </w:p>
        </w:tc>
        <w:tc>
          <w:tcPr>
            <w:tcW w:w="1391" w:type="pct"/>
            <w:tcBorders>
              <w:top w:val="single" w:color="auto" w:sz="6" w:space="0"/>
              <w:left w:val="single" w:color="auto" w:sz="6" w:space="0"/>
              <w:bottom w:val="single" w:color="auto" w:sz="6" w:space="0"/>
              <w:right w:val="single" w:color="auto" w:sz="6" w:space="0"/>
            </w:tcBorders>
            <w:vAlign w:val="center"/>
          </w:tcPr>
          <w:p w14:paraId="6CAAD391">
            <w:pPr>
              <w:spacing w:line="360" w:lineRule="auto"/>
              <w:jc w:val="center"/>
              <w:rPr>
                <w:rFonts w:ascii="黑体" w:hAnsi="黑体" w:eastAsia="黑体"/>
                <w:color w:val="auto"/>
                <w:szCs w:val="21"/>
              </w:rPr>
            </w:pPr>
            <w:r>
              <w:rPr>
                <w:rFonts w:hint="eastAsia" w:ascii="黑体" w:hAnsi="黑体" w:eastAsia="黑体"/>
                <w:color w:val="auto"/>
                <w:szCs w:val="21"/>
              </w:rPr>
              <w:t>总资产（元）</w:t>
            </w:r>
          </w:p>
        </w:tc>
        <w:tc>
          <w:tcPr>
            <w:tcW w:w="1413" w:type="pct"/>
            <w:gridSpan w:val="2"/>
            <w:tcBorders>
              <w:top w:val="single" w:color="auto" w:sz="6" w:space="0"/>
              <w:left w:val="single" w:color="auto" w:sz="6" w:space="0"/>
              <w:bottom w:val="single" w:color="auto" w:sz="6" w:space="0"/>
              <w:right w:val="single" w:color="auto" w:sz="6" w:space="0"/>
            </w:tcBorders>
            <w:vAlign w:val="center"/>
          </w:tcPr>
          <w:p w14:paraId="5A438E82">
            <w:pPr>
              <w:spacing w:line="360" w:lineRule="auto"/>
              <w:jc w:val="center"/>
              <w:rPr>
                <w:rFonts w:ascii="黑体" w:hAnsi="黑体" w:eastAsia="黑体"/>
                <w:color w:val="auto"/>
                <w:szCs w:val="21"/>
              </w:rPr>
            </w:pPr>
            <w:r>
              <w:rPr>
                <w:rFonts w:hint="eastAsia" w:ascii="黑体" w:hAnsi="黑体" w:eastAsia="黑体"/>
                <w:color w:val="auto"/>
                <w:szCs w:val="21"/>
              </w:rPr>
              <w:t>年营业额（元）</w:t>
            </w:r>
          </w:p>
        </w:tc>
        <w:tc>
          <w:tcPr>
            <w:tcW w:w="1197" w:type="pct"/>
            <w:tcBorders>
              <w:top w:val="single" w:color="auto" w:sz="6" w:space="0"/>
              <w:left w:val="single" w:color="auto" w:sz="6" w:space="0"/>
              <w:bottom w:val="single" w:color="auto" w:sz="6" w:space="0"/>
              <w:right w:val="single" w:color="auto" w:sz="6" w:space="0"/>
            </w:tcBorders>
            <w:vAlign w:val="center"/>
          </w:tcPr>
          <w:p w14:paraId="7745033C">
            <w:pPr>
              <w:spacing w:line="360" w:lineRule="auto"/>
              <w:jc w:val="center"/>
              <w:rPr>
                <w:rFonts w:ascii="黑体" w:hAnsi="黑体" w:eastAsia="黑体"/>
                <w:color w:val="auto"/>
                <w:szCs w:val="21"/>
              </w:rPr>
            </w:pPr>
            <w:r>
              <w:rPr>
                <w:rFonts w:hint="eastAsia" w:ascii="黑体" w:hAnsi="黑体" w:eastAsia="黑体"/>
                <w:color w:val="auto"/>
                <w:szCs w:val="21"/>
              </w:rPr>
              <w:t>年净利润（元）</w:t>
            </w:r>
          </w:p>
        </w:tc>
      </w:tr>
      <w:tr w14:paraId="65EB0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tcPr>
          <w:p w14:paraId="3975D383">
            <w:pPr>
              <w:spacing w:line="360" w:lineRule="auto"/>
              <w:rPr>
                <w:rFonts w:ascii="黑体" w:hAnsi="黑体" w:eastAsia="黑体"/>
                <w:color w:val="auto"/>
                <w:szCs w:val="21"/>
              </w:rPr>
            </w:pPr>
          </w:p>
        </w:tc>
        <w:tc>
          <w:tcPr>
            <w:tcW w:w="1391" w:type="pct"/>
            <w:tcBorders>
              <w:top w:val="single" w:color="auto" w:sz="6" w:space="0"/>
              <w:left w:val="single" w:color="auto" w:sz="6" w:space="0"/>
              <w:bottom w:val="single" w:color="auto" w:sz="6" w:space="0"/>
              <w:right w:val="single" w:color="auto" w:sz="6" w:space="0"/>
            </w:tcBorders>
          </w:tcPr>
          <w:p w14:paraId="53853A7D">
            <w:pPr>
              <w:spacing w:line="360" w:lineRule="auto"/>
              <w:rPr>
                <w:rFonts w:ascii="黑体" w:hAnsi="黑体" w:eastAsia="黑体"/>
                <w:color w:val="auto"/>
                <w:szCs w:val="21"/>
              </w:rPr>
            </w:pPr>
          </w:p>
        </w:tc>
        <w:tc>
          <w:tcPr>
            <w:tcW w:w="1413" w:type="pct"/>
            <w:gridSpan w:val="2"/>
            <w:tcBorders>
              <w:top w:val="single" w:color="auto" w:sz="6" w:space="0"/>
              <w:left w:val="single" w:color="auto" w:sz="6" w:space="0"/>
              <w:bottom w:val="single" w:color="auto" w:sz="6" w:space="0"/>
              <w:right w:val="single" w:color="auto" w:sz="6" w:space="0"/>
            </w:tcBorders>
          </w:tcPr>
          <w:p w14:paraId="3A96B1DC">
            <w:pPr>
              <w:spacing w:line="360" w:lineRule="auto"/>
              <w:rPr>
                <w:rFonts w:ascii="黑体" w:hAnsi="黑体" w:eastAsia="黑体"/>
                <w:color w:val="auto"/>
                <w:szCs w:val="21"/>
              </w:rPr>
            </w:pPr>
          </w:p>
        </w:tc>
        <w:tc>
          <w:tcPr>
            <w:tcW w:w="1197" w:type="pct"/>
            <w:tcBorders>
              <w:top w:val="single" w:color="auto" w:sz="6" w:space="0"/>
              <w:left w:val="single" w:color="auto" w:sz="6" w:space="0"/>
              <w:bottom w:val="single" w:color="auto" w:sz="6" w:space="0"/>
              <w:right w:val="single" w:color="auto" w:sz="6" w:space="0"/>
            </w:tcBorders>
          </w:tcPr>
          <w:p w14:paraId="2AACA292">
            <w:pPr>
              <w:spacing w:line="360" w:lineRule="auto"/>
              <w:rPr>
                <w:rFonts w:ascii="黑体" w:hAnsi="黑体" w:eastAsia="黑体"/>
                <w:color w:val="auto"/>
                <w:szCs w:val="21"/>
              </w:rPr>
            </w:pPr>
          </w:p>
        </w:tc>
      </w:tr>
      <w:tr w14:paraId="098AE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000" w:type="pct"/>
            <w:tcBorders>
              <w:top w:val="single" w:color="auto" w:sz="6" w:space="0"/>
              <w:left w:val="single" w:color="auto" w:sz="6" w:space="0"/>
              <w:bottom w:val="single" w:color="auto" w:sz="6" w:space="0"/>
              <w:right w:val="single" w:color="auto" w:sz="6" w:space="0"/>
            </w:tcBorders>
          </w:tcPr>
          <w:p w14:paraId="69BCAD8A">
            <w:pPr>
              <w:spacing w:line="360" w:lineRule="auto"/>
              <w:rPr>
                <w:rFonts w:ascii="黑体" w:hAnsi="黑体" w:eastAsia="黑体"/>
                <w:color w:val="auto"/>
                <w:szCs w:val="21"/>
              </w:rPr>
            </w:pPr>
          </w:p>
        </w:tc>
        <w:tc>
          <w:tcPr>
            <w:tcW w:w="1391" w:type="pct"/>
            <w:tcBorders>
              <w:top w:val="single" w:color="auto" w:sz="6" w:space="0"/>
              <w:left w:val="single" w:color="auto" w:sz="6" w:space="0"/>
              <w:bottom w:val="single" w:color="auto" w:sz="6" w:space="0"/>
              <w:right w:val="single" w:color="auto" w:sz="6" w:space="0"/>
            </w:tcBorders>
          </w:tcPr>
          <w:p w14:paraId="4A6B8678">
            <w:pPr>
              <w:spacing w:line="360" w:lineRule="auto"/>
              <w:rPr>
                <w:rFonts w:ascii="黑体" w:hAnsi="黑体" w:eastAsia="黑体"/>
                <w:color w:val="auto"/>
                <w:szCs w:val="21"/>
              </w:rPr>
            </w:pPr>
          </w:p>
        </w:tc>
        <w:tc>
          <w:tcPr>
            <w:tcW w:w="1413" w:type="pct"/>
            <w:gridSpan w:val="2"/>
            <w:tcBorders>
              <w:top w:val="single" w:color="auto" w:sz="6" w:space="0"/>
              <w:left w:val="single" w:color="auto" w:sz="6" w:space="0"/>
              <w:bottom w:val="single" w:color="auto" w:sz="6" w:space="0"/>
              <w:right w:val="single" w:color="auto" w:sz="6" w:space="0"/>
            </w:tcBorders>
          </w:tcPr>
          <w:p w14:paraId="41AED0BC">
            <w:pPr>
              <w:spacing w:line="360" w:lineRule="auto"/>
              <w:rPr>
                <w:rFonts w:ascii="黑体" w:hAnsi="黑体" w:eastAsia="黑体"/>
                <w:color w:val="auto"/>
                <w:szCs w:val="21"/>
              </w:rPr>
            </w:pPr>
          </w:p>
        </w:tc>
        <w:tc>
          <w:tcPr>
            <w:tcW w:w="1197" w:type="pct"/>
            <w:tcBorders>
              <w:top w:val="single" w:color="auto" w:sz="6" w:space="0"/>
              <w:left w:val="single" w:color="auto" w:sz="6" w:space="0"/>
              <w:bottom w:val="single" w:color="auto" w:sz="6" w:space="0"/>
              <w:right w:val="single" w:color="auto" w:sz="6" w:space="0"/>
            </w:tcBorders>
          </w:tcPr>
          <w:p w14:paraId="402C58DA">
            <w:pPr>
              <w:spacing w:line="360" w:lineRule="auto"/>
              <w:rPr>
                <w:rFonts w:ascii="黑体" w:hAnsi="黑体" w:eastAsia="黑体"/>
                <w:color w:val="auto"/>
                <w:szCs w:val="21"/>
              </w:rPr>
            </w:pPr>
          </w:p>
        </w:tc>
      </w:tr>
    </w:tbl>
    <w:p w14:paraId="699733E2">
      <w:pPr>
        <w:pStyle w:val="30"/>
        <w:numPr>
          <w:ilvl w:val="0"/>
          <w:numId w:val="90"/>
        </w:numPr>
        <w:spacing w:after="156" w:afterLines="50" w:line="360" w:lineRule="auto"/>
        <w:ind w:firstLineChars="0"/>
        <w:rPr>
          <w:rFonts w:ascii="黑体" w:hAnsi="黑体" w:eastAsia="黑体"/>
          <w:color w:val="auto"/>
          <w:szCs w:val="21"/>
        </w:rPr>
      </w:pPr>
      <w:r>
        <w:rPr>
          <w:rFonts w:ascii="黑体" w:hAnsi="黑体" w:eastAsia="黑体"/>
          <w:color w:val="auto"/>
          <w:szCs w:val="21"/>
        </w:rPr>
        <w:t>投标人获得国家有关部门颁发的资质证明</w:t>
      </w:r>
      <w:r>
        <w:rPr>
          <w:rFonts w:hint="eastAsia" w:ascii="黑体" w:hAnsi="黑体" w:eastAsia="黑体"/>
          <w:color w:val="auto"/>
          <w:szCs w:val="21"/>
        </w:rPr>
        <w:t>或荣誉</w:t>
      </w:r>
      <w:r>
        <w:rPr>
          <w:rFonts w:ascii="黑体" w:hAnsi="黑体" w:eastAsia="黑体"/>
          <w:color w:val="auto"/>
          <w:szCs w:val="21"/>
        </w:rPr>
        <w:t>：</w:t>
      </w:r>
      <w:r>
        <w:rPr>
          <w:rFonts w:hint="eastAsia" w:ascii="黑体" w:hAnsi="黑体" w:eastAsia="黑体"/>
          <w:color w:val="auto"/>
          <w:szCs w:val="21"/>
        </w:rPr>
        <w:t>（如有）</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2192"/>
        <w:gridCol w:w="2192"/>
        <w:gridCol w:w="2192"/>
      </w:tblGrid>
      <w:tr w14:paraId="37D3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50" w:type="pct"/>
            <w:vAlign w:val="center"/>
          </w:tcPr>
          <w:p w14:paraId="269DF17E">
            <w:pPr>
              <w:spacing w:line="360" w:lineRule="auto"/>
              <w:jc w:val="center"/>
              <w:rPr>
                <w:rFonts w:ascii="黑体" w:hAnsi="黑体" w:eastAsia="黑体"/>
                <w:color w:val="auto"/>
                <w:szCs w:val="21"/>
              </w:rPr>
            </w:pPr>
            <w:r>
              <w:rPr>
                <w:rFonts w:ascii="黑体" w:hAnsi="黑体" w:eastAsia="黑体"/>
                <w:color w:val="auto"/>
                <w:szCs w:val="21"/>
              </w:rPr>
              <w:t>证书名称</w:t>
            </w:r>
          </w:p>
        </w:tc>
        <w:tc>
          <w:tcPr>
            <w:tcW w:w="1250" w:type="pct"/>
            <w:vAlign w:val="center"/>
          </w:tcPr>
          <w:p w14:paraId="6BED4562">
            <w:pPr>
              <w:spacing w:line="360" w:lineRule="auto"/>
              <w:jc w:val="center"/>
              <w:rPr>
                <w:rFonts w:ascii="黑体" w:hAnsi="黑体" w:eastAsia="黑体"/>
                <w:color w:val="auto"/>
                <w:szCs w:val="21"/>
              </w:rPr>
            </w:pPr>
            <w:r>
              <w:rPr>
                <w:rFonts w:ascii="黑体" w:hAnsi="黑体" w:eastAsia="黑体"/>
                <w:color w:val="auto"/>
                <w:szCs w:val="21"/>
              </w:rPr>
              <w:t>发证单位</w:t>
            </w:r>
          </w:p>
        </w:tc>
        <w:tc>
          <w:tcPr>
            <w:tcW w:w="1250" w:type="pct"/>
            <w:vAlign w:val="center"/>
          </w:tcPr>
          <w:p w14:paraId="3D46B564">
            <w:pPr>
              <w:spacing w:line="360" w:lineRule="auto"/>
              <w:jc w:val="center"/>
              <w:rPr>
                <w:rFonts w:ascii="黑体" w:hAnsi="黑体" w:eastAsia="黑体"/>
                <w:color w:val="auto"/>
                <w:szCs w:val="21"/>
              </w:rPr>
            </w:pPr>
            <w:r>
              <w:rPr>
                <w:rFonts w:ascii="黑体" w:hAnsi="黑体" w:eastAsia="黑体"/>
                <w:color w:val="auto"/>
                <w:szCs w:val="21"/>
              </w:rPr>
              <w:t>证书等级</w:t>
            </w:r>
          </w:p>
        </w:tc>
        <w:tc>
          <w:tcPr>
            <w:tcW w:w="1250" w:type="pct"/>
            <w:vAlign w:val="center"/>
          </w:tcPr>
          <w:p w14:paraId="360DA811">
            <w:pPr>
              <w:spacing w:line="360" w:lineRule="auto"/>
              <w:jc w:val="center"/>
              <w:rPr>
                <w:rFonts w:ascii="黑体" w:hAnsi="黑体" w:eastAsia="黑体"/>
                <w:color w:val="auto"/>
                <w:szCs w:val="21"/>
              </w:rPr>
            </w:pPr>
            <w:r>
              <w:rPr>
                <w:rFonts w:ascii="黑体" w:hAnsi="黑体" w:eastAsia="黑体"/>
                <w:color w:val="auto"/>
                <w:szCs w:val="21"/>
              </w:rPr>
              <w:t>证书有效期</w:t>
            </w:r>
          </w:p>
        </w:tc>
      </w:tr>
      <w:tr w14:paraId="0C85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tcPr>
          <w:p w14:paraId="2823FF77">
            <w:pPr>
              <w:spacing w:line="360" w:lineRule="auto"/>
              <w:rPr>
                <w:rFonts w:ascii="黑体" w:hAnsi="黑体" w:eastAsia="黑体"/>
                <w:color w:val="auto"/>
                <w:szCs w:val="21"/>
              </w:rPr>
            </w:pPr>
          </w:p>
        </w:tc>
        <w:tc>
          <w:tcPr>
            <w:tcW w:w="1250" w:type="pct"/>
          </w:tcPr>
          <w:p w14:paraId="1A00266C">
            <w:pPr>
              <w:spacing w:line="360" w:lineRule="auto"/>
              <w:rPr>
                <w:rFonts w:ascii="黑体" w:hAnsi="黑体" w:eastAsia="黑体"/>
                <w:color w:val="auto"/>
                <w:szCs w:val="21"/>
              </w:rPr>
            </w:pPr>
          </w:p>
        </w:tc>
        <w:tc>
          <w:tcPr>
            <w:tcW w:w="1250" w:type="pct"/>
          </w:tcPr>
          <w:p w14:paraId="3AE9A18B">
            <w:pPr>
              <w:spacing w:line="360" w:lineRule="auto"/>
              <w:rPr>
                <w:rFonts w:ascii="黑体" w:hAnsi="黑体" w:eastAsia="黑体"/>
                <w:color w:val="auto"/>
                <w:szCs w:val="21"/>
              </w:rPr>
            </w:pPr>
          </w:p>
        </w:tc>
        <w:tc>
          <w:tcPr>
            <w:tcW w:w="1250" w:type="pct"/>
          </w:tcPr>
          <w:p w14:paraId="5B43A88C">
            <w:pPr>
              <w:spacing w:line="360" w:lineRule="auto"/>
              <w:rPr>
                <w:rFonts w:ascii="黑体" w:hAnsi="黑体" w:eastAsia="黑体"/>
                <w:color w:val="auto"/>
                <w:szCs w:val="21"/>
              </w:rPr>
            </w:pPr>
          </w:p>
        </w:tc>
      </w:tr>
      <w:tr w14:paraId="5A426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0" w:type="pct"/>
          </w:tcPr>
          <w:p w14:paraId="3DDD097E">
            <w:pPr>
              <w:spacing w:line="360" w:lineRule="auto"/>
              <w:rPr>
                <w:rFonts w:ascii="黑体" w:hAnsi="黑体" w:eastAsia="黑体"/>
                <w:color w:val="auto"/>
                <w:szCs w:val="21"/>
              </w:rPr>
            </w:pPr>
          </w:p>
        </w:tc>
        <w:tc>
          <w:tcPr>
            <w:tcW w:w="1250" w:type="pct"/>
          </w:tcPr>
          <w:p w14:paraId="25F9938F">
            <w:pPr>
              <w:spacing w:line="360" w:lineRule="auto"/>
              <w:rPr>
                <w:rFonts w:ascii="黑体" w:hAnsi="黑体" w:eastAsia="黑体"/>
                <w:color w:val="auto"/>
                <w:szCs w:val="21"/>
              </w:rPr>
            </w:pPr>
          </w:p>
        </w:tc>
        <w:tc>
          <w:tcPr>
            <w:tcW w:w="1250" w:type="pct"/>
          </w:tcPr>
          <w:p w14:paraId="5C71F6B7">
            <w:pPr>
              <w:spacing w:line="360" w:lineRule="auto"/>
              <w:rPr>
                <w:rFonts w:ascii="黑体" w:hAnsi="黑体" w:eastAsia="黑体"/>
                <w:color w:val="auto"/>
                <w:szCs w:val="21"/>
              </w:rPr>
            </w:pPr>
          </w:p>
        </w:tc>
        <w:tc>
          <w:tcPr>
            <w:tcW w:w="1250" w:type="pct"/>
          </w:tcPr>
          <w:p w14:paraId="1391ADA1">
            <w:pPr>
              <w:spacing w:line="360" w:lineRule="auto"/>
              <w:rPr>
                <w:rFonts w:ascii="黑体" w:hAnsi="黑体" w:eastAsia="黑体"/>
                <w:color w:val="auto"/>
                <w:szCs w:val="21"/>
              </w:rPr>
            </w:pPr>
          </w:p>
        </w:tc>
      </w:tr>
    </w:tbl>
    <w:p w14:paraId="5B0687F9">
      <w:pPr>
        <w:spacing w:before="156" w:beforeLines="50" w:after="624" w:afterLines="200" w:line="360" w:lineRule="auto"/>
        <w:rPr>
          <w:rFonts w:ascii="黑体" w:hAnsi="黑体" w:eastAsia="黑体" w:cs="Times New Roman"/>
          <w:color w:val="auto"/>
          <w:szCs w:val="21"/>
        </w:rPr>
      </w:pPr>
      <w:r>
        <w:rPr>
          <w:rFonts w:hint="eastAsia" w:ascii="黑体" w:hAnsi="黑体" w:eastAsia="黑体" w:cs="Times New Roman"/>
          <w:color w:val="auto"/>
          <w:szCs w:val="21"/>
        </w:rPr>
        <w:t>兹证明上述声明是真实、正确的，并提供了全部能提供的资料和数据，我方同意遵照贵方要求出示有关证明文件。</w:t>
      </w: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2277C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72E957BA">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hint="eastAsia" w:ascii="黑体" w:hAnsi="黑体" w:eastAsia="黑体"/>
                <w:color w:val="auto"/>
                <w:szCs w:val="21"/>
                <w:u w:val="single"/>
              </w:rPr>
              <w:t xml:space="preserve">                         </w:t>
            </w:r>
          </w:p>
        </w:tc>
        <w:tc>
          <w:tcPr>
            <w:tcW w:w="3175" w:type="dxa"/>
          </w:tcPr>
          <w:p w14:paraId="5700C1FF">
            <w:pPr>
              <w:spacing w:line="360" w:lineRule="auto"/>
              <w:rPr>
                <w:rFonts w:ascii="黑体" w:hAnsi="黑体" w:eastAsia="黑体"/>
                <w:color w:val="auto"/>
                <w:szCs w:val="21"/>
              </w:rPr>
            </w:pPr>
          </w:p>
        </w:tc>
      </w:tr>
      <w:tr w14:paraId="5FA84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666007E8">
            <w:pPr>
              <w:spacing w:line="360" w:lineRule="auto"/>
              <w:rPr>
                <w:rFonts w:ascii="黑体" w:hAnsi="黑体" w:eastAsia="黑体"/>
                <w:color w:val="auto"/>
                <w:szCs w:val="21"/>
              </w:rPr>
            </w:pPr>
            <w:r>
              <w:rPr>
                <w:rFonts w:hint="eastAsia" w:ascii="黑体" w:hAnsi="黑体" w:eastAsia="黑体"/>
                <w:color w:val="auto"/>
                <w:szCs w:val="21"/>
              </w:rPr>
              <w:t>日期：</w:t>
            </w:r>
            <w:r>
              <w:rPr>
                <w:rFonts w:hint="eastAsia" w:ascii="黑体" w:hAnsi="黑体" w:eastAsia="黑体"/>
                <w:color w:val="auto"/>
                <w:szCs w:val="21"/>
                <w:u w:val="single"/>
              </w:rPr>
              <w:t xml:space="preserve">             年           月            日</w:t>
            </w:r>
          </w:p>
        </w:tc>
        <w:tc>
          <w:tcPr>
            <w:tcW w:w="3175" w:type="dxa"/>
          </w:tcPr>
          <w:p w14:paraId="73302952">
            <w:pPr>
              <w:spacing w:line="360" w:lineRule="auto"/>
              <w:rPr>
                <w:rFonts w:ascii="黑体" w:hAnsi="黑体" w:eastAsia="黑体"/>
                <w:color w:val="auto"/>
                <w:szCs w:val="21"/>
              </w:rPr>
            </w:pPr>
          </w:p>
        </w:tc>
      </w:tr>
    </w:tbl>
    <w:p w14:paraId="24DD984D">
      <w:pPr>
        <w:pageBreakBefore/>
        <w:rPr>
          <w:rFonts w:ascii="黑体" w:hAnsi="黑体" w:eastAsia="黑体"/>
          <w:b/>
          <w:bCs/>
          <w:color w:val="auto"/>
        </w:rPr>
      </w:pPr>
      <w:bookmarkStart w:id="93" w:name="_Toc405313965"/>
      <w:bookmarkStart w:id="94" w:name="_Toc391627761"/>
      <w:r>
        <w:rPr>
          <w:rFonts w:hint="eastAsia" w:ascii="黑体" w:hAnsi="黑体" w:eastAsia="黑体"/>
          <w:b/>
          <w:bCs/>
          <w:color w:val="auto"/>
        </w:rPr>
        <w:t>1</w:t>
      </w:r>
      <w:r>
        <w:rPr>
          <w:rFonts w:ascii="黑体" w:hAnsi="黑体" w:eastAsia="黑体"/>
          <w:b/>
          <w:bCs/>
          <w:color w:val="auto"/>
        </w:rPr>
        <w:t>4.1</w:t>
      </w:r>
      <w:r>
        <w:rPr>
          <w:rFonts w:hint="eastAsia" w:ascii="黑体" w:hAnsi="黑体" w:eastAsia="黑体"/>
          <w:b/>
          <w:bCs/>
          <w:color w:val="auto"/>
        </w:rPr>
        <w:t>投标人资格证明文件</w:t>
      </w:r>
    </w:p>
    <w:bookmarkEnd w:id="93"/>
    <w:bookmarkEnd w:id="94"/>
    <w:p w14:paraId="41234479">
      <w:pPr>
        <w:spacing w:line="360" w:lineRule="auto"/>
        <w:rPr>
          <w:rFonts w:ascii="黑体" w:hAnsi="黑体" w:eastAsia="黑体"/>
          <w:color w:val="auto"/>
          <w:szCs w:val="21"/>
        </w:rPr>
      </w:pPr>
    </w:p>
    <w:p w14:paraId="24F9A412">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95" w:name="_Toc405313968"/>
      <w:bookmarkStart w:id="96" w:name="_Toc391627765"/>
      <w:r>
        <w:rPr>
          <w:rFonts w:ascii="黑体" w:hAnsi="黑体" w:eastAsia="黑体"/>
          <w:b/>
          <w:bCs/>
          <w:color w:val="auto"/>
        </w:rPr>
        <w:t>业绩表</w:t>
      </w:r>
      <w:bookmarkEnd w:id="95"/>
      <w:bookmarkEnd w:id="96"/>
    </w:p>
    <w:p w14:paraId="71B09136">
      <w:pPr>
        <w:spacing w:before="312" w:beforeLines="100" w:after="468" w:afterLines="1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业绩表</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2362"/>
        <w:gridCol w:w="1606"/>
        <w:gridCol w:w="1601"/>
        <w:gridCol w:w="1456"/>
        <w:gridCol w:w="1079"/>
      </w:tblGrid>
      <w:tr w14:paraId="57FE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378" w:type="pct"/>
            <w:vAlign w:val="center"/>
          </w:tcPr>
          <w:p w14:paraId="2FBCC564">
            <w:pPr>
              <w:spacing w:before="156" w:after="156" w:line="240" w:lineRule="exact"/>
              <w:jc w:val="center"/>
              <w:rPr>
                <w:rFonts w:ascii="黑体" w:hAnsi="黑体" w:eastAsia="黑体"/>
                <w:b/>
                <w:bCs/>
                <w:color w:val="auto"/>
                <w:szCs w:val="21"/>
              </w:rPr>
            </w:pPr>
            <w:r>
              <w:rPr>
                <w:rFonts w:ascii="黑体" w:hAnsi="黑体" w:eastAsia="黑体"/>
                <w:b/>
                <w:bCs/>
                <w:color w:val="auto"/>
                <w:szCs w:val="21"/>
              </w:rPr>
              <w:t>序号</w:t>
            </w:r>
          </w:p>
        </w:tc>
        <w:tc>
          <w:tcPr>
            <w:tcW w:w="1347" w:type="pct"/>
            <w:vAlign w:val="center"/>
          </w:tcPr>
          <w:p w14:paraId="6963AC8F">
            <w:pPr>
              <w:spacing w:before="156" w:after="156" w:line="240" w:lineRule="exact"/>
              <w:jc w:val="center"/>
              <w:rPr>
                <w:rFonts w:ascii="黑体" w:hAnsi="黑体" w:eastAsia="黑体"/>
                <w:b/>
                <w:bCs/>
                <w:color w:val="auto"/>
                <w:szCs w:val="21"/>
              </w:rPr>
            </w:pPr>
            <w:r>
              <w:rPr>
                <w:rFonts w:hint="eastAsia" w:ascii="黑体" w:hAnsi="黑体" w:eastAsia="黑体"/>
                <w:b/>
                <w:bCs/>
                <w:color w:val="auto"/>
                <w:szCs w:val="21"/>
              </w:rPr>
              <w:t>项目名称</w:t>
            </w:r>
          </w:p>
        </w:tc>
        <w:tc>
          <w:tcPr>
            <w:tcW w:w="916" w:type="pct"/>
            <w:vAlign w:val="center"/>
          </w:tcPr>
          <w:p w14:paraId="22F00356">
            <w:pPr>
              <w:spacing w:before="156" w:after="156" w:line="240" w:lineRule="exact"/>
              <w:jc w:val="center"/>
              <w:rPr>
                <w:rFonts w:ascii="黑体" w:hAnsi="黑体" w:eastAsia="黑体"/>
                <w:b/>
                <w:bCs/>
                <w:color w:val="auto"/>
                <w:szCs w:val="21"/>
              </w:rPr>
            </w:pPr>
            <w:r>
              <w:rPr>
                <w:rFonts w:hint="eastAsia" w:ascii="黑体" w:hAnsi="黑体" w:eastAsia="黑体"/>
                <w:b/>
                <w:bCs/>
                <w:color w:val="auto"/>
                <w:szCs w:val="21"/>
              </w:rPr>
              <w:t>合同金额</w:t>
            </w:r>
          </w:p>
        </w:tc>
        <w:tc>
          <w:tcPr>
            <w:tcW w:w="913" w:type="pct"/>
            <w:vAlign w:val="center"/>
          </w:tcPr>
          <w:p w14:paraId="76963D5D">
            <w:pPr>
              <w:spacing w:before="156" w:after="156" w:line="240" w:lineRule="exact"/>
              <w:jc w:val="center"/>
              <w:rPr>
                <w:rFonts w:ascii="黑体" w:hAnsi="黑体" w:eastAsia="黑体"/>
                <w:b/>
                <w:bCs/>
                <w:color w:val="auto"/>
                <w:szCs w:val="21"/>
              </w:rPr>
            </w:pPr>
            <w:r>
              <w:rPr>
                <w:rFonts w:hint="eastAsia" w:ascii="黑体" w:hAnsi="黑体" w:eastAsia="黑体"/>
                <w:b/>
                <w:bCs/>
                <w:color w:val="auto"/>
                <w:szCs w:val="21"/>
              </w:rPr>
              <w:t>签约时间</w:t>
            </w:r>
          </w:p>
        </w:tc>
        <w:tc>
          <w:tcPr>
            <w:tcW w:w="830" w:type="pct"/>
            <w:vAlign w:val="center"/>
          </w:tcPr>
          <w:p w14:paraId="7B035586">
            <w:pPr>
              <w:spacing w:before="156" w:after="156" w:line="240" w:lineRule="exact"/>
              <w:jc w:val="center"/>
              <w:rPr>
                <w:rFonts w:ascii="黑体" w:hAnsi="黑体" w:eastAsia="黑体"/>
                <w:b/>
                <w:bCs/>
                <w:color w:val="auto"/>
                <w:szCs w:val="21"/>
              </w:rPr>
            </w:pPr>
            <w:r>
              <w:rPr>
                <w:rFonts w:hint="eastAsia" w:ascii="黑体" w:hAnsi="黑体" w:eastAsia="黑体"/>
                <w:b/>
                <w:bCs/>
                <w:color w:val="auto"/>
                <w:szCs w:val="21"/>
              </w:rPr>
              <w:t>完成情况</w:t>
            </w:r>
          </w:p>
        </w:tc>
        <w:tc>
          <w:tcPr>
            <w:tcW w:w="615" w:type="pct"/>
            <w:vAlign w:val="center"/>
          </w:tcPr>
          <w:p w14:paraId="30151513">
            <w:pPr>
              <w:spacing w:before="156" w:after="156" w:line="240" w:lineRule="exact"/>
              <w:jc w:val="center"/>
              <w:rPr>
                <w:rFonts w:ascii="黑体" w:hAnsi="黑体" w:eastAsia="黑体"/>
                <w:b/>
                <w:bCs/>
                <w:color w:val="auto"/>
                <w:szCs w:val="21"/>
              </w:rPr>
            </w:pPr>
            <w:r>
              <w:rPr>
                <w:rFonts w:hint="eastAsia" w:ascii="黑体" w:hAnsi="黑体" w:eastAsia="黑体"/>
                <w:b/>
                <w:bCs/>
                <w:color w:val="auto"/>
                <w:szCs w:val="21"/>
              </w:rPr>
              <w:t>备注</w:t>
            </w:r>
          </w:p>
        </w:tc>
      </w:tr>
      <w:tr w14:paraId="660E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77C1DD21">
            <w:pPr>
              <w:spacing w:before="156" w:after="156" w:line="240" w:lineRule="exact"/>
              <w:jc w:val="center"/>
              <w:rPr>
                <w:rFonts w:ascii="黑体" w:hAnsi="黑体" w:eastAsia="黑体"/>
                <w:color w:val="auto"/>
                <w:szCs w:val="21"/>
              </w:rPr>
            </w:pPr>
          </w:p>
        </w:tc>
        <w:tc>
          <w:tcPr>
            <w:tcW w:w="1347" w:type="pct"/>
            <w:vAlign w:val="center"/>
          </w:tcPr>
          <w:p w14:paraId="18772705">
            <w:pPr>
              <w:spacing w:before="156" w:after="156" w:line="240" w:lineRule="exact"/>
              <w:jc w:val="center"/>
              <w:rPr>
                <w:rFonts w:ascii="黑体" w:hAnsi="黑体" w:eastAsia="黑体"/>
                <w:color w:val="auto"/>
                <w:szCs w:val="21"/>
              </w:rPr>
            </w:pPr>
          </w:p>
        </w:tc>
        <w:tc>
          <w:tcPr>
            <w:tcW w:w="916" w:type="pct"/>
            <w:vAlign w:val="center"/>
          </w:tcPr>
          <w:p w14:paraId="16CBDFE2">
            <w:pPr>
              <w:spacing w:before="156" w:after="156" w:line="240" w:lineRule="exact"/>
              <w:jc w:val="center"/>
              <w:rPr>
                <w:rFonts w:ascii="黑体" w:hAnsi="黑体" w:eastAsia="黑体"/>
                <w:color w:val="auto"/>
                <w:szCs w:val="21"/>
              </w:rPr>
            </w:pPr>
          </w:p>
        </w:tc>
        <w:tc>
          <w:tcPr>
            <w:tcW w:w="913" w:type="pct"/>
            <w:vAlign w:val="center"/>
          </w:tcPr>
          <w:p w14:paraId="18EA8082">
            <w:pPr>
              <w:spacing w:before="156" w:after="156" w:line="240" w:lineRule="exact"/>
              <w:jc w:val="center"/>
              <w:rPr>
                <w:rFonts w:ascii="黑体" w:hAnsi="黑体" w:eastAsia="黑体"/>
                <w:color w:val="auto"/>
                <w:szCs w:val="21"/>
              </w:rPr>
            </w:pPr>
          </w:p>
        </w:tc>
        <w:tc>
          <w:tcPr>
            <w:tcW w:w="830" w:type="pct"/>
            <w:vAlign w:val="center"/>
          </w:tcPr>
          <w:p w14:paraId="4BB9838A">
            <w:pPr>
              <w:spacing w:before="156" w:after="156" w:line="240" w:lineRule="exact"/>
              <w:jc w:val="center"/>
              <w:rPr>
                <w:rFonts w:ascii="黑体" w:hAnsi="黑体" w:eastAsia="黑体"/>
                <w:color w:val="auto"/>
                <w:szCs w:val="21"/>
              </w:rPr>
            </w:pPr>
          </w:p>
        </w:tc>
        <w:tc>
          <w:tcPr>
            <w:tcW w:w="615" w:type="pct"/>
            <w:vAlign w:val="center"/>
          </w:tcPr>
          <w:p w14:paraId="0777AFAB">
            <w:pPr>
              <w:spacing w:before="156" w:after="156" w:line="240" w:lineRule="exact"/>
              <w:jc w:val="center"/>
              <w:rPr>
                <w:rFonts w:ascii="黑体" w:hAnsi="黑体" w:eastAsia="黑体"/>
                <w:color w:val="auto"/>
                <w:szCs w:val="21"/>
              </w:rPr>
            </w:pPr>
          </w:p>
        </w:tc>
      </w:tr>
      <w:tr w14:paraId="2031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3F6350A2">
            <w:pPr>
              <w:spacing w:before="156" w:after="156" w:line="240" w:lineRule="exact"/>
              <w:jc w:val="center"/>
              <w:rPr>
                <w:rFonts w:ascii="黑体" w:hAnsi="黑体" w:eastAsia="黑体"/>
                <w:color w:val="auto"/>
                <w:szCs w:val="21"/>
              </w:rPr>
            </w:pPr>
          </w:p>
        </w:tc>
        <w:tc>
          <w:tcPr>
            <w:tcW w:w="1347" w:type="pct"/>
            <w:vAlign w:val="center"/>
          </w:tcPr>
          <w:p w14:paraId="4B0A8EDD">
            <w:pPr>
              <w:spacing w:before="156" w:after="156" w:line="240" w:lineRule="exact"/>
              <w:jc w:val="center"/>
              <w:rPr>
                <w:rFonts w:ascii="黑体" w:hAnsi="黑体" w:eastAsia="黑体"/>
                <w:color w:val="auto"/>
                <w:szCs w:val="21"/>
              </w:rPr>
            </w:pPr>
          </w:p>
        </w:tc>
        <w:tc>
          <w:tcPr>
            <w:tcW w:w="916" w:type="pct"/>
            <w:vAlign w:val="center"/>
          </w:tcPr>
          <w:p w14:paraId="5DB838F1">
            <w:pPr>
              <w:spacing w:before="156" w:after="156" w:line="240" w:lineRule="exact"/>
              <w:jc w:val="center"/>
              <w:rPr>
                <w:rFonts w:ascii="黑体" w:hAnsi="黑体" w:eastAsia="黑体"/>
                <w:color w:val="auto"/>
                <w:szCs w:val="21"/>
              </w:rPr>
            </w:pPr>
          </w:p>
        </w:tc>
        <w:tc>
          <w:tcPr>
            <w:tcW w:w="913" w:type="pct"/>
            <w:vAlign w:val="center"/>
          </w:tcPr>
          <w:p w14:paraId="5B8BD86F">
            <w:pPr>
              <w:spacing w:before="156" w:after="156" w:line="240" w:lineRule="exact"/>
              <w:jc w:val="center"/>
              <w:rPr>
                <w:rFonts w:ascii="黑体" w:hAnsi="黑体" w:eastAsia="黑体"/>
                <w:color w:val="auto"/>
                <w:szCs w:val="21"/>
              </w:rPr>
            </w:pPr>
          </w:p>
        </w:tc>
        <w:tc>
          <w:tcPr>
            <w:tcW w:w="830" w:type="pct"/>
            <w:vAlign w:val="center"/>
          </w:tcPr>
          <w:p w14:paraId="321E7799">
            <w:pPr>
              <w:spacing w:before="156" w:after="156" w:line="240" w:lineRule="exact"/>
              <w:jc w:val="center"/>
              <w:rPr>
                <w:rFonts w:ascii="黑体" w:hAnsi="黑体" w:eastAsia="黑体"/>
                <w:color w:val="auto"/>
                <w:szCs w:val="21"/>
              </w:rPr>
            </w:pPr>
          </w:p>
        </w:tc>
        <w:tc>
          <w:tcPr>
            <w:tcW w:w="615" w:type="pct"/>
            <w:vAlign w:val="center"/>
          </w:tcPr>
          <w:p w14:paraId="3C264F7D">
            <w:pPr>
              <w:spacing w:before="156" w:after="156" w:line="240" w:lineRule="exact"/>
              <w:jc w:val="center"/>
              <w:rPr>
                <w:rFonts w:ascii="黑体" w:hAnsi="黑体" w:eastAsia="黑体"/>
                <w:color w:val="auto"/>
                <w:szCs w:val="21"/>
              </w:rPr>
            </w:pPr>
          </w:p>
        </w:tc>
      </w:tr>
      <w:tr w14:paraId="01852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206899A4">
            <w:pPr>
              <w:spacing w:before="156" w:after="156" w:line="240" w:lineRule="exact"/>
              <w:jc w:val="center"/>
              <w:rPr>
                <w:rFonts w:ascii="黑体" w:hAnsi="黑体" w:eastAsia="黑体"/>
                <w:color w:val="auto"/>
                <w:szCs w:val="21"/>
              </w:rPr>
            </w:pPr>
          </w:p>
        </w:tc>
        <w:tc>
          <w:tcPr>
            <w:tcW w:w="1347" w:type="pct"/>
            <w:vAlign w:val="center"/>
          </w:tcPr>
          <w:p w14:paraId="4CB147D4">
            <w:pPr>
              <w:spacing w:before="156" w:after="156" w:line="240" w:lineRule="exact"/>
              <w:jc w:val="center"/>
              <w:rPr>
                <w:rFonts w:ascii="黑体" w:hAnsi="黑体" w:eastAsia="黑体"/>
                <w:color w:val="auto"/>
                <w:szCs w:val="21"/>
              </w:rPr>
            </w:pPr>
          </w:p>
        </w:tc>
        <w:tc>
          <w:tcPr>
            <w:tcW w:w="916" w:type="pct"/>
            <w:vAlign w:val="center"/>
          </w:tcPr>
          <w:p w14:paraId="6899F662">
            <w:pPr>
              <w:spacing w:before="156" w:after="156" w:line="240" w:lineRule="exact"/>
              <w:jc w:val="center"/>
              <w:rPr>
                <w:rFonts w:ascii="黑体" w:hAnsi="黑体" w:eastAsia="黑体"/>
                <w:color w:val="auto"/>
                <w:szCs w:val="21"/>
              </w:rPr>
            </w:pPr>
          </w:p>
        </w:tc>
        <w:tc>
          <w:tcPr>
            <w:tcW w:w="913" w:type="pct"/>
            <w:vAlign w:val="center"/>
          </w:tcPr>
          <w:p w14:paraId="54667120">
            <w:pPr>
              <w:spacing w:before="156" w:after="156" w:line="240" w:lineRule="exact"/>
              <w:jc w:val="center"/>
              <w:rPr>
                <w:rFonts w:ascii="黑体" w:hAnsi="黑体" w:eastAsia="黑体"/>
                <w:color w:val="auto"/>
                <w:szCs w:val="21"/>
              </w:rPr>
            </w:pPr>
          </w:p>
        </w:tc>
        <w:tc>
          <w:tcPr>
            <w:tcW w:w="830" w:type="pct"/>
            <w:vAlign w:val="center"/>
          </w:tcPr>
          <w:p w14:paraId="35F7F726">
            <w:pPr>
              <w:spacing w:before="156" w:after="156" w:line="240" w:lineRule="exact"/>
              <w:jc w:val="center"/>
              <w:rPr>
                <w:rFonts w:ascii="黑体" w:hAnsi="黑体" w:eastAsia="黑体"/>
                <w:color w:val="auto"/>
                <w:szCs w:val="21"/>
              </w:rPr>
            </w:pPr>
          </w:p>
        </w:tc>
        <w:tc>
          <w:tcPr>
            <w:tcW w:w="615" w:type="pct"/>
            <w:vAlign w:val="center"/>
          </w:tcPr>
          <w:p w14:paraId="1117B8DB">
            <w:pPr>
              <w:spacing w:before="156" w:after="156" w:line="240" w:lineRule="exact"/>
              <w:jc w:val="center"/>
              <w:rPr>
                <w:rFonts w:ascii="黑体" w:hAnsi="黑体" w:eastAsia="黑体"/>
                <w:color w:val="auto"/>
                <w:szCs w:val="21"/>
              </w:rPr>
            </w:pPr>
          </w:p>
        </w:tc>
      </w:tr>
      <w:tr w14:paraId="14BF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2AC59119">
            <w:pPr>
              <w:spacing w:before="156" w:after="156" w:line="240" w:lineRule="exact"/>
              <w:jc w:val="center"/>
              <w:rPr>
                <w:rFonts w:ascii="黑体" w:hAnsi="黑体" w:eastAsia="黑体"/>
                <w:color w:val="auto"/>
                <w:szCs w:val="21"/>
              </w:rPr>
            </w:pPr>
          </w:p>
        </w:tc>
        <w:tc>
          <w:tcPr>
            <w:tcW w:w="1347" w:type="pct"/>
            <w:vAlign w:val="center"/>
          </w:tcPr>
          <w:p w14:paraId="18BADB28">
            <w:pPr>
              <w:spacing w:before="156" w:after="156" w:line="240" w:lineRule="exact"/>
              <w:jc w:val="center"/>
              <w:rPr>
                <w:rFonts w:ascii="黑体" w:hAnsi="黑体" w:eastAsia="黑体"/>
                <w:color w:val="auto"/>
                <w:szCs w:val="21"/>
              </w:rPr>
            </w:pPr>
          </w:p>
        </w:tc>
        <w:tc>
          <w:tcPr>
            <w:tcW w:w="916" w:type="pct"/>
            <w:vAlign w:val="center"/>
          </w:tcPr>
          <w:p w14:paraId="5E540592">
            <w:pPr>
              <w:spacing w:before="156" w:after="156" w:line="240" w:lineRule="exact"/>
              <w:jc w:val="center"/>
              <w:rPr>
                <w:rFonts w:ascii="黑体" w:hAnsi="黑体" w:eastAsia="黑体"/>
                <w:color w:val="auto"/>
                <w:szCs w:val="21"/>
              </w:rPr>
            </w:pPr>
          </w:p>
        </w:tc>
        <w:tc>
          <w:tcPr>
            <w:tcW w:w="913" w:type="pct"/>
            <w:vAlign w:val="center"/>
          </w:tcPr>
          <w:p w14:paraId="7EEE965F">
            <w:pPr>
              <w:spacing w:before="156" w:after="156" w:line="240" w:lineRule="exact"/>
              <w:jc w:val="center"/>
              <w:rPr>
                <w:rFonts w:ascii="黑体" w:hAnsi="黑体" w:eastAsia="黑体"/>
                <w:color w:val="auto"/>
                <w:szCs w:val="21"/>
              </w:rPr>
            </w:pPr>
          </w:p>
        </w:tc>
        <w:tc>
          <w:tcPr>
            <w:tcW w:w="830" w:type="pct"/>
            <w:vAlign w:val="center"/>
          </w:tcPr>
          <w:p w14:paraId="6245317B">
            <w:pPr>
              <w:spacing w:before="156" w:after="156" w:line="240" w:lineRule="exact"/>
              <w:jc w:val="center"/>
              <w:rPr>
                <w:rFonts w:ascii="黑体" w:hAnsi="黑体" w:eastAsia="黑体"/>
                <w:color w:val="auto"/>
                <w:szCs w:val="21"/>
              </w:rPr>
            </w:pPr>
          </w:p>
        </w:tc>
        <w:tc>
          <w:tcPr>
            <w:tcW w:w="615" w:type="pct"/>
            <w:vAlign w:val="center"/>
          </w:tcPr>
          <w:p w14:paraId="74F47481">
            <w:pPr>
              <w:spacing w:before="156" w:after="156" w:line="240" w:lineRule="exact"/>
              <w:jc w:val="center"/>
              <w:rPr>
                <w:rFonts w:ascii="黑体" w:hAnsi="黑体" w:eastAsia="黑体"/>
                <w:color w:val="auto"/>
                <w:szCs w:val="21"/>
              </w:rPr>
            </w:pPr>
          </w:p>
        </w:tc>
      </w:tr>
      <w:tr w14:paraId="1814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17BF92A8">
            <w:pPr>
              <w:spacing w:before="156" w:after="156" w:line="240" w:lineRule="exact"/>
              <w:jc w:val="center"/>
              <w:rPr>
                <w:rFonts w:ascii="黑体" w:hAnsi="黑体" w:eastAsia="黑体"/>
                <w:color w:val="auto"/>
                <w:szCs w:val="21"/>
              </w:rPr>
            </w:pPr>
          </w:p>
        </w:tc>
        <w:tc>
          <w:tcPr>
            <w:tcW w:w="1347" w:type="pct"/>
            <w:vAlign w:val="center"/>
          </w:tcPr>
          <w:p w14:paraId="71DDFE7D">
            <w:pPr>
              <w:spacing w:before="156" w:after="156" w:line="240" w:lineRule="exact"/>
              <w:jc w:val="center"/>
              <w:rPr>
                <w:rFonts w:ascii="黑体" w:hAnsi="黑体" w:eastAsia="黑体"/>
                <w:color w:val="auto"/>
                <w:szCs w:val="21"/>
              </w:rPr>
            </w:pPr>
          </w:p>
        </w:tc>
        <w:tc>
          <w:tcPr>
            <w:tcW w:w="916" w:type="pct"/>
            <w:vAlign w:val="center"/>
          </w:tcPr>
          <w:p w14:paraId="47148535">
            <w:pPr>
              <w:spacing w:before="156" w:after="156" w:line="240" w:lineRule="exact"/>
              <w:jc w:val="center"/>
              <w:rPr>
                <w:rFonts w:ascii="黑体" w:hAnsi="黑体" w:eastAsia="黑体"/>
                <w:color w:val="auto"/>
                <w:szCs w:val="21"/>
              </w:rPr>
            </w:pPr>
          </w:p>
        </w:tc>
        <w:tc>
          <w:tcPr>
            <w:tcW w:w="913" w:type="pct"/>
            <w:vAlign w:val="center"/>
          </w:tcPr>
          <w:p w14:paraId="52ED1C70">
            <w:pPr>
              <w:spacing w:before="156" w:after="156" w:line="240" w:lineRule="exact"/>
              <w:jc w:val="center"/>
              <w:rPr>
                <w:rFonts w:ascii="黑体" w:hAnsi="黑体" w:eastAsia="黑体"/>
                <w:color w:val="auto"/>
                <w:szCs w:val="21"/>
              </w:rPr>
            </w:pPr>
          </w:p>
        </w:tc>
        <w:tc>
          <w:tcPr>
            <w:tcW w:w="830" w:type="pct"/>
            <w:vAlign w:val="center"/>
          </w:tcPr>
          <w:p w14:paraId="0C104805">
            <w:pPr>
              <w:spacing w:before="156" w:after="156" w:line="240" w:lineRule="exact"/>
              <w:jc w:val="center"/>
              <w:rPr>
                <w:rFonts w:ascii="黑体" w:hAnsi="黑体" w:eastAsia="黑体"/>
                <w:color w:val="auto"/>
                <w:szCs w:val="21"/>
              </w:rPr>
            </w:pPr>
          </w:p>
        </w:tc>
        <w:tc>
          <w:tcPr>
            <w:tcW w:w="615" w:type="pct"/>
            <w:vAlign w:val="center"/>
          </w:tcPr>
          <w:p w14:paraId="781139EB">
            <w:pPr>
              <w:spacing w:before="156" w:after="156" w:line="240" w:lineRule="exact"/>
              <w:jc w:val="center"/>
              <w:rPr>
                <w:rFonts w:ascii="黑体" w:hAnsi="黑体" w:eastAsia="黑体"/>
                <w:color w:val="auto"/>
                <w:szCs w:val="21"/>
              </w:rPr>
            </w:pPr>
          </w:p>
        </w:tc>
      </w:tr>
      <w:tr w14:paraId="0F9C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65978F2F">
            <w:pPr>
              <w:spacing w:before="156" w:after="156" w:line="240" w:lineRule="exact"/>
              <w:jc w:val="center"/>
              <w:rPr>
                <w:rFonts w:ascii="黑体" w:hAnsi="黑体" w:eastAsia="黑体"/>
                <w:color w:val="auto"/>
                <w:szCs w:val="21"/>
              </w:rPr>
            </w:pPr>
          </w:p>
        </w:tc>
        <w:tc>
          <w:tcPr>
            <w:tcW w:w="1347" w:type="pct"/>
            <w:vAlign w:val="center"/>
          </w:tcPr>
          <w:p w14:paraId="22265047">
            <w:pPr>
              <w:spacing w:before="156" w:after="156" w:line="240" w:lineRule="exact"/>
              <w:jc w:val="center"/>
              <w:rPr>
                <w:rFonts w:ascii="黑体" w:hAnsi="黑体" w:eastAsia="黑体"/>
                <w:color w:val="auto"/>
                <w:szCs w:val="21"/>
              </w:rPr>
            </w:pPr>
          </w:p>
        </w:tc>
        <w:tc>
          <w:tcPr>
            <w:tcW w:w="916" w:type="pct"/>
            <w:vAlign w:val="center"/>
          </w:tcPr>
          <w:p w14:paraId="5DEF10FC">
            <w:pPr>
              <w:spacing w:before="156" w:after="156" w:line="240" w:lineRule="exact"/>
              <w:jc w:val="center"/>
              <w:rPr>
                <w:rFonts w:ascii="黑体" w:hAnsi="黑体" w:eastAsia="黑体"/>
                <w:color w:val="auto"/>
                <w:szCs w:val="21"/>
              </w:rPr>
            </w:pPr>
          </w:p>
        </w:tc>
        <w:tc>
          <w:tcPr>
            <w:tcW w:w="913" w:type="pct"/>
            <w:vAlign w:val="center"/>
          </w:tcPr>
          <w:p w14:paraId="563D2E38">
            <w:pPr>
              <w:spacing w:before="156" w:after="156" w:line="240" w:lineRule="exact"/>
              <w:jc w:val="center"/>
              <w:rPr>
                <w:rFonts w:ascii="黑体" w:hAnsi="黑体" w:eastAsia="黑体"/>
                <w:color w:val="auto"/>
                <w:szCs w:val="21"/>
              </w:rPr>
            </w:pPr>
          </w:p>
        </w:tc>
        <w:tc>
          <w:tcPr>
            <w:tcW w:w="830" w:type="pct"/>
            <w:vAlign w:val="center"/>
          </w:tcPr>
          <w:p w14:paraId="3FF579D1">
            <w:pPr>
              <w:spacing w:before="156" w:after="156" w:line="240" w:lineRule="exact"/>
              <w:jc w:val="center"/>
              <w:rPr>
                <w:rFonts w:ascii="黑体" w:hAnsi="黑体" w:eastAsia="黑体"/>
                <w:color w:val="auto"/>
                <w:szCs w:val="21"/>
              </w:rPr>
            </w:pPr>
          </w:p>
        </w:tc>
        <w:tc>
          <w:tcPr>
            <w:tcW w:w="615" w:type="pct"/>
            <w:vAlign w:val="center"/>
          </w:tcPr>
          <w:p w14:paraId="643758F2">
            <w:pPr>
              <w:spacing w:before="156" w:after="156" w:line="240" w:lineRule="exact"/>
              <w:jc w:val="center"/>
              <w:rPr>
                <w:rFonts w:ascii="黑体" w:hAnsi="黑体" w:eastAsia="黑体"/>
                <w:color w:val="auto"/>
                <w:szCs w:val="21"/>
              </w:rPr>
            </w:pPr>
          </w:p>
        </w:tc>
      </w:tr>
      <w:tr w14:paraId="4144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8" w:type="pct"/>
            <w:vAlign w:val="center"/>
          </w:tcPr>
          <w:p w14:paraId="021C2D95">
            <w:pPr>
              <w:spacing w:before="156" w:after="156" w:line="240" w:lineRule="exact"/>
              <w:jc w:val="center"/>
              <w:rPr>
                <w:rFonts w:ascii="黑体" w:hAnsi="黑体" w:eastAsia="黑体"/>
                <w:color w:val="auto"/>
                <w:szCs w:val="21"/>
              </w:rPr>
            </w:pPr>
          </w:p>
        </w:tc>
        <w:tc>
          <w:tcPr>
            <w:tcW w:w="1347" w:type="pct"/>
            <w:vAlign w:val="center"/>
          </w:tcPr>
          <w:p w14:paraId="61F81E67">
            <w:pPr>
              <w:spacing w:before="156" w:after="156" w:line="240" w:lineRule="exact"/>
              <w:jc w:val="center"/>
              <w:rPr>
                <w:rFonts w:ascii="黑体" w:hAnsi="黑体" w:eastAsia="黑体"/>
                <w:color w:val="auto"/>
                <w:szCs w:val="21"/>
              </w:rPr>
            </w:pPr>
          </w:p>
        </w:tc>
        <w:tc>
          <w:tcPr>
            <w:tcW w:w="916" w:type="pct"/>
            <w:vAlign w:val="center"/>
          </w:tcPr>
          <w:p w14:paraId="38929E88">
            <w:pPr>
              <w:spacing w:before="156" w:after="156" w:line="240" w:lineRule="exact"/>
              <w:jc w:val="center"/>
              <w:rPr>
                <w:rFonts w:ascii="黑体" w:hAnsi="黑体" w:eastAsia="黑体"/>
                <w:color w:val="auto"/>
                <w:szCs w:val="21"/>
              </w:rPr>
            </w:pPr>
          </w:p>
        </w:tc>
        <w:tc>
          <w:tcPr>
            <w:tcW w:w="913" w:type="pct"/>
            <w:vAlign w:val="center"/>
          </w:tcPr>
          <w:p w14:paraId="2E1F8DC4">
            <w:pPr>
              <w:spacing w:before="156" w:after="156" w:line="240" w:lineRule="exact"/>
              <w:jc w:val="center"/>
              <w:rPr>
                <w:rFonts w:ascii="黑体" w:hAnsi="黑体" w:eastAsia="黑体"/>
                <w:color w:val="auto"/>
                <w:szCs w:val="21"/>
              </w:rPr>
            </w:pPr>
          </w:p>
        </w:tc>
        <w:tc>
          <w:tcPr>
            <w:tcW w:w="830" w:type="pct"/>
            <w:vAlign w:val="center"/>
          </w:tcPr>
          <w:p w14:paraId="7A052A57">
            <w:pPr>
              <w:spacing w:before="156" w:after="156" w:line="240" w:lineRule="exact"/>
              <w:jc w:val="center"/>
              <w:rPr>
                <w:rFonts w:ascii="黑体" w:hAnsi="黑体" w:eastAsia="黑体"/>
                <w:color w:val="auto"/>
                <w:szCs w:val="21"/>
              </w:rPr>
            </w:pPr>
          </w:p>
        </w:tc>
        <w:tc>
          <w:tcPr>
            <w:tcW w:w="615" w:type="pct"/>
            <w:vAlign w:val="center"/>
          </w:tcPr>
          <w:p w14:paraId="6C7B1E1B">
            <w:pPr>
              <w:spacing w:before="156" w:after="156" w:line="240" w:lineRule="exact"/>
              <w:jc w:val="center"/>
              <w:rPr>
                <w:rFonts w:ascii="黑体" w:hAnsi="黑体" w:eastAsia="黑体"/>
                <w:color w:val="auto"/>
                <w:szCs w:val="21"/>
              </w:rPr>
            </w:pPr>
          </w:p>
        </w:tc>
      </w:tr>
      <w:tr w14:paraId="0969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vAlign w:val="center"/>
          </w:tcPr>
          <w:p w14:paraId="7087B5A9">
            <w:pPr>
              <w:spacing w:before="156" w:after="156" w:line="240" w:lineRule="exact"/>
              <w:jc w:val="center"/>
              <w:rPr>
                <w:rFonts w:ascii="黑体" w:hAnsi="黑体" w:eastAsia="黑体"/>
                <w:color w:val="auto"/>
                <w:szCs w:val="21"/>
              </w:rPr>
            </w:pPr>
          </w:p>
        </w:tc>
        <w:tc>
          <w:tcPr>
            <w:tcW w:w="1347" w:type="pct"/>
            <w:vAlign w:val="center"/>
          </w:tcPr>
          <w:p w14:paraId="55865F38">
            <w:pPr>
              <w:spacing w:before="156" w:after="156" w:line="240" w:lineRule="exact"/>
              <w:jc w:val="center"/>
              <w:rPr>
                <w:rFonts w:ascii="黑体" w:hAnsi="黑体" w:eastAsia="黑体"/>
                <w:color w:val="auto"/>
                <w:szCs w:val="21"/>
              </w:rPr>
            </w:pPr>
          </w:p>
        </w:tc>
        <w:tc>
          <w:tcPr>
            <w:tcW w:w="916" w:type="pct"/>
            <w:vAlign w:val="center"/>
          </w:tcPr>
          <w:p w14:paraId="05F714D9">
            <w:pPr>
              <w:spacing w:before="156" w:after="156" w:line="240" w:lineRule="exact"/>
              <w:jc w:val="center"/>
              <w:rPr>
                <w:rFonts w:ascii="黑体" w:hAnsi="黑体" w:eastAsia="黑体"/>
                <w:color w:val="auto"/>
                <w:szCs w:val="21"/>
              </w:rPr>
            </w:pPr>
          </w:p>
        </w:tc>
        <w:tc>
          <w:tcPr>
            <w:tcW w:w="913" w:type="pct"/>
            <w:vAlign w:val="center"/>
          </w:tcPr>
          <w:p w14:paraId="7B1A79FF">
            <w:pPr>
              <w:spacing w:before="156" w:after="156" w:line="240" w:lineRule="exact"/>
              <w:jc w:val="center"/>
              <w:rPr>
                <w:rFonts w:ascii="黑体" w:hAnsi="黑体" w:eastAsia="黑体"/>
                <w:color w:val="auto"/>
                <w:szCs w:val="21"/>
              </w:rPr>
            </w:pPr>
          </w:p>
        </w:tc>
        <w:tc>
          <w:tcPr>
            <w:tcW w:w="830" w:type="pct"/>
            <w:vAlign w:val="center"/>
          </w:tcPr>
          <w:p w14:paraId="0E9EF9C1">
            <w:pPr>
              <w:spacing w:before="156" w:after="156" w:line="240" w:lineRule="exact"/>
              <w:jc w:val="center"/>
              <w:rPr>
                <w:rFonts w:ascii="黑体" w:hAnsi="黑体" w:eastAsia="黑体"/>
                <w:color w:val="auto"/>
                <w:szCs w:val="21"/>
              </w:rPr>
            </w:pPr>
          </w:p>
        </w:tc>
        <w:tc>
          <w:tcPr>
            <w:tcW w:w="615" w:type="pct"/>
            <w:vAlign w:val="center"/>
          </w:tcPr>
          <w:p w14:paraId="72CA107C">
            <w:pPr>
              <w:spacing w:before="156" w:after="156" w:line="240" w:lineRule="exact"/>
              <w:jc w:val="center"/>
              <w:rPr>
                <w:rFonts w:ascii="黑体" w:hAnsi="黑体" w:eastAsia="黑体"/>
                <w:color w:val="auto"/>
                <w:szCs w:val="21"/>
              </w:rPr>
            </w:pPr>
          </w:p>
        </w:tc>
      </w:tr>
      <w:tr w14:paraId="67E51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8" w:type="pct"/>
            <w:vAlign w:val="center"/>
          </w:tcPr>
          <w:p w14:paraId="2965FAF7">
            <w:pPr>
              <w:spacing w:before="156" w:after="156" w:line="240" w:lineRule="exact"/>
              <w:jc w:val="center"/>
              <w:rPr>
                <w:rFonts w:ascii="黑体" w:hAnsi="黑体" w:eastAsia="黑体"/>
                <w:color w:val="auto"/>
                <w:szCs w:val="21"/>
              </w:rPr>
            </w:pPr>
          </w:p>
        </w:tc>
        <w:tc>
          <w:tcPr>
            <w:tcW w:w="1347" w:type="pct"/>
            <w:vAlign w:val="center"/>
          </w:tcPr>
          <w:p w14:paraId="3D3919B8">
            <w:pPr>
              <w:spacing w:before="156" w:after="156" w:line="240" w:lineRule="exact"/>
              <w:jc w:val="center"/>
              <w:rPr>
                <w:rFonts w:ascii="黑体" w:hAnsi="黑体" w:eastAsia="黑体"/>
                <w:color w:val="auto"/>
                <w:szCs w:val="21"/>
              </w:rPr>
            </w:pPr>
          </w:p>
        </w:tc>
        <w:tc>
          <w:tcPr>
            <w:tcW w:w="916" w:type="pct"/>
            <w:vAlign w:val="center"/>
          </w:tcPr>
          <w:p w14:paraId="4F8C777D">
            <w:pPr>
              <w:spacing w:before="156" w:after="156" w:line="240" w:lineRule="exact"/>
              <w:jc w:val="center"/>
              <w:rPr>
                <w:rFonts w:ascii="黑体" w:hAnsi="黑体" w:eastAsia="黑体"/>
                <w:color w:val="auto"/>
                <w:szCs w:val="21"/>
              </w:rPr>
            </w:pPr>
          </w:p>
        </w:tc>
        <w:tc>
          <w:tcPr>
            <w:tcW w:w="913" w:type="pct"/>
            <w:vAlign w:val="center"/>
          </w:tcPr>
          <w:p w14:paraId="1EC5E0B3">
            <w:pPr>
              <w:spacing w:before="156" w:after="156" w:line="240" w:lineRule="exact"/>
              <w:jc w:val="center"/>
              <w:rPr>
                <w:rFonts w:ascii="黑体" w:hAnsi="黑体" w:eastAsia="黑体"/>
                <w:color w:val="auto"/>
                <w:szCs w:val="21"/>
              </w:rPr>
            </w:pPr>
          </w:p>
        </w:tc>
        <w:tc>
          <w:tcPr>
            <w:tcW w:w="830" w:type="pct"/>
            <w:vAlign w:val="center"/>
          </w:tcPr>
          <w:p w14:paraId="42F005CC">
            <w:pPr>
              <w:spacing w:before="156" w:after="156" w:line="240" w:lineRule="exact"/>
              <w:jc w:val="center"/>
              <w:rPr>
                <w:rFonts w:ascii="黑体" w:hAnsi="黑体" w:eastAsia="黑体"/>
                <w:color w:val="auto"/>
                <w:szCs w:val="21"/>
              </w:rPr>
            </w:pPr>
          </w:p>
        </w:tc>
        <w:tc>
          <w:tcPr>
            <w:tcW w:w="615" w:type="pct"/>
            <w:vAlign w:val="center"/>
          </w:tcPr>
          <w:p w14:paraId="08DA7E6E">
            <w:pPr>
              <w:spacing w:before="156" w:after="156" w:line="240" w:lineRule="exact"/>
              <w:jc w:val="center"/>
              <w:rPr>
                <w:rFonts w:ascii="黑体" w:hAnsi="黑体" w:eastAsia="黑体"/>
                <w:color w:val="auto"/>
                <w:szCs w:val="21"/>
              </w:rPr>
            </w:pPr>
          </w:p>
        </w:tc>
      </w:tr>
    </w:tbl>
    <w:p w14:paraId="1B0801C8">
      <w:pPr>
        <w:spacing w:before="156" w:beforeLines="50" w:line="360" w:lineRule="auto"/>
        <w:rPr>
          <w:rFonts w:ascii="黑体" w:hAnsi="黑体" w:eastAsia="黑体"/>
          <w:color w:val="auto"/>
          <w:szCs w:val="21"/>
        </w:rPr>
      </w:pPr>
      <w:r>
        <w:rPr>
          <w:rFonts w:hint="eastAsia" w:ascii="黑体" w:hAnsi="黑体" w:eastAsia="黑体"/>
          <w:color w:val="auto"/>
          <w:szCs w:val="21"/>
        </w:rPr>
        <w:t>注明：需提供证明资料内容详见</w:t>
      </w:r>
      <w:r>
        <w:rPr>
          <w:rFonts w:hint="eastAsia" w:ascii="黑体" w:hAnsi="黑体" w:eastAsia="黑体"/>
          <w:color w:val="auto"/>
          <w:szCs w:val="21"/>
          <w:u w:val="single"/>
        </w:rPr>
        <w:t>（招标文件第五部分</w:t>
      </w:r>
      <w:r>
        <w:rPr>
          <w:rFonts w:ascii="黑体" w:hAnsi="黑体" w:eastAsia="黑体"/>
          <w:color w:val="auto"/>
          <w:szCs w:val="21"/>
          <w:u w:val="single"/>
        </w:rPr>
        <w:t xml:space="preserve"> </w:t>
      </w:r>
      <w:r>
        <w:rPr>
          <w:rFonts w:hint="eastAsia" w:ascii="黑体" w:hAnsi="黑体" w:eastAsia="黑体"/>
          <w:color w:val="auto"/>
          <w:szCs w:val="21"/>
          <w:u w:val="single"/>
        </w:rPr>
        <w:t>评标方法、步骤、标准之</w:t>
      </w:r>
      <w:r>
        <w:rPr>
          <w:rFonts w:hint="eastAsia" w:ascii="黑体" w:hAnsi="黑体" w:eastAsia="黑体"/>
          <w:color w:val="auto"/>
          <w:kern w:val="0"/>
          <w:szCs w:val="21"/>
          <w:u w:val="single"/>
        </w:rPr>
        <w:t>附表三</w:t>
      </w:r>
      <w:r>
        <w:rPr>
          <w:rFonts w:hint="eastAsia" w:ascii="黑体" w:hAnsi="黑体" w:eastAsia="黑体"/>
          <w:color w:val="auto"/>
          <w:szCs w:val="21"/>
          <w:u w:val="single"/>
        </w:rPr>
        <w:t>详细评审表相对应条款）</w:t>
      </w:r>
      <w:r>
        <w:rPr>
          <w:rFonts w:ascii="黑体" w:hAnsi="黑体" w:eastAsia="黑体"/>
          <w:color w:val="auto"/>
          <w:szCs w:val="21"/>
          <w:u w:val="single"/>
        </w:rPr>
        <w:t xml:space="preserve"> </w:t>
      </w:r>
      <w:r>
        <w:rPr>
          <w:rFonts w:hint="eastAsia" w:ascii="黑体" w:hAnsi="黑体" w:eastAsia="黑体"/>
          <w:color w:val="auto"/>
          <w:szCs w:val="21"/>
        </w:rPr>
        <w:t>。</w:t>
      </w:r>
    </w:p>
    <w:p w14:paraId="073D122C">
      <w:pPr>
        <w:spacing w:line="360" w:lineRule="auto"/>
        <w:rPr>
          <w:rFonts w:ascii="黑体" w:hAnsi="黑体" w:eastAsia="黑体"/>
          <w:color w:val="auto"/>
          <w:szCs w:val="21"/>
        </w:rPr>
      </w:pPr>
    </w:p>
    <w:p w14:paraId="15485B1A">
      <w:pPr>
        <w:spacing w:line="360" w:lineRule="auto"/>
        <w:rPr>
          <w:rFonts w:ascii="黑体" w:hAnsi="黑体" w:eastAsia="黑体"/>
          <w:color w:val="auto"/>
          <w:szCs w:val="21"/>
        </w:rPr>
      </w:pPr>
    </w:p>
    <w:p w14:paraId="78CF7CBE">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2F186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131FF270">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38BCD1D0">
            <w:pPr>
              <w:spacing w:line="360" w:lineRule="auto"/>
              <w:rPr>
                <w:rFonts w:ascii="黑体" w:hAnsi="黑体" w:eastAsia="黑体"/>
                <w:color w:val="auto"/>
                <w:szCs w:val="21"/>
              </w:rPr>
            </w:pPr>
          </w:p>
        </w:tc>
      </w:tr>
      <w:tr w14:paraId="30686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D802E0C">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10EF2329">
            <w:pPr>
              <w:spacing w:line="360" w:lineRule="auto"/>
              <w:rPr>
                <w:rFonts w:ascii="黑体" w:hAnsi="黑体" w:eastAsia="黑体"/>
                <w:color w:val="auto"/>
                <w:szCs w:val="21"/>
              </w:rPr>
            </w:pPr>
          </w:p>
        </w:tc>
      </w:tr>
    </w:tbl>
    <w:p w14:paraId="77AF574A">
      <w:pPr>
        <w:spacing w:line="360" w:lineRule="auto"/>
        <w:rPr>
          <w:rFonts w:ascii="黑体" w:hAnsi="黑体" w:eastAsia="黑体"/>
          <w:color w:val="auto"/>
          <w:szCs w:val="21"/>
        </w:rPr>
      </w:pPr>
    </w:p>
    <w:p w14:paraId="63CA8D3C">
      <w:pPr>
        <w:spacing w:line="360" w:lineRule="auto"/>
        <w:rPr>
          <w:rFonts w:ascii="黑体" w:hAnsi="黑体" w:eastAsia="黑体"/>
          <w:color w:val="auto"/>
          <w:szCs w:val="21"/>
        </w:rPr>
      </w:pPr>
    </w:p>
    <w:p w14:paraId="63100BC6">
      <w:pPr>
        <w:spacing w:line="360" w:lineRule="auto"/>
        <w:rPr>
          <w:rFonts w:ascii="黑体" w:hAnsi="黑体" w:eastAsia="黑体"/>
          <w:color w:val="auto"/>
          <w:szCs w:val="21"/>
        </w:rPr>
      </w:pPr>
    </w:p>
    <w:p w14:paraId="5829A088">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r>
        <w:rPr>
          <w:rFonts w:hint="eastAsia" w:ascii="黑体" w:hAnsi="黑体" w:eastAsia="黑体"/>
          <w:b/>
          <w:bCs/>
          <w:color w:val="auto"/>
        </w:rPr>
        <w:t>商务要求偏离表</w:t>
      </w:r>
    </w:p>
    <w:p w14:paraId="6613DC25">
      <w:pPr>
        <w:spacing w:before="468" w:beforeLines="150" w:after="468" w:afterLines="1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商务要求偏离表</w:t>
      </w:r>
    </w:p>
    <w:tbl>
      <w:tblPr>
        <w:tblStyle w:val="20"/>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1575"/>
      </w:tblGrid>
      <w:tr w14:paraId="5C74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0" w:type="dxa"/>
            <w:vAlign w:val="center"/>
          </w:tcPr>
          <w:p w14:paraId="22E34EAB">
            <w:pPr>
              <w:jc w:val="center"/>
              <w:rPr>
                <w:rFonts w:ascii="黑体" w:hAnsi="黑体" w:eastAsia="黑体"/>
                <w:b/>
                <w:color w:val="auto"/>
                <w:szCs w:val="21"/>
              </w:rPr>
            </w:pPr>
            <w:r>
              <w:rPr>
                <w:rFonts w:hint="eastAsia" w:ascii="黑体" w:hAnsi="黑体" w:eastAsia="黑体"/>
                <w:b/>
                <w:color w:val="auto"/>
                <w:szCs w:val="21"/>
              </w:rPr>
              <w:t>序号</w:t>
            </w:r>
          </w:p>
        </w:tc>
        <w:tc>
          <w:tcPr>
            <w:tcW w:w="2352" w:type="dxa"/>
            <w:vAlign w:val="center"/>
          </w:tcPr>
          <w:p w14:paraId="436DD9DC">
            <w:pPr>
              <w:jc w:val="center"/>
              <w:rPr>
                <w:rFonts w:ascii="黑体" w:hAnsi="黑体" w:eastAsia="黑体"/>
                <w:b/>
                <w:color w:val="auto"/>
                <w:szCs w:val="21"/>
              </w:rPr>
            </w:pPr>
            <w:r>
              <w:rPr>
                <w:rFonts w:hint="eastAsia" w:ascii="黑体" w:hAnsi="黑体" w:eastAsia="黑体"/>
                <w:b/>
                <w:color w:val="auto"/>
                <w:szCs w:val="21"/>
              </w:rPr>
              <w:t>招标文件要求</w:t>
            </w:r>
          </w:p>
        </w:tc>
        <w:tc>
          <w:tcPr>
            <w:tcW w:w="2126" w:type="dxa"/>
            <w:vAlign w:val="center"/>
          </w:tcPr>
          <w:p w14:paraId="73005E9C">
            <w:pPr>
              <w:jc w:val="center"/>
              <w:rPr>
                <w:rFonts w:ascii="黑体" w:hAnsi="黑体" w:eastAsia="黑体"/>
                <w:b/>
                <w:color w:val="auto"/>
                <w:szCs w:val="21"/>
              </w:rPr>
            </w:pPr>
            <w:r>
              <w:rPr>
                <w:rFonts w:hint="eastAsia" w:ascii="黑体" w:hAnsi="黑体" w:eastAsia="黑体"/>
                <w:b/>
                <w:bCs/>
                <w:color w:val="auto"/>
                <w:szCs w:val="21"/>
              </w:rPr>
              <w:t>投标文件响应内容</w:t>
            </w:r>
          </w:p>
        </w:tc>
        <w:tc>
          <w:tcPr>
            <w:tcW w:w="1644" w:type="dxa"/>
            <w:vAlign w:val="center"/>
          </w:tcPr>
          <w:p w14:paraId="2A0434AE">
            <w:pPr>
              <w:ind w:left="293" w:hanging="293" w:hangingChars="139"/>
              <w:jc w:val="center"/>
              <w:rPr>
                <w:rFonts w:ascii="黑体" w:hAnsi="黑体" w:eastAsia="黑体"/>
                <w:b/>
                <w:color w:val="auto"/>
                <w:szCs w:val="21"/>
              </w:rPr>
            </w:pPr>
            <w:r>
              <w:rPr>
                <w:rFonts w:hint="eastAsia" w:ascii="黑体" w:hAnsi="黑体" w:eastAsia="黑体"/>
                <w:b/>
                <w:color w:val="auto"/>
                <w:szCs w:val="21"/>
              </w:rPr>
              <w:t>偏离情况</w:t>
            </w:r>
          </w:p>
        </w:tc>
        <w:tc>
          <w:tcPr>
            <w:tcW w:w="1575" w:type="dxa"/>
            <w:vAlign w:val="center"/>
          </w:tcPr>
          <w:p w14:paraId="31607FE3">
            <w:pPr>
              <w:jc w:val="center"/>
              <w:rPr>
                <w:rFonts w:ascii="黑体" w:hAnsi="黑体" w:eastAsia="黑体"/>
                <w:b/>
                <w:color w:val="auto"/>
                <w:szCs w:val="21"/>
              </w:rPr>
            </w:pPr>
            <w:r>
              <w:rPr>
                <w:rFonts w:hint="eastAsia" w:ascii="黑体" w:hAnsi="黑体" w:eastAsia="黑体"/>
                <w:b/>
                <w:color w:val="auto"/>
                <w:szCs w:val="21"/>
              </w:rPr>
              <w:t>说明</w:t>
            </w:r>
          </w:p>
        </w:tc>
      </w:tr>
      <w:tr w14:paraId="67DA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20" w:type="dxa"/>
            <w:vAlign w:val="center"/>
          </w:tcPr>
          <w:p w14:paraId="1C72188D">
            <w:pPr>
              <w:spacing w:line="360" w:lineRule="auto"/>
              <w:jc w:val="center"/>
              <w:rPr>
                <w:rFonts w:ascii="黑体" w:hAnsi="黑体" w:eastAsia="黑体"/>
                <w:color w:val="auto"/>
                <w:szCs w:val="21"/>
              </w:rPr>
            </w:pPr>
          </w:p>
        </w:tc>
        <w:tc>
          <w:tcPr>
            <w:tcW w:w="2352" w:type="dxa"/>
            <w:vAlign w:val="center"/>
          </w:tcPr>
          <w:p w14:paraId="32785112">
            <w:pPr>
              <w:spacing w:line="360" w:lineRule="auto"/>
              <w:jc w:val="center"/>
              <w:rPr>
                <w:rFonts w:ascii="黑体" w:hAnsi="黑体" w:eastAsia="黑体"/>
                <w:color w:val="auto"/>
                <w:szCs w:val="21"/>
              </w:rPr>
            </w:pPr>
          </w:p>
        </w:tc>
        <w:tc>
          <w:tcPr>
            <w:tcW w:w="2126" w:type="dxa"/>
            <w:vAlign w:val="center"/>
          </w:tcPr>
          <w:p w14:paraId="78DAC06A">
            <w:pPr>
              <w:spacing w:line="360" w:lineRule="auto"/>
              <w:jc w:val="center"/>
              <w:rPr>
                <w:rFonts w:ascii="黑体" w:hAnsi="黑体" w:eastAsia="黑体"/>
                <w:color w:val="auto"/>
                <w:szCs w:val="21"/>
              </w:rPr>
            </w:pPr>
          </w:p>
        </w:tc>
        <w:tc>
          <w:tcPr>
            <w:tcW w:w="1644" w:type="dxa"/>
            <w:vAlign w:val="center"/>
          </w:tcPr>
          <w:p w14:paraId="4AAF296E">
            <w:pPr>
              <w:spacing w:line="360" w:lineRule="auto"/>
              <w:jc w:val="center"/>
              <w:rPr>
                <w:rFonts w:ascii="黑体" w:hAnsi="黑体" w:eastAsia="黑体"/>
                <w:color w:val="auto"/>
                <w:szCs w:val="21"/>
              </w:rPr>
            </w:pPr>
          </w:p>
        </w:tc>
        <w:tc>
          <w:tcPr>
            <w:tcW w:w="1575" w:type="dxa"/>
            <w:vAlign w:val="center"/>
          </w:tcPr>
          <w:p w14:paraId="2378BA0D">
            <w:pPr>
              <w:spacing w:line="360" w:lineRule="auto"/>
              <w:jc w:val="center"/>
              <w:rPr>
                <w:rFonts w:ascii="黑体" w:hAnsi="黑体" w:eastAsia="黑体"/>
                <w:color w:val="auto"/>
                <w:szCs w:val="21"/>
              </w:rPr>
            </w:pPr>
          </w:p>
        </w:tc>
      </w:tr>
      <w:tr w14:paraId="575C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20" w:type="dxa"/>
            <w:vAlign w:val="center"/>
          </w:tcPr>
          <w:p w14:paraId="566A4727">
            <w:pPr>
              <w:spacing w:line="360" w:lineRule="auto"/>
              <w:jc w:val="center"/>
              <w:rPr>
                <w:rFonts w:ascii="黑体" w:hAnsi="黑体" w:eastAsia="黑体"/>
                <w:color w:val="auto"/>
                <w:szCs w:val="21"/>
              </w:rPr>
            </w:pPr>
          </w:p>
        </w:tc>
        <w:tc>
          <w:tcPr>
            <w:tcW w:w="2352" w:type="dxa"/>
            <w:vAlign w:val="center"/>
          </w:tcPr>
          <w:p w14:paraId="504A2E8B">
            <w:pPr>
              <w:spacing w:line="360" w:lineRule="auto"/>
              <w:jc w:val="center"/>
              <w:rPr>
                <w:rFonts w:ascii="黑体" w:hAnsi="黑体" w:eastAsia="黑体"/>
                <w:color w:val="auto"/>
                <w:szCs w:val="21"/>
              </w:rPr>
            </w:pPr>
          </w:p>
        </w:tc>
        <w:tc>
          <w:tcPr>
            <w:tcW w:w="2126" w:type="dxa"/>
            <w:vAlign w:val="center"/>
          </w:tcPr>
          <w:p w14:paraId="72D8E33D">
            <w:pPr>
              <w:spacing w:line="360" w:lineRule="auto"/>
              <w:jc w:val="center"/>
              <w:rPr>
                <w:rFonts w:ascii="黑体" w:hAnsi="黑体" w:eastAsia="黑体"/>
                <w:color w:val="auto"/>
                <w:szCs w:val="21"/>
              </w:rPr>
            </w:pPr>
          </w:p>
        </w:tc>
        <w:tc>
          <w:tcPr>
            <w:tcW w:w="1644" w:type="dxa"/>
            <w:vAlign w:val="center"/>
          </w:tcPr>
          <w:p w14:paraId="3E8839FA">
            <w:pPr>
              <w:spacing w:line="360" w:lineRule="auto"/>
              <w:jc w:val="center"/>
              <w:rPr>
                <w:rFonts w:ascii="黑体" w:hAnsi="黑体" w:eastAsia="黑体"/>
                <w:color w:val="auto"/>
                <w:szCs w:val="21"/>
              </w:rPr>
            </w:pPr>
          </w:p>
        </w:tc>
        <w:tc>
          <w:tcPr>
            <w:tcW w:w="1575" w:type="dxa"/>
            <w:vAlign w:val="center"/>
          </w:tcPr>
          <w:p w14:paraId="5A071B4A">
            <w:pPr>
              <w:spacing w:line="360" w:lineRule="auto"/>
              <w:jc w:val="center"/>
              <w:rPr>
                <w:rFonts w:ascii="黑体" w:hAnsi="黑体" w:eastAsia="黑体"/>
                <w:color w:val="auto"/>
                <w:szCs w:val="21"/>
              </w:rPr>
            </w:pPr>
          </w:p>
        </w:tc>
      </w:tr>
      <w:tr w14:paraId="0568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20" w:type="dxa"/>
            <w:vAlign w:val="center"/>
          </w:tcPr>
          <w:p w14:paraId="6CEA6995">
            <w:pPr>
              <w:spacing w:line="360" w:lineRule="auto"/>
              <w:jc w:val="center"/>
              <w:rPr>
                <w:rFonts w:ascii="黑体" w:hAnsi="黑体" w:eastAsia="黑体"/>
                <w:color w:val="auto"/>
                <w:szCs w:val="21"/>
              </w:rPr>
            </w:pPr>
          </w:p>
        </w:tc>
        <w:tc>
          <w:tcPr>
            <w:tcW w:w="2352" w:type="dxa"/>
            <w:vAlign w:val="center"/>
          </w:tcPr>
          <w:p w14:paraId="734A575C">
            <w:pPr>
              <w:spacing w:line="360" w:lineRule="auto"/>
              <w:jc w:val="center"/>
              <w:rPr>
                <w:rFonts w:ascii="黑体" w:hAnsi="黑体" w:eastAsia="黑体"/>
                <w:color w:val="auto"/>
                <w:szCs w:val="21"/>
              </w:rPr>
            </w:pPr>
          </w:p>
        </w:tc>
        <w:tc>
          <w:tcPr>
            <w:tcW w:w="2126" w:type="dxa"/>
            <w:vAlign w:val="center"/>
          </w:tcPr>
          <w:p w14:paraId="700B9B79">
            <w:pPr>
              <w:spacing w:line="360" w:lineRule="auto"/>
              <w:jc w:val="center"/>
              <w:rPr>
                <w:rFonts w:ascii="黑体" w:hAnsi="黑体" w:eastAsia="黑体"/>
                <w:color w:val="auto"/>
                <w:szCs w:val="21"/>
              </w:rPr>
            </w:pPr>
          </w:p>
        </w:tc>
        <w:tc>
          <w:tcPr>
            <w:tcW w:w="1644" w:type="dxa"/>
            <w:vAlign w:val="center"/>
          </w:tcPr>
          <w:p w14:paraId="53D4B9AC">
            <w:pPr>
              <w:spacing w:line="360" w:lineRule="auto"/>
              <w:jc w:val="center"/>
              <w:rPr>
                <w:rFonts w:ascii="黑体" w:hAnsi="黑体" w:eastAsia="黑体"/>
                <w:color w:val="auto"/>
                <w:szCs w:val="21"/>
              </w:rPr>
            </w:pPr>
          </w:p>
        </w:tc>
        <w:tc>
          <w:tcPr>
            <w:tcW w:w="1575" w:type="dxa"/>
            <w:vAlign w:val="center"/>
          </w:tcPr>
          <w:p w14:paraId="2CFCBA87">
            <w:pPr>
              <w:spacing w:line="360" w:lineRule="auto"/>
              <w:jc w:val="center"/>
              <w:rPr>
                <w:rFonts w:ascii="黑体" w:hAnsi="黑体" w:eastAsia="黑体"/>
                <w:color w:val="auto"/>
                <w:szCs w:val="21"/>
              </w:rPr>
            </w:pPr>
          </w:p>
        </w:tc>
      </w:tr>
      <w:tr w14:paraId="487E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20" w:type="dxa"/>
            <w:vAlign w:val="center"/>
          </w:tcPr>
          <w:p w14:paraId="5BBA2A1D">
            <w:pPr>
              <w:spacing w:line="360" w:lineRule="auto"/>
              <w:jc w:val="center"/>
              <w:rPr>
                <w:rFonts w:ascii="黑体" w:hAnsi="黑体" w:eastAsia="黑体"/>
                <w:color w:val="auto"/>
                <w:szCs w:val="21"/>
              </w:rPr>
            </w:pPr>
          </w:p>
        </w:tc>
        <w:tc>
          <w:tcPr>
            <w:tcW w:w="2352" w:type="dxa"/>
            <w:vAlign w:val="center"/>
          </w:tcPr>
          <w:p w14:paraId="305F0CF0">
            <w:pPr>
              <w:spacing w:line="360" w:lineRule="auto"/>
              <w:jc w:val="center"/>
              <w:rPr>
                <w:rFonts w:ascii="黑体" w:hAnsi="黑体" w:eastAsia="黑体"/>
                <w:color w:val="auto"/>
                <w:szCs w:val="21"/>
              </w:rPr>
            </w:pPr>
          </w:p>
        </w:tc>
        <w:tc>
          <w:tcPr>
            <w:tcW w:w="2126" w:type="dxa"/>
            <w:vAlign w:val="center"/>
          </w:tcPr>
          <w:p w14:paraId="39436E65">
            <w:pPr>
              <w:spacing w:line="360" w:lineRule="auto"/>
              <w:jc w:val="center"/>
              <w:rPr>
                <w:rFonts w:ascii="黑体" w:hAnsi="黑体" w:eastAsia="黑体"/>
                <w:color w:val="auto"/>
                <w:szCs w:val="21"/>
              </w:rPr>
            </w:pPr>
          </w:p>
        </w:tc>
        <w:tc>
          <w:tcPr>
            <w:tcW w:w="1644" w:type="dxa"/>
            <w:vAlign w:val="center"/>
          </w:tcPr>
          <w:p w14:paraId="53726571">
            <w:pPr>
              <w:spacing w:line="360" w:lineRule="auto"/>
              <w:jc w:val="center"/>
              <w:rPr>
                <w:rFonts w:ascii="黑体" w:hAnsi="黑体" w:eastAsia="黑体"/>
                <w:color w:val="auto"/>
                <w:szCs w:val="21"/>
              </w:rPr>
            </w:pPr>
          </w:p>
        </w:tc>
        <w:tc>
          <w:tcPr>
            <w:tcW w:w="1575" w:type="dxa"/>
            <w:vAlign w:val="center"/>
          </w:tcPr>
          <w:p w14:paraId="7933F3B5">
            <w:pPr>
              <w:spacing w:line="360" w:lineRule="auto"/>
              <w:jc w:val="center"/>
              <w:rPr>
                <w:rFonts w:ascii="黑体" w:hAnsi="黑体" w:eastAsia="黑体"/>
                <w:color w:val="auto"/>
                <w:szCs w:val="21"/>
              </w:rPr>
            </w:pPr>
          </w:p>
        </w:tc>
      </w:tr>
      <w:tr w14:paraId="374E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20" w:type="dxa"/>
            <w:vAlign w:val="center"/>
          </w:tcPr>
          <w:p w14:paraId="1A51376D">
            <w:pPr>
              <w:spacing w:line="360" w:lineRule="auto"/>
              <w:jc w:val="center"/>
              <w:rPr>
                <w:rFonts w:ascii="黑体" w:hAnsi="黑体" w:eastAsia="黑体"/>
                <w:color w:val="auto"/>
                <w:szCs w:val="21"/>
              </w:rPr>
            </w:pPr>
          </w:p>
        </w:tc>
        <w:tc>
          <w:tcPr>
            <w:tcW w:w="2352" w:type="dxa"/>
            <w:vAlign w:val="center"/>
          </w:tcPr>
          <w:p w14:paraId="5956FC87">
            <w:pPr>
              <w:spacing w:line="360" w:lineRule="auto"/>
              <w:jc w:val="center"/>
              <w:rPr>
                <w:rFonts w:ascii="黑体" w:hAnsi="黑体" w:eastAsia="黑体"/>
                <w:color w:val="auto"/>
                <w:szCs w:val="21"/>
              </w:rPr>
            </w:pPr>
          </w:p>
        </w:tc>
        <w:tc>
          <w:tcPr>
            <w:tcW w:w="2126" w:type="dxa"/>
            <w:vAlign w:val="center"/>
          </w:tcPr>
          <w:p w14:paraId="6AD7E3B4">
            <w:pPr>
              <w:spacing w:line="360" w:lineRule="auto"/>
              <w:jc w:val="center"/>
              <w:rPr>
                <w:rFonts w:ascii="黑体" w:hAnsi="黑体" w:eastAsia="黑体"/>
                <w:color w:val="auto"/>
                <w:szCs w:val="21"/>
              </w:rPr>
            </w:pPr>
          </w:p>
        </w:tc>
        <w:tc>
          <w:tcPr>
            <w:tcW w:w="1644" w:type="dxa"/>
            <w:vAlign w:val="center"/>
          </w:tcPr>
          <w:p w14:paraId="1D8BEDF6">
            <w:pPr>
              <w:spacing w:line="360" w:lineRule="auto"/>
              <w:jc w:val="center"/>
              <w:rPr>
                <w:rFonts w:ascii="黑体" w:hAnsi="黑体" w:eastAsia="黑体"/>
                <w:color w:val="auto"/>
                <w:szCs w:val="21"/>
              </w:rPr>
            </w:pPr>
          </w:p>
        </w:tc>
        <w:tc>
          <w:tcPr>
            <w:tcW w:w="1575" w:type="dxa"/>
            <w:vAlign w:val="center"/>
          </w:tcPr>
          <w:p w14:paraId="7ADEE42C">
            <w:pPr>
              <w:spacing w:line="360" w:lineRule="auto"/>
              <w:jc w:val="center"/>
              <w:rPr>
                <w:rFonts w:ascii="黑体" w:hAnsi="黑体" w:eastAsia="黑体"/>
                <w:color w:val="auto"/>
                <w:szCs w:val="21"/>
              </w:rPr>
            </w:pPr>
          </w:p>
        </w:tc>
      </w:tr>
    </w:tbl>
    <w:p w14:paraId="48E3E75B">
      <w:pPr>
        <w:spacing w:before="156" w:beforeLines="50" w:line="360" w:lineRule="auto"/>
        <w:rPr>
          <w:rFonts w:ascii="黑体" w:hAnsi="黑体" w:eastAsia="黑体"/>
          <w:color w:val="auto"/>
          <w:szCs w:val="21"/>
        </w:rPr>
      </w:pPr>
      <w:r>
        <w:rPr>
          <w:rFonts w:hint="eastAsia" w:ascii="黑体" w:hAnsi="黑体" w:eastAsia="黑体"/>
          <w:color w:val="auto"/>
          <w:szCs w:val="21"/>
        </w:rPr>
        <w:t>注明：</w:t>
      </w:r>
    </w:p>
    <w:p w14:paraId="2363A274">
      <w:pPr>
        <w:pStyle w:val="30"/>
        <w:numPr>
          <w:ilvl w:val="0"/>
          <w:numId w:val="91"/>
        </w:numPr>
        <w:spacing w:line="360" w:lineRule="auto"/>
        <w:ind w:firstLineChars="0"/>
        <w:rPr>
          <w:rFonts w:ascii="黑体" w:hAnsi="黑体" w:eastAsia="黑体"/>
          <w:color w:val="auto"/>
          <w:szCs w:val="21"/>
        </w:rPr>
      </w:pPr>
      <w:r>
        <w:rPr>
          <w:rFonts w:hint="eastAsia" w:ascii="黑体" w:hAnsi="黑体" w:eastAsia="黑体"/>
          <w:color w:val="auto"/>
          <w:szCs w:val="21"/>
        </w:rPr>
        <w:t>偏离情况项填写“正”、“负”或“无”，说明项中填写原因。</w:t>
      </w:r>
    </w:p>
    <w:p w14:paraId="14A3B3D0">
      <w:pPr>
        <w:pStyle w:val="30"/>
        <w:numPr>
          <w:ilvl w:val="0"/>
          <w:numId w:val="91"/>
        </w:numPr>
        <w:spacing w:line="360" w:lineRule="auto"/>
        <w:ind w:firstLineChars="0"/>
        <w:rPr>
          <w:rFonts w:ascii="黑体" w:hAnsi="黑体" w:eastAsia="黑体"/>
          <w:color w:val="auto"/>
          <w:szCs w:val="21"/>
        </w:rPr>
      </w:pPr>
      <w:r>
        <w:rPr>
          <w:rFonts w:hint="eastAsia" w:ascii="黑体" w:hAnsi="黑体" w:eastAsia="黑体"/>
          <w:color w:val="auto"/>
          <w:szCs w:val="21"/>
        </w:rPr>
        <w:t>投标人应按照招标文件要求，根据“采购需求”内容作出全面响应。对响应有偏离的，则说明偏离的内容。</w:t>
      </w:r>
      <w:r>
        <w:rPr>
          <w:rFonts w:hint="eastAsia" w:ascii="黑体" w:hAnsi="黑体" w:eastAsia="黑体" w:cs="Times New Roman"/>
          <w:color w:val="auto"/>
          <w:szCs w:val="21"/>
        </w:rPr>
        <w:t>“采购需求”内容中若有要求提供相关证明资料的，须按要求提供，否则视为负偏离</w:t>
      </w:r>
      <w:r>
        <w:rPr>
          <w:rFonts w:hint="eastAsia" w:ascii="黑体" w:hAnsi="黑体" w:eastAsia="黑体"/>
          <w:color w:val="auto"/>
          <w:szCs w:val="21"/>
        </w:rPr>
        <w:t>。</w:t>
      </w:r>
    </w:p>
    <w:p w14:paraId="4743E7F7">
      <w:pPr>
        <w:spacing w:line="360" w:lineRule="auto"/>
        <w:rPr>
          <w:rFonts w:ascii="黑体" w:hAnsi="黑体" w:eastAsia="黑体"/>
          <w:color w:val="auto"/>
          <w:szCs w:val="21"/>
        </w:rPr>
      </w:pPr>
    </w:p>
    <w:p w14:paraId="5D8C86A2">
      <w:pPr>
        <w:spacing w:line="360" w:lineRule="auto"/>
        <w:rPr>
          <w:rFonts w:ascii="黑体" w:hAnsi="黑体" w:eastAsia="黑体"/>
          <w:color w:val="auto"/>
          <w:szCs w:val="21"/>
        </w:rPr>
      </w:pPr>
    </w:p>
    <w:p w14:paraId="0FA33058">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76BF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143FC77D">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5CE3BB9B">
            <w:pPr>
              <w:spacing w:line="360" w:lineRule="auto"/>
              <w:rPr>
                <w:rFonts w:ascii="黑体" w:hAnsi="黑体" w:eastAsia="黑体"/>
                <w:color w:val="auto"/>
                <w:szCs w:val="21"/>
              </w:rPr>
            </w:pPr>
          </w:p>
        </w:tc>
      </w:tr>
      <w:tr w14:paraId="66D4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57988AAB">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114BC7FA">
            <w:pPr>
              <w:spacing w:line="360" w:lineRule="auto"/>
              <w:rPr>
                <w:rFonts w:ascii="黑体" w:hAnsi="黑体" w:eastAsia="黑体"/>
                <w:color w:val="auto"/>
                <w:szCs w:val="21"/>
              </w:rPr>
            </w:pPr>
          </w:p>
        </w:tc>
      </w:tr>
    </w:tbl>
    <w:p w14:paraId="1B483D71">
      <w:pPr>
        <w:spacing w:line="360" w:lineRule="auto"/>
        <w:rPr>
          <w:rFonts w:ascii="黑体" w:hAnsi="黑体" w:eastAsia="黑体"/>
          <w:color w:val="auto"/>
          <w:szCs w:val="21"/>
        </w:rPr>
      </w:pPr>
    </w:p>
    <w:p w14:paraId="29F41588">
      <w:pPr>
        <w:spacing w:line="360" w:lineRule="auto"/>
        <w:rPr>
          <w:rFonts w:ascii="黑体" w:hAnsi="黑体" w:eastAsia="黑体"/>
          <w:color w:val="auto"/>
          <w:szCs w:val="21"/>
        </w:rPr>
      </w:pPr>
    </w:p>
    <w:p w14:paraId="7B01F90D">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97" w:name="_Toc82414662"/>
      <w:bookmarkStart w:id="98" w:name="_Toc90980524"/>
      <w:bookmarkStart w:id="99" w:name="_Hlk82386912"/>
      <w:r>
        <w:rPr>
          <w:rFonts w:hint="eastAsia" w:ascii="黑体" w:hAnsi="黑体" w:eastAsia="黑体"/>
          <w:b/>
          <w:bCs/>
          <w:color w:val="auto"/>
        </w:rPr>
        <w:t>投标货物详细说明</w:t>
      </w:r>
      <w:bookmarkEnd w:id="97"/>
      <w:bookmarkEnd w:id="98"/>
    </w:p>
    <w:p w14:paraId="76DEF6DB">
      <w:pPr>
        <w:spacing w:before="156" w:beforeLines="5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投标货物详细说明</w:t>
      </w:r>
    </w:p>
    <w:tbl>
      <w:tblPr>
        <w:tblStyle w:val="20"/>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329"/>
        <w:gridCol w:w="800"/>
        <w:gridCol w:w="1077"/>
        <w:gridCol w:w="1604"/>
        <w:gridCol w:w="875"/>
        <w:gridCol w:w="1433"/>
        <w:gridCol w:w="956"/>
      </w:tblGrid>
      <w:tr w14:paraId="457C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96" w:type="pct"/>
            <w:vAlign w:val="center"/>
          </w:tcPr>
          <w:p w14:paraId="5554A0A3">
            <w:pPr>
              <w:jc w:val="center"/>
              <w:rPr>
                <w:rFonts w:ascii="黑体" w:hAnsi="黑体" w:eastAsia="黑体"/>
                <w:b/>
                <w:bCs/>
                <w:color w:val="auto"/>
              </w:rPr>
            </w:pPr>
            <w:r>
              <w:rPr>
                <w:rFonts w:hint="eastAsia" w:ascii="黑体" w:hAnsi="黑体" w:eastAsia="黑体"/>
                <w:b/>
                <w:bCs/>
                <w:color w:val="auto"/>
              </w:rPr>
              <w:t>序号</w:t>
            </w:r>
          </w:p>
        </w:tc>
        <w:tc>
          <w:tcPr>
            <w:tcW w:w="758" w:type="pct"/>
            <w:vAlign w:val="center"/>
          </w:tcPr>
          <w:p w14:paraId="3D8C9E96">
            <w:pPr>
              <w:jc w:val="center"/>
              <w:rPr>
                <w:rFonts w:ascii="黑体" w:hAnsi="黑体" w:eastAsia="黑体"/>
                <w:b/>
                <w:bCs/>
                <w:color w:val="auto"/>
              </w:rPr>
            </w:pPr>
            <w:r>
              <w:rPr>
                <w:rFonts w:hint="eastAsia" w:ascii="黑体" w:hAnsi="黑体" w:eastAsia="黑体"/>
                <w:b/>
                <w:bCs/>
                <w:color w:val="auto"/>
              </w:rPr>
              <w:t>货物名称</w:t>
            </w:r>
          </w:p>
        </w:tc>
        <w:tc>
          <w:tcPr>
            <w:tcW w:w="456" w:type="pct"/>
            <w:vAlign w:val="center"/>
          </w:tcPr>
          <w:p w14:paraId="0D473F6F">
            <w:pPr>
              <w:jc w:val="center"/>
              <w:rPr>
                <w:rFonts w:ascii="黑体" w:hAnsi="黑体" w:eastAsia="黑体"/>
                <w:b/>
                <w:bCs/>
                <w:color w:val="auto"/>
              </w:rPr>
            </w:pPr>
            <w:r>
              <w:rPr>
                <w:rFonts w:hint="eastAsia" w:ascii="黑体" w:hAnsi="黑体" w:eastAsia="黑体"/>
                <w:b/>
                <w:bCs/>
                <w:color w:val="auto"/>
              </w:rPr>
              <w:t>数量</w:t>
            </w:r>
          </w:p>
        </w:tc>
        <w:tc>
          <w:tcPr>
            <w:tcW w:w="614" w:type="pct"/>
            <w:vAlign w:val="center"/>
          </w:tcPr>
          <w:p w14:paraId="68EE3FEA">
            <w:pPr>
              <w:jc w:val="center"/>
              <w:rPr>
                <w:rFonts w:ascii="黑体" w:hAnsi="黑体" w:eastAsia="黑体"/>
                <w:b/>
                <w:bCs/>
                <w:color w:val="auto"/>
              </w:rPr>
            </w:pPr>
            <w:r>
              <w:rPr>
                <w:rFonts w:hint="eastAsia" w:ascii="黑体" w:hAnsi="黑体" w:eastAsia="黑体"/>
                <w:b/>
                <w:bCs/>
                <w:color w:val="auto"/>
              </w:rPr>
              <w:t>品牌</w:t>
            </w:r>
          </w:p>
        </w:tc>
        <w:tc>
          <w:tcPr>
            <w:tcW w:w="915" w:type="pct"/>
            <w:vAlign w:val="center"/>
          </w:tcPr>
          <w:p w14:paraId="5C3EA25E">
            <w:pPr>
              <w:jc w:val="center"/>
              <w:rPr>
                <w:rFonts w:ascii="黑体" w:hAnsi="黑体" w:eastAsia="黑体"/>
                <w:b/>
                <w:bCs/>
                <w:color w:val="auto"/>
              </w:rPr>
            </w:pPr>
            <w:r>
              <w:rPr>
                <w:rFonts w:hint="eastAsia" w:ascii="黑体" w:hAnsi="黑体" w:eastAsia="黑体"/>
                <w:b/>
                <w:bCs/>
                <w:color w:val="auto"/>
              </w:rPr>
              <w:t>规格型号</w:t>
            </w:r>
          </w:p>
        </w:tc>
        <w:tc>
          <w:tcPr>
            <w:tcW w:w="499" w:type="pct"/>
            <w:vAlign w:val="center"/>
          </w:tcPr>
          <w:p w14:paraId="2F1789AE">
            <w:pPr>
              <w:jc w:val="center"/>
              <w:rPr>
                <w:rFonts w:ascii="黑体" w:hAnsi="黑体" w:eastAsia="黑体"/>
                <w:b/>
                <w:bCs/>
                <w:color w:val="auto"/>
              </w:rPr>
            </w:pPr>
            <w:r>
              <w:rPr>
                <w:rFonts w:hint="eastAsia" w:ascii="黑体" w:hAnsi="黑体" w:eastAsia="黑体"/>
                <w:b/>
                <w:bCs/>
                <w:color w:val="auto"/>
              </w:rPr>
              <w:t>原产地</w:t>
            </w:r>
          </w:p>
        </w:tc>
        <w:tc>
          <w:tcPr>
            <w:tcW w:w="817" w:type="pct"/>
            <w:vAlign w:val="center"/>
          </w:tcPr>
          <w:p w14:paraId="1FC74B8D">
            <w:pPr>
              <w:jc w:val="center"/>
              <w:rPr>
                <w:rFonts w:ascii="黑体" w:hAnsi="黑体" w:eastAsia="黑体"/>
                <w:b/>
                <w:bCs/>
                <w:color w:val="auto"/>
              </w:rPr>
            </w:pPr>
            <w:r>
              <w:rPr>
                <w:rFonts w:hint="eastAsia" w:ascii="黑体" w:hAnsi="黑体" w:eastAsia="黑体"/>
                <w:b/>
                <w:bCs/>
                <w:color w:val="auto"/>
              </w:rPr>
              <w:t>性能及技术参数</w:t>
            </w:r>
          </w:p>
        </w:tc>
        <w:tc>
          <w:tcPr>
            <w:tcW w:w="545" w:type="pct"/>
            <w:vAlign w:val="center"/>
          </w:tcPr>
          <w:p w14:paraId="054B23EA">
            <w:pPr>
              <w:jc w:val="center"/>
              <w:rPr>
                <w:rFonts w:ascii="黑体" w:hAnsi="黑体" w:eastAsia="黑体"/>
                <w:b/>
                <w:bCs/>
                <w:color w:val="auto"/>
              </w:rPr>
            </w:pPr>
            <w:r>
              <w:rPr>
                <w:rFonts w:hint="eastAsia" w:ascii="黑体" w:hAnsi="黑体" w:eastAsia="黑体"/>
                <w:b/>
                <w:bCs/>
                <w:color w:val="auto"/>
              </w:rPr>
              <w:t>备注</w:t>
            </w:r>
          </w:p>
        </w:tc>
      </w:tr>
      <w:tr w14:paraId="4957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0EB6FE0D">
            <w:pPr>
              <w:spacing w:line="480" w:lineRule="auto"/>
              <w:jc w:val="center"/>
              <w:rPr>
                <w:rFonts w:ascii="黑体" w:hAnsi="黑体" w:eastAsia="黑体"/>
                <w:color w:val="auto"/>
                <w:szCs w:val="21"/>
              </w:rPr>
            </w:pPr>
          </w:p>
        </w:tc>
        <w:tc>
          <w:tcPr>
            <w:tcW w:w="758" w:type="pct"/>
            <w:vAlign w:val="center"/>
          </w:tcPr>
          <w:p w14:paraId="6F410A5E">
            <w:pPr>
              <w:spacing w:line="480" w:lineRule="auto"/>
              <w:jc w:val="center"/>
              <w:rPr>
                <w:rFonts w:ascii="黑体" w:hAnsi="黑体" w:eastAsia="黑体"/>
                <w:color w:val="auto"/>
                <w:szCs w:val="21"/>
              </w:rPr>
            </w:pPr>
          </w:p>
        </w:tc>
        <w:tc>
          <w:tcPr>
            <w:tcW w:w="456" w:type="pct"/>
            <w:vAlign w:val="center"/>
          </w:tcPr>
          <w:p w14:paraId="77BDF82D">
            <w:pPr>
              <w:spacing w:line="480" w:lineRule="auto"/>
              <w:jc w:val="center"/>
              <w:rPr>
                <w:rFonts w:ascii="黑体" w:hAnsi="黑体" w:eastAsia="黑体"/>
                <w:color w:val="auto"/>
                <w:szCs w:val="21"/>
              </w:rPr>
            </w:pPr>
          </w:p>
        </w:tc>
        <w:tc>
          <w:tcPr>
            <w:tcW w:w="614" w:type="pct"/>
            <w:vAlign w:val="center"/>
          </w:tcPr>
          <w:p w14:paraId="4FE40210">
            <w:pPr>
              <w:spacing w:line="480" w:lineRule="auto"/>
              <w:jc w:val="center"/>
              <w:rPr>
                <w:rFonts w:ascii="黑体" w:hAnsi="黑体" w:eastAsia="黑体"/>
                <w:color w:val="auto"/>
                <w:szCs w:val="21"/>
              </w:rPr>
            </w:pPr>
          </w:p>
        </w:tc>
        <w:tc>
          <w:tcPr>
            <w:tcW w:w="915" w:type="pct"/>
            <w:vAlign w:val="center"/>
          </w:tcPr>
          <w:p w14:paraId="27199350">
            <w:pPr>
              <w:spacing w:line="480" w:lineRule="auto"/>
              <w:jc w:val="center"/>
              <w:rPr>
                <w:rFonts w:ascii="黑体" w:hAnsi="黑体" w:eastAsia="黑体"/>
                <w:color w:val="auto"/>
                <w:szCs w:val="21"/>
              </w:rPr>
            </w:pPr>
          </w:p>
        </w:tc>
        <w:tc>
          <w:tcPr>
            <w:tcW w:w="499" w:type="pct"/>
            <w:vAlign w:val="center"/>
          </w:tcPr>
          <w:p w14:paraId="23259398">
            <w:pPr>
              <w:spacing w:line="480" w:lineRule="auto"/>
              <w:jc w:val="center"/>
              <w:rPr>
                <w:rFonts w:ascii="黑体" w:hAnsi="黑体" w:eastAsia="黑体"/>
                <w:color w:val="auto"/>
                <w:szCs w:val="21"/>
              </w:rPr>
            </w:pPr>
          </w:p>
        </w:tc>
        <w:tc>
          <w:tcPr>
            <w:tcW w:w="817" w:type="pct"/>
          </w:tcPr>
          <w:p w14:paraId="2283EC3E">
            <w:pPr>
              <w:spacing w:line="480" w:lineRule="auto"/>
              <w:jc w:val="center"/>
              <w:rPr>
                <w:rFonts w:ascii="黑体" w:hAnsi="黑体" w:eastAsia="黑体"/>
                <w:color w:val="auto"/>
                <w:szCs w:val="21"/>
              </w:rPr>
            </w:pPr>
          </w:p>
        </w:tc>
        <w:tc>
          <w:tcPr>
            <w:tcW w:w="545" w:type="pct"/>
          </w:tcPr>
          <w:p w14:paraId="08E22008">
            <w:pPr>
              <w:spacing w:line="480" w:lineRule="auto"/>
              <w:jc w:val="center"/>
              <w:rPr>
                <w:rFonts w:ascii="黑体" w:hAnsi="黑体" w:eastAsia="黑体"/>
                <w:color w:val="auto"/>
                <w:szCs w:val="21"/>
              </w:rPr>
            </w:pPr>
          </w:p>
        </w:tc>
      </w:tr>
      <w:tr w14:paraId="1445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4A38A09A">
            <w:pPr>
              <w:spacing w:line="480" w:lineRule="auto"/>
              <w:jc w:val="center"/>
              <w:rPr>
                <w:rFonts w:ascii="黑体" w:hAnsi="黑体" w:eastAsia="黑体"/>
                <w:color w:val="auto"/>
                <w:szCs w:val="21"/>
              </w:rPr>
            </w:pPr>
          </w:p>
        </w:tc>
        <w:tc>
          <w:tcPr>
            <w:tcW w:w="758" w:type="pct"/>
            <w:vAlign w:val="center"/>
          </w:tcPr>
          <w:p w14:paraId="4AB77A5E">
            <w:pPr>
              <w:spacing w:line="480" w:lineRule="auto"/>
              <w:jc w:val="center"/>
              <w:rPr>
                <w:rFonts w:ascii="黑体" w:hAnsi="黑体" w:eastAsia="黑体"/>
                <w:color w:val="auto"/>
                <w:szCs w:val="21"/>
              </w:rPr>
            </w:pPr>
          </w:p>
        </w:tc>
        <w:tc>
          <w:tcPr>
            <w:tcW w:w="456" w:type="pct"/>
            <w:vAlign w:val="center"/>
          </w:tcPr>
          <w:p w14:paraId="2E7C1C96">
            <w:pPr>
              <w:spacing w:line="480" w:lineRule="auto"/>
              <w:jc w:val="center"/>
              <w:rPr>
                <w:rFonts w:ascii="黑体" w:hAnsi="黑体" w:eastAsia="黑体"/>
                <w:color w:val="auto"/>
                <w:szCs w:val="21"/>
              </w:rPr>
            </w:pPr>
          </w:p>
        </w:tc>
        <w:tc>
          <w:tcPr>
            <w:tcW w:w="614" w:type="pct"/>
            <w:vAlign w:val="center"/>
          </w:tcPr>
          <w:p w14:paraId="6C476A5A">
            <w:pPr>
              <w:spacing w:line="480" w:lineRule="auto"/>
              <w:jc w:val="center"/>
              <w:rPr>
                <w:rFonts w:ascii="黑体" w:hAnsi="黑体" w:eastAsia="黑体"/>
                <w:color w:val="auto"/>
                <w:szCs w:val="21"/>
              </w:rPr>
            </w:pPr>
          </w:p>
        </w:tc>
        <w:tc>
          <w:tcPr>
            <w:tcW w:w="915" w:type="pct"/>
            <w:vAlign w:val="center"/>
          </w:tcPr>
          <w:p w14:paraId="0CEF817E">
            <w:pPr>
              <w:spacing w:line="480" w:lineRule="auto"/>
              <w:jc w:val="center"/>
              <w:rPr>
                <w:rFonts w:ascii="黑体" w:hAnsi="黑体" w:eastAsia="黑体"/>
                <w:color w:val="auto"/>
                <w:szCs w:val="21"/>
              </w:rPr>
            </w:pPr>
          </w:p>
        </w:tc>
        <w:tc>
          <w:tcPr>
            <w:tcW w:w="499" w:type="pct"/>
            <w:vAlign w:val="center"/>
          </w:tcPr>
          <w:p w14:paraId="11C4DAE1">
            <w:pPr>
              <w:spacing w:line="480" w:lineRule="auto"/>
              <w:jc w:val="center"/>
              <w:rPr>
                <w:rFonts w:ascii="黑体" w:hAnsi="黑体" w:eastAsia="黑体"/>
                <w:color w:val="auto"/>
                <w:szCs w:val="21"/>
              </w:rPr>
            </w:pPr>
          </w:p>
        </w:tc>
        <w:tc>
          <w:tcPr>
            <w:tcW w:w="817" w:type="pct"/>
          </w:tcPr>
          <w:p w14:paraId="4E6BABAB">
            <w:pPr>
              <w:spacing w:line="480" w:lineRule="auto"/>
              <w:jc w:val="center"/>
              <w:rPr>
                <w:rFonts w:ascii="黑体" w:hAnsi="黑体" w:eastAsia="黑体"/>
                <w:color w:val="auto"/>
                <w:szCs w:val="21"/>
              </w:rPr>
            </w:pPr>
          </w:p>
        </w:tc>
        <w:tc>
          <w:tcPr>
            <w:tcW w:w="545" w:type="pct"/>
          </w:tcPr>
          <w:p w14:paraId="6786AE1B">
            <w:pPr>
              <w:spacing w:line="480" w:lineRule="auto"/>
              <w:jc w:val="center"/>
              <w:rPr>
                <w:rFonts w:ascii="黑体" w:hAnsi="黑体" w:eastAsia="黑体"/>
                <w:color w:val="auto"/>
                <w:szCs w:val="21"/>
              </w:rPr>
            </w:pPr>
          </w:p>
        </w:tc>
      </w:tr>
      <w:tr w14:paraId="465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741F6FA5">
            <w:pPr>
              <w:spacing w:line="480" w:lineRule="auto"/>
              <w:jc w:val="center"/>
              <w:rPr>
                <w:rFonts w:ascii="黑体" w:hAnsi="黑体" w:eastAsia="黑体"/>
                <w:color w:val="auto"/>
                <w:szCs w:val="21"/>
              </w:rPr>
            </w:pPr>
          </w:p>
        </w:tc>
        <w:tc>
          <w:tcPr>
            <w:tcW w:w="758" w:type="pct"/>
            <w:vAlign w:val="center"/>
          </w:tcPr>
          <w:p w14:paraId="33D60470">
            <w:pPr>
              <w:spacing w:line="480" w:lineRule="auto"/>
              <w:jc w:val="center"/>
              <w:rPr>
                <w:rFonts w:ascii="黑体" w:hAnsi="黑体" w:eastAsia="黑体"/>
                <w:color w:val="auto"/>
                <w:szCs w:val="21"/>
              </w:rPr>
            </w:pPr>
          </w:p>
        </w:tc>
        <w:tc>
          <w:tcPr>
            <w:tcW w:w="456" w:type="pct"/>
            <w:vAlign w:val="center"/>
          </w:tcPr>
          <w:p w14:paraId="74803B13">
            <w:pPr>
              <w:spacing w:line="480" w:lineRule="auto"/>
              <w:jc w:val="center"/>
              <w:rPr>
                <w:rFonts w:ascii="黑体" w:hAnsi="黑体" w:eastAsia="黑体"/>
                <w:color w:val="auto"/>
                <w:szCs w:val="21"/>
              </w:rPr>
            </w:pPr>
          </w:p>
        </w:tc>
        <w:tc>
          <w:tcPr>
            <w:tcW w:w="614" w:type="pct"/>
            <w:vAlign w:val="center"/>
          </w:tcPr>
          <w:p w14:paraId="3599BFB5">
            <w:pPr>
              <w:spacing w:line="480" w:lineRule="auto"/>
              <w:jc w:val="center"/>
              <w:rPr>
                <w:rFonts w:ascii="黑体" w:hAnsi="黑体" w:eastAsia="黑体"/>
                <w:color w:val="auto"/>
                <w:szCs w:val="21"/>
              </w:rPr>
            </w:pPr>
          </w:p>
        </w:tc>
        <w:tc>
          <w:tcPr>
            <w:tcW w:w="915" w:type="pct"/>
            <w:vAlign w:val="center"/>
          </w:tcPr>
          <w:p w14:paraId="3AA7AE65">
            <w:pPr>
              <w:spacing w:line="480" w:lineRule="auto"/>
              <w:jc w:val="center"/>
              <w:rPr>
                <w:rFonts w:ascii="黑体" w:hAnsi="黑体" w:eastAsia="黑体"/>
                <w:color w:val="auto"/>
                <w:szCs w:val="21"/>
              </w:rPr>
            </w:pPr>
          </w:p>
        </w:tc>
        <w:tc>
          <w:tcPr>
            <w:tcW w:w="499" w:type="pct"/>
            <w:vAlign w:val="center"/>
          </w:tcPr>
          <w:p w14:paraId="4F4A4670">
            <w:pPr>
              <w:spacing w:line="480" w:lineRule="auto"/>
              <w:jc w:val="center"/>
              <w:rPr>
                <w:rFonts w:ascii="黑体" w:hAnsi="黑体" w:eastAsia="黑体"/>
                <w:color w:val="auto"/>
                <w:szCs w:val="21"/>
              </w:rPr>
            </w:pPr>
          </w:p>
        </w:tc>
        <w:tc>
          <w:tcPr>
            <w:tcW w:w="817" w:type="pct"/>
          </w:tcPr>
          <w:p w14:paraId="623890CA">
            <w:pPr>
              <w:spacing w:line="480" w:lineRule="auto"/>
              <w:jc w:val="center"/>
              <w:rPr>
                <w:rFonts w:ascii="黑体" w:hAnsi="黑体" w:eastAsia="黑体"/>
                <w:color w:val="auto"/>
                <w:szCs w:val="21"/>
              </w:rPr>
            </w:pPr>
          </w:p>
        </w:tc>
        <w:tc>
          <w:tcPr>
            <w:tcW w:w="545" w:type="pct"/>
          </w:tcPr>
          <w:p w14:paraId="7755D50D">
            <w:pPr>
              <w:spacing w:line="480" w:lineRule="auto"/>
              <w:jc w:val="center"/>
              <w:rPr>
                <w:rFonts w:ascii="黑体" w:hAnsi="黑体" w:eastAsia="黑体"/>
                <w:color w:val="auto"/>
                <w:szCs w:val="21"/>
              </w:rPr>
            </w:pPr>
          </w:p>
        </w:tc>
      </w:tr>
      <w:tr w14:paraId="2F23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0DE0F405">
            <w:pPr>
              <w:spacing w:line="480" w:lineRule="auto"/>
              <w:jc w:val="center"/>
              <w:rPr>
                <w:rFonts w:ascii="黑体" w:hAnsi="黑体" w:eastAsia="黑体"/>
                <w:color w:val="auto"/>
                <w:szCs w:val="21"/>
              </w:rPr>
            </w:pPr>
          </w:p>
        </w:tc>
        <w:tc>
          <w:tcPr>
            <w:tcW w:w="758" w:type="pct"/>
            <w:vAlign w:val="center"/>
          </w:tcPr>
          <w:p w14:paraId="6E3086F2">
            <w:pPr>
              <w:spacing w:line="480" w:lineRule="auto"/>
              <w:jc w:val="center"/>
              <w:rPr>
                <w:rFonts w:ascii="黑体" w:hAnsi="黑体" w:eastAsia="黑体"/>
                <w:color w:val="auto"/>
                <w:szCs w:val="21"/>
              </w:rPr>
            </w:pPr>
          </w:p>
        </w:tc>
        <w:tc>
          <w:tcPr>
            <w:tcW w:w="456" w:type="pct"/>
            <w:vAlign w:val="center"/>
          </w:tcPr>
          <w:p w14:paraId="7DC56A72">
            <w:pPr>
              <w:spacing w:line="480" w:lineRule="auto"/>
              <w:jc w:val="center"/>
              <w:rPr>
                <w:rFonts w:ascii="黑体" w:hAnsi="黑体" w:eastAsia="黑体"/>
                <w:color w:val="auto"/>
                <w:szCs w:val="21"/>
              </w:rPr>
            </w:pPr>
          </w:p>
        </w:tc>
        <w:tc>
          <w:tcPr>
            <w:tcW w:w="614" w:type="pct"/>
            <w:vAlign w:val="center"/>
          </w:tcPr>
          <w:p w14:paraId="16E64E9F">
            <w:pPr>
              <w:spacing w:line="480" w:lineRule="auto"/>
              <w:jc w:val="center"/>
              <w:rPr>
                <w:rFonts w:ascii="黑体" w:hAnsi="黑体" w:eastAsia="黑体"/>
                <w:color w:val="auto"/>
                <w:szCs w:val="21"/>
              </w:rPr>
            </w:pPr>
          </w:p>
        </w:tc>
        <w:tc>
          <w:tcPr>
            <w:tcW w:w="915" w:type="pct"/>
            <w:vAlign w:val="center"/>
          </w:tcPr>
          <w:p w14:paraId="1DB539C8">
            <w:pPr>
              <w:spacing w:line="480" w:lineRule="auto"/>
              <w:jc w:val="center"/>
              <w:rPr>
                <w:rFonts w:ascii="黑体" w:hAnsi="黑体" w:eastAsia="黑体"/>
                <w:color w:val="auto"/>
                <w:szCs w:val="21"/>
              </w:rPr>
            </w:pPr>
          </w:p>
        </w:tc>
        <w:tc>
          <w:tcPr>
            <w:tcW w:w="499" w:type="pct"/>
            <w:vAlign w:val="center"/>
          </w:tcPr>
          <w:p w14:paraId="3C426657">
            <w:pPr>
              <w:spacing w:line="480" w:lineRule="auto"/>
              <w:jc w:val="center"/>
              <w:rPr>
                <w:rFonts w:ascii="黑体" w:hAnsi="黑体" w:eastAsia="黑体"/>
                <w:color w:val="auto"/>
                <w:szCs w:val="21"/>
              </w:rPr>
            </w:pPr>
          </w:p>
        </w:tc>
        <w:tc>
          <w:tcPr>
            <w:tcW w:w="817" w:type="pct"/>
          </w:tcPr>
          <w:p w14:paraId="54ED9595">
            <w:pPr>
              <w:spacing w:line="480" w:lineRule="auto"/>
              <w:jc w:val="center"/>
              <w:rPr>
                <w:rFonts w:ascii="黑体" w:hAnsi="黑体" w:eastAsia="黑体"/>
                <w:color w:val="auto"/>
                <w:szCs w:val="21"/>
              </w:rPr>
            </w:pPr>
          </w:p>
        </w:tc>
        <w:tc>
          <w:tcPr>
            <w:tcW w:w="545" w:type="pct"/>
          </w:tcPr>
          <w:p w14:paraId="7C635529">
            <w:pPr>
              <w:spacing w:line="480" w:lineRule="auto"/>
              <w:jc w:val="center"/>
              <w:rPr>
                <w:rFonts w:ascii="黑体" w:hAnsi="黑体" w:eastAsia="黑体"/>
                <w:color w:val="auto"/>
                <w:szCs w:val="21"/>
              </w:rPr>
            </w:pPr>
          </w:p>
        </w:tc>
      </w:tr>
      <w:tr w14:paraId="5BCD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6B8052E3">
            <w:pPr>
              <w:spacing w:line="480" w:lineRule="auto"/>
              <w:jc w:val="center"/>
              <w:rPr>
                <w:rFonts w:ascii="黑体" w:hAnsi="黑体" w:eastAsia="黑体"/>
                <w:color w:val="auto"/>
                <w:szCs w:val="21"/>
              </w:rPr>
            </w:pPr>
          </w:p>
        </w:tc>
        <w:tc>
          <w:tcPr>
            <w:tcW w:w="758" w:type="pct"/>
            <w:vAlign w:val="center"/>
          </w:tcPr>
          <w:p w14:paraId="24446789">
            <w:pPr>
              <w:spacing w:line="480" w:lineRule="auto"/>
              <w:jc w:val="center"/>
              <w:rPr>
                <w:rFonts w:ascii="黑体" w:hAnsi="黑体" w:eastAsia="黑体"/>
                <w:color w:val="auto"/>
                <w:szCs w:val="21"/>
              </w:rPr>
            </w:pPr>
          </w:p>
        </w:tc>
        <w:tc>
          <w:tcPr>
            <w:tcW w:w="456" w:type="pct"/>
            <w:vAlign w:val="center"/>
          </w:tcPr>
          <w:p w14:paraId="43C2CFC5">
            <w:pPr>
              <w:spacing w:line="480" w:lineRule="auto"/>
              <w:jc w:val="center"/>
              <w:rPr>
                <w:rFonts w:ascii="黑体" w:hAnsi="黑体" w:eastAsia="黑体"/>
                <w:color w:val="auto"/>
                <w:szCs w:val="21"/>
              </w:rPr>
            </w:pPr>
          </w:p>
        </w:tc>
        <w:tc>
          <w:tcPr>
            <w:tcW w:w="614" w:type="pct"/>
            <w:vAlign w:val="center"/>
          </w:tcPr>
          <w:p w14:paraId="2C641703">
            <w:pPr>
              <w:spacing w:line="480" w:lineRule="auto"/>
              <w:jc w:val="center"/>
              <w:rPr>
                <w:rFonts w:ascii="黑体" w:hAnsi="黑体" w:eastAsia="黑体"/>
                <w:color w:val="auto"/>
                <w:szCs w:val="21"/>
              </w:rPr>
            </w:pPr>
          </w:p>
        </w:tc>
        <w:tc>
          <w:tcPr>
            <w:tcW w:w="915" w:type="pct"/>
            <w:vAlign w:val="center"/>
          </w:tcPr>
          <w:p w14:paraId="338595A1">
            <w:pPr>
              <w:spacing w:line="480" w:lineRule="auto"/>
              <w:jc w:val="center"/>
              <w:rPr>
                <w:rFonts w:ascii="黑体" w:hAnsi="黑体" w:eastAsia="黑体"/>
                <w:color w:val="auto"/>
                <w:szCs w:val="21"/>
              </w:rPr>
            </w:pPr>
          </w:p>
        </w:tc>
        <w:tc>
          <w:tcPr>
            <w:tcW w:w="499" w:type="pct"/>
            <w:vAlign w:val="center"/>
          </w:tcPr>
          <w:p w14:paraId="4768192B">
            <w:pPr>
              <w:spacing w:line="480" w:lineRule="auto"/>
              <w:jc w:val="center"/>
              <w:rPr>
                <w:rFonts w:ascii="黑体" w:hAnsi="黑体" w:eastAsia="黑体"/>
                <w:color w:val="auto"/>
                <w:szCs w:val="21"/>
              </w:rPr>
            </w:pPr>
          </w:p>
        </w:tc>
        <w:tc>
          <w:tcPr>
            <w:tcW w:w="817" w:type="pct"/>
          </w:tcPr>
          <w:p w14:paraId="5DF046B3">
            <w:pPr>
              <w:spacing w:line="480" w:lineRule="auto"/>
              <w:jc w:val="center"/>
              <w:rPr>
                <w:rFonts w:ascii="黑体" w:hAnsi="黑体" w:eastAsia="黑体"/>
                <w:color w:val="auto"/>
                <w:szCs w:val="21"/>
              </w:rPr>
            </w:pPr>
          </w:p>
        </w:tc>
        <w:tc>
          <w:tcPr>
            <w:tcW w:w="545" w:type="pct"/>
          </w:tcPr>
          <w:p w14:paraId="5BD785F6">
            <w:pPr>
              <w:spacing w:line="480" w:lineRule="auto"/>
              <w:jc w:val="center"/>
              <w:rPr>
                <w:rFonts w:ascii="黑体" w:hAnsi="黑体" w:eastAsia="黑体"/>
                <w:color w:val="auto"/>
                <w:szCs w:val="21"/>
              </w:rPr>
            </w:pPr>
          </w:p>
        </w:tc>
      </w:tr>
      <w:tr w14:paraId="6988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594A6EF5">
            <w:pPr>
              <w:spacing w:line="480" w:lineRule="auto"/>
              <w:jc w:val="center"/>
              <w:rPr>
                <w:rFonts w:ascii="黑体" w:hAnsi="黑体" w:eastAsia="黑体"/>
                <w:color w:val="auto"/>
                <w:szCs w:val="21"/>
              </w:rPr>
            </w:pPr>
          </w:p>
        </w:tc>
        <w:tc>
          <w:tcPr>
            <w:tcW w:w="758" w:type="pct"/>
            <w:vAlign w:val="center"/>
          </w:tcPr>
          <w:p w14:paraId="512A3926">
            <w:pPr>
              <w:spacing w:line="480" w:lineRule="auto"/>
              <w:jc w:val="center"/>
              <w:rPr>
                <w:rFonts w:ascii="黑体" w:hAnsi="黑体" w:eastAsia="黑体"/>
                <w:color w:val="auto"/>
                <w:szCs w:val="21"/>
              </w:rPr>
            </w:pPr>
          </w:p>
        </w:tc>
        <w:tc>
          <w:tcPr>
            <w:tcW w:w="456" w:type="pct"/>
            <w:vAlign w:val="center"/>
          </w:tcPr>
          <w:p w14:paraId="59EA7DEB">
            <w:pPr>
              <w:spacing w:line="480" w:lineRule="auto"/>
              <w:jc w:val="center"/>
              <w:rPr>
                <w:rFonts w:ascii="黑体" w:hAnsi="黑体" w:eastAsia="黑体"/>
                <w:color w:val="auto"/>
                <w:szCs w:val="21"/>
              </w:rPr>
            </w:pPr>
          </w:p>
        </w:tc>
        <w:tc>
          <w:tcPr>
            <w:tcW w:w="614" w:type="pct"/>
            <w:vAlign w:val="center"/>
          </w:tcPr>
          <w:p w14:paraId="61EA7562">
            <w:pPr>
              <w:spacing w:line="480" w:lineRule="auto"/>
              <w:jc w:val="center"/>
              <w:rPr>
                <w:rFonts w:ascii="黑体" w:hAnsi="黑体" w:eastAsia="黑体"/>
                <w:color w:val="auto"/>
                <w:szCs w:val="21"/>
              </w:rPr>
            </w:pPr>
          </w:p>
        </w:tc>
        <w:tc>
          <w:tcPr>
            <w:tcW w:w="915" w:type="pct"/>
            <w:vAlign w:val="center"/>
          </w:tcPr>
          <w:p w14:paraId="6D1CB39B">
            <w:pPr>
              <w:spacing w:line="480" w:lineRule="auto"/>
              <w:jc w:val="center"/>
              <w:rPr>
                <w:rFonts w:ascii="黑体" w:hAnsi="黑体" w:eastAsia="黑体"/>
                <w:color w:val="auto"/>
                <w:szCs w:val="21"/>
              </w:rPr>
            </w:pPr>
          </w:p>
        </w:tc>
        <w:tc>
          <w:tcPr>
            <w:tcW w:w="499" w:type="pct"/>
            <w:vAlign w:val="center"/>
          </w:tcPr>
          <w:p w14:paraId="7B5897DE">
            <w:pPr>
              <w:spacing w:line="480" w:lineRule="auto"/>
              <w:jc w:val="center"/>
              <w:rPr>
                <w:rFonts w:ascii="黑体" w:hAnsi="黑体" w:eastAsia="黑体"/>
                <w:color w:val="auto"/>
                <w:szCs w:val="21"/>
              </w:rPr>
            </w:pPr>
          </w:p>
        </w:tc>
        <w:tc>
          <w:tcPr>
            <w:tcW w:w="817" w:type="pct"/>
          </w:tcPr>
          <w:p w14:paraId="70F07064">
            <w:pPr>
              <w:spacing w:line="480" w:lineRule="auto"/>
              <w:jc w:val="center"/>
              <w:rPr>
                <w:rFonts w:ascii="黑体" w:hAnsi="黑体" w:eastAsia="黑体"/>
                <w:color w:val="auto"/>
                <w:szCs w:val="21"/>
              </w:rPr>
            </w:pPr>
          </w:p>
        </w:tc>
        <w:tc>
          <w:tcPr>
            <w:tcW w:w="545" w:type="pct"/>
          </w:tcPr>
          <w:p w14:paraId="57D4CC04">
            <w:pPr>
              <w:spacing w:line="480" w:lineRule="auto"/>
              <w:jc w:val="center"/>
              <w:rPr>
                <w:rFonts w:ascii="黑体" w:hAnsi="黑体" w:eastAsia="黑体"/>
                <w:color w:val="auto"/>
                <w:szCs w:val="21"/>
              </w:rPr>
            </w:pPr>
          </w:p>
        </w:tc>
      </w:tr>
      <w:tr w14:paraId="6DDB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203F6EC5">
            <w:pPr>
              <w:spacing w:line="480" w:lineRule="auto"/>
              <w:jc w:val="center"/>
              <w:rPr>
                <w:rFonts w:ascii="黑体" w:hAnsi="黑体" w:eastAsia="黑体"/>
                <w:color w:val="auto"/>
                <w:szCs w:val="21"/>
              </w:rPr>
            </w:pPr>
          </w:p>
        </w:tc>
        <w:tc>
          <w:tcPr>
            <w:tcW w:w="758" w:type="pct"/>
            <w:vAlign w:val="center"/>
          </w:tcPr>
          <w:p w14:paraId="6C4566C3">
            <w:pPr>
              <w:spacing w:line="480" w:lineRule="auto"/>
              <w:jc w:val="center"/>
              <w:rPr>
                <w:rFonts w:ascii="黑体" w:hAnsi="黑体" w:eastAsia="黑体"/>
                <w:color w:val="auto"/>
                <w:szCs w:val="21"/>
              </w:rPr>
            </w:pPr>
          </w:p>
        </w:tc>
        <w:tc>
          <w:tcPr>
            <w:tcW w:w="456" w:type="pct"/>
            <w:vAlign w:val="center"/>
          </w:tcPr>
          <w:p w14:paraId="58292317">
            <w:pPr>
              <w:spacing w:line="480" w:lineRule="auto"/>
              <w:jc w:val="center"/>
              <w:rPr>
                <w:rFonts w:ascii="黑体" w:hAnsi="黑体" w:eastAsia="黑体"/>
                <w:color w:val="auto"/>
                <w:szCs w:val="21"/>
              </w:rPr>
            </w:pPr>
          </w:p>
        </w:tc>
        <w:tc>
          <w:tcPr>
            <w:tcW w:w="614" w:type="pct"/>
            <w:vAlign w:val="center"/>
          </w:tcPr>
          <w:p w14:paraId="64C84804">
            <w:pPr>
              <w:spacing w:line="480" w:lineRule="auto"/>
              <w:jc w:val="center"/>
              <w:rPr>
                <w:rFonts w:ascii="黑体" w:hAnsi="黑体" w:eastAsia="黑体"/>
                <w:color w:val="auto"/>
                <w:szCs w:val="21"/>
              </w:rPr>
            </w:pPr>
          </w:p>
        </w:tc>
        <w:tc>
          <w:tcPr>
            <w:tcW w:w="915" w:type="pct"/>
            <w:vAlign w:val="center"/>
          </w:tcPr>
          <w:p w14:paraId="646F2B7B">
            <w:pPr>
              <w:spacing w:line="480" w:lineRule="auto"/>
              <w:jc w:val="center"/>
              <w:rPr>
                <w:rFonts w:ascii="黑体" w:hAnsi="黑体" w:eastAsia="黑体"/>
                <w:color w:val="auto"/>
                <w:szCs w:val="21"/>
              </w:rPr>
            </w:pPr>
          </w:p>
        </w:tc>
        <w:tc>
          <w:tcPr>
            <w:tcW w:w="499" w:type="pct"/>
            <w:vAlign w:val="center"/>
          </w:tcPr>
          <w:p w14:paraId="170AA9F2">
            <w:pPr>
              <w:spacing w:line="480" w:lineRule="auto"/>
              <w:jc w:val="center"/>
              <w:rPr>
                <w:rFonts w:ascii="黑体" w:hAnsi="黑体" w:eastAsia="黑体"/>
                <w:color w:val="auto"/>
                <w:szCs w:val="21"/>
              </w:rPr>
            </w:pPr>
          </w:p>
        </w:tc>
        <w:tc>
          <w:tcPr>
            <w:tcW w:w="817" w:type="pct"/>
          </w:tcPr>
          <w:p w14:paraId="621D8EE1">
            <w:pPr>
              <w:spacing w:line="480" w:lineRule="auto"/>
              <w:jc w:val="center"/>
              <w:rPr>
                <w:rFonts w:ascii="黑体" w:hAnsi="黑体" w:eastAsia="黑体"/>
                <w:color w:val="auto"/>
                <w:szCs w:val="21"/>
              </w:rPr>
            </w:pPr>
          </w:p>
        </w:tc>
        <w:tc>
          <w:tcPr>
            <w:tcW w:w="545" w:type="pct"/>
          </w:tcPr>
          <w:p w14:paraId="51654172">
            <w:pPr>
              <w:spacing w:line="480" w:lineRule="auto"/>
              <w:jc w:val="center"/>
              <w:rPr>
                <w:rFonts w:ascii="黑体" w:hAnsi="黑体" w:eastAsia="黑体"/>
                <w:color w:val="auto"/>
                <w:szCs w:val="21"/>
              </w:rPr>
            </w:pPr>
          </w:p>
        </w:tc>
      </w:tr>
      <w:tr w14:paraId="6043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396" w:type="pct"/>
            <w:vAlign w:val="center"/>
          </w:tcPr>
          <w:p w14:paraId="34A207CD">
            <w:pPr>
              <w:spacing w:line="480" w:lineRule="auto"/>
              <w:jc w:val="center"/>
              <w:rPr>
                <w:rFonts w:ascii="黑体" w:hAnsi="黑体" w:eastAsia="黑体"/>
                <w:color w:val="auto"/>
                <w:szCs w:val="21"/>
              </w:rPr>
            </w:pPr>
          </w:p>
        </w:tc>
        <w:tc>
          <w:tcPr>
            <w:tcW w:w="758" w:type="pct"/>
            <w:vAlign w:val="center"/>
          </w:tcPr>
          <w:p w14:paraId="6A94AD38">
            <w:pPr>
              <w:spacing w:line="480" w:lineRule="auto"/>
              <w:jc w:val="center"/>
              <w:rPr>
                <w:rFonts w:ascii="黑体" w:hAnsi="黑体" w:eastAsia="黑体"/>
                <w:color w:val="auto"/>
                <w:szCs w:val="21"/>
              </w:rPr>
            </w:pPr>
          </w:p>
        </w:tc>
        <w:tc>
          <w:tcPr>
            <w:tcW w:w="456" w:type="pct"/>
            <w:vAlign w:val="center"/>
          </w:tcPr>
          <w:p w14:paraId="7B86A5DA">
            <w:pPr>
              <w:spacing w:line="480" w:lineRule="auto"/>
              <w:jc w:val="center"/>
              <w:rPr>
                <w:rFonts w:ascii="黑体" w:hAnsi="黑体" w:eastAsia="黑体"/>
                <w:color w:val="auto"/>
                <w:szCs w:val="21"/>
              </w:rPr>
            </w:pPr>
          </w:p>
        </w:tc>
        <w:tc>
          <w:tcPr>
            <w:tcW w:w="614" w:type="pct"/>
            <w:vAlign w:val="center"/>
          </w:tcPr>
          <w:p w14:paraId="7C066700">
            <w:pPr>
              <w:spacing w:line="480" w:lineRule="auto"/>
              <w:jc w:val="center"/>
              <w:rPr>
                <w:rFonts w:ascii="黑体" w:hAnsi="黑体" w:eastAsia="黑体"/>
                <w:color w:val="auto"/>
                <w:szCs w:val="21"/>
              </w:rPr>
            </w:pPr>
          </w:p>
        </w:tc>
        <w:tc>
          <w:tcPr>
            <w:tcW w:w="915" w:type="pct"/>
            <w:vAlign w:val="center"/>
          </w:tcPr>
          <w:p w14:paraId="5702FD3B">
            <w:pPr>
              <w:spacing w:line="480" w:lineRule="auto"/>
              <w:jc w:val="center"/>
              <w:rPr>
                <w:rFonts w:ascii="黑体" w:hAnsi="黑体" w:eastAsia="黑体"/>
                <w:color w:val="auto"/>
                <w:szCs w:val="21"/>
              </w:rPr>
            </w:pPr>
          </w:p>
        </w:tc>
        <w:tc>
          <w:tcPr>
            <w:tcW w:w="499" w:type="pct"/>
            <w:vAlign w:val="center"/>
          </w:tcPr>
          <w:p w14:paraId="7E59783F">
            <w:pPr>
              <w:spacing w:line="480" w:lineRule="auto"/>
              <w:jc w:val="center"/>
              <w:rPr>
                <w:rFonts w:ascii="黑体" w:hAnsi="黑体" w:eastAsia="黑体"/>
                <w:color w:val="auto"/>
                <w:szCs w:val="21"/>
              </w:rPr>
            </w:pPr>
          </w:p>
        </w:tc>
        <w:tc>
          <w:tcPr>
            <w:tcW w:w="817" w:type="pct"/>
          </w:tcPr>
          <w:p w14:paraId="0E3312EC">
            <w:pPr>
              <w:spacing w:line="480" w:lineRule="auto"/>
              <w:jc w:val="center"/>
              <w:rPr>
                <w:rFonts w:ascii="黑体" w:hAnsi="黑体" w:eastAsia="黑体"/>
                <w:color w:val="auto"/>
                <w:szCs w:val="21"/>
              </w:rPr>
            </w:pPr>
          </w:p>
        </w:tc>
        <w:tc>
          <w:tcPr>
            <w:tcW w:w="545" w:type="pct"/>
          </w:tcPr>
          <w:p w14:paraId="5705B400">
            <w:pPr>
              <w:spacing w:line="480" w:lineRule="auto"/>
              <w:jc w:val="center"/>
              <w:rPr>
                <w:rFonts w:ascii="黑体" w:hAnsi="黑体" w:eastAsia="黑体"/>
                <w:color w:val="auto"/>
                <w:szCs w:val="21"/>
              </w:rPr>
            </w:pPr>
          </w:p>
        </w:tc>
      </w:tr>
    </w:tbl>
    <w:p w14:paraId="0036B92D">
      <w:pPr>
        <w:spacing w:line="360" w:lineRule="auto"/>
        <w:rPr>
          <w:rFonts w:ascii="黑体" w:hAnsi="黑体" w:eastAsia="黑体"/>
          <w:color w:val="auto"/>
          <w:szCs w:val="21"/>
        </w:rPr>
      </w:pPr>
    </w:p>
    <w:p w14:paraId="441977A0">
      <w:pPr>
        <w:spacing w:line="360" w:lineRule="auto"/>
        <w:rPr>
          <w:rFonts w:ascii="黑体" w:hAnsi="黑体" w:eastAsia="黑体"/>
          <w:color w:val="auto"/>
          <w:szCs w:val="21"/>
        </w:rPr>
      </w:pPr>
    </w:p>
    <w:p w14:paraId="4F16E321">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1BE2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7FE07B0">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2498B462">
            <w:pPr>
              <w:spacing w:line="360" w:lineRule="auto"/>
              <w:rPr>
                <w:rFonts w:ascii="黑体" w:hAnsi="黑体" w:eastAsia="黑体"/>
                <w:color w:val="auto"/>
                <w:szCs w:val="21"/>
              </w:rPr>
            </w:pPr>
          </w:p>
        </w:tc>
      </w:tr>
      <w:tr w14:paraId="493D6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55DB1A1A">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1283E111">
            <w:pPr>
              <w:spacing w:line="360" w:lineRule="auto"/>
              <w:rPr>
                <w:rFonts w:ascii="黑体" w:hAnsi="黑体" w:eastAsia="黑体"/>
                <w:color w:val="auto"/>
                <w:szCs w:val="21"/>
              </w:rPr>
            </w:pPr>
          </w:p>
        </w:tc>
      </w:tr>
    </w:tbl>
    <w:p w14:paraId="2A06E2A1">
      <w:pPr>
        <w:rPr>
          <w:rFonts w:ascii="黑体" w:hAnsi="黑体" w:eastAsia="黑体"/>
          <w:color w:val="auto"/>
        </w:rPr>
      </w:pPr>
    </w:p>
    <w:bookmarkEnd w:id="99"/>
    <w:p w14:paraId="228B755B">
      <w:pPr>
        <w:spacing w:line="360" w:lineRule="auto"/>
        <w:rPr>
          <w:rFonts w:ascii="黑体" w:hAnsi="黑体" w:eastAsia="黑体"/>
          <w:color w:val="auto"/>
          <w:szCs w:val="21"/>
        </w:rPr>
      </w:pPr>
    </w:p>
    <w:p w14:paraId="63F106C5">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100" w:name="_Toc494567328"/>
      <w:bookmarkStart w:id="101" w:name="_Toc391627770"/>
      <w:bookmarkStart w:id="102" w:name="_Toc405313974"/>
      <w:r>
        <w:rPr>
          <w:rFonts w:ascii="黑体" w:hAnsi="黑体" w:eastAsia="黑体"/>
          <w:b/>
          <w:bCs/>
          <w:color w:val="auto"/>
        </w:rPr>
        <w:t>拟投入本项目</w:t>
      </w:r>
      <w:bookmarkEnd w:id="100"/>
      <w:r>
        <w:rPr>
          <w:rFonts w:hint="eastAsia" w:ascii="黑体" w:hAnsi="黑体" w:eastAsia="黑体"/>
          <w:b/>
          <w:bCs/>
          <w:color w:val="auto"/>
        </w:rPr>
        <w:t>设备情况表</w:t>
      </w:r>
    </w:p>
    <w:p w14:paraId="6C796714">
      <w:pPr>
        <w:spacing w:before="624" w:beforeLines="200" w:after="312" w:afterLines="100" w:line="360" w:lineRule="auto"/>
        <w:jc w:val="center"/>
        <w:rPr>
          <w:rFonts w:ascii="黑体" w:hAnsi="黑体" w:eastAsia="黑体"/>
          <w:b/>
          <w:color w:val="auto"/>
          <w:spacing w:val="10"/>
          <w:sz w:val="30"/>
          <w:szCs w:val="30"/>
        </w:rPr>
      </w:pPr>
      <w:r>
        <w:rPr>
          <w:rFonts w:hint="eastAsia" w:ascii="黑体" w:hAnsi="黑体" w:eastAsia="黑体"/>
          <w:b/>
          <w:color w:val="auto"/>
          <w:spacing w:val="10"/>
          <w:sz w:val="30"/>
          <w:szCs w:val="30"/>
        </w:rPr>
        <w:t>拟投入本项目设备情况表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741"/>
        <w:gridCol w:w="2041"/>
        <w:gridCol w:w="1283"/>
        <w:gridCol w:w="1769"/>
      </w:tblGrid>
      <w:tr w14:paraId="02C2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32" w:type="pct"/>
            <w:vAlign w:val="center"/>
          </w:tcPr>
          <w:p w14:paraId="3AE6065D">
            <w:pPr>
              <w:spacing w:line="360" w:lineRule="auto"/>
              <w:jc w:val="center"/>
              <w:rPr>
                <w:rFonts w:ascii="黑体" w:hAnsi="黑体" w:eastAsia="黑体"/>
                <w:b/>
                <w:bCs/>
                <w:color w:val="auto"/>
                <w:szCs w:val="21"/>
              </w:rPr>
            </w:pPr>
            <w:r>
              <w:rPr>
                <w:rFonts w:hint="eastAsia" w:ascii="黑体" w:hAnsi="黑体" w:eastAsia="黑体"/>
                <w:b/>
                <w:bCs/>
                <w:color w:val="auto"/>
                <w:szCs w:val="21"/>
              </w:rPr>
              <w:t>序号</w:t>
            </w:r>
          </w:p>
        </w:tc>
        <w:tc>
          <w:tcPr>
            <w:tcW w:w="1563" w:type="pct"/>
            <w:vAlign w:val="center"/>
          </w:tcPr>
          <w:p w14:paraId="63280F49">
            <w:pPr>
              <w:spacing w:line="360" w:lineRule="auto"/>
              <w:jc w:val="center"/>
              <w:rPr>
                <w:rFonts w:ascii="黑体" w:hAnsi="黑体" w:eastAsia="黑体"/>
                <w:b/>
                <w:bCs/>
                <w:color w:val="auto"/>
                <w:szCs w:val="21"/>
              </w:rPr>
            </w:pPr>
            <w:r>
              <w:rPr>
                <w:rFonts w:hint="eastAsia" w:ascii="黑体" w:hAnsi="黑体" w:eastAsia="黑体"/>
                <w:b/>
                <w:bCs/>
                <w:color w:val="auto"/>
                <w:szCs w:val="21"/>
              </w:rPr>
              <w:t>名称</w:t>
            </w:r>
          </w:p>
        </w:tc>
        <w:tc>
          <w:tcPr>
            <w:tcW w:w="1164" w:type="pct"/>
            <w:vAlign w:val="center"/>
          </w:tcPr>
          <w:p w14:paraId="0168AE47">
            <w:pPr>
              <w:spacing w:line="360" w:lineRule="auto"/>
              <w:jc w:val="center"/>
              <w:rPr>
                <w:rFonts w:ascii="黑体" w:hAnsi="黑体" w:eastAsia="黑体"/>
                <w:b/>
                <w:bCs/>
                <w:color w:val="auto"/>
                <w:szCs w:val="21"/>
              </w:rPr>
            </w:pPr>
            <w:r>
              <w:rPr>
                <w:rFonts w:hint="eastAsia" w:ascii="黑体" w:hAnsi="黑体" w:eastAsia="黑体"/>
                <w:b/>
                <w:bCs/>
                <w:color w:val="auto"/>
                <w:szCs w:val="21"/>
              </w:rPr>
              <w:t>规格型号</w:t>
            </w:r>
          </w:p>
        </w:tc>
        <w:tc>
          <w:tcPr>
            <w:tcW w:w="732" w:type="pct"/>
            <w:vAlign w:val="center"/>
          </w:tcPr>
          <w:p w14:paraId="041F2DE6">
            <w:pPr>
              <w:spacing w:line="360" w:lineRule="auto"/>
              <w:jc w:val="center"/>
              <w:rPr>
                <w:rFonts w:ascii="黑体" w:hAnsi="黑体" w:eastAsia="黑体"/>
                <w:b/>
                <w:bCs/>
                <w:color w:val="auto"/>
                <w:szCs w:val="21"/>
              </w:rPr>
            </w:pPr>
            <w:r>
              <w:rPr>
                <w:rFonts w:hint="eastAsia" w:ascii="黑体" w:hAnsi="黑体" w:eastAsia="黑体"/>
                <w:b/>
                <w:bCs/>
                <w:color w:val="auto"/>
                <w:szCs w:val="21"/>
              </w:rPr>
              <w:t>数量</w:t>
            </w:r>
          </w:p>
        </w:tc>
        <w:tc>
          <w:tcPr>
            <w:tcW w:w="1009" w:type="pct"/>
            <w:vAlign w:val="center"/>
          </w:tcPr>
          <w:p w14:paraId="6A8C636D">
            <w:pPr>
              <w:spacing w:line="360" w:lineRule="auto"/>
              <w:jc w:val="center"/>
              <w:rPr>
                <w:rFonts w:ascii="黑体" w:hAnsi="黑体" w:eastAsia="黑体"/>
                <w:b/>
                <w:bCs/>
                <w:color w:val="auto"/>
                <w:szCs w:val="21"/>
              </w:rPr>
            </w:pPr>
            <w:r>
              <w:rPr>
                <w:rFonts w:hint="eastAsia" w:ascii="黑体" w:hAnsi="黑体" w:eastAsia="黑体"/>
                <w:b/>
                <w:bCs/>
                <w:color w:val="auto"/>
                <w:szCs w:val="21"/>
              </w:rPr>
              <w:t>备注</w:t>
            </w:r>
          </w:p>
        </w:tc>
      </w:tr>
      <w:tr w14:paraId="7C8C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532" w:type="pct"/>
            <w:vAlign w:val="center"/>
          </w:tcPr>
          <w:p w14:paraId="13379A37">
            <w:pPr>
              <w:spacing w:line="360" w:lineRule="auto"/>
              <w:jc w:val="center"/>
              <w:rPr>
                <w:rFonts w:ascii="黑体" w:hAnsi="黑体" w:eastAsia="黑体"/>
                <w:color w:val="auto"/>
                <w:szCs w:val="21"/>
              </w:rPr>
            </w:pPr>
          </w:p>
        </w:tc>
        <w:tc>
          <w:tcPr>
            <w:tcW w:w="1563" w:type="pct"/>
            <w:vAlign w:val="center"/>
          </w:tcPr>
          <w:p w14:paraId="3DC3D021">
            <w:pPr>
              <w:spacing w:line="360" w:lineRule="auto"/>
              <w:jc w:val="center"/>
              <w:rPr>
                <w:rFonts w:ascii="黑体" w:hAnsi="黑体" w:eastAsia="黑体"/>
                <w:color w:val="auto"/>
                <w:szCs w:val="21"/>
              </w:rPr>
            </w:pPr>
          </w:p>
        </w:tc>
        <w:tc>
          <w:tcPr>
            <w:tcW w:w="1164" w:type="pct"/>
            <w:vAlign w:val="center"/>
          </w:tcPr>
          <w:p w14:paraId="0F258803">
            <w:pPr>
              <w:spacing w:line="360" w:lineRule="auto"/>
              <w:jc w:val="center"/>
              <w:rPr>
                <w:rFonts w:ascii="黑体" w:hAnsi="黑体" w:eastAsia="黑体"/>
                <w:color w:val="auto"/>
                <w:szCs w:val="21"/>
              </w:rPr>
            </w:pPr>
          </w:p>
        </w:tc>
        <w:tc>
          <w:tcPr>
            <w:tcW w:w="732" w:type="pct"/>
            <w:vAlign w:val="center"/>
          </w:tcPr>
          <w:p w14:paraId="441FD6CE">
            <w:pPr>
              <w:spacing w:line="360" w:lineRule="auto"/>
              <w:jc w:val="center"/>
              <w:rPr>
                <w:rFonts w:ascii="黑体" w:hAnsi="黑体" w:eastAsia="黑体"/>
                <w:color w:val="auto"/>
                <w:szCs w:val="21"/>
              </w:rPr>
            </w:pPr>
          </w:p>
        </w:tc>
        <w:tc>
          <w:tcPr>
            <w:tcW w:w="1009" w:type="pct"/>
            <w:vAlign w:val="center"/>
          </w:tcPr>
          <w:p w14:paraId="6FF0767C">
            <w:pPr>
              <w:spacing w:line="360" w:lineRule="auto"/>
              <w:jc w:val="center"/>
              <w:rPr>
                <w:rFonts w:ascii="黑体" w:hAnsi="黑体" w:eastAsia="黑体"/>
                <w:color w:val="auto"/>
                <w:szCs w:val="21"/>
              </w:rPr>
            </w:pPr>
          </w:p>
        </w:tc>
      </w:tr>
      <w:tr w14:paraId="0808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32" w:type="pct"/>
            <w:vAlign w:val="center"/>
          </w:tcPr>
          <w:p w14:paraId="60FBA162">
            <w:pPr>
              <w:spacing w:line="360" w:lineRule="auto"/>
              <w:jc w:val="center"/>
              <w:rPr>
                <w:rFonts w:ascii="黑体" w:hAnsi="黑体" w:eastAsia="黑体"/>
                <w:color w:val="auto"/>
                <w:szCs w:val="21"/>
              </w:rPr>
            </w:pPr>
          </w:p>
        </w:tc>
        <w:tc>
          <w:tcPr>
            <w:tcW w:w="1563" w:type="pct"/>
            <w:vAlign w:val="center"/>
          </w:tcPr>
          <w:p w14:paraId="288BE652">
            <w:pPr>
              <w:spacing w:line="360" w:lineRule="auto"/>
              <w:jc w:val="center"/>
              <w:rPr>
                <w:rFonts w:ascii="黑体" w:hAnsi="黑体" w:eastAsia="黑体"/>
                <w:color w:val="auto"/>
                <w:szCs w:val="21"/>
              </w:rPr>
            </w:pPr>
          </w:p>
        </w:tc>
        <w:tc>
          <w:tcPr>
            <w:tcW w:w="1164" w:type="pct"/>
            <w:vAlign w:val="center"/>
          </w:tcPr>
          <w:p w14:paraId="611FB102">
            <w:pPr>
              <w:spacing w:line="360" w:lineRule="auto"/>
              <w:jc w:val="center"/>
              <w:rPr>
                <w:rFonts w:ascii="黑体" w:hAnsi="黑体" w:eastAsia="黑体"/>
                <w:color w:val="auto"/>
                <w:szCs w:val="21"/>
              </w:rPr>
            </w:pPr>
          </w:p>
        </w:tc>
        <w:tc>
          <w:tcPr>
            <w:tcW w:w="732" w:type="pct"/>
            <w:vAlign w:val="center"/>
          </w:tcPr>
          <w:p w14:paraId="33FFD687">
            <w:pPr>
              <w:spacing w:line="360" w:lineRule="auto"/>
              <w:jc w:val="center"/>
              <w:rPr>
                <w:rFonts w:ascii="黑体" w:hAnsi="黑体" w:eastAsia="黑体"/>
                <w:color w:val="auto"/>
                <w:szCs w:val="21"/>
              </w:rPr>
            </w:pPr>
          </w:p>
        </w:tc>
        <w:tc>
          <w:tcPr>
            <w:tcW w:w="1009" w:type="pct"/>
            <w:vAlign w:val="center"/>
          </w:tcPr>
          <w:p w14:paraId="21E76DB9">
            <w:pPr>
              <w:spacing w:line="360" w:lineRule="auto"/>
              <w:jc w:val="center"/>
              <w:rPr>
                <w:rFonts w:ascii="黑体" w:hAnsi="黑体" w:eastAsia="黑体"/>
                <w:color w:val="auto"/>
                <w:szCs w:val="21"/>
              </w:rPr>
            </w:pPr>
          </w:p>
        </w:tc>
      </w:tr>
      <w:tr w14:paraId="0044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4FDD82C7">
            <w:pPr>
              <w:spacing w:line="360" w:lineRule="auto"/>
              <w:jc w:val="center"/>
              <w:rPr>
                <w:rFonts w:ascii="黑体" w:hAnsi="黑体" w:eastAsia="黑体"/>
                <w:color w:val="auto"/>
                <w:szCs w:val="21"/>
              </w:rPr>
            </w:pPr>
          </w:p>
        </w:tc>
        <w:tc>
          <w:tcPr>
            <w:tcW w:w="1563" w:type="pct"/>
            <w:vAlign w:val="center"/>
          </w:tcPr>
          <w:p w14:paraId="1B145589">
            <w:pPr>
              <w:spacing w:line="360" w:lineRule="auto"/>
              <w:jc w:val="center"/>
              <w:rPr>
                <w:rFonts w:ascii="黑体" w:hAnsi="黑体" w:eastAsia="黑体"/>
                <w:color w:val="auto"/>
                <w:szCs w:val="21"/>
              </w:rPr>
            </w:pPr>
          </w:p>
        </w:tc>
        <w:tc>
          <w:tcPr>
            <w:tcW w:w="1164" w:type="pct"/>
            <w:vAlign w:val="center"/>
          </w:tcPr>
          <w:p w14:paraId="5E65F8E8">
            <w:pPr>
              <w:spacing w:line="360" w:lineRule="auto"/>
              <w:jc w:val="center"/>
              <w:rPr>
                <w:rFonts w:ascii="黑体" w:hAnsi="黑体" w:eastAsia="黑体"/>
                <w:color w:val="auto"/>
                <w:szCs w:val="21"/>
              </w:rPr>
            </w:pPr>
          </w:p>
        </w:tc>
        <w:tc>
          <w:tcPr>
            <w:tcW w:w="732" w:type="pct"/>
            <w:vAlign w:val="center"/>
          </w:tcPr>
          <w:p w14:paraId="30D3D878">
            <w:pPr>
              <w:spacing w:line="360" w:lineRule="auto"/>
              <w:jc w:val="center"/>
              <w:rPr>
                <w:rFonts w:ascii="黑体" w:hAnsi="黑体" w:eastAsia="黑体"/>
                <w:color w:val="auto"/>
                <w:szCs w:val="21"/>
              </w:rPr>
            </w:pPr>
          </w:p>
        </w:tc>
        <w:tc>
          <w:tcPr>
            <w:tcW w:w="1009" w:type="pct"/>
            <w:vAlign w:val="center"/>
          </w:tcPr>
          <w:p w14:paraId="1030ECBE">
            <w:pPr>
              <w:spacing w:line="360" w:lineRule="auto"/>
              <w:jc w:val="center"/>
              <w:rPr>
                <w:rFonts w:ascii="黑体" w:hAnsi="黑体" w:eastAsia="黑体"/>
                <w:color w:val="auto"/>
                <w:szCs w:val="21"/>
              </w:rPr>
            </w:pPr>
          </w:p>
        </w:tc>
      </w:tr>
      <w:tr w14:paraId="6A3E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5CDBF68D">
            <w:pPr>
              <w:spacing w:line="360" w:lineRule="auto"/>
              <w:jc w:val="center"/>
              <w:rPr>
                <w:rFonts w:ascii="黑体" w:hAnsi="黑体" w:eastAsia="黑体"/>
                <w:color w:val="auto"/>
                <w:szCs w:val="21"/>
              </w:rPr>
            </w:pPr>
          </w:p>
        </w:tc>
        <w:tc>
          <w:tcPr>
            <w:tcW w:w="1563" w:type="pct"/>
            <w:vAlign w:val="center"/>
          </w:tcPr>
          <w:p w14:paraId="3759BCD7">
            <w:pPr>
              <w:spacing w:line="360" w:lineRule="auto"/>
              <w:jc w:val="center"/>
              <w:rPr>
                <w:rFonts w:ascii="黑体" w:hAnsi="黑体" w:eastAsia="黑体"/>
                <w:color w:val="auto"/>
                <w:szCs w:val="21"/>
              </w:rPr>
            </w:pPr>
          </w:p>
        </w:tc>
        <w:tc>
          <w:tcPr>
            <w:tcW w:w="1164" w:type="pct"/>
            <w:vAlign w:val="center"/>
          </w:tcPr>
          <w:p w14:paraId="3574FF7D">
            <w:pPr>
              <w:spacing w:line="360" w:lineRule="auto"/>
              <w:jc w:val="center"/>
              <w:rPr>
                <w:rFonts w:ascii="黑体" w:hAnsi="黑体" w:eastAsia="黑体"/>
                <w:color w:val="auto"/>
                <w:szCs w:val="21"/>
              </w:rPr>
            </w:pPr>
          </w:p>
        </w:tc>
        <w:tc>
          <w:tcPr>
            <w:tcW w:w="732" w:type="pct"/>
            <w:vAlign w:val="center"/>
          </w:tcPr>
          <w:p w14:paraId="5633D093">
            <w:pPr>
              <w:spacing w:line="360" w:lineRule="auto"/>
              <w:jc w:val="center"/>
              <w:rPr>
                <w:rFonts w:ascii="黑体" w:hAnsi="黑体" w:eastAsia="黑体"/>
                <w:color w:val="auto"/>
                <w:szCs w:val="21"/>
              </w:rPr>
            </w:pPr>
          </w:p>
        </w:tc>
        <w:tc>
          <w:tcPr>
            <w:tcW w:w="1009" w:type="pct"/>
            <w:vAlign w:val="center"/>
          </w:tcPr>
          <w:p w14:paraId="31D4977B">
            <w:pPr>
              <w:spacing w:line="360" w:lineRule="auto"/>
              <w:jc w:val="center"/>
              <w:rPr>
                <w:rFonts w:ascii="黑体" w:hAnsi="黑体" w:eastAsia="黑体"/>
                <w:color w:val="auto"/>
                <w:szCs w:val="21"/>
              </w:rPr>
            </w:pPr>
          </w:p>
        </w:tc>
      </w:tr>
      <w:tr w14:paraId="4C56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1BBA58D3">
            <w:pPr>
              <w:spacing w:line="360" w:lineRule="auto"/>
              <w:jc w:val="center"/>
              <w:rPr>
                <w:rFonts w:ascii="黑体" w:hAnsi="黑体" w:eastAsia="黑体"/>
                <w:color w:val="auto"/>
                <w:szCs w:val="21"/>
              </w:rPr>
            </w:pPr>
          </w:p>
        </w:tc>
        <w:tc>
          <w:tcPr>
            <w:tcW w:w="1563" w:type="pct"/>
            <w:vAlign w:val="center"/>
          </w:tcPr>
          <w:p w14:paraId="7738B3B4">
            <w:pPr>
              <w:spacing w:line="360" w:lineRule="auto"/>
              <w:jc w:val="center"/>
              <w:rPr>
                <w:rFonts w:ascii="黑体" w:hAnsi="黑体" w:eastAsia="黑体"/>
                <w:color w:val="auto"/>
                <w:szCs w:val="21"/>
              </w:rPr>
            </w:pPr>
          </w:p>
        </w:tc>
        <w:tc>
          <w:tcPr>
            <w:tcW w:w="1164" w:type="pct"/>
            <w:vAlign w:val="center"/>
          </w:tcPr>
          <w:p w14:paraId="7E79B340">
            <w:pPr>
              <w:spacing w:line="360" w:lineRule="auto"/>
              <w:jc w:val="center"/>
              <w:rPr>
                <w:rFonts w:ascii="黑体" w:hAnsi="黑体" w:eastAsia="黑体"/>
                <w:color w:val="auto"/>
                <w:szCs w:val="21"/>
              </w:rPr>
            </w:pPr>
          </w:p>
        </w:tc>
        <w:tc>
          <w:tcPr>
            <w:tcW w:w="732" w:type="pct"/>
            <w:vAlign w:val="center"/>
          </w:tcPr>
          <w:p w14:paraId="4F0AF7CA">
            <w:pPr>
              <w:spacing w:line="360" w:lineRule="auto"/>
              <w:jc w:val="center"/>
              <w:rPr>
                <w:rFonts w:ascii="黑体" w:hAnsi="黑体" w:eastAsia="黑体"/>
                <w:color w:val="auto"/>
                <w:szCs w:val="21"/>
              </w:rPr>
            </w:pPr>
          </w:p>
        </w:tc>
        <w:tc>
          <w:tcPr>
            <w:tcW w:w="1009" w:type="pct"/>
            <w:vAlign w:val="center"/>
          </w:tcPr>
          <w:p w14:paraId="20DA4054">
            <w:pPr>
              <w:spacing w:line="360" w:lineRule="auto"/>
              <w:jc w:val="center"/>
              <w:rPr>
                <w:rFonts w:ascii="黑体" w:hAnsi="黑体" w:eastAsia="黑体"/>
                <w:color w:val="auto"/>
                <w:szCs w:val="21"/>
              </w:rPr>
            </w:pPr>
          </w:p>
        </w:tc>
      </w:tr>
      <w:tr w14:paraId="640F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4EF3D5F7">
            <w:pPr>
              <w:spacing w:line="360" w:lineRule="auto"/>
              <w:jc w:val="center"/>
              <w:rPr>
                <w:rFonts w:ascii="黑体" w:hAnsi="黑体" w:eastAsia="黑体"/>
                <w:color w:val="auto"/>
                <w:szCs w:val="21"/>
              </w:rPr>
            </w:pPr>
          </w:p>
        </w:tc>
        <w:tc>
          <w:tcPr>
            <w:tcW w:w="1563" w:type="pct"/>
            <w:vAlign w:val="center"/>
          </w:tcPr>
          <w:p w14:paraId="37156755">
            <w:pPr>
              <w:spacing w:line="360" w:lineRule="auto"/>
              <w:jc w:val="center"/>
              <w:rPr>
                <w:rFonts w:ascii="黑体" w:hAnsi="黑体" w:eastAsia="黑体"/>
                <w:color w:val="auto"/>
                <w:szCs w:val="21"/>
              </w:rPr>
            </w:pPr>
          </w:p>
        </w:tc>
        <w:tc>
          <w:tcPr>
            <w:tcW w:w="1164" w:type="pct"/>
            <w:vAlign w:val="center"/>
          </w:tcPr>
          <w:p w14:paraId="1FE955AD">
            <w:pPr>
              <w:spacing w:line="360" w:lineRule="auto"/>
              <w:jc w:val="center"/>
              <w:rPr>
                <w:rFonts w:ascii="黑体" w:hAnsi="黑体" w:eastAsia="黑体"/>
                <w:color w:val="auto"/>
                <w:szCs w:val="21"/>
              </w:rPr>
            </w:pPr>
          </w:p>
        </w:tc>
        <w:tc>
          <w:tcPr>
            <w:tcW w:w="732" w:type="pct"/>
            <w:vAlign w:val="center"/>
          </w:tcPr>
          <w:p w14:paraId="6104235A">
            <w:pPr>
              <w:spacing w:line="360" w:lineRule="auto"/>
              <w:jc w:val="center"/>
              <w:rPr>
                <w:rFonts w:ascii="黑体" w:hAnsi="黑体" w:eastAsia="黑体"/>
                <w:color w:val="auto"/>
                <w:szCs w:val="21"/>
              </w:rPr>
            </w:pPr>
          </w:p>
        </w:tc>
        <w:tc>
          <w:tcPr>
            <w:tcW w:w="1009" w:type="pct"/>
            <w:vAlign w:val="center"/>
          </w:tcPr>
          <w:p w14:paraId="5180BF89">
            <w:pPr>
              <w:spacing w:line="360" w:lineRule="auto"/>
              <w:jc w:val="center"/>
              <w:rPr>
                <w:rFonts w:ascii="黑体" w:hAnsi="黑体" w:eastAsia="黑体"/>
                <w:color w:val="auto"/>
                <w:szCs w:val="21"/>
              </w:rPr>
            </w:pPr>
          </w:p>
        </w:tc>
      </w:tr>
      <w:tr w14:paraId="103C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7C3529CF">
            <w:pPr>
              <w:spacing w:line="360" w:lineRule="auto"/>
              <w:jc w:val="center"/>
              <w:rPr>
                <w:rFonts w:ascii="黑体" w:hAnsi="黑体" w:eastAsia="黑体"/>
                <w:color w:val="auto"/>
                <w:szCs w:val="21"/>
              </w:rPr>
            </w:pPr>
          </w:p>
        </w:tc>
        <w:tc>
          <w:tcPr>
            <w:tcW w:w="1563" w:type="pct"/>
            <w:vAlign w:val="center"/>
          </w:tcPr>
          <w:p w14:paraId="526A088E">
            <w:pPr>
              <w:spacing w:line="360" w:lineRule="auto"/>
              <w:jc w:val="center"/>
              <w:rPr>
                <w:rFonts w:ascii="黑体" w:hAnsi="黑体" w:eastAsia="黑体"/>
                <w:color w:val="auto"/>
                <w:szCs w:val="21"/>
              </w:rPr>
            </w:pPr>
          </w:p>
        </w:tc>
        <w:tc>
          <w:tcPr>
            <w:tcW w:w="1164" w:type="pct"/>
            <w:vAlign w:val="center"/>
          </w:tcPr>
          <w:p w14:paraId="5FE452ED">
            <w:pPr>
              <w:spacing w:line="360" w:lineRule="auto"/>
              <w:jc w:val="center"/>
              <w:rPr>
                <w:rFonts w:ascii="黑体" w:hAnsi="黑体" w:eastAsia="黑体"/>
                <w:color w:val="auto"/>
                <w:szCs w:val="21"/>
              </w:rPr>
            </w:pPr>
          </w:p>
        </w:tc>
        <w:tc>
          <w:tcPr>
            <w:tcW w:w="732" w:type="pct"/>
            <w:vAlign w:val="center"/>
          </w:tcPr>
          <w:p w14:paraId="0BED7C90">
            <w:pPr>
              <w:spacing w:line="360" w:lineRule="auto"/>
              <w:jc w:val="center"/>
              <w:rPr>
                <w:rFonts w:ascii="黑体" w:hAnsi="黑体" w:eastAsia="黑体"/>
                <w:color w:val="auto"/>
                <w:szCs w:val="21"/>
              </w:rPr>
            </w:pPr>
          </w:p>
        </w:tc>
        <w:tc>
          <w:tcPr>
            <w:tcW w:w="1009" w:type="pct"/>
            <w:vAlign w:val="center"/>
          </w:tcPr>
          <w:p w14:paraId="32A69E42">
            <w:pPr>
              <w:spacing w:line="360" w:lineRule="auto"/>
              <w:jc w:val="center"/>
              <w:rPr>
                <w:rFonts w:ascii="黑体" w:hAnsi="黑体" w:eastAsia="黑体"/>
                <w:color w:val="auto"/>
                <w:szCs w:val="21"/>
              </w:rPr>
            </w:pPr>
          </w:p>
        </w:tc>
      </w:tr>
      <w:tr w14:paraId="65E4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32" w:type="pct"/>
            <w:vAlign w:val="center"/>
          </w:tcPr>
          <w:p w14:paraId="6F34F354">
            <w:pPr>
              <w:spacing w:line="360" w:lineRule="auto"/>
              <w:jc w:val="center"/>
              <w:rPr>
                <w:rFonts w:ascii="黑体" w:hAnsi="黑体" w:eastAsia="黑体"/>
                <w:color w:val="auto"/>
                <w:szCs w:val="21"/>
              </w:rPr>
            </w:pPr>
          </w:p>
        </w:tc>
        <w:tc>
          <w:tcPr>
            <w:tcW w:w="1563" w:type="pct"/>
            <w:vAlign w:val="center"/>
          </w:tcPr>
          <w:p w14:paraId="670F63D5">
            <w:pPr>
              <w:spacing w:line="360" w:lineRule="auto"/>
              <w:jc w:val="center"/>
              <w:rPr>
                <w:rFonts w:ascii="黑体" w:hAnsi="黑体" w:eastAsia="黑体"/>
                <w:color w:val="auto"/>
                <w:szCs w:val="21"/>
              </w:rPr>
            </w:pPr>
          </w:p>
        </w:tc>
        <w:tc>
          <w:tcPr>
            <w:tcW w:w="1164" w:type="pct"/>
            <w:vAlign w:val="center"/>
          </w:tcPr>
          <w:p w14:paraId="67023C5F">
            <w:pPr>
              <w:spacing w:line="360" w:lineRule="auto"/>
              <w:jc w:val="center"/>
              <w:rPr>
                <w:rFonts w:ascii="黑体" w:hAnsi="黑体" w:eastAsia="黑体"/>
                <w:color w:val="auto"/>
                <w:szCs w:val="21"/>
              </w:rPr>
            </w:pPr>
          </w:p>
        </w:tc>
        <w:tc>
          <w:tcPr>
            <w:tcW w:w="732" w:type="pct"/>
            <w:vAlign w:val="center"/>
          </w:tcPr>
          <w:p w14:paraId="5A496845">
            <w:pPr>
              <w:spacing w:line="360" w:lineRule="auto"/>
              <w:jc w:val="center"/>
              <w:rPr>
                <w:rFonts w:ascii="黑体" w:hAnsi="黑体" w:eastAsia="黑体"/>
                <w:color w:val="auto"/>
                <w:szCs w:val="21"/>
              </w:rPr>
            </w:pPr>
          </w:p>
        </w:tc>
        <w:tc>
          <w:tcPr>
            <w:tcW w:w="1009" w:type="pct"/>
            <w:vAlign w:val="center"/>
          </w:tcPr>
          <w:p w14:paraId="62B14C4A">
            <w:pPr>
              <w:spacing w:line="360" w:lineRule="auto"/>
              <w:jc w:val="center"/>
              <w:rPr>
                <w:rFonts w:ascii="黑体" w:hAnsi="黑体" w:eastAsia="黑体"/>
                <w:color w:val="auto"/>
                <w:szCs w:val="21"/>
              </w:rPr>
            </w:pPr>
          </w:p>
        </w:tc>
      </w:tr>
    </w:tbl>
    <w:p w14:paraId="7E585F83">
      <w:pPr>
        <w:spacing w:before="156" w:beforeLines="50" w:line="360" w:lineRule="auto"/>
        <w:rPr>
          <w:rFonts w:ascii="黑体" w:hAnsi="黑体" w:eastAsia="黑体"/>
          <w:color w:val="auto"/>
          <w:szCs w:val="21"/>
        </w:rPr>
      </w:pPr>
      <w:r>
        <w:rPr>
          <w:rFonts w:hint="eastAsia" w:ascii="黑体" w:hAnsi="黑体" w:eastAsia="黑体"/>
          <w:color w:val="auto"/>
          <w:szCs w:val="21"/>
        </w:rPr>
        <w:t>注明：需提供证明资料内容详见</w:t>
      </w:r>
      <w:r>
        <w:rPr>
          <w:rFonts w:hint="eastAsia" w:ascii="黑体" w:hAnsi="黑体" w:eastAsia="黑体"/>
          <w:color w:val="auto"/>
          <w:szCs w:val="21"/>
          <w:u w:val="single"/>
        </w:rPr>
        <w:t xml:space="preserve">（招标文件第五部分 评标方法、步骤、标准之附表三详细评审表相对应条款） </w:t>
      </w:r>
      <w:r>
        <w:rPr>
          <w:rFonts w:hint="eastAsia" w:ascii="黑体" w:hAnsi="黑体" w:eastAsia="黑体"/>
          <w:color w:val="auto"/>
          <w:szCs w:val="21"/>
        </w:rPr>
        <w:t>。</w:t>
      </w:r>
    </w:p>
    <w:p w14:paraId="20349B42">
      <w:pPr>
        <w:spacing w:line="360" w:lineRule="auto"/>
        <w:rPr>
          <w:rFonts w:ascii="黑体" w:hAnsi="黑体" w:eastAsia="黑体"/>
          <w:color w:val="auto"/>
          <w:szCs w:val="21"/>
        </w:rPr>
      </w:pPr>
    </w:p>
    <w:p w14:paraId="23325D45">
      <w:pPr>
        <w:spacing w:line="360" w:lineRule="auto"/>
        <w:rPr>
          <w:rFonts w:ascii="黑体" w:hAnsi="黑体" w:eastAsia="黑体"/>
          <w:color w:val="auto"/>
          <w:szCs w:val="21"/>
        </w:rPr>
      </w:pPr>
    </w:p>
    <w:p w14:paraId="611C1DC2">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43CE6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705D28A9">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hint="eastAsia" w:ascii="黑体" w:hAnsi="黑体" w:eastAsia="黑体"/>
                <w:color w:val="auto"/>
                <w:szCs w:val="21"/>
                <w:u w:val="single"/>
              </w:rPr>
              <w:t xml:space="preserve">                         </w:t>
            </w:r>
          </w:p>
        </w:tc>
        <w:tc>
          <w:tcPr>
            <w:tcW w:w="3175" w:type="dxa"/>
          </w:tcPr>
          <w:p w14:paraId="5BBBCB7E">
            <w:pPr>
              <w:spacing w:line="360" w:lineRule="auto"/>
              <w:rPr>
                <w:rFonts w:ascii="黑体" w:hAnsi="黑体" w:eastAsia="黑体"/>
                <w:color w:val="auto"/>
                <w:szCs w:val="21"/>
              </w:rPr>
            </w:pPr>
          </w:p>
        </w:tc>
      </w:tr>
      <w:tr w14:paraId="51030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296BD36F">
            <w:pPr>
              <w:spacing w:line="360" w:lineRule="auto"/>
              <w:rPr>
                <w:rFonts w:ascii="黑体" w:hAnsi="黑体" w:eastAsia="黑体"/>
                <w:color w:val="auto"/>
                <w:szCs w:val="21"/>
              </w:rPr>
            </w:pPr>
            <w:r>
              <w:rPr>
                <w:rFonts w:hint="eastAsia" w:ascii="黑体" w:hAnsi="黑体" w:eastAsia="黑体"/>
                <w:color w:val="auto"/>
                <w:szCs w:val="21"/>
              </w:rPr>
              <w:t>日期：</w:t>
            </w:r>
            <w:r>
              <w:rPr>
                <w:rFonts w:hint="eastAsia" w:ascii="黑体" w:hAnsi="黑体" w:eastAsia="黑体"/>
                <w:color w:val="auto"/>
                <w:szCs w:val="21"/>
                <w:u w:val="single"/>
              </w:rPr>
              <w:t xml:space="preserve">             年           月            日</w:t>
            </w:r>
          </w:p>
        </w:tc>
        <w:tc>
          <w:tcPr>
            <w:tcW w:w="3175" w:type="dxa"/>
          </w:tcPr>
          <w:p w14:paraId="07C90722">
            <w:pPr>
              <w:spacing w:line="360" w:lineRule="auto"/>
              <w:rPr>
                <w:rFonts w:ascii="黑体" w:hAnsi="黑体" w:eastAsia="黑体"/>
                <w:color w:val="auto"/>
                <w:szCs w:val="21"/>
              </w:rPr>
            </w:pPr>
          </w:p>
        </w:tc>
      </w:tr>
    </w:tbl>
    <w:p w14:paraId="368728B4">
      <w:pPr>
        <w:spacing w:line="360" w:lineRule="auto"/>
        <w:rPr>
          <w:rFonts w:ascii="黑体" w:hAnsi="黑体" w:eastAsia="黑体"/>
          <w:color w:val="auto"/>
          <w:szCs w:val="21"/>
        </w:rPr>
      </w:pPr>
    </w:p>
    <w:bookmarkEnd w:id="101"/>
    <w:bookmarkEnd w:id="102"/>
    <w:p w14:paraId="3A4DC358">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r>
        <w:rPr>
          <w:rFonts w:hint="eastAsia" w:ascii="黑体" w:hAnsi="黑体" w:eastAsia="黑体"/>
          <w:b/>
          <w:bCs/>
          <w:color w:val="auto"/>
        </w:rPr>
        <w:t>项目技术服务人员情况表</w:t>
      </w:r>
    </w:p>
    <w:p w14:paraId="742BBEA5">
      <w:pPr>
        <w:spacing w:before="624" w:beforeLines="2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项目技术服务人员情况表</w:t>
      </w:r>
    </w:p>
    <w:tbl>
      <w:tblPr>
        <w:tblStyle w:val="20"/>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145"/>
        <w:gridCol w:w="1296"/>
        <w:gridCol w:w="1895"/>
        <w:gridCol w:w="1455"/>
        <w:gridCol w:w="1020"/>
        <w:gridCol w:w="1227"/>
      </w:tblGrid>
      <w:tr w14:paraId="6989F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16" w:type="pct"/>
            <w:vAlign w:val="center"/>
          </w:tcPr>
          <w:p w14:paraId="322625AD">
            <w:pPr>
              <w:jc w:val="center"/>
              <w:rPr>
                <w:rFonts w:ascii="黑体" w:hAnsi="黑体" w:eastAsia="黑体"/>
                <w:b/>
                <w:bCs/>
                <w:color w:val="auto"/>
                <w:szCs w:val="21"/>
              </w:rPr>
            </w:pPr>
            <w:r>
              <w:rPr>
                <w:rFonts w:hint="eastAsia" w:ascii="黑体" w:hAnsi="黑体" w:eastAsia="黑体"/>
                <w:b/>
                <w:bCs/>
                <w:color w:val="auto"/>
                <w:szCs w:val="21"/>
              </w:rPr>
              <w:t>序号</w:t>
            </w:r>
          </w:p>
        </w:tc>
        <w:tc>
          <w:tcPr>
            <w:tcW w:w="653" w:type="pct"/>
            <w:vAlign w:val="center"/>
          </w:tcPr>
          <w:p w14:paraId="48C27401">
            <w:pPr>
              <w:jc w:val="center"/>
              <w:rPr>
                <w:rFonts w:ascii="黑体" w:hAnsi="黑体" w:eastAsia="黑体"/>
                <w:b/>
                <w:bCs/>
                <w:color w:val="auto"/>
                <w:szCs w:val="21"/>
              </w:rPr>
            </w:pPr>
            <w:r>
              <w:rPr>
                <w:rFonts w:hint="eastAsia" w:ascii="黑体" w:hAnsi="黑体" w:eastAsia="黑体"/>
                <w:b/>
                <w:bCs/>
                <w:color w:val="auto"/>
                <w:szCs w:val="21"/>
              </w:rPr>
              <w:t>姓名</w:t>
            </w:r>
          </w:p>
        </w:tc>
        <w:tc>
          <w:tcPr>
            <w:tcW w:w="739" w:type="pct"/>
            <w:vAlign w:val="center"/>
          </w:tcPr>
          <w:p w14:paraId="4FD6D7E2">
            <w:pPr>
              <w:jc w:val="center"/>
              <w:rPr>
                <w:rFonts w:ascii="黑体" w:hAnsi="黑体" w:eastAsia="黑体"/>
                <w:b/>
                <w:bCs/>
                <w:color w:val="auto"/>
                <w:szCs w:val="21"/>
              </w:rPr>
            </w:pPr>
            <w:r>
              <w:rPr>
                <w:rFonts w:hint="eastAsia" w:ascii="黑体" w:hAnsi="黑体" w:eastAsia="黑体"/>
                <w:b/>
                <w:bCs/>
                <w:color w:val="auto"/>
                <w:szCs w:val="21"/>
              </w:rPr>
              <w:t>职位</w:t>
            </w:r>
          </w:p>
        </w:tc>
        <w:tc>
          <w:tcPr>
            <w:tcW w:w="1081" w:type="pct"/>
            <w:vAlign w:val="center"/>
          </w:tcPr>
          <w:p w14:paraId="18A5EDA3">
            <w:pPr>
              <w:jc w:val="center"/>
              <w:rPr>
                <w:rFonts w:ascii="黑体" w:hAnsi="黑体" w:eastAsia="黑体"/>
                <w:b/>
                <w:bCs/>
                <w:color w:val="auto"/>
                <w:szCs w:val="21"/>
              </w:rPr>
            </w:pPr>
            <w:r>
              <w:rPr>
                <w:rFonts w:hint="eastAsia" w:ascii="黑体" w:hAnsi="黑体" w:eastAsia="黑体"/>
                <w:b/>
                <w:bCs/>
                <w:color w:val="auto"/>
                <w:szCs w:val="21"/>
              </w:rPr>
              <w:t>持何种资格证件</w:t>
            </w:r>
          </w:p>
        </w:tc>
        <w:tc>
          <w:tcPr>
            <w:tcW w:w="830" w:type="pct"/>
            <w:vAlign w:val="center"/>
          </w:tcPr>
          <w:p w14:paraId="3FED5A26">
            <w:pPr>
              <w:jc w:val="center"/>
              <w:rPr>
                <w:rFonts w:ascii="黑体" w:hAnsi="黑体" w:eastAsia="黑体"/>
                <w:b/>
                <w:bCs/>
                <w:color w:val="auto"/>
                <w:szCs w:val="21"/>
              </w:rPr>
            </w:pPr>
            <w:r>
              <w:rPr>
                <w:rFonts w:hint="eastAsia" w:ascii="黑体" w:hAnsi="黑体" w:eastAsia="黑体"/>
                <w:b/>
                <w:bCs/>
                <w:color w:val="auto"/>
                <w:szCs w:val="21"/>
              </w:rPr>
              <w:t>发证时间</w:t>
            </w:r>
          </w:p>
        </w:tc>
        <w:tc>
          <w:tcPr>
            <w:tcW w:w="582" w:type="pct"/>
            <w:vAlign w:val="center"/>
          </w:tcPr>
          <w:p w14:paraId="72CC8F14">
            <w:pPr>
              <w:jc w:val="center"/>
              <w:rPr>
                <w:rFonts w:ascii="黑体" w:hAnsi="黑体" w:eastAsia="黑体"/>
                <w:b/>
                <w:bCs/>
                <w:color w:val="auto"/>
                <w:szCs w:val="21"/>
              </w:rPr>
            </w:pPr>
            <w:r>
              <w:rPr>
                <w:rFonts w:hint="eastAsia" w:ascii="黑体" w:hAnsi="黑体" w:eastAsia="黑体"/>
                <w:b/>
                <w:bCs/>
                <w:color w:val="auto"/>
                <w:szCs w:val="21"/>
              </w:rPr>
              <w:t>学历</w:t>
            </w:r>
          </w:p>
        </w:tc>
        <w:tc>
          <w:tcPr>
            <w:tcW w:w="699" w:type="pct"/>
            <w:vAlign w:val="center"/>
          </w:tcPr>
          <w:p w14:paraId="29BCB78B">
            <w:pPr>
              <w:jc w:val="center"/>
              <w:rPr>
                <w:rFonts w:ascii="黑体" w:hAnsi="黑体" w:eastAsia="黑体"/>
                <w:b/>
                <w:bCs/>
                <w:color w:val="auto"/>
                <w:szCs w:val="21"/>
              </w:rPr>
            </w:pPr>
            <w:r>
              <w:rPr>
                <w:rFonts w:hint="eastAsia" w:ascii="黑体" w:hAnsi="黑体" w:eastAsia="黑体"/>
                <w:b/>
                <w:bCs/>
                <w:color w:val="auto"/>
                <w:szCs w:val="21"/>
              </w:rPr>
              <w:t>经验年限</w:t>
            </w:r>
          </w:p>
        </w:tc>
      </w:tr>
      <w:tr w14:paraId="066A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6082922E">
            <w:pPr>
              <w:spacing w:line="480" w:lineRule="auto"/>
              <w:jc w:val="center"/>
              <w:rPr>
                <w:rFonts w:ascii="黑体" w:hAnsi="黑体" w:eastAsia="黑体"/>
                <w:color w:val="auto"/>
                <w:szCs w:val="21"/>
              </w:rPr>
            </w:pPr>
          </w:p>
        </w:tc>
        <w:tc>
          <w:tcPr>
            <w:tcW w:w="653" w:type="pct"/>
            <w:vAlign w:val="center"/>
          </w:tcPr>
          <w:p w14:paraId="55260E9A">
            <w:pPr>
              <w:spacing w:line="480" w:lineRule="auto"/>
              <w:jc w:val="center"/>
              <w:rPr>
                <w:rFonts w:ascii="黑体" w:hAnsi="黑体" w:eastAsia="黑体"/>
                <w:color w:val="auto"/>
                <w:szCs w:val="21"/>
              </w:rPr>
            </w:pPr>
          </w:p>
        </w:tc>
        <w:tc>
          <w:tcPr>
            <w:tcW w:w="739" w:type="pct"/>
            <w:vAlign w:val="center"/>
          </w:tcPr>
          <w:p w14:paraId="17BC0E6F">
            <w:pPr>
              <w:spacing w:line="480" w:lineRule="auto"/>
              <w:jc w:val="center"/>
              <w:rPr>
                <w:rFonts w:ascii="黑体" w:hAnsi="黑体" w:eastAsia="黑体"/>
                <w:color w:val="auto"/>
                <w:szCs w:val="21"/>
              </w:rPr>
            </w:pPr>
          </w:p>
        </w:tc>
        <w:tc>
          <w:tcPr>
            <w:tcW w:w="1081" w:type="pct"/>
            <w:vAlign w:val="center"/>
          </w:tcPr>
          <w:p w14:paraId="71E127F2">
            <w:pPr>
              <w:spacing w:line="480" w:lineRule="auto"/>
              <w:jc w:val="center"/>
              <w:rPr>
                <w:rFonts w:ascii="黑体" w:hAnsi="黑体" w:eastAsia="黑体"/>
                <w:color w:val="auto"/>
                <w:szCs w:val="21"/>
              </w:rPr>
            </w:pPr>
          </w:p>
        </w:tc>
        <w:tc>
          <w:tcPr>
            <w:tcW w:w="830" w:type="pct"/>
          </w:tcPr>
          <w:p w14:paraId="30BDD456">
            <w:pPr>
              <w:spacing w:line="480" w:lineRule="auto"/>
              <w:jc w:val="center"/>
              <w:rPr>
                <w:rFonts w:ascii="黑体" w:hAnsi="黑体" w:eastAsia="黑体"/>
                <w:color w:val="auto"/>
                <w:szCs w:val="21"/>
              </w:rPr>
            </w:pPr>
          </w:p>
        </w:tc>
        <w:tc>
          <w:tcPr>
            <w:tcW w:w="582" w:type="pct"/>
            <w:vAlign w:val="center"/>
          </w:tcPr>
          <w:p w14:paraId="00C75E96">
            <w:pPr>
              <w:spacing w:line="480" w:lineRule="auto"/>
              <w:jc w:val="center"/>
              <w:rPr>
                <w:rFonts w:ascii="黑体" w:hAnsi="黑体" w:eastAsia="黑体"/>
                <w:color w:val="auto"/>
                <w:szCs w:val="21"/>
              </w:rPr>
            </w:pPr>
          </w:p>
        </w:tc>
        <w:tc>
          <w:tcPr>
            <w:tcW w:w="699" w:type="pct"/>
          </w:tcPr>
          <w:p w14:paraId="1D0914DF">
            <w:pPr>
              <w:spacing w:line="480" w:lineRule="auto"/>
              <w:jc w:val="center"/>
              <w:rPr>
                <w:rFonts w:ascii="黑体" w:hAnsi="黑体" w:eastAsia="黑体"/>
                <w:color w:val="auto"/>
                <w:szCs w:val="21"/>
              </w:rPr>
            </w:pPr>
          </w:p>
        </w:tc>
      </w:tr>
      <w:tr w14:paraId="5C26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5675F7F5">
            <w:pPr>
              <w:spacing w:line="480" w:lineRule="auto"/>
              <w:jc w:val="center"/>
              <w:rPr>
                <w:rFonts w:ascii="黑体" w:hAnsi="黑体" w:eastAsia="黑体"/>
                <w:color w:val="auto"/>
                <w:szCs w:val="21"/>
              </w:rPr>
            </w:pPr>
          </w:p>
        </w:tc>
        <w:tc>
          <w:tcPr>
            <w:tcW w:w="653" w:type="pct"/>
            <w:vAlign w:val="center"/>
          </w:tcPr>
          <w:p w14:paraId="4C4483B6">
            <w:pPr>
              <w:spacing w:line="480" w:lineRule="auto"/>
              <w:jc w:val="center"/>
              <w:rPr>
                <w:rFonts w:ascii="黑体" w:hAnsi="黑体" w:eastAsia="黑体"/>
                <w:color w:val="auto"/>
                <w:szCs w:val="21"/>
              </w:rPr>
            </w:pPr>
          </w:p>
        </w:tc>
        <w:tc>
          <w:tcPr>
            <w:tcW w:w="739" w:type="pct"/>
            <w:vAlign w:val="center"/>
          </w:tcPr>
          <w:p w14:paraId="48227844">
            <w:pPr>
              <w:spacing w:line="480" w:lineRule="auto"/>
              <w:jc w:val="center"/>
              <w:rPr>
                <w:rFonts w:ascii="黑体" w:hAnsi="黑体" w:eastAsia="黑体"/>
                <w:color w:val="auto"/>
                <w:szCs w:val="21"/>
              </w:rPr>
            </w:pPr>
          </w:p>
        </w:tc>
        <w:tc>
          <w:tcPr>
            <w:tcW w:w="1081" w:type="pct"/>
            <w:vAlign w:val="center"/>
          </w:tcPr>
          <w:p w14:paraId="4FD3D18A">
            <w:pPr>
              <w:spacing w:line="480" w:lineRule="auto"/>
              <w:jc w:val="center"/>
              <w:rPr>
                <w:rFonts w:ascii="黑体" w:hAnsi="黑体" w:eastAsia="黑体"/>
                <w:color w:val="auto"/>
                <w:szCs w:val="21"/>
              </w:rPr>
            </w:pPr>
          </w:p>
        </w:tc>
        <w:tc>
          <w:tcPr>
            <w:tcW w:w="830" w:type="pct"/>
          </w:tcPr>
          <w:p w14:paraId="639F40CF">
            <w:pPr>
              <w:spacing w:line="480" w:lineRule="auto"/>
              <w:jc w:val="center"/>
              <w:rPr>
                <w:rFonts w:ascii="黑体" w:hAnsi="黑体" w:eastAsia="黑体"/>
                <w:color w:val="auto"/>
                <w:szCs w:val="21"/>
              </w:rPr>
            </w:pPr>
          </w:p>
        </w:tc>
        <w:tc>
          <w:tcPr>
            <w:tcW w:w="582" w:type="pct"/>
            <w:vAlign w:val="center"/>
          </w:tcPr>
          <w:p w14:paraId="11FA8EEF">
            <w:pPr>
              <w:spacing w:line="480" w:lineRule="auto"/>
              <w:jc w:val="center"/>
              <w:rPr>
                <w:rFonts w:ascii="黑体" w:hAnsi="黑体" w:eastAsia="黑体"/>
                <w:color w:val="auto"/>
                <w:szCs w:val="21"/>
              </w:rPr>
            </w:pPr>
          </w:p>
        </w:tc>
        <w:tc>
          <w:tcPr>
            <w:tcW w:w="699" w:type="pct"/>
          </w:tcPr>
          <w:p w14:paraId="647099C6">
            <w:pPr>
              <w:spacing w:line="480" w:lineRule="auto"/>
              <w:jc w:val="center"/>
              <w:rPr>
                <w:rFonts w:ascii="黑体" w:hAnsi="黑体" w:eastAsia="黑体"/>
                <w:color w:val="auto"/>
                <w:szCs w:val="21"/>
              </w:rPr>
            </w:pPr>
          </w:p>
        </w:tc>
      </w:tr>
      <w:tr w14:paraId="4115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5CE23380">
            <w:pPr>
              <w:spacing w:line="480" w:lineRule="auto"/>
              <w:jc w:val="center"/>
              <w:rPr>
                <w:rFonts w:ascii="黑体" w:hAnsi="黑体" w:eastAsia="黑体"/>
                <w:color w:val="auto"/>
                <w:szCs w:val="21"/>
              </w:rPr>
            </w:pPr>
          </w:p>
        </w:tc>
        <w:tc>
          <w:tcPr>
            <w:tcW w:w="653" w:type="pct"/>
            <w:vAlign w:val="center"/>
          </w:tcPr>
          <w:p w14:paraId="61EADBC0">
            <w:pPr>
              <w:spacing w:line="480" w:lineRule="auto"/>
              <w:jc w:val="center"/>
              <w:rPr>
                <w:rFonts w:ascii="黑体" w:hAnsi="黑体" w:eastAsia="黑体"/>
                <w:color w:val="auto"/>
                <w:szCs w:val="21"/>
              </w:rPr>
            </w:pPr>
          </w:p>
        </w:tc>
        <w:tc>
          <w:tcPr>
            <w:tcW w:w="739" w:type="pct"/>
            <w:vAlign w:val="center"/>
          </w:tcPr>
          <w:p w14:paraId="532F16C5">
            <w:pPr>
              <w:spacing w:line="480" w:lineRule="auto"/>
              <w:jc w:val="center"/>
              <w:rPr>
                <w:rFonts w:ascii="黑体" w:hAnsi="黑体" w:eastAsia="黑体"/>
                <w:color w:val="auto"/>
                <w:szCs w:val="21"/>
              </w:rPr>
            </w:pPr>
          </w:p>
        </w:tc>
        <w:tc>
          <w:tcPr>
            <w:tcW w:w="1081" w:type="pct"/>
            <w:vAlign w:val="center"/>
          </w:tcPr>
          <w:p w14:paraId="3558D7B9">
            <w:pPr>
              <w:spacing w:line="480" w:lineRule="auto"/>
              <w:jc w:val="center"/>
              <w:rPr>
                <w:rFonts w:ascii="黑体" w:hAnsi="黑体" w:eastAsia="黑体"/>
                <w:color w:val="auto"/>
                <w:szCs w:val="21"/>
              </w:rPr>
            </w:pPr>
          </w:p>
        </w:tc>
        <w:tc>
          <w:tcPr>
            <w:tcW w:w="830" w:type="pct"/>
          </w:tcPr>
          <w:p w14:paraId="716B9D26">
            <w:pPr>
              <w:spacing w:line="480" w:lineRule="auto"/>
              <w:jc w:val="center"/>
              <w:rPr>
                <w:rFonts w:ascii="黑体" w:hAnsi="黑体" w:eastAsia="黑体"/>
                <w:color w:val="auto"/>
                <w:szCs w:val="21"/>
              </w:rPr>
            </w:pPr>
          </w:p>
        </w:tc>
        <w:tc>
          <w:tcPr>
            <w:tcW w:w="582" w:type="pct"/>
            <w:vAlign w:val="center"/>
          </w:tcPr>
          <w:p w14:paraId="422EB503">
            <w:pPr>
              <w:spacing w:line="480" w:lineRule="auto"/>
              <w:jc w:val="center"/>
              <w:rPr>
                <w:rFonts w:ascii="黑体" w:hAnsi="黑体" w:eastAsia="黑体"/>
                <w:color w:val="auto"/>
                <w:szCs w:val="21"/>
              </w:rPr>
            </w:pPr>
          </w:p>
        </w:tc>
        <w:tc>
          <w:tcPr>
            <w:tcW w:w="699" w:type="pct"/>
          </w:tcPr>
          <w:p w14:paraId="6C1F1D93">
            <w:pPr>
              <w:spacing w:line="480" w:lineRule="auto"/>
              <w:jc w:val="center"/>
              <w:rPr>
                <w:rFonts w:ascii="黑体" w:hAnsi="黑体" w:eastAsia="黑体"/>
                <w:color w:val="auto"/>
                <w:szCs w:val="21"/>
              </w:rPr>
            </w:pPr>
          </w:p>
        </w:tc>
      </w:tr>
      <w:tr w14:paraId="5BF5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47B79C8F">
            <w:pPr>
              <w:spacing w:line="480" w:lineRule="auto"/>
              <w:jc w:val="center"/>
              <w:rPr>
                <w:rFonts w:ascii="黑体" w:hAnsi="黑体" w:eastAsia="黑体"/>
                <w:color w:val="auto"/>
                <w:szCs w:val="21"/>
              </w:rPr>
            </w:pPr>
          </w:p>
        </w:tc>
        <w:tc>
          <w:tcPr>
            <w:tcW w:w="653" w:type="pct"/>
            <w:vAlign w:val="center"/>
          </w:tcPr>
          <w:p w14:paraId="449D1954">
            <w:pPr>
              <w:spacing w:line="480" w:lineRule="auto"/>
              <w:jc w:val="center"/>
              <w:rPr>
                <w:rFonts w:ascii="黑体" w:hAnsi="黑体" w:eastAsia="黑体"/>
                <w:color w:val="auto"/>
                <w:szCs w:val="21"/>
              </w:rPr>
            </w:pPr>
          </w:p>
        </w:tc>
        <w:tc>
          <w:tcPr>
            <w:tcW w:w="739" w:type="pct"/>
            <w:vAlign w:val="center"/>
          </w:tcPr>
          <w:p w14:paraId="1744485B">
            <w:pPr>
              <w:spacing w:line="480" w:lineRule="auto"/>
              <w:jc w:val="center"/>
              <w:rPr>
                <w:rFonts w:ascii="黑体" w:hAnsi="黑体" w:eastAsia="黑体"/>
                <w:color w:val="auto"/>
                <w:szCs w:val="21"/>
              </w:rPr>
            </w:pPr>
          </w:p>
        </w:tc>
        <w:tc>
          <w:tcPr>
            <w:tcW w:w="1081" w:type="pct"/>
            <w:vAlign w:val="center"/>
          </w:tcPr>
          <w:p w14:paraId="5A66B7AB">
            <w:pPr>
              <w:spacing w:line="480" w:lineRule="auto"/>
              <w:jc w:val="center"/>
              <w:rPr>
                <w:rFonts w:ascii="黑体" w:hAnsi="黑体" w:eastAsia="黑体"/>
                <w:color w:val="auto"/>
                <w:szCs w:val="21"/>
              </w:rPr>
            </w:pPr>
          </w:p>
        </w:tc>
        <w:tc>
          <w:tcPr>
            <w:tcW w:w="830" w:type="pct"/>
          </w:tcPr>
          <w:p w14:paraId="54EE3444">
            <w:pPr>
              <w:spacing w:line="480" w:lineRule="auto"/>
              <w:jc w:val="center"/>
              <w:rPr>
                <w:rFonts w:ascii="黑体" w:hAnsi="黑体" w:eastAsia="黑体"/>
                <w:color w:val="auto"/>
                <w:szCs w:val="21"/>
              </w:rPr>
            </w:pPr>
          </w:p>
        </w:tc>
        <w:tc>
          <w:tcPr>
            <w:tcW w:w="582" w:type="pct"/>
            <w:vAlign w:val="center"/>
          </w:tcPr>
          <w:p w14:paraId="1C2887DB">
            <w:pPr>
              <w:spacing w:line="480" w:lineRule="auto"/>
              <w:jc w:val="center"/>
              <w:rPr>
                <w:rFonts w:ascii="黑体" w:hAnsi="黑体" w:eastAsia="黑体"/>
                <w:color w:val="auto"/>
                <w:szCs w:val="21"/>
              </w:rPr>
            </w:pPr>
          </w:p>
        </w:tc>
        <w:tc>
          <w:tcPr>
            <w:tcW w:w="699" w:type="pct"/>
          </w:tcPr>
          <w:p w14:paraId="25069E0D">
            <w:pPr>
              <w:spacing w:line="480" w:lineRule="auto"/>
              <w:jc w:val="center"/>
              <w:rPr>
                <w:rFonts w:ascii="黑体" w:hAnsi="黑体" w:eastAsia="黑体"/>
                <w:color w:val="auto"/>
                <w:szCs w:val="21"/>
              </w:rPr>
            </w:pPr>
          </w:p>
        </w:tc>
      </w:tr>
      <w:tr w14:paraId="01AF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58330EEB">
            <w:pPr>
              <w:spacing w:line="480" w:lineRule="auto"/>
              <w:jc w:val="center"/>
              <w:rPr>
                <w:rFonts w:ascii="黑体" w:hAnsi="黑体" w:eastAsia="黑体"/>
                <w:color w:val="auto"/>
                <w:szCs w:val="21"/>
              </w:rPr>
            </w:pPr>
          </w:p>
        </w:tc>
        <w:tc>
          <w:tcPr>
            <w:tcW w:w="653" w:type="pct"/>
            <w:vAlign w:val="center"/>
          </w:tcPr>
          <w:p w14:paraId="519A3934">
            <w:pPr>
              <w:spacing w:line="480" w:lineRule="auto"/>
              <w:jc w:val="center"/>
              <w:rPr>
                <w:rFonts w:ascii="黑体" w:hAnsi="黑体" w:eastAsia="黑体"/>
                <w:color w:val="auto"/>
                <w:szCs w:val="21"/>
              </w:rPr>
            </w:pPr>
          </w:p>
        </w:tc>
        <w:tc>
          <w:tcPr>
            <w:tcW w:w="739" w:type="pct"/>
            <w:vAlign w:val="center"/>
          </w:tcPr>
          <w:p w14:paraId="65F47A10">
            <w:pPr>
              <w:spacing w:line="480" w:lineRule="auto"/>
              <w:jc w:val="center"/>
              <w:rPr>
                <w:rFonts w:ascii="黑体" w:hAnsi="黑体" w:eastAsia="黑体"/>
                <w:color w:val="auto"/>
                <w:szCs w:val="21"/>
              </w:rPr>
            </w:pPr>
          </w:p>
        </w:tc>
        <w:tc>
          <w:tcPr>
            <w:tcW w:w="1081" w:type="pct"/>
            <w:vAlign w:val="center"/>
          </w:tcPr>
          <w:p w14:paraId="3831FFBC">
            <w:pPr>
              <w:widowControl/>
              <w:tabs>
                <w:tab w:val="right" w:leader="dot" w:pos="8302"/>
              </w:tabs>
              <w:spacing w:line="480" w:lineRule="auto"/>
              <w:jc w:val="center"/>
              <w:rPr>
                <w:rFonts w:ascii="黑体" w:hAnsi="黑体" w:eastAsia="黑体"/>
                <w:color w:val="auto"/>
                <w:kern w:val="0"/>
                <w:szCs w:val="21"/>
              </w:rPr>
            </w:pPr>
          </w:p>
        </w:tc>
        <w:tc>
          <w:tcPr>
            <w:tcW w:w="830" w:type="pct"/>
          </w:tcPr>
          <w:p w14:paraId="687AE988">
            <w:pPr>
              <w:spacing w:line="480" w:lineRule="auto"/>
              <w:jc w:val="center"/>
              <w:rPr>
                <w:rFonts w:ascii="黑体" w:hAnsi="黑体" w:eastAsia="黑体"/>
                <w:color w:val="auto"/>
                <w:szCs w:val="21"/>
              </w:rPr>
            </w:pPr>
          </w:p>
        </w:tc>
        <w:tc>
          <w:tcPr>
            <w:tcW w:w="582" w:type="pct"/>
            <w:vAlign w:val="center"/>
          </w:tcPr>
          <w:p w14:paraId="53DD4697">
            <w:pPr>
              <w:spacing w:line="480" w:lineRule="auto"/>
              <w:jc w:val="center"/>
              <w:rPr>
                <w:rFonts w:ascii="黑体" w:hAnsi="黑体" w:eastAsia="黑体"/>
                <w:color w:val="auto"/>
                <w:szCs w:val="21"/>
              </w:rPr>
            </w:pPr>
          </w:p>
        </w:tc>
        <w:tc>
          <w:tcPr>
            <w:tcW w:w="699" w:type="pct"/>
          </w:tcPr>
          <w:p w14:paraId="213825A4">
            <w:pPr>
              <w:spacing w:line="480" w:lineRule="auto"/>
              <w:jc w:val="center"/>
              <w:rPr>
                <w:rFonts w:ascii="黑体" w:hAnsi="黑体" w:eastAsia="黑体"/>
                <w:color w:val="auto"/>
                <w:szCs w:val="21"/>
              </w:rPr>
            </w:pPr>
          </w:p>
        </w:tc>
      </w:tr>
      <w:tr w14:paraId="49F1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001F2820">
            <w:pPr>
              <w:spacing w:line="480" w:lineRule="auto"/>
              <w:jc w:val="center"/>
              <w:rPr>
                <w:rFonts w:ascii="黑体" w:hAnsi="黑体" w:eastAsia="黑体"/>
                <w:color w:val="auto"/>
                <w:szCs w:val="21"/>
              </w:rPr>
            </w:pPr>
          </w:p>
        </w:tc>
        <w:tc>
          <w:tcPr>
            <w:tcW w:w="653" w:type="pct"/>
            <w:vAlign w:val="center"/>
          </w:tcPr>
          <w:p w14:paraId="13895239">
            <w:pPr>
              <w:spacing w:line="480" w:lineRule="auto"/>
              <w:jc w:val="center"/>
              <w:rPr>
                <w:rFonts w:ascii="黑体" w:hAnsi="黑体" w:eastAsia="黑体"/>
                <w:color w:val="auto"/>
                <w:szCs w:val="21"/>
              </w:rPr>
            </w:pPr>
          </w:p>
        </w:tc>
        <w:tc>
          <w:tcPr>
            <w:tcW w:w="739" w:type="pct"/>
            <w:vAlign w:val="center"/>
          </w:tcPr>
          <w:p w14:paraId="5942972C">
            <w:pPr>
              <w:spacing w:line="480" w:lineRule="auto"/>
              <w:jc w:val="center"/>
              <w:rPr>
                <w:rFonts w:ascii="黑体" w:hAnsi="黑体" w:eastAsia="黑体"/>
                <w:color w:val="auto"/>
                <w:szCs w:val="21"/>
              </w:rPr>
            </w:pPr>
          </w:p>
        </w:tc>
        <w:tc>
          <w:tcPr>
            <w:tcW w:w="1081" w:type="pct"/>
            <w:vAlign w:val="center"/>
          </w:tcPr>
          <w:p w14:paraId="61C9BB47">
            <w:pPr>
              <w:widowControl/>
              <w:tabs>
                <w:tab w:val="right" w:leader="dot" w:pos="8302"/>
              </w:tabs>
              <w:spacing w:line="480" w:lineRule="auto"/>
              <w:jc w:val="center"/>
              <w:rPr>
                <w:rFonts w:ascii="黑体" w:hAnsi="黑体" w:eastAsia="黑体"/>
                <w:color w:val="auto"/>
                <w:kern w:val="0"/>
                <w:szCs w:val="21"/>
              </w:rPr>
            </w:pPr>
          </w:p>
        </w:tc>
        <w:tc>
          <w:tcPr>
            <w:tcW w:w="830" w:type="pct"/>
          </w:tcPr>
          <w:p w14:paraId="44A7AB7B">
            <w:pPr>
              <w:spacing w:line="480" w:lineRule="auto"/>
              <w:jc w:val="center"/>
              <w:rPr>
                <w:rFonts w:ascii="黑体" w:hAnsi="黑体" w:eastAsia="黑体"/>
                <w:color w:val="auto"/>
                <w:szCs w:val="21"/>
              </w:rPr>
            </w:pPr>
          </w:p>
        </w:tc>
        <w:tc>
          <w:tcPr>
            <w:tcW w:w="582" w:type="pct"/>
            <w:vAlign w:val="center"/>
          </w:tcPr>
          <w:p w14:paraId="0D1A62D1">
            <w:pPr>
              <w:spacing w:line="480" w:lineRule="auto"/>
              <w:jc w:val="center"/>
              <w:rPr>
                <w:rFonts w:ascii="黑体" w:hAnsi="黑体" w:eastAsia="黑体"/>
                <w:color w:val="auto"/>
                <w:szCs w:val="21"/>
              </w:rPr>
            </w:pPr>
          </w:p>
        </w:tc>
        <w:tc>
          <w:tcPr>
            <w:tcW w:w="699" w:type="pct"/>
          </w:tcPr>
          <w:p w14:paraId="3FAF2C4B">
            <w:pPr>
              <w:spacing w:line="480" w:lineRule="auto"/>
              <w:jc w:val="center"/>
              <w:rPr>
                <w:rFonts w:ascii="黑体" w:hAnsi="黑体" w:eastAsia="黑体"/>
                <w:color w:val="auto"/>
                <w:szCs w:val="21"/>
              </w:rPr>
            </w:pPr>
          </w:p>
        </w:tc>
      </w:tr>
      <w:tr w14:paraId="3FC8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431539CA">
            <w:pPr>
              <w:spacing w:line="480" w:lineRule="auto"/>
              <w:jc w:val="center"/>
              <w:rPr>
                <w:rFonts w:ascii="黑体" w:hAnsi="黑体" w:eastAsia="黑体"/>
                <w:color w:val="auto"/>
                <w:szCs w:val="21"/>
              </w:rPr>
            </w:pPr>
          </w:p>
        </w:tc>
        <w:tc>
          <w:tcPr>
            <w:tcW w:w="653" w:type="pct"/>
            <w:vAlign w:val="center"/>
          </w:tcPr>
          <w:p w14:paraId="195592E6">
            <w:pPr>
              <w:spacing w:line="480" w:lineRule="auto"/>
              <w:jc w:val="center"/>
              <w:rPr>
                <w:rFonts w:ascii="黑体" w:hAnsi="黑体" w:eastAsia="黑体"/>
                <w:color w:val="auto"/>
                <w:szCs w:val="21"/>
              </w:rPr>
            </w:pPr>
          </w:p>
        </w:tc>
        <w:tc>
          <w:tcPr>
            <w:tcW w:w="739" w:type="pct"/>
            <w:vAlign w:val="center"/>
          </w:tcPr>
          <w:p w14:paraId="64C0379D">
            <w:pPr>
              <w:spacing w:line="480" w:lineRule="auto"/>
              <w:jc w:val="center"/>
              <w:rPr>
                <w:rFonts w:ascii="黑体" w:hAnsi="黑体" w:eastAsia="黑体"/>
                <w:color w:val="auto"/>
                <w:szCs w:val="21"/>
              </w:rPr>
            </w:pPr>
          </w:p>
        </w:tc>
        <w:tc>
          <w:tcPr>
            <w:tcW w:w="1081" w:type="pct"/>
            <w:vAlign w:val="center"/>
          </w:tcPr>
          <w:p w14:paraId="68E94ED1">
            <w:pPr>
              <w:spacing w:line="480" w:lineRule="auto"/>
              <w:jc w:val="center"/>
              <w:rPr>
                <w:rFonts w:ascii="黑体" w:hAnsi="黑体" w:eastAsia="黑体"/>
                <w:color w:val="auto"/>
                <w:szCs w:val="21"/>
              </w:rPr>
            </w:pPr>
          </w:p>
        </w:tc>
        <w:tc>
          <w:tcPr>
            <w:tcW w:w="830" w:type="pct"/>
          </w:tcPr>
          <w:p w14:paraId="4EC507BA">
            <w:pPr>
              <w:spacing w:line="480" w:lineRule="auto"/>
              <w:jc w:val="center"/>
              <w:rPr>
                <w:rFonts w:ascii="黑体" w:hAnsi="黑体" w:eastAsia="黑体"/>
                <w:color w:val="auto"/>
                <w:szCs w:val="21"/>
              </w:rPr>
            </w:pPr>
          </w:p>
        </w:tc>
        <w:tc>
          <w:tcPr>
            <w:tcW w:w="582" w:type="pct"/>
            <w:vAlign w:val="center"/>
          </w:tcPr>
          <w:p w14:paraId="2DEC984A">
            <w:pPr>
              <w:spacing w:line="480" w:lineRule="auto"/>
              <w:jc w:val="center"/>
              <w:rPr>
                <w:rFonts w:ascii="黑体" w:hAnsi="黑体" w:eastAsia="黑体"/>
                <w:color w:val="auto"/>
                <w:szCs w:val="21"/>
              </w:rPr>
            </w:pPr>
          </w:p>
        </w:tc>
        <w:tc>
          <w:tcPr>
            <w:tcW w:w="699" w:type="pct"/>
          </w:tcPr>
          <w:p w14:paraId="155D9D17">
            <w:pPr>
              <w:spacing w:line="480" w:lineRule="auto"/>
              <w:jc w:val="center"/>
              <w:rPr>
                <w:rFonts w:ascii="黑体" w:hAnsi="黑体" w:eastAsia="黑体"/>
                <w:color w:val="auto"/>
                <w:szCs w:val="21"/>
              </w:rPr>
            </w:pPr>
          </w:p>
        </w:tc>
      </w:tr>
      <w:tr w14:paraId="76460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16" w:type="pct"/>
            <w:vAlign w:val="center"/>
          </w:tcPr>
          <w:p w14:paraId="699F09FB">
            <w:pPr>
              <w:spacing w:line="480" w:lineRule="auto"/>
              <w:jc w:val="center"/>
              <w:rPr>
                <w:rFonts w:ascii="黑体" w:hAnsi="黑体" w:eastAsia="黑体"/>
                <w:color w:val="auto"/>
                <w:szCs w:val="21"/>
              </w:rPr>
            </w:pPr>
          </w:p>
        </w:tc>
        <w:tc>
          <w:tcPr>
            <w:tcW w:w="653" w:type="pct"/>
            <w:vAlign w:val="center"/>
          </w:tcPr>
          <w:p w14:paraId="11F79E7C">
            <w:pPr>
              <w:spacing w:line="480" w:lineRule="auto"/>
              <w:jc w:val="center"/>
              <w:rPr>
                <w:rFonts w:ascii="黑体" w:hAnsi="黑体" w:eastAsia="黑体"/>
                <w:color w:val="auto"/>
                <w:szCs w:val="21"/>
              </w:rPr>
            </w:pPr>
          </w:p>
        </w:tc>
        <w:tc>
          <w:tcPr>
            <w:tcW w:w="739" w:type="pct"/>
            <w:vAlign w:val="center"/>
          </w:tcPr>
          <w:p w14:paraId="21A6D746">
            <w:pPr>
              <w:spacing w:line="480" w:lineRule="auto"/>
              <w:jc w:val="center"/>
              <w:rPr>
                <w:rFonts w:ascii="黑体" w:hAnsi="黑体" w:eastAsia="黑体"/>
                <w:color w:val="auto"/>
                <w:szCs w:val="21"/>
              </w:rPr>
            </w:pPr>
          </w:p>
        </w:tc>
        <w:tc>
          <w:tcPr>
            <w:tcW w:w="1081" w:type="pct"/>
            <w:vAlign w:val="center"/>
          </w:tcPr>
          <w:p w14:paraId="2CE75A42">
            <w:pPr>
              <w:spacing w:line="480" w:lineRule="auto"/>
              <w:jc w:val="center"/>
              <w:rPr>
                <w:rFonts w:ascii="黑体" w:hAnsi="黑体" w:eastAsia="黑体"/>
                <w:color w:val="auto"/>
                <w:szCs w:val="21"/>
              </w:rPr>
            </w:pPr>
          </w:p>
        </w:tc>
        <w:tc>
          <w:tcPr>
            <w:tcW w:w="830" w:type="pct"/>
          </w:tcPr>
          <w:p w14:paraId="7C1B8FC4">
            <w:pPr>
              <w:spacing w:line="480" w:lineRule="auto"/>
              <w:jc w:val="center"/>
              <w:rPr>
                <w:rFonts w:ascii="黑体" w:hAnsi="黑体" w:eastAsia="黑体"/>
                <w:color w:val="auto"/>
                <w:szCs w:val="21"/>
              </w:rPr>
            </w:pPr>
          </w:p>
        </w:tc>
        <w:tc>
          <w:tcPr>
            <w:tcW w:w="582" w:type="pct"/>
            <w:vAlign w:val="center"/>
          </w:tcPr>
          <w:p w14:paraId="155E6395">
            <w:pPr>
              <w:spacing w:line="480" w:lineRule="auto"/>
              <w:jc w:val="center"/>
              <w:rPr>
                <w:rFonts w:ascii="黑体" w:hAnsi="黑体" w:eastAsia="黑体"/>
                <w:color w:val="auto"/>
                <w:szCs w:val="21"/>
              </w:rPr>
            </w:pPr>
          </w:p>
        </w:tc>
        <w:tc>
          <w:tcPr>
            <w:tcW w:w="699" w:type="pct"/>
          </w:tcPr>
          <w:p w14:paraId="7D6AE260">
            <w:pPr>
              <w:spacing w:line="480" w:lineRule="auto"/>
              <w:jc w:val="center"/>
              <w:rPr>
                <w:rFonts w:ascii="黑体" w:hAnsi="黑体" w:eastAsia="黑体"/>
                <w:color w:val="auto"/>
                <w:szCs w:val="21"/>
              </w:rPr>
            </w:pPr>
          </w:p>
        </w:tc>
      </w:tr>
    </w:tbl>
    <w:p w14:paraId="0F1109F6">
      <w:pPr>
        <w:pStyle w:val="9"/>
        <w:overflowPunct w:val="0"/>
        <w:spacing w:before="156" w:beforeLines="50" w:after="0" w:line="360" w:lineRule="auto"/>
        <w:rPr>
          <w:rFonts w:ascii="黑体" w:hAnsi="黑体" w:eastAsia="黑体"/>
          <w:color w:val="auto"/>
          <w:szCs w:val="21"/>
        </w:rPr>
      </w:pPr>
    </w:p>
    <w:p w14:paraId="28D838C9">
      <w:pPr>
        <w:pStyle w:val="9"/>
        <w:overflowPunct w:val="0"/>
        <w:spacing w:before="156" w:beforeLines="50" w:after="0" w:line="360" w:lineRule="auto"/>
        <w:rPr>
          <w:rFonts w:ascii="黑体" w:hAnsi="黑体" w:eastAsia="黑体"/>
          <w:color w:val="auto"/>
          <w:szCs w:val="21"/>
        </w:rPr>
      </w:pPr>
      <w:r>
        <w:rPr>
          <w:rFonts w:hint="eastAsia" w:ascii="黑体" w:hAnsi="黑体" w:eastAsia="黑体"/>
          <w:color w:val="auto"/>
          <w:szCs w:val="21"/>
        </w:rPr>
        <w:t>注明：需提供证明资料内容详见</w:t>
      </w:r>
      <w:r>
        <w:rPr>
          <w:rFonts w:hint="eastAsia" w:ascii="黑体" w:hAnsi="黑体" w:eastAsia="黑体"/>
          <w:color w:val="auto"/>
          <w:szCs w:val="21"/>
          <w:u w:val="single"/>
        </w:rPr>
        <w:t>（招标文件第五部分</w:t>
      </w:r>
      <w:r>
        <w:rPr>
          <w:rFonts w:ascii="黑体" w:hAnsi="黑体" w:eastAsia="黑体"/>
          <w:color w:val="auto"/>
          <w:szCs w:val="21"/>
          <w:u w:val="single"/>
        </w:rPr>
        <w:t xml:space="preserve"> </w:t>
      </w:r>
      <w:r>
        <w:rPr>
          <w:rFonts w:hint="eastAsia" w:ascii="黑体" w:hAnsi="黑体" w:eastAsia="黑体"/>
          <w:color w:val="auto"/>
          <w:szCs w:val="21"/>
          <w:u w:val="single"/>
        </w:rPr>
        <w:t>评标方法、步骤、标准之</w:t>
      </w:r>
      <w:r>
        <w:rPr>
          <w:rFonts w:hint="eastAsia" w:ascii="黑体" w:hAnsi="黑体" w:eastAsia="黑体"/>
          <w:color w:val="auto"/>
          <w:kern w:val="0"/>
          <w:szCs w:val="21"/>
          <w:u w:val="single"/>
        </w:rPr>
        <w:t>附表三</w:t>
      </w:r>
      <w:r>
        <w:rPr>
          <w:rFonts w:hint="eastAsia" w:ascii="黑体" w:hAnsi="黑体" w:eastAsia="黑体"/>
          <w:color w:val="auto"/>
          <w:szCs w:val="21"/>
          <w:u w:val="single"/>
        </w:rPr>
        <w:t>详细评审表相对应条款）</w:t>
      </w:r>
      <w:r>
        <w:rPr>
          <w:rFonts w:ascii="黑体" w:hAnsi="黑体" w:eastAsia="黑体"/>
          <w:color w:val="auto"/>
          <w:szCs w:val="21"/>
          <w:u w:val="single"/>
        </w:rPr>
        <w:t xml:space="preserve"> </w:t>
      </w:r>
      <w:r>
        <w:rPr>
          <w:rFonts w:hint="eastAsia" w:ascii="黑体" w:hAnsi="黑体" w:eastAsia="黑体"/>
          <w:color w:val="auto"/>
          <w:szCs w:val="21"/>
        </w:rPr>
        <w:t>。</w:t>
      </w:r>
    </w:p>
    <w:p w14:paraId="37DDBCB2">
      <w:pPr>
        <w:spacing w:line="360" w:lineRule="auto"/>
        <w:rPr>
          <w:rFonts w:ascii="黑体" w:hAnsi="黑体" w:eastAsia="黑体"/>
          <w:color w:val="auto"/>
        </w:rPr>
      </w:pPr>
    </w:p>
    <w:p w14:paraId="17D9BFA3">
      <w:pPr>
        <w:spacing w:line="360" w:lineRule="auto"/>
        <w:rPr>
          <w:rFonts w:ascii="黑体" w:hAnsi="黑体" w:eastAsia="黑体"/>
          <w:color w:val="auto"/>
        </w:rPr>
      </w:pPr>
    </w:p>
    <w:p w14:paraId="3EA26F9B">
      <w:pPr>
        <w:spacing w:line="360" w:lineRule="auto"/>
        <w:rPr>
          <w:rFonts w:ascii="黑体" w:hAnsi="黑体" w:eastAsia="黑体"/>
          <w:color w:val="auto"/>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4900D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E37AEBA">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3A2CC258">
            <w:pPr>
              <w:spacing w:line="360" w:lineRule="auto"/>
              <w:rPr>
                <w:rFonts w:ascii="黑体" w:hAnsi="黑体" w:eastAsia="黑体"/>
                <w:color w:val="auto"/>
                <w:szCs w:val="21"/>
              </w:rPr>
            </w:pPr>
          </w:p>
        </w:tc>
      </w:tr>
      <w:tr w14:paraId="4CDE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530E330D">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56932E01">
            <w:pPr>
              <w:spacing w:line="360" w:lineRule="auto"/>
              <w:rPr>
                <w:rFonts w:ascii="黑体" w:hAnsi="黑体" w:eastAsia="黑体"/>
                <w:color w:val="auto"/>
                <w:szCs w:val="21"/>
              </w:rPr>
            </w:pPr>
          </w:p>
        </w:tc>
      </w:tr>
    </w:tbl>
    <w:p w14:paraId="319958E1">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103" w:name="_Toc405313975"/>
      <w:bookmarkStart w:id="104" w:name="_Toc391627771"/>
      <w:r>
        <w:rPr>
          <w:rFonts w:hint="eastAsia" w:ascii="黑体" w:hAnsi="黑体" w:eastAsia="黑体"/>
          <w:b/>
          <w:bCs/>
          <w:color w:val="auto"/>
        </w:rPr>
        <w:t>项目负责人简历表</w:t>
      </w:r>
      <w:bookmarkEnd w:id="103"/>
      <w:bookmarkEnd w:id="104"/>
    </w:p>
    <w:p w14:paraId="2BC85653">
      <w:pPr>
        <w:spacing w:before="468" w:beforeLines="15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项目负责人简历表</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746"/>
        <w:gridCol w:w="1361"/>
        <w:gridCol w:w="326"/>
        <w:gridCol w:w="184"/>
        <w:gridCol w:w="842"/>
        <w:gridCol w:w="544"/>
        <w:gridCol w:w="14"/>
        <w:gridCol w:w="1129"/>
        <w:gridCol w:w="435"/>
        <w:gridCol w:w="647"/>
        <w:gridCol w:w="409"/>
        <w:gridCol w:w="1396"/>
      </w:tblGrid>
      <w:tr w14:paraId="4B09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19" w:type="pct"/>
            <w:vAlign w:val="center"/>
          </w:tcPr>
          <w:p w14:paraId="4ED9D8A8">
            <w:pPr>
              <w:jc w:val="center"/>
              <w:rPr>
                <w:rFonts w:ascii="黑体" w:hAnsi="黑体" w:eastAsia="黑体"/>
                <w:color w:val="auto"/>
                <w:szCs w:val="21"/>
              </w:rPr>
            </w:pPr>
            <w:r>
              <w:rPr>
                <w:rFonts w:hint="eastAsia" w:ascii="黑体" w:hAnsi="黑体" w:eastAsia="黑体"/>
                <w:color w:val="auto"/>
                <w:szCs w:val="21"/>
              </w:rPr>
              <w:t>姓名</w:t>
            </w:r>
          </w:p>
        </w:tc>
        <w:tc>
          <w:tcPr>
            <w:tcW w:w="1493" w:type="pct"/>
            <w:gridSpan w:val="4"/>
            <w:vAlign w:val="center"/>
          </w:tcPr>
          <w:p w14:paraId="1D8872D6">
            <w:pPr>
              <w:jc w:val="center"/>
              <w:rPr>
                <w:rFonts w:ascii="黑体" w:hAnsi="黑体" w:eastAsia="黑体"/>
                <w:color w:val="auto"/>
                <w:szCs w:val="21"/>
              </w:rPr>
            </w:pPr>
          </w:p>
        </w:tc>
        <w:tc>
          <w:tcPr>
            <w:tcW w:w="480" w:type="pct"/>
            <w:vAlign w:val="center"/>
          </w:tcPr>
          <w:p w14:paraId="234FAB9E">
            <w:pPr>
              <w:jc w:val="center"/>
              <w:rPr>
                <w:rFonts w:ascii="黑体" w:hAnsi="黑体" w:eastAsia="黑体"/>
                <w:color w:val="auto"/>
                <w:szCs w:val="21"/>
              </w:rPr>
            </w:pPr>
            <w:r>
              <w:rPr>
                <w:rFonts w:hint="eastAsia" w:ascii="黑体" w:hAnsi="黑体" w:eastAsia="黑体"/>
                <w:color w:val="auto"/>
                <w:szCs w:val="21"/>
              </w:rPr>
              <w:t>性别</w:t>
            </w:r>
          </w:p>
        </w:tc>
        <w:tc>
          <w:tcPr>
            <w:tcW w:w="962" w:type="pct"/>
            <w:gridSpan w:val="3"/>
            <w:vAlign w:val="center"/>
          </w:tcPr>
          <w:p w14:paraId="5160AAE7">
            <w:pPr>
              <w:jc w:val="center"/>
              <w:rPr>
                <w:rFonts w:ascii="黑体" w:hAnsi="黑体" w:eastAsia="黑体"/>
                <w:color w:val="auto"/>
                <w:szCs w:val="21"/>
              </w:rPr>
            </w:pPr>
          </w:p>
        </w:tc>
        <w:tc>
          <w:tcPr>
            <w:tcW w:w="617" w:type="pct"/>
            <w:gridSpan w:val="2"/>
            <w:vAlign w:val="center"/>
          </w:tcPr>
          <w:p w14:paraId="7A24A155">
            <w:pPr>
              <w:jc w:val="center"/>
              <w:rPr>
                <w:rFonts w:ascii="黑体" w:hAnsi="黑体" w:eastAsia="黑体"/>
                <w:color w:val="auto"/>
                <w:szCs w:val="21"/>
              </w:rPr>
            </w:pPr>
            <w:r>
              <w:rPr>
                <w:rFonts w:hint="eastAsia" w:ascii="黑体" w:hAnsi="黑体" w:eastAsia="黑体"/>
                <w:color w:val="auto"/>
                <w:szCs w:val="21"/>
              </w:rPr>
              <w:t>年龄</w:t>
            </w:r>
          </w:p>
        </w:tc>
        <w:tc>
          <w:tcPr>
            <w:tcW w:w="1030" w:type="pct"/>
            <w:gridSpan w:val="2"/>
            <w:vAlign w:val="center"/>
          </w:tcPr>
          <w:p w14:paraId="6F8201D1">
            <w:pPr>
              <w:jc w:val="center"/>
              <w:rPr>
                <w:rFonts w:ascii="黑体" w:hAnsi="黑体" w:eastAsia="黑体"/>
                <w:color w:val="auto"/>
                <w:szCs w:val="21"/>
              </w:rPr>
            </w:pPr>
          </w:p>
        </w:tc>
      </w:tr>
      <w:tr w14:paraId="6899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19" w:type="pct"/>
            <w:vAlign w:val="center"/>
          </w:tcPr>
          <w:p w14:paraId="6EB9F44E">
            <w:pPr>
              <w:jc w:val="center"/>
              <w:rPr>
                <w:rFonts w:ascii="黑体" w:hAnsi="黑体" w:eastAsia="黑体"/>
                <w:color w:val="auto"/>
                <w:szCs w:val="21"/>
              </w:rPr>
            </w:pPr>
            <w:r>
              <w:rPr>
                <w:rFonts w:hint="eastAsia" w:ascii="黑体" w:hAnsi="黑体" w:eastAsia="黑体"/>
                <w:color w:val="auto"/>
                <w:szCs w:val="21"/>
              </w:rPr>
              <w:t>职务</w:t>
            </w:r>
          </w:p>
        </w:tc>
        <w:tc>
          <w:tcPr>
            <w:tcW w:w="1493" w:type="pct"/>
            <w:gridSpan w:val="4"/>
            <w:vAlign w:val="center"/>
          </w:tcPr>
          <w:p w14:paraId="568261E8">
            <w:pPr>
              <w:jc w:val="center"/>
              <w:rPr>
                <w:rFonts w:ascii="黑体" w:hAnsi="黑体" w:eastAsia="黑体"/>
                <w:color w:val="auto"/>
                <w:szCs w:val="21"/>
              </w:rPr>
            </w:pPr>
          </w:p>
        </w:tc>
        <w:tc>
          <w:tcPr>
            <w:tcW w:w="480" w:type="pct"/>
            <w:vAlign w:val="center"/>
          </w:tcPr>
          <w:p w14:paraId="137B03A8">
            <w:pPr>
              <w:jc w:val="center"/>
              <w:rPr>
                <w:rFonts w:ascii="黑体" w:hAnsi="黑体" w:eastAsia="黑体"/>
                <w:color w:val="auto"/>
                <w:szCs w:val="21"/>
              </w:rPr>
            </w:pPr>
            <w:r>
              <w:rPr>
                <w:rFonts w:hint="eastAsia" w:ascii="黑体" w:hAnsi="黑体" w:eastAsia="黑体"/>
                <w:color w:val="auto"/>
                <w:szCs w:val="21"/>
              </w:rPr>
              <w:t>职称</w:t>
            </w:r>
          </w:p>
        </w:tc>
        <w:tc>
          <w:tcPr>
            <w:tcW w:w="962" w:type="pct"/>
            <w:gridSpan w:val="3"/>
            <w:vAlign w:val="center"/>
          </w:tcPr>
          <w:p w14:paraId="2F28B4AD">
            <w:pPr>
              <w:jc w:val="center"/>
              <w:rPr>
                <w:rFonts w:ascii="黑体" w:hAnsi="黑体" w:eastAsia="黑体"/>
                <w:color w:val="auto"/>
                <w:szCs w:val="21"/>
              </w:rPr>
            </w:pPr>
          </w:p>
        </w:tc>
        <w:tc>
          <w:tcPr>
            <w:tcW w:w="617" w:type="pct"/>
            <w:gridSpan w:val="2"/>
            <w:vAlign w:val="center"/>
          </w:tcPr>
          <w:p w14:paraId="71B71E96">
            <w:pPr>
              <w:jc w:val="center"/>
              <w:rPr>
                <w:rFonts w:ascii="黑体" w:hAnsi="黑体" w:eastAsia="黑体"/>
                <w:color w:val="auto"/>
                <w:szCs w:val="21"/>
              </w:rPr>
            </w:pPr>
            <w:r>
              <w:rPr>
                <w:rFonts w:hint="eastAsia" w:ascii="黑体" w:hAnsi="黑体" w:eastAsia="黑体"/>
                <w:color w:val="auto"/>
                <w:szCs w:val="21"/>
              </w:rPr>
              <w:t>学历</w:t>
            </w:r>
          </w:p>
        </w:tc>
        <w:tc>
          <w:tcPr>
            <w:tcW w:w="1030" w:type="pct"/>
            <w:gridSpan w:val="2"/>
            <w:vAlign w:val="center"/>
          </w:tcPr>
          <w:p w14:paraId="6055C23A">
            <w:pPr>
              <w:jc w:val="center"/>
              <w:rPr>
                <w:rFonts w:ascii="黑体" w:hAnsi="黑体" w:eastAsia="黑体"/>
                <w:color w:val="auto"/>
                <w:szCs w:val="21"/>
              </w:rPr>
            </w:pPr>
          </w:p>
        </w:tc>
      </w:tr>
      <w:tr w14:paraId="78252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21" w:type="pct"/>
            <w:gridSpan w:val="3"/>
            <w:vAlign w:val="center"/>
          </w:tcPr>
          <w:p w14:paraId="53AF98F0">
            <w:pPr>
              <w:jc w:val="center"/>
              <w:rPr>
                <w:rFonts w:ascii="黑体" w:hAnsi="黑体" w:eastAsia="黑体"/>
                <w:color w:val="auto"/>
                <w:szCs w:val="21"/>
              </w:rPr>
            </w:pPr>
            <w:r>
              <w:rPr>
                <w:rFonts w:hint="eastAsia" w:ascii="黑体" w:hAnsi="黑体" w:eastAsia="黑体"/>
                <w:color w:val="auto"/>
                <w:szCs w:val="21"/>
              </w:rPr>
              <w:t>参加工作时间</w:t>
            </w:r>
          </w:p>
        </w:tc>
        <w:tc>
          <w:tcPr>
            <w:tcW w:w="1081" w:type="pct"/>
            <w:gridSpan w:val="4"/>
            <w:vAlign w:val="center"/>
          </w:tcPr>
          <w:p w14:paraId="55310946">
            <w:pPr>
              <w:jc w:val="center"/>
              <w:rPr>
                <w:rFonts w:ascii="黑体" w:hAnsi="黑体" w:eastAsia="黑体"/>
                <w:color w:val="auto"/>
                <w:szCs w:val="21"/>
              </w:rPr>
            </w:pPr>
          </w:p>
        </w:tc>
        <w:tc>
          <w:tcPr>
            <w:tcW w:w="1502" w:type="pct"/>
            <w:gridSpan w:val="5"/>
            <w:vAlign w:val="center"/>
          </w:tcPr>
          <w:p w14:paraId="0E332EA6">
            <w:pPr>
              <w:jc w:val="center"/>
              <w:rPr>
                <w:rFonts w:ascii="黑体" w:hAnsi="黑体" w:eastAsia="黑体"/>
                <w:color w:val="auto"/>
                <w:szCs w:val="21"/>
              </w:rPr>
            </w:pPr>
            <w:r>
              <w:rPr>
                <w:rFonts w:hint="eastAsia" w:ascii="黑体" w:hAnsi="黑体" w:eastAsia="黑体"/>
                <w:color w:val="auto"/>
                <w:szCs w:val="21"/>
              </w:rPr>
              <w:t>相关经验年限</w:t>
            </w:r>
          </w:p>
        </w:tc>
        <w:tc>
          <w:tcPr>
            <w:tcW w:w="796" w:type="pct"/>
            <w:vAlign w:val="center"/>
          </w:tcPr>
          <w:p w14:paraId="3D37AC22">
            <w:pPr>
              <w:jc w:val="center"/>
              <w:rPr>
                <w:rFonts w:ascii="黑体" w:hAnsi="黑体" w:eastAsia="黑体"/>
                <w:color w:val="auto"/>
                <w:szCs w:val="21"/>
              </w:rPr>
            </w:pPr>
          </w:p>
        </w:tc>
      </w:tr>
      <w:tr w14:paraId="113B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621" w:type="pct"/>
            <w:gridSpan w:val="3"/>
            <w:vAlign w:val="center"/>
          </w:tcPr>
          <w:p w14:paraId="04AC1CA2">
            <w:pPr>
              <w:jc w:val="center"/>
              <w:rPr>
                <w:rFonts w:ascii="黑体" w:hAnsi="黑体" w:eastAsia="黑体"/>
                <w:color w:val="auto"/>
                <w:szCs w:val="21"/>
              </w:rPr>
            </w:pPr>
            <w:r>
              <w:rPr>
                <w:rFonts w:hint="eastAsia" w:ascii="黑体" w:hAnsi="黑体" w:eastAsia="黑体"/>
                <w:color w:val="auto"/>
                <w:szCs w:val="21"/>
              </w:rPr>
              <w:t>资格证书名称、编号</w:t>
            </w:r>
          </w:p>
        </w:tc>
        <w:tc>
          <w:tcPr>
            <w:tcW w:w="3379" w:type="pct"/>
            <w:gridSpan w:val="10"/>
            <w:vAlign w:val="center"/>
          </w:tcPr>
          <w:p w14:paraId="5933AD08">
            <w:pPr>
              <w:jc w:val="center"/>
              <w:rPr>
                <w:rFonts w:ascii="黑体" w:hAnsi="黑体" w:eastAsia="黑体"/>
                <w:color w:val="auto"/>
                <w:szCs w:val="21"/>
              </w:rPr>
            </w:pPr>
          </w:p>
        </w:tc>
      </w:tr>
      <w:tr w14:paraId="5F07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14:paraId="2231A338">
            <w:pPr>
              <w:jc w:val="center"/>
              <w:rPr>
                <w:rFonts w:ascii="黑体" w:hAnsi="黑体" w:eastAsia="黑体"/>
                <w:color w:val="auto"/>
                <w:szCs w:val="21"/>
              </w:rPr>
            </w:pPr>
            <w:r>
              <w:rPr>
                <w:rFonts w:hint="eastAsia" w:ascii="黑体" w:hAnsi="黑体" w:eastAsia="黑体"/>
                <w:color w:val="auto"/>
                <w:szCs w:val="21"/>
              </w:rPr>
              <w:t>目前在任及以往服务项目情况</w:t>
            </w:r>
          </w:p>
        </w:tc>
      </w:tr>
      <w:tr w14:paraId="6CB6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45" w:type="pct"/>
            <w:gridSpan w:val="2"/>
            <w:vAlign w:val="center"/>
          </w:tcPr>
          <w:p w14:paraId="2C068CF8">
            <w:pPr>
              <w:jc w:val="center"/>
              <w:rPr>
                <w:rFonts w:ascii="黑体" w:hAnsi="黑体" w:eastAsia="黑体"/>
                <w:color w:val="auto"/>
                <w:szCs w:val="21"/>
              </w:rPr>
            </w:pPr>
            <w:r>
              <w:rPr>
                <w:rFonts w:hint="eastAsia" w:ascii="黑体" w:hAnsi="黑体" w:eastAsia="黑体"/>
                <w:color w:val="auto"/>
                <w:szCs w:val="21"/>
              </w:rPr>
              <w:t>采购人</w:t>
            </w:r>
          </w:p>
        </w:tc>
        <w:tc>
          <w:tcPr>
            <w:tcW w:w="962" w:type="pct"/>
            <w:gridSpan w:val="2"/>
            <w:vAlign w:val="center"/>
          </w:tcPr>
          <w:p w14:paraId="04D6FFFE">
            <w:pPr>
              <w:jc w:val="center"/>
              <w:rPr>
                <w:rFonts w:ascii="黑体" w:hAnsi="黑体" w:eastAsia="黑体"/>
                <w:color w:val="auto"/>
                <w:szCs w:val="21"/>
              </w:rPr>
            </w:pPr>
            <w:r>
              <w:rPr>
                <w:rFonts w:hint="eastAsia" w:ascii="黑体" w:hAnsi="黑体" w:eastAsia="黑体"/>
                <w:color w:val="auto"/>
                <w:szCs w:val="21"/>
              </w:rPr>
              <w:t>项目名称</w:t>
            </w:r>
          </w:p>
        </w:tc>
        <w:tc>
          <w:tcPr>
            <w:tcW w:w="903" w:type="pct"/>
            <w:gridSpan w:val="4"/>
            <w:vAlign w:val="center"/>
          </w:tcPr>
          <w:p w14:paraId="27D650D9">
            <w:pPr>
              <w:jc w:val="center"/>
              <w:rPr>
                <w:rFonts w:ascii="黑体" w:hAnsi="黑体" w:eastAsia="黑体"/>
                <w:color w:val="auto"/>
                <w:szCs w:val="21"/>
              </w:rPr>
            </w:pPr>
            <w:r>
              <w:rPr>
                <w:rFonts w:hint="eastAsia" w:ascii="黑体" w:hAnsi="黑体" w:eastAsia="黑体"/>
                <w:color w:val="auto"/>
                <w:szCs w:val="21"/>
              </w:rPr>
              <w:t>项目规模</w:t>
            </w:r>
          </w:p>
        </w:tc>
        <w:tc>
          <w:tcPr>
            <w:tcW w:w="892" w:type="pct"/>
            <w:gridSpan w:val="2"/>
            <w:vAlign w:val="center"/>
          </w:tcPr>
          <w:p w14:paraId="38B669AD">
            <w:pPr>
              <w:jc w:val="center"/>
              <w:rPr>
                <w:rFonts w:ascii="黑体" w:hAnsi="黑体" w:eastAsia="黑体"/>
                <w:color w:val="auto"/>
                <w:szCs w:val="21"/>
              </w:rPr>
            </w:pPr>
            <w:r>
              <w:rPr>
                <w:rFonts w:hint="eastAsia" w:ascii="黑体" w:hAnsi="黑体" w:eastAsia="黑体"/>
                <w:color w:val="auto"/>
                <w:szCs w:val="21"/>
              </w:rPr>
              <w:t>所任职务</w:t>
            </w:r>
          </w:p>
        </w:tc>
        <w:tc>
          <w:tcPr>
            <w:tcW w:w="1399" w:type="pct"/>
            <w:gridSpan w:val="3"/>
            <w:vAlign w:val="center"/>
          </w:tcPr>
          <w:p w14:paraId="16EC605D">
            <w:pPr>
              <w:jc w:val="center"/>
              <w:rPr>
                <w:rFonts w:ascii="黑体" w:hAnsi="黑体" w:eastAsia="黑体"/>
                <w:color w:val="auto"/>
                <w:szCs w:val="21"/>
              </w:rPr>
            </w:pPr>
            <w:r>
              <w:rPr>
                <w:rFonts w:hint="eastAsia" w:ascii="黑体" w:hAnsi="黑体" w:eastAsia="黑体"/>
                <w:color w:val="auto"/>
                <w:szCs w:val="21"/>
              </w:rPr>
              <w:t>起止时间</w:t>
            </w:r>
          </w:p>
        </w:tc>
      </w:tr>
      <w:tr w14:paraId="11C57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14:paraId="186D2918">
            <w:pPr>
              <w:jc w:val="center"/>
              <w:rPr>
                <w:rFonts w:ascii="黑体" w:hAnsi="黑体" w:eastAsia="黑体"/>
                <w:color w:val="auto"/>
                <w:szCs w:val="21"/>
              </w:rPr>
            </w:pPr>
          </w:p>
        </w:tc>
        <w:tc>
          <w:tcPr>
            <w:tcW w:w="962" w:type="pct"/>
            <w:gridSpan w:val="2"/>
            <w:vAlign w:val="center"/>
          </w:tcPr>
          <w:p w14:paraId="0AD8A871">
            <w:pPr>
              <w:jc w:val="center"/>
              <w:rPr>
                <w:rFonts w:ascii="黑体" w:hAnsi="黑体" w:eastAsia="黑体"/>
                <w:color w:val="auto"/>
                <w:szCs w:val="21"/>
              </w:rPr>
            </w:pPr>
          </w:p>
        </w:tc>
        <w:tc>
          <w:tcPr>
            <w:tcW w:w="903" w:type="pct"/>
            <w:gridSpan w:val="4"/>
            <w:vAlign w:val="center"/>
          </w:tcPr>
          <w:p w14:paraId="2401EC94">
            <w:pPr>
              <w:jc w:val="center"/>
              <w:rPr>
                <w:rFonts w:ascii="黑体" w:hAnsi="黑体" w:eastAsia="黑体"/>
                <w:color w:val="auto"/>
                <w:szCs w:val="21"/>
              </w:rPr>
            </w:pPr>
          </w:p>
        </w:tc>
        <w:tc>
          <w:tcPr>
            <w:tcW w:w="892" w:type="pct"/>
            <w:gridSpan w:val="2"/>
            <w:vAlign w:val="center"/>
          </w:tcPr>
          <w:p w14:paraId="0FA5DEF0">
            <w:pPr>
              <w:jc w:val="center"/>
              <w:rPr>
                <w:rFonts w:ascii="黑体" w:hAnsi="黑体" w:eastAsia="黑体"/>
                <w:color w:val="auto"/>
                <w:szCs w:val="21"/>
              </w:rPr>
            </w:pPr>
          </w:p>
        </w:tc>
        <w:tc>
          <w:tcPr>
            <w:tcW w:w="1399" w:type="pct"/>
            <w:gridSpan w:val="3"/>
            <w:vAlign w:val="center"/>
          </w:tcPr>
          <w:p w14:paraId="36E4D729">
            <w:pPr>
              <w:jc w:val="center"/>
              <w:rPr>
                <w:rFonts w:ascii="黑体" w:hAnsi="黑体" w:eastAsia="黑体"/>
                <w:color w:val="auto"/>
                <w:szCs w:val="21"/>
              </w:rPr>
            </w:pPr>
          </w:p>
        </w:tc>
      </w:tr>
      <w:tr w14:paraId="00DD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14:paraId="4A37950E">
            <w:pPr>
              <w:jc w:val="center"/>
              <w:rPr>
                <w:rFonts w:ascii="黑体" w:hAnsi="黑体" w:eastAsia="黑体"/>
                <w:color w:val="auto"/>
                <w:szCs w:val="21"/>
              </w:rPr>
            </w:pPr>
          </w:p>
        </w:tc>
        <w:tc>
          <w:tcPr>
            <w:tcW w:w="962" w:type="pct"/>
            <w:gridSpan w:val="2"/>
            <w:vAlign w:val="center"/>
          </w:tcPr>
          <w:p w14:paraId="143CADC8">
            <w:pPr>
              <w:jc w:val="center"/>
              <w:rPr>
                <w:rFonts w:ascii="黑体" w:hAnsi="黑体" w:eastAsia="黑体"/>
                <w:color w:val="auto"/>
                <w:szCs w:val="21"/>
              </w:rPr>
            </w:pPr>
          </w:p>
        </w:tc>
        <w:tc>
          <w:tcPr>
            <w:tcW w:w="903" w:type="pct"/>
            <w:gridSpan w:val="4"/>
            <w:vAlign w:val="center"/>
          </w:tcPr>
          <w:p w14:paraId="6DE5C98B">
            <w:pPr>
              <w:jc w:val="center"/>
              <w:rPr>
                <w:rFonts w:ascii="黑体" w:hAnsi="黑体" w:eastAsia="黑体"/>
                <w:color w:val="auto"/>
                <w:szCs w:val="21"/>
              </w:rPr>
            </w:pPr>
          </w:p>
        </w:tc>
        <w:tc>
          <w:tcPr>
            <w:tcW w:w="892" w:type="pct"/>
            <w:gridSpan w:val="2"/>
            <w:vAlign w:val="center"/>
          </w:tcPr>
          <w:p w14:paraId="43BE0638">
            <w:pPr>
              <w:jc w:val="center"/>
              <w:rPr>
                <w:rFonts w:ascii="黑体" w:hAnsi="黑体" w:eastAsia="黑体"/>
                <w:color w:val="auto"/>
                <w:szCs w:val="21"/>
              </w:rPr>
            </w:pPr>
          </w:p>
        </w:tc>
        <w:tc>
          <w:tcPr>
            <w:tcW w:w="1399" w:type="pct"/>
            <w:gridSpan w:val="3"/>
            <w:vAlign w:val="center"/>
          </w:tcPr>
          <w:p w14:paraId="1BBB74FF">
            <w:pPr>
              <w:jc w:val="center"/>
              <w:rPr>
                <w:rFonts w:ascii="黑体" w:hAnsi="黑体" w:eastAsia="黑体"/>
                <w:color w:val="auto"/>
                <w:szCs w:val="21"/>
              </w:rPr>
            </w:pPr>
          </w:p>
        </w:tc>
      </w:tr>
      <w:tr w14:paraId="3D9E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14:paraId="4B6AEA36">
            <w:pPr>
              <w:jc w:val="center"/>
              <w:rPr>
                <w:rFonts w:ascii="黑体" w:hAnsi="黑体" w:eastAsia="黑体"/>
                <w:color w:val="auto"/>
                <w:szCs w:val="21"/>
              </w:rPr>
            </w:pPr>
          </w:p>
        </w:tc>
        <w:tc>
          <w:tcPr>
            <w:tcW w:w="962" w:type="pct"/>
            <w:gridSpan w:val="2"/>
            <w:vAlign w:val="center"/>
          </w:tcPr>
          <w:p w14:paraId="21CA339E">
            <w:pPr>
              <w:jc w:val="center"/>
              <w:rPr>
                <w:rFonts w:ascii="黑体" w:hAnsi="黑体" w:eastAsia="黑体"/>
                <w:color w:val="auto"/>
                <w:szCs w:val="21"/>
              </w:rPr>
            </w:pPr>
          </w:p>
        </w:tc>
        <w:tc>
          <w:tcPr>
            <w:tcW w:w="903" w:type="pct"/>
            <w:gridSpan w:val="4"/>
            <w:vAlign w:val="center"/>
          </w:tcPr>
          <w:p w14:paraId="5DEEFBE7">
            <w:pPr>
              <w:jc w:val="center"/>
              <w:rPr>
                <w:rFonts w:ascii="黑体" w:hAnsi="黑体" w:eastAsia="黑体"/>
                <w:color w:val="auto"/>
                <w:szCs w:val="21"/>
              </w:rPr>
            </w:pPr>
          </w:p>
        </w:tc>
        <w:tc>
          <w:tcPr>
            <w:tcW w:w="892" w:type="pct"/>
            <w:gridSpan w:val="2"/>
            <w:vAlign w:val="center"/>
          </w:tcPr>
          <w:p w14:paraId="65B9615C">
            <w:pPr>
              <w:jc w:val="center"/>
              <w:rPr>
                <w:rFonts w:ascii="黑体" w:hAnsi="黑体" w:eastAsia="黑体"/>
                <w:color w:val="auto"/>
                <w:szCs w:val="21"/>
              </w:rPr>
            </w:pPr>
          </w:p>
        </w:tc>
        <w:tc>
          <w:tcPr>
            <w:tcW w:w="1399" w:type="pct"/>
            <w:gridSpan w:val="3"/>
            <w:vAlign w:val="center"/>
          </w:tcPr>
          <w:p w14:paraId="225C9C6F">
            <w:pPr>
              <w:jc w:val="center"/>
              <w:rPr>
                <w:rFonts w:ascii="黑体" w:hAnsi="黑体" w:eastAsia="黑体"/>
                <w:color w:val="auto"/>
                <w:szCs w:val="21"/>
              </w:rPr>
            </w:pPr>
          </w:p>
        </w:tc>
      </w:tr>
      <w:tr w14:paraId="1621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jc w:val="center"/>
        </w:trPr>
        <w:tc>
          <w:tcPr>
            <w:tcW w:w="845" w:type="pct"/>
            <w:gridSpan w:val="2"/>
            <w:vAlign w:val="center"/>
          </w:tcPr>
          <w:p w14:paraId="03A92369">
            <w:pPr>
              <w:jc w:val="center"/>
              <w:rPr>
                <w:rFonts w:ascii="黑体" w:hAnsi="黑体" w:eastAsia="黑体"/>
                <w:color w:val="auto"/>
                <w:szCs w:val="21"/>
              </w:rPr>
            </w:pPr>
          </w:p>
        </w:tc>
        <w:tc>
          <w:tcPr>
            <w:tcW w:w="962" w:type="pct"/>
            <w:gridSpan w:val="2"/>
            <w:vAlign w:val="center"/>
          </w:tcPr>
          <w:p w14:paraId="2A0A0A65">
            <w:pPr>
              <w:jc w:val="center"/>
              <w:rPr>
                <w:rFonts w:ascii="黑体" w:hAnsi="黑体" w:eastAsia="黑体"/>
                <w:color w:val="auto"/>
                <w:szCs w:val="21"/>
              </w:rPr>
            </w:pPr>
          </w:p>
        </w:tc>
        <w:tc>
          <w:tcPr>
            <w:tcW w:w="903" w:type="pct"/>
            <w:gridSpan w:val="4"/>
            <w:vAlign w:val="center"/>
          </w:tcPr>
          <w:p w14:paraId="1AEA42A0">
            <w:pPr>
              <w:jc w:val="center"/>
              <w:rPr>
                <w:rFonts w:ascii="黑体" w:hAnsi="黑体" w:eastAsia="黑体"/>
                <w:color w:val="auto"/>
                <w:szCs w:val="21"/>
              </w:rPr>
            </w:pPr>
          </w:p>
        </w:tc>
        <w:tc>
          <w:tcPr>
            <w:tcW w:w="892" w:type="pct"/>
            <w:gridSpan w:val="2"/>
            <w:vAlign w:val="center"/>
          </w:tcPr>
          <w:p w14:paraId="05FE550B">
            <w:pPr>
              <w:jc w:val="center"/>
              <w:rPr>
                <w:rFonts w:ascii="黑体" w:hAnsi="黑体" w:eastAsia="黑体"/>
                <w:color w:val="auto"/>
                <w:szCs w:val="21"/>
              </w:rPr>
            </w:pPr>
          </w:p>
        </w:tc>
        <w:tc>
          <w:tcPr>
            <w:tcW w:w="1399" w:type="pct"/>
            <w:gridSpan w:val="3"/>
            <w:vAlign w:val="center"/>
          </w:tcPr>
          <w:p w14:paraId="40AFB705">
            <w:pPr>
              <w:jc w:val="center"/>
              <w:rPr>
                <w:rFonts w:ascii="黑体" w:hAnsi="黑体" w:eastAsia="黑体"/>
                <w:color w:val="auto"/>
                <w:szCs w:val="21"/>
              </w:rPr>
            </w:pPr>
          </w:p>
        </w:tc>
      </w:tr>
      <w:tr w14:paraId="2509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45" w:type="pct"/>
            <w:gridSpan w:val="2"/>
            <w:vAlign w:val="center"/>
          </w:tcPr>
          <w:p w14:paraId="6BCDCA98">
            <w:pPr>
              <w:jc w:val="center"/>
              <w:rPr>
                <w:rFonts w:ascii="黑体" w:hAnsi="黑体" w:eastAsia="黑体"/>
                <w:color w:val="auto"/>
                <w:szCs w:val="21"/>
              </w:rPr>
            </w:pPr>
          </w:p>
        </w:tc>
        <w:tc>
          <w:tcPr>
            <w:tcW w:w="962" w:type="pct"/>
            <w:gridSpan w:val="2"/>
            <w:vAlign w:val="center"/>
          </w:tcPr>
          <w:p w14:paraId="055D6D24">
            <w:pPr>
              <w:jc w:val="center"/>
              <w:rPr>
                <w:rFonts w:ascii="黑体" w:hAnsi="黑体" w:eastAsia="黑体"/>
                <w:color w:val="auto"/>
                <w:szCs w:val="21"/>
              </w:rPr>
            </w:pPr>
          </w:p>
        </w:tc>
        <w:tc>
          <w:tcPr>
            <w:tcW w:w="903" w:type="pct"/>
            <w:gridSpan w:val="4"/>
            <w:vAlign w:val="center"/>
          </w:tcPr>
          <w:p w14:paraId="0114095A">
            <w:pPr>
              <w:jc w:val="center"/>
              <w:rPr>
                <w:rFonts w:ascii="黑体" w:hAnsi="黑体" w:eastAsia="黑体"/>
                <w:color w:val="auto"/>
                <w:szCs w:val="21"/>
              </w:rPr>
            </w:pPr>
          </w:p>
        </w:tc>
        <w:tc>
          <w:tcPr>
            <w:tcW w:w="892" w:type="pct"/>
            <w:gridSpan w:val="2"/>
            <w:vAlign w:val="center"/>
          </w:tcPr>
          <w:p w14:paraId="70ACBCA9">
            <w:pPr>
              <w:jc w:val="center"/>
              <w:rPr>
                <w:rFonts w:ascii="黑体" w:hAnsi="黑体" w:eastAsia="黑体"/>
                <w:color w:val="auto"/>
                <w:szCs w:val="21"/>
              </w:rPr>
            </w:pPr>
          </w:p>
        </w:tc>
        <w:tc>
          <w:tcPr>
            <w:tcW w:w="1399" w:type="pct"/>
            <w:gridSpan w:val="3"/>
            <w:vAlign w:val="center"/>
          </w:tcPr>
          <w:p w14:paraId="0D648114">
            <w:pPr>
              <w:jc w:val="center"/>
              <w:rPr>
                <w:rFonts w:ascii="黑体" w:hAnsi="黑体" w:eastAsia="黑体"/>
                <w:color w:val="auto"/>
                <w:szCs w:val="21"/>
              </w:rPr>
            </w:pPr>
          </w:p>
        </w:tc>
      </w:tr>
    </w:tbl>
    <w:p w14:paraId="72847BA7">
      <w:pPr>
        <w:pStyle w:val="9"/>
        <w:overflowPunct w:val="0"/>
        <w:spacing w:before="156" w:beforeLines="50" w:after="0" w:line="360" w:lineRule="auto"/>
        <w:rPr>
          <w:rFonts w:ascii="黑体" w:hAnsi="黑体" w:eastAsia="黑体"/>
          <w:color w:val="auto"/>
          <w:szCs w:val="21"/>
        </w:rPr>
      </w:pPr>
      <w:r>
        <w:rPr>
          <w:rFonts w:hint="eastAsia" w:ascii="黑体" w:hAnsi="黑体" w:eastAsia="黑体"/>
          <w:color w:val="auto"/>
          <w:szCs w:val="21"/>
        </w:rPr>
        <w:t>注明：需提供证明资料内容详见</w:t>
      </w:r>
      <w:r>
        <w:rPr>
          <w:rFonts w:hint="eastAsia" w:ascii="黑体" w:hAnsi="黑体" w:eastAsia="黑体"/>
          <w:color w:val="auto"/>
          <w:szCs w:val="21"/>
          <w:u w:val="single"/>
        </w:rPr>
        <w:t>（招标文件第五部分</w:t>
      </w:r>
      <w:r>
        <w:rPr>
          <w:rFonts w:ascii="黑体" w:hAnsi="黑体" w:eastAsia="黑体"/>
          <w:color w:val="auto"/>
          <w:szCs w:val="21"/>
          <w:u w:val="single"/>
        </w:rPr>
        <w:t xml:space="preserve"> </w:t>
      </w:r>
      <w:r>
        <w:rPr>
          <w:rFonts w:hint="eastAsia" w:ascii="黑体" w:hAnsi="黑体" w:eastAsia="黑体"/>
          <w:color w:val="auto"/>
          <w:szCs w:val="21"/>
          <w:u w:val="single"/>
        </w:rPr>
        <w:t>评标方法、步骤、标准之</w:t>
      </w:r>
      <w:r>
        <w:rPr>
          <w:rFonts w:hint="eastAsia" w:ascii="黑体" w:hAnsi="黑体" w:eastAsia="黑体"/>
          <w:color w:val="auto"/>
          <w:kern w:val="0"/>
          <w:szCs w:val="21"/>
          <w:u w:val="single"/>
        </w:rPr>
        <w:t>附表三</w:t>
      </w:r>
      <w:r>
        <w:rPr>
          <w:rFonts w:hint="eastAsia" w:ascii="黑体" w:hAnsi="黑体" w:eastAsia="黑体"/>
          <w:color w:val="auto"/>
          <w:szCs w:val="21"/>
          <w:u w:val="single"/>
        </w:rPr>
        <w:t>详细评审表相对应条款）</w:t>
      </w:r>
      <w:r>
        <w:rPr>
          <w:rFonts w:ascii="黑体" w:hAnsi="黑体" w:eastAsia="黑体"/>
          <w:color w:val="auto"/>
          <w:szCs w:val="21"/>
          <w:u w:val="single"/>
        </w:rPr>
        <w:t xml:space="preserve"> </w:t>
      </w:r>
      <w:r>
        <w:rPr>
          <w:rFonts w:hint="eastAsia" w:ascii="黑体" w:hAnsi="黑体" w:eastAsia="黑体"/>
          <w:color w:val="auto"/>
          <w:szCs w:val="21"/>
        </w:rPr>
        <w:t>。</w:t>
      </w:r>
    </w:p>
    <w:p w14:paraId="6DF43697">
      <w:pPr>
        <w:spacing w:line="360" w:lineRule="auto"/>
        <w:rPr>
          <w:rFonts w:ascii="黑体" w:hAnsi="黑体" w:eastAsia="黑体"/>
          <w:color w:val="auto"/>
          <w:szCs w:val="21"/>
        </w:rPr>
      </w:pPr>
    </w:p>
    <w:p w14:paraId="7A23DAAF">
      <w:pPr>
        <w:spacing w:line="360" w:lineRule="auto"/>
        <w:rPr>
          <w:rFonts w:ascii="黑体" w:hAnsi="黑体" w:eastAsia="黑体"/>
          <w:color w:val="auto"/>
          <w:szCs w:val="21"/>
        </w:rPr>
      </w:pPr>
    </w:p>
    <w:p w14:paraId="68C9DD0B">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5B559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31F2D2E">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480D2B7C">
            <w:pPr>
              <w:spacing w:line="360" w:lineRule="auto"/>
              <w:rPr>
                <w:rFonts w:ascii="黑体" w:hAnsi="黑体" w:eastAsia="黑体"/>
                <w:color w:val="auto"/>
                <w:szCs w:val="21"/>
              </w:rPr>
            </w:pPr>
          </w:p>
        </w:tc>
      </w:tr>
      <w:tr w14:paraId="64353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4E4AC9C3">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035D69C5">
            <w:pPr>
              <w:spacing w:line="360" w:lineRule="auto"/>
              <w:rPr>
                <w:rFonts w:ascii="黑体" w:hAnsi="黑体" w:eastAsia="黑体"/>
                <w:color w:val="auto"/>
                <w:szCs w:val="21"/>
              </w:rPr>
            </w:pPr>
          </w:p>
        </w:tc>
      </w:tr>
    </w:tbl>
    <w:p w14:paraId="31A92C08">
      <w:pPr>
        <w:spacing w:line="360" w:lineRule="auto"/>
        <w:rPr>
          <w:rFonts w:ascii="黑体" w:hAnsi="黑体" w:eastAsia="黑体"/>
          <w:color w:val="auto"/>
          <w:szCs w:val="21"/>
        </w:rPr>
      </w:pPr>
    </w:p>
    <w:p w14:paraId="7BAEDAFC">
      <w:pPr>
        <w:spacing w:line="360" w:lineRule="auto"/>
        <w:rPr>
          <w:rFonts w:ascii="黑体" w:hAnsi="黑体" w:eastAsia="黑体"/>
          <w:color w:val="auto"/>
          <w:szCs w:val="21"/>
        </w:rPr>
      </w:pPr>
    </w:p>
    <w:p w14:paraId="1B6B934E">
      <w:pPr>
        <w:spacing w:line="360" w:lineRule="auto"/>
        <w:rPr>
          <w:rFonts w:ascii="黑体" w:hAnsi="黑体" w:eastAsia="黑体"/>
          <w:color w:val="auto"/>
          <w:szCs w:val="21"/>
        </w:rPr>
      </w:pPr>
    </w:p>
    <w:p w14:paraId="62B24BDC">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r>
        <w:rPr>
          <w:rFonts w:hint="eastAsia" w:ascii="黑体" w:hAnsi="黑体" w:eastAsia="黑体"/>
          <w:b/>
          <w:bCs/>
          <w:color w:val="auto"/>
        </w:rPr>
        <w:t>技术要求偏离表</w:t>
      </w:r>
    </w:p>
    <w:p w14:paraId="2B490D8A">
      <w:pPr>
        <w:spacing w:before="312" w:beforeLines="100" w:after="468" w:afterLines="15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技术要求偏离表</w:t>
      </w:r>
    </w:p>
    <w:tbl>
      <w:tblPr>
        <w:tblStyle w:val="20"/>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2352"/>
        <w:gridCol w:w="2126"/>
        <w:gridCol w:w="1644"/>
        <w:gridCol w:w="1575"/>
      </w:tblGrid>
      <w:tr w14:paraId="6C113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0" w:type="dxa"/>
            <w:vAlign w:val="center"/>
          </w:tcPr>
          <w:p w14:paraId="138BA476">
            <w:pPr>
              <w:jc w:val="center"/>
              <w:rPr>
                <w:rFonts w:ascii="黑体" w:hAnsi="黑体" w:eastAsia="黑体"/>
                <w:b/>
                <w:color w:val="auto"/>
                <w:szCs w:val="21"/>
              </w:rPr>
            </w:pPr>
            <w:r>
              <w:rPr>
                <w:rFonts w:hint="eastAsia" w:ascii="黑体" w:hAnsi="黑体" w:eastAsia="黑体"/>
                <w:b/>
                <w:color w:val="auto"/>
                <w:szCs w:val="21"/>
              </w:rPr>
              <w:t>序号</w:t>
            </w:r>
          </w:p>
        </w:tc>
        <w:tc>
          <w:tcPr>
            <w:tcW w:w="2352" w:type="dxa"/>
            <w:vAlign w:val="center"/>
          </w:tcPr>
          <w:p w14:paraId="1C984AE4">
            <w:pPr>
              <w:jc w:val="center"/>
              <w:rPr>
                <w:rFonts w:ascii="黑体" w:hAnsi="黑体" w:eastAsia="黑体"/>
                <w:b/>
                <w:color w:val="auto"/>
                <w:szCs w:val="21"/>
              </w:rPr>
            </w:pPr>
            <w:r>
              <w:rPr>
                <w:rFonts w:hint="eastAsia" w:ascii="黑体" w:hAnsi="黑体" w:eastAsia="黑体"/>
                <w:b/>
                <w:color w:val="auto"/>
                <w:szCs w:val="21"/>
              </w:rPr>
              <w:t>招标文件要求</w:t>
            </w:r>
          </w:p>
        </w:tc>
        <w:tc>
          <w:tcPr>
            <w:tcW w:w="2126" w:type="dxa"/>
            <w:vAlign w:val="center"/>
          </w:tcPr>
          <w:p w14:paraId="583B629B">
            <w:pPr>
              <w:jc w:val="center"/>
              <w:rPr>
                <w:rFonts w:ascii="黑体" w:hAnsi="黑体" w:eastAsia="黑体"/>
                <w:b/>
                <w:color w:val="auto"/>
                <w:szCs w:val="21"/>
              </w:rPr>
            </w:pPr>
            <w:r>
              <w:rPr>
                <w:rFonts w:hint="eastAsia" w:ascii="黑体" w:hAnsi="黑体" w:eastAsia="黑体"/>
                <w:b/>
                <w:bCs/>
                <w:color w:val="auto"/>
                <w:szCs w:val="21"/>
              </w:rPr>
              <w:t>投标文件响应内容</w:t>
            </w:r>
          </w:p>
        </w:tc>
        <w:tc>
          <w:tcPr>
            <w:tcW w:w="1644" w:type="dxa"/>
            <w:vAlign w:val="center"/>
          </w:tcPr>
          <w:p w14:paraId="20A39D19">
            <w:pPr>
              <w:ind w:left="293" w:hanging="293" w:hangingChars="139"/>
              <w:jc w:val="center"/>
              <w:rPr>
                <w:rFonts w:ascii="黑体" w:hAnsi="黑体" w:eastAsia="黑体"/>
                <w:b/>
                <w:color w:val="auto"/>
                <w:szCs w:val="21"/>
              </w:rPr>
            </w:pPr>
            <w:r>
              <w:rPr>
                <w:rFonts w:hint="eastAsia" w:ascii="黑体" w:hAnsi="黑体" w:eastAsia="黑体"/>
                <w:b/>
                <w:color w:val="auto"/>
                <w:szCs w:val="21"/>
              </w:rPr>
              <w:t>偏离情况</w:t>
            </w:r>
          </w:p>
        </w:tc>
        <w:tc>
          <w:tcPr>
            <w:tcW w:w="1575" w:type="dxa"/>
            <w:vAlign w:val="center"/>
          </w:tcPr>
          <w:p w14:paraId="7FEE4CE0">
            <w:pPr>
              <w:jc w:val="center"/>
              <w:rPr>
                <w:rFonts w:ascii="黑体" w:hAnsi="黑体" w:eastAsia="黑体"/>
                <w:b/>
                <w:color w:val="auto"/>
                <w:szCs w:val="21"/>
              </w:rPr>
            </w:pPr>
            <w:r>
              <w:rPr>
                <w:rFonts w:hint="eastAsia" w:ascii="黑体" w:hAnsi="黑体" w:eastAsia="黑体"/>
                <w:b/>
                <w:color w:val="auto"/>
                <w:szCs w:val="21"/>
              </w:rPr>
              <w:t>说明</w:t>
            </w:r>
          </w:p>
        </w:tc>
      </w:tr>
      <w:tr w14:paraId="34AE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20" w:type="dxa"/>
            <w:vAlign w:val="center"/>
          </w:tcPr>
          <w:p w14:paraId="3F1F9BC7">
            <w:pPr>
              <w:spacing w:line="360" w:lineRule="auto"/>
              <w:jc w:val="center"/>
              <w:rPr>
                <w:rFonts w:ascii="黑体" w:hAnsi="黑体" w:eastAsia="黑体"/>
                <w:color w:val="auto"/>
                <w:szCs w:val="21"/>
              </w:rPr>
            </w:pPr>
          </w:p>
        </w:tc>
        <w:tc>
          <w:tcPr>
            <w:tcW w:w="2352" w:type="dxa"/>
            <w:vAlign w:val="center"/>
          </w:tcPr>
          <w:p w14:paraId="198A8C7B">
            <w:pPr>
              <w:spacing w:line="360" w:lineRule="auto"/>
              <w:jc w:val="center"/>
              <w:rPr>
                <w:rFonts w:ascii="黑体" w:hAnsi="黑体" w:eastAsia="黑体"/>
                <w:color w:val="auto"/>
                <w:szCs w:val="21"/>
              </w:rPr>
            </w:pPr>
          </w:p>
        </w:tc>
        <w:tc>
          <w:tcPr>
            <w:tcW w:w="2126" w:type="dxa"/>
            <w:vAlign w:val="center"/>
          </w:tcPr>
          <w:p w14:paraId="2D924867">
            <w:pPr>
              <w:spacing w:line="360" w:lineRule="auto"/>
              <w:jc w:val="center"/>
              <w:rPr>
                <w:rFonts w:ascii="黑体" w:hAnsi="黑体" w:eastAsia="黑体"/>
                <w:color w:val="auto"/>
                <w:szCs w:val="21"/>
              </w:rPr>
            </w:pPr>
          </w:p>
        </w:tc>
        <w:tc>
          <w:tcPr>
            <w:tcW w:w="1644" w:type="dxa"/>
            <w:vAlign w:val="center"/>
          </w:tcPr>
          <w:p w14:paraId="61E412BD">
            <w:pPr>
              <w:spacing w:line="360" w:lineRule="auto"/>
              <w:jc w:val="center"/>
              <w:rPr>
                <w:rFonts w:ascii="黑体" w:hAnsi="黑体" w:eastAsia="黑体"/>
                <w:color w:val="auto"/>
                <w:szCs w:val="21"/>
              </w:rPr>
            </w:pPr>
          </w:p>
        </w:tc>
        <w:tc>
          <w:tcPr>
            <w:tcW w:w="1575" w:type="dxa"/>
            <w:vAlign w:val="center"/>
          </w:tcPr>
          <w:p w14:paraId="0844BA96">
            <w:pPr>
              <w:spacing w:line="360" w:lineRule="auto"/>
              <w:jc w:val="center"/>
              <w:rPr>
                <w:rFonts w:ascii="黑体" w:hAnsi="黑体" w:eastAsia="黑体"/>
                <w:color w:val="auto"/>
                <w:szCs w:val="21"/>
              </w:rPr>
            </w:pPr>
          </w:p>
        </w:tc>
      </w:tr>
      <w:tr w14:paraId="7983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20" w:type="dxa"/>
            <w:vAlign w:val="center"/>
          </w:tcPr>
          <w:p w14:paraId="7DA6EF82">
            <w:pPr>
              <w:spacing w:line="360" w:lineRule="auto"/>
              <w:jc w:val="center"/>
              <w:rPr>
                <w:rFonts w:ascii="黑体" w:hAnsi="黑体" w:eastAsia="黑体"/>
                <w:color w:val="auto"/>
                <w:szCs w:val="21"/>
              </w:rPr>
            </w:pPr>
          </w:p>
        </w:tc>
        <w:tc>
          <w:tcPr>
            <w:tcW w:w="2352" w:type="dxa"/>
            <w:vAlign w:val="center"/>
          </w:tcPr>
          <w:p w14:paraId="773E9F28">
            <w:pPr>
              <w:spacing w:line="360" w:lineRule="auto"/>
              <w:jc w:val="center"/>
              <w:rPr>
                <w:rFonts w:ascii="黑体" w:hAnsi="黑体" w:eastAsia="黑体"/>
                <w:color w:val="auto"/>
                <w:szCs w:val="21"/>
              </w:rPr>
            </w:pPr>
          </w:p>
        </w:tc>
        <w:tc>
          <w:tcPr>
            <w:tcW w:w="2126" w:type="dxa"/>
            <w:vAlign w:val="center"/>
          </w:tcPr>
          <w:p w14:paraId="19D7DF44">
            <w:pPr>
              <w:spacing w:line="360" w:lineRule="auto"/>
              <w:jc w:val="center"/>
              <w:rPr>
                <w:rFonts w:ascii="黑体" w:hAnsi="黑体" w:eastAsia="黑体"/>
                <w:color w:val="auto"/>
                <w:szCs w:val="21"/>
              </w:rPr>
            </w:pPr>
          </w:p>
        </w:tc>
        <w:tc>
          <w:tcPr>
            <w:tcW w:w="1644" w:type="dxa"/>
            <w:vAlign w:val="center"/>
          </w:tcPr>
          <w:p w14:paraId="042CE676">
            <w:pPr>
              <w:spacing w:line="360" w:lineRule="auto"/>
              <w:jc w:val="center"/>
              <w:rPr>
                <w:rFonts w:ascii="黑体" w:hAnsi="黑体" w:eastAsia="黑体"/>
                <w:color w:val="auto"/>
                <w:szCs w:val="21"/>
              </w:rPr>
            </w:pPr>
          </w:p>
        </w:tc>
        <w:tc>
          <w:tcPr>
            <w:tcW w:w="1575" w:type="dxa"/>
            <w:vAlign w:val="center"/>
          </w:tcPr>
          <w:p w14:paraId="0E6A2D6E">
            <w:pPr>
              <w:spacing w:line="360" w:lineRule="auto"/>
              <w:jc w:val="center"/>
              <w:rPr>
                <w:rFonts w:ascii="黑体" w:hAnsi="黑体" w:eastAsia="黑体"/>
                <w:color w:val="auto"/>
                <w:szCs w:val="21"/>
              </w:rPr>
            </w:pPr>
          </w:p>
        </w:tc>
      </w:tr>
      <w:tr w14:paraId="2221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20" w:type="dxa"/>
            <w:vAlign w:val="center"/>
          </w:tcPr>
          <w:p w14:paraId="04E4B3AC">
            <w:pPr>
              <w:spacing w:line="360" w:lineRule="auto"/>
              <w:jc w:val="center"/>
              <w:rPr>
                <w:rFonts w:ascii="黑体" w:hAnsi="黑体" w:eastAsia="黑体"/>
                <w:color w:val="auto"/>
                <w:szCs w:val="21"/>
              </w:rPr>
            </w:pPr>
          </w:p>
        </w:tc>
        <w:tc>
          <w:tcPr>
            <w:tcW w:w="2352" w:type="dxa"/>
            <w:vAlign w:val="center"/>
          </w:tcPr>
          <w:p w14:paraId="27E05C6D">
            <w:pPr>
              <w:spacing w:line="360" w:lineRule="auto"/>
              <w:jc w:val="center"/>
              <w:rPr>
                <w:rFonts w:ascii="黑体" w:hAnsi="黑体" w:eastAsia="黑体"/>
                <w:color w:val="auto"/>
                <w:szCs w:val="21"/>
              </w:rPr>
            </w:pPr>
          </w:p>
        </w:tc>
        <w:tc>
          <w:tcPr>
            <w:tcW w:w="2126" w:type="dxa"/>
            <w:vAlign w:val="center"/>
          </w:tcPr>
          <w:p w14:paraId="5AF4DF6F">
            <w:pPr>
              <w:spacing w:line="360" w:lineRule="auto"/>
              <w:jc w:val="center"/>
              <w:rPr>
                <w:rFonts w:ascii="黑体" w:hAnsi="黑体" w:eastAsia="黑体"/>
                <w:color w:val="auto"/>
                <w:szCs w:val="21"/>
              </w:rPr>
            </w:pPr>
          </w:p>
        </w:tc>
        <w:tc>
          <w:tcPr>
            <w:tcW w:w="1644" w:type="dxa"/>
            <w:vAlign w:val="center"/>
          </w:tcPr>
          <w:p w14:paraId="40D35889">
            <w:pPr>
              <w:spacing w:line="360" w:lineRule="auto"/>
              <w:jc w:val="center"/>
              <w:rPr>
                <w:rFonts w:ascii="黑体" w:hAnsi="黑体" w:eastAsia="黑体"/>
                <w:color w:val="auto"/>
                <w:szCs w:val="21"/>
              </w:rPr>
            </w:pPr>
          </w:p>
        </w:tc>
        <w:tc>
          <w:tcPr>
            <w:tcW w:w="1575" w:type="dxa"/>
            <w:vAlign w:val="center"/>
          </w:tcPr>
          <w:p w14:paraId="0B14A3C4">
            <w:pPr>
              <w:spacing w:line="360" w:lineRule="auto"/>
              <w:jc w:val="center"/>
              <w:rPr>
                <w:rFonts w:ascii="黑体" w:hAnsi="黑体" w:eastAsia="黑体"/>
                <w:color w:val="auto"/>
                <w:szCs w:val="21"/>
              </w:rPr>
            </w:pPr>
          </w:p>
        </w:tc>
      </w:tr>
      <w:tr w14:paraId="271F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20" w:type="dxa"/>
            <w:vAlign w:val="center"/>
          </w:tcPr>
          <w:p w14:paraId="1FB6F759">
            <w:pPr>
              <w:spacing w:line="360" w:lineRule="auto"/>
              <w:jc w:val="center"/>
              <w:rPr>
                <w:rFonts w:ascii="黑体" w:hAnsi="黑体" w:eastAsia="黑体"/>
                <w:color w:val="auto"/>
                <w:szCs w:val="21"/>
              </w:rPr>
            </w:pPr>
          </w:p>
        </w:tc>
        <w:tc>
          <w:tcPr>
            <w:tcW w:w="2352" w:type="dxa"/>
            <w:vAlign w:val="center"/>
          </w:tcPr>
          <w:p w14:paraId="25E93EC0">
            <w:pPr>
              <w:spacing w:line="360" w:lineRule="auto"/>
              <w:jc w:val="center"/>
              <w:rPr>
                <w:rFonts w:ascii="黑体" w:hAnsi="黑体" w:eastAsia="黑体"/>
                <w:color w:val="auto"/>
                <w:szCs w:val="21"/>
              </w:rPr>
            </w:pPr>
          </w:p>
        </w:tc>
        <w:tc>
          <w:tcPr>
            <w:tcW w:w="2126" w:type="dxa"/>
            <w:vAlign w:val="center"/>
          </w:tcPr>
          <w:p w14:paraId="656A5233">
            <w:pPr>
              <w:spacing w:line="360" w:lineRule="auto"/>
              <w:jc w:val="center"/>
              <w:rPr>
                <w:rFonts w:ascii="黑体" w:hAnsi="黑体" w:eastAsia="黑体"/>
                <w:color w:val="auto"/>
                <w:szCs w:val="21"/>
              </w:rPr>
            </w:pPr>
          </w:p>
        </w:tc>
        <w:tc>
          <w:tcPr>
            <w:tcW w:w="1644" w:type="dxa"/>
            <w:vAlign w:val="center"/>
          </w:tcPr>
          <w:p w14:paraId="15EDA447">
            <w:pPr>
              <w:spacing w:line="360" w:lineRule="auto"/>
              <w:jc w:val="center"/>
              <w:rPr>
                <w:rFonts w:ascii="黑体" w:hAnsi="黑体" w:eastAsia="黑体"/>
                <w:color w:val="auto"/>
                <w:szCs w:val="21"/>
              </w:rPr>
            </w:pPr>
          </w:p>
        </w:tc>
        <w:tc>
          <w:tcPr>
            <w:tcW w:w="1575" w:type="dxa"/>
            <w:vAlign w:val="center"/>
          </w:tcPr>
          <w:p w14:paraId="07CEA939">
            <w:pPr>
              <w:spacing w:line="360" w:lineRule="auto"/>
              <w:jc w:val="center"/>
              <w:rPr>
                <w:rFonts w:ascii="黑体" w:hAnsi="黑体" w:eastAsia="黑体"/>
                <w:color w:val="auto"/>
                <w:szCs w:val="21"/>
              </w:rPr>
            </w:pPr>
          </w:p>
        </w:tc>
      </w:tr>
      <w:tr w14:paraId="217D3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20" w:type="dxa"/>
            <w:vAlign w:val="center"/>
          </w:tcPr>
          <w:p w14:paraId="4B9D0BC5">
            <w:pPr>
              <w:spacing w:line="360" w:lineRule="auto"/>
              <w:jc w:val="center"/>
              <w:rPr>
                <w:rFonts w:ascii="黑体" w:hAnsi="黑体" w:eastAsia="黑体"/>
                <w:color w:val="auto"/>
                <w:szCs w:val="21"/>
              </w:rPr>
            </w:pPr>
          </w:p>
        </w:tc>
        <w:tc>
          <w:tcPr>
            <w:tcW w:w="2352" w:type="dxa"/>
            <w:vAlign w:val="center"/>
          </w:tcPr>
          <w:p w14:paraId="7A2F15C7">
            <w:pPr>
              <w:spacing w:line="360" w:lineRule="auto"/>
              <w:jc w:val="center"/>
              <w:rPr>
                <w:rFonts w:ascii="黑体" w:hAnsi="黑体" w:eastAsia="黑体"/>
                <w:color w:val="auto"/>
                <w:szCs w:val="21"/>
              </w:rPr>
            </w:pPr>
          </w:p>
        </w:tc>
        <w:tc>
          <w:tcPr>
            <w:tcW w:w="2126" w:type="dxa"/>
            <w:vAlign w:val="center"/>
          </w:tcPr>
          <w:p w14:paraId="58CDB211">
            <w:pPr>
              <w:spacing w:line="360" w:lineRule="auto"/>
              <w:jc w:val="center"/>
              <w:rPr>
                <w:rFonts w:ascii="黑体" w:hAnsi="黑体" w:eastAsia="黑体"/>
                <w:color w:val="auto"/>
                <w:szCs w:val="21"/>
              </w:rPr>
            </w:pPr>
          </w:p>
        </w:tc>
        <w:tc>
          <w:tcPr>
            <w:tcW w:w="1644" w:type="dxa"/>
            <w:vAlign w:val="center"/>
          </w:tcPr>
          <w:p w14:paraId="2E765A69">
            <w:pPr>
              <w:spacing w:line="360" w:lineRule="auto"/>
              <w:jc w:val="center"/>
              <w:rPr>
                <w:rFonts w:ascii="黑体" w:hAnsi="黑体" w:eastAsia="黑体"/>
                <w:color w:val="auto"/>
                <w:szCs w:val="21"/>
              </w:rPr>
            </w:pPr>
          </w:p>
        </w:tc>
        <w:tc>
          <w:tcPr>
            <w:tcW w:w="1575" w:type="dxa"/>
            <w:vAlign w:val="center"/>
          </w:tcPr>
          <w:p w14:paraId="26EF0E3B">
            <w:pPr>
              <w:spacing w:line="360" w:lineRule="auto"/>
              <w:jc w:val="center"/>
              <w:rPr>
                <w:rFonts w:ascii="黑体" w:hAnsi="黑体" w:eastAsia="黑体"/>
                <w:color w:val="auto"/>
                <w:szCs w:val="21"/>
              </w:rPr>
            </w:pPr>
          </w:p>
        </w:tc>
      </w:tr>
    </w:tbl>
    <w:p w14:paraId="20591F09">
      <w:pPr>
        <w:spacing w:before="156" w:beforeLines="50" w:line="360" w:lineRule="auto"/>
        <w:rPr>
          <w:rFonts w:ascii="黑体" w:hAnsi="黑体" w:eastAsia="黑体"/>
          <w:color w:val="auto"/>
          <w:szCs w:val="21"/>
        </w:rPr>
      </w:pPr>
      <w:r>
        <w:rPr>
          <w:rFonts w:hint="eastAsia" w:ascii="黑体" w:hAnsi="黑体" w:eastAsia="黑体"/>
          <w:color w:val="auto"/>
          <w:szCs w:val="21"/>
        </w:rPr>
        <w:t>注明：</w:t>
      </w:r>
    </w:p>
    <w:p w14:paraId="1636DF4B">
      <w:pPr>
        <w:pStyle w:val="30"/>
        <w:numPr>
          <w:ilvl w:val="0"/>
          <w:numId w:val="91"/>
        </w:numPr>
        <w:spacing w:line="360" w:lineRule="auto"/>
        <w:ind w:firstLineChars="0"/>
        <w:rPr>
          <w:rFonts w:ascii="黑体" w:hAnsi="黑体" w:eastAsia="黑体"/>
          <w:color w:val="auto"/>
          <w:szCs w:val="21"/>
        </w:rPr>
      </w:pPr>
      <w:r>
        <w:rPr>
          <w:rFonts w:hint="eastAsia" w:ascii="黑体" w:hAnsi="黑体" w:eastAsia="黑体"/>
          <w:color w:val="auto"/>
          <w:szCs w:val="21"/>
        </w:rPr>
        <w:t>偏离情况项填写“正”、“负”或“无”，说明项中填写原因。</w:t>
      </w:r>
    </w:p>
    <w:p w14:paraId="5697BEC5">
      <w:pPr>
        <w:pStyle w:val="30"/>
        <w:numPr>
          <w:ilvl w:val="0"/>
          <w:numId w:val="91"/>
        </w:numPr>
        <w:spacing w:line="360" w:lineRule="auto"/>
        <w:ind w:firstLineChars="0"/>
        <w:rPr>
          <w:rFonts w:ascii="黑体" w:hAnsi="黑体" w:eastAsia="黑体"/>
          <w:color w:val="auto"/>
          <w:szCs w:val="21"/>
        </w:rPr>
      </w:pPr>
      <w:r>
        <w:rPr>
          <w:rFonts w:hint="eastAsia" w:ascii="黑体" w:hAnsi="黑体" w:eastAsia="黑体"/>
          <w:color w:val="auto"/>
          <w:szCs w:val="21"/>
        </w:rPr>
        <w:t>投标人应按照招标文件要求，根据“采购需求”内容作出全面响应。对响应有偏离的，则说明偏离的内容。</w:t>
      </w:r>
      <w:r>
        <w:rPr>
          <w:rFonts w:hint="eastAsia" w:ascii="黑体" w:hAnsi="黑体" w:eastAsia="黑体" w:cs="Times New Roman"/>
          <w:color w:val="auto"/>
          <w:szCs w:val="21"/>
        </w:rPr>
        <w:t>“采购需求”内容中若有要求提供相关证明资料的，须按要求提供，否则视为负偏离</w:t>
      </w:r>
      <w:r>
        <w:rPr>
          <w:rFonts w:hint="eastAsia" w:ascii="黑体" w:hAnsi="黑体" w:eastAsia="黑体"/>
          <w:color w:val="auto"/>
          <w:szCs w:val="21"/>
        </w:rPr>
        <w:t>。</w:t>
      </w:r>
    </w:p>
    <w:p w14:paraId="3239556A">
      <w:pPr>
        <w:spacing w:line="360" w:lineRule="auto"/>
        <w:rPr>
          <w:rFonts w:ascii="黑体" w:hAnsi="黑体" w:eastAsia="黑体"/>
          <w:color w:val="auto"/>
          <w:szCs w:val="21"/>
        </w:rPr>
      </w:pPr>
    </w:p>
    <w:p w14:paraId="0DE2E7F4">
      <w:pPr>
        <w:spacing w:line="360" w:lineRule="auto"/>
        <w:rPr>
          <w:rFonts w:ascii="黑体" w:hAnsi="黑体" w:eastAsia="黑体"/>
          <w:color w:val="auto"/>
          <w:szCs w:val="21"/>
        </w:rPr>
      </w:pPr>
    </w:p>
    <w:p w14:paraId="579245BB">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6027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0036F4B">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5B325744">
            <w:pPr>
              <w:spacing w:line="360" w:lineRule="auto"/>
              <w:rPr>
                <w:rFonts w:ascii="黑体" w:hAnsi="黑体" w:eastAsia="黑体"/>
                <w:color w:val="auto"/>
                <w:szCs w:val="21"/>
              </w:rPr>
            </w:pPr>
          </w:p>
        </w:tc>
      </w:tr>
      <w:tr w14:paraId="65BBC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7BAFF8E9">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4A3DDCB4">
            <w:pPr>
              <w:spacing w:line="360" w:lineRule="auto"/>
              <w:rPr>
                <w:rFonts w:ascii="黑体" w:hAnsi="黑体" w:eastAsia="黑体"/>
                <w:color w:val="auto"/>
                <w:szCs w:val="21"/>
              </w:rPr>
            </w:pPr>
          </w:p>
        </w:tc>
      </w:tr>
    </w:tbl>
    <w:p w14:paraId="02FD38C5">
      <w:pPr>
        <w:spacing w:line="360" w:lineRule="auto"/>
        <w:rPr>
          <w:rFonts w:ascii="黑体" w:hAnsi="黑体" w:eastAsia="黑体"/>
          <w:color w:val="auto"/>
          <w:szCs w:val="21"/>
        </w:rPr>
      </w:pPr>
    </w:p>
    <w:p w14:paraId="28F50CB2">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105" w:name="_Toc82388833"/>
      <w:r>
        <w:rPr>
          <w:rFonts w:hint="eastAsia" w:ascii="黑体" w:hAnsi="黑体" w:eastAsia="黑体"/>
          <w:b/>
          <w:bCs/>
          <w:color w:val="auto"/>
        </w:rPr>
        <w:t>★号条款要求响应一览表</w:t>
      </w:r>
      <w:bookmarkEnd w:id="105"/>
    </w:p>
    <w:p w14:paraId="1535D672">
      <w:pPr>
        <w:spacing w:before="312" w:beforeLines="100" w:after="312" w:afterLines="100"/>
        <w:jc w:val="center"/>
        <w:rPr>
          <w:rFonts w:ascii="黑体" w:hAnsi="黑体" w:eastAsia="黑体" w:cs="Times New Roman"/>
          <w:b/>
          <w:color w:val="auto"/>
          <w:spacing w:val="20"/>
          <w:sz w:val="30"/>
          <w:szCs w:val="30"/>
        </w:rPr>
      </w:pPr>
      <w:bookmarkStart w:id="106" w:name="_Hlk82385743"/>
      <w:r>
        <w:rPr>
          <w:rFonts w:hint="eastAsia" w:ascii="黑体" w:hAnsi="黑体" w:eastAsia="黑体" w:cs="Times New Roman"/>
          <w:b/>
          <w:color w:val="auto"/>
          <w:spacing w:val="20"/>
          <w:sz w:val="30"/>
          <w:szCs w:val="30"/>
        </w:rPr>
        <w:t>★号条款</w:t>
      </w:r>
      <w:bookmarkEnd w:id="106"/>
      <w:r>
        <w:rPr>
          <w:rFonts w:hint="eastAsia" w:ascii="黑体" w:hAnsi="黑体" w:eastAsia="黑体" w:cs="Times New Roman"/>
          <w:b/>
          <w:color w:val="auto"/>
          <w:spacing w:val="20"/>
          <w:sz w:val="30"/>
          <w:szCs w:val="30"/>
        </w:rPr>
        <w:t>响应一览表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3190"/>
        <w:gridCol w:w="1843"/>
        <w:gridCol w:w="1843"/>
        <w:gridCol w:w="1190"/>
      </w:tblGrid>
      <w:tr w14:paraId="76CC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0" w:type="auto"/>
            <w:shd w:val="clear" w:color="auto" w:fill="auto"/>
            <w:vAlign w:val="center"/>
          </w:tcPr>
          <w:p w14:paraId="563249C0">
            <w:pPr>
              <w:spacing w:line="360" w:lineRule="auto"/>
              <w:jc w:val="center"/>
              <w:rPr>
                <w:rFonts w:ascii="黑体" w:hAnsi="黑体" w:eastAsia="黑体"/>
                <w:color w:val="auto"/>
              </w:rPr>
            </w:pPr>
            <w:r>
              <w:rPr>
                <w:rFonts w:hint="eastAsia" w:ascii="黑体" w:hAnsi="黑体" w:eastAsia="黑体"/>
                <w:color w:val="auto"/>
              </w:rPr>
              <w:t>序号</w:t>
            </w:r>
          </w:p>
        </w:tc>
        <w:tc>
          <w:tcPr>
            <w:tcW w:w="3190" w:type="dxa"/>
            <w:shd w:val="clear" w:color="auto" w:fill="auto"/>
            <w:vAlign w:val="center"/>
          </w:tcPr>
          <w:p w14:paraId="06D58649">
            <w:pPr>
              <w:spacing w:line="360" w:lineRule="auto"/>
              <w:jc w:val="center"/>
              <w:rPr>
                <w:rFonts w:ascii="黑体" w:hAnsi="黑体" w:eastAsia="黑体"/>
                <w:color w:val="auto"/>
              </w:rPr>
            </w:pPr>
            <w:r>
              <w:rPr>
                <w:rFonts w:hint="eastAsia" w:ascii="黑体" w:hAnsi="黑体" w:eastAsia="黑体"/>
                <w:color w:val="auto"/>
              </w:rPr>
              <w:t>采购需求★号条款要求</w:t>
            </w:r>
          </w:p>
        </w:tc>
        <w:tc>
          <w:tcPr>
            <w:tcW w:w="1843" w:type="dxa"/>
            <w:shd w:val="clear" w:color="auto" w:fill="auto"/>
            <w:vAlign w:val="center"/>
          </w:tcPr>
          <w:p w14:paraId="76F78FFA">
            <w:pPr>
              <w:spacing w:line="360" w:lineRule="auto"/>
              <w:jc w:val="center"/>
              <w:rPr>
                <w:rFonts w:ascii="黑体" w:hAnsi="黑体" w:eastAsia="黑体"/>
                <w:color w:val="auto"/>
              </w:rPr>
            </w:pPr>
            <w:r>
              <w:rPr>
                <w:rFonts w:hint="eastAsia" w:ascii="黑体" w:hAnsi="黑体" w:eastAsia="黑体"/>
                <w:color w:val="auto"/>
              </w:rPr>
              <w:t>投标人响应内容</w:t>
            </w:r>
          </w:p>
        </w:tc>
        <w:tc>
          <w:tcPr>
            <w:tcW w:w="1843" w:type="dxa"/>
            <w:shd w:val="clear" w:color="auto" w:fill="auto"/>
            <w:vAlign w:val="center"/>
          </w:tcPr>
          <w:p w14:paraId="7D9172B1">
            <w:pPr>
              <w:spacing w:line="360" w:lineRule="auto"/>
              <w:jc w:val="center"/>
              <w:rPr>
                <w:rFonts w:ascii="黑体" w:hAnsi="黑体" w:eastAsia="黑体"/>
                <w:color w:val="auto"/>
              </w:rPr>
            </w:pPr>
            <w:r>
              <w:rPr>
                <w:rFonts w:hint="eastAsia" w:ascii="黑体" w:hAnsi="黑体" w:eastAsia="黑体"/>
                <w:color w:val="auto"/>
              </w:rPr>
              <w:t>偏离情况及说明</w:t>
            </w:r>
          </w:p>
          <w:p w14:paraId="451EE849">
            <w:pPr>
              <w:spacing w:line="360" w:lineRule="auto"/>
              <w:jc w:val="center"/>
              <w:rPr>
                <w:rFonts w:ascii="黑体" w:hAnsi="黑体" w:eastAsia="黑体"/>
                <w:color w:val="auto"/>
              </w:rPr>
            </w:pPr>
            <w:r>
              <w:rPr>
                <w:rFonts w:ascii="黑体" w:hAnsi="黑体" w:eastAsia="黑体"/>
                <w:color w:val="auto"/>
              </w:rPr>
              <w:t>(正偏离/</w:t>
            </w:r>
            <w:r>
              <w:rPr>
                <w:rFonts w:hint="eastAsia" w:ascii="黑体" w:hAnsi="黑体" w:eastAsia="黑体"/>
                <w:color w:val="auto"/>
              </w:rPr>
              <w:t>无偏离</w:t>
            </w:r>
            <w:r>
              <w:rPr>
                <w:rFonts w:ascii="黑体" w:hAnsi="黑体" w:eastAsia="黑体"/>
                <w:color w:val="auto"/>
              </w:rPr>
              <w:t>/负偏离)</w:t>
            </w:r>
          </w:p>
        </w:tc>
        <w:tc>
          <w:tcPr>
            <w:tcW w:w="1190" w:type="dxa"/>
            <w:shd w:val="clear" w:color="auto" w:fill="auto"/>
            <w:vAlign w:val="center"/>
          </w:tcPr>
          <w:p w14:paraId="6FFEE4B2">
            <w:pPr>
              <w:spacing w:line="360" w:lineRule="auto"/>
              <w:jc w:val="center"/>
              <w:rPr>
                <w:rFonts w:ascii="黑体" w:hAnsi="黑体" w:eastAsia="黑体"/>
                <w:color w:val="auto"/>
              </w:rPr>
            </w:pPr>
            <w:r>
              <w:rPr>
                <w:rFonts w:hint="eastAsia" w:ascii="黑体" w:hAnsi="黑体" w:eastAsia="黑体"/>
                <w:color w:val="auto"/>
              </w:rPr>
              <w:t>查阅</w:t>
            </w:r>
            <w:r>
              <w:rPr>
                <w:rFonts w:ascii="黑体" w:hAnsi="黑体" w:eastAsia="黑体"/>
                <w:color w:val="auto"/>
              </w:rPr>
              <w:t>/证明文件索引页码</w:t>
            </w:r>
          </w:p>
        </w:tc>
      </w:tr>
      <w:tr w14:paraId="1141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14:paraId="09D225CE">
            <w:pPr>
              <w:spacing w:line="360" w:lineRule="auto"/>
              <w:jc w:val="center"/>
              <w:rPr>
                <w:rFonts w:ascii="黑体" w:hAnsi="黑体" w:eastAsia="黑体"/>
                <w:color w:val="auto"/>
              </w:rPr>
            </w:pPr>
            <w:r>
              <w:rPr>
                <w:rFonts w:ascii="黑体" w:hAnsi="黑体" w:eastAsia="黑体"/>
                <w:color w:val="auto"/>
              </w:rPr>
              <w:t>1</w:t>
            </w:r>
          </w:p>
        </w:tc>
        <w:tc>
          <w:tcPr>
            <w:tcW w:w="3190" w:type="dxa"/>
            <w:shd w:val="clear" w:color="auto" w:fill="auto"/>
          </w:tcPr>
          <w:p w14:paraId="64B4EA69">
            <w:pPr>
              <w:spacing w:line="360" w:lineRule="auto"/>
              <w:rPr>
                <w:rFonts w:ascii="黑体" w:hAnsi="黑体" w:eastAsia="黑体"/>
                <w:color w:val="auto"/>
              </w:rPr>
            </w:pPr>
          </w:p>
        </w:tc>
        <w:tc>
          <w:tcPr>
            <w:tcW w:w="1843" w:type="dxa"/>
            <w:shd w:val="clear" w:color="auto" w:fill="auto"/>
          </w:tcPr>
          <w:p w14:paraId="58BF573F">
            <w:pPr>
              <w:spacing w:line="360" w:lineRule="auto"/>
              <w:rPr>
                <w:rFonts w:ascii="黑体" w:hAnsi="黑体" w:eastAsia="黑体"/>
                <w:color w:val="auto"/>
              </w:rPr>
            </w:pPr>
          </w:p>
        </w:tc>
        <w:tc>
          <w:tcPr>
            <w:tcW w:w="1843" w:type="dxa"/>
            <w:shd w:val="clear" w:color="auto" w:fill="auto"/>
          </w:tcPr>
          <w:p w14:paraId="2542ED0E">
            <w:pPr>
              <w:spacing w:line="360" w:lineRule="auto"/>
              <w:rPr>
                <w:rFonts w:ascii="黑体" w:hAnsi="黑体" w:eastAsia="黑体"/>
                <w:color w:val="auto"/>
              </w:rPr>
            </w:pPr>
          </w:p>
        </w:tc>
        <w:tc>
          <w:tcPr>
            <w:tcW w:w="1190" w:type="dxa"/>
            <w:shd w:val="clear" w:color="auto" w:fill="auto"/>
          </w:tcPr>
          <w:p w14:paraId="27841C71">
            <w:pPr>
              <w:spacing w:line="360" w:lineRule="auto"/>
              <w:rPr>
                <w:rFonts w:ascii="黑体" w:hAnsi="黑体" w:eastAsia="黑体"/>
                <w:color w:val="auto"/>
              </w:rPr>
            </w:pPr>
          </w:p>
        </w:tc>
      </w:tr>
      <w:tr w14:paraId="4A7D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14:paraId="3DDBF77E">
            <w:pPr>
              <w:spacing w:line="360" w:lineRule="auto"/>
              <w:jc w:val="center"/>
              <w:rPr>
                <w:rFonts w:ascii="黑体" w:hAnsi="黑体" w:eastAsia="黑体"/>
                <w:color w:val="auto"/>
              </w:rPr>
            </w:pPr>
            <w:r>
              <w:rPr>
                <w:rFonts w:ascii="黑体" w:hAnsi="黑体" w:eastAsia="黑体"/>
                <w:color w:val="auto"/>
              </w:rPr>
              <w:t>2</w:t>
            </w:r>
          </w:p>
        </w:tc>
        <w:tc>
          <w:tcPr>
            <w:tcW w:w="3190" w:type="dxa"/>
            <w:shd w:val="clear" w:color="auto" w:fill="auto"/>
          </w:tcPr>
          <w:p w14:paraId="41869858">
            <w:pPr>
              <w:spacing w:line="360" w:lineRule="auto"/>
              <w:rPr>
                <w:rFonts w:ascii="黑体" w:hAnsi="黑体" w:eastAsia="黑体"/>
                <w:color w:val="auto"/>
              </w:rPr>
            </w:pPr>
          </w:p>
        </w:tc>
        <w:tc>
          <w:tcPr>
            <w:tcW w:w="1843" w:type="dxa"/>
            <w:shd w:val="clear" w:color="auto" w:fill="auto"/>
          </w:tcPr>
          <w:p w14:paraId="16AB826C">
            <w:pPr>
              <w:spacing w:line="360" w:lineRule="auto"/>
              <w:rPr>
                <w:rFonts w:ascii="黑体" w:hAnsi="黑体" w:eastAsia="黑体"/>
                <w:color w:val="auto"/>
              </w:rPr>
            </w:pPr>
          </w:p>
        </w:tc>
        <w:tc>
          <w:tcPr>
            <w:tcW w:w="1843" w:type="dxa"/>
            <w:shd w:val="clear" w:color="auto" w:fill="auto"/>
          </w:tcPr>
          <w:p w14:paraId="2675F8FD">
            <w:pPr>
              <w:spacing w:line="360" w:lineRule="auto"/>
              <w:rPr>
                <w:rFonts w:ascii="黑体" w:hAnsi="黑体" w:eastAsia="黑体"/>
                <w:color w:val="auto"/>
              </w:rPr>
            </w:pPr>
          </w:p>
        </w:tc>
        <w:tc>
          <w:tcPr>
            <w:tcW w:w="1190" w:type="dxa"/>
            <w:shd w:val="clear" w:color="auto" w:fill="auto"/>
          </w:tcPr>
          <w:p w14:paraId="08614FD4">
            <w:pPr>
              <w:spacing w:line="360" w:lineRule="auto"/>
              <w:rPr>
                <w:rFonts w:ascii="黑体" w:hAnsi="黑体" w:eastAsia="黑体"/>
                <w:color w:val="auto"/>
              </w:rPr>
            </w:pPr>
          </w:p>
        </w:tc>
      </w:tr>
      <w:tr w14:paraId="68D8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14:paraId="791FE5FD">
            <w:pPr>
              <w:spacing w:line="360" w:lineRule="auto"/>
              <w:jc w:val="center"/>
              <w:rPr>
                <w:rFonts w:ascii="黑体" w:hAnsi="黑体" w:eastAsia="黑体"/>
                <w:color w:val="auto"/>
              </w:rPr>
            </w:pPr>
            <w:r>
              <w:rPr>
                <w:rFonts w:ascii="黑体" w:hAnsi="黑体" w:eastAsia="黑体"/>
                <w:color w:val="auto"/>
              </w:rPr>
              <w:t>3</w:t>
            </w:r>
          </w:p>
        </w:tc>
        <w:tc>
          <w:tcPr>
            <w:tcW w:w="3190" w:type="dxa"/>
            <w:shd w:val="clear" w:color="auto" w:fill="auto"/>
          </w:tcPr>
          <w:p w14:paraId="738AEB68">
            <w:pPr>
              <w:spacing w:line="360" w:lineRule="auto"/>
              <w:rPr>
                <w:rFonts w:ascii="黑体" w:hAnsi="黑体" w:eastAsia="黑体"/>
                <w:color w:val="auto"/>
              </w:rPr>
            </w:pPr>
          </w:p>
        </w:tc>
        <w:tc>
          <w:tcPr>
            <w:tcW w:w="1843" w:type="dxa"/>
            <w:shd w:val="clear" w:color="auto" w:fill="auto"/>
          </w:tcPr>
          <w:p w14:paraId="6BAE621E">
            <w:pPr>
              <w:spacing w:line="360" w:lineRule="auto"/>
              <w:rPr>
                <w:rFonts w:ascii="黑体" w:hAnsi="黑体" w:eastAsia="黑体"/>
                <w:color w:val="auto"/>
              </w:rPr>
            </w:pPr>
          </w:p>
        </w:tc>
        <w:tc>
          <w:tcPr>
            <w:tcW w:w="1843" w:type="dxa"/>
            <w:shd w:val="clear" w:color="auto" w:fill="auto"/>
          </w:tcPr>
          <w:p w14:paraId="0DAEC37B">
            <w:pPr>
              <w:spacing w:line="360" w:lineRule="auto"/>
              <w:rPr>
                <w:rFonts w:ascii="黑体" w:hAnsi="黑体" w:eastAsia="黑体"/>
                <w:color w:val="auto"/>
              </w:rPr>
            </w:pPr>
          </w:p>
        </w:tc>
        <w:tc>
          <w:tcPr>
            <w:tcW w:w="1190" w:type="dxa"/>
            <w:shd w:val="clear" w:color="auto" w:fill="auto"/>
          </w:tcPr>
          <w:p w14:paraId="3ECD0E97">
            <w:pPr>
              <w:spacing w:line="360" w:lineRule="auto"/>
              <w:rPr>
                <w:rFonts w:ascii="黑体" w:hAnsi="黑体" w:eastAsia="黑体"/>
                <w:color w:val="auto"/>
              </w:rPr>
            </w:pPr>
          </w:p>
        </w:tc>
      </w:tr>
      <w:tr w14:paraId="37AE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14:paraId="21E9C467">
            <w:pPr>
              <w:spacing w:line="360" w:lineRule="auto"/>
              <w:jc w:val="center"/>
              <w:rPr>
                <w:rFonts w:ascii="黑体" w:hAnsi="黑体" w:eastAsia="黑体"/>
                <w:color w:val="auto"/>
              </w:rPr>
            </w:pPr>
            <w:r>
              <w:rPr>
                <w:rFonts w:ascii="黑体" w:hAnsi="黑体" w:eastAsia="黑体"/>
                <w:color w:val="auto"/>
              </w:rPr>
              <w:t>4</w:t>
            </w:r>
          </w:p>
        </w:tc>
        <w:tc>
          <w:tcPr>
            <w:tcW w:w="3190" w:type="dxa"/>
            <w:shd w:val="clear" w:color="auto" w:fill="auto"/>
          </w:tcPr>
          <w:p w14:paraId="505C26BA">
            <w:pPr>
              <w:spacing w:line="360" w:lineRule="auto"/>
              <w:rPr>
                <w:rFonts w:ascii="黑体" w:hAnsi="黑体" w:eastAsia="黑体"/>
                <w:color w:val="auto"/>
              </w:rPr>
            </w:pPr>
          </w:p>
        </w:tc>
        <w:tc>
          <w:tcPr>
            <w:tcW w:w="1843" w:type="dxa"/>
            <w:shd w:val="clear" w:color="auto" w:fill="auto"/>
          </w:tcPr>
          <w:p w14:paraId="143326ED">
            <w:pPr>
              <w:spacing w:line="360" w:lineRule="auto"/>
              <w:rPr>
                <w:rFonts w:ascii="黑体" w:hAnsi="黑体" w:eastAsia="黑体"/>
                <w:color w:val="auto"/>
              </w:rPr>
            </w:pPr>
          </w:p>
        </w:tc>
        <w:tc>
          <w:tcPr>
            <w:tcW w:w="1843" w:type="dxa"/>
            <w:shd w:val="clear" w:color="auto" w:fill="auto"/>
          </w:tcPr>
          <w:p w14:paraId="7E7BF17D">
            <w:pPr>
              <w:spacing w:line="360" w:lineRule="auto"/>
              <w:rPr>
                <w:rFonts w:ascii="黑体" w:hAnsi="黑体" w:eastAsia="黑体"/>
                <w:color w:val="auto"/>
              </w:rPr>
            </w:pPr>
          </w:p>
        </w:tc>
        <w:tc>
          <w:tcPr>
            <w:tcW w:w="1190" w:type="dxa"/>
            <w:shd w:val="clear" w:color="auto" w:fill="auto"/>
          </w:tcPr>
          <w:p w14:paraId="6FBDA8D6">
            <w:pPr>
              <w:spacing w:line="360" w:lineRule="auto"/>
              <w:rPr>
                <w:rFonts w:ascii="黑体" w:hAnsi="黑体" w:eastAsia="黑体"/>
                <w:color w:val="auto"/>
              </w:rPr>
            </w:pPr>
          </w:p>
        </w:tc>
      </w:tr>
      <w:tr w14:paraId="4037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0" w:type="auto"/>
            <w:shd w:val="clear" w:color="auto" w:fill="auto"/>
            <w:vAlign w:val="center"/>
          </w:tcPr>
          <w:p w14:paraId="4FEA9718">
            <w:pPr>
              <w:spacing w:line="360" w:lineRule="auto"/>
              <w:jc w:val="center"/>
              <w:rPr>
                <w:rFonts w:ascii="黑体" w:hAnsi="黑体" w:eastAsia="黑体"/>
                <w:color w:val="auto"/>
              </w:rPr>
            </w:pPr>
            <w:r>
              <w:rPr>
                <w:rFonts w:ascii="黑体" w:hAnsi="黑体" w:eastAsia="黑体"/>
                <w:color w:val="auto"/>
              </w:rPr>
              <w:t>…</w:t>
            </w:r>
          </w:p>
        </w:tc>
        <w:tc>
          <w:tcPr>
            <w:tcW w:w="3190" w:type="dxa"/>
            <w:shd w:val="clear" w:color="auto" w:fill="auto"/>
          </w:tcPr>
          <w:p w14:paraId="33A8A8C0">
            <w:pPr>
              <w:spacing w:line="360" w:lineRule="auto"/>
              <w:rPr>
                <w:rFonts w:ascii="黑体" w:hAnsi="黑体" w:eastAsia="黑体"/>
                <w:color w:val="auto"/>
              </w:rPr>
            </w:pPr>
          </w:p>
        </w:tc>
        <w:tc>
          <w:tcPr>
            <w:tcW w:w="1843" w:type="dxa"/>
            <w:shd w:val="clear" w:color="auto" w:fill="auto"/>
          </w:tcPr>
          <w:p w14:paraId="3533EA22">
            <w:pPr>
              <w:spacing w:line="360" w:lineRule="auto"/>
              <w:rPr>
                <w:rFonts w:ascii="黑体" w:hAnsi="黑体" w:eastAsia="黑体"/>
                <w:color w:val="auto"/>
              </w:rPr>
            </w:pPr>
          </w:p>
        </w:tc>
        <w:tc>
          <w:tcPr>
            <w:tcW w:w="1843" w:type="dxa"/>
            <w:shd w:val="clear" w:color="auto" w:fill="auto"/>
          </w:tcPr>
          <w:p w14:paraId="4EF72E92">
            <w:pPr>
              <w:spacing w:line="360" w:lineRule="auto"/>
              <w:rPr>
                <w:rFonts w:ascii="黑体" w:hAnsi="黑体" w:eastAsia="黑体"/>
                <w:color w:val="auto"/>
              </w:rPr>
            </w:pPr>
          </w:p>
        </w:tc>
        <w:tc>
          <w:tcPr>
            <w:tcW w:w="1190" w:type="dxa"/>
            <w:shd w:val="clear" w:color="auto" w:fill="auto"/>
          </w:tcPr>
          <w:p w14:paraId="63705ADA">
            <w:pPr>
              <w:spacing w:line="360" w:lineRule="auto"/>
              <w:rPr>
                <w:rFonts w:ascii="黑体" w:hAnsi="黑体" w:eastAsia="黑体"/>
                <w:color w:val="auto"/>
              </w:rPr>
            </w:pPr>
          </w:p>
        </w:tc>
      </w:tr>
    </w:tbl>
    <w:p w14:paraId="05B82D2F">
      <w:pPr>
        <w:spacing w:before="156" w:beforeLines="50" w:line="360" w:lineRule="auto"/>
        <w:rPr>
          <w:rFonts w:ascii="黑体" w:hAnsi="黑体" w:eastAsia="黑体"/>
          <w:color w:val="auto"/>
        </w:rPr>
      </w:pPr>
      <w:r>
        <w:rPr>
          <w:rFonts w:hint="eastAsia" w:ascii="黑体" w:hAnsi="黑体" w:eastAsia="黑体"/>
          <w:color w:val="auto"/>
        </w:rPr>
        <w:t>注明：</w:t>
      </w:r>
    </w:p>
    <w:p w14:paraId="62227371">
      <w:pPr>
        <w:pStyle w:val="30"/>
        <w:numPr>
          <w:ilvl w:val="0"/>
          <w:numId w:val="92"/>
        </w:numPr>
        <w:spacing w:line="360" w:lineRule="auto"/>
        <w:ind w:firstLineChars="0"/>
        <w:rPr>
          <w:rFonts w:ascii="黑体" w:hAnsi="黑体" w:eastAsia="黑体"/>
          <w:color w:val="auto"/>
        </w:rPr>
      </w:pPr>
      <w:r>
        <w:rPr>
          <w:rFonts w:hint="eastAsia" w:ascii="黑体" w:hAnsi="黑体" w:eastAsia="黑体"/>
          <w:color w:val="auto"/>
        </w:rPr>
        <w:t>投标人必须对应招标文件“采购需求”要求的</w:t>
      </w:r>
      <w:bookmarkStart w:id="107" w:name="_Hlk82385673"/>
      <w:r>
        <w:rPr>
          <w:rFonts w:ascii="黑体" w:hAnsi="黑体" w:eastAsia="黑体"/>
          <w:color w:val="auto"/>
        </w:rPr>
        <w:t>★号条款</w:t>
      </w:r>
      <w:bookmarkEnd w:id="107"/>
      <w:r>
        <w:rPr>
          <w:rFonts w:ascii="黑体" w:hAnsi="黑体" w:eastAsia="黑体"/>
          <w:color w:val="auto"/>
        </w:rPr>
        <w:t>逐条应答并按要求填写表格</w:t>
      </w:r>
      <w:r>
        <w:rPr>
          <w:rFonts w:hint="eastAsia" w:ascii="黑体" w:hAnsi="黑体" w:eastAsia="黑体"/>
          <w:color w:val="auto"/>
        </w:rPr>
        <w:t>；</w:t>
      </w:r>
    </w:p>
    <w:p w14:paraId="2E1BBB97">
      <w:pPr>
        <w:pStyle w:val="30"/>
        <w:numPr>
          <w:ilvl w:val="0"/>
          <w:numId w:val="92"/>
        </w:numPr>
        <w:spacing w:line="360" w:lineRule="auto"/>
        <w:ind w:firstLineChars="0"/>
        <w:rPr>
          <w:rFonts w:ascii="黑体" w:hAnsi="黑体" w:eastAsia="黑体"/>
          <w:color w:val="auto"/>
        </w:rPr>
      </w:pPr>
      <w:r>
        <w:rPr>
          <w:rFonts w:hint="eastAsia" w:ascii="黑体" w:hAnsi="黑体" w:eastAsia="黑体"/>
          <w:color w:val="auto"/>
        </w:rPr>
        <w:t>若招标文件“采购需求”中的★号条款中规定须提交相关证明文件的，须按要求提供，并作为附件附于表格后。未按要求提供或未提供完整的，视为负偏离处理。</w:t>
      </w:r>
    </w:p>
    <w:p w14:paraId="71C1659A">
      <w:pPr>
        <w:spacing w:line="360" w:lineRule="auto"/>
        <w:rPr>
          <w:rFonts w:ascii="黑体" w:hAnsi="黑体" w:eastAsia="黑体"/>
          <w:color w:val="auto"/>
          <w:szCs w:val="21"/>
        </w:rPr>
      </w:pPr>
    </w:p>
    <w:p w14:paraId="3FB42AAD">
      <w:pPr>
        <w:spacing w:line="360" w:lineRule="auto"/>
        <w:rPr>
          <w:rFonts w:ascii="黑体" w:hAnsi="黑体" w:eastAsia="黑体"/>
          <w:color w:val="auto"/>
          <w:szCs w:val="21"/>
        </w:rPr>
      </w:pPr>
    </w:p>
    <w:p w14:paraId="184A9344">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15D45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5DBA0DD8">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44A88162">
            <w:pPr>
              <w:spacing w:line="360" w:lineRule="auto"/>
              <w:rPr>
                <w:rFonts w:ascii="黑体" w:hAnsi="黑体" w:eastAsia="黑体"/>
                <w:color w:val="auto"/>
                <w:szCs w:val="21"/>
              </w:rPr>
            </w:pPr>
          </w:p>
        </w:tc>
      </w:tr>
      <w:tr w14:paraId="63AE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367217BB">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6B02CC23">
            <w:pPr>
              <w:spacing w:line="360" w:lineRule="auto"/>
              <w:rPr>
                <w:rFonts w:ascii="黑体" w:hAnsi="黑体" w:eastAsia="黑体"/>
                <w:color w:val="auto"/>
                <w:szCs w:val="21"/>
              </w:rPr>
            </w:pPr>
          </w:p>
        </w:tc>
      </w:tr>
    </w:tbl>
    <w:p w14:paraId="2960CB35">
      <w:pPr>
        <w:spacing w:line="360" w:lineRule="auto"/>
        <w:rPr>
          <w:rFonts w:ascii="黑体" w:hAnsi="黑体" w:eastAsia="黑体"/>
          <w:color w:val="auto"/>
          <w:szCs w:val="21"/>
        </w:rPr>
      </w:pPr>
    </w:p>
    <w:p w14:paraId="3405D625">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bookmarkStart w:id="108" w:name="_Toc82388834"/>
      <w:r>
        <w:rPr>
          <w:rFonts w:hint="eastAsia" w:ascii="黑体" w:hAnsi="黑体" w:eastAsia="黑体"/>
          <w:b/>
          <w:bCs/>
          <w:color w:val="auto"/>
        </w:rPr>
        <w:t>▲号条款要求扣分明细响应表</w:t>
      </w:r>
      <w:bookmarkEnd w:id="108"/>
    </w:p>
    <w:p w14:paraId="2F214687">
      <w:pPr>
        <w:spacing w:before="312" w:beforeLines="100" w:after="312" w:afterLines="100"/>
        <w:jc w:val="center"/>
        <w:rPr>
          <w:rFonts w:ascii="黑体" w:hAnsi="黑体" w:eastAsia="黑体" w:cs="Times New Roman"/>
          <w:b/>
          <w:color w:val="auto"/>
          <w:spacing w:val="20"/>
          <w:sz w:val="30"/>
          <w:szCs w:val="30"/>
        </w:rPr>
      </w:pPr>
      <w:bookmarkStart w:id="109" w:name="_Hlk82385592"/>
      <w:r>
        <w:rPr>
          <w:rFonts w:ascii="黑体" w:hAnsi="黑体" w:eastAsia="黑体" w:cs="Times New Roman"/>
          <w:b/>
          <w:color w:val="auto"/>
          <w:spacing w:val="20"/>
          <w:sz w:val="30"/>
          <w:szCs w:val="30"/>
        </w:rPr>
        <w:t>▲号条款</w:t>
      </w:r>
      <w:bookmarkEnd w:id="109"/>
      <w:r>
        <w:rPr>
          <w:rFonts w:hint="eastAsia" w:ascii="黑体" w:hAnsi="黑体" w:eastAsia="黑体" w:cs="Times New Roman"/>
          <w:b/>
          <w:color w:val="auto"/>
          <w:spacing w:val="20"/>
          <w:sz w:val="30"/>
          <w:szCs w:val="30"/>
        </w:rPr>
        <w:t>要求扣分明细响应表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2410"/>
        <w:gridCol w:w="2745"/>
        <w:gridCol w:w="1932"/>
        <w:gridCol w:w="1115"/>
      </w:tblGrid>
      <w:tr w14:paraId="0AD9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459" w:type="dxa"/>
            <w:vAlign w:val="center"/>
          </w:tcPr>
          <w:p w14:paraId="7D3119DF">
            <w:pPr>
              <w:jc w:val="center"/>
              <w:rPr>
                <w:rFonts w:ascii="黑体" w:hAnsi="黑体" w:eastAsia="黑体"/>
                <w:color w:val="auto"/>
                <w:szCs w:val="21"/>
              </w:rPr>
            </w:pPr>
            <w:r>
              <w:rPr>
                <w:rFonts w:hint="eastAsia" w:ascii="黑体" w:hAnsi="黑体" w:eastAsia="黑体"/>
                <w:color w:val="auto"/>
                <w:szCs w:val="21"/>
              </w:rPr>
              <w:t>序号</w:t>
            </w:r>
          </w:p>
        </w:tc>
        <w:tc>
          <w:tcPr>
            <w:tcW w:w="2410" w:type="dxa"/>
            <w:vAlign w:val="center"/>
          </w:tcPr>
          <w:p w14:paraId="30FF82A6">
            <w:pPr>
              <w:jc w:val="center"/>
              <w:rPr>
                <w:rFonts w:ascii="黑体" w:hAnsi="黑体" w:eastAsia="黑体"/>
                <w:color w:val="auto"/>
                <w:szCs w:val="21"/>
              </w:rPr>
            </w:pPr>
            <w:r>
              <w:rPr>
                <w:rFonts w:hint="eastAsia" w:ascii="黑体" w:hAnsi="黑体" w:eastAsia="黑体"/>
                <w:color w:val="auto"/>
              </w:rPr>
              <w:t>采购需求▲号条款</w:t>
            </w:r>
          </w:p>
        </w:tc>
        <w:tc>
          <w:tcPr>
            <w:tcW w:w="2745" w:type="dxa"/>
            <w:vAlign w:val="center"/>
          </w:tcPr>
          <w:p w14:paraId="511677D4">
            <w:pPr>
              <w:spacing w:line="360" w:lineRule="auto"/>
              <w:jc w:val="center"/>
              <w:rPr>
                <w:rFonts w:ascii="黑体" w:hAnsi="黑体" w:eastAsia="黑体"/>
                <w:color w:val="auto"/>
              </w:rPr>
            </w:pPr>
            <w:r>
              <w:rPr>
                <w:rFonts w:hint="eastAsia" w:ascii="黑体" w:hAnsi="黑体" w:eastAsia="黑体"/>
                <w:color w:val="auto"/>
              </w:rPr>
              <w:t>投标人响应内容</w:t>
            </w:r>
          </w:p>
          <w:p w14:paraId="6113B2DF">
            <w:pPr>
              <w:spacing w:line="360" w:lineRule="auto"/>
              <w:jc w:val="center"/>
              <w:rPr>
                <w:rFonts w:ascii="黑体" w:hAnsi="黑体" w:eastAsia="黑体"/>
                <w:color w:val="auto"/>
                <w:szCs w:val="21"/>
              </w:rPr>
            </w:pPr>
            <w:r>
              <w:rPr>
                <w:rFonts w:ascii="黑体" w:hAnsi="黑体" w:eastAsia="黑体"/>
                <w:color w:val="auto"/>
              </w:rPr>
              <w:t>(投标人应按</w:t>
            </w:r>
            <w:r>
              <w:rPr>
                <w:rFonts w:hint="eastAsia" w:ascii="黑体" w:hAnsi="黑体" w:eastAsia="黑体"/>
                <w:color w:val="auto"/>
              </w:rPr>
              <w:t>投标时响应的服务实际数据填写</w:t>
            </w:r>
            <w:r>
              <w:rPr>
                <w:rFonts w:ascii="黑体" w:hAnsi="黑体" w:eastAsia="黑体"/>
                <w:color w:val="auto"/>
              </w:rPr>
              <w:t>)</w:t>
            </w:r>
          </w:p>
        </w:tc>
        <w:tc>
          <w:tcPr>
            <w:tcW w:w="1932" w:type="dxa"/>
            <w:vAlign w:val="center"/>
          </w:tcPr>
          <w:p w14:paraId="131E8A3D">
            <w:pPr>
              <w:spacing w:line="360" w:lineRule="auto"/>
              <w:jc w:val="center"/>
              <w:rPr>
                <w:rFonts w:ascii="黑体" w:hAnsi="黑体" w:eastAsia="黑体"/>
                <w:color w:val="auto"/>
              </w:rPr>
            </w:pPr>
            <w:r>
              <w:rPr>
                <w:rFonts w:hint="eastAsia" w:ascii="黑体" w:hAnsi="黑体" w:eastAsia="黑体"/>
                <w:color w:val="auto"/>
              </w:rPr>
              <w:t>响应情况及说明</w:t>
            </w:r>
            <w:r>
              <w:rPr>
                <w:rFonts w:ascii="黑体" w:hAnsi="黑体" w:eastAsia="黑体"/>
                <w:color w:val="auto"/>
              </w:rPr>
              <w:t>(正偏离/无偏离/负偏离)</w:t>
            </w:r>
          </w:p>
        </w:tc>
        <w:tc>
          <w:tcPr>
            <w:tcW w:w="1115" w:type="dxa"/>
            <w:vAlign w:val="center"/>
          </w:tcPr>
          <w:p w14:paraId="0252D3B7">
            <w:pPr>
              <w:spacing w:line="360" w:lineRule="auto"/>
              <w:jc w:val="center"/>
              <w:rPr>
                <w:rFonts w:ascii="黑体" w:hAnsi="黑体" w:eastAsia="黑体"/>
                <w:color w:val="auto"/>
              </w:rPr>
            </w:pPr>
            <w:r>
              <w:rPr>
                <w:rFonts w:hint="eastAsia" w:ascii="黑体" w:hAnsi="黑体" w:eastAsia="黑体"/>
                <w:color w:val="auto"/>
              </w:rPr>
              <w:t>查阅</w:t>
            </w:r>
            <w:r>
              <w:rPr>
                <w:rFonts w:ascii="黑体" w:hAnsi="黑体" w:eastAsia="黑体"/>
                <w:color w:val="auto"/>
              </w:rPr>
              <w:t>/证明文件索引页码</w:t>
            </w:r>
          </w:p>
        </w:tc>
      </w:tr>
      <w:tr w14:paraId="08394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59" w:type="dxa"/>
            <w:vAlign w:val="center"/>
          </w:tcPr>
          <w:p w14:paraId="2319F3D5">
            <w:pPr>
              <w:jc w:val="center"/>
              <w:rPr>
                <w:rFonts w:ascii="黑体" w:hAnsi="黑体" w:eastAsia="黑体"/>
                <w:color w:val="auto"/>
                <w:szCs w:val="21"/>
              </w:rPr>
            </w:pPr>
            <w:r>
              <w:rPr>
                <w:rFonts w:ascii="黑体" w:hAnsi="黑体" w:eastAsia="黑体"/>
                <w:color w:val="auto"/>
                <w:szCs w:val="21"/>
              </w:rPr>
              <w:t>1</w:t>
            </w:r>
          </w:p>
        </w:tc>
        <w:tc>
          <w:tcPr>
            <w:tcW w:w="2410" w:type="dxa"/>
            <w:vAlign w:val="center"/>
          </w:tcPr>
          <w:p w14:paraId="69361327">
            <w:pPr>
              <w:jc w:val="center"/>
              <w:rPr>
                <w:rFonts w:ascii="黑体" w:hAnsi="黑体" w:eastAsia="黑体"/>
                <w:color w:val="auto"/>
                <w:szCs w:val="21"/>
              </w:rPr>
            </w:pPr>
          </w:p>
        </w:tc>
        <w:tc>
          <w:tcPr>
            <w:tcW w:w="2745" w:type="dxa"/>
            <w:vAlign w:val="center"/>
          </w:tcPr>
          <w:p w14:paraId="631541DC">
            <w:pPr>
              <w:jc w:val="center"/>
              <w:rPr>
                <w:rFonts w:ascii="黑体" w:hAnsi="黑体" w:eastAsia="黑体"/>
                <w:color w:val="auto"/>
                <w:szCs w:val="21"/>
              </w:rPr>
            </w:pPr>
          </w:p>
        </w:tc>
        <w:tc>
          <w:tcPr>
            <w:tcW w:w="1932" w:type="dxa"/>
            <w:vAlign w:val="center"/>
          </w:tcPr>
          <w:p w14:paraId="63AF06DB">
            <w:pPr>
              <w:jc w:val="center"/>
              <w:rPr>
                <w:rFonts w:ascii="黑体" w:hAnsi="黑体" w:eastAsia="黑体"/>
                <w:color w:val="auto"/>
                <w:szCs w:val="21"/>
              </w:rPr>
            </w:pPr>
          </w:p>
        </w:tc>
        <w:tc>
          <w:tcPr>
            <w:tcW w:w="1115" w:type="dxa"/>
            <w:vAlign w:val="center"/>
          </w:tcPr>
          <w:p w14:paraId="64FFE05F">
            <w:pPr>
              <w:jc w:val="center"/>
              <w:rPr>
                <w:rFonts w:ascii="黑体" w:hAnsi="黑体" w:eastAsia="黑体"/>
                <w:color w:val="auto"/>
                <w:szCs w:val="21"/>
              </w:rPr>
            </w:pPr>
          </w:p>
        </w:tc>
      </w:tr>
      <w:tr w14:paraId="5085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59" w:type="dxa"/>
            <w:vAlign w:val="center"/>
          </w:tcPr>
          <w:p w14:paraId="555B69E3">
            <w:pPr>
              <w:jc w:val="center"/>
              <w:rPr>
                <w:rFonts w:ascii="黑体" w:hAnsi="黑体" w:eastAsia="黑体"/>
                <w:color w:val="auto"/>
                <w:szCs w:val="21"/>
              </w:rPr>
            </w:pPr>
            <w:r>
              <w:rPr>
                <w:rFonts w:ascii="黑体" w:hAnsi="黑体" w:eastAsia="黑体"/>
                <w:color w:val="auto"/>
                <w:szCs w:val="21"/>
              </w:rPr>
              <w:t>2</w:t>
            </w:r>
          </w:p>
        </w:tc>
        <w:tc>
          <w:tcPr>
            <w:tcW w:w="2410" w:type="dxa"/>
            <w:vAlign w:val="center"/>
          </w:tcPr>
          <w:p w14:paraId="4055B9D3">
            <w:pPr>
              <w:jc w:val="center"/>
              <w:rPr>
                <w:rFonts w:ascii="黑体" w:hAnsi="黑体" w:eastAsia="黑体"/>
                <w:color w:val="auto"/>
                <w:szCs w:val="21"/>
              </w:rPr>
            </w:pPr>
          </w:p>
        </w:tc>
        <w:tc>
          <w:tcPr>
            <w:tcW w:w="2745" w:type="dxa"/>
            <w:vAlign w:val="center"/>
          </w:tcPr>
          <w:p w14:paraId="08339CAE">
            <w:pPr>
              <w:jc w:val="center"/>
              <w:rPr>
                <w:rFonts w:ascii="黑体" w:hAnsi="黑体" w:eastAsia="黑体"/>
                <w:color w:val="auto"/>
                <w:szCs w:val="21"/>
              </w:rPr>
            </w:pPr>
          </w:p>
        </w:tc>
        <w:tc>
          <w:tcPr>
            <w:tcW w:w="1932" w:type="dxa"/>
            <w:vAlign w:val="center"/>
          </w:tcPr>
          <w:p w14:paraId="3BE64245">
            <w:pPr>
              <w:jc w:val="center"/>
              <w:rPr>
                <w:rFonts w:ascii="黑体" w:hAnsi="黑体" w:eastAsia="黑体"/>
                <w:color w:val="auto"/>
                <w:szCs w:val="21"/>
              </w:rPr>
            </w:pPr>
          </w:p>
        </w:tc>
        <w:tc>
          <w:tcPr>
            <w:tcW w:w="1115" w:type="dxa"/>
            <w:vAlign w:val="center"/>
          </w:tcPr>
          <w:p w14:paraId="65F9E3E2">
            <w:pPr>
              <w:jc w:val="center"/>
              <w:rPr>
                <w:rFonts w:ascii="黑体" w:hAnsi="黑体" w:eastAsia="黑体"/>
                <w:color w:val="auto"/>
                <w:szCs w:val="21"/>
              </w:rPr>
            </w:pPr>
          </w:p>
        </w:tc>
      </w:tr>
      <w:tr w14:paraId="13B1B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459" w:type="dxa"/>
            <w:vAlign w:val="center"/>
          </w:tcPr>
          <w:p w14:paraId="638FB19C">
            <w:pPr>
              <w:jc w:val="center"/>
              <w:rPr>
                <w:rFonts w:ascii="黑体" w:hAnsi="黑体" w:eastAsia="黑体"/>
                <w:color w:val="auto"/>
                <w:szCs w:val="21"/>
              </w:rPr>
            </w:pPr>
            <w:r>
              <w:rPr>
                <w:rFonts w:ascii="黑体" w:hAnsi="黑体" w:eastAsia="黑体"/>
                <w:color w:val="auto"/>
                <w:szCs w:val="21"/>
              </w:rPr>
              <w:t>3</w:t>
            </w:r>
          </w:p>
        </w:tc>
        <w:tc>
          <w:tcPr>
            <w:tcW w:w="2410" w:type="dxa"/>
            <w:vAlign w:val="center"/>
          </w:tcPr>
          <w:p w14:paraId="024703DC">
            <w:pPr>
              <w:jc w:val="center"/>
              <w:rPr>
                <w:rFonts w:ascii="黑体" w:hAnsi="黑体" w:eastAsia="黑体"/>
                <w:color w:val="auto"/>
                <w:szCs w:val="21"/>
              </w:rPr>
            </w:pPr>
          </w:p>
        </w:tc>
        <w:tc>
          <w:tcPr>
            <w:tcW w:w="2745" w:type="dxa"/>
            <w:vAlign w:val="center"/>
          </w:tcPr>
          <w:p w14:paraId="5D9CA132">
            <w:pPr>
              <w:jc w:val="center"/>
              <w:rPr>
                <w:rFonts w:ascii="黑体" w:hAnsi="黑体" w:eastAsia="黑体"/>
                <w:color w:val="auto"/>
                <w:szCs w:val="21"/>
              </w:rPr>
            </w:pPr>
          </w:p>
        </w:tc>
        <w:tc>
          <w:tcPr>
            <w:tcW w:w="1932" w:type="dxa"/>
            <w:vAlign w:val="center"/>
          </w:tcPr>
          <w:p w14:paraId="0C6CB39F">
            <w:pPr>
              <w:jc w:val="center"/>
              <w:rPr>
                <w:rFonts w:ascii="黑体" w:hAnsi="黑体" w:eastAsia="黑体"/>
                <w:color w:val="auto"/>
                <w:szCs w:val="21"/>
              </w:rPr>
            </w:pPr>
          </w:p>
        </w:tc>
        <w:tc>
          <w:tcPr>
            <w:tcW w:w="1115" w:type="dxa"/>
            <w:vAlign w:val="center"/>
          </w:tcPr>
          <w:p w14:paraId="064A34DF">
            <w:pPr>
              <w:jc w:val="center"/>
              <w:rPr>
                <w:rFonts w:ascii="黑体" w:hAnsi="黑体" w:eastAsia="黑体"/>
                <w:color w:val="auto"/>
                <w:szCs w:val="21"/>
              </w:rPr>
            </w:pPr>
          </w:p>
        </w:tc>
      </w:tr>
      <w:tr w14:paraId="4770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459" w:type="dxa"/>
            <w:vAlign w:val="center"/>
          </w:tcPr>
          <w:p w14:paraId="0A113D7E">
            <w:pPr>
              <w:jc w:val="center"/>
              <w:rPr>
                <w:rFonts w:ascii="黑体" w:hAnsi="黑体" w:eastAsia="黑体"/>
                <w:color w:val="auto"/>
                <w:szCs w:val="21"/>
              </w:rPr>
            </w:pPr>
            <w:r>
              <w:rPr>
                <w:rFonts w:ascii="黑体" w:hAnsi="黑体" w:eastAsia="黑体"/>
                <w:color w:val="auto"/>
                <w:szCs w:val="21"/>
              </w:rPr>
              <w:t>…</w:t>
            </w:r>
          </w:p>
        </w:tc>
        <w:tc>
          <w:tcPr>
            <w:tcW w:w="2410" w:type="dxa"/>
            <w:vAlign w:val="center"/>
          </w:tcPr>
          <w:p w14:paraId="6D444430">
            <w:pPr>
              <w:jc w:val="center"/>
              <w:rPr>
                <w:rFonts w:ascii="黑体" w:hAnsi="黑体" w:eastAsia="黑体"/>
                <w:color w:val="auto"/>
                <w:szCs w:val="21"/>
              </w:rPr>
            </w:pPr>
          </w:p>
        </w:tc>
        <w:tc>
          <w:tcPr>
            <w:tcW w:w="2745" w:type="dxa"/>
            <w:vAlign w:val="center"/>
          </w:tcPr>
          <w:p w14:paraId="1ED1B904">
            <w:pPr>
              <w:jc w:val="center"/>
              <w:rPr>
                <w:rFonts w:ascii="黑体" w:hAnsi="黑体" w:eastAsia="黑体"/>
                <w:color w:val="auto"/>
                <w:szCs w:val="21"/>
              </w:rPr>
            </w:pPr>
          </w:p>
        </w:tc>
        <w:tc>
          <w:tcPr>
            <w:tcW w:w="1932" w:type="dxa"/>
            <w:vAlign w:val="center"/>
          </w:tcPr>
          <w:p w14:paraId="091CE913">
            <w:pPr>
              <w:jc w:val="center"/>
              <w:rPr>
                <w:rFonts w:ascii="黑体" w:hAnsi="黑体" w:eastAsia="黑体"/>
                <w:color w:val="auto"/>
                <w:szCs w:val="21"/>
              </w:rPr>
            </w:pPr>
          </w:p>
        </w:tc>
        <w:tc>
          <w:tcPr>
            <w:tcW w:w="1115" w:type="dxa"/>
            <w:vAlign w:val="center"/>
          </w:tcPr>
          <w:p w14:paraId="5A4F2EDE">
            <w:pPr>
              <w:jc w:val="center"/>
              <w:rPr>
                <w:rFonts w:ascii="黑体" w:hAnsi="黑体" w:eastAsia="黑体"/>
                <w:color w:val="auto"/>
                <w:szCs w:val="21"/>
              </w:rPr>
            </w:pPr>
          </w:p>
        </w:tc>
      </w:tr>
    </w:tbl>
    <w:p w14:paraId="4BBCB4FD">
      <w:pPr>
        <w:spacing w:before="156" w:beforeLines="50" w:line="360" w:lineRule="auto"/>
        <w:rPr>
          <w:rFonts w:ascii="黑体" w:hAnsi="黑体" w:eastAsia="黑体"/>
          <w:color w:val="auto"/>
        </w:rPr>
      </w:pPr>
      <w:r>
        <w:rPr>
          <w:rFonts w:hint="eastAsia" w:ascii="黑体" w:hAnsi="黑体" w:eastAsia="黑体"/>
          <w:color w:val="auto"/>
        </w:rPr>
        <w:t>注明：</w:t>
      </w:r>
    </w:p>
    <w:p w14:paraId="1C2F11A5">
      <w:pPr>
        <w:pStyle w:val="30"/>
        <w:numPr>
          <w:ilvl w:val="0"/>
          <w:numId w:val="93"/>
        </w:numPr>
        <w:spacing w:line="360" w:lineRule="auto"/>
        <w:ind w:firstLineChars="0"/>
        <w:rPr>
          <w:rFonts w:ascii="黑体" w:hAnsi="黑体" w:eastAsia="黑体"/>
          <w:color w:val="auto"/>
          <w:spacing w:val="4"/>
        </w:rPr>
      </w:pPr>
      <w:r>
        <w:rPr>
          <w:rFonts w:hint="eastAsia" w:ascii="黑体" w:hAnsi="黑体" w:eastAsia="黑体"/>
          <w:color w:val="auto"/>
          <w:spacing w:val="4"/>
        </w:rPr>
        <w:t>投标人必须对应招标文件</w:t>
      </w:r>
      <w:r>
        <w:rPr>
          <w:rFonts w:hint="eastAsia" w:ascii="黑体" w:hAnsi="黑体" w:eastAsia="黑体" w:cs="Times New Roman"/>
          <w:bCs/>
          <w:color w:val="auto"/>
          <w:spacing w:val="4"/>
          <w:szCs w:val="21"/>
        </w:rPr>
        <w:t>“采购需求”要求的</w:t>
      </w:r>
      <w:bookmarkStart w:id="110" w:name="_Hlk82385546"/>
      <w:r>
        <w:rPr>
          <w:rFonts w:ascii="黑体" w:hAnsi="黑体" w:eastAsia="黑体"/>
          <w:color w:val="auto"/>
        </w:rPr>
        <w:t>▲号条款</w:t>
      </w:r>
      <w:bookmarkEnd w:id="110"/>
      <w:r>
        <w:rPr>
          <w:rFonts w:hint="eastAsia" w:ascii="黑体" w:hAnsi="黑体" w:eastAsia="黑体"/>
          <w:color w:val="auto"/>
          <w:spacing w:val="4"/>
        </w:rPr>
        <w:t>逐条应答并按要求填写表格。</w:t>
      </w:r>
    </w:p>
    <w:p w14:paraId="3F539136">
      <w:pPr>
        <w:pStyle w:val="30"/>
        <w:numPr>
          <w:ilvl w:val="0"/>
          <w:numId w:val="93"/>
        </w:numPr>
        <w:spacing w:line="360" w:lineRule="auto"/>
        <w:ind w:firstLineChars="0"/>
        <w:rPr>
          <w:rFonts w:ascii="黑体" w:hAnsi="黑体" w:eastAsia="黑体"/>
          <w:color w:val="auto"/>
        </w:rPr>
      </w:pPr>
      <w:r>
        <w:rPr>
          <w:rFonts w:hint="eastAsia" w:ascii="黑体" w:hAnsi="黑体" w:eastAsia="黑体"/>
          <w:color w:val="auto"/>
          <w:szCs w:val="21"/>
        </w:rPr>
        <w:t>需提供证明资料内容详见</w:t>
      </w:r>
      <w:r>
        <w:rPr>
          <w:rFonts w:hint="eastAsia" w:ascii="黑体" w:hAnsi="黑体" w:eastAsia="黑体"/>
          <w:color w:val="auto"/>
          <w:szCs w:val="21"/>
          <w:u w:val="single"/>
        </w:rPr>
        <w:t>（招标文件第五部分</w:t>
      </w:r>
      <w:r>
        <w:rPr>
          <w:rFonts w:ascii="黑体" w:hAnsi="黑体" w:eastAsia="黑体"/>
          <w:color w:val="auto"/>
          <w:szCs w:val="21"/>
          <w:u w:val="single"/>
        </w:rPr>
        <w:t xml:space="preserve"> </w:t>
      </w:r>
      <w:r>
        <w:rPr>
          <w:rFonts w:hint="eastAsia" w:ascii="黑体" w:hAnsi="黑体" w:eastAsia="黑体"/>
          <w:color w:val="auto"/>
          <w:szCs w:val="21"/>
          <w:u w:val="single"/>
        </w:rPr>
        <w:t>评标方法、步骤、标准之</w:t>
      </w:r>
      <w:r>
        <w:rPr>
          <w:rFonts w:hint="eastAsia" w:ascii="黑体" w:hAnsi="黑体" w:eastAsia="黑体"/>
          <w:color w:val="auto"/>
          <w:kern w:val="0"/>
          <w:szCs w:val="21"/>
          <w:u w:val="single"/>
        </w:rPr>
        <w:t>附表三</w:t>
      </w:r>
      <w:r>
        <w:rPr>
          <w:rFonts w:hint="eastAsia" w:ascii="黑体" w:hAnsi="黑体" w:eastAsia="黑体"/>
          <w:color w:val="auto"/>
          <w:szCs w:val="21"/>
          <w:u w:val="single"/>
        </w:rPr>
        <w:t>详细评审表相对应条款）</w:t>
      </w:r>
      <w:r>
        <w:rPr>
          <w:rFonts w:hint="eastAsia" w:ascii="黑体" w:hAnsi="黑体" w:eastAsia="黑体"/>
          <w:color w:val="auto"/>
          <w:szCs w:val="21"/>
        </w:rPr>
        <w:t>，提供的证明资料</w:t>
      </w:r>
      <w:r>
        <w:rPr>
          <w:rFonts w:hint="eastAsia" w:ascii="黑体" w:hAnsi="黑体" w:eastAsia="黑体"/>
          <w:color w:val="auto"/>
        </w:rPr>
        <w:t>作为附件附于表格后。未按要求提供或未提供完整的，视为负偏离处理。</w:t>
      </w:r>
    </w:p>
    <w:p w14:paraId="0AE3BB85">
      <w:pPr>
        <w:spacing w:line="360" w:lineRule="auto"/>
        <w:rPr>
          <w:rFonts w:ascii="黑体" w:hAnsi="黑体" w:eastAsia="黑体"/>
          <w:color w:val="auto"/>
          <w:szCs w:val="21"/>
        </w:rPr>
      </w:pPr>
    </w:p>
    <w:p w14:paraId="11A9CE11">
      <w:pPr>
        <w:spacing w:line="360" w:lineRule="auto"/>
        <w:rPr>
          <w:rFonts w:ascii="黑体" w:hAnsi="黑体" w:eastAsia="黑体"/>
          <w:color w:val="auto"/>
          <w:szCs w:val="21"/>
        </w:rPr>
      </w:pPr>
    </w:p>
    <w:p w14:paraId="585AF9AB">
      <w:pPr>
        <w:spacing w:line="360" w:lineRule="auto"/>
        <w:rPr>
          <w:rFonts w:ascii="黑体" w:hAnsi="黑体" w:eastAsia="黑体"/>
          <w:color w:val="auto"/>
          <w:szCs w:val="21"/>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53"/>
        <w:gridCol w:w="3175"/>
      </w:tblGrid>
      <w:tr w14:paraId="0DC6D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5D6E0245">
            <w:pPr>
              <w:overflowPunct w:val="0"/>
              <w:adjustRightInd w:val="0"/>
              <w:spacing w:line="360" w:lineRule="auto"/>
              <w:rPr>
                <w:rFonts w:ascii="黑体" w:hAnsi="黑体" w:eastAsia="黑体"/>
                <w:color w:val="auto"/>
                <w:szCs w:val="21"/>
              </w:rPr>
            </w:pPr>
            <w:r>
              <w:rPr>
                <w:rFonts w:hint="eastAsia" w:ascii="黑体" w:hAnsi="黑体" w:eastAsia="黑体"/>
                <w:color w:val="auto"/>
                <w:szCs w:val="21"/>
              </w:rPr>
              <w:t>投标人名称（加盖公章）：</w:t>
            </w:r>
            <w:r>
              <w:rPr>
                <w:rFonts w:ascii="黑体" w:hAnsi="黑体" w:eastAsia="黑体"/>
                <w:color w:val="auto"/>
                <w:szCs w:val="21"/>
                <w:u w:val="single"/>
              </w:rPr>
              <w:t xml:space="preserve">                         </w:t>
            </w:r>
          </w:p>
        </w:tc>
        <w:tc>
          <w:tcPr>
            <w:tcW w:w="3175" w:type="dxa"/>
          </w:tcPr>
          <w:p w14:paraId="62C3F49D">
            <w:pPr>
              <w:spacing w:line="360" w:lineRule="auto"/>
              <w:rPr>
                <w:rFonts w:ascii="黑体" w:hAnsi="黑体" w:eastAsia="黑体"/>
                <w:color w:val="auto"/>
                <w:szCs w:val="21"/>
              </w:rPr>
            </w:pPr>
          </w:p>
        </w:tc>
      </w:tr>
      <w:tr w14:paraId="20DF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353" w:type="dxa"/>
          </w:tcPr>
          <w:p w14:paraId="006D2839">
            <w:pPr>
              <w:spacing w:line="360" w:lineRule="auto"/>
              <w:rPr>
                <w:rFonts w:ascii="黑体" w:hAnsi="黑体" w:eastAsia="黑体"/>
                <w:color w:val="auto"/>
                <w:szCs w:val="21"/>
              </w:rPr>
            </w:pPr>
            <w:r>
              <w:rPr>
                <w:rFonts w:hint="eastAsia" w:ascii="黑体" w:hAnsi="黑体" w:eastAsia="黑体"/>
                <w:color w:val="auto"/>
                <w:szCs w:val="21"/>
              </w:rPr>
              <w:t>日期：</w:t>
            </w:r>
            <w:r>
              <w:rPr>
                <w:rFonts w:ascii="黑体" w:hAnsi="黑体" w:eastAsia="黑体"/>
                <w:color w:val="auto"/>
                <w:szCs w:val="21"/>
                <w:u w:val="single"/>
              </w:rPr>
              <w:t xml:space="preserve">             年           月            日</w:t>
            </w:r>
          </w:p>
        </w:tc>
        <w:tc>
          <w:tcPr>
            <w:tcW w:w="3175" w:type="dxa"/>
          </w:tcPr>
          <w:p w14:paraId="083AC57C">
            <w:pPr>
              <w:spacing w:line="360" w:lineRule="auto"/>
              <w:rPr>
                <w:rFonts w:ascii="黑体" w:hAnsi="黑体" w:eastAsia="黑体"/>
                <w:color w:val="auto"/>
                <w:szCs w:val="21"/>
              </w:rPr>
            </w:pPr>
          </w:p>
        </w:tc>
      </w:tr>
    </w:tbl>
    <w:p w14:paraId="73ECF4B4">
      <w:pPr>
        <w:pStyle w:val="30"/>
        <w:pageBreakBefore/>
        <w:numPr>
          <w:ilvl w:val="0"/>
          <w:numId w:val="82"/>
        </w:numPr>
        <w:tabs>
          <w:tab w:val="left" w:pos="284"/>
          <w:tab w:val="left" w:pos="567"/>
          <w:tab w:val="left" w:pos="709"/>
        </w:tabs>
        <w:ind w:left="1679" w:hanging="1537" w:firstLineChars="0"/>
        <w:jc w:val="left"/>
        <w:rPr>
          <w:rFonts w:ascii="黑体" w:hAnsi="黑体" w:eastAsia="黑体"/>
          <w:b/>
          <w:bCs/>
          <w:color w:val="auto"/>
        </w:rPr>
      </w:pPr>
      <w:r>
        <w:rPr>
          <w:rFonts w:hint="eastAsia" w:ascii="黑体" w:hAnsi="黑体" w:eastAsia="黑体"/>
          <w:b/>
          <w:bCs/>
          <w:color w:val="auto"/>
        </w:rPr>
        <w:t>相关保函格式</w:t>
      </w:r>
    </w:p>
    <w:p w14:paraId="59F69776">
      <w:pPr>
        <w:spacing w:before="312" w:beforeLines="1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政府采购投标担保函</w:t>
      </w:r>
    </w:p>
    <w:p w14:paraId="0B8D757E">
      <w:pPr>
        <w:spacing w:line="360" w:lineRule="auto"/>
        <w:ind w:firstLine="6261" w:firstLineChars="2970"/>
        <w:rPr>
          <w:rFonts w:ascii="黑体" w:hAnsi="黑体" w:eastAsia="黑体"/>
          <w:b/>
          <w:color w:val="auto"/>
          <w:szCs w:val="21"/>
        </w:rPr>
      </w:pPr>
      <w:r>
        <w:rPr>
          <w:rFonts w:hint="eastAsia" w:ascii="黑体" w:hAnsi="黑体" w:eastAsia="黑体"/>
          <w:b/>
          <w:color w:val="auto"/>
          <w:szCs w:val="21"/>
        </w:rPr>
        <w:t>编号：</w:t>
      </w:r>
    </w:p>
    <w:p w14:paraId="565403A3">
      <w:pPr>
        <w:spacing w:line="360" w:lineRule="auto"/>
        <w:rPr>
          <w:rFonts w:ascii="黑体" w:hAnsi="黑体" w:eastAsia="黑体"/>
          <w:color w:val="auto"/>
          <w:szCs w:val="21"/>
          <w:u w:val="single"/>
        </w:rPr>
      </w:pPr>
      <w:r>
        <w:rPr>
          <w:rFonts w:hint="eastAsia" w:ascii="黑体" w:hAnsi="黑体" w:eastAsia="黑体"/>
          <w:color w:val="auto"/>
          <w:szCs w:val="21"/>
          <w:u w:val="single"/>
        </w:rPr>
        <w:t xml:space="preserve">                     </w:t>
      </w:r>
      <w:r>
        <w:rPr>
          <w:rFonts w:hint="eastAsia" w:ascii="黑体" w:hAnsi="黑体" w:eastAsia="黑体"/>
          <w:color w:val="auto"/>
          <w:szCs w:val="21"/>
        </w:rPr>
        <w:t>(采购人或采购代理机构)：</w:t>
      </w:r>
    </w:p>
    <w:p w14:paraId="1A63E620">
      <w:pPr>
        <w:spacing w:line="360" w:lineRule="auto"/>
        <w:ind w:firstLine="420" w:firstLineChars="200"/>
        <w:rPr>
          <w:rFonts w:ascii="黑体" w:hAnsi="黑体" w:eastAsia="黑体"/>
          <w:color w:val="auto"/>
          <w:szCs w:val="21"/>
          <w:u w:val="single"/>
        </w:rPr>
      </w:pPr>
      <w:r>
        <w:rPr>
          <w:rFonts w:hint="eastAsia" w:ascii="黑体" w:hAnsi="黑体" w:eastAsia="黑体"/>
          <w:color w:val="auto"/>
          <w:szCs w:val="21"/>
        </w:rPr>
        <w:t>鉴于</w:t>
      </w:r>
      <w:r>
        <w:rPr>
          <w:rFonts w:hint="eastAsia" w:ascii="黑体" w:hAnsi="黑体" w:eastAsia="黑体"/>
          <w:color w:val="auto"/>
          <w:szCs w:val="21"/>
          <w:u w:val="single"/>
        </w:rPr>
        <w:t xml:space="preserve">                   </w:t>
      </w:r>
      <w:r>
        <w:rPr>
          <w:rFonts w:hint="eastAsia" w:ascii="黑体" w:hAnsi="黑体" w:eastAsia="黑体"/>
          <w:color w:val="auto"/>
          <w:szCs w:val="21"/>
        </w:rPr>
        <w:t>(以下简称“投标人”)拟参加编号为</w:t>
      </w:r>
      <w:r>
        <w:rPr>
          <w:rFonts w:hint="eastAsia" w:ascii="黑体" w:hAnsi="黑体" w:eastAsia="黑体"/>
          <w:color w:val="auto"/>
          <w:szCs w:val="21"/>
          <w:u w:val="single"/>
        </w:rPr>
        <w:t xml:space="preserve">                   </w:t>
      </w:r>
      <w:r>
        <w:rPr>
          <w:rFonts w:hint="eastAsia" w:ascii="黑体" w:hAnsi="黑体" w:eastAsia="黑体"/>
          <w:color w:val="auto"/>
          <w:szCs w:val="21"/>
        </w:rPr>
        <w:t>的</w:t>
      </w:r>
      <w:r>
        <w:rPr>
          <w:rFonts w:hint="eastAsia" w:ascii="黑体" w:hAnsi="黑体" w:eastAsia="黑体"/>
          <w:color w:val="auto"/>
          <w:szCs w:val="21"/>
          <w:u w:val="single"/>
        </w:rPr>
        <w:t xml:space="preserve">      </w:t>
      </w:r>
    </w:p>
    <w:p w14:paraId="2BC05B9E">
      <w:pPr>
        <w:spacing w:line="360" w:lineRule="auto"/>
        <w:rPr>
          <w:rFonts w:ascii="黑体" w:hAnsi="黑体" w:eastAsia="黑体"/>
          <w:color w:val="auto"/>
          <w:szCs w:val="21"/>
          <w:u w:val="single"/>
        </w:rPr>
      </w:pPr>
      <w:r>
        <w:rPr>
          <w:rFonts w:hint="eastAsia" w:ascii="黑体" w:hAnsi="黑体" w:eastAsia="黑体"/>
          <w:color w:val="auto"/>
          <w:szCs w:val="21"/>
          <w:u w:val="single"/>
        </w:rPr>
        <w:t xml:space="preserve">                   </w:t>
      </w:r>
      <w:r>
        <w:rPr>
          <w:rFonts w:hint="eastAsia" w:ascii="黑体" w:hAnsi="黑体" w:eastAsia="黑体"/>
          <w:color w:val="auto"/>
          <w:szCs w:val="21"/>
        </w:rPr>
        <w:t xml:space="preserve"> 项目(以下简称“本项目”)投标，根据本项目招标文件，供应商参加投标时应向你方交纳投标保证金,且可以投标担保函的形式交纳投标保证金。应供应商的申请，我方以保证的方式向你方提供如下投标保证金担保：</w:t>
      </w:r>
    </w:p>
    <w:p w14:paraId="5186C304">
      <w:pPr>
        <w:spacing w:line="360" w:lineRule="auto"/>
        <w:rPr>
          <w:rFonts w:ascii="黑体" w:hAnsi="黑体" w:eastAsia="黑体"/>
          <w:color w:val="auto"/>
          <w:szCs w:val="21"/>
        </w:rPr>
      </w:pPr>
      <w:r>
        <w:rPr>
          <w:rFonts w:hint="eastAsia" w:ascii="黑体" w:hAnsi="黑体" w:eastAsia="黑体"/>
          <w:color w:val="auto"/>
          <w:szCs w:val="21"/>
        </w:rPr>
        <w:t>一、保证责任的情形及保证金额</w:t>
      </w:r>
    </w:p>
    <w:p w14:paraId="021874DB">
      <w:pPr>
        <w:tabs>
          <w:tab w:val="left" w:pos="284"/>
        </w:tabs>
        <w:spacing w:line="360" w:lineRule="auto"/>
        <w:ind w:left="283" w:leftChars="135"/>
        <w:rPr>
          <w:rFonts w:ascii="黑体" w:hAnsi="黑体" w:eastAsia="黑体"/>
          <w:color w:val="auto"/>
          <w:szCs w:val="21"/>
        </w:rPr>
      </w:pPr>
      <w:r>
        <w:rPr>
          <w:rFonts w:hint="eastAsia" w:ascii="黑体" w:hAnsi="黑体" w:eastAsia="黑体"/>
          <w:color w:val="auto"/>
          <w:szCs w:val="21"/>
        </w:rPr>
        <w:t>(一)在投标人出现下列情形之一时,，我方承担保证责任：</w:t>
      </w:r>
    </w:p>
    <w:p w14:paraId="3E1C836B">
      <w:pPr>
        <w:tabs>
          <w:tab w:val="left" w:pos="284"/>
        </w:tabs>
        <w:spacing w:line="360" w:lineRule="auto"/>
        <w:ind w:left="283" w:leftChars="135"/>
        <w:rPr>
          <w:rFonts w:ascii="黑体" w:hAnsi="黑体" w:eastAsia="黑体"/>
          <w:color w:val="auto"/>
          <w:szCs w:val="21"/>
        </w:rPr>
      </w:pPr>
      <w:r>
        <w:rPr>
          <w:rFonts w:hint="eastAsia" w:ascii="黑体" w:hAnsi="黑体" w:eastAsia="黑体"/>
          <w:color w:val="auto"/>
          <w:szCs w:val="21"/>
        </w:rPr>
        <w:t>1.中标后投标人无正当理由不与采购人或者采购代理机构签订《政府采购合同》；</w:t>
      </w:r>
    </w:p>
    <w:p w14:paraId="4760F9D0">
      <w:pPr>
        <w:tabs>
          <w:tab w:val="left" w:pos="284"/>
        </w:tabs>
        <w:spacing w:line="360" w:lineRule="auto"/>
        <w:ind w:left="283" w:leftChars="135"/>
        <w:rPr>
          <w:rFonts w:ascii="黑体" w:hAnsi="黑体" w:eastAsia="黑体"/>
          <w:color w:val="auto"/>
          <w:szCs w:val="21"/>
        </w:rPr>
      </w:pPr>
      <w:r>
        <w:rPr>
          <w:rFonts w:hint="eastAsia" w:ascii="黑体" w:hAnsi="黑体" w:eastAsia="黑体"/>
          <w:color w:val="auto"/>
          <w:szCs w:val="21"/>
        </w:rPr>
        <w:t>2.招标文件规定的投标人应当缴纳保证金的其他情形。</w:t>
      </w:r>
    </w:p>
    <w:p w14:paraId="75323761">
      <w:pPr>
        <w:tabs>
          <w:tab w:val="left" w:pos="284"/>
        </w:tabs>
        <w:spacing w:line="360" w:lineRule="auto"/>
        <w:ind w:left="283" w:leftChars="135"/>
        <w:rPr>
          <w:rFonts w:ascii="黑体" w:hAnsi="黑体" w:eastAsia="黑体"/>
          <w:color w:val="auto"/>
          <w:szCs w:val="21"/>
        </w:rPr>
      </w:pPr>
      <w:r>
        <w:rPr>
          <w:rFonts w:hint="eastAsia" w:ascii="黑体" w:hAnsi="黑体" w:eastAsia="黑体"/>
          <w:color w:val="auto"/>
          <w:szCs w:val="21"/>
        </w:rPr>
        <w:t>(二)我方承担保证责任的最高金额为人民币</w:t>
      </w:r>
      <w:r>
        <w:rPr>
          <w:rFonts w:hint="eastAsia" w:ascii="黑体" w:hAnsi="黑体" w:eastAsia="黑体"/>
          <w:color w:val="auto"/>
          <w:szCs w:val="21"/>
          <w:u w:val="single"/>
        </w:rPr>
        <w:t xml:space="preserve">         </w:t>
      </w:r>
      <w:r>
        <w:rPr>
          <w:rFonts w:hint="eastAsia" w:ascii="黑体" w:hAnsi="黑体" w:eastAsia="黑体"/>
          <w:color w:val="auto"/>
          <w:szCs w:val="21"/>
        </w:rPr>
        <w:t>元(大写：</w:t>
      </w:r>
      <w:r>
        <w:rPr>
          <w:rFonts w:hint="eastAsia" w:ascii="黑体" w:hAnsi="黑体" w:eastAsia="黑体"/>
          <w:color w:val="auto"/>
          <w:szCs w:val="21"/>
          <w:u w:val="single"/>
        </w:rPr>
        <w:t xml:space="preserve">        </w:t>
      </w:r>
      <w:r>
        <w:rPr>
          <w:rFonts w:hint="eastAsia" w:ascii="黑体" w:hAnsi="黑体" w:eastAsia="黑体"/>
          <w:color w:val="auto"/>
          <w:szCs w:val="21"/>
        </w:rPr>
        <w:t xml:space="preserve"> )；即本项目的投标保证金金额。</w:t>
      </w:r>
    </w:p>
    <w:p w14:paraId="7878919E">
      <w:pPr>
        <w:spacing w:line="360" w:lineRule="auto"/>
        <w:rPr>
          <w:rFonts w:ascii="黑体" w:hAnsi="黑体" w:eastAsia="黑体"/>
          <w:color w:val="auto"/>
          <w:szCs w:val="21"/>
        </w:rPr>
      </w:pPr>
      <w:r>
        <w:rPr>
          <w:rFonts w:hint="eastAsia" w:ascii="黑体" w:hAnsi="黑体" w:eastAsia="黑体"/>
          <w:color w:val="auto"/>
          <w:szCs w:val="21"/>
        </w:rPr>
        <w:t>二、保证的方式及保证期间</w:t>
      </w:r>
    </w:p>
    <w:p w14:paraId="0B88ED3C">
      <w:pPr>
        <w:tabs>
          <w:tab w:val="left" w:pos="142"/>
          <w:tab w:val="left" w:pos="284"/>
        </w:tabs>
        <w:spacing w:line="360" w:lineRule="auto"/>
        <w:ind w:left="283" w:leftChars="135"/>
        <w:rPr>
          <w:rFonts w:ascii="黑体" w:hAnsi="黑体" w:eastAsia="黑体"/>
          <w:color w:val="auto"/>
          <w:szCs w:val="21"/>
        </w:rPr>
      </w:pPr>
      <w:r>
        <w:rPr>
          <w:rFonts w:hint="eastAsia" w:ascii="黑体" w:hAnsi="黑体" w:eastAsia="黑体"/>
          <w:color w:val="auto"/>
          <w:szCs w:val="21"/>
        </w:rPr>
        <w:t>我方保证的方式为：连带责任保证。</w:t>
      </w:r>
    </w:p>
    <w:p w14:paraId="50D01270">
      <w:pPr>
        <w:spacing w:line="360" w:lineRule="auto"/>
        <w:ind w:left="283" w:leftChars="135"/>
        <w:rPr>
          <w:rFonts w:ascii="黑体" w:hAnsi="黑体" w:eastAsia="黑体"/>
          <w:color w:val="auto"/>
          <w:szCs w:val="21"/>
        </w:rPr>
      </w:pPr>
      <w:r>
        <w:rPr>
          <w:rFonts w:hint="eastAsia" w:ascii="黑体" w:hAnsi="黑体" w:eastAsia="黑体"/>
          <w:color w:val="auto"/>
          <w:szCs w:val="21"/>
        </w:rPr>
        <w:t>我方的保证期间为：自本保函生效之日起</w:t>
      </w:r>
      <w:r>
        <w:rPr>
          <w:rFonts w:hint="eastAsia" w:ascii="黑体" w:hAnsi="黑体" w:eastAsia="黑体"/>
          <w:color w:val="auto"/>
          <w:szCs w:val="21"/>
          <w:u w:val="single"/>
        </w:rPr>
        <w:t xml:space="preserve">      </w:t>
      </w:r>
      <w:r>
        <w:rPr>
          <w:rFonts w:hint="eastAsia" w:ascii="黑体" w:hAnsi="黑体" w:eastAsia="黑体"/>
          <w:color w:val="auto"/>
          <w:szCs w:val="21"/>
        </w:rPr>
        <w:t>个月止。</w:t>
      </w:r>
    </w:p>
    <w:p w14:paraId="3251A46B">
      <w:pPr>
        <w:spacing w:line="360" w:lineRule="auto"/>
        <w:rPr>
          <w:rFonts w:ascii="黑体" w:hAnsi="黑体" w:eastAsia="黑体"/>
          <w:color w:val="auto"/>
          <w:szCs w:val="21"/>
        </w:rPr>
      </w:pPr>
      <w:r>
        <w:rPr>
          <w:rFonts w:hint="eastAsia" w:ascii="黑体" w:hAnsi="黑体" w:eastAsia="黑体"/>
          <w:color w:val="auto"/>
          <w:szCs w:val="21"/>
        </w:rPr>
        <w:t>三、承担保证责任的程序</w:t>
      </w:r>
    </w:p>
    <w:p w14:paraId="010EE888">
      <w:pPr>
        <w:spacing w:line="360" w:lineRule="auto"/>
        <w:ind w:left="281" w:leftChars="134"/>
        <w:rPr>
          <w:rFonts w:ascii="黑体" w:hAnsi="黑体" w:eastAsia="黑体"/>
          <w:color w:val="auto"/>
          <w:szCs w:val="21"/>
        </w:rPr>
      </w:pPr>
      <w:r>
        <w:rPr>
          <w:rFonts w:hint="eastAsia" w:ascii="黑体" w:hAnsi="黑体" w:eastAsia="黑体"/>
          <w:color w:val="auto"/>
          <w:szCs w:val="21"/>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2043B610">
      <w:pPr>
        <w:spacing w:line="360" w:lineRule="auto"/>
        <w:ind w:left="281" w:leftChars="134"/>
        <w:rPr>
          <w:rFonts w:ascii="黑体" w:hAnsi="黑体" w:eastAsia="黑体"/>
          <w:color w:val="auto"/>
          <w:szCs w:val="21"/>
        </w:rPr>
      </w:pPr>
      <w:r>
        <w:rPr>
          <w:rFonts w:hint="eastAsia" w:ascii="黑体" w:hAnsi="黑体" w:eastAsia="黑体"/>
          <w:color w:val="auto"/>
          <w:szCs w:val="21"/>
        </w:rPr>
        <w:t>2.我方在收到索赔通知及相关证明材料后，在</w:t>
      </w:r>
      <w:r>
        <w:rPr>
          <w:rFonts w:hint="eastAsia" w:ascii="黑体" w:hAnsi="黑体" w:eastAsia="黑体"/>
          <w:color w:val="auto"/>
          <w:szCs w:val="21"/>
          <w:u w:val="single"/>
        </w:rPr>
        <w:t xml:space="preserve">      </w:t>
      </w:r>
      <w:r>
        <w:rPr>
          <w:rFonts w:hint="eastAsia" w:ascii="黑体" w:hAnsi="黑体" w:eastAsia="黑体"/>
          <w:color w:val="auto"/>
          <w:szCs w:val="21"/>
        </w:rPr>
        <w:t>个工作日内进行审查，符合应承担保证责任情形的，我方应按照你方的要求代投标人向你方支付投标保证金。</w:t>
      </w:r>
    </w:p>
    <w:p w14:paraId="67C2F4F6">
      <w:pPr>
        <w:spacing w:line="360" w:lineRule="auto"/>
        <w:rPr>
          <w:rFonts w:ascii="黑体" w:hAnsi="黑体" w:eastAsia="黑体"/>
          <w:color w:val="auto"/>
          <w:szCs w:val="21"/>
        </w:rPr>
      </w:pPr>
      <w:r>
        <w:rPr>
          <w:rFonts w:hint="eastAsia" w:ascii="黑体" w:hAnsi="黑体" w:eastAsia="黑体"/>
          <w:color w:val="auto"/>
          <w:szCs w:val="21"/>
        </w:rPr>
        <w:t>四、保证责任的终止</w:t>
      </w:r>
    </w:p>
    <w:p w14:paraId="20DC25ED">
      <w:pPr>
        <w:spacing w:line="360" w:lineRule="auto"/>
        <w:ind w:left="283" w:leftChars="135"/>
        <w:rPr>
          <w:rFonts w:ascii="黑体" w:hAnsi="黑体" w:eastAsia="黑体"/>
          <w:color w:val="auto"/>
          <w:szCs w:val="21"/>
        </w:rPr>
      </w:pPr>
      <w:r>
        <w:rPr>
          <w:rFonts w:hint="eastAsia" w:ascii="黑体" w:hAnsi="黑体" w:eastAsia="黑体"/>
          <w:color w:val="auto"/>
          <w:szCs w:val="21"/>
        </w:rPr>
        <w:t>1.保证期间届满你方未向我方书面主张保证责任的，自保证期间届满次日起，我方保证责任自动终止。</w:t>
      </w:r>
    </w:p>
    <w:p w14:paraId="264A8DF7">
      <w:pPr>
        <w:spacing w:line="360" w:lineRule="auto"/>
        <w:ind w:left="283" w:leftChars="135"/>
        <w:rPr>
          <w:rFonts w:ascii="黑体" w:hAnsi="黑体" w:eastAsia="黑体"/>
          <w:color w:val="auto"/>
          <w:szCs w:val="21"/>
        </w:rPr>
      </w:pPr>
      <w:r>
        <w:rPr>
          <w:rFonts w:hint="eastAsia" w:ascii="黑体" w:hAnsi="黑体" w:eastAsia="黑体"/>
          <w:color w:val="auto"/>
          <w:szCs w:val="21"/>
        </w:rPr>
        <w:t>2.我方按照本保函向你贵方履行了保证责任后，自我方向你贵方支付款项(支付款项从我方账户划出)之日起,保证责任终止。</w:t>
      </w:r>
    </w:p>
    <w:p w14:paraId="15BA5DCE">
      <w:pPr>
        <w:spacing w:line="360" w:lineRule="auto"/>
        <w:ind w:left="283" w:leftChars="135"/>
        <w:rPr>
          <w:rFonts w:ascii="黑体" w:hAnsi="黑体" w:eastAsia="黑体"/>
          <w:color w:val="auto"/>
          <w:szCs w:val="21"/>
        </w:rPr>
      </w:pPr>
      <w:r>
        <w:rPr>
          <w:rFonts w:hint="eastAsia" w:ascii="黑体" w:hAnsi="黑体" w:eastAsia="黑体"/>
          <w:color w:val="auto"/>
          <w:szCs w:val="21"/>
        </w:rPr>
        <w:t>3.按照法律法规的规定或出现我方保证责任终止的其它情形的，我方在本保函项下的保证责任亦终止。</w:t>
      </w:r>
    </w:p>
    <w:p w14:paraId="5DB11BD3">
      <w:pPr>
        <w:spacing w:line="360" w:lineRule="auto"/>
        <w:rPr>
          <w:rFonts w:ascii="黑体" w:hAnsi="黑体" w:eastAsia="黑体"/>
          <w:color w:val="auto"/>
          <w:szCs w:val="21"/>
        </w:rPr>
      </w:pPr>
      <w:r>
        <w:rPr>
          <w:rFonts w:hint="eastAsia" w:ascii="黑体" w:hAnsi="黑体" w:eastAsia="黑体"/>
          <w:color w:val="auto"/>
          <w:szCs w:val="21"/>
        </w:rPr>
        <w:t>五、免责条款</w:t>
      </w:r>
    </w:p>
    <w:p w14:paraId="1A57BB1B">
      <w:pPr>
        <w:spacing w:line="360" w:lineRule="auto"/>
        <w:ind w:left="283" w:leftChars="135"/>
        <w:rPr>
          <w:rFonts w:ascii="黑体" w:hAnsi="黑体" w:eastAsia="黑体"/>
          <w:color w:val="auto"/>
          <w:szCs w:val="21"/>
        </w:rPr>
      </w:pPr>
      <w:r>
        <w:rPr>
          <w:rFonts w:hint="eastAsia" w:ascii="黑体" w:hAnsi="黑体" w:eastAsia="黑体"/>
          <w:color w:val="auto"/>
          <w:szCs w:val="21"/>
        </w:rPr>
        <w:t>1.依照法律规定或你方与投标人的另行约定，全部或者部分免除投标人投标保证金义务时，我方亦免除相应的保证责任。</w:t>
      </w:r>
    </w:p>
    <w:p w14:paraId="2F8A2730">
      <w:pPr>
        <w:spacing w:line="360" w:lineRule="auto"/>
        <w:ind w:left="283" w:leftChars="135"/>
        <w:rPr>
          <w:rFonts w:ascii="黑体" w:hAnsi="黑体" w:eastAsia="黑体"/>
          <w:color w:val="auto"/>
          <w:szCs w:val="21"/>
        </w:rPr>
      </w:pPr>
      <w:r>
        <w:rPr>
          <w:rFonts w:hint="eastAsia" w:ascii="黑体" w:hAnsi="黑体" w:eastAsia="黑体"/>
          <w:color w:val="auto"/>
          <w:szCs w:val="21"/>
        </w:rPr>
        <w:t>2.因你方原因致使投标人发生本保函第一条第（一）款约定情形的，我方不承担保证责任。</w:t>
      </w:r>
    </w:p>
    <w:p w14:paraId="09277F77">
      <w:pPr>
        <w:spacing w:line="360" w:lineRule="auto"/>
        <w:ind w:left="283" w:leftChars="135"/>
        <w:rPr>
          <w:rFonts w:ascii="黑体" w:hAnsi="黑体" w:eastAsia="黑体"/>
          <w:color w:val="auto"/>
          <w:szCs w:val="21"/>
        </w:rPr>
      </w:pPr>
      <w:r>
        <w:rPr>
          <w:rFonts w:hint="eastAsia" w:ascii="黑体" w:hAnsi="黑体" w:eastAsia="黑体"/>
          <w:color w:val="auto"/>
          <w:szCs w:val="21"/>
        </w:rPr>
        <w:t>3.因不可抗力造成投标人发生本保函第一条约定情形的，我方不承担保证责任。</w:t>
      </w:r>
    </w:p>
    <w:p w14:paraId="1CF9ADFC">
      <w:pPr>
        <w:spacing w:line="360" w:lineRule="auto"/>
        <w:ind w:left="283" w:leftChars="135"/>
        <w:rPr>
          <w:rFonts w:ascii="黑体" w:hAnsi="黑体" w:eastAsia="黑体"/>
          <w:color w:val="auto"/>
          <w:szCs w:val="21"/>
        </w:rPr>
      </w:pPr>
      <w:r>
        <w:rPr>
          <w:rFonts w:hint="eastAsia" w:ascii="黑体" w:hAnsi="黑体" w:eastAsia="黑体"/>
          <w:color w:val="auto"/>
          <w:szCs w:val="21"/>
        </w:rPr>
        <w:t>4.你方或其他有权机关对招标文件进行任何澄清或修改，加重我方保证责任的，我方对加重部分不承担保证责任，但该澄清或修改经我方事先书面同意的除外。</w:t>
      </w:r>
    </w:p>
    <w:p w14:paraId="0B3B258B">
      <w:pPr>
        <w:spacing w:line="360" w:lineRule="auto"/>
        <w:rPr>
          <w:rFonts w:ascii="黑体" w:hAnsi="黑体" w:eastAsia="黑体"/>
          <w:color w:val="auto"/>
          <w:szCs w:val="21"/>
        </w:rPr>
      </w:pPr>
      <w:r>
        <w:rPr>
          <w:rFonts w:hint="eastAsia" w:ascii="黑体" w:hAnsi="黑体" w:eastAsia="黑体"/>
          <w:color w:val="auto"/>
          <w:szCs w:val="21"/>
        </w:rPr>
        <w:t>六、争议的解决</w:t>
      </w:r>
    </w:p>
    <w:p w14:paraId="2A23C218">
      <w:pPr>
        <w:spacing w:line="360" w:lineRule="auto"/>
        <w:ind w:firstLine="420" w:firstLineChars="200"/>
        <w:rPr>
          <w:rFonts w:ascii="黑体" w:hAnsi="黑体" w:eastAsia="黑体"/>
          <w:color w:val="auto"/>
          <w:szCs w:val="21"/>
        </w:rPr>
      </w:pPr>
      <w:r>
        <w:rPr>
          <w:rFonts w:hint="eastAsia" w:ascii="黑体" w:hAnsi="黑体" w:eastAsia="黑体"/>
          <w:color w:val="auto"/>
          <w:szCs w:val="21"/>
        </w:rPr>
        <w:t>因本保函发生的纠纷，由你我双方协商解决，协商不成的，通过诉讼程序解决,诉讼管辖地法院为</w:t>
      </w:r>
      <w:r>
        <w:rPr>
          <w:rFonts w:hint="eastAsia" w:ascii="黑体" w:hAnsi="黑体" w:eastAsia="黑体"/>
          <w:color w:val="auto"/>
          <w:szCs w:val="21"/>
          <w:u w:val="single"/>
        </w:rPr>
        <w:t xml:space="preserve">           </w:t>
      </w:r>
      <w:r>
        <w:rPr>
          <w:rFonts w:hint="eastAsia" w:ascii="黑体" w:hAnsi="黑体" w:eastAsia="黑体"/>
          <w:color w:val="auto"/>
          <w:szCs w:val="21"/>
        </w:rPr>
        <w:t>法院。</w:t>
      </w:r>
    </w:p>
    <w:p w14:paraId="640D1218">
      <w:pPr>
        <w:spacing w:line="360" w:lineRule="auto"/>
        <w:rPr>
          <w:rFonts w:ascii="黑体" w:hAnsi="黑体" w:eastAsia="黑体"/>
          <w:color w:val="auto"/>
          <w:szCs w:val="21"/>
        </w:rPr>
      </w:pPr>
      <w:r>
        <w:rPr>
          <w:rFonts w:hint="eastAsia" w:ascii="黑体" w:hAnsi="黑体" w:eastAsia="黑体"/>
          <w:color w:val="auto"/>
          <w:szCs w:val="21"/>
        </w:rPr>
        <w:t>七、保函的生效</w:t>
      </w:r>
    </w:p>
    <w:p w14:paraId="330ED579">
      <w:pPr>
        <w:spacing w:line="360" w:lineRule="auto"/>
        <w:ind w:firstLine="420" w:firstLineChars="200"/>
        <w:rPr>
          <w:rFonts w:ascii="黑体" w:hAnsi="黑体" w:eastAsia="黑体"/>
          <w:color w:val="auto"/>
          <w:szCs w:val="21"/>
        </w:rPr>
      </w:pPr>
      <w:r>
        <w:rPr>
          <w:rFonts w:hint="eastAsia" w:ascii="黑体" w:hAnsi="黑体" w:eastAsia="黑体"/>
          <w:color w:val="auto"/>
          <w:szCs w:val="21"/>
        </w:rPr>
        <w:t>本保函自我方加盖公章之日起生效。</w:t>
      </w:r>
    </w:p>
    <w:p w14:paraId="58FCDA24">
      <w:pPr>
        <w:spacing w:before="936" w:beforeLines="300" w:line="360" w:lineRule="auto"/>
        <w:jc w:val="right"/>
        <w:rPr>
          <w:rFonts w:ascii="黑体" w:hAnsi="黑体" w:eastAsia="黑体"/>
          <w:color w:val="auto"/>
          <w:szCs w:val="21"/>
        </w:rPr>
      </w:pPr>
      <w:r>
        <w:rPr>
          <w:rFonts w:hint="eastAsia" w:ascii="黑体" w:hAnsi="黑体" w:eastAsia="黑体"/>
          <w:color w:val="auto"/>
          <w:szCs w:val="21"/>
        </w:rPr>
        <w:t>保证人：(公章)</w:t>
      </w:r>
    </w:p>
    <w:p w14:paraId="6A3F96B9">
      <w:pPr>
        <w:spacing w:line="360" w:lineRule="auto"/>
        <w:jc w:val="right"/>
        <w:rPr>
          <w:rFonts w:ascii="黑体" w:hAnsi="黑体" w:eastAsia="黑体"/>
          <w:color w:val="auto"/>
          <w:szCs w:val="21"/>
        </w:rPr>
      </w:pPr>
      <w:r>
        <w:rPr>
          <w:rFonts w:hint="eastAsia" w:ascii="黑体" w:hAnsi="黑体" w:eastAsia="黑体"/>
          <w:color w:val="auto"/>
          <w:szCs w:val="21"/>
        </w:rPr>
        <w:t>年   月   日</w:t>
      </w:r>
    </w:p>
    <w:p w14:paraId="23922481">
      <w:pPr>
        <w:rPr>
          <w:color w:val="auto"/>
        </w:rPr>
      </w:pPr>
    </w:p>
    <w:p w14:paraId="7DBFDD20">
      <w:pPr>
        <w:pageBreakBefore/>
        <w:spacing w:before="312" w:beforeLines="100" w:after="312" w:afterLines="100" w:line="360" w:lineRule="auto"/>
        <w:jc w:val="center"/>
        <w:rPr>
          <w:rFonts w:ascii="黑体" w:hAnsi="黑体" w:eastAsia="黑体"/>
          <w:b/>
          <w:color w:val="auto"/>
          <w:spacing w:val="20"/>
          <w:sz w:val="30"/>
          <w:szCs w:val="30"/>
        </w:rPr>
      </w:pPr>
      <w:r>
        <w:rPr>
          <w:rFonts w:hint="eastAsia" w:ascii="黑体" w:hAnsi="黑体" w:eastAsia="黑体"/>
          <w:b/>
          <w:color w:val="auto"/>
          <w:spacing w:val="20"/>
          <w:sz w:val="30"/>
          <w:szCs w:val="30"/>
        </w:rPr>
        <w:t>政府采购履约担保</w:t>
      </w:r>
    </w:p>
    <w:p w14:paraId="4D8027BB">
      <w:pPr>
        <w:spacing w:line="360" w:lineRule="auto"/>
        <w:ind w:firstLine="6261" w:firstLineChars="2970"/>
        <w:rPr>
          <w:rFonts w:ascii="黑体" w:hAnsi="黑体" w:eastAsia="黑体"/>
          <w:b/>
          <w:color w:val="auto"/>
          <w:szCs w:val="21"/>
        </w:rPr>
      </w:pPr>
      <w:r>
        <w:rPr>
          <w:rFonts w:hint="eastAsia" w:ascii="黑体" w:hAnsi="黑体" w:eastAsia="黑体"/>
          <w:b/>
          <w:color w:val="auto"/>
          <w:szCs w:val="21"/>
        </w:rPr>
        <w:t>编号：</w:t>
      </w:r>
    </w:p>
    <w:p w14:paraId="3EE02B43">
      <w:pPr>
        <w:spacing w:line="360" w:lineRule="auto"/>
        <w:rPr>
          <w:rFonts w:ascii="黑体" w:hAnsi="黑体" w:eastAsia="黑体"/>
          <w:color w:val="auto"/>
          <w:szCs w:val="21"/>
        </w:rPr>
      </w:pPr>
      <w:r>
        <w:rPr>
          <w:rFonts w:hint="eastAsia" w:ascii="黑体" w:hAnsi="黑体" w:eastAsia="黑体"/>
          <w:color w:val="auto"/>
          <w:szCs w:val="21"/>
          <w:u w:val="single"/>
        </w:rPr>
        <w:t xml:space="preserve">                 </w:t>
      </w:r>
      <w:r>
        <w:rPr>
          <w:rFonts w:hint="eastAsia" w:ascii="黑体" w:hAnsi="黑体" w:eastAsia="黑体"/>
          <w:color w:val="auto"/>
          <w:szCs w:val="21"/>
        </w:rPr>
        <w:t>(采购人)：</w:t>
      </w:r>
    </w:p>
    <w:p w14:paraId="3110C72F">
      <w:pPr>
        <w:spacing w:line="360" w:lineRule="auto"/>
        <w:ind w:firstLine="420" w:firstLineChars="200"/>
        <w:rPr>
          <w:rFonts w:ascii="黑体" w:hAnsi="黑体" w:eastAsia="黑体"/>
          <w:color w:val="auto"/>
          <w:szCs w:val="21"/>
        </w:rPr>
      </w:pPr>
      <w:r>
        <w:rPr>
          <w:rFonts w:hint="eastAsia" w:ascii="黑体" w:hAnsi="黑体" w:eastAsia="黑体"/>
          <w:color w:val="auto"/>
          <w:szCs w:val="21"/>
        </w:rPr>
        <w:t>鉴于你方与</w:t>
      </w:r>
      <w:r>
        <w:rPr>
          <w:rFonts w:hint="eastAsia" w:ascii="黑体" w:hAnsi="黑体" w:eastAsia="黑体"/>
          <w:color w:val="auto"/>
          <w:szCs w:val="21"/>
          <w:u w:val="single"/>
        </w:rPr>
        <w:t xml:space="preserve">                      </w:t>
      </w:r>
      <w:r>
        <w:rPr>
          <w:rFonts w:hint="eastAsia" w:ascii="黑体" w:hAnsi="黑体" w:eastAsia="黑体"/>
          <w:color w:val="auto"/>
          <w:szCs w:val="21"/>
        </w:rPr>
        <w:t>（以下简称供应商）于</w:t>
      </w:r>
      <w:r>
        <w:rPr>
          <w:rFonts w:hint="eastAsia" w:ascii="黑体" w:hAnsi="黑体" w:eastAsia="黑体"/>
          <w:color w:val="auto"/>
          <w:szCs w:val="21"/>
          <w:u w:val="single"/>
        </w:rPr>
        <w:t xml:space="preserve">    </w:t>
      </w:r>
      <w:r>
        <w:rPr>
          <w:rFonts w:hint="eastAsia" w:ascii="黑体" w:hAnsi="黑体" w:eastAsia="黑体"/>
          <w:color w:val="auto"/>
          <w:szCs w:val="21"/>
        </w:rPr>
        <w:t>年</w:t>
      </w:r>
      <w:r>
        <w:rPr>
          <w:rFonts w:hint="eastAsia" w:ascii="黑体" w:hAnsi="黑体" w:eastAsia="黑体"/>
          <w:color w:val="auto"/>
          <w:szCs w:val="21"/>
          <w:u w:val="single"/>
        </w:rPr>
        <w:t xml:space="preserve">   </w:t>
      </w:r>
      <w:r>
        <w:rPr>
          <w:rFonts w:hint="eastAsia" w:ascii="黑体" w:hAnsi="黑体" w:eastAsia="黑体"/>
          <w:color w:val="auto"/>
          <w:szCs w:val="21"/>
        </w:rPr>
        <w:t>月</w:t>
      </w:r>
      <w:r>
        <w:rPr>
          <w:rFonts w:hint="eastAsia" w:ascii="黑体" w:hAnsi="黑体" w:eastAsia="黑体"/>
          <w:color w:val="auto"/>
          <w:szCs w:val="21"/>
          <w:u w:val="single"/>
        </w:rPr>
        <w:t xml:space="preserve">   </w:t>
      </w:r>
      <w:r>
        <w:rPr>
          <w:rFonts w:hint="eastAsia" w:ascii="黑体" w:hAnsi="黑体" w:eastAsia="黑体"/>
          <w:color w:val="auto"/>
          <w:szCs w:val="21"/>
        </w:rPr>
        <w:t>日 自签定编号为</w:t>
      </w:r>
      <w:r>
        <w:rPr>
          <w:rFonts w:hint="eastAsia" w:ascii="黑体" w:hAnsi="黑体" w:eastAsia="黑体"/>
          <w:color w:val="auto"/>
          <w:szCs w:val="21"/>
          <w:u w:val="single"/>
        </w:rPr>
        <w:t xml:space="preserve">             </w:t>
      </w:r>
      <w:r>
        <w:rPr>
          <w:rFonts w:hint="eastAsia" w:ascii="黑体" w:hAnsi="黑体" w:eastAsia="黑体"/>
          <w:color w:val="auto"/>
          <w:szCs w:val="21"/>
        </w:rPr>
        <w:t>的《</w:t>
      </w:r>
      <w:r>
        <w:rPr>
          <w:rFonts w:hint="eastAsia" w:ascii="黑体" w:hAnsi="黑体" w:eastAsia="黑体"/>
          <w:color w:val="auto"/>
          <w:szCs w:val="21"/>
          <w:u w:val="single"/>
        </w:rPr>
        <w:t xml:space="preserve">                  </w:t>
      </w:r>
      <w:r>
        <w:rPr>
          <w:rFonts w:hint="eastAsia" w:ascii="黑体" w:hAnsi="黑体" w:eastAsia="黑体"/>
          <w:color w:val="auto"/>
          <w:szCs w:val="21"/>
        </w:rPr>
        <w:t>政府采购合同》 (以下简称主合同)，且依据该合同的约定，供应商应在</w:t>
      </w:r>
      <w:r>
        <w:rPr>
          <w:rFonts w:hint="eastAsia" w:ascii="黑体" w:hAnsi="黑体" w:eastAsia="黑体"/>
          <w:color w:val="auto"/>
          <w:szCs w:val="21"/>
          <w:u w:val="single"/>
        </w:rPr>
        <w:t xml:space="preserve">       </w:t>
      </w:r>
      <w:r>
        <w:rPr>
          <w:rFonts w:hint="eastAsia" w:ascii="黑体" w:hAnsi="黑体" w:eastAsia="黑体"/>
          <w:color w:val="auto"/>
          <w:szCs w:val="21"/>
        </w:rPr>
        <w:t>年</w:t>
      </w:r>
      <w:r>
        <w:rPr>
          <w:rFonts w:hint="eastAsia" w:ascii="黑体" w:hAnsi="黑体" w:eastAsia="黑体"/>
          <w:color w:val="auto"/>
          <w:szCs w:val="21"/>
          <w:u w:val="single"/>
        </w:rPr>
        <w:t xml:space="preserve">   </w:t>
      </w:r>
      <w:r>
        <w:rPr>
          <w:rFonts w:hint="eastAsia" w:ascii="黑体" w:hAnsi="黑体" w:eastAsia="黑体"/>
          <w:color w:val="auto"/>
          <w:szCs w:val="21"/>
        </w:rPr>
        <w:t>月</w:t>
      </w:r>
      <w:r>
        <w:rPr>
          <w:rFonts w:hint="eastAsia" w:ascii="黑体" w:hAnsi="黑体" w:eastAsia="黑体"/>
          <w:color w:val="auto"/>
          <w:szCs w:val="21"/>
          <w:u w:val="single"/>
        </w:rPr>
        <w:t xml:space="preserve">   </w:t>
      </w:r>
      <w:r>
        <w:rPr>
          <w:rFonts w:hint="eastAsia" w:ascii="黑体" w:hAnsi="黑体" w:eastAsia="黑体"/>
          <w:color w:val="auto"/>
          <w:szCs w:val="21"/>
        </w:rPr>
        <w:t>日前向你方交纳履约保证金，且可以履约担保函的形式交纳厦约保证金。应供应商的申请，我方以保证的方式向你方提供如下履约保证金担保：</w:t>
      </w:r>
    </w:p>
    <w:p w14:paraId="3703B660">
      <w:pPr>
        <w:spacing w:line="360" w:lineRule="auto"/>
        <w:rPr>
          <w:rFonts w:ascii="黑体" w:hAnsi="黑体" w:eastAsia="黑体"/>
          <w:color w:val="auto"/>
          <w:szCs w:val="21"/>
        </w:rPr>
      </w:pPr>
      <w:r>
        <w:rPr>
          <w:rFonts w:hint="eastAsia" w:ascii="黑体" w:hAnsi="黑体" w:eastAsia="黑体"/>
          <w:color w:val="auto"/>
          <w:szCs w:val="21"/>
        </w:rPr>
        <w:t>一、保证责任的情形及保证金额</w:t>
      </w:r>
    </w:p>
    <w:p w14:paraId="0079B70F">
      <w:pPr>
        <w:spacing w:line="360" w:lineRule="auto"/>
        <w:ind w:left="141" w:leftChars="67"/>
        <w:rPr>
          <w:rFonts w:ascii="黑体" w:hAnsi="黑体" w:eastAsia="黑体"/>
          <w:color w:val="auto"/>
          <w:szCs w:val="21"/>
        </w:rPr>
      </w:pPr>
      <w:r>
        <w:rPr>
          <w:rFonts w:hint="eastAsia" w:ascii="黑体" w:hAnsi="黑体" w:eastAsia="黑体"/>
          <w:color w:val="auto"/>
          <w:szCs w:val="21"/>
        </w:rPr>
        <w:t>（一）在供应商出现下列情形之一时，我方承担保证责任：</w:t>
      </w:r>
    </w:p>
    <w:p w14:paraId="493E25C9">
      <w:pPr>
        <w:spacing w:line="360" w:lineRule="auto"/>
        <w:ind w:left="283" w:leftChars="135"/>
        <w:rPr>
          <w:rFonts w:ascii="黑体" w:hAnsi="黑体" w:eastAsia="黑体"/>
          <w:color w:val="auto"/>
          <w:szCs w:val="21"/>
        </w:rPr>
      </w:pPr>
      <w:r>
        <w:rPr>
          <w:rFonts w:hint="eastAsia" w:ascii="黑体" w:hAnsi="黑体" w:eastAsia="黑体"/>
          <w:color w:val="auto"/>
          <w:szCs w:val="21"/>
        </w:rPr>
        <w:t>1.将中标项目转让给他人，或者在投标文件中未说明，且未经采购招标机构人同意,将中标项目分包给他人的；</w:t>
      </w:r>
    </w:p>
    <w:p w14:paraId="1CC270D4">
      <w:pPr>
        <w:spacing w:line="360" w:lineRule="auto"/>
        <w:ind w:left="283" w:leftChars="135"/>
        <w:rPr>
          <w:rFonts w:ascii="黑体" w:hAnsi="黑体" w:eastAsia="黑体"/>
          <w:color w:val="auto"/>
          <w:szCs w:val="21"/>
        </w:rPr>
      </w:pPr>
      <w:r>
        <w:rPr>
          <w:rFonts w:hint="eastAsia" w:ascii="黑体" w:hAnsi="黑体" w:eastAsia="黑体"/>
          <w:color w:val="auto"/>
          <w:szCs w:val="21"/>
        </w:rPr>
        <w:t>2.主合同约定的应当缴约履约保证金的情形</w:t>
      </w:r>
    </w:p>
    <w:p w14:paraId="2363B30A">
      <w:pPr>
        <w:spacing w:line="360" w:lineRule="auto"/>
        <w:ind w:left="283" w:leftChars="135"/>
        <w:rPr>
          <w:rFonts w:ascii="黑体" w:hAnsi="黑体" w:eastAsia="黑体"/>
          <w:color w:val="auto"/>
          <w:szCs w:val="21"/>
        </w:rPr>
      </w:pPr>
      <w:r>
        <w:rPr>
          <w:rFonts w:hint="eastAsia" w:ascii="黑体" w:hAnsi="黑体" w:eastAsia="黑体"/>
          <w:color w:val="auto"/>
          <w:szCs w:val="21"/>
        </w:rPr>
        <w:t>(1)未按主合同约定的质量、数量和期限供应货物/提供服务/完成工程的；</w:t>
      </w:r>
    </w:p>
    <w:p w14:paraId="46D0CB80">
      <w:pPr>
        <w:spacing w:line="360" w:lineRule="auto"/>
        <w:ind w:left="283" w:leftChars="135"/>
        <w:rPr>
          <w:rFonts w:ascii="黑体" w:hAnsi="黑体" w:eastAsia="黑体"/>
          <w:color w:val="auto"/>
          <w:szCs w:val="21"/>
        </w:rPr>
      </w:pPr>
      <w:r>
        <w:rPr>
          <w:rFonts w:hint="eastAsia" w:ascii="黑体" w:hAnsi="黑体" w:eastAsia="黑体"/>
          <w:color w:val="auto"/>
          <w:szCs w:val="21"/>
        </w:rPr>
        <w:t>(2)</w:t>
      </w:r>
      <w:r>
        <w:rPr>
          <w:rFonts w:hint="eastAsia" w:ascii="黑体" w:hAnsi="黑体" w:eastAsia="黑体"/>
          <w:color w:val="auto"/>
          <w:szCs w:val="21"/>
          <w:u w:val="single"/>
        </w:rPr>
        <w:t xml:space="preserve">                                                            。</w:t>
      </w:r>
    </w:p>
    <w:p w14:paraId="7FCC75DA">
      <w:pPr>
        <w:spacing w:line="360" w:lineRule="auto"/>
        <w:ind w:left="283" w:leftChars="135"/>
        <w:rPr>
          <w:rFonts w:ascii="黑体" w:hAnsi="黑体" w:eastAsia="黑体"/>
          <w:color w:val="auto"/>
          <w:szCs w:val="21"/>
        </w:rPr>
      </w:pPr>
      <w:r>
        <w:rPr>
          <w:rFonts w:hint="eastAsia" w:ascii="黑体" w:hAnsi="黑体" w:eastAsia="黑体"/>
          <w:color w:val="auto"/>
          <w:szCs w:val="21"/>
        </w:rPr>
        <w:t>(二)我方的保证范围是主合同约定的合同价款总额的</w:t>
      </w:r>
      <w:r>
        <w:rPr>
          <w:rFonts w:hint="eastAsia" w:ascii="黑体" w:hAnsi="黑体" w:eastAsia="黑体"/>
          <w:color w:val="auto"/>
          <w:szCs w:val="21"/>
          <w:u w:val="single"/>
        </w:rPr>
        <w:t xml:space="preserve">      </w:t>
      </w:r>
      <w:r>
        <w:rPr>
          <w:rFonts w:hint="eastAsia" w:ascii="黑体" w:hAnsi="黑体" w:eastAsia="黑体"/>
          <w:color w:val="auto"/>
          <w:szCs w:val="21"/>
        </w:rPr>
        <w:t>%数额为</w:t>
      </w:r>
      <w:r>
        <w:rPr>
          <w:rFonts w:hint="eastAsia" w:ascii="黑体" w:hAnsi="黑体" w:eastAsia="黑体"/>
          <w:color w:val="auto"/>
          <w:szCs w:val="21"/>
          <w:u w:val="single"/>
        </w:rPr>
        <w:t xml:space="preserve">        </w:t>
      </w:r>
      <w:r>
        <w:rPr>
          <w:rFonts w:hint="eastAsia" w:ascii="黑体" w:hAnsi="黑体" w:eastAsia="黑体"/>
          <w:color w:val="auto"/>
          <w:szCs w:val="21"/>
        </w:rPr>
        <w:t>元(大写：</w:t>
      </w:r>
      <w:r>
        <w:rPr>
          <w:rFonts w:hint="eastAsia" w:ascii="黑体" w:hAnsi="黑体" w:eastAsia="黑体"/>
          <w:color w:val="auto"/>
          <w:szCs w:val="21"/>
          <w:u w:val="single"/>
        </w:rPr>
        <w:t xml:space="preserve">          </w:t>
      </w:r>
      <w:r>
        <w:rPr>
          <w:rFonts w:hint="eastAsia" w:ascii="黑体" w:hAnsi="黑体" w:eastAsia="黑体"/>
          <w:color w:val="auto"/>
          <w:szCs w:val="21"/>
        </w:rPr>
        <w:t>)，币种为</w:t>
      </w:r>
      <w:r>
        <w:rPr>
          <w:rFonts w:hint="eastAsia" w:ascii="黑体" w:hAnsi="黑体" w:eastAsia="黑体"/>
          <w:color w:val="auto"/>
          <w:szCs w:val="21"/>
          <w:u w:val="single"/>
        </w:rPr>
        <w:t xml:space="preserve">                。</w:t>
      </w:r>
      <w:r>
        <w:rPr>
          <w:rFonts w:hint="eastAsia" w:ascii="黑体" w:hAnsi="黑体" w:eastAsia="黑体"/>
          <w:color w:val="auto"/>
          <w:szCs w:val="21"/>
        </w:rPr>
        <w:t>（即主合同履约保证金金额）</w:t>
      </w:r>
    </w:p>
    <w:p w14:paraId="70481E63">
      <w:pPr>
        <w:spacing w:line="360" w:lineRule="auto"/>
        <w:rPr>
          <w:rFonts w:ascii="黑体" w:hAnsi="黑体" w:eastAsia="黑体"/>
          <w:color w:val="auto"/>
          <w:szCs w:val="21"/>
        </w:rPr>
      </w:pPr>
      <w:r>
        <w:rPr>
          <w:rFonts w:hint="eastAsia" w:ascii="黑体" w:hAnsi="黑体" w:eastAsia="黑体"/>
          <w:color w:val="auto"/>
          <w:szCs w:val="21"/>
        </w:rPr>
        <w:t>二、保证的方式及保证期间</w:t>
      </w:r>
    </w:p>
    <w:p w14:paraId="3707DE63">
      <w:pPr>
        <w:spacing w:line="360" w:lineRule="auto"/>
        <w:ind w:firstLine="420" w:firstLineChars="200"/>
        <w:rPr>
          <w:rFonts w:ascii="黑体" w:hAnsi="黑体" w:eastAsia="黑体"/>
          <w:color w:val="auto"/>
          <w:szCs w:val="21"/>
        </w:rPr>
      </w:pPr>
      <w:r>
        <w:rPr>
          <w:rFonts w:hint="eastAsia" w:ascii="黑体" w:hAnsi="黑体" w:eastAsia="黑体"/>
          <w:color w:val="auto"/>
          <w:szCs w:val="21"/>
        </w:rPr>
        <w:t>我方保证的方式为：连带责任保证。</w:t>
      </w:r>
    </w:p>
    <w:p w14:paraId="16614717">
      <w:pPr>
        <w:spacing w:line="360" w:lineRule="auto"/>
        <w:ind w:firstLine="420" w:firstLineChars="200"/>
        <w:rPr>
          <w:rFonts w:ascii="黑体" w:hAnsi="黑体" w:eastAsia="黑体"/>
          <w:color w:val="auto"/>
          <w:szCs w:val="21"/>
        </w:rPr>
      </w:pPr>
      <w:r>
        <w:rPr>
          <w:rFonts w:hint="eastAsia" w:ascii="黑体" w:hAnsi="黑体" w:eastAsia="黑体"/>
          <w:color w:val="auto"/>
          <w:szCs w:val="21"/>
        </w:rPr>
        <w:t>我方保证的期间为：自本合同生效之日起至供应商按照主合同约定的供货/完工期限届满后</w:t>
      </w:r>
      <w:r>
        <w:rPr>
          <w:rFonts w:hint="eastAsia" w:ascii="黑体" w:hAnsi="黑体" w:eastAsia="黑体"/>
          <w:color w:val="auto"/>
          <w:szCs w:val="21"/>
          <w:u w:val="single"/>
        </w:rPr>
        <w:t xml:space="preserve">    </w:t>
      </w:r>
      <w:r>
        <w:rPr>
          <w:rFonts w:hint="eastAsia" w:ascii="黑体" w:hAnsi="黑体" w:eastAsia="黑体"/>
          <w:color w:val="auto"/>
          <w:szCs w:val="21"/>
        </w:rPr>
        <w:t>日内。</w:t>
      </w:r>
    </w:p>
    <w:p w14:paraId="7B14A399">
      <w:pPr>
        <w:spacing w:line="360" w:lineRule="auto"/>
        <w:ind w:firstLine="420" w:firstLineChars="200"/>
        <w:rPr>
          <w:rFonts w:ascii="黑体" w:hAnsi="黑体" w:eastAsia="黑体"/>
          <w:color w:val="auto"/>
          <w:szCs w:val="21"/>
        </w:rPr>
      </w:pPr>
      <w:r>
        <w:rPr>
          <w:rFonts w:hint="eastAsia" w:ascii="黑体" w:hAnsi="黑体" w:eastAsia="黑体"/>
          <w:color w:val="auto"/>
          <w:szCs w:val="21"/>
        </w:rPr>
        <w:t>如果供应商未按主合同约定向贵方供应货物/提供服务/完成工程的，由我方在保证金额内向你方支付上述款项。</w:t>
      </w:r>
    </w:p>
    <w:p w14:paraId="788445B2">
      <w:pPr>
        <w:spacing w:line="360" w:lineRule="auto"/>
        <w:rPr>
          <w:rFonts w:ascii="黑体" w:hAnsi="黑体" w:eastAsia="黑体"/>
          <w:color w:val="auto"/>
          <w:szCs w:val="21"/>
        </w:rPr>
      </w:pPr>
      <w:r>
        <w:rPr>
          <w:rFonts w:hint="eastAsia" w:ascii="黑体" w:hAnsi="黑体" w:eastAsia="黑体"/>
          <w:color w:val="auto"/>
          <w:szCs w:val="21"/>
        </w:rPr>
        <w:t>三、承担保证责任的程序</w:t>
      </w:r>
    </w:p>
    <w:p w14:paraId="423E8281">
      <w:pPr>
        <w:spacing w:line="360" w:lineRule="auto"/>
        <w:ind w:left="283" w:leftChars="135"/>
        <w:rPr>
          <w:rFonts w:ascii="黑体" w:hAnsi="黑体" w:eastAsia="黑体"/>
          <w:color w:val="auto"/>
          <w:szCs w:val="21"/>
        </w:rPr>
      </w:pPr>
      <w:r>
        <w:rPr>
          <w:rFonts w:hint="eastAsia" w:ascii="黑体" w:hAnsi="黑体" w:eastAsia="黑体"/>
          <w:color w:val="auto"/>
          <w:szCs w:val="21"/>
        </w:rPr>
        <w:t>1.你方要求我方承担保证责任的，应在本保函保证期间内向我方发出书面索赔通知，索赔通知应写明要求索赔的金额，支付款项应到达的账号并附有证明供应商违约事实的证明材料。</w:t>
      </w:r>
    </w:p>
    <w:p w14:paraId="60DB5208">
      <w:pPr>
        <w:spacing w:line="360" w:lineRule="auto"/>
        <w:ind w:left="283" w:leftChars="135"/>
        <w:rPr>
          <w:rFonts w:ascii="黑体" w:hAnsi="黑体" w:eastAsia="黑体"/>
          <w:color w:val="auto"/>
          <w:szCs w:val="21"/>
        </w:rPr>
      </w:pPr>
      <w:r>
        <w:rPr>
          <w:rFonts w:hint="eastAsia" w:ascii="黑体" w:hAnsi="黑体" w:eastAsia="黑体"/>
          <w:color w:val="auto"/>
          <w:szCs w:val="21"/>
        </w:rPr>
        <w:t>如果你方与供应商因货物质量问题产生争议，你方还需同时提供</w:t>
      </w:r>
      <w:r>
        <w:rPr>
          <w:rFonts w:hint="eastAsia" w:ascii="黑体" w:hAnsi="黑体" w:eastAsia="黑体"/>
          <w:color w:val="auto"/>
          <w:szCs w:val="21"/>
          <w:u w:val="single"/>
        </w:rPr>
        <w:t xml:space="preserve">          </w:t>
      </w:r>
      <w:r>
        <w:rPr>
          <w:rFonts w:hint="eastAsia" w:ascii="黑体" w:hAnsi="黑体" w:eastAsia="黑体"/>
          <w:color w:val="auto"/>
          <w:szCs w:val="21"/>
        </w:rPr>
        <w:t>部门出具的质量检测报告，或经诉讼(仲裁)程序裁决后的裁决书、调解书，本保证人即按照检测结果或裁决书、调解书决定是否承担保证责任。</w:t>
      </w:r>
    </w:p>
    <w:p w14:paraId="555F835F">
      <w:pPr>
        <w:spacing w:line="360" w:lineRule="auto"/>
        <w:ind w:left="283" w:leftChars="135"/>
        <w:rPr>
          <w:rFonts w:ascii="黑体" w:hAnsi="黑体" w:eastAsia="黑体"/>
          <w:color w:val="auto"/>
          <w:szCs w:val="21"/>
        </w:rPr>
      </w:pPr>
      <w:r>
        <w:rPr>
          <w:rFonts w:hint="eastAsia" w:ascii="黑体" w:hAnsi="黑体" w:eastAsia="黑体"/>
          <w:color w:val="auto"/>
          <w:szCs w:val="21"/>
        </w:rPr>
        <w:t>2.我方收到你方的书面索赔通知及相应证明材料，在</w:t>
      </w:r>
      <w:r>
        <w:rPr>
          <w:rFonts w:hint="eastAsia" w:ascii="黑体" w:hAnsi="黑体" w:eastAsia="黑体"/>
          <w:color w:val="auto"/>
          <w:szCs w:val="21"/>
          <w:u w:val="single"/>
        </w:rPr>
        <w:t xml:space="preserve">     </w:t>
      </w:r>
      <w:r>
        <w:rPr>
          <w:rFonts w:hint="eastAsia" w:ascii="黑体" w:hAnsi="黑体" w:eastAsia="黑体"/>
          <w:color w:val="auto"/>
          <w:szCs w:val="21"/>
        </w:rPr>
        <w:t>工作日内进行核定后按照本保函的承诺承担保证责任。</w:t>
      </w:r>
    </w:p>
    <w:p w14:paraId="7138B7B6">
      <w:pPr>
        <w:spacing w:line="360" w:lineRule="auto"/>
        <w:rPr>
          <w:rFonts w:ascii="黑体" w:hAnsi="黑体" w:eastAsia="黑体"/>
          <w:color w:val="auto"/>
          <w:szCs w:val="21"/>
        </w:rPr>
      </w:pPr>
      <w:r>
        <w:rPr>
          <w:rFonts w:hint="eastAsia" w:ascii="黑体" w:hAnsi="黑体" w:eastAsia="黑体"/>
          <w:color w:val="auto"/>
          <w:szCs w:val="21"/>
        </w:rPr>
        <w:t>四、保证责任的终止</w:t>
      </w:r>
    </w:p>
    <w:p w14:paraId="69753B01">
      <w:pPr>
        <w:spacing w:line="360" w:lineRule="auto"/>
        <w:ind w:left="281" w:leftChars="134"/>
        <w:rPr>
          <w:rFonts w:ascii="黑体" w:hAnsi="黑体" w:eastAsia="黑体"/>
          <w:color w:val="auto"/>
          <w:szCs w:val="21"/>
        </w:rPr>
      </w:pPr>
      <w:r>
        <w:rPr>
          <w:rFonts w:hint="eastAsia" w:ascii="黑体" w:hAnsi="黑体" w:eastAsia="黑体"/>
          <w:color w:val="auto"/>
          <w:szCs w:val="21"/>
        </w:rPr>
        <w:t>1.保证期间届满你方未向我方书面主张保证责任的，自保证期间届满次日超，我方保证责任自动终止。保证期间届满前，主合同约定的货物\工程\服务全部验收合格的，自验收合格日起，我方保证责任自动终止。</w:t>
      </w:r>
    </w:p>
    <w:p w14:paraId="47A5AE0F">
      <w:pPr>
        <w:spacing w:line="360" w:lineRule="auto"/>
        <w:ind w:left="281" w:leftChars="134"/>
        <w:rPr>
          <w:rFonts w:ascii="黑体" w:hAnsi="黑体" w:eastAsia="黑体"/>
          <w:color w:val="auto"/>
          <w:szCs w:val="21"/>
        </w:rPr>
      </w:pPr>
      <w:r>
        <w:rPr>
          <w:rFonts w:hint="eastAsia" w:ascii="黑体" w:hAnsi="黑体" w:eastAsia="黑体"/>
          <w:color w:val="auto"/>
          <w:szCs w:val="21"/>
        </w:rPr>
        <w:t>2.我方按照本保函向你方履行了保证责任后，自我方向你方支付款项(支付款项从我方账户划出)之日起，保证责任即终止。</w:t>
      </w:r>
    </w:p>
    <w:p w14:paraId="78892127">
      <w:pPr>
        <w:spacing w:line="360" w:lineRule="auto"/>
        <w:ind w:left="281" w:leftChars="134"/>
        <w:rPr>
          <w:rFonts w:ascii="黑体" w:hAnsi="黑体" w:eastAsia="黑体"/>
          <w:color w:val="auto"/>
          <w:szCs w:val="21"/>
        </w:rPr>
      </w:pPr>
      <w:r>
        <w:rPr>
          <w:rFonts w:hint="eastAsia" w:ascii="黑体" w:hAnsi="黑体" w:eastAsia="黑体"/>
          <w:color w:val="auto"/>
          <w:szCs w:val="21"/>
        </w:rPr>
        <w:t>3.按照法律法规的规定或出现应终止我方保证责任的其它情形的，我方在本保函项下的保证责任亦终止。</w:t>
      </w:r>
    </w:p>
    <w:p w14:paraId="292C2190">
      <w:pPr>
        <w:spacing w:line="360" w:lineRule="auto"/>
        <w:ind w:left="281" w:leftChars="134"/>
        <w:rPr>
          <w:rFonts w:ascii="黑体" w:hAnsi="黑体" w:eastAsia="黑体"/>
          <w:color w:val="auto"/>
          <w:szCs w:val="21"/>
        </w:rPr>
      </w:pPr>
      <w:r>
        <w:rPr>
          <w:rFonts w:hint="eastAsia" w:ascii="黑体" w:hAnsi="黑体" w:eastAsia="黑体"/>
          <w:color w:val="auto"/>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8426DE5">
      <w:pPr>
        <w:spacing w:line="360" w:lineRule="auto"/>
        <w:rPr>
          <w:rFonts w:ascii="黑体" w:hAnsi="黑体" w:eastAsia="黑体"/>
          <w:color w:val="auto"/>
          <w:szCs w:val="21"/>
        </w:rPr>
      </w:pPr>
      <w:r>
        <w:rPr>
          <w:rFonts w:hint="eastAsia" w:ascii="黑体" w:hAnsi="黑体" w:eastAsia="黑体"/>
          <w:color w:val="auto"/>
          <w:szCs w:val="21"/>
        </w:rPr>
        <w:t>五,免责条款</w:t>
      </w:r>
    </w:p>
    <w:p w14:paraId="7CD07754">
      <w:pPr>
        <w:spacing w:line="360" w:lineRule="auto"/>
        <w:ind w:left="283" w:leftChars="135"/>
        <w:rPr>
          <w:rFonts w:ascii="黑体" w:hAnsi="黑体" w:eastAsia="黑体"/>
          <w:color w:val="auto"/>
          <w:szCs w:val="21"/>
        </w:rPr>
      </w:pPr>
      <w:r>
        <w:rPr>
          <w:rFonts w:hint="eastAsia" w:ascii="黑体" w:hAnsi="黑体" w:eastAsia="黑体"/>
          <w:color w:val="auto"/>
          <w:szCs w:val="21"/>
        </w:rPr>
        <w:t>1.因你方违反主合同约定致使供应商不能履行义务的，我方不承担保证责任。</w:t>
      </w:r>
    </w:p>
    <w:p w14:paraId="7044DD20">
      <w:pPr>
        <w:spacing w:line="360" w:lineRule="auto"/>
        <w:ind w:left="283" w:leftChars="135"/>
        <w:rPr>
          <w:rFonts w:ascii="黑体" w:hAnsi="黑体" w:eastAsia="黑体"/>
          <w:color w:val="auto"/>
          <w:szCs w:val="21"/>
        </w:rPr>
      </w:pPr>
      <w:r>
        <w:rPr>
          <w:rFonts w:hint="eastAsia" w:ascii="黑体" w:hAnsi="黑体" w:eastAsia="黑体"/>
          <w:color w:val="auto"/>
          <w:szCs w:val="21"/>
        </w:rPr>
        <w:t>2.依照法律法规的规定或你方与供应商的另行约定,全部或者部分免除供应商应缴纳的保证金义务的，我方亦免除相应的保证责任。</w:t>
      </w:r>
    </w:p>
    <w:p w14:paraId="268EB391">
      <w:pPr>
        <w:spacing w:line="360" w:lineRule="auto"/>
        <w:ind w:left="283" w:leftChars="135"/>
        <w:rPr>
          <w:rFonts w:ascii="黑体" w:hAnsi="黑体" w:eastAsia="黑体"/>
          <w:color w:val="auto"/>
          <w:szCs w:val="21"/>
        </w:rPr>
      </w:pPr>
      <w:r>
        <w:rPr>
          <w:rFonts w:hint="eastAsia" w:ascii="黑体" w:hAnsi="黑体" w:eastAsia="黑体"/>
          <w:color w:val="auto"/>
          <w:szCs w:val="21"/>
        </w:rPr>
        <w:t>3.因不可抗力造成供应商不能履行供货义务的，我方不承担保证责任。</w:t>
      </w:r>
    </w:p>
    <w:p w14:paraId="1CCDFCA3">
      <w:pPr>
        <w:spacing w:line="360" w:lineRule="auto"/>
        <w:rPr>
          <w:rFonts w:ascii="黑体" w:hAnsi="黑体" w:eastAsia="黑体"/>
          <w:color w:val="auto"/>
          <w:szCs w:val="21"/>
        </w:rPr>
      </w:pPr>
      <w:r>
        <w:rPr>
          <w:rFonts w:hint="eastAsia" w:ascii="黑体" w:hAnsi="黑体" w:eastAsia="黑体"/>
          <w:color w:val="auto"/>
          <w:szCs w:val="21"/>
        </w:rPr>
        <w:t>六、争议的解决</w:t>
      </w:r>
    </w:p>
    <w:p w14:paraId="0204713D">
      <w:pPr>
        <w:spacing w:line="360" w:lineRule="auto"/>
        <w:ind w:firstLine="420" w:firstLineChars="200"/>
        <w:rPr>
          <w:rFonts w:ascii="黑体" w:hAnsi="黑体" w:eastAsia="黑体"/>
          <w:color w:val="auto"/>
          <w:szCs w:val="21"/>
        </w:rPr>
      </w:pPr>
      <w:r>
        <w:rPr>
          <w:rFonts w:hint="eastAsia" w:ascii="黑体" w:hAnsi="黑体" w:eastAsia="黑体"/>
          <w:color w:val="auto"/>
          <w:szCs w:val="21"/>
        </w:rPr>
        <w:t>因本保函发生的纠纷,由你我双方协商解决，协商不成的，通过诉讼程序解决，诉讼管辖地法院为</w:t>
      </w:r>
      <w:r>
        <w:rPr>
          <w:rFonts w:hint="eastAsia" w:ascii="黑体" w:hAnsi="黑体" w:eastAsia="黑体"/>
          <w:color w:val="auto"/>
          <w:szCs w:val="21"/>
          <w:u w:val="single"/>
        </w:rPr>
        <w:t xml:space="preserve">               </w:t>
      </w:r>
      <w:r>
        <w:rPr>
          <w:rFonts w:hint="eastAsia" w:ascii="黑体" w:hAnsi="黑体" w:eastAsia="黑体"/>
          <w:color w:val="auto"/>
          <w:szCs w:val="21"/>
        </w:rPr>
        <w:t>法院。</w:t>
      </w:r>
    </w:p>
    <w:p w14:paraId="7B9534D7">
      <w:pPr>
        <w:spacing w:line="360" w:lineRule="auto"/>
        <w:rPr>
          <w:rFonts w:ascii="黑体" w:hAnsi="黑体" w:eastAsia="黑体"/>
          <w:color w:val="auto"/>
          <w:szCs w:val="21"/>
        </w:rPr>
      </w:pPr>
      <w:r>
        <w:rPr>
          <w:rFonts w:hint="eastAsia" w:ascii="黑体" w:hAnsi="黑体" w:eastAsia="黑体"/>
          <w:color w:val="auto"/>
          <w:szCs w:val="21"/>
        </w:rPr>
        <w:t>七、保函的生效</w:t>
      </w:r>
    </w:p>
    <w:p w14:paraId="23BAC865">
      <w:pPr>
        <w:spacing w:line="360" w:lineRule="auto"/>
        <w:ind w:firstLine="420" w:firstLineChars="200"/>
        <w:rPr>
          <w:rFonts w:ascii="黑体" w:hAnsi="黑体" w:eastAsia="黑体"/>
          <w:color w:val="auto"/>
          <w:szCs w:val="21"/>
        </w:rPr>
      </w:pPr>
      <w:r>
        <w:rPr>
          <w:rFonts w:hint="eastAsia" w:ascii="黑体" w:hAnsi="黑体" w:eastAsia="黑体"/>
          <w:color w:val="auto"/>
          <w:szCs w:val="21"/>
        </w:rPr>
        <w:t>本保函自我方加盖公章之日起生效。</w:t>
      </w:r>
    </w:p>
    <w:p w14:paraId="4501345C">
      <w:pPr>
        <w:spacing w:before="780" w:beforeLines="250" w:line="360" w:lineRule="auto"/>
        <w:jc w:val="right"/>
        <w:rPr>
          <w:rFonts w:ascii="黑体" w:hAnsi="黑体" w:eastAsia="黑体"/>
          <w:color w:val="auto"/>
          <w:szCs w:val="21"/>
        </w:rPr>
      </w:pPr>
      <w:r>
        <w:rPr>
          <w:rFonts w:hint="eastAsia" w:ascii="黑体" w:hAnsi="黑体" w:eastAsia="黑体"/>
          <w:color w:val="auto"/>
          <w:szCs w:val="21"/>
        </w:rPr>
        <w:t>保证人：(公章)</w:t>
      </w:r>
    </w:p>
    <w:p w14:paraId="3018332F">
      <w:pPr>
        <w:spacing w:line="360" w:lineRule="auto"/>
        <w:ind w:firstLine="420" w:firstLineChars="200"/>
        <w:jc w:val="right"/>
        <w:rPr>
          <w:rFonts w:ascii="黑体" w:hAnsi="黑体" w:eastAsia="黑体"/>
          <w:color w:val="auto"/>
          <w:szCs w:val="21"/>
        </w:rPr>
      </w:pPr>
      <w:r>
        <w:rPr>
          <w:rFonts w:hint="eastAsia" w:ascii="黑体" w:hAnsi="黑体" w:eastAsia="黑体"/>
          <w:color w:val="auto"/>
          <w:szCs w:val="21"/>
        </w:rPr>
        <w:t>年   月   日</w:t>
      </w:r>
    </w:p>
    <w:p w14:paraId="5D92D41D">
      <w:pPr>
        <w:rPr>
          <w:color w:val="auto"/>
        </w:rPr>
      </w:pPr>
    </w:p>
    <w:p w14:paraId="61073E92">
      <w:pPr>
        <w:spacing w:line="360" w:lineRule="auto"/>
        <w:rPr>
          <w:rFonts w:ascii="黑体" w:hAnsi="黑体" w:eastAsia="黑体"/>
          <w:color w:val="auto"/>
        </w:rPr>
      </w:pPr>
    </w:p>
    <w:bookmarkEnd w:id="73"/>
    <w:p w14:paraId="4B371F4B">
      <w:pPr>
        <w:spacing w:line="360" w:lineRule="auto"/>
        <w:rPr>
          <w:rFonts w:ascii="黑体" w:hAnsi="黑体" w:eastAsia="黑体"/>
          <w:color w:val="auto"/>
        </w:rPr>
      </w:pPr>
    </w:p>
    <w:p w14:paraId="4B41432A">
      <w:pPr>
        <w:pStyle w:val="30"/>
        <w:pageBreakBefore/>
        <w:numPr>
          <w:ilvl w:val="0"/>
          <w:numId w:val="82"/>
        </w:numPr>
        <w:tabs>
          <w:tab w:val="left" w:pos="284"/>
          <w:tab w:val="left" w:pos="426"/>
          <w:tab w:val="left" w:pos="709"/>
        </w:tabs>
        <w:ind w:left="1679" w:hanging="1537" w:firstLineChars="0"/>
        <w:jc w:val="left"/>
        <w:rPr>
          <w:bCs/>
          <w:color w:val="auto"/>
        </w:rPr>
      </w:pPr>
      <w:r>
        <w:rPr>
          <w:rFonts w:hint="eastAsia"/>
          <w:bCs/>
          <w:color w:val="auto"/>
        </w:rPr>
        <w:t>唱标信封格式</w:t>
      </w:r>
    </w:p>
    <w:p w14:paraId="2311E0C9">
      <w:pPr>
        <w:spacing w:line="360" w:lineRule="auto"/>
        <w:jc w:val="center"/>
        <w:rPr>
          <w:rFonts w:ascii="黑体" w:hAnsi="黑体" w:eastAsia="黑体"/>
          <w:bCs/>
          <w:color w:val="auto"/>
          <w:sz w:val="50"/>
          <w:szCs w:val="50"/>
        </w:rPr>
      </w:pPr>
    </w:p>
    <w:p w14:paraId="2E2FEAD9">
      <w:pPr>
        <w:spacing w:line="360" w:lineRule="auto"/>
        <w:jc w:val="center"/>
        <w:rPr>
          <w:rFonts w:ascii="黑体" w:hAnsi="黑体" w:eastAsia="黑体"/>
          <w:bCs/>
          <w:color w:val="auto"/>
          <w:sz w:val="50"/>
          <w:szCs w:val="50"/>
        </w:rPr>
      </w:pPr>
      <w:r>
        <w:rPr>
          <w:rFonts w:hint="eastAsia" w:ascii="黑体" w:hAnsi="黑体" w:eastAsia="黑体"/>
          <w:bCs/>
          <w:color w:val="auto"/>
          <w:sz w:val="50"/>
          <w:szCs w:val="50"/>
        </w:rPr>
        <w:t>东莞市汽车技术学校城市轨道交通通信与运营综合实训平台采购项目</w:t>
      </w:r>
    </w:p>
    <w:p w14:paraId="6255688A">
      <w:pPr>
        <w:spacing w:line="360" w:lineRule="auto"/>
        <w:jc w:val="center"/>
        <w:rPr>
          <w:rFonts w:ascii="黑体" w:hAnsi="黑体" w:eastAsia="黑体"/>
          <w:b/>
          <w:color w:val="auto"/>
          <w:szCs w:val="21"/>
        </w:rPr>
      </w:pPr>
    </w:p>
    <w:p w14:paraId="08A79281">
      <w:pPr>
        <w:spacing w:line="360" w:lineRule="auto"/>
        <w:jc w:val="center"/>
        <w:rPr>
          <w:rFonts w:ascii="黑体" w:hAnsi="黑体" w:eastAsia="黑体"/>
          <w:b/>
          <w:color w:val="auto"/>
          <w:szCs w:val="21"/>
        </w:rPr>
      </w:pPr>
    </w:p>
    <w:p w14:paraId="2CD60C27">
      <w:pPr>
        <w:spacing w:line="360" w:lineRule="auto"/>
        <w:jc w:val="center"/>
        <w:rPr>
          <w:rFonts w:ascii="黑体" w:hAnsi="黑体" w:eastAsia="黑体"/>
          <w:b/>
          <w:color w:val="auto"/>
          <w:szCs w:val="21"/>
        </w:rPr>
      </w:pPr>
      <w:r>
        <w:rPr>
          <w:rFonts w:hint="eastAsia" w:ascii="黑体" w:hAnsi="黑体" w:eastAsia="黑体"/>
          <w:b/>
          <w:color w:val="auto"/>
          <w:szCs w:val="21"/>
        </w:rPr>
        <w:t>（项目编号：</w:t>
      </w:r>
      <w:r>
        <w:rPr>
          <w:rFonts w:ascii="黑体" w:hAnsi="黑体" w:eastAsia="黑体"/>
          <w:b/>
          <w:color w:val="auto"/>
          <w:szCs w:val="21"/>
          <w:u w:val="single"/>
        </w:rPr>
        <w:t xml:space="preserve">             </w:t>
      </w:r>
      <w:r>
        <w:rPr>
          <w:rFonts w:hint="eastAsia" w:ascii="黑体" w:hAnsi="黑体" w:eastAsia="黑体"/>
          <w:b/>
          <w:color w:val="auto"/>
          <w:szCs w:val="21"/>
        </w:rPr>
        <w:t>）</w:t>
      </w:r>
    </w:p>
    <w:p w14:paraId="29363AEC">
      <w:pPr>
        <w:spacing w:before="1404" w:beforeLines="450" w:line="360" w:lineRule="auto"/>
        <w:jc w:val="center"/>
        <w:rPr>
          <w:rFonts w:ascii="黑体" w:hAnsi="黑体" w:eastAsia="黑体"/>
          <w:b/>
          <w:color w:val="auto"/>
          <w:spacing w:val="60"/>
          <w:sz w:val="72"/>
          <w:szCs w:val="72"/>
        </w:rPr>
      </w:pPr>
      <w:r>
        <w:rPr>
          <w:rFonts w:hint="eastAsia" w:ascii="黑体" w:hAnsi="黑体" w:eastAsia="黑体"/>
          <w:b/>
          <w:color w:val="auto"/>
          <w:spacing w:val="60"/>
          <w:sz w:val="72"/>
          <w:szCs w:val="72"/>
        </w:rPr>
        <w:t>唱标信封</w:t>
      </w:r>
    </w:p>
    <w:p w14:paraId="75927A3B">
      <w:pPr>
        <w:spacing w:after="2028" w:afterLines="650" w:line="360" w:lineRule="auto"/>
        <w:jc w:val="center"/>
        <w:rPr>
          <w:rFonts w:ascii="黑体" w:hAnsi="黑体" w:eastAsia="黑体"/>
          <w:b/>
          <w:color w:val="auto"/>
          <w:szCs w:val="21"/>
        </w:rPr>
      </w:pPr>
      <w:r>
        <w:rPr>
          <w:rFonts w:hint="eastAsia" w:ascii="黑体" w:hAnsi="黑体" w:eastAsia="黑体"/>
          <w:b/>
          <w:color w:val="auto"/>
          <w:szCs w:val="21"/>
        </w:rPr>
        <w:t>（封面格式仅供参考）</w:t>
      </w:r>
    </w:p>
    <w:tbl>
      <w:tblPr>
        <w:tblStyle w:val="21"/>
        <w:tblW w:w="418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85"/>
        <w:gridCol w:w="5251"/>
      </w:tblGrid>
      <w:tr w14:paraId="285ED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1421" w:type="pct"/>
            <w:vAlign w:val="center"/>
          </w:tcPr>
          <w:p w14:paraId="7B5241C0">
            <w:pPr>
              <w:spacing w:line="360" w:lineRule="auto"/>
              <w:jc w:val="right"/>
              <w:rPr>
                <w:rFonts w:ascii="黑体" w:hAnsi="黑体" w:eastAsia="黑体"/>
                <w:color w:val="auto"/>
                <w:sz w:val="24"/>
                <w:szCs w:val="24"/>
              </w:rPr>
            </w:pPr>
            <w:r>
              <w:rPr>
                <w:rFonts w:hint="eastAsia" w:ascii="黑体" w:hAnsi="黑体" w:eastAsia="黑体"/>
                <w:color w:val="auto"/>
                <w:sz w:val="24"/>
                <w:szCs w:val="24"/>
              </w:rPr>
              <w:t>投标人名称：</w:t>
            </w:r>
          </w:p>
        </w:tc>
        <w:tc>
          <w:tcPr>
            <w:tcW w:w="3579" w:type="pct"/>
            <w:vAlign w:val="center"/>
          </w:tcPr>
          <w:p w14:paraId="6D56A4C0">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73393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421" w:type="pct"/>
            <w:vAlign w:val="center"/>
          </w:tcPr>
          <w:p w14:paraId="25C03225">
            <w:pPr>
              <w:spacing w:line="360" w:lineRule="auto"/>
              <w:jc w:val="right"/>
              <w:rPr>
                <w:rFonts w:ascii="黑体" w:hAnsi="黑体" w:eastAsia="黑体"/>
                <w:color w:val="auto"/>
                <w:sz w:val="24"/>
                <w:szCs w:val="24"/>
              </w:rPr>
            </w:pPr>
            <w:r>
              <w:rPr>
                <w:rFonts w:hint="eastAsia" w:ascii="黑体" w:hAnsi="黑体" w:eastAsia="黑体"/>
                <w:color w:val="auto"/>
                <w:sz w:val="24"/>
                <w:szCs w:val="24"/>
              </w:rPr>
              <w:t>投标人地址：</w:t>
            </w:r>
          </w:p>
        </w:tc>
        <w:tc>
          <w:tcPr>
            <w:tcW w:w="3579" w:type="pct"/>
            <w:vAlign w:val="center"/>
          </w:tcPr>
          <w:p w14:paraId="05409758">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55AA2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1421" w:type="pct"/>
            <w:vAlign w:val="center"/>
          </w:tcPr>
          <w:p w14:paraId="706290BF">
            <w:pPr>
              <w:spacing w:line="360" w:lineRule="auto"/>
              <w:jc w:val="right"/>
              <w:rPr>
                <w:rFonts w:ascii="黑体" w:hAnsi="黑体" w:eastAsia="黑体"/>
                <w:color w:val="auto"/>
                <w:spacing w:val="-10"/>
                <w:sz w:val="24"/>
                <w:szCs w:val="24"/>
              </w:rPr>
            </w:pPr>
            <w:r>
              <w:rPr>
                <w:rFonts w:hint="eastAsia" w:ascii="黑体" w:hAnsi="黑体" w:eastAsia="黑体"/>
                <w:color w:val="auto"/>
                <w:sz w:val="24"/>
                <w:szCs w:val="24"/>
              </w:rPr>
              <w:t>投标联系人</w:t>
            </w:r>
            <w:r>
              <w:rPr>
                <w:rFonts w:hint="eastAsia" w:ascii="黑体" w:hAnsi="黑体" w:eastAsia="黑体"/>
                <w:color w:val="auto"/>
                <w:spacing w:val="-10"/>
                <w:sz w:val="24"/>
                <w:szCs w:val="24"/>
              </w:rPr>
              <w:t>：</w:t>
            </w:r>
          </w:p>
        </w:tc>
        <w:tc>
          <w:tcPr>
            <w:tcW w:w="3579" w:type="pct"/>
            <w:vAlign w:val="center"/>
          </w:tcPr>
          <w:p w14:paraId="65E3758D">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r w14:paraId="4CE05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421" w:type="pct"/>
            <w:vAlign w:val="center"/>
          </w:tcPr>
          <w:p w14:paraId="6D198559">
            <w:pPr>
              <w:tabs>
                <w:tab w:val="left" w:pos="170"/>
              </w:tabs>
              <w:spacing w:line="360" w:lineRule="auto"/>
              <w:jc w:val="right"/>
              <w:rPr>
                <w:rFonts w:ascii="黑体" w:hAnsi="黑体" w:eastAsia="黑体"/>
                <w:color w:val="auto"/>
                <w:sz w:val="24"/>
                <w:szCs w:val="24"/>
              </w:rPr>
            </w:pPr>
            <w:r>
              <w:rPr>
                <w:rFonts w:hint="eastAsia" w:ascii="黑体" w:hAnsi="黑体" w:eastAsia="黑体"/>
                <w:color w:val="auto"/>
                <w:spacing w:val="24"/>
                <w:sz w:val="24"/>
                <w:szCs w:val="24"/>
              </w:rPr>
              <w:t>联系电话</w:t>
            </w:r>
            <w:r>
              <w:rPr>
                <w:rFonts w:hint="eastAsia" w:ascii="黑体" w:hAnsi="黑体" w:eastAsia="黑体"/>
                <w:color w:val="auto"/>
                <w:sz w:val="24"/>
                <w:szCs w:val="24"/>
              </w:rPr>
              <w:t>：</w:t>
            </w:r>
          </w:p>
        </w:tc>
        <w:tc>
          <w:tcPr>
            <w:tcW w:w="3579" w:type="pct"/>
            <w:vAlign w:val="center"/>
          </w:tcPr>
          <w:p w14:paraId="219ECADC">
            <w:pPr>
              <w:spacing w:line="360" w:lineRule="auto"/>
              <w:jc w:val="left"/>
              <w:rPr>
                <w:rFonts w:ascii="黑体" w:hAnsi="黑体" w:eastAsia="黑体"/>
                <w:color w:val="auto"/>
                <w:sz w:val="24"/>
                <w:szCs w:val="24"/>
                <w:u w:val="single"/>
              </w:rPr>
            </w:pPr>
            <w:r>
              <w:rPr>
                <w:rFonts w:ascii="黑体" w:hAnsi="黑体" w:eastAsia="黑体"/>
                <w:color w:val="auto"/>
                <w:sz w:val="24"/>
                <w:szCs w:val="24"/>
                <w:u w:val="single"/>
              </w:rPr>
              <w:t xml:space="preserve">                                       </w:t>
            </w:r>
          </w:p>
        </w:tc>
      </w:tr>
    </w:tbl>
    <w:p w14:paraId="5A78923D">
      <w:pPr>
        <w:spacing w:before="468" w:beforeLines="150" w:line="600" w:lineRule="exact"/>
        <w:jc w:val="center"/>
        <w:rPr>
          <w:rFonts w:ascii="黑体" w:hAnsi="黑体" w:eastAsia="黑体"/>
          <w:b/>
          <w:bCs/>
          <w:color w:val="auto"/>
          <w:spacing w:val="40"/>
          <w:sz w:val="24"/>
          <w:szCs w:val="24"/>
        </w:rPr>
      </w:pPr>
      <w:r>
        <w:rPr>
          <w:rFonts w:hint="eastAsia" w:ascii="黑体" w:hAnsi="黑体" w:eastAsia="黑体"/>
          <w:b/>
          <w:color w:val="auto"/>
          <w:spacing w:val="40"/>
          <w:sz w:val="24"/>
          <w:szCs w:val="24"/>
        </w:rPr>
        <w:t>日期：</w:t>
      </w:r>
      <w:r>
        <w:rPr>
          <w:rFonts w:hint="eastAsia" w:ascii="黑体" w:hAnsi="黑体" w:eastAsia="黑体"/>
          <w:b/>
          <w:color w:val="auto"/>
          <w:spacing w:val="20"/>
          <w:szCs w:val="21"/>
        </w:rPr>
        <w:t xml:space="preserve">    </w:t>
      </w:r>
      <w:r>
        <w:rPr>
          <w:rFonts w:hint="eastAsia" w:ascii="黑体" w:hAnsi="黑体" w:eastAsia="黑体"/>
          <w:b/>
          <w:color w:val="auto"/>
          <w:spacing w:val="40"/>
          <w:sz w:val="24"/>
          <w:szCs w:val="24"/>
        </w:rPr>
        <w:t xml:space="preserve">年 </w:t>
      </w:r>
      <w:r>
        <w:rPr>
          <w:rFonts w:ascii="黑体" w:hAnsi="黑体" w:eastAsia="黑体"/>
          <w:b/>
          <w:color w:val="auto"/>
          <w:spacing w:val="40"/>
          <w:sz w:val="24"/>
          <w:szCs w:val="24"/>
        </w:rPr>
        <w:t xml:space="preserve"> </w:t>
      </w:r>
      <w:r>
        <w:rPr>
          <w:rFonts w:hint="eastAsia" w:ascii="黑体" w:hAnsi="黑体" w:eastAsia="黑体"/>
          <w:b/>
          <w:color w:val="auto"/>
          <w:spacing w:val="40"/>
          <w:sz w:val="24"/>
          <w:szCs w:val="24"/>
        </w:rPr>
        <w:t xml:space="preserve">月 </w:t>
      </w:r>
      <w:r>
        <w:rPr>
          <w:rFonts w:ascii="黑体" w:hAnsi="黑体" w:eastAsia="黑体"/>
          <w:b/>
          <w:color w:val="auto"/>
          <w:spacing w:val="40"/>
          <w:sz w:val="24"/>
          <w:szCs w:val="24"/>
        </w:rPr>
        <w:t xml:space="preserve"> </w:t>
      </w:r>
      <w:r>
        <w:rPr>
          <w:rFonts w:hint="eastAsia" w:ascii="黑体" w:hAnsi="黑体" w:eastAsia="黑体"/>
          <w:b/>
          <w:color w:val="auto"/>
          <w:spacing w:val="40"/>
          <w:sz w:val="24"/>
          <w:szCs w:val="24"/>
        </w:rPr>
        <w:t>日</w:t>
      </w:r>
    </w:p>
    <w:p w14:paraId="043B5DE9">
      <w:pPr>
        <w:spacing w:line="360" w:lineRule="auto"/>
        <w:rPr>
          <w:rFonts w:ascii="黑体" w:hAnsi="黑体" w:eastAsia="黑体"/>
          <w:color w:val="auto"/>
        </w:rPr>
      </w:pPr>
    </w:p>
    <w:p w14:paraId="4F732542">
      <w:pPr>
        <w:spacing w:line="360" w:lineRule="auto"/>
        <w:rPr>
          <w:rFonts w:ascii="黑体" w:hAnsi="黑体" w:eastAsia="黑体"/>
          <w:color w:val="auto"/>
        </w:rPr>
      </w:pPr>
    </w:p>
    <w:p w14:paraId="21E9358A">
      <w:pPr>
        <w:spacing w:line="360" w:lineRule="auto"/>
        <w:rPr>
          <w:rFonts w:ascii="黑体" w:hAnsi="黑体" w:eastAsia="黑体"/>
          <w:color w:val="auto"/>
        </w:rPr>
      </w:pPr>
    </w:p>
    <w:p w14:paraId="3F86385C">
      <w:pPr>
        <w:pStyle w:val="30"/>
        <w:numPr>
          <w:ilvl w:val="0"/>
          <w:numId w:val="94"/>
        </w:numPr>
        <w:spacing w:before="312" w:beforeLines="100" w:after="312" w:afterLines="100" w:line="360" w:lineRule="auto"/>
        <w:ind w:firstLineChars="0"/>
        <w:jc w:val="left"/>
        <w:rPr>
          <w:rFonts w:ascii="黑体" w:hAnsi="黑体" w:eastAsia="黑体"/>
          <w:b/>
          <w:color w:val="auto"/>
          <w:spacing w:val="20"/>
          <w:sz w:val="28"/>
          <w:szCs w:val="28"/>
        </w:rPr>
      </w:pPr>
      <w:r>
        <w:rPr>
          <w:rFonts w:hint="eastAsia" w:ascii="黑体" w:hAnsi="黑体" w:eastAsia="黑体"/>
          <w:b/>
          <w:color w:val="auto"/>
          <w:spacing w:val="20"/>
          <w:sz w:val="28"/>
          <w:szCs w:val="28"/>
        </w:rPr>
        <w:t>唱标信封内装：</w:t>
      </w:r>
    </w:p>
    <w:p w14:paraId="2FBD4A71">
      <w:pPr>
        <w:pStyle w:val="30"/>
        <w:numPr>
          <w:ilvl w:val="0"/>
          <w:numId w:val="95"/>
        </w:numPr>
        <w:spacing w:line="360" w:lineRule="auto"/>
        <w:ind w:firstLineChars="0"/>
        <w:rPr>
          <w:rFonts w:ascii="黑体" w:hAnsi="黑体" w:eastAsia="黑体"/>
          <w:color w:val="auto"/>
          <w:szCs w:val="21"/>
        </w:rPr>
      </w:pPr>
      <w:r>
        <w:rPr>
          <w:rFonts w:hint="eastAsia" w:ascii="黑体" w:hAnsi="黑体" w:eastAsia="黑体"/>
          <w:color w:val="auto"/>
          <w:szCs w:val="21"/>
        </w:rPr>
        <w:t>开标一览表加盖投标人公章；</w:t>
      </w:r>
    </w:p>
    <w:p w14:paraId="42659F70">
      <w:pPr>
        <w:pStyle w:val="30"/>
        <w:numPr>
          <w:ilvl w:val="0"/>
          <w:numId w:val="95"/>
        </w:numPr>
        <w:spacing w:line="360" w:lineRule="auto"/>
        <w:ind w:firstLineChars="0"/>
        <w:rPr>
          <w:rFonts w:ascii="黑体" w:hAnsi="黑体" w:eastAsia="黑体"/>
          <w:color w:val="auto"/>
          <w:szCs w:val="21"/>
        </w:rPr>
      </w:pPr>
      <w:r>
        <w:rPr>
          <w:rFonts w:hint="eastAsia" w:ascii="黑体" w:hAnsi="黑体" w:eastAsia="黑体"/>
          <w:color w:val="auto"/>
          <w:szCs w:val="21"/>
        </w:rPr>
        <w:t>分项报价表加盖投标人公章；</w:t>
      </w:r>
    </w:p>
    <w:p w14:paraId="1431A80E">
      <w:pPr>
        <w:pStyle w:val="30"/>
        <w:numPr>
          <w:ilvl w:val="0"/>
          <w:numId w:val="95"/>
        </w:numPr>
        <w:spacing w:line="360" w:lineRule="auto"/>
        <w:ind w:firstLineChars="0"/>
        <w:rPr>
          <w:rFonts w:ascii="黑体" w:hAnsi="黑体" w:eastAsia="黑体"/>
          <w:color w:val="auto"/>
          <w:szCs w:val="21"/>
        </w:rPr>
      </w:pPr>
      <w:r>
        <w:rPr>
          <w:rFonts w:hint="eastAsia" w:ascii="黑体" w:hAnsi="黑体" w:eastAsia="黑体"/>
          <w:color w:val="auto"/>
          <w:szCs w:val="21"/>
        </w:rPr>
        <w:t>法定代表人证明书或法定代表人授权委托书加盖投标人公章；</w:t>
      </w:r>
    </w:p>
    <w:p w14:paraId="7F9EC4C9">
      <w:pPr>
        <w:pStyle w:val="30"/>
        <w:numPr>
          <w:ilvl w:val="0"/>
          <w:numId w:val="95"/>
        </w:numPr>
        <w:spacing w:line="360" w:lineRule="auto"/>
        <w:ind w:firstLineChars="0"/>
        <w:rPr>
          <w:rFonts w:ascii="黑体" w:hAnsi="黑体" w:eastAsia="黑体"/>
          <w:color w:val="auto"/>
          <w:szCs w:val="21"/>
        </w:rPr>
      </w:pPr>
      <w:r>
        <w:rPr>
          <w:rFonts w:hint="eastAsia" w:ascii="黑体" w:hAnsi="黑体" w:eastAsia="黑体"/>
          <w:color w:val="auto"/>
          <w:szCs w:val="21"/>
        </w:rPr>
        <w:t>电子文件（</w:t>
      </w:r>
      <w:r>
        <w:rPr>
          <w:rFonts w:ascii="黑体" w:hAnsi="黑体" w:eastAsia="黑体"/>
          <w:color w:val="auto"/>
          <w:szCs w:val="21"/>
        </w:rPr>
        <w:t>CD-R光盘或</w:t>
      </w:r>
      <w:r>
        <w:rPr>
          <w:rFonts w:hint="eastAsia" w:ascii="黑体" w:hAnsi="黑体" w:eastAsia="黑体"/>
          <w:color w:val="auto"/>
          <w:szCs w:val="21"/>
        </w:rPr>
        <w:t>U</w:t>
      </w:r>
      <w:r>
        <w:rPr>
          <w:rFonts w:ascii="黑体" w:hAnsi="黑体" w:eastAsia="黑体"/>
          <w:color w:val="auto"/>
          <w:szCs w:val="21"/>
        </w:rPr>
        <w:t>盘）；</w:t>
      </w:r>
    </w:p>
    <w:p w14:paraId="2E82D51C">
      <w:pPr>
        <w:pStyle w:val="30"/>
        <w:numPr>
          <w:ilvl w:val="0"/>
          <w:numId w:val="95"/>
        </w:numPr>
        <w:spacing w:line="360" w:lineRule="auto"/>
        <w:ind w:firstLineChars="0"/>
        <w:rPr>
          <w:rFonts w:ascii="黑体" w:hAnsi="黑体" w:eastAsia="黑体"/>
          <w:color w:val="auto"/>
          <w:szCs w:val="21"/>
        </w:rPr>
      </w:pPr>
      <w:r>
        <w:rPr>
          <w:rFonts w:hint="eastAsia" w:ascii="黑体" w:hAnsi="黑体" w:eastAsia="黑体"/>
          <w:bCs/>
          <w:color w:val="auto"/>
          <w:szCs w:val="21"/>
        </w:rPr>
        <w:t>其他格式（如有）</w:t>
      </w:r>
      <w:r>
        <w:rPr>
          <w:rFonts w:hint="eastAsia" w:ascii="黑体" w:hAnsi="黑体" w:eastAsia="黑体"/>
          <w:color w:val="auto"/>
          <w:szCs w:val="21"/>
        </w:rPr>
        <w:t>。</w:t>
      </w:r>
    </w:p>
    <w:sectPr>
      <w:headerReference r:id="rId3" w:type="default"/>
      <w:footerReference r:id="rId4" w:type="default"/>
      <w:pgSz w:w="11906" w:h="16838"/>
      <w:pgMar w:top="1521" w:right="1558" w:bottom="993" w:left="1797" w:header="851" w:footer="680"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15469"/>
    </w:sdtPr>
    <w:sdtContent>
      <w:p w14:paraId="0A3DF58C">
        <w:pPr>
          <w:pStyle w:val="14"/>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EDCA1">
    <w:pPr>
      <w:pStyle w:val="15"/>
      <w:jc w:val="left"/>
      <w:rPr>
        <w:rFonts w:ascii="黑体" w:hAnsi="黑体" w:eastAsia="黑体"/>
        <w:color w:val="FF0000"/>
      </w:rPr>
    </w:pPr>
    <w:r>
      <w:rPr>
        <w:rFonts w:hint="eastAsia" w:ascii="黑体" w:hAnsi="黑体" w:eastAsia="黑体"/>
        <w:sz w:val="21"/>
        <w:szCs w:val="21"/>
      </w:rPr>
      <w:drawing>
        <wp:inline distT="0" distB="0" distL="0" distR="0">
          <wp:extent cx="835660" cy="253365"/>
          <wp:effectExtent l="19050" t="0" r="2323" b="0"/>
          <wp:docPr id="4" name="图片 4" descr="F:\东莞分公司（内部综合）\东莞分公司（各类事项表格）\东莞分公司（LOGO）\有德横向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东莞分公司（内部综合）\东莞分公司（各类事项表格）\东莞分公司（LOGO）\有德横向LOGO.jpg"/>
                  <pic:cNvPicPr>
                    <a:picLocks noChangeAspect="1" noChangeArrowheads="1"/>
                  </pic:cNvPicPr>
                </pic:nvPicPr>
                <pic:blipFill>
                  <a:blip r:embed="rId1"/>
                  <a:srcRect/>
                  <a:stretch>
                    <a:fillRect/>
                  </a:stretch>
                </pic:blipFill>
                <pic:spPr>
                  <a:xfrm>
                    <a:off x="0" y="0"/>
                    <a:ext cx="844330" cy="256246"/>
                  </a:xfrm>
                  <a:prstGeom prst="rect">
                    <a:avLst/>
                  </a:prstGeom>
                  <a:noFill/>
                  <a:ln w="9525">
                    <a:noFill/>
                    <a:miter lim="800000"/>
                    <a:headEnd/>
                    <a:tailEnd/>
                  </a:ln>
                </pic:spPr>
              </pic:pic>
            </a:graphicData>
          </a:graphic>
        </wp:inline>
      </w:drawing>
    </w:r>
    <w:r>
      <w:rPr>
        <w:rFonts w:hint="eastAsia" w:ascii="黑体" w:hAnsi="黑体" w:eastAsia="黑体"/>
        <w:sz w:val="21"/>
        <w:szCs w:val="21"/>
      </w:rPr>
      <w:t xml:space="preserve">                                   </w:t>
    </w:r>
    <w:r>
      <w:rPr>
        <w:rFonts w:hint="eastAsia" w:ascii="黑体" w:hAnsi="黑体" w:eastAsia="黑体"/>
        <w:color w:val="FF0000"/>
        <w:sz w:val="21"/>
        <w:szCs w:val="21"/>
      </w:rPr>
      <w:t xml:space="preserve">         </w:t>
    </w:r>
    <w:r>
      <w:rPr>
        <w:rFonts w:ascii="黑体" w:hAnsi="黑体" w:eastAsia="黑体"/>
        <w:color w:val="FF0000"/>
        <w:sz w:val="21"/>
        <w:szCs w:val="21"/>
      </w:rPr>
      <w:t xml:space="preserve">   </w:t>
    </w:r>
    <w:r>
      <w:rPr>
        <w:rFonts w:hint="eastAsia" w:ascii="黑体" w:hAnsi="黑体" w:eastAsia="黑体"/>
        <w:color w:val="FF0000"/>
        <w:sz w:val="21"/>
        <w:szCs w:val="21"/>
      </w:rPr>
      <w:t xml:space="preserve"> </w:t>
    </w:r>
    <w:r>
      <w:rPr>
        <w:rFonts w:hint="eastAsia" w:ascii="黑体" w:hAnsi="黑体" w:eastAsia="黑体"/>
        <w:color w:val="FF0000"/>
      </w:rPr>
      <w:t>广东有德招标采购有限公司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E1E4A"/>
    <w:multiLevelType w:val="singleLevel"/>
    <w:tmpl w:val="92EE1E4A"/>
    <w:lvl w:ilvl="0" w:tentative="0">
      <w:start w:val="1"/>
      <w:numFmt w:val="decimal"/>
      <w:lvlText w:val="(%1)"/>
      <w:lvlJc w:val="left"/>
      <w:pPr>
        <w:ind w:left="425" w:hanging="425"/>
      </w:pPr>
      <w:rPr>
        <w:rFonts w:hint="default"/>
      </w:rPr>
    </w:lvl>
  </w:abstractNum>
  <w:abstractNum w:abstractNumId="1">
    <w:nsid w:val="A337286F"/>
    <w:multiLevelType w:val="singleLevel"/>
    <w:tmpl w:val="A337286F"/>
    <w:lvl w:ilvl="0" w:tentative="0">
      <w:start w:val="1"/>
      <w:numFmt w:val="decimal"/>
      <w:lvlText w:val="%1."/>
      <w:lvlJc w:val="left"/>
      <w:pPr>
        <w:ind w:left="425" w:hanging="425"/>
      </w:pPr>
      <w:rPr>
        <w:rFonts w:hint="default"/>
      </w:rPr>
    </w:lvl>
  </w:abstractNum>
  <w:abstractNum w:abstractNumId="2">
    <w:nsid w:val="C9108878"/>
    <w:multiLevelType w:val="singleLevel"/>
    <w:tmpl w:val="C9108878"/>
    <w:lvl w:ilvl="0" w:tentative="0">
      <w:start w:val="1"/>
      <w:numFmt w:val="decimal"/>
      <w:lvlText w:val="%1."/>
      <w:lvlJc w:val="left"/>
      <w:pPr>
        <w:ind w:left="425" w:hanging="425"/>
      </w:pPr>
      <w:rPr>
        <w:rFonts w:hint="default"/>
      </w:rPr>
    </w:lvl>
  </w:abstractNum>
  <w:abstractNum w:abstractNumId="3">
    <w:nsid w:val="D7F0ABDB"/>
    <w:multiLevelType w:val="singleLevel"/>
    <w:tmpl w:val="D7F0ABDB"/>
    <w:lvl w:ilvl="0" w:tentative="0">
      <w:start w:val="1"/>
      <w:numFmt w:val="decimal"/>
      <w:lvlText w:val="(%1)"/>
      <w:lvlJc w:val="left"/>
      <w:pPr>
        <w:ind w:left="425" w:hanging="425"/>
      </w:pPr>
      <w:rPr>
        <w:rFonts w:hint="default"/>
      </w:rPr>
    </w:lvl>
  </w:abstractNum>
  <w:abstractNum w:abstractNumId="4">
    <w:nsid w:val="DC1582A0"/>
    <w:multiLevelType w:val="singleLevel"/>
    <w:tmpl w:val="DC1582A0"/>
    <w:lvl w:ilvl="0" w:tentative="0">
      <w:start w:val="1"/>
      <w:numFmt w:val="decimal"/>
      <w:lvlText w:val="%1."/>
      <w:lvlJc w:val="left"/>
      <w:pPr>
        <w:ind w:left="425" w:hanging="425"/>
      </w:pPr>
      <w:rPr>
        <w:rFonts w:hint="default"/>
      </w:rPr>
    </w:lvl>
  </w:abstractNum>
  <w:abstractNum w:abstractNumId="5">
    <w:nsid w:val="DE9FA3F4"/>
    <w:multiLevelType w:val="singleLevel"/>
    <w:tmpl w:val="DE9FA3F4"/>
    <w:lvl w:ilvl="0" w:tentative="0">
      <w:start w:val="1"/>
      <w:numFmt w:val="chineseCounting"/>
      <w:suff w:val="nothing"/>
      <w:lvlText w:val="（%1）"/>
      <w:lvlJc w:val="left"/>
      <w:pPr>
        <w:ind w:left="0" w:firstLine="420"/>
      </w:pPr>
      <w:rPr>
        <w:rFonts w:hint="eastAsia"/>
      </w:rPr>
    </w:lvl>
  </w:abstractNum>
  <w:abstractNum w:abstractNumId="6">
    <w:nsid w:val="038A63D2"/>
    <w:multiLevelType w:val="multilevel"/>
    <w:tmpl w:val="038A63D2"/>
    <w:lvl w:ilvl="0" w:tentative="0">
      <w:start w:val="29"/>
      <w:numFmt w:val="decimal"/>
      <w:lvlText w:val="%1"/>
      <w:lvlJc w:val="left"/>
      <w:pPr>
        <w:ind w:left="425" w:hanging="425"/>
      </w:pPr>
      <w:rPr>
        <w:rFonts w:hint="eastAsia"/>
        <w:b/>
        <w:i w:val="0"/>
        <w:color w:val="auto"/>
        <w:sz w:val="21"/>
      </w:rPr>
    </w:lvl>
    <w:lvl w:ilvl="1" w:tentative="0">
      <w:start w:val="1"/>
      <w:numFmt w:val="decimal"/>
      <w:lvlText w:val="%1.%2"/>
      <w:lvlJc w:val="left"/>
      <w:pPr>
        <w:ind w:left="567" w:hanging="567"/>
      </w:pPr>
      <w:rPr>
        <w:rFonts w:hint="eastAsia"/>
        <w:b w:val="0"/>
      </w:rPr>
    </w:lvl>
    <w:lvl w:ilvl="2" w:tentative="0">
      <w:start w:val="1"/>
      <w:numFmt w:val="decimal"/>
      <w:lvlText w:val="%1.2.%3"/>
      <w:lvlJc w:val="left"/>
      <w:pPr>
        <w:ind w:left="709" w:hanging="709"/>
      </w:pPr>
      <w:rPr>
        <w:rFonts w:hint="eastAsia"/>
      </w:rPr>
    </w:lvl>
    <w:lvl w:ilvl="3" w:tentative="0">
      <w:start w:val="1"/>
      <w:numFmt w:val="decimal"/>
      <w:lvlText w:val="%1.3.%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
    <w:nsid w:val="040A34B3"/>
    <w:multiLevelType w:val="multilevel"/>
    <w:tmpl w:val="040A34B3"/>
    <w:lvl w:ilvl="0" w:tentative="0">
      <w:start w:val="1"/>
      <w:numFmt w:val="decimal"/>
      <w:lvlText w:val="14.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43631BE"/>
    <w:multiLevelType w:val="multilevel"/>
    <w:tmpl w:val="043631BE"/>
    <w:lvl w:ilvl="0" w:tentative="0">
      <w:start w:val="1"/>
      <w:numFmt w:val="decimal"/>
      <w:lvlText w:val="2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5523C1C"/>
    <w:multiLevelType w:val="multilevel"/>
    <w:tmpl w:val="05523C1C"/>
    <w:lvl w:ilvl="0" w:tentative="0">
      <w:start w:val="10"/>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3.%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0">
    <w:nsid w:val="08AF46D7"/>
    <w:multiLevelType w:val="multilevel"/>
    <w:tmpl w:val="08AF46D7"/>
    <w:lvl w:ilvl="0" w:tentative="0">
      <w:start w:val="1"/>
      <w:numFmt w:val="decimal"/>
      <w:lvlText w:val="3.%1"/>
      <w:lvlJc w:val="left"/>
      <w:pPr>
        <w:ind w:left="941"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A9528F9"/>
    <w:multiLevelType w:val="multilevel"/>
    <w:tmpl w:val="0A9528F9"/>
    <w:lvl w:ilvl="0" w:tentative="0">
      <w:start w:val="1"/>
      <w:numFmt w:val="decimal"/>
      <w:lvlText w:val="1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B5D1CF6"/>
    <w:multiLevelType w:val="multilevel"/>
    <w:tmpl w:val="0B5D1CF6"/>
    <w:lvl w:ilvl="0" w:tentative="0">
      <w:start w:val="1"/>
      <w:numFmt w:val="decimal"/>
      <w:lvlText w:val="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C5C6350"/>
    <w:multiLevelType w:val="multilevel"/>
    <w:tmpl w:val="0C5C6350"/>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EE76AD9"/>
    <w:multiLevelType w:val="multilevel"/>
    <w:tmpl w:val="0EE76AD9"/>
    <w:lvl w:ilvl="0" w:tentative="0">
      <w:start w:val="1"/>
      <w:numFmt w:val="decimal"/>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0FE07D7"/>
    <w:multiLevelType w:val="multilevel"/>
    <w:tmpl w:val="10FE07D7"/>
    <w:lvl w:ilvl="0" w:tentative="0">
      <w:start w:val="1"/>
      <w:numFmt w:val="decimal"/>
      <w:lvlText w:val="2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1854C77"/>
    <w:multiLevelType w:val="multilevel"/>
    <w:tmpl w:val="11854C7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569BBE6"/>
    <w:multiLevelType w:val="singleLevel"/>
    <w:tmpl w:val="1569BBE6"/>
    <w:lvl w:ilvl="0" w:tentative="0">
      <w:start w:val="1"/>
      <w:numFmt w:val="decimal"/>
      <w:lvlText w:val="%1."/>
      <w:lvlJc w:val="left"/>
      <w:pPr>
        <w:ind w:left="425" w:hanging="425"/>
      </w:pPr>
      <w:rPr>
        <w:rFonts w:hint="default"/>
      </w:rPr>
    </w:lvl>
  </w:abstractNum>
  <w:abstractNum w:abstractNumId="19">
    <w:nsid w:val="16DF1E9C"/>
    <w:multiLevelType w:val="singleLevel"/>
    <w:tmpl w:val="16DF1E9C"/>
    <w:lvl w:ilvl="0" w:tentative="0">
      <w:start w:val="1"/>
      <w:numFmt w:val="decimal"/>
      <w:lvlText w:val="%1."/>
      <w:lvlJc w:val="left"/>
      <w:pPr>
        <w:ind w:left="425" w:hanging="425"/>
      </w:pPr>
      <w:rPr>
        <w:rFonts w:hint="default"/>
      </w:rPr>
    </w:lvl>
  </w:abstractNum>
  <w:abstractNum w:abstractNumId="20">
    <w:nsid w:val="176E0134"/>
    <w:multiLevelType w:val="multilevel"/>
    <w:tmpl w:val="176E0134"/>
    <w:lvl w:ilvl="0" w:tentative="0">
      <w:start w:val="1"/>
      <w:numFmt w:val="decimal"/>
      <w:lvlText w:val="2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83154B4"/>
    <w:multiLevelType w:val="multilevel"/>
    <w:tmpl w:val="183154B4"/>
    <w:lvl w:ilvl="0" w:tentative="0">
      <w:start w:val="1"/>
      <w:numFmt w:val="decimal"/>
      <w:lvlText w:val="2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9CD77AF"/>
    <w:multiLevelType w:val="multilevel"/>
    <w:tmpl w:val="19CD77AF"/>
    <w:lvl w:ilvl="0" w:tentative="0">
      <w:start w:val="1"/>
      <w:numFmt w:val="decimal"/>
      <w:lvlText w:val="3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A600377"/>
    <w:multiLevelType w:val="multilevel"/>
    <w:tmpl w:val="1A600377"/>
    <w:lvl w:ilvl="0" w:tentative="0">
      <w:start w:val="1"/>
      <w:numFmt w:val="decimal"/>
      <w:lvlText w:val="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A973E3B"/>
    <w:multiLevelType w:val="multilevel"/>
    <w:tmpl w:val="1A973E3B"/>
    <w:lvl w:ilvl="0" w:tentative="0">
      <w:start w:val="1"/>
      <w:numFmt w:val="decimal"/>
      <w:lvlText w:val="1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C4E0595"/>
    <w:multiLevelType w:val="multilevel"/>
    <w:tmpl w:val="1C4E059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6">
    <w:nsid w:val="1DA21561"/>
    <w:multiLevelType w:val="multilevel"/>
    <w:tmpl w:val="1DA21561"/>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2.%3"/>
      <w:lvlJc w:val="left"/>
      <w:pPr>
        <w:ind w:left="709" w:hanging="709"/>
      </w:pPr>
      <w:rPr>
        <w:rFonts w:hint="eastAsia"/>
      </w:rPr>
    </w:lvl>
    <w:lvl w:ilvl="3" w:tentative="0">
      <w:start w:val="1"/>
      <w:numFmt w:val="decimal"/>
      <w:lvlText w:val="30.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7">
    <w:nsid w:val="1E0E2DA0"/>
    <w:multiLevelType w:val="multilevel"/>
    <w:tmpl w:val="1E0E2DA0"/>
    <w:lvl w:ilvl="0" w:tentative="0">
      <w:start w:val="1"/>
      <w:numFmt w:val="decimal"/>
      <w:lvlText w:val="%1"/>
      <w:lvlJc w:val="left"/>
      <w:pPr>
        <w:ind w:left="425" w:hanging="425"/>
      </w:pPr>
      <w:rPr>
        <w:rFonts w:hint="eastAsia"/>
        <w:b/>
        <w:i w:val="0"/>
        <w:color w:val="auto"/>
        <w:sz w:val="21"/>
      </w:rPr>
    </w:lvl>
    <w:lvl w:ilvl="1" w:tentative="0">
      <w:start w:val="1"/>
      <w:numFmt w:val="decimal"/>
      <w:lvlText w:val="29.%2"/>
      <w:lvlJc w:val="left"/>
      <w:pPr>
        <w:ind w:left="567" w:hanging="567"/>
      </w:pPr>
      <w:rPr>
        <w:rFonts w:hint="eastAsia"/>
        <w:b/>
        <w:bCs w:val="0"/>
        <w:color w:val="auto"/>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8">
    <w:nsid w:val="1F1F0EBB"/>
    <w:multiLevelType w:val="multilevel"/>
    <w:tmpl w:val="1F1F0EBB"/>
    <w:lvl w:ilvl="0" w:tentative="0">
      <w:start w:val="1"/>
      <w:numFmt w:val="decimal"/>
      <w:lvlText w:val="3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22C938AD"/>
    <w:multiLevelType w:val="multilevel"/>
    <w:tmpl w:val="22C938AD"/>
    <w:lvl w:ilvl="0" w:tentative="0">
      <w:start w:val="10"/>
      <w:numFmt w:val="decimal"/>
      <w:lvlText w:val="%1"/>
      <w:lvlJc w:val="left"/>
      <w:pPr>
        <w:ind w:left="425" w:hanging="425"/>
      </w:pPr>
      <w:rPr>
        <w:rFonts w:hint="eastAsia"/>
      </w:rPr>
    </w:lvl>
    <w:lvl w:ilvl="1" w:tentative="0">
      <w:start w:val="1"/>
      <w:numFmt w:val="decimal"/>
      <w:lvlText w:val="8.%2"/>
      <w:lvlJc w:val="left"/>
      <w:pPr>
        <w:ind w:left="567" w:hanging="567"/>
      </w:pPr>
      <w:rPr>
        <w:rFonts w:hint="eastAsia"/>
        <w:b/>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0">
    <w:nsid w:val="25F566EF"/>
    <w:multiLevelType w:val="multilevel"/>
    <w:tmpl w:val="25F566EF"/>
    <w:lvl w:ilvl="0" w:tentative="0">
      <w:start w:val="11"/>
      <w:numFmt w:val="decimal"/>
      <w:lvlText w:val="%1"/>
      <w:lvlJc w:val="left"/>
      <w:pPr>
        <w:ind w:left="425" w:hanging="425"/>
      </w:pPr>
      <w:rPr>
        <w:rFonts w:hint="eastAsia"/>
      </w:rPr>
    </w:lvl>
    <w:lvl w:ilvl="1" w:tentative="0">
      <w:start w:val="2"/>
      <w:numFmt w:val="decimal"/>
      <w:lvlText w:val="%1.%2"/>
      <w:lvlJc w:val="left"/>
      <w:pPr>
        <w:ind w:left="567" w:hanging="567"/>
      </w:pPr>
      <w:rPr>
        <w:rFonts w:hint="eastAsia"/>
      </w:rPr>
    </w:lvl>
    <w:lvl w:ilvl="2" w:tentative="0">
      <w:start w:val="1"/>
      <w:numFmt w:val="decimal"/>
      <w:lvlText w:val="12.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1">
    <w:nsid w:val="2744BA1A"/>
    <w:multiLevelType w:val="singleLevel"/>
    <w:tmpl w:val="2744BA1A"/>
    <w:lvl w:ilvl="0" w:tentative="0">
      <w:start w:val="1"/>
      <w:numFmt w:val="decimal"/>
      <w:lvlText w:val="%1."/>
      <w:lvlJc w:val="left"/>
      <w:pPr>
        <w:ind w:left="425" w:hanging="425"/>
      </w:pPr>
      <w:rPr>
        <w:rFonts w:hint="default"/>
      </w:rPr>
    </w:lvl>
  </w:abstractNum>
  <w:abstractNum w:abstractNumId="32">
    <w:nsid w:val="2A16535C"/>
    <w:multiLevelType w:val="multilevel"/>
    <w:tmpl w:val="2A16535C"/>
    <w:lvl w:ilvl="0" w:tentative="0">
      <w:start w:val="1"/>
      <w:numFmt w:val="decimal"/>
      <w:lvlText w:val="1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B1320B6"/>
    <w:multiLevelType w:val="multilevel"/>
    <w:tmpl w:val="2B1320B6"/>
    <w:lvl w:ilvl="0" w:tentative="0">
      <w:start w:val="1"/>
      <w:numFmt w:val="decimal"/>
      <w:lvlText w:val="2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B8721E3"/>
    <w:multiLevelType w:val="multilevel"/>
    <w:tmpl w:val="2B8721E3"/>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5">
    <w:nsid w:val="2C2B1E1F"/>
    <w:multiLevelType w:val="multilevel"/>
    <w:tmpl w:val="2C2B1E1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2E8F60A7"/>
    <w:multiLevelType w:val="multilevel"/>
    <w:tmpl w:val="2E8F60A7"/>
    <w:lvl w:ilvl="0" w:tentative="0">
      <w:start w:val="1"/>
      <w:numFmt w:val="decimal"/>
      <w:lvlText w:val="2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F8426FB"/>
    <w:multiLevelType w:val="multilevel"/>
    <w:tmpl w:val="2F8426F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2FF332FE"/>
    <w:multiLevelType w:val="multilevel"/>
    <w:tmpl w:val="2FF332F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9">
    <w:nsid w:val="30E620E1"/>
    <w:multiLevelType w:val="multilevel"/>
    <w:tmpl w:val="30E620E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32A23873"/>
    <w:multiLevelType w:val="multilevel"/>
    <w:tmpl w:val="32A23873"/>
    <w:lvl w:ilvl="0" w:tentative="0">
      <w:start w:val="1"/>
      <w:numFmt w:val="decimal"/>
      <w:lvlText w:val="1.%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32BF1864"/>
    <w:multiLevelType w:val="multilevel"/>
    <w:tmpl w:val="32BF1864"/>
    <w:lvl w:ilvl="0" w:tentative="0">
      <w:start w:val="1"/>
      <w:numFmt w:val="chineseCountingThousand"/>
      <w:lvlText w:val="%1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46F47EE"/>
    <w:multiLevelType w:val="multilevel"/>
    <w:tmpl w:val="346F47EE"/>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4CE7977"/>
    <w:multiLevelType w:val="multilevel"/>
    <w:tmpl w:val="34CE7977"/>
    <w:lvl w:ilvl="0" w:tentative="0">
      <w:start w:val="1"/>
      <w:numFmt w:val="decimal"/>
      <w:lvlText w:val="%1."/>
      <w:lvlJc w:val="left"/>
      <w:pPr>
        <w:ind w:left="360" w:hanging="36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5EA1EC4"/>
    <w:multiLevelType w:val="multilevel"/>
    <w:tmpl w:val="35EA1EC4"/>
    <w:lvl w:ilvl="0" w:tentative="0">
      <w:start w:val="1"/>
      <w:numFmt w:val="chineseCountingThousand"/>
      <w:lvlText w:val="%1 "/>
      <w:lvlJc w:val="left"/>
      <w:pPr>
        <w:ind w:left="420" w:hanging="420"/>
      </w:pPr>
      <w:rPr>
        <w:rFonts w:hint="eastAsia"/>
        <w:b/>
        <w:i w:val="0"/>
        <w:color w:val="auto"/>
        <w:sz w:val="21"/>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6603967"/>
    <w:multiLevelType w:val="multilevel"/>
    <w:tmpl w:val="36603967"/>
    <w:lvl w:ilvl="0" w:tentative="0">
      <w:start w:val="1"/>
      <w:numFmt w:val="decimal"/>
      <w:lvlText w:val="3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3A1627FA"/>
    <w:multiLevelType w:val="multilevel"/>
    <w:tmpl w:val="3A1627FA"/>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B5D1229"/>
    <w:multiLevelType w:val="multilevel"/>
    <w:tmpl w:val="3B5D1229"/>
    <w:lvl w:ilvl="0" w:tentative="0">
      <w:start w:val="1"/>
      <w:numFmt w:val="decimal"/>
      <w:lvlText w:val="1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BFF7564"/>
    <w:multiLevelType w:val="multilevel"/>
    <w:tmpl w:val="3BFF7564"/>
    <w:lvl w:ilvl="0" w:tentative="0">
      <w:start w:val="1"/>
      <w:numFmt w:val="decimal"/>
      <w:lvlText w:val="%1"/>
      <w:lvlJc w:val="left"/>
      <w:pPr>
        <w:ind w:left="425" w:hanging="425"/>
      </w:pPr>
      <w:rPr>
        <w:rFonts w:hint="eastAsia"/>
      </w:rPr>
    </w:lvl>
    <w:lvl w:ilvl="1" w:tentative="0">
      <w:start w:val="2"/>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49">
    <w:nsid w:val="3E7B3266"/>
    <w:multiLevelType w:val="multilevel"/>
    <w:tmpl w:val="3E7B3266"/>
    <w:lvl w:ilvl="0" w:tentative="0">
      <w:start w:val="1"/>
      <w:numFmt w:val="decimal"/>
      <w:lvlText w:val="3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EDA68BD"/>
    <w:multiLevelType w:val="multilevel"/>
    <w:tmpl w:val="3EDA68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17F4FF7"/>
    <w:multiLevelType w:val="singleLevel"/>
    <w:tmpl w:val="417F4FF7"/>
    <w:lvl w:ilvl="0" w:tentative="0">
      <w:start w:val="1"/>
      <w:numFmt w:val="decimal"/>
      <w:lvlText w:val="%1."/>
      <w:lvlJc w:val="left"/>
      <w:pPr>
        <w:ind w:left="425" w:hanging="425"/>
      </w:pPr>
      <w:rPr>
        <w:rFonts w:hint="default"/>
      </w:rPr>
    </w:lvl>
  </w:abstractNum>
  <w:abstractNum w:abstractNumId="52">
    <w:nsid w:val="426A2696"/>
    <w:multiLevelType w:val="multilevel"/>
    <w:tmpl w:val="426A2696"/>
    <w:lvl w:ilvl="0" w:tentative="0">
      <w:start w:val="13"/>
      <w:numFmt w:val="decimal"/>
      <w:lvlText w:val="%1"/>
      <w:lvlJc w:val="left"/>
      <w:pPr>
        <w:ind w:left="425" w:hanging="425"/>
      </w:pPr>
      <w:rPr>
        <w:rFonts w:hint="eastAsia"/>
      </w:rPr>
    </w:lvl>
    <w:lvl w:ilvl="1" w:tentative="0">
      <w:start w:val="1"/>
      <w:numFmt w:val="decimal"/>
      <w:lvlText w:val="10.%2"/>
      <w:lvlJc w:val="left"/>
      <w:pPr>
        <w:ind w:left="567" w:hanging="567"/>
      </w:pPr>
      <w:rPr>
        <w:rFonts w:hint="eastAsia"/>
      </w:rPr>
    </w:lvl>
    <w:lvl w:ilvl="2" w:tentative="0">
      <w:start w:val="3"/>
      <w:numFmt w:val="decimal"/>
      <w:lvlText w:val="%1.2.1"/>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3">
    <w:nsid w:val="44A4036E"/>
    <w:multiLevelType w:val="multilevel"/>
    <w:tmpl w:val="44A4036E"/>
    <w:lvl w:ilvl="0" w:tentative="0">
      <w:start w:val="11"/>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1.%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4">
    <w:nsid w:val="482F7A7A"/>
    <w:multiLevelType w:val="multilevel"/>
    <w:tmpl w:val="482F7A7A"/>
    <w:lvl w:ilvl="0" w:tentative="0">
      <w:start w:val="1"/>
      <w:numFmt w:val="decimal"/>
      <w:lvlText w:val="8.%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8785470"/>
    <w:multiLevelType w:val="multilevel"/>
    <w:tmpl w:val="48785470"/>
    <w:lvl w:ilvl="0" w:tentative="0">
      <w:start w:val="1"/>
      <w:numFmt w:val="decimal"/>
      <w:lvlText w:val="8.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9FB7819"/>
    <w:multiLevelType w:val="multilevel"/>
    <w:tmpl w:val="49FB781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AD52286"/>
    <w:multiLevelType w:val="multilevel"/>
    <w:tmpl w:val="4AD52286"/>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4AE21275"/>
    <w:multiLevelType w:val="multilevel"/>
    <w:tmpl w:val="4AE21275"/>
    <w:lvl w:ilvl="0" w:tentative="0">
      <w:start w:val="8"/>
      <w:numFmt w:val="decimal"/>
      <w:lvlText w:val="%1"/>
      <w:lvlJc w:val="left"/>
      <w:pPr>
        <w:ind w:left="425" w:hanging="425"/>
      </w:pPr>
      <w:rPr>
        <w:rFonts w:hint="eastAsia"/>
      </w:rPr>
    </w:lvl>
    <w:lvl w:ilvl="1" w:tentative="0">
      <w:start w:val="1"/>
      <w:numFmt w:val="decimal"/>
      <w:lvlText w:val="6.%2"/>
      <w:lvlJc w:val="left"/>
      <w:pPr>
        <w:ind w:left="567"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9">
    <w:nsid w:val="4B3930D4"/>
    <w:multiLevelType w:val="multilevel"/>
    <w:tmpl w:val="4B3930D4"/>
    <w:lvl w:ilvl="0" w:tentative="0">
      <w:start w:val="1"/>
      <w:numFmt w:val="decimal"/>
      <w:lvlText w:val="%1"/>
      <w:lvlJc w:val="left"/>
      <w:pPr>
        <w:ind w:left="420" w:hanging="420"/>
      </w:pPr>
      <w:rPr>
        <w:rFonts w:hint="default"/>
        <w:b/>
        <w:bCs/>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BAE0827"/>
    <w:multiLevelType w:val="multilevel"/>
    <w:tmpl w:val="4BAE0827"/>
    <w:lvl w:ilvl="0" w:tentative="0">
      <w:start w:val="1"/>
      <w:numFmt w:val="decimal"/>
      <w:lvlText w:val="3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51062AD7"/>
    <w:multiLevelType w:val="multilevel"/>
    <w:tmpl w:val="51062AD7"/>
    <w:lvl w:ilvl="0" w:tentative="0">
      <w:start w:val="1"/>
      <w:numFmt w:val="decimal"/>
      <w:lvlText w:val="2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1502957"/>
    <w:multiLevelType w:val="multilevel"/>
    <w:tmpl w:val="51502957"/>
    <w:lvl w:ilvl="0" w:tentative="0">
      <w:start w:val="18"/>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19.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3">
    <w:nsid w:val="52BA71BE"/>
    <w:multiLevelType w:val="multilevel"/>
    <w:tmpl w:val="52BA71BE"/>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3.%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4">
    <w:nsid w:val="52CF0B72"/>
    <w:multiLevelType w:val="multilevel"/>
    <w:tmpl w:val="52CF0B7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5">
    <w:nsid w:val="53331BC6"/>
    <w:multiLevelType w:val="multilevel"/>
    <w:tmpl w:val="53331BC6"/>
    <w:lvl w:ilvl="0" w:tentative="0">
      <w:start w:val="3"/>
      <w:numFmt w:val="decimal"/>
      <w:lvlText w:val="%1"/>
      <w:lvlJc w:val="left"/>
      <w:pPr>
        <w:ind w:left="425" w:hanging="425"/>
      </w:pPr>
      <w:rPr>
        <w:rFonts w:hint="eastAsia"/>
      </w:rPr>
    </w:lvl>
    <w:lvl w:ilvl="1" w:tentative="0">
      <w:start w:val="1"/>
      <w:numFmt w:val="decimal"/>
      <w:lvlText w:val="3.%2"/>
      <w:lvlJc w:val="left"/>
      <w:pPr>
        <w:ind w:left="567"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66">
    <w:nsid w:val="53BB02E6"/>
    <w:multiLevelType w:val="multilevel"/>
    <w:tmpl w:val="53BB02E6"/>
    <w:lvl w:ilvl="0" w:tentative="0">
      <w:start w:val="1"/>
      <w:numFmt w:val="decimal"/>
      <w:lvlText w:val="%1."/>
      <w:lvlJc w:val="left"/>
      <w:pPr>
        <w:ind w:left="1680" w:hanging="420"/>
      </w:p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67">
    <w:nsid w:val="54F200C9"/>
    <w:multiLevelType w:val="multilevel"/>
    <w:tmpl w:val="54F200C9"/>
    <w:lvl w:ilvl="0" w:tentative="0">
      <w:start w:val="1"/>
      <w:numFmt w:val="decimal"/>
      <w:lvlText w:val="2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5CF31B5"/>
    <w:multiLevelType w:val="multilevel"/>
    <w:tmpl w:val="55CF31B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5E32074"/>
    <w:multiLevelType w:val="multilevel"/>
    <w:tmpl w:val="55E3207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7E64E5F"/>
    <w:multiLevelType w:val="multilevel"/>
    <w:tmpl w:val="57E64E5F"/>
    <w:lvl w:ilvl="0" w:tentative="0">
      <w:start w:val="1"/>
      <w:numFmt w:val="decimal"/>
      <w:lvlText w:val="%1"/>
      <w:lvlJc w:val="left"/>
      <w:pPr>
        <w:ind w:left="420" w:hanging="420"/>
      </w:pPr>
      <w:rPr>
        <w:rFonts w:hint="eastAsia"/>
        <w:b/>
        <w:i w:val="0"/>
        <w:color w:val="auto"/>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58DC2BF5"/>
    <w:multiLevelType w:val="multilevel"/>
    <w:tmpl w:val="58DC2BF5"/>
    <w:lvl w:ilvl="0" w:tentative="0">
      <w:start w:val="1"/>
      <w:numFmt w:val="decimal"/>
      <w:lvlText w:val="10.%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592B198C"/>
    <w:multiLevelType w:val="multilevel"/>
    <w:tmpl w:val="592B198C"/>
    <w:lvl w:ilvl="0" w:tentative="0">
      <w:start w:val="1"/>
      <w:numFmt w:val="chineseCountingThousand"/>
      <w:lvlText w:val="%1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5A2E78C4"/>
    <w:multiLevelType w:val="singleLevel"/>
    <w:tmpl w:val="5A2E78C4"/>
    <w:lvl w:ilvl="0" w:tentative="0">
      <w:start w:val="1"/>
      <w:numFmt w:val="decimal"/>
      <w:lvlText w:val="(%1)"/>
      <w:lvlJc w:val="left"/>
      <w:pPr>
        <w:ind w:left="425" w:hanging="425"/>
      </w:pPr>
      <w:rPr>
        <w:rFonts w:hint="default"/>
      </w:rPr>
    </w:lvl>
  </w:abstractNum>
  <w:abstractNum w:abstractNumId="74">
    <w:nsid w:val="5C0E4467"/>
    <w:multiLevelType w:val="multilevel"/>
    <w:tmpl w:val="5C0E4467"/>
    <w:lvl w:ilvl="0" w:tentative="0">
      <w:start w:val="1"/>
      <w:numFmt w:val="decimal"/>
      <w:lvlText w:val="2.%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5F487B03"/>
    <w:multiLevelType w:val="singleLevel"/>
    <w:tmpl w:val="5F487B03"/>
    <w:lvl w:ilvl="0" w:tentative="0">
      <w:start w:val="1"/>
      <w:numFmt w:val="decimal"/>
      <w:lvlText w:val="%1."/>
      <w:lvlJc w:val="left"/>
      <w:pPr>
        <w:ind w:left="425" w:hanging="425"/>
      </w:pPr>
      <w:rPr>
        <w:rFonts w:hint="default"/>
      </w:rPr>
    </w:lvl>
  </w:abstractNum>
  <w:abstractNum w:abstractNumId="76">
    <w:nsid w:val="61636B35"/>
    <w:multiLevelType w:val="multilevel"/>
    <w:tmpl w:val="61636B35"/>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2A80407"/>
    <w:multiLevelType w:val="multilevel"/>
    <w:tmpl w:val="62A80407"/>
    <w:lvl w:ilvl="0" w:tentative="0">
      <w:start w:val="1"/>
      <w:numFmt w:val="decimal"/>
      <w:lvlText w:val="1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63173248"/>
    <w:multiLevelType w:val="multilevel"/>
    <w:tmpl w:val="63173248"/>
    <w:lvl w:ilvl="0" w:tentative="0">
      <w:start w:val="1"/>
      <w:numFmt w:val="decimal"/>
      <w:lvlText w:val="5.%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65715ED9"/>
    <w:multiLevelType w:val="multilevel"/>
    <w:tmpl w:val="65715ED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65C87B74"/>
    <w:multiLevelType w:val="multilevel"/>
    <w:tmpl w:val="65C87B74"/>
    <w:lvl w:ilvl="0" w:tentative="0">
      <w:start w:val="1"/>
      <w:numFmt w:val="decimal"/>
      <w:lvlText w:val="2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7F55E3A"/>
    <w:multiLevelType w:val="multilevel"/>
    <w:tmpl w:val="67F55E3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6A2271FD"/>
    <w:multiLevelType w:val="multilevel"/>
    <w:tmpl w:val="6A2271FD"/>
    <w:lvl w:ilvl="0" w:tentative="0">
      <w:start w:val="1"/>
      <w:numFmt w:val="decimal"/>
      <w:lvlText w:val="3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6BCC430F"/>
    <w:multiLevelType w:val="multilevel"/>
    <w:tmpl w:val="6BCC43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4">
    <w:nsid w:val="708621A4"/>
    <w:multiLevelType w:val="multilevel"/>
    <w:tmpl w:val="708621A4"/>
    <w:lvl w:ilvl="0" w:tentative="0">
      <w:start w:val="1"/>
      <w:numFmt w:val="decimal"/>
      <w:lvlText w:val="3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1580BEF"/>
    <w:multiLevelType w:val="multilevel"/>
    <w:tmpl w:val="71580BEF"/>
    <w:lvl w:ilvl="0" w:tentative="0">
      <w:start w:val="30"/>
      <w:numFmt w:val="decimal"/>
      <w:lvlText w:val="%1"/>
      <w:lvlJc w:val="left"/>
      <w:pPr>
        <w:ind w:left="425" w:hanging="425"/>
      </w:pPr>
      <w:rPr>
        <w:rFonts w:hint="eastAsia"/>
        <w:b/>
        <w:i w:val="0"/>
        <w:color w:val="auto"/>
        <w:sz w:val="21"/>
      </w:rPr>
    </w:lvl>
    <w:lvl w:ilvl="1" w:tentative="0">
      <w:start w:val="4"/>
      <w:numFmt w:val="decimal"/>
      <w:lvlText w:val="%1.%2"/>
      <w:lvlJc w:val="left"/>
      <w:pPr>
        <w:ind w:left="567" w:hanging="567"/>
      </w:pPr>
      <w:rPr>
        <w:rFonts w:hint="eastAsia"/>
        <w:b w:val="0"/>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86">
    <w:nsid w:val="7264255B"/>
    <w:multiLevelType w:val="multilevel"/>
    <w:tmpl w:val="7264255B"/>
    <w:lvl w:ilvl="0" w:tentative="0">
      <w:start w:val="1"/>
      <w:numFmt w:val="chineseCountingThousand"/>
      <w:lvlText w:val="(%1)"/>
      <w:lvlJc w:val="left"/>
      <w:pPr>
        <w:ind w:left="420" w:hanging="420"/>
      </w:pPr>
      <w:rPr>
        <w:rFonts w:hint="eastAsia"/>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28821B6"/>
    <w:multiLevelType w:val="multilevel"/>
    <w:tmpl w:val="728821B6"/>
    <w:lvl w:ilvl="0" w:tentative="0">
      <w:start w:val="1"/>
      <w:numFmt w:val="decimal"/>
      <w:lvlText w:val="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2E62A6A"/>
    <w:multiLevelType w:val="multilevel"/>
    <w:tmpl w:val="72E62A6A"/>
    <w:lvl w:ilvl="0" w:tentative="0">
      <w:start w:val="1"/>
      <w:numFmt w:val="decimal"/>
      <w:lvlText w:val="9.%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61A1D84"/>
    <w:multiLevelType w:val="multilevel"/>
    <w:tmpl w:val="761A1D84"/>
    <w:lvl w:ilvl="0" w:tentative="0">
      <w:start w:val="1"/>
      <w:numFmt w:val="decimal"/>
      <w:lvlText w:val="16.%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A1B3571"/>
    <w:multiLevelType w:val="multilevel"/>
    <w:tmpl w:val="7A1B3571"/>
    <w:lvl w:ilvl="0" w:tentative="0">
      <w:start w:val="11"/>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8.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1">
    <w:nsid w:val="7BA40B41"/>
    <w:multiLevelType w:val="multilevel"/>
    <w:tmpl w:val="7BA40B41"/>
    <w:lvl w:ilvl="0" w:tentative="0">
      <w:start w:val="29"/>
      <w:numFmt w:val="decimal"/>
      <w:lvlText w:val="%1"/>
      <w:lvlJc w:val="left"/>
      <w:pPr>
        <w:ind w:left="425" w:hanging="425"/>
      </w:pPr>
      <w:rPr>
        <w:rFonts w:hint="eastAsia"/>
      </w:rPr>
    </w:lvl>
    <w:lvl w:ilvl="1" w:tentative="0">
      <w:start w:val="3"/>
      <w:numFmt w:val="decimal"/>
      <w:lvlText w:val="%1.%2"/>
      <w:lvlJc w:val="left"/>
      <w:pPr>
        <w:ind w:left="567" w:hanging="567"/>
      </w:pPr>
      <w:rPr>
        <w:rFonts w:hint="eastAsia"/>
      </w:rPr>
    </w:lvl>
    <w:lvl w:ilvl="2" w:tentative="0">
      <w:start w:val="1"/>
      <w:numFmt w:val="decimal"/>
      <w:lvlText w:val="30.1.%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2">
    <w:nsid w:val="7C9C2E3E"/>
    <w:multiLevelType w:val="multilevel"/>
    <w:tmpl w:val="7C9C2E3E"/>
    <w:lvl w:ilvl="0" w:tentative="0">
      <w:start w:val="2"/>
      <w:numFmt w:val="decimal"/>
      <w:lvlText w:val="%1"/>
      <w:lvlJc w:val="left"/>
      <w:pPr>
        <w:ind w:left="425" w:hanging="425"/>
      </w:pPr>
      <w:rPr>
        <w:rFonts w:hint="eastAsia"/>
      </w:rPr>
    </w:lvl>
    <w:lvl w:ilvl="1" w:tentative="0">
      <w:start w:val="1"/>
      <w:numFmt w:val="decimal"/>
      <w:lvlText w:val="%1.%2"/>
      <w:lvlJc w:val="left"/>
      <w:pPr>
        <w:ind w:left="851" w:hanging="567"/>
      </w:pPr>
      <w:rPr>
        <w:rFonts w:hint="eastAsia"/>
      </w:rPr>
    </w:lvl>
    <w:lvl w:ilvl="2" w:tentative="0">
      <w:start w:val="3"/>
      <w:numFmt w:val="decimal"/>
      <w:lvlText w:val="%1.4.%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3">
    <w:nsid w:val="7D823685"/>
    <w:multiLevelType w:val="multilevel"/>
    <w:tmpl w:val="7D823685"/>
    <w:lvl w:ilvl="0" w:tentative="0">
      <w:start w:val="1"/>
      <w:numFmt w:val="chineseCountingThousand"/>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4">
    <w:nsid w:val="7FEF4FD5"/>
    <w:multiLevelType w:val="multilevel"/>
    <w:tmpl w:val="7FEF4FD5"/>
    <w:lvl w:ilvl="0" w:tentative="0">
      <w:start w:val="1"/>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2"/>
  </w:num>
  <w:num w:numId="2">
    <w:abstractNumId w:val="44"/>
  </w:num>
  <w:num w:numId="3">
    <w:abstractNumId w:val="14"/>
  </w:num>
  <w:num w:numId="4">
    <w:abstractNumId w:val="40"/>
  </w:num>
  <w:num w:numId="5">
    <w:abstractNumId w:val="13"/>
  </w:num>
  <w:num w:numId="6">
    <w:abstractNumId w:val="59"/>
  </w:num>
  <w:num w:numId="7">
    <w:abstractNumId w:val="31"/>
  </w:num>
  <w:num w:numId="8">
    <w:abstractNumId w:val="17"/>
  </w:num>
  <w:num w:numId="9">
    <w:abstractNumId w:val="5"/>
  </w:num>
  <w:num w:numId="10">
    <w:abstractNumId w:val="2"/>
  </w:num>
  <w:num w:numId="11">
    <w:abstractNumId w:val="1"/>
  </w:num>
  <w:num w:numId="12">
    <w:abstractNumId w:val="75"/>
  </w:num>
  <w:num w:numId="13">
    <w:abstractNumId w:val="19"/>
  </w:num>
  <w:num w:numId="14">
    <w:abstractNumId w:val="0"/>
  </w:num>
  <w:num w:numId="15">
    <w:abstractNumId w:val="18"/>
  </w:num>
  <w:num w:numId="16">
    <w:abstractNumId w:val="4"/>
  </w:num>
  <w:num w:numId="17">
    <w:abstractNumId w:val="51"/>
  </w:num>
  <w:num w:numId="18">
    <w:abstractNumId w:val="73"/>
  </w:num>
  <w:num w:numId="19">
    <w:abstractNumId w:val="3"/>
  </w:num>
  <w:num w:numId="20">
    <w:abstractNumId w:val="41"/>
  </w:num>
  <w:num w:numId="21">
    <w:abstractNumId w:val="27"/>
  </w:num>
  <w:num w:numId="22">
    <w:abstractNumId w:val="74"/>
  </w:num>
  <w:num w:numId="23">
    <w:abstractNumId w:val="10"/>
  </w:num>
  <w:num w:numId="24">
    <w:abstractNumId w:val="23"/>
  </w:num>
  <w:num w:numId="25">
    <w:abstractNumId w:val="78"/>
  </w:num>
  <w:num w:numId="26">
    <w:abstractNumId w:val="87"/>
  </w:num>
  <w:num w:numId="27">
    <w:abstractNumId w:val="54"/>
  </w:num>
  <w:num w:numId="28">
    <w:abstractNumId w:val="88"/>
  </w:num>
  <w:num w:numId="29">
    <w:abstractNumId w:val="71"/>
  </w:num>
  <w:num w:numId="30">
    <w:abstractNumId w:val="12"/>
  </w:num>
  <w:num w:numId="31">
    <w:abstractNumId w:val="94"/>
  </w:num>
  <w:num w:numId="32">
    <w:abstractNumId w:val="30"/>
  </w:num>
  <w:num w:numId="33">
    <w:abstractNumId w:val="47"/>
  </w:num>
  <w:num w:numId="34">
    <w:abstractNumId w:val="11"/>
  </w:num>
  <w:num w:numId="35">
    <w:abstractNumId w:val="7"/>
  </w:num>
  <w:num w:numId="36">
    <w:abstractNumId w:val="77"/>
  </w:num>
  <w:num w:numId="37">
    <w:abstractNumId w:val="89"/>
  </w:num>
  <w:num w:numId="38">
    <w:abstractNumId w:val="32"/>
  </w:num>
  <w:num w:numId="39">
    <w:abstractNumId w:val="24"/>
  </w:num>
  <w:num w:numId="40">
    <w:abstractNumId w:val="62"/>
  </w:num>
  <w:num w:numId="41">
    <w:abstractNumId w:val="21"/>
  </w:num>
  <w:num w:numId="42">
    <w:abstractNumId w:val="20"/>
  </w:num>
  <w:num w:numId="43">
    <w:abstractNumId w:val="57"/>
  </w:num>
  <w:num w:numId="44">
    <w:abstractNumId w:val="61"/>
  </w:num>
  <w:num w:numId="45">
    <w:abstractNumId w:val="80"/>
  </w:num>
  <w:num w:numId="46">
    <w:abstractNumId w:val="33"/>
  </w:num>
  <w:num w:numId="47">
    <w:abstractNumId w:val="15"/>
  </w:num>
  <w:num w:numId="48">
    <w:abstractNumId w:val="67"/>
  </w:num>
  <w:num w:numId="49">
    <w:abstractNumId w:val="8"/>
  </w:num>
  <w:num w:numId="50">
    <w:abstractNumId w:val="36"/>
  </w:num>
  <w:num w:numId="51">
    <w:abstractNumId w:val="6"/>
  </w:num>
  <w:num w:numId="52">
    <w:abstractNumId w:val="22"/>
  </w:num>
  <w:num w:numId="53">
    <w:abstractNumId w:val="91"/>
  </w:num>
  <w:num w:numId="54">
    <w:abstractNumId w:val="26"/>
  </w:num>
  <w:num w:numId="55">
    <w:abstractNumId w:val="34"/>
  </w:num>
  <w:num w:numId="56">
    <w:abstractNumId w:val="85"/>
  </w:num>
  <w:num w:numId="57">
    <w:abstractNumId w:val="82"/>
  </w:num>
  <w:num w:numId="58">
    <w:abstractNumId w:val="45"/>
  </w:num>
  <w:num w:numId="59">
    <w:abstractNumId w:val="60"/>
  </w:num>
  <w:num w:numId="60">
    <w:abstractNumId w:val="28"/>
  </w:num>
  <w:num w:numId="61">
    <w:abstractNumId w:val="49"/>
  </w:num>
  <w:num w:numId="62">
    <w:abstractNumId w:val="84"/>
  </w:num>
  <w:num w:numId="63">
    <w:abstractNumId w:val="43"/>
  </w:num>
  <w:num w:numId="64">
    <w:abstractNumId w:val="72"/>
  </w:num>
  <w:num w:numId="65">
    <w:abstractNumId w:val="70"/>
  </w:num>
  <w:num w:numId="66">
    <w:abstractNumId w:val="63"/>
  </w:num>
  <w:num w:numId="67">
    <w:abstractNumId w:val="48"/>
  </w:num>
  <w:num w:numId="68">
    <w:abstractNumId w:val="92"/>
  </w:num>
  <w:num w:numId="69">
    <w:abstractNumId w:val="76"/>
  </w:num>
  <w:num w:numId="70">
    <w:abstractNumId w:val="65"/>
  </w:num>
  <w:num w:numId="71">
    <w:abstractNumId w:val="58"/>
  </w:num>
  <w:num w:numId="72">
    <w:abstractNumId w:val="29"/>
  </w:num>
  <w:num w:numId="73">
    <w:abstractNumId w:val="53"/>
  </w:num>
  <w:num w:numId="74">
    <w:abstractNumId w:val="90"/>
  </w:num>
  <w:num w:numId="75">
    <w:abstractNumId w:val="9"/>
  </w:num>
  <w:num w:numId="76">
    <w:abstractNumId w:val="55"/>
  </w:num>
  <w:num w:numId="77">
    <w:abstractNumId w:val="64"/>
  </w:num>
  <w:num w:numId="78">
    <w:abstractNumId w:val="52"/>
  </w:num>
  <w:num w:numId="79">
    <w:abstractNumId w:val="83"/>
  </w:num>
  <w:num w:numId="80">
    <w:abstractNumId w:val="25"/>
  </w:num>
  <w:num w:numId="81">
    <w:abstractNumId w:val="39"/>
  </w:num>
  <w:num w:numId="82">
    <w:abstractNumId w:val="66"/>
  </w:num>
  <w:num w:numId="83">
    <w:abstractNumId w:val="35"/>
  </w:num>
  <w:num w:numId="84">
    <w:abstractNumId w:val="79"/>
  </w:num>
  <w:num w:numId="85">
    <w:abstractNumId w:val="81"/>
  </w:num>
  <w:num w:numId="86">
    <w:abstractNumId w:val="16"/>
  </w:num>
  <w:num w:numId="87">
    <w:abstractNumId w:val="37"/>
  </w:num>
  <w:num w:numId="88">
    <w:abstractNumId w:val="86"/>
  </w:num>
  <w:num w:numId="89">
    <w:abstractNumId w:val="46"/>
  </w:num>
  <w:num w:numId="90">
    <w:abstractNumId w:val="93"/>
  </w:num>
  <w:num w:numId="91">
    <w:abstractNumId w:val="56"/>
  </w:num>
  <w:num w:numId="92">
    <w:abstractNumId w:val="50"/>
  </w:num>
  <w:num w:numId="93">
    <w:abstractNumId w:val="68"/>
  </w:num>
  <w:num w:numId="94">
    <w:abstractNumId w:val="38"/>
  </w:num>
  <w:num w:numId="95">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xYzAyYTllYTBhNDAxOTIwMzI4ZDk1MGVkN2JjYjcifQ=="/>
  </w:docVars>
  <w:rsids>
    <w:rsidRoot w:val="00113B06"/>
    <w:rsid w:val="000003F9"/>
    <w:rsid w:val="00001F97"/>
    <w:rsid w:val="00002932"/>
    <w:rsid w:val="00002B11"/>
    <w:rsid w:val="00002E7B"/>
    <w:rsid w:val="00003266"/>
    <w:rsid w:val="00003270"/>
    <w:rsid w:val="00003C75"/>
    <w:rsid w:val="000047C9"/>
    <w:rsid w:val="0000569B"/>
    <w:rsid w:val="0000591B"/>
    <w:rsid w:val="00005D02"/>
    <w:rsid w:val="0000736C"/>
    <w:rsid w:val="00007AFD"/>
    <w:rsid w:val="000100E9"/>
    <w:rsid w:val="0001065E"/>
    <w:rsid w:val="00011C70"/>
    <w:rsid w:val="0001212F"/>
    <w:rsid w:val="00012350"/>
    <w:rsid w:val="000124F8"/>
    <w:rsid w:val="00012887"/>
    <w:rsid w:val="000129CC"/>
    <w:rsid w:val="000132B0"/>
    <w:rsid w:val="00013C52"/>
    <w:rsid w:val="00013F69"/>
    <w:rsid w:val="00014FD9"/>
    <w:rsid w:val="000155C8"/>
    <w:rsid w:val="0001578E"/>
    <w:rsid w:val="000163DA"/>
    <w:rsid w:val="00016A0A"/>
    <w:rsid w:val="00017A0F"/>
    <w:rsid w:val="00017A69"/>
    <w:rsid w:val="0002022E"/>
    <w:rsid w:val="00020A70"/>
    <w:rsid w:val="00020E65"/>
    <w:rsid w:val="00021869"/>
    <w:rsid w:val="00022516"/>
    <w:rsid w:val="00023D47"/>
    <w:rsid w:val="00023E8B"/>
    <w:rsid w:val="0002428A"/>
    <w:rsid w:val="0002432C"/>
    <w:rsid w:val="00024720"/>
    <w:rsid w:val="00025686"/>
    <w:rsid w:val="00025BA4"/>
    <w:rsid w:val="00025EC9"/>
    <w:rsid w:val="000262C8"/>
    <w:rsid w:val="0002647E"/>
    <w:rsid w:val="000274FC"/>
    <w:rsid w:val="00032773"/>
    <w:rsid w:val="000329D9"/>
    <w:rsid w:val="000338CE"/>
    <w:rsid w:val="00033A70"/>
    <w:rsid w:val="00034A59"/>
    <w:rsid w:val="00034B87"/>
    <w:rsid w:val="0003507B"/>
    <w:rsid w:val="0003526D"/>
    <w:rsid w:val="00035599"/>
    <w:rsid w:val="00036B6D"/>
    <w:rsid w:val="00036DF6"/>
    <w:rsid w:val="0004007C"/>
    <w:rsid w:val="00040EF7"/>
    <w:rsid w:val="00041895"/>
    <w:rsid w:val="00041A8A"/>
    <w:rsid w:val="00042437"/>
    <w:rsid w:val="00042B14"/>
    <w:rsid w:val="0004306E"/>
    <w:rsid w:val="000431F9"/>
    <w:rsid w:val="00043882"/>
    <w:rsid w:val="0004426E"/>
    <w:rsid w:val="000445A8"/>
    <w:rsid w:val="0004489A"/>
    <w:rsid w:val="00046138"/>
    <w:rsid w:val="00047632"/>
    <w:rsid w:val="00047959"/>
    <w:rsid w:val="000500B4"/>
    <w:rsid w:val="000504E2"/>
    <w:rsid w:val="00050CF5"/>
    <w:rsid w:val="00051B0A"/>
    <w:rsid w:val="000527EE"/>
    <w:rsid w:val="0005311F"/>
    <w:rsid w:val="00053409"/>
    <w:rsid w:val="00053536"/>
    <w:rsid w:val="00053CF7"/>
    <w:rsid w:val="0005542F"/>
    <w:rsid w:val="00055623"/>
    <w:rsid w:val="00055C02"/>
    <w:rsid w:val="00056198"/>
    <w:rsid w:val="0005685F"/>
    <w:rsid w:val="000569AD"/>
    <w:rsid w:val="00056A46"/>
    <w:rsid w:val="00056DF4"/>
    <w:rsid w:val="00057891"/>
    <w:rsid w:val="00057A49"/>
    <w:rsid w:val="000611E2"/>
    <w:rsid w:val="0006230A"/>
    <w:rsid w:val="00063E88"/>
    <w:rsid w:val="000642C3"/>
    <w:rsid w:val="000647C7"/>
    <w:rsid w:val="000647F9"/>
    <w:rsid w:val="00064C24"/>
    <w:rsid w:val="00065C3D"/>
    <w:rsid w:val="00065E30"/>
    <w:rsid w:val="000665A0"/>
    <w:rsid w:val="00067EA1"/>
    <w:rsid w:val="00070C6C"/>
    <w:rsid w:val="00071077"/>
    <w:rsid w:val="0007138C"/>
    <w:rsid w:val="000714D9"/>
    <w:rsid w:val="00071BBD"/>
    <w:rsid w:val="0007298C"/>
    <w:rsid w:val="00073109"/>
    <w:rsid w:val="0007397B"/>
    <w:rsid w:val="00073BAC"/>
    <w:rsid w:val="00074C07"/>
    <w:rsid w:val="0007527F"/>
    <w:rsid w:val="00075F80"/>
    <w:rsid w:val="00077996"/>
    <w:rsid w:val="00077E5C"/>
    <w:rsid w:val="000801BF"/>
    <w:rsid w:val="000806B8"/>
    <w:rsid w:val="0008077E"/>
    <w:rsid w:val="00080905"/>
    <w:rsid w:val="00080AD6"/>
    <w:rsid w:val="00080FAB"/>
    <w:rsid w:val="0008149C"/>
    <w:rsid w:val="000815EF"/>
    <w:rsid w:val="00081949"/>
    <w:rsid w:val="00081DE6"/>
    <w:rsid w:val="00081FD7"/>
    <w:rsid w:val="00084527"/>
    <w:rsid w:val="00084E44"/>
    <w:rsid w:val="000852B5"/>
    <w:rsid w:val="00085AB9"/>
    <w:rsid w:val="00085BA3"/>
    <w:rsid w:val="00086FA0"/>
    <w:rsid w:val="000900E1"/>
    <w:rsid w:val="0009074A"/>
    <w:rsid w:val="00091A52"/>
    <w:rsid w:val="00091FAD"/>
    <w:rsid w:val="00092D1E"/>
    <w:rsid w:val="00092D68"/>
    <w:rsid w:val="00092E16"/>
    <w:rsid w:val="00093733"/>
    <w:rsid w:val="00093820"/>
    <w:rsid w:val="00094D9E"/>
    <w:rsid w:val="00094E0E"/>
    <w:rsid w:val="00095543"/>
    <w:rsid w:val="00095955"/>
    <w:rsid w:val="000959C1"/>
    <w:rsid w:val="000963E9"/>
    <w:rsid w:val="000972D0"/>
    <w:rsid w:val="00097AD4"/>
    <w:rsid w:val="00097BB6"/>
    <w:rsid w:val="000A03C5"/>
    <w:rsid w:val="000A04F5"/>
    <w:rsid w:val="000A0717"/>
    <w:rsid w:val="000A08A8"/>
    <w:rsid w:val="000A0BCA"/>
    <w:rsid w:val="000A0CC5"/>
    <w:rsid w:val="000A1CAB"/>
    <w:rsid w:val="000A23C1"/>
    <w:rsid w:val="000A23F0"/>
    <w:rsid w:val="000A25AB"/>
    <w:rsid w:val="000A265E"/>
    <w:rsid w:val="000A2680"/>
    <w:rsid w:val="000A2C5A"/>
    <w:rsid w:val="000A58FA"/>
    <w:rsid w:val="000A607E"/>
    <w:rsid w:val="000A6863"/>
    <w:rsid w:val="000A69B0"/>
    <w:rsid w:val="000A70DF"/>
    <w:rsid w:val="000A74D7"/>
    <w:rsid w:val="000A7FB6"/>
    <w:rsid w:val="000B0F74"/>
    <w:rsid w:val="000B1390"/>
    <w:rsid w:val="000B1392"/>
    <w:rsid w:val="000B144C"/>
    <w:rsid w:val="000B1DAF"/>
    <w:rsid w:val="000B1E77"/>
    <w:rsid w:val="000B262E"/>
    <w:rsid w:val="000B2764"/>
    <w:rsid w:val="000B2938"/>
    <w:rsid w:val="000B31F5"/>
    <w:rsid w:val="000B3561"/>
    <w:rsid w:val="000B3DF5"/>
    <w:rsid w:val="000B3FB3"/>
    <w:rsid w:val="000B4A00"/>
    <w:rsid w:val="000B4B82"/>
    <w:rsid w:val="000B4BC4"/>
    <w:rsid w:val="000B526B"/>
    <w:rsid w:val="000B5EE4"/>
    <w:rsid w:val="000B6B90"/>
    <w:rsid w:val="000B6FC4"/>
    <w:rsid w:val="000B7383"/>
    <w:rsid w:val="000B7C39"/>
    <w:rsid w:val="000C00D1"/>
    <w:rsid w:val="000C08ED"/>
    <w:rsid w:val="000C0DC8"/>
    <w:rsid w:val="000C0DE5"/>
    <w:rsid w:val="000C1825"/>
    <w:rsid w:val="000C2830"/>
    <w:rsid w:val="000C2A31"/>
    <w:rsid w:val="000C2D6A"/>
    <w:rsid w:val="000C5349"/>
    <w:rsid w:val="000C6825"/>
    <w:rsid w:val="000C68BB"/>
    <w:rsid w:val="000C6999"/>
    <w:rsid w:val="000C794C"/>
    <w:rsid w:val="000D07B5"/>
    <w:rsid w:val="000D0B4B"/>
    <w:rsid w:val="000D0F8D"/>
    <w:rsid w:val="000D15BF"/>
    <w:rsid w:val="000D2E90"/>
    <w:rsid w:val="000D35C4"/>
    <w:rsid w:val="000D3BBD"/>
    <w:rsid w:val="000D557C"/>
    <w:rsid w:val="000D55E7"/>
    <w:rsid w:val="000D6325"/>
    <w:rsid w:val="000D6972"/>
    <w:rsid w:val="000D6CD5"/>
    <w:rsid w:val="000D739B"/>
    <w:rsid w:val="000D74C5"/>
    <w:rsid w:val="000D775F"/>
    <w:rsid w:val="000D7760"/>
    <w:rsid w:val="000D780C"/>
    <w:rsid w:val="000D7E59"/>
    <w:rsid w:val="000D7EA9"/>
    <w:rsid w:val="000E015F"/>
    <w:rsid w:val="000E07AC"/>
    <w:rsid w:val="000E203E"/>
    <w:rsid w:val="000E2612"/>
    <w:rsid w:val="000E2CA1"/>
    <w:rsid w:val="000E2ED0"/>
    <w:rsid w:val="000E32B6"/>
    <w:rsid w:val="000E3365"/>
    <w:rsid w:val="000E3C2F"/>
    <w:rsid w:val="000E4F35"/>
    <w:rsid w:val="000E5389"/>
    <w:rsid w:val="000E5D11"/>
    <w:rsid w:val="000E5DB4"/>
    <w:rsid w:val="000E72C8"/>
    <w:rsid w:val="000E7361"/>
    <w:rsid w:val="000E78A6"/>
    <w:rsid w:val="000F07C3"/>
    <w:rsid w:val="000F1889"/>
    <w:rsid w:val="000F1995"/>
    <w:rsid w:val="000F1D0D"/>
    <w:rsid w:val="000F22ED"/>
    <w:rsid w:val="000F2CF4"/>
    <w:rsid w:val="000F2D20"/>
    <w:rsid w:val="000F33B5"/>
    <w:rsid w:val="000F345D"/>
    <w:rsid w:val="000F4431"/>
    <w:rsid w:val="000F47AB"/>
    <w:rsid w:val="000F5DEF"/>
    <w:rsid w:val="000F6D8A"/>
    <w:rsid w:val="000F75BE"/>
    <w:rsid w:val="000F7A57"/>
    <w:rsid w:val="00100361"/>
    <w:rsid w:val="00100683"/>
    <w:rsid w:val="0010105C"/>
    <w:rsid w:val="0010114C"/>
    <w:rsid w:val="00101869"/>
    <w:rsid w:val="00101A88"/>
    <w:rsid w:val="00101CF4"/>
    <w:rsid w:val="00101E31"/>
    <w:rsid w:val="001033B6"/>
    <w:rsid w:val="001034F2"/>
    <w:rsid w:val="00106979"/>
    <w:rsid w:val="00106BE0"/>
    <w:rsid w:val="001071E3"/>
    <w:rsid w:val="00107643"/>
    <w:rsid w:val="00107A76"/>
    <w:rsid w:val="0011039A"/>
    <w:rsid w:val="001103D0"/>
    <w:rsid w:val="00111143"/>
    <w:rsid w:val="001114DA"/>
    <w:rsid w:val="00111726"/>
    <w:rsid w:val="0011264A"/>
    <w:rsid w:val="00112CD1"/>
    <w:rsid w:val="00112D11"/>
    <w:rsid w:val="0011304C"/>
    <w:rsid w:val="001136AE"/>
    <w:rsid w:val="00113B06"/>
    <w:rsid w:val="00114454"/>
    <w:rsid w:val="001144BF"/>
    <w:rsid w:val="001158FA"/>
    <w:rsid w:val="00115CFE"/>
    <w:rsid w:val="001165DE"/>
    <w:rsid w:val="001170E9"/>
    <w:rsid w:val="00120AFE"/>
    <w:rsid w:val="00120EB5"/>
    <w:rsid w:val="0012116F"/>
    <w:rsid w:val="00121E2B"/>
    <w:rsid w:val="00122058"/>
    <w:rsid w:val="0012389E"/>
    <w:rsid w:val="00125CD6"/>
    <w:rsid w:val="0013097B"/>
    <w:rsid w:val="00130D4F"/>
    <w:rsid w:val="00131000"/>
    <w:rsid w:val="0013349D"/>
    <w:rsid w:val="00133F8B"/>
    <w:rsid w:val="00134B18"/>
    <w:rsid w:val="00134C2C"/>
    <w:rsid w:val="00134C66"/>
    <w:rsid w:val="00135634"/>
    <w:rsid w:val="001357A4"/>
    <w:rsid w:val="00135FE9"/>
    <w:rsid w:val="001370F0"/>
    <w:rsid w:val="00141848"/>
    <w:rsid w:val="00142323"/>
    <w:rsid w:val="001424FB"/>
    <w:rsid w:val="001437CB"/>
    <w:rsid w:val="00143A7D"/>
    <w:rsid w:val="00143C09"/>
    <w:rsid w:val="00143C47"/>
    <w:rsid w:val="00144242"/>
    <w:rsid w:val="00145567"/>
    <w:rsid w:val="00145E3F"/>
    <w:rsid w:val="001465A5"/>
    <w:rsid w:val="001470A4"/>
    <w:rsid w:val="00150234"/>
    <w:rsid w:val="00150C6F"/>
    <w:rsid w:val="001514DC"/>
    <w:rsid w:val="00151976"/>
    <w:rsid w:val="00151A3C"/>
    <w:rsid w:val="00151D66"/>
    <w:rsid w:val="00153C2C"/>
    <w:rsid w:val="00153E9A"/>
    <w:rsid w:val="00154445"/>
    <w:rsid w:val="00154D5B"/>
    <w:rsid w:val="001551DD"/>
    <w:rsid w:val="00156336"/>
    <w:rsid w:val="00156355"/>
    <w:rsid w:val="00160209"/>
    <w:rsid w:val="0016042C"/>
    <w:rsid w:val="0016044E"/>
    <w:rsid w:val="00160475"/>
    <w:rsid w:val="00161EE8"/>
    <w:rsid w:val="001624FF"/>
    <w:rsid w:val="00162DC0"/>
    <w:rsid w:val="00163179"/>
    <w:rsid w:val="00163810"/>
    <w:rsid w:val="00163B71"/>
    <w:rsid w:val="00166DCE"/>
    <w:rsid w:val="00167FE2"/>
    <w:rsid w:val="00171882"/>
    <w:rsid w:val="001721B7"/>
    <w:rsid w:val="0017294B"/>
    <w:rsid w:val="001729CC"/>
    <w:rsid w:val="00173C77"/>
    <w:rsid w:val="001747FB"/>
    <w:rsid w:val="001754CC"/>
    <w:rsid w:val="001754F0"/>
    <w:rsid w:val="00175D4E"/>
    <w:rsid w:val="00175DA9"/>
    <w:rsid w:val="00175FD5"/>
    <w:rsid w:val="001772E3"/>
    <w:rsid w:val="00177B0F"/>
    <w:rsid w:val="00177C63"/>
    <w:rsid w:val="00177CCE"/>
    <w:rsid w:val="001802F0"/>
    <w:rsid w:val="0018082A"/>
    <w:rsid w:val="0018096A"/>
    <w:rsid w:val="00180B97"/>
    <w:rsid w:val="001819A8"/>
    <w:rsid w:val="00182072"/>
    <w:rsid w:val="001821C9"/>
    <w:rsid w:val="001825C9"/>
    <w:rsid w:val="00183C32"/>
    <w:rsid w:val="0018408E"/>
    <w:rsid w:val="0018410F"/>
    <w:rsid w:val="00184637"/>
    <w:rsid w:val="0018482A"/>
    <w:rsid w:val="00187F02"/>
    <w:rsid w:val="00190A98"/>
    <w:rsid w:val="00190F74"/>
    <w:rsid w:val="00191E78"/>
    <w:rsid w:val="00192955"/>
    <w:rsid w:val="00192CDF"/>
    <w:rsid w:val="001933AA"/>
    <w:rsid w:val="0019398D"/>
    <w:rsid w:val="00194B7C"/>
    <w:rsid w:val="00194F0E"/>
    <w:rsid w:val="001952DB"/>
    <w:rsid w:val="001953FB"/>
    <w:rsid w:val="00195ED0"/>
    <w:rsid w:val="00196D21"/>
    <w:rsid w:val="001A0F34"/>
    <w:rsid w:val="001A1A00"/>
    <w:rsid w:val="001A2059"/>
    <w:rsid w:val="001A23EE"/>
    <w:rsid w:val="001A241E"/>
    <w:rsid w:val="001A336E"/>
    <w:rsid w:val="001A3FD4"/>
    <w:rsid w:val="001A4243"/>
    <w:rsid w:val="001A4347"/>
    <w:rsid w:val="001A45CD"/>
    <w:rsid w:val="001A4746"/>
    <w:rsid w:val="001A49B7"/>
    <w:rsid w:val="001A57E8"/>
    <w:rsid w:val="001A6433"/>
    <w:rsid w:val="001A6DF8"/>
    <w:rsid w:val="001A6FD4"/>
    <w:rsid w:val="001A7604"/>
    <w:rsid w:val="001A7B69"/>
    <w:rsid w:val="001A7C33"/>
    <w:rsid w:val="001B0384"/>
    <w:rsid w:val="001B0759"/>
    <w:rsid w:val="001B0F54"/>
    <w:rsid w:val="001B0F69"/>
    <w:rsid w:val="001B111C"/>
    <w:rsid w:val="001B21E6"/>
    <w:rsid w:val="001B2313"/>
    <w:rsid w:val="001B31F4"/>
    <w:rsid w:val="001B40EE"/>
    <w:rsid w:val="001B5098"/>
    <w:rsid w:val="001B538C"/>
    <w:rsid w:val="001B59A7"/>
    <w:rsid w:val="001B5EB0"/>
    <w:rsid w:val="001B617D"/>
    <w:rsid w:val="001B65B2"/>
    <w:rsid w:val="001B6BE1"/>
    <w:rsid w:val="001B6EFA"/>
    <w:rsid w:val="001B7206"/>
    <w:rsid w:val="001B7CB7"/>
    <w:rsid w:val="001B7D53"/>
    <w:rsid w:val="001C0FF2"/>
    <w:rsid w:val="001C24A2"/>
    <w:rsid w:val="001C2B7A"/>
    <w:rsid w:val="001C3417"/>
    <w:rsid w:val="001C3AEF"/>
    <w:rsid w:val="001C43B5"/>
    <w:rsid w:val="001C59C0"/>
    <w:rsid w:val="001C5C11"/>
    <w:rsid w:val="001C6D02"/>
    <w:rsid w:val="001C700E"/>
    <w:rsid w:val="001C747C"/>
    <w:rsid w:val="001C7550"/>
    <w:rsid w:val="001C79CC"/>
    <w:rsid w:val="001D20A2"/>
    <w:rsid w:val="001D2383"/>
    <w:rsid w:val="001D23D5"/>
    <w:rsid w:val="001D2542"/>
    <w:rsid w:val="001D321C"/>
    <w:rsid w:val="001D3F56"/>
    <w:rsid w:val="001D423C"/>
    <w:rsid w:val="001D4D1A"/>
    <w:rsid w:val="001D58DC"/>
    <w:rsid w:val="001D6369"/>
    <w:rsid w:val="001D6CB4"/>
    <w:rsid w:val="001D7096"/>
    <w:rsid w:val="001D70AB"/>
    <w:rsid w:val="001D70E2"/>
    <w:rsid w:val="001D7F3B"/>
    <w:rsid w:val="001E0958"/>
    <w:rsid w:val="001E1320"/>
    <w:rsid w:val="001E1953"/>
    <w:rsid w:val="001E2190"/>
    <w:rsid w:val="001E2261"/>
    <w:rsid w:val="001E237E"/>
    <w:rsid w:val="001E302A"/>
    <w:rsid w:val="001E38C2"/>
    <w:rsid w:val="001E4B2A"/>
    <w:rsid w:val="001E59B6"/>
    <w:rsid w:val="001E5D22"/>
    <w:rsid w:val="001E6196"/>
    <w:rsid w:val="001E70BE"/>
    <w:rsid w:val="001E7316"/>
    <w:rsid w:val="001F0A03"/>
    <w:rsid w:val="001F0E98"/>
    <w:rsid w:val="001F132E"/>
    <w:rsid w:val="001F23D8"/>
    <w:rsid w:val="001F2462"/>
    <w:rsid w:val="001F286A"/>
    <w:rsid w:val="001F31F7"/>
    <w:rsid w:val="001F3E3E"/>
    <w:rsid w:val="001F4EFE"/>
    <w:rsid w:val="001F57E3"/>
    <w:rsid w:val="001F6059"/>
    <w:rsid w:val="001F6582"/>
    <w:rsid w:val="001F6EE7"/>
    <w:rsid w:val="001F737C"/>
    <w:rsid w:val="001F73CE"/>
    <w:rsid w:val="001F7963"/>
    <w:rsid w:val="001F7C7E"/>
    <w:rsid w:val="00200527"/>
    <w:rsid w:val="00200C6B"/>
    <w:rsid w:val="00201183"/>
    <w:rsid w:val="00201240"/>
    <w:rsid w:val="0020139E"/>
    <w:rsid w:val="0020271E"/>
    <w:rsid w:val="00202DB5"/>
    <w:rsid w:val="00203C74"/>
    <w:rsid w:val="00204087"/>
    <w:rsid w:val="0020462F"/>
    <w:rsid w:val="00205E57"/>
    <w:rsid w:val="0020658C"/>
    <w:rsid w:val="002066DD"/>
    <w:rsid w:val="00206B08"/>
    <w:rsid w:val="00207447"/>
    <w:rsid w:val="002075E1"/>
    <w:rsid w:val="00207CE2"/>
    <w:rsid w:val="00207CFF"/>
    <w:rsid w:val="00207EAC"/>
    <w:rsid w:val="00207EDC"/>
    <w:rsid w:val="0021027F"/>
    <w:rsid w:val="00210456"/>
    <w:rsid w:val="0021053E"/>
    <w:rsid w:val="00210BA4"/>
    <w:rsid w:val="00211218"/>
    <w:rsid w:val="0021121D"/>
    <w:rsid w:val="00211865"/>
    <w:rsid w:val="00211FC9"/>
    <w:rsid w:val="00212AFA"/>
    <w:rsid w:val="00212FC2"/>
    <w:rsid w:val="0021302A"/>
    <w:rsid w:val="00214707"/>
    <w:rsid w:val="00214A72"/>
    <w:rsid w:val="00214C58"/>
    <w:rsid w:val="00215084"/>
    <w:rsid w:val="00221055"/>
    <w:rsid w:val="0022195F"/>
    <w:rsid w:val="00221A11"/>
    <w:rsid w:val="002220BC"/>
    <w:rsid w:val="00222411"/>
    <w:rsid w:val="00222690"/>
    <w:rsid w:val="00225376"/>
    <w:rsid w:val="002254FC"/>
    <w:rsid w:val="0022562B"/>
    <w:rsid w:val="00225737"/>
    <w:rsid w:val="0022611D"/>
    <w:rsid w:val="002261D4"/>
    <w:rsid w:val="002263E9"/>
    <w:rsid w:val="00226858"/>
    <w:rsid w:val="002268A7"/>
    <w:rsid w:val="002269B6"/>
    <w:rsid w:val="00226B98"/>
    <w:rsid w:val="00227078"/>
    <w:rsid w:val="002271C8"/>
    <w:rsid w:val="00227640"/>
    <w:rsid w:val="00227C6A"/>
    <w:rsid w:val="002307B1"/>
    <w:rsid w:val="00230C32"/>
    <w:rsid w:val="00230D95"/>
    <w:rsid w:val="00231176"/>
    <w:rsid w:val="00232622"/>
    <w:rsid w:val="00233096"/>
    <w:rsid w:val="002337A9"/>
    <w:rsid w:val="002338E9"/>
    <w:rsid w:val="00234854"/>
    <w:rsid w:val="00234A4F"/>
    <w:rsid w:val="00235A7E"/>
    <w:rsid w:val="00236077"/>
    <w:rsid w:val="00236F48"/>
    <w:rsid w:val="002370E3"/>
    <w:rsid w:val="0024025C"/>
    <w:rsid w:val="002403BF"/>
    <w:rsid w:val="00240C44"/>
    <w:rsid w:val="002416A8"/>
    <w:rsid w:val="00241D1D"/>
    <w:rsid w:val="002421C0"/>
    <w:rsid w:val="002423DF"/>
    <w:rsid w:val="00242F8C"/>
    <w:rsid w:val="00243C71"/>
    <w:rsid w:val="00243F51"/>
    <w:rsid w:val="0024507E"/>
    <w:rsid w:val="00246E57"/>
    <w:rsid w:val="00246E8A"/>
    <w:rsid w:val="00250236"/>
    <w:rsid w:val="00250717"/>
    <w:rsid w:val="002507E3"/>
    <w:rsid w:val="002507F3"/>
    <w:rsid w:val="00250EAB"/>
    <w:rsid w:val="00251207"/>
    <w:rsid w:val="0025154B"/>
    <w:rsid w:val="002515E8"/>
    <w:rsid w:val="0025164E"/>
    <w:rsid w:val="00251C83"/>
    <w:rsid w:val="00253370"/>
    <w:rsid w:val="00253546"/>
    <w:rsid w:val="00254329"/>
    <w:rsid w:val="002554DC"/>
    <w:rsid w:val="00255559"/>
    <w:rsid w:val="00255947"/>
    <w:rsid w:val="00255A4A"/>
    <w:rsid w:val="00255D3D"/>
    <w:rsid w:val="00256603"/>
    <w:rsid w:val="0025726A"/>
    <w:rsid w:val="00260D2A"/>
    <w:rsid w:val="002613ED"/>
    <w:rsid w:val="002615A1"/>
    <w:rsid w:val="00261617"/>
    <w:rsid w:val="00261A39"/>
    <w:rsid w:val="0026201B"/>
    <w:rsid w:val="0026213E"/>
    <w:rsid w:val="0026286F"/>
    <w:rsid w:val="002634D2"/>
    <w:rsid w:val="00263550"/>
    <w:rsid w:val="0026533C"/>
    <w:rsid w:val="00265BCE"/>
    <w:rsid w:val="002663F6"/>
    <w:rsid w:val="00266BBB"/>
    <w:rsid w:val="00266BE7"/>
    <w:rsid w:val="0026704D"/>
    <w:rsid w:val="00267C4F"/>
    <w:rsid w:val="002701BD"/>
    <w:rsid w:val="00270447"/>
    <w:rsid w:val="00270594"/>
    <w:rsid w:val="00270822"/>
    <w:rsid w:val="00270C0F"/>
    <w:rsid w:val="00270F9F"/>
    <w:rsid w:val="0027137A"/>
    <w:rsid w:val="002714B0"/>
    <w:rsid w:val="0027168B"/>
    <w:rsid w:val="0027195E"/>
    <w:rsid w:val="00271EB5"/>
    <w:rsid w:val="00272522"/>
    <w:rsid w:val="00272D6E"/>
    <w:rsid w:val="00272F44"/>
    <w:rsid w:val="002733A0"/>
    <w:rsid w:val="00275549"/>
    <w:rsid w:val="00276B74"/>
    <w:rsid w:val="0027765F"/>
    <w:rsid w:val="00277CC1"/>
    <w:rsid w:val="00280439"/>
    <w:rsid w:val="0028083D"/>
    <w:rsid w:val="00281353"/>
    <w:rsid w:val="002825E2"/>
    <w:rsid w:val="00283352"/>
    <w:rsid w:val="0028420E"/>
    <w:rsid w:val="00284A19"/>
    <w:rsid w:val="00285A9C"/>
    <w:rsid w:val="00286319"/>
    <w:rsid w:val="002867E0"/>
    <w:rsid w:val="0028687B"/>
    <w:rsid w:val="00290C97"/>
    <w:rsid w:val="0029144F"/>
    <w:rsid w:val="00291911"/>
    <w:rsid w:val="00292448"/>
    <w:rsid w:val="002927E9"/>
    <w:rsid w:val="00292AD3"/>
    <w:rsid w:val="002932A0"/>
    <w:rsid w:val="0029349C"/>
    <w:rsid w:val="00293CDA"/>
    <w:rsid w:val="00293D3E"/>
    <w:rsid w:val="00294D11"/>
    <w:rsid w:val="002963B4"/>
    <w:rsid w:val="002965DD"/>
    <w:rsid w:val="0029694E"/>
    <w:rsid w:val="00296B5C"/>
    <w:rsid w:val="002A0127"/>
    <w:rsid w:val="002A0904"/>
    <w:rsid w:val="002A1678"/>
    <w:rsid w:val="002A178D"/>
    <w:rsid w:val="002A1796"/>
    <w:rsid w:val="002A2871"/>
    <w:rsid w:val="002A4ACA"/>
    <w:rsid w:val="002A4CF8"/>
    <w:rsid w:val="002A4FF9"/>
    <w:rsid w:val="002A5140"/>
    <w:rsid w:val="002A51D4"/>
    <w:rsid w:val="002A6416"/>
    <w:rsid w:val="002A66DA"/>
    <w:rsid w:val="002A6A9C"/>
    <w:rsid w:val="002A76C8"/>
    <w:rsid w:val="002A7850"/>
    <w:rsid w:val="002A7AD7"/>
    <w:rsid w:val="002A7B49"/>
    <w:rsid w:val="002B0BA7"/>
    <w:rsid w:val="002B0DFA"/>
    <w:rsid w:val="002B0EB2"/>
    <w:rsid w:val="002B262B"/>
    <w:rsid w:val="002B3425"/>
    <w:rsid w:val="002B3C61"/>
    <w:rsid w:val="002B4174"/>
    <w:rsid w:val="002B5493"/>
    <w:rsid w:val="002B70E8"/>
    <w:rsid w:val="002B73B0"/>
    <w:rsid w:val="002B7942"/>
    <w:rsid w:val="002C0A98"/>
    <w:rsid w:val="002C0BCC"/>
    <w:rsid w:val="002C11CB"/>
    <w:rsid w:val="002C25D7"/>
    <w:rsid w:val="002C27B7"/>
    <w:rsid w:val="002C2940"/>
    <w:rsid w:val="002C2BC6"/>
    <w:rsid w:val="002C3064"/>
    <w:rsid w:val="002C36D9"/>
    <w:rsid w:val="002C6B61"/>
    <w:rsid w:val="002C6CCF"/>
    <w:rsid w:val="002C6E75"/>
    <w:rsid w:val="002C6FEB"/>
    <w:rsid w:val="002C7DB0"/>
    <w:rsid w:val="002C7E0E"/>
    <w:rsid w:val="002D0038"/>
    <w:rsid w:val="002D0053"/>
    <w:rsid w:val="002D0672"/>
    <w:rsid w:val="002D0793"/>
    <w:rsid w:val="002D273A"/>
    <w:rsid w:val="002D2BAA"/>
    <w:rsid w:val="002D34D6"/>
    <w:rsid w:val="002D375C"/>
    <w:rsid w:val="002D3C57"/>
    <w:rsid w:val="002D3E94"/>
    <w:rsid w:val="002D3F17"/>
    <w:rsid w:val="002D49E7"/>
    <w:rsid w:val="002D4E71"/>
    <w:rsid w:val="002D4EFB"/>
    <w:rsid w:val="002D4F22"/>
    <w:rsid w:val="002D6273"/>
    <w:rsid w:val="002D6E10"/>
    <w:rsid w:val="002D6ECF"/>
    <w:rsid w:val="002E076A"/>
    <w:rsid w:val="002E0A8F"/>
    <w:rsid w:val="002E3B14"/>
    <w:rsid w:val="002E3F27"/>
    <w:rsid w:val="002E3FDD"/>
    <w:rsid w:val="002E4973"/>
    <w:rsid w:val="002E4A46"/>
    <w:rsid w:val="002E5CA5"/>
    <w:rsid w:val="002E65A1"/>
    <w:rsid w:val="002E666B"/>
    <w:rsid w:val="002E7B2E"/>
    <w:rsid w:val="002F00FF"/>
    <w:rsid w:val="002F0156"/>
    <w:rsid w:val="002F0FDD"/>
    <w:rsid w:val="002F169E"/>
    <w:rsid w:val="002F177C"/>
    <w:rsid w:val="002F28A1"/>
    <w:rsid w:val="002F3E5C"/>
    <w:rsid w:val="002F43D6"/>
    <w:rsid w:val="002F463C"/>
    <w:rsid w:val="002F49B3"/>
    <w:rsid w:val="002F4AFD"/>
    <w:rsid w:val="002F55D5"/>
    <w:rsid w:val="002F6227"/>
    <w:rsid w:val="002F63CD"/>
    <w:rsid w:val="002F7012"/>
    <w:rsid w:val="002F715F"/>
    <w:rsid w:val="002F7181"/>
    <w:rsid w:val="002F7736"/>
    <w:rsid w:val="00300674"/>
    <w:rsid w:val="00300896"/>
    <w:rsid w:val="00300F8B"/>
    <w:rsid w:val="00301175"/>
    <w:rsid w:val="003027F7"/>
    <w:rsid w:val="003029DC"/>
    <w:rsid w:val="00302AC7"/>
    <w:rsid w:val="003030D3"/>
    <w:rsid w:val="0030340C"/>
    <w:rsid w:val="00303F40"/>
    <w:rsid w:val="00304D6F"/>
    <w:rsid w:val="00304EE5"/>
    <w:rsid w:val="003056CA"/>
    <w:rsid w:val="003063BE"/>
    <w:rsid w:val="003065DC"/>
    <w:rsid w:val="0030754A"/>
    <w:rsid w:val="00311093"/>
    <w:rsid w:val="00311207"/>
    <w:rsid w:val="00312452"/>
    <w:rsid w:val="00312EF0"/>
    <w:rsid w:val="00313774"/>
    <w:rsid w:val="00314E00"/>
    <w:rsid w:val="003151FD"/>
    <w:rsid w:val="00315BFE"/>
    <w:rsid w:val="00315FC8"/>
    <w:rsid w:val="003164D9"/>
    <w:rsid w:val="00317027"/>
    <w:rsid w:val="00320076"/>
    <w:rsid w:val="003201B1"/>
    <w:rsid w:val="003203E9"/>
    <w:rsid w:val="00321E22"/>
    <w:rsid w:val="003220D4"/>
    <w:rsid w:val="003223A6"/>
    <w:rsid w:val="00322462"/>
    <w:rsid w:val="0032257F"/>
    <w:rsid w:val="00323CEA"/>
    <w:rsid w:val="00324245"/>
    <w:rsid w:val="00324BCF"/>
    <w:rsid w:val="00324C44"/>
    <w:rsid w:val="00324DFE"/>
    <w:rsid w:val="003257E5"/>
    <w:rsid w:val="0032684F"/>
    <w:rsid w:val="00326AAF"/>
    <w:rsid w:val="00326F02"/>
    <w:rsid w:val="00327402"/>
    <w:rsid w:val="00327730"/>
    <w:rsid w:val="0033094A"/>
    <w:rsid w:val="00330952"/>
    <w:rsid w:val="0033104E"/>
    <w:rsid w:val="0033256A"/>
    <w:rsid w:val="00333077"/>
    <w:rsid w:val="00334009"/>
    <w:rsid w:val="0033468A"/>
    <w:rsid w:val="003346D6"/>
    <w:rsid w:val="003351E2"/>
    <w:rsid w:val="003351E6"/>
    <w:rsid w:val="00335EDC"/>
    <w:rsid w:val="00336528"/>
    <w:rsid w:val="00337356"/>
    <w:rsid w:val="00337FCB"/>
    <w:rsid w:val="00340560"/>
    <w:rsid w:val="00340EE3"/>
    <w:rsid w:val="00341014"/>
    <w:rsid w:val="003415CF"/>
    <w:rsid w:val="0034231A"/>
    <w:rsid w:val="0034249B"/>
    <w:rsid w:val="003427D9"/>
    <w:rsid w:val="00342D43"/>
    <w:rsid w:val="00344A03"/>
    <w:rsid w:val="0034530A"/>
    <w:rsid w:val="00345C3E"/>
    <w:rsid w:val="0034634B"/>
    <w:rsid w:val="003475BB"/>
    <w:rsid w:val="003478BB"/>
    <w:rsid w:val="0035009D"/>
    <w:rsid w:val="00350258"/>
    <w:rsid w:val="0035054D"/>
    <w:rsid w:val="003505F6"/>
    <w:rsid w:val="003513E7"/>
    <w:rsid w:val="00351B28"/>
    <w:rsid w:val="00351DDD"/>
    <w:rsid w:val="00351F0E"/>
    <w:rsid w:val="003522D3"/>
    <w:rsid w:val="0035253A"/>
    <w:rsid w:val="00352A72"/>
    <w:rsid w:val="003530D5"/>
    <w:rsid w:val="00353B26"/>
    <w:rsid w:val="00353B32"/>
    <w:rsid w:val="00353BF5"/>
    <w:rsid w:val="00354383"/>
    <w:rsid w:val="00354DEB"/>
    <w:rsid w:val="0035513C"/>
    <w:rsid w:val="00355B21"/>
    <w:rsid w:val="00355C6C"/>
    <w:rsid w:val="00356107"/>
    <w:rsid w:val="003563ED"/>
    <w:rsid w:val="00356963"/>
    <w:rsid w:val="00357221"/>
    <w:rsid w:val="003577B3"/>
    <w:rsid w:val="00357D5D"/>
    <w:rsid w:val="00360498"/>
    <w:rsid w:val="00360BC9"/>
    <w:rsid w:val="0036107A"/>
    <w:rsid w:val="00361298"/>
    <w:rsid w:val="003613BD"/>
    <w:rsid w:val="003617CE"/>
    <w:rsid w:val="00361888"/>
    <w:rsid w:val="003618FB"/>
    <w:rsid w:val="00361AFD"/>
    <w:rsid w:val="0036274B"/>
    <w:rsid w:val="00362EA1"/>
    <w:rsid w:val="00363141"/>
    <w:rsid w:val="003632F2"/>
    <w:rsid w:val="003637FF"/>
    <w:rsid w:val="003650F2"/>
    <w:rsid w:val="0036547F"/>
    <w:rsid w:val="0036647B"/>
    <w:rsid w:val="0036695F"/>
    <w:rsid w:val="00367098"/>
    <w:rsid w:val="003674F1"/>
    <w:rsid w:val="003718E2"/>
    <w:rsid w:val="003723C0"/>
    <w:rsid w:val="003729AC"/>
    <w:rsid w:val="00373BDD"/>
    <w:rsid w:val="00373CCB"/>
    <w:rsid w:val="0037429D"/>
    <w:rsid w:val="00375540"/>
    <w:rsid w:val="00375CEB"/>
    <w:rsid w:val="003761CC"/>
    <w:rsid w:val="00376254"/>
    <w:rsid w:val="0037649B"/>
    <w:rsid w:val="00376792"/>
    <w:rsid w:val="00376B66"/>
    <w:rsid w:val="00380D37"/>
    <w:rsid w:val="003813B5"/>
    <w:rsid w:val="00381706"/>
    <w:rsid w:val="00381BDA"/>
    <w:rsid w:val="003820D6"/>
    <w:rsid w:val="00382C8B"/>
    <w:rsid w:val="00382DDB"/>
    <w:rsid w:val="003839BF"/>
    <w:rsid w:val="00383B66"/>
    <w:rsid w:val="00384036"/>
    <w:rsid w:val="003840CB"/>
    <w:rsid w:val="00384B72"/>
    <w:rsid w:val="00384FA7"/>
    <w:rsid w:val="00384FB4"/>
    <w:rsid w:val="0038567D"/>
    <w:rsid w:val="00385946"/>
    <w:rsid w:val="00385B2C"/>
    <w:rsid w:val="00386439"/>
    <w:rsid w:val="00387503"/>
    <w:rsid w:val="00387CCC"/>
    <w:rsid w:val="003908CE"/>
    <w:rsid w:val="0039092A"/>
    <w:rsid w:val="0039209A"/>
    <w:rsid w:val="003920BC"/>
    <w:rsid w:val="0039310D"/>
    <w:rsid w:val="00394B59"/>
    <w:rsid w:val="00396815"/>
    <w:rsid w:val="00396F97"/>
    <w:rsid w:val="00397524"/>
    <w:rsid w:val="003A0597"/>
    <w:rsid w:val="003A060B"/>
    <w:rsid w:val="003A0760"/>
    <w:rsid w:val="003A0C5B"/>
    <w:rsid w:val="003A138D"/>
    <w:rsid w:val="003A17A9"/>
    <w:rsid w:val="003A23EE"/>
    <w:rsid w:val="003A286E"/>
    <w:rsid w:val="003A2CA7"/>
    <w:rsid w:val="003A3B91"/>
    <w:rsid w:val="003A3DE5"/>
    <w:rsid w:val="003A492B"/>
    <w:rsid w:val="003A4A7D"/>
    <w:rsid w:val="003A56A8"/>
    <w:rsid w:val="003A5B1D"/>
    <w:rsid w:val="003A5F4A"/>
    <w:rsid w:val="003A5F9C"/>
    <w:rsid w:val="003A6D39"/>
    <w:rsid w:val="003A71C5"/>
    <w:rsid w:val="003A7E49"/>
    <w:rsid w:val="003B0308"/>
    <w:rsid w:val="003B0A92"/>
    <w:rsid w:val="003B0C54"/>
    <w:rsid w:val="003B0CA0"/>
    <w:rsid w:val="003B0E33"/>
    <w:rsid w:val="003B1B0F"/>
    <w:rsid w:val="003B1DB4"/>
    <w:rsid w:val="003B3051"/>
    <w:rsid w:val="003B4B26"/>
    <w:rsid w:val="003B50E7"/>
    <w:rsid w:val="003B53B8"/>
    <w:rsid w:val="003B5491"/>
    <w:rsid w:val="003B6F1D"/>
    <w:rsid w:val="003C04D2"/>
    <w:rsid w:val="003C096C"/>
    <w:rsid w:val="003C13B1"/>
    <w:rsid w:val="003C16A4"/>
    <w:rsid w:val="003C1977"/>
    <w:rsid w:val="003C1E05"/>
    <w:rsid w:val="003C1E48"/>
    <w:rsid w:val="003C22CA"/>
    <w:rsid w:val="003C26CF"/>
    <w:rsid w:val="003C2EDD"/>
    <w:rsid w:val="003C3367"/>
    <w:rsid w:val="003C40FB"/>
    <w:rsid w:val="003C4C7E"/>
    <w:rsid w:val="003C584D"/>
    <w:rsid w:val="003C6811"/>
    <w:rsid w:val="003C6AF7"/>
    <w:rsid w:val="003C6E30"/>
    <w:rsid w:val="003C7489"/>
    <w:rsid w:val="003C787B"/>
    <w:rsid w:val="003C7BA3"/>
    <w:rsid w:val="003C7C73"/>
    <w:rsid w:val="003D033E"/>
    <w:rsid w:val="003D06A7"/>
    <w:rsid w:val="003D0E64"/>
    <w:rsid w:val="003D0FCD"/>
    <w:rsid w:val="003D1B8C"/>
    <w:rsid w:val="003D2164"/>
    <w:rsid w:val="003D31D5"/>
    <w:rsid w:val="003D49A7"/>
    <w:rsid w:val="003D4E7C"/>
    <w:rsid w:val="003D5200"/>
    <w:rsid w:val="003D5F39"/>
    <w:rsid w:val="003D6BB8"/>
    <w:rsid w:val="003D70C1"/>
    <w:rsid w:val="003D713B"/>
    <w:rsid w:val="003D7B40"/>
    <w:rsid w:val="003E12D0"/>
    <w:rsid w:val="003E1BA6"/>
    <w:rsid w:val="003E1C1E"/>
    <w:rsid w:val="003E23A2"/>
    <w:rsid w:val="003E267F"/>
    <w:rsid w:val="003E2BD3"/>
    <w:rsid w:val="003E2E55"/>
    <w:rsid w:val="003E341C"/>
    <w:rsid w:val="003E347A"/>
    <w:rsid w:val="003E356D"/>
    <w:rsid w:val="003E3D8A"/>
    <w:rsid w:val="003E41E6"/>
    <w:rsid w:val="003E51A3"/>
    <w:rsid w:val="003E64EE"/>
    <w:rsid w:val="003E753A"/>
    <w:rsid w:val="003E7944"/>
    <w:rsid w:val="003F0666"/>
    <w:rsid w:val="003F2351"/>
    <w:rsid w:val="003F23EF"/>
    <w:rsid w:val="003F270C"/>
    <w:rsid w:val="003F2DE4"/>
    <w:rsid w:val="003F39A7"/>
    <w:rsid w:val="003F3C8B"/>
    <w:rsid w:val="003F47B6"/>
    <w:rsid w:val="003F5009"/>
    <w:rsid w:val="003F55D5"/>
    <w:rsid w:val="003F59F6"/>
    <w:rsid w:val="003F5C83"/>
    <w:rsid w:val="003F678D"/>
    <w:rsid w:val="003F6AD6"/>
    <w:rsid w:val="003F6BE1"/>
    <w:rsid w:val="003F799D"/>
    <w:rsid w:val="0040021D"/>
    <w:rsid w:val="00400222"/>
    <w:rsid w:val="00400F10"/>
    <w:rsid w:val="00400F6E"/>
    <w:rsid w:val="004011DB"/>
    <w:rsid w:val="00401722"/>
    <w:rsid w:val="004022B2"/>
    <w:rsid w:val="004045B1"/>
    <w:rsid w:val="00404FAE"/>
    <w:rsid w:val="00406B91"/>
    <w:rsid w:val="00406D1A"/>
    <w:rsid w:val="00407F51"/>
    <w:rsid w:val="00410584"/>
    <w:rsid w:val="00410C1B"/>
    <w:rsid w:val="00410DC2"/>
    <w:rsid w:val="00411222"/>
    <w:rsid w:val="00412252"/>
    <w:rsid w:val="004122F9"/>
    <w:rsid w:val="00412A24"/>
    <w:rsid w:val="00412A29"/>
    <w:rsid w:val="00413E83"/>
    <w:rsid w:val="004144D6"/>
    <w:rsid w:val="004158B3"/>
    <w:rsid w:val="00416AAB"/>
    <w:rsid w:val="004173BA"/>
    <w:rsid w:val="004176B6"/>
    <w:rsid w:val="00417CA2"/>
    <w:rsid w:val="00417EDD"/>
    <w:rsid w:val="0042082F"/>
    <w:rsid w:val="00420C78"/>
    <w:rsid w:val="00421109"/>
    <w:rsid w:val="00421463"/>
    <w:rsid w:val="00421A9F"/>
    <w:rsid w:val="0042493E"/>
    <w:rsid w:val="00424959"/>
    <w:rsid w:val="004250EE"/>
    <w:rsid w:val="004253C7"/>
    <w:rsid w:val="00425D52"/>
    <w:rsid w:val="004260A6"/>
    <w:rsid w:val="00426631"/>
    <w:rsid w:val="004267CA"/>
    <w:rsid w:val="00426FE4"/>
    <w:rsid w:val="004272A4"/>
    <w:rsid w:val="004273E7"/>
    <w:rsid w:val="00427CAD"/>
    <w:rsid w:val="0043018B"/>
    <w:rsid w:val="004306CD"/>
    <w:rsid w:val="00431246"/>
    <w:rsid w:val="0043147B"/>
    <w:rsid w:val="004328D8"/>
    <w:rsid w:val="00433B49"/>
    <w:rsid w:val="00436F5C"/>
    <w:rsid w:val="00437329"/>
    <w:rsid w:val="00437B94"/>
    <w:rsid w:val="00437B9B"/>
    <w:rsid w:val="00437C98"/>
    <w:rsid w:val="0044009B"/>
    <w:rsid w:val="00440380"/>
    <w:rsid w:val="00441324"/>
    <w:rsid w:val="00441EBE"/>
    <w:rsid w:val="0044212F"/>
    <w:rsid w:val="0044336F"/>
    <w:rsid w:val="0044440C"/>
    <w:rsid w:val="004455CF"/>
    <w:rsid w:val="00445C46"/>
    <w:rsid w:val="00445C8E"/>
    <w:rsid w:val="00446610"/>
    <w:rsid w:val="00446C37"/>
    <w:rsid w:val="00447802"/>
    <w:rsid w:val="00447D12"/>
    <w:rsid w:val="00450A37"/>
    <w:rsid w:val="00450C87"/>
    <w:rsid w:val="00451639"/>
    <w:rsid w:val="00452328"/>
    <w:rsid w:val="00452A3B"/>
    <w:rsid w:val="00452CCA"/>
    <w:rsid w:val="0045345C"/>
    <w:rsid w:val="0045484C"/>
    <w:rsid w:val="00455341"/>
    <w:rsid w:val="004554ED"/>
    <w:rsid w:val="00455BB9"/>
    <w:rsid w:val="00455C02"/>
    <w:rsid w:val="00455E0C"/>
    <w:rsid w:val="00456D92"/>
    <w:rsid w:val="00457946"/>
    <w:rsid w:val="00460526"/>
    <w:rsid w:val="00460D5A"/>
    <w:rsid w:val="00460D81"/>
    <w:rsid w:val="0046106D"/>
    <w:rsid w:val="004617D3"/>
    <w:rsid w:val="00461E39"/>
    <w:rsid w:val="00462064"/>
    <w:rsid w:val="004626B9"/>
    <w:rsid w:val="00463E78"/>
    <w:rsid w:val="0046459B"/>
    <w:rsid w:val="00464A24"/>
    <w:rsid w:val="00464A80"/>
    <w:rsid w:val="00464E84"/>
    <w:rsid w:val="00464F1F"/>
    <w:rsid w:val="00465FC5"/>
    <w:rsid w:val="00466001"/>
    <w:rsid w:val="00467062"/>
    <w:rsid w:val="004713AF"/>
    <w:rsid w:val="00472258"/>
    <w:rsid w:val="00472E95"/>
    <w:rsid w:val="00473178"/>
    <w:rsid w:val="00473AFD"/>
    <w:rsid w:val="00476377"/>
    <w:rsid w:val="0047690C"/>
    <w:rsid w:val="004769F0"/>
    <w:rsid w:val="00476F3A"/>
    <w:rsid w:val="004772FE"/>
    <w:rsid w:val="004776EC"/>
    <w:rsid w:val="00477986"/>
    <w:rsid w:val="004803A7"/>
    <w:rsid w:val="00480513"/>
    <w:rsid w:val="00480990"/>
    <w:rsid w:val="00480DAD"/>
    <w:rsid w:val="00480F40"/>
    <w:rsid w:val="004810B1"/>
    <w:rsid w:val="004812DD"/>
    <w:rsid w:val="0048182D"/>
    <w:rsid w:val="00481DF1"/>
    <w:rsid w:val="00482590"/>
    <w:rsid w:val="004826C7"/>
    <w:rsid w:val="00482E60"/>
    <w:rsid w:val="0048430C"/>
    <w:rsid w:val="00484759"/>
    <w:rsid w:val="00484D8A"/>
    <w:rsid w:val="00486658"/>
    <w:rsid w:val="00486C65"/>
    <w:rsid w:val="00486D90"/>
    <w:rsid w:val="004871E2"/>
    <w:rsid w:val="00487858"/>
    <w:rsid w:val="00487E4F"/>
    <w:rsid w:val="00487E6F"/>
    <w:rsid w:val="00487FDB"/>
    <w:rsid w:val="004901E8"/>
    <w:rsid w:val="00490B72"/>
    <w:rsid w:val="0049115A"/>
    <w:rsid w:val="00491581"/>
    <w:rsid w:val="004925A6"/>
    <w:rsid w:val="00492B9D"/>
    <w:rsid w:val="00492C1D"/>
    <w:rsid w:val="00492E1B"/>
    <w:rsid w:val="004932FC"/>
    <w:rsid w:val="00493322"/>
    <w:rsid w:val="0049356E"/>
    <w:rsid w:val="00493924"/>
    <w:rsid w:val="004943D5"/>
    <w:rsid w:val="00494B02"/>
    <w:rsid w:val="00494C7E"/>
    <w:rsid w:val="00494FE2"/>
    <w:rsid w:val="00494FF1"/>
    <w:rsid w:val="004956BA"/>
    <w:rsid w:val="00495FA0"/>
    <w:rsid w:val="00496011"/>
    <w:rsid w:val="004966B9"/>
    <w:rsid w:val="004967D1"/>
    <w:rsid w:val="0049722C"/>
    <w:rsid w:val="0049747B"/>
    <w:rsid w:val="004975AF"/>
    <w:rsid w:val="004A05B1"/>
    <w:rsid w:val="004A06B4"/>
    <w:rsid w:val="004A07AC"/>
    <w:rsid w:val="004A11CF"/>
    <w:rsid w:val="004A2A57"/>
    <w:rsid w:val="004A2F57"/>
    <w:rsid w:val="004A3FFD"/>
    <w:rsid w:val="004A4473"/>
    <w:rsid w:val="004A5056"/>
    <w:rsid w:val="004A56D4"/>
    <w:rsid w:val="004A5B63"/>
    <w:rsid w:val="004A68C7"/>
    <w:rsid w:val="004A7430"/>
    <w:rsid w:val="004B007C"/>
    <w:rsid w:val="004B01C5"/>
    <w:rsid w:val="004B06B0"/>
    <w:rsid w:val="004B0B1F"/>
    <w:rsid w:val="004B0F0F"/>
    <w:rsid w:val="004B115C"/>
    <w:rsid w:val="004B136F"/>
    <w:rsid w:val="004B1658"/>
    <w:rsid w:val="004B165B"/>
    <w:rsid w:val="004B2716"/>
    <w:rsid w:val="004B2EAA"/>
    <w:rsid w:val="004B3A10"/>
    <w:rsid w:val="004B3A2E"/>
    <w:rsid w:val="004B3C31"/>
    <w:rsid w:val="004B4A56"/>
    <w:rsid w:val="004B4FA3"/>
    <w:rsid w:val="004B50B0"/>
    <w:rsid w:val="004B67F4"/>
    <w:rsid w:val="004B6F18"/>
    <w:rsid w:val="004B73DF"/>
    <w:rsid w:val="004B7BD3"/>
    <w:rsid w:val="004B7CB7"/>
    <w:rsid w:val="004B7E72"/>
    <w:rsid w:val="004C013C"/>
    <w:rsid w:val="004C0C5C"/>
    <w:rsid w:val="004C23B4"/>
    <w:rsid w:val="004C24DE"/>
    <w:rsid w:val="004C2FFB"/>
    <w:rsid w:val="004C3445"/>
    <w:rsid w:val="004C40BC"/>
    <w:rsid w:val="004C451F"/>
    <w:rsid w:val="004C4BA2"/>
    <w:rsid w:val="004C4D5A"/>
    <w:rsid w:val="004C509C"/>
    <w:rsid w:val="004C60BA"/>
    <w:rsid w:val="004C61D4"/>
    <w:rsid w:val="004C63B9"/>
    <w:rsid w:val="004C6897"/>
    <w:rsid w:val="004C6D0E"/>
    <w:rsid w:val="004C71BC"/>
    <w:rsid w:val="004D06E6"/>
    <w:rsid w:val="004D0719"/>
    <w:rsid w:val="004D0FC5"/>
    <w:rsid w:val="004D1E12"/>
    <w:rsid w:val="004D23D9"/>
    <w:rsid w:val="004D3B88"/>
    <w:rsid w:val="004D3E10"/>
    <w:rsid w:val="004D40E5"/>
    <w:rsid w:val="004D479D"/>
    <w:rsid w:val="004D535C"/>
    <w:rsid w:val="004D6002"/>
    <w:rsid w:val="004D6CD0"/>
    <w:rsid w:val="004D6F95"/>
    <w:rsid w:val="004D7AF4"/>
    <w:rsid w:val="004E034A"/>
    <w:rsid w:val="004E0AE1"/>
    <w:rsid w:val="004E13FC"/>
    <w:rsid w:val="004E149F"/>
    <w:rsid w:val="004E217C"/>
    <w:rsid w:val="004E2380"/>
    <w:rsid w:val="004E2432"/>
    <w:rsid w:val="004E277F"/>
    <w:rsid w:val="004E35E1"/>
    <w:rsid w:val="004E3BEB"/>
    <w:rsid w:val="004E3FD5"/>
    <w:rsid w:val="004E427D"/>
    <w:rsid w:val="004E44D7"/>
    <w:rsid w:val="004E4656"/>
    <w:rsid w:val="004E5168"/>
    <w:rsid w:val="004E5326"/>
    <w:rsid w:val="004E6576"/>
    <w:rsid w:val="004E7D05"/>
    <w:rsid w:val="004E7D75"/>
    <w:rsid w:val="004F1DEC"/>
    <w:rsid w:val="004F2B73"/>
    <w:rsid w:val="004F2E1C"/>
    <w:rsid w:val="004F32AF"/>
    <w:rsid w:val="004F3D71"/>
    <w:rsid w:val="004F508B"/>
    <w:rsid w:val="004F5181"/>
    <w:rsid w:val="004F5AE2"/>
    <w:rsid w:val="004F5D57"/>
    <w:rsid w:val="004F614A"/>
    <w:rsid w:val="004F6680"/>
    <w:rsid w:val="004F6DBE"/>
    <w:rsid w:val="004F740A"/>
    <w:rsid w:val="004F7AF2"/>
    <w:rsid w:val="004F7D80"/>
    <w:rsid w:val="004F7E8F"/>
    <w:rsid w:val="0050024E"/>
    <w:rsid w:val="00500663"/>
    <w:rsid w:val="005006FC"/>
    <w:rsid w:val="00500DB4"/>
    <w:rsid w:val="00501B34"/>
    <w:rsid w:val="00501C0F"/>
    <w:rsid w:val="0050228A"/>
    <w:rsid w:val="0050339C"/>
    <w:rsid w:val="005034DF"/>
    <w:rsid w:val="0050363D"/>
    <w:rsid w:val="005037EE"/>
    <w:rsid w:val="005053BB"/>
    <w:rsid w:val="00505515"/>
    <w:rsid w:val="005076C0"/>
    <w:rsid w:val="005105B8"/>
    <w:rsid w:val="00511572"/>
    <w:rsid w:val="00511CCC"/>
    <w:rsid w:val="00513488"/>
    <w:rsid w:val="0051363C"/>
    <w:rsid w:val="005147BF"/>
    <w:rsid w:val="00515645"/>
    <w:rsid w:val="005159F7"/>
    <w:rsid w:val="00515E10"/>
    <w:rsid w:val="00520382"/>
    <w:rsid w:val="005203FF"/>
    <w:rsid w:val="0052084E"/>
    <w:rsid w:val="00520A68"/>
    <w:rsid w:val="005215D5"/>
    <w:rsid w:val="0052164C"/>
    <w:rsid w:val="0052170B"/>
    <w:rsid w:val="00521DDD"/>
    <w:rsid w:val="00522169"/>
    <w:rsid w:val="00522BFC"/>
    <w:rsid w:val="00523E15"/>
    <w:rsid w:val="00525ADF"/>
    <w:rsid w:val="00525E80"/>
    <w:rsid w:val="005261ED"/>
    <w:rsid w:val="00526D52"/>
    <w:rsid w:val="00527C39"/>
    <w:rsid w:val="00527EFF"/>
    <w:rsid w:val="00532154"/>
    <w:rsid w:val="0053220B"/>
    <w:rsid w:val="00532922"/>
    <w:rsid w:val="00533A50"/>
    <w:rsid w:val="00533CF1"/>
    <w:rsid w:val="0053475A"/>
    <w:rsid w:val="00534AD1"/>
    <w:rsid w:val="00535081"/>
    <w:rsid w:val="005358F9"/>
    <w:rsid w:val="00535B87"/>
    <w:rsid w:val="00536ADB"/>
    <w:rsid w:val="00536C4F"/>
    <w:rsid w:val="00536F4A"/>
    <w:rsid w:val="005373D6"/>
    <w:rsid w:val="005377D9"/>
    <w:rsid w:val="00540A75"/>
    <w:rsid w:val="00540DB1"/>
    <w:rsid w:val="0054108A"/>
    <w:rsid w:val="0054122E"/>
    <w:rsid w:val="0054135B"/>
    <w:rsid w:val="00541490"/>
    <w:rsid w:val="005418D8"/>
    <w:rsid w:val="005418E3"/>
    <w:rsid w:val="00541D1D"/>
    <w:rsid w:val="005428E6"/>
    <w:rsid w:val="00542C53"/>
    <w:rsid w:val="00543871"/>
    <w:rsid w:val="00544487"/>
    <w:rsid w:val="00544CC3"/>
    <w:rsid w:val="00545188"/>
    <w:rsid w:val="0054598B"/>
    <w:rsid w:val="00546581"/>
    <w:rsid w:val="00547523"/>
    <w:rsid w:val="0055026E"/>
    <w:rsid w:val="00550E27"/>
    <w:rsid w:val="005514F5"/>
    <w:rsid w:val="00551C4F"/>
    <w:rsid w:val="00551F90"/>
    <w:rsid w:val="005526F6"/>
    <w:rsid w:val="005530E8"/>
    <w:rsid w:val="005535A1"/>
    <w:rsid w:val="00553E91"/>
    <w:rsid w:val="00554724"/>
    <w:rsid w:val="00554B5E"/>
    <w:rsid w:val="00555336"/>
    <w:rsid w:val="00555854"/>
    <w:rsid w:val="00555B78"/>
    <w:rsid w:val="00555CF4"/>
    <w:rsid w:val="005571E1"/>
    <w:rsid w:val="00557256"/>
    <w:rsid w:val="00557344"/>
    <w:rsid w:val="00557A9A"/>
    <w:rsid w:val="00557B0B"/>
    <w:rsid w:val="00557CB4"/>
    <w:rsid w:val="00560893"/>
    <w:rsid w:val="0056102C"/>
    <w:rsid w:val="005625F3"/>
    <w:rsid w:val="00562EA1"/>
    <w:rsid w:val="00563146"/>
    <w:rsid w:val="00563514"/>
    <w:rsid w:val="005635B3"/>
    <w:rsid w:val="0056368B"/>
    <w:rsid w:val="005654B3"/>
    <w:rsid w:val="00565EF6"/>
    <w:rsid w:val="005664D6"/>
    <w:rsid w:val="00566D9C"/>
    <w:rsid w:val="00567610"/>
    <w:rsid w:val="00567FF2"/>
    <w:rsid w:val="005703CB"/>
    <w:rsid w:val="00570431"/>
    <w:rsid w:val="005709F3"/>
    <w:rsid w:val="00570AC3"/>
    <w:rsid w:val="00570B54"/>
    <w:rsid w:val="00571582"/>
    <w:rsid w:val="00571684"/>
    <w:rsid w:val="005716CB"/>
    <w:rsid w:val="0057349F"/>
    <w:rsid w:val="00573C15"/>
    <w:rsid w:val="00574817"/>
    <w:rsid w:val="005748DB"/>
    <w:rsid w:val="00575D45"/>
    <w:rsid w:val="00577649"/>
    <w:rsid w:val="00577702"/>
    <w:rsid w:val="00577FEC"/>
    <w:rsid w:val="0058029D"/>
    <w:rsid w:val="005814EE"/>
    <w:rsid w:val="00581698"/>
    <w:rsid w:val="00581D9E"/>
    <w:rsid w:val="00582F75"/>
    <w:rsid w:val="005830B1"/>
    <w:rsid w:val="005838D2"/>
    <w:rsid w:val="00584379"/>
    <w:rsid w:val="00585750"/>
    <w:rsid w:val="00585CB6"/>
    <w:rsid w:val="00585E85"/>
    <w:rsid w:val="00585F59"/>
    <w:rsid w:val="0058616A"/>
    <w:rsid w:val="005861D3"/>
    <w:rsid w:val="00586F98"/>
    <w:rsid w:val="00587037"/>
    <w:rsid w:val="0058786A"/>
    <w:rsid w:val="00590F47"/>
    <w:rsid w:val="00591E25"/>
    <w:rsid w:val="0059229F"/>
    <w:rsid w:val="0059261F"/>
    <w:rsid w:val="00593334"/>
    <w:rsid w:val="00593C15"/>
    <w:rsid w:val="0059471F"/>
    <w:rsid w:val="00594E97"/>
    <w:rsid w:val="0059575F"/>
    <w:rsid w:val="00595B5B"/>
    <w:rsid w:val="005978DE"/>
    <w:rsid w:val="005A0239"/>
    <w:rsid w:val="005A03CF"/>
    <w:rsid w:val="005A041A"/>
    <w:rsid w:val="005A0F2A"/>
    <w:rsid w:val="005A1277"/>
    <w:rsid w:val="005A14DF"/>
    <w:rsid w:val="005A1980"/>
    <w:rsid w:val="005A2075"/>
    <w:rsid w:val="005A21D7"/>
    <w:rsid w:val="005A2968"/>
    <w:rsid w:val="005A29BB"/>
    <w:rsid w:val="005A32EC"/>
    <w:rsid w:val="005A35F4"/>
    <w:rsid w:val="005A4475"/>
    <w:rsid w:val="005A46AE"/>
    <w:rsid w:val="005A48DB"/>
    <w:rsid w:val="005A4D74"/>
    <w:rsid w:val="005A4EF5"/>
    <w:rsid w:val="005A5961"/>
    <w:rsid w:val="005A5DFF"/>
    <w:rsid w:val="005A791B"/>
    <w:rsid w:val="005A7CC8"/>
    <w:rsid w:val="005B0B40"/>
    <w:rsid w:val="005B0BD1"/>
    <w:rsid w:val="005B103E"/>
    <w:rsid w:val="005B1A3B"/>
    <w:rsid w:val="005B1F35"/>
    <w:rsid w:val="005B2024"/>
    <w:rsid w:val="005B2735"/>
    <w:rsid w:val="005B29C2"/>
    <w:rsid w:val="005B2AE0"/>
    <w:rsid w:val="005B31B6"/>
    <w:rsid w:val="005B3A48"/>
    <w:rsid w:val="005B3EA6"/>
    <w:rsid w:val="005B408B"/>
    <w:rsid w:val="005B40AD"/>
    <w:rsid w:val="005B5115"/>
    <w:rsid w:val="005B5E6B"/>
    <w:rsid w:val="005B5FC4"/>
    <w:rsid w:val="005B60D3"/>
    <w:rsid w:val="005B7E7C"/>
    <w:rsid w:val="005C006E"/>
    <w:rsid w:val="005C0816"/>
    <w:rsid w:val="005C10E0"/>
    <w:rsid w:val="005C149F"/>
    <w:rsid w:val="005C1776"/>
    <w:rsid w:val="005C1FAE"/>
    <w:rsid w:val="005C2D73"/>
    <w:rsid w:val="005C2F0E"/>
    <w:rsid w:val="005C3DCF"/>
    <w:rsid w:val="005C4038"/>
    <w:rsid w:val="005C42C9"/>
    <w:rsid w:val="005C42F5"/>
    <w:rsid w:val="005C4772"/>
    <w:rsid w:val="005C57B0"/>
    <w:rsid w:val="005C5C22"/>
    <w:rsid w:val="005C5DAC"/>
    <w:rsid w:val="005C6195"/>
    <w:rsid w:val="005C6284"/>
    <w:rsid w:val="005C6B5B"/>
    <w:rsid w:val="005C6DDB"/>
    <w:rsid w:val="005C76F8"/>
    <w:rsid w:val="005C7D42"/>
    <w:rsid w:val="005D0E45"/>
    <w:rsid w:val="005D0E4B"/>
    <w:rsid w:val="005D0EC4"/>
    <w:rsid w:val="005D1A1A"/>
    <w:rsid w:val="005D1EB5"/>
    <w:rsid w:val="005D1ED8"/>
    <w:rsid w:val="005D31FE"/>
    <w:rsid w:val="005D3BB9"/>
    <w:rsid w:val="005D3C12"/>
    <w:rsid w:val="005D40E6"/>
    <w:rsid w:val="005D4685"/>
    <w:rsid w:val="005D4961"/>
    <w:rsid w:val="005D62F5"/>
    <w:rsid w:val="005D6999"/>
    <w:rsid w:val="005D6B24"/>
    <w:rsid w:val="005D7D69"/>
    <w:rsid w:val="005E0C14"/>
    <w:rsid w:val="005E1779"/>
    <w:rsid w:val="005E2659"/>
    <w:rsid w:val="005E310E"/>
    <w:rsid w:val="005E35A3"/>
    <w:rsid w:val="005E3731"/>
    <w:rsid w:val="005E3977"/>
    <w:rsid w:val="005E4669"/>
    <w:rsid w:val="005E5013"/>
    <w:rsid w:val="005E50F0"/>
    <w:rsid w:val="005E50F1"/>
    <w:rsid w:val="005E6B5D"/>
    <w:rsid w:val="005E6B87"/>
    <w:rsid w:val="005E7159"/>
    <w:rsid w:val="005E75C4"/>
    <w:rsid w:val="005F0EE9"/>
    <w:rsid w:val="005F11CC"/>
    <w:rsid w:val="005F2121"/>
    <w:rsid w:val="005F27AD"/>
    <w:rsid w:val="005F2C74"/>
    <w:rsid w:val="005F30B5"/>
    <w:rsid w:val="005F34D0"/>
    <w:rsid w:val="005F3C70"/>
    <w:rsid w:val="005F3F99"/>
    <w:rsid w:val="005F62A3"/>
    <w:rsid w:val="006000F1"/>
    <w:rsid w:val="00601749"/>
    <w:rsid w:val="00601D40"/>
    <w:rsid w:val="00602457"/>
    <w:rsid w:val="00604305"/>
    <w:rsid w:val="00604640"/>
    <w:rsid w:val="006048BC"/>
    <w:rsid w:val="00604977"/>
    <w:rsid w:val="00605674"/>
    <w:rsid w:val="0060578F"/>
    <w:rsid w:val="00605C67"/>
    <w:rsid w:val="00605F0E"/>
    <w:rsid w:val="0060635A"/>
    <w:rsid w:val="00606577"/>
    <w:rsid w:val="006065DC"/>
    <w:rsid w:val="006069AC"/>
    <w:rsid w:val="006077EA"/>
    <w:rsid w:val="00610A6C"/>
    <w:rsid w:val="00610D57"/>
    <w:rsid w:val="00610DCE"/>
    <w:rsid w:val="00611BED"/>
    <w:rsid w:val="00611D71"/>
    <w:rsid w:val="006122CF"/>
    <w:rsid w:val="00612321"/>
    <w:rsid w:val="0061488B"/>
    <w:rsid w:val="00614C35"/>
    <w:rsid w:val="006156BD"/>
    <w:rsid w:val="00615A52"/>
    <w:rsid w:val="00616B0D"/>
    <w:rsid w:val="00616B6F"/>
    <w:rsid w:val="00616F9A"/>
    <w:rsid w:val="00617636"/>
    <w:rsid w:val="00620975"/>
    <w:rsid w:val="00621742"/>
    <w:rsid w:val="0062195D"/>
    <w:rsid w:val="00621BFC"/>
    <w:rsid w:val="00622F77"/>
    <w:rsid w:val="00623101"/>
    <w:rsid w:val="00623FBC"/>
    <w:rsid w:val="006241E0"/>
    <w:rsid w:val="00624EDB"/>
    <w:rsid w:val="006259C6"/>
    <w:rsid w:val="00625DF2"/>
    <w:rsid w:val="00626AE8"/>
    <w:rsid w:val="00627CDB"/>
    <w:rsid w:val="00627D7A"/>
    <w:rsid w:val="0063044C"/>
    <w:rsid w:val="00630A55"/>
    <w:rsid w:val="00630FB3"/>
    <w:rsid w:val="00631115"/>
    <w:rsid w:val="0063227D"/>
    <w:rsid w:val="006325FC"/>
    <w:rsid w:val="00632707"/>
    <w:rsid w:val="006333E0"/>
    <w:rsid w:val="0063403F"/>
    <w:rsid w:val="006343EE"/>
    <w:rsid w:val="00634B9A"/>
    <w:rsid w:val="006356BC"/>
    <w:rsid w:val="00636C8D"/>
    <w:rsid w:val="0063703D"/>
    <w:rsid w:val="006375F9"/>
    <w:rsid w:val="00640D62"/>
    <w:rsid w:val="00640F46"/>
    <w:rsid w:val="00641D61"/>
    <w:rsid w:val="00641ECA"/>
    <w:rsid w:val="00642680"/>
    <w:rsid w:val="006428CE"/>
    <w:rsid w:val="00642B6A"/>
    <w:rsid w:val="00643170"/>
    <w:rsid w:val="006433C6"/>
    <w:rsid w:val="0064490B"/>
    <w:rsid w:val="00645020"/>
    <w:rsid w:val="00645525"/>
    <w:rsid w:val="006458E6"/>
    <w:rsid w:val="00645D63"/>
    <w:rsid w:val="00646825"/>
    <w:rsid w:val="00646BCA"/>
    <w:rsid w:val="006479E0"/>
    <w:rsid w:val="00647D47"/>
    <w:rsid w:val="00647EE7"/>
    <w:rsid w:val="00650261"/>
    <w:rsid w:val="00650417"/>
    <w:rsid w:val="006505A6"/>
    <w:rsid w:val="00650730"/>
    <w:rsid w:val="00651444"/>
    <w:rsid w:val="006515E3"/>
    <w:rsid w:val="00651636"/>
    <w:rsid w:val="00651E07"/>
    <w:rsid w:val="00651E6A"/>
    <w:rsid w:val="006535D3"/>
    <w:rsid w:val="00653649"/>
    <w:rsid w:val="006536F5"/>
    <w:rsid w:val="00655663"/>
    <w:rsid w:val="00656FA5"/>
    <w:rsid w:val="0065703D"/>
    <w:rsid w:val="00657CEB"/>
    <w:rsid w:val="00657CFA"/>
    <w:rsid w:val="0066034A"/>
    <w:rsid w:val="0066089F"/>
    <w:rsid w:val="00660EEB"/>
    <w:rsid w:val="00661541"/>
    <w:rsid w:val="00661BE5"/>
    <w:rsid w:val="00662314"/>
    <w:rsid w:val="0066241F"/>
    <w:rsid w:val="0066381F"/>
    <w:rsid w:val="00663A5A"/>
    <w:rsid w:val="00663E07"/>
    <w:rsid w:val="006643AE"/>
    <w:rsid w:val="006649F6"/>
    <w:rsid w:val="00664C78"/>
    <w:rsid w:val="0066511E"/>
    <w:rsid w:val="006653D5"/>
    <w:rsid w:val="00665654"/>
    <w:rsid w:val="00665AE4"/>
    <w:rsid w:val="00666190"/>
    <w:rsid w:val="00666388"/>
    <w:rsid w:val="00666466"/>
    <w:rsid w:val="00666C33"/>
    <w:rsid w:val="00666C48"/>
    <w:rsid w:val="00666D3B"/>
    <w:rsid w:val="00667649"/>
    <w:rsid w:val="00667B80"/>
    <w:rsid w:val="00667DA6"/>
    <w:rsid w:val="00667E29"/>
    <w:rsid w:val="00670BC9"/>
    <w:rsid w:val="00671301"/>
    <w:rsid w:val="0067140D"/>
    <w:rsid w:val="00671BE1"/>
    <w:rsid w:val="00672906"/>
    <w:rsid w:val="006757BF"/>
    <w:rsid w:val="00675970"/>
    <w:rsid w:val="006773F6"/>
    <w:rsid w:val="0067779F"/>
    <w:rsid w:val="00680163"/>
    <w:rsid w:val="0068108E"/>
    <w:rsid w:val="006810E5"/>
    <w:rsid w:val="006813A2"/>
    <w:rsid w:val="0068196C"/>
    <w:rsid w:val="00681AE5"/>
    <w:rsid w:val="00681AFE"/>
    <w:rsid w:val="006828F7"/>
    <w:rsid w:val="00683B34"/>
    <w:rsid w:val="00683E19"/>
    <w:rsid w:val="00684C76"/>
    <w:rsid w:val="00684E24"/>
    <w:rsid w:val="00686A5C"/>
    <w:rsid w:val="00686C78"/>
    <w:rsid w:val="00687CA7"/>
    <w:rsid w:val="0069075C"/>
    <w:rsid w:val="00690B26"/>
    <w:rsid w:val="00690BDC"/>
    <w:rsid w:val="00690E1D"/>
    <w:rsid w:val="006917FC"/>
    <w:rsid w:val="006922B2"/>
    <w:rsid w:val="00692E47"/>
    <w:rsid w:val="00692FA6"/>
    <w:rsid w:val="0069334F"/>
    <w:rsid w:val="006933FC"/>
    <w:rsid w:val="006933FE"/>
    <w:rsid w:val="00693498"/>
    <w:rsid w:val="006946A9"/>
    <w:rsid w:val="006948F1"/>
    <w:rsid w:val="00694EE7"/>
    <w:rsid w:val="006959A0"/>
    <w:rsid w:val="00696069"/>
    <w:rsid w:val="00696081"/>
    <w:rsid w:val="0069629C"/>
    <w:rsid w:val="00696436"/>
    <w:rsid w:val="00696D7F"/>
    <w:rsid w:val="0069743F"/>
    <w:rsid w:val="00697B3C"/>
    <w:rsid w:val="00697EE8"/>
    <w:rsid w:val="006A01D3"/>
    <w:rsid w:val="006A0507"/>
    <w:rsid w:val="006A0721"/>
    <w:rsid w:val="006A0A5C"/>
    <w:rsid w:val="006A0C72"/>
    <w:rsid w:val="006A1B77"/>
    <w:rsid w:val="006A1BCD"/>
    <w:rsid w:val="006A3568"/>
    <w:rsid w:val="006A54F7"/>
    <w:rsid w:val="006A5B2C"/>
    <w:rsid w:val="006A7A57"/>
    <w:rsid w:val="006B0946"/>
    <w:rsid w:val="006B1015"/>
    <w:rsid w:val="006B1D3E"/>
    <w:rsid w:val="006B2401"/>
    <w:rsid w:val="006B24B4"/>
    <w:rsid w:val="006B29F0"/>
    <w:rsid w:val="006B2F90"/>
    <w:rsid w:val="006B3048"/>
    <w:rsid w:val="006B312A"/>
    <w:rsid w:val="006B36FC"/>
    <w:rsid w:val="006B41B8"/>
    <w:rsid w:val="006B54E4"/>
    <w:rsid w:val="006B56F1"/>
    <w:rsid w:val="006B64C3"/>
    <w:rsid w:val="006B6841"/>
    <w:rsid w:val="006B695C"/>
    <w:rsid w:val="006B7286"/>
    <w:rsid w:val="006B7AD6"/>
    <w:rsid w:val="006B7C65"/>
    <w:rsid w:val="006C021F"/>
    <w:rsid w:val="006C0486"/>
    <w:rsid w:val="006C068F"/>
    <w:rsid w:val="006C0B1F"/>
    <w:rsid w:val="006C1924"/>
    <w:rsid w:val="006C1E47"/>
    <w:rsid w:val="006C2248"/>
    <w:rsid w:val="006C2533"/>
    <w:rsid w:val="006C33FC"/>
    <w:rsid w:val="006C3416"/>
    <w:rsid w:val="006C4FF6"/>
    <w:rsid w:val="006C5680"/>
    <w:rsid w:val="006C652A"/>
    <w:rsid w:val="006C684E"/>
    <w:rsid w:val="006C76CB"/>
    <w:rsid w:val="006D043F"/>
    <w:rsid w:val="006D067B"/>
    <w:rsid w:val="006D13B1"/>
    <w:rsid w:val="006D178E"/>
    <w:rsid w:val="006D1C37"/>
    <w:rsid w:val="006D1F2C"/>
    <w:rsid w:val="006D23F3"/>
    <w:rsid w:val="006D2709"/>
    <w:rsid w:val="006D29B1"/>
    <w:rsid w:val="006D2BAA"/>
    <w:rsid w:val="006D2E74"/>
    <w:rsid w:val="006D2F4B"/>
    <w:rsid w:val="006D311C"/>
    <w:rsid w:val="006D3CDA"/>
    <w:rsid w:val="006D512C"/>
    <w:rsid w:val="006D5397"/>
    <w:rsid w:val="006D5E8B"/>
    <w:rsid w:val="006D5EA4"/>
    <w:rsid w:val="006D66CC"/>
    <w:rsid w:val="006D75C8"/>
    <w:rsid w:val="006D7679"/>
    <w:rsid w:val="006E0C09"/>
    <w:rsid w:val="006E1174"/>
    <w:rsid w:val="006E1A75"/>
    <w:rsid w:val="006E2A1C"/>
    <w:rsid w:val="006E2C09"/>
    <w:rsid w:val="006E3226"/>
    <w:rsid w:val="006E32A1"/>
    <w:rsid w:val="006E3981"/>
    <w:rsid w:val="006E3F4B"/>
    <w:rsid w:val="006E4DE0"/>
    <w:rsid w:val="006E583C"/>
    <w:rsid w:val="006E5886"/>
    <w:rsid w:val="006E670F"/>
    <w:rsid w:val="006E7345"/>
    <w:rsid w:val="006F0E20"/>
    <w:rsid w:val="006F183B"/>
    <w:rsid w:val="006F190F"/>
    <w:rsid w:val="006F208F"/>
    <w:rsid w:val="006F3621"/>
    <w:rsid w:val="006F3988"/>
    <w:rsid w:val="006F3D8D"/>
    <w:rsid w:val="006F3DD0"/>
    <w:rsid w:val="006F41D5"/>
    <w:rsid w:val="006F46C5"/>
    <w:rsid w:val="006F5389"/>
    <w:rsid w:val="006F5A04"/>
    <w:rsid w:val="006F73BC"/>
    <w:rsid w:val="00700BDB"/>
    <w:rsid w:val="00701400"/>
    <w:rsid w:val="0070239A"/>
    <w:rsid w:val="00702A5E"/>
    <w:rsid w:val="00702BD0"/>
    <w:rsid w:val="00703408"/>
    <w:rsid w:val="00703666"/>
    <w:rsid w:val="00704DFA"/>
    <w:rsid w:val="00704F6D"/>
    <w:rsid w:val="00705959"/>
    <w:rsid w:val="0070737A"/>
    <w:rsid w:val="007075C5"/>
    <w:rsid w:val="00707D80"/>
    <w:rsid w:val="00707F07"/>
    <w:rsid w:val="0071021F"/>
    <w:rsid w:val="00710936"/>
    <w:rsid w:val="007117A0"/>
    <w:rsid w:val="00712D41"/>
    <w:rsid w:val="007134C0"/>
    <w:rsid w:val="007137A6"/>
    <w:rsid w:val="00714643"/>
    <w:rsid w:val="007148A4"/>
    <w:rsid w:val="0071509B"/>
    <w:rsid w:val="007150AC"/>
    <w:rsid w:val="00715311"/>
    <w:rsid w:val="007156D8"/>
    <w:rsid w:val="00715C8D"/>
    <w:rsid w:val="00716215"/>
    <w:rsid w:val="00716896"/>
    <w:rsid w:val="00716C67"/>
    <w:rsid w:val="00721121"/>
    <w:rsid w:val="00721C60"/>
    <w:rsid w:val="00721E72"/>
    <w:rsid w:val="00722BD5"/>
    <w:rsid w:val="00722F54"/>
    <w:rsid w:val="0072392A"/>
    <w:rsid w:val="007251C4"/>
    <w:rsid w:val="0072521A"/>
    <w:rsid w:val="00725B93"/>
    <w:rsid w:val="00725E2A"/>
    <w:rsid w:val="00726176"/>
    <w:rsid w:val="007262FC"/>
    <w:rsid w:val="00727321"/>
    <w:rsid w:val="00727537"/>
    <w:rsid w:val="00727716"/>
    <w:rsid w:val="00727BA1"/>
    <w:rsid w:val="0073015C"/>
    <w:rsid w:val="00730CBE"/>
    <w:rsid w:val="0073137F"/>
    <w:rsid w:val="00731436"/>
    <w:rsid w:val="00732B6C"/>
    <w:rsid w:val="00732C26"/>
    <w:rsid w:val="00733418"/>
    <w:rsid w:val="00733622"/>
    <w:rsid w:val="007342BF"/>
    <w:rsid w:val="0073475F"/>
    <w:rsid w:val="0073566C"/>
    <w:rsid w:val="00735F3D"/>
    <w:rsid w:val="0073666A"/>
    <w:rsid w:val="00736B8B"/>
    <w:rsid w:val="00737D81"/>
    <w:rsid w:val="007403D2"/>
    <w:rsid w:val="00740BC4"/>
    <w:rsid w:val="00740E44"/>
    <w:rsid w:val="007429AC"/>
    <w:rsid w:val="00742A23"/>
    <w:rsid w:val="0074359E"/>
    <w:rsid w:val="00743F9A"/>
    <w:rsid w:val="00744092"/>
    <w:rsid w:val="00744555"/>
    <w:rsid w:val="00745175"/>
    <w:rsid w:val="00746B8F"/>
    <w:rsid w:val="00746CBE"/>
    <w:rsid w:val="00746EA6"/>
    <w:rsid w:val="00747E43"/>
    <w:rsid w:val="00747EE6"/>
    <w:rsid w:val="00747FAB"/>
    <w:rsid w:val="007500D4"/>
    <w:rsid w:val="0075084B"/>
    <w:rsid w:val="00750CCE"/>
    <w:rsid w:val="00751848"/>
    <w:rsid w:val="0075241F"/>
    <w:rsid w:val="007542B3"/>
    <w:rsid w:val="00754808"/>
    <w:rsid w:val="0075508C"/>
    <w:rsid w:val="007554DD"/>
    <w:rsid w:val="00755788"/>
    <w:rsid w:val="007558CD"/>
    <w:rsid w:val="00756074"/>
    <w:rsid w:val="00757581"/>
    <w:rsid w:val="00757879"/>
    <w:rsid w:val="007606BD"/>
    <w:rsid w:val="0076089C"/>
    <w:rsid w:val="007611DF"/>
    <w:rsid w:val="0076130D"/>
    <w:rsid w:val="00761565"/>
    <w:rsid w:val="0076197B"/>
    <w:rsid w:val="00762396"/>
    <w:rsid w:val="00762754"/>
    <w:rsid w:val="00762B40"/>
    <w:rsid w:val="007632B5"/>
    <w:rsid w:val="00763310"/>
    <w:rsid w:val="00764839"/>
    <w:rsid w:val="00764919"/>
    <w:rsid w:val="0076573A"/>
    <w:rsid w:val="0076582D"/>
    <w:rsid w:val="0076592A"/>
    <w:rsid w:val="00766719"/>
    <w:rsid w:val="00766B0E"/>
    <w:rsid w:val="007679EE"/>
    <w:rsid w:val="00770025"/>
    <w:rsid w:val="0077037D"/>
    <w:rsid w:val="00770B62"/>
    <w:rsid w:val="00770FCF"/>
    <w:rsid w:val="0077184D"/>
    <w:rsid w:val="0077194E"/>
    <w:rsid w:val="00771CE2"/>
    <w:rsid w:val="00772C38"/>
    <w:rsid w:val="00772F75"/>
    <w:rsid w:val="00773A7E"/>
    <w:rsid w:val="007746D4"/>
    <w:rsid w:val="00774F01"/>
    <w:rsid w:val="007750CB"/>
    <w:rsid w:val="00775686"/>
    <w:rsid w:val="00775B8E"/>
    <w:rsid w:val="007765AF"/>
    <w:rsid w:val="0077760A"/>
    <w:rsid w:val="00777FBA"/>
    <w:rsid w:val="00780828"/>
    <w:rsid w:val="007811F8"/>
    <w:rsid w:val="007812E9"/>
    <w:rsid w:val="00781631"/>
    <w:rsid w:val="00781D94"/>
    <w:rsid w:val="00781DE5"/>
    <w:rsid w:val="00783EEF"/>
    <w:rsid w:val="0078414B"/>
    <w:rsid w:val="00784616"/>
    <w:rsid w:val="0078481B"/>
    <w:rsid w:val="00785663"/>
    <w:rsid w:val="00785AD3"/>
    <w:rsid w:val="007868C5"/>
    <w:rsid w:val="00786BD9"/>
    <w:rsid w:val="0078792E"/>
    <w:rsid w:val="00790BF9"/>
    <w:rsid w:val="00790E82"/>
    <w:rsid w:val="00791D93"/>
    <w:rsid w:val="0079218A"/>
    <w:rsid w:val="007921D3"/>
    <w:rsid w:val="00792652"/>
    <w:rsid w:val="007928A2"/>
    <w:rsid w:val="00792D84"/>
    <w:rsid w:val="007933D0"/>
    <w:rsid w:val="00793D61"/>
    <w:rsid w:val="00794388"/>
    <w:rsid w:val="00794A7A"/>
    <w:rsid w:val="00794CF3"/>
    <w:rsid w:val="007956B1"/>
    <w:rsid w:val="0079579F"/>
    <w:rsid w:val="0079590A"/>
    <w:rsid w:val="00795D0C"/>
    <w:rsid w:val="00795DB8"/>
    <w:rsid w:val="00796811"/>
    <w:rsid w:val="00797307"/>
    <w:rsid w:val="007A0F11"/>
    <w:rsid w:val="007A1DA0"/>
    <w:rsid w:val="007A1F7C"/>
    <w:rsid w:val="007A24D3"/>
    <w:rsid w:val="007A3709"/>
    <w:rsid w:val="007A3D5F"/>
    <w:rsid w:val="007A41F0"/>
    <w:rsid w:val="007A4384"/>
    <w:rsid w:val="007A444D"/>
    <w:rsid w:val="007A47A0"/>
    <w:rsid w:val="007A4843"/>
    <w:rsid w:val="007A5C24"/>
    <w:rsid w:val="007A6167"/>
    <w:rsid w:val="007A73FB"/>
    <w:rsid w:val="007A772B"/>
    <w:rsid w:val="007A7E95"/>
    <w:rsid w:val="007A7FA1"/>
    <w:rsid w:val="007A7FE1"/>
    <w:rsid w:val="007B01A5"/>
    <w:rsid w:val="007B0423"/>
    <w:rsid w:val="007B0F82"/>
    <w:rsid w:val="007B1828"/>
    <w:rsid w:val="007B1F93"/>
    <w:rsid w:val="007B2693"/>
    <w:rsid w:val="007B2926"/>
    <w:rsid w:val="007B2CDF"/>
    <w:rsid w:val="007B3789"/>
    <w:rsid w:val="007B3D00"/>
    <w:rsid w:val="007B427E"/>
    <w:rsid w:val="007B4C16"/>
    <w:rsid w:val="007B4D0F"/>
    <w:rsid w:val="007B53A2"/>
    <w:rsid w:val="007B55A9"/>
    <w:rsid w:val="007B5ADF"/>
    <w:rsid w:val="007B5AEE"/>
    <w:rsid w:val="007B6106"/>
    <w:rsid w:val="007B62C6"/>
    <w:rsid w:val="007B665D"/>
    <w:rsid w:val="007B667F"/>
    <w:rsid w:val="007B67C5"/>
    <w:rsid w:val="007B6999"/>
    <w:rsid w:val="007B69E6"/>
    <w:rsid w:val="007B706D"/>
    <w:rsid w:val="007B794F"/>
    <w:rsid w:val="007C012B"/>
    <w:rsid w:val="007C02ED"/>
    <w:rsid w:val="007C035E"/>
    <w:rsid w:val="007C0979"/>
    <w:rsid w:val="007C0E5C"/>
    <w:rsid w:val="007C0FC1"/>
    <w:rsid w:val="007C151D"/>
    <w:rsid w:val="007C1A23"/>
    <w:rsid w:val="007C1AA7"/>
    <w:rsid w:val="007C2119"/>
    <w:rsid w:val="007C2499"/>
    <w:rsid w:val="007C24B4"/>
    <w:rsid w:val="007C26D5"/>
    <w:rsid w:val="007C4A64"/>
    <w:rsid w:val="007C5FA2"/>
    <w:rsid w:val="007C6574"/>
    <w:rsid w:val="007C6635"/>
    <w:rsid w:val="007C7551"/>
    <w:rsid w:val="007D1124"/>
    <w:rsid w:val="007D2A0E"/>
    <w:rsid w:val="007D2CD3"/>
    <w:rsid w:val="007D2DD6"/>
    <w:rsid w:val="007D4062"/>
    <w:rsid w:val="007D42B0"/>
    <w:rsid w:val="007D4334"/>
    <w:rsid w:val="007D469E"/>
    <w:rsid w:val="007D522F"/>
    <w:rsid w:val="007D5329"/>
    <w:rsid w:val="007D5E57"/>
    <w:rsid w:val="007D6AB8"/>
    <w:rsid w:val="007D6FAE"/>
    <w:rsid w:val="007D7038"/>
    <w:rsid w:val="007D75D0"/>
    <w:rsid w:val="007D75ED"/>
    <w:rsid w:val="007D7DE3"/>
    <w:rsid w:val="007E0051"/>
    <w:rsid w:val="007E00DC"/>
    <w:rsid w:val="007E020B"/>
    <w:rsid w:val="007E10FF"/>
    <w:rsid w:val="007E1104"/>
    <w:rsid w:val="007E2158"/>
    <w:rsid w:val="007E2260"/>
    <w:rsid w:val="007E2E32"/>
    <w:rsid w:val="007E36B0"/>
    <w:rsid w:val="007E4022"/>
    <w:rsid w:val="007E4A47"/>
    <w:rsid w:val="007E4FC0"/>
    <w:rsid w:val="007E516A"/>
    <w:rsid w:val="007E570D"/>
    <w:rsid w:val="007E5838"/>
    <w:rsid w:val="007E60A0"/>
    <w:rsid w:val="007E68B8"/>
    <w:rsid w:val="007E745B"/>
    <w:rsid w:val="007F10E0"/>
    <w:rsid w:val="007F118D"/>
    <w:rsid w:val="007F19D7"/>
    <w:rsid w:val="007F1D03"/>
    <w:rsid w:val="007F2431"/>
    <w:rsid w:val="007F2821"/>
    <w:rsid w:val="007F282E"/>
    <w:rsid w:val="007F287A"/>
    <w:rsid w:val="007F2AF5"/>
    <w:rsid w:val="007F2D79"/>
    <w:rsid w:val="007F44E1"/>
    <w:rsid w:val="007F4769"/>
    <w:rsid w:val="007F4B97"/>
    <w:rsid w:val="007F5EE7"/>
    <w:rsid w:val="007F6A5A"/>
    <w:rsid w:val="007F6EB5"/>
    <w:rsid w:val="007F6FED"/>
    <w:rsid w:val="007F746D"/>
    <w:rsid w:val="007F77E4"/>
    <w:rsid w:val="007F7904"/>
    <w:rsid w:val="007F7964"/>
    <w:rsid w:val="008007D9"/>
    <w:rsid w:val="00803105"/>
    <w:rsid w:val="008038D1"/>
    <w:rsid w:val="00804732"/>
    <w:rsid w:val="00804D49"/>
    <w:rsid w:val="00804DB0"/>
    <w:rsid w:val="00804E26"/>
    <w:rsid w:val="00805A33"/>
    <w:rsid w:val="0080625E"/>
    <w:rsid w:val="00806314"/>
    <w:rsid w:val="008067F0"/>
    <w:rsid w:val="00806866"/>
    <w:rsid w:val="008074E0"/>
    <w:rsid w:val="00810E56"/>
    <w:rsid w:val="00812058"/>
    <w:rsid w:val="00813087"/>
    <w:rsid w:val="008135FB"/>
    <w:rsid w:val="008138F7"/>
    <w:rsid w:val="00813951"/>
    <w:rsid w:val="00813C06"/>
    <w:rsid w:val="00813F8B"/>
    <w:rsid w:val="00814590"/>
    <w:rsid w:val="0081492C"/>
    <w:rsid w:val="00815512"/>
    <w:rsid w:val="00816B1C"/>
    <w:rsid w:val="00816E01"/>
    <w:rsid w:val="0081798F"/>
    <w:rsid w:val="00820EEB"/>
    <w:rsid w:val="00820EF8"/>
    <w:rsid w:val="00821D32"/>
    <w:rsid w:val="00821FD9"/>
    <w:rsid w:val="008222BE"/>
    <w:rsid w:val="00822B83"/>
    <w:rsid w:val="00822BCF"/>
    <w:rsid w:val="008234BE"/>
    <w:rsid w:val="00823C5F"/>
    <w:rsid w:val="00824B02"/>
    <w:rsid w:val="0082613C"/>
    <w:rsid w:val="00826F29"/>
    <w:rsid w:val="00827D47"/>
    <w:rsid w:val="008300FD"/>
    <w:rsid w:val="00830F5D"/>
    <w:rsid w:val="008310D3"/>
    <w:rsid w:val="0083115B"/>
    <w:rsid w:val="0083122F"/>
    <w:rsid w:val="0083151A"/>
    <w:rsid w:val="00831B9B"/>
    <w:rsid w:val="00831E9B"/>
    <w:rsid w:val="0083240C"/>
    <w:rsid w:val="00832491"/>
    <w:rsid w:val="00832530"/>
    <w:rsid w:val="008335C3"/>
    <w:rsid w:val="008338B5"/>
    <w:rsid w:val="00833922"/>
    <w:rsid w:val="00833E73"/>
    <w:rsid w:val="00834499"/>
    <w:rsid w:val="00834520"/>
    <w:rsid w:val="00835C05"/>
    <w:rsid w:val="008371A2"/>
    <w:rsid w:val="0083752C"/>
    <w:rsid w:val="00840371"/>
    <w:rsid w:val="0084141C"/>
    <w:rsid w:val="008415DA"/>
    <w:rsid w:val="008416A3"/>
    <w:rsid w:val="0084189F"/>
    <w:rsid w:val="0084219D"/>
    <w:rsid w:val="0084321A"/>
    <w:rsid w:val="0084339B"/>
    <w:rsid w:val="00844EBA"/>
    <w:rsid w:val="00845079"/>
    <w:rsid w:val="00845301"/>
    <w:rsid w:val="0084561B"/>
    <w:rsid w:val="00845960"/>
    <w:rsid w:val="008468C9"/>
    <w:rsid w:val="00847557"/>
    <w:rsid w:val="00850624"/>
    <w:rsid w:val="00850C87"/>
    <w:rsid w:val="008512E7"/>
    <w:rsid w:val="008514F1"/>
    <w:rsid w:val="00851AFB"/>
    <w:rsid w:val="00851D91"/>
    <w:rsid w:val="008524E7"/>
    <w:rsid w:val="00852806"/>
    <w:rsid w:val="00852846"/>
    <w:rsid w:val="00854856"/>
    <w:rsid w:val="008549CD"/>
    <w:rsid w:val="0085505C"/>
    <w:rsid w:val="008559EF"/>
    <w:rsid w:val="00856273"/>
    <w:rsid w:val="008573A8"/>
    <w:rsid w:val="00857D67"/>
    <w:rsid w:val="00857ECB"/>
    <w:rsid w:val="008607F8"/>
    <w:rsid w:val="00861397"/>
    <w:rsid w:val="00861973"/>
    <w:rsid w:val="008619CD"/>
    <w:rsid w:val="00861A28"/>
    <w:rsid w:val="00861A4C"/>
    <w:rsid w:val="00861A73"/>
    <w:rsid w:val="00861EBE"/>
    <w:rsid w:val="008627FF"/>
    <w:rsid w:val="00863C7C"/>
    <w:rsid w:val="00863D85"/>
    <w:rsid w:val="00863F5A"/>
    <w:rsid w:val="008642DD"/>
    <w:rsid w:val="00864318"/>
    <w:rsid w:val="0086496C"/>
    <w:rsid w:val="00865208"/>
    <w:rsid w:val="00865F07"/>
    <w:rsid w:val="008661CC"/>
    <w:rsid w:val="008662A7"/>
    <w:rsid w:val="00867483"/>
    <w:rsid w:val="008675C5"/>
    <w:rsid w:val="0087022C"/>
    <w:rsid w:val="0087102A"/>
    <w:rsid w:val="008728E5"/>
    <w:rsid w:val="00873C32"/>
    <w:rsid w:val="0087405A"/>
    <w:rsid w:val="008745A4"/>
    <w:rsid w:val="008752ED"/>
    <w:rsid w:val="008762DD"/>
    <w:rsid w:val="00876303"/>
    <w:rsid w:val="00877686"/>
    <w:rsid w:val="00877B01"/>
    <w:rsid w:val="00877E08"/>
    <w:rsid w:val="008806C6"/>
    <w:rsid w:val="0088097E"/>
    <w:rsid w:val="00880A1E"/>
    <w:rsid w:val="00882204"/>
    <w:rsid w:val="00882B3D"/>
    <w:rsid w:val="00882D1F"/>
    <w:rsid w:val="00883F90"/>
    <w:rsid w:val="0088438B"/>
    <w:rsid w:val="00886679"/>
    <w:rsid w:val="00886B47"/>
    <w:rsid w:val="0088770C"/>
    <w:rsid w:val="00887AE8"/>
    <w:rsid w:val="00890467"/>
    <w:rsid w:val="008907BD"/>
    <w:rsid w:val="00890F8D"/>
    <w:rsid w:val="00891285"/>
    <w:rsid w:val="00891958"/>
    <w:rsid w:val="00891E34"/>
    <w:rsid w:val="008928FE"/>
    <w:rsid w:val="0089293A"/>
    <w:rsid w:val="00892BAB"/>
    <w:rsid w:val="00892C92"/>
    <w:rsid w:val="00892E4C"/>
    <w:rsid w:val="00892F9F"/>
    <w:rsid w:val="0089326D"/>
    <w:rsid w:val="0089420D"/>
    <w:rsid w:val="00894407"/>
    <w:rsid w:val="008946F7"/>
    <w:rsid w:val="00894783"/>
    <w:rsid w:val="00894D6F"/>
    <w:rsid w:val="0089619B"/>
    <w:rsid w:val="00896B70"/>
    <w:rsid w:val="00896BA3"/>
    <w:rsid w:val="0089709D"/>
    <w:rsid w:val="008978C8"/>
    <w:rsid w:val="00897917"/>
    <w:rsid w:val="008A08F8"/>
    <w:rsid w:val="008A0B74"/>
    <w:rsid w:val="008A0EFC"/>
    <w:rsid w:val="008A1144"/>
    <w:rsid w:val="008A17A6"/>
    <w:rsid w:val="008A1AA2"/>
    <w:rsid w:val="008A1AE4"/>
    <w:rsid w:val="008A1C56"/>
    <w:rsid w:val="008A231F"/>
    <w:rsid w:val="008A23E2"/>
    <w:rsid w:val="008A257D"/>
    <w:rsid w:val="008A27D4"/>
    <w:rsid w:val="008A3000"/>
    <w:rsid w:val="008A3A67"/>
    <w:rsid w:val="008A3A78"/>
    <w:rsid w:val="008A4086"/>
    <w:rsid w:val="008A42E6"/>
    <w:rsid w:val="008A4902"/>
    <w:rsid w:val="008A7950"/>
    <w:rsid w:val="008B03E2"/>
    <w:rsid w:val="008B05C5"/>
    <w:rsid w:val="008B0824"/>
    <w:rsid w:val="008B0EC4"/>
    <w:rsid w:val="008B410D"/>
    <w:rsid w:val="008B5E05"/>
    <w:rsid w:val="008B7345"/>
    <w:rsid w:val="008B7C63"/>
    <w:rsid w:val="008B7DAD"/>
    <w:rsid w:val="008C0007"/>
    <w:rsid w:val="008C0349"/>
    <w:rsid w:val="008C0FDD"/>
    <w:rsid w:val="008C104F"/>
    <w:rsid w:val="008C12EA"/>
    <w:rsid w:val="008C16F4"/>
    <w:rsid w:val="008C34FC"/>
    <w:rsid w:val="008C387F"/>
    <w:rsid w:val="008C44CE"/>
    <w:rsid w:val="008C4A0E"/>
    <w:rsid w:val="008C5288"/>
    <w:rsid w:val="008C59C7"/>
    <w:rsid w:val="008C5CCC"/>
    <w:rsid w:val="008C5F47"/>
    <w:rsid w:val="008C5FE6"/>
    <w:rsid w:val="008C6326"/>
    <w:rsid w:val="008C6530"/>
    <w:rsid w:val="008D00ED"/>
    <w:rsid w:val="008D0A63"/>
    <w:rsid w:val="008D2B29"/>
    <w:rsid w:val="008D2CB1"/>
    <w:rsid w:val="008D2F94"/>
    <w:rsid w:val="008D305C"/>
    <w:rsid w:val="008D34D5"/>
    <w:rsid w:val="008D3D28"/>
    <w:rsid w:val="008D48A5"/>
    <w:rsid w:val="008D4A67"/>
    <w:rsid w:val="008D4FBB"/>
    <w:rsid w:val="008D5339"/>
    <w:rsid w:val="008D6B16"/>
    <w:rsid w:val="008D724F"/>
    <w:rsid w:val="008D7A9D"/>
    <w:rsid w:val="008E0974"/>
    <w:rsid w:val="008E0EAE"/>
    <w:rsid w:val="008E1130"/>
    <w:rsid w:val="008E1B2C"/>
    <w:rsid w:val="008E2259"/>
    <w:rsid w:val="008E2502"/>
    <w:rsid w:val="008E2F09"/>
    <w:rsid w:val="008E36C4"/>
    <w:rsid w:val="008E3F72"/>
    <w:rsid w:val="008E431C"/>
    <w:rsid w:val="008E4B9D"/>
    <w:rsid w:val="008E4FE7"/>
    <w:rsid w:val="008E50E6"/>
    <w:rsid w:val="008E5547"/>
    <w:rsid w:val="008E5E69"/>
    <w:rsid w:val="008E6D54"/>
    <w:rsid w:val="008E6E39"/>
    <w:rsid w:val="008E7502"/>
    <w:rsid w:val="008E78E5"/>
    <w:rsid w:val="008E796B"/>
    <w:rsid w:val="008E7BEE"/>
    <w:rsid w:val="008F08A8"/>
    <w:rsid w:val="008F1998"/>
    <w:rsid w:val="008F22BF"/>
    <w:rsid w:val="008F4B9A"/>
    <w:rsid w:val="008F4D79"/>
    <w:rsid w:val="008F5DA9"/>
    <w:rsid w:val="008F686D"/>
    <w:rsid w:val="008F6892"/>
    <w:rsid w:val="008F6985"/>
    <w:rsid w:val="008F7066"/>
    <w:rsid w:val="008F77FD"/>
    <w:rsid w:val="008F7995"/>
    <w:rsid w:val="008F7E88"/>
    <w:rsid w:val="00900904"/>
    <w:rsid w:val="0090128F"/>
    <w:rsid w:val="00901C97"/>
    <w:rsid w:val="00902526"/>
    <w:rsid w:val="00903358"/>
    <w:rsid w:val="00903819"/>
    <w:rsid w:val="0090418D"/>
    <w:rsid w:val="00904ACB"/>
    <w:rsid w:val="00905120"/>
    <w:rsid w:val="0090513D"/>
    <w:rsid w:val="00905269"/>
    <w:rsid w:val="00905419"/>
    <w:rsid w:val="00905AD6"/>
    <w:rsid w:val="00905E82"/>
    <w:rsid w:val="00906027"/>
    <w:rsid w:val="009074E0"/>
    <w:rsid w:val="00907506"/>
    <w:rsid w:val="00907812"/>
    <w:rsid w:val="0090781A"/>
    <w:rsid w:val="0091002E"/>
    <w:rsid w:val="0091052A"/>
    <w:rsid w:val="00910F16"/>
    <w:rsid w:val="00911898"/>
    <w:rsid w:val="00911A93"/>
    <w:rsid w:val="00913861"/>
    <w:rsid w:val="009138E2"/>
    <w:rsid w:val="00913B86"/>
    <w:rsid w:val="009141E4"/>
    <w:rsid w:val="00914222"/>
    <w:rsid w:val="00914574"/>
    <w:rsid w:val="0091462C"/>
    <w:rsid w:val="00914B53"/>
    <w:rsid w:val="009156EF"/>
    <w:rsid w:val="00916008"/>
    <w:rsid w:val="00916343"/>
    <w:rsid w:val="00916766"/>
    <w:rsid w:val="00917A60"/>
    <w:rsid w:val="00920921"/>
    <w:rsid w:val="00920B77"/>
    <w:rsid w:val="00921364"/>
    <w:rsid w:val="00921983"/>
    <w:rsid w:val="00921A0C"/>
    <w:rsid w:val="00921D2A"/>
    <w:rsid w:val="0092258F"/>
    <w:rsid w:val="00922C91"/>
    <w:rsid w:val="00923889"/>
    <w:rsid w:val="00924A74"/>
    <w:rsid w:val="009251C8"/>
    <w:rsid w:val="00925C46"/>
    <w:rsid w:val="00926120"/>
    <w:rsid w:val="00926798"/>
    <w:rsid w:val="00927636"/>
    <w:rsid w:val="0092798F"/>
    <w:rsid w:val="00927D56"/>
    <w:rsid w:val="00927DBA"/>
    <w:rsid w:val="00930250"/>
    <w:rsid w:val="009304D1"/>
    <w:rsid w:val="00930E61"/>
    <w:rsid w:val="00931503"/>
    <w:rsid w:val="009319F8"/>
    <w:rsid w:val="00931EC4"/>
    <w:rsid w:val="009321ED"/>
    <w:rsid w:val="00932B66"/>
    <w:rsid w:val="009331B1"/>
    <w:rsid w:val="0093329B"/>
    <w:rsid w:val="00934410"/>
    <w:rsid w:val="009362E3"/>
    <w:rsid w:val="0093696D"/>
    <w:rsid w:val="0094121F"/>
    <w:rsid w:val="0094156E"/>
    <w:rsid w:val="00941CF5"/>
    <w:rsid w:val="00942786"/>
    <w:rsid w:val="0094398F"/>
    <w:rsid w:val="00943A9A"/>
    <w:rsid w:val="00945187"/>
    <w:rsid w:val="00945C2F"/>
    <w:rsid w:val="00946A15"/>
    <w:rsid w:val="00946C16"/>
    <w:rsid w:val="00947008"/>
    <w:rsid w:val="00947EBD"/>
    <w:rsid w:val="0095050F"/>
    <w:rsid w:val="00951B2D"/>
    <w:rsid w:val="00951CCB"/>
    <w:rsid w:val="009520B1"/>
    <w:rsid w:val="0095278B"/>
    <w:rsid w:val="0095481B"/>
    <w:rsid w:val="00954E42"/>
    <w:rsid w:val="00955C76"/>
    <w:rsid w:val="00955CA3"/>
    <w:rsid w:val="00956D16"/>
    <w:rsid w:val="00956E3F"/>
    <w:rsid w:val="0095754A"/>
    <w:rsid w:val="0095755B"/>
    <w:rsid w:val="009578E4"/>
    <w:rsid w:val="00960B5B"/>
    <w:rsid w:val="00961BB3"/>
    <w:rsid w:val="00961D12"/>
    <w:rsid w:val="00961E8D"/>
    <w:rsid w:val="009620AC"/>
    <w:rsid w:val="009630BF"/>
    <w:rsid w:val="009635EF"/>
    <w:rsid w:val="00963A3D"/>
    <w:rsid w:val="009655B2"/>
    <w:rsid w:val="00965B7D"/>
    <w:rsid w:val="00966792"/>
    <w:rsid w:val="00967456"/>
    <w:rsid w:val="00967869"/>
    <w:rsid w:val="0097036E"/>
    <w:rsid w:val="00970507"/>
    <w:rsid w:val="00970EA1"/>
    <w:rsid w:val="00971010"/>
    <w:rsid w:val="00971024"/>
    <w:rsid w:val="00971378"/>
    <w:rsid w:val="009714BD"/>
    <w:rsid w:val="00971DB8"/>
    <w:rsid w:val="00972779"/>
    <w:rsid w:val="00973011"/>
    <w:rsid w:val="0097330C"/>
    <w:rsid w:val="0097412F"/>
    <w:rsid w:val="00974980"/>
    <w:rsid w:val="009753FC"/>
    <w:rsid w:val="00975515"/>
    <w:rsid w:val="009762CF"/>
    <w:rsid w:val="00976EA2"/>
    <w:rsid w:val="00980E6E"/>
    <w:rsid w:val="00981CA5"/>
    <w:rsid w:val="00981CD9"/>
    <w:rsid w:val="00981E90"/>
    <w:rsid w:val="00982264"/>
    <w:rsid w:val="00982BDC"/>
    <w:rsid w:val="00983FB9"/>
    <w:rsid w:val="009848EF"/>
    <w:rsid w:val="00984918"/>
    <w:rsid w:val="009849C2"/>
    <w:rsid w:val="00984E84"/>
    <w:rsid w:val="0098514A"/>
    <w:rsid w:val="009852FA"/>
    <w:rsid w:val="00985362"/>
    <w:rsid w:val="00986835"/>
    <w:rsid w:val="00986BA4"/>
    <w:rsid w:val="00986D0F"/>
    <w:rsid w:val="0098734A"/>
    <w:rsid w:val="00987BE2"/>
    <w:rsid w:val="0099035E"/>
    <w:rsid w:val="009905FD"/>
    <w:rsid w:val="0099150E"/>
    <w:rsid w:val="00991AF9"/>
    <w:rsid w:val="00991B2B"/>
    <w:rsid w:val="00992F34"/>
    <w:rsid w:val="0099300D"/>
    <w:rsid w:val="009935F3"/>
    <w:rsid w:val="0099367C"/>
    <w:rsid w:val="00993D53"/>
    <w:rsid w:val="00993E38"/>
    <w:rsid w:val="00993EAA"/>
    <w:rsid w:val="00993EBE"/>
    <w:rsid w:val="00994071"/>
    <w:rsid w:val="00994281"/>
    <w:rsid w:val="0099589F"/>
    <w:rsid w:val="00995D51"/>
    <w:rsid w:val="0099646A"/>
    <w:rsid w:val="00996BFB"/>
    <w:rsid w:val="00997813"/>
    <w:rsid w:val="009A109F"/>
    <w:rsid w:val="009A1109"/>
    <w:rsid w:val="009A2148"/>
    <w:rsid w:val="009A292E"/>
    <w:rsid w:val="009A46EE"/>
    <w:rsid w:val="009A61D6"/>
    <w:rsid w:val="009A6C1A"/>
    <w:rsid w:val="009A7C43"/>
    <w:rsid w:val="009A7E12"/>
    <w:rsid w:val="009A7E16"/>
    <w:rsid w:val="009B07AF"/>
    <w:rsid w:val="009B0B54"/>
    <w:rsid w:val="009B18A3"/>
    <w:rsid w:val="009B1D36"/>
    <w:rsid w:val="009B205B"/>
    <w:rsid w:val="009B22EC"/>
    <w:rsid w:val="009B2998"/>
    <w:rsid w:val="009B2A8B"/>
    <w:rsid w:val="009B2D99"/>
    <w:rsid w:val="009B3DDE"/>
    <w:rsid w:val="009B42EE"/>
    <w:rsid w:val="009B4BB3"/>
    <w:rsid w:val="009B5FC6"/>
    <w:rsid w:val="009B6694"/>
    <w:rsid w:val="009B6962"/>
    <w:rsid w:val="009B72F5"/>
    <w:rsid w:val="009C09C9"/>
    <w:rsid w:val="009C0E09"/>
    <w:rsid w:val="009C18B7"/>
    <w:rsid w:val="009C2142"/>
    <w:rsid w:val="009C2302"/>
    <w:rsid w:val="009C29A5"/>
    <w:rsid w:val="009C2D85"/>
    <w:rsid w:val="009C3869"/>
    <w:rsid w:val="009C3920"/>
    <w:rsid w:val="009C49E6"/>
    <w:rsid w:val="009C4A45"/>
    <w:rsid w:val="009C5A6A"/>
    <w:rsid w:val="009C6125"/>
    <w:rsid w:val="009C625D"/>
    <w:rsid w:val="009C6271"/>
    <w:rsid w:val="009C6EFB"/>
    <w:rsid w:val="009C751D"/>
    <w:rsid w:val="009C775F"/>
    <w:rsid w:val="009C7D0F"/>
    <w:rsid w:val="009D0DCE"/>
    <w:rsid w:val="009D2006"/>
    <w:rsid w:val="009D265B"/>
    <w:rsid w:val="009D2B7D"/>
    <w:rsid w:val="009D2FC3"/>
    <w:rsid w:val="009D3785"/>
    <w:rsid w:val="009D398D"/>
    <w:rsid w:val="009D4745"/>
    <w:rsid w:val="009D4BEE"/>
    <w:rsid w:val="009D65FB"/>
    <w:rsid w:val="009D6806"/>
    <w:rsid w:val="009D688D"/>
    <w:rsid w:val="009D705A"/>
    <w:rsid w:val="009E0BD0"/>
    <w:rsid w:val="009E13C3"/>
    <w:rsid w:val="009E232C"/>
    <w:rsid w:val="009E2504"/>
    <w:rsid w:val="009E2628"/>
    <w:rsid w:val="009E2C5D"/>
    <w:rsid w:val="009E3647"/>
    <w:rsid w:val="009E3B36"/>
    <w:rsid w:val="009E4E97"/>
    <w:rsid w:val="009E5BA7"/>
    <w:rsid w:val="009E6197"/>
    <w:rsid w:val="009E71FC"/>
    <w:rsid w:val="009E7870"/>
    <w:rsid w:val="009E7AB0"/>
    <w:rsid w:val="009E7C3A"/>
    <w:rsid w:val="009E7E64"/>
    <w:rsid w:val="009F1112"/>
    <w:rsid w:val="009F1F04"/>
    <w:rsid w:val="009F260A"/>
    <w:rsid w:val="009F30C8"/>
    <w:rsid w:val="009F3B64"/>
    <w:rsid w:val="009F41C3"/>
    <w:rsid w:val="009F5394"/>
    <w:rsid w:val="009F6A56"/>
    <w:rsid w:val="009F6CBE"/>
    <w:rsid w:val="009F6D66"/>
    <w:rsid w:val="009F7003"/>
    <w:rsid w:val="009F7889"/>
    <w:rsid w:val="009F7934"/>
    <w:rsid w:val="00A0004C"/>
    <w:rsid w:val="00A008BF"/>
    <w:rsid w:val="00A01437"/>
    <w:rsid w:val="00A0239E"/>
    <w:rsid w:val="00A0353A"/>
    <w:rsid w:val="00A03B5A"/>
    <w:rsid w:val="00A040EF"/>
    <w:rsid w:val="00A04694"/>
    <w:rsid w:val="00A04B9A"/>
    <w:rsid w:val="00A05461"/>
    <w:rsid w:val="00A055C1"/>
    <w:rsid w:val="00A05D17"/>
    <w:rsid w:val="00A05FF4"/>
    <w:rsid w:val="00A06044"/>
    <w:rsid w:val="00A06E2D"/>
    <w:rsid w:val="00A07169"/>
    <w:rsid w:val="00A07423"/>
    <w:rsid w:val="00A10619"/>
    <w:rsid w:val="00A133F1"/>
    <w:rsid w:val="00A13E3F"/>
    <w:rsid w:val="00A14049"/>
    <w:rsid w:val="00A14276"/>
    <w:rsid w:val="00A149FF"/>
    <w:rsid w:val="00A15C4D"/>
    <w:rsid w:val="00A16150"/>
    <w:rsid w:val="00A164FD"/>
    <w:rsid w:val="00A167B7"/>
    <w:rsid w:val="00A2018E"/>
    <w:rsid w:val="00A2028A"/>
    <w:rsid w:val="00A21218"/>
    <w:rsid w:val="00A2243F"/>
    <w:rsid w:val="00A225DC"/>
    <w:rsid w:val="00A23916"/>
    <w:rsid w:val="00A23EDF"/>
    <w:rsid w:val="00A2423A"/>
    <w:rsid w:val="00A244C6"/>
    <w:rsid w:val="00A24CAD"/>
    <w:rsid w:val="00A25F5A"/>
    <w:rsid w:val="00A267E4"/>
    <w:rsid w:val="00A27139"/>
    <w:rsid w:val="00A27783"/>
    <w:rsid w:val="00A3093F"/>
    <w:rsid w:val="00A31060"/>
    <w:rsid w:val="00A31114"/>
    <w:rsid w:val="00A31CAE"/>
    <w:rsid w:val="00A31CFE"/>
    <w:rsid w:val="00A31E9D"/>
    <w:rsid w:val="00A3264D"/>
    <w:rsid w:val="00A32EC6"/>
    <w:rsid w:val="00A32FB7"/>
    <w:rsid w:val="00A341F3"/>
    <w:rsid w:val="00A35F58"/>
    <w:rsid w:val="00A36A42"/>
    <w:rsid w:val="00A379D0"/>
    <w:rsid w:val="00A4004F"/>
    <w:rsid w:val="00A40B0C"/>
    <w:rsid w:val="00A40B69"/>
    <w:rsid w:val="00A4138A"/>
    <w:rsid w:val="00A41C14"/>
    <w:rsid w:val="00A41ECD"/>
    <w:rsid w:val="00A42ADC"/>
    <w:rsid w:val="00A431ED"/>
    <w:rsid w:val="00A439F6"/>
    <w:rsid w:val="00A43ECE"/>
    <w:rsid w:val="00A442BD"/>
    <w:rsid w:val="00A4430C"/>
    <w:rsid w:val="00A45430"/>
    <w:rsid w:val="00A4660D"/>
    <w:rsid w:val="00A473EB"/>
    <w:rsid w:val="00A47485"/>
    <w:rsid w:val="00A5060D"/>
    <w:rsid w:val="00A50D71"/>
    <w:rsid w:val="00A51BEC"/>
    <w:rsid w:val="00A5234C"/>
    <w:rsid w:val="00A52ACC"/>
    <w:rsid w:val="00A53497"/>
    <w:rsid w:val="00A53F95"/>
    <w:rsid w:val="00A53FCC"/>
    <w:rsid w:val="00A54070"/>
    <w:rsid w:val="00A54148"/>
    <w:rsid w:val="00A543CE"/>
    <w:rsid w:val="00A54448"/>
    <w:rsid w:val="00A54475"/>
    <w:rsid w:val="00A55967"/>
    <w:rsid w:val="00A55B06"/>
    <w:rsid w:val="00A56850"/>
    <w:rsid w:val="00A57C51"/>
    <w:rsid w:val="00A609C8"/>
    <w:rsid w:val="00A60C75"/>
    <w:rsid w:val="00A611CE"/>
    <w:rsid w:val="00A61338"/>
    <w:rsid w:val="00A629A4"/>
    <w:rsid w:val="00A62BF4"/>
    <w:rsid w:val="00A62FC9"/>
    <w:rsid w:val="00A63B6C"/>
    <w:rsid w:val="00A648AE"/>
    <w:rsid w:val="00A64BC9"/>
    <w:rsid w:val="00A658C2"/>
    <w:rsid w:val="00A675F7"/>
    <w:rsid w:val="00A67F5D"/>
    <w:rsid w:val="00A70FAD"/>
    <w:rsid w:val="00A71604"/>
    <w:rsid w:val="00A7289F"/>
    <w:rsid w:val="00A72A2F"/>
    <w:rsid w:val="00A741DC"/>
    <w:rsid w:val="00A7460D"/>
    <w:rsid w:val="00A74DC9"/>
    <w:rsid w:val="00A76408"/>
    <w:rsid w:val="00A76444"/>
    <w:rsid w:val="00A76880"/>
    <w:rsid w:val="00A77061"/>
    <w:rsid w:val="00A81883"/>
    <w:rsid w:val="00A8204D"/>
    <w:rsid w:val="00A8245A"/>
    <w:rsid w:val="00A82C7C"/>
    <w:rsid w:val="00A82CE6"/>
    <w:rsid w:val="00A82D07"/>
    <w:rsid w:val="00A8300D"/>
    <w:rsid w:val="00A836DB"/>
    <w:rsid w:val="00A83A1F"/>
    <w:rsid w:val="00A83EAD"/>
    <w:rsid w:val="00A84955"/>
    <w:rsid w:val="00A851D0"/>
    <w:rsid w:val="00A853D4"/>
    <w:rsid w:val="00A856B3"/>
    <w:rsid w:val="00A869D9"/>
    <w:rsid w:val="00A8704B"/>
    <w:rsid w:val="00A8757D"/>
    <w:rsid w:val="00A9028C"/>
    <w:rsid w:val="00A9048D"/>
    <w:rsid w:val="00A904CE"/>
    <w:rsid w:val="00A904D2"/>
    <w:rsid w:val="00A90D6E"/>
    <w:rsid w:val="00A90F6F"/>
    <w:rsid w:val="00A918E3"/>
    <w:rsid w:val="00A91FCD"/>
    <w:rsid w:val="00A922CA"/>
    <w:rsid w:val="00A92EF1"/>
    <w:rsid w:val="00A9438D"/>
    <w:rsid w:val="00A9519D"/>
    <w:rsid w:val="00A9584A"/>
    <w:rsid w:val="00A96DD7"/>
    <w:rsid w:val="00A9734F"/>
    <w:rsid w:val="00A97967"/>
    <w:rsid w:val="00A97D7D"/>
    <w:rsid w:val="00AA136E"/>
    <w:rsid w:val="00AA228C"/>
    <w:rsid w:val="00AA2304"/>
    <w:rsid w:val="00AA2EAF"/>
    <w:rsid w:val="00AA2F84"/>
    <w:rsid w:val="00AA37F6"/>
    <w:rsid w:val="00AA3948"/>
    <w:rsid w:val="00AA3CD8"/>
    <w:rsid w:val="00AA400E"/>
    <w:rsid w:val="00AA40F3"/>
    <w:rsid w:val="00AA492F"/>
    <w:rsid w:val="00AA4FC9"/>
    <w:rsid w:val="00AA5F73"/>
    <w:rsid w:val="00AA619A"/>
    <w:rsid w:val="00AA69ED"/>
    <w:rsid w:val="00AA72EF"/>
    <w:rsid w:val="00AA7582"/>
    <w:rsid w:val="00AB02F1"/>
    <w:rsid w:val="00AB13C3"/>
    <w:rsid w:val="00AB1462"/>
    <w:rsid w:val="00AB271D"/>
    <w:rsid w:val="00AB30C7"/>
    <w:rsid w:val="00AB493A"/>
    <w:rsid w:val="00AB7060"/>
    <w:rsid w:val="00AB7176"/>
    <w:rsid w:val="00AB7C47"/>
    <w:rsid w:val="00AC0B1D"/>
    <w:rsid w:val="00AC10B1"/>
    <w:rsid w:val="00AC150B"/>
    <w:rsid w:val="00AC1DB2"/>
    <w:rsid w:val="00AC22D5"/>
    <w:rsid w:val="00AC2B73"/>
    <w:rsid w:val="00AC389F"/>
    <w:rsid w:val="00AC3C0F"/>
    <w:rsid w:val="00AC3E9C"/>
    <w:rsid w:val="00AC402A"/>
    <w:rsid w:val="00AC4044"/>
    <w:rsid w:val="00AC460A"/>
    <w:rsid w:val="00AC4DFF"/>
    <w:rsid w:val="00AC5141"/>
    <w:rsid w:val="00AC559D"/>
    <w:rsid w:val="00AC62CE"/>
    <w:rsid w:val="00AC69AA"/>
    <w:rsid w:val="00AC72F2"/>
    <w:rsid w:val="00AC75D1"/>
    <w:rsid w:val="00AD0948"/>
    <w:rsid w:val="00AD0C8A"/>
    <w:rsid w:val="00AD1491"/>
    <w:rsid w:val="00AD1D8C"/>
    <w:rsid w:val="00AD1F78"/>
    <w:rsid w:val="00AD2662"/>
    <w:rsid w:val="00AD3A57"/>
    <w:rsid w:val="00AD4B55"/>
    <w:rsid w:val="00AD4E16"/>
    <w:rsid w:val="00AD6166"/>
    <w:rsid w:val="00AD61F9"/>
    <w:rsid w:val="00AD67A9"/>
    <w:rsid w:val="00AD6C7F"/>
    <w:rsid w:val="00AD74DD"/>
    <w:rsid w:val="00AE0522"/>
    <w:rsid w:val="00AE16EC"/>
    <w:rsid w:val="00AE1F77"/>
    <w:rsid w:val="00AE248A"/>
    <w:rsid w:val="00AE3072"/>
    <w:rsid w:val="00AE3BF7"/>
    <w:rsid w:val="00AE4142"/>
    <w:rsid w:val="00AE4415"/>
    <w:rsid w:val="00AE458A"/>
    <w:rsid w:val="00AE4D6D"/>
    <w:rsid w:val="00AE4DF8"/>
    <w:rsid w:val="00AE4FE6"/>
    <w:rsid w:val="00AE63AE"/>
    <w:rsid w:val="00AE6937"/>
    <w:rsid w:val="00AE7048"/>
    <w:rsid w:val="00AE70AC"/>
    <w:rsid w:val="00AE7922"/>
    <w:rsid w:val="00AE7B17"/>
    <w:rsid w:val="00AE7FE8"/>
    <w:rsid w:val="00AF02DB"/>
    <w:rsid w:val="00AF03FB"/>
    <w:rsid w:val="00AF2775"/>
    <w:rsid w:val="00AF2962"/>
    <w:rsid w:val="00AF2E7F"/>
    <w:rsid w:val="00AF30FE"/>
    <w:rsid w:val="00AF3206"/>
    <w:rsid w:val="00AF3AB8"/>
    <w:rsid w:val="00AF3D45"/>
    <w:rsid w:val="00AF3EE9"/>
    <w:rsid w:val="00AF4D73"/>
    <w:rsid w:val="00AF52AF"/>
    <w:rsid w:val="00AF5A7A"/>
    <w:rsid w:val="00AF6107"/>
    <w:rsid w:val="00AF6164"/>
    <w:rsid w:val="00AF6512"/>
    <w:rsid w:val="00AF662F"/>
    <w:rsid w:val="00AF6874"/>
    <w:rsid w:val="00B00319"/>
    <w:rsid w:val="00B007DE"/>
    <w:rsid w:val="00B01500"/>
    <w:rsid w:val="00B016C6"/>
    <w:rsid w:val="00B020A9"/>
    <w:rsid w:val="00B023CB"/>
    <w:rsid w:val="00B02A70"/>
    <w:rsid w:val="00B02C38"/>
    <w:rsid w:val="00B03181"/>
    <w:rsid w:val="00B032EC"/>
    <w:rsid w:val="00B0551E"/>
    <w:rsid w:val="00B05540"/>
    <w:rsid w:val="00B06C9C"/>
    <w:rsid w:val="00B07650"/>
    <w:rsid w:val="00B10272"/>
    <w:rsid w:val="00B10357"/>
    <w:rsid w:val="00B10C56"/>
    <w:rsid w:val="00B10C72"/>
    <w:rsid w:val="00B10D00"/>
    <w:rsid w:val="00B10DC2"/>
    <w:rsid w:val="00B112AC"/>
    <w:rsid w:val="00B11C26"/>
    <w:rsid w:val="00B11ED9"/>
    <w:rsid w:val="00B124A1"/>
    <w:rsid w:val="00B12C4B"/>
    <w:rsid w:val="00B133FF"/>
    <w:rsid w:val="00B144E2"/>
    <w:rsid w:val="00B14B38"/>
    <w:rsid w:val="00B15341"/>
    <w:rsid w:val="00B15501"/>
    <w:rsid w:val="00B16FC8"/>
    <w:rsid w:val="00B17E7D"/>
    <w:rsid w:val="00B17F65"/>
    <w:rsid w:val="00B20285"/>
    <w:rsid w:val="00B202D1"/>
    <w:rsid w:val="00B20F7B"/>
    <w:rsid w:val="00B21392"/>
    <w:rsid w:val="00B2228C"/>
    <w:rsid w:val="00B2289F"/>
    <w:rsid w:val="00B23BE0"/>
    <w:rsid w:val="00B24237"/>
    <w:rsid w:val="00B242AF"/>
    <w:rsid w:val="00B24548"/>
    <w:rsid w:val="00B24968"/>
    <w:rsid w:val="00B25183"/>
    <w:rsid w:val="00B26086"/>
    <w:rsid w:val="00B2687E"/>
    <w:rsid w:val="00B26D3F"/>
    <w:rsid w:val="00B26E2C"/>
    <w:rsid w:val="00B26ECF"/>
    <w:rsid w:val="00B271E4"/>
    <w:rsid w:val="00B27BD4"/>
    <w:rsid w:val="00B27E7E"/>
    <w:rsid w:val="00B301EB"/>
    <w:rsid w:val="00B30523"/>
    <w:rsid w:val="00B305F9"/>
    <w:rsid w:val="00B307CB"/>
    <w:rsid w:val="00B30AA5"/>
    <w:rsid w:val="00B30B52"/>
    <w:rsid w:val="00B30E68"/>
    <w:rsid w:val="00B30FAC"/>
    <w:rsid w:val="00B31094"/>
    <w:rsid w:val="00B3130A"/>
    <w:rsid w:val="00B3151A"/>
    <w:rsid w:val="00B31C33"/>
    <w:rsid w:val="00B31F51"/>
    <w:rsid w:val="00B31FB5"/>
    <w:rsid w:val="00B320CB"/>
    <w:rsid w:val="00B3250A"/>
    <w:rsid w:val="00B342A6"/>
    <w:rsid w:val="00B344E2"/>
    <w:rsid w:val="00B3503E"/>
    <w:rsid w:val="00B3508A"/>
    <w:rsid w:val="00B362D5"/>
    <w:rsid w:val="00B36559"/>
    <w:rsid w:val="00B36774"/>
    <w:rsid w:val="00B3686C"/>
    <w:rsid w:val="00B36FB1"/>
    <w:rsid w:val="00B3752D"/>
    <w:rsid w:val="00B375ED"/>
    <w:rsid w:val="00B401B5"/>
    <w:rsid w:val="00B4042D"/>
    <w:rsid w:val="00B416C4"/>
    <w:rsid w:val="00B4176C"/>
    <w:rsid w:val="00B42AE8"/>
    <w:rsid w:val="00B42F47"/>
    <w:rsid w:val="00B431E5"/>
    <w:rsid w:val="00B43567"/>
    <w:rsid w:val="00B4371A"/>
    <w:rsid w:val="00B43AD6"/>
    <w:rsid w:val="00B44530"/>
    <w:rsid w:val="00B44A85"/>
    <w:rsid w:val="00B459F9"/>
    <w:rsid w:val="00B4624E"/>
    <w:rsid w:val="00B4707E"/>
    <w:rsid w:val="00B47991"/>
    <w:rsid w:val="00B47A1D"/>
    <w:rsid w:val="00B47BAF"/>
    <w:rsid w:val="00B5060A"/>
    <w:rsid w:val="00B506BD"/>
    <w:rsid w:val="00B508A8"/>
    <w:rsid w:val="00B51645"/>
    <w:rsid w:val="00B521E0"/>
    <w:rsid w:val="00B52583"/>
    <w:rsid w:val="00B53881"/>
    <w:rsid w:val="00B55CFE"/>
    <w:rsid w:val="00B566DD"/>
    <w:rsid w:val="00B569DD"/>
    <w:rsid w:val="00B56ABA"/>
    <w:rsid w:val="00B572D9"/>
    <w:rsid w:val="00B60182"/>
    <w:rsid w:val="00B605F8"/>
    <w:rsid w:val="00B60694"/>
    <w:rsid w:val="00B610BA"/>
    <w:rsid w:val="00B613C0"/>
    <w:rsid w:val="00B61890"/>
    <w:rsid w:val="00B619BE"/>
    <w:rsid w:val="00B62ECE"/>
    <w:rsid w:val="00B64A17"/>
    <w:rsid w:val="00B65A44"/>
    <w:rsid w:val="00B65A76"/>
    <w:rsid w:val="00B65BDF"/>
    <w:rsid w:val="00B65F6D"/>
    <w:rsid w:val="00B65F7A"/>
    <w:rsid w:val="00B65FD7"/>
    <w:rsid w:val="00B6637E"/>
    <w:rsid w:val="00B666F9"/>
    <w:rsid w:val="00B66817"/>
    <w:rsid w:val="00B677F5"/>
    <w:rsid w:val="00B67BB7"/>
    <w:rsid w:val="00B70576"/>
    <w:rsid w:val="00B705A3"/>
    <w:rsid w:val="00B727C7"/>
    <w:rsid w:val="00B72D19"/>
    <w:rsid w:val="00B72FA6"/>
    <w:rsid w:val="00B732B3"/>
    <w:rsid w:val="00B73555"/>
    <w:rsid w:val="00B74C50"/>
    <w:rsid w:val="00B75D67"/>
    <w:rsid w:val="00B76785"/>
    <w:rsid w:val="00B77E4C"/>
    <w:rsid w:val="00B80289"/>
    <w:rsid w:val="00B805EC"/>
    <w:rsid w:val="00B80961"/>
    <w:rsid w:val="00B816E3"/>
    <w:rsid w:val="00B8187E"/>
    <w:rsid w:val="00B81C70"/>
    <w:rsid w:val="00B82057"/>
    <w:rsid w:val="00B82455"/>
    <w:rsid w:val="00B8292B"/>
    <w:rsid w:val="00B82BEF"/>
    <w:rsid w:val="00B82CF2"/>
    <w:rsid w:val="00B82F0C"/>
    <w:rsid w:val="00B83F21"/>
    <w:rsid w:val="00B84DD3"/>
    <w:rsid w:val="00B8542C"/>
    <w:rsid w:val="00B85604"/>
    <w:rsid w:val="00B85E16"/>
    <w:rsid w:val="00B86738"/>
    <w:rsid w:val="00B87402"/>
    <w:rsid w:val="00B90343"/>
    <w:rsid w:val="00B90D65"/>
    <w:rsid w:val="00B90F9E"/>
    <w:rsid w:val="00B9186E"/>
    <w:rsid w:val="00B91976"/>
    <w:rsid w:val="00B91A3D"/>
    <w:rsid w:val="00B92360"/>
    <w:rsid w:val="00B9288C"/>
    <w:rsid w:val="00B92894"/>
    <w:rsid w:val="00B93625"/>
    <w:rsid w:val="00B93E8E"/>
    <w:rsid w:val="00B949EC"/>
    <w:rsid w:val="00B950F0"/>
    <w:rsid w:val="00B95AE2"/>
    <w:rsid w:val="00B95CFA"/>
    <w:rsid w:val="00B95F03"/>
    <w:rsid w:val="00B96C7E"/>
    <w:rsid w:val="00B974A0"/>
    <w:rsid w:val="00BA230C"/>
    <w:rsid w:val="00BA2EAA"/>
    <w:rsid w:val="00BA34B7"/>
    <w:rsid w:val="00BA34DA"/>
    <w:rsid w:val="00BA35F1"/>
    <w:rsid w:val="00BA46CA"/>
    <w:rsid w:val="00BA5302"/>
    <w:rsid w:val="00BA5821"/>
    <w:rsid w:val="00BA7627"/>
    <w:rsid w:val="00BA7658"/>
    <w:rsid w:val="00BA7B03"/>
    <w:rsid w:val="00BB02BC"/>
    <w:rsid w:val="00BB0B31"/>
    <w:rsid w:val="00BB0EEB"/>
    <w:rsid w:val="00BB1081"/>
    <w:rsid w:val="00BB1291"/>
    <w:rsid w:val="00BB17AA"/>
    <w:rsid w:val="00BB2B3D"/>
    <w:rsid w:val="00BB3B00"/>
    <w:rsid w:val="00BB3FDD"/>
    <w:rsid w:val="00BB468F"/>
    <w:rsid w:val="00BB58D5"/>
    <w:rsid w:val="00BB5BF2"/>
    <w:rsid w:val="00BB5E2F"/>
    <w:rsid w:val="00BB5ED9"/>
    <w:rsid w:val="00BB65B6"/>
    <w:rsid w:val="00BB67B7"/>
    <w:rsid w:val="00BB6D6D"/>
    <w:rsid w:val="00BB71CC"/>
    <w:rsid w:val="00BB789D"/>
    <w:rsid w:val="00BB79B3"/>
    <w:rsid w:val="00BC020C"/>
    <w:rsid w:val="00BC0A59"/>
    <w:rsid w:val="00BC0D72"/>
    <w:rsid w:val="00BC0DF4"/>
    <w:rsid w:val="00BC1147"/>
    <w:rsid w:val="00BC4467"/>
    <w:rsid w:val="00BC4BA0"/>
    <w:rsid w:val="00BC50CB"/>
    <w:rsid w:val="00BC569B"/>
    <w:rsid w:val="00BC59AA"/>
    <w:rsid w:val="00BC6ABF"/>
    <w:rsid w:val="00BC7B21"/>
    <w:rsid w:val="00BC7BA6"/>
    <w:rsid w:val="00BC7BB3"/>
    <w:rsid w:val="00BD04D5"/>
    <w:rsid w:val="00BD0BAB"/>
    <w:rsid w:val="00BD1853"/>
    <w:rsid w:val="00BD1857"/>
    <w:rsid w:val="00BD28F8"/>
    <w:rsid w:val="00BD295B"/>
    <w:rsid w:val="00BD2994"/>
    <w:rsid w:val="00BD3A1B"/>
    <w:rsid w:val="00BD3E33"/>
    <w:rsid w:val="00BD3FE5"/>
    <w:rsid w:val="00BD4044"/>
    <w:rsid w:val="00BD4943"/>
    <w:rsid w:val="00BD615D"/>
    <w:rsid w:val="00BD7063"/>
    <w:rsid w:val="00BD7268"/>
    <w:rsid w:val="00BD7270"/>
    <w:rsid w:val="00BD7D82"/>
    <w:rsid w:val="00BE070E"/>
    <w:rsid w:val="00BE0D02"/>
    <w:rsid w:val="00BE19BC"/>
    <w:rsid w:val="00BE1D05"/>
    <w:rsid w:val="00BE1E31"/>
    <w:rsid w:val="00BE1E47"/>
    <w:rsid w:val="00BE2598"/>
    <w:rsid w:val="00BE29E4"/>
    <w:rsid w:val="00BE2F33"/>
    <w:rsid w:val="00BE2F3E"/>
    <w:rsid w:val="00BE3C4B"/>
    <w:rsid w:val="00BE3CEA"/>
    <w:rsid w:val="00BE4E62"/>
    <w:rsid w:val="00BE4FEB"/>
    <w:rsid w:val="00BE5495"/>
    <w:rsid w:val="00BE63D1"/>
    <w:rsid w:val="00BE6C4E"/>
    <w:rsid w:val="00BE6CBF"/>
    <w:rsid w:val="00BE759D"/>
    <w:rsid w:val="00BF0645"/>
    <w:rsid w:val="00BF08EB"/>
    <w:rsid w:val="00BF0C47"/>
    <w:rsid w:val="00BF1741"/>
    <w:rsid w:val="00BF2275"/>
    <w:rsid w:val="00BF2B26"/>
    <w:rsid w:val="00BF42E9"/>
    <w:rsid w:val="00BF4698"/>
    <w:rsid w:val="00BF59FF"/>
    <w:rsid w:val="00BF6934"/>
    <w:rsid w:val="00BF6A3A"/>
    <w:rsid w:val="00BF6A4C"/>
    <w:rsid w:val="00BF6FAC"/>
    <w:rsid w:val="00BF7692"/>
    <w:rsid w:val="00BF7F05"/>
    <w:rsid w:val="00C0053C"/>
    <w:rsid w:val="00C00626"/>
    <w:rsid w:val="00C01623"/>
    <w:rsid w:val="00C01E94"/>
    <w:rsid w:val="00C02011"/>
    <w:rsid w:val="00C0231A"/>
    <w:rsid w:val="00C02519"/>
    <w:rsid w:val="00C025E6"/>
    <w:rsid w:val="00C03109"/>
    <w:rsid w:val="00C036D0"/>
    <w:rsid w:val="00C037C7"/>
    <w:rsid w:val="00C04121"/>
    <w:rsid w:val="00C04227"/>
    <w:rsid w:val="00C04957"/>
    <w:rsid w:val="00C05DC6"/>
    <w:rsid w:val="00C069FB"/>
    <w:rsid w:val="00C06BEA"/>
    <w:rsid w:val="00C06D98"/>
    <w:rsid w:val="00C07759"/>
    <w:rsid w:val="00C07F76"/>
    <w:rsid w:val="00C1071A"/>
    <w:rsid w:val="00C10A48"/>
    <w:rsid w:val="00C11E5F"/>
    <w:rsid w:val="00C12481"/>
    <w:rsid w:val="00C12801"/>
    <w:rsid w:val="00C12C08"/>
    <w:rsid w:val="00C12D7D"/>
    <w:rsid w:val="00C13183"/>
    <w:rsid w:val="00C13991"/>
    <w:rsid w:val="00C13C05"/>
    <w:rsid w:val="00C13C10"/>
    <w:rsid w:val="00C13E31"/>
    <w:rsid w:val="00C1459C"/>
    <w:rsid w:val="00C14CFE"/>
    <w:rsid w:val="00C1613F"/>
    <w:rsid w:val="00C1672A"/>
    <w:rsid w:val="00C16AB8"/>
    <w:rsid w:val="00C1753A"/>
    <w:rsid w:val="00C20464"/>
    <w:rsid w:val="00C204A5"/>
    <w:rsid w:val="00C21592"/>
    <w:rsid w:val="00C218B2"/>
    <w:rsid w:val="00C21C39"/>
    <w:rsid w:val="00C21E64"/>
    <w:rsid w:val="00C2205A"/>
    <w:rsid w:val="00C2298A"/>
    <w:rsid w:val="00C22C52"/>
    <w:rsid w:val="00C23116"/>
    <w:rsid w:val="00C235C9"/>
    <w:rsid w:val="00C23A0C"/>
    <w:rsid w:val="00C23EDD"/>
    <w:rsid w:val="00C241DA"/>
    <w:rsid w:val="00C24500"/>
    <w:rsid w:val="00C25738"/>
    <w:rsid w:val="00C25750"/>
    <w:rsid w:val="00C25C6B"/>
    <w:rsid w:val="00C25E18"/>
    <w:rsid w:val="00C25F07"/>
    <w:rsid w:val="00C2660B"/>
    <w:rsid w:val="00C2665E"/>
    <w:rsid w:val="00C27369"/>
    <w:rsid w:val="00C30134"/>
    <w:rsid w:val="00C30150"/>
    <w:rsid w:val="00C3048D"/>
    <w:rsid w:val="00C30877"/>
    <w:rsid w:val="00C32D8D"/>
    <w:rsid w:val="00C32ED2"/>
    <w:rsid w:val="00C33889"/>
    <w:rsid w:val="00C33BE9"/>
    <w:rsid w:val="00C33E4A"/>
    <w:rsid w:val="00C34153"/>
    <w:rsid w:val="00C343BD"/>
    <w:rsid w:val="00C344E5"/>
    <w:rsid w:val="00C34D6E"/>
    <w:rsid w:val="00C3528F"/>
    <w:rsid w:val="00C35ED3"/>
    <w:rsid w:val="00C37BF1"/>
    <w:rsid w:val="00C41220"/>
    <w:rsid w:val="00C412CE"/>
    <w:rsid w:val="00C4239E"/>
    <w:rsid w:val="00C42710"/>
    <w:rsid w:val="00C42CA6"/>
    <w:rsid w:val="00C42F0C"/>
    <w:rsid w:val="00C44B0A"/>
    <w:rsid w:val="00C44F96"/>
    <w:rsid w:val="00C45108"/>
    <w:rsid w:val="00C45D9E"/>
    <w:rsid w:val="00C4620C"/>
    <w:rsid w:val="00C46651"/>
    <w:rsid w:val="00C46A0C"/>
    <w:rsid w:val="00C47E20"/>
    <w:rsid w:val="00C50552"/>
    <w:rsid w:val="00C513E5"/>
    <w:rsid w:val="00C51FFF"/>
    <w:rsid w:val="00C523C3"/>
    <w:rsid w:val="00C52BFA"/>
    <w:rsid w:val="00C52DD2"/>
    <w:rsid w:val="00C53055"/>
    <w:rsid w:val="00C53177"/>
    <w:rsid w:val="00C531FE"/>
    <w:rsid w:val="00C5377F"/>
    <w:rsid w:val="00C54D60"/>
    <w:rsid w:val="00C54F09"/>
    <w:rsid w:val="00C55201"/>
    <w:rsid w:val="00C5546E"/>
    <w:rsid w:val="00C554BA"/>
    <w:rsid w:val="00C554FA"/>
    <w:rsid w:val="00C55680"/>
    <w:rsid w:val="00C55E17"/>
    <w:rsid w:val="00C57A32"/>
    <w:rsid w:val="00C57E37"/>
    <w:rsid w:val="00C604A1"/>
    <w:rsid w:val="00C61162"/>
    <w:rsid w:val="00C6147C"/>
    <w:rsid w:val="00C62D65"/>
    <w:rsid w:val="00C63248"/>
    <w:rsid w:val="00C63632"/>
    <w:rsid w:val="00C63854"/>
    <w:rsid w:val="00C63D24"/>
    <w:rsid w:val="00C64566"/>
    <w:rsid w:val="00C646F2"/>
    <w:rsid w:val="00C6495F"/>
    <w:rsid w:val="00C64F3C"/>
    <w:rsid w:val="00C66225"/>
    <w:rsid w:val="00C66563"/>
    <w:rsid w:val="00C66BA0"/>
    <w:rsid w:val="00C66D1D"/>
    <w:rsid w:val="00C66D5D"/>
    <w:rsid w:val="00C6709D"/>
    <w:rsid w:val="00C675C9"/>
    <w:rsid w:val="00C717E3"/>
    <w:rsid w:val="00C72084"/>
    <w:rsid w:val="00C72C1C"/>
    <w:rsid w:val="00C72E42"/>
    <w:rsid w:val="00C73327"/>
    <w:rsid w:val="00C739BF"/>
    <w:rsid w:val="00C74275"/>
    <w:rsid w:val="00C74CEA"/>
    <w:rsid w:val="00C75370"/>
    <w:rsid w:val="00C7550B"/>
    <w:rsid w:val="00C75778"/>
    <w:rsid w:val="00C75D94"/>
    <w:rsid w:val="00C76296"/>
    <w:rsid w:val="00C76303"/>
    <w:rsid w:val="00C76947"/>
    <w:rsid w:val="00C77E9A"/>
    <w:rsid w:val="00C80285"/>
    <w:rsid w:val="00C80DE3"/>
    <w:rsid w:val="00C80F01"/>
    <w:rsid w:val="00C8170D"/>
    <w:rsid w:val="00C81948"/>
    <w:rsid w:val="00C819DF"/>
    <w:rsid w:val="00C81D7E"/>
    <w:rsid w:val="00C8296E"/>
    <w:rsid w:val="00C82D1B"/>
    <w:rsid w:val="00C83E11"/>
    <w:rsid w:val="00C84418"/>
    <w:rsid w:val="00C84737"/>
    <w:rsid w:val="00C84B89"/>
    <w:rsid w:val="00C84EAC"/>
    <w:rsid w:val="00C85A3A"/>
    <w:rsid w:val="00C85CE4"/>
    <w:rsid w:val="00C8689C"/>
    <w:rsid w:val="00C86CC1"/>
    <w:rsid w:val="00C86E77"/>
    <w:rsid w:val="00C8711E"/>
    <w:rsid w:val="00C877BF"/>
    <w:rsid w:val="00C900EA"/>
    <w:rsid w:val="00C91A81"/>
    <w:rsid w:val="00C91E59"/>
    <w:rsid w:val="00C9206E"/>
    <w:rsid w:val="00C92702"/>
    <w:rsid w:val="00C92947"/>
    <w:rsid w:val="00C94892"/>
    <w:rsid w:val="00C948D1"/>
    <w:rsid w:val="00C94E8B"/>
    <w:rsid w:val="00C95170"/>
    <w:rsid w:val="00C9590D"/>
    <w:rsid w:val="00C961F6"/>
    <w:rsid w:val="00C96AC5"/>
    <w:rsid w:val="00C96F49"/>
    <w:rsid w:val="00C970AF"/>
    <w:rsid w:val="00C973C7"/>
    <w:rsid w:val="00C975B6"/>
    <w:rsid w:val="00C97981"/>
    <w:rsid w:val="00C97E3C"/>
    <w:rsid w:val="00C97EF1"/>
    <w:rsid w:val="00CA0969"/>
    <w:rsid w:val="00CA09BF"/>
    <w:rsid w:val="00CA22E1"/>
    <w:rsid w:val="00CA2BF7"/>
    <w:rsid w:val="00CA2E03"/>
    <w:rsid w:val="00CA3561"/>
    <w:rsid w:val="00CA3876"/>
    <w:rsid w:val="00CA48A5"/>
    <w:rsid w:val="00CA504A"/>
    <w:rsid w:val="00CA55A2"/>
    <w:rsid w:val="00CA598A"/>
    <w:rsid w:val="00CA5B7C"/>
    <w:rsid w:val="00CA5E19"/>
    <w:rsid w:val="00CA6779"/>
    <w:rsid w:val="00CA6CB9"/>
    <w:rsid w:val="00CA6DFD"/>
    <w:rsid w:val="00CA729D"/>
    <w:rsid w:val="00CB0F8B"/>
    <w:rsid w:val="00CB102D"/>
    <w:rsid w:val="00CB1701"/>
    <w:rsid w:val="00CB173F"/>
    <w:rsid w:val="00CB2F89"/>
    <w:rsid w:val="00CB4635"/>
    <w:rsid w:val="00CB6405"/>
    <w:rsid w:val="00CB733D"/>
    <w:rsid w:val="00CB7416"/>
    <w:rsid w:val="00CC03A9"/>
    <w:rsid w:val="00CC142C"/>
    <w:rsid w:val="00CC173E"/>
    <w:rsid w:val="00CC1775"/>
    <w:rsid w:val="00CC1933"/>
    <w:rsid w:val="00CC2414"/>
    <w:rsid w:val="00CC2682"/>
    <w:rsid w:val="00CC2959"/>
    <w:rsid w:val="00CC2986"/>
    <w:rsid w:val="00CC3D8A"/>
    <w:rsid w:val="00CC3DC9"/>
    <w:rsid w:val="00CC3E33"/>
    <w:rsid w:val="00CC4731"/>
    <w:rsid w:val="00CC61F4"/>
    <w:rsid w:val="00CC651D"/>
    <w:rsid w:val="00CC655C"/>
    <w:rsid w:val="00CC65AC"/>
    <w:rsid w:val="00CD07E2"/>
    <w:rsid w:val="00CD1AEF"/>
    <w:rsid w:val="00CD28C6"/>
    <w:rsid w:val="00CD4247"/>
    <w:rsid w:val="00CD4254"/>
    <w:rsid w:val="00CD4631"/>
    <w:rsid w:val="00CD6073"/>
    <w:rsid w:val="00CD6192"/>
    <w:rsid w:val="00CD6BD0"/>
    <w:rsid w:val="00CD73CF"/>
    <w:rsid w:val="00CD778C"/>
    <w:rsid w:val="00CE0159"/>
    <w:rsid w:val="00CE0358"/>
    <w:rsid w:val="00CE03A6"/>
    <w:rsid w:val="00CE0853"/>
    <w:rsid w:val="00CE092D"/>
    <w:rsid w:val="00CE0C53"/>
    <w:rsid w:val="00CE0CAA"/>
    <w:rsid w:val="00CE111B"/>
    <w:rsid w:val="00CE2810"/>
    <w:rsid w:val="00CE29DC"/>
    <w:rsid w:val="00CE3ADA"/>
    <w:rsid w:val="00CE3DBD"/>
    <w:rsid w:val="00CE5E19"/>
    <w:rsid w:val="00CE6306"/>
    <w:rsid w:val="00CE6844"/>
    <w:rsid w:val="00CE6917"/>
    <w:rsid w:val="00CE6EAF"/>
    <w:rsid w:val="00CE7CCB"/>
    <w:rsid w:val="00CF0281"/>
    <w:rsid w:val="00CF0ABD"/>
    <w:rsid w:val="00CF0D5C"/>
    <w:rsid w:val="00CF11A7"/>
    <w:rsid w:val="00CF169C"/>
    <w:rsid w:val="00CF19F9"/>
    <w:rsid w:val="00CF1A60"/>
    <w:rsid w:val="00CF2D8A"/>
    <w:rsid w:val="00CF3678"/>
    <w:rsid w:val="00CF38E1"/>
    <w:rsid w:val="00CF40EC"/>
    <w:rsid w:val="00CF569D"/>
    <w:rsid w:val="00CF58FA"/>
    <w:rsid w:val="00CF5DAE"/>
    <w:rsid w:val="00CF5E59"/>
    <w:rsid w:val="00CF60F2"/>
    <w:rsid w:val="00CF61BB"/>
    <w:rsid w:val="00CF691F"/>
    <w:rsid w:val="00CF6D49"/>
    <w:rsid w:val="00CF7085"/>
    <w:rsid w:val="00CF7093"/>
    <w:rsid w:val="00CF7F34"/>
    <w:rsid w:val="00D012C4"/>
    <w:rsid w:val="00D017A3"/>
    <w:rsid w:val="00D022E1"/>
    <w:rsid w:val="00D0238F"/>
    <w:rsid w:val="00D02AE6"/>
    <w:rsid w:val="00D02F23"/>
    <w:rsid w:val="00D02FAA"/>
    <w:rsid w:val="00D0487F"/>
    <w:rsid w:val="00D053E8"/>
    <w:rsid w:val="00D06569"/>
    <w:rsid w:val="00D067A8"/>
    <w:rsid w:val="00D068AF"/>
    <w:rsid w:val="00D10226"/>
    <w:rsid w:val="00D10A0C"/>
    <w:rsid w:val="00D10BEC"/>
    <w:rsid w:val="00D10C97"/>
    <w:rsid w:val="00D1104A"/>
    <w:rsid w:val="00D11CE3"/>
    <w:rsid w:val="00D11F6B"/>
    <w:rsid w:val="00D124F1"/>
    <w:rsid w:val="00D12899"/>
    <w:rsid w:val="00D134D7"/>
    <w:rsid w:val="00D13CFD"/>
    <w:rsid w:val="00D13D20"/>
    <w:rsid w:val="00D1419E"/>
    <w:rsid w:val="00D1458F"/>
    <w:rsid w:val="00D14962"/>
    <w:rsid w:val="00D149FF"/>
    <w:rsid w:val="00D15B39"/>
    <w:rsid w:val="00D164EC"/>
    <w:rsid w:val="00D1672C"/>
    <w:rsid w:val="00D17DDE"/>
    <w:rsid w:val="00D17FF4"/>
    <w:rsid w:val="00D204EB"/>
    <w:rsid w:val="00D2055E"/>
    <w:rsid w:val="00D2076B"/>
    <w:rsid w:val="00D21424"/>
    <w:rsid w:val="00D2223A"/>
    <w:rsid w:val="00D22382"/>
    <w:rsid w:val="00D2302C"/>
    <w:rsid w:val="00D23451"/>
    <w:rsid w:val="00D2443B"/>
    <w:rsid w:val="00D252C7"/>
    <w:rsid w:val="00D25456"/>
    <w:rsid w:val="00D25F43"/>
    <w:rsid w:val="00D26016"/>
    <w:rsid w:val="00D274C9"/>
    <w:rsid w:val="00D27630"/>
    <w:rsid w:val="00D27A97"/>
    <w:rsid w:val="00D27F4F"/>
    <w:rsid w:val="00D302D0"/>
    <w:rsid w:val="00D30DEF"/>
    <w:rsid w:val="00D30FDC"/>
    <w:rsid w:val="00D318D6"/>
    <w:rsid w:val="00D321D5"/>
    <w:rsid w:val="00D32339"/>
    <w:rsid w:val="00D33A75"/>
    <w:rsid w:val="00D33D19"/>
    <w:rsid w:val="00D33D2C"/>
    <w:rsid w:val="00D34004"/>
    <w:rsid w:val="00D34699"/>
    <w:rsid w:val="00D347D0"/>
    <w:rsid w:val="00D34A99"/>
    <w:rsid w:val="00D34E05"/>
    <w:rsid w:val="00D34FD4"/>
    <w:rsid w:val="00D35185"/>
    <w:rsid w:val="00D35215"/>
    <w:rsid w:val="00D3678A"/>
    <w:rsid w:val="00D3747B"/>
    <w:rsid w:val="00D37F5C"/>
    <w:rsid w:val="00D406FD"/>
    <w:rsid w:val="00D40C66"/>
    <w:rsid w:val="00D41514"/>
    <w:rsid w:val="00D41951"/>
    <w:rsid w:val="00D419FD"/>
    <w:rsid w:val="00D41FB1"/>
    <w:rsid w:val="00D420CB"/>
    <w:rsid w:val="00D421A9"/>
    <w:rsid w:val="00D42C57"/>
    <w:rsid w:val="00D436F0"/>
    <w:rsid w:val="00D437E8"/>
    <w:rsid w:val="00D43C9A"/>
    <w:rsid w:val="00D444E9"/>
    <w:rsid w:val="00D449DF"/>
    <w:rsid w:val="00D44B7F"/>
    <w:rsid w:val="00D453BC"/>
    <w:rsid w:val="00D4580A"/>
    <w:rsid w:val="00D45BA0"/>
    <w:rsid w:val="00D462EB"/>
    <w:rsid w:val="00D46AF2"/>
    <w:rsid w:val="00D501C1"/>
    <w:rsid w:val="00D50C1E"/>
    <w:rsid w:val="00D51FFB"/>
    <w:rsid w:val="00D52284"/>
    <w:rsid w:val="00D531B8"/>
    <w:rsid w:val="00D53608"/>
    <w:rsid w:val="00D54CFD"/>
    <w:rsid w:val="00D55113"/>
    <w:rsid w:val="00D55B25"/>
    <w:rsid w:val="00D55B61"/>
    <w:rsid w:val="00D56EF8"/>
    <w:rsid w:val="00D6046C"/>
    <w:rsid w:val="00D61A49"/>
    <w:rsid w:val="00D61B6F"/>
    <w:rsid w:val="00D61C4D"/>
    <w:rsid w:val="00D622F1"/>
    <w:rsid w:val="00D62977"/>
    <w:rsid w:val="00D62D4E"/>
    <w:rsid w:val="00D62EE1"/>
    <w:rsid w:val="00D6310B"/>
    <w:rsid w:val="00D64CC0"/>
    <w:rsid w:val="00D65165"/>
    <w:rsid w:val="00D670A9"/>
    <w:rsid w:val="00D67559"/>
    <w:rsid w:val="00D67A03"/>
    <w:rsid w:val="00D67F30"/>
    <w:rsid w:val="00D70117"/>
    <w:rsid w:val="00D70348"/>
    <w:rsid w:val="00D703E8"/>
    <w:rsid w:val="00D704DD"/>
    <w:rsid w:val="00D7056E"/>
    <w:rsid w:val="00D70B76"/>
    <w:rsid w:val="00D70BCC"/>
    <w:rsid w:val="00D71357"/>
    <w:rsid w:val="00D713F2"/>
    <w:rsid w:val="00D716C0"/>
    <w:rsid w:val="00D71A61"/>
    <w:rsid w:val="00D72732"/>
    <w:rsid w:val="00D72DBD"/>
    <w:rsid w:val="00D7313E"/>
    <w:rsid w:val="00D73DD4"/>
    <w:rsid w:val="00D73F8A"/>
    <w:rsid w:val="00D73F9F"/>
    <w:rsid w:val="00D74057"/>
    <w:rsid w:val="00D740B5"/>
    <w:rsid w:val="00D742D5"/>
    <w:rsid w:val="00D75001"/>
    <w:rsid w:val="00D75B27"/>
    <w:rsid w:val="00D76290"/>
    <w:rsid w:val="00D7683D"/>
    <w:rsid w:val="00D769FB"/>
    <w:rsid w:val="00D77082"/>
    <w:rsid w:val="00D77B0E"/>
    <w:rsid w:val="00D8010F"/>
    <w:rsid w:val="00D808F8"/>
    <w:rsid w:val="00D820AD"/>
    <w:rsid w:val="00D82E5D"/>
    <w:rsid w:val="00D82F31"/>
    <w:rsid w:val="00D83471"/>
    <w:rsid w:val="00D8382B"/>
    <w:rsid w:val="00D83DEE"/>
    <w:rsid w:val="00D83EEC"/>
    <w:rsid w:val="00D849D2"/>
    <w:rsid w:val="00D84C00"/>
    <w:rsid w:val="00D8540D"/>
    <w:rsid w:val="00D859B2"/>
    <w:rsid w:val="00D8649F"/>
    <w:rsid w:val="00D867B9"/>
    <w:rsid w:val="00D86A80"/>
    <w:rsid w:val="00D86C6E"/>
    <w:rsid w:val="00D87B7E"/>
    <w:rsid w:val="00D90172"/>
    <w:rsid w:val="00D92DE4"/>
    <w:rsid w:val="00D93656"/>
    <w:rsid w:val="00D94136"/>
    <w:rsid w:val="00D9554B"/>
    <w:rsid w:val="00D95777"/>
    <w:rsid w:val="00D95894"/>
    <w:rsid w:val="00D95D44"/>
    <w:rsid w:val="00D967CA"/>
    <w:rsid w:val="00D96FA9"/>
    <w:rsid w:val="00D97338"/>
    <w:rsid w:val="00D97501"/>
    <w:rsid w:val="00DA06CB"/>
    <w:rsid w:val="00DA0794"/>
    <w:rsid w:val="00DA1CB0"/>
    <w:rsid w:val="00DA3C69"/>
    <w:rsid w:val="00DA4206"/>
    <w:rsid w:val="00DA45E4"/>
    <w:rsid w:val="00DA46F4"/>
    <w:rsid w:val="00DA56C0"/>
    <w:rsid w:val="00DA6300"/>
    <w:rsid w:val="00DA66B0"/>
    <w:rsid w:val="00DA7B35"/>
    <w:rsid w:val="00DB05F9"/>
    <w:rsid w:val="00DB2446"/>
    <w:rsid w:val="00DB2633"/>
    <w:rsid w:val="00DB493A"/>
    <w:rsid w:val="00DB4F50"/>
    <w:rsid w:val="00DB5001"/>
    <w:rsid w:val="00DB5D59"/>
    <w:rsid w:val="00DB6164"/>
    <w:rsid w:val="00DB6E35"/>
    <w:rsid w:val="00DB7504"/>
    <w:rsid w:val="00DB7BE1"/>
    <w:rsid w:val="00DB7C0E"/>
    <w:rsid w:val="00DB7E48"/>
    <w:rsid w:val="00DB7F14"/>
    <w:rsid w:val="00DC03EA"/>
    <w:rsid w:val="00DC04EA"/>
    <w:rsid w:val="00DC0589"/>
    <w:rsid w:val="00DC1421"/>
    <w:rsid w:val="00DC1680"/>
    <w:rsid w:val="00DC2BD1"/>
    <w:rsid w:val="00DC39C3"/>
    <w:rsid w:val="00DC4145"/>
    <w:rsid w:val="00DC532C"/>
    <w:rsid w:val="00DC5568"/>
    <w:rsid w:val="00DC5D55"/>
    <w:rsid w:val="00DC62A8"/>
    <w:rsid w:val="00DC64B8"/>
    <w:rsid w:val="00DC72BC"/>
    <w:rsid w:val="00DC733F"/>
    <w:rsid w:val="00DD0184"/>
    <w:rsid w:val="00DD03F9"/>
    <w:rsid w:val="00DD03FB"/>
    <w:rsid w:val="00DD0D60"/>
    <w:rsid w:val="00DD10D6"/>
    <w:rsid w:val="00DD19E8"/>
    <w:rsid w:val="00DD1B1A"/>
    <w:rsid w:val="00DD1BF4"/>
    <w:rsid w:val="00DD1D75"/>
    <w:rsid w:val="00DD1F7B"/>
    <w:rsid w:val="00DD2662"/>
    <w:rsid w:val="00DD2B7A"/>
    <w:rsid w:val="00DD3278"/>
    <w:rsid w:val="00DD34CF"/>
    <w:rsid w:val="00DD370B"/>
    <w:rsid w:val="00DD38CD"/>
    <w:rsid w:val="00DD38DC"/>
    <w:rsid w:val="00DD3DA4"/>
    <w:rsid w:val="00DD437E"/>
    <w:rsid w:val="00DD4EE7"/>
    <w:rsid w:val="00DD554B"/>
    <w:rsid w:val="00DD61FE"/>
    <w:rsid w:val="00DD62A7"/>
    <w:rsid w:val="00DD6B36"/>
    <w:rsid w:val="00DE0629"/>
    <w:rsid w:val="00DE1090"/>
    <w:rsid w:val="00DE1716"/>
    <w:rsid w:val="00DE26E1"/>
    <w:rsid w:val="00DE290C"/>
    <w:rsid w:val="00DE2B15"/>
    <w:rsid w:val="00DE2FF2"/>
    <w:rsid w:val="00DE3313"/>
    <w:rsid w:val="00DE3CB0"/>
    <w:rsid w:val="00DE3ECF"/>
    <w:rsid w:val="00DE49D4"/>
    <w:rsid w:val="00DE4BA1"/>
    <w:rsid w:val="00DE4EB2"/>
    <w:rsid w:val="00DE4ECB"/>
    <w:rsid w:val="00DE4F26"/>
    <w:rsid w:val="00DE596D"/>
    <w:rsid w:val="00DE60B6"/>
    <w:rsid w:val="00DE62A2"/>
    <w:rsid w:val="00DE6791"/>
    <w:rsid w:val="00DE6D48"/>
    <w:rsid w:val="00DE75DE"/>
    <w:rsid w:val="00DE77F0"/>
    <w:rsid w:val="00DE7816"/>
    <w:rsid w:val="00DF152B"/>
    <w:rsid w:val="00DF215B"/>
    <w:rsid w:val="00DF242D"/>
    <w:rsid w:val="00DF242E"/>
    <w:rsid w:val="00DF3051"/>
    <w:rsid w:val="00DF3576"/>
    <w:rsid w:val="00DF3BB4"/>
    <w:rsid w:val="00DF3C41"/>
    <w:rsid w:val="00DF4A3E"/>
    <w:rsid w:val="00DF4BA1"/>
    <w:rsid w:val="00DF4F71"/>
    <w:rsid w:val="00DF581A"/>
    <w:rsid w:val="00DF5E64"/>
    <w:rsid w:val="00DF61ED"/>
    <w:rsid w:val="00DF6AFA"/>
    <w:rsid w:val="00DF6FE2"/>
    <w:rsid w:val="00DF7609"/>
    <w:rsid w:val="00DF7850"/>
    <w:rsid w:val="00DF7E47"/>
    <w:rsid w:val="00E0051A"/>
    <w:rsid w:val="00E00883"/>
    <w:rsid w:val="00E0193E"/>
    <w:rsid w:val="00E02D42"/>
    <w:rsid w:val="00E035AD"/>
    <w:rsid w:val="00E05C4F"/>
    <w:rsid w:val="00E06848"/>
    <w:rsid w:val="00E06C71"/>
    <w:rsid w:val="00E1047D"/>
    <w:rsid w:val="00E1107E"/>
    <w:rsid w:val="00E11B0C"/>
    <w:rsid w:val="00E129F8"/>
    <w:rsid w:val="00E12F4E"/>
    <w:rsid w:val="00E13779"/>
    <w:rsid w:val="00E13A85"/>
    <w:rsid w:val="00E141DF"/>
    <w:rsid w:val="00E148EF"/>
    <w:rsid w:val="00E14AE5"/>
    <w:rsid w:val="00E1523E"/>
    <w:rsid w:val="00E1590F"/>
    <w:rsid w:val="00E16147"/>
    <w:rsid w:val="00E16368"/>
    <w:rsid w:val="00E16DBA"/>
    <w:rsid w:val="00E1779F"/>
    <w:rsid w:val="00E1794D"/>
    <w:rsid w:val="00E200E7"/>
    <w:rsid w:val="00E20187"/>
    <w:rsid w:val="00E202E0"/>
    <w:rsid w:val="00E20EDA"/>
    <w:rsid w:val="00E20FFA"/>
    <w:rsid w:val="00E21885"/>
    <w:rsid w:val="00E21F5A"/>
    <w:rsid w:val="00E221EC"/>
    <w:rsid w:val="00E230FF"/>
    <w:rsid w:val="00E23691"/>
    <w:rsid w:val="00E23D60"/>
    <w:rsid w:val="00E23FDC"/>
    <w:rsid w:val="00E245A0"/>
    <w:rsid w:val="00E2597D"/>
    <w:rsid w:val="00E25AB4"/>
    <w:rsid w:val="00E2604A"/>
    <w:rsid w:val="00E26C28"/>
    <w:rsid w:val="00E271F8"/>
    <w:rsid w:val="00E27254"/>
    <w:rsid w:val="00E27589"/>
    <w:rsid w:val="00E30C9F"/>
    <w:rsid w:val="00E30CD7"/>
    <w:rsid w:val="00E30FB9"/>
    <w:rsid w:val="00E31197"/>
    <w:rsid w:val="00E3147F"/>
    <w:rsid w:val="00E315F1"/>
    <w:rsid w:val="00E319B8"/>
    <w:rsid w:val="00E33454"/>
    <w:rsid w:val="00E3386F"/>
    <w:rsid w:val="00E33E51"/>
    <w:rsid w:val="00E3456F"/>
    <w:rsid w:val="00E34BFB"/>
    <w:rsid w:val="00E35098"/>
    <w:rsid w:val="00E35A09"/>
    <w:rsid w:val="00E35E6C"/>
    <w:rsid w:val="00E36EE6"/>
    <w:rsid w:val="00E40CB4"/>
    <w:rsid w:val="00E41AA9"/>
    <w:rsid w:val="00E41E94"/>
    <w:rsid w:val="00E42117"/>
    <w:rsid w:val="00E421FB"/>
    <w:rsid w:val="00E4241C"/>
    <w:rsid w:val="00E42637"/>
    <w:rsid w:val="00E42DF3"/>
    <w:rsid w:val="00E430F9"/>
    <w:rsid w:val="00E43D7E"/>
    <w:rsid w:val="00E43DAC"/>
    <w:rsid w:val="00E43EB7"/>
    <w:rsid w:val="00E43F18"/>
    <w:rsid w:val="00E44719"/>
    <w:rsid w:val="00E44905"/>
    <w:rsid w:val="00E45BDC"/>
    <w:rsid w:val="00E46CC6"/>
    <w:rsid w:val="00E51337"/>
    <w:rsid w:val="00E51A2E"/>
    <w:rsid w:val="00E51E85"/>
    <w:rsid w:val="00E52DD6"/>
    <w:rsid w:val="00E53048"/>
    <w:rsid w:val="00E53A6F"/>
    <w:rsid w:val="00E53AA7"/>
    <w:rsid w:val="00E53F88"/>
    <w:rsid w:val="00E5464D"/>
    <w:rsid w:val="00E54684"/>
    <w:rsid w:val="00E54A33"/>
    <w:rsid w:val="00E54DC4"/>
    <w:rsid w:val="00E55B99"/>
    <w:rsid w:val="00E56574"/>
    <w:rsid w:val="00E56CCD"/>
    <w:rsid w:val="00E5781B"/>
    <w:rsid w:val="00E61083"/>
    <w:rsid w:val="00E61533"/>
    <w:rsid w:val="00E6177C"/>
    <w:rsid w:val="00E6240D"/>
    <w:rsid w:val="00E62E4F"/>
    <w:rsid w:val="00E63B96"/>
    <w:rsid w:val="00E63BF7"/>
    <w:rsid w:val="00E641FC"/>
    <w:rsid w:val="00E644BE"/>
    <w:rsid w:val="00E64DD5"/>
    <w:rsid w:val="00E64F4C"/>
    <w:rsid w:val="00E6534D"/>
    <w:rsid w:val="00E657C1"/>
    <w:rsid w:val="00E6660C"/>
    <w:rsid w:val="00E66B46"/>
    <w:rsid w:val="00E66CEE"/>
    <w:rsid w:val="00E66EE0"/>
    <w:rsid w:val="00E66FCC"/>
    <w:rsid w:val="00E674C2"/>
    <w:rsid w:val="00E67B46"/>
    <w:rsid w:val="00E67CB5"/>
    <w:rsid w:val="00E67EDD"/>
    <w:rsid w:val="00E701F2"/>
    <w:rsid w:val="00E7135D"/>
    <w:rsid w:val="00E7255A"/>
    <w:rsid w:val="00E72860"/>
    <w:rsid w:val="00E7312C"/>
    <w:rsid w:val="00E7338B"/>
    <w:rsid w:val="00E7355E"/>
    <w:rsid w:val="00E741D0"/>
    <w:rsid w:val="00E75994"/>
    <w:rsid w:val="00E75AE0"/>
    <w:rsid w:val="00E76097"/>
    <w:rsid w:val="00E76C37"/>
    <w:rsid w:val="00E76DD6"/>
    <w:rsid w:val="00E773CD"/>
    <w:rsid w:val="00E800A3"/>
    <w:rsid w:val="00E8088F"/>
    <w:rsid w:val="00E80C7D"/>
    <w:rsid w:val="00E813D2"/>
    <w:rsid w:val="00E825F7"/>
    <w:rsid w:val="00E82677"/>
    <w:rsid w:val="00E82A41"/>
    <w:rsid w:val="00E83495"/>
    <w:rsid w:val="00E839A6"/>
    <w:rsid w:val="00E84C5D"/>
    <w:rsid w:val="00E85E7E"/>
    <w:rsid w:val="00E8606A"/>
    <w:rsid w:val="00E865E0"/>
    <w:rsid w:val="00E86CDD"/>
    <w:rsid w:val="00E86E99"/>
    <w:rsid w:val="00E87D7E"/>
    <w:rsid w:val="00E9016A"/>
    <w:rsid w:val="00E90C8D"/>
    <w:rsid w:val="00E91B3F"/>
    <w:rsid w:val="00E91DA6"/>
    <w:rsid w:val="00E91EE2"/>
    <w:rsid w:val="00E92E50"/>
    <w:rsid w:val="00E9330F"/>
    <w:rsid w:val="00E93ADA"/>
    <w:rsid w:val="00E94A80"/>
    <w:rsid w:val="00E94EC1"/>
    <w:rsid w:val="00E95153"/>
    <w:rsid w:val="00E95E9A"/>
    <w:rsid w:val="00E95F02"/>
    <w:rsid w:val="00E961BB"/>
    <w:rsid w:val="00E97445"/>
    <w:rsid w:val="00E97648"/>
    <w:rsid w:val="00E97C18"/>
    <w:rsid w:val="00EA0350"/>
    <w:rsid w:val="00EA0379"/>
    <w:rsid w:val="00EA17EA"/>
    <w:rsid w:val="00EA1ACE"/>
    <w:rsid w:val="00EA218E"/>
    <w:rsid w:val="00EA24CE"/>
    <w:rsid w:val="00EA2674"/>
    <w:rsid w:val="00EA3149"/>
    <w:rsid w:val="00EA33DD"/>
    <w:rsid w:val="00EA383A"/>
    <w:rsid w:val="00EA3AB4"/>
    <w:rsid w:val="00EA3AEB"/>
    <w:rsid w:val="00EA3B69"/>
    <w:rsid w:val="00EA3F1E"/>
    <w:rsid w:val="00EA5656"/>
    <w:rsid w:val="00EA5C2A"/>
    <w:rsid w:val="00EA6026"/>
    <w:rsid w:val="00EA6128"/>
    <w:rsid w:val="00EA613F"/>
    <w:rsid w:val="00EA6CB5"/>
    <w:rsid w:val="00EA6F69"/>
    <w:rsid w:val="00EA7798"/>
    <w:rsid w:val="00EA7BA5"/>
    <w:rsid w:val="00EB090D"/>
    <w:rsid w:val="00EB09FB"/>
    <w:rsid w:val="00EB0A20"/>
    <w:rsid w:val="00EB116F"/>
    <w:rsid w:val="00EB1525"/>
    <w:rsid w:val="00EB2002"/>
    <w:rsid w:val="00EB23FC"/>
    <w:rsid w:val="00EB2B8A"/>
    <w:rsid w:val="00EB2DCB"/>
    <w:rsid w:val="00EB3017"/>
    <w:rsid w:val="00EB3DC5"/>
    <w:rsid w:val="00EB4B0A"/>
    <w:rsid w:val="00EB5162"/>
    <w:rsid w:val="00EB52C6"/>
    <w:rsid w:val="00EB55C7"/>
    <w:rsid w:val="00EB579D"/>
    <w:rsid w:val="00EB5C25"/>
    <w:rsid w:val="00EB6511"/>
    <w:rsid w:val="00EB665C"/>
    <w:rsid w:val="00EB7EDA"/>
    <w:rsid w:val="00EC0083"/>
    <w:rsid w:val="00EC035B"/>
    <w:rsid w:val="00EC0B8D"/>
    <w:rsid w:val="00EC13CB"/>
    <w:rsid w:val="00EC14BE"/>
    <w:rsid w:val="00EC1AFE"/>
    <w:rsid w:val="00EC20BB"/>
    <w:rsid w:val="00EC35E7"/>
    <w:rsid w:val="00EC3C22"/>
    <w:rsid w:val="00EC4F4B"/>
    <w:rsid w:val="00EC5719"/>
    <w:rsid w:val="00ED0937"/>
    <w:rsid w:val="00ED0B11"/>
    <w:rsid w:val="00ED16D8"/>
    <w:rsid w:val="00ED1A6E"/>
    <w:rsid w:val="00ED1E60"/>
    <w:rsid w:val="00ED229B"/>
    <w:rsid w:val="00ED2AD6"/>
    <w:rsid w:val="00ED34FB"/>
    <w:rsid w:val="00ED3582"/>
    <w:rsid w:val="00ED4319"/>
    <w:rsid w:val="00ED6334"/>
    <w:rsid w:val="00ED68DC"/>
    <w:rsid w:val="00ED6FF1"/>
    <w:rsid w:val="00ED73E7"/>
    <w:rsid w:val="00ED7FA4"/>
    <w:rsid w:val="00EE0C22"/>
    <w:rsid w:val="00EE0C49"/>
    <w:rsid w:val="00EE14F8"/>
    <w:rsid w:val="00EE22E8"/>
    <w:rsid w:val="00EE246F"/>
    <w:rsid w:val="00EE28A3"/>
    <w:rsid w:val="00EE2EBF"/>
    <w:rsid w:val="00EE3375"/>
    <w:rsid w:val="00EE3FCA"/>
    <w:rsid w:val="00EE51AA"/>
    <w:rsid w:val="00EE6A55"/>
    <w:rsid w:val="00EE6E25"/>
    <w:rsid w:val="00EF09E0"/>
    <w:rsid w:val="00EF1240"/>
    <w:rsid w:val="00EF1C22"/>
    <w:rsid w:val="00EF238B"/>
    <w:rsid w:val="00EF2539"/>
    <w:rsid w:val="00EF2648"/>
    <w:rsid w:val="00EF2AA5"/>
    <w:rsid w:val="00EF3FF7"/>
    <w:rsid w:val="00EF43B7"/>
    <w:rsid w:val="00EF4401"/>
    <w:rsid w:val="00EF446B"/>
    <w:rsid w:val="00EF48A0"/>
    <w:rsid w:val="00EF567B"/>
    <w:rsid w:val="00EF591D"/>
    <w:rsid w:val="00EF6839"/>
    <w:rsid w:val="00EF7684"/>
    <w:rsid w:val="00F0025E"/>
    <w:rsid w:val="00F00719"/>
    <w:rsid w:val="00F00C84"/>
    <w:rsid w:val="00F00E96"/>
    <w:rsid w:val="00F01ECD"/>
    <w:rsid w:val="00F034B1"/>
    <w:rsid w:val="00F03504"/>
    <w:rsid w:val="00F03D7D"/>
    <w:rsid w:val="00F0455C"/>
    <w:rsid w:val="00F05481"/>
    <w:rsid w:val="00F05FA3"/>
    <w:rsid w:val="00F06390"/>
    <w:rsid w:val="00F06845"/>
    <w:rsid w:val="00F06904"/>
    <w:rsid w:val="00F1003F"/>
    <w:rsid w:val="00F10AF2"/>
    <w:rsid w:val="00F10B74"/>
    <w:rsid w:val="00F10D13"/>
    <w:rsid w:val="00F10E7E"/>
    <w:rsid w:val="00F11750"/>
    <w:rsid w:val="00F11BBA"/>
    <w:rsid w:val="00F12DFB"/>
    <w:rsid w:val="00F12ED1"/>
    <w:rsid w:val="00F137F8"/>
    <w:rsid w:val="00F13D71"/>
    <w:rsid w:val="00F13E2A"/>
    <w:rsid w:val="00F142BC"/>
    <w:rsid w:val="00F14E8F"/>
    <w:rsid w:val="00F15140"/>
    <w:rsid w:val="00F154B8"/>
    <w:rsid w:val="00F160B9"/>
    <w:rsid w:val="00F16706"/>
    <w:rsid w:val="00F174A4"/>
    <w:rsid w:val="00F17E3D"/>
    <w:rsid w:val="00F17E3F"/>
    <w:rsid w:val="00F17E95"/>
    <w:rsid w:val="00F2040D"/>
    <w:rsid w:val="00F211EF"/>
    <w:rsid w:val="00F2162E"/>
    <w:rsid w:val="00F2196F"/>
    <w:rsid w:val="00F21986"/>
    <w:rsid w:val="00F222E7"/>
    <w:rsid w:val="00F22D34"/>
    <w:rsid w:val="00F22E61"/>
    <w:rsid w:val="00F24BD5"/>
    <w:rsid w:val="00F252FF"/>
    <w:rsid w:val="00F26439"/>
    <w:rsid w:val="00F266D8"/>
    <w:rsid w:val="00F27224"/>
    <w:rsid w:val="00F315AB"/>
    <w:rsid w:val="00F31832"/>
    <w:rsid w:val="00F31DEF"/>
    <w:rsid w:val="00F3235D"/>
    <w:rsid w:val="00F32AB2"/>
    <w:rsid w:val="00F3309A"/>
    <w:rsid w:val="00F33779"/>
    <w:rsid w:val="00F33A24"/>
    <w:rsid w:val="00F34091"/>
    <w:rsid w:val="00F35A83"/>
    <w:rsid w:val="00F362C0"/>
    <w:rsid w:val="00F362DE"/>
    <w:rsid w:val="00F365AC"/>
    <w:rsid w:val="00F36705"/>
    <w:rsid w:val="00F37CE7"/>
    <w:rsid w:val="00F37F57"/>
    <w:rsid w:val="00F40146"/>
    <w:rsid w:val="00F41301"/>
    <w:rsid w:val="00F41312"/>
    <w:rsid w:val="00F41394"/>
    <w:rsid w:val="00F417AF"/>
    <w:rsid w:val="00F41F6D"/>
    <w:rsid w:val="00F420BE"/>
    <w:rsid w:val="00F42822"/>
    <w:rsid w:val="00F4307D"/>
    <w:rsid w:val="00F4573B"/>
    <w:rsid w:val="00F45F47"/>
    <w:rsid w:val="00F45FDE"/>
    <w:rsid w:val="00F46797"/>
    <w:rsid w:val="00F47076"/>
    <w:rsid w:val="00F50397"/>
    <w:rsid w:val="00F50B34"/>
    <w:rsid w:val="00F50FB7"/>
    <w:rsid w:val="00F512DA"/>
    <w:rsid w:val="00F517E6"/>
    <w:rsid w:val="00F51994"/>
    <w:rsid w:val="00F51C00"/>
    <w:rsid w:val="00F52FFF"/>
    <w:rsid w:val="00F53521"/>
    <w:rsid w:val="00F54147"/>
    <w:rsid w:val="00F541CA"/>
    <w:rsid w:val="00F546D0"/>
    <w:rsid w:val="00F5515C"/>
    <w:rsid w:val="00F555F6"/>
    <w:rsid w:val="00F56166"/>
    <w:rsid w:val="00F56E8F"/>
    <w:rsid w:val="00F573C8"/>
    <w:rsid w:val="00F57A5E"/>
    <w:rsid w:val="00F57C10"/>
    <w:rsid w:val="00F60790"/>
    <w:rsid w:val="00F60F7F"/>
    <w:rsid w:val="00F61781"/>
    <w:rsid w:val="00F61BCE"/>
    <w:rsid w:val="00F62062"/>
    <w:rsid w:val="00F62666"/>
    <w:rsid w:val="00F62B9F"/>
    <w:rsid w:val="00F63731"/>
    <w:rsid w:val="00F64342"/>
    <w:rsid w:val="00F64F7A"/>
    <w:rsid w:val="00F6510F"/>
    <w:rsid w:val="00F65918"/>
    <w:rsid w:val="00F6641F"/>
    <w:rsid w:val="00F66DF6"/>
    <w:rsid w:val="00F670B9"/>
    <w:rsid w:val="00F67222"/>
    <w:rsid w:val="00F674EA"/>
    <w:rsid w:val="00F70BF6"/>
    <w:rsid w:val="00F7186A"/>
    <w:rsid w:val="00F71FF3"/>
    <w:rsid w:val="00F723C0"/>
    <w:rsid w:val="00F73FC1"/>
    <w:rsid w:val="00F75478"/>
    <w:rsid w:val="00F75E8B"/>
    <w:rsid w:val="00F76223"/>
    <w:rsid w:val="00F76644"/>
    <w:rsid w:val="00F7692C"/>
    <w:rsid w:val="00F76B60"/>
    <w:rsid w:val="00F76C0D"/>
    <w:rsid w:val="00F77440"/>
    <w:rsid w:val="00F777C3"/>
    <w:rsid w:val="00F77A04"/>
    <w:rsid w:val="00F77D1A"/>
    <w:rsid w:val="00F800D5"/>
    <w:rsid w:val="00F802A1"/>
    <w:rsid w:val="00F8059F"/>
    <w:rsid w:val="00F8083C"/>
    <w:rsid w:val="00F809ED"/>
    <w:rsid w:val="00F80DB3"/>
    <w:rsid w:val="00F812B0"/>
    <w:rsid w:val="00F815D0"/>
    <w:rsid w:val="00F81A96"/>
    <w:rsid w:val="00F823A2"/>
    <w:rsid w:val="00F83315"/>
    <w:rsid w:val="00F833BE"/>
    <w:rsid w:val="00F834BD"/>
    <w:rsid w:val="00F842F0"/>
    <w:rsid w:val="00F84353"/>
    <w:rsid w:val="00F8487F"/>
    <w:rsid w:val="00F84D85"/>
    <w:rsid w:val="00F85862"/>
    <w:rsid w:val="00F85AEC"/>
    <w:rsid w:val="00F87211"/>
    <w:rsid w:val="00F906FA"/>
    <w:rsid w:val="00F90D98"/>
    <w:rsid w:val="00F90F1A"/>
    <w:rsid w:val="00F912CA"/>
    <w:rsid w:val="00F92029"/>
    <w:rsid w:val="00F92045"/>
    <w:rsid w:val="00F92453"/>
    <w:rsid w:val="00F92462"/>
    <w:rsid w:val="00F92F53"/>
    <w:rsid w:val="00F931AA"/>
    <w:rsid w:val="00F93634"/>
    <w:rsid w:val="00F94C2F"/>
    <w:rsid w:val="00F94CD3"/>
    <w:rsid w:val="00F94EE1"/>
    <w:rsid w:val="00F95EF4"/>
    <w:rsid w:val="00F97089"/>
    <w:rsid w:val="00F97A66"/>
    <w:rsid w:val="00F97C97"/>
    <w:rsid w:val="00F97E95"/>
    <w:rsid w:val="00F97F4B"/>
    <w:rsid w:val="00FA0C67"/>
    <w:rsid w:val="00FA1D6D"/>
    <w:rsid w:val="00FA209D"/>
    <w:rsid w:val="00FA24A2"/>
    <w:rsid w:val="00FA2C3A"/>
    <w:rsid w:val="00FA3510"/>
    <w:rsid w:val="00FA3643"/>
    <w:rsid w:val="00FA3BD4"/>
    <w:rsid w:val="00FA419A"/>
    <w:rsid w:val="00FA5E32"/>
    <w:rsid w:val="00FA6291"/>
    <w:rsid w:val="00FA696F"/>
    <w:rsid w:val="00FA79EC"/>
    <w:rsid w:val="00FA7A36"/>
    <w:rsid w:val="00FA7B88"/>
    <w:rsid w:val="00FB10D4"/>
    <w:rsid w:val="00FB138A"/>
    <w:rsid w:val="00FB1D8D"/>
    <w:rsid w:val="00FB2907"/>
    <w:rsid w:val="00FB2EE2"/>
    <w:rsid w:val="00FB3CCB"/>
    <w:rsid w:val="00FB5EC1"/>
    <w:rsid w:val="00FB733D"/>
    <w:rsid w:val="00FB7BD2"/>
    <w:rsid w:val="00FC05E6"/>
    <w:rsid w:val="00FC06C8"/>
    <w:rsid w:val="00FC0886"/>
    <w:rsid w:val="00FC22C2"/>
    <w:rsid w:val="00FC256E"/>
    <w:rsid w:val="00FC2991"/>
    <w:rsid w:val="00FC29CC"/>
    <w:rsid w:val="00FC2F3C"/>
    <w:rsid w:val="00FC345B"/>
    <w:rsid w:val="00FC4053"/>
    <w:rsid w:val="00FC539F"/>
    <w:rsid w:val="00FC53F0"/>
    <w:rsid w:val="00FC5518"/>
    <w:rsid w:val="00FC5688"/>
    <w:rsid w:val="00FC6045"/>
    <w:rsid w:val="00FC61B7"/>
    <w:rsid w:val="00FC62CF"/>
    <w:rsid w:val="00FC7ECA"/>
    <w:rsid w:val="00FD020C"/>
    <w:rsid w:val="00FD03E3"/>
    <w:rsid w:val="00FD0843"/>
    <w:rsid w:val="00FD09B0"/>
    <w:rsid w:val="00FD0A70"/>
    <w:rsid w:val="00FD113C"/>
    <w:rsid w:val="00FD12AE"/>
    <w:rsid w:val="00FD18BA"/>
    <w:rsid w:val="00FD1DC5"/>
    <w:rsid w:val="00FD1F7E"/>
    <w:rsid w:val="00FD2FA4"/>
    <w:rsid w:val="00FD3EF8"/>
    <w:rsid w:val="00FD3FB7"/>
    <w:rsid w:val="00FD4D69"/>
    <w:rsid w:val="00FD4FB1"/>
    <w:rsid w:val="00FD6074"/>
    <w:rsid w:val="00FD6498"/>
    <w:rsid w:val="00FD708D"/>
    <w:rsid w:val="00FD7D75"/>
    <w:rsid w:val="00FD7DFA"/>
    <w:rsid w:val="00FE01AF"/>
    <w:rsid w:val="00FE07AD"/>
    <w:rsid w:val="00FE0D8C"/>
    <w:rsid w:val="00FE1B8C"/>
    <w:rsid w:val="00FE308B"/>
    <w:rsid w:val="00FE37AD"/>
    <w:rsid w:val="00FE3B24"/>
    <w:rsid w:val="00FE40FD"/>
    <w:rsid w:val="00FE4E7F"/>
    <w:rsid w:val="00FE53AD"/>
    <w:rsid w:val="00FE5BF0"/>
    <w:rsid w:val="00FE764C"/>
    <w:rsid w:val="00FF1BD6"/>
    <w:rsid w:val="00FF1E71"/>
    <w:rsid w:val="00FF20D7"/>
    <w:rsid w:val="00FF24A1"/>
    <w:rsid w:val="00FF2CAB"/>
    <w:rsid w:val="00FF353D"/>
    <w:rsid w:val="00FF35F6"/>
    <w:rsid w:val="00FF3629"/>
    <w:rsid w:val="00FF4237"/>
    <w:rsid w:val="00FF4CD6"/>
    <w:rsid w:val="00FF5F03"/>
    <w:rsid w:val="00FF6B9A"/>
    <w:rsid w:val="00FF6E5F"/>
    <w:rsid w:val="00FF7F68"/>
    <w:rsid w:val="04D877A5"/>
    <w:rsid w:val="055A55B4"/>
    <w:rsid w:val="05BC001D"/>
    <w:rsid w:val="06103275"/>
    <w:rsid w:val="06190FCC"/>
    <w:rsid w:val="09120680"/>
    <w:rsid w:val="0C566AD6"/>
    <w:rsid w:val="0CD914B5"/>
    <w:rsid w:val="104D01F0"/>
    <w:rsid w:val="126328AC"/>
    <w:rsid w:val="1B83540D"/>
    <w:rsid w:val="1C493F61"/>
    <w:rsid w:val="1CF37ACA"/>
    <w:rsid w:val="1DF2486D"/>
    <w:rsid w:val="1E611656"/>
    <w:rsid w:val="230807F4"/>
    <w:rsid w:val="23B720F8"/>
    <w:rsid w:val="2D7B179E"/>
    <w:rsid w:val="34284079"/>
    <w:rsid w:val="376B527C"/>
    <w:rsid w:val="37721B2F"/>
    <w:rsid w:val="3A8E7A88"/>
    <w:rsid w:val="3C326368"/>
    <w:rsid w:val="3EFD18DA"/>
    <w:rsid w:val="40381A73"/>
    <w:rsid w:val="41B31CF9"/>
    <w:rsid w:val="42E45EE2"/>
    <w:rsid w:val="455825E6"/>
    <w:rsid w:val="4BA10E14"/>
    <w:rsid w:val="4D5C1246"/>
    <w:rsid w:val="50AA4221"/>
    <w:rsid w:val="552D54C7"/>
    <w:rsid w:val="5D7C348F"/>
    <w:rsid w:val="61094D40"/>
    <w:rsid w:val="65D35C16"/>
    <w:rsid w:val="66C33EDD"/>
    <w:rsid w:val="67CD5013"/>
    <w:rsid w:val="69CE0BCF"/>
    <w:rsid w:val="6A1A02B8"/>
    <w:rsid w:val="6B5030E5"/>
    <w:rsid w:val="6EC74EE1"/>
    <w:rsid w:val="75C857C9"/>
    <w:rsid w:val="78880AE2"/>
    <w:rsid w:val="7C240B22"/>
    <w:rsid w:val="7D2E7EAA"/>
    <w:rsid w:val="7E661825"/>
    <w:rsid w:val="7F011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2"/>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9"/>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7"/>
    <w:autoRedefine/>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8"/>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autoRedefine/>
    <w:qFormat/>
    <w:uiPriority w:val="99"/>
    <w:pPr>
      <w:autoSpaceDE w:val="0"/>
      <w:autoSpaceDN w:val="0"/>
      <w:adjustRightInd w:val="0"/>
      <w:snapToGrid w:val="0"/>
      <w:spacing w:before="120" w:line="360" w:lineRule="auto"/>
    </w:pPr>
    <w:rPr>
      <w:rFonts w:ascii="Arial" w:hAnsi="Arial"/>
      <w:snapToGrid w:val="0"/>
      <w:color w:val="000000"/>
      <w:kern w:val="0"/>
      <w:szCs w:val="20"/>
    </w:rPr>
  </w:style>
  <w:style w:type="paragraph" w:styleId="7">
    <w:name w:val="Document Map"/>
    <w:basedOn w:val="1"/>
    <w:link w:val="57"/>
    <w:autoRedefine/>
    <w:semiHidden/>
    <w:unhideWhenUsed/>
    <w:qFormat/>
    <w:uiPriority w:val="99"/>
    <w:rPr>
      <w:rFonts w:ascii="宋体" w:eastAsia="宋体"/>
      <w:sz w:val="18"/>
      <w:szCs w:val="18"/>
    </w:rPr>
  </w:style>
  <w:style w:type="paragraph" w:styleId="8">
    <w:name w:val="annotation text"/>
    <w:basedOn w:val="1"/>
    <w:link w:val="49"/>
    <w:autoRedefine/>
    <w:unhideWhenUsed/>
    <w:qFormat/>
    <w:uiPriority w:val="0"/>
    <w:pPr>
      <w:jc w:val="left"/>
    </w:pPr>
  </w:style>
  <w:style w:type="paragraph" w:styleId="9">
    <w:name w:val="Body Text"/>
    <w:basedOn w:val="1"/>
    <w:link w:val="45"/>
    <w:autoRedefine/>
    <w:qFormat/>
    <w:uiPriority w:val="0"/>
    <w:pPr>
      <w:spacing w:after="120"/>
    </w:pPr>
    <w:rPr>
      <w:rFonts w:ascii="Times New Roman" w:hAnsi="Times New Roman" w:eastAsia="宋体" w:cs="Times New Roman"/>
      <w:szCs w:val="24"/>
    </w:rPr>
  </w:style>
  <w:style w:type="paragraph" w:styleId="10">
    <w:name w:val="toc 3"/>
    <w:basedOn w:val="1"/>
    <w:next w:val="1"/>
    <w:autoRedefine/>
    <w:unhideWhenUsed/>
    <w:qFormat/>
    <w:uiPriority w:val="39"/>
    <w:pPr>
      <w:widowControl/>
      <w:spacing w:after="100" w:line="276" w:lineRule="auto"/>
      <w:ind w:left="440"/>
      <w:jc w:val="left"/>
    </w:pPr>
    <w:rPr>
      <w:kern w:val="0"/>
      <w:sz w:val="22"/>
    </w:rPr>
  </w:style>
  <w:style w:type="paragraph" w:styleId="11">
    <w:name w:val="Plain Text"/>
    <w:basedOn w:val="1"/>
    <w:link w:val="40"/>
    <w:autoRedefine/>
    <w:qFormat/>
    <w:uiPriority w:val="0"/>
    <w:rPr>
      <w:rFonts w:ascii="宋体" w:hAnsi="Courier New" w:eastAsia="宋体"/>
      <w:szCs w:val="24"/>
    </w:rPr>
  </w:style>
  <w:style w:type="paragraph" w:styleId="12">
    <w:name w:val="Date"/>
    <w:basedOn w:val="1"/>
    <w:next w:val="1"/>
    <w:link w:val="29"/>
    <w:autoRedefine/>
    <w:unhideWhenUsed/>
    <w:qFormat/>
    <w:uiPriority w:val="0"/>
    <w:pPr>
      <w:ind w:left="100" w:leftChars="2500"/>
    </w:pPr>
  </w:style>
  <w:style w:type="paragraph" w:styleId="13">
    <w:name w:val="Balloon Text"/>
    <w:basedOn w:val="1"/>
    <w:link w:val="28"/>
    <w:autoRedefine/>
    <w:unhideWhenUsed/>
    <w:qFormat/>
    <w:uiPriority w:val="0"/>
    <w:rPr>
      <w:sz w:val="18"/>
      <w:szCs w:val="18"/>
    </w:rPr>
  </w:style>
  <w:style w:type="paragraph" w:styleId="14">
    <w:name w:val="footer"/>
    <w:basedOn w:val="1"/>
    <w:link w:val="34"/>
    <w:autoRedefine/>
    <w:unhideWhenUsed/>
    <w:qFormat/>
    <w:uiPriority w:val="99"/>
    <w:pPr>
      <w:tabs>
        <w:tab w:val="center" w:pos="4153"/>
        <w:tab w:val="right" w:pos="8306"/>
      </w:tabs>
      <w:snapToGrid w:val="0"/>
      <w:jc w:val="left"/>
    </w:pPr>
    <w:rPr>
      <w:sz w:val="18"/>
      <w:szCs w:val="18"/>
    </w:rPr>
  </w:style>
  <w:style w:type="paragraph" w:styleId="15">
    <w:name w:val="header"/>
    <w:basedOn w:val="1"/>
    <w:link w:val="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pPr>
      <w:widowControl/>
      <w:tabs>
        <w:tab w:val="right" w:leader="dot" w:pos="8273"/>
      </w:tabs>
      <w:spacing w:line="360" w:lineRule="auto"/>
      <w:jc w:val="left"/>
    </w:pPr>
    <w:rPr>
      <w:rFonts w:eastAsia="黑体"/>
      <w:kern w:val="0"/>
      <w:sz w:val="22"/>
    </w:rPr>
  </w:style>
  <w:style w:type="paragraph" w:styleId="17">
    <w:name w:val="toc 2"/>
    <w:basedOn w:val="1"/>
    <w:next w:val="1"/>
    <w:autoRedefine/>
    <w:unhideWhenUsed/>
    <w:qFormat/>
    <w:uiPriority w:val="39"/>
    <w:pPr>
      <w:widowControl/>
      <w:tabs>
        <w:tab w:val="left" w:pos="709"/>
        <w:tab w:val="right" w:leader="dot" w:pos="8302"/>
      </w:tabs>
      <w:spacing w:after="100" w:line="276" w:lineRule="auto"/>
      <w:ind w:left="220"/>
      <w:jc w:val="left"/>
    </w:pPr>
    <w:rPr>
      <w:kern w:val="0"/>
      <w:sz w:val="22"/>
    </w:rPr>
  </w:style>
  <w:style w:type="paragraph" w:styleId="18">
    <w:name w:val="Normal (Web)"/>
    <w:basedOn w:val="1"/>
    <w:autoRedefine/>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19">
    <w:name w:val="annotation subject"/>
    <w:basedOn w:val="8"/>
    <w:next w:val="8"/>
    <w:link w:val="50"/>
    <w:autoRedefine/>
    <w:semiHidden/>
    <w:unhideWhenUsed/>
    <w:qFormat/>
    <w:uiPriority w:val="99"/>
    <w:rPr>
      <w:b/>
      <w:bCs/>
    </w:rPr>
  </w:style>
  <w:style w:type="table" w:styleId="21">
    <w:name w:val="Table Grid"/>
    <w:basedOn w:val="2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22"/>
    <w:rPr>
      <w:b/>
      <w:bCs/>
    </w:rPr>
  </w:style>
  <w:style w:type="character" w:styleId="24">
    <w:name w:val="FollowedHyperlink"/>
    <w:basedOn w:val="22"/>
    <w:autoRedefine/>
    <w:semiHidden/>
    <w:unhideWhenUsed/>
    <w:qFormat/>
    <w:uiPriority w:val="99"/>
    <w:rPr>
      <w:color w:val="800080" w:themeColor="followedHyperlink"/>
      <w:u w:val="single"/>
      <w14:textFill>
        <w14:solidFill>
          <w14:schemeClr w14:val="folHlink"/>
        </w14:solidFill>
      </w14:textFill>
    </w:rPr>
  </w:style>
  <w:style w:type="character" w:styleId="25">
    <w:name w:val="Emphasis"/>
    <w:basedOn w:val="22"/>
    <w:autoRedefine/>
    <w:qFormat/>
    <w:uiPriority w:val="20"/>
    <w:rPr>
      <w:i/>
      <w:iCs/>
    </w:rPr>
  </w:style>
  <w:style w:type="character" w:styleId="26">
    <w:name w:val="Hyperlink"/>
    <w:autoRedefine/>
    <w:qFormat/>
    <w:uiPriority w:val="99"/>
    <w:rPr>
      <w:color w:val="0000FF"/>
      <w:u w:val="single"/>
    </w:rPr>
  </w:style>
  <w:style w:type="character" w:styleId="27">
    <w:name w:val="annotation reference"/>
    <w:basedOn w:val="22"/>
    <w:autoRedefine/>
    <w:unhideWhenUsed/>
    <w:qFormat/>
    <w:uiPriority w:val="0"/>
    <w:rPr>
      <w:sz w:val="21"/>
      <w:szCs w:val="21"/>
    </w:rPr>
  </w:style>
  <w:style w:type="character" w:customStyle="1" w:styleId="28">
    <w:name w:val="批注框文本 Char"/>
    <w:basedOn w:val="22"/>
    <w:link w:val="13"/>
    <w:autoRedefine/>
    <w:qFormat/>
    <w:uiPriority w:val="0"/>
    <w:rPr>
      <w:sz w:val="18"/>
      <w:szCs w:val="18"/>
    </w:rPr>
  </w:style>
  <w:style w:type="character" w:customStyle="1" w:styleId="29">
    <w:name w:val="日期 Char"/>
    <w:basedOn w:val="22"/>
    <w:link w:val="12"/>
    <w:autoRedefine/>
    <w:semiHidden/>
    <w:qFormat/>
    <w:uiPriority w:val="99"/>
  </w:style>
  <w:style w:type="paragraph" w:styleId="30">
    <w:name w:val="List Paragraph"/>
    <w:basedOn w:val="1"/>
    <w:link w:val="46"/>
    <w:autoRedefine/>
    <w:qFormat/>
    <w:uiPriority w:val="34"/>
    <w:pPr>
      <w:ind w:firstLine="420" w:firstLineChars="200"/>
    </w:pPr>
  </w:style>
  <w:style w:type="character" w:customStyle="1" w:styleId="31">
    <w:name w:val="p141"/>
    <w:autoRedefine/>
    <w:qFormat/>
    <w:uiPriority w:val="0"/>
    <w:rPr>
      <w:sz w:val="21"/>
      <w:szCs w:val="21"/>
    </w:rPr>
  </w:style>
  <w:style w:type="character" w:customStyle="1" w:styleId="32">
    <w:name w:val="标题 1 Char"/>
    <w:basedOn w:val="22"/>
    <w:link w:val="3"/>
    <w:autoRedefine/>
    <w:qFormat/>
    <w:uiPriority w:val="9"/>
    <w:rPr>
      <w:b/>
      <w:bCs/>
      <w:kern w:val="44"/>
      <w:sz w:val="44"/>
      <w:szCs w:val="44"/>
    </w:rPr>
  </w:style>
  <w:style w:type="character" w:customStyle="1" w:styleId="33">
    <w:name w:val="页眉 Char"/>
    <w:basedOn w:val="22"/>
    <w:link w:val="15"/>
    <w:autoRedefine/>
    <w:qFormat/>
    <w:uiPriority w:val="99"/>
    <w:rPr>
      <w:sz w:val="18"/>
      <w:szCs w:val="18"/>
    </w:rPr>
  </w:style>
  <w:style w:type="character" w:customStyle="1" w:styleId="34">
    <w:name w:val="页脚 Char"/>
    <w:basedOn w:val="22"/>
    <w:link w:val="14"/>
    <w:autoRedefine/>
    <w:qFormat/>
    <w:uiPriority w:val="99"/>
    <w:rPr>
      <w:sz w:val="18"/>
      <w:szCs w:val="18"/>
    </w:rPr>
  </w:style>
  <w:style w:type="paragraph" w:customStyle="1" w:styleId="35">
    <w:name w:val="TOC 标题1"/>
    <w:basedOn w:val="3"/>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正文缩进2格"/>
    <w:basedOn w:val="37"/>
    <w:link w:val="38"/>
    <w:autoRedefine/>
    <w:qFormat/>
    <w:uiPriority w:val="0"/>
    <w:pPr>
      <w:spacing w:line="600" w:lineRule="exact"/>
      <w:ind w:firstLine="639" w:firstLineChars="206"/>
    </w:pPr>
    <w:rPr>
      <w:rFonts w:ascii="仿宋_GB2312" w:hAnsi="宋体" w:eastAsia="仿宋_GB2312" w:cs="Times New Roman"/>
      <w:sz w:val="31"/>
      <w:szCs w:val="28"/>
    </w:rPr>
  </w:style>
  <w:style w:type="paragraph" w:customStyle="1" w:styleId="37">
    <w:name w:val="正文1"/>
    <w:basedOn w:val="1"/>
    <w:autoRedefine/>
    <w:qFormat/>
    <w:uiPriority w:val="0"/>
    <w:pPr>
      <w:spacing w:before="60" w:after="60" w:line="360" w:lineRule="auto"/>
      <w:outlineLvl w:val="6"/>
    </w:pPr>
    <w:rPr>
      <w:sz w:val="24"/>
      <w:szCs w:val="24"/>
    </w:rPr>
  </w:style>
  <w:style w:type="character" w:customStyle="1" w:styleId="38">
    <w:name w:val="正文缩进2格 Char"/>
    <w:link w:val="36"/>
    <w:autoRedefine/>
    <w:qFormat/>
    <w:uiPriority w:val="0"/>
    <w:rPr>
      <w:rFonts w:ascii="仿宋_GB2312" w:hAnsi="宋体" w:eastAsia="仿宋_GB2312" w:cs="Times New Roman"/>
      <w:sz w:val="31"/>
      <w:szCs w:val="28"/>
    </w:rPr>
  </w:style>
  <w:style w:type="character" w:customStyle="1" w:styleId="39">
    <w:name w:val="标题 2 Char"/>
    <w:basedOn w:val="22"/>
    <w:link w:val="4"/>
    <w:autoRedefine/>
    <w:qFormat/>
    <w:uiPriority w:val="9"/>
    <w:rPr>
      <w:rFonts w:asciiTheme="majorHAnsi" w:hAnsiTheme="majorHAnsi" w:eastAsiaTheme="majorEastAsia" w:cstheme="majorBidi"/>
      <w:b/>
      <w:bCs/>
      <w:sz w:val="32"/>
      <w:szCs w:val="32"/>
    </w:rPr>
  </w:style>
  <w:style w:type="character" w:customStyle="1" w:styleId="40">
    <w:name w:val="纯文本 Char1"/>
    <w:basedOn w:val="22"/>
    <w:link w:val="11"/>
    <w:autoRedefine/>
    <w:qFormat/>
    <w:uiPriority w:val="0"/>
    <w:rPr>
      <w:rFonts w:ascii="宋体" w:hAnsi="Courier New" w:eastAsia="宋体"/>
      <w:szCs w:val="24"/>
    </w:rPr>
  </w:style>
  <w:style w:type="character" w:customStyle="1" w:styleId="41">
    <w:name w:val="纯文本 Char"/>
    <w:basedOn w:val="22"/>
    <w:autoRedefine/>
    <w:semiHidden/>
    <w:qFormat/>
    <w:uiPriority w:val="99"/>
    <w:rPr>
      <w:rFonts w:ascii="宋体" w:hAnsi="Courier New" w:eastAsia="宋体" w:cs="Courier New"/>
      <w:szCs w:val="21"/>
    </w:rPr>
  </w:style>
  <w:style w:type="character" w:customStyle="1" w:styleId="42">
    <w:name w:val="正文缩进2格 Char Char"/>
    <w:basedOn w:val="22"/>
    <w:autoRedefine/>
    <w:qFormat/>
    <w:uiPriority w:val="0"/>
    <w:rPr>
      <w:rFonts w:ascii="仿宋_GB2312" w:hAnsi="宋体" w:eastAsia="仿宋_GB2312"/>
      <w:kern w:val="2"/>
      <w:sz w:val="31"/>
      <w:szCs w:val="28"/>
      <w:lang w:val="en-US" w:eastAsia="zh-CN" w:bidi="ar-SA"/>
    </w:rPr>
  </w:style>
  <w:style w:type="paragraph" w:customStyle="1" w:styleId="43">
    <w:name w:val="正文缩进4格"/>
    <w:basedOn w:val="36"/>
    <w:autoRedefine/>
    <w:qFormat/>
    <w:uiPriority w:val="0"/>
    <w:pPr>
      <w:spacing w:line="340" w:lineRule="exact"/>
      <w:ind w:firstLine="315" w:firstLineChars="0"/>
    </w:pPr>
    <w:rPr>
      <w:rFonts w:ascii="宋体" w:eastAsia="宋体"/>
      <w:sz w:val="24"/>
      <w:szCs w:val="24"/>
    </w:rPr>
  </w:style>
  <w:style w:type="character" w:customStyle="1" w:styleId="44">
    <w:name w:val="正文文本 Char"/>
    <w:basedOn w:val="22"/>
    <w:autoRedefine/>
    <w:semiHidden/>
    <w:qFormat/>
    <w:uiPriority w:val="99"/>
  </w:style>
  <w:style w:type="character" w:customStyle="1" w:styleId="45">
    <w:name w:val="正文文本 Char1"/>
    <w:link w:val="9"/>
    <w:autoRedefine/>
    <w:qFormat/>
    <w:uiPriority w:val="0"/>
    <w:rPr>
      <w:rFonts w:ascii="Times New Roman" w:hAnsi="Times New Roman" w:eastAsia="宋体" w:cs="Times New Roman"/>
      <w:szCs w:val="24"/>
    </w:rPr>
  </w:style>
  <w:style w:type="character" w:customStyle="1" w:styleId="46">
    <w:name w:val="列出段落 Char"/>
    <w:link w:val="30"/>
    <w:autoRedefine/>
    <w:qFormat/>
    <w:uiPriority w:val="34"/>
  </w:style>
  <w:style w:type="character" w:customStyle="1" w:styleId="47">
    <w:name w:val="标题 3 Char"/>
    <w:basedOn w:val="22"/>
    <w:link w:val="5"/>
    <w:autoRedefine/>
    <w:semiHidden/>
    <w:qFormat/>
    <w:uiPriority w:val="9"/>
    <w:rPr>
      <w:b/>
      <w:bCs/>
      <w:sz w:val="32"/>
      <w:szCs w:val="32"/>
    </w:rPr>
  </w:style>
  <w:style w:type="character" w:customStyle="1" w:styleId="48">
    <w:name w:val="标题 4 Char"/>
    <w:basedOn w:val="22"/>
    <w:link w:val="6"/>
    <w:autoRedefine/>
    <w:semiHidden/>
    <w:qFormat/>
    <w:uiPriority w:val="9"/>
    <w:rPr>
      <w:rFonts w:asciiTheme="majorHAnsi" w:hAnsiTheme="majorHAnsi" w:eastAsiaTheme="majorEastAsia" w:cstheme="majorBidi"/>
      <w:b/>
      <w:bCs/>
      <w:sz w:val="28"/>
      <w:szCs w:val="28"/>
    </w:rPr>
  </w:style>
  <w:style w:type="character" w:customStyle="1" w:styleId="49">
    <w:name w:val="批注文字 Char"/>
    <w:basedOn w:val="22"/>
    <w:link w:val="8"/>
    <w:autoRedefine/>
    <w:qFormat/>
    <w:uiPriority w:val="0"/>
  </w:style>
  <w:style w:type="character" w:customStyle="1" w:styleId="50">
    <w:name w:val="批注主题 Char"/>
    <w:basedOn w:val="49"/>
    <w:link w:val="19"/>
    <w:autoRedefine/>
    <w:semiHidden/>
    <w:qFormat/>
    <w:uiPriority w:val="99"/>
    <w:rPr>
      <w:b/>
      <w:bCs/>
    </w:rPr>
  </w:style>
  <w:style w:type="paragraph" w:customStyle="1" w:styleId="51">
    <w:name w:val="保留正文"/>
    <w:basedOn w:val="9"/>
    <w:autoRedefine/>
    <w:qFormat/>
    <w:uiPriority w:val="0"/>
    <w:pPr>
      <w:keepNext/>
      <w:spacing w:after="160"/>
    </w:pPr>
  </w:style>
  <w:style w:type="paragraph" w:customStyle="1" w:styleId="52">
    <w:name w:val="列出段落1"/>
    <w:basedOn w:val="1"/>
    <w:autoRedefine/>
    <w:qFormat/>
    <w:uiPriority w:val="34"/>
    <w:pPr>
      <w:ind w:firstLine="420" w:firstLineChars="200"/>
    </w:pPr>
    <w:rPr>
      <w:rFonts w:ascii="Calibri" w:hAnsi="Calibri" w:eastAsia="宋体" w:cs="黑体"/>
    </w:rPr>
  </w:style>
  <w:style w:type="paragraph" w:customStyle="1" w:styleId="53">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54">
    <w:name w:val="_Style 202"/>
    <w:basedOn w:val="1"/>
    <w:autoRedefine/>
    <w:qFormat/>
    <w:uiPriority w:val="0"/>
    <w:pPr>
      <w:tabs>
        <w:tab w:val="left" w:pos="360"/>
      </w:tabs>
    </w:pPr>
    <w:rPr>
      <w:rFonts w:ascii="Times New Roman" w:hAnsi="Times New Roman" w:eastAsia="宋体" w:cs="Times New Roman"/>
      <w:szCs w:val="24"/>
    </w:rPr>
  </w:style>
  <w:style w:type="paragraph" w:customStyle="1" w:styleId="55">
    <w:name w:val="Char1 Char Char Char"/>
    <w:basedOn w:val="1"/>
    <w:autoRedefine/>
    <w:qFormat/>
    <w:uiPriority w:val="0"/>
    <w:rPr>
      <w:rFonts w:ascii="黑体" w:hAnsi="Verdana" w:eastAsia="黑体" w:cs="Times New Roman"/>
      <w:kern w:val="0"/>
      <w:sz w:val="32"/>
      <w:szCs w:val="32"/>
      <w:lang w:eastAsia="en-US"/>
    </w:rPr>
  </w:style>
  <w:style w:type="paragraph" w:customStyle="1" w:styleId="56">
    <w:name w:val="1 Char Char Char Char"/>
    <w:basedOn w:val="1"/>
    <w:autoRedefine/>
    <w:qFormat/>
    <w:uiPriority w:val="0"/>
    <w:pPr>
      <w:spacing w:after="160" w:line="240" w:lineRule="exact"/>
    </w:pPr>
    <w:rPr>
      <w:rFonts w:ascii="Times New Roman" w:hAnsi="Times New Roman" w:eastAsia="宋体" w:cs="Times New Roman"/>
      <w:szCs w:val="24"/>
    </w:rPr>
  </w:style>
  <w:style w:type="character" w:customStyle="1" w:styleId="57">
    <w:name w:val="文档结构图 Char"/>
    <w:basedOn w:val="22"/>
    <w:link w:val="7"/>
    <w:autoRedefine/>
    <w:semiHidden/>
    <w:qFormat/>
    <w:uiPriority w:val="99"/>
    <w:rPr>
      <w:rFonts w:ascii="宋体" w:eastAsia="宋体"/>
      <w:sz w:val="18"/>
      <w:szCs w:val="18"/>
    </w:rPr>
  </w:style>
  <w:style w:type="paragraph" w:customStyle="1" w:styleId="58">
    <w:name w:val="样式4"/>
    <w:basedOn w:val="1"/>
    <w:autoRedefine/>
    <w:qFormat/>
    <w:uiPriority w:val="0"/>
    <w:pPr>
      <w:tabs>
        <w:tab w:val="left" w:pos="2328"/>
      </w:tabs>
      <w:ind w:left="2328" w:hanging="708"/>
    </w:pPr>
    <w:rPr>
      <w:rFonts w:ascii="Times New Roman" w:hAnsi="Times New Roman" w:eastAsia="宋体" w:cs="Times New Roman"/>
      <w:szCs w:val="24"/>
    </w:rPr>
  </w:style>
  <w:style w:type="paragraph" w:customStyle="1" w:styleId="59">
    <w:name w:val="Char Char Char Char Char Char Char Char Char Char Char Char1 Char Char Char Char"/>
    <w:basedOn w:val="1"/>
    <w:autoRedefine/>
    <w:qFormat/>
    <w:uiPriority w:val="0"/>
    <w:pPr>
      <w:widowControl/>
      <w:spacing w:after="160" w:line="240" w:lineRule="exact"/>
      <w:jc w:val="center"/>
    </w:pPr>
    <w:rPr>
      <w:rFonts w:ascii="黑体" w:hAnsi="Verdana" w:eastAsia="黑体" w:cs="Times New Roman"/>
      <w:kern w:val="0"/>
      <w:sz w:val="32"/>
      <w:szCs w:val="32"/>
      <w:lang w:eastAsia="en-US"/>
    </w:rPr>
  </w:style>
  <w:style w:type="character" w:customStyle="1" w:styleId="60">
    <w:name w:val="未处理的提及1"/>
    <w:basedOn w:val="22"/>
    <w:autoRedefine/>
    <w:semiHidden/>
    <w:unhideWhenUsed/>
    <w:qFormat/>
    <w:uiPriority w:val="99"/>
    <w:rPr>
      <w:color w:val="605E5C"/>
      <w:shd w:val="clear" w:color="auto" w:fill="E1DFDD"/>
    </w:rPr>
  </w:style>
  <w:style w:type="character" w:customStyle="1" w:styleId="61">
    <w:name w:val="未处理的提及2"/>
    <w:basedOn w:val="22"/>
    <w:autoRedefine/>
    <w:semiHidden/>
    <w:unhideWhenUsed/>
    <w:qFormat/>
    <w:uiPriority w:val="99"/>
    <w:rPr>
      <w:color w:val="605E5C"/>
      <w:shd w:val="clear" w:color="auto" w:fill="E1DFDD"/>
    </w:rPr>
  </w:style>
  <w:style w:type="table" w:customStyle="1" w:styleId="62">
    <w:name w:val="Table Normal"/>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63">
    <w:name w:val="Table Paragraph"/>
    <w:basedOn w:val="1"/>
    <w:autoRedefine/>
    <w:qFormat/>
    <w:uiPriority w:val="1"/>
    <w:pPr>
      <w:autoSpaceDE w:val="0"/>
      <w:autoSpaceDN w:val="0"/>
      <w:jc w:val="left"/>
    </w:pPr>
    <w:rPr>
      <w:rFonts w:ascii="宋体" w:hAnsi="宋体" w:eastAsia="宋体" w:cs="宋体"/>
      <w:kern w:val="0"/>
      <w:sz w:val="22"/>
      <w:lang w:eastAsia="en-US"/>
    </w:rPr>
  </w:style>
  <w:style w:type="paragraph" w:customStyle="1" w:styleId="64">
    <w:name w:val="null3"/>
    <w:autoRedefine/>
    <w:qFormat/>
    <w:uiPriority w:val="0"/>
    <w:rPr>
      <w:rFonts w:hint="eastAsia" w:ascii="Calibri" w:hAnsi="Calibri" w:eastAsia="宋体" w:cs="Times New Roman"/>
      <w:lang w:val="en-US" w:eastAsia="zh-Hans" w:bidi="ar-SA"/>
    </w:rPr>
  </w:style>
  <w:style w:type="paragraph" w:customStyle="1" w:styleId="65">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修订2"/>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67">
    <w:name w:val="修订3"/>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68">
    <w:name w:val="样式 宋体 行距: 1.5 倍行距"/>
    <w:basedOn w:val="1"/>
    <w:qFormat/>
    <w:uiPriority w:val="0"/>
    <w:pPr>
      <w:jc w:val="center"/>
    </w:pPr>
    <w:rPr>
      <w:rFonts w:ascii="Times New Roman"/>
      <w:b/>
    </w:rPr>
  </w:style>
  <w:style w:type="paragraph" w:customStyle="1" w:styleId="69">
    <w:name w:val="表格"/>
    <w:basedOn w:val="1"/>
    <w:qFormat/>
    <w:uiPriority w:val="0"/>
    <w:pPr>
      <w:adjustRightInd w:val="0"/>
      <w:snapToGrid w:val="0"/>
      <w:spacing w:line="288" w:lineRule="auto"/>
      <w:jc w:val="center"/>
    </w:pPr>
    <w:rPr>
      <w:rFonts w:ascii="等线" w:hAnsi="等线" w:eastAsia="仿宋" w:cs="Times New Roman"/>
      <w:szCs w:val="21"/>
    </w:rPr>
  </w:style>
  <w:style w:type="paragraph" w:customStyle="1" w:styleId="70">
    <w:name w:val="正文2"/>
    <w:qFormat/>
    <w:uiPriority w:val="0"/>
    <w:pPr>
      <w:jc w:val="both"/>
    </w:pPr>
    <w:rPr>
      <w:rFonts w:ascii="等线" w:hAnsi="等线" w:eastAsia="宋体" w:cs="宋体"/>
      <w:kern w:val="2"/>
      <w:sz w:val="21"/>
      <w:szCs w:val="21"/>
      <w:lang w:val="en-US" w:eastAsia="zh-CN" w:bidi="ar-SA"/>
    </w:rPr>
  </w:style>
  <w:style w:type="paragraph" w:customStyle="1" w:styleId="71">
    <w:name w:val="列出段落2"/>
    <w:basedOn w:val="1"/>
    <w:qFormat/>
    <w:uiPriority w:val="0"/>
    <w:pPr>
      <w:ind w:firstLine="420" w:firstLineChars="200"/>
    </w:pPr>
    <w:rPr>
      <w:rFonts w:ascii="等线" w:hAnsi="等线" w:eastAsia="等线" w:cs="Times New Roman"/>
      <w:szCs w:val="21"/>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Chinese ORG</Company>
  <Pages>90</Pages>
  <Words>12948</Words>
  <Characters>14054</Characters>
  <Lines>359</Lines>
  <Paragraphs>101</Paragraphs>
  <TotalTime>2</TotalTime>
  <ScaleCrop>false</ScaleCrop>
  <LinksUpToDate>false</LinksUpToDate>
  <CharactersWithSpaces>14158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2022-11-17T02:11:00Z</dcterms:created>
  <dc:creator>YD-LING</dc:creator>
  <cp:lastModifiedBy>郑翠婷</cp:lastModifiedBy>
  <cp:lastPrinted>2020-12-07T02:17:00Z</cp:lastPrinted>
  <dcterms:modified xsi:type="dcterms:W3CDTF">2024-11-08T08:42:50Z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ABF592AEB8C34B67B4433AC9865450C2_13</vt:lpwstr>
  </property>
</Properties>
</file>