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EA1CA">
      <w:pPr>
        <w:adjustRightInd w:val="0"/>
        <w:snapToGrid w:val="0"/>
        <w:jc w:val="center"/>
        <w:rPr>
          <w:rFonts w:ascii="宋体" w:hAnsi="宋体"/>
          <w:bCs/>
          <w:color w:val="auto"/>
          <w:szCs w:val="32"/>
          <w:highlight w:val="none"/>
        </w:rPr>
      </w:pPr>
      <w:r>
        <w:rPr>
          <w:rFonts w:hint="eastAsia"/>
          <w:b/>
          <w:color w:val="auto"/>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5"/>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14:paraId="16F19A80">
      <w:pPr>
        <w:ind w:right="-281"/>
        <w:jc w:val="right"/>
        <w:rPr>
          <w:rFonts w:ascii="Bookman Old Style" w:hAnsi="Bookman Old Style"/>
          <w:b/>
          <w:color w:val="auto"/>
          <w:sz w:val="28"/>
          <w:highlight w:val="none"/>
        </w:rPr>
      </w:pPr>
    </w:p>
    <w:p w14:paraId="4DC0EB5A">
      <w:pPr>
        <w:spacing w:after="240" w:afterLines="100" w:line="500" w:lineRule="exact"/>
        <w:jc w:val="center"/>
        <w:rPr>
          <w:b/>
          <w:color w:val="auto"/>
          <w:sz w:val="44"/>
          <w:szCs w:val="44"/>
          <w:highlight w:val="none"/>
        </w:rPr>
      </w:pPr>
    </w:p>
    <w:p w14:paraId="7D11C724">
      <w:pPr>
        <w:spacing w:after="240" w:afterLines="100" w:line="500" w:lineRule="exact"/>
        <w:jc w:val="center"/>
        <w:rPr>
          <w:b/>
          <w:color w:val="auto"/>
          <w:sz w:val="52"/>
          <w:szCs w:val="52"/>
          <w:highlight w:val="none"/>
        </w:rPr>
      </w:pPr>
    </w:p>
    <w:p w14:paraId="2E119C0D">
      <w:pPr>
        <w:spacing w:after="120" w:afterLines="50"/>
        <w:jc w:val="center"/>
        <w:rPr>
          <w:b/>
          <w:color w:val="auto"/>
          <w:sz w:val="52"/>
          <w:szCs w:val="52"/>
          <w:highlight w:val="none"/>
        </w:rPr>
      </w:pPr>
      <w:r>
        <w:rPr>
          <w:rFonts w:hint="eastAsia"/>
          <w:b/>
          <w:color w:val="auto"/>
          <w:sz w:val="52"/>
          <w:szCs w:val="52"/>
          <w:highlight w:val="none"/>
        </w:rPr>
        <w:t>中国科学院高能物理研究所</w:t>
      </w:r>
    </w:p>
    <w:p w14:paraId="749C6ED1">
      <w:pPr>
        <w:spacing w:after="120" w:afterLines="50"/>
        <w:jc w:val="center"/>
        <w:rPr>
          <w:b/>
          <w:color w:val="auto"/>
          <w:sz w:val="52"/>
          <w:szCs w:val="52"/>
          <w:highlight w:val="none"/>
        </w:rPr>
      </w:pPr>
      <w:r>
        <w:rPr>
          <w:rFonts w:hint="eastAsia"/>
          <w:b/>
          <w:color w:val="auto"/>
          <w:sz w:val="52"/>
          <w:szCs w:val="52"/>
          <w:highlight w:val="none"/>
        </w:rPr>
        <w:t xml:space="preserve">高能同步辐射光源通用设施运维项目                        </w:t>
      </w:r>
    </w:p>
    <w:p w14:paraId="30544ECC">
      <w:pPr>
        <w:spacing w:line="360" w:lineRule="auto"/>
        <w:rPr>
          <w:b/>
          <w:color w:val="auto"/>
          <w:sz w:val="44"/>
          <w:highlight w:val="none"/>
        </w:rPr>
      </w:pPr>
    </w:p>
    <w:p w14:paraId="2D5FC027">
      <w:pPr>
        <w:spacing w:line="360" w:lineRule="auto"/>
        <w:jc w:val="center"/>
        <w:rPr>
          <w:rFonts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14:paraId="4D5B5C0D">
      <w:pPr>
        <w:spacing w:line="360" w:lineRule="auto"/>
        <w:jc w:val="center"/>
        <w:rPr>
          <w:rFonts w:ascii="宋体" w:hAnsi="宋体"/>
          <w:b/>
          <w:color w:val="auto"/>
          <w:sz w:val="32"/>
          <w:szCs w:val="32"/>
          <w:highlight w:val="none"/>
        </w:rPr>
      </w:pPr>
    </w:p>
    <w:p w14:paraId="44E74E4A">
      <w:pPr>
        <w:spacing w:line="360" w:lineRule="auto"/>
        <w:jc w:val="center"/>
        <w:rPr>
          <w:rFonts w:ascii="宋体" w:hAnsi="宋体"/>
          <w:b/>
          <w:color w:val="auto"/>
          <w:sz w:val="30"/>
          <w:szCs w:val="30"/>
          <w:highlight w:val="none"/>
        </w:rPr>
      </w:pPr>
    </w:p>
    <w:p w14:paraId="78B3587A">
      <w:pPr>
        <w:spacing w:line="360" w:lineRule="auto"/>
        <w:ind w:firstLine="2168" w:firstLineChars="600"/>
        <w:rPr>
          <w:b/>
          <w:color w:val="auto"/>
          <w:sz w:val="32"/>
          <w:highlight w:val="none"/>
          <w:u w:val="single"/>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rPr>
        <w:t xml:space="preserve">    OITC-G260360326        </w:t>
      </w:r>
    </w:p>
    <w:p w14:paraId="13563A3B">
      <w:pPr>
        <w:spacing w:line="360" w:lineRule="auto"/>
        <w:jc w:val="center"/>
        <w:rPr>
          <w:b/>
          <w:color w:val="auto"/>
          <w:sz w:val="32"/>
          <w:highlight w:val="none"/>
        </w:rPr>
      </w:pPr>
    </w:p>
    <w:p w14:paraId="6E04B14A">
      <w:pPr>
        <w:spacing w:line="360" w:lineRule="auto"/>
        <w:jc w:val="center"/>
        <w:rPr>
          <w:b/>
          <w:color w:val="auto"/>
          <w:sz w:val="32"/>
          <w:highlight w:val="none"/>
        </w:rPr>
      </w:pPr>
    </w:p>
    <w:p w14:paraId="45124524">
      <w:pPr>
        <w:adjustRightInd w:val="0"/>
        <w:snapToGrid w:val="0"/>
        <w:spacing w:before="120"/>
        <w:ind w:firstLine="1204" w:firstLineChars="300"/>
        <w:rPr>
          <w:rFonts w:ascii="宋体" w:hAnsi="宋体"/>
          <w:b/>
          <w:bCs/>
          <w:snapToGrid w:val="0"/>
          <w:color w:val="auto"/>
          <w:spacing w:val="20"/>
          <w:sz w:val="36"/>
          <w:szCs w:val="36"/>
          <w:highlight w:val="none"/>
          <w:u w:val="single"/>
        </w:rPr>
      </w:pPr>
      <w:r>
        <w:rPr>
          <w:rFonts w:hint="eastAsia" w:ascii="宋体" w:hAnsi="宋体"/>
          <w:b/>
          <w:bCs/>
          <w:snapToGrid w:val="0"/>
          <w:color w:val="auto"/>
          <w:spacing w:val="20"/>
          <w:sz w:val="36"/>
          <w:szCs w:val="36"/>
          <w:highlight w:val="none"/>
        </w:rPr>
        <w:t>采购人：</w:t>
      </w:r>
      <w:r>
        <w:rPr>
          <w:rFonts w:hint="eastAsia" w:ascii="宋体" w:hAnsi="宋体"/>
          <w:b/>
          <w:bCs/>
          <w:snapToGrid w:val="0"/>
          <w:color w:val="auto"/>
          <w:spacing w:val="20"/>
          <w:sz w:val="36"/>
          <w:szCs w:val="36"/>
          <w:highlight w:val="none"/>
          <w:u w:val="single"/>
        </w:rPr>
        <w:t xml:space="preserve">   中国科学院高能物理研究所                 </w:t>
      </w:r>
    </w:p>
    <w:p w14:paraId="68F34739">
      <w:pPr>
        <w:adjustRightInd w:val="0"/>
        <w:snapToGrid w:val="0"/>
        <w:spacing w:before="120"/>
        <w:ind w:firstLine="1204" w:firstLineChars="300"/>
        <w:rPr>
          <w:rFonts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采购代理机构：东方国际招标有限责任公司</w:t>
      </w:r>
    </w:p>
    <w:p w14:paraId="58004B0B">
      <w:pPr>
        <w:adjustRightInd w:val="0"/>
        <w:snapToGrid w:val="0"/>
        <w:jc w:val="center"/>
        <w:rPr>
          <w:rFonts w:ascii="宋体" w:hAnsi="宋体"/>
          <w:b/>
          <w:snapToGrid w:val="0"/>
          <w:color w:val="auto"/>
          <w:sz w:val="36"/>
          <w:szCs w:val="36"/>
          <w:highlight w:val="none"/>
        </w:rPr>
      </w:pPr>
    </w:p>
    <w:p w14:paraId="1E4BD012">
      <w:pPr>
        <w:adjustRightInd w:val="0"/>
        <w:snapToGrid w:val="0"/>
        <w:jc w:val="center"/>
        <w:rPr>
          <w:rFonts w:ascii="宋体" w:hAnsi="宋体"/>
          <w:b/>
          <w:color w:val="auto"/>
          <w:sz w:val="32"/>
          <w:szCs w:val="32"/>
          <w:highlight w:val="none"/>
        </w:rPr>
      </w:pPr>
      <w:r>
        <w:rPr>
          <w:rFonts w:hint="eastAsia" w:ascii="宋体" w:hAnsi="宋体"/>
          <w:b/>
          <w:snapToGrid w:val="0"/>
          <w:color w:val="auto"/>
          <w:sz w:val="36"/>
          <w:szCs w:val="36"/>
          <w:highlight w:val="none"/>
        </w:rPr>
        <w:t>2026年6月</w:t>
      </w:r>
    </w:p>
    <w:p w14:paraId="5D7A0BAB">
      <w:pPr>
        <w:adjustRightInd w:val="0"/>
        <w:snapToGrid w:val="0"/>
        <w:spacing w:line="360" w:lineRule="auto"/>
        <w:jc w:val="center"/>
        <w:rPr>
          <w:b/>
          <w:color w:val="auto"/>
          <w:sz w:val="28"/>
          <w:szCs w:val="28"/>
          <w:highlight w:val="none"/>
        </w:rPr>
      </w:pPr>
      <w:r>
        <w:rPr>
          <w:color w:val="auto"/>
          <w:highlight w:val="none"/>
        </w:rPr>
        <w:br w:type="page"/>
      </w:r>
      <w:r>
        <w:rPr>
          <w:rFonts w:hint="eastAsia"/>
          <w:b/>
          <w:color w:val="auto"/>
          <w:sz w:val="28"/>
          <w:szCs w:val="28"/>
          <w:highlight w:val="none"/>
        </w:rPr>
        <w:t>目录</w:t>
      </w:r>
    </w:p>
    <w:p w14:paraId="2E1E83C0">
      <w:pPr>
        <w:pStyle w:val="28"/>
        <w:adjustRightInd w:val="0"/>
        <w:snapToGrid w:val="0"/>
        <w:spacing w:line="360" w:lineRule="auto"/>
        <w:rPr>
          <w:rFonts w:ascii="宋体" w:eastAsia="宋体" w:cs="Times New Roman"/>
          <w:color w:val="auto"/>
          <w:sz w:val="24"/>
          <w:szCs w:val="24"/>
          <w:highlight w:val="none"/>
        </w:rPr>
      </w:pPr>
      <w:r>
        <w:rPr>
          <w:rFonts w:ascii="宋体" w:eastAsia="宋体"/>
          <w:b/>
          <w:color w:val="auto"/>
          <w:sz w:val="24"/>
          <w:szCs w:val="24"/>
          <w:highlight w:val="none"/>
        </w:rPr>
        <w:fldChar w:fldCharType="begin"/>
      </w:r>
      <w:r>
        <w:rPr>
          <w:rFonts w:ascii="宋体" w:eastAsia="宋体"/>
          <w:b/>
          <w:color w:val="auto"/>
          <w:sz w:val="24"/>
          <w:szCs w:val="24"/>
          <w:highlight w:val="none"/>
        </w:rPr>
        <w:instrText xml:space="preserve"> TOC \o "1-3" \h \z \u </w:instrText>
      </w:r>
      <w:r>
        <w:rPr>
          <w:rFonts w:ascii="宋体" w:eastAsia="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"_Toc129880032" </w:instrText>
      </w:r>
      <w:r>
        <w:rPr>
          <w:color w:val="auto"/>
          <w:highlight w:val="none"/>
        </w:rPr>
        <w:fldChar w:fldCharType="separate"/>
      </w:r>
      <w:r>
        <w:rPr>
          <w:rStyle w:val="47"/>
          <w:rFonts w:hint="eastAsia" w:ascii="宋体" w:eastAsia="宋体"/>
          <w:b/>
          <w:color w:val="auto"/>
          <w:sz w:val="24"/>
          <w:szCs w:val="24"/>
          <w:highlight w:val="none"/>
        </w:rPr>
        <w:t>第一部分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投标邀请</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_Toc129880032 \h </w:instrText>
      </w:r>
      <w:r>
        <w:rPr>
          <w:rFonts w:ascii="宋体" w:eastAsia="宋体"/>
          <w:color w:val="auto"/>
          <w:sz w:val="24"/>
          <w:szCs w:val="24"/>
          <w:highlight w:val="none"/>
        </w:rPr>
        <w:fldChar w:fldCharType="separate"/>
      </w:r>
      <w:r>
        <w:rPr>
          <w:rFonts w:ascii="宋体" w:eastAsia="宋体"/>
          <w:color w:val="auto"/>
          <w:sz w:val="24"/>
          <w:szCs w:val="24"/>
          <w:highlight w:val="none"/>
        </w:rPr>
        <w:t>2</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3B1346A">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"_Toc129880033" </w:instrText>
      </w:r>
      <w:r>
        <w:rPr>
          <w:color w:val="auto"/>
          <w:highlight w:val="none"/>
        </w:rPr>
        <w:fldChar w:fldCharType="separate"/>
      </w:r>
      <w:r>
        <w:rPr>
          <w:rStyle w:val="47"/>
          <w:rFonts w:hint="eastAsia" w:ascii="宋体" w:eastAsia="宋体"/>
          <w:b/>
          <w:color w:val="auto"/>
          <w:sz w:val="24"/>
          <w:szCs w:val="24"/>
          <w:highlight w:val="none"/>
        </w:rPr>
        <w:t>第二部分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投标人须知资料表</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_Toc129880033 \h </w:instrText>
      </w:r>
      <w:r>
        <w:rPr>
          <w:rFonts w:ascii="宋体" w:eastAsia="宋体"/>
          <w:color w:val="auto"/>
          <w:sz w:val="24"/>
          <w:szCs w:val="24"/>
          <w:highlight w:val="none"/>
        </w:rPr>
        <w:fldChar w:fldCharType="separate"/>
      </w:r>
      <w:r>
        <w:rPr>
          <w:rFonts w:ascii="宋体" w:eastAsia="宋体"/>
          <w:color w:val="auto"/>
          <w:sz w:val="24"/>
          <w:szCs w:val="24"/>
          <w:highlight w:val="none"/>
        </w:rPr>
        <w:t>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2034B448">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"_Toc129880034" </w:instrText>
      </w:r>
      <w:r>
        <w:rPr>
          <w:color w:val="auto"/>
          <w:highlight w:val="none"/>
        </w:rPr>
        <w:fldChar w:fldCharType="separate"/>
      </w:r>
      <w:r>
        <w:rPr>
          <w:rStyle w:val="47"/>
          <w:rFonts w:hint="eastAsia" w:ascii="宋体" w:eastAsia="宋体"/>
          <w:b/>
          <w:color w:val="auto"/>
          <w:sz w:val="24"/>
          <w:szCs w:val="24"/>
          <w:highlight w:val="none"/>
        </w:rPr>
        <w:t>第三部分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投标人须知</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_Toc129880034 \h </w:instrText>
      </w:r>
      <w:r>
        <w:rPr>
          <w:rFonts w:ascii="宋体" w:eastAsia="宋体"/>
          <w:color w:val="auto"/>
          <w:sz w:val="24"/>
          <w:szCs w:val="24"/>
          <w:highlight w:val="none"/>
        </w:rPr>
        <w:fldChar w:fldCharType="separate"/>
      </w:r>
      <w:r>
        <w:rPr>
          <w:rFonts w:ascii="宋体" w:eastAsia="宋体"/>
          <w:color w:val="auto"/>
          <w:sz w:val="24"/>
          <w:szCs w:val="24"/>
          <w:highlight w:val="none"/>
        </w:rPr>
        <w:t>10</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20F4E59B">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"_Toc129880035" </w:instrText>
      </w:r>
      <w:r>
        <w:rPr>
          <w:color w:val="auto"/>
          <w:highlight w:val="none"/>
        </w:rPr>
        <w:fldChar w:fldCharType="separate"/>
      </w:r>
      <w:r>
        <w:rPr>
          <w:rStyle w:val="47"/>
          <w:rFonts w:hint="eastAsia" w:ascii="宋体" w:eastAsia="宋体"/>
          <w:b/>
          <w:color w:val="auto"/>
          <w:sz w:val="24"/>
          <w:szCs w:val="24"/>
          <w:highlight w:val="none"/>
        </w:rPr>
        <w:t>第四部分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合同一般条款及格式</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_Toc129880035 \h </w:instrText>
      </w:r>
      <w:r>
        <w:rPr>
          <w:rFonts w:ascii="宋体" w:eastAsia="宋体"/>
          <w:color w:val="auto"/>
          <w:sz w:val="24"/>
          <w:szCs w:val="24"/>
          <w:highlight w:val="none"/>
        </w:rPr>
        <w:fldChar w:fldCharType="separate"/>
      </w:r>
      <w:r>
        <w:rPr>
          <w:rFonts w:ascii="宋体" w:eastAsia="宋体"/>
          <w:color w:val="auto"/>
          <w:sz w:val="24"/>
          <w:szCs w:val="24"/>
          <w:highlight w:val="none"/>
        </w:rPr>
        <w:t>24</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E192EAB">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"_Toc129880036" </w:instrText>
      </w:r>
      <w:r>
        <w:rPr>
          <w:color w:val="auto"/>
          <w:highlight w:val="none"/>
        </w:rPr>
        <w:fldChar w:fldCharType="separate"/>
      </w:r>
      <w:r>
        <w:rPr>
          <w:rStyle w:val="47"/>
          <w:rFonts w:hint="eastAsia" w:ascii="宋体" w:eastAsia="宋体"/>
          <w:b/>
          <w:color w:val="auto"/>
          <w:sz w:val="24"/>
          <w:szCs w:val="24"/>
          <w:highlight w:val="none"/>
        </w:rPr>
        <w:t>第五部分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合同特殊条款</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_Toc129880036 \h </w:instrText>
      </w:r>
      <w:r>
        <w:rPr>
          <w:rFonts w:ascii="宋体" w:eastAsia="宋体"/>
          <w:color w:val="auto"/>
          <w:sz w:val="24"/>
          <w:szCs w:val="24"/>
          <w:highlight w:val="none"/>
        </w:rPr>
        <w:fldChar w:fldCharType="separate"/>
      </w:r>
      <w:r>
        <w:rPr>
          <w:rFonts w:ascii="宋体" w:eastAsia="宋体"/>
          <w:color w:val="auto"/>
          <w:sz w:val="24"/>
          <w:szCs w:val="24"/>
          <w:highlight w:val="none"/>
        </w:rPr>
        <w:t>35</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57203B46">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"_Toc129880037" </w:instrText>
      </w:r>
      <w:r>
        <w:rPr>
          <w:color w:val="auto"/>
          <w:highlight w:val="none"/>
        </w:rPr>
        <w:fldChar w:fldCharType="separate"/>
      </w:r>
      <w:r>
        <w:rPr>
          <w:rStyle w:val="47"/>
          <w:rFonts w:hint="eastAsia" w:ascii="宋体" w:eastAsia="宋体"/>
          <w:b/>
          <w:color w:val="auto"/>
          <w:sz w:val="24"/>
          <w:szCs w:val="24"/>
          <w:highlight w:val="none"/>
        </w:rPr>
        <w:t>第六部分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附件</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_Toc129880037 \h </w:instrText>
      </w:r>
      <w:r>
        <w:rPr>
          <w:rFonts w:ascii="宋体" w:eastAsia="宋体"/>
          <w:color w:val="auto"/>
          <w:sz w:val="24"/>
          <w:szCs w:val="24"/>
          <w:highlight w:val="none"/>
        </w:rPr>
        <w:fldChar w:fldCharType="separate"/>
      </w:r>
      <w:r>
        <w:rPr>
          <w:rFonts w:ascii="宋体" w:eastAsia="宋体"/>
          <w:color w:val="auto"/>
          <w:sz w:val="24"/>
          <w:szCs w:val="24"/>
          <w:highlight w:val="none"/>
        </w:rPr>
        <w:t>36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0A8ECEAA">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"_Toc129880038" </w:instrText>
      </w:r>
      <w:r>
        <w:rPr>
          <w:color w:val="auto"/>
          <w:highlight w:val="none"/>
        </w:rPr>
        <w:fldChar w:fldCharType="separate"/>
      </w:r>
      <w:r>
        <w:rPr>
          <w:rStyle w:val="47"/>
          <w:rFonts w:hint="eastAsia" w:ascii="宋体" w:eastAsia="宋体"/>
          <w:b/>
          <w:color w:val="auto"/>
          <w:sz w:val="24"/>
          <w:szCs w:val="24"/>
          <w:highlight w:val="none"/>
        </w:rPr>
        <w:t>第七部分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资格审查和评标办法</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_Toc129880038 \h </w:instrText>
      </w:r>
      <w:r>
        <w:rPr>
          <w:rFonts w:ascii="宋体" w:eastAsia="宋体"/>
          <w:color w:val="auto"/>
          <w:sz w:val="24"/>
          <w:szCs w:val="24"/>
          <w:highlight w:val="none"/>
        </w:rPr>
        <w:fldChar w:fldCharType="separate"/>
      </w:r>
      <w:r>
        <w:rPr>
          <w:rFonts w:ascii="宋体" w:eastAsia="宋体"/>
          <w:color w:val="auto"/>
          <w:sz w:val="24"/>
          <w:szCs w:val="24"/>
          <w:highlight w:val="none"/>
        </w:rPr>
        <w:t>56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239B0841">
      <w:pPr>
        <w:pStyle w:val="28"/>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"_Toc129880039" </w:instrText>
      </w:r>
      <w:r>
        <w:rPr>
          <w:color w:val="auto"/>
          <w:highlight w:val="none"/>
        </w:rPr>
        <w:fldChar w:fldCharType="separate"/>
      </w:r>
      <w:r>
        <w:rPr>
          <w:rStyle w:val="47"/>
          <w:rFonts w:hint="eastAsia" w:ascii="宋体" w:eastAsia="宋体"/>
          <w:b/>
          <w:color w:val="auto"/>
          <w:sz w:val="24"/>
          <w:szCs w:val="24"/>
          <w:highlight w:val="none"/>
        </w:rPr>
        <w:t>第八部分</w:t>
      </w:r>
      <w:r>
        <w:rPr>
          <w:rStyle w:val="47"/>
          <w:rFonts w:ascii="宋体" w:eastAsia="宋体"/>
          <w:b/>
          <w:color w:val="auto"/>
          <w:sz w:val="24"/>
          <w:szCs w:val="24"/>
          <w:highlight w:val="none"/>
        </w:rPr>
        <w:t xml:space="preserve"> </w:t>
      </w:r>
      <w:r>
        <w:rPr>
          <w:rStyle w:val="47"/>
          <w:rFonts w:hint="eastAsia" w:ascii="宋体" w:eastAsia="宋体"/>
          <w:b/>
          <w:color w:val="auto"/>
          <w:sz w:val="24"/>
          <w:szCs w:val="24"/>
          <w:highlight w:val="none"/>
        </w:rPr>
        <w:t>采购</w:t>
      </w:r>
      <w:bookmarkStart w:id="0" w:name="_Hlt129880174"/>
      <w:bookmarkStart w:id="1" w:name="_Hlt129880173"/>
      <w:r>
        <w:rPr>
          <w:rStyle w:val="47"/>
          <w:rFonts w:hint="eastAsia" w:ascii="宋体" w:eastAsia="宋体"/>
          <w:b/>
          <w:color w:val="auto"/>
          <w:sz w:val="24"/>
          <w:szCs w:val="24"/>
          <w:highlight w:val="none"/>
        </w:rPr>
        <w:t>需</w:t>
      </w:r>
      <w:bookmarkEnd w:id="0"/>
      <w:bookmarkEnd w:id="1"/>
      <w:r>
        <w:rPr>
          <w:rStyle w:val="47"/>
          <w:rFonts w:hint="eastAsia" w:ascii="宋体" w:eastAsia="宋体"/>
          <w:b/>
          <w:color w:val="auto"/>
          <w:sz w:val="24"/>
          <w:szCs w:val="24"/>
          <w:highlight w:val="none"/>
        </w:rPr>
        <w:t>求</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_Toc129880039 \h </w:instrText>
      </w:r>
      <w:r>
        <w:rPr>
          <w:rFonts w:ascii="宋体" w:eastAsia="宋体"/>
          <w:color w:val="auto"/>
          <w:sz w:val="24"/>
          <w:szCs w:val="24"/>
          <w:highlight w:val="none"/>
        </w:rPr>
        <w:fldChar w:fldCharType="separate"/>
      </w:r>
      <w:r>
        <w:rPr>
          <w:rFonts w:ascii="宋体" w:eastAsia="宋体"/>
          <w:color w:val="auto"/>
          <w:sz w:val="24"/>
          <w:szCs w:val="24"/>
          <w:highlight w:val="none"/>
        </w:rPr>
        <w:t>62</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0D987DCF">
      <w:pPr>
        <w:adjustRightInd w:val="0"/>
        <w:snapToGrid w:val="0"/>
        <w:spacing w:line="360" w:lineRule="auto"/>
        <w:jc w:val="center"/>
        <w:rPr>
          <w:rFonts w:ascii="宋体" w:hAnsi="宋体"/>
          <w:b/>
          <w:color w:val="auto"/>
          <w:sz w:val="30"/>
          <w:szCs w:val="30"/>
          <w:highlight w:val="none"/>
        </w:rPr>
      </w:pPr>
      <w:r>
        <w:rPr>
          <w:rFonts w:ascii="宋体" w:hAnsi="宋体"/>
          <w:b/>
          <w:color w:val="auto"/>
          <w:sz w:val="24"/>
          <w:highlight w:val="none"/>
        </w:rPr>
        <w:fldChar w:fldCharType="end"/>
      </w:r>
      <w:r>
        <w:rPr>
          <w:rFonts w:ascii="宋体" w:hAnsi="宋体"/>
          <w:b/>
          <w:color w:val="auto"/>
          <w:sz w:val="30"/>
          <w:szCs w:val="30"/>
          <w:highlight w:val="none"/>
        </w:rPr>
        <w:br w:type="page"/>
      </w:r>
      <w:bookmarkStart w:id="2" w:name="_Toc129880032"/>
      <w:r>
        <w:rPr>
          <w:rFonts w:hint="eastAsia" w:ascii="宋体" w:hAnsi="宋体"/>
          <w:b/>
          <w:color w:val="auto"/>
          <w:sz w:val="30"/>
          <w:szCs w:val="30"/>
          <w:highlight w:val="none"/>
        </w:rPr>
        <w:t>第一部分 投标邀请</w:t>
      </w:r>
      <w:bookmarkEnd w:id="2"/>
    </w:p>
    <w:p w14:paraId="2E1F19A9">
      <w:pPr>
        <w:adjustRightInd w:val="0"/>
        <w:snapToGrid w:val="0"/>
        <w:jc w:val="center"/>
        <w:rPr>
          <w:rFonts w:ascii="宋体" w:hAnsi="宋体"/>
          <w:b/>
          <w:color w:val="auto"/>
          <w:sz w:val="24"/>
          <w:highlight w:val="none"/>
        </w:rPr>
      </w:pPr>
    </w:p>
    <w:p w14:paraId="7A28295B">
      <w:pPr>
        <w:widowControl/>
        <w:adjustRightInd w:val="0"/>
        <w:snapToGrid w:val="0"/>
        <w:spacing w:line="360" w:lineRule="auto"/>
        <w:rPr>
          <w:rFonts w:ascii="宋体" w:hAnsi="宋体" w:cs="宋体"/>
          <w:b/>
          <w:color w:val="auto"/>
          <w:kern w:val="0"/>
          <w:sz w:val="24"/>
          <w:highlight w:val="none"/>
        </w:rPr>
      </w:pPr>
      <w:bookmarkStart w:id="3" w:name="_Toc512937850"/>
      <w:r>
        <w:rPr>
          <w:rFonts w:hint="eastAsia" w:ascii="宋体" w:hAnsi="宋体" w:cs="宋体"/>
          <w:b/>
          <w:color w:val="auto"/>
          <w:kern w:val="0"/>
          <w:sz w:val="24"/>
          <w:highlight w:val="none"/>
        </w:rPr>
        <w:t>项目概况</w:t>
      </w:r>
    </w:p>
    <w:p w14:paraId="71C77467">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u w:val="single"/>
        </w:rPr>
        <w:t xml:space="preserve">     高能同步辐射光源通用设施运维项目   </w:t>
      </w:r>
      <w:r>
        <w:rPr>
          <w:rFonts w:hint="eastAsia" w:ascii="宋体" w:hAnsi="宋体" w:cs="宋体"/>
          <w:color w:val="auto"/>
          <w:kern w:val="0"/>
          <w:sz w:val="24"/>
          <w:highlight w:val="none"/>
        </w:rPr>
        <w:t>招标项目的潜在投标人应在</w:t>
      </w:r>
      <w:r>
        <w:rPr>
          <w:rFonts w:ascii="宋体" w:hAnsi="宋体" w:cs="宋体"/>
          <w:color w:val="auto"/>
          <w:sz w:val="24"/>
          <w:highlight w:val="none"/>
        </w:rPr>
        <w:t>www.oitccas.com</w:t>
      </w:r>
      <w:r>
        <w:rPr>
          <w:rFonts w:hint="eastAsia" w:ascii="宋体" w:hAnsi="宋体" w:cs="宋体"/>
          <w:color w:val="auto"/>
          <w:kern w:val="0"/>
          <w:sz w:val="24"/>
          <w:highlight w:val="none"/>
        </w:rPr>
        <w:t>获取招标文件，并于</w:t>
      </w:r>
      <w:r>
        <w:rPr>
          <w:rFonts w:hint="eastAsia" w:ascii="宋体" w:hAnsi="宋体"/>
          <w:color w:val="auto"/>
          <w:sz w:val="24"/>
          <w:highlight w:val="none"/>
          <w:shd w:val="clear" w:color="auto" w:fill="FFFFFF"/>
        </w:rPr>
        <w:t>2026年6月</w:t>
      </w:r>
      <w:r>
        <w:rPr>
          <w:rFonts w:hint="eastAsia" w:ascii="宋体" w:hAnsi="宋体"/>
          <w:color w:val="auto"/>
          <w:sz w:val="24"/>
          <w:highlight w:val="none"/>
          <w:shd w:val="clear" w:color="auto" w:fill="FFFFFF"/>
          <w:lang w:val="en-US" w:eastAsia="zh-CN"/>
        </w:rPr>
        <w:t>25</w:t>
      </w:r>
      <w:r>
        <w:rPr>
          <w:rFonts w:hint="eastAsia" w:ascii="宋体" w:hAnsi="宋体"/>
          <w:color w:val="auto"/>
          <w:sz w:val="24"/>
          <w:highlight w:val="none"/>
          <w:shd w:val="clear" w:color="auto" w:fill="FFFFFF"/>
        </w:rPr>
        <w:t>日</w:t>
      </w:r>
      <w:r>
        <w:rPr>
          <w:rFonts w:hint="eastAsia" w:ascii="宋体" w:hAnsi="宋体"/>
          <w:color w:val="auto"/>
          <w:sz w:val="24"/>
          <w:highlight w:val="none"/>
          <w:shd w:val="clear" w:color="auto" w:fill="FFFFFF"/>
          <w:lang w:val="en-US" w:eastAsia="zh-CN"/>
        </w:rPr>
        <w:t>14</w:t>
      </w:r>
      <w:r>
        <w:rPr>
          <w:rFonts w:hint="eastAsia" w:ascii="宋体" w:hAnsi="宋体"/>
          <w:color w:val="auto"/>
          <w:sz w:val="24"/>
          <w:highlight w:val="none"/>
          <w:shd w:val="clear" w:color="auto" w:fill="FFFFFF"/>
        </w:rPr>
        <w:t>点</w:t>
      </w:r>
      <w:r>
        <w:rPr>
          <w:rFonts w:hint="eastAsia" w:ascii="宋体" w:hAnsi="宋体"/>
          <w:color w:val="auto"/>
          <w:sz w:val="24"/>
          <w:highlight w:val="none"/>
          <w:shd w:val="clear" w:color="auto" w:fill="FFFFFF"/>
          <w:lang w:val="en-US" w:eastAsia="zh-CN"/>
        </w:rPr>
        <w:t>00</w:t>
      </w:r>
      <w:r>
        <w:rPr>
          <w:rFonts w:hint="eastAsia" w:ascii="宋体" w:hAnsi="宋体"/>
          <w:color w:val="auto"/>
          <w:sz w:val="24"/>
          <w:highlight w:val="none"/>
          <w:shd w:val="clear" w:color="auto" w:fill="FFFFFF"/>
        </w:rPr>
        <w:t>分（北京时间）</w:t>
      </w:r>
      <w:r>
        <w:rPr>
          <w:rFonts w:hint="eastAsia" w:ascii="宋体" w:hAnsi="宋体" w:cs="宋体"/>
          <w:color w:val="auto"/>
          <w:kern w:val="0"/>
          <w:sz w:val="24"/>
          <w:highlight w:val="none"/>
        </w:rPr>
        <w:t xml:space="preserve">前递交投标文件。 </w:t>
      </w:r>
    </w:p>
    <w:p w14:paraId="0BC98670">
      <w:pPr>
        <w:widowControl/>
        <w:adjustRightInd w:val="0"/>
        <w:snapToGrid w:val="0"/>
        <w:spacing w:line="360" w:lineRule="auto"/>
        <w:ind w:firstLine="422" w:firstLineChars="200"/>
        <w:rPr>
          <w:rFonts w:ascii="宋体" w:hAnsi="宋体" w:cs="宋体"/>
          <w:b/>
          <w:color w:val="auto"/>
          <w:kern w:val="0"/>
          <w:szCs w:val="21"/>
          <w:highlight w:val="none"/>
        </w:rPr>
      </w:pPr>
    </w:p>
    <w:p w14:paraId="4D372345">
      <w:pPr>
        <w:widowControl/>
        <w:adjustRightInd w:val="0"/>
        <w:snapToGrid w:val="0"/>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5750EAD4">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项目编号：</w:t>
      </w:r>
      <w:r>
        <w:rPr>
          <w:rFonts w:hint="eastAsia" w:ascii="宋体" w:hAnsi="宋体" w:cs="宋体"/>
          <w:color w:val="auto"/>
          <w:kern w:val="0"/>
          <w:sz w:val="24"/>
          <w:highlight w:val="none"/>
          <w:u w:val="single"/>
        </w:rPr>
        <w:t xml:space="preserve">               OITC-G260360326                      </w:t>
      </w:r>
    </w:p>
    <w:p w14:paraId="564D9BE9">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中国科学院高能物理研究所高能同步辐射光源通用设施运维项目                       </w:t>
      </w:r>
    </w:p>
    <w:p w14:paraId="7A630BC3">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预算金额：</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990</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万元（人民币）</w:t>
      </w:r>
    </w:p>
    <w:p w14:paraId="44C73B0A">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990</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万元（人民币）</w:t>
      </w:r>
    </w:p>
    <w:p w14:paraId="2A30CA92">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采购需求：</w:t>
      </w:r>
    </w:p>
    <w:p w14:paraId="2CD81802">
      <w:pPr>
        <w:widowControl/>
        <w:adjustRightInd w:val="0"/>
        <w:snapToGrid w:val="0"/>
        <w:spacing w:line="360" w:lineRule="auto"/>
        <w:rPr>
          <w:rStyle w:val="43"/>
          <w:b w:val="0"/>
          <w:color w:val="auto"/>
          <w:sz w:val="24"/>
          <w:highlight w:val="none"/>
        </w:rPr>
      </w:pPr>
      <w:r>
        <w:rPr>
          <w:rFonts w:hint="eastAsia" w:ascii="宋体" w:hAnsi="宋体" w:cs="宋体"/>
          <w:bCs/>
          <w:color w:val="auto"/>
          <w:kern w:val="0"/>
          <w:sz w:val="24"/>
          <w:highlight w:val="none"/>
        </w:rPr>
        <w:t>1、</w:t>
      </w:r>
      <w:r>
        <w:rPr>
          <w:rStyle w:val="43"/>
          <w:rFonts w:hint="eastAsia"/>
          <w:b w:val="0"/>
          <w:color w:val="auto"/>
          <w:sz w:val="24"/>
          <w:highlight w:val="none"/>
        </w:rPr>
        <w:t>采购项目的名称、数量：</w:t>
      </w:r>
    </w:p>
    <w:tbl>
      <w:tblPr>
        <w:tblStyle w:val="40"/>
        <w:tblpPr w:leftFromText="180" w:rightFromText="180" w:vertAnchor="text" w:horzAnchor="margin" w:tblpY="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864"/>
        <w:gridCol w:w="1864"/>
        <w:gridCol w:w="1864"/>
        <w:gridCol w:w="2252"/>
      </w:tblGrid>
      <w:tr w14:paraId="3104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6" w:type="pct"/>
            <w:vAlign w:val="center"/>
          </w:tcPr>
          <w:p w14:paraId="791DDDD0">
            <w:pPr>
              <w:jc w:val="center"/>
              <w:rPr>
                <w:rFonts w:ascii="宋体" w:hAnsi="宋体"/>
                <w:bCs/>
                <w:color w:val="auto"/>
                <w:sz w:val="24"/>
                <w:highlight w:val="none"/>
              </w:rPr>
            </w:pPr>
            <w:r>
              <w:rPr>
                <w:rFonts w:hint="eastAsia" w:ascii="宋体" w:hAnsi="宋体"/>
                <w:bCs/>
                <w:color w:val="auto"/>
                <w:sz w:val="24"/>
                <w:highlight w:val="none"/>
              </w:rPr>
              <w:t>包号</w:t>
            </w:r>
          </w:p>
        </w:tc>
        <w:tc>
          <w:tcPr>
            <w:tcW w:w="1936" w:type="dxa"/>
            <w:vAlign w:val="center"/>
          </w:tcPr>
          <w:p w14:paraId="09D373A5">
            <w:pPr>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服务名称</w:t>
            </w:r>
          </w:p>
        </w:tc>
        <w:tc>
          <w:tcPr>
            <w:tcW w:w="1936" w:type="dxa"/>
            <w:vAlign w:val="center"/>
          </w:tcPr>
          <w:p w14:paraId="100836D1">
            <w:pPr>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服务项目</w:t>
            </w:r>
          </w:p>
        </w:tc>
        <w:tc>
          <w:tcPr>
            <w:tcW w:w="1936" w:type="dxa"/>
            <w:vAlign w:val="center"/>
          </w:tcPr>
          <w:p w14:paraId="262BBA68">
            <w:pPr>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服务期</w:t>
            </w:r>
          </w:p>
        </w:tc>
        <w:tc>
          <w:tcPr>
            <w:tcW w:w="2332" w:type="dxa"/>
            <w:vAlign w:val="center"/>
          </w:tcPr>
          <w:p w14:paraId="769AF062">
            <w:pPr>
              <w:widowControl/>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采购预算（人民币）</w:t>
            </w:r>
          </w:p>
        </w:tc>
      </w:tr>
      <w:tr w14:paraId="40920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16" w:type="pct"/>
            <w:tcBorders>
              <w:top w:val="single" w:color="auto" w:sz="4" w:space="0"/>
              <w:left w:val="single" w:color="auto" w:sz="4" w:space="0"/>
              <w:right w:val="single" w:color="auto" w:sz="4" w:space="0"/>
            </w:tcBorders>
            <w:vAlign w:val="center"/>
          </w:tcPr>
          <w:p w14:paraId="231912DD">
            <w:pPr>
              <w:jc w:val="center"/>
              <w:rPr>
                <w:rFonts w:ascii="宋体"/>
                <w:color w:val="auto"/>
                <w:sz w:val="24"/>
                <w:highlight w:val="none"/>
              </w:rPr>
            </w:pPr>
            <w:r>
              <w:rPr>
                <w:rFonts w:hint="eastAsia" w:ascii="宋体"/>
                <w:color w:val="auto"/>
                <w:sz w:val="24"/>
                <w:highlight w:val="none"/>
              </w:rPr>
              <w:t>1</w:t>
            </w:r>
          </w:p>
        </w:tc>
        <w:tc>
          <w:tcPr>
            <w:tcW w:w="1936" w:type="dxa"/>
            <w:tcBorders>
              <w:top w:val="single" w:color="auto" w:sz="4" w:space="0"/>
              <w:left w:val="single" w:color="auto" w:sz="4" w:space="0"/>
              <w:bottom w:val="single" w:color="auto" w:sz="4" w:space="0"/>
              <w:right w:val="single" w:color="auto" w:sz="4" w:space="0"/>
            </w:tcBorders>
            <w:vAlign w:val="center"/>
          </w:tcPr>
          <w:p w14:paraId="13F56D13">
            <w:pPr>
              <w:jc w:val="center"/>
              <w:rPr>
                <w:rFonts w:ascii="宋体" w:hAnsi="宋体"/>
                <w:color w:val="auto"/>
                <w:sz w:val="24"/>
                <w:highlight w:val="none"/>
              </w:rPr>
            </w:pPr>
            <w:r>
              <w:rPr>
                <w:rFonts w:hint="eastAsia" w:cs="仿宋" w:asciiTheme="minorEastAsia" w:hAnsiTheme="minorEastAsia" w:eastAsiaTheme="minorEastAsia"/>
                <w:color w:val="auto"/>
                <w:kern w:val="0"/>
                <w:sz w:val="24"/>
                <w:highlight w:val="none"/>
              </w:rPr>
              <w:t>高能同步辐射光源通用设施运维服务</w:t>
            </w:r>
          </w:p>
        </w:tc>
        <w:tc>
          <w:tcPr>
            <w:tcW w:w="1936" w:type="dxa"/>
            <w:tcBorders>
              <w:top w:val="single" w:color="auto" w:sz="4" w:space="0"/>
              <w:left w:val="single" w:color="auto" w:sz="4" w:space="0"/>
              <w:bottom w:val="single" w:color="auto" w:sz="4" w:space="0"/>
              <w:right w:val="single" w:color="auto" w:sz="4" w:space="0"/>
            </w:tcBorders>
            <w:vAlign w:val="center"/>
          </w:tcPr>
          <w:p w14:paraId="49661BA3">
            <w:pPr>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见招标文件第八部分需求一览表及采购需求</w:t>
            </w:r>
          </w:p>
        </w:tc>
        <w:tc>
          <w:tcPr>
            <w:tcW w:w="1936" w:type="dxa"/>
            <w:tcBorders>
              <w:top w:val="single" w:color="auto" w:sz="4" w:space="0"/>
              <w:left w:val="single" w:color="auto" w:sz="4" w:space="0"/>
              <w:bottom w:val="single" w:color="auto" w:sz="4" w:space="0"/>
              <w:right w:val="single" w:color="auto" w:sz="4" w:space="0"/>
            </w:tcBorders>
            <w:vAlign w:val="center"/>
          </w:tcPr>
          <w:p w14:paraId="6D3F1CB8">
            <w:pPr>
              <w:jc w:val="center"/>
              <w:rPr>
                <w:rFonts w:ascii="宋体" w:hAnsi="宋体"/>
                <w:color w:val="auto"/>
                <w:sz w:val="24"/>
                <w:highlight w:val="none"/>
              </w:rPr>
            </w:pPr>
            <w:r>
              <w:rPr>
                <w:rFonts w:hint="eastAsia" w:cs="仿宋" w:asciiTheme="minorEastAsia" w:hAnsiTheme="minorEastAsia" w:eastAsiaTheme="minorEastAsia"/>
                <w:color w:val="auto"/>
                <w:sz w:val="24"/>
                <w:highlight w:val="none"/>
              </w:rPr>
              <w:t>服务期1</w:t>
            </w:r>
            <w:r>
              <w:rPr>
                <w:rFonts w:cs="仿宋" w:asciiTheme="minorEastAsia" w:hAnsiTheme="minorEastAsia" w:eastAsiaTheme="minorEastAsia"/>
                <w:color w:val="auto"/>
                <w:sz w:val="24"/>
                <w:highlight w:val="none"/>
              </w:rPr>
              <w:t>8</w:t>
            </w:r>
            <w:r>
              <w:rPr>
                <w:rFonts w:hint="eastAsia" w:cs="仿宋" w:asciiTheme="minorEastAsia" w:hAnsiTheme="minorEastAsia" w:eastAsiaTheme="minorEastAsia"/>
                <w:color w:val="auto"/>
                <w:sz w:val="24"/>
                <w:highlight w:val="none"/>
              </w:rPr>
              <w:t>个月</w:t>
            </w:r>
          </w:p>
        </w:tc>
        <w:tc>
          <w:tcPr>
            <w:tcW w:w="2332" w:type="dxa"/>
            <w:tcBorders>
              <w:top w:val="single" w:color="auto" w:sz="4" w:space="0"/>
              <w:left w:val="single" w:color="auto" w:sz="4" w:space="0"/>
              <w:bottom w:val="single" w:color="auto" w:sz="4" w:space="0"/>
              <w:right w:val="single" w:color="auto" w:sz="4" w:space="0"/>
            </w:tcBorders>
            <w:vAlign w:val="center"/>
          </w:tcPr>
          <w:p w14:paraId="293DBD40">
            <w:pPr>
              <w:jc w:val="center"/>
              <w:rPr>
                <w:rFonts w:ascii="宋体" w:hAnsi="宋体"/>
                <w:color w:val="auto"/>
                <w:sz w:val="24"/>
                <w:highlight w:val="none"/>
              </w:rPr>
            </w:pPr>
            <w:r>
              <w:rPr>
                <w:rFonts w:cs="仿宋" w:asciiTheme="minorEastAsia" w:hAnsiTheme="minorEastAsia" w:eastAsiaTheme="minorEastAsia"/>
                <w:color w:val="auto"/>
                <w:sz w:val="24"/>
                <w:highlight w:val="none"/>
              </w:rPr>
              <w:t>990</w:t>
            </w:r>
            <w:r>
              <w:rPr>
                <w:rFonts w:hint="eastAsia" w:cs="仿宋" w:asciiTheme="minorEastAsia" w:hAnsiTheme="minorEastAsia" w:eastAsiaTheme="minorEastAsia"/>
                <w:color w:val="auto"/>
                <w:sz w:val="24"/>
                <w:highlight w:val="none"/>
              </w:rPr>
              <w:t>万</w:t>
            </w:r>
            <w:r>
              <w:rPr>
                <w:rFonts w:cs="仿宋" w:asciiTheme="minorEastAsia" w:hAnsiTheme="minorEastAsia" w:eastAsiaTheme="minorEastAsia"/>
                <w:color w:val="auto"/>
                <w:sz w:val="24"/>
                <w:highlight w:val="none"/>
              </w:rPr>
              <w:t>元</w:t>
            </w:r>
          </w:p>
        </w:tc>
      </w:tr>
    </w:tbl>
    <w:p w14:paraId="3CB85BCA">
      <w:pPr>
        <w:widowControl/>
        <w:adjustRightInd w:val="0"/>
        <w:spacing w:line="360" w:lineRule="auto"/>
        <w:ind w:firstLine="480" w:firstLineChars="200"/>
        <w:rPr>
          <w:rFonts w:ascii="宋体" w:hAnsi="宋体"/>
          <w:color w:val="auto"/>
          <w:sz w:val="24"/>
          <w:highlight w:val="none"/>
        </w:rPr>
      </w:pPr>
    </w:p>
    <w:p w14:paraId="07A63BDD">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投标人须以包为单位对包中全部内容进行投标，不得拆分，评标、授标以包为单位。</w:t>
      </w:r>
    </w:p>
    <w:p w14:paraId="0F533AD8">
      <w:pPr>
        <w:widowControl/>
        <w:adjustRightInd w:val="0"/>
        <w:spacing w:line="360" w:lineRule="auto"/>
        <w:rPr>
          <w:rFonts w:ascii="宋体" w:hAnsi="宋体" w:cs="宋体"/>
          <w:color w:val="auto"/>
          <w:kern w:val="0"/>
          <w:sz w:val="24"/>
          <w:highlight w:val="none"/>
        </w:rPr>
      </w:pPr>
      <w:r>
        <w:rPr>
          <w:rFonts w:hint="eastAsia" w:ascii="宋体" w:hAnsi="宋体"/>
          <w:color w:val="auto"/>
          <w:sz w:val="24"/>
          <w:highlight w:val="none"/>
        </w:rPr>
        <w:t>2、技术要求详见公告附件。</w:t>
      </w:r>
    </w:p>
    <w:p w14:paraId="070534BB">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合同履行期限：</w:t>
      </w:r>
      <w:r>
        <w:rPr>
          <w:rFonts w:hint="eastAsia" w:ascii="宋体" w:hAnsi="宋体"/>
          <w:color w:val="auto"/>
          <w:sz w:val="24"/>
          <w:highlight w:val="none"/>
          <w:u w:val="single"/>
        </w:rPr>
        <w:t xml:space="preserve">            详见需求部分              </w:t>
      </w:r>
      <w:r>
        <w:rPr>
          <w:rFonts w:ascii="宋体" w:hAnsi="宋体"/>
          <w:color w:val="auto"/>
          <w:sz w:val="24"/>
          <w:highlight w:val="none"/>
        </w:rPr>
        <w:t xml:space="preserve"> </w:t>
      </w:r>
    </w:p>
    <w:p w14:paraId="6DC4AF9D">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本项目不接受联合体投标。</w:t>
      </w:r>
    </w:p>
    <w:p w14:paraId="2D921764">
      <w:pPr>
        <w:widowControl/>
        <w:shd w:val="clear" w:color="auto" w:fill="FFFFFF"/>
        <w:adjustRightInd w:val="0"/>
        <w:spacing w:line="360" w:lineRule="auto"/>
        <w:textAlignment w:val="baseline"/>
        <w:rPr>
          <w:rFonts w:ascii="宋体" w:hAnsi="宋体" w:cs="宋体"/>
          <w:b/>
          <w:bCs/>
          <w:color w:val="auto"/>
          <w:kern w:val="0"/>
          <w:sz w:val="24"/>
          <w:highlight w:val="none"/>
        </w:rPr>
      </w:pPr>
    </w:p>
    <w:p w14:paraId="58982CD2">
      <w:pPr>
        <w:widowControl/>
        <w:shd w:val="clear" w:color="auto" w:fill="FFFFFF"/>
        <w:adjustRightInd w:val="0"/>
        <w:spacing w:line="360" w:lineRule="auto"/>
        <w:textAlignment w:val="baseline"/>
        <w:rPr>
          <w:rFonts w:ascii="宋体" w:hAnsi="宋体" w:cs="宋体"/>
          <w:color w:val="auto"/>
          <w:kern w:val="0"/>
          <w:sz w:val="24"/>
          <w:highlight w:val="none"/>
        </w:rPr>
      </w:pPr>
      <w:r>
        <w:rPr>
          <w:rFonts w:ascii="宋体" w:hAnsi="宋体" w:cs="宋体"/>
          <w:b/>
          <w:bCs/>
          <w:color w:val="auto"/>
          <w:kern w:val="0"/>
          <w:sz w:val="24"/>
          <w:highlight w:val="none"/>
        </w:rPr>
        <w:t>二、申请人的资格要求：</w:t>
      </w:r>
    </w:p>
    <w:p w14:paraId="60FC57CB">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1.满足《中华人民共和国政府采购法》第二十二条规定；</w:t>
      </w:r>
    </w:p>
    <w:p w14:paraId="4BC0E8FA">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2.落实政府采购政策需满足的资格要求：不涉及。</w:t>
      </w:r>
    </w:p>
    <w:p w14:paraId="42B69DAE">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3.本项目的特定资格要求：</w:t>
      </w:r>
    </w:p>
    <w:p w14:paraId="72CBF466">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156BE53E">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67463C7C">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（3）投标单位负责人为同一人或者存在直接控股、管理关系的不同供应商，不得参加同一合同项下的政府采购活动；</w:t>
      </w:r>
    </w:p>
    <w:p w14:paraId="0C8B4D66">
      <w:pPr>
        <w:tabs>
          <w:tab w:val="left" w:pos="900"/>
          <w:tab w:val="left" w:pos="8640"/>
        </w:tabs>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（4）按本投标邀请的规定获取招标文件；</w:t>
      </w:r>
    </w:p>
    <w:p w14:paraId="5724E831">
      <w:pPr>
        <w:tabs>
          <w:tab w:val="left" w:pos="900"/>
          <w:tab w:val="left" w:pos="8640"/>
        </w:tabs>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color w:val="auto"/>
          <w:sz w:val="24"/>
          <w:highlight w:val="none"/>
        </w:rPr>
        <w:t>本项目不允许分包和转包</w:t>
      </w:r>
      <w:r>
        <w:rPr>
          <w:rFonts w:hint="eastAsia"/>
          <w:color w:val="auto"/>
          <w:sz w:val="24"/>
          <w:highlight w:val="none"/>
        </w:rPr>
        <w:t>；</w:t>
      </w:r>
    </w:p>
    <w:p w14:paraId="3DEC8B19">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w:t>
      </w:r>
      <w:r>
        <w:rPr>
          <w:rFonts w:ascii="宋体" w:hAnsi="宋体" w:cs="宋体"/>
          <w:color w:val="auto"/>
          <w:kern w:val="0"/>
          <w:sz w:val="24"/>
          <w:highlight w:val="none"/>
        </w:rPr>
        <w:t>投标人不得为</w:t>
      </w:r>
      <w:r>
        <w:rPr>
          <w:rFonts w:hint="eastAsia" w:ascii="宋体" w:hAnsi="宋体" w:cs="宋体"/>
          <w:color w:val="auto"/>
          <w:kern w:val="0"/>
          <w:sz w:val="24"/>
          <w:highlight w:val="none"/>
        </w:rPr>
        <w:t>列入失信被执行人、重大税收违法案件当事人名单、政府采购严重违法失信行为记录名单的供应商。</w:t>
      </w:r>
      <w:r>
        <w:rPr>
          <w:rFonts w:ascii="宋体" w:hAnsi="宋体" w:cs="宋体"/>
          <w:color w:val="auto"/>
          <w:kern w:val="0"/>
          <w:sz w:val="24"/>
          <w:highlight w:val="none"/>
        </w:rPr>
        <w:t xml:space="preserve"> </w:t>
      </w:r>
    </w:p>
    <w:p w14:paraId="36A11C1E">
      <w:pPr>
        <w:widowControl/>
        <w:shd w:val="clear" w:color="auto" w:fill="FFFFFF"/>
        <w:adjustRightInd w:val="0"/>
        <w:spacing w:line="360" w:lineRule="auto"/>
        <w:ind w:firstLine="482" w:firstLineChars="200"/>
        <w:textAlignment w:val="baseline"/>
        <w:rPr>
          <w:rFonts w:ascii="宋体" w:hAnsi="宋体" w:cs="宋体"/>
          <w:b/>
          <w:bCs/>
          <w:color w:val="auto"/>
          <w:kern w:val="0"/>
          <w:sz w:val="24"/>
          <w:highlight w:val="none"/>
        </w:rPr>
      </w:pPr>
    </w:p>
    <w:p w14:paraId="5DC0832A">
      <w:pPr>
        <w:widowControl/>
        <w:shd w:val="clear" w:color="auto" w:fill="FFFFFF"/>
        <w:adjustRightInd w:val="0"/>
        <w:spacing w:line="360" w:lineRule="auto"/>
        <w:textAlignment w:val="baseline"/>
        <w:rPr>
          <w:rFonts w:ascii="宋体" w:hAnsi="宋体" w:cs="宋体"/>
          <w:b/>
          <w:bCs/>
          <w:color w:val="auto"/>
          <w:kern w:val="0"/>
          <w:sz w:val="24"/>
          <w:highlight w:val="none"/>
        </w:rPr>
      </w:pPr>
      <w:r>
        <w:rPr>
          <w:rFonts w:hint="eastAsia" w:ascii="宋体" w:hAnsi="宋体" w:cs="宋体"/>
          <w:b/>
          <w:bCs/>
          <w:color w:val="auto"/>
          <w:kern w:val="0"/>
          <w:sz w:val="24"/>
          <w:highlight w:val="none"/>
        </w:rPr>
        <w:t>三、获取招标文件</w:t>
      </w:r>
    </w:p>
    <w:p w14:paraId="3D74BB0C">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时间：2026年6月</w:t>
      </w:r>
      <w:r>
        <w:rPr>
          <w:rFonts w:hint="eastAsia" w:ascii="宋体" w:hAnsi="宋体"/>
          <w:color w:val="auto"/>
          <w:sz w:val="24"/>
          <w:highlight w:val="none"/>
          <w:lang w:val="en-US" w:eastAsia="zh-CN"/>
        </w:rPr>
        <w:t>4</w:t>
      </w:r>
      <w:r>
        <w:rPr>
          <w:rFonts w:hint="eastAsia" w:ascii="宋体" w:hAnsi="宋体"/>
          <w:color w:val="auto"/>
          <w:sz w:val="24"/>
          <w:highlight w:val="none"/>
        </w:rPr>
        <w:t>日至 2026年6月</w:t>
      </w:r>
      <w:r>
        <w:rPr>
          <w:rFonts w:hint="eastAsia" w:ascii="宋体" w:hAnsi="宋体"/>
          <w:color w:val="auto"/>
          <w:sz w:val="24"/>
          <w:highlight w:val="none"/>
          <w:lang w:val="en-US" w:eastAsia="zh-CN"/>
        </w:rPr>
        <w:t>11</w:t>
      </w:r>
      <w:r>
        <w:rPr>
          <w:rFonts w:hint="eastAsia" w:ascii="宋体" w:hAnsi="宋体"/>
          <w:color w:val="auto"/>
          <w:sz w:val="24"/>
          <w:highlight w:val="none"/>
        </w:rPr>
        <w:t>日，每天上午9:00至11:00，下午13:00至17:00。（北京时间，法定节假日除外）</w:t>
      </w:r>
    </w:p>
    <w:p w14:paraId="42389E91">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地点：www.oitccas.com；北京市海淀区丹棱街1号互联网金融中心20层</w:t>
      </w:r>
    </w:p>
    <w:p w14:paraId="1127E709">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方式：登录东方招标平台</w:t>
      </w:r>
      <w:r>
        <w:rPr>
          <w:rFonts w:ascii="宋体" w:hAnsi="宋体" w:cs="宋体"/>
          <w:color w:val="auto"/>
          <w:sz w:val="24"/>
          <w:highlight w:val="none"/>
        </w:rPr>
        <w:t>www.oitccas.com</w:t>
      </w:r>
      <w:r>
        <w:rPr>
          <w:rFonts w:hint="eastAsia" w:ascii="宋体" w:hAnsi="宋体"/>
          <w:color w:val="auto"/>
          <w:sz w:val="24"/>
          <w:highlight w:val="none"/>
        </w:rPr>
        <w:t>注册并购买。</w:t>
      </w:r>
    </w:p>
    <w:p w14:paraId="42D70D40">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售价：¥500 元，本公告包含的招标文件售价总和</w:t>
      </w:r>
    </w:p>
    <w:p w14:paraId="4F2426F1">
      <w:pPr>
        <w:widowControl/>
        <w:adjustRightInd w:val="0"/>
        <w:spacing w:line="360" w:lineRule="auto"/>
        <w:ind w:firstLine="482" w:firstLineChars="200"/>
        <w:rPr>
          <w:rFonts w:ascii="宋体" w:hAnsi="宋体" w:cs="宋体"/>
          <w:b/>
          <w:bCs/>
          <w:color w:val="auto"/>
          <w:kern w:val="0"/>
          <w:sz w:val="24"/>
          <w:highlight w:val="none"/>
        </w:rPr>
      </w:pPr>
    </w:p>
    <w:p w14:paraId="38F6CB76">
      <w:pPr>
        <w:widowControl/>
        <w:adjustRightInd w:val="0"/>
        <w:spacing w:line="360" w:lineRule="auto"/>
        <w:rPr>
          <w:rFonts w:ascii="宋体" w:hAnsi="宋体" w:cs="宋体"/>
          <w:bCs/>
          <w:color w:val="auto"/>
          <w:kern w:val="0"/>
          <w:sz w:val="24"/>
          <w:highlight w:val="none"/>
        </w:rPr>
      </w:pPr>
      <w:r>
        <w:rPr>
          <w:rFonts w:hint="eastAsia" w:ascii="宋体" w:hAnsi="宋体" w:cs="宋体"/>
          <w:b/>
          <w:bCs/>
          <w:color w:val="auto"/>
          <w:kern w:val="0"/>
          <w:sz w:val="24"/>
          <w:highlight w:val="none"/>
        </w:rPr>
        <w:t>四、提交投标文件截止时间、开标时间和地点：</w:t>
      </w:r>
    </w:p>
    <w:p w14:paraId="6EE83486">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提交投标文件截止时间：2026年6月</w:t>
      </w:r>
      <w:r>
        <w:rPr>
          <w:rFonts w:hint="eastAsia" w:ascii="宋体" w:hAnsi="宋体"/>
          <w:color w:val="auto"/>
          <w:sz w:val="24"/>
          <w:highlight w:val="none"/>
          <w:lang w:val="en-US" w:eastAsia="zh-CN"/>
        </w:rPr>
        <w:t>25</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14</w:t>
      </w:r>
      <w:r>
        <w:rPr>
          <w:rFonts w:hint="eastAsia" w:ascii="宋体" w:hAnsi="宋体"/>
          <w:color w:val="auto"/>
          <w:sz w:val="24"/>
          <w:highlight w:val="none"/>
        </w:rPr>
        <w:t>点</w:t>
      </w:r>
      <w:r>
        <w:rPr>
          <w:rFonts w:hint="eastAsia" w:ascii="宋体" w:hAnsi="宋体"/>
          <w:color w:val="auto"/>
          <w:sz w:val="24"/>
          <w:highlight w:val="none"/>
          <w:lang w:val="en-US" w:eastAsia="zh-CN"/>
        </w:rPr>
        <w:t>00</w:t>
      </w:r>
      <w:r>
        <w:rPr>
          <w:rFonts w:hint="eastAsia" w:ascii="宋体" w:hAnsi="宋体"/>
          <w:color w:val="auto"/>
          <w:sz w:val="24"/>
          <w:highlight w:val="none"/>
        </w:rPr>
        <w:t>分（北京时间）</w:t>
      </w:r>
    </w:p>
    <w:p w14:paraId="5D33DD88">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开标时间：2026年6月</w:t>
      </w:r>
      <w:r>
        <w:rPr>
          <w:rFonts w:hint="eastAsia" w:ascii="宋体" w:hAnsi="宋体"/>
          <w:color w:val="auto"/>
          <w:sz w:val="24"/>
          <w:highlight w:val="none"/>
          <w:lang w:val="en-US" w:eastAsia="zh-CN"/>
        </w:rPr>
        <w:t>25</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14</w:t>
      </w:r>
      <w:r>
        <w:rPr>
          <w:rFonts w:hint="eastAsia" w:ascii="宋体" w:hAnsi="宋体"/>
          <w:color w:val="auto"/>
          <w:sz w:val="24"/>
          <w:highlight w:val="none"/>
        </w:rPr>
        <w:t>点</w:t>
      </w:r>
      <w:r>
        <w:rPr>
          <w:rFonts w:hint="eastAsia" w:ascii="宋体" w:hAnsi="宋体"/>
          <w:color w:val="auto"/>
          <w:sz w:val="24"/>
          <w:highlight w:val="none"/>
          <w:lang w:val="en-US" w:eastAsia="zh-CN"/>
        </w:rPr>
        <w:t>00</w:t>
      </w:r>
      <w:r>
        <w:rPr>
          <w:rFonts w:hint="eastAsia" w:ascii="宋体" w:hAnsi="宋体"/>
          <w:color w:val="auto"/>
          <w:sz w:val="24"/>
          <w:highlight w:val="none"/>
        </w:rPr>
        <w:t>分（北京时间）</w:t>
      </w:r>
    </w:p>
    <w:p w14:paraId="29C69721">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地点：中国科学院高能物理研究所主楼</w:t>
      </w:r>
      <w:r>
        <w:rPr>
          <w:rFonts w:hint="eastAsia" w:ascii="宋体" w:hAnsi="宋体"/>
          <w:color w:val="auto"/>
          <w:sz w:val="24"/>
          <w:highlight w:val="none"/>
          <w:lang w:val="en-US" w:eastAsia="zh-CN"/>
        </w:rPr>
        <w:t>A511</w:t>
      </w:r>
      <w:r>
        <w:rPr>
          <w:rFonts w:hint="eastAsia" w:ascii="宋体" w:hAnsi="宋体"/>
          <w:color w:val="auto"/>
          <w:sz w:val="24"/>
          <w:highlight w:val="none"/>
        </w:rPr>
        <w:t>会议室</w:t>
      </w:r>
    </w:p>
    <w:p w14:paraId="42A095F8">
      <w:pPr>
        <w:widowControl/>
        <w:adjustRightInd w:val="0"/>
        <w:spacing w:line="360" w:lineRule="auto"/>
        <w:ind w:firstLine="482" w:firstLineChars="200"/>
        <w:rPr>
          <w:rFonts w:ascii="宋体" w:hAnsi="宋体" w:cs="宋体"/>
          <w:b/>
          <w:bCs/>
          <w:color w:val="auto"/>
          <w:kern w:val="0"/>
          <w:sz w:val="24"/>
          <w:highlight w:val="none"/>
        </w:rPr>
      </w:pPr>
    </w:p>
    <w:p w14:paraId="25A621CA">
      <w:pPr>
        <w:widowControl/>
        <w:adjustRightIn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五、公告期限</w:t>
      </w:r>
    </w:p>
    <w:p w14:paraId="716AFBED">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304FA01F">
      <w:pPr>
        <w:widowControl/>
        <w:adjustRightInd w:val="0"/>
        <w:spacing w:line="360" w:lineRule="auto"/>
        <w:ind w:firstLine="482" w:firstLineChars="200"/>
        <w:rPr>
          <w:rFonts w:ascii="宋体" w:hAnsi="宋体" w:cs="宋体"/>
          <w:b/>
          <w:bCs/>
          <w:color w:val="auto"/>
          <w:kern w:val="0"/>
          <w:sz w:val="24"/>
          <w:highlight w:val="none"/>
        </w:rPr>
      </w:pPr>
    </w:p>
    <w:p w14:paraId="79BE83D3">
      <w:pPr>
        <w:widowControl/>
        <w:adjustRightInd w:val="0"/>
        <w:spacing w:line="360" w:lineRule="auto"/>
        <w:rPr>
          <w:rFonts w:ascii="宋体" w:hAnsi="宋体" w:cs="宋体"/>
          <w:color w:val="auto"/>
          <w:kern w:val="0"/>
          <w:sz w:val="24"/>
          <w:highlight w:val="none"/>
        </w:rPr>
      </w:pPr>
      <w:r>
        <w:rPr>
          <w:rFonts w:hint="eastAsia" w:ascii="宋体" w:hAnsi="宋体" w:cs="宋体"/>
          <w:b/>
          <w:bCs/>
          <w:color w:val="auto"/>
          <w:kern w:val="0"/>
          <w:sz w:val="24"/>
          <w:highlight w:val="none"/>
        </w:rPr>
        <w:t>六、其它补充事宜</w:t>
      </w:r>
    </w:p>
    <w:p w14:paraId="1CD42932">
      <w:pPr>
        <w:widowControl/>
        <w:adjustRightInd w:val="0"/>
        <w:snapToGrid w:val="0"/>
        <w:spacing w:before="100" w:beforeAutospacing="1" w:after="100" w:afterAutospacing="1"/>
        <w:jc w:val="left"/>
        <w:rPr>
          <w:rFonts w:ascii="宋体" w:hAnsi="宋体" w:cs="宋体"/>
          <w:color w:val="auto"/>
          <w:kern w:val="0"/>
          <w:sz w:val="24"/>
          <w:highlight w:val="none"/>
        </w:rPr>
      </w:pPr>
      <w:r>
        <w:rPr>
          <w:rFonts w:hint="eastAsia" w:ascii="宋体" w:hAnsi="宋体" w:cs="宋体"/>
          <w:color w:val="auto"/>
          <w:kern w:val="0"/>
          <w:sz w:val="24"/>
          <w:highlight w:val="none"/>
        </w:rPr>
        <w:t>1、招标文件采用网上电子版本发售和纸质招标文件同时发售方式：</w:t>
      </w:r>
    </w:p>
    <w:p w14:paraId="123D1A3D">
      <w:pPr>
        <w:widowControl/>
        <w:adjustRightInd w:val="0"/>
        <w:spacing w:line="360" w:lineRule="auto"/>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500 元。如决定购买招标文件，请完成标书款缴费及标书下载手续，</w:t>
      </w:r>
      <w:r>
        <w:rPr>
          <w:rFonts w:ascii="宋体" w:hAnsi="宋体" w:cs="宋体"/>
          <w:color w:val="auto"/>
          <w:sz w:val="24"/>
          <w:highlight w:val="none"/>
        </w:rPr>
        <w:t>纸质文件可联系采购代理机构联系人</w:t>
      </w:r>
      <w:r>
        <w:rPr>
          <w:rFonts w:hint="eastAsia" w:ascii="宋体" w:hAnsi="宋体" w:cs="宋体"/>
          <w:color w:val="auto"/>
          <w:sz w:val="24"/>
          <w:highlight w:val="none"/>
        </w:rPr>
        <w:t>通过快递或现场</w:t>
      </w:r>
      <w:r>
        <w:rPr>
          <w:rFonts w:ascii="宋体" w:hAnsi="宋体" w:cs="宋体"/>
          <w:color w:val="auto"/>
          <w:sz w:val="24"/>
          <w:highlight w:val="none"/>
        </w:rPr>
        <w:t>领</w:t>
      </w:r>
      <w:r>
        <w:rPr>
          <w:rFonts w:hint="eastAsia" w:ascii="宋体" w:hAnsi="宋体" w:cs="宋体"/>
          <w:color w:val="auto"/>
          <w:kern w:val="0"/>
          <w:sz w:val="24"/>
          <w:highlight w:val="none"/>
        </w:rPr>
        <w:t>取获取。电子版招标文件与纸质招标文件具有同等的法律效力。</w:t>
      </w:r>
    </w:p>
    <w:p w14:paraId="4D245D0B">
      <w:pPr>
        <w:widowControl/>
        <w:adjustRightInd w:val="0"/>
        <w:snapToGrid w:val="0"/>
        <w:spacing w:before="100" w:beforeAutospacing="1" w:after="100" w:afterAutospacing="1"/>
        <w:jc w:val="left"/>
        <w:rPr>
          <w:rFonts w:ascii="宋体" w:hAnsi="宋体" w:cs="宋体"/>
          <w:color w:val="auto"/>
          <w:kern w:val="0"/>
          <w:sz w:val="24"/>
          <w:highlight w:val="none"/>
        </w:rPr>
      </w:pPr>
      <w:r>
        <w:rPr>
          <w:rFonts w:hint="eastAsia" w:ascii="宋体" w:hAnsi="宋体" w:cs="宋体"/>
          <w:color w:val="auto"/>
          <w:kern w:val="0"/>
          <w:sz w:val="24"/>
          <w:highlight w:val="none"/>
        </w:rPr>
        <w:t>2）投标人可以电汇的形式支付标书款（应以公司名义汇款至下述指定账号）。</w:t>
      </w:r>
    </w:p>
    <w:p w14:paraId="07124265">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开户名称：东方国际招标有限责任公司</w:t>
      </w:r>
    </w:p>
    <w:p w14:paraId="6289D689">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开户行：招商银行北京西三环支行</w:t>
      </w:r>
    </w:p>
    <w:p w14:paraId="5CF8284C">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账  号：86</w:t>
      </w:r>
      <w:r>
        <w:rPr>
          <w:rFonts w:ascii="宋体" w:hAnsi="宋体" w:cs="宋体"/>
          <w:color w:val="auto"/>
          <w:kern w:val="0"/>
          <w:sz w:val="24"/>
          <w:highlight w:val="none"/>
        </w:rPr>
        <w:t>2081657710001</w:t>
      </w:r>
    </w:p>
    <w:p w14:paraId="372EE658">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3）投标人应在平台上填写开票信息。在投标人足额缴纳标书款后，标书款电子发票将发送至投标人在平台上登记的电子邮箱，投标人自行下载打印。</w:t>
      </w:r>
    </w:p>
    <w:p w14:paraId="1D4785AD">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2、以</w:t>
      </w:r>
      <w:r>
        <w:rPr>
          <w:rFonts w:ascii="宋体" w:hAnsi="宋体" w:cs="宋体"/>
          <w:color w:val="auto"/>
          <w:kern w:val="0"/>
          <w:sz w:val="24"/>
          <w:highlight w:val="none"/>
        </w:rPr>
        <w:t>电汇方式购买招标文件</w:t>
      </w:r>
      <w:r>
        <w:rPr>
          <w:rFonts w:hint="eastAsia" w:ascii="宋体" w:hAnsi="宋体" w:cs="宋体"/>
          <w:color w:val="auto"/>
          <w:kern w:val="0"/>
          <w:sz w:val="24"/>
          <w:highlight w:val="none"/>
        </w:rPr>
        <w:t>和</w:t>
      </w:r>
      <w:r>
        <w:rPr>
          <w:rFonts w:ascii="宋体" w:hAnsi="宋体" w:cs="宋体"/>
          <w:color w:val="auto"/>
          <w:kern w:val="0"/>
          <w:sz w:val="24"/>
          <w:highlight w:val="none"/>
        </w:rPr>
        <w:t>递交投标保证金</w:t>
      </w:r>
      <w:r>
        <w:rPr>
          <w:rFonts w:hint="eastAsia" w:ascii="宋体" w:hAnsi="宋体" w:cs="宋体"/>
          <w:color w:val="auto"/>
          <w:kern w:val="0"/>
          <w:sz w:val="24"/>
          <w:highlight w:val="none"/>
        </w:rPr>
        <w:t>的，</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r>
        <w:rPr>
          <w:rFonts w:hint="eastAsia" w:ascii="宋体" w:hAnsi="宋体" w:cs="宋体"/>
          <w:color w:val="auto"/>
          <w:kern w:val="0"/>
          <w:sz w:val="24"/>
          <w:highlight w:val="none"/>
        </w:rPr>
        <w:t>）。</w:t>
      </w:r>
    </w:p>
    <w:p w14:paraId="5BE0112B">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3、采购项目需要落实的政府采购政策：</w:t>
      </w:r>
    </w:p>
    <w:p w14:paraId="3DFF77DC">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（1）政府采购促进中小企业发展</w:t>
      </w:r>
    </w:p>
    <w:p w14:paraId="0CA61994">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（2）政府采购支持监狱企业发展</w:t>
      </w:r>
    </w:p>
    <w:p w14:paraId="5B2FF065">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（3）政府采购促进残疾人就业</w:t>
      </w:r>
    </w:p>
    <w:p w14:paraId="59264448">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（4）政府采购鼓励采购节能环保产品</w:t>
      </w:r>
    </w:p>
    <w:p w14:paraId="2C166615">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（5）扶持不发达地区和少数民族地区</w:t>
      </w:r>
    </w:p>
    <w:p w14:paraId="72570AFE">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（6）政府采购支持本国产品</w:t>
      </w:r>
    </w:p>
    <w:p w14:paraId="104DAA89">
      <w:pPr>
        <w:widowControl/>
        <w:adjustRightInd w:val="0"/>
        <w:spacing w:line="360" w:lineRule="auto"/>
        <w:ind w:firstLine="482" w:firstLineChars="200"/>
        <w:rPr>
          <w:rFonts w:ascii="宋体" w:hAnsi="宋体" w:cs="宋体"/>
          <w:b/>
          <w:bCs/>
          <w:color w:val="auto"/>
          <w:kern w:val="0"/>
          <w:sz w:val="24"/>
          <w:highlight w:val="none"/>
        </w:rPr>
      </w:pPr>
    </w:p>
    <w:p w14:paraId="0E9411C7">
      <w:pPr>
        <w:widowControl/>
        <w:adjustRightIn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七、对本次招标提出询问，请按以下方式联系。</w:t>
      </w:r>
    </w:p>
    <w:p w14:paraId="617AC81F">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1.采购人信息</w:t>
      </w:r>
    </w:p>
    <w:p w14:paraId="3E5C3C61">
      <w:pPr>
        <w:widowControl/>
        <w:adjustRightInd w:val="0"/>
        <w:spacing w:line="360" w:lineRule="auto"/>
        <w:rPr>
          <w:rFonts w:ascii="宋体" w:hAnsi="宋体" w:cs="宋体"/>
          <w:bCs/>
          <w:color w:val="auto"/>
          <w:kern w:val="0"/>
          <w:sz w:val="24"/>
          <w:highlight w:val="none"/>
          <w:u w:val="single"/>
        </w:rPr>
      </w:pPr>
      <w:r>
        <w:rPr>
          <w:rFonts w:hint="eastAsia" w:ascii="宋体" w:hAnsi="宋体" w:cs="宋体"/>
          <w:bCs/>
          <w:color w:val="auto"/>
          <w:kern w:val="0"/>
          <w:sz w:val="24"/>
          <w:highlight w:val="none"/>
        </w:rPr>
        <w:t>名称：</w:t>
      </w:r>
      <w:r>
        <w:rPr>
          <w:rFonts w:hint="eastAsia" w:ascii="宋体" w:hAnsi="宋体" w:cs="宋体"/>
          <w:b/>
          <w:bCs/>
          <w:color w:val="auto"/>
          <w:kern w:val="0"/>
          <w:sz w:val="24"/>
          <w:highlight w:val="none"/>
          <w:u w:val="single"/>
        </w:rPr>
        <w:t xml:space="preserve">          中国科学院高能物理研究所                </w:t>
      </w:r>
    </w:p>
    <w:p w14:paraId="73853D63">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北京市石景山区玉泉路19号乙院                 </w:t>
      </w:r>
    </w:p>
    <w:p w14:paraId="5990EB3C">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联系方</w:t>
      </w:r>
      <w:r>
        <w:rPr>
          <w:rFonts w:hint="eastAsia" w:ascii="宋体" w:hAnsi="宋体" w:cs="宋体"/>
          <w:bCs/>
          <w:color w:val="auto"/>
          <w:kern w:val="0"/>
          <w:sz w:val="24"/>
          <w:highlight w:val="none"/>
        </w:rPr>
        <w:t>式：张老师，010-88236869</w:t>
      </w:r>
    </w:p>
    <w:p w14:paraId="279D48C5">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2.采购代理机构信息</w:t>
      </w:r>
    </w:p>
    <w:p w14:paraId="57FD7D97">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名称：东方国际招标有限责任公司</w:t>
      </w:r>
    </w:p>
    <w:p w14:paraId="32C7E365">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color w:val="auto"/>
          <w:kern w:val="0"/>
          <w:sz w:val="24"/>
          <w:highlight w:val="none"/>
        </w:rPr>
        <w:t>北京市海淀区丹棱街1号互联网金融中心20层</w:t>
      </w:r>
    </w:p>
    <w:p w14:paraId="396B75DB">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联系方式：耿佳 段威宇 陈君烁 冀松阳 010-68290565/0549/0509/0515，wyduan@oitc.com.cn/jgeng@oitc.com.cn</w:t>
      </w:r>
    </w:p>
    <w:p w14:paraId="6A951611">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3.项目联系方式</w:t>
      </w:r>
    </w:p>
    <w:p w14:paraId="747C7D43">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项目联系人：</w:t>
      </w:r>
      <w:r>
        <w:rPr>
          <w:rFonts w:hint="eastAsia" w:ascii="宋体" w:hAnsi="宋体" w:cs="宋体"/>
          <w:bCs/>
          <w:color w:val="auto"/>
          <w:kern w:val="0"/>
          <w:sz w:val="24"/>
          <w:highlight w:val="none"/>
          <w:u w:val="single"/>
        </w:rPr>
        <w:t xml:space="preserve">         耿佳 段威宇 陈君烁 冀松阳          </w:t>
      </w:r>
    </w:p>
    <w:p w14:paraId="66DE738A">
      <w:pPr>
        <w:widowControl/>
        <w:adjustRightInd w:val="0"/>
        <w:spacing w:line="360" w:lineRule="auto"/>
        <w:rPr>
          <w:rFonts w:ascii="宋体" w:hAnsi="宋体"/>
          <w:color w:val="auto"/>
          <w:sz w:val="24"/>
          <w:highlight w:val="none"/>
        </w:rPr>
      </w:pPr>
      <w:r>
        <w:rPr>
          <w:rFonts w:hint="eastAsia" w:ascii="宋体" w:hAnsi="宋体" w:cs="宋体"/>
          <w:bCs/>
          <w:color w:val="auto"/>
          <w:kern w:val="0"/>
          <w:sz w:val="24"/>
          <w:highlight w:val="none"/>
        </w:rPr>
        <w:t>电话：</w:t>
      </w:r>
      <w:r>
        <w:rPr>
          <w:rFonts w:hint="eastAsia" w:ascii="宋体" w:hAnsi="宋体" w:cs="宋体"/>
          <w:bCs/>
          <w:color w:val="auto"/>
          <w:kern w:val="0"/>
          <w:sz w:val="24"/>
          <w:highlight w:val="none"/>
          <w:u w:val="single"/>
        </w:rPr>
        <w:t xml:space="preserve">         010-68290565/0549/0509/0515              </w:t>
      </w:r>
    </w:p>
    <w:p w14:paraId="7F036D3D">
      <w:pPr>
        <w:adjustRightInd w:val="0"/>
        <w:snapToGrid w:val="0"/>
        <w:spacing w:after="120" w:afterLines="50" w:line="360" w:lineRule="auto"/>
        <w:jc w:val="center"/>
        <w:outlineLvl w:val="0"/>
        <w:rPr>
          <w:rFonts w:ascii="宋体" w:hAnsi="宋体"/>
          <w:b/>
          <w:color w:val="auto"/>
          <w:sz w:val="30"/>
          <w:szCs w:val="30"/>
          <w:highlight w:val="none"/>
        </w:rPr>
      </w:pPr>
      <w:r>
        <w:rPr>
          <w:rFonts w:hint="eastAsia" w:ascii="宋体" w:hAnsi="宋体"/>
          <w:color w:val="auto"/>
          <w:sz w:val="24"/>
          <w:highlight w:val="none"/>
        </w:rPr>
        <w:br w:type="page"/>
      </w:r>
      <w:bookmarkStart w:id="4" w:name="_Toc129880033"/>
      <w:r>
        <w:rPr>
          <w:rFonts w:hint="eastAsia" w:ascii="宋体" w:hAnsi="宋体"/>
          <w:b/>
          <w:color w:val="auto"/>
          <w:sz w:val="30"/>
          <w:szCs w:val="30"/>
          <w:highlight w:val="none"/>
        </w:rPr>
        <w:t>第二部分 投标人须知资料表</w:t>
      </w:r>
      <w:bookmarkEnd w:id="3"/>
      <w:bookmarkEnd w:id="4"/>
    </w:p>
    <w:p w14:paraId="4182C3E2">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本表是对招标文件“投标人须知”的具体补充和修改，如与招标文件各部分内容有差异，应以本资料表为准。</w:t>
      </w:r>
    </w:p>
    <w:tbl>
      <w:tblPr>
        <w:tblStyle w:val="4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2CCEA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50A17F5B">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条款号</w:t>
            </w:r>
          </w:p>
        </w:tc>
        <w:tc>
          <w:tcPr>
            <w:tcW w:w="7371" w:type="dxa"/>
            <w:vAlign w:val="center"/>
          </w:tcPr>
          <w:p w14:paraId="5E9FA01F">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内      容</w:t>
            </w:r>
          </w:p>
        </w:tc>
      </w:tr>
      <w:tr w14:paraId="2D9DE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FA32423">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7.1</w:t>
            </w:r>
          </w:p>
        </w:tc>
        <w:tc>
          <w:tcPr>
            <w:tcW w:w="7371" w:type="dxa"/>
            <w:vAlign w:val="center"/>
          </w:tcPr>
          <w:p w14:paraId="00ADFBB4">
            <w:pPr>
              <w:adjustRightInd w:val="0"/>
              <w:snapToGrid w:val="0"/>
              <w:spacing w:line="360" w:lineRule="auto"/>
              <w:rPr>
                <w:rFonts w:ascii="宋体" w:hAnsi="宋体"/>
                <w:color w:val="auto"/>
                <w:sz w:val="24"/>
                <w:highlight w:val="none"/>
              </w:rPr>
            </w:pPr>
            <w:r>
              <w:rPr>
                <w:rFonts w:hint="eastAsia" w:ascii="宋体" w:hAnsi="宋体" w:cs="仿宋_GB2312"/>
                <w:bCs/>
                <w:color w:val="auto"/>
                <w:sz w:val="24"/>
                <w:highlight w:val="none"/>
              </w:rPr>
              <w:t>投标人须以包为单位对包中全部内容进行投标，不得拆分，否则其投标将被拒绝。评标、授标以包为单位。</w:t>
            </w:r>
          </w:p>
        </w:tc>
      </w:tr>
      <w:tr w14:paraId="0B4888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E16ADA8">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8.8</w:t>
            </w:r>
          </w:p>
        </w:tc>
        <w:tc>
          <w:tcPr>
            <w:tcW w:w="7371" w:type="dxa"/>
            <w:vAlign w:val="center"/>
          </w:tcPr>
          <w:p w14:paraId="6710D1AB">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投标人须以“项目需求逐条应答表（格式见第六部分 ★附件6 服务需求逐条应答表（格式））”逐条说明所提供的相关服务已对招标文件的需求做出了实质性的响应或申明与需求部分条文的正负偏离。</w:t>
            </w:r>
          </w:p>
        </w:tc>
      </w:tr>
      <w:tr w14:paraId="4AF3A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89D93B8">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★9.6</w:t>
            </w:r>
          </w:p>
        </w:tc>
        <w:tc>
          <w:tcPr>
            <w:tcW w:w="7371" w:type="dxa"/>
            <w:vAlign w:val="center"/>
          </w:tcPr>
          <w:p w14:paraId="5038E477">
            <w:pPr>
              <w:adjustRightInd w:val="0"/>
              <w:snapToGrid w:val="0"/>
              <w:spacing w:line="360" w:lineRule="auto"/>
              <w:rPr>
                <w:rFonts w:ascii="宋体" w:hAnsi="宋体" w:cs="仿宋_GB2312"/>
                <w:bCs/>
                <w:color w:val="auto"/>
                <w:sz w:val="24"/>
                <w:highlight w:val="none"/>
              </w:rPr>
            </w:pPr>
            <w:r>
              <w:rPr>
                <w:rFonts w:hint="eastAsia" w:ascii="宋体" w:hAnsi="宋体" w:cs="仿宋_GB2312"/>
                <w:bCs/>
                <w:color w:val="auto"/>
                <w:sz w:val="24"/>
                <w:highlight w:val="none"/>
              </w:rPr>
              <w:t>（1）提供的服务或相关内容报人民币含税价，投标报价包含完成本项目所有工作内容的全部费用。</w:t>
            </w:r>
          </w:p>
          <w:p w14:paraId="31A1955A">
            <w:pPr>
              <w:adjustRightInd w:val="0"/>
              <w:snapToGrid w:val="0"/>
              <w:spacing w:line="360" w:lineRule="auto"/>
              <w:rPr>
                <w:rFonts w:ascii="宋体" w:hAnsi="宋体" w:cs="仿宋_GB2312"/>
                <w:bCs/>
                <w:color w:val="auto"/>
                <w:sz w:val="24"/>
                <w:highlight w:val="none"/>
              </w:rPr>
            </w:pPr>
            <w:r>
              <w:rPr>
                <w:rFonts w:hint="eastAsia" w:ascii="宋体" w:hAnsi="宋体" w:cs="仿宋_GB2312"/>
                <w:bCs/>
                <w:color w:val="auto"/>
                <w:sz w:val="24"/>
                <w:highlight w:val="none"/>
              </w:rPr>
              <w:t>（2）投标人须对此项目要求进行透彻了解，报价时应考虑自身的管理水平和风险后进行报价。此报价为整个项目的报价。</w:t>
            </w:r>
          </w:p>
          <w:p w14:paraId="1EEB7BA8">
            <w:pPr>
              <w:adjustRightInd w:val="0"/>
              <w:snapToGrid w:val="0"/>
              <w:spacing w:line="360" w:lineRule="auto"/>
              <w:rPr>
                <w:rFonts w:ascii="宋体" w:hAnsi="宋体" w:cs="仿宋_GB2312"/>
                <w:color w:val="auto"/>
                <w:sz w:val="24"/>
                <w:highlight w:val="none"/>
              </w:rPr>
            </w:pPr>
            <w:r>
              <w:rPr>
                <w:rFonts w:hint="eastAsia" w:ascii="宋体" w:hAnsi="宋体" w:cs="仿宋_GB2312"/>
                <w:bCs/>
                <w:color w:val="auto"/>
                <w:sz w:val="24"/>
                <w:highlight w:val="none"/>
              </w:rPr>
              <w:t>（3）上述价格的构成须按在分项报价表中格式要求详细列出。</w:t>
            </w:r>
          </w:p>
        </w:tc>
      </w:tr>
      <w:tr w14:paraId="48C35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14D4C6E">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10.1</w:t>
            </w:r>
          </w:p>
        </w:tc>
        <w:tc>
          <w:tcPr>
            <w:tcW w:w="7371" w:type="dxa"/>
            <w:vAlign w:val="center"/>
          </w:tcPr>
          <w:p w14:paraId="0D79D46E">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投</w:t>
            </w:r>
            <w:r>
              <w:rPr>
                <w:rFonts w:hint="eastAsia" w:ascii="宋体" w:hAnsi="宋体"/>
                <w:color w:val="auto"/>
                <w:sz w:val="24"/>
                <w:highlight w:val="none"/>
              </w:rPr>
              <w:t>标保证金金额：</w:t>
            </w:r>
            <w:r>
              <w:rPr>
                <w:rFonts w:hint="eastAsia" w:ascii="宋体" w:hAnsi="宋体"/>
                <w:b/>
                <w:color w:val="auto"/>
                <w:sz w:val="24"/>
                <w:highlight w:val="none"/>
              </w:rPr>
              <w:t>人民币</w:t>
            </w:r>
            <w:r>
              <w:rPr>
                <w:rFonts w:ascii="宋体" w:hAnsi="宋体"/>
                <w:b/>
                <w:color w:val="auto"/>
                <w:sz w:val="24"/>
                <w:highlight w:val="none"/>
              </w:rPr>
              <w:t>14万元整</w:t>
            </w:r>
            <w:r>
              <w:rPr>
                <w:rFonts w:hint="eastAsia" w:ascii="宋体" w:hAnsi="宋体"/>
                <w:color w:val="auto"/>
                <w:sz w:val="24"/>
                <w:highlight w:val="none"/>
              </w:rPr>
              <w:t>。</w:t>
            </w:r>
          </w:p>
          <w:p w14:paraId="15D749D8">
            <w:pPr>
              <w:adjustRightInd w:val="0"/>
              <w:snapToGrid w:val="0"/>
              <w:spacing w:line="360" w:lineRule="auto"/>
              <w:ind w:left="1898" w:hanging="1898" w:hangingChars="791"/>
              <w:rPr>
                <w:rFonts w:ascii="宋体" w:hAnsi="宋体"/>
                <w:color w:val="auto"/>
                <w:sz w:val="24"/>
                <w:highlight w:val="none"/>
              </w:rPr>
            </w:pPr>
            <w:r>
              <w:rPr>
                <w:rFonts w:hint="eastAsia" w:ascii="宋体" w:hAnsi="宋体"/>
                <w:color w:val="auto"/>
                <w:sz w:val="24"/>
                <w:highlight w:val="none"/>
              </w:rPr>
              <w:t>投标保证金形式：电汇、网银转账或金融机构、担保机构出具的保函。</w:t>
            </w:r>
          </w:p>
          <w:p w14:paraId="7F38A630">
            <w:pPr>
              <w:spacing w:line="360" w:lineRule="auto"/>
              <w:ind w:left="32"/>
              <w:jc w:val="left"/>
              <w:rPr>
                <w:rFonts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采用保函形式的，</w:t>
            </w:r>
            <w:r>
              <w:rPr>
                <w:rFonts w:hint="eastAsia" w:ascii="宋体" w:hAnsi="宋体"/>
                <w:color w:val="auto"/>
                <w:sz w:val="24"/>
                <w:highlight w:val="none"/>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color w:val="auto"/>
                <w:sz w:val="24"/>
                <w:highlight w:val="none"/>
              </w:rPr>
              <w:t>；投标人应承担投标保函开具、递交、退还、通知及核印等产生的一切相关费用。</w:t>
            </w:r>
          </w:p>
          <w:p w14:paraId="3B4C8945">
            <w:pPr>
              <w:spacing w:line="360" w:lineRule="auto"/>
              <w:ind w:left="32"/>
              <w:jc w:val="left"/>
              <w:rPr>
                <w:rFonts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使用电汇、网银转账形式的，投标保证金</w:t>
            </w:r>
            <w:r>
              <w:rPr>
                <w:rFonts w:ascii="宋体" w:hAnsi="宋体"/>
                <w:color w:val="auto"/>
                <w:sz w:val="24"/>
                <w:highlight w:val="none"/>
              </w:rPr>
              <w:t>必须从</w:t>
            </w:r>
            <w:r>
              <w:rPr>
                <w:rFonts w:hint="eastAsia" w:ascii="宋体" w:hAnsi="宋体"/>
                <w:color w:val="auto"/>
                <w:sz w:val="24"/>
                <w:highlight w:val="none"/>
              </w:rPr>
              <w:t>境内</w:t>
            </w:r>
            <w:r>
              <w:rPr>
                <w:rFonts w:ascii="宋体" w:hAnsi="宋体"/>
                <w:color w:val="auto"/>
                <w:sz w:val="24"/>
                <w:highlight w:val="none"/>
              </w:rPr>
              <w:t>银行</w:t>
            </w:r>
            <w:r>
              <w:rPr>
                <w:rFonts w:hint="eastAsia" w:ascii="宋体" w:hAnsi="宋体"/>
                <w:color w:val="auto"/>
                <w:sz w:val="24"/>
                <w:highlight w:val="none"/>
              </w:rPr>
              <w:t>对公</w:t>
            </w:r>
            <w:r>
              <w:rPr>
                <w:rFonts w:ascii="宋体" w:hAnsi="宋体"/>
                <w:color w:val="auto"/>
                <w:sz w:val="24"/>
                <w:highlight w:val="none"/>
              </w:rPr>
              <w:t>账户转出</w:t>
            </w:r>
            <w:r>
              <w:rPr>
                <w:rFonts w:hint="eastAsia" w:ascii="宋体" w:hAnsi="宋体"/>
                <w:color w:val="auto"/>
                <w:sz w:val="24"/>
                <w:highlight w:val="none"/>
              </w:rPr>
              <w:t>，且在投标截止时间前汇到招标代理机构账户，否则投标被拒绝：</w:t>
            </w:r>
          </w:p>
          <w:p w14:paraId="023AE7AC">
            <w:pPr>
              <w:spacing w:line="360" w:lineRule="auto"/>
              <w:ind w:left="32"/>
              <w:jc w:val="left"/>
              <w:rPr>
                <w:rFonts w:ascii="宋体" w:hAnsi="宋体" w:cs="仿宋_GB2312"/>
                <w:b/>
                <w:color w:val="auto"/>
                <w:sz w:val="24"/>
                <w:highlight w:val="none"/>
              </w:rPr>
            </w:pPr>
            <w:r>
              <w:rPr>
                <w:rFonts w:hint="eastAsia" w:ascii="宋体" w:hAnsi="宋体" w:cs="仿宋_GB2312"/>
                <w:b/>
                <w:color w:val="auto"/>
                <w:sz w:val="24"/>
                <w:highlight w:val="none"/>
              </w:rPr>
              <w:t>投标人应于投标截止期前将全额投标保证金转入下述指定账号</w:t>
            </w:r>
            <w:r>
              <w:rPr>
                <w:rFonts w:ascii="宋体" w:hAnsi="宋体" w:cs="仿宋_GB2312"/>
                <w:b/>
                <w:color w:val="auto"/>
                <w:sz w:val="24"/>
                <w:highlight w:val="none"/>
              </w:rPr>
              <w:t>,</w:t>
            </w:r>
            <w:r>
              <w:rPr>
                <w:rFonts w:hint="eastAsia" w:ascii="宋体" w:hAnsi="宋体" w:cs="仿宋_GB2312"/>
                <w:b/>
                <w:color w:val="auto"/>
                <w:sz w:val="24"/>
                <w:highlight w:val="none"/>
              </w:rPr>
              <w:t xml:space="preserve"> 并应将“投标保证金电汇凭证</w:t>
            </w:r>
            <w:r>
              <w:rPr>
                <w:rFonts w:ascii="宋体" w:hAnsi="宋体" w:cs="仿宋_GB2312"/>
                <w:b/>
                <w:color w:val="auto"/>
                <w:sz w:val="24"/>
                <w:highlight w:val="none"/>
              </w:rPr>
              <w:t>/</w:t>
            </w:r>
            <w:r>
              <w:rPr>
                <w:rFonts w:hint="eastAsia" w:ascii="宋体" w:hAnsi="宋体" w:cs="仿宋_GB2312"/>
                <w:b/>
                <w:color w:val="auto"/>
                <w:sz w:val="24"/>
                <w:highlight w:val="none"/>
              </w:rPr>
              <w:t>投标保函”单独密封，在投标时与“投标一览表”同时递交。</w:t>
            </w:r>
          </w:p>
          <w:p w14:paraId="28D66F87">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开户名（全称）：东方国际招标有限责任公司</w:t>
            </w:r>
          </w:p>
          <w:p w14:paraId="458150CE">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开户银行：招商银行北京西三环支行</w:t>
            </w:r>
          </w:p>
          <w:p w14:paraId="0D05D99D">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账号：86</w:t>
            </w:r>
            <w:r>
              <w:rPr>
                <w:rFonts w:ascii="宋体" w:hAnsi="宋体"/>
                <w:color w:val="auto"/>
                <w:sz w:val="24"/>
                <w:highlight w:val="none"/>
              </w:rPr>
              <w:t>2081657710001</w:t>
            </w:r>
          </w:p>
          <w:p w14:paraId="347A094B">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注：</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p>
        </w:tc>
      </w:tr>
      <w:tr w14:paraId="67F2D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8071CCF">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11.1</w:t>
            </w:r>
          </w:p>
        </w:tc>
        <w:tc>
          <w:tcPr>
            <w:tcW w:w="7371" w:type="dxa"/>
            <w:vAlign w:val="center"/>
          </w:tcPr>
          <w:p w14:paraId="13E8E055">
            <w:pPr>
              <w:adjustRightInd w:val="0"/>
              <w:snapToGrid w:val="0"/>
              <w:spacing w:line="360" w:lineRule="auto"/>
              <w:ind w:left="1592" w:hanging="1592"/>
              <w:rPr>
                <w:rFonts w:ascii="宋体" w:hAnsi="宋体"/>
                <w:color w:val="auto"/>
                <w:sz w:val="24"/>
                <w:highlight w:val="none"/>
                <w:u w:val="single"/>
              </w:rPr>
            </w:pPr>
            <w:r>
              <w:rPr>
                <w:rFonts w:hint="eastAsia" w:ascii="宋体" w:hAnsi="宋体"/>
                <w:color w:val="auto"/>
                <w:sz w:val="24"/>
                <w:highlight w:val="none"/>
              </w:rPr>
              <w:t>投标有效期：</w:t>
            </w:r>
            <w:r>
              <w:rPr>
                <w:rFonts w:hint="eastAsia" w:ascii="宋体" w:hAnsi="宋体"/>
                <w:color w:val="auto"/>
                <w:sz w:val="24"/>
                <w:highlight w:val="none"/>
                <w:u w:val="single"/>
              </w:rPr>
              <w:t xml:space="preserve"> 150天</w:t>
            </w:r>
          </w:p>
        </w:tc>
      </w:tr>
      <w:tr w14:paraId="1E8B64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AA2D40C">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★12.1</w:t>
            </w:r>
          </w:p>
        </w:tc>
        <w:tc>
          <w:tcPr>
            <w:tcW w:w="7371" w:type="dxa"/>
            <w:vAlign w:val="center"/>
          </w:tcPr>
          <w:p w14:paraId="03ADAF39">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投标文件：正本：</w:t>
            </w:r>
            <w:r>
              <w:rPr>
                <w:rFonts w:hint="eastAsia" w:ascii="宋体" w:hAnsi="宋体"/>
                <w:color w:val="auto"/>
                <w:sz w:val="24"/>
                <w:highlight w:val="none"/>
                <w:u w:val="single"/>
              </w:rPr>
              <w:t>1</w:t>
            </w:r>
            <w:r>
              <w:rPr>
                <w:rFonts w:hint="eastAsia" w:ascii="宋体" w:hAnsi="宋体"/>
                <w:color w:val="auto"/>
                <w:sz w:val="24"/>
                <w:highlight w:val="none"/>
              </w:rPr>
              <w:t>份　</w:t>
            </w:r>
          </w:p>
          <w:p w14:paraId="3927CF89">
            <w:pPr>
              <w:adjustRightInd w:val="0"/>
              <w:snapToGrid w:val="0"/>
              <w:spacing w:line="360" w:lineRule="auto"/>
              <w:ind w:firstLine="1200" w:firstLineChars="500"/>
              <w:rPr>
                <w:rFonts w:ascii="宋体" w:hAnsi="宋体"/>
                <w:color w:val="auto"/>
                <w:sz w:val="24"/>
                <w:highlight w:val="none"/>
              </w:rPr>
            </w:pPr>
            <w:r>
              <w:rPr>
                <w:rFonts w:hint="eastAsia" w:ascii="宋体" w:hAnsi="宋体"/>
                <w:color w:val="auto"/>
                <w:sz w:val="24"/>
                <w:highlight w:val="none"/>
              </w:rPr>
              <w:t>副本：</w:t>
            </w:r>
            <w:r>
              <w:rPr>
                <w:rFonts w:hint="eastAsia" w:ascii="宋体" w:hAnsi="宋体"/>
                <w:color w:val="auto"/>
                <w:sz w:val="24"/>
                <w:highlight w:val="none"/>
                <w:u w:val="single"/>
              </w:rPr>
              <w:t>5</w:t>
            </w:r>
            <w:r>
              <w:rPr>
                <w:rFonts w:hint="eastAsia" w:ascii="宋体" w:hAnsi="宋体"/>
                <w:color w:val="auto"/>
                <w:sz w:val="24"/>
                <w:highlight w:val="none"/>
              </w:rPr>
              <w:t xml:space="preserve">份 </w:t>
            </w:r>
          </w:p>
          <w:p w14:paraId="47518C97">
            <w:pPr>
              <w:adjustRightInd w:val="0"/>
              <w:snapToGrid w:val="0"/>
              <w:spacing w:line="360" w:lineRule="auto"/>
              <w:ind w:firstLine="1200" w:firstLineChars="500"/>
              <w:rPr>
                <w:rFonts w:ascii="宋体" w:hAnsi="宋体"/>
                <w:color w:val="auto"/>
                <w:sz w:val="24"/>
                <w:highlight w:val="none"/>
              </w:rPr>
            </w:pPr>
            <w:r>
              <w:rPr>
                <w:rFonts w:hint="eastAsia" w:ascii="宋体" w:hAnsi="宋体"/>
                <w:color w:val="auto"/>
                <w:sz w:val="24"/>
                <w:highlight w:val="none"/>
              </w:rPr>
              <w:t>电子版：</w:t>
            </w:r>
            <w:r>
              <w:rPr>
                <w:rFonts w:hint="eastAsia" w:ascii="宋体" w:hAnsi="宋体"/>
                <w:color w:val="auto"/>
                <w:sz w:val="24"/>
                <w:highlight w:val="none"/>
                <w:u w:val="single"/>
              </w:rPr>
              <w:t>1</w:t>
            </w:r>
            <w:r>
              <w:rPr>
                <w:rFonts w:hint="eastAsia" w:ascii="宋体" w:hAnsi="宋体"/>
                <w:color w:val="auto"/>
                <w:sz w:val="24"/>
                <w:highlight w:val="none"/>
              </w:rPr>
              <w:t>份。（正本投标文件的扫描件，PDF格式，与纸质版一致；U盘或光盘，单独密封提交）</w:t>
            </w:r>
          </w:p>
        </w:tc>
      </w:tr>
      <w:tr w14:paraId="2B97A1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48F250E">
            <w:pPr>
              <w:adjustRightInd w:val="0"/>
              <w:snapToGrid w:val="0"/>
              <w:spacing w:line="360" w:lineRule="auto"/>
              <w:jc w:val="center"/>
              <w:rPr>
                <w:rFonts w:ascii="宋体" w:hAnsi="宋体"/>
                <w:bCs/>
                <w:color w:val="auto"/>
                <w:sz w:val="24"/>
                <w:highlight w:val="none"/>
              </w:rPr>
            </w:pPr>
            <w:r>
              <w:rPr>
                <w:rFonts w:hint="eastAsia" w:ascii="宋体" w:hAnsi="宋体"/>
                <w:bCs/>
                <w:color w:val="auto"/>
                <w:sz w:val="24"/>
                <w:highlight w:val="none"/>
              </w:rPr>
              <w:t>18.2</w:t>
            </w:r>
          </w:p>
        </w:tc>
        <w:tc>
          <w:tcPr>
            <w:tcW w:w="7371" w:type="dxa"/>
            <w:vAlign w:val="center"/>
          </w:tcPr>
          <w:p w14:paraId="628D7CF3">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投标无效的情形：</w:t>
            </w:r>
          </w:p>
          <w:p w14:paraId="68FF6193">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1</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投标人未提交投标保证金或形式不符或金额不足的；</w:t>
            </w:r>
          </w:p>
          <w:p w14:paraId="284F2270">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2</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投标有效期不足的；</w:t>
            </w:r>
            <w:r>
              <w:rPr>
                <w:rFonts w:ascii="宋体" w:hAnsi="宋体" w:cs="仿宋_GB2312"/>
                <w:b/>
                <w:color w:val="auto"/>
                <w:sz w:val="24"/>
                <w:highlight w:val="none"/>
              </w:rPr>
              <w:t xml:space="preserve"> </w:t>
            </w:r>
          </w:p>
          <w:p w14:paraId="7EE8FAF3">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3</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未按照招标文件规定要求密封、签署、盖章的；</w:t>
            </w:r>
          </w:p>
          <w:p w14:paraId="4AF03B6E">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4</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未提供法定代表人授权书的；</w:t>
            </w:r>
          </w:p>
          <w:p w14:paraId="7D24CE3D">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（5）</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投标人被列入失信被执行人、重大税收违法案件当事人名单、政府采购严重违法失信行为记录名单的，或参加政府采购活动前三年内，在经营活动中有重大违法记录的；</w:t>
            </w:r>
          </w:p>
          <w:p w14:paraId="0808EDDA">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（6）</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投标文件中提供虚假或失实资料的；</w:t>
            </w:r>
          </w:p>
          <w:p w14:paraId="5999890E">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（7） 投标报价超过采购预算的；</w:t>
            </w:r>
          </w:p>
          <w:p w14:paraId="722BB526">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（8）</w:t>
            </w:r>
            <w:r>
              <w:rPr>
                <w:rFonts w:ascii="宋体" w:hAnsi="宋体" w:cs="仿宋_GB2312"/>
                <w:b/>
                <w:color w:val="auto"/>
                <w:sz w:val="24"/>
                <w:highlight w:val="none"/>
              </w:rPr>
              <w:t xml:space="preserve"> </w:t>
            </w:r>
            <w:r>
              <w:rPr>
                <w:rFonts w:hint="eastAsia" w:ascii="宋体" w:hAnsi="宋体" w:cs="仿宋_GB2312"/>
                <w:b/>
                <w:color w:val="auto"/>
                <w:sz w:val="24"/>
                <w:highlight w:val="none"/>
              </w:rPr>
              <w:t>评标委员会对投标人的报价</w:t>
            </w:r>
            <w:r>
              <w:rPr>
                <w:rFonts w:hint="eastAsia" w:ascii="宋体" w:hAnsi="宋体" w:cs="宋体"/>
                <w:b/>
                <w:color w:val="auto"/>
                <w:kern w:val="0"/>
                <w:sz w:val="24"/>
                <w:highlight w:val="none"/>
                <w:shd w:val="clear" w:color="auto" w:fill="FFFFFF"/>
                <w:lang w:bidi="ar"/>
              </w:rPr>
              <w:t>启动异常低价投标审查后，</w:t>
            </w:r>
            <w:r>
              <w:rPr>
                <w:rFonts w:hint="eastAsia" w:ascii="宋体" w:hAnsi="宋体" w:cs="仿宋_GB2312"/>
                <w:b/>
                <w:color w:val="auto"/>
                <w:sz w:val="24"/>
                <w:highlight w:val="none"/>
              </w:rPr>
              <w:t>应当要求相关投标人在</w:t>
            </w:r>
            <w:r>
              <w:rPr>
                <w:rFonts w:hint="eastAsia" w:ascii="宋体" w:hAnsi="宋体" w:cs="宋体"/>
                <w:b/>
                <w:color w:val="auto"/>
                <w:kern w:val="0"/>
                <w:sz w:val="24"/>
                <w:highlight w:val="none"/>
                <w:shd w:val="clear" w:color="auto" w:fill="FFFFFF"/>
                <w:lang w:bidi="ar"/>
              </w:rPr>
              <w:t>评审现场合理的时间</w:t>
            </w:r>
            <w:r>
              <w:rPr>
                <w:rFonts w:hint="eastAsia" w:ascii="宋体" w:hAnsi="宋体" w:cs="仿宋_GB2312"/>
                <w:b/>
                <w:color w:val="auto"/>
                <w:sz w:val="24"/>
                <w:highlight w:val="none"/>
              </w:rPr>
              <w:t>内对</w:t>
            </w:r>
            <w:r>
              <w:rPr>
                <w:rFonts w:hint="eastAsia" w:ascii="宋体" w:hAnsi="宋体" w:cs="宋体"/>
                <w:b/>
                <w:color w:val="auto"/>
                <w:kern w:val="0"/>
                <w:sz w:val="24"/>
                <w:highlight w:val="none"/>
                <w:shd w:val="clear" w:color="auto" w:fill="FFFFFF"/>
                <w:lang w:bidi="ar"/>
              </w:rPr>
              <w:t>投标价格作出解释，并提供项目具体成本测算等与报价合理性相关的书面说明及必要的证明材料</w:t>
            </w:r>
            <w:r>
              <w:rPr>
                <w:rFonts w:hint="eastAsia" w:ascii="宋体" w:hAnsi="宋体" w:cs="仿宋_GB2312"/>
                <w:b/>
                <w:color w:val="auto"/>
                <w:sz w:val="24"/>
                <w:highlight w:val="none"/>
              </w:rPr>
              <w:t>；</w:t>
            </w:r>
            <w:r>
              <w:rPr>
                <w:rFonts w:hint="eastAsia" w:ascii="宋体" w:hAnsi="宋体" w:cs="宋体"/>
                <w:b/>
                <w:color w:val="auto"/>
                <w:kern w:val="0"/>
                <w:sz w:val="24"/>
                <w:highlight w:val="none"/>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color w:val="auto"/>
                <w:sz w:val="24"/>
                <w:highlight w:val="none"/>
              </w:rPr>
              <w:t>；</w:t>
            </w:r>
          </w:p>
          <w:p w14:paraId="11D1758F">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（9） 不符合法律、法规和招标文件中★号及其他实质性要求的。</w:t>
            </w:r>
          </w:p>
        </w:tc>
      </w:tr>
      <w:tr w14:paraId="7E4D7F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30B4398">
            <w:pPr>
              <w:adjustRightInd w:val="0"/>
              <w:snapToGrid w:val="0"/>
              <w:spacing w:line="360" w:lineRule="auto"/>
              <w:jc w:val="center"/>
              <w:rPr>
                <w:rFonts w:ascii="宋体" w:hAnsi="宋体"/>
                <w:bCs/>
                <w:color w:val="auto"/>
                <w:sz w:val="24"/>
                <w:highlight w:val="none"/>
              </w:rPr>
            </w:pPr>
            <w:r>
              <w:rPr>
                <w:rFonts w:hint="eastAsia" w:ascii="宋体" w:hAnsi="宋体"/>
                <w:bCs/>
                <w:color w:val="auto"/>
                <w:sz w:val="24"/>
                <w:highlight w:val="none"/>
              </w:rPr>
              <w:t>18.4</w:t>
            </w:r>
          </w:p>
        </w:tc>
        <w:tc>
          <w:tcPr>
            <w:tcW w:w="7371" w:type="dxa"/>
            <w:vAlign w:val="center"/>
          </w:tcPr>
          <w:p w14:paraId="122D1B6D">
            <w:pPr>
              <w:spacing w:line="360" w:lineRule="auto"/>
              <w:rPr>
                <w:rFonts w:ascii="宋体" w:hAnsi="宋体" w:cs="仿宋_GB2312"/>
                <w:b/>
                <w:color w:val="auto"/>
                <w:sz w:val="24"/>
                <w:highlight w:val="none"/>
              </w:rPr>
            </w:pPr>
            <w:r>
              <w:rPr>
                <w:rFonts w:hint="eastAsia" w:ascii="宋体" w:hAnsi="宋体" w:cs="仿宋_GB2312"/>
                <w:b/>
                <w:color w:val="auto"/>
                <w:sz w:val="24"/>
                <w:highlight w:val="none"/>
              </w:rPr>
              <w:t>18.4.1 投标人需就整个包进行响应，不完整的投标将被拒绝。</w:t>
            </w:r>
          </w:p>
          <w:p w14:paraId="6781EC27">
            <w:pPr>
              <w:spacing w:line="360" w:lineRule="auto"/>
              <w:rPr>
                <w:rFonts w:ascii="宋体" w:hAnsi="宋体" w:cs="仿宋_GB2312"/>
                <w:b/>
                <w:color w:val="auto"/>
                <w:sz w:val="24"/>
                <w:highlight w:val="none"/>
              </w:rPr>
            </w:pPr>
            <w:r>
              <w:rPr>
                <w:rFonts w:hint="eastAsia" w:ascii="宋体" w:hAnsi="宋体" w:cs="仿宋_GB2312"/>
                <w:b/>
                <w:color w:val="auto"/>
                <w:sz w:val="24"/>
                <w:highlight w:val="none"/>
              </w:rPr>
              <w:t>18.4.2投标报价不得超出采购预算（设置最高限价的，以最高限价为准），否则投标将被拒绝。</w:t>
            </w:r>
          </w:p>
        </w:tc>
      </w:tr>
      <w:tr w14:paraId="748047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E31157C">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20.3</w:t>
            </w:r>
          </w:p>
        </w:tc>
        <w:tc>
          <w:tcPr>
            <w:tcW w:w="7371" w:type="dxa"/>
            <w:vAlign w:val="center"/>
          </w:tcPr>
          <w:p w14:paraId="3C124263">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评标方法：综合评价打分法</w:t>
            </w:r>
          </w:p>
          <w:p w14:paraId="2389B20C">
            <w:pPr>
              <w:pStyle w:val="59"/>
              <w:snapToGrid w:val="0"/>
              <w:spacing w:before="0"/>
              <w:ind w:firstLine="0"/>
              <w:textAlignment w:val="auto"/>
              <w:rPr>
                <w:rFonts w:ascii="宋体" w:hAnsi="宋体"/>
                <w:color w:val="auto"/>
                <w:szCs w:val="24"/>
                <w:highlight w:val="none"/>
              </w:rPr>
            </w:pPr>
            <w:r>
              <w:rPr>
                <w:rFonts w:hint="eastAsia" w:ascii="宋体" w:hAnsi="宋体"/>
                <w:color w:val="auto"/>
                <w:szCs w:val="24"/>
                <w:highlight w:val="none"/>
              </w:rPr>
              <w:t>具体评分标准详见招标文件第七部分。</w:t>
            </w:r>
          </w:p>
        </w:tc>
      </w:tr>
      <w:tr w14:paraId="50E93C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83B7596">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23.1</w:t>
            </w:r>
          </w:p>
        </w:tc>
        <w:tc>
          <w:tcPr>
            <w:tcW w:w="7371" w:type="dxa"/>
            <w:vAlign w:val="center"/>
          </w:tcPr>
          <w:p w14:paraId="1C1AF301">
            <w:pPr>
              <w:adjustRightInd w:val="0"/>
              <w:snapToGrid w:val="0"/>
              <w:spacing w:line="360" w:lineRule="auto"/>
              <w:rPr>
                <w:rFonts w:ascii="宋体" w:hAnsi="宋体"/>
                <w:color w:val="auto"/>
                <w:sz w:val="24"/>
                <w:highlight w:val="none"/>
              </w:rPr>
            </w:pPr>
            <w:r>
              <w:rPr>
                <w:rFonts w:hint="eastAsia" w:ascii="宋体" w:hAnsi="宋体" w:cs="仿宋_GB2312"/>
                <w:color w:val="auto"/>
                <w:sz w:val="24"/>
                <w:highlight w:val="none"/>
              </w:rPr>
              <w:t>确定</w:t>
            </w:r>
            <w:r>
              <w:rPr>
                <w:rFonts w:hint="eastAsia" w:ascii="宋体" w:hAnsi="宋体"/>
                <w:color w:val="auto"/>
                <w:sz w:val="24"/>
                <w:highlight w:val="none"/>
              </w:rPr>
              <w:t>中标候选人的原则为：按综合评价得分排名确定</w:t>
            </w:r>
          </w:p>
        </w:tc>
      </w:tr>
      <w:tr w14:paraId="6F4B2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EBF7A30">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28.1</w:t>
            </w:r>
          </w:p>
        </w:tc>
        <w:tc>
          <w:tcPr>
            <w:tcW w:w="7371" w:type="dxa"/>
            <w:vAlign w:val="center"/>
          </w:tcPr>
          <w:p w14:paraId="32BF4873">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履约保证金：不适用</w:t>
            </w:r>
          </w:p>
        </w:tc>
      </w:tr>
      <w:tr w14:paraId="4ED005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0743704">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29.1</w:t>
            </w:r>
          </w:p>
        </w:tc>
        <w:tc>
          <w:tcPr>
            <w:tcW w:w="7371" w:type="dxa"/>
            <w:vAlign w:val="center"/>
          </w:tcPr>
          <w:p w14:paraId="756F6DB1">
            <w:pPr>
              <w:rPr>
                <w:rFonts w:ascii="宋体" w:hAnsi="宋体"/>
                <w:color w:val="auto"/>
                <w:sz w:val="24"/>
                <w:highlight w:val="none"/>
              </w:rPr>
            </w:pPr>
            <w:r>
              <w:rPr>
                <w:rFonts w:hint="eastAsia" w:ascii="宋体" w:hAnsi="宋体"/>
                <w:color w:val="auto"/>
                <w:sz w:val="24"/>
                <w:highlight w:val="none"/>
              </w:rPr>
              <w:t>中标商在收到中标通知书后5个工作日内，须向采购人代理支付中标服务费，中标服务费收取标准及相关事项见此须知资料表下注。</w:t>
            </w:r>
          </w:p>
        </w:tc>
      </w:tr>
      <w:tr w14:paraId="5A714A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D8135CA">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33.7</w:t>
            </w:r>
          </w:p>
        </w:tc>
        <w:tc>
          <w:tcPr>
            <w:tcW w:w="7371" w:type="dxa"/>
            <w:vAlign w:val="center"/>
          </w:tcPr>
          <w:p w14:paraId="00F93930">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接收质疑函的方式、联系部门、联系电话和通讯地址：</w:t>
            </w:r>
          </w:p>
          <w:p w14:paraId="74139FC1">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接收方式：传真或电子邮件或邮寄</w:t>
            </w:r>
          </w:p>
          <w:p w14:paraId="2FE4AD98">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联系部门：招标部</w:t>
            </w:r>
          </w:p>
          <w:p w14:paraId="72E4769C">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联系电话：010-68290565/0515</w:t>
            </w:r>
          </w:p>
          <w:p w14:paraId="41A72912">
            <w:pPr>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传真：010-88517351</w:t>
            </w:r>
          </w:p>
          <w:p w14:paraId="44DF6EAE">
            <w:pPr>
              <w:adjustRightInd w:val="0"/>
              <w:snapToGrid w:val="0"/>
              <w:spacing w:line="360" w:lineRule="auto"/>
              <w:rPr>
                <w:rFonts w:ascii="宋体" w:hAnsi="宋体" w:cs="宋体"/>
                <w:color w:val="auto"/>
                <w:kern w:val="0"/>
                <w:sz w:val="24"/>
                <w:highlight w:val="none"/>
                <w:u w:val="single"/>
              </w:rPr>
            </w:pPr>
            <w:r>
              <w:rPr>
                <w:rFonts w:hint="eastAsia" w:ascii="宋体" w:hAnsi="宋体" w:cs="宋体"/>
                <w:color w:val="auto"/>
                <w:kern w:val="0"/>
                <w:sz w:val="24"/>
                <w:highlight w:val="none"/>
              </w:rPr>
              <w:t>电子邮箱：</w:t>
            </w:r>
            <w:r>
              <w:rPr>
                <w:rFonts w:hint="eastAsia" w:ascii="宋体" w:hAnsi="宋体" w:cs="宋体"/>
                <w:color w:val="auto"/>
                <w:kern w:val="0"/>
                <w:sz w:val="24"/>
                <w:highlight w:val="none"/>
                <w:u w:val="single"/>
              </w:rPr>
              <w:t xml:space="preserve">       wyduan@oitc.com.cn/jgeng@oitc.com.cn          </w:t>
            </w:r>
          </w:p>
          <w:p w14:paraId="4AA5EC91">
            <w:pPr>
              <w:adjustRightInd w:val="0"/>
              <w:snapToGrid w:val="0"/>
              <w:spacing w:line="360" w:lineRule="auto"/>
              <w:rPr>
                <w:rFonts w:ascii="宋体" w:hAnsi="宋体"/>
                <w:color w:val="auto"/>
                <w:sz w:val="24"/>
                <w:highlight w:val="none"/>
              </w:rPr>
            </w:pPr>
            <w:r>
              <w:rPr>
                <w:rFonts w:hint="eastAsia" w:ascii="宋体" w:hAnsi="宋体" w:cs="宋体"/>
                <w:color w:val="auto"/>
                <w:kern w:val="0"/>
                <w:sz w:val="24"/>
                <w:highlight w:val="none"/>
              </w:rPr>
              <w:t>通讯地址：北京市海淀区丹棱街1号互联网金融中心20层</w:t>
            </w:r>
          </w:p>
        </w:tc>
      </w:tr>
      <w:tr w14:paraId="3A07B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755F332">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中小企业划分标准所属行业</w:t>
            </w:r>
          </w:p>
        </w:tc>
        <w:tc>
          <w:tcPr>
            <w:tcW w:w="7371" w:type="dxa"/>
            <w:vAlign w:val="center"/>
          </w:tcPr>
          <w:p w14:paraId="475F9C9B">
            <w:pPr>
              <w:adjustRightInd w:val="0"/>
              <w:snapToGrid w:val="0"/>
              <w:spacing w:line="360" w:lineRule="auto"/>
              <w:rPr>
                <w:rFonts w:ascii="宋体" w:hAnsi="宋体" w:cs="宋体"/>
                <w:color w:val="auto"/>
                <w:kern w:val="0"/>
                <w:sz w:val="24"/>
                <w:highlight w:val="none"/>
              </w:rPr>
            </w:pPr>
            <w:r>
              <w:rPr>
                <w:rFonts w:hint="eastAsia" w:ascii="宋体" w:hAnsi="宋体"/>
                <w:b/>
                <w:bCs/>
                <w:color w:val="auto"/>
                <w:sz w:val="24"/>
                <w:highlight w:val="none"/>
              </w:rPr>
              <w:t>本项目采购标的对应的中小企业划分标准所属行业：其他未列明行业。从业人员300人以下的为中小微型企业。其中，从业人员100人及以上的为中型企业；从业人员10人及以上的为小型企业；从业人员10人以下的为微型企业。</w:t>
            </w:r>
          </w:p>
        </w:tc>
      </w:tr>
      <w:tr w14:paraId="02E39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63DE528">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本国产品标准</w:t>
            </w:r>
          </w:p>
        </w:tc>
        <w:tc>
          <w:tcPr>
            <w:tcW w:w="7371" w:type="dxa"/>
            <w:vAlign w:val="center"/>
          </w:tcPr>
          <w:p w14:paraId="1F8D1822">
            <w:pPr>
              <w:adjustRightInd w:val="0"/>
              <w:snapToGrid w:val="0"/>
              <w:spacing w:line="360" w:lineRule="auto"/>
              <w:rPr>
                <w:rFonts w:ascii="宋体" w:hAnsi="宋体"/>
                <w:b/>
                <w:bCs/>
                <w:color w:val="auto"/>
                <w:sz w:val="24"/>
                <w:highlight w:val="none"/>
              </w:rPr>
            </w:pPr>
            <w:r>
              <w:rPr>
                <w:rFonts w:hint="eastAsia" w:ascii="宋体" w:hAnsi="宋体"/>
                <w:color w:val="auto"/>
                <w:sz w:val="24"/>
                <w:highlight w:val="none"/>
              </w:rPr>
              <w:t>投标人提供的本国产品应符合《国务院办公厅关于在政府采购中实施本国产品标准及相关政策的通知》（国办发〔2025〕34号）及相关配套政策规定的“本国产品”标准，并按要求提交声明函。</w:t>
            </w:r>
          </w:p>
        </w:tc>
      </w:tr>
      <w:tr w14:paraId="14804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08C87EC">
            <w:pPr>
              <w:spacing w:line="360" w:lineRule="auto"/>
              <w:jc w:val="center"/>
              <w:rPr>
                <w:rFonts w:ascii="宋体" w:hAnsi="宋体"/>
                <w:color w:val="auto"/>
                <w:sz w:val="24"/>
                <w:highlight w:val="none"/>
              </w:rPr>
            </w:pPr>
            <w:r>
              <w:rPr>
                <w:rFonts w:hint="eastAsia" w:ascii="宋体" w:hAnsi="宋体"/>
                <w:color w:val="auto"/>
                <w:sz w:val="24"/>
                <w:highlight w:val="none"/>
              </w:rPr>
              <w:t>废标条款</w:t>
            </w:r>
          </w:p>
        </w:tc>
        <w:tc>
          <w:tcPr>
            <w:tcW w:w="7371" w:type="dxa"/>
          </w:tcPr>
          <w:p w14:paraId="5A475A67">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符合专业条件的供应商或者对招标文件作实质响应的供应商不足三家的；</w:t>
            </w:r>
          </w:p>
          <w:p w14:paraId="7E6400F3">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出现影响采购公正的违法、违规行为的；</w:t>
            </w:r>
          </w:p>
          <w:p w14:paraId="5D855AD1">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投标人的报价均超过了采购预算，采购人不能支付的；</w:t>
            </w:r>
          </w:p>
          <w:p w14:paraId="5FF9FD88">
            <w:pPr>
              <w:spacing w:line="360" w:lineRule="auto"/>
              <w:rPr>
                <w:rFonts w:ascii="宋体" w:hAnsi="宋体"/>
                <w:color w:val="auto"/>
                <w:sz w:val="24"/>
                <w:highlight w:val="none"/>
              </w:rPr>
            </w:pPr>
            <w:r>
              <w:rPr>
                <w:rFonts w:hint="eastAsia" w:ascii="宋体" w:hAnsi="宋体"/>
                <w:color w:val="auto"/>
                <w:sz w:val="24"/>
                <w:highlight w:val="none"/>
              </w:rPr>
              <w:t>4、因重大变故，采购任务取消的。</w:t>
            </w:r>
          </w:p>
        </w:tc>
      </w:tr>
      <w:tr w14:paraId="6CDB0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798C169">
            <w:pPr>
              <w:spacing w:line="360" w:lineRule="auto"/>
              <w:jc w:val="center"/>
              <w:rPr>
                <w:rFonts w:ascii="宋体" w:hAnsi="宋体"/>
                <w:color w:val="auto"/>
                <w:sz w:val="24"/>
                <w:highlight w:val="none"/>
              </w:rPr>
            </w:pPr>
            <w:r>
              <w:rPr>
                <w:rFonts w:hint="eastAsia" w:ascii="宋体" w:hAnsi="宋体"/>
                <w:color w:val="auto"/>
                <w:sz w:val="24"/>
                <w:highlight w:val="none"/>
              </w:rPr>
              <w:t>信用记录查询</w:t>
            </w:r>
          </w:p>
        </w:tc>
        <w:tc>
          <w:tcPr>
            <w:tcW w:w="7371" w:type="dxa"/>
          </w:tcPr>
          <w:p w14:paraId="5A408666">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信用信息查询渠道：“信用中国”网站（www.creditchina.gov.cn）、中国政府采购网（www.ccgp.gov.cn）</w:t>
            </w:r>
            <w:r>
              <w:rPr>
                <w:rFonts w:hint="eastAsia" w:ascii="宋体" w:hAnsi="宋体"/>
                <w:color w:val="auto"/>
                <w:sz w:val="24"/>
                <w:highlight w:val="none"/>
              </w:rPr>
              <w:t>等</w:t>
            </w:r>
            <w:r>
              <w:rPr>
                <w:rFonts w:ascii="宋体" w:hAnsi="宋体"/>
                <w:color w:val="auto"/>
                <w:sz w:val="24"/>
                <w:highlight w:val="none"/>
              </w:rPr>
              <w:t>。</w:t>
            </w:r>
          </w:p>
          <w:p w14:paraId="7870EC2A">
            <w:pPr>
              <w:adjustRightInd w:val="0"/>
              <w:snapToGrid w:val="0"/>
              <w:spacing w:line="360" w:lineRule="auto"/>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信用信息查询截止时点：同投标截止期，即</w:t>
            </w:r>
            <w:r>
              <w:rPr>
                <w:rFonts w:hint="eastAsia" w:ascii="宋体" w:hAnsi="宋体"/>
                <w:color w:val="auto"/>
                <w:sz w:val="24"/>
                <w:highlight w:val="none"/>
              </w:rPr>
              <w:t>采购代理机构</w:t>
            </w:r>
            <w:r>
              <w:rPr>
                <w:rFonts w:ascii="宋体" w:hAnsi="宋体"/>
                <w:color w:val="auto"/>
                <w:sz w:val="24"/>
                <w:highlight w:val="none"/>
              </w:rPr>
              <w:t>查询投标人截止到投标截止期的信用信息记录。</w:t>
            </w:r>
          </w:p>
          <w:p w14:paraId="1F2103CA">
            <w:pPr>
              <w:adjustRightInd w:val="0"/>
              <w:snapToGrid w:val="0"/>
              <w:spacing w:line="360" w:lineRule="auto"/>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信用信息查询记录和证据留存的具体方式：信用信息查询记录将以网站截图打印稿形式与其他采购文件一并保存。</w:t>
            </w:r>
          </w:p>
          <w:p w14:paraId="509B3206">
            <w:pPr>
              <w:spacing w:line="360" w:lineRule="auto"/>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信用信息的使用规则：如投标人为“信用中国”网站（www.creditchina.gov.cn）中列入失信被执行人或重大税收违法案件当事人名单</w:t>
            </w:r>
            <w:r>
              <w:rPr>
                <w:rFonts w:hint="eastAsia" w:ascii="宋体" w:hAnsi="宋体"/>
                <w:color w:val="auto"/>
                <w:sz w:val="24"/>
                <w:highlight w:val="none"/>
              </w:rPr>
              <w:t>（重大税收违法失信主体）</w:t>
            </w:r>
            <w:r>
              <w:rPr>
                <w:rFonts w:ascii="宋体" w:hAnsi="宋体"/>
                <w:color w:val="auto"/>
                <w:sz w:val="24"/>
                <w:highlight w:val="none"/>
              </w:rPr>
              <w:t>的供应商，或为中国政府采购网（www.ccgp.gov.cn）政府采购严重违法失信行为记录名单中被财政部门禁止参加政府采购活动的供应商</w:t>
            </w:r>
            <w:r>
              <w:rPr>
                <w:rFonts w:hint="eastAsia" w:ascii="宋体" w:hAnsi="宋体"/>
                <w:color w:val="auto"/>
                <w:sz w:val="24"/>
                <w:highlight w:val="none"/>
              </w:rPr>
              <w:t>，</w:t>
            </w:r>
            <w:r>
              <w:rPr>
                <w:rFonts w:ascii="宋体" w:hAnsi="宋体"/>
                <w:color w:val="auto"/>
                <w:sz w:val="24"/>
                <w:highlight w:val="none"/>
              </w:rPr>
              <w:t>则其投标将被拒绝。</w:t>
            </w:r>
          </w:p>
        </w:tc>
      </w:tr>
    </w:tbl>
    <w:p w14:paraId="28DA0AC1">
      <w:pPr>
        <w:adjustRightInd w:val="0"/>
        <w:snapToGrid w:val="0"/>
        <w:rPr>
          <w:rFonts w:ascii="宋体" w:hAnsi="宋体"/>
          <w:b/>
          <w:color w:val="auto"/>
          <w:sz w:val="24"/>
          <w:highlight w:val="none"/>
        </w:rPr>
      </w:pPr>
    </w:p>
    <w:p w14:paraId="4FDB476F">
      <w:pPr>
        <w:rPr>
          <w:rFonts w:ascii="宋体" w:hAnsi="宋体"/>
          <w:color w:val="auto"/>
          <w:sz w:val="24"/>
          <w:highlight w:val="none"/>
        </w:rPr>
      </w:pPr>
      <w:r>
        <w:rPr>
          <w:rFonts w:hint="eastAsia" w:ascii="宋体" w:hAnsi="宋体"/>
          <w:color w:val="auto"/>
          <w:sz w:val="24"/>
          <w:highlight w:val="none"/>
        </w:rPr>
        <w:t>注：中标服务费在</w:t>
      </w:r>
      <w:r>
        <w:rPr>
          <w:rFonts w:ascii="宋体" w:hAnsi="宋体"/>
          <w:color w:val="auto"/>
          <w:sz w:val="24"/>
          <w:highlight w:val="none"/>
        </w:rPr>
        <w:t>中标</w:t>
      </w:r>
      <w:r>
        <w:rPr>
          <w:rFonts w:hint="eastAsia" w:ascii="宋体" w:hAnsi="宋体"/>
          <w:color w:val="auto"/>
          <w:sz w:val="24"/>
          <w:highlight w:val="none"/>
        </w:rPr>
        <w:t>通知书发出后由中标人一次性支付给招标代理公司。中标服务费收费标准见下表所示。</w:t>
      </w:r>
    </w:p>
    <w:p w14:paraId="2A504571">
      <w:pPr>
        <w:adjustRightInd w:val="0"/>
        <w:snapToGrid w:val="0"/>
        <w:spacing w:before="120" w:beforeLines="50" w:after="120" w:afterLines="50" w:line="360" w:lineRule="atLeast"/>
        <w:jc w:val="center"/>
        <w:rPr>
          <w:color w:val="auto"/>
          <w:sz w:val="24"/>
          <w:highlight w:val="none"/>
        </w:rPr>
      </w:pPr>
      <w:r>
        <w:rPr>
          <w:rFonts w:hint="eastAsia"/>
          <w:color w:val="auto"/>
          <w:sz w:val="24"/>
          <w:highlight w:val="none"/>
        </w:rPr>
        <w:t>表  中标服务费收费标准</w:t>
      </w:r>
    </w:p>
    <w:tbl>
      <w:tblPr>
        <w:tblStyle w:val="40"/>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268"/>
        <w:gridCol w:w="3404"/>
        <w:gridCol w:w="2692"/>
      </w:tblGrid>
      <w:tr w14:paraId="054C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6484CAE7">
            <w:pPr>
              <w:adjustRightInd w:val="0"/>
              <w:snapToGrid w:val="0"/>
              <w:jc w:val="center"/>
              <w:rPr>
                <w:color w:val="auto"/>
                <w:szCs w:val="21"/>
                <w:highlight w:val="none"/>
              </w:rPr>
            </w:pPr>
            <w:bookmarkStart w:id="5" w:name="OLE_LINK25"/>
            <w:bookmarkStart w:id="6" w:name="OLE_LINK24"/>
            <w:r>
              <w:rPr>
                <w:color w:val="auto"/>
                <w:szCs w:val="21"/>
                <w:highlight w:val="none"/>
              </w:rPr>
              <w:t>序号</w:t>
            </w:r>
          </w:p>
        </w:tc>
        <w:tc>
          <w:tcPr>
            <w:tcW w:w="2268" w:type="dxa"/>
            <w:vAlign w:val="center"/>
          </w:tcPr>
          <w:p w14:paraId="5568EB5D">
            <w:pPr>
              <w:adjustRightInd w:val="0"/>
              <w:snapToGrid w:val="0"/>
              <w:ind w:firstLine="420" w:firstLineChars="200"/>
              <w:jc w:val="center"/>
              <w:rPr>
                <w:color w:val="auto"/>
                <w:szCs w:val="21"/>
                <w:highlight w:val="none"/>
              </w:rPr>
            </w:pPr>
            <w:r>
              <w:rPr>
                <w:color w:val="auto"/>
                <w:szCs w:val="21"/>
                <w:highlight w:val="none"/>
              </w:rPr>
              <w:t>中标金额</w:t>
            </w:r>
          </w:p>
        </w:tc>
        <w:tc>
          <w:tcPr>
            <w:tcW w:w="3404" w:type="dxa"/>
            <w:vAlign w:val="center"/>
          </w:tcPr>
          <w:p w14:paraId="351A3AC2">
            <w:pPr>
              <w:adjustRightInd w:val="0"/>
              <w:snapToGrid w:val="0"/>
              <w:jc w:val="center"/>
              <w:rPr>
                <w:color w:val="auto"/>
                <w:szCs w:val="21"/>
                <w:highlight w:val="none"/>
              </w:rPr>
            </w:pPr>
            <w:r>
              <w:rPr>
                <w:color w:val="auto"/>
                <w:szCs w:val="21"/>
                <w:highlight w:val="none"/>
              </w:rPr>
              <w:t>报价（按国家1980号文件规定的取费标准计取的下浮率）</w:t>
            </w:r>
          </w:p>
        </w:tc>
        <w:tc>
          <w:tcPr>
            <w:tcW w:w="2692" w:type="dxa"/>
            <w:vAlign w:val="center"/>
          </w:tcPr>
          <w:p w14:paraId="4A4CF480">
            <w:pPr>
              <w:adjustRightInd w:val="0"/>
              <w:snapToGrid w:val="0"/>
              <w:jc w:val="center"/>
              <w:rPr>
                <w:color w:val="auto"/>
                <w:szCs w:val="21"/>
                <w:highlight w:val="none"/>
              </w:rPr>
            </w:pPr>
            <w:r>
              <w:rPr>
                <w:color w:val="auto"/>
                <w:szCs w:val="21"/>
                <w:highlight w:val="none"/>
              </w:rPr>
              <w:t>备 注</w:t>
            </w:r>
          </w:p>
        </w:tc>
      </w:tr>
      <w:tr w14:paraId="2C70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6970D7CB">
            <w:pPr>
              <w:adjustRightInd w:val="0"/>
              <w:snapToGrid w:val="0"/>
              <w:jc w:val="center"/>
              <w:rPr>
                <w:color w:val="auto"/>
                <w:szCs w:val="21"/>
                <w:highlight w:val="none"/>
              </w:rPr>
            </w:pPr>
            <w:r>
              <w:rPr>
                <w:color w:val="auto"/>
                <w:szCs w:val="21"/>
                <w:highlight w:val="none"/>
              </w:rPr>
              <w:t>1</w:t>
            </w:r>
          </w:p>
        </w:tc>
        <w:tc>
          <w:tcPr>
            <w:tcW w:w="2268" w:type="dxa"/>
            <w:vAlign w:val="center"/>
          </w:tcPr>
          <w:p w14:paraId="2913709F">
            <w:pPr>
              <w:adjustRightInd w:val="0"/>
              <w:snapToGrid w:val="0"/>
              <w:rPr>
                <w:color w:val="auto"/>
                <w:szCs w:val="21"/>
                <w:highlight w:val="none"/>
              </w:rPr>
            </w:pPr>
            <w:r>
              <w:rPr>
                <w:color w:val="auto"/>
                <w:szCs w:val="21"/>
                <w:highlight w:val="none"/>
              </w:rPr>
              <w:t>金额＜200万</w:t>
            </w:r>
          </w:p>
        </w:tc>
        <w:tc>
          <w:tcPr>
            <w:tcW w:w="3404" w:type="dxa"/>
            <w:vAlign w:val="center"/>
          </w:tcPr>
          <w:p w14:paraId="69D4507C">
            <w:pPr>
              <w:adjustRightInd w:val="0"/>
              <w:snapToGrid w:val="0"/>
              <w:rPr>
                <w:color w:val="auto"/>
                <w:szCs w:val="21"/>
                <w:highlight w:val="none"/>
              </w:rPr>
            </w:pPr>
            <w:r>
              <w:rPr>
                <w:color w:val="auto"/>
                <w:szCs w:val="21"/>
                <w:highlight w:val="none"/>
              </w:rPr>
              <w:t>不下浮</w:t>
            </w:r>
          </w:p>
        </w:tc>
        <w:tc>
          <w:tcPr>
            <w:tcW w:w="2692" w:type="dxa"/>
            <w:vAlign w:val="center"/>
          </w:tcPr>
          <w:p w14:paraId="1120A541">
            <w:pPr>
              <w:adjustRightInd w:val="0"/>
              <w:snapToGrid w:val="0"/>
              <w:rPr>
                <w:color w:val="auto"/>
                <w:szCs w:val="21"/>
                <w:highlight w:val="none"/>
              </w:rPr>
            </w:pPr>
            <w:r>
              <w:rPr>
                <w:rFonts w:hint="eastAsia"/>
                <w:color w:val="auto"/>
                <w:szCs w:val="21"/>
                <w:highlight w:val="none"/>
              </w:rPr>
              <w:t>不足5000元</w:t>
            </w:r>
            <w:r>
              <w:rPr>
                <w:color w:val="auto"/>
                <w:szCs w:val="21"/>
                <w:highlight w:val="none"/>
              </w:rPr>
              <w:t>按</w:t>
            </w:r>
            <w:r>
              <w:rPr>
                <w:rFonts w:hint="eastAsia"/>
                <w:color w:val="auto"/>
                <w:szCs w:val="21"/>
                <w:highlight w:val="none"/>
              </w:rPr>
              <w:t>5000元计</w:t>
            </w:r>
          </w:p>
        </w:tc>
      </w:tr>
      <w:tr w14:paraId="3887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6D368C1F">
            <w:pPr>
              <w:adjustRightInd w:val="0"/>
              <w:snapToGrid w:val="0"/>
              <w:jc w:val="center"/>
              <w:rPr>
                <w:color w:val="auto"/>
                <w:szCs w:val="21"/>
                <w:highlight w:val="none"/>
              </w:rPr>
            </w:pPr>
            <w:r>
              <w:rPr>
                <w:color w:val="auto"/>
                <w:szCs w:val="21"/>
                <w:highlight w:val="none"/>
              </w:rPr>
              <w:t>2</w:t>
            </w:r>
          </w:p>
        </w:tc>
        <w:tc>
          <w:tcPr>
            <w:tcW w:w="2268" w:type="dxa"/>
            <w:vAlign w:val="center"/>
          </w:tcPr>
          <w:p w14:paraId="60AA75D9">
            <w:pPr>
              <w:adjustRightInd w:val="0"/>
              <w:snapToGrid w:val="0"/>
              <w:rPr>
                <w:color w:val="auto"/>
                <w:szCs w:val="21"/>
                <w:highlight w:val="none"/>
              </w:rPr>
            </w:pPr>
            <w:r>
              <w:rPr>
                <w:color w:val="auto"/>
                <w:szCs w:val="21"/>
                <w:highlight w:val="none"/>
              </w:rPr>
              <w:t>200万≤金额＜500万</w:t>
            </w:r>
          </w:p>
        </w:tc>
        <w:tc>
          <w:tcPr>
            <w:tcW w:w="3404" w:type="dxa"/>
            <w:vAlign w:val="center"/>
          </w:tcPr>
          <w:p w14:paraId="0677F7F4">
            <w:pPr>
              <w:adjustRightInd w:val="0"/>
              <w:snapToGrid w:val="0"/>
              <w:rPr>
                <w:color w:val="auto"/>
                <w:szCs w:val="21"/>
                <w:highlight w:val="none"/>
              </w:rPr>
            </w:pPr>
            <w:r>
              <w:rPr>
                <w:color w:val="auto"/>
                <w:szCs w:val="21"/>
                <w:highlight w:val="none"/>
              </w:rPr>
              <w:t>下浮30%</w:t>
            </w:r>
          </w:p>
        </w:tc>
        <w:tc>
          <w:tcPr>
            <w:tcW w:w="2692" w:type="dxa"/>
            <w:vAlign w:val="center"/>
          </w:tcPr>
          <w:p w14:paraId="436FF141">
            <w:pPr>
              <w:adjustRightInd w:val="0"/>
              <w:snapToGrid w:val="0"/>
              <w:rPr>
                <w:color w:val="auto"/>
                <w:szCs w:val="21"/>
                <w:highlight w:val="none"/>
              </w:rPr>
            </w:pPr>
            <w:r>
              <w:rPr>
                <w:rFonts w:hint="eastAsia"/>
                <w:color w:val="auto"/>
                <w:szCs w:val="21"/>
                <w:highlight w:val="none"/>
              </w:rPr>
              <w:t>不足</w:t>
            </w:r>
            <w:r>
              <w:rPr>
                <w:color w:val="auto"/>
                <w:szCs w:val="21"/>
                <w:highlight w:val="none"/>
              </w:rPr>
              <w:t>2万</w:t>
            </w:r>
            <w:r>
              <w:rPr>
                <w:rFonts w:hint="eastAsia"/>
                <w:color w:val="auto"/>
                <w:szCs w:val="21"/>
                <w:highlight w:val="none"/>
              </w:rPr>
              <w:t>元</w:t>
            </w:r>
            <w:r>
              <w:rPr>
                <w:color w:val="auto"/>
                <w:szCs w:val="21"/>
                <w:highlight w:val="none"/>
              </w:rPr>
              <w:t>按</w:t>
            </w:r>
            <w:r>
              <w:rPr>
                <w:rFonts w:hint="eastAsia"/>
                <w:color w:val="auto"/>
                <w:szCs w:val="21"/>
                <w:highlight w:val="none"/>
              </w:rPr>
              <w:t>2</w:t>
            </w:r>
            <w:r>
              <w:rPr>
                <w:color w:val="auto"/>
                <w:szCs w:val="21"/>
                <w:highlight w:val="none"/>
              </w:rPr>
              <w:t>万</w:t>
            </w:r>
            <w:r>
              <w:rPr>
                <w:rFonts w:hint="eastAsia"/>
                <w:color w:val="auto"/>
                <w:szCs w:val="21"/>
                <w:highlight w:val="none"/>
              </w:rPr>
              <w:t>元</w:t>
            </w:r>
            <w:r>
              <w:rPr>
                <w:color w:val="auto"/>
                <w:szCs w:val="21"/>
                <w:highlight w:val="none"/>
              </w:rPr>
              <w:t>计</w:t>
            </w:r>
          </w:p>
        </w:tc>
      </w:tr>
      <w:tr w14:paraId="41A8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349C7BA8">
            <w:pPr>
              <w:adjustRightInd w:val="0"/>
              <w:snapToGrid w:val="0"/>
              <w:jc w:val="center"/>
              <w:rPr>
                <w:color w:val="auto"/>
                <w:szCs w:val="21"/>
                <w:highlight w:val="none"/>
              </w:rPr>
            </w:pPr>
            <w:r>
              <w:rPr>
                <w:color w:val="auto"/>
                <w:szCs w:val="21"/>
                <w:highlight w:val="none"/>
              </w:rPr>
              <w:t>3</w:t>
            </w:r>
          </w:p>
        </w:tc>
        <w:tc>
          <w:tcPr>
            <w:tcW w:w="2268" w:type="dxa"/>
            <w:vAlign w:val="center"/>
          </w:tcPr>
          <w:p w14:paraId="7240B1AC">
            <w:pPr>
              <w:adjustRightInd w:val="0"/>
              <w:snapToGrid w:val="0"/>
              <w:rPr>
                <w:color w:val="auto"/>
                <w:szCs w:val="21"/>
                <w:highlight w:val="none"/>
              </w:rPr>
            </w:pPr>
            <w:r>
              <w:rPr>
                <w:color w:val="auto"/>
                <w:szCs w:val="21"/>
                <w:highlight w:val="none"/>
              </w:rPr>
              <w:t>500万≤金额＜1000万</w:t>
            </w:r>
          </w:p>
        </w:tc>
        <w:tc>
          <w:tcPr>
            <w:tcW w:w="3404" w:type="dxa"/>
            <w:vAlign w:val="center"/>
          </w:tcPr>
          <w:p w14:paraId="36ED04ED">
            <w:pPr>
              <w:adjustRightInd w:val="0"/>
              <w:snapToGrid w:val="0"/>
              <w:rPr>
                <w:color w:val="auto"/>
                <w:szCs w:val="21"/>
                <w:highlight w:val="none"/>
              </w:rPr>
            </w:pPr>
            <w:r>
              <w:rPr>
                <w:color w:val="auto"/>
                <w:szCs w:val="21"/>
                <w:highlight w:val="none"/>
              </w:rPr>
              <w:t>下浮35%</w:t>
            </w:r>
          </w:p>
        </w:tc>
        <w:tc>
          <w:tcPr>
            <w:tcW w:w="2692" w:type="dxa"/>
            <w:vAlign w:val="center"/>
          </w:tcPr>
          <w:p w14:paraId="3DE2D23D">
            <w:pPr>
              <w:adjustRightInd w:val="0"/>
              <w:snapToGrid w:val="0"/>
              <w:ind w:firstLine="420" w:firstLineChars="200"/>
              <w:rPr>
                <w:color w:val="auto"/>
                <w:szCs w:val="21"/>
                <w:highlight w:val="none"/>
              </w:rPr>
            </w:pPr>
          </w:p>
        </w:tc>
      </w:tr>
      <w:tr w14:paraId="3F8F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6D1339DF">
            <w:pPr>
              <w:adjustRightInd w:val="0"/>
              <w:snapToGrid w:val="0"/>
              <w:jc w:val="center"/>
              <w:rPr>
                <w:color w:val="auto"/>
                <w:szCs w:val="21"/>
                <w:highlight w:val="none"/>
              </w:rPr>
            </w:pPr>
            <w:r>
              <w:rPr>
                <w:color w:val="auto"/>
                <w:szCs w:val="21"/>
                <w:highlight w:val="none"/>
              </w:rPr>
              <w:t>4</w:t>
            </w:r>
          </w:p>
        </w:tc>
        <w:tc>
          <w:tcPr>
            <w:tcW w:w="2268" w:type="dxa"/>
            <w:vAlign w:val="center"/>
          </w:tcPr>
          <w:p w14:paraId="15A0161A">
            <w:pPr>
              <w:adjustRightInd w:val="0"/>
              <w:snapToGrid w:val="0"/>
              <w:rPr>
                <w:color w:val="auto"/>
                <w:szCs w:val="21"/>
                <w:highlight w:val="none"/>
              </w:rPr>
            </w:pPr>
            <w:r>
              <w:rPr>
                <w:color w:val="auto"/>
                <w:szCs w:val="21"/>
                <w:highlight w:val="none"/>
              </w:rPr>
              <w:t>1000≤金额＜5000万</w:t>
            </w:r>
          </w:p>
        </w:tc>
        <w:tc>
          <w:tcPr>
            <w:tcW w:w="3404" w:type="dxa"/>
            <w:vAlign w:val="center"/>
          </w:tcPr>
          <w:p w14:paraId="397CA11D">
            <w:pPr>
              <w:adjustRightInd w:val="0"/>
              <w:snapToGrid w:val="0"/>
              <w:rPr>
                <w:color w:val="auto"/>
                <w:szCs w:val="21"/>
                <w:highlight w:val="none"/>
              </w:rPr>
            </w:pPr>
            <w:r>
              <w:rPr>
                <w:color w:val="auto"/>
                <w:szCs w:val="21"/>
                <w:highlight w:val="none"/>
              </w:rPr>
              <w:t>下浮35%</w:t>
            </w:r>
          </w:p>
        </w:tc>
        <w:tc>
          <w:tcPr>
            <w:tcW w:w="2692" w:type="dxa"/>
            <w:vAlign w:val="center"/>
          </w:tcPr>
          <w:p w14:paraId="7D3D9BD1">
            <w:pPr>
              <w:adjustRightInd w:val="0"/>
              <w:snapToGrid w:val="0"/>
              <w:rPr>
                <w:color w:val="auto"/>
                <w:szCs w:val="21"/>
                <w:highlight w:val="none"/>
              </w:rPr>
            </w:pPr>
            <w:r>
              <w:rPr>
                <w:color w:val="auto"/>
                <w:szCs w:val="21"/>
                <w:highlight w:val="none"/>
              </w:rPr>
              <w:t>最高不超过15万</w:t>
            </w:r>
          </w:p>
        </w:tc>
      </w:tr>
      <w:tr w14:paraId="2E69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009329DD">
            <w:pPr>
              <w:adjustRightInd w:val="0"/>
              <w:snapToGrid w:val="0"/>
              <w:jc w:val="center"/>
              <w:rPr>
                <w:color w:val="auto"/>
                <w:szCs w:val="21"/>
                <w:highlight w:val="none"/>
              </w:rPr>
            </w:pPr>
            <w:r>
              <w:rPr>
                <w:color w:val="auto"/>
                <w:szCs w:val="21"/>
                <w:highlight w:val="none"/>
              </w:rPr>
              <w:t>5</w:t>
            </w:r>
          </w:p>
        </w:tc>
        <w:tc>
          <w:tcPr>
            <w:tcW w:w="2268" w:type="dxa"/>
            <w:vAlign w:val="center"/>
          </w:tcPr>
          <w:p w14:paraId="28B9C36D">
            <w:pPr>
              <w:adjustRightInd w:val="0"/>
              <w:snapToGrid w:val="0"/>
              <w:rPr>
                <w:color w:val="auto"/>
                <w:szCs w:val="21"/>
                <w:highlight w:val="none"/>
              </w:rPr>
            </w:pPr>
            <w:r>
              <w:rPr>
                <w:color w:val="auto"/>
                <w:szCs w:val="21"/>
                <w:highlight w:val="none"/>
              </w:rPr>
              <w:t>金额≥5000万</w:t>
            </w:r>
          </w:p>
        </w:tc>
        <w:tc>
          <w:tcPr>
            <w:tcW w:w="3404" w:type="dxa"/>
            <w:vAlign w:val="center"/>
          </w:tcPr>
          <w:p w14:paraId="798AF2A7">
            <w:pPr>
              <w:adjustRightInd w:val="0"/>
              <w:snapToGrid w:val="0"/>
              <w:rPr>
                <w:color w:val="auto"/>
                <w:szCs w:val="21"/>
                <w:highlight w:val="none"/>
              </w:rPr>
            </w:pPr>
            <w:r>
              <w:rPr>
                <w:color w:val="auto"/>
                <w:szCs w:val="21"/>
                <w:highlight w:val="none"/>
              </w:rPr>
              <w:t>下浮</w:t>
            </w:r>
            <w:r>
              <w:rPr>
                <w:rFonts w:hint="eastAsia"/>
                <w:color w:val="auto"/>
                <w:szCs w:val="21"/>
                <w:highlight w:val="none"/>
              </w:rPr>
              <w:t>50</w:t>
            </w:r>
            <w:r>
              <w:rPr>
                <w:color w:val="auto"/>
                <w:szCs w:val="21"/>
                <w:highlight w:val="none"/>
              </w:rPr>
              <w:t>%</w:t>
            </w:r>
          </w:p>
        </w:tc>
        <w:tc>
          <w:tcPr>
            <w:tcW w:w="2692" w:type="dxa"/>
            <w:vAlign w:val="center"/>
          </w:tcPr>
          <w:p w14:paraId="628BF600">
            <w:pPr>
              <w:adjustRightInd w:val="0"/>
              <w:snapToGrid w:val="0"/>
              <w:rPr>
                <w:color w:val="auto"/>
                <w:szCs w:val="21"/>
                <w:highlight w:val="none"/>
              </w:rPr>
            </w:pPr>
            <w:r>
              <w:rPr>
                <w:color w:val="auto"/>
                <w:szCs w:val="21"/>
                <w:highlight w:val="none"/>
              </w:rPr>
              <w:t>最高不超过15万</w:t>
            </w:r>
          </w:p>
        </w:tc>
      </w:tr>
      <w:tr w14:paraId="6A54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709" w:type="dxa"/>
            <w:vAlign w:val="center"/>
          </w:tcPr>
          <w:p w14:paraId="19C31469">
            <w:pPr>
              <w:adjustRightInd w:val="0"/>
              <w:snapToGrid w:val="0"/>
              <w:jc w:val="center"/>
              <w:rPr>
                <w:color w:val="auto"/>
                <w:szCs w:val="21"/>
                <w:highlight w:val="none"/>
              </w:rPr>
            </w:pPr>
            <w:r>
              <w:rPr>
                <w:rFonts w:hint="eastAsia"/>
                <w:color w:val="auto"/>
                <w:szCs w:val="21"/>
                <w:highlight w:val="none"/>
              </w:rPr>
              <w:t>6</w:t>
            </w:r>
          </w:p>
        </w:tc>
        <w:tc>
          <w:tcPr>
            <w:tcW w:w="2268" w:type="dxa"/>
            <w:vAlign w:val="center"/>
          </w:tcPr>
          <w:p w14:paraId="6BF2D2CA">
            <w:pPr>
              <w:adjustRightInd w:val="0"/>
              <w:snapToGrid w:val="0"/>
              <w:rPr>
                <w:color w:val="auto"/>
                <w:szCs w:val="21"/>
                <w:highlight w:val="none"/>
              </w:rPr>
            </w:pPr>
            <w:r>
              <w:rPr>
                <w:rFonts w:hint="eastAsia"/>
                <w:color w:val="auto"/>
                <w:szCs w:val="21"/>
                <w:highlight w:val="none"/>
              </w:rPr>
              <w:t>收费最高上限</w:t>
            </w:r>
          </w:p>
        </w:tc>
        <w:tc>
          <w:tcPr>
            <w:tcW w:w="3404" w:type="dxa"/>
            <w:vAlign w:val="center"/>
          </w:tcPr>
          <w:p w14:paraId="5D8D76A2">
            <w:pPr>
              <w:adjustRightInd w:val="0"/>
              <w:snapToGrid w:val="0"/>
              <w:rPr>
                <w:color w:val="auto"/>
                <w:szCs w:val="21"/>
                <w:highlight w:val="none"/>
              </w:rPr>
            </w:pPr>
            <w:r>
              <w:rPr>
                <w:rFonts w:hint="eastAsia"/>
                <w:color w:val="auto"/>
                <w:szCs w:val="21"/>
                <w:highlight w:val="none"/>
              </w:rPr>
              <w:t>15万元</w:t>
            </w:r>
          </w:p>
        </w:tc>
        <w:tc>
          <w:tcPr>
            <w:tcW w:w="2692" w:type="dxa"/>
            <w:vAlign w:val="center"/>
          </w:tcPr>
          <w:p w14:paraId="170D0A62">
            <w:pPr>
              <w:adjustRightInd w:val="0"/>
              <w:snapToGrid w:val="0"/>
              <w:rPr>
                <w:color w:val="auto"/>
                <w:szCs w:val="21"/>
                <w:highlight w:val="none"/>
              </w:rPr>
            </w:pPr>
          </w:p>
        </w:tc>
      </w:tr>
      <w:tr w14:paraId="59A1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709" w:type="dxa"/>
            <w:vAlign w:val="center"/>
          </w:tcPr>
          <w:p w14:paraId="3508B9CA">
            <w:pPr>
              <w:adjustRightInd w:val="0"/>
              <w:snapToGrid w:val="0"/>
              <w:jc w:val="center"/>
              <w:rPr>
                <w:color w:val="auto"/>
                <w:szCs w:val="21"/>
                <w:highlight w:val="none"/>
              </w:rPr>
            </w:pPr>
            <w:r>
              <w:rPr>
                <w:rFonts w:hint="eastAsia"/>
                <w:color w:val="auto"/>
                <w:szCs w:val="21"/>
                <w:highlight w:val="none"/>
              </w:rPr>
              <w:t>7</w:t>
            </w:r>
          </w:p>
        </w:tc>
        <w:tc>
          <w:tcPr>
            <w:tcW w:w="2268" w:type="dxa"/>
            <w:vAlign w:val="center"/>
          </w:tcPr>
          <w:p w14:paraId="2ACC5CB1">
            <w:pPr>
              <w:adjustRightInd w:val="0"/>
              <w:snapToGrid w:val="0"/>
              <w:rPr>
                <w:color w:val="auto"/>
                <w:szCs w:val="21"/>
                <w:highlight w:val="none"/>
              </w:rPr>
            </w:pPr>
            <w:r>
              <w:rPr>
                <w:color w:val="auto"/>
                <w:szCs w:val="21"/>
                <w:highlight w:val="none"/>
              </w:rPr>
              <w:t>废标</w:t>
            </w:r>
            <w:r>
              <w:rPr>
                <w:rFonts w:hint="eastAsia"/>
                <w:color w:val="auto"/>
                <w:szCs w:val="21"/>
                <w:highlight w:val="none"/>
              </w:rPr>
              <w:t>变更单一来源采购方式</w:t>
            </w:r>
            <w:r>
              <w:rPr>
                <w:color w:val="auto"/>
                <w:szCs w:val="21"/>
                <w:highlight w:val="none"/>
              </w:rPr>
              <w:t>的收费标准</w:t>
            </w:r>
          </w:p>
        </w:tc>
        <w:tc>
          <w:tcPr>
            <w:tcW w:w="6096" w:type="dxa"/>
            <w:gridSpan w:val="2"/>
            <w:vAlign w:val="center"/>
          </w:tcPr>
          <w:p w14:paraId="7D0CB1C3">
            <w:pPr>
              <w:adjustRightInd w:val="0"/>
              <w:snapToGrid w:val="0"/>
              <w:rPr>
                <w:color w:val="auto"/>
                <w:szCs w:val="21"/>
                <w:highlight w:val="none"/>
              </w:rPr>
            </w:pPr>
            <w:r>
              <w:rPr>
                <w:rFonts w:hint="eastAsia"/>
                <w:color w:val="auto"/>
                <w:szCs w:val="21"/>
                <w:highlight w:val="none"/>
              </w:rPr>
              <w:t>预算＜200万元</w:t>
            </w:r>
            <w:r>
              <w:rPr>
                <w:color w:val="auto"/>
                <w:szCs w:val="21"/>
                <w:highlight w:val="none"/>
              </w:rPr>
              <w:t>废标</w:t>
            </w:r>
            <w:r>
              <w:rPr>
                <w:rFonts w:hint="eastAsia"/>
                <w:color w:val="auto"/>
                <w:szCs w:val="21"/>
                <w:highlight w:val="none"/>
              </w:rPr>
              <w:t>变更单一来源：不收取费用</w:t>
            </w:r>
          </w:p>
          <w:p w14:paraId="6B0C8045">
            <w:pPr>
              <w:adjustRightInd w:val="0"/>
              <w:snapToGrid w:val="0"/>
              <w:rPr>
                <w:color w:val="auto"/>
                <w:szCs w:val="21"/>
                <w:highlight w:val="none"/>
              </w:rPr>
            </w:pPr>
            <w:r>
              <w:rPr>
                <w:rFonts w:hint="eastAsia"/>
                <w:color w:val="auto"/>
                <w:szCs w:val="21"/>
                <w:highlight w:val="none"/>
              </w:rPr>
              <w:t>预算≥200万元</w:t>
            </w:r>
            <w:r>
              <w:rPr>
                <w:color w:val="auto"/>
                <w:szCs w:val="21"/>
                <w:highlight w:val="none"/>
              </w:rPr>
              <w:t>废标</w:t>
            </w:r>
            <w:r>
              <w:rPr>
                <w:rFonts w:hint="eastAsia"/>
                <w:color w:val="auto"/>
                <w:szCs w:val="21"/>
                <w:highlight w:val="none"/>
              </w:rPr>
              <w:t>变更单一来源：按5000元/标收取</w:t>
            </w:r>
          </w:p>
        </w:tc>
      </w:tr>
      <w:tr w14:paraId="46DB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9073" w:type="dxa"/>
            <w:gridSpan w:val="4"/>
            <w:vAlign w:val="center"/>
          </w:tcPr>
          <w:p w14:paraId="2FACD0BF">
            <w:pPr>
              <w:adjustRightInd w:val="0"/>
              <w:snapToGrid w:val="0"/>
              <w:rPr>
                <w:color w:val="auto"/>
                <w:szCs w:val="21"/>
                <w:highlight w:val="none"/>
              </w:rPr>
            </w:pPr>
            <w:r>
              <w:rPr>
                <w:color w:val="auto"/>
                <w:szCs w:val="21"/>
                <w:highlight w:val="none"/>
              </w:rPr>
              <w:t>说明：</w:t>
            </w:r>
          </w:p>
          <w:p w14:paraId="13D105DB">
            <w:pPr>
              <w:adjustRightInd w:val="0"/>
              <w:snapToGrid w:val="0"/>
              <w:ind w:firstLine="210" w:firstLineChars="100"/>
              <w:rPr>
                <w:color w:val="auto"/>
                <w:szCs w:val="21"/>
                <w:highlight w:val="none"/>
              </w:rPr>
            </w:pPr>
            <w:r>
              <w:rPr>
                <w:color w:val="auto"/>
                <w:szCs w:val="21"/>
                <w:highlight w:val="none"/>
              </w:rPr>
              <w:t>1、表中下浮比例是指依据《招标代理服务收费暂行办法》（计价格〔2002〕1980号）和《国家发改委关于降低部分建设项目收费标准规范收费行为等有关问题的通知》（发改价格〔2011〕534号）文件规定的收费标准计取后的下浮率，由中标人支付。</w:t>
            </w:r>
          </w:p>
          <w:p w14:paraId="54DA6D90">
            <w:pPr>
              <w:adjustRightInd w:val="0"/>
              <w:snapToGrid w:val="0"/>
              <w:ind w:firstLine="210" w:firstLineChars="100"/>
              <w:rPr>
                <w:color w:val="auto"/>
                <w:szCs w:val="21"/>
                <w:highlight w:val="none"/>
              </w:rPr>
            </w:pPr>
            <w:r>
              <w:rPr>
                <w:color w:val="auto"/>
                <w:szCs w:val="21"/>
                <w:highlight w:val="none"/>
              </w:rPr>
              <w:t>2、收费最高上限，是指按报价的收费标准计取后，如超过最高上限，则按最高上限收费。</w:t>
            </w:r>
          </w:p>
          <w:p w14:paraId="5AAA0055">
            <w:pPr>
              <w:adjustRightInd w:val="0"/>
              <w:snapToGrid w:val="0"/>
              <w:ind w:firstLine="210" w:firstLineChars="100"/>
              <w:rPr>
                <w:color w:val="auto"/>
                <w:szCs w:val="21"/>
                <w:highlight w:val="none"/>
              </w:rPr>
            </w:pPr>
            <w:bookmarkStart w:id="7" w:name="OLE_LINK4"/>
            <w:bookmarkStart w:id="8" w:name="OLE_LINK5"/>
            <w:r>
              <w:rPr>
                <w:rFonts w:hint="eastAsia"/>
                <w:color w:val="auto"/>
                <w:szCs w:val="21"/>
                <w:highlight w:val="none"/>
              </w:rPr>
              <w:t>3、中标服务费支付时间</w:t>
            </w:r>
            <w:r>
              <w:rPr>
                <w:color w:val="auto"/>
                <w:szCs w:val="21"/>
                <w:highlight w:val="none"/>
              </w:rPr>
              <w:t>；</w:t>
            </w:r>
            <w:bookmarkStart w:id="9" w:name="OLE_LINK12"/>
            <w:r>
              <w:rPr>
                <w:color w:val="auto"/>
                <w:szCs w:val="21"/>
                <w:highlight w:val="none"/>
              </w:rPr>
              <w:t>在中标</w:t>
            </w:r>
            <w:r>
              <w:rPr>
                <w:rFonts w:hint="eastAsia"/>
                <w:color w:val="auto"/>
                <w:szCs w:val="21"/>
                <w:highlight w:val="none"/>
              </w:rPr>
              <w:t>/成交通知书发出后由中标人/成交人一次性支付。</w:t>
            </w:r>
            <w:bookmarkEnd w:id="9"/>
            <w:r>
              <w:rPr>
                <w:rFonts w:hint="eastAsia"/>
                <w:color w:val="auto"/>
                <w:szCs w:val="21"/>
                <w:highlight w:val="none"/>
              </w:rPr>
              <w:t>如采购活动被质疑或投诉，最终导致合同未签订或被撤销的，在排除中标人责任情况下，代理公司应退还中标人/成交人的中标服务费</w:t>
            </w:r>
            <w:bookmarkEnd w:id="7"/>
            <w:bookmarkEnd w:id="8"/>
            <w:r>
              <w:rPr>
                <w:rFonts w:hint="eastAsia"/>
                <w:color w:val="auto"/>
                <w:szCs w:val="21"/>
                <w:highlight w:val="none"/>
              </w:rPr>
              <w:t>。</w:t>
            </w:r>
            <w:r>
              <w:rPr>
                <w:color w:val="auto"/>
                <w:szCs w:val="21"/>
                <w:highlight w:val="none"/>
              </w:rPr>
              <w:t xml:space="preserve"> </w:t>
            </w:r>
          </w:p>
        </w:tc>
      </w:tr>
      <w:bookmarkEnd w:id="5"/>
      <w:bookmarkEnd w:id="6"/>
    </w:tbl>
    <w:p w14:paraId="72AD5171">
      <w:pPr>
        <w:adjustRightInd w:val="0"/>
        <w:snapToGrid w:val="0"/>
        <w:spacing w:after="120" w:afterLines="50" w:line="360" w:lineRule="auto"/>
        <w:jc w:val="center"/>
        <w:outlineLvl w:val="0"/>
        <w:rPr>
          <w:rFonts w:ascii="宋体" w:hAnsi="宋体"/>
          <w:b/>
          <w:color w:val="auto"/>
          <w:sz w:val="30"/>
          <w:szCs w:val="30"/>
          <w:highlight w:val="none"/>
        </w:rPr>
      </w:pPr>
      <w:r>
        <w:rPr>
          <w:rFonts w:ascii="宋体" w:hAnsi="宋体"/>
          <w:b/>
          <w:color w:val="auto"/>
          <w:sz w:val="24"/>
          <w:highlight w:val="none"/>
        </w:rPr>
        <w:t xml:space="preserve"> </w:t>
      </w:r>
      <w:r>
        <w:rPr>
          <w:rFonts w:ascii="宋体" w:hAnsi="宋体"/>
          <w:b/>
          <w:color w:val="auto"/>
          <w:sz w:val="24"/>
          <w:highlight w:val="none"/>
        </w:rPr>
        <w:br w:type="page"/>
      </w:r>
      <w:bookmarkStart w:id="10" w:name="_Toc129880034"/>
      <w:bookmarkStart w:id="11" w:name="_Toc89569837"/>
      <w:r>
        <w:rPr>
          <w:rFonts w:hint="eastAsia" w:ascii="宋体" w:hAnsi="宋体"/>
          <w:b/>
          <w:color w:val="auto"/>
          <w:sz w:val="30"/>
          <w:szCs w:val="30"/>
          <w:highlight w:val="none"/>
        </w:rPr>
        <w:t>第三部分 投标人须知</w:t>
      </w:r>
      <w:bookmarkEnd w:id="10"/>
      <w:bookmarkEnd w:id="11"/>
    </w:p>
    <w:p w14:paraId="7E1A54E8">
      <w:pPr>
        <w:adjustRightInd w:val="0"/>
        <w:snapToGrid w:val="0"/>
        <w:spacing w:line="360" w:lineRule="auto"/>
        <w:ind w:firstLine="482" w:firstLineChars="200"/>
        <w:rPr>
          <w:rFonts w:ascii="宋体" w:hAnsi="宋体"/>
          <w:b/>
          <w:color w:val="auto"/>
          <w:sz w:val="24"/>
          <w:highlight w:val="none"/>
        </w:rPr>
      </w:pPr>
      <w:bookmarkStart w:id="12" w:name="_Toc520356143"/>
      <w:bookmarkStart w:id="13" w:name="_Toc89569838"/>
      <w:r>
        <w:rPr>
          <w:rFonts w:hint="eastAsia" w:ascii="宋体" w:hAnsi="宋体"/>
          <w:b/>
          <w:color w:val="auto"/>
          <w:sz w:val="24"/>
          <w:highlight w:val="none"/>
        </w:rPr>
        <w:t>一 说明</w:t>
      </w:r>
      <w:bookmarkEnd w:id="12"/>
      <w:bookmarkEnd w:id="13"/>
    </w:p>
    <w:p w14:paraId="53384808">
      <w:pPr>
        <w:adjustRightInd w:val="0"/>
        <w:snapToGrid w:val="0"/>
        <w:spacing w:line="360" w:lineRule="auto"/>
        <w:ind w:firstLine="482" w:firstLineChars="200"/>
        <w:rPr>
          <w:rFonts w:ascii="宋体" w:hAnsi="宋体"/>
          <w:b/>
          <w:color w:val="auto"/>
          <w:sz w:val="24"/>
          <w:highlight w:val="none"/>
        </w:rPr>
      </w:pPr>
      <w:bookmarkStart w:id="14" w:name="_Toc89569839"/>
      <w:bookmarkStart w:id="15" w:name="_Toc520356144"/>
      <w:r>
        <w:rPr>
          <w:rFonts w:ascii="宋体" w:hAnsi="宋体"/>
          <w:b/>
          <w:color w:val="auto"/>
          <w:sz w:val="24"/>
          <w:highlight w:val="none"/>
        </w:rPr>
        <w:t xml:space="preserve">1. </w:t>
      </w:r>
      <w:r>
        <w:rPr>
          <w:rFonts w:hint="eastAsia" w:ascii="宋体" w:hAnsi="宋体"/>
          <w:b/>
          <w:color w:val="auto"/>
          <w:sz w:val="24"/>
          <w:highlight w:val="none"/>
        </w:rPr>
        <w:t>采购人、采购代理机构及合格的投标人</w:t>
      </w:r>
      <w:bookmarkEnd w:id="14"/>
      <w:bookmarkEnd w:id="15"/>
    </w:p>
    <w:p w14:paraId="31304F92">
      <w:pPr>
        <w:widowControl/>
        <w:ind w:firstLine="480" w:firstLineChars="200"/>
        <w:jc w:val="left"/>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采购人：特指依法进行本次政府采购招标活动中的</w:t>
      </w:r>
      <w:r>
        <w:rPr>
          <w:rFonts w:ascii="FZShuSong-Z01" w:hAnsi="FZShuSong-Z01" w:eastAsia="FZShuSong-Z01" w:cs="FZShuSong-Z01"/>
          <w:color w:val="auto"/>
          <w:kern w:val="0"/>
          <w:sz w:val="24"/>
          <w:highlight w:val="none"/>
          <w:lang w:bidi="ar"/>
        </w:rPr>
        <w:t>国家机关、事业单位、团体组织</w:t>
      </w:r>
      <w:r>
        <w:rPr>
          <w:rFonts w:hint="eastAsia" w:ascii="FZShuSong-Z01" w:hAnsi="FZShuSong-Z01" w:eastAsia="FZShuSong-Z01" w:cs="FZShuSong-Z01"/>
          <w:color w:val="auto"/>
          <w:kern w:val="0"/>
          <w:sz w:val="24"/>
          <w:highlight w:val="none"/>
          <w:lang w:bidi="ar"/>
        </w:rPr>
        <w:t>。</w:t>
      </w:r>
      <w:r>
        <w:rPr>
          <w:rFonts w:hint="eastAsia" w:ascii="宋体" w:hAnsi="宋体" w:cs="仿宋_GB2312"/>
          <w:color w:val="auto"/>
          <w:sz w:val="24"/>
          <w:highlight w:val="none"/>
        </w:rPr>
        <w:t>本项目的采购人</w:t>
      </w:r>
      <w:r>
        <w:rPr>
          <w:rFonts w:hint="eastAsia" w:ascii="宋体" w:hAnsi="宋体" w:cs="仿宋_GB2312"/>
          <w:color w:val="auto"/>
          <w:sz w:val="24"/>
          <w:highlight w:val="none"/>
          <w:u w:val="single"/>
        </w:rPr>
        <w:t>见投标邀请</w:t>
      </w:r>
      <w:r>
        <w:rPr>
          <w:rFonts w:hint="eastAsia" w:ascii="宋体" w:hAnsi="宋体" w:cs="仿宋_GB2312"/>
          <w:color w:val="auto"/>
          <w:sz w:val="24"/>
          <w:highlight w:val="none"/>
        </w:rPr>
        <w:t>。</w:t>
      </w:r>
    </w:p>
    <w:p w14:paraId="256966C3">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采购代理机构：是指集中采购机构或集中采购机构以外的采购代理机构。本项目的采购代理机构为：</w:t>
      </w:r>
      <w:r>
        <w:rPr>
          <w:rFonts w:hint="eastAsia" w:ascii="宋体" w:hAnsi="宋体" w:cs="仿宋_GB2312"/>
          <w:color w:val="auto"/>
          <w:sz w:val="24"/>
          <w:highlight w:val="none"/>
          <w:u w:val="single"/>
        </w:rPr>
        <w:t>东方国际招标有限责任公司</w:t>
      </w:r>
      <w:r>
        <w:rPr>
          <w:rFonts w:hint="eastAsia" w:ascii="宋体" w:hAnsi="宋体" w:cs="仿宋_GB2312"/>
          <w:color w:val="auto"/>
          <w:sz w:val="24"/>
          <w:highlight w:val="none"/>
        </w:rPr>
        <w:t>。</w:t>
      </w:r>
    </w:p>
    <w:p w14:paraId="57980EB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1.2</w:t>
      </w:r>
      <w:r>
        <w:rPr>
          <w:rFonts w:hint="eastAsia" w:ascii="宋体" w:hAnsi="宋体" w:cs="仿宋_GB2312"/>
          <w:color w:val="auto"/>
          <w:sz w:val="24"/>
          <w:highlight w:val="none"/>
        </w:rPr>
        <w:t>合格的投标人：详见投标邀请中规定的条件</w:t>
      </w:r>
    </w:p>
    <w:p w14:paraId="7F78A3EB">
      <w:pPr>
        <w:tabs>
          <w:tab w:val="left" w:pos="846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凡受托为本次招标的进行设计、编制规范和其他文件的咨询公司，及相关联的附属机构，不得参与投标，凡未购买招标文件的供应商，不得参与投标。</w:t>
      </w:r>
    </w:p>
    <w:p w14:paraId="523565BB">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w:t>
      </w:r>
      <w:r>
        <w:rPr>
          <w:rFonts w:hint="eastAsia" w:ascii="宋体" w:hAnsi="宋体" w:cs="仿宋_GB2312"/>
          <w:color w:val="auto"/>
          <w:sz w:val="24"/>
          <w:highlight w:val="none"/>
        </w:rPr>
        <w:t>投标人在投标过程中不得向采购人和采购代理机构提供、给予任何有价值的物品，一经发现，其投标人资格将被取消。</w:t>
      </w:r>
    </w:p>
    <w:p w14:paraId="658C9E68">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1.5</w:t>
      </w:r>
      <w:r>
        <w:rPr>
          <w:rFonts w:hint="eastAsia" w:ascii="宋体" w:hAnsi="宋体" w:cs="仿宋_GB2312"/>
          <w:color w:val="auto"/>
          <w:sz w:val="24"/>
          <w:highlight w:val="none"/>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5EA5F61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 xml:space="preserve">1.6 </w:t>
      </w:r>
      <w:r>
        <w:rPr>
          <w:rFonts w:ascii="宋体" w:hAnsi="宋体"/>
          <w:color w:val="auto"/>
          <w:sz w:val="24"/>
          <w:highlight w:val="none"/>
        </w:rPr>
        <w:t>投标邀请规定接受联合体投标的，除应符合本</w:t>
      </w:r>
      <w:r>
        <w:rPr>
          <w:rFonts w:hint="eastAsia" w:ascii="宋体" w:hAnsi="宋体"/>
          <w:color w:val="auto"/>
          <w:sz w:val="24"/>
          <w:highlight w:val="none"/>
        </w:rPr>
        <w:t>须知</w:t>
      </w:r>
      <w:r>
        <w:rPr>
          <w:rFonts w:ascii="宋体" w:hAnsi="宋体"/>
          <w:color w:val="auto"/>
          <w:sz w:val="24"/>
          <w:highlight w:val="none"/>
        </w:rPr>
        <w:t>第1.</w:t>
      </w:r>
      <w:r>
        <w:rPr>
          <w:rFonts w:hint="eastAsia" w:ascii="宋体" w:hAnsi="宋体"/>
          <w:color w:val="auto"/>
          <w:sz w:val="24"/>
          <w:highlight w:val="none"/>
        </w:rPr>
        <w:t>2</w:t>
      </w:r>
      <w:r>
        <w:rPr>
          <w:rFonts w:ascii="宋体" w:hAnsi="宋体"/>
          <w:color w:val="auto"/>
          <w:sz w:val="24"/>
          <w:highlight w:val="none"/>
        </w:rPr>
        <w:t>项的要求外，         还应遵守以下规定：</w:t>
      </w:r>
    </w:p>
    <w:p w14:paraId="1FDDAE70">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联合体各方应按招标文件提供的格式签订联合体协议书，明确联合体牵头人和各方工作内容和义务；</w:t>
      </w:r>
    </w:p>
    <w:p w14:paraId="1679C460">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联合体中有同类资质的投标人按照联合体分工承担相同工作的，应当按照资质等级较低的投标人确定联合体的资质等级。</w:t>
      </w:r>
    </w:p>
    <w:p w14:paraId="586F4781">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联合体各方不得再单独参加或者与其他投标人另外组成联合体参加同一合同项下的投标。</w:t>
      </w:r>
    </w:p>
    <w:p w14:paraId="4016F548">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联合体各方应当共同与采购人签订采购合同，就采购合同约定的事项对采购人承担连带责任。</w:t>
      </w:r>
    </w:p>
    <w:p w14:paraId="4BCCA7B1">
      <w:pPr>
        <w:adjustRightInd w:val="0"/>
        <w:snapToGrid w:val="0"/>
        <w:spacing w:line="360" w:lineRule="auto"/>
        <w:ind w:firstLine="480" w:firstLineChars="200"/>
        <w:rPr>
          <w:rFonts w:ascii="宋体" w:hAnsi="宋体" w:cs="仿宋_GB2312"/>
          <w:color w:val="auto"/>
          <w:sz w:val="24"/>
          <w:highlight w:val="none"/>
        </w:rPr>
      </w:pPr>
    </w:p>
    <w:p w14:paraId="054A17A8">
      <w:pPr>
        <w:adjustRightInd w:val="0"/>
        <w:snapToGrid w:val="0"/>
        <w:spacing w:line="360" w:lineRule="auto"/>
        <w:ind w:firstLine="482" w:firstLineChars="200"/>
        <w:rPr>
          <w:rFonts w:ascii="宋体" w:hAnsi="宋体"/>
          <w:b/>
          <w:color w:val="auto"/>
          <w:sz w:val="24"/>
          <w:highlight w:val="none"/>
        </w:rPr>
      </w:pPr>
      <w:bookmarkStart w:id="16" w:name="_Toc89569840"/>
      <w:r>
        <w:rPr>
          <w:rFonts w:ascii="宋体" w:hAnsi="宋体"/>
          <w:b/>
          <w:color w:val="auto"/>
          <w:sz w:val="24"/>
          <w:highlight w:val="none"/>
        </w:rPr>
        <w:t>2</w:t>
      </w:r>
      <w:r>
        <w:rPr>
          <w:rFonts w:hint="eastAsia" w:ascii="宋体" w:hAnsi="宋体"/>
          <w:b/>
          <w:color w:val="auto"/>
          <w:sz w:val="24"/>
          <w:highlight w:val="none"/>
        </w:rPr>
        <w:t>．资金来源</w:t>
      </w:r>
      <w:bookmarkEnd w:id="16"/>
    </w:p>
    <w:p w14:paraId="067A402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2.1</w:t>
      </w:r>
      <w:r>
        <w:rPr>
          <w:rFonts w:hint="eastAsia" w:ascii="宋体" w:hAnsi="宋体" w:cs="仿宋_GB2312"/>
          <w:color w:val="auto"/>
          <w:sz w:val="24"/>
          <w:highlight w:val="none"/>
        </w:rPr>
        <w:t>招标公告或投标邀请书中所述的采购人已经获得足以支付本次招标后所签订的合同项下的款项。</w:t>
      </w:r>
    </w:p>
    <w:p w14:paraId="1AFBF3E2">
      <w:pPr>
        <w:adjustRightInd w:val="0"/>
        <w:snapToGrid w:val="0"/>
        <w:spacing w:line="360" w:lineRule="auto"/>
        <w:ind w:firstLine="482" w:firstLineChars="200"/>
        <w:rPr>
          <w:rFonts w:ascii="宋体" w:hAnsi="宋体"/>
          <w:b/>
          <w:color w:val="auto"/>
          <w:sz w:val="24"/>
          <w:highlight w:val="none"/>
        </w:rPr>
      </w:pPr>
      <w:bookmarkStart w:id="17" w:name="_Toc520356145"/>
      <w:bookmarkStart w:id="18" w:name="_Toc89569841"/>
      <w:r>
        <w:rPr>
          <w:rFonts w:ascii="宋体" w:hAnsi="宋体"/>
          <w:b/>
          <w:color w:val="auto"/>
          <w:sz w:val="24"/>
          <w:highlight w:val="none"/>
        </w:rPr>
        <w:t>3</w:t>
      </w:r>
      <w:r>
        <w:rPr>
          <w:rFonts w:hint="eastAsia" w:ascii="宋体" w:hAnsi="宋体"/>
          <w:b/>
          <w:color w:val="auto"/>
          <w:sz w:val="24"/>
          <w:highlight w:val="none"/>
        </w:rPr>
        <w:t>．投标费用</w:t>
      </w:r>
      <w:bookmarkEnd w:id="17"/>
      <w:bookmarkEnd w:id="18"/>
    </w:p>
    <w:p w14:paraId="4EC7E52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3.1</w:t>
      </w:r>
      <w:r>
        <w:rPr>
          <w:rFonts w:hint="eastAsia" w:ascii="宋体" w:hAnsi="宋体" w:cs="仿宋_GB2312"/>
          <w:color w:val="auto"/>
          <w:sz w:val="24"/>
          <w:highlight w:val="none"/>
        </w:rPr>
        <w:t>投标人应承担所有与准备和参加投标有关的费用。不论投标的结果如何，采购人和采购代理机构均无义务和责任承担这些费用。</w:t>
      </w:r>
    </w:p>
    <w:p w14:paraId="65AF61B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3.2 </w:t>
      </w:r>
      <w:r>
        <w:rPr>
          <w:rFonts w:hint="eastAsia" w:ascii="宋体" w:hAnsi="宋体" w:cs="仿宋_GB2312"/>
          <w:color w:val="auto"/>
          <w:sz w:val="24"/>
          <w:highlight w:val="none"/>
        </w:rPr>
        <w:t>中标人应向采购代理机构交纳中标服务费</w:t>
      </w:r>
      <w:r>
        <w:rPr>
          <w:rFonts w:ascii="宋体" w:hAnsi="宋体" w:cs="仿宋_GB2312"/>
          <w:color w:val="auto"/>
          <w:sz w:val="24"/>
          <w:highlight w:val="none"/>
        </w:rPr>
        <w:t>(</w:t>
      </w:r>
      <w:r>
        <w:rPr>
          <w:rFonts w:hint="eastAsia" w:ascii="宋体" w:hAnsi="宋体" w:cs="仿宋_GB2312"/>
          <w:color w:val="auto"/>
          <w:sz w:val="24"/>
          <w:highlight w:val="none"/>
        </w:rPr>
        <w:t>费用详见本须知第</w:t>
      </w:r>
      <w:r>
        <w:rPr>
          <w:rFonts w:hint="eastAsia" w:ascii="宋体" w:hAnsi="宋体" w:cs="仿宋_GB2312"/>
          <w:color w:val="auto"/>
          <w:sz w:val="24"/>
          <w:highlight w:val="none"/>
          <w:lang w:val="en-US" w:eastAsia="zh-CN"/>
        </w:rPr>
        <w:t>29</w:t>
      </w:r>
      <w:r>
        <w:rPr>
          <w:rFonts w:hint="eastAsia" w:ascii="宋体" w:hAnsi="宋体" w:cs="仿宋_GB2312"/>
          <w:color w:val="auto"/>
          <w:sz w:val="24"/>
          <w:highlight w:val="none"/>
        </w:rPr>
        <w:t>条</w:t>
      </w:r>
      <w:r>
        <w:rPr>
          <w:rFonts w:ascii="宋体" w:hAnsi="宋体" w:cs="仿宋_GB2312"/>
          <w:color w:val="auto"/>
          <w:sz w:val="24"/>
          <w:highlight w:val="none"/>
        </w:rPr>
        <w:t>)</w:t>
      </w:r>
      <w:r>
        <w:rPr>
          <w:rFonts w:hint="eastAsia" w:ascii="宋体" w:hAnsi="宋体" w:cs="仿宋_GB2312"/>
          <w:color w:val="auto"/>
          <w:sz w:val="24"/>
          <w:highlight w:val="none"/>
        </w:rPr>
        <w:t>。此项费用不应单独开列，但计入投标总价。</w:t>
      </w:r>
    </w:p>
    <w:p w14:paraId="14445AB6">
      <w:pPr>
        <w:adjustRightInd w:val="0"/>
        <w:snapToGrid w:val="0"/>
        <w:spacing w:line="360" w:lineRule="auto"/>
        <w:ind w:firstLine="480" w:firstLineChars="200"/>
        <w:rPr>
          <w:rFonts w:ascii="宋体" w:hAnsi="宋体"/>
          <w:color w:val="auto"/>
          <w:sz w:val="24"/>
          <w:highlight w:val="none"/>
        </w:rPr>
      </w:pPr>
    </w:p>
    <w:p w14:paraId="1D58B88F">
      <w:pPr>
        <w:adjustRightInd w:val="0"/>
        <w:snapToGrid w:val="0"/>
        <w:spacing w:line="360" w:lineRule="auto"/>
        <w:ind w:firstLine="482" w:firstLineChars="200"/>
        <w:rPr>
          <w:rFonts w:ascii="宋体" w:hAnsi="宋体"/>
          <w:b/>
          <w:color w:val="auto"/>
          <w:sz w:val="24"/>
          <w:highlight w:val="none"/>
        </w:rPr>
      </w:pPr>
      <w:bookmarkStart w:id="19" w:name="_Toc520356146"/>
      <w:bookmarkStart w:id="20" w:name="_Toc89569842"/>
      <w:r>
        <w:rPr>
          <w:rFonts w:hint="eastAsia" w:ascii="宋体" w:hAnsi="宋体"/>
          <w:b/>
          <w:color w:val="auto"/>
          <w:sz w:val="24"/>
          <w:highlight w:val="none"/>
        </w:rPr>
        <w:t>二 招标文件</w:t>
      </w:r>
      <w:bookmarkEnd w:id="19"/>
      <w:bookmarkEnd w:id="20"/>
    </w:p>
    <w:p w14:paraId="6FAD0184">
      <w:pPr>
        <w:adjustRightInd w:val="0"/>
        <w:snapToGrid w:val="0"/>
        <w:spacing w:line="360" w:lineRule="auto"/>
        <w:ind w:firstLine="482" w:firstLineChars="200"/>
        <w:rPr>
          <w:rFonts w:ascii="宋体" w:hAnsi="宋体"/>
          <w:b/>
          <w:color w:val="auto"/>
          <w:sz w:val="24"/>
          <w:highlight w:val="none"/>
        </w:rPr>
      </w:pPr>
      <w:bookmarkStart w:id="21" w:name="_Toc89569843"/>
      <w:bookmarkStart w:id="22" w:name="_Toc520356147"/>
      <w:r>
        <w:rPr>
          <w:rFonts w:ascii="宋体" w:hAnsi="宋体"/>
          <w:b/>
          <w:color w:val="auto"/>
          <w:sz w:val="24"/>
          <w:highlight w:val="none"/>
        </w:rPr>
        <w:t xml:space="preserve">4. </w:t>
      </w:r>
      <w:r>
        <w:rPr>
          <w:rFonts w:hint="eastAsia" w:ascii="宋体" w:hAnsi="宋体"/>
          <w:b/>
          <w:color w:val="auto"/>
          <w:sz w:val="24"/>
          <w:highlight w:val="none"/>
        </w:rPr>
        <w:t>招标文件构成</w:t>
      </w:r>
      <w:bookmarkEnd w:id="21"/>
      <w:bookmarkEnd w:id="22"/>
    </w:p>
    <w:p w14:paraId="5B200E4D">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4.1</w:t>
      </w:r>
      <w:r>
        <w:rPr>
          <w:rFonts w:hint="eastAsia" w:ascii="宋体" w:hAnsi="宋体" w:cs="仿宋_GB2312"/>
          <w:color w:val="auto"/>
          <w:sz w:val="24"/>
          <w:highlight w:val="none"/>
        </w:rPr>
        <w:t>要求提供服务的内容及详细需求、投标须知和合同条件等在招标文件中均有说明。</w:t>
      </w:r>
    </w:p>
    <w:p w14:paraId="77D188CB">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招标文件内容如下：</w:t>
      </w:r>
    </w:p>
    <w:p w14:paraId="3C79D85F">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第一部分　投标邀请</w:t>
      </w:r>
    </w:p>
    <w:p w14:paraId="296E7B7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第二部分　投标人须知资料表</w:t>
      </w:r>
    </w:p>
    <w:p w14:paraId="0E8384F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第三部分  投标人须知</w:t>
      </w:r>
    </w:p>
    <w:p w14:paraId="66908717">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第四部分　合同一般条款及格式</w:t>
      </w:r>
    </w:p>
    <w:p w14:paraId="519B6043">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第五部分</w:t>
      </w:r>
      <w:r>
        <w:rPr>
          <w:rFonts w:ascii="宋体" w:hAnsi="宋体"/>
          <w:color w:val="auto"/>
          <w:sz w:val="24"/>
          <w:highlight w:val="none"/>
        </w:rPr>
        <w:tab/>
      </w:r>
      <w:r>
        <w:rPr>
          <w:rFonts w:hint="eastAsia" w:ascii="宋体" w:hAnsi="宋体" w:cs="仿宋_GB2312"/>
          <w:color w:val="auto"/>
          <w:sz w:val="24"/>
          <w:highlight w:val="none"/>
        </w:rPr>
        <w:t>合同特殊条款</w:t>
      </w:r>
    </w:p>
    <w:p w14:paraId="50C8BB3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第六部分  附件</w:t>
      </w:r>
    </w:p>
    <w:p w14:paraId="3FC1F9E7">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第七部分　</w:t>
      </w:r>
      <w:r>
        <w:rPr>
          <w:color w:val="auto"/>
          <w:sz w:val="24"/>
          <w:highlight w:val="none"/>
        </w:rPr>
        <w:t>资格审查和评标办法</w:t>
      </w:r>
    </w:p>
    <w:p w14:paraId="0F9CE81D">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第八部分  采购需求</w:t>
      </w:r>
    </w:p>
    <w:p w14:paraId="1181682B">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4.2</w:t>
      </w:r>
      <w:r>
        <w:rPr>
          <w:rFonts w:hint="eastAsia" w:ascii="宋体" w:hAnsi="宋体" w:cs="仿宋_GB2312"/>
          <w:color w:val="auto"/>
          <w:sz w:val="24"/>
          <w:highlight w:val="none"/>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2C8605F9">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5. </w:t>
      </w:r>
      <w:r>
        <w:rPr>
          <w:rFonts w:hint="eastAsia" w:ascii="宋体" w:hAnsi="宋体"/>
          <w:b/>
          <w:color w:val="auto"/>
          <w:sz w:val="24"/>
          <w:highlight w:val="none"/>
        </w:rPr>
        <w:t>招标文件的澄清</w:t>
      </w:r>
    </w:p>
    <w:p w14:paraId="2C9FFED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5.1</w:t>
      </w:r>
      <w:r>
        <w:rPr>
          <w:rFonts w:hint="eastAsia" w:ascii="宋体" w:hAnsi="宋体" w:cs="仿宋_GB2312"/>
          <w:color w:val="auto"/>
          <w:sz w:val="24"/>
          <w:highlight w:val="none"/>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10FF7E35">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6. </w:t>
      </w:r>
      <w:r>
        <w:rPr>
          <w:rFonts w:hint="eastAsia" w:ascii="宋体" w:hAnsi="宋体"/>
          <w:b/>
          <w:color w:val="auto"/>
          <w:sz w:val="24"/>
          <w:highlight w:val="none"/>
        </w:rPr>
        <w:t>招标文件的修改</w:t>
      </w:r>
    </w:p>
    <w:p w14:paraId="34996868">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6.1采购人和采购代理机构可主动地或在解答投标人提出的澄清问题时对招标文件进行修改。</w:t>
      </w:r>
    </w:p>
    <w:p w14:paraId="7C473D9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6.2</w:t>
      </w:r>
      <w:r>
        <w:rPr>
          <w:rFonts w:hint="eastAsia" w:ascii="宋体" w:hAnsi="宋体" w:cs="仿宋_GB2312"/>
          <w:color w:val="auto"/>
          <w:sz w:val="24"/>
          <w:highlight w:val="none"/>
        </w:rPr>
        <w:t>招标文件的修改应以书面形式通知所有获取招标文件的潜在投标人，投标人在收到上述通知后，应立即向采购代理机构回函确认。修改的内容是招标文件的组成部分，对招、投标双方具有约束力。</w:t>
      </w:r>
    </w:p>
    <w:p w14:paraId="54139616">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0E71B31F">
      <w:pPr>
        <w:tabs>
          <w:tab w:val="left" w:pos="900"/>
        </w:tabs>
        <w:adjustRightInd w:val="0"/>
        <w:snapToGrid w:val="0"/>
        <w:spacing w:line="360" w:lineRule="auto"/>
        <w:ind w:firstLine="480" w:firstLineChars="200"/>
        <w:rPr>
          <w:rFonts w:ascii="宋体" w:hAnsi="宋体"/>
          <w:color w:val="auto"/>
          <w:sz w:val="24"/>
          <w:highlight w:val="none"/>
        </w:rPr>
      </w:pPr>
    </w:p>
    <w:p w14:paraId="3AF159AB">
      <w:pPr>
        <w:adjustRightInd w:val="0"/>
        <w:snapToGrid w:val="0"/>
        <w:spacing w:line="360" w:lineRule="auto"/>
        <w:ind w:firstLine="482" w:firstLineChars="200"/>
        <w:rPr>
          <w:rFonts w:ascii="宋体" w:hAnsi="宋体"/>
          <w:b/>
          <w:color w:val="auto"/>
          <w:sz w:val="24"/>
          <w:highlight w:val="none"/>
        </w:rPr>
      </w:pPr>
      <w:bookmarkStart w:id="23" w:name="_Toc516367020"/>
      <w:bookmarkStart w:id="24" w:name="_Toc520356150"/>
      <w:bookmarkStart w:id="25" w:name="_Toc89569846"/>
      <w:r>
        <w:rPr>
          <w:rFonts w:hint="eastAsia" w:ascii="宋体" w:hAnsi="宋体"/>
          <w:b/>
          <w:color w:val="auto"/>
          <w:sz w:val="24"/>
          <w:highlight w:val="none"/>
        </w:rPr>
        <w:t>三 投标文件</w:t>
      </w:r>
      <w:bookmarkEnd w:id="23"/>
      <w:r>
        <w:rPr>
          <w:rFonts w:hint="eastAsia" w:ascii="宋体" w:hAnsi="宋体"/>
          <w:b/>
          <w:color w:val="auto"/>
          <w:sz w:val="24"/>
          <w:highlight w:val="none"/>
        </w:rPr>
        <w:t>的编制</w:t>
      </w:r>
      <w:bookmarkEnd w:id="24"/>
      <w:bookmarkEnd w:id="25"/>
    </w:p>
    <w:p w14:paraId="5809D1CE">
      <w:pPr>
        <w:adjustRightInd w:val="0"/>
        <w:snapToGrid w:val="0"/>
        <w:spacing w:line="360" w:lineRule="auto"/>
        <w:ind w:firstLine="482" w:firstLineChars="200"/>
        <w:rPr>
          <w:rFonts w:ascii="宋体" w:hAnsi="宋体"/>
          <w:b/>
          <w:color w:val="auto"/>
          <w:sz w:val="24"/>
          <w:highlight w:val="none"/>
        </w:rPr>
      </w:pPr>
      <w:bookmarkStart w:id="26" w:name="_Toc516367021"/>
      <w:bookmarkStart w:id="27" w:name="_Toc520356151"/>
      <w:bookmarkStart w:id="28" w:name="_Toc89569847"/>
      <w:r>
        <w:rPr>
          <w:rFonts w:ascii="宋体" w:hAnsi="宋体"/>
          <w:b/>
          <w:color w:val="auto"/>
          <w:sz w:val="24"/>
          <w:highlight w:val="none"/>
        </w:rPr>
        <w:t xml:space="preserve">7. </w:t>
      </w:r>
      <w:r>
        <w:rPr>
          <w:rFonts w:hint="eastAsia" w:ascii="宋体" w:hAnsi="宋体"/>
          <w:b/>
          <w:color w:val="auto"/>
          <w:sz w:val="24"/>
          <w:highlight w:val="none"/>
        </w:rPr>
        <w:t>投标范围、投标文件中计量单位的使用</w:t>
      </w:r>
      <w:bookmarkEnd w:id="26"/>
      <w:bookmarkEnd w:id="27"/>
      <w:r>
        <w:rPr>
          <w:rFonts w:hint="eastAsia" w:ascii="宋体" w:hAnsi="宋体"/>
          <w:b/>
          <w:color w:val="auto"/>
          <w:sz w:val="24"/>
          <w:highlight w:val="none"/>
        </w:rPr>
        <w:t>、投标语言</w:t>
      </w:r>
      <w:bookmarkEnd w:id="28"/>
    </w:p>
    <w:p w14:paraId="0BC2C021">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7.1</w:t>
      </w:r>
      <w:r>
        <w:rPr>
          <w:rFonts w:hint="eastAsia" w:ascii="宋体" w:hAnsi="宋体" w:cs="仿宋_GB2312"/>
          <w:color w:val="auto"/>
          <w:sz w:val="24"/>
          <w:highlight w:val="none"/>
        </w:rPr>
        <w:t>投标范围详见“资料表”。</w:t>
      </w:r>
    </w:p>
    <w:p w14:paraId="495161DE">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7.2</w:t>
      </w:r>
      <w:r>
        <w:rPr>
          <w:rFonts w:hint="eastAsia" w:ascii="宋体" w:hAnsi="宋体" w:cs="仿宋_GB2312"/>
          <w:color w:val="auto"/>
          <w:sz w:val="24"/>
          <w:highlight w:val="none"/>
        </w:rPr>
        <w:t>投标文件中所使用的计量单位，除招标文件中有特殊要求外，应采用中华人民共和国法定计量单位。</w:t>
      </w:r>
    </w:p>
    <w:p w14:paraId="52245E1C">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7.3 </w:t>
      </w:r>
      <w:r>
        <w:rPr>
          <w:rFonts w:hint="eastAsia" w:ascii="宋体" w:hAnsi="宋体" w:cs="仿宋_GB2312"/>
          <w:color w:val="auto"/>
          <w:sz w:val="24"/>
          <w:highlight w:val="none"/>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583B378E">
      <w:pPr>
        <w:adjustRightInd w:val="0"/>
        <w:snapToGrid w:val="0"/>
        <w:spacing w:line="360" w:lineRule="auto"/>
        <w:ind w:firstLine="482" w:firstLineChars="200"/>
        <w:rPr>
          <w:rFonts w:ascii="宋体" w:hAnsi="宋体"/>
          <w:b/>
          <w:color w:val="auto"/>
          <w:sz w:val="24"/>
          <w:highlight w:val="none"/>
        </w:rPr>
      </w:pPr>
      <w:bookmarkStart w:id="29" w:name="_Ref467306676"/>
      <w:bookmarkStart w:id="30" w:name="_Ref467306195"/>
      <w:bookmarkStart w:id="31" w:name="_Toc516367022"/>
      <w:bookmarkStart w:id="32" w:name="_Toc89569848"/>
      <w:bookmarkStart w:id="33" w:name="_Toc520356152"/>
      <w:r>
        <w:rPr>
          <w:rFonts w:ascii="宋体" w:hAnsi="宋体"/>
          <w:b/>
          <w:color w:val="auto"/>
          <w:sz w:val="24"/>
          <w:highlight w:val="none"/>
        </w:rPr>
        <w:t xml:space="preserve">8. </w:t>
      </w:r>
      <w:r>
        <w:rPr>
          <w:rFonts w:hint="eastAsia" w:ascii="宋体" w:hAnsi="宋体"/>
          <w:b/>
          <w:color w:val="auto"/>
          <w:sz w:val="24"/>
          <w:highlight w:val="none"/>
        </w:rPr>
        <w:t>投标文件</w:t>
      </w:r>
      <w:bookmarkEnd w:id="29"/>
      <w:bookmarkEnd w:id="30"/>
      <w:bookmarkEnd w:id="31"/>
      <w:r>
        <w:rPr>
          <w:rFonts w:hint="eastAsia" w:ascii="宋体" w:hAnsi="宋体"/>
          <w:b/>
          <w:color w:val="auto"/>
          <w:sz w:val="24"/>
          <w:highlight w:val="none"/>
        </w:rPr>
        <w:t>构成</w:t>
      </w:r>
      <w:bookmarkEnd w:id="32"/>
      <w:bookmarkEnd w:id="33"/>
    </w:p>
    <w:p w14:paraId="72CF2530">
      <w:pPr>
        <w:tabs>
          <w:tab w:val="left" w:pos="900"/>
        </w:tabs>
        <w:adjustRightInd w:val="0"/>
        <w:snapToGrid w:val="0"/>
        <w:spacing w:line="360" w:lineRule="auto"/>
        <w:ind w:firstLine="480" w:firstLineChars="200"/>
        <w:rPr>
          <w:rFonts w:ascii="宋体" w:hAnsi="宋体"/>
          <w:color w:val="auto"/>
          <w:sz w:val="24"/>
          <w:highlight w:val="none"/>
        </w:rPr>
      </w:pPr>
      <w:bookmarkStart w:id="34" w:name="_Ref467052588"/>
      <w:r>
        <w:rPr>
          <w:rFonts w:hint="eastAsia" w:ascii="宋体" w:hAnsi="宋体" w:cs="仿宋_GB2312"/>
          <w:color w:val="auto"/>
          <w:sz w:val="24"/>
          <w:highlight w:val="none"/>
        </w:rPr>
        <w:t>8.1</w:t>
      </w:r>
      <w:bookmarkEnd w:id="34"/>
      <w:r>
        <w:rPr>
          <w:rFonts w:hint="eastAsia" w:ascii="宋体" w:hAnsi="宋体" w:cs="仿宋_GB2312"/>
          <w:color w:val="auto"/>
          <w:sz w:val="24"/>
          <w:highlight w:val="none"/>
        </w:rPr>
        <w:t xml:space="preserve"> 投标人应当完整地按照招标文件的要求编制投标文件。投标文件应包括的部分见招标文件第六部分《附件》。</w:t>
      </w:r>
    </w:p>
    <w:p w14:paraId="0FD2A424">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8.2</w:t>
      </w:r>
      <w:r>
        <w:rPr>
          <w:rFonts w:hint="eastAsia" w:ascii="宋体" w:hAnsi="宋体" w:cs="仿宋_GB2312"/>
          <w:color w:val="auto"/>
          <w:sz w:val="24"/>
          <w:highlight w:val="none"/>
        </w:rPr>
        <w:t xml:space="preserve"> 对于招标文件中标记了“★”及其他实质性要求，须按招标文件要求提供，否则投标无效。</w:t>
      </w:r>
    </w:p>
    <w:p w14:paraId="1EEFBCBE">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8.3 招标文件第七部分《资格审查和评标办法》中涉及的证明文件。 </w:t>
      </w:r>
    </w:p>
    <w:p w14:paraId="6E287952">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8.4 招标文件第八部分《采购需求》中要求提供证明文件的，投标人应当按具体要求提供证明文件。</w:t>
      </w:r>
    </w:p>
    <w:p w14:paraId="21C336C0">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8.5 投标人认为应附的其他材料。</w:t>
      </w:r>
    </w:p>
    <w:p w14:paraId="5918363F">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8.6 投标人提供的上述材料必须真实有效，任何一项的虚假将导致其投标无效。</w:t>
      </w:r>
    </w:p>
    <w:p w14:paraId="10E5E834">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8.</w:t>
      </w:r>
      <w:r>
        <w:rPr>
          <w:rFonts w:hint="eastAsia" w:ascii="宋体" w:hAnsi="宋体" w:cs="仿宋_GB2312"/>
          <w:color w:val="auto"/>
          <w:sz w:val="24"/>
          <w:highlight w:val="none"/>
        </w:rPr>
        <w:t>7</w:t>
      </w:r>
      <w:r>
        <w:rPr>
          <w:rFonts w:ascii="宋体" w:hAnsi="宋体" w:cs="仿宋_GB2312"/>
          <w:color w:val="auto"/>
          <w:sz w:val="24"/>
          <w:highlight w:val="none"/>
        </w:rPr>
        <w:t xml:space="preserve"> </w:t>
      </w:r>
      <w:r>
        <w:rPr>
          <w:rFonts w:hint="eastAsia" w:ascii="宋体" w:hAnsi="宋体" w:cs="仿宋_GB2312"/>
          <w:color w:val="auto"/>
          <w:sz w:val="24"/>
          <w:highlight w:val="none"/>
        </w:rPr>
        <w:t>要求投标文件对于上述内容有具体位置的确切目录及索引。</w:t>
      </w:r>
    </w:p>
    <w:p w14:paraId="5F09DA25">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8.8 对照招标文件项目需求的应答的其他要求，见“资料表”。</w:t>
      </w:r>
    </w:p>
    <w:p w14:paraId="1802B3AE">
      <w:pPr>
        <w:adjustRightInd w:val="0"/>
        <w:snapToGrid w:val="0"/>
        <w:spacing w:line="360" w:lineRule="auto"/>
        <w:ind w:firstLine="482" w:firstLineChars="200"/>
        <w:rPr>
          <w:rFonts w:ascii="宋体" w:hAnsi="宋体"/>
          <w:b/>
          <w:color w:val="auto"/>
          <w:sz w:val="24"/>
          <w:highlight w:val="none"/>
        </w:rPr>
      </w:pPr>
      <w:bookmarkStart w:id="35" w:name="_Toc520356153"/>
      <w:bookmarkStart w:id="36" w:name="_Toc516367023"/>
      <w:bookmarkStart w:id="37" w:name="_Toc89569849"/>
      <w:r>
        <w:rPr>
          <w:rFonts w:ascii="宋体" w:hAnsi="宋体"/>
          <w:b/>
          <w:color w:val="auto"/>
          <w:sz w:val="24"/>
          <w:highlight w:val="none"/>
        </w:rPr>
        <w:t xml:space="preserve">9. </w:t>
      </w:r>
      <w:bookmarkEnd w:id="35"/>
      <w:bookmarkEnd w:id="36"/>
      <w:bookmarkEnd w:id="37"/>
      <w:bookmarkStart w:id="38" w:name="_Toc520356155"/>
      <w:bookmarkStart w:id="39" w:name="_Toc89569850"/>
      <w:r>
        <w:rPr>
          <w:rFonts w:hint="eastAsia" w:ascii="宋体" w:hAnsi="宋体"/>
          <w:b/>
          <w:color w:val="auto"/>
          <w:sz w:val="24"/>
          <w:highlight w:val="none"/>
        </w:rPr>
        <w:t>投标报价</w:t>
      </w:r>
      <w:bookmarkEnd w:id="38"/>
      <w:bookmarkEnd w:id="39"/>
    </w:p>
    <w:p w14:paraId="3AB3E5D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9</w:t>
      </w:r>
      <w:r>
        <w:rPr>
          <w:rFonts w:ascii="宋体" w:hAnsi="宋体" w:cs="仿宋_GB2312"/>
          <w:color w:val="auto"/>
          <w:sz w:val="24"/>
          <w:highlight w:val="none"/>
        </w:rPr>
        <w:t>.1</w:t>
      </w:r>
      <w:r>
        <w:rPr>
          <w:rFonts w:hint="eastAsia" w:ascii="宋体" w:hAnsi="宋体" w:cs="仿宋_GB2312"/>
          <w:color w:val="auto"/>
          <w:sz w:val="24"/>
          <w:highlight w:val="none"/>
        </w:rPr>
        <w:t>投标人的投标报价应遵守“中华人民共和国价格法”。</w:t>
      </w:r>
    </w:p>
    <w:p w14:paraId="228440F8">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9</w:t>
      </w:r>
      <w:r>
        <w:rPr>
          <w:rFonts w:ascii="宋体" w:hAnsi="宋体" w:cs="仿宋_GB2312"/>
          <w:color w:val="auto"/>
          <w:sz w:val="24"/>
          <w:highlight w:val="none"/>
        </w:rPr>
        <w:t xml:space="preserve">.2 </w:t>
      </w:r>
      <w:r>
        <w:rPr>
          <w:rFonts w:hint="eastAsia" w:ascii="宋体" w:hAnsi="宋体" w:cs="仿宋_GB2312"/>
          <w:color w:val="auto"/>
          <w:sz w:val="24"/>
          <w:highlight w:val="none"/>
        </w:rPr>
        <w:t>投标人对每种货物只允许有一个报价，采购代理机构和采购人不接受有任何选择的报价，同时不接受有条件的优惠报价。</w:t>
      </w:r>
    </w:p>
    <w:p w14:paraId="46BD2CDB">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9</w:t>
      </w:r>
      <w:r>
        <w:rPr>
          <w:rFonts w:ascii="宋体" w:hAnsi="宋体" w:cs="仿宋_GB2312"/>
          <w:color w:val="auto"/>
          <w:sz w:val="24"/>
          <w:highlight w:val="none"/>
        </w:rPr>
        <w:t>.3</w:t>
      </w:r>
      <w:r>
        <w:rPr>
          <w:rFonts w:hint="eastAsia" w:ascii="宋体" w:hAnsi="宋体" w:cs="仿宋_GB2312"/>
          <w:color w:val="auto"/>
          <w:sz w:val="24"/>
          <w:highlight w:val="none"/>
        </w:rPr>
        <w:t>投标人应在投标分项报价表上标明投标货物及相关服务的单价和总价，并由法定代表人或其授权代表签署。</w:t>
      </w:r>
    </w:p>
    <w:p w14:paraId="626EA154">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9</w:t>
      </w:r>
      <w:r>
        <w:rPr>
          <w:rFonts w:ascii="宋体" w:hAnsi="宋体" w:cs="仿宋_GB2312"/>
          <w:color w:val="auto"/>
          <w:sz w:val="24"/>
          <w:highlight w:val="none"/>
        </w:rPr>
        <w:t>.</w:t>
      </w:r>
      <w:r>
        <w:rPr>
          <w:rFonts w:hint="eastAsia" w:ascii="宋体" w:hAnsi="宋体" w:cs="仿宋_GB2312"/>
          <w:color w:val="auto"/>
          <w:sz w:val="24"/>
          <w:highlight w:val="none"/>
        </w:rPr>
        <w:t>4投标人所报的投标价格在合同执行过程中是固定不变的，投标人不得以任何理由予以变更。</w:t>
      </w:r>
    </w:p>
    <w:p w14:paraId="492FF034">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hint="eastAsia" w:ascii="宋体" w:hAnsi="宋体" w:cs="仿宋_GB2312"/>
          <w:color w:val="auto"/>
          <w:sz w:val="24"/>
          <w:highlight w:val="none"/>
        </w:rPr>
        <w:t>9.5</w:t>
      </w:r>
      <w:r>
        <w:rPr>
          <w:rFonts w:ascii="宋体" w:hAnsi="宋体" w:cs="宋体"/>
          <w:color w:val="auto"/>
          <w:kern w:val="0"/>
          <w:sz w:val="24"/>
          <w:highlight w:val="none"/>
        </w:rPr>
        <w:t>投标文件报价出现前后不一致的，按照下列规定修正：</w:t>
      </w:r>
    </w:p>
    <w:p w14:paraId="4F1EC8D1">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（一）投标文件中开标一览表（报价表）内容与投标文件中相应内容不一致的，以开标一览表（报价表）为准；</w:t>
      </w:r>
    </w:p>
    <w:p w14:paraId="6B0AD02A">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（二）大写金额和小写金额不一致的，以大写金额为准；</w:t>
      </w:r>
    </w:p>
    <w:p w14:paraId="18E0DE16">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（三）单价金额小数点或者百分比有明显错位的，以开标一览表的总价为准，并修改单价；</w:t>
      </w:r>
    </w:p>
    <w:p w14:paraId="05B4AB2B">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（四）总价金额与按单价汇总金额不一致的，以单价金额计算结果为准。</w:t>
      </w:r>
    </w:p>
    <w:p w14:paraId="7F17346F">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ascii="宋体" w:hAnsi="宋体" w:cs="宋体"/>
          <w:color w:val="auto"/>
          <w:kern w:val="0"/>
          <w:sz w:val="24"/>
          <w:highlight w:val="none"/>
        </w:rPr>
        <w:t>同时出现两种以上不一致的，按照前款规定的顺序修正。修正后的报价经投标人确认后产生约束力，投标人不确认的，其投标无效。</w:t>
      </w:r>
    </w:p>
    <w:p w14:paraId="38437FC9">
      <w:pPr>
        <w:tabs>
          <w:tab w:val="left" w:pos="900"/>
        </w:tabs>
        <w:adjustRightInd w:val="0"/>
        <w:snapToGrid w:val="0"/>
        <w:spacing w:line="360" w:lineRule="auto"/>
        <w:ind w:firstLine="480" w:firstLineChars="200"/>
        <w:rPr>
          <w:rFonts w:ascii="宋体" w:hAnsi="宋体"/>
          <w:bCs/>
          <w:color w:val="auto"/>
          <w:sz w:val="24"/>
          <w:highlight w:val="none"/>
        </w:rPr>
      </w:pPr>
      <w:r>
        <w:rPr>
          <w:rFonts w:hint="eastAsia" w:ascii="宋体" w:hAnsi="宋体" w:cs="仿宋_GB2312"/>
          <w:bCs/>
          <w:color w:val="auto"/>
          <w:sz w:val="24"/>
          <w:highlight w:val="none"/>
        </w:rPr>
        <w:t>9</w:t>
      </w:r>
      <w:r>
        <w:rPr>
          <w:rFonts w:ascii="宋体" w:hAnsi="宋体" w:cs="仿宋_GB2312"/>
          <w:bCs/>
          <w:color w:val="auto"/>
          <w:sz w:val="24"/>
          <w:highlight w:val="none"/>
        </w:rPr>
        <w:t>.</w:t>
      </w:r>
      <w:r>
        <w:rPr>
          <w:rFonts w:hint="eastAsia" w:ascii="宋体" w:hAnsi="宋体" w:cs="仿宋_GB2312"/>
          <w:bCs/>
          <w:color w:val="auto"/>
          <w:sz w:val="24"/>
          <w:highlight w:val="none"/>
        </w:rPr>
        <w:t>6对投标人投标报价的其他要求见</w:t>
      </w:r>
      <w:r>
        <w:rPr>
          <w:rFonts w:hint="eastAsia" w:ascii="宋体" w:hAnsi="宋体" w:cs="仿宋_GB2312"/>
          <w:color w:val="auto"/>
          <w:sz w:val="24"/>
          <w:highlight w:val="none"/>
        </w:rPr>
        <w:t>“资料表”。</w:t>
      </w:r>
    </w:p>
    <w:p w14:paraId="108A066F">
      <w:pPr>
        <w:adjustRightInd w:val="0"/>
        <w:snapToGrid w:val="0"/>
        <w:spacing w:line="360" w:lineRule="auto"/>
        <w:ind w:firstLine="482" w:firstLineChars="200"/>
        <w:rPr>
          <w:rFonts w:ascii="宋体" w:hAnsi="宋体"/>
          <w:b/>
          <w:color w:val="auto"/>
          <w:sz w:val="24"/>
          <w:highlight w:val="none"/>
        </w:rPr>
      </w:pPr>
      <w:bookmarkStart w:id="40" w:name="_Toc89569851"/>
      <w:bookmarkStart w:id="41" w:name="_Toc520356156"/>
      <w:bookmarkStart w:id="42" w:name="_Ref467306513"/>
      <w:r>
        <w:rPr>
          <w:rFonts w:ascii="宋体" w:hAnsi="宋体"/>
          <w:b/>
          <w:color w:val="auto"/>
          <w:sz w:val="24"/>
          <w:highlight w:val="none"/>
        </w:rPr>
        <w:t>1</w:t>
      </w:r>
      <w:r>
        <w:rPr>
          <w:rFonts w:hint="eastAsia" w:ascii="宋体" w:hAnsi="宋体"/>
          <w:b/>
          <w:color w:val="auto"/>
          <w:sz w:val="24"/>
          <w:highlight w:val="none"/>
        </w:rPr>
        <w:t>0</w:t>
      </w:r>
      <w:r>
        <w:rPr>
          <w:rFonts w:ascii="宋体" w:hAnsi="宋体"/>
          <w:b/>
          <w:color w:val="auto"/>
          <w:sz w:val="24"/>
          <w:highlight w:val="none"/>
        </w:rPr>
        <w:t xml:space="preserve">. </w:t>
      </w:r>
      <w:r>
        <w:rPr>
          <w:rFonts w:hint="eastAsia" w:ascii="宋体" w:hAnsi="宋体"/>
          <w:b/>
          <w:color w:val="auto"/>
          <w:sz w:val="24"/>
          <w:highlight w:val="none"/>
        </w:rPr>
        <w:t>投标保证金</w:t>
      </w:r>
      <w:bookmarkEnd w:id="40"/>
      <w:bookmarkEnd w:id="41"/>
      <w:bookmarkEnd w:id="42"/>
    </w:p>
    <w:p w14:paraId="1A257D95">
      <w:pPr>
        <w:adjustRightInd w:val="0"/>
        <w:snapToGrid w:val="0"/>
        <w:spacing w:line="360" w:lineRule="auto"/>
        <w:ind w:firstLine="480" w:firstLineChars="200"/>
        <w:rPr>
          <w:rFonts w:ascii="宋体" w:hAnsi="宋体"/>
          <w:color w:val="auto"/>
          <w:sz w:val="24"/>
          <w:highlight w:val="none"/>
        </w:rPr>
      </w:pPr>
      <w:bookmarkStart w:id="43" w:name="_Ref467306302"/>
      <w:r>
        <w:rPr>
          <w:rFonts w:ascii="宋体" w:hAnsi="宋体" w:cs="仿宋_GB2312"/>
          <w:color w:val="auto"/>
          <w:sz w:val="24"/>
          <w:highlight w:val="none"/>
        </w:rPr>
        <w:t>1</w:t>
      </w:r>
      <w:r>
        <w:rPr>
          <w:rFonts w:hint="eastAsia" w:ascii="宋体" w:hAnsi="宋体" w:cs="仿宋_GB2312"/>
          <w:color w:val="auto"/>
          <w:sz w:val="24"/>
          <w:highlight w:val="none"/>
        </w:rPr>
        <w:t>0</w:t>
      </w:r>
      <w:r>
        <w:rPr>
          <w:rFonts w:ascii="宋体" w:hAnsi="宋体" w:cs="仿宋_GB2312"/>
          <w:color w:val="auto"/>
          <w:sz w:val="24"/>
          <w:highlight w:val="none"/>
        </w:rPr>
        <w:t>.1</w:t>
      </w:r>
      <w:bookmarkEnd w:id="43"/>
      <w:r>
        <w:rPr>
          <w:rFonts w:hint="eastAsia" w:ascii="宋体" w:hAnsi="宋体" w:cs="仿宋_GB2312"/>
          <w:color w:val="auto"/>
          <w:sz w:val="24"/>
          <w:highlight w:val="none"/>
        </w:rPr>
        <w:t>投标人应提供投标保证金，并作为其有效投标的一部分（具体金额、形式详见 “资料表”）。</w:t>
      </w:r>
      <w:r>
        <w:rPr>
          <w:rFonts w:ascii="宋体" w:hAnsi="宋体"/>
          <w:color w:val="auto"/>
          <w:sz w:val="24"/>
          <w:highlight w:val="none"/>
        </w:rPr>
        <w:t>联合体投标的，可以由联合体中的一方或者共同提交投标保证金，以一方名义提交投标保证金的，对联合体各方均具有约束力</w:t>
      </w:r>
      <w:r>
        <w:rPr>
          <w:rFonts w:hint="eastAsia" w:ascii="宋体" w:hAnsi="宋体"/>
          <w:color w:val="auto"/>
          <w:sz w:val="24"/>
          <w:highlight w:val="none"/>
        </w:rPr>
        <w:t>。</w:t>
      </w:r>
    </w:p>
    <w:p w14:paraId="2B4F8BE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0</w:t>
      </w:r>
      <w:r>
        <w:rPr>
          <w:rFonts w:ascii="宋体" w:hAnsi="宋体" w:cs="仿宋_GB2312"/>
          <w:color w:val="auto"/>
          <w:sz w:val="24"/>
          <w:highlight w:val="none"/>
        </w:rPr>
        <w:t>.2</w:t>
      </w:r>
      <w:r>
        <w:rPr>
          <w:rFonts w:hint="eastAsia" w:ascii="宋体" w:hAnsi="宋体" w:cs="仿宋_GB2312"/>
          <w:color w:val="auto"/>
          <w:sz w:val="24"/>
          <w:highlight w:val="none"/>
        </w:rPr>
        <w:t>投标保证金是为了保护采购人和采购代理机构免遭因投标人的行为蒙受损失而要求的。</w:t>
      </w:r>
    </w:p>
    <w:p w14:paraId="25B60CE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下列任何情况发生，投标保证金将不予返还：</w:t>
      </w:r>
    </w:p>
    <w:p w14:paraId="5419F5C6">
      <w:pPr>
        <w:pStyle w:val="21"/>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在开标之日后到投标有效期满前，投标人撤回投标的；</w:t>
      </w:r>
    </w:p>
    <w:p w14:paraId="02F69070">
      <w:pPr>
        <w:pStyle w:val="21"/>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投标人以他人名义投标、相互串通投标或者以其他方式弄虚作假的，投标人提交的投标文件中提交虚假资料或失实资料的；</w:t>
      </w:r>
    </w:p>
    <w:p w14:paraId="480FD48E">
      <w:pPr>
        <w:pStyle w:val="21"/>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(3)</w:t>
      </w:r>
      <w:r>
        <w:rPr>
          <w:rFonts w:hint="eastAsia" w:hAnsi="宋体" w:cs="仿宋_GB2312"/>
          <w:color w:val="auto"/>
          <w:sz w:val="24"/>
          <w:szCs w:val="24"/>
          <w:highlight w:val="none"/>
        </w:rPr>
        <w:t>中标人不按本招标文件规定与采购人签订合同的；</w:t>
      </w:r>
    </w:p>
    <w:p w14:paraId="225A2A73">
      <w:pPr>
        <w:pStyle w:val="21"/>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(4)</w:t>
      </w:r>
      <w:r>
        <w:rPr>
          <w:rFonts w:hint="eastAsia" w:hAnsi="宋体" w:cs="仿宋_GB2312"/>
          <w:color w:val="auto"/>
          <w:sz w:val="24"/>
          <w:szCs w:val="24"/>
          <w:highlight w:val="none"/>
        </w:rPr>
        <w:t>中标人不按本招标文件的规定提交履约保证金的；</w:t>
      </w:r>
    </w:p>
    <w:p w14:paraId="781B469B">
      <w:pPr>
        <w:pStyle w:val="21"/>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(5)</w:t>
      </w:r>
      <w:r>
        <w:rPr>
          <w:rFonts w:hint="eastAsia" w:hAnsi="宋体" w:cs="仿宋_GB2312"/>
          <w:color w:val="auto"/>
          <w:sz w:val="24"/>
          <w:szCs w:val="24"/>
          <w:highlight w:val="none"/>
        </w:rPr>
        <w:t>中标人不按本招标文件的规定缴纳中标服务费的。</w:t>
      </w:r>
    </w:p>
    <w:p w14:paraId="4970976D">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0</w:t>
      </w:r>
      <w:r>
        <w:rPr>
          <w:rFonts w:ascii="宋体" w:hAnsi="宋体" w:cs="仿宋_GB2312"/>
          <w:color w:val="auto"/>
          <w:sz w:val="24"/>
          <w:highlight w:val="none"/>
        </w:rPr>
        <w:t>.3</w:t>
      </w:r>
      <w:r>
        <w:rPr>
          <w:rFonts w:hint="eastAsia" w:ascii="宋体" w:hAnsi="宋体" w:cs="仿宋_GB2312"/>
          <w:color w:val="auto"/>
          <w:sz w:val="24"/>
          <w:highlight w:val="none"/>
        </w:rPr>
        <w:t>凡没有根据本招标文件规定随附投标保证金的投标，将被视为非实质响应性投标而予以拒绝。</w:t>
      </w:r>
    </w:p>
    <w:p w14:paraId="7F6E18D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0</w:t>
      </w:r>
      <w:r>
        <w:rPr>
          <w:rFonts w:ascii="宋体" w:hAnsi="宋体" w:cs="仿宋_GB2312"/>
          <w:color w:val="auto"/>
          <w:sz w:val="24"/>
          <w:highlight w:val="none"/>
        </w:rPr>
        <w:t>.4</w:t>
      </w:r>
      <w:r>
        <w:rPr>
          <w:rFonts w:hint="eastAsia" w:ascii="宋体" w:hAnsi="宋体" w:cs="仿宋_GB2312"/>
          <w:color w:val="auto"/>
          <w:sz w:val="24"/>
          <w:highlight w:val="none"/>
        </w:rPr>
        <w:t>中标人的投标保证金，在采购合同签订并提交中标服务费后无息退还中标人。未中标的投标人的投标保证金在中标通知书发出后五个工作日内无息退还。</w:t>
      </w:r>
    </w:p>
    <w:p w14:paraId="3DBB2387">
      <w:pPr>
        <w:adjustRightInd w:val="0"/>
        <w:snapToGrid w:val="0"/>
        <w:spacing w:line="360" w:lineRule="auto"/>
        <w:ind w:firstLine="482" w:firstLineChars="200"/>
        <w:rPr>
          <w:rFonts w:ascii="宋体" w:hAnsi="宋体"/>
          <w:b/>
          <w:color w:val="auto"/>
          <w:sz w:val="24"/>
          <w:highlight w:val="none"/>
        </w:rPr>
      </w:pPr>
      <w:bookmarkStart w:id="44" w:name="_Toc89569852"/>
      <w:bookmarkStart w:id="45" w:name="_Toc520356157"/>
      <w:r>
        <w:rPr>
          <w:rFonts w:ascii="宋体" w:hAnsi="宋体"/>
          <w:b/>
          <w:color w:val="auto"/>
          <w:sz w:val="24"/>
          <w:highlight w:val="none"/>
        </w:rPr>
        <w:t>1</w:t>
      </w:r>
      <w:r>
        <w:rPr>
          <w:rFonts w:hint="eastAsia" w:ascii="宋体" w:hAnsi="宋体"/>
          <w:b/>
          <w:color w:val="auto"/>
          <w:sz w:val="24"/>
          <w:highlight w:val="none"/>
        </w:rPr>
        <w:t>1</w:t>
      </w:r>
      <w:r>
        <w:rPr>
          <w:rFonts w:ascii="宋体" w:hAnsi="宋体"/>
          <w:b/>
          <w:color w:val="auto"/>
          <w:sz w:val="24"/>
          <w:highlight w:val="none"/>
        </w:rPr>
        <w:t xml:space="preserve">. </w:t>
      </w:r>
      <w:r>
        <w:rPr>
          <w:rFonts w:hint="eastAsia" w:ascii="宋体" w:hAnsi="宋体"/>
          <w:b/>
          <w:color w:val="auto"/>
          <w:sz w:val="24"/>
          <w:highlight w:val="none"/>
        </w:rPr>
        <w:t>投标有效期</w:t>
      </w:r>
      <w:bookmarkEnd w:id="44"/>
      <w:bookmarkEnd w:id="45"/>
    </w:p>
    <w:p w14:paraId="4F4ED9F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1</w:t>
      </w:r>
      <w:r>
        <w:rPr>
          <w:rFonts w:ascii="宋体" w:hAnsi="宋体" w:cs="仿宋_GB2312"/>
          <w:color w:val="auto"/>
          <w:sz w:val="24"/>
          <w:highlight w:val="none"/>
        </w:rPr>
        <w:t>.1</w:t>
      </w:r>
      <w:r>
        <w:rPr>
          <w:rFonts w:hint="eastAsia" w:ascii="宋体" w:hAnsi="宋体" w:cs="仿宋_GB2312"/>
          <w:color w:val="auto"/>
          <w:sz w:val="24"/>
          <w:highlight w:val="none"/>
        </w:rPr>
        <w:t>投标应在规定的开标日后的</w:t>
      </w:r>
      <w:r>
        <w:rPr>
          <w:rFonts w:hint="eastAsia" w:ascii="宋体" w:hAnsi="宋体" w:cs="仿宋_GB2312"/>
          <w:color w:val="auto"/>
          <w:sz w:val="24"/>
          <w:highlight w:val="none"/>
          <w:u w:val="single"/>
        </w:rPr>
        <w:t>（见“资料表”）</w:t>
      </w:r>
      <w:r>
        <w:rPr>
          <w:rFonts w:hint="eastAsia" w:ascii="宋体" w:hAnsi="宋体" w:cs="仿宋_GB2312"/>
          <w:color w:val="auto"/>
          <w:sz w:val="24"/>
          <w:highlight w:val="none"/>
        </w:rPr>
        <w:t>天内保持有效，投标有效期不满足要求的投标，将被视为非实质响应性投标而予以拒绝。</w:t>
      </w:r>
    </w:p>
    <w:p w14:paraId="1F0CD67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1</w:t>
      </w:r>
      <w:r>
        <w:rPr>
          <w:rFonts w:ascii="宋体" w:hAnsi="宋体" w:cs="仿宋_GB2312"/>
          <w:color w:val="auto"/>
          <w:sz w:val="24"/>
          <w:highlight w:val="none"/>
        </w:rPr>
        <w:t>.2</w:t>
      </w:r>
      <w:r>
        <w:rPr>
          <w:rFonts w:hint="eastAsia" w:ascii="宋体" w:hAnsi="宋体" w:cs="仿宋_GB2312"/>
          <w:color w:val="auto"/>
          <w:sz w:val="24"/>
          <w:highlight w:val="none"/>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4A8C3EC3">
      <w:pPr>
        <w:adjustRightInd w:val="0"/>
        <w:snapToGrid w:val="0"/>
        <w:spacing w:line="360" w:lineRule="auto"/>
        <w:ind w:firstLine="482" w:firstLineChars="200"/>
        <w:rPr>
          <w:rFonts w:ascii="宋体" w:hAnsi="宋体"/>
          <w:b/>
          <w:color w:val="auto"/>
          <w:sz w:val="24"/>
          <w:highlight w:val="none"/>
        </w:rPr>
      </w:pPr>
      <w:bookmarkStart w:id="46" w:name="_Toc89569853"/>
      <w:bookmarkStart w:id="47" w:name="_Toc520356158"/>
      <w:r>
        <w:rPr>
          <w:rFonts w:ascii="宋体" w:hAnsi="宋体"/>
          <w:b/>
          <w:color w:val="auto"/>
          <w:sz w:val="24"/>
          <w:highlight w:val="none"/>
        </w:rPr>
        <w:t>1</w:t>
      </w:r>
      <w:r>
        <w:rPr>
          <w:rFonts w:hint="eastAsia" w:ascii="宋体" w:hAnsi="宋体"/>
          <w:b/>
          <w:color w:val="auto"/>
          <w:sz w:val="24"/>
          <w:highlight w:val="none"/>
        </w:rPr>
        <w:t>2</w:t>
      </w:r>
      <w:r>
        <w:rPr>
          <w:rFonts w:ascii="宋体" w:hAnsi="宋体"/>
          <w:b/>
          <w:color w:val="auto"/>
          <w:sz w:val="24"/>
          <w:highlight w:val="none"/>
        </w:rPr>
        <w:t xml:space="preserve">. </w:t>
      </w:r>
      <w:r>
        <w:rPr>
          <w:rFonts w:hint="eastAsia" w:ascii="宋体" w:hAnsi="宋体"/>
          <w:b/>
          <w:color w:val="auto"/>
          <w:sz w:val="24"/>
          <w:highlight w:val="none"/>
        </w:rPr>
        <w:t>投标文件的签署</w:t>
      </w:r>
      <w:bookmarkEnd w:id="46"/>
      <w:bookmarkEnd w:id="47"/>
    </w:p>
    <w:p w14:paraId="0150AD2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2</w:t>
      </w:r>
      <w:r>
        <w:rPr>
          <w:rFonts w:ascii="宋体" w:hAnsi="宋体" w:cs="仿宋_GB2312"/>
          <w:color w:val="auto"/>
          <w:sz w:val="24"/>
          <w:highlight w:val="none"/>
        </w:rPr>
        <w:t>.1</w:t>
      </w:r>
      <w:r>
        <w:rPr>
          <w:rFonts w:hint="eastAsia" w:ascii="宋体" w:hAnsi="宋体" w:cs="仿宋_GB2312"/>
          <w:color w:val="auto"/>
          <w:sz w:val="24"/>
          <w:highlight w:val="none"/>
        </w:rPr>
        <w:t>投标人应按“资料表”要求的形式和数量准备投标文件正本、副本。每份投标文件须清楚地标明“正本”或“副本”。若正本和副本不符，以正本为准。</w:t>
      </w:r>
    </w:p>
    <w:p w14:paraId="0F0ED99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2</w:t>
      </w:r>
      <w:r>
        <w:rPr>
          <w:rFonts w:ascii="宋体" w:hAnsi="宋体" w:cs="仿宋_GB2312"/>
          <w:color w:val="auto"/>
          <w:sz w:val="24"/>
          <w:highlight w:val="none"/>
        </w:rPr>
        <w:t>.2</w:t>
      </w:r>
      <w:r>
        <w:rPr>
          <w:rFonts w:hint="eastAsia" w:ascii="宋体" w:hAnsi="宋体" w:cs="仿宋_GB2312"/>
          <w:color w:val="auto"/>
          <w:sz w:val="24"/>
          <w:highlight w:val="none"/>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color w:val="auto"/>
          <w:sz w:val="24"/>
          <w:highlight w:val="none"/>
        </w:rPr>
        <w:t>联合体投标时，投标</w:t>
      </w:r>
      <w:r>
        <w:rPr>
          <w:rFonts w:hint="eastAsia" w:ascii="宋体" w:hAnsi="宋体"/>
          <w:color w:val="auto"/>
          <w:sz w:val="24"/>
          <w:highlight w:val="none"/>
        </w:rPr>
        <w:t>书</w:t>
      </w:r>
      <w:r>
        <w:rPr>
          <w:rFonts w:ascii="宋体" w:hAnsi="宋体"/>
          <w:color w:val="auto"/>
          <w:sz w:val="24"/>
          <w:highlight w:val="none"/>
        </w:rPr>
        <w:t>、联合体协议需</w:t>
      </w:r>
      <w:r>
        <w:rPr>
          <w:rFonts w:hint="eastAsia" w:ascii="宋体" w:hAnsi="宋体"/>
          <w:color w:val="auto"/>
          <w:sz w:val="24"/>
          <w:highlight w:val="none"/>
        </w:rPr>
        <w:t>由</w:t>
      </w:r>
      <w:r>
        <w:rPr>
          <w:rFonts w:ascii="宋体" w:hAnsi="宋体"/>
          <w:color w:val="auto"/>
          <w:sz w:val="24"/>
          <w:highlight w:val="none"/>
        </w:rPr>
        <w:t>联合体各方</w:t>
      </w:r>
      <w:r>
        <w:rPr>
          <w:rFonts w:hint="eastAsia" w:ascii="宋体" w:hAnsi="宋体"/>
          <w:color w:val="auto"/>
          <w:sz w:val="24"/>
          <w:highlight w:val="none"/>
        </w:rPr>
        <w:t>签字、盖章</w:t>
      </w:r>
      <w:r>
        <w:rPr>
          <w:rFonts w:ascii="宋体" w:hAnsi="宋体"/>
          <w:color w:val="auto"/>
          <w:sz w:val="24"/>
          <w:highlight w:val="none"/>
        </w:rPr>
        <w:t>。</w:t>
      </w:r>
    </w:p>
    <w:p w14:paraId="47BDCFA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2</w:t>
      </w:r>
      <w:r>
        <w:rPr>
          <w:rFonts w:ascii="宋体" w:hAnsi="宋体" w:cs="仿宋_GB2312"/>
          <w:color w:val="auto"/>
          <w:sz w:val="24"/>
          <w:highlight w:val="none"/>
        </w:rPr>
        <w:t>.</w:t>
      </w:r>
      <w:r>
        <w:rPr>
          <w:rFonts w:hint="eastAsia" w:ascii="宋体" w:hAnsi="宋体" w:cs="仿宋_GB2312"/>
          <w:color w:val="auto"/>
          <w:sz w:val="24"/>
          <w:highlight w:val="none"/>
        </w:rPr>
        <w:t>3投标文件因字迹潦草或表达不清所引起的后果由投标人负责。</w:t>
      </w:r>
    </w:p>
    <w:p w14:paraId="57D3B9DB">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2</w:t>
      </w:r>
      <w:r>
        <w:rPr>
          <w:rFonts w:ascii="宋体" w:hAnsi="宋体" w:cs="仿宋_GB2312"/>
          <w:color w:val="auto"/>
          <w:sz w:val="24"/>
          <w:highlight w:val="none"/>
        </w:rPr>
        <w:t>.</w:t>
      </w:r>
      <w:r>
        <w:rPr>
          <w:rFonts w:hint="eastAsia" w:ascii="宋体" w:hAnsi="宋体" w:cs="仿宋_GB2312"/>
          <w:color w:val="auto"/>
          <w:sz w:val="24"/>
          <w:highlight w:val="none"/>
        </w:rPr>
        <w:t>4 除招标文件有特殊说明,投标文件的正本须为原件。</w:t>
      </w:r>
    </w:p>
    <w:p w14:paraId="708DDEAC">
      <w:pPr>
        <w:pStyle w:val="32"/>
        <w:adjustRightInd w:val="0"/>
        <w:snapToGrid w:val="0"/>
        <w:spacing w:before="0"/>
        <w:ind w:firstLine="482" w:firstLineChars="200"/>
        <w:rPr>
          <w:rFonts w:ascii="宋体" w:eastAsia="宋体" w:cs="Times New Roman"/>
          <w:color w:val="auto"/>
          <w:highlight w:val="none"/>
        </w:rPr>
      </w:pPr>
    </w:p>
    <w:p w14:paraId="0DA45DB4">
      <w:pPr>
        <w:adjustRightInd w:val="0"/>
        <w:snapToGrid w:val="0"/>
        <w:spacing w:line="360" w:lineRule="auto"/>
        <w:ind w:firstLine="482" w:firstLineChars="200"/>
        <w:rPr>
          <w:rFonts w:ascii="宋体" w:hAnsi="宋体"/>
          <w:b/>
          <w:color w:val="auto"/>
          <w:sz w:val="24"/>
          <w:highlight w:val="none"/>
        </w:rPr>
      </w:pPr>
      <w:bookmarkStart w:id="48" w:name="_Toc520356159"/>
      <w:bookmarkStart w:id="49" w:name="_Toc89569854"/>
      <w:r>
        <w:rPr>
          <w:rFonts w:hint="eastAsia" w:ascii="宋体" w:hAnsi="宋体"/>
          <w:b/>
          <w:color w:val="auto"/>
          <w:sz w:val="24"/>
          <w:highlight w:val="none"/>
        </w:rPr>
        <w:t>四 投标文件的递交</w:t>
      </w:r>
      <w:bookmarkEnd w:id="48"/>
      <w:bookmarkEnd w:id="49"/>
    </w:p>
    <w:p w14:paraId="75AB878C">
      <w:pPr>
        <w:adjustRightInd w:val="0"/>
        <w:snapToGrid w:val="0"/>
        <w:spacing w:line="360" w:lineRule="auto"/>
        <w:ind w:firstLine="482" w:firstLineChars="200"/>
        <w:rPr>
          <w:rFonts w:ascii="宋体" w:hAnsi="宋体"/>
          <w:b/>
          <w:color w:val="auto"/>
          <w:sz w:val="24"/>
          <w:highlight w:val="none"/>
        </w:rPr>
      </w:pPr>
      <w:bookmarkStart w:id="50" w:name="_Toc520356160"/>
      <w:bookmarkStart w:id="51" w:name="_Toc89569855"/>
      <w:r>
        <w:rPr>
          <w:rFonts w:ascii="宋体" w:hAnsi="宋体"/>
          <w:b/>
          <w:color w:val="auto"/>
          <w:sz w:val="24"/>
          <w:highlight w:val="none"/>
        </w:rPr>
        <w:t>1</w:t>
      </w:r>
      <w:r>
        <w:rPr>
          <w:rFonts w:hint="eastAsia" w:ascii="宋体" w:hAnsi="宋体"/>
          <w:b/>
          <w:color w:val="auto"/>
          <w:sz w:val="24"/>
          <w:highlight w:val="none"/>
        </w:rPr>
        <w:t>3</w:t>
      </w:r>
      <w:r>
        <w:rPr>
          <w:rFonts w:ascii="宋体" w:hAnsi="宋体"/>
          <w:b/>
          <w:color w:val="auto"/>
          <w:sz w:val="24"/>
          <w:highlight w:val="none"/>
        </w:rPr>
        <w:t xml:space="preserve">. </w:t>
      </w:r>
      <w:r>
        <w:rPr>
          <w:rFonts w:hint="eastAsia" w:ascii="宋体" w:hAnsi="宋体"/>
          <w:b/>
          <w:color w:val="auto"/>
          <w:sz w:val="24"/>
          <w:highlight w:val="none"/>
        </w:rPr>
        <w:t>投标文件的密封和标记</w:t>
      </w:r>
      <w:bookmarkEnd w:id="50"/>
      <w:bookmarkEnd w:id="51"/>
    </w:p>
    <w:p w14:paraId="507BF8CC">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3</w:t>
      </w:r>
      <w:r>
        <w:rPr>
          <w:rFonts w:ascii="宋体" w:hAnsi="宋体" w:cs="仿宋_GB2312"/>
          <w:color w:val="auto"/>
          <w:sz w:val="24"/>
          <w:highlight w:val="none"/>
        </w:rPr>
        <w:t>.1</w:t>
      </w:r>
      <w:r>
        <w:rPr>
          <w:rFonts w:hint="eastAsia" w:ascii="宋体" w:hAnsi="宋体" w:cs="仿宋_GB2312"/>
          <w:color w:val="auto"/>
          <w:sz w:val="24"/>
          <w:highlight w:val="none"/>
        </w:rPr>
        <w:t>投标时，投标人应将投标文件正本、副本、电子版分开密封装在单独的信封中，且在信封上标明“正本”、“副本”、“电子版”字样。并清楚的标明所投项目招标编号、包号及项目名称。</w:t>
      </w:r>
    </w:p>
    <w:p w14:paraId="3F049C8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3</w:t>
      </w:r>
      <w:r>
        <w:rPr>
          <w:rFonts w:ascii="宋体" w:hAnsi="宋体" w:cs="仿宋_GB2312"/>
          <w:color w:val="auto"/>
          <w:sz w:val="24"/>
          <w:highlight w:val="none"/>
        </w:rPr>
        <w:t>.2</w:t>
      </w:r>
      <w:r>
        <w:rPr>
          <w:rFonts w:hint="eastAsia" w:ascii="宋体" w:hAnsi="宋体" w:cs="仿宋_GB2312"/>
          <w:color w:val="auto"/>
          <w:sz w:val="24"/>
          <w:highlight w:val="none"/>
        </w:rPr>
        <w:t>为方便开标唱标，投标人应将“投标一览表”单独密封，并在信封上标明“投标一览表”字样，在投标时单独递交。“投标一览表”中报价应与投标分项报价表中对应价格相一致。</w:t>
      </w:r>
    </w:p>
    <w:p w14:paraId="2EF5A88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3</w:t>
      </w:r>
      <w:r>
        <w:rPr>
          <w:rFonts w:ascii="宋体" w:hAnsi="宋体" w:cs="仿宋_GB2312"/>
          <w:color w:val="auto"/>
          <w:sz w:val="24"/>
          <w:highlight w:val="none"/>
        </w:rPr>
        <w:t>.3</w:t>
      </w:r>
      <w:r>
        <w:rPr>
          <w:rFonts w:hint="eastAsia" w:ascii="宋体" w:hAnsi="宋体" w:cs="仿宋_GB2312"/>
          <w:color w:val="auto"/>
          <w:sz w:val="24"/>
          <w:highlight w:val="none"/>
        </w:rPr>
        <w:t>为方便核查投标保证金，投标人应将“投标保证金</w:t>
      </w:r>
      <w:r>
        <w:rPr>
          <w:rFonts w:ascii="宋体" w:hAnsi="宋体" w:cs="仿宋_GB2312"/>
          <w:color w:val="auto"/>
          <w:sz w:val="24"/>
          <w:highlight w:val="none"/>
        </w:rPr>
        <w:t>/</w:t>
      </w:r>
      <w:r>
        <w:rPr>
          <w:rFonts w:hint="eastAsia" w:ascii="宋体" w:hAnsi="宋体" w:cs="仿宋_GB2312"/>
          <w:color w:val="auto"/>
          <w:sz w:val="24"/>
          <w:highlight w:val="none"/>
        </w:rPr>
        <w:t>投标保函”以及投标保证金说明函单独密封，在投标时与“投标一览表”同时递交。</w:t>
      </w:r>
    </w:p>
    <w:p w14:paraId="214F39C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3</w:t>
      </w:r>
      <w:r>
        <w:rPr>
          <w:rFonts w:ascii="宋体" w:hAnsi="宋体" w:cs="仿宋_GB2312"/>
          <w:color w:val="auto"/>
          <w:sz w:val="24"/>
          <w:highlight w:val="none"/>
        </w:rPr>
        <w:t>.4</w:t>
      </w:r>
      <w:r>
        <w:rPr>
          <w:rFonts w:hint="eastAsia" w:ascii="宋体" w:hAnsi="宋体" w:cs="仿宋_GB2312"/>
          <w:color w:val="auto"/>
          <w:sz w:val="24"/>
          <w:highlight w:val="none"/>
        </w:rPr>
        <w:t>所有信封上均应：</w:t>
      </w:r>
    </w:p>
    <w:p w14:paraId="776969DA">
      <w:pPr>
        <w:pStyle w:val="21"/>
        <w:tabs>
          <w:tab w:val="left" w:pos="630"/>
          <w:tab w:val="left" w:pos="1365"/>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清楚标明递交至投标邀请书中指明的地址。</w:t>
      </w:r>
    </w:p>
    <w:p w14:paraId="220EBE1E">
      <w:pPr>
        <w:pStyle w:val="21"/>
        <w:tabs>
          <w:tab w:val="left" w:pos="1365"/>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注明招标的项目名称、招标编号、包号和“在</w:t>
      </w:r>
      <w:r>
        <w:rPr>
          <w:rFonts w:hint="eastAsia" w:hAnsi="宋体" w:cs="仿宋_GB2312"/>
          <w:color w:val="auto"/>
          <w:sz w:val="24"/>
          <w:szCs w:val="24"/>
          <w:highlight w:val="none"/>
          <w:u w:val="single"/>
        </w:rPr>
        <w:t>（详见投标邀请书中的开标日期、时间）</w:t>
      </w:r>
      <w:r>
        <w:rPr>
          <w:rFonts w:hint="eastAsia" w:hAnsi="宋体" w:cs="仿宋_GB2312"/>
          <w:color w:val="auto"/>
          <w:sz w:val="24"/>
          <w:szCs w:val="24"/>
          <w:highlight w:val="none"/>
        </w:rPr>
        <w:t>之前不得启封”的字样。</w:t>
      </w:r>
    </w:p>
    <w:p w14:paraId="2AA04A5C">
      <w:pPr>
        <w:pStyle w:val="16"/>
        <w:tabs>
          <w:tab w:val="clear" w:pos="567"/>
        </w:tabs>
        <w:adjustRightInd w:val="0"/>
        <w:snapToGrid w:val="0"/>
        <w:spacing w:before="0" w:line="360" w:lineRule="auto"/>
        <w:ind w:firstLine="480" w:firstLineChars="200"/>
        <w:rPr>
          <w:color w:val="auto"/>
          <w:highlight w:val="none"/>
        </w:rPr>
      </w:pPr>
      <w:r>
        <w:rPr>
          <w:rFonts w:cs="仿宋_GB2312"/>
          <w:color w:val="auto"/>
          <w:highlight w:val="none"/>
        </w:rPr>
        <w:t>1</w:t>
      </w:r>
      <w:r>
        <w:rPr>
          <w:rFonts w:hint="eastAsia" w:cs="仿宋_GB2312"/>
          <w:color w:val="auto"/>
          <w:highlight w:val="none"/>
        </w:rPr>
        <w:t>3</w:t>
      </w:r>
      <w:r>
        <w:rPr>
          <w:rFonts w:cs="仿宋_GB2312"/>
          <w:color w:val="auto"/>
          <w:highlight w:val="none"/>
        </w:rPr>
        <w:t>.5</w:t>
      </w:r>
      <w:r>
        <w:rPr>
          <w:rFonts w:hint="eastAsia" w:cs="仿宋_GB2312"/>
          <w:color w:val="auto"/>
          <w:highlight w:val="none"/>
        </w:rPr>
        <w:t>所有信封上还应写明投标人名称和地址，以便采购代理机构在投标截止时间以后收到的投标文件，能原封退回。</w:t>
      </w:r>
    </w:p>
    <w:p w14:paraId="62516D8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3</w:t>
      </w:r>
      <w:r>
        <w:rPr>
          <w:rFonts w:ascii="宋体" w:hAnsi="宋体" w:cs="仿宋_GB2312"/>
          <w:color w:val="auto"/>
          <w:sz w:val="24"/>
          <w:highlight w:val="none"/>
        </w:rPr>
        <w:t>.6</w:t>
      </w:r>
      <w:r>
        <w:rPr>
          <w:rFonts w:hint="eastAsia" w:ascii="宋体" w:hAnsi="宋体" w:cs="仿宋_GB2312"/>
          <w:color w:val="auto"/>
          <w:sz w:val="24"/>
          <w:highlight w:val="none"/>
        </w:rPr>
        <w:t>如果投标人未按上述要求密封及加写标记，采购代理机构对投标文件的误投或过早启封概不负责。</w:t>
      </w:r>
    </w:p>
    <w:p w14:paraId="68E2F601">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13.7 所有投标文件应以胶装方式进行装订，编制目录，并有逐页页码。</w:t>
      </w:r>
    </w:p>
    <w:p w14:paraId="66048623">
      <w:pPr>
        <w:adjustRightInd w:val="0"/>
        <w:snapToGrid w:val="0"/>
        <w:spacing w:line="360" w:lineRule="auto"/>
        <w:ind w:firstLine="482" w:firstLineChars="200"/>
        <w:rPr>
          <w:rFonts w:ascii="宋体" w:hAnsi="宋体"/>
          <w:b/>
          <w:color w:val="auto"/>
          <w:sz w:val="24"/>
          <w:highlight w:val="none"/>
        </w:rPr>
      </w:pPr>
      <w:bookmarkStart w:id="52" w:name="_Toc89569856"/>
      <w:bookmarkStart w:id="53" w:name="_Toc520356161"/>
      <w:r>
        <w:rPr>
          <w:rFonts w:ascii="宋体" w:hAnsi="宋体"/>
          <w:b/>
          <w:color w:val="auto"/>
          <w:sz w:val="24"/>
          <w:highlight w:val="none"/>
        </w:rPr>
        <w:t>1</w:t>
      </w:r>
      <w:r>
        <w:rPr>
          <w:rFonts w:hint="eastAsia" w:ascii="宋体" w:hAnsi="宋体"/>
          <w:b/>
          <w:color w:val="auto"/>
          <w:sz w:val="24"/>
          <w:highlight w:val="none"/>
        </w:rPr>
        <w:t>4</w:t>
      </w:r>
      <w:r>
        <w:rPr>
          <w:rFonts w:ascii="宋体" w:hAnsi="宋体"/>
          <w:b/>
          <w:color w:val="auto"/>
          <w:sz w:val="24"/>
          <w:highlight w:val="none"/>
        </w:rPr>
        <w:t xml:space="preserve">. </w:t>
      </w:r>
      <w:r>
        <w:rPr>
          <w:rFonts w:hint="eastAsia" w:ascii="宋体" w:hAnsi="宋体"/>
          <w:b/>
          <w:color w:val="auto"/>
          <w:sz w:val="24"/>
          <w:highlight w:val="none"/>
        </w:rPr>
        <w:t>投标截止期</w:t>
      </w:r>
      <w:bookmarkEnd w:id="52"/>
      <w:bookmarkEnd w:id="53"/>
    </w:p>
    <w:p w14:paraId="569ADDA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4</w:t>
      </w:r>
      <w:r>
        <w:rPr>
          <w:rFonts w:ascii="宋体" w:hAnsi="宋体" w:cs="仿宋_GB2312"/>
          <w:color w:val="auto"/>
          <w:sz w:val="24"/>
          <w:highlight w:val="none"/>
        </w:rPr>
        <w:t>.1</w:t>
      </w:r>
      <w:r>
        <w:rPr>
          <w:rFonts w:hint="eastAsia" w:ascii="宋体" w:hAnsi="宋体" w:cs="仿宋_GB2312"/>
          <w:color w:val="auto"/>
          <w:sz w:val="24"/>
          <w:highlight w:val="none"/>
        </w:rPr>
        <w:t>投标人应在投标邀请书中规定的截止时间前，将投标文件按投标邀请书中规定的地址递交采购代理机构。</w:t>
      </w:r>
    </w:p>
    <w:p w14:paraId="0E355F6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4</w:t>
      </w:r>
      <w:r>
        <w:rPr>
          <w:rFonts w:ascii="宋体" w:hAnsi="宋体" w:cs="仿宋_GB2312"/>
          <w:color w:val="auto"/>
          <w:sz w:val="24"/>
          <w:highlight w:val="none"/>
        </w:rPr>
        <w:t>.2</w:t>
      </w:r>
      <w:r>
        <w:rPr>
          <w:rFonts w:hint="eastAsia" w:ascii="宋体" w:hAnsi="宋体" w:cs="仿宋_GB2312"/>
          <w:color w:val="auto"/>
          <w:sz w:val="24"/>
          <w:highlight w:val="none"/>
        </w:rPr>
        <w:t>采购代理机构有权按本须知的规定，通过修改招标文件延长投标截止期。在此情况下，采购代理机构和投标人受投标截止期制约的所有权利和义务均应延长至新的截止期。</w:t>
      </w:r>
    </w:p>
    <w:p w14:paraId="309AAEB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4</w:t>
      </w:r>
      <w:r>
        <w:rPr>
          <w:rFonts w:ascii="宋体" w:hAnsi="宋体" w:cs="仿宋_GB2312"/>
          <w:color w:val="auto"/>
          <w:sz w:val="24"/>
          <w:highlight w:val="none"/>
        </w:rPr>
        <w:t>.3</w:t>
      </w:r>
      <w:r>
        <w:rPr>
          <w:rFonts w:hint="eastAsia" w:ascii="宋体" w:hAnsi="宋体" w:cs="仿宋_GB2312"/>
          <w:color w:val="auto"/>
          <w:sz w:val="24"/>
          <w:highlight w:val="none"/>
        </w:rPr>
        <w:t>采购代理机构将拒绝并原封退回在本须知规定的投标截止期后收到的任何投标文件。</w:t>
      </w:r>
    </w:p>
    <w:p w14:paraId="392C8AD4">
      <w:pPr>
        <w:adjustRightInd w:val="0"/>
        <w:snapToGrid w:val="0"/>
        <w:spacing w:line="360" w:lineRule="auto"/>
        <w:ind w:firstLine="482" w:firstLineChars="200"/>
        <w:rPr>
          <w:rFonts w:ascii="宋体" w:hAnsi="宋体"/>
          <w:b/>
          <w:color w:val="auto"/>
          <w:sz w:val="24"/>
          <w:highlight w:val="none"/>
        </w:rPr>
      </w:pPr>
      <w:bookmarkStart w:id="54" w:name="_Toc520356162"/>
      <w:bookmarkStart w:id="55" w:name="_Toc89569857"/>
      <w:r>
        <w:rPr>
          <w:rFonts w:ascii="宋体" w:hAnsi="宋体"/>
          <w:b/>
          <w:color w:val="auto"/>
          <w:sz w:val="24"/>
          <w:highlight w:val="none"/>
        </w:rPr>
        <w:t>1</w:t>
      </w:r>
      <w:r>
        <w:rPr>
          <w:rFonts w:hint="eastAsia" w:ascii="宋体" w:hAnsi="宋体"/>
          <w:b/>
          <w:color w:val="auto"/>
          <w:sz w:val="24"/>
          <w:highlight w:val="none"/>
        </w:rPr>
        <w:t>5</w:t>
      </w:r>
      <w:r>
        <w:rPr>
          <w:rFonts w:ascii="宋体" w:hAnsi="宋体"/>
          <w:b/>
          <w:color w:val="auto"/>
          <w:sz w:val="24"/>
          <w:highlight w:val="none"/>
        </w:rPr>
        <w:t xml:space="preserve">. </w:t>
      </w:r>
      <w:r>
        <w:rPr>
          <w:rFonts w:hint="eastAsia" w:ascii="宋体" w:hAnsi="宋体"/>
          <w:b/>
          <w:color w:val="auto"/>
          <w:sz w:val="24"/>
          <w:highlight w:val="none"/>
        </w:rPr>
        <w:t>投标文件的修改与撤回</w:t>
      </w:r>
      <w:bookmarkEnd w:id="54"/>
      <w:bookmarkEnd w:id="55"/>
    </w:p>
    <w:p w14:paraId="7CD6A84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5</w:t>
      </w:r>
      <w:r>
        <w:rPr>
          <w:rFonts w:ascii="宋体" w:hAnsi="宋体" w:cs="仿宋_GB2312"/>
          <w:color w:val="auto"/>
          <w:sz w:val="24"/>
          <w:highlight w:val="none"/>
        </w:rPr>
        <w:t>.1</w:t>
      </w:r>
      <w:r>
        <w:rPr>
          <w:rFonts w:hint="eastAsia" w:ascii="宋体" w:hAnsi="宋体" w:cs="仿宋_GB2312"/>
          <w:color w:val="auto"/>
          <w:sz w:val="24"/>
          <w:highlight w:val="none"/>
        </w:rPr>
        <w:t>投标以后，如果投标人提出书面修改或撤标要求，在投标截止时间前送达采购代理机构者，采购代理机构将予以接受。</w:t>
      </w:r>
    </w:p>
    <w:p w14:paraId="52028DA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5</w:t>
      </w:r>
      <w:r>
        <w:rPr>
          <w:rFonts w:ascii="宋体" w:hAnsi="宋体" w:cs="仿宋_GB2312"/>
          <w:color w:val="auto"/>
          <w:sz w:val="24"/>
          <w:highlight w:val="none"/>
        </w:rPr>
        <w:t>.2</w:t>
      </w:r>
      <w:r>
        <w:rPr>
          <w:rFonts w:hint="eastAsia" w:ascii="宋体" w:hAnsi="宋体" w:cs="仿宋_GB2312"/>
          <w:color w:val="auto"/>
          <w:sz w:val="24"/>
          <w:highlight w:val="none"/>
        </w:rPr>
        <w:t>投标人对投标文件的修改或撤回通知应按本须知第</w:t>
      </w:r>
      <w:r>
        <w:rPr>
          <w:rFonts w:ascii="宋体" w:hAnsi="宋体" w:cs="仿宋_GB2312"/>
          <w:color w:val="auto"/>
          <w:sz w:val="24"/>
          <w:highlight w:val="none"/>
        </w:rPr>
        <w:t>14</w:t>
      </w:r>
      <w:r>
        <w:rPr>
          <w:rFonts w:hint="eastAsia" w:ascii="宋体" w:hAnsi="宋体" w:cs="仿宋_GB2312"/>
          <w:color w:val="auto"/>
          <w:sz w:val="24"/>
          <w:highlight w:val="none"/>
        </w:rPr>
        <w:t>条规定进行编制、密封、标记和递交。</w:t>
      </w:r>
    </w:p>
    <w:p w14:paraId="4700FBD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5</w:t>
      </w:r>
      <w:r>
        <w:rPr>
          <w:rFonts w:ascii="宋体" w:hAnsi="宋体" w:cs="仿宋_GB2312"/>
          <w:color w:val="auto"/>
          <w:sz w:val="24"/>
          <w:highlight w:val="none"/>
        </w:rPr>
        <w:t>.3</w:t>
      </w:r>
      <w:r>
        <w:rPr>
          <w:rFonts w:hint="eastAsia" w:ascii="宋体" w:hAnsi="宋体" w:cs="仿宋_GB2312"/>
          <w:color w:val="auto"/>
          <w:sz w:val="24"/>
          <w:highlight w:val="none"/>
        </w:rPr>
        <w:t>在投标截止期之后，投标人不得对其投标做任何修改。</w:t>
      </w:r>
    </w:p>
    <w:p w14:paraId="0BCA151D">
      <w:pPr>
        <w:adjustRightInd w:val="0"/>
        <w:snapToGrid w:val="0"/>
        <w:spacing w:line="360" w:lineRule="auto"/>
        <w:ind w:firstLine="480" w:firstLineChars="200"/>
        <w:rPr>
          <w:rFonts w:ascii="宋体" w:hAnsi="宋体"/>
          <w:color w:val="auto"/>
          <w:sz w:val="24"/>
          <w:highlight w:val="none"/>
          <w:shd w:val="pct10" w:color="auto" w:fill="FFFFFF"/>
        </w:rPr>
      </w:pPr>
      <w:r>
        <w:rPr>
          <w:rFonts w:ascii="宋体" w:hAnsi="宋体" w:cs="仿宋_GB2312"/>
          <w:color w:val="auto"/>
          <w:sz w:val="24"/>
          <w:highlight w:val="none"/>
        </w:rPr>
        <w:t>1</w:t>
      </w:r>
      <w:r>
        <w:rPr>
          <w:rFonts w:hint="eastAsia" w:ascii="宋体" w:hAnsi="宋体" w:cs="仿宋_GB2312"/>
          <w:color w:val="auto"/>
          <w:sz w:val="24"/>
          <w:highlight w:val="none"/>
        </w:rPr>
        <w:t>5</w:t>
      </w:r>
      <w:r>
        <w:rPr>
          <w:rFonts w:ascii="宋体" w:hAnsi="宋体" w:cs="仿宋_GB2312"/>
          <w:color w:val="auto"/>
          <w:sz w:val="24"/>
          <w:highlight w:val="none"/>
        </w:rPr>
        <w:t>.4</w:t>
      </w:r>
      <w:r>
        <w:rPr>
          <w:rFonts w:hint="eastAsia" w:ascii="宋体" w:hAnsi="宋体" w:cs="仿宋_GB2312"/>
          <w:color w:val="auto"/>
          <w:sz w:val="24"/>
          <w:highlight w:val="none"/>
        </w:rPr>
        <w:t>从投标截止期至投标人在投标书格式中确定的投标有效期之间，投标人不得撤回其投标，否则其投标保证金将按照本须知的第</w:t>
      </w:r>
      <w:r>
        <w:rPr>
          <w:rFonts w:ascii="宋体" w:hAnsi="宋体" w:cs="仿宋_GB2312"/>
          <w:color w:val="auto"/>
          <w:sz w:val="24"/>
          <w:highlight w:val="none"/>
        </w:rPr>
        <w:t xml:space="preserve">11 </w:t>
      </w:r>
      <w:r>
        <w:rPr>
          <w:rFonts w:hint="eastAsia" w:ascii="宋体" w:hAnsi="宋体" w:cs="仿宋_GB2312"/>
          <w:color w:val="auto"/>
          <w:sz w:val="24"/>
          <w:highlight w:val="none"/>
        </w:rPr>
        <w:t>条规定不予退回。</w:t>
      </w:r>
    </w:p>
    <w:p w14:paraId="6298C13D">
      <w:pPr>
        <w:adjustRightInd w:val="0"/>
        <w:snapToGrid w:val="0"/>
        <w:spacing w:line="360" w:lineRule="auto"/>
        <w:ind w:firstLine="480" w:firstLineChars="200"/>
        <w:rPr>
          <w:rFonts w:ascii="宋体" w:hAnsi="宋体"/>
          <w:color w:val="auto"/>
          <w:sz w:val="24"/>
          <w:highlight w:val="none"/>
        </w:rPr>
      </w:pPr>
    </w:p>
    <w:p w14:paraId="193A3AD9">
      <w:pPr>
        <w:adjustRightInd w:val="0"/>
        <w:snapToGrid w:val="0"/>
        <w:spacing w:line="360" w:lineRule="auto"/>
        <w:ind w:firstLine="482" w:firstLineChars="200"/>
        <w:rPr>
          <w:rFonts w:ascii="宋体" w:hAnsi="宋体"/>
          <w:b/>
          <w:color w:val="auto"/>
          <w:sz w:val="24"/>
          <w:highlight w:val="none"/>
        </w:rPr>
      </w:pPr>
      <w:bookmarkStart w:id="56" w:name="_Toc89569858"/>
      <w:bookmarkStart w:id="57" w:name="_Toc520356163"/>
      <w:r>
        <w:rPr>
          <w:rFonts w:hint="eastAsia" w:ascii="宋体" w:hAnsi="宋体"/>
          <w:b/>
          <w:color w:val="auto"/>
          <w:sz w:val="24"/>
          <w:highlight w:val="none"/>
        </w:rPr>
        <w:t>五 开标及评标</w:t>
      </w:r>
      <w:bookmarkEnd w:id="56"/>
      <w:bookmarkEnd w:id="57"/>
    </w:p>
    <w:p w14:paraId="69F049B5">
      <w:pPr>
        <w:adjustRightInd w:val="0"/>
        <w:snapToGrid w:val="0"/>
        <w:spacing w:line="360" w:lineRule="auto"/>
        <w:ind w:firstLine="482" w:firstLineChars="200"/>
        <w:rPr>
          <w:rFonts w:ascii="宋体" w:hAnsi="宋体"/>
          <w:b/>
          <w:color w:val="auto"/>
          <w:sz w:val="24"/>
          <w:highlight w:val="none"/>
        </w:rPr>
      </w:pPr>
      <w:bookmarkStart w:id="58" w:name="_Toc89569859"/>
      <w:bookmarkStart w:id="59" w:name="_Toc520356164"/>
      <w:r>
        <w:rPr>
          <w:rFonts w:ascii="宋体" w:hAnsi="宋体"/>
          <w:b/>
          <w:color w:val="auto"/>
          <w:sz w:val="24"/>
          <w:highlight w:val="none"/>
        </w:rPr>
        <w:t>1</w:t>
      </w:r>
      <w:r>
        <w:rPr>
          <w:rFonts w:hint="eastAsia" w:ascii="宋体" w:hAnsi="宋体"/>
          <w:b/>
          <w:color w:val="auto"/>
          <w:sz w:val="24"/>
          <w:highlight w:val="none"/>
        </w:rPr>
        <w:t>6</w:t>
      </w:r>
      <w:r>
        <w:rPr>
          <w:rFonts w:ascii="宋体" w:hAnsi="宋体"/>
          <w:b/>
          <w:color w:val="auto"/>
          <w:sz w:val="24"/>
          <w:highlight w:val="none"/>
        </w:rPr>
        <w:t xml:space="preserve">. </w:t>
      </w:r>
      <w:r>
        <w:rPr>
          <w:rFonts w:hint="eastAsia" w:ascii="宋体" w:hAnsi="宋体"/>
          <w:b/>
          <w:color w:val="auto"/>
          <w:sz w:val="24"/>
          <w:highlight w:val="none"/>
        </w:rPr>
        <w:t>开标</w:t>
      </w:r>
      <w:bookmarkEnd w:id="58"/>
      <w:bookmarkEnd w:id="59"/>
    </w:p>
    <w:p w14:paraId="42488B6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6</w:t>
      </w:r>
      <w:r>
        <w:rPr>
          <w:rFonts w:ascii="宋体" w:hAnsi="宋体" w:cs="仿宋_GB2312"/>
          <w:color w:val="auto"/>
          <w:sz w:val="24"/>
          <w:highlight w:val="none"/>
        </w:rPr>
        <w:t>.1</w:t>
      </w:r>
      <w:r>
        <w:rPr>
          <w:rFonts w:hint="eastAsia" w:ascii="宋体" w:hAnsi="宋体" w:cs="仿宋_GB2312"/>
          <w:color w:val="auto"/>
          <w:sz w:val="24"/>
          <w:highlight w:val="none"/>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color w:val="auto"/>
          <w:kern w:val="0"/>
          <w:sz w:val="24"/>
          <w:highlight w:val="none"/>
        </w:rPr>
        <w:t>投标人未参加开标的，视同认可开标结果。</w:t>
      </w:r>
    </w:p>
    <w:p w14:paraId="7418E8C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6</w:t>
      </w:r>
      <w:r>
        <w:rPr>
          <w:rFonts w:ascii="宋体" w:hAnsi="宋体" w:cs="仿宋_GB2312"/>
          <w:color w:val="auto"/>
          <w:sz w:val="24"/>
          <w:highlight w:val="none"/>
        </w:rPr>
        <w:t>.2</w:t>
      </w:r>
      <w:r>
        <w:rPr>
          <w:rFonts w:hint="eastAsia" w:ascii="宋体" w:hAnsi="宋体" w:cs="仿宋_GB2312"/>
          <w:color w:val="auto"/>
          <w:sz w:val="24"/>
          <w:highlight w:val="none"/>
        </w:rPr>
        <w:t>开标时，由投标人代表或公证人检查投标文件的密封情况。</w:t>
      </w:r>
    </w:p>
    <w:p w14:paraId="7AA6E58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6</w:t>
      </w:r>
      <w:r>
        <w:rPr>
          <w:rFonts w:ascii="宋体" w:hAnsi="宋体" w:cs="仿宋_GB2312"/>
          <w:color w:val="auto"/>
          <w:sz w:val="24"/>
          <w:highlight w:val="none"/>
        </w:rPr>
        <w:t>.3</w:t>
      </w:r>
      <w:r>
        <w:rPr>
          <w:rFonts w:hint="eastAsia" w:ascii="宋体" w:hAnsi="宋体" w:cs="仿宋_GB2312"/>
          <w:color w:val="auto"/>
          <w:sz w:val="24"/>
          <w:highlight w:val="none"/>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6FC0073D">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6</w:t>
      </w:r>
      <w:r>
        <w:rPr>
          <w:rFonts w:ascii="宋体" w:hAnsi="宋体" w:cs="仿宋_GB2312"/>
          <w:color w:val="auto"/>
          <w:sz w:val="24"/>
          <w:highlight w:val="none"/>
        </w:rPr>
        <w:t>.4</w:t>
      </w:r>
      <w:r>
        <w:rPr>
          <w:rFonts w:hint="eastAsia" w:ascii="宋体" w:hAnsi="宋体" w:cs="仿宋_GB2312"/>
          <w:color w:val="auto"/>
          <w:sz w:val="24"/>
          <w:highlight w:val="none"/>
        </w:rPr>
        <w:t>未宣读的投标价格评标时一律不予承认。</w:t>
      </w:r>
    </w:p>
    <w:p w14:paraId="34E2ACF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6</w:t>
      </w:r>
      <w:r>
        <w:rPr>
          <w:rFonts w:ascii="宋体" w:hAnsi="宋体" w:cs="仿宋_GB2312"/>
          <w:color w:val="auto"/>
          <w:sz w:val="24"/>
          <w:highlight w:val="none"/>
        </w:rPr>
        <w:t>.5</w:t>
      </w:r>
      <w:r>
        <w:rPr>
          <w:rFonts w:hint="eastAsia" w:ascii="宋体" w:hAnsi="宋体" w:cs="仿宋_GB2312"/>
          <w:color w:val="auto"/>
          <w:sz w:val="24"/>
          <w:highlight w:val="none"/>
        </w:rPr>
        <w:t>采购代理机构将对唱标内容做开标记录</w:t>
      </w:r>
      <w:bookmarkStart w:id="60" w:name="_Toc520356165"/>
      <w:r>
        <w:rPr>
          <w:rFonts w:hint="eastAsia" w:ascii="宋体" w:hAnsi="宋体" w:cs="仿宋_GB2312"/>
          <w:color w:val="auto"/>
          <w:sz w:val="24"/>
          <w:highlight w:val="none"/>
        </w:rPr>
        <w:t>，由投标人代表签字确认。</w:t>
      </w:r>
    </w:p>
    <w:p w14:paraId="771258AB">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16.6</w:t>
      </w:r>
      <w:r>
        <w:rPr>
          <w:rFonts w:ascii="宋体" w:hAnsi="宋体" w:cs="宋体"/>
          <w:color w:val="auto"/>
          <w:kern w:val="0"/>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color w:val="auto"/>
          <w:kern w:val="0"/>
          <w:sz w:val="24"/>
          <w:highlight w:val="none"/>
        </w:rPr>
        <w:t>将</w:t>
      </w:r>
      <w:r>
        <w:rPr>
          <w:rFonts w:ascii="宋体" w:hAnsi="宋体" w:cs="宋体"/>
          <w:color w:val="auto"/>
          <w:kern w:val="0"/>
          <w:sz w:val="24"/>
          <w:highlight w:val="none"/>
        </w:rPr>
        <w:t>及时处理。</w:t>
      </w:r>
    </w:p>
    <w:p w14:paraId="15E08944">
      <w:pPr>
        <w:adjustRightInd w:val="0"/>
        <w:snapToGrid w:val="0"/>
        <w:spacing w:line="360" w:lineRule="auto"/>
        <w:ind w:firstLine="482" w:firstLineChars="200"/>
        <w:rPr>
          <w:rFonts w:ascii="宋体" w:hAnsi="宋体"/>
          <w:b/>
          <w:color w:val="auto"/>
          <w:sz w:val="24"/>
          <w:highlight w:val="none"/>
        </w:rPr>
      </w:pPr>
      <w:bookmarkStart w:id="61" w:name="_Toc89569860"/>
      <w:r>
        <w:rPr>
          <w:rFonts w:ascii="宋体" w:hAnsi="宋体"/>
          <w:b/>
          <w:color w:val="auto"/>
          <w:sz w:val="24"/>
          <w:highlight w:val="none"/>
        </w:rPr>
        <w:t>1</w:t>
      </w:r>
      <w:r>
        <w:rPr>
          <w:rFonts w:hint="eastAsia" w:ascii="宋体" w:hAnsi="宋体"/>
          <w:b/>
          <w:color w:val="auto"/>
          <w:sz w:val="24"/>
          <w:highlight w:val="none"/>
        </w:rPr>
        <w:t>7</w:t>
      </w:r>
      <w:r>
        <w:rPr>
          <w:rFonts w:ascii="宋体" w:hAnsi="宋体"/>
          <w:b/>
          <w:color w:val="auto"/>
          <w:sz w:val="24"/>
          <w:highlight w:val="none"/>
        </w:rPr>
        <w:t>.</w:t>
      </w:r>
      <w:bookmarkEnd w:id="60"/>
      <w:r>
        <w:rPr>
          <w:rFonts w:hint="eastAsia" w:ascii="宋体" w:hAnsi="宋体"/>
          <w:b/>
          <w:color w:val="auto"/>
          <w:sz w:val="24"/>
          <w:highlight w:val="none"/>
        </w:rPr>
        <w:t xml:space="preserve"> 组建评标委员会</w:t>
      </w:r>
      <w:bookmarkEnd w:id="61"/>
    </w:p>
    <w:p w14:paraId="61FEB3F7">
      <w:pPr>
        <w:pStyle w:val="4"/>
        <w:snapToGrid w:val="0"/>
        <w:spacing w:line="360" w:lineRule="auto"/>
        <w:ind w:firstLine="480" w:firstLineChars="200"/>
        <w:jc w:val="both"/>
        <w:rPr>
          <w:rFonts w:hAnsi="宋体"/>
          <w:color w:val="auto"/>
          <w:szCs w:val="24"/>
          <w:highlight w:val="none"/>
        </w:rPr>
      </w:pPr>
      <w:r>
        <w:rPr>
          <w:rFonts w:hAnsi="宋体" w:cs="仿宋_GB2312"/>
          <w:color w:val="auto"/>
          <w:szCs w:val="24"/>
          <w:highlight w:val="none"/>
        </w:rPr>
        <w:t>1</w:t>
      </w:r>
      <w:r>
        <w:rPr>
          <w:rFonts w:hint="eastAsia" w:hAnsi="宋体" w:cs="仿宋_GB2312"/>
          <w:color w:val="auto"/>
          <w:szCs w:val="24"/>
          <w:highlight w:val="none"/>
        </w:rPr>
        <w:t>7</w:t>
      </w:r>
      <w:r>
        <w:rPr>
          <w:rFonts w:hAnsi="宋体" w:cs="仿宋_GB2312"/>
          <w:color w:val="auto"/>
          <w:szCs w:val="24"/>
          <w:highlight w:val="none"/>
        </w:rPr>
        <w:t>.1</w:t>
      </w:r>
      <w:r>
        <w:rPr>
          <w:rFonts w:hint="eastAsia" w:hAnsi="宋体" w:cs="仿宋_GB2312"/>
          <w:color w:val="auto"/>
          <w:szCs w:val="24"/>
          <w:highlight w:val="none"/>
        </w:rPr>
        <w:t>评标委员会根据招标采购内容的特点及政府采购相关规定进行组建，并负责评标工作。</w:t>
      </w:r>
    </w:p>
    <w:p w14:paraId="034B08C4">
      <w:pPr>
        <w:adjustRightInd w:val="0"/>
        <w:snapToGrid w:val="0"/>
        <w:spacing w:line="360" w:lineRule="auto"/>
        <w:ind w:firstLine="482" w:firstLineChars="200"/>
        <w:rPr>
          <w:rFonts w:ascii="宋体" w:hAnsi="宋体"/>
          <w:b/>
          <w:color w:val="auto"/>
          <w:sz w:val="24"/>
          <w:highlight w:val="none"/>
        </w:rPr>
      </w:pPr>
      <w:bookmarkStart w:id="62" w:name="_Toc89569861"/>
      <w:bookmarkStart w:id="63" w:name="_Toc520356166"/>
      <w:r>
        <w:rPr>
          <w:rFonts w:ascii="宋体" w:hAnsi="宋体"/>
          <w:b/>
          <w:color w:val="auto"/>
          <w:sz w:val="24"/>
          <w:highlight w:val="none"/>
        </w:rPr>
        <w:t>1</w:t>
      </w:r>
      <w:r>
        <w:rPr>
          <w:rFonts w:hint="eastAsia" w:ascii="宋体" w:hAnsi="宋体"/>
          <w:b/>
          <w:color w:val="auto"/>
          <w:sz w:val="24"/>
          <w:highlight w:val="none"/>
        </w:rPr>
        <w:t>8</w:t>
      </w:r>
      <w:r>
        <w:rPr>
          <w:rFonts w:ascii="宋体" w:hAnsi="宋体"/>
          <w:b/>
          <w:color w:val="auto"/>
          <w:sz w:val="24"/>
          <w:highlight w:val="none"/>
        </w:rPr>
        <w:t xml:space="preserve">. </w:t>
      </w:r>
      <w:r>
        <w:rPr>
          <w:rFonts w:hint="eastAsia" w:ascii="宋体" w:hAnsi="宋体"/>
          <w:b/>
          <w:color w:val="auto"/>
          <w:sz w:val="24"/>
          <w:highlight w:val="none"/>
        </w:rPr>
        <w:t>投标文件的</w:t>
      </w:r>
      <w:bookmarkEnd w:id="62"/>
      <w:bookmarkEnd w:id="63"/>
      <w:r>
        <w:rPr>
          <w:rFonts w:hint="eastAsia" w:ascii="宋体" w:hAnsi="宋体"/>
          <w:b/>
          <w:color w:val="auto"/>
          <w:sz w:val="24"/>
          <w:highlight w:val="none"/>
        </w:rPr>
        <w:t>初审</w:t>
      </w:r>
    </w:p>
    <w:p w14:paraId="709BE83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8</w:t>
      </w:r>
      <w:r>
        <w:rPr>
          <w:rFonts w:ascii="宋体" w:hAnsi="宋体" w:cs="仿宋_GB2312"/>
          <w:color w:val="auto"/>
          <w:sz w:val="24"/>
          <w:highlight w:val="none"/>
        </w:rPr>
        <w:t>.1</w:t>
      </w:r>
      <w:r>
        <w:rPr>
          <w:rFonts w:hint="eastAsia" w:ascii="宋体" w:hAnsi="宋体" w:cs="仿宋_GB2312"/>
          <w:color w:val="auto"/>
          <w:sz w:val="24"/>
          <w:highlight w:val="none"/>
        </w:rPr>
        <w:t>投标文件的初审分为资格性检查和符合性检查。</w:t>
      </w:r>
    </w:p>
    <w:p w14:paraId="282996B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资格性检查：开标结束后，采购人或采购代理机构依据法律法规和招标文件的规定，对投标文件中的资格证明文件等进行审查，以确定投标人是否具备投标资格。</w:t>
      </w:r>
    </w:p>
    <w:p w14:paraId="5E872B77">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pacing w:val="-2"/>
          <w:sz w:val="24"/>
          <w:highlight w:val="none"/>
        </w:rPr>
        <w:t>符合性检查：评标委员会依据招标文件的规定，从投标文件的有效性、完整性和对招标文件的响应程度进行审查，以确定其是否满足招标文件的实质性要求。</w:t>
      </w:r>
    </w:p>
    <w:p w14:paraId="029B574A">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8</w:t>
      </w:r>
      <w:r>
        <w:rPr>
          <w:rFonts w:ascii="宋体" w:hAnsi="宋体" w:cs="仿宋_GB2312"/>
          <w:color w:val="auto"/>
          <w:sz w:val="24"/>
          <w:highlight w:val="none"/>
        </w:rPr>
        <w:t>.</w:t>
      </w:r>
      <w:r>
        <w:rPr>
          <w:rFonts w:hint="eastAsia" w:ascii="宋体" w:hAnsi="宋体" w:cs="仿宋_GB2312"/>
          <w:color w:val="auto"/>
          <w:sz w:val="24"/>
          <w:highlight w:val="none"/>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1C706A4E">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）投标人未提交投标保证金或形式不符或金额不足的；</w:t>
      </w:r>
    </w:p>
    <w:p w14:paraId="1FAB0390">
      <w:pPr>
        <w:adjustRightInd w:val="0"/>
        <w:snapToGrid w:val="0"/>
        <w:spacing w:line="360" w:lineRule="auto"/>
        <w:ind w:firstLine="480" w:firstLineChars="200"/>
        <w:rPr>
          <w:rFonts w:ascii="宋体" w:hAnsi="宋体" w:cs="仿宋_GB2312"/>
          <w:b/>
          <w:bCs/>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）投标有效期不足的；</w:t>
      </w:r>
    </w:p>
    <w:p w14:paraId="7EB471E4">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）未按照招标文件规定要求密封、签署、盖章的；</w:t>
      </w:r>
    </w:p>
    <w:p w14:paraId="6B823C13">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4</w:t>
      </w:r>
      <w:r>
        <w:rPr>
          <w:rFonts w:hint="eastAsia" w:ascii="宋体" w:hAnsi="宋体" w:cs="仿宋_GB2312"/>
          <w:color w:val="auto"/>
          <w:sz w:val="24"/>
          <w:highlight w:val="none"/>
        </w:rPr>
        <w:t>）未提供法定代表人授权书的；</w:t>
      </w:r>
    </w:p>
    <w:p w14:paraId="7E4795AA">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5</w:t>
      </w:r>
      <w:r>
        <w:rPr>
          <w:rFonts w:hint="eastAsia" w:ascii="宋体" w:hAnsi="宋体" w:cs="仿宋_GB2312"/>
          <w:color w:val="auto"/>
          <w:sz w:val="24"/>
          <w:highlight w:val="none"/>
        </w:rPr>
        <w:t>）</w:t>
      </w:r>
      <w:r>
        <w:rPr>
          <w:rFonts w:hint="eastAsia" w:ascii="宋体" w:hAnsi="宋体" w:cs="仿宋_GB2312"/>
          <w:bCs/>
          <w:color w:val="auto"/>
          <w:sz w:val="24"/>
          <w:highlight w:val="none"/>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color w:val="auto"/>
          <w:sz w:val="24"/>
          <w:highlight w:val="none"/>
        </w:rPr>
        <w:t>；</w:t>
      </w:r>
    </w:p>
    <w:p w14:paraId="1B45A933">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（6）投标文件中提供虚假或失实资料的；</w:t>
      </w:r>
    </w:p>
    <w:p w14:paraId="5A78C88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（7）投标报价超过采购预算的；</w:t>
      </w:r>
    </w:p>
    <w:p w14:paraId="66B24D1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w:t>
      </w:r>
      <w:r>
        <w:rPr>
          <w:rFonts w:hint="eastAsia" w:ascii="宋体" w:hAnsi="宋体"/>
          <w:color w:val="auto"/>
          <w:sz w:val="24"/>
          <w:highlight w:val="none"/>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614562D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（9）</w:t>
      </w:r>
      <w:r>
        <w:rPr>
          <w:rFonts w:hint="eastAsia" w:ascii="宋体" w:hAnsi="宋体" w:cs="仿宋_GB2312"/>
          <w:bCs/>
          <w:color w:val="auto"/>
          <w:sz w:val="24"/>
          <w:highlight w:val="none"/>
        </w:rPr>
        <w:t>不符合法律、法规和招标文件中★号及其他实质性要求的</w:t>
      </w:r>
      <w:r>
        <w:rPr>
          <w:rFonts w:hint="eastAsia" w:ascii="宋体" w:hAnsi="宋体" w:cs="仿宋_GB2312"/>
          <w:color w:val="auto"/>
          <w:sz w:val="24"/>
          <w:highlight w:val="none"/>
        </w:rPr>
        <w:t>。</w:t>
      </w:r>
    </w:p>
    <w:p w14:paraId="3DECF3D9">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  18.3</w:t>
      </w:r>
      <w:r>
        <w:rPr>
          <w:rFonts w:ascii="宋体" w:hAnsi="宋体" w:cs="仿宋_GB2312"/>
          <w:color w:val="auto"/>
          <w:sz w:val="24"/>
          <w:highlight w:val="none"/>
        </w:rPr>
        <w:t>有下列情形之一的，视为投标人串通投标，其投标无效：</w:t>
      </w:r>
    </w:p>
    <w:p w14:paraId="4653925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（一）不同投标人的投标文件由同一单位或者个人编制；</w:t>
      </w:r>
    </w:p>
    <w:p w14:paraId="0F21EA8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（二）不同投标人委托同一单位或者个人办理投标事宜；</w:t>
      </w:r>
    </w:p>
    <w:p w14:paraId="232EE52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（三）不同投标人的投标文件载明的项目管理成员或者联系人员为同一人；</w:t>
      </w:r>
    </w:p>
    <w:p w14:paraId="591903A5">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（四）不同投标人的投标文件异常一致或者投标报价呈规律性差异；</w:t>
      </w:r>
    </w:p>
    <w:p w14:paraId="2FADB6E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（五）不同投标人的投标文件相互混装；</w:t>
      </w:r>
    </w:p>
    <w:p w14:paraId="364F3761">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（六）不同投标人的投标保证金从同一单位或者个人的账户转出。</w:t>
      </w:r>
    </w:p>
    <w:p w14:paraId="180C4E3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8</w:t>
      </w:r>
      <w:r>
        <w:rPr>
          <w:rFonts w:ascii="宋体" w:hAnsi="宋体" w:cs="仿宋_GB2312"/>
          <w:color w:val="auto"/>
          <w:sz w:val="24"/>
          <w:highlight w:val="none"/>
        </w:rPr>
        <w:t>.</w:t>
      </w:r>
      <w:r>
        <w:rPr>
          <w:rFonts w:hint="eastAsia" w:ascii="宋体" w:hAnsi="宋体" w:cs="仿宋_GB2312"/>
          <w:color w:val="auto"/>
          <w:sz w:val="24"/>
          <w:highlight w:val="none"/>
        </w:rPr>
        <w:t xml:space="preserve">4 </w:t>
      </w:r>
      <w:r>
        <w:rPr>
          <w:rFonts w:ascii="宋体" w:hAnsi="宋体" w:cs="宋体"/>
          <w:color w:val="auto"/>
          <w:sz w:val="24"/>
          <w:highlight w:val="none"/>
        </w:rPr>
        <w:t>投标响应完整性及报价限制条款</w:t>
      </w:r>
      <w:r>
        <w:rPr>
          <w:rFonts w:hint="eastAsia" w:ascii="宋体" w:hAnsi="宋体" w:cs="宋体"/>
          <w:color w:val="auto"/>
          <w:sz w:val="24"/>
          <w:highlight w:val="none"/>
        </w:rPr>
        <w:t>见</w:t>
      </w:r>
      <w:r>
        <w:rPr>
          <w:rFonts w:hint="eastAsia" w:ascii="宋体" w:hAnsi="宋体" w:cs="仿宋_GB2312"/>
          <w:color w:val="auto"/>
          <w:sz w:val="24"/>
          <w:highlight w:val="none"/>
          <w:u w:val="single"/>
        </w:rPr>
        <w:t>“资料表”。</w:t>
      </w:r>
    </w:p>
    <w:p w14:paraId="2B20925B">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18.5 其他规定见第七部分《资格审查和评标办法》。</w:t>
      </w:r>
    </w:p>
    <w:p w14:paraId="1B9B7DC2">
      <w:pPr>
        <w:adjustRightInd w:val="0"/>
        <w:snapToGrid w:val="0"/>
        <w:spacing w:line="360" w:lineRule="auto"/>
        <w:ind w:firstLine="482" w:firstLineChars="200"/>
        <w:rPr>
          <w:rFonts w:ascii="宋体" w:hAnsi="宋体"/>
          <w:b/>
          <w:color w:val="auto"/>
          <w:sz w:val="24"/>
          <w:highlight w:val="none"/>
        </w:rPr>
      </w:pPr>
      <w:bookmarkStart w:id="64" w:name="_Toc89569862"/>
      <w:bookmarkStart w:id="65" w:name="_Toc520356167"/>
      <w:r>
        <w:rPr>
          <w:rFonts w:hint="eastAsia" w:ascii="宋体" w:hAnsi="宋体"/>
          <w:b/>
          <w:color w:val="auto"/>
          <w:sz w:val="24"/>
          <w:highlight w:val="none"/>
        </w:rPr>
        <w:t>19</w:t>
      </w:r>
      <w:r>
        <w:rPr>
          <w:rFonts w:ascii="宋体" w:hAnsi="宋体"/>
          <w:b/>
          <w:color w:val="auto"/>
          <w:sz w:val="24"/>
          <w:highlight w:val="none"/>
        </w:rPr>
        <w:t xml:space="preserve">. </w:t>
      </w:r>
      <w:r>
        <w:rPr>
          <w:rFonts w:hint="eastAsia" w:ascii="宋体" w:hAnsi="宋体"/>
          <w:b/>
          <w:color w:val="auto"/>
          <w:sz w:val="24"/>
          <w:highlight w:val="none"/>
        </w:rPr>
        <w:t>投标文件的澄清</w:t>
      </w:r>
      <w:bookmarkEnd w:id="64"/>
    </w:p>
    <w:p w14:paraId="37344701">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19</w:t>
      </w:r>
      <w:r>
        <w:rPr>
          <w:rFonts w:ascii="宋体" w:hAnsi="宋体" w:cs="仿宋_GB2312"/>
          <w:color w:val="auto"/>
          <w:sz w:val="24"/>
          <w:highlight w:val="none"/>
        </w:rPr>
        <w:t>.1</w:t>
      </w:r>
      <w:r>
        <w:rPr>
          <w:rFonts w:hint="eastAsia" w:ascii="宋体" w:hAnsi="宋体" w:cs="仿宋_GB2312"/>
          <w:color w:val="auto"/>
          <w:sz w:val="24"/>
          <w:highlight w:val="none"/>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6B94CECC">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19</w:t>
      </w:r>
      <w:r>
        <w:rPr>
          <w:rFonts w:ascii="宋体" w:hAnsi="宋体" w:cs="仿宋_GB2312"/>
          <w:color w:val="auto"/>
          <w:sz w:val="24"/>
          <w:highlight w:val="none"/>
        </w:rPr>
        <w:t>.2</w:t>
      </w:r>
      <w:r>
        <w:rPr>
          <w:rFonts w:hint="eastAsia" w:ascii="宋体" w:hAnsi="宋体" w:cs="仿宋_GB2312"/>
          <w:color w:val="auto"/>
          <w:sz w:val="24"/>
          <w:highlight w:val="none"/>
        </w:rPr>
        <w:t>澄清文件将作为投标文件内容的一部分。</w:t>
      </w:r>
    </w:p>
    <w:bookmarkEnd w:id="65"/>
    <w:p w14:paraId="46CE555B">
      <w:pPr>
        <w:adjustRightInd w:val="0"/>
        <w:snapToGrid w:val="0"/>
        <w:spacing w:line="360" w:lineRule="auto"/>
        <w:ind w:firstLine="482" w:firstLineChars="200"/>
        <w:rPr>
          <w:rFonts w:ascii="宋体" w:hAnsi="宋体"/>
          <w:b/>
          <w:color w:val="auto"/>
          <w:sz w:val="24"/>
          <w:highlight w:val="none"/>
        </w:rPr>
      </w:pPr>
      <w:bookmarkStart w:id="66" w:name="_Toc89569863"/>
      <w:r>
        <w:rPr>
          <w:rFonts w:ascii="宋体" w:hAnsi="宋体"/>
          <w:b/>
          <w:color w:val="auto"/>
          <w:sz w:val="24"/>
          <w:highlight w:val="none"/>
        </w:rPr>
        <w:t>2</w:t>
      </w:r>
      <w:r>
        <w:rPr>
          <w:rFonts w:hint="eastAsia" w:ascii="宋体" w:hAnsi="宋体"/>
          <w:b/>
          <w:color w:val="auto"/>
          <w:sz w:val="24"/>
          <w:highlight w:val="none"/>
        </w:rPr>
        <w:t>0</w:t>
      </w:r>
      <w:r>
        <w:rPr>
          <w:rFonts w:ascii="宋体" w:hAnsi="宋体"/>
          <w:b/>
          <w:color w:val="auto"/>
          <w:sz w:val="24"/>
          <w:highlight w:val="none"/>
        </w:rPr>
        <w:t xml:space="preserve">. </w:t>
      </w:r>
      <w:r>
        <w:rPr>
          <w:rFonts w:hint="eastAsia" w:ascii="宋体" w:hAnsi="宋体"/>
          <w:b/>
          <w:color w:val="auto"/>
          <w:sz w:val="24"/>
          <w:highlight w:val="none"/>
        </w:rPr>
        <w:t>评标</w:t>
      </w:r>
      <w:bookmarkEnd w:id="66"/>
    </w:p>
    <w:p w14:paraId="74AD579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0</w:t>
      </w:r>
      <w:r>
        <w:rPr>
          <w:rFonts w:ascii="宋体" w:hAnsi="宋体" w:cs="仿宋_GB2312"/>
          <w:color w:val="auto"/>
          <w:sz w:val="24"/>
          <w:highlight w:val="none"/>
        </w:rPr>
        <w:t xml:space="preserve">.1 </w:t>
      </w:r>
      <w:r>
        <w:rPr>
          <w:rFonts w:hint="eastAsia" w:ascii="宋体" w:hAnsi="宋体" w:cs="仿宋_GB2312"/>
          <w:color w:val="auto"/>
          <w:sz w:val="24"/>
          <w:highlight w:val="none"/>
        </w:rPr>
        <w:t>经初审合格的投标文件，评标委员会将根据招标文件确定的评标原则和方法，对其价格部分、技术部分和商务部分作进一步的评审和比较。</w:t>
      </w:r>
      <w:bookmarkStart w:id="67" w:name="OLE_LINK8"/>
      <w:bookmarkStart w:id="68" w:name="OLE_LINK7"/>
      <w:r>
        <w:rPr>
          <w:rFonts w:hint="eastAsia" w:ascii="宋体" w:hAnsi="宋体" w:cs="仿宋_GB2312"/>
          <w:color w:val="auto"/>
          <w:sz w:val="24"/>
          <w:highlight w:val="none"/>
        </w:rPr>
        <w:t>评标委员会决定投标的响应性只根据投标文件本身的内容，而不寻求外部的证据。</w:t>
      </w:r>
      <w:bookmarkEnd w:id="67"/>
      <w:bookmarkEnd w:id="68"/>
    </w:p>
    <w:p w14:paraId="39069D17">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0</w:t>
      </w:r>
      <w:r>
        <w:rPr>
          <w:rFonts w:ascii="宋体" w:hAnsi="宋体" w:cs="仿宋_GB2312"/>
          <w:color w:val="auto"/>
          <w:sz w:val="24"/>
          <w:highlight w:val="none"/>
        </w:rPr>
        <w:t xml:space="preserve">.2 </w:t>
      </w:r>
      <w:r>
        <w:rPr>
          <w:rFonts w:hint="eastAsia" w:ascii="宋体" w:hAnsi="宋体" w:cs="仿宋_GB2312"/>
          <w:color w:val="auto"/>
          <w:sz w:val="24"/>
          <w:highlight w:val="none"/>
        </w:rPr>
        <w:t>评标严格按照招标文件的要求和条件进行。考虑以下因素：</w:t>
      </w:r>
    </w:p>
    <w:p w14:paraId="4DC555CB">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商务条款有无偏离；</w:t>
      </w:r>
    </w:p>
    <w:p w14:paraId="26792FCE">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服务需求有无偏离；</w:t>
      </w:r>
    </w:p>
    <w:p w14:paraId="122BAA43">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运行维护实施方案先进、合理；</w:t>
      </w:r>
    </w:p>
    <w:p w14:paraId="302F7733">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服务的质量及标准；</w:t>
      </w:r>
    </w:p>
    <w:p w14:paraId="27FCB579">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系统设备维修；</w:t>
      </w:r>
    </w:p>
    <w:p w14:paraId="24CAA38C">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项目管理组织机构、人员配备；</w:t>
      </w:r>
    </w:p>
    <w:p w14:paraId="0CF0FB5E">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维修服务、备件供应；</w:t>
      </w:r>
    </w:p>
    <w:p w14:paraId="13E7FFE5">
      <w:pPr>
        <w:numPr>
          <w:ilvl w:val="0"/>
          <w:numId w:val="2"/>
        </w:numPr>
        <w:spacing w:line="360" w:lineRule="auto"/>
        <w:ind w:left="1622"/>
        <w:rPr>
          <w:rFonts w:ascii="宋体" w:hAnsi="宋体" w:cs="宋体"/>
          <w:color w:val="auto"/>
          <w:sz w:val="24"/>
          <w:szCs w:val="21"/>
          <w:highlight w:val="none"/>
        </w:rPr>
      </w:pPr>
      <w:r>
        <w:rPr>
          <w:rFonts w:hint="eastAsia" w:ascii="宋体" w:hAnsi="宋体" w:cs="宋体"/>
          <w:color w:val="auto"/>
          <w:sz w:val="24"/>
          <w:szCs w:val="21"/>
          <w:highlight w:val="none"/>
        </w:rPr>
        <w:t>经营信誉、售后服务和质量保证等。</w:t>
      </w:r>
    </w:p>
    <w:p w14:paraId="4650B741">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0</w:t>
      </w:r>
      <w:r>
        <w:rPr>
          <w:rFonts w:ascii="宋体" w:hAnsi="宋体" w:cs="仿宋_GB2312"/>
          <w:color w:val="auto"/>
          <w:sz w:val="24"/>
          <w:highlight w:val="none"/>
        </w:rPr>
        <w:t>.3</w:t>
      </w:r>
      <w:r>
        <w:rPr>
          <w:rFonts w:hint="eastAsia" w:ascii="宋体" w:hAnsi="宋体" w:cs="仿宋_GB2312"/>
          <w:color w:val="auto"/>
          <w:sz w:val="24"/>
          <w:highlight w:val="none"/>
        </w:rPr>
        <w:t>评标方法：</w:t>
      </w:r>
    </w:p>
    <w:p w14:paraId="219301E5">
      <w:pPr>
        <w:pStyle w:val="21"/>
        <w:adjustRightInd w:val="0"/>
        <w:snapToGrid w:val="0"/>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9" w:name="_Toc520356168"/>
    </w:p>
    <w:p w14:paraId="1FBC7A65">
      <w:pPr>
        <w:adjustRightInd w:val="0"/>
        <w:snapToGrid w:val="0"/>
        <w:spacing w:line="360" w:lineRule="auto"/>
        <w:ind w:firstLine="482" w:firstLineChars="200"/>
        <w:rPr>
          <w:rFonts w:ascii="宋体" w:hAnsi="宋体"/>
          <w:b/>
          <w:color w:val="auto"/>
          <w:sz w:val="24"/>
          <w:highlight w:val="none"/>
        </w:rPr>
      </w:pPr>
      <w:bookmarkStart w:id="70" w:name="_Toc89569864"/>
      <w:r>
        <w:rPr>
          <w:rFonts w:ascii="宋体" w:hAnsi="宋体"/>
          <w:b/>
          <w:color w:val="auto"/>
          <w:sz w:val="24"/>
          <w:highlight w:val="none"/>
        </w:rPr>
        <w:t>2</w:t>
      </w:r>
      <w:r>
        <w:rPr>
          <w:rFonts w:hint="eastAsia" w:ascii="宋体" w:hAnsi="宋体"/>
          <w:b/>
          <w:color w:val="auto"/>
          <w:sz w:val="24"/>
          <w:highlight w:val="none"/>
        </w:rPr>
        <w:t>1．</w:t>
      </w:r>
      <w:bookmarkEnd w:id="69"/>
      <w:r>
        <w:rPr>
          <w:rFonts w:hint="eastAsia" w:ascii="宋体" w:hAnsi="宋体"/>
          <w:b/>
          <w:color w:val="auto"/>
          <w:sz w:val="24"/>
          <w:highlight w:val="none"/>
        </w:rPr>
        <w:t>评标过程及保密原则</w:t>
      </w:r>
      <w:bookmarkEnd w:id="70"/>
    </w:p>
    <w:p w14:paraId="1CB0441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1</w:t>
      </w:r>
      <w:r>
        <w:rPr>
          <w:rFonts w:ascii="宋体" w:hAnsi="宋体" w:cs="仿宋_GB2312"/>
          <w:color w:val="auto"/>
          <w:sz w:val="24"/>
          <w:highlight w:val="none"/>
        </w:rPr>
        <w:t>.1</w:t>
      </w:r>
      <w:r>
        <w:rPr>
          <w:rFonts w:hint="eastAsia" w:ascii="宋体" w:hAnsi="宋体" w:cs="仿宋_GB2312"/>
          <w:color w:val="auto"/>
          <w:sz w:val="24"/>
          <w:highlight w:val="none"/>
        </w:rPr>
        <w:t>开标之后，直到授予中标人合同为止，凡与本次招标有关人员对属于审查、澄清、评价和比较投标的有关资料以及授标意向等，均不得向投标人或其他无关的人员透露。</w:t>
      </w:r>
    </w:p>
    <w:p w14:paraId="3131FB0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1</w:t>
      </w:r>
      <w:r>
        <w:rPr>
          <w:rFonts w:ascii="宋体" w:hAnsi="宋体" w:cs="仿宋_GB2312"/>
          <w:color w:val="auto"/>
          <w:sz w:val="24"/>
          <w:highlight w:val="none"/>
        </w:rPr>
        <w:t>.2</w:t>
      </w:r>
      <w:r>
        <w:rPr>
          <w:rFonts w:hint="eastAsia" w:ascii="宋体" w:hAnsi="宋体" w:cs="仿宋_GB2312"/>
          <w:color w:val="auto"/>
          <w:sz w:val="24"/>
          <w:highlight w:val="none"/>
        </w:rPr>
        <w:t>在评标期间，投标人试图影响采购人、采购代理机构和评标委员会的任何活动，将导致其投标被拒绝，并承担相应的法律责任。</w:t>
      </w:r>
    </w:p>
    <w:p w14:paraId="65791EDA">
      <w:pPr>
        <w:adjustRightInd w:val="0"/>
        <w:snapToGrid w:val="0"/>
        <w:spacing w:line="360" w:lineRule="auto"/>
        <w:ind w:firstLine="482" w:firstLineChars="200"/>
        <w:rPr>
          <w:rFonts w:ascii="宋体" w:hAnsi="宋体"/>
          <w:b/>
          <w:color w:val="auto"/>
          <w:sz w:val="24"/>
          <w:highlight w:val="none"/>
        </w:rPr>
      </w:pPr>
      <w:bookmarkStart w:id="71" w:name="_Toc520356169"/>
      <w:r>
        <w:rPr>
          <w:rFonts w:ascii="宋体" w:hAnsi="宋体"/>
          <w:b/>
          <w:color w:val="auto"/>
          <w:sz w:val="24"/>
          <w:highlight w:val="none"/>
        </w:rPr>
        <w:t>2</w:t>
      </w:r>
      <w:r>
        <w:rPr>
          <w:rFonts w:hint="eastAsia" w:ascii="宋体" w:hAnsi="宋体"/>
          <w:b/>
          <w:color w:val="auto"/>
          <w:sz w:val="24"/>
          <w:highlight w:val="none"/>
        </w:rPr>
        <w:t>2．需向监管部门上报的情形</w:t>
      </w:r>
    </w:p>
    <w:p w14:paraId="72A1781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2</w:t>
      </w:r>
      <w:r>
        <w:rPr>
          <w:rFonts w:ascii="宋体" w:hAnsi="宋体" w:cs="仿宋_GB2312"/>
          <w:color w:val="auto"/>
          <w:sz w:val="24"/>
          <w:highlight w:val="none"/>
        </w:rPr>
        <w:t>.1</w:t>
      </w:r>
      <w:r>
        <w:rPr>
          <w:rFonts w:hint="eastAsia" w:ascii="宋体" w:hAnsi="宋体" w:cs="仿宋_GB2312"/>
          <w:color w:val="auto"/>
          <w:sz w:val="24"/>
          <w:highlight w:val="none"/>
        </w:rPr>
        <w:t>评标委员会在评审过程中发现供应商有行贿、提供虚假材料或者串通等违法行为的，将及时向财政部门报告。</w:t>
      </w:r>
    </w:p>
    <w:p w14:paraId="37883371">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2</w:t>
      </w:r>
      <w:r>
        <w:rPr>
          <w:rFonts w:ascii="宋体" w:hAnsi="宋体" w:cs="仿宋_GB2312"/>
          <w:color w:val="auto"/>
          <w:sz w:val="24"/>
          <w:highlight w:val="none"/>
        </w:rPr>
        <w:t>.2</w:t>
      </w:r>
      <w:r>
        <w:rPr>
          <w:rFonts w:hint="eastAsia" w:ascii="宋体" w:hAnsi="宋体" w:cs="仿宋_GB2312"/>
          <w:color w:val="auto"/>
          <w:sz w:val="24"/>
          <w:highlight w:val="none"/>
        </w:rPr>
        <w:t>政府采购评审专家在评审过程中受到非法干预的，将及时向财政、监察等部门举报。</w:t>
      </w:r>
    </w:p>
    <w:p w14:paraId="7F2A34E9">
      <w:pPr>
        <w:adjustRightInd w:val="0"/>
        <w:snapToGrid w:val="0"/>
        <w:spacing w:line="360" w:lineRule="auto"/>
        <w:ind w:firstLine="482" w:firstLineChars="200"/>
        <w:rPr>
          <w:rFonts w:ascii="宋体" w:hAnsi="宋体"/>
          <w:b/>
          <w:color w:val="auto"/>
          <w:sz w:val="24"/>
          <w:highlight w:val="none"/>
        </w:rPr>
      </w:pPr>
    </w:p>
    <w:p w14:paraId="113CDE0F">
      <w:pPr>
        <w:adjustRightInd w:val="0"/>
        <w:snapToGrid w:val="0"/>
        <w:spacing w:line="360" w:lineRule="auto"/>
        <w:ind w:firstLine="482" w:firstLineChars="200"/>
        <w:rPr>
          <w:rFonts w:ascii="宋体" w:hAnsi="宋体"/>
          <w:b/>
          <w:color w:val="auto"/>
          <w:sz w:val="24"/>
          <w:highlight w:val="none"/>
        </w:rPr>
      </w:pPr>
      <w:bookmarkStart w:id="72" w:name="_Toc89569865"/>
      <w:r>
        <w:rPr>
          <w:rFonts w:hint="eastAsia" w:ascii="宋体" w:hAnsi="宋体"/>
          <w:b/>
          <w:color w:val="auto"/>
          <w:sz w:val="24"/>
          <w:highlight w:val="none"/>
        </w:rPr>
        <w:t>六</w:t>
      </w:r>
      <w:bookmarkEnd w:id="71"/>
      <w:r>
        <w:rPr>
          <w:rFonts w:hint="eastAsia" w:ascii="宋体" w:hAnsi="宋体"/>
          <w:b/>
          <w:color w:val="auto"/>
          <w:sz w:val="24"/>
          <w:highlight w:val="none"/>
        </w:rPr>
        <w:t xml:space="preserve"> 确定中标</w:t>
      </w:r>
      <w:bookmarkEnd w:id="72"/>
    </w:p>
    <w:p w14:paraId="671FB266">
      <w:pPr>
        <w:adjustRightInd w:val="0"/>
        <w:snapToGrid w:val="0"/>
        <w:spacing w:line="360" w:lineRule="auto"/>
        <w:ind w:firstLine="482" w:firstLineChars="200"/>
        <w:rPr>
          <w:rFonts w:ascii="宋体" w:hAnsi="宋体"/>
          <w:b/>
          <w:color w:val="auto"/>
          <w:sz w:val="24"/>
          <w:highlight w:val="none"/>
        </w:rPr>
      </w:pPr>
      <w:bookmarkStart w:id="73" w:name="_Toc520356170"/>
      <w:bookmarkStart w:id="74" w:name="_Ref467307010"/>
      <w:bookmarkStart w:id="75" w:name="_Toc89569866"/>
      <w:r>
        <w:rPr>
          <w:rFonts w:ascii="宋体" w:hAnsi="宋体"/>
          <w:b/>
          <w:color w:val="auto"/>
          <w:sz w:val="24"/>
          <w:highlight w:val="none"/>
        </w:rPr>
        <w:t>2</w:t>
      </w:r>
      <w:r>
        <w:rPr>
          <w:rFonts w:hint="eastAsia" w:ascii="宋体" w:hAnsi="宋体"/>
          <w:b/>
          <w:color w:val="auto"/>
          <w:sz w:val="24"/>
          <w:highlight w:val="none"/>
        </w:rPr>
        <w:t>3．中标候选人的确定标准</w:t>
      </w:r>
      <w:bookmarkEnd w:id="73"/>
      <w:bookmarkEnd w:id="74"/>
      <w:bookmarkEnd w:id="75"/>
    </w:p>
    <w:p w14:paraId="460BE1CC">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3</w:t>
      </w:r>
      <w:r>
        <w:rPr>
          <w:rFonts w:ascii="宋体" w:hAnsi="宋体" w:cs="仿宋_GB2312"/>
          <w:color w:val="auto"/>
          <w:sz w:val="24"/>
          <w:highlight w:val="none"/>
        </w:rPr>
        <w:t>.1</w:t>
      </w:r>
      <w:r>
        <w:rPr>
          <w:rFonts w:hint="eastAsia" w:ascii="宋体" w:hAnsi="宋体" w:cs="仿宋_GB2312"/>
          <w:color w:val="auto"/>
          <w:sz w:val="24"/>
          <w:highlight w:val="none"/>
        </w:rPr>
        <w:t>评标委员会确定中标候选人的标准见“资料表”。</w:t>
      </w:r>
    </w:p>
    <w:p w14:paraId="50E23AC8">
      <w:pPr>
        <w:adjustRightInd w:val="0"/>
        <w:snapToGrid w:val="0"/>
        <w:spacing w:line="360" w:lineRule="auto"/>
        <w:ind w:firstLine="482" w:firstLineChars="200"/>
        <w:rPr>
          <w:rFonts w:ascii="宋体" w:hAnsi="宋体"/>
          <w:b/>
          <w:color w:val="auto"/>
          <w:sz w:val="24"/>
          <w:highlight w:val="none"/>
        </w:rPr>
      </w:pPr>
      <w:bookmarkStart w:id="76" w:name="_Toc89569868"/>
      <w:bookmarkStart w:id="77" w:name="_Toc520356172"/>
      <w:r>
        <w:rPr>
          <w:rFonts w:ascii="宋体" w:hAnsi="宋体"/>
          <w:b/>
          <w:color w:val="auto"/>
          <w:sz w:val="24"/>
          <w:highlight w:val="none"/>
        </w:rPr>
        <w:t>2</w:t>
      </w:r>
      <w:r>
        <w:rPr>
          <w:rFonts w:hint="eastAsia" w:ascii="宋体" w:hAnsi="宋体"/>
          <w:b/>
          <w:color w:val="auto"/>
          <w:sz w:val="24"/>
          <w:highlight w:val="none"/>
        </w:rPr>
        <w:t>4．</w:t>
      </w:r>
      <w:bookmarkEnd w:id="76"/>
      <w:bookmarkEnd w:id="77"/>
      <w:r>
        <w:rPr>
          <w:rFonts w:hint="eastAsia" w:ascii="宋体" w:hAnsi="宋体"/>
          <w:b/>
          <w:color w:val="auto"/>
          <w:sz w:val="24"/>
          <w:highlight w:val="none"/>
        </w:rPr>
        <w:t>确定中标人</w:t>
      </w:r>
    </w:p>
    <w:p w14:paraId="11F5E52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4</w:t>
      </w:r>
      <w:r>
        <w:rPr>
          <w:rFonts w:ascii="宋体" w:hAnsi="宋体" w:cs="仿宋_GB2312"/>
          <w:color w:val="auto"/>
          <w:sz w:val="24"/>
          <w:highlight w:val="none"/>
        </w:rPr>
        <w:t>.1</w:t>
      </w:r>
      <w:r>
        <w:rPr>
          <w:rFonts w:hint="eastAsia" w:ascii="宋体" w:hAnsi="宋体" w:cs="仿宋_GB2312"/>
          <w:color w:val="auto"/>
          <w:sz w:val="24"/>
          <w:highlight w:val="none"/>
        </w:rPr>
        <w:t>评标委员会将根据评标标准，推荐评标排序，或根据采购人的委托，直接确定中标人。</w:t>
      </w:r>
    </w:p>
    <w:p w14:paraId="21658CA6">
      <w:pPr>
        <w:adjustRightInd w:val="0"/>
        <w:snapToGrid w:val="0"/>
        <w:spacing w:line="360" w:lineRule="auto"/>
        <w:ind w:firstLine="482" w:firstLineChars="200"/>
        <w:rPr>
          <w:rFonts w:ascii="宋体" w:hAnsi="宋体"/>
          <w:b/>
          <w:color w:val="auto"/>
          <w:sz w:val="24"/>
          <w:highlight w:val="none"/>
        </w:rPr>
      </w:pPr>
      <w:bookmarkStart w:id="78" w:name="_Toc11607"/>
      <w:bookmarkStart w:id="79" w:name="_Toc58256022"/>
      <w:bookmarkStart w:id="80" w:name="_Toc3290655"/>
      <w:r>
        <w:rPr>
          <w:rFonts w:ascii="宋体" w:hAnsi="宋体"/>
          <w:b/>
          <w:color w:val="auto"/>
          <w:sz w:val="24"/>
          <w:highlight w:val="none"/>
        </w:rPr>
        <w:t>2</w:t>
      </w:r>
      <w:r>
        <w:rPr>
          <w:rFonts w:hint="eastAsia" w:ascii="宋体" w:hAnsi="宋体"/>
          <w:b/>
          <w:color w:val="auto"/>
          <w:sz w:val="24"/>
          <w:highlight w:val="none"/>
        </w:rPr>
        <w:t>5</w:t>
      </w:r>
      <w:r>
        <w:rPr>
          <w:rFonts w:ascii="宋体" w:hAnsi="宋体"/>
          <w:b/>
          <w:color w:val="auto"/>
          <w:sz w:val="24"/>
          <w:highlight w:val="none"/>
        </w:rPr>
        <w:t>.</w:t>
      </w:r>
      <w:r>
        <w:rPr>
          <w:rFonts w:hint="eastAsia" w:ascii="宋体" w:hAnsi="宋体"/>
          <w:b/>
          <w:color w:val="auto"/>
          <w:sz w:val="24"/>
          <w:highlight w:val="none"/>
        </w:rPr>
        <w:t xml:space="preserve"> </w:t>
      </w:r>
      <w:r>
        <w:rPr>
          <w:rFonts w:ascii="宋体" w:hAnsi="宋体"/>
          <w:b/>
          <w:color w:val="auto"/>
          <w:sz w:val="24"/>
          <w:highlight w:val="none"/>
        </w:rPr>
        <w:t>废标处理</w:t>
      </w:r>
      <w:bookmarkEnd w:id="78"/>
      <w:bookmarkEnd w:id="79"/>
      <w:bookmarkEnd w:id="80"/>
    </w:p>
    <w:p w14:paraId="4FD1709B">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5</w:t>
      </w:r>
      <w:r>
        <w:rPr>
          <w:rFonts w:ascii="宋体" w:hAnsi="宋体" w:cs="仿宋_GB2312"/>
          <w:color w:val="auto"/>
          <w:sz w:val="24"/>
          <w:highlight w:val="none"/>
        </w:rPr>
        <w:t>.1在评标过程中，评标委员会发现有下列情形之一的，应予废标：</w:t>
      </w:r>
    </w:p>
    <w:p w14:paraId="30D9BBE8">
      <w:pPr>
        <w:adjustRightInd w:val="0"/>
        <w:snapToGrid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符合专业条件的供应商或者对招标文件作实质响应的供应商不足三家的</w:t>
      </w:r>
      <w:r>
        <w:rPr>
          <w:color w:val="auto"/>
          <w:sz w:val="24"/>
          <w:highlight w:val="none"/>
        </w:rPr>
        <w:t>；</w:t>
      </w:r>
    </w:p>
    <w:p w14:paraId="2C0A85B4">
      <w:pPr>
        <w:adjustRightInd w:val="0"/>
        <w:snapToGrid w:val="0"/>
        <w:spacing w:line="360" w:lineRule="auto"/>
        <w:ind w:firstLine="480" w:firstLineChars="200"/>
        <w:rPr>
          <w:color w:val="auto"/>
          <w:sz w:val="24"/>
          <w:highlight w:val="none"/>
        </w:rPr>
      </w:pPr>
      <w:r>
        <w:rPr>
          <w:color w:val="auto"/>
          <w:sz w:val="24"/>
          <w:highlight w:val="none"/>
        </w:rPr>
        <w:t>2）出现影响采购公正的违法、违规行为的；</w:t>
      </w:r>
    </w:p>
    <w:p w14:paraId="2AB81CBD">
      <w:pPr>
        <w:adjustRightInd w:val="0"/>
        <w:snapToGrid w:val="0"/>
        <w:spacing w:line="360" w:lineRule="auto"/>
        <w:ind w:firstLine="480" w:firstLineChars="200"/>
        <w:rPr>
          <w:color w:val="auto"/>
          <w:sz w:val="24"/>
          <w:highlight w:val="none"/>
        </w:rPr>
      </w:pPr>
      <w:r>
        <w:rPr>
          <w:color w:val="auto"/>
          <w:sz w:val="24"/>
          <w:highlight w:val="none"/>
        </w:rPr>
        <w:t>3）投标人的报价均超过了采购预算，采购人不能支付的；</w:t>
      </w:r>
    </w:p>
    <w:p w14:paraId="74334A09">
      <w:pPr>
        <w:snapToGrid w:val="0"/>
        <w:spacing w:line="360" w:lineRule="auto"/>
        <w:ind w:firstLine="480" w:firstLineChars="200"/>
        <w:rPr>
          <w:color w:val="auto"/>
          <w:sz w:val="24"/>
          <w:highlight w:val="none"/>
        </w:rPr>
      </w:pPr>
      <w:r>
        <w:rPr>
          <w:color w:val="auto"/>
          <w:sz w:val="24"/>
          <w:highlight w:val="none"/>
        </w:rPr>
        <w:t>4）因重大变故，采购任务取消的。</w:t>
      </w:r>
    </w:p>
    <w:p w14:paraId="6EAC3121">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5</w:t>
      </w:r>
      <w:r>
        <w:rPr>
          <w:rFonts w:ascii="宋体" w:hAnsi="宋体" w:cs="仿宋_GB2312"/>
          <w:color w:val="auto"/>
          <w:sz w:val="24"/>
          <w:highlight w:val="none"/>
        </w:rPr>
        <w:t>.2 废标后，采购代理机构将</w:t>
      </w:r>
      <w:r>
        <w:rPr>
          <w:rFonts w:hint="eastAsia" w:ascii="宋体" w:hAnsi="宋体" w:cs="仿宋_GB2312"/>
          <w:color w:val="auto"/>
          <w:sz w:val="24"/>
          <w:highlight w:val="none"/>
        </w:rPr>
        <w:t>公布废标理由</w:t>
      </w:r>
      <w:r>
        <w:rPr>
          <w:rFonts w:ascii="宋体" w:hAnsi="宋体" w:cs="仿宋_GB2312"/>
          <w:color w:val="auto"/>
          <w:sz w:val="24"/>
          <w:highlight w:val="none"/>
        </w:rPr>
        <w:t>，并按照法律法规要求依法重新组织招标或申请采取其他采购方式进行采购。</w:t>
      </w:r>
    </w:p>
    <w:p w14:paraId="5EE5B48D">
      <w:pPr>
        <w:adjustRightInd w:val="0"/>
        <w:snapToGrid w:val="0"/>
        <w:spacing w:line="360" w:lineRule="auto"/>
        <w:ind w:firstLine="482" w:firstLineChars="200"/>
        <w:rPr>
          <w:rFonts w:ascii="宋体" w:hAnsi="宋体"/>
          <w:b/>
          <w:color w:val="auto"/>
          <w:sz w:val="24"/>
          <w:highlight w:val="none"/>
        </w:rPr>
      </w:pPr>
      <w:bookmarkStart w:id="81" w:name="_Toc520356174"/>
      <w:bookmarkStart w:id="82" w:name="_Toc89569870"/>
      <w:r>
        <w:rPr>
          <w:rFonts w:ascii="宋体" w:hAnsi="宋体"/>
          <w:b/>
          <w:color w:val="auto"/>
          <w:sz w:val="24"/>
          <w:highlight w:val="none"/>
        </w:rPr>
        <w:t>2</w:t>
      </w:r>
      <w:r>
        <w:rPr>
          <w:rFonts w:hint="eastAsia" w:ascii="宋体" w:hAnsi="宋体"/>
          <w:b/>
          <w:color w:val="auto"/>
          <w:sz w:val="24"/>
          <w:highlight w:val="none"/>
        </w:rPr>
        <w:t>6．中标通知书</w:t>
      </w:r>
      <w:bookmarkEnd w:id="81"/>
      <w:bookmarkEnd w:id="82"/>
    </w:p>
    <w:p w14:paraId="2D4C5EE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.1</w:t>
      </w:r>
      <w:r>
        <w:rPr>
          <w:rFonts w:hint="eastAsia" w:ascii="宋体" w:hAnsi="宋体" w:cs="仿宋_GB2312"/>
          <w:color w:val="auto"/>
          <w:sz w:val="24"/>
          <w:highlight w:val="none"/>
        </w:rPr>
        <w:t>中标供应商确定后，采购代理机构将在规定的发布信息媒体上发布中标结果公告。投标人可通过相关发布媒体查询评标结果。</w:t>
      </w:r>
      <w:bookmarkStart w:id="83" w:name="OLE_LINK1"/>
      <w:bookmarkStart w:id="84" w:name="OLE_LINK2"/>
      <w:r>
        <w:rPr>
          <w:rFonts w:hint="eastAsia" w:ascii="宋体" w:hAnsi="宋体" w:cs="仿宋_GB2312"/>
          <w:color w:val="auto"/>
          <w:sz w:val="24"/>
          <w:highlight w:val="none"/>
        </w:rPr>
        <w:t>投标人对中标结果提出质疑的，应当在中标公告期限届满之日起七个工作日内，以书面形式向采购代理机构一次性提出质疑，但需对质疑内容的真实性承担责任及后果，并提交相应的证明材料。</w:t>
      </w:r>
      <w:bookmarkEnd w:id="83"/>
      <w:bookmarkEnd w:id="84"/>
    </w:p>
    <w:p w14:paraId="65E1FAB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.2</w:t>
      </w:r>
      <w:r>
        <w:rPr>
          <w:rFonts w:hint="eastAsia" w:ascii="宋体" w:hAnsi="宋体" w:cs="仿宋_GB2312"/>
          <w:color w:val="auto"/>
          <w:sz w:val="24"/>
          <w:highlight w:val="none"/>
        </w:rPr>
        <w:t>在投标有效期内，中标人确定后，采购代理机构以书面形式向中标人发出中标通知书。</w:t>
      </w:r>
    </w:p>
    <w:p w14:paraId="295D2CA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.3</w:t>
      </w:r>
      <w:r>
        <w:rPr>
          <w:rFonts w:hint="eastAsia" w:ascii="宋体" w:hAnsi="宋体" w:cs="仿宋_GB2312"/>
          <w:color w:val="auto"/>
          <w:sz w:val="24"/>
          <w:highlight w:val="none"/>
        </w:rPr>
        <w:t>中标通知书是合同的组成部分。</w:t>
      </w:r>
    </w:p>
    <w:p w14:paraId="7686F68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.4</w:t>
      </w:r>
      <w:r>
        <w:rPr>
          <w:rFonts w:hint="eastAsia" w:ascii="宋体" w:hAnsi="宋体" w:cs="仿宋_GB2312"/>
          <w:color w:val="auto"/>
          <w:sz w:val="24"/>
          <w:highlight w:val="none"/>
        </w:rPr>
        <w:t>采购代理机构将向其他投标人发出招标结果通知书，并退还投标保证金。</w:t>
      </w:r>
    </w:p>
    <w:p w14:paraId="32ABAC06">
      <w:pPr>
        <w:adjustRightInd w:val="0"/>
        <w:snapToGrid w:val="0"/>
        <w:spacing w:line="360" w:lineRule="auto"/>
        <w:ind w:firstLine="482" w:firstLineChars="200"/>
        <w:rPr>
          <w:rFonts w:ascii="宋体" w:hAnsi="宋体"/>
          <w:b/>
          <w:color w:val="auto"/>
          <w:sz w:val="24"/>
          <w:highlight w:val="none"/>
        </w:rPr>
      </w:pPr>
      <w:bookmarkStart w:id="85" w:name="_Ref467307204"/>
      <w:bookmarkStart w:id="86" w:name="_Toc520356175"/>
      <w:bookmarkStart w:id="87" w:name="_Ref467306377"/>
      <w:bookmarkStart w:id="88" w:name="_Ref467306978"/>
      <w:bookmarkStart w:id="89" w:name="_Toc89569871"/>
      <w:bookmarkStart w:id="90" w:name="_Ref467307062"/>
      <w:r>
        <w:rPr>
          <w:rFonts w:ascii="宋体" w:hAnsi="宋体"/>
          <w:b/>
          <w:color w:val="auto"/>
          <w:sz w:val="24"/>
          <w:highlight w:val="none"/>
        </w:rPr>
        <w:t>2</w:t>
      </w:r>
      <w:r>
        <w:rPr>
          <w:rFonts w:hint="eastAsia" w:ascii="宋体" w:hAnsi="宋体"/>
          <w:b/>
          <w:color w:val="auto"/>
          <w:sz w:val="24"/>
          <w:highlight w:val="none"/>
        </w:rPr>
        <w:t>7</w:t>
      </w:r>
      <w:r>
        <w:rPr>
          <w:rFonts w:ascii="宋体" w:hAnsi="宋体"/>
          <w:b/>
          <w:color w:val="auto"/>
          <w:sz w:val="24"/>
          <w:highlight w:val="none"/>
        </w:rPr>
        <w:t xml:space="preserve">. </w:t>
      </w:r>
      <w:r>
        <w:rPr>
          <w:rFonts w:hint="eastAsia" w:ascii="宋体" w:hAnsi="宋体"/>
          <w:b/>
          <w:color w:val="auto"/>
          <w:sz w:val="24"/>
          <w:highlight w:val="none"/>
        </w:rPr>
        <w:t>签订合同</w:t>
      </w:r>
      <w:bookmarkEnd w:id="85"/>
      <w:bookmarkEnd w:id="86"/>
      <w:bookmarkEnd w:id="87"/>
      <w:bookmarkEnd w:id="88"/>
      <w:bookmarkEnd w:id="89"/>
      <w:bookmarkEnd w:id="90"/>
    </w:p>
    <w:p w14:paraId="7EF3311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7</w:t>
      </w:r>
      <w:r>
        <w:rPr>
          <w:rFonts w:ascii="宋体" w:hAnsi="宋体" w:cs="仿宋_GB2312"/>
          <w:color w:val="auto"/>
          <w:sz w:val="24"/>
          <w:highlight w:val="none"/>
        </w:rPr>
        <w:t>.1</w:t>
      </w:r>
      <w:r>
        <w:rPr>
          <w:rFonts w:hint="eastAsia" w:ascii="宋体" w:hAnsi="宋体" w:cs="仿宋_GB2312"/>
          <w:color w:val="auto"/>
          <w:sz w:val="24"/>
          <w:highlight w:val="none"/>
        </w:rPr>
        <w:t>采购人、中标人应当自中标通知书发出之日起</w:t>
      </w:r>
      <w:r>
        <w:rPr>
          <w:rFonts w:ascii="宋体" w:hAnsi="宋体" w:cs="仿宋_GB2312"/>
          <w:color w:val="auto"/>
          <w:sz w:val="24"/>
          <w:highlight w:val="none"/>
        </w:rPr>
        <w:t>30</w:t>
      </w:r>
      <w:r>
        <w:rPr>
          <w:rFonts w:hint="eastAsia" w:ascii="宋体" w:hAnsi="宋体" w:cs="仿宋_GB2312"/>
          <w:color w:val="auto"/>
          <w:sz w:val="24"/>
          <w:highlight w:val="none"/>
        </w:rPr>
        <w:t>日内，按照中标人投标文件和招标文件的约定，签订书面合同。</w:t>
      </w:r>
    </w:p>
    <w:p w14:paraId="52AEB05E">
      <w:pPr>
        <w:adjustRightInd w:val="0"/>
        <w:snapToGrid w:val="0"/>
        <w:spacing w:line="360" w:lineRule="auto"/>
        <w:ind w:firstLine="480" w:firstLineChars="200"/>
        <w:rPr>
          <w:rFonts w:ascii="宋体" w:hAnsi="宋体" w:cs="仿宋_GB2312"/>
          <w:color w:val="auto"/>
          <w:sz w:val="24"/>
          <w:highlight w:val="none"/>
        </w:rPr>
      </w:pPr>
      <w:bookmarkStart w:id="91" w:name="_Ref467307090"/>
      <w:bookmarkStart w:id="92" w:name="_Toc520356176"/>
      <w:bookmarkStart w:id="93" w:name="_Ref467306425"/>
      <w:r>
        <w:rPr>
          <w:rFonts w:ascii="宋体" w:hAnsi="宋体" w:cs="仿宋_GB2312"/>
          <w:color w:val="auto"/>
          <w:sz w:val="24"/>
          <w:highlight w:val="none"/>
        </w:rPr>
        <w:t>2</w:t>
      </w:r>
      <w:r>
        <w:rPr>
          <w:rFonts w:hint="eastAsia" w:ascii="宋体" w:hAnsi="宋体" w:cs="仿宋_GB2312"/>
          <w:color w:val="auto"/>
          <w:sz w:val="24"/>
          <w:highlight w:val="none"/>
        </w:rPr>
        <w:t>7</w:t>
      </w:r>
      <w:r>
        <w:rPr>
          <w:rFonts w:ascii="宋体" w:hAnsi="宋体" w:cs="仿宋_GB2312"/>
          <w:color w:val="auto"/>
          <w:sz w:val="24"/>
          <w:highlight w:val="none"/>
        </w:rPr>
        <w:t>.2</w:t>
      </w:r>
      <w:r>
        <w:rPr>
          <w:rFonts w:hint="eastAsia" w:ascii="宋体" w:hAnsi="宋体" w:cs="仿宋_GB2312"/>
          <w:color w:val="auto"/>
          <w:sz w:val="24"/>
          <w:highlight w:val="none"/>
        </w:rPr>
        <w:t>中标人的投标文件、招标文件及其澄清文件等，均为签订合同的依据。</w:t>
      </w:r>
    </w:p>
    <w:p w14:paraId="12B0F9C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27.3 如果中标人没有按照上述第2</w:t>
      </w:r>
      <w:r>
        <w:rPr>
          <w:rFonts w:hint="eastAsia" w:ascii="宋体" w:hAnsi="宋体" w:cs="仿宋_GB2312"/>
          <w:color w:val="auto"/>
          <w:sz w:val="24"/>
          <w:highlight w:val="none"/>
          <w:lang w:val="en-US" w:eastAsia="zh-CN"/>
        </w:rPr>
        <w:t>7</w:t>
      </w:r>
      <w:r>
        <w:rPr>
          <w:rFonts w:ascii="宋体" w:hAnsi="宋体" w:cs="仿宋_GB2312"/>
          <w:color w:val="auto"/>
          <w:sz w:val="24"/>
          <w:highlight w:val="none"/>
        </w:rPr>
        <w:t>.1</w:t>
      </w:r>
      <w:r>
        <w:rPr>
          <w:rFonts w:hint="eastAsia" w:ascii="宋体" w:hAnsi="宋体" w:cs="仿宋_GB2312"/>
          <w:color w:val="auto"/>
          <w:sz w:val="24"/>
          <w:highlight w:val="none"/>
        </w:rPr>
        <w:t>条与采购人签约，采购人将有充分理由取消该中标决定，并没收其投标保证金。在此情况下采购人可将标授予下一个最高综合评分的投标人，或重新招标。</w:t>
      </w:r>
    </w:p>
    <w:p w14:paraId="2A6A9218">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27.4 </w:t>
      </w:r>
      <w:r>
        <w:rPr>
          <w:rFonts w:ascii="宋体" w:hAnsi="宋体" w:cs="仿宋_GB2312"/>
          <w:color w:val="auto"/>
          <w:sz w:val="24"/>
          <w:highlight w:val="none"/>
        </w:rPr>
        <w:t>政府采购合同履行中，采购人需追加与合同标的相同的货物、工程或者服务的，在不改变合同其他条款的前提下，可以与</w:t>
      </w:r>
      <w:r>
        <w:rPr>
          <w:rFonts w:hint="eastAsia" w:ascii="宋体" w:hAnsi="宋体" w:cs="仿宋_GB2312"/>
          <w:color w:val="auto"/>
          <w:sz w:val="24"/>
          <w:highlight w:val="none"/>
        </w:rPr>
        <w:t>中标人</w:t>
      </w:r>
      <w:r>
        <w:rPr>
          <w:rFonts w:ascii="宋体" w:hAnsi="宋体" w:cs="仿宋_GB2312"/>
          <w:color w:val="auto"/>
          <w:sz w:val="24"/>
          <w:highlight w:val="none"/>
        </w:rPr>
        <w:t>协商签订补充合同，但所有补充合同的采购金额不得超过原合同采购金额的百分之十。</w:t>
      </w:r>
    </w:p>
    <w:bookmarkEnd w:id="91"/>
    <w:bookmarkEnd w:id="92"/>
    <w:bookmarkEnd w:id="93"/>
    <w:p w14:paraId="55737DE8">
      <w:pPr>
        <w:adjustRightInd w:val="0"/>
        <w:snapToGrid w:val="0"/>
        <w:spacing w:line="360" w:lineRule="auto"/>
        <w:ind w:firstLine="482" w:firstLineChars="200"/>
        <w:rPr>
          <w:rFonts w:ascii="宋体" w:hAnsi="宋体"/>
          <w:b/>
          <w:color w:val="auto"/>
          <w:sz w:val="24"/>
          <w:highlight w:val="none"/>
        </w:rPr>
      </w:pPr>
      <w:bookmarkStart w:id="94" w:name="_Toc89569872"/>
      <w:r>
        <w:rPr>
          <w:rFonts w:ascii="宋体" w:hAnsi="宋体"/>
          <w:b/>
          <w:color w:val="auto"/>
          <w:sz w:val="24"/>
          <w:highlight w:val="none"/>
        </w:rPr>
        <w:t>2</w:t>
      </w:r>
      <w:r>
        <w:rPr>
          <w:rFonts w:hint="eastAsia" w:ascii="宋体" w:hAnsi="宋体"/>
          <w:b/>
          <w:color w:val="auto"/>
          <w:sz w:val="24"/>
          <w:highlight w:val="none"/>
        </w:rPr>
        <w:t>8</w:t>
      </w:r>
      <w:r>
        <w:rPr>
          <w:rFonts w:ascii="宋体" w:hAnsi="宋体"/>
          <w:b/>
          <w:color w:val="auto"/>
          <w:sz w:val="24"/>
          <w:highlight w:val="none"/>
        </w:rPr>
        <w:t xml:space="preserve">. </w:t>
      </w:r>
      <w:r>
        <w:rPr>
          <w:rFonts w:hint="eastAsia" w:ascii="宋体" w:hAnsi="宋体"/>
          <w:b/>
          <w:color w:val="auto"/>
          <w:sz w:val="24"/>
          <w:highlight w:val="none"/>
        </w:rPr>
        <w:t>履约保证金</w:t>
      </w:r>
      <w:bookmarkEnd w:id="94"/>
    </w:p>
    <w:p w14:paraId="4AB2094B">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8</w:t>
      </w:r>
      <w:r>
        <w:rPr>
          <w:rFonts w:ascii="宋体" w:hAnsi="宋体" w:cs="仿宋_GB2312"/>
          <w:color w:val="auto"/>
          <w:sz w:val="24"/>
          <w:highlight w:val="none"/>
        </w:rPr>
        <w:t>.1</w:t>
      </w:r>
      <w:r>
        <w:rPr>
          <w:rFonts w:hint="eastAsia" w:ascii="宋体" w:hAnsi="宋体" w:cs="仿宋_GB2312"/>
          <w:color w:val="auto"/>
          <w:sz w:val="24"/>
          <w:highlight w:val="none"/>
        </w:rPr>
        <w:t>中标人应按“资料表”中的规定的时间、金额、有效期，并按照招标文件中提供的履约保证金保函格式或买方可以接受的其他形式向买方提交履约保证金。</w:t>
      </w:r>
    </w:p>
    <w:p w14:paraId="2B1B5E2F">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8</w:t>
      </w:r>
      <w:r>
        <w:rPr>
          <w:rFonts w:ascii="宋体" w:hAnsi="宋体" w:cs="仿宋_GB2312"/>
          <w:color w:val="auto"/>
          <w:sz w:val="24"/>
          <w:highlight w:val="none"/>
        </w:rPr>
        <w:t>.2</w:t>
      </w:r>
      <w:r>
        <w:rPr>
          <w:rFonts w:hint="eastAsia" w:ascii="宋体" w:hAnsi="宋体" w:cs="仿宋_GB2312"/>
          <w:color w:val="auto"/>
          <w:sz w:val="24"/>
          <w:highlight w:val="none"/>
        </w:rPr>
        <w:t>如果中标人没有按照上述第</w:t>
      </w:r>
      <w:r>
        <w:rPr>
          <w:rFonts w:ascii="宋体" w:hAnsi="宋体" w:cs="仿宋_GB2312"/>
          <w:color w:val="auto"/>
          <w:sz w:val="24"/>
          <w:highlight w:val="none"/>
        </w:rPr>
        <w:t>2</w:t>
      </w:r>
      <w:r>
        <w:rPr>
          <w:rFonts w:hint="eastAsia" w:ascii="宋体" w:hAnsi="宋体" w:cs="仿宋_GB2312"/>
          <w:color w:val="auto"/>
          <w:sz w:val="24"/>
          <w:highlight w:val="none"/>
          <w:lang w:val="en-US" w:eastAsia="zh-CN"/>
        </w:rPr>
        <w:t>7</w:t>
      </w:r>
      <w:r>
        <w:rPr>
          <w:rFonts w:hint="eastAsia" w:ascii="宋体" w:hAnsi="宋体" w:cs="仿宋_GB2312"/>
          <w:color w:val="auto"/>
          <w:sz w:val="24"/>
          <w:highlight w:val="none"/>
        </w:rPr>
        <w:t>条或</w:t>
      </w:r>
      <w:r>
        <w:rPr>
          <w:rFonts w:ascii="宋体" w:hAnsi="宋体" w:cs="仿宋_GB2312"/>
          <w:color w:val="auto"/>
          <w:sz w:val="24"/>
          <w:highlight w:val="none"/>
        </w:rPr>
        <w:t>2</w:t>
      </w:r>
      <w:r>
        <w:rPr>
          <w:rFonts w:hint="eastAsia" w:ascii="宋体" w:hAnsi="宋体" w:cs="仿宋_GB2312"/>
          <w:color w:val="auto"/>
          <w:sz w:val="24"/>
          <w:highlight w:val="none"/>
          <w:lang w:val="en-US" w:eastAsia="zh-CN"/>
        </w:rPr>
        <w:t>8</w:t>
      </w:r>
      <w:r>
        <w:rPr>
          <w:rFonts w:ascii="宋体" w:hAnsi="宋体" w:cs="仿宋_GB2312"/>
          <w:color w:val="auto"/>
          <w:sz w:val="24"/>
          <w:highlight w:val="none"/>
        </w:rPr>
        <w:t>.1</w:t>
      </w:r>
      <w:r>
        <w:rPr>
          <w:rFonts w:hint="eastAsia" w:ascii="宋体" w:hAnsi="宋体" w:cs="仿宋_GB2312"/>
          <w:color w:val="auto"/>
          <w:sz w:val="24"/>
          <w:highlight w:val="none"/>
        </w:rPr>
        <w:t>条的规定执行，将视为拒绝签订合同并放弃中标资格，该中标人的投标保证金不予返还。在此情况下，采购人可确定下一中标候选人为中标人，也可以重新开展采购活动。</w:t>
      </w:r>
    </w:p>
    <w:p w14:paraId="53F9060B">
      <w:pPr>
        <w:pStyle w:val="4"/>
        <w:snapToGrid w:val="0"/>
        <w:spacing w:line="360" w:lineRule="auto"/>
        <w:ind w:firstLine="480" w:firstLineChars="200"/>
        <w:jc w:val="both"/>
        <w:rPr>
          <w:rFonts w:hAnsi="宋体"/>
          <w:color w:val="auto"/>
          <w:szCs w:val="24"/>
          <w:highlight w:val="none"/>
        </w:rPr>
      </w:pPr>
      <w:bookmarkStart w:id="95" w:name="_Toc520424502"/>
      <w:bookmarkStart w:id="96" w:name="_Toc518803443"/>
      <w:bookmarkStart w:id="97" w:name="_Toc520647611"/>
    </w:p>
    <w:p w14:paraId="1369AD17">
      <w:pPr>
        <w:adjustRightInd w:val="0"/>
        <w:snapToGrid w:val="0"/>
        <w:spacing w:line="360" w:lineRule="auto"/>
        <w:ind w:firstLine="482" w:firstLineChars="200"/>
        <w:rPr>
          <w:rFonts w:ascii="宋体" w:hAnsi="宋体"/>
          <w:b/>
          <w:color w:val="auto"/>
          <w:sz w:val="24"/>
          <w:highlight w:val="none"/>
        </w:rPr>
      </w:pPr>
      <w:bookmarkStart w:id="98" w:name="_Toc89569873"/>
      <w:r>
        <w:rPr>
          <w:rFonts w:hint="eastAsia" w:ascii="宋体" w:hAnsi="宋体"/>
          <w:b/>
          <w:color w:val="auto"/>
          <w:sz w:val="24"/>
          <w:highlight w:val="none"/>
        </w:rPr>
        <w:t>七 中标服务费</w:t>
      </w:r>
      <w:bookmarkEnd w:id="95"/>
      <w:bookmarkEnd w:id="96"/>
      <w:bookmarkEnd w:id="97"/>
      <w:bookmarkEnd w:id="98"/>
    </w:p>
    <w:p w14:paraId="5821FDB5">
      <w:pPr>
        <w:adjustRightInd w:val="0"/>
        <w:snapToGrid w:val="0"/>
        <w:spacing w:line="360" w:lineRule="auto"/>
        <w:ind w:firstLine="482" w:firstLineChars="200"/>
        <w:rPr>
          <w:rFonts w:ascii="宋体" w:hAnsi="宋体"/>
          <w:b/>
          <w:color w:val="auto"/>
          <w:sz w:val="24"/>
          <w:highlight w:val="none"/>
        </w:rPr>
      </w:pPr>
      <w:bookmarkStart w:id="99" w:name="_Toc518803444"/>
      <w:bookmarkStart w:id="100" w:name="_Toc520424503"/>
      <w:bookmarkStart w:id="101" w:name="_Toc89569874"/>
      <w:bookmarkStart w:id="102" w:name="_Toc520647612"/>
      <w:bookmarkStart w:id="103" w:name="_Ref467306463"/>
      <w:r>
        <w:rPr>
          <w:rFonts w:hint="eastAsia" w:ascii="宋体" w:hAnsi="宋体"/>
          <w:b/>
          <w:color w:val="auto"/>
          <w:sz w:val="24"/>
          <w:highlight w:val="none"/>
        </w:rPr>
        <w:t>29</w:t>
      </w:r>
      <w:r>
        <w:rPr>
          <w:rFonts w:ascii="宋体" w:hAnsi="宋体"/>
          <w:b/>
          <w:color w:val="auto"/>
          <w:sz w:val="24"/>
          <w:highlight w:val="none"/>
        </w:rPr>
        <w:t xml:space="preserve">. </w:t>
      </w:r>
      <w:r>
        <w:rPr>
          <w:rFonts w:hint="eastAsia" w:ascii="宋体" w:hAnsi="宋体"/>
          <w:b/>
          <w:color w:val="auto"/>
          <w:sz w:val="24"/>
          <w:highlight w:val="none"/>
        </w:rPr>
        <w:t>中标服务费</w:t>
      </w:r>
      <w:bookmarkEnd w:id="99"/>
      <w:bookmarkEnd w:id="100"/>
      <w:bookmarkEnd w:id="101"/>
      <w:bookmarkEnd w:id="102"/>
      <w:bookmarkEnd w:id="103"/>
    </w:p>
    <w:p w14:paraId="2B0EE4FE">
      <w:pPr>
        <w:adjustRightInd w:val="0"/>
        <w:snapToGrid w:val="0"/>
        <w:spacing w:line="360" w:lineRule="auto"/>
        <w:ind w:firstLine="480" w:firstLineChars="200"/>
        <w:rPr>
          <w:rFonts w:ascii="宋体" w:hAnsi="宋体"/>
          <w:color w:val="auto"/>
          <w:sz w:val="24"/>
          <w:highlight w:val="none"/>
        </w:rPr>
      </w:pPr>
      <w:bookmarkStart w:id="104" w:name="_Ref467307288"/>
      <w:r>
        <w:rPr>
          <w:rFonts w:hint="eastAsia" w:ascii="宋体" w:hAnsi="宋体" w:cs="仿宋_GB2312"/>
          <w:color w:val="auto"/>
          <w:sz w:val="24"/>
          <w:highlight w:val="none"/>
        </w:rPr>
        <w:t>29</w:t>
      </w:r>
      <w:r>
        <w:rPr>
          <w:rFonts w:ascii="宋体" w:hAnsi="宋体" w:cs="仿宋_GB2312"/>
          <w:color w:val="auto"/>
          <w:sz w:val="24"/>
          <w:highlight w:val="none"/>
        </w:rPr>
        <w:t>.1</w:t>
      </w:r>
      <w:bookmarkEnd w:id="104"/>
      <w:r>
        <w:rPr>
          <w:rFonts w:hint="eastAsia" w:ascii="宋体" w:hAnsi="宋体" w:cs="仿宋_GB2312"/>
          <w:color w:val="auto"/>
          <w:sz w:val="24"/>
          <w:highlight w:val="none"/>
        </w:rPr>
        <w:t>中标人须在收到中标通知书后</w:t>
      </w:r>
      <w:r>
        <w:rPr>
          <w:rFonts w:ascii="宋体" w:hAnsi="宋体" w:cs="仿宋_GB2312"/>
          <w:color w:val="auto"/>
          <w:sz w:val="24"/>
          <w:highlight w:val="none"/>
        </w:rPr>
        <w:t>5</w:t>
      </w:r>
      <w:r>
        <w:rPr>
          <w:rFonts w:hint="eastAsia" w:ascii="宋体" w:hAnsi="宋体" w:cs="仿宋_GB2312"/>
          <w:color w:val="auto"/>
          <w:sz w:val="24"/>
          <w:highlight w:val="none"/>
        </w:rPr>
        <w:t>日内，向采购代理机构缴纳中标服务费，具体标准和计算办法见“资料表”。此项费用无须单列，但计入投标总价。</w:t>
      </w:r>
    </w:p>
    <w:p w14:paraId="7573AEC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29</w:t>
      </w:r>
      <w:r>
        <w:rPr>
          <w:rFonts w:ascii="宋体" w:hAnsi="宋体" w:cs="仿宋_GB2312"/>
          <w:color w:val="auto"/>
          <w:sz w:val="24"/>
          <w:highlight w:val="none"/>
        </w:rPr>
        <w:t xml:space="preserve">.2 </w:t>
      </w:r>
      <w:r>
        <w:rPr>
          <w:rFonts w:hint="eastAsia" w:ascii="宋体" w:hAnsi="宋体" w:cs="仿宋_GB2312"/>
          <w:color w:val="auto"/>
          <w:sz w:val="24"/>
          <w:highlight w:val="none"/>
        </w:rPr>
        <w:t>中标服务费将以采购代理机构可接受的方式进行收取。中标人如未按上述规定交纳，采购代理机构将没收其投标保证金。</w:t>
      </w:r>
    </w:p>
    <w:p w14:paraId="1B506F23">
      <w:pPr>
        <w:adjustRightInd w:val="0"/>
        <w:snapToGrid w:val="0"/>
        <w:spacing w:line="360" w:lineRule="auto"/>
        <w:ind w:firstLine="480" w:firstLineChars="200"/>
        <w:rPr>
          <w:rFonts w:ascii="宋体" w:hAnsi="宋体" w:cs="仿宋_GB2312"/>
          <w:color w:val="auto"/>
          <w:sz w:val="24"/>
          <w:highlight w:val="none"/>
        </w:rPr>
      </w:pPr>
    </w:p>
    <w:p w14:paraId="77C4408B">
      <w:pPr>
        <w:adjustRightInd w:val="0"/>
        <w:snapToGrid w:val="0"/>
        <w:spacing w:line="360" w:lineRule="auto"/>
        <w:ind w:firstLine="482" w:firstLineChars="200"/>
        <w:rPr>
          <w:rFonts w:ascii="宋体" w:hAnsi="宋体"/>
          <w:b/>
          <w:color w:val="auto"/>
          <w:sz w:val="24"/>
          <w:highlight w:val="none"/>
        </w:rPr>
      </w:pPr>
      <w:bookmarkStart w:id="105" w:name="OLE_LINK10"/>
      <w:bookmarkStart w:id="106" w:name="OLE_LINK9"/>
      <w:r>
        <w:rPr>
          <w:rFonts w:hint="eastAsia" w:ascii="宋体" w:hAnsi="宋体"/>
          <w:b/>
          <w:color w:val="auto"/>
          <w:sz w:val="24"/>
          <w:highlight w:val="none"/>
        </w:rPr>
        <w:t>八 关于中小企业参加投标的特殊规定</w:t>
      </w:r>
    </w:p>
    <w:bookmarkEnd w:id="105"/>
    <w:bookmarkEnd w:id="106"/>
    <w:p w14:paraId="3EED027E">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0</w:t>
      </w:r>
      <w:r>
        <w:rPr>
          <w:rFonts w:ascii="宋体" w:hAnsi="宋体"/>
          <w:b/>
          <w:color w:val="auto"/>
          <w:sz w:val="24"/>
          <w:highlight w:val="none"/>
        </w:rPr>
        <w:t xml:space="preserve">. </w:t>
      </w:r>
      <w:r>
        <w:rPr>
          <w:rFonts w:hint="eastAsia" w:ascii="宋体" w:hAnsi="宋体"/>
          <w:b/>
          <w:color w:val="auto"/>
          <w:sz w:val="24"/>
          <w:highlight w:val="none"/>
        </w:rPr>
        <w:t>中小企业定义</w:t>
      </w:r>
    </w:p>
    <w:p w14:paraId="25856821">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0</w:t>
      </w:r>
      <w:r>
        <w:rPr>
          <w:rFonts w:ascii="宋体" w:hAnsi="宋体" w:cs="仿宋_GB2312"/>
          <w:color w:val="auto"/>
          <w:sz w:val="24"/>
          <w:highlight w:val="none"/>
        </w:rPr>
        <w:t>.1</w:t>
      </w:r>
      <w:r>
        <w:rPr>
          <w:rFonts w:ascii="宋体" w:hAnsi="宋体" w:cs="仿宋_GB2312"/>
          <w:color w:val="auto"/>
          <w:sz w:val="24"/>
          <w:highlight w:val="none"/>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09F870FD">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0</w:t>
      </w:r>
      <w:r>
        <w:rPr>
          <w:rFonts w:ascii="宋体" w:hAnsi="宋体" w:cs="仿宋_GB2312"/>
          <w:color w:val="auto"/>
          <w:sz w:val="24"/>
          <w:highlight w:val="none"/>
        </w:rPr>
        <w:t xml:space="preserve">.2 </w:t>
      </w:r>
      <w:r>
        <w:rPr>
          <w:rFonts w:ascii="宋体" w:hAnsi="宋体" w:cs="仿宋_GB2312"/>
          <w:color w:val="auto"/>
          <w:sz w:val="24"/>
          <w:highlight w:val="none"/>
          <w:lang w:bidi="ar"/>
        </w:rPr>
        <w:t>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 xml:space="preserve">供的货物、工程或者服务符合下列情形的，享受中小企业扶持政策： </w:t>
      </w:r>
    </w:p>
    <w:p w14:paraId="1B1359D4">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lang w:bidi="ar"/>
        </w:rPr>
        <w:t xml:space="preserve">（1）在货物采购项目中，货物由中小企业制造，即货物由中小企业生产且使用该中小企业商号或者注册商标； </w:t>
      </w:r>
    </w:p>
    <w:p w14:paraId="5069CB2B">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lang w:bidi="ar"/>
        </w:rPr>
        <w:t xml:space="preserve">（2）在工程采购项目中，工程由中小企业承建，即工程施工单位为中小企业； </w:t>
      </w:r>
    </w:p>
    <w:p w14:paraId="05A41075">
      <w:pPr>
        <w:widowControl/>
        <w:adjustRightInd w:val="0"/>
        <w:snapToGrid w:val="0"/>
        <w:spacing w:line="360" w:lineRule="auto"/>
        <w:ind w:firstLine="480" w:firstLineChars="200"/>
        <w:jc w:val="left"/>
        <w:rPr>
          <w:rFonts w:ascii="宋体" w:hAnsi="宋体" w:cs="仿宋_GB2312"/>
          <w:color w:val="auto"/>
          <w:sz w:val="24"/>
          <w:highlight w:val="none"/>
          <w:lang w:bidi="ar"/>
        </w:rPr>
      </w:pPr>
      <w:r>
        <w:rPr>
          <w:rFonts w:ascii="宋体" w:hAnsi="宋体" w:cs="仿宋_GB2312"/>
          <w:color w:val="auto"/>
          <w:sz w:val="24"/>
          <w:highlight w:val="none"/>
          <w:lang w:bidi="ar"/>
        </w:rPr>
        <w:t>（3）在服务采购项目中，服务由中小企业承接，即</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供服务的人员为中小企业依照《中华人民共和国劳动合同法》订立劳动合同的从业人员。</w:t>
      </w:r>
    </w:p>
    <w:p w14:paraId="02181832">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0</w:t>
      </w:r>
      <w:r>
        <w:rPr>
          <w:rFonts w:ascii="宋体" w:hAnsi="宋体" w:cs="仿宋_GB2312"/>
          <w:color w:val="auto"/>
          <w:sz w:val="24"/>
          <w:highlight w:val="none"/>
        </w:rPr>
        <w:t xml:space="preserve">.3 </w:t>
      </w:r>
      <w:r>
        <w:rPr>
          <w:rFonts w:ascii="宋体" w:hAnsi="宋体" w:cs="仿宋_GB2312"/>
          <w:color w:val="auto"/>
          <w:sz w:val="24"/>
          <w:highlight w:val="none"/>
          <w:lang w:bidi="ar"/>
        </w:rPr>
        <w:t>在货物采购项目中，供应商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供的货物既有中小企业制造货物，也有大型企业制造货物的，不享受中小企业扶持政策。</w:t>
      </w:r>
    </w:p>
    <w:p w14:paraId="7164F8C6">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0</w:t>
      </w:r>
      <w:r>
        <w:rPr>
          <w:rFonts w:ascii="宋体" w:hAnsi="宋体" w:cs="仿宋_GB2312"/>
          <w:color w:val="auto"/>
          <w:sz w:val="24"/>
          <w:highlight w:val="none"/>
        </w:rPr>
        <w:t xml:space="preserve">.4 </w:t>
      </w:r>
      <w:r>
        <w:rPr>
          <w:rFonts w:ascii="宋体" w:hAnsi="宋体" w:cs="仿宋_GB2312"/>
          <w:color w:val="auto"/>
          <w:sz w:val="24"/>
          <w:highlight w:val="none"/>
          <w:lang w:bidi="ar"/>
        </w:rPr>
        <w:t>以联合体形式参加政府采购活动，联合体各方均为中小企业的，联合体视同中小企业。其中，联合体各方均为小微企业的，联合体视同小微企业。</w:t>
      </w:r>
    </w:p>
    <w:p w14:paraId="49A8B021">
      <w:pPr>
        <w:widowControl/>
        <w:adjustRightInd w:val="0"/>
        <w:snapToGrid w:val="0"/>
        <w:spacing w:line="360" w:lineRule="auto"/>
        <w:ind w:firstLine="482" w:firstLineChars="200"/>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1</w:t>
      </w:r>
      <w:r>
        <w:rPr>
          <w:rFonts w:ascii="宋体" w:hAnsi="宋体"/>
          <w:b/>
          <w:color w:val="auto"/>
          <w:sz w:val="24"/>
          <w:highlight w:val="none"/>
        </w:rPr>
        <w:t xml:space="preserve">. </w:t>
      </w:r>
      <w:r>
        <w:rPr>
          <w:rFonts w:hint="eastAsia" w:ascii="宋体" w:hAnsi="宋体"/>
          <w:b/>
          <w:color w:val="auto"/>
          <w:sz w:val="24"/>
          <w:highlight w:val="none"/>
        </w:rPr>
        <w:t>关于小型、微型企业价格扣除政策的规定</w:t>
      </w:r>
    </w:p>
    <w:p w14:paraId="6779B7A1">
      <w:pPr>
        <w:adjustRightInd w:val="0"/>
        <w:snapToGrid w:val="0"/>
        <w:spacing w:line="360" w:lineRule="auto"/>
        <w:ind w:firstLine="482" w:firstLineChars="200"/>
        <w:rPr>
          <w:rFonts w:ascii="宋体" w:hAnsi="宋体" w:cs="仿宋_GB2312"/>
          <w:b/>
          <w:color w:val="auto"/>
          <w:sz w:val="24"/>
          <w:highlight w:val="none"/>
        </w:rPr>
      </w:pPr>
      <w:r>
        <w:rPr>
          <w:rFonts w:ascii="宋体" w:hAnsi="宋体" w:cs="仿宋_GB2312"/>
          <w:b/>
          <w:color w:val="auto"/>
          <w:sz w:val="24"/>
          <w:highlight w:val="none"/>
        </w:rPr>
        <w:t>3</w:t>
      </w:r>
      <w:r>
        <w:rPr>
          <w:rFonts w:hint="eastAsia" w:ascii="宋体" w:hAnsi="宋体" w:cs="仿宋_GB2312"/>
          <w:b/>
          <w:color w:val="auto"/>
          <w:sz w:val="24"/>
          <w:highlight w:val="none"/>
        </w:rPr>
        <w:t>1</w:t>
      </w:r>
      <w:r>
        <w:rPr>
          <w:rFonts w:ascii="宋体" w:hAnsi="宋体" w:cs="仿宋_GB2312"/>
          <w:b/>
          <w:color w:val="auto"/>
          <w:sz w:val="24"/>
          <w:highlight w:val="none"/>
        </w:rPr>
        <w:t>.1</w:t>
      </w:r>
      <w:r>
        <w:rPr>
          <w:rFonts w:hint="eastAsia" w:ascii="宋体" w:hAnsi="宋体" w:cs="仿宋_GB2312"/>
          <w:b/>
          <w:color w:val="auto"/>
          <w:sz w:val="24"/>
          <w:highlight w:val="none"/>
        </w:rPr>
        <w:t>小型、微型企业价格扣除政策</w:t>
      </w:r>
      <w:r>
        <w:rPr>
          <w:rFonts w:ascii="宋体" w:hAnsi="宋体"/>
          <w:b/>
          <w:color w:val="auto"/>
          <w:sz w:val="24"/>
          <w:highlight w:val="none"/>
        </w:rPr>
        <w:t>（非专门面向中小企业的项目</w:t>
      </w:r>
      <w:r>
        <w:rPr>
          <w:rFonts w:hint="eastAsia" w:ascii="宋体" w:hAnsi="宋体"/>
          <w:b/>
          <w:color w:val="auto"/>
          <w:sz w:val="24"/>
          <w:highlight w:val="none"/>
        </w:rPr>
        <w:t>适用</w:t>
      </w:r>
      <w:r>
        <w:rPr>
          <w:rFonts w:ascii="宋体" w:hAnsi="宋体"/>
          <w:b/>
          <w:color w:val="auto"/>
          <w:sz w:val="24"/>
          <w:highlight w:val="none"/>
        </w:rPr>
        <w:t>）</w:t>
      </w:r>
    </w:p>
    <w:p w14:paraId="43868CE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投标人所投产品或者提供的服务被认定为小微型企业或监狱企业或残疾人福利性单位制造的产品或者承接的服务，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color w:val="auto"/>
          <w:sz w:val="24"/>
          <w:highlight w:val="none"/>
        </w:rPr>
        <w:t>小型、微型企业的协议合同金额占到联合体协议合同总金额30%以上的，可给予联合体</w:t>
      </w:r>
      <w:r>
        <w:rPr>
          <w:rFonts w:hint="eastAsia" w:ascii="宋体" w:hAnsi="宋体"/>
          <w:color w:val="auto"/>
          <w:sz w:val="24"/>
          <w:highlight w:val="none"/>
        </w:rPr>
        <w:t>4</w:t>
      </w:r>
      <w:r>
        <w:rPr>
          <w:rFonts w:ascii="宋体" w:hAnsi="宋体"/>
          <w:color w:val="auto"/>
          <w:sz w:val="24"/>
          <w:highlight w:val="none"/>
        </w:rPr>
        <w:t>%的价格扣除。</w:t>
      </w:r>
    </w:p>
    <w:p w14:paraId="1BD9607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31.2 享受价格扣除政策的小型、微型企业应同时符合以下条件：</w:t>
      </w:r>
    </w:p>
    <w:p w14:paraId="7D55FB6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1）符合小型、微型企业划分标准（按照“关于印发中小企业划型标准规定的通知”（工信部联企业【2011】300号）的规定划分）；</w:t>
      </w:r>
    </w:p>
    <w:p w14:paraId="6699D61C">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2）所提供的服务由符合政策要求的中小企业承接的。</w:t>
      </w:r>
    </w:p>
    <w:p w14:paraId="36B7E596">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31.3 符合《关于促进残疾人就业政府采购政策的通知》（财库〔2017〕 141号）规定的条件并提供《残疾人福利性单位声明函》的残疾人福利性单位的，视同为小型、微型企业；</w:t>
      </w:r>
    </w:p>
    <w:p w14:paraId="47EF772B">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31.4 符合</w:t>
      </w:r>
      <w:r>
        <w:rPr>
          <w:rFonts w:hint="eastAsia" w:ascii="宋体" w:hAnsi="宋体"/>
          <w:color w:val="auto"/>
          <w:sz w:val="24"/>
          <w:highlight w:val="none"/>
        </w:rPr>
        <w:t>《关于政府采购支持监狱企业发展有关问题的通知》</w:t>
      </w:r>
      <w:r>
        <w:rPr>
          <w:rFonts w:hint="eastAsia" w:ascii="宋体" w:hAnsi="宋体" w:cs="仿宋_GB2312"/>
          <w:color w:val="auto"/>
          <w:sz w:val="24"/>
          <w:highlight w:val="none"/>
        </w:rPr>
        <w:t>（财库〔2014〕68号）规定的监狱企业并</w:t>
      </w:r>
      <w:r>
        <w:rPr>
          <w:rFonts w:hint="eastAsia" w:ascii="宋体" w:hAnsi="宋体"/>
          <w:color w:val="auto"/>
          <w:sz w:val="24"/>
          <w:highlight w:val="none"/>
        </w:rPr>
        <w:t>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出具的属于监狱企业的证明文件的，</w:t>
      </w:r>
      <w:r>
        <w:rPr>
          <w:rFonts w:hint="eastAsia" w:ascii="宋体" w:hAnsi="宋体" w:cs="仿宋_GB2312"/>
          <w:color w:val="auto"/>
          <w:sz w:val="24"/>
          <w:highlight w:val="none"/>
        </w:rPr>
        <w:t>视同为小型、微型企业；</w:t>
      </w:r>
    </w:p>
    <w:p w14:paraId="48BB97F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31.5 符合小微企业划分标准的个体工商户的，视同为小型、微型企业。</w:t>
      </w:r>
    </w:p>
    <w:p w14:paraId="5FC2D04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1</w:t>
      </w:r>
      <w:r>
        <w:rPr>
          <w:rFonts w:ascii="宋体" w:hAnsi="宋体" w:cs="仿宋_GB2312"/>
          <w:color w:val="auto"/>
          <w:sz w:val="24"/>
          <w:highlight w:val="none"/>
        </w:rPr>
        <w:t>.</w:t>
      </w:r>
      <w:r>
        <w:rPr>
          <w:rFonts w:hint="eastAsia" w:ascii="宋体" w:hAnsi="宋体" w:cs="仿宋_GB2312"/>
          <w:color w:val="auto"/>
          <w:sz w:val="24"/>
          <w:highlight w:val="none"/>
        </w:rPr>
        <w:t>6依据财库〔2020〕46号和</w:t>
      </w:r>
      <w:r>
        <w:rPr>
          <w:rFonts w:ascii="宋体" w:hAnsi="宋体" w:cs="仿宋_GB2312"/>
          <w:color w:val="auto"/>
          <w:sz w:val="24"/>
          <w:highlight w:val="none"/>
          <w:lang w:bidi="ar"/>
        </w:rPr>
        <w:t>财库〔2022〕19 号</w:t>
      </w:r>
      <w:r>
        <w:rPr>
          <w:rFonts w:hint="eastAsia" w:ascii="宋体" w:hAnsi="宋体" w:cs="仿宋_GB2312"/>
          <w:color w:val="auto"/>
          <w:sz w:val="24"/>
          <w:highlight w:val="none"/>
        </w:rPr>
        <w:t>文件，小型、微型企业参加联合体投标并在联合体协议中明确其在合同金额占联合体合同总金额30%以上的，</w:t>
      </w:r>
      <w:r>
        <w:rPr>
          <w:rFonts w:ascii="宋体" w:hAnsi="宋体"/>
          <w:color w:val="auto"/>
          <w:sz w:val="24"/>
          <w:highlight w:val="none"/>
        </w:rPr>
        <w:t>可给予联合体</w:t>
      </w:r>
      <w:r>
        <w:rPr>
          <w:rFonts w:hint="eastAsia" w:ascii="宋体" w:hAnsi="宋体"/>
          <w:color w:val="auto"/>
          <w:sz w:val="24"/>
          <w:highlight w:val="none"/>
        </w:rPr>
        <w:t>4</w:t>
      </w:r>
      <w:r>
        <w:rPr>
          <w:rFonts w:ascii="宋体" w:hAnsi="宋体"/>
          <w:color w:val="auto"/>
          <w:sz w:val="24"/>
          <w:highlight w:val="none"/>
        </w:rPr>
        <w:t>%的价格扣除。</w:t>
      </w:r>
    </w:p>
    <w:p w14:paraId="4FBD07F0">
      <w:pPr>
        <w:adjustRightInd w:val="0"/>
        <w:snapToGrid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九 询问和质疑</w:t>
      </w:r>
    </w:p>
    <w:p w14:paraId="21E65B5B">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32. 询问</w:t>
      </w:r>
    </w:p>
    <w:p w14:paraId="1D4B6B6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32.1</w:t>
      </w:r>
      <w:r>
        <w:rPr>
          <w:rFonts w:ascii="宋体" w:hAnsi="宋体" w:cs="仿宋_GB2312"/>
          <w:color w:val="auto"/>
          <w:sz w:val="24"/>
          <w:highlight w:val="none"/>
        </w:rPr>
        <w:t>供应商对政府采购活动事项</w:t>
      </w:r>
      <w:r>
        <w:rPr>
          <w:rFonts w:hint="eastAsia" w:ascii="宋体" w:hAnsi="宋体" w:cs="仿宋_GB2312"/>
          <w:color w:val="auto"/>
          <w:sz w:val="24"/>
          <w:highlight w:val="none"/>
        </w:rPr>
        <w:t>（招标文件、招标过程和中标结果）</w:t>
      </w:r>
      <w:r>
        <w:rPr>
          <w:rFonts w:ascii="宋体" w:hAnsi="宋体" w:cs="仿宋_GB2312"/>
          <w:color w:val="auto"/>
          <w:sz w:val="24"/>
          <w:highlight w:val="none"/>
        </w:rPr>
        <w:t>有疑问的，可以向采购人</w:t>
      </w:r>
      <w:r>
        <w:rPr>
          <w:rFonts w:hint="eastAsia" w:ascii="宋体" w:hAnsi="宋体" w:cs="仿宋_GB2312"/>
          <w:color w:val="auto"/>
          <w:sz w:val="24"/>
          <w:highlight w:val="none"/>
        </w:rPr>
        <w:t>或采购代理机构</w:t>
      </w:r>
      <w:r>
        <w:rPr>
          <w:rFonts w:ascii="宋体" w:hAnsi="宋体" w:cs="仿宋_GB2312"/>
          <w:color w:val="auto"/>
          <w:sz w:val="24"/>
          <w:highlight w:val="none"/>
        </w:rPr>
        <w:t>提出询问，采购人</w:t>
      </w:r>
      <w:r>
        <w:rPr>
          <w:rFonts w:hint="eastAsia" w:ascii="宋体" w:hAnsi="宋体" w:cs="仿宋_GB2312"/>
          <w:color w:val="auto"/>
          <w:sz w:val="24"/>
          <w:highlight w:val="none"/>
        </w:rPr>
        <w:t>或采购代理机构将在3个工作日内</w:t>
      </w:r>
      <w:r>
        <w:rPr>
          <w:rFonts w:ascii="宋体" w:hAnsi="宋体" w:cs="仿宋_GB2312"/>
          <w:color w:val="auto"/>
          <w:sz w:val="24"/>
          <w:highlight w:val="none"/>
        </w:rPr>
        <w:t>作出答复，但答复的内容不得涉及商业秘密。</w:t>
      </w:r>
      <w:r>
        <w:rPr>
          <w:rFonts w:hint="eastAsia" w:ascii="宋体" w:hAnsi="宋体" w:cs="仿宋_GB2312"/>
          <w:color w:val="auto"/>
          <w:sz w:val="24"/>
          <w:highlight w:val="none"/>
        </w:rPr>
        <w:t>询问可以口头方式提出，也可以书面方式提出，书面方式包括但不限于信函、电子邮件。</w:t>
      </w:r>
    </w:p>
    <w:p w14:paraId="7163405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 质疑</w:t>
      </w:r>
    </w:p>
    <w:p w14:paraId="07A8ADE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33.1</w:t>
      </w:r>
      <w:r>
        <w:rPr>
          <w:rFonts w:ascii="宋体" w:hAnsi="宋体" w:cs="仿宋_GB2312"/>
          <w:color w:val="auto"/>
          <w:sz w:val="24"/>
          <w:highlight w:val="none"/>
        </w:rPr>
        <w:t>供应商认为</w:t>
      </w:r>
      <w:r>
        <w:rPr>
          <w:rFonts w:hint="eastAsia" w:ascii="宋体" w:hAnsi="宋体" w:cs="仿宋_GB2312"/>
          <w:color w:val="auto"/>
          <w:sz w:val="24"/>
          <w:highlight w:val="none"/>
        </w:rPr>
        <w:t>招标</w:t>
      </w:r>
      <w:r>
        <w:rPr>
          <w:rFonts w:ascii="宋体" w:hAnsi="宋体" w:cs="仿宋_GB2312"/>
          <w:color w:val="auto"/>
          <w:sz w:val="24"/>
          <w:highlight w:val="none"/>
        </w:rPr>
        <w:t>文件、</w:t>
      </w:r>
      <w:r>
        <w:rPr>
          <w:rFonts w:hint="eastAsia" w:ascii="宋体" w:hAnsi="宋体" w:cs="仿宋_GB2312"/>
          <w:color w:val="auto"/>
          <w:sz w:val="24"/>
          <w:highlight w:val="none"/>
        </w:rPr>
        <w:t>招标</w:t>
      </w:r>
      <w:r>
        <w:rPr>
          <w:rFonts w:ascii="宋体" w:hAnsi="宋体" w:cs="仿宋_GB2312"/>
          <w:color w:val="auto"/>
          <w:sz w:val="24"/>
          <w:highlight w:val="none"/>
        </w:rPr>
        <w:t>过程、中标结果使自己的权益受到损害的，可以在知道或者应知其权益受到损害之日起7个工作日内，以书面形式向采购人、采购代理机构提出质疑。</w:t>
      </w:r>
    </w:p>
    <w:p w14:paraId="6D24AF2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33.2供应商应知其权益受到损害之日，是指：</w:t>
      </w:r>
    </w:p>
    <w:p w14:paraId="3360D133">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（一）对本项目招标文件提出质疑的，为按要求购买获取招标文件之日；</w:t>
      </w:r>
    </w:p>
    <w:p w14:paraId="24465D95">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（二）对招标过程提出质疑的，为各采购程序环节结束之日；</w:t>
      </w:r>
    </w:p>
    <w:p w14:paraId="3A80DE9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（三）对中标结果提出质疑的，为中标结果公告期限届满之日。</w:t>
      </w:r>
    </w:p>
    <w:p w14:paraId="7CE923CB">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33.3 </w:t>
      </w:r>
      <w:r>
        <w:rPr>
          <w:rFonts w:ascii="宋体" w:hAnsi="宋体" w:cs="仿宋_GB2312"/>
          <w:color w:val="auto"/>
          <w:sz w:val="24"/>
          <w:highlight w:val="none"/>
        </w:rPr>
        <w:t>提出质疑的供应商</w:t>
      </w:r>
      <w:r>
        <w:rPr>
          <w:rFonts w:hint="eastAsia" w:ascii="宋体" w:hAnsi="宋体" w:cs="仿宋_GB2312"/>
          <w:color w:val="auto"/>
          <w:sz w:val="24"/>
          <w:highlight w:val="none"/>
        </w:rPr>
        <w:t>（简称质疑供应商）</w:t>
      </w:r>
      <w:r>
        <w:rPr>
          <w:rFonts w:ascii="宋体" w:hAnsi="宋体" w:cs="仿宋_GB2312"/>
          <w:color w:val="auto"/>
          <w:sz w:val="24"/>
          <w:highlight w:val="none"/>
        </w:rPr>
        <w:t>应当是参与所质疑项目采购活动的供应商。潜在供应商已</w:t>
      </w:r>
      <w:r>
        <w:rPr>
          <w:rFonts w:hint="eastAsia" w:ascii="宋体" w:hAnsi="宋体" w:cs="仿宋_GB2312"/>
          <w:color w:val="auto"/>
          <w:sz w:val="24"/>
          <w:highlight w:val="none"/>
        </w:rPr>
        <w:t>按要求购买招标</w:t>
      </w:r>
      <w:r>
        <w:rPr>
          <w:rFonts w:ascii="宋体" w:hAnsi="宋体" w:cs="仿宋_GB2312"/>
          <w:color w:val="auto"/>
          <w:sz w:val="24"/>
          <w:highlight w:val="none"/>
        </w:rPr>
        <w:t>文件的，可以</w:t>
      </w:r>
      <w:r>
        <w:rPr>
          <w:rFonts w:hint="eastAsia" w:ascii="宋体" w:hAnsi="宋体" w:cs="仿宋_GB2312"/>
          <w:color w:val="auto"/>
          <w:sz w:val="24"/>
          <w:highlight w:val="none"/>
        </w:rPr>
        <w:t>按规定对招标</w:t>
      </w:r>
      <w:r>
        <w:rPr>
          <w:rFonts w:ascii="宋体" w:hAnsi="宋体" w:cs="仿宋_GB2312"/>
          <w:color w:val="auto"/>
          <w:sz w:val="24"/>
          <w:highlight w:val="none"/>
        </w:rPr>
        <w:t>文件提出质疑。</w:t>
      </w:r>
    </w:p>
    <w:p w14:paraId="170F1F21">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33.4</w:t>
      </w:r>
      <w:r>
        <w:rPr>
          <w:rFonts w:ascii="宋体" w:hAnsi="宋体" w:cs="仿宋_GB2312"/>
          <w:color w:val="auto"/>
          <w:sz w:val="24"/>
          <w:highlight w:val="none"/>
        </w:rPr>
        <w:t>供应商</w:t>
      </w:r>
      <w:r>
        <w:rPr>
          <w:rFonts w:hint="eastAsia" w:ascii="宋体" w:hAnsi="宋体" w:cs="仿宋_GB2312"/>
          <w:color w:val="auto"/>
          <w:sz w:val="24"/>
          <w:highlight w:val="none"/>
        </w:rPr>
        <w:t>应</w:t>
      </w:r>
      <w:r>
        <w:rPr>
          <w:rFonts w:ascii="宋体" w:hAnsi="宋体" w:cs="仿宋_GB2312"/>
          <w:color w:val="auto"/>
          <w:sz w:val="24"/>
          <w:highlight w:val="none"/>
        </w:rPr>
        <w:t>在法定质疑期内一次性提出针对同一采购程序环节的质疑。</w:t>
      </w:r>
      <w:r>
        <w:rPr>
          <w:rFonts w:hint="eastAsia" w:ascii="宋体" w:hAnsi="宋体" w:cs="仿宋_GB2312"/>
          <w:color w:val="auto"/>
          <w:sz w:val="24"/>
          <w:highlight w:val="none"/>
        </w:rPr>
        <w:t>质疑期外提出的质疑及针对同一采购程序环节非“一次性提出”的质疑，采购代理机构将不予受理。</w:t>
      </w:r>
    </w:p>
    <w:p w14:paraId="3A29FC8C">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33.5</w:t>
      </w:r>
      <w:r>
        <w:rPr>
          <w:rFonts w:ascii="宋体" w:hAnsi="宋体" w:cs="仿宋_GB2312"/>
          <w:color w:val="auto"/>
          <w:sz w:val="24"/>
          <w:highlight w:val="none"/>
        </w:rPr>
        <w:t>供应商提出质疑应当提交质疑函和必要的证明材料。质疑函</w:t>
      </w:r>
      <w:r>
        <w:rPr>
          <w:rFonts w:hint="eastAsia" w:ascii="宋体" w:hAnsi="宋体" w:cs="仿宋_GB2312"/>
          <w:color w:val="auto"/>
          <w:sz w:val="24"/>
          <w:highlight w:val="none"/>
        </w:rPr>
        <w:t>的必备</w:t>
      </w:r>
      <w:r>
        <w:rPr>
          <w:rFonts w:ascii="宋体" w:hAnsi="宋体" w:cs="仿宋_GB2312"/>
          <w:color w:val="auto"/>
          <w:sz w:val="24"/>
          <w:highlight w:val="none"/>
        </w:rPr>
        <w:t>内容：</w:t>
      </w:r>
    </w:p>
    <w:p w14:paraId="77CA4C3D">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（一）供应商的姓名或者名称、地址、邮编、联系人及联系电话；</w:t>
      </w:r>
    </w:p>
    <w:p w14:paraId="26DBC80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（二）质疑项目的名称、编号；</w:t>
      </w:r>
    </w:p>
    <w:p w14:paraId="5894B45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（三）具体、明确的质疑事项和与质疑事项相关的请求；</w:t>
      </w:r>
    </w:p>
    <w:p w14:paraId="5BD74F9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（四）事实依据；</w:t>
      </w:r>
    </w:p>
    <w:p w14:paraId="6E1603FD">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（五）必要的法律依据；</w:t>
      </w:r>
    </w:p>
    <w:p w14:paraId="5DA3E57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（六）提出质疑的日期。</w:t>
      </w:r>
    </w:p>
    <w:p w14:paraId="73A6D71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供应商为自然人的，应当由本人签字；供应商为法人或者其他组织的，应当由法定代表人、主要负责人，或者其授权代表签字或者盖章，并加盖公章。</w:t>
      </w:r>
    </w:p>
    <w:p w14:paraId="6295F3B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33.6 采购人、采购代理机构收到的质疑函不符合本须知3</w:t>
      </w:r>
      <w:r>
        <w:rPr>
          <w:rFonts w:hint="eastAsia" w:ascii="宋体" w:hAnsi="宋体" w:cs="仿宋_GB2312"/>
          <w:color w:val="auto"/>
          <w:sz w:val="24"/>
          <w:highlight w:val="none"/>
          <w:lang w:val="en-US" w:eastAsia="zh-CN"/>
        </w:rPr>
        <w:t>3</w:t>
      </w:r>
      <w:r>
        <w:rPr>
          <w:rFonts w:hint="eastAsia" w:ascii="宋体" w:hAnsi="宋体" w:cs="仿宋_GB2312"/>
          <w:color w:val="auto"/>
          <w:sz w:val="24"/>
          <w:highlight w:val="none"/>
        </w:rPr>
        <w:t>.5条规定的，将一次性书面告知质疑供应商进行补正。质疑供应商应当在</w:t>
      </w:r>
      <w:bookmarkStart w:id="107" w:name="OLE_LINK15"/>
      <w:bookmarkStart w:id="108" w:name="OLE_LINK16"/>
      <w:r>
        <w:rPr>
          <w:rFonts w:hint="eastAsia" w:ascii="宋体" w:hAnsi="宋体" w:cs="仿宋_GB2312"/>
          <w:color w:val="auto"/>
          <w:sz w:val="24"/>
          <w:highlight w:val="none"/>
        </w:rPr>
        <w:t>法定质疑期限内</w:t>
      </w:r>
      <w:bookmarkEnd w:id="107"/>
      <w:bookmarkEnd w:id="108"/>
      <w:r>
        <w:rPr>
          <w:rFonts w:hint="eastAsia" w:ascii="宋体" w:hAnsi="宋体" w:cs="仿宋_GB2312"/>
          <w:color w:val="auto"/>
          <w:sz w:val="24"/>
          <w:highlight w:val="none"/>
        </w:rPr>
        <w:t>进行补正并重新提交质疑函。未按照法定质疑期限内进行补正或者补正后仍不符合规定的，质疑不予受理。</w:t>
      </w:r>
    </w:p>
    <w:p w14:paraId="2DB4224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33.7 接收质疑函的方式、联系部门、联系电话和通讯地址详见“资料表”</w:t>
      </w:r>
    </w:p>
    <w:p w14:paraId="704BE160">
      <w:pPr>
        <w:adjustRightInd w:val="0"/>
        <w:snapToGrid w:val="0"/>
        <w:spacing w:line="360" w:lineRule="auto"/>
        <w:ind w:firstLine="480" w:firstLineChars="200"/>
        <w:jc w:val="center"/>
        <w:rPr>
          <w:rFonts w:ascii="宋体" w:hAnsi="宋体"/>
          <w:b/>
          <w:color w:val="auto"/>
          <w:sz w:val="30"/>
          <w:szCs w:val="30"/>
          <w:highlight w:val="none"/>
        </w:rPr>
      </w:pPr>
      <w:r>
        <w:rPr>
          <w:rFonts w:hint="eastAsia" w:ascii="宋体" w:hAnsi="宋体" w:cs="仿宋_GB2312"/>
          <w:color w:val="auto"/>
          <w:sz w:val="24"/>
          <w:highlight w:val="none"/>
        </w:rPr>
        <w:t xml:space="preserve">33.8 </w:t>
      </w:r>
      <w:r>
        <w:rPr>
          <w:rFonts w:ascii="宋体" w:hAnsi="宋体" w:cs="仿宋_GB2312"/>
          <w:color w:val="auto"/>
          <w:sz w:val="24"/>
          <w:highlight w:val="none"/>
        </w:rPr>
        <w:t>采购人</w:t>
      </w:r>
      <w:r>
        <w:rPr>
          <w:rFonts w:hint="eastAsia" w:ascii="宋体" w:hAnsi="宋体" w:cs="仿宋_GB2312"/>
          <w:color w:val="auto"/>
          <w:sz w:val="24"/>
          <w:highlight w:val="none"/>
        </w:rPr>
        <w:t>、</w:t>
      </w:r>
      <w:r>
        <w:rPr>
          <w:rFonts w:ascii="宋体" w:hAnsi="宋体" w:cs="仿宋_GB2312"/>
          <w:color w:val="auto"/>
          <w:sz w:val="24"/>
          <w:highlight w:val="none"/>
        </w:rPr>
        <w:t>采购代理机构在收到质疑函后7个工作日内作出答复，并以书面形式通知质疑</w:t>
      </w:r>
      <w:r>
        <w:rPr>
          <w:rFonts w:hint="eastAsia" w:ascii="宋体" w:hAnsi="宋体" w:cs="仿宋_GB2312"/>
          <w:color w:val="auto"/>
          <w:sz w:val="24"/>
          <w:highlight w:val="none"/>
        </w:rPr>
        <w:t>供应商</w:t>
      </w:r>
      <w:r>
        <w:rPr>
          <w:rFonts w:ascii="宋体" w:hAnsi="宋体" w:cs="仿宋_GB2312"/>
          <w:color w:val="auto"/>
          <w:sz w:val="24"/>
          <w:highlight w:val="none"/>
        </w:rPr>
        <w:t>和其他有关</w:t>
      </w:r>
      <w:r>
        <w:rPr>
          <w:rFonts w:hint="eastAsia" w:ascii="宋体" w:hAnsi="宋体" w:cs="仿宋_GB2312"/>
          <w:color w:val="auto"/>
          <w:sz w:val="24"/>
          <w:highlight w:val="none"/>
        </w:rPr>
        <w:t>供应商，但质疑答复的内容不涉及商业秘密。</w:t>
      </w:r>
      <w:bookmarkStart w:id="109" w:name="_Toc89569875"/>
      <w:r>
        <w:rPr>
          <w:rFonts w:hAnsi="宋体" w:cs="仿宋_GB2312"/>
          <w:color w:val="auto"/>
          <w:sz w:val="24"/>
          <w:highlight w:val="none"/>
        </w:rPr>
        <w:br w:type="page"/>
      </w:r>
      <w:bookmarkStart w:id="110" w:name="_Toc129880035"/>
      <w:r>
        <w:rPr>
          <w:rFonts w:hint="eastAsia" w:ascii="宋体" w:hAnsi="宋体"/>
          <w:b/>
          <w:color w:val="auto"/>
          <w:sz w:val="30"/>
          <w:szCs w:val="30"/>
          <w:highlight w:val="none"/>
        </w:rPr>
        <w:t>第四部分 合同一般条款</w:t>
      </w:r>
      <w:bookmarkEnd w:id="109"/>
      <w:r>
        <w:rPr>
          <w:rFonts w:hint="eastAsia" w:ascii="宋体" w:hAnsi="宋体"/>
          <w:b/>
          <w:color w:val="auto"/>
          <w:sz w:val="30"/>
          <w:szCs w:val="30"/>
          <w:highlight w:val="none"/>
        </w:rPr>
        <w:t>及格式</w:t>
      </w:r>
      <w:bookmarkEnd w:id="110"/>
    </w:p>
    <w:p w14:paraId="2A120614">
      <w:pPr>
        <w:keepNext/>
        <w:keepLines/>
        <w:tabs>
          <w:tab w:val="left" w:pos="900"/>
          <w:tab w:val="left" w:pos="1080"/>
        </w:tabs>
        <w:autoSpaceDE w:val="0"/>
        <w:autoSpaceDN w:val="0"/>
        <w:adjustRightInd w:val="0"/>
        <w:spacing w:before="120" w:after="120" w:line="360" w:lineRule="auto"/>
        <w:jc w:val="left"/>
        <w:outlineLvl w:val="2"/>
        <w:rPr>
          <w:b/>
          <w:bCs/>
          <w:color w:val="auto"/>
          <w:kern w:val="0"/>
          <w:sz w:val="24"/>
          <w:highlight w:val="none"/>
        </w:rPr>
      </w:pPr>
      <w:bookmarkStart w:id="111" w:name="_Ref467379195"/>
      <w:bookmarkStart w:id="112" w:name="_Ref467379214"/>
      <w:bookmarkStart w:id="113" w:name="_Ref467378499"/>
      <w:bookmarkStart w:id="114" w:name="_Ref467379225"/>
      <w:bookmarkStart w:id="115" w:name="_Toc55603753"/>
      <w:bookmarkStart w:id="116" w:name="_Ref467379109"/>
      <w:bookmarkStart w:id="117" w:name="_Ref467379101"/>
      <w:bookmarkStart w:id="118" w:name="_Toc487900349"/>
      <w:bookmarkStart w:id="119" w:name="_Ref467379094"/>
      <w:bookmarkStart w:id="120" w:name="_Ref467378404"/>
      <w:bookmarkStart w:id="121" w:name="_Ref467378463"/>
      <w:bookmarkStart w:id="122" w:name="_Toc99960268"/>
      <w:bookmarkStart w:id="123" w:name="_Ref467379205"/>
      <w:r>
        <w:rPr>
          <w:rFonts w:eastAsia="仿宋"/>
          <w:b/>
          <w:bCs/>
          <w:color w:val="auto"/>
          <w:kern w:val="0"/>
          <w:sz w:val="24"/>
          <w:highlight w:val="none"/>
        </w:rPr>
        <w:t xml:space="preserve">1   </w:t>
      </w:r>
      <w:r>
        <w:rPr>
          <w:b/>
          <w:bCs/>
          <w:color w:val="auto"/>
          <w:kern w:val="0"/>
          <w:sz w:val="24"/>
          <w:highlight w:val="none"/>
        </w:rPr>
        <w:t>定义</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107FFDD1">
      <w:pPr>
        <w:tabs>
          <w:tab w:val="left" w:pos="720"/>
        </w:tabs>
        <w:spacing w:before="120" w:after="120" w:line="360" w:lineRule="auto"/>
        <w:ind w:firstLine="480" w:firstLineChars="200"/>
        <w:rPr>
          <w:color w:val="auto"/>
          <w:sz w:val="24"/>
          <w:szCs w:val="21"/>
          <w:highlight w:val="none"/>
        </w:rPr>
      </w:pPr>
      <w:r>
        <w:rPr>
          <w:color w:val="auto"/>
          <w:sz w:val="24"/>
          <w:szCs w:val="21"/>
          <w:highlight w:val="none"/>
        </w:rPr>
        <w:t>本合同中的下列术语应解释为：</w:t>
      </w:r>
    </w:p>
    <w:p w14:paraId="1938F885">
      <w:pPr>
        <w:tabs>
          <w:tab w:val="left" w:pos="720"/>
        </w:tabs>
        <w:spacing w:before="120" w:after="120" w:line="360" w:lineRule="auto"/>
        <w:ind w:left="720" w:hanging="720" w:hangingChars="300"/>
        <w:rPr>
          <w:color w:val="auto"/>
          <w:sz w:val="24"/>
          <w:highlight w:val="none"/>
        </w:rPr>
      </w:pPr>
      <w:r>
        <w:rPr>
          <w:color w:val="auto"/>
          <w:sz w:val="24"/>
          <w:highlight w:val="none"/>
        </w:rPr>
        <w:t>1.1  “合同”系指买卖双方签署的、合同格式中载明的买卖双方所达成的协议， 包括所有的附件、附录和构成合同的其它文件。</w:t>
      </w:r>
    </w:p>
    <w:p w14:paraId="39A2C5A2">
      <w:pPr>
        <w:tabs>
          <w:tab w:val="left" w:pos="720"/>
        </w:tabs>
        <w:spacing w:before="120" w:after="120" w:line="360" w:lineRule="auto"/>
        <w:ind w:left="720" w:hanging="720" w:hangingChars="300"/>
        <w:rPr>
          <w:color w:val="auto"/>
          <w:sz w:val="24"/>
          <w:highlight w:val="none"/>
        </w:rPr>
      </w:pPr>
      <w:r>
        <w:rPr>
          <w:color w:val="auto"/>
          <w:sz w:val="24"/>
          <w:highlight w:val="none"/>
        </w:rPr>
        <w:t>1.2  “合同价”系指根据合同约定，卖方在完全履行合同义务后买方应付给卖方的价格。</w:t>
      </w:r>
    </w:p>
    <w:p w14:paraId="34849DFC">
      <w:pPr>
        <w:tabs>
          <w:tab w:val="left" w:pos="720"/>
        </w:tabs>
        <w:spacing w:before="120" w:after="120" w:line="360" w:lineRule="auto"/>
        <w:ind w:left="720" w:hanging="720" w:hangingChars="300"/>
        <w:rPr>
          <w:color w:val="auto"/>
          <w:sz w:val="24"/>
          <w:highlight w:val="none"/>
        </w:rPr>
      </w:pPr>
      <w:r>
        <w:rPr>
          <w:color w:val="auto"/>
          <w:sz w:val="24"/>
          <w:highlight w:val="none"/>
        </w:rPr>
        <w:t>1.3  “货物”系指卖方根据合同约定须向买方提供的一切设备、机械、仪表、备件，包括工具、手册等其它相关资料。</w:t>
      </w:r>
    </w:p>
    <w:p w14:paraId="5EADA6FC">
      <w:pPr>
        <w:tabs>
          <w:tab w:val="left" w:pos="720"/>
        </w:tabs>
        <w:spacing w:before="120" w:after="120" w:line="360" w:lineRule="auto"/>
        <w:ind w:left="720" w:hanging="720" w:hangingChars="300"/>
        <w:rPr>
          <w:color w:val="auto"/>
          <w:sz w:val="24"/>
          <w:highlight w:val="none"/>
        </w:rPr>
      </w:pPr>
      <w:r>
        <w:rPr>
          <w:color w:val="auto"/>
          <w:sz w:val="24"/>
          <w:highlight w:val="none"/>
        </w:rPr>
        <w:t>1.4  “服务”系指根据合同约定卖方承担与供货有关的辅助服务，如运输、保险及安装、调试、提供技术援助、培训和其他类似的服务。</w:t>
      </w:r>
    </w:p>
    <w:p w14:paraId="46EBF49A">
      <w:pPr>
        <w:tabs>
          <w:tab w:val="left" w:pos="720"/>
        </w:tabs>
        <w:spacing w:before="120" w:after="120" w:line="360" w:lineRule="auto"/>
        <w:rPr>
          <w:color w:val="auto"/>
          <w:sz w:val="24"/>
          <w:highlight w:val="none"/>
        </w:rPr>
      </w:pPr>
      <w:bookmarkStart w:id="124" w:name="_Ref467378840"/>
      <w:r>
        <w:rPr>
          <w:color w:val="auto"/>
          <w:sz w:val="24"/>
          <w:highlight w:val="none"/>
        </w:rPr>
        <w:t>1.5  “买方”系指与中标人签署供货合同的单位（含最终用户）。</w:t>
      </w:r>
      <w:bookmarkEnd w:id="124"/>
    </w:p>
    <w:p w14:paraId="651396BA">
      <w:pPr>
        <w:tabs>
          <w:tab w:val="left" w:pos="720"/>
        </w:tabs>
        <w:spacing w:before="120" w:after="120" w:line="360" w:lineRule="auto"/>
        <w:rPr>
          <w:color w:val="auto"/>
          <w:sz w:val="24"/>
          <w:highlight w:val="none"/>
        </w:rPr>
      </w:pPr>
      <w:bookmarkStart w:id="125" w:name="_Ref467379400"/>
      <w:r>
        <w:rPr>
          <w:color w:val="auto"/>
          <w:sz w:val="24"/>
          <w:highlight w:val="none"/>
        </w:rPr>
        <w:t>1.6  “卖方”系指根据合同约定提供货物及相关服务的中标人。</w:t>
      </w:r>
      <w:bookmarkEnd w:id="125"/>
    </w:p>
    <w:p w14:paraId="3B8A5528">
      <w:pPr>
        <w:tabs>
          <w:tab w:val="left" w:pos="720"/>
        </w:tabs>
        <w:spacing w:before="120" w:after="120" w:line="360" w:lineRule="auto"/>
        <w:rPr>
          <w:color w:val="auto"/>
          <w:sz w:val="24"/>
          <w:highlight w:val="none"/>
        </w:rPr>
      </w:pPr>
      <w:bookmarkStart w:id="126" w:name="_Ref467379436"/>
      <w:r>
        <w:rPr>
          <w:color w:val="auto"/>
          <w:sz w:val="24"/>
          <w:highlight w:val="none"/>
        </w:rPr>
        <w:t>1.7  “项目现场”系指合同约定货物将要运至和安装的地点。</w:t>
      </w:r>
      <w:bookmarkEnd w:id="126"/>
    </w:p>
    <w:p w14:paraId="44F1B579">
      <w:pPr>
        <w:tabs>
          <w:tab w:val="left" w:pos="720"/>
        </w:tabs>
        <w:spacing w:before="120" w:after="120" w:line="360" w:lineRule="auto"/>
        <w:ind w:left="720" w:hanging="720" w:hangingChars="300"/>
        <w:rPr>
          <w:color w:val="auto"/>
          <w:sz w:val="24"/>
          <w:highlight w:val="none"/>
        </w:rPr>
      </w:pPr>
      <w:r>
        <w:rPr>
          <w:rFonts w:hint="eastAsia"/>
          <w:color w:val="auto"/>
          <w:sz w:val="24"/>
          <w:highlight w:val="none"/>
        </w:rPr>
        <w:t>1.8 交货时间要求及交货地点要求</w:t>
      </w:r>
      <w:r>
        <w:rPr>
          <w:color w:val="auto"/>
          <w:sz w:val="24"/>
          <w:szCs w:val="21"/>
          <w:highlight w:val="none"/>
        </w:rPr>
        <w:t>见第</w:t>
      </w:r>
      <w:r>
        <w:rPr>
          <w:rFonts w:hint="eastAsia"/>
          <w:color w:val="auto"/>
          <w:sz w:val="24"/>
          <w:szCs w:val="21"/>
          <w:highlight w:val="none"/>
        </w:rPr>
        <w:t>五部分</w:t>
      </w:r>
      <w:r>
        <w:rPr>
          <w:color w:val="auto"/>
          <w:sz w:val="24"/>
          <w:szCs w:val="21"/>
          <w:highlight w:val="none"/>
        </w:rPr>
        <w:t>“合同特殊条款”。</w:t>
      </w:r>
    </w:p>
    <w:p w14:paraId="07CBC9EA">
      <w:pPr>
        <w:tabs>
          <w:tab w:val="left" w:pos="720"/>
        </w:tabs>
        <w:spacing w:before="120" w:after="120" w:line="360" w:lineRule="auto"/>
        <w:ind w:left="720" w:hanging="720" w:hangingChars="300"/>
        <w:rPr>
          <w:color w:val="auto"/>
          <w:sz w:val="24"/>
          <w:highlight w:val="none"/>
        </w:rPr>
      </w:pPr>
      <w:r>
        <w:rPr>
          <w:rFonts w:hint="eastAsia"/>
          <w:color w:val="auto"/>
          <w:sz w:val="24"/>
          <w:highlight w:val="none"/>
        </w:rPr>
        <w:t>1.9 质量保证期</w:t>
      </w:r>
      <w:r>
        <w:rPr>
          <w:color w:val="auto"/>
          <w:sz w:val="24"/>
          <w:szCs w:val="21"/>
          <w:highlight w:val="none"/>
        </w:rPr>
        <w:t>见第</w:t>
      </w:r>
      <w:r>
        <w:rPr>
          <w:rFonts w:hint="eastAsia"/>
          <w:color w:val="auto"/>
          <w:sz w:val="24"/>
          <w:szCs w:val="21"/>
          <w:highlight w:val="none"/>
        </w:rPr>
        <w:t>五部分</w:t>
      </w:r>
      <w:r>
        <w:rPr>
          <w:color w:val="auto"/>
          <w:sz w:val="24"/>
          <w:szCs w:val="21"/>
          <w:highlight w:val="none"/>
        </w:rPr>
        <w:t>“合同特殊条款”。</w:t>
      </w:r>
    </w:p>
    <w:p w14:paraId="300DB927">
      <w:pPr>
        <w:tabs>
          <w:tab w:val="left" w:pos="720"/>
        </w:tabs>
        <w:spacing w:before="120" w:after="120" w:line="360" w:lineRule="auto"/>
        <w:ind w:left="720" w:hanging="720" w:hangingChars="300"/>
        <w:rPr>
          <w:color w:val="auto"/>
          <w:sz w:val="24"/>
          <w:highlight w:val="none"/>
        </w:rPr>
      </w:pPr>
      <w:r>
        <w:rPr>
          <w:color w:val="auto"/>
          <w:sz w:val="24"/>
          <w:highlight w:val="none"/>
        </w:rPr>
        <w:t>1.</w:t>
      </w:r>
      <w:r>
        <w:rPr>
          <w:rFonts w:hint="eastAsia"/>
          <w:color w:val="auto"/>
          <w:sz w:val="24"/>
          <w:highlight w:val="none"/>
        </w:rPr>
        <w:t>10</w:t>
      </w:r>
      <w:r>
        <w:rPr>
          <w:color w:val="auto"/>
          <w:sz w:val="24"/>
          <w:highlight w:val="none"/>
        </w:rPr>
        <w:t xml:space="preserve">  “验收”系指合同双方依据强制性的国家技术质量规范和合同约定，确认合同项下的货物符合合同规定的活动。</w:t>
      </w:r>
    </w:p>
    <w:p w14:paraId="1984C7EA">
      <w:pPr>
        <w:keepNext/>
        <w:keepLines/>
        <w:autoSpaceDE w:val="0"/>
        <w:autoSpaceDN w:val="0"/>
        <w:adjustRightInd w:val="0"/>
        <w:spacing w:before="120" w:after="120" w:line="360" w:lineRule="auto"/>
        <w:jc w:val="left"/>
        <w:outlineLvl w:val="2"/>
        <w:rPr>
          <w:b/>
          <w:bCs/>
          <w:color w:val="auto"/>
          <w:kern w:val="0"/>
          <w:sz w:val="24"/>
          <w:highlight w:val="none"/>
        </w:rPr>
      </w:pPr>
      <w:bookmarkStart w:id="127" w:name="_Toc99960269"/>
      <w:bookmarkStart w:id="128" w:name="_Toc487900350"/>
      <w:bookmarkStart w:id="129" w:name="_Toc55603754"/>
      <w:r>
        <w:rPr>
          <w:b/>
          <w:bCs/>
          <w:color w:val="auto"/>
          <w:kern w:val="0"/>
          <w:sz w:val="24"/>
          <w:highlight w:val="none"/>
        </w:rPr>
        <w:t>2    技术规范</w:t>
      </w:r>
      <w:bookmarkEnd w:id="127"/>
      <w:bookmarkEnd w:id="128"/>
      <w:bookmarkEnd w:id="129"/>
    </w:p>
    <w:p w14:paraId="15F61F12">
      <w:pPr>
        <w:tabs>
          <w:tab w:val="left" w:pos="900"/>
        </w:tabs>
        <w:spacing w:before="120" w:after="120" w:line="360" w:lineRule="auto"/>
        <w:ind w:left="720" w:hanging="720" w:hangingChars="300"/>
        <w:rPr>
          <w:color w:val="auto"/>
          <w:sz w:val="24"/>
          <w:szCs w:val="21"/>
          <w:highlight w:val="none"/>
        </w:rPr>
      </w:pPr>
      <w:r>
        <w:rPr>
          <w:color w:val="auto"/>
          <w:sz w:val="24"/>
          <w:szCs w:val="21"/>
          <w:highlight w:val="none"/>
        </w:rPr>
        <w:t>2.1   提供服务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1E12BED2">
      <w:pPr>
        <w:keepNext/>
        <w:keepLines/>
        <w:autoSpaceDE w:val="0"/>
        <w:autoSpaceDN w:val="0"/>
        <w:adjustRightInd w:val="0"/>
        <w:spacing w:before="120" w:after="120" w:line="360" w:lineRule="auto"/>
        <w:jc w:val="left"/>
        <w:outlineLvl w:val="2"/>
        <w:rPr>
          <w:b/>
          <w:bCs/>
          <w:color w:val="auto"/>
          <w:kern w:val="0"/>
          <w:sz w:val="24"/>
          <w:highlight w:val="none"/>
        </w:rPr>
      </w:pPr>
      <w:bookmarkStart w:id="130" w:name="_Toc487900351"/>
      <w:bookmarkStart w:id="131" w:name="_Toc99960270"/>
      <w:bookmarkStart w:id="132" w:name="_Toc55603755"/>
      <w:r>
        <w:rPr>
          <w:b/>
          <w:bCs/>
          <w:color w:val="auto"/>
          <w:kern w:val="0"/>
          <w:sz w:val="24"/>
          <w:highlight w:val="none"/>
        </w:rPr>
        <w:t>3    知识产权</w:t>
      </w:r>
      <w:bookmarkEnd w:id="130"/>
      <w:bookmarkEnd w:id="131"/>
      <w:bookmarkEnd w:id="132"/>
    </w:p>
    <w:p w14:paraId="502F4A7E">
      <w:pPr>
        <w:spacing w:before="120" w:after="120" w:line="360" w:lineRule="auto"/>
        <w:ind w:left="720" w:hanging="720" w:hangingChars="300"/>
        <w:rPr>
          <w:color w:val="auto"/>
          <w:sz w:val="24"/>
          <w:szCs w:val="21"/>
          <w:highlight w:val="none"/>
        </w:rPr>
      </w:pPr>
      <w:r>
        <w:rPr>
          <w:color w:val="auto"/>
          <w:sz w:val="24"/>
          <w:szCs w:val="21"/>
          <w:highlight w:val="none"/>
        </w:rPr>
        <w:t>3.1   卖方应保证买方在使用该货物或其任何一部分时不受第三方提出的侵犯专利权、著作权、商标权和工业设计权等的起诉。如果任何第三方提出侵权指控， 卖方须与第三方交涉并承担由此发生的一切责任、费用和经济赔偿。</w:t>
      </w:r>
    </w:p>
    <w:p w14:paraId="41499333">
      <w:pPr>
        <w:keepNext/>
        <w:keepLines/>
        <w:autoSpaceDE w:val="0"/>
        <w:autoSpaceDN w:val="0"/>
        <w:adjustRightInd w:val="0"/>
        <w:spacing w:before="120" w:after="120" w:line="360" w:lineRule="auto"/>
        <w:jc w:val="left"/>
        <w:outlineLvl w:val="2"/>
        <w:rPr>
          <w:b/>
          <w:bCs/>
          <w:color w:val="auto"/>
          <w:kern w:val="0"/>
          <w:sz w:val="24"/>
          <w:highlight w:val="none"/>
        </w:rPr>
      </w:pPr>
      <w:bookmarkStart w:id="133" w:name="_Ref467379793"/>
      <w:bookmarkStart w:id="134" w:name="_Toc55603756"/>
      <w:bookmarkStart w:id="135" w:name="_Toc99960275"/>
      <w:bookmarkStart w:id="136" w:name="_Toc487900357"/>
      <w:bookmarkStart w:id="137" w:name="_Ref467379807"/>
      <w:r>
        <w:rPr>
          <w:b/>
          <w:bCs/>
          <w:color w:val="auto"/>
          <w:kern w:val="0"/>
          <w:sz w:val="24"/>
          <w:highlight w:val="none"/>
        </w:rPr>
        <w:t>4    付款条件</w:t>
      </w:r>
      <w:bookmarkEnd w:id="133"/>
      <w:bookmarkEnd w:id="134"/>
      <w:bookmarkEnd w:id="135"/>
      <w:bookmarkEnd w:id="136"/>
      <w:bookmarkEnd w:id="137"/>
    </w:p>
    <w:p w14:paraId="3EA0D3AF">
      <w:pPr>
        <w:spacing w:before="120" w:after="120" w:line="360" w:lineRule="auto"/>
        <w:ind w:left="735" w:leftChars="350"/>
        <w:rPr>
          <w:color w:val="auto"/>
          <w:sz w:val="24"/>
          <w:szCs w:val="21"/>
          <w:highlight w:val="none"/>
        </w:rPr>
      </w:pPr>
      <w:r>
        <w:rPr>
          <w:color w:val="auto"/>
          <w:sz w:val="24"/>
          <w:szCs w:val="21"/>
          <w:highlight w:val="none"/>
        </w:rPr>
        <w:t>付款条件见第</w:t>
      </w:r>
      <w:r>
        <w:rPr>
          <w:rFonts w:hint="eastAsia"/>
          <w:color w:val="auto"/>
          <w:sz w:val="24"/>
          <w:szCs w:val="21"/>
          <w:highlight w:val="none"/>
        </w:rPr>
        <w:t>五部分</w:t>
      </w:r>
      <w:r>
        <w:rPr>
          <w:color w:val="auto"/>
          <w:sz w:val="24"/>
          <w:szCs w:val="21"/>
          <w:highlight w:val="none"/>
        </w:rPr>
        <w:t>“合同特殊条款”。</w:t>
      </w:r>
    </w:p>
    <w:p w14:paraId="3AE5B758">
      <w:pPr>
        <w:keepNext/>
        <w:keepLines/>
        <w:autoSpaceDE w:val="0"/>
        <w:autoSpaceDN w:val="0"/>
        <w:adjustRightInd w:val="0"/>
        <w:spacing w:before="120" w:after="120" w:line="360" w:lineRule="auto"/>
        <w:jc w:val="left"/>
        <w:outlineLvl w:val="2"/>
        <w:rPr>
          <w:b/>
          <w:bCs/>
          <w:color w:val="auto"/>
          <w:kern w:val="0"/>
          <w:sz w:val="24"/>
          <w:highlight w:val="none"/>
        </w:rPr>
      </w:pPr>
      <w:bookmarkStart w:id="138" w:name="_Toc55603757"/>
      <w:bookmarkStart w:id="139" w:name="_Toc99960281"/>
      <w:bookmarkStart w:id="140" w:name="_Toc487900363"/>
      <w:r>
        <w:rPr>
          <w:b/>
          <w:bCs/>
          <w:color w:val="auto"/>
          <w:kern w:val="0"/>
          <w:sz w:val="24"/>
          <w:highlight w:val="none"/>
        </w:rPr>
        <w:t>5    违约赔偿</w:t>
      </w:r>
      <w:bookmarkEnd w:id="138"/>
      <w:bookmarkEnd w:id="139"/>
      <w:bookmarkEnd w:id="140"/>
    </w:p>
    <w:p w14:paraId="19B76B7C">
      <w:pPr>
        <w:spacing w:before="120" w:after="120" w:line="360" w:lineRule="auto"/>
        <w:ind w:left="720" w:hanging="720" w:hangingChars="300"/>
        <w:rPr>
          <w:color w:val="auto"/>
          <w:sz w:val="24"/>
          <w:szCs w:val="21"/>
          <w:highlight w:val="none"/>
        </w:rPr>
      </w:pPr>
      <w:r>
        <w:rPr>
          <w:color w:val="auto"/>
          <w:sz w:val="24"/>
          <w:szCs w:val="21"/>
          <w:highlight w:val="none"/>
        </w:rPr>
        <w:t>5.1   除合同第15条规定外，如果卖方没有按照合同规定的时间交货和提供服务，买方可要求卖方支付违约金。违约金按每周迟交货物或未提供服务交货价的0.5%计收。但违约金的最高限额为迟交货物或没有提供服务的合同价的5%。一周按７天计算，不足７天按一周计算。如果达到最高限额，买方有权解除合同。</w:t>
      </w:r>
    </w:p>
    <w:p w14:paraId="2CA33696">
      <w:pPr>
        <w:keepNext/>
        <w:keepLines/>
        <w:autoSpaceDE w:val="0"/>
        <w:autoSpaceDN w:val="0"/>
        <w:adjustRightInd w:val="0"/>
        <w:spacing w:before="120" w:after="120" w:line="360" w:lineRule="auto"/>
        <w:jc w:val="left"/>
        <w:outlineLvl w:val="2"/>
        <w:rPr>
          <w:b/>
          <w:bCs/>
          <w:color w:val="auto"/>
          <w:kern w:val="0"/>
          <w:sz w:val="24"/>
          <w:highlight w:val="none"/>
        </w:rPr>
      </w:pPr>
      <w:bookmarkStart w:id="141" w:name="_Ref467378121"/>
      <w:bookmarkStart w:id="142" w:name="_Toc99960282"/>
      <w:bookmarkStart w:id="143" w:name="_Toc487900364"/>
      <w:bookmarkStart w:id="144" w:name="_Toc55603758"/>
      <w:r>
        <w:rPr>
          <w:b/>
          <w:bCs/>
          <w:color w:val="auto"/>
          <w:kern w:val="0"/>
          <w:sz w:val="24"/>
          <w:highlight w:val="none"/>
        </w:rPr>
        <w:t>6   不可抗力</w:t>
      </w:r>
      <w:bookmarkEnd w:id="141"/>
      <w:bookmarkEnd w:id="142"/>
      <w:bookmarkEnd w:id="143"/>
      <w:bookmarkEnd w:id="144"/>
    </w:p>
    <w:p w14:paraId="0C71D75C">
      <w:pPr>
        <w:spacing w:before="120" w:after="120" w:line="360" w:lineRule="auto"/>
        <w:ind w:left="720" w:hanging="720" w:hangingChars="300"/>
        <w:rPr>
          <w:color w:val="auto"/>
          <w:sz w:val="24"/>
          <w:szCs w:val="21"/>
          <w:highlight w:val="none"/>
        </w:rPr>
      </w:pPr>
      <w:r>
        <w:rPr>
          <w:color w:val="auto"/>
          <w:sz w:val="24"/>
          <w:szCs w:val="21"/>
          <w:highlight w:val="none"/>
        </w:rPr>
        <w:t>6.1   如果双方中任何一方遭遇法律规定的不可抗力，致使合同履行受阻时，履行合同的期限应予延长，延长的期限应相当于不可抗力所影响的时间。</w:t>
      </w:r>
    </w:p>
    <w:p w14:paraId="065FA71D">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6.2   受事故影响的一方应在不可抗力的事故发生后尽快书面形式通知另一方，并在事故发生后</w:t>
      </w:r>
      <w:r>
        <w:rPr>
          <w:color w:val="auto"/>
          <w:sz w:val="24"/>
          <w:szCs w:val="21"/>
          <w:highlight w:val="none"/>
          <w:u w:val="single"/>
        </w:rPr>
        <w:t xml:space="preserve"> 7 </w:t>
      </w:r>
      <w:r>
        <w:rPr>
          <w:color w:val="auto"/>
          <w:sz w:val="24"/>
          <w:szCs w:val="21"/>
          <w:highlight w:val="none"/>
        </w:rPr>
        <w:t>个工作日内，将有关部门出具的证明文件送达另一方。</w:t>
      </w:r>
    </w:p>
    <w:p w14:paraId="1E9AA9FA">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6.3   不可抗力使合同的某些内容有变更必要的， 双方应通过协商在</w:t>
      </w:r>
      <w:r>
        <w:rPr>
          <w:color w:val="auto"/>
          <w:sz w:val="24"/>
          <w:szCs w:val="21"/>
          <w:highlight w:val="none"/>
          <w:u w:val="single"/>
        </w:rPr>
        <w:t xml:space="preserve">7 </w:t>
      </w:r>
      <w:r>
        <w:rPr>
          <w:color w:val="auto"/>
          <w:sz w:val="24"/>
          <w:szCs w:val="21"/>
          <w:highlight w:val="none"/>
        </w:rPr>
        <w:t>个工作日内达成进一步履行合同的协议，因不可抗力致使合同不能履行的，合同终止。</w:t>
      </w:r>
    </w:p>
    <w:p w14:paraId="2E779644">
      <w:pPr>
        <w:keepNext/>
        <w:keepLines/>
        <w:autoSpaceDE w:val="0"/>
        <w:autoSpaceDN w:val="0"/>
        <w:adjustRightInd w:val="0"/>
        <w:spacing w:before="120" w:after="120" w:line="360" w:lineRule="auto"/>
        <w:jc w:val="left"/>
        <w:outlineLvl w:val="2"/>
        <w:rPr>
          <w:b/>
          <w:bCs/>
          <w:color w:val="auto"/>
          <w:kern w:val="0"/>
          <w:sz w:val="24"/>
          <w:highlight w:val="none"/>
        </w:rPr>
      </w:pPr>
      <w:bookmarkStart w:id="145" w:name="_Toc99960283"/>
      <w:bookmarkStart w:id="146" w:name="_Toc55603759"/>
      <w:bookmarkStart w:id="147" w:name="_Toc487900365"/>
      <w:r>
        <w:rPr>
          <w:b/>
          <w:bCs/>
          <w:color w:val="auto"/>
          <w:kern w:val="0"/>
          <w:sz w:val="24"/>
          <w:highlight w:val="none"/>
        </w:rPr>
        <w:t>7    税费</w:t>
      </w:r>
      <w:bookmarkEnd w:id="145"/>
      <w:bookmarkEnd w:id="146"/>
      <w:bookmarkEnd w:id="147"/>
    </w:p>
    <w:p w14:paraId="3CCC7C41">
      <w:pPr>
        <w:spacing w:before="120" w:after="120" w:line="360" w:lineRule="auto"/>
        <w:rPr>
          <w:color w:val="auto"/>
          <w:sz w:val="24"/>
          <w:szCs w:val="21"/>
          <w:highlight w:val="none"/>
        </w:rPr>
      </w:pPr>
      <w:r>
        <w:rPr>
          <w:color w:val="auto"/>
          <w:sz w:val="24"/>
          <w:szCs w:val="21"/>
          <w:highlight w:val="none"/>
        </w:rPr>
        <w:t>7.1   与本合同有关的一切税费均适用中华人民共和国法律的相关规定。</w:t>
      </w:r>
    </w:p>
    <w:p w14:paraId="0BC7A362">
      <w:pPr>
        <w:keepNext/>
        <w:keepLines/>
        <w:autoSpaceDE w:val="0"/>
        <w:autoSpaceDN w:val="0"/>
        <w:adjustRightInd w:val="0"/>
        <w:spacing w:before="120" w:after="120" w:line="360" w:lineRule="auto"/>
        <w:jc w:val="left"/>
        <w:outlineLvl w:val="2"/>
        <w:rPr>
          <w:b/>
          <w:bCs/>
          <w:color w:val="auto"/>
          <w:kern w:val="0"/>
          <w:sz w:val="24"/>
          <w:highlight w:val="none"/>
        </w:rPr>
      </w:pPr>
      <w:bookmarkStart w:id="148" w:name="_Hlt487900425"/>
      <w:bookmarkEnd w:id="148"/>
      <w:bookmarkStart w:id="149" w:name="_Toc487900366"/>
      <w:bookmarkStart w:id="150" w:name="_Toc99960284"/>
      <w:bookmarkStart w:id="151" w:name="_Toc55603760"/>
      <w:r>
        <w:rPr>
          <w:b/>
          <w:bCs/>
          <w:color w:val="auto"/>
          <w:kern w:val="0"/>
          <w:sz w:val="24"/>
          <w:highlight w:val="none"/>
        </w:rPr>
        <w:t xml:space="preserve">8   </w:t>
      </w:r>
      <w:bookmarkEnd w:id="149"/>
      <w:r>
        <w:rPr>
          <w:b/>
          <w:bCs/>
          <w:color w:val="auto"/>
          <w:kern w:val="0"/>
          <w:sz w:val="24"/>
          <w:highlight w:val="none"/>
        </w:rPr>
        <w:t xml:space="preserve"> 合同争议的解决</w:t>
      </w:r>
      <w:bookmarkEnd w:id="150"/>
      <w:bookmarkEnd w:id="151"/>
    </w:p>
    <w:p w14:paraId="04D38AF2">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8.1   因合同履行中发生的争议，合同当事人双方可通过协商解决。协商不成的，可提请仲裁委员会仲裁或向人民法院提起诉讼。</w:t>
      </w:r>
    </w:p>
    <w:p w14:paraId="42861D10">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8.2   仲裁裁决应为最终裁决，当事人一方在规定时间内不履行仲裁机构裁决的，另一方可以申请人民法院强制执行。</w:t>
      </w:r>
    </w:p>
    <w:p w14:paraId="2E15BCAA">
      <w:pPr>
        <w:tabs>
          <w:tab w:val="left" w:pos="720"/>
        </w:tabs>
        <w:spacing w:before="120" w:after="120" w:line="360" w:lineRule="auto"/>
        <w:rPr>
          <w:color w:val="auto"/>
          <w:sz w:val="24"/>
          <w:szCs w:val="21"/>
          <w:highlight w:val="none"/>
        </w:rPr>
      </w:pPr>
      <w:r>
        <w:rPr>
          <w:color w:val="auto"/>
          <w:sz w:val="24"/>
          <w:szCs w:val="21"/>
          <w:highlight w:val="none"/>
        </w:rPr>
        <w:t>8.3   仲裁费用和诉讼费用除仲裁机构另有裁决外，应由败诉方负担。</w:t>
      </w:r>
    </w:p>
    <w:p w14:paraId="12F39509">
      <w:pPr>
        <w:keepNext/>
        <w:keepLines/>
        <w:autoSpaceDE w:val="0"/>
        <w:autoSpaceDN w:val="0"/>
        <w:adjustRightInd w:val="0"/>
        <w:spacing w:before="120" w:after="120" w:line="360" w:lineRule="auto"/>
        <w:jc w:val="left"/>
        <w:outlineLvl w:val="2"/>
        <w:rPr>
          <w:b/>
          <w:bCs/>
          <w:color w:val="auto"/>
          <w:kern w:val="0"/>
          <w:sz w:val="24"/>
          <w:highlight w:val="none"/>
        </w:rPr>
      </w:pPr>
      <w:bookmarkStart w:id="152" w:name="_Toc99960285"/>
      <w:bookmarkStart w:id="153" w:name="_Toc55603761"/>
      <w:bookmarkStart w:id="154" w:name="_Toc487900367"/>
      <w:r>
        <w:rPr>
          <w:b/>
          <w:bCs/>
          <w:color w:val="auto"/>
          <w:kern w:val="0"/>
          <w:sz w:val="24"/>
          <w:highlight w:val="none"/>
        </w:rPr>
        <w:t>9    违约解除合同</w:t>
      </w:r>
      <w:bookmarkEnd w:id="152"/>
      <w:bookmarkEnd w:id="153"/>
      <w:bookmarkEnd w:id="154"/>
    </w:p>
    <w:p w14:paraId="25A9347E">
      <w:pPr>
        <w:spacing w:before="120" w:after="120" w:line="360" w:lineRule="auto"/>
        <w:ind w:left="720" w:hanging="720" w:hangingChars="300"/>
        <w:rPr>
          <w:color w:val="auto"/>
          <w:sz w:val="24"/>
          <w:szCs w:val="21"/>
          <w:highlight w:val="none"/>
        </w:rPr>
      </w:pPr>
      <w:bookmarkStart w:id="155" w:name="_Ref467378234"/>
      <w:r>
        <w:rPr>
          <w:color w:val="auto"/>
          <w:sz w:val="24"/>
          <w:szCs w:val="21"/>
          <w:highlight w:val="none"/>
        </w:rPr>
        <w:t>9.1   在卖方违约的情况下，买方可向卖方发出书面通知，部分或全部终止合同。同时保留向卖方追诉的权利。</w:t>
      </w:r>
      <w:bookmarkEnd w:id="155"/>
    </w:p>
    <w:p w14:paraId="674F7E6B">
      <w:pPr>
        <w:spacing w:before="120" w:after="120" w:line="360" w:lineRule="auto"/>
        <w:ind w:left="720" w:hanging="720" w:hangingChars="300"/>
        <w:rPr>
          <w:color w:val="auto"/>
          <w:sz w:val="24"/>
          <w:szCs w:val="21"/>
          <w:highlight w:val="none"/>
        </w:rPr>
      </w:pPr>
      <w:r>
        <w:rPr>
          <w:color w:val="auto"/>
          <w:sz w:val="24"/>
          <w:szCs w:val="21"/>
          <w:highlight w:val="none"/>
        </w:rPr>
        <w:t xml:space="preserve">9.1.1  卖方未能在合同规定的限期或买方同意延长的限期内，提供全部或部分货物,按          合同第9.1的规定可以解除合同的； </w:t>
      </w:r>
    </w:p>
    <w:p w14:paraId="6FB1B4FF">
      <w:pPr>
        <w:spacing w:before="120" w:after="120" w:line="360" w:lineRule="auto"/>
        <w:rPr>
          <w:color w:val="auto"/>
          <w:sz w:val="24"/>
          <w:szCs w:val="21"/>
          <w:highlight w:val="none"/>
        </w:rPr>
      </w:pPr>
      <w:r>
        <w:rPr>
          <w:color w:val="auto"/>
          <w:sz w:val="24"/>
          <w:szCs w:val="21"/>
          <w:highlight w:val="none"/>
        </w:rPr>
        <w:t>9.1.2  卖方未能履行合同规定的其它主要义务的；</w:t>
      </w:r>
    </w:p>
    <w:p w14:paraId="0F798A95">
      <w:pPr>
        <w:spacing w:before="120" w:after="120" w:line="360" w:lineRule="auto"/>
        <w:rPr>
          <w:color w:val="auto"/>
          <w:sz w:val="24"/>
          <w:szCs w:val="21"/>
          <w:highlight w:val="none"/>
        </w:rPr>
      </w:pPr>
      <w:r>
        <w:rPr>
          <w:color w:val="auto"/>
          <w:sz w:val="24"/>
          <w:szCs w:val="21"/>
          <w:highlight w:val="none"/>
        </w:rPr>
        <w:t>9.1.3</w:t>
      </w:r>
      <w:r>
        <w:rPr>
          <w:rFonts w:hint="eastAsia"/>
          <w:color w:val="auto"/>
          <w:sz w:val="24"/>
          <w:szCs w:val="21"/>
          <w:highlight w:val="none"/>
        </w:rPr>
        <w:t xml:space="preserve">  </w:t>
      </w:r>
      <w:r>
        <w:rPr>
          <w:color w:val="auto"/>
          <w:sz w:val="24"/>
          <w:szCs w:val="21"/>
          <w:highlight w:val="none"/>
        </w:rPr>
        <w:t>在本合同履行过程中有腐败和欺诈行为的。</w:t>
      </w:r>
    </w:p>
    <w:p w14:paraId="44C637FE">
      <w:pPr>
        <w:spacing w:before="120" w:after="120" w:line="360" w:lineRule="auto"/>
        <w:rPr>
          <w:color w:val="auto"/>
          <w:sz w:val="24"/>
          <w:szCs w:val="21"/>
          <w:highlight w:val="none"/>
        </w:rPr>
      </w:pPr>
      <w:r>
        <w:rPr>
          <w:color w:val="auto"/>
          <w:sz w:val="24"/>
          <w:szCs w:val="21"/>
          <w:highlight w:val="none"/>
        </w:rPr>
        <w:t>9.1.3.1  “腐败行为”和“欺诈行为”定义如下:</w:t>
      </w:r>
    </w:p>
    <w:p w14:paraId="035ED827">
      <w:pPr>
        <w:spacing w:before="120" w:after="120" w:line="360" w:lineRule="auto"/>
        <w:ind w:left="1200" w:hanging="1200" w:hangingChars="500"/>
        <w:rPr>
          <w:color w:val="auto"/>
          <w:sz w:val="24"/>
          <w:szCs w:val="21"/>
          <w:highlight w:val="none"/>
        </w:rPr>
      </w:pPr>
      <w:r>
        <w:rPr>
          <w:color w:val="auto"/>
          <w:sz w:val="24"/>
          <w:szCs w:val="21"/>
          <w:highlight w:val="none"/>
        </w:rPr>
        <w:t>9.1.3.1.1   “腐败行为”是指提供/给予/接受或索取任何有价值的东西来影响买方在合同签订、履行过程中的行为。</w:t>
      </w:r>
    </w:p>
    <w:p w14:paraId="68971194">
      <w:pPr>
        <w:spacing w:before="120" w:after="120" w:line="360" w:lineRule="auto"/>
        <w:ind w:left="1200" w:hanging="1200" w:hangingChars="500"/>
        <w:rPr>
          <w:color w:val="auto"/>
          <w:sz w:val="24"/>
          <w:szCs w:val="21"/>
          <w:highlight w:val="none"/>
        </w:rPr>
      </w:pPr>
      <w:r>
        <w:rPr>
          <w:color w:val="auto"/>
          <w:sz w:val="24"/>
          <w:szCs w:val="21"/>
          <w:highlight w:val="none"/>
        </w:rPr>
        <w:t>9.1.3.1.2   “欺诈行为”是指为了影响合同签订、履行过程，以谎报事实的方法，损害买方的利益的行为。</w:t>
      </w:r>
    </w:p>
    <w:p w14:paraId="068A4A90">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9.2   在买方根据上述第9.1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025B2A18">
      <w:pPr>
        <w:keepNext/>
        <w:keepLines/>
        <w:autoSpaceDE w:val="0"/>
        <w:autoSpaceDN w:val="0"/>
        <w:adjustRightInd w:val="0"/>
        <w:spacing w:before="120" w:after="120" w:line="360" w:lineRule="auto"/>
        <w:jc w:val="left"/>
        <w:outlineLvl w:val="2"/>
        <w:rPr>
          <w:b/>
          <w:bCs/>
          <w:color w:val="auto"/>
          <w:kern w:val="0"/>
          <w:sz w:val="24"/>
          <w:highlight w:val="none"/>
        </w:rPr>
      </w:pPr>
      <w:bookmarkStart w:id="156" w:name="_Toc55603762"/>
      <w:bookmarkStart w:id="157" w:name="_Toc487900368"/>
      <w:bookmarkStart w:id="158" w:name="_Toc99960286"/>
      <w:r>
        <w:rPr>
          <w:b/>
          <w:bCs/>
          <w:color w:val="auto"/>
          <w:kern w:val="0"/>
          <w:sz w:val="24"/>
          <w:highlight w:val="none"/>
        </w:rPr>
        <w:t>10    破产终止合同</w:t>
      </w:r>
      <w:bookmarkEnd w:id="156"/>
      <w:bookmarkEnd w:id="157"/>
      <w:bookmarkEnd w:id="158"/>
    </w:p>
    <w:p w14:paraId="7E6A7B89">
      <w:pPr>
        <w:spacing w:before="120" w:after="120" w:line="360" w:lineRule="auto"/>
        <w:ind w:left="720" w:hanging="720" w:hangingChars="300"/>
        <w:rPr>
          <w:color w:val="auto"/>
          <w:sz w:val="24"/>
          <w:szCs w:val="21"/>
          <w:highlight w:val="none"/>
        </w:rPr>
      </w:pPr>
      <w:r>
        <w:rPr>
          <w:color w:val="auto"/>
          <w:sz w:val="24"/>
          <w:szCs w:val="21"/>
          <w:highlight w:val="none"/>
        </w:rPr>
        <w:t>10.1  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5612260A">
      <w:pPr>
        <w:keepNext/>
        <w:keepLines/>
        <w:autoSpaceDE w:val="0"/>
        <w:autoSpaceDN w:val="0"/>
        <w:adjustRightInd w:val="0"/>
        <w:spacing w:before="120" w:after="120" w:line="360" w:lineRule="auto"/>
        <w:jc w:val="left"/>
        <w:outlineLvl w:val="2"/>
        <w:rPr>
          <w:b/>
          <w:color w:val="auto"/>
          <w:sz w:val="24"/>
          <w:highlight w:val="none"/>
        </w:rPr>
      </w:pPr>
      <w:bookmarkStart w:id="159" w:name="_Toc99960287"/>
      <w:bookmarkStart w:id="160" w:name="_Toc487900369"/>
      <w:bookmarkStart w:id="161" w:name="_Toc55603763"/>
      <w:r>
        <w:rPr>
          <w:b/>
          <w:color w:val="auto"/>
          <w:sz w:val="24"/>
          <w:highlight w:val="none"/>
        </w:rPr>
        <w:t>11    转让和分包</w:t>
      </w:r>
      <w:bookmarkEnd w:id="159"/>
      <w:bookmarkEnd w:id="160"/>
      <w:bookmarkEnd w:id="161"/>
    </w:p>
    <w:p w14:paraId="114A345D">
      <w:pPr>
        <w:spacing w:before="120" w:after="120" w:line="360" w:lineRule="auto"/>
        <w:rPr>
          <w:color w:val="auto"/>
          <w:sz w:val="24"/>
          <w:szCs w:val="21"/>
          <w:highlight w:val="none"/>
        </w:rPr>
      </w:pPr>
      <w:r>
        <w:rPr>
          <w:color w:val="auto"/>
          <w:sz w:val="24"/>
          <w:szCs w:val="21"/>
          <w:highlight w:val="none"/>
        </w:rPr>
        <w:t>11.1  政府采购合同不能转让。</w:t>
      </w:r>
    </w:p>
    <w:p w14:paraId="66C78862">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11.2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0FC80513">
      <w:pPr>
        <w:keepNext/>
        <w:keepLines/>
        <w:autoSpaceDE w:val="0"/>
        <w:autoSpaceDN w:val="0"/>
        <w:adjustRightInd w:val="0"/>
        <w:spacing w:before="120" w:after="120" w:line="360" w:lineRule="auto"/>
        <w:jc w:val="left"/>
        <w:outlineLvl w:val="2"/>
        <w:rPr>
          <w:b/>
          <w:bCs/>
          <w:color w:val="auto"/>
          <w:kern w:val="0"/>
          <w:sz w:val="24"/>
          <w:highlight w:val="none"/>
        </w:rPr>
      </w:pPr>
      <w:bookmarkStart w:id="162" w:name="_Toc55603764"/>
      <w:bookmarkStart w:id="163" w:name="_Toc487900370"/>
      <w:bookmarkStart w:id="164" w:name="_Toc99960288"/>
      <w:r>
        <w:rPr>
          <w:b/>
          <w:bCs/>
          <w:color w:val="auto"/>
          <w:kern w:val="0"/>
          <w:sz w:val="24"/>
          <w:highlight w:val="none"/>
        </w:rPr>
        <w:t>12    合同修改</w:t>
      </w:r>
      <w:bookmarkEnd w:id="162"/>
      <w:bookmarkEnd w:id="163"/>
      <w:bookmarkEnd w:id="164"/>
    </w:p>
    <w:p w14:paraId="07776BD8">
      <w:pPr>
        <w:spacing w:before="120" w:after="120" w:line="360" w:lineRule="auto"/>
        <w:ind w:left="720" w:hanging="720" w:hangingChars="300"/>
        <w:rPr>
          <w:color w:val="auto"/>
          <w:sz w:val="24"/>
          <w:szCs w:val="21"/>
          <w:highlight w:val="none"/>
        </w:rPr>
      </w:pPr>
      <w:r>
        <w:rPr>
          <w:color w:val="auto"/>
          <w:sz w:val="24"/>
          <w:szCs w:val="21"/>
          <w:highlight w:val="none"/>
        </w:rPr>
        <w:t>12.1  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0B70EAF4">
      <w:pPr>
        <w:keepNext/>
        <w:keepLines/>
        <w:autoSpaceDE w:val="0"/>
        <w:autoSpaceDN w:val="0"/>
        <w:adjustRightInd w:val="0"/>
        <w:spacing w:before="120" w:after="120" w:line="360" w:lineRule="auto"/>
        <w:jc w:val="left"/>
        <w:outlineLvl w:val="2"/>
        <w:rPr>
          <w:b/>
          <w:bCs/>
          <w:color w:val="auto"/>
          <w:kern w:val="0"/>
          <w:sz w:val="24"/>
          <w:highlight w:val="none"/>
        </w:rPr>
      </w:pPr>
      <w:bookmarkStart w:id="165" w:name="_Toc55603765"/>
      <w:bookmarkStart w:id="166" w:name="_Toc99960289"/>
      <w:bookmarkStart w:id="167" w:name="_Toc487900371"/>
      <w:r>
        <w:rPr>
          <w:b/>
          <w:bCs/>
          <w:color w:val="auto"/>
          <w:kern w:val="0"/>
          <w:sz w:val="24"/>
          <w:highlight w:val="none"/>
        </w:rPr>
        <w:t>13    通知</w:t>
      </w:r>
      <w:bookmarkEnd w:id="165"/>
      <w:bookmarkEnd w:id="166"/>
      <w:bookmarkEnd w:id="167"/>
    </w:p>
    <w:p w14:paraId="05F24FF0">
      <w:pPr>
        <w:spacing w:before="120" w:after="120" w:line="360" w:lineRule="auto"/>
        <w:rPr>
          <w:color w:val="auto"/>
          <w:sz w:val="24"/>
          <w:szCs w:val="21"/>
          <w:highlight w:val="none"/>
        </w:rPr>
      </w:pPr>
      <w:r>
        <w:rPr>
          <w:color w:val="auto"/>
          <w:sz w:val="24"/>
          <w:szCs w:val="21"/>
          <w:highlight w:val="none"/>
        </w:rPr>
        <w:t>13.1   本合同任何一方给另一方的通知，都应以书面形式发送，而另一方也应以书面形式确认并发送到对方明确的地址。</w:t>
      </w:r>
    </w:p>
    <w:p w14:paraId="3BF14DA1">
      <w:pPr>
        <w:keepNext/>
        <w:keepLines/>
        <w:autoSpaceDE w:val="0"/>
        <w:autoSpaceDN w:val="0"/>
        <w:adjustRightInd w:val="0"/>
        <w:spacing w:before="120" w:after="120" w:line="360" w:lineRule="auto"/>
        <w:jc w:val="left"/>
        <w:outlineLvl w:val="2"/>
        <w:rPr>
          <w:b/>
          <w:bCs/>
          <w:color w:val="auto"/>
          <w:kern w:val="0"/>
          <w:sz w:val="24"/>
          <w:highlight w:val="none"/>
        </w:rPr>
      </w:pPr>
      <w:bookmarkStart w:id="168" w:name="_Toc487900372"/>
      <w:bookmarkStart w:id="169" w:name="_Toc55603766"/>
      <w:bookmarkStart w:id="170" w:name="_Toc99960290"/>
      <w:r>
        <w:rPr>
          <w:b/>
          <w:bCs/>
          <w:color w:val="auto"/>
          <w:kern w:val="0"/>
          <w:sz w:val="24"/>
          <w:highlight w:val="none"/>
        </w:rPr>
        <w:t>14    计量单位</w:t>
      </w:r>
      <w:bookmarkEnd w:id="168"/>
      <w:bookmarkEnd w:id="169"/>
      <w:bookmarkEnd w:id="170"/>
    </w:p>
    <w:p w14:paraId="333BF01B">
      <w:pPr>
        <w:spacing w:before="120" w:after="120" w:line="360" w:lineRule="auto"/>
        <w:rPr>
          <w:color w:val="auto"/>
          <w:sz w:val="24"/>
          <w:szCs w:val="21"/>
          <w:highlight w:val="none"/>
        </w:rPr>
      </w:pPr>
      <w:r>
        <w:rPr>
          <w:color w:val="auto"/>
          <w:sz w:val="24"/>
          <w:szCs w:val="21"/>
          <w:highlight w:val="none"/>
        </w:rPr>
        <w:t>14.1   除技术规范中另有规定外,计量单位均使用国家法定计量单位。</w:t>
      </w:r>
    </w:p>
    <w:p w14:paraId="1D7714C0">
      <w:pPr>
        <w:keepNext/>
        <w:keepLines/>
        <w:autoSpaceDE w:val="0"/>
        <w:autoSpaceDN w:val="0"/>
        <w:adjustRightInd w:val="0"/>
        <w:spacing w:before="120" w:after="120" w:line="360" w:lineRule="auto"/>
        <w:jc w:val="left"/>
        <w:outlineLvl w:val="2"/>
        <w:rPr>
          <w:b/>
          <w:bCs/>
          <w:color w:val="auto"/>
          <w:kern w:val="0"/>
          <w:sz w:val="24"/>
          <w:highlight w:val="none"/>
        </w:rPr>
      </w:pPr>
      <w:bookmarkStart w:id="171" w:name="_Toc487900373"/>
      <w:bookmarkStart w:id="172" w:name="_Toc99960291"/>
      <w:bookmarkStart w:id="173" w:name="_Toc55603767"/>
      <w:r>
        <w:rPr>
          <w:b/>
          <w:bCs/>
          <w:color w:val="auto"/>
          <w:kern w:val="0"/>
          <w:sz w:val="24"/>
          <w:highlight w:val="none"/>
        </w:rPr>
        <w:t>15    适用法律</w:t>
      </w:r>
      <w:bookmarkEnd w:id="171"/>
      <w:bookmarkEnd w:id="172"/>
      <w:bookmarkEnd w:id="173"/>
    </w:p>
    <w:p w14:paraId="7C63D486">
      <w:pPr>
        <w:spacing w:before="120" w:after="120" w:line="360" w:lineRule="auto"/>
        <w:rPr>
          <w:color w:val="auto"/>
          <w:sz w:val="24"/>
          <w:szCs w:val="21"/>
          <w:highlight w:val="none"/>
        </w:rPr>
      </w:pPr>
      <w:r>
        <w:rPr>
          <w:color w:val="auto"/>
          <w:sz w:val="24"/>
          <w:szCs w:val="21"/>
          <w:highlight w:val="none"/>
        </w:rPr>
        <w:t>15.1  本合同应按照中华人民共和国的法律进行解释。</w:t>
      </w:r>
    </w:p>
    <w:p w14:paraId="1CDD2386">
      <w:pPr>
        <w:keepNext/>
        <w:keepLines/>
        <w:autoSpaceDE w:val="0"/>
        <w:autoSpaceDN w:val="0"/>
        <w:adjustRightInd w:val="0"/>
        <w:spacing w:before="120" w:after="120" w:line="360" w:lineRule="auto"/>
        <w:jc w:val="left"/>
        <w:outlineLvl w:val="2"/>
        <w:rPr>
          <w:b/>
          <w:bCs/>
          <w:color w:val="auto"/>
          <w:kern w:val="0"/>
          <w:sz w:val="24"/>
          <w:highlight w:val="none"/>
        </w:rPr>
      </w:pPr>
      <w:bookmarkStart w:id="174" w:name="_Toc55603768"/>
      <w:bookmarkStart w:id="175" w:name="_Toc99960292"/>
      <w:bookmarkStart w:id="176" w:name="_Toc487900374"/>
      <w:r>
        <w:rPr>
          <w:b/>
          <w:bCs/>
          <w:color w:val="auto"/>
          <w:kern w:val="0"/>
          <w:sz w:val="24"/>
          <w:highlight w:val="none"/>
        </w:rPr>
        <w:t>16    履约保证金</w:t>
      </w:r>
      <w:bookmarkEnd w:id="174"/>
      <w:bookmarkEnd w:id="175"/>
    </w:p>
    <w:p w14:paraId="6AA8957B">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16.1  卖方应在合同签订后</w:t>
      </w:r>
      <w:r>
        <w:rPr>
          <w:color w:val="auto"/>
          <w:sz w:val="24"/>
          <w:szCs w:val="21"/>
          <w:highlight w:val="none"/>
          <w:u w:val="single"/>
        </w:rPr>
        <w:t>　</w:t>
      </w:r>
      <w:r>
        <w:rPr>
          <w:rFonts w:hint="eastAsia"/>
          <w:color w:val="auto"/>
          <w:sz w:val="24"/>
          <w:szCs w:val="21"/>
          <w:highlight w:val="none"/>
          <w:u w:val="single"/>
        </w:rPr>
        <w:t xml:space="preserve"> </w:t>
      </w:r>
      <w:r>
        <w:rPr>
          <w:color w:val="auto"/>
          <w:sz w:val="24"/>
          <w:szCs w:val="21"/>
          <w:highlight w:val="none"/>
          <w:u w:val="single"/>
        </w:rPr>
        <w:t xml:space="preserve"> </w:t>
      </w:r>
      <w:r>
        <w:rPr>
          <w:color w:val="auto"/>
          <w:sz w:val="24"/>
          <w:szCs w:val="21"/>
          <w:highlight w:val="none"/>
        </w:rPr>
        <w:t>天内，按约定的方式向买方提交合同总价的</w:t>
      </w:r>
      <w:r>
        <w:rPr>
          <w:color w:val="auto"/>
          <w:sz w:val="24"/>
          <w:szCs w:val="21"/>
          <w:highlight w:val="none"/>
          <w:u w:val="single"/>
        </w:rPr>
        <w:t xml:space="preserve">  </w:t>
      </w:r>
      <w:r>
        <w:rPr>
          <w:rFonts w:hint="eastAsia"/>
          <w:color w:val="auto"/>
          <w:sz w:val="24"/>
          <w:szCs w:val="21"/>
          <w:highlight w:val="none"/>
          <w:u w:val="single"/>
        </w:rPr>
        <w:t xml:space="preserve"> </w:t>
      </w:r>
      <w:r>
        <w:rPr>
          <w:color w:val="auto"/>
          <w:sz w:val="24"/>
          <w:szCs w:val="21"/>
          <w:highlight w:val="none"/>
          <w:u w:val="single"/>
        </w:rPr>
        <w:t xml:space="preserve"> </w:t>
      </w:r>
      <w:r>
        <w:rPr>
          <w:color w:val="auto"/>
          <w:sz w:val="24"/>
          <w:szCs w:val="21"/>
          <w:highlight w:val="none"/>
        </w:rPr>
        <w:t>的履约保证金。</w:t>
      </w:r>
    </w:p>
    <w:p w14:paraId="607B8CAA">
      <w:pPr>
        <w:tabs>
          <w:tab w:val="left" w:pos="720"/>
        </w:tabs>
        <w:spacing w:before="120" w:after="120" w:line="360" w:lineRule="auto"/>
        <w:rPr>
          <w:color w:val="auto"/>
          <w:sz w:val="24"/>
          <w:szCs w:val="21"/>
          <w:highlight w:val="none"/>
        </w:rPr>
      </w:pPr>
      <w:r>
        <w:rPr>
          <w:color w:val="auto"/>
          <w:sz w:val="24"/>
          <w:szCs w:val="21"/>
          <w:highlight w:val="none"/>
        </w:rPr>
        <w:t>16.2  履约保证金用于补偿买方因卖方不能履行其合同义务而蒙受的损失。</w:t>
      </w:r>
    </w:p>
    <w:p w14:paraId="7ED02EB2">
      <w:pPr>
        <w:tabs>
          <w:tab w:val="left" w:pos="720"/>
        </w:tabs>
        <w:spacing w:before="120" w:after="120" w:line="360" w:lineRule="auto"/>
        <w:rPr>
          <w:color w:val="auto"/>
          <w:sz w:val="24"/>
          <w:szCs w:val="21"/>
          <w:highlight w:val="none"/>
        </w:rPr>
      </w:pPr>
      <w:r>
        <w:rPr>
          <w:color w:val="auto"/>
          <w:sz w:val="24"/>
          <w:szCs w:val="21"/>
          <w:highlight w:val="none"/>
        </w:rPr>
        <w:t>16.3  履约保证金应使用本合同货币，按下述方式之一提交：</w:t>
      </w:r>
    </w:p>
    <w:p w14:paraId="139C53CF">
      <w:pPr>
        <w:spacing w:before="120" w:after="120" w:line="360" w:lineRule="auto"/>
        <w:ind w:left="735" w:leftChars="350"/>
        <w:rPr>
          <w:color w:val="auto"/>
          <w:sz w:val="24"/>
          <w:szCs w:val="21"/>
          <w:highlight w:val="none"/>
        </w:rPr>
      </w:pPr>
      <w:r>
        <w:rPr>
          <w:color w:val="auto"/>
          <w:sz w:val="24"/>
          <w:szCs w:val="21"/>
          <w:highlight w:val="none"/>
        </w:rPr>
        <w:t>A. 买方可接受的在中华人民共和国注册和营业的银行，按招标文件提供的格式（附件</w:t>
      </w:r>
      <w:r>
        <w:rPr>
          <w:rFonts w:hint="eastAsia"/>
          <w:color w:val="auto"/>
          <w:sz w:val="24"/>
          <w:szCs w:val="21"/>
          <w:highlight w:val="none"/>
        </w:rPr>
        <w:t>9</w:t>
      </w:r>
      <w:r>
        <w:rPr>
          <w:color w:val="auto"/>
          <w:sz w:val="24"/>
          <w:szCs w:val="21"/>
          <w:highlight w:val="none"/>
        </w:rPr>
        <w:t>），或其他买方可接受的格式。</w:t>
      </w:r>
    </w:p>
    <w:p w14:paraId="6F47EA76">
      <w:pPr>
        <w:spacing w:before="120" w:after="120" w:line="360" w:lineRule="auto"/>
        <w:ind w:left="735" w:leftChars="350"/>
        <w:rPr>
          <w:color w:val="auto"/>
          <w:sz w:val="24"/>
          <w:szCs w:val="21"/>
          <w:highlight w:val="none"/>
        </w:rPr>
      </w:pPr>
      <w:r>
        <w:rPr>
          <w:color w:val="auto"/>
          <w:sz w:val="24"/>
          <w:szCs w:val="21"/>
          <w:highlight w:val="none"/>
        </w:rPr>
        <w:t>B. 支票、汇票或现金。</w:t>
      </w:r>
    </w:p>
    <w:p w14:paraId="34FAAEE6">
      <w:pPr>
        <w:tabs>
          <w:tab w:val="left" w:pos="720"/>
        </w:tabs>
        <w:spacing w:before="120" w:after="120" w:line="360" w:lineRule="auto"/>
        <w:rPr>
          <w:color w:val="auto"/>
          <w:sz w:val="24"/>
          <w:szCs w:val="21"/>
          <w:highlight w:val="none"/>
        </w:rPr>
      </w:pPr>
      <w:r>
        <w:rPr>
          <w:color w:val="auto"/>
          <w:sz w:val="24"/>
          <w:szCs w:val="21"/>
          <w:highlight w:val="none"/>
        </w:rPr>
        <w:t>16.4  履约保证金在法定的货物质量保证期期满前应完全有效。</w:t>
      </w:r>
    </w:p>
    <w:p w14:paraId="1014751D">
      <w:pPr>
        <w:tabs>
          <w:tab w:val="left" w:pos="720"/>
        </w:tabs>
        <w:spacing w:before="120" w:after="120" w:line="360" w:lineRule="auto"/>
        <w:ind w:left="720" w:hanging="720" w:hangingChars="300"/>
        <w:rPr>
          <w:color w:val="auto"/>
          <w:sz w:val="24"/>
          <w:szCs w:val="21"/>
          <w:highlight w:val="none"/>
        </w:rPr>
      </w:pPr>
      <w:r>
        <w:rPr>
          <w:color w:val="auto"/>
          <w:sz w:val="24"/>
          <w:szCs w:val="21"/>
          <w:highlight w:val="none"/>
        </w:rPr>
        <w:t>16.5  如果卖方未能按合同规定履行其义务，买方有权从履约保证金中取得补偿。质量保证期结束后三十</w:t>
      </w:r>
      <w:r>
        <w:rPr>
          <w:rFonts w:hint="eastAsia"/>
          <w:color w:val="auto"/>
          <w:sz w:val="24"/>
          <w:szCs w:val="21"/>
          <w:highlight w:val="none"/>
        </w:rPr>
        <w:t>（30）</w:t>
      </w:r>
      <w:r>
        <w:rPr>
          <w:color w:val="auto"/>
          <w:sz w:val="24"/>
          <w:szCs w:val="21"/>
          <w:highlight w:val="none"/>
        </w:rPr>
        <w:t>天内，买方将把履约保证金退还卖方。</w:t>
      </w:r>
    </w:p>
    <w:p w14:paraId="7BDD9EEA">
      <w:pPr>
        <w:keepNext/>
        <w:keepLines/>
        <w:autoSpaceDE w:val="0"/>
        <w:autoSpaceDN w:val="0"/>
        <w:adjustRightInd w:val="0"/>
        <w:spacing w:before="120" w:after="120" w:line="360" w:lineRule="auto"/>
        <w:jc w:val="left"/>
        <w:outlineLvl w:val="2"/>
        <w:rPr>
          <w:b/>
          <w:bCs/>
          <w:color w:val="auto"/>
          <w:kern w:val="0"/>
          <w:sz w:val="24"/>
          <w:highlight w:val="none"/>
        </w:rPr>
      </w:pPr>
      <w:bookmarkStart w:id="177" w:name="_Toc55603769"/>
      <w:bookmarkStart w:id="178" w:name="_Toc99960293"/>
      <w:r>
        <w:rPr>
          <w:b/>
          <w:bCs/>
          <w:color w:val="auto"/>
          <w:kern w:val="0"/>
          <w:sz w:val="24"/>
          <w:highlight w:val="none"/>
        </w:rPr>
        <w:t>17　  合同生效</w:t>
      </w:r>
      <w:bookmarkEnd w:id="176"/>
      <w:r>
        <w:rPr>
          <w:b/>
          <w:bCs/>
          <w:color w:val="auto"/>
          <w:kern w:val="0"/>
          <w:sz w:val="24"/>
          <w:highlight w:val="none"/>
        </w:rPr>
        <w:t>和其它</w:t>
      </w:r>
      <w:bookmarkEnd w:id="177"/>
      <w:bookmarkEnd w:id="178"/>
    </w:p>
    <w:p w14:paraId="00267EDB">
      <w:pPr>
        <w:spacing w:before="120" w:after="120" w:line="360" w:lineRule="auto"/>
        <w:rPr>
          <w:color w:val="auto"/>
          <w:sz w:val="24"/>
          <w:szCs w:val="21"/>
          <w:highlight w:val="none"/>
        </w:rPr>
      </w:pPr>
      <w:bookmarkStart w:id="179" w:name="_Toc99960294"/>
      <w:bookmarkStart w:id="180" w:name="_Toc99961524"/>
      <w:r>
        <w:rPr>
          <w:color w:val="auto"/>
          <w:sz w:val="24"/>
          <w:szCs w:val="21"/>
          <w:highlight w:val="none"/>
        </w:rPr>
        <w:t>17.1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并由卖方递交履约保证金后开始生效。</w:t>
      </w:r>
      <w:bookmarkEnd w:id="179"/>
      <w:bookmarkEnd w:id="180"/>
    </w:p>
    <w:p w14:paraId="5FDD572C">
      <w:pPr>
        <w:tabs>
          <w:tab w:val="left" w:pos="720"/>
        </w:tabs>
        <w:spacing w:before="120" w:after="120" w:line="360" w:lineRule="auto"/>
        <w:rPr>
          <w:color w:val="auto"/>
          <w:sz w:val="24"/>
          <w:szCs w:val="21"/>
          <w:highlight w:val="none"/>
        </w:rPr>
      </w:pPr>
      <w:r>
        <w:rPr>
          <w:color w:val="auto"/>
          <w:sz w:val="24"/>
          <w:szCs w:val="21"/>
          <w:highlight w:val="none"/>
        </w:rPr>
        <w:t>17.2  本合同一式</w:t>
      </w:r>
      <w:r>
        <w:rPr>
          <w:color w:val="auto"/>
          <w:sz w:val="24"/>
          <w:szCs w:val="21"/>
          <w:highlight w:val="none"/>
          <w:u w:val="single"/>
        </w:rPr>
        <w:t xml:space="preserve">   </w:t>
      </w:r>
      <w:r>
        <w:rPr>
          <w:color w:val="auto"/>
          <w:sz w:val="24"/>
          <w:szCs w:val="21"/>
          <w:highlight w:val="none"/>
        </w:rPr>
        <w:t>份，具有同等法律效力。</w:t>
      </w:r>
      <w:r>
        <w:rPr>
          <w:color w:val="auto"/>
          <w:sz w:val="24"/>
          <w:szCs w:val="21"/>
          <w:highlight w:val="none"/>
          <w:u w:val="single"/>
        </w:rPr>
        <w:t xml:space="preserve"> 买方 </w:t>
      </w:r>
      <w:r>
        <w:rPr>
          <w:color w:val="auto"/>
          <w:sz w:val="24"/>
          <w:szCs w:val="21"/>
          <w:highlight w:val="none"/>
        </w:rPr>
        <w:t>和</w:t>
      </w:r>
      <w:r>
        <w:rPr>
          <w:color w:val="auto"/>
          <w:sz w:val="24"/>
          <w:szCs w:val="21"/>
          <w:highlight w:val="none"/>
          <w:u w:val="single"/>
        </w:rPr>
        <w:t xml:space="preserve"> 卖方 </w:t>
      </w:r>
      <w:r>
        <w:rPr>
          <w:color w:val="auto"/>
          <w:sz w:val="24"/>
          <w:szCs w:val="21"/>
          <w:highlight w:val="none"/>
        </w:rPr>
        <w:t>各执</w:t>
      </w:r>
      <w:r>
        <w:rPr>
          <w:color w:val="auto"/>
          <w:sz w:val="24"/>
          <w:szCs w:val="21"/>
          <w:highlight w:val="none"/>
          <w:u w:val="single"/>
        </w:rPr>
        <w:t xml:space="preserve">   </w:t>
      </w:r>
      <w:r>
        <w:rPr>
          <w:color w:val="auto"/>
          <w:sz w:val="24"/>
          <w:szCs w:val="21"/>
          <w:highlight w:val="none"/>
        </w:rPr>
        <w:t>份。</w:t>
      </w:r>
    </w:p>
    <w:p w14:paraId="496614FE">
      <w:pPr>
        <w:adjustRightInd w:val="0"/>
        <w:snapToGrid w:val="0"/>
        <w:spacing w:line="360" w:lineRule="auto"/>
        <w:jc w:val="center"/>
        <w:rPr>
          <w:rFonts w:ascii="宋体" w:hAnsi="宋体" w:cs="宋体"/>
          <w:b/>
          <w:color w:val="auto"/>
          <w:sz w:val="32"/>
          <w:szCs w:val="32"/>
          <w:highlight w:val="none"/>
        </w:rPr>
      </w:pPr>
      <w:bookmarkStart w:id="181" w:name="_Toc89569904"/>
    </w:p>
    <w:bookmarkEnd w:id="181"/>
    <w:p w14:paraId="6C402C9D">
      <w:pPr>
        <w:rPr>
          <w:rFonts w:ascii="仿宋" w:hAnsi="仿宋" w:eastAsia="仿宋" w:cs="Arial"/>
          <w:b/>
          <w:bCs/>
          <w:color w:val="auto"/>
          <w:kern w:val="0"/>
          <w:sz w:val="30"/>
          <w:szCs w:val="30"/>
          <w:highlight w:val="none"/>
        </w:rPr>
      </w:pPr>
      <w:bookmarkStart w:id="182" w:name="_Toc32297"/>
      <w:bookmarkStart w:id="183" w:name="_Toc99964718"/>
      <w:bookmarkStart w:id="184" w:name="_Toc16785"/>
      <w:bookmarkStart w:id="185" w:name="_Toc129880036"/>
      <w:r>
        <w:rPr>
          <w:rFonts w:hint="eastAsia" w:ascii="仿宋" w:hAnsi="仿宋" w:eastAsia="仿宋" w:cs="Arial"/>
          <w:b/>
          <w:bCs/>
          <w:color w:val="auto"/>
          <w:kern w:val="0"/>
          <w:sz w:val="30"/>
          <w:szCs w:val="30"/>
          <w:highlight w:val="none"/>
        </w:rPr>
        <w:br w:type="page"/>
      </w:r>
    </w:p>
    <w:p w14:paraId="74FC62CA">
      <w:pPr>
        <w:keepNext/>
        <w:keepLines/>
        <w:autoSpaceDE w:val="0"/>
        <w:autoSpaceDN w:val="0"/>
        <w:adjustRightInd w:val="0"/>
        <w:spacing w:before="120" w:line="300" w:lineRule="auto"/>
        <w:jc w:val="center"/>
        <w:outlineLvl w:val="1"/>
        <w:rPr>
          <w:rFonts w:ascii="仿宋" w:hAnsi="仿宋" w:eastAsia="仿宋" w:cs="Arial"/>
          <w:b/>
          <w:bCs/>
          <w:color w:val="auto"/>
          <w:kern w:val="0"/>
          <w:sz w:val="30"/>
          <w:szCs w:val="30"/>
          <w:highlight w:val="none"/>
        </w:rPr>
      </w:pPr>
      <w:r>
        <w:rPr>
          <w:rFonts w:hint="eastAsia" w:ascii="仿宋" w:hAnsi="仿宋" w:eastAsia="仿宋" w:cs="Arial"/>
          <w:b/>
          <w:bCs/>
          <w:color w:val="auto"/>
          <w:kern w:val="0"/>
          <w:sz w:val="30"/>
          <w:szCs w:val="30"/>
          <w:highlight w:val="none"/>
        </w:rPr>
        <w:t>合同格式</w:t>
      </w:r>
      <w:bookmarkEnd w:id="182"/>
      <w:bookmarkEnd w:id="183"/>
      <w:bookmarkEnd w:id="184"/>
    </w:p>
    <w:p w14:paraId="1166E4FC">
      <w:pPr>
        <w:ind w:left="1800"/>
        <w:rPr>
          <w:rFonts w:ascii="仿宋" w:hAnsi="仿宋" w:eastAsia="仿宋"/>
          <w:color w:val="auto"/>
          <w:szCs w:val="21"/>
          <w:highlight w:val="none"/>
        </w:rPr>
      </w:pPr>
    </w:p>
    <w:p w14:paraId="336B45EE">
      <w:pPr>
        <w:jc w:val="center"/>
        <w:rPr>
          <w:rStyle w:val="80"/>
          <w:rFonts w:cs="仿宋" w:asciiTheme="minorEastAsia" w:hAnsiTheme="minorEastAsia" w:eastAsiaTheme="minorEastAsia"/>
          <w:b w:val="0"/>
          <w:color w:val="auto"/>
          <w:sz w:val="24"/>
          <w:szCs w:val="24"/>
          <w:highlight w:val="none"/>
        </w:rPr>
      </w:pPr>
      <w:r>
        <w:rPr>
          <w:rStyle w:val="80"/>
          <w:rFonts w:hint="eastAsia" w:cs="仿宋" w:asciiTheme="minorEastAsia" w:hAnsiTheme="minorEastAsia" w:eastAsiaTheme="minorEastAsia"/>
          <w:b w:val="0"/>
          <w:color w:val="auto"/>
          <w:sz w:val="24"/>
          <w:szCs w:val="24"/>
          <w:highlight w:val="none"/>
        </w:rPr>
        <w:t>（本合同模板仅供参考，最终合同文本以双方最终签订为准）</w:t>
      </w:r>
    </w:p>
    <w:p w14:paraId="35667FA6">
      <w:pPr>
        <w:jc w:val="center"/>
        <w:rPr>
          <w:rStyle w:val="80"/>
          <w:rFonts w:cs="仿宋" w:asciiTheme="minorEastAsia" w:hAnsiTheme="minorEastAsia" w:eastAsiaTheme="minorEastAsia"/>
          <w:b w:val="0"/>
          <w:color w:val="auto"/>
          <w:sz w:val="24"/>
          <w:szCs w:val="24"/>
          <w:highlight w:val="none"/>
        </w:rPr>
      </w:pPr>
    </w:p>
    <w:p w14:paraId="383BC205">
      <w:pPr>
        <w:jc w:val="center"/>
        <w:rPr>
          <w:rStyle w:val="80"/>
          <w:rFonts w:cs="仿宋" w:asciiTheme="minorEastAsia" w:hAnsiTheme="minorEastAsia" w:eastAsiaTheme="minorEastAsia"/>
          <w:b w:val="0"/>
          <w:color w:val="auto"/>
          <w:sz w:val="24"/>
          <w:szCs w:val="24"/>
          <w:highlight w:val="none"/>
        </w:rPr>
      </w:pPr>
      <w:r>
        <w:rPr>
          <w:rStyle w:val="80"/>
          <w:rFonts w:hint="eastAsia" w:cs="仿宋" w:asciiTheme="minorEastAsia" w:hAnsiTheme="minorEastAsia" w:eastAsiaTheme="minorEastAsia"/>
          <w:b w:val="0"/>
          <w:color w:val="auto"/>
          <w:sz w:val="24"/>
          <w:szCs w:val="24"/>
          <w:highlight w:val="none"/>
        </w:rPr>
        <w:t xml:space="preserve"> </w:t>
      </w:r>
      <w:r>
        <w:rPr>
          <w:rStyle w:val="80"/>
          <w:rFonts w:cs="仿宋" w:asciiTheme="minorEastAsia" w:hAnsiTheme="minorEastAsia" w:eastAsiaTheme="minorEastAsia"/>
          <w:b w:val="0"/>
          <w:color w:val="auto"/>
          <w:sz w:val="24"/>
          <w:szCs w:val="24"/>
          <w:highlight w:val="none"/>
        </w:rPr>
        <w:t xml:space="preserve">                     合同编号：</w:t>
      </w:r>
    </w:p>
    <w:p w14:paraId="678F14ED">
      <w:pPr>
        <w:jc w:val="center"/>
        <w:rPr>
          <w:rStyle w:val="80"/>
          <w:rFonts w:cs="仿宋" w:asciiTheme="minorEastAsia" w:hAnsiTheme="minorEastAsia" w:eastAsiaTheme="minorEastAsia"/>
          <w:b w:val="0"/>
          <w:color w:val="auto"/>
          <w:sz w:val="24"/>
          <w:szCs w:val="24"/>
          <w:highlight w:val="none"/>
        </w:rPr>
      </w:pPr>
    </w:p>
    <w:p w14:paraId="7722C380">
      <w:pPr>
        <w:jc w:val="center"/>
        <w:rPr>
          <w:rStyle w:val="80"/>
          <w:rFonts w:cs="仿宋" w:asciiTheme="minorEastAsia" w:hAnsiTheme="minorEastAsia" w:eastAsiaTheme="minorEastAsia"/>
          <w:b w:val="0"/>
          <w:color w:val="auto"/>
          <w:sz w:val="24"/>
          <w:szCs w:val="24"/>
          <w:highlight w:val="none"/>
        </w:rPr>
      </w:pPr>
    </w:p>
    <w:p w14:paraId="0BB30BED">
      <w:pPr>
        <w:jc w:val="center"/>
        <w:rPr>
          <w:rStyle w:val="80"/>
          <w:rFonts w:cs="仿宋" w:asciiTheme="minorEastAsia" w:hAnsiTheme="minorEastAsia" w:eastAsiaTheme="minorEastAsia"/>
          <w:b w:val="0"/>
          <w:color w:val="auto"/>
          <w:sz w:val="24"/>
          <w:szCs w:val="24"/>
          <w:highlight w:val="none"/>
        </w:rPr>
      </w:pPr>
    </w:p>
    <w:p w14:paraId="6EDD317A">
      <w:pPr>
        <w:jc w:val="center"/>
        <w:rPr>
          <w:rStyle w:val="80"/>
          <w:rFonts w:cs="仿宋" w:asciiTheme="minorEastAsia" w:hAnsiTheme="minorEastAsia" w:eastAsiaTheme="minorEastAsia"/>
          <w:b w:val="0"/>
          <w:color w:val="auto"/>
          <w:sz w:val="24"/>
          <w:szCs w:val="24"/>
          <w:highlight w:val="none"/>
        </w:rPr>
      </w:pPr>
    </w:p>
    <w:p w14:paraId="36BFFFDF">
      <w:pPr>
        <w:jc w:val="center"/>
        <w:rPr>
          <w:rStyle w:val="80"/>
          <w:rFonts w:cs="仿宋" w:asciiTheme="minorEastAsia" w:hAnsiTheme="minorEastAsia" w:eastAsiaTheme="minorEastAsia"/>
          <w:b w:val="0"/>
          <w:color w:val="auto"/>
          <w:sz w:val="24"/>
          <w:szCs w:val="24"/>
          <w:highlight w:val="none"/>
        </w:rPr>
      </w:pPr>
    </w:p>
    <w:p w14:paraId="7EC7CCE0">
      <w:pPr>
        <w:jc w:val="center"/>
        <w:rPr>
          <w:rStyle w:val="80"/>
          <w:rFonts w:cs="仿宋" w:asciiTheme="minorEastAsia" w:hAnsiTheme="minorEastAsia" w:eastAsiaTheme="minorEastAsia"/>
          <w:b w:val="0"/>
          <w:color w:val="auto"/>
          <w:sz w:val="24"/>
          <w:szCs w:val="24"/>
          <w:highlight w:val="none"/>
        </w:rPr>
      </w:pPr>
    </w:p>
    <w:p w14:paraId="520B966C">
      <w:pPr>
        <w:jc w:val="center"/>
        <w:rPr>
          <w:rStyle w:val="80"/>
          <w:rFonts w:cs="仿宋" w:asciiTheme="minorEastAsia" w:hAnsiTheme="minorEastAsia" w:eastAsiaTheme="minorEastAsia"/>
          <w:b w:val="0"/>
          <w:color w:val="auto"/>
          <w:sz w:val="24"/>
          <w:szCs w:val="24"/>
          <w:highlight w:val="none"/>
        </w:rPr>
      </w:pPr>
    </w:p>
    <w:p w14:paraId="2196A08D">
      <w:pPr>
        <w:jc w:val="center"/>
        <w:rPr>
          <w:rStyle w:val="80"/>
          <w:rFonts w:cs="仿宋" w:asciiTheme="minorEastAsia" w:hAnsiTheme="minorEastAsia" w:eastAsiaTheme="minorEastAsia"/>
          <w:b w:val="0"/>
          <w:color w:val="auto"/>
          <w:sz w:val="24"/>
          <w:szCs w:val="24"/>
          <w:highlight w:val="none"/>
        </w:rPr>
      </w:pPr>
    </w:p>
    <w:p w14:paraId="2A9A099B">
      <w:pPr>
        <w:jc w:val="center"/>
        <w:rPr>
          <w:rStyle w:val="80"/>
          <w:rFonts w:cs="仿宋" w:asciiTheme="minorEastAsia" w:hAnsiTheme="minorEastAsia" w:eastAsiaTheme="minorEastAsia"/>
          <w:b w:val="0"/>
          <w:color w:val="auto"/>
          <w:sz w:val="24"/>
          <w:szCs w:val="24"/>
          <w:highlight w:val="none"/>
        </w:rPr>
      </w:pPr>
    </w:p>
    <w:p w14:paraId="726F449D">
      <w:pPr>
        <w:jc w:val="center"/>
        <w:rPr>
          <w:rStyle w:val="80"/>
          <w:rFonts w:cs="仿宋" w:asciiTheme="minorEastAsia" w:hAnsiTheme="minorEastAsia" w:eastAsiaTheme="minorEastAsia"/>
          <w:b w:val="0"/>
          <w:color w:val="auto"/>
          <w:sz w:val="24"/>
          <w:szCs w:val="24"/>
          <w:highlight w:val="none"/>
        </w:rPr>
      </w:pPr>
    </w:p>
    <w:p w14:paraId="31A83BEA">
      <w:pPr>
        <w:jc w:val="center"/>
        <w:rPr>
          <w:rStyle w:val="80"/>
          <w:rFonts w:cs="仿宋" w:asciiTheme="minorEastAsia" w:hAnsiTheme="minorEastAsia" w:eastAsiaTheme="minorEastAsia"/>
          <w:b w:val="0"/>
          <w:color w:val="auto"/>
          <w:sz w:val="24"/>
          <w:szCs w:val="24"/>
          <w:highlight w:val="none"/>
        </w:rPr>
      </w:pPr>
    </w:p>
    <w:p w14:paraId="1E0F43AC">
      <w:pPr>
        <w:jc w:val="center"/>
        <w:rPr>
          <w:rFonts w:asciiTheme="minorEastAsia" w:hAnsiTheme="minorEastAsia" w:eastAsiaTheme="minorEastAsia"/>
          <w:color w:val="auto"/>
          <w:sz w:val="52"/>
          <w:szCs w:val="52"/>
          <w:highlight w:val="none"/>
        </w:rPr>
      </w:pPr>
      <w:bookmarkStart w:id="186" w:name="_Hlk97144055"/>
      <w:r>
        <w:rPr>
          <w:rFonts w:hint="eastAsia" w:asciiTheme="minorEastAsia" w:hAnsiTheme="minorEastAsia" w:eastAsiaTheme="minorEastAsia"/>
          <w:color w:val="auto"/>
          <w:sz w:val="52"/>
          <w:szCs w:val="52"/>
          <w:highlight w:val="none"/>
        </w:rPr>
        <w:t>高能同步辐射光源通用设施运维项目</w:t>
      </w:r>
      <w:r>
        <w:rPr>
          <w:rFonts w:hint="eastAsia" w:asciiTheme="minorEastAsia" w:hAnsiTheme="minorEastAsia" w:eastAsiaTheme="minorEastAsia"/>
          <w:bCs/>
          <w:color w:val="auto"/>
          <w:sz w:val="52"/>
          <w:szCs w:val="52"/>
          <w:highlight w:val="none"/>
        </w:rPr>
        <w:t>合同书</w:t>
      </w:r>
      <w:bookmarkEnd w:id="186"/>
    </w:p>
    <w:p w14:paraId="4AA3D1C9">
      <w:pPr>
        <w:jc w:val="center"/>
        <w:rPr>
          <w:rFonts w:asciiTheme="minorEastAsia" w:hAnsiTheme="minorEastAsia" w:eastAsiaTheme="minorEastAsia"/>
          <w:color w:val="auto"/>
          <w:highlight w:val="none"/>
        </w:rPr>
      </w:pPr>
    </w:p>
    <w:p w14:paraId="09B3DD9F">
      <w:pPr>
        <w:jc w:val="center"/>
        <w:rPr>
          <w:rFonts w:asciiTheme="minorEastAsia" w:hAnsiTheme="minorEastAsia" w:eastAsiaTheme="minorEastAsia"/>
          <w:color w:val="auto"/>
          <w:highlight w:val="none"/>
        </w:rPr>
      </w:pPr>
    </w:p>
    <w:p w14:paraId="5449C8D2">
      <w:pPr>
        <w:jc w:val="center"/>
        <w:rPr>
          <w:rFonts w:asciiTheme="minorEastAsia" w:hAnsiTheme="minorEastAsia" w:eastAsiaTheme="minorEastAsia"/>
          <w:color w:val="auto"/>
          <w:highlight w:val="none"/>
        </w:rPr>
      </w:pPr>
    </w:p>
    <w:p w14:paraId="2DA9F2A3">
      <w:pPr>
        <w:jc w:val="center"/>
        <w:rPr>
          <w:rFonts w:asciiTheme="minorEastAsia" w:hAnsiTheme="minorEastAsia" w:eastAsiaTheme="minorEastAsia"/>
          <w:color w:val="auto"/>
          <w:highlight w:val="none"/>
        </w:rPr>
      </w:pPr>
    </w:p>
    <w:p w14:paraId="6BCE2297">
      <w:pPr>
        <w:jc w:val="center"/>
        <w:rPr>
          <w:rFonts w:asciiTheme="minorEastAsia" w:hAnsiTheme="minorEastAsia" w:eastAsiaTheme="minorEastAsia"/>
          <w:color w:val="auto"/>
          <w:highlight w:val="none"/>
        </w:rPr>
      </w:pPr>
    </w:p>
    <w:p w14:paraId="5E11F0B7">
      <w:pPr>
        <w:jc w:val="center"/>
        <w:rPr>
          <w:rFonts w:asciiTheme="minorEastAsia" w:hAnsiTheme="minorEastAsia" w:eastAsiaTheme="minorEastAsia"/>
          <w:color w:val="auto"/>
          <w:highlight w:val="none"/>
        </w:rPr>
      </w:pPr>
    </w:p>
    <w:p w14:paraId="714C920A">
      <w:pPr>
        <w:jc w:val="center"/>
        <w:rPr>
          <w:rFonts w:asciiTheme="minorEastAsia" w:hAnsiTheme="minorEastAsia" w:eastAsiaTheme="minorEastAsia"/>
          <w:color w:val="auto"/>
          <w:highlight w:val="none"/>
        </w:rPr>
      </w:pPr>
    </w:p>
    <w:p w14:paraId="218B899D">
      <w:pPr>
        <w:rPr>
          <w:rFonts w:asciiTheme="minorEastAsia" w:hAnsiTheme="minorEastAsia" w:eastAsiaTheme="minorEastAsia"/>
          <w:color w:val="auto"/>
          <w:highlight w:val="none"/>
        </w:rPr>
      </w:pPr>
    </w:p>
    <w:p w14:paraId="012B08CE">
      <w:pPr>
        <w:jc w:val="center"/>
        <w:rPr>
          <w:rFonts w:asciiTheme="minorEastAsia" w:hAnsiTheme="minorEastAsia" w:eastAsiaTheme="minorEastAsia"/>
          <w:color w:val="auto"/>
          <w:highlight w:val="none"/>
        </w:rPr>
      </w:pPr>
    </w:p>
    <w:p w14:paraId="6AFD8639">
      <w:pPr>
        <w:jc w:val="center"/>
        <w:rPr>
          <w:rFonts w:asciiTheme="minorEastAsia" w:hAnsiTheme="minorEastAsia" w:eastAsiaTheme="minorEastAsia"/>
          <w:color w:val="auto"/>
          <w:highlight w:val="none"/>
        </w:rPr>
      </w:pPr>
    </w:p>
    <w:p w14:paraId="1B132C2D">
      <w:pPr>
        <w:jc w:val="center"/>
        <w:rPr>
          <w:rFonts w:asciiTheme="minorEastAsia" w:hAnsiTheme="minorEastAsia" w:eastAsiaTheme="minorEastAsia"/>
          <w:color w:val="auto"/>
          <w:highlight w:val="none"/>
        </w:rPr>
      </w:pPr>
    </w:p>
    <w:p w14:paraId="499275EA">
      <w:pPr>
        <w:jc w:val="center"/>
        <w:rPr>
          <w:rFonts w:asciiTheme="minorEastAsia" w:hAnsiTheme="minorEastAsia" w:eastAsiaTheme="minorEastAsia"/>
          <w:color w:val="auto"/>
          <w:highlight w:val="none"/>
        </w:rPr>
      </w:pPr>
    </w:p>
    <w:p w14:paraId="12C27B5C">
      <w:pPr>
        <w:jc w:val="center"/>
        <w:rPr>
          <w:rFonts w:asciiTheme="minorEastAsia" w:hAnsiTheme="minorEastAsia" w:eastAsiaTheme="minorEastAsia"/>
          <w:color w:val="auto"/>
          <w:highlight w:val="none"/>
        </w:rPr>
      </w:pPr>
    </w:p>
    <w:p w14:paraId="4A033ABC">
      <w:pPr>
        <w:jc w:val="center"/>
        <w:rPr>
          <w:rFonts w:asciiTheme="minorEastAsia" w:hAnsiTheme="minorEastAsia" w:eastAsiaTheme="minorEastAsia"/>
          <w:color w:val="auto"/>
          <w:highlight w:val="none"/>
        </w:rPr>
      </w:pPr>
    </w:p>
    <w:p w14:paraId="78F10E9E">
      <w:pPr>
        <w:jc w:val="center"/>
        <w:rPr>
          <w:rFonts w:asciiTheme="minorEastAsia" w:hAnsiTheme="minorEastAsia" w:eastAsiaTheme="minorEastAsia"/>
          <w:color w:val="auto"/>
          <w:highlight w:val="none"/>
        </w:rPr>
      </w:pPr>
    </w:p>
    <w:p w14:paraId="52CAB8CF">
      <w:pPr>
        <w:jc w:val="center"/>
        <w:rPr>
          <w:rFonts w:asciiTheme="minorEastAsia" w:hAnsiTheme="minorEastAsia" w:eastAsiaTheme="minorEastAsia"/>
          <w:color w:val="auto"/>
          <w:highlight w:val="none"/>
        </w:rPr>
      </w:pPr>
    </w:p>
    <w:p w14:paraId="4620CF51">
      <w:pPr>
        <w:jc w:val="center"/>
        <w:rPr>
          <w:rFonts w:asciiTheme="minorEastAsia" w:hAnsiTheme="minorEastAsia" w:eastAsiaTheme="minorEastAsia"/>
          <w:color w:val="auto"/>
          <w:highlight w:val="none"/>
        </w:rPr>
      </w:pPr>
    </w:p>
    <w:p w14:paraId="73BE2266">
      <w:pPr>
        <w:jc w:val="center"/>
        <w:rPr>
          <w:rFonts w:asciiTheme="minorEastAsia" w:hAnsiTheme="minorEastAsia" w:eastAsiaTheme="minorEastAsia"/>
          <w:color w:val="auto"/>
          <w:highlight w:val="none"/>
        </w:rPr>
      </w:pPr>
    </w:p>
    <w:p w14:paraId="603AAA4C">
      <w:pPr>
        <w:jc w:val="center"/>
        <w:rPr>
          <w:rFonts w:asciiTheme="minorEastAsia" w:hAnsiTheme="minorEastAsia" w:eastAsiaTheme="minorEastAsia"/>
          <w:color w:val="auto"/>
          <w:highlight w:val="none"/>
        </w:rPr>
      </w:pPr>
    </w:p>
    <w:p w14:paraId="45A42091">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合 </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同 名 称 ：高能同步辐射光源通用设施运维项目</w:t>
      </w:r>
    </w:p>
    <w:p w14:paraId="4482374A">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委托方（甲方）：中国科学院高能物理研究所</w:t>
      </w:r>
    </w:p>
    <w:p w14:paraId="528FD8D7">
      <w:pPr>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服务方（乙方）：中标人</w:t>
      </w:r>
    </w:p>
    <w:p w14:paraId="737E8A77">
      <w:pPr>
        <w:jc w:val="left"/>
        <w:rPr>
          <w:rFonts w:asciiTheme="minorEastAsia" w:hAnsiTheme="minorEastAsia" w:eastAsiaTheme="minorEastAsia"/>
          <w:color w:val="auto"/>
          <w:highlight w:val="none"/>
        </w:rPr>
      </w:pPr>
    </w:p>
    <w:p w14:paraId="5892F9AE">
      <w:pPr>
        <w:jc w:val="center"/>
        <w:rPr>
          <w:rStyle w:val="80"/>
          <w:rFonts w:cs="仿宋" w:asciiTheme="minorEastAsia" w:hAnsiTheme="minorEastAsia" w:eastAsiaTheme="minorEastAsia"/>
          <w:b w:val="0"/>
          <w:color w:val="auto"/>
          <w:sz w:val="24"/>
          <w:szCs w:val="24"/>
          <w:highlight w:val="none"/>
        </w:rPr>
      </w:pPr>
    </w:p>
    <w:p w14:paraId="19816B32">
      <w:pPr>
        <w:jc w:val="center"/>
        <w:rPr>
          <w:rStyle w:val="80"/>
          <w:rFonts w:cs="仿宋" w:asciiTheme="minorEastAsia" w:hAnsiTheme="minorEastAsia" w:eastAsiaTheme="minorEastAsia"/>
          <w:b w:val="0"/>
          <w:color w:val="auto"/>
          <w:sz w:val="24"/>
          <w:szCs w:val="24"/>
          <w:highlight w:val="none"/>
        </w:rPr>
      </w:pPr>
    </w:p>
    <w:p w14:paraId="14FA0E9F">
      <w:pPr>
        <w:jc w:val="center"/>
        <w:rPr>
          <w:rStyle w:val="80"/>
          <w:rFonts w:cs="仿宋" w:asciiTheme="minorEastAsia" w:hAnsiTheme="minorEastAsia" w:eastAsiaTheme="minorEastAsia"/>
          <w:b w:val="0"/>
          <w:color w:val="auto"/>
          <w:sz w:val="24"/>
          <w:szCs w:val="24"/>
          <w:highlight w:val="none"/>
        </w:rPr>
      </w:pPr>
    </w:p>
    <w:p w14:paraId="580F98BE">
      <w:pPr>
        <w:adjustRightInd w:val="0"/>
        <w:snapToGrid w:val="0"/>
        <w:jc w:val="center"/>
        <w:rPr>
          <w:rFonts w:ascii="黑体" w:hAnsi="宋体" w:eastAsia="黑体"/>
          <w:color w:val="auto"/>
          <w:sz w:val="32"/>
          <w:szCs w:val="32"/>
          <w:highlight w:val="none"/>
        </w:rPr>
      </w:pPr>
      <w:r>
        <w:rPr>
          <w:rFonts w:hint="eastAsia" w:ascii="黑体" w:hAnsi="宋体" w:eastAsia="黑体"/>
          <w:color w:val="auto"/>
          <w:sz w:val="32"/>
          <w:szCs w:val="32"/>
          <w:highlight w:val="none"/>
        </w:rPr>
        <w:t>目    次</w:t>
      </w:r>
    </w:p>
    <w:p w14:paraId="69638697">
      <w:pPr>
        <w:spacing w:line="560" w:lineRule="exact"/>
        <w:jc w:val="center"/>
        <w:rPr>
          <w:rFonts w:ascii="黑体" w:hAnsi="宋体" w:eastAsia="黑体"/>
          <w:color w:val="auto"/>
          <w:sz w:val="32"/>
          <w:szCs w:val="32"/>
          <w:highlight w:val="none"/>
        </w:rPr>
      </w:pPr>
    </w:p>
    <w:tbl>
      <w:tblPr>
        <w:tblStyle w:val="40"/>
        <w:tblW w:w="0" w:type="auto"/>
        <w:tblInd w:w="0" w:type="dxa"/>
        <w:tblLayout w:type="autofit"/>
        <w:tblCellMar>
          <w:top w:w="0" w:type="dxa"/>
          <w:left w:w="108" w:type="dxa"/>
          <w:bottom w:w="0" w:type="dxa"/>
          <w:right w:w="108" w:type="dxa"/>
        </w:tblCellMar>
      </w:tblPr>
      <w:tblGrid>
        <w:gridCol w:w="1843"/>
        <w:gridCol w:w="4252"/>
      </w:tblGrid>
      <w:tr w14:paraId="3DC4BE5C">
        <w:tblPrEx>
          <w:tblCellMar>
            <w:top w:w="0" w:type="dxa"/>
            <w:left w:w="108" w:type="dxa"/>
            <w:bottom w:w="0" w:type="dxa"/>
            <w:right w:w="108" w:type="dxa"/>
          </w:tblCellMar>
        </w:tblPrEx>
        <w:tc>
          <w:tcPr>
            <w:tcW w:w="1843" w:type="dxa"/>
            <w:vAlign w:val="center"/>
          </w:tcPr>
          <w:p w14:paraId="2A2F3955">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第1条</w:t>
            </w:r>
          </w:p>
        </w:tc>
        <w:tc>
          <w:tcPr>
            <w:tcW w:w="4252" w:type="dxa"/>
          </w:tcPr>
          <w:p w14:paraId="70B7299F">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合同当事人</w:t>
            </w:r>
          </w:p>
        </w:tc>
      </w:tr>
      <w:tr w14:paraId="1ED7C8EB">
        <w:tblPrEx>
          <w:tblCellMar>
            <w:top w:w="0" w:type="dxa"/>
            <w:left w:w="108" w:type="dxa"/>
            <w:bottom w:w="0" w:type="dxa"/>
            <w:right w:w="108" w:type="dxa"/>
          </w:tblCellMar>
        </w:tblPrEx>
        <w:tc>
          <w:tcPr>
            <w:tcW w:w="1843" w:type="dxa"/>
            <w:vAlign w:val="center"/>
          </w:tcPr>
          <w:p w14:paraId="3FC7A42B">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第2条</w:t>
            </w:r>
          </w:p>
        </w:tc>
        <w:tc>
          <w:tcPr>
            <w:tcW w:w="4252" w:type="dxa"/>
          </w:tcPr>
          <w:p w14:paraId="68F1C9CE">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订立合同依据</w:t>
            </w:r>
          </w:p>
        </w:tc>
      </w:tr>
      <w:tr w14:paraId="5CE11664">
        <w:tblPrEx>
          <w:tblCellMar>
            <w:top w:w="0" w:type="dxa"/>
            <w:left w:w="108" w:type="dxa"/>
            <w:bottom w:w="0" w:type="dxa"/>
            <w:right w:w="108" w:type="dxa"/>
          </w:tblCellMar>
        </w:tblPrEx>
        <w:tc>
          <w:tcPr>
            <w:tcW w:w="1843" w:type="dxa"/>
            <w:vAlign w:val="center"/>
          </w:tcPr>
          <w:p w14:paraId="5743941F">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3</w:t>
            </w:r>
            <w:r>
              <w:rPr>
                <w:rFonts w:hint="eastAsia" w:ascii="仿宋_GB2312"/>
                <w:color w:val="auto"/>
                <w:spacing w:val="20"/>
                <w:sz w:val="28"/>
                <w:szCs w:val="28"/>
                <w:highlight w:val="none"/>
              </w:rPr>
              <w:t>条</w:t>
            </w:r>
          </w:p>
        </w:tc>
        <w:tc>
          <w:tcPr>
            <w:tcW w:w="4252" w:type="dxa"/>
          </w:tcPr>
          <w:p w14:paraId="56963E4E">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工作依据及范围</w:t>
            </w:r>
          </w:p>
        </w:tc>
      </w:tr>
      <w:tr w14:paraId="7E0AB54E">
        <w:tblPrEx>
          <w:tblCellMar>
            <w:top w:w="0" w:type="dxa"/>
            <w:left w:w="108" w:type="dxa"/>
            <w:bottom w:w="0" w:type="dxa"/>
            <w:right w:w="108" w:type="dxa"/>
          </w:tblCellMar>
        </w:tblPrEx>
        <w:tc>
          <w:tcPr>
            <w:tcW w:w="1843" w:type="dxa"/>
            <w:vAlign w:val="center"/>
          </w:tcPr>
          <w:p w14:paraId="4224F549">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4</w:t>
            </w:r>
            <w:r>
              <w:rPr>
                <w:rFonts w:hint="eastAsia" w:ascii="仿宋_GB2312"/>
                <w:color w:val="auto"/>
                <w:spacing w:val="20"/>
                <w:sz w:val="28"/>
                <w:szCs w:val="28"/>
                <w:highlight w:val="none"/>
              </w:rPr>
              <w:t>条</w:t>
            </w:r>
          </w:p>
        </w:tc>
        <w:tc>
          <w:tcPr>
            <w:tcW w:w="4252" w:type="dxa"/>
          </w:tcPr>
          <w:p w14:paraId="1EE2CE22">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双方权利及义务</w:t>
            </w:r>
          </w:p>
        </w:tc>
      </w:tr>
      <w:tr w14:paraId="46133947">
        <w:tblPrEx>
          <w:tblCellMar>
            <w:top w:w="0" w:type="dxa"/>
            <w:left w:w="108" w:type="dxa"/>
            <w:bottom w:w="0" w:type="dxa"/>
            <w:right w:w="108" w:type="dxa"/>
          </w:tblCellMar>
        </w:tblPrEx>
        <w:tc>
          <w:tcPr>
            <w:tcW w:w="1843" w:type="dxa"/>
            <w:vAlign w:val="center"/>
          </w:tcPr>
          <w:p w14:paraId="7BDA720F">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5</w:t>
            </w:r>
            <w:r>
              <w:rPr>
                <w:rFonts w:hint="eastAsia" w:ascii="仿宋_GB2312"/>
                <w:color w:val="auto"/>
                <w:spacing w:val="20"/>
                <w:sz w:val="28"/>
                <w:szCs w:val="28"/>
                <w:highlight w:val="none"/>
              </w:rPr>
              <w:t>条</w:t>
            </w:r>
          </w:p>
        </w:tc>
        <w:tc>
          <w:tcPr>
            <w:tcW w:w="4252" w:type="dxa"/>
          </w:tcPr>
          <w:p w14:paraId="0656AC0E">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乙方安全责任</w:t>
            </w:r>
          </w:p>
        </w:tc>
      </w:tr>
      <w:tr w14:paraId="331E3D0D">
        <w:tblPrEx>
          <w:tblCellMar>
            <w:top w:w="0" w:type="dxa"/>
            <w:left w:w="108" w:type="dxa"/>
            <w:bottom w:w="0" w:type="dxa"/>
            <w:right w:w="108" w:type="dxa"/>
          </w:tblCellMar>
        </w:tblPrEx>
        <w:tc>
          <w:tcPr>
            <w:tcW w:w="1843" w:type="dxa"/>
            <w:vAlign w:val="center"/>
          </w:tcPr>
          <w:p w14:paraId="6A89285D">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6</w:t>
            </w:r>
            <w:r>
              <w:rPr>
                <w:rFonts w:hint="eastAsia" w:ascii="仿宋_GB2312"/>
                <w:color w:val="auto"/>
                <w:spacing w:val="20"/>
                <w:sz w:val="28"/>
                <w:szCs w:val="28"/>
                <w:highlight w:val="none"/>
              </w:rPr>
              <w:t>条</w:t>
            </w:r>
          </w:p>
        </w:tc>
        <w:tc>
          <w:tcPr>
            <w:tcW w:w="4252" w:type="dxa"/>
          </w:tcPr>
          <w:p w14:paraId="2ADE743E">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合同金额及支付</w:t>
            </w:r>
          </w:p>
        </w:tc>
      </w:tr>
      <w:tr w14:paraId="0CF0FECD">
        <w:tblPrEx>
          <w:tblCellMar>
            <w:top w:w="0" w:type="dxa"/>
            <w:left w:w="108" w:type="dxa"/>
            <w:bottom w:w="0" w:type="dxa"/>
            <w:right w:w="108" w:type="dxa"/>
          </w:tblCellMar>
        </w:tblPrEx>
        <w:tc>
          <w:tcPr>
            <w:tcW w:w="1843" w:type="dxa"/>
            <w:vAlign w:val="center"/>
          </w:tcPr>
          <w:p w14:paraId="2A18DCFD">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第7条</w:t>
            </w:r>
          </w:p>
        </w:tc>
        <w:tc>
          <w:tcPr>
            <w:tcW w:w="4252" w:type="dxa"/>
          </w:tcPr>
          <w:p w14:paraId="16E29168">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乙方违约责任</w:t>
            </w:r>
          </w:p>
        </w:tc>
      </w:tr>
      <w:tr w14:paraId="5FA75201">
        <w:tblPrEx>
          <w:tblCellMar>
            <w:top w:w="0" w:type="dxa"/>
            <w:left w:w="108" w:type="dxa"/>
            <w:bottom w:w="0" w:type="dxa"/>
            <w:right w:w="108" w:type="dxa"/>
          </w:tblCellMar>
        </w:tblPrEx>
        <w:tc>
          <w:tcPr>
            <w:tcW w:w="1843" w:type="dxa"/>
            <w:vAlign w:val="center"/>
          </w:tcPr>
          <w:p w14:paraId="146BC4E9">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8</w:t>
            </w:r>
            <w:r>
              <w:rPr>
                <w:rFonts w:hint="eastAsia" w:ascii="仿宋_GB2312"/>
                <w:color w:val="auto"/>
                <w:spacing w:val="20"/>
                <w:sz w:val="28"/>
                <w:szCs w:val="28"/>
                <w:highlight w:val="none"/>
              </w:rPr>
              <w:t>条</w:t>
            </w:r>
          </w:p>
        </w:tc>
        <w:tc>
          <w:tcPr>
            <w:tcW w:w="4252" w:type="dxa"/>
          </w:tcPr>
          <w:p w14:paraId="056DC83C">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合同的变更、修改和终止</w:t>
            </w:r>
          </w:p>
        </w:tc>
      </w:tr>
      <w:tr w14:paraId="0EF8464D">
        <w:tblPrEx>
          <w:tblCellMar>
            <w:top w:w="0" w:type="dxa"/>
            <w:left w:w="108" w:type="dxa"/>
            <w:bottom w:w="0" w:type="dxa"/>
            <w:right w:w="108" w:type="dxa"/>
          </w:tblCellMar>
        </w:tblPrEx>
        <w:tc>
          <w:tcPr>
            <w:tcW w:w="1843" w:type="dxa"/>
            <w:vAlign w:val="center"/>
          </w:tcPr>
          <w:p w14:paraId="3101D0A6">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第</w:t>
            </w:r>
            <w:r>
              <w:rPr>
                <w:rFonts w:ascii="仿宋_GB2312"/>
                <w:color w:val="auto"/>
                <w:spacing w:val="20"/>
                <w:sz w:val="28"/>
                <w:szCs w:val="28"/>
                <w:highlight w:val="none"/>
              </w:rPr>
              <w:t>9</w:t>
            </w:r>
            <w:r>
              <w:rPr>
                <w:rFonts w:hint="eastAsia" w:ascii="仿宋_GB2312"/>
                <w:color w:val="auto"/>
                <w:spacing w:val="20"/>
                <w:sz w:val="28"/>
                <w:szCs w:val="28"/>
                <w:highlight w:val="none"/>
              </w:rPr>
              <w:t>条</w:t>
            </w:r>
          </w:p>
        </w:tc>
        <w:tc>
          <w:tcPr>
            <w:tcW w:w="4252" w:type="dxa"/>
          </w:tcPr>
          <w:p w14:paraId="2DAE3371">
            <w:pPr>
              <w:spacing w:line="580" w:lineRule="exact"/>
              <w:jc w:val="left"/>
              <w:rPr>
                <w:rFonts w:ascii="仿宋_GB2312"/>
                <w:color w:val="auto"/>
                <w:spacing w:val="20"/>
                <w:sz w:val="28"/>
                <w:szCs w:val="28"/>
                <w:highlight w:val="none"/>
              </w:rPr>
            </w:pPr>
            <w:r>
              <w:rPr>
                <w:rFonts w:hint="eastAsia" w:ascii="仿宋_GB2312"/>
                <w:color w:val="auto"/>
                <w:spacing w:val="20"/>
                <w:sz w:val="28"/>
                <w:szCs w:val="28"/>
                <w:highlight w:val="none"/>
              </w:rPr>
              <w:t>其他</w:t>
            </w:r>
          </w:p>
        </w:tc>
      </w:tr>
      <w:tr w14:paraId="0234D11A">
        <w:tblPrEx>
          <w:tblCellMar>
            <w:top w:w="0" w:type="dxa"/>
            <w:left w:w="108" w:type="dxa"/>
            <w:bottom w:w="0" w:type="dxa"/>
            <w:right w:w="108" w:type="dxa"/>
          </w:tblCellMar>
        </w:tblPrEx>
        <w:tc>
          <w:tcPr>
            <w:tcW w:w="1843" w:type="dxa"/>
            <w:vAlign w:val="center"/>
          </w:tcPr>
          <w:p w14:paraId="65ADC00D">
            <w:pPr>
              <w:spacing w:line="580" w:lineRule="exact"/>
              <w:jc w:val="center"/>
              <w:rPr>
                <w:rFonts w:ascii="仿宋_GB2312"/>
                <w:color w:val="auto"/>
                <w:spacing w:val="20"/>
                <w:sz w:val="32"/>
                <w:szCs w:val="32"/>
                <w:highlight w:val="none"/>
              </w:rPr>
            </w:pPr>
          </w:p>
        </w:tc>
        <w:tc>
          <w:tcPr>
            <w:tcW w:w="4252" w:type="dxa"/>
          </w:tcPr>
          <w:p w14:paraId="55ADA8E2">
            <w:pPr>
              <w:spacing w:line="580" w:lineRule="exact"/>
              <w:rPr>
                <w:rFonts w:ascii="仿宋_GB2312"/>
                <w:color w:val="auto"/>
                <w:spacing w:val="20"/>
                <w:sz w:val="32"/>
                <w:szCs w:val="32"/>
                <w:highlight w:val="none"/>
              </w:rPr>
            </w:pPr>
          </w:p>
        </w:tc>
      </w:tr>
    </w:tbl>
    <w:p w14:paraId="3F46949B">
      <w:pPr>
        <w:jc w:val="center"/>
        <w:rPr>
          <w:rStyle w:val="80"/>
          <w:rFonts w:cs="仿宋" w:asciiTheme="minorEastAsia" w:hAnsiTheme="minorEastAsia" w:eastAsiaTheme="minorEastAsia"/>
          <w:b w:val="0"/>
          <w:color w:val="auto"/>
          <w:sz w:val="24"/>
          <w:szCs w:val="24"/>
          <w:highlight w:val="none"/>
        </w:rPr>
      </w:pPr>
    </w:p>
    <w:p w14:paraId="11BFE710">
      <w:pPr>
        <w:jc w:val="center"/>
        <w:rPr>
          <w:rStyle w:val="80"/>
          <w:rFonts w:cs="仿宋" w:asciiTheme="minorEastAsia" w:hAnsiTheme="minorEastAsia" w:eastAsiaTheme="minorEastAsia"/>
          <w:b w:val="0"/>
          <w:color w:val="auto"/>
          <w:sz w:val="24"/>
          <w:szCs w:val="24"/>
          <w:highlight w:val="none"/>
        </w:rPr>
      </w:pPr>
    </w:p>
    <w:p w14:paraId="0A1018BF">
      <w:pPr>
        <w:jc w:val="center"/>
        <w:rPr>
          <w:rStyle w:val="80"/>
          <w:rFonts w:cs="仿宋" w:asciiTheme="minorEastAsia" w:hAnsiTheme="minorEastAsia" w:eastAsiaTheme="minorEastAsia"/>
          <w:b w:val="0"/>
          <w:color w:val="auto"/>
          <w:sz w:val="24"/>
          <w:szCs w:val="24"/>
          <w:highlight w:val="none"/>
        </w:rPr>
      </w:pPr>
    </w:p>
    <w:p w14:paraId="26921940">
      <w:pPr>
        <w:jc w:val="center"/>
        <w:rPr>
          <w:rStyle w:val="80"/>
          <w:rFonts w:cs="仿宋" w:asciiTheme="minorEastAsia" w:hAnsiTheme="minorEastAsia" w:eastAsiaTheme="minorEastAsia"/>
          <w:b w:val="0"/>
          <w:color w:val="auto"/>
          <w:sz w:val="24"/>
          <w:szCs w:val="24"/>
          <w:highlight w:val="none"/>
        </w:rPr>
      </w:pPr>
    </w:p>
    <w:p w14:paraId="4DDF7920">
      <w:pPr>
        <w:jc w:val="center"/>
        <w:rPr>
          <w:rStyle w:val="80"/>
          <w:rFonts w:cs="仿宋" w:asciiTheme="minorEastAsia" w:hAnsiTheme="minorEastAsia" w:eastAsiaTheme="minorEastAsia"/>
          <w:b w:val="0"/>
          <w:color w:val="auto"/>
          <w:sz w:val="24"/>
          <w:szCs w:val="24"/>
          <w:highlight w:val="none"/>
        </w:rPr>
      </w:pPr>
    </w:p>
    <w:p w14:paraId="1136A867">
      <w:pPr>
        <w:jc w:val="center"/>
        <w:rPr>
          <w:rStyle w:val="80"/>
          <w:rFonts w:cs="仿宋" w:asciiTheme="minorEastAsia" w:hAnsiTheme="minorEastAsia" w:eastAsiaTheme="minorEastAsia"/>
          <w:b w:val="0"/>
          <w:color w:val="auto"/>
          <w:sz w:val="24"/>
          <w:szCs w:val="24"/>
          <w:highlight w:val="none"/>
        </w:rPr>
      </w:pPr>
    </w:p>
    <w:p w14:paraId="78E740D8">
      <w:pPr>
        <w:jc w:val="center"/>
        <w:rPr>
          <w:rStyle w:val="80"/>
          <w:rFonts w:cs="仿宋" w:asciiTheme="minorEastAsia" w:hAnsiTheme="minorEastAsia" w:eastAsiaTheme="minorEastAsia"/>
          <w:b w:val="0"/>
          <w:color w:val="auto"/>
          <w:sz w:val="24"/>
          <w:szCs w:val="24"/>
          <w:highlight w:val="none"/>
        </w:rPr>
      </w:pPr>
    </w:p>
    <w:p w14:paraId="5AAF9EF8">
      <w:pPr>
        <w:jc w:val="center"/>
        <w:rPr>
          <w:rStyle w:val="80"/>
          <w:rFonts w:cs="仿宋" w:asciiTheme="minorEastAsia" w:hAnsiTheme="minorEastAsia" w:eastAsiaTheme="minorEastAsia"/>
          <w:b w:val="0"/>
          <w:color w:val="auto"/>
          <w:sz w:val="24"/>
          <w:szCs w:val="24"/>
          <w:highlight w:val="none"/>
        </w:rPr>
      </w:pPr>
    </w:p>
    <w:p w14:paraId="1E727DB7">
      <w:pPr>
        <w:jc w:val="center"/>
        <w:rPr>
          <w:rStyle w:val="80"/>
          <w:rFonts w:cs="仿宋" w:asciiTheme="minorEastAsia" w:hAnsiTheme="minorEastAsia" w:eastAsiaTheme="minorEastAsia"/>
          <w:b w:val="0"/>
          <w:color w:val="auto"/>
          <w:sz w:val="24"/>
          <w:szCs w:val="24"/>
          <w:highlight w:val="none"/>
        </w:rPr>
      </w:pPr>
    </w:p>
    <w:p w14:paraId="294DA55B">
      <w:pPr>
        <w:jc w:val="center"/>
        <w:rPr>
          <w:rStyle w:val="80"/>
          <w:rFonts w:cs="仿宋" w:asciiTheme="minorEastAsia" w:hAnsiTheme="minorEastAsia" w:eastAsiaTheme="minorEastAsia"/>
          <w:b w:val="0"/>
          <w:color w:val="auto"/>
          <w:sz w:val="24"/>
          <w:szCs w:val="24"/>
          <w:highlight w:val="none"/>
        </w:rPr>
      </w:pPr>
    </w:p>
    <w:p w14:paraId="22CD5FAA">
      <w:pPr>
        <w:jc w:val="center"/>
        <w:rPr>
          <w:rStyle w:val="80"/>
          <w:rFonts w:cs="仿宋" w:asciiTheme="minorEastAsia" w:hAnsiTheme="minorEastAsia" w:eastAsiaTheme="minorEastAsia"/>
          <w:b w:val="0"/>
          <w:color w:val="auto"/>
          <w:sz w:val="24"/>
          <w:szCs w:val="24"/>
          <w:highlight w:val="none"/>
        </w:rPr>
      </w:pPr>
    </w:p>
    <w:p w14:paraId="3BDBBACD">
      <w:pPr>
        <w:jc w:val="center"/>
        <w:rPr>
          <w:rStyle w:val="80"/>
          <w:rFonts w:cs="仿宋" w:asciiTheme="minorEastAsia" w:hAnsiTheme="minorEastAsia" w:eastAsiaTheme="minorEastAsia"/>
          <w:b w:val="0"/>
          <w:color w:val="auto"/>
          <w:sz w:val="24"/>
          <w:szCs w:val="24"/>
          <w:highlight w:val="none"/>
        </w:rPr>
      </w:pPr>
    </w:p>
    <w:p w14:paraId="779A0D3B">
      <w:pPr>
        <w:jc w:val="center"/>
        <w:rPr>
          <w:rStyle w:val="80"/>
          <w:rFonts w:cs="仿宋" w:asciiTheme="minorEastAsia" w:hAnsiTheme="minorEastAsia" w:eastAsiaTheme="minorEastAsia"/>
          <w:b w:val="0"/>
          <w:color w:val="auto"/>
          <w:sz w:val="24"/>
          <w:szCs w:val="24"/>
          <w:highlight w:val="none"/>
        </w:rPr>
      </w:pPr>
    </w:p>
    <w:p w14:paraId="6BFA8A90">
      <w:pPr>
        <w:jc w:val="center"/>
        <w:rPr>
          <w:rStyle w:val="80"/>
          <w:rFonts w:cs="仿宋" w:asciiTheme="minorEastAsia" w:hAnsiTheme="minorEastAsia" w:eastAsiaTheme="minorEastAsia"/>
          <w:b w:val="0"/>
          <w:color w:val="auto"/>
          <w:sz w:val="24"/>
          <w:szCs w:val="24"/>
          <w:highlight w:val="none"/>
        </w:rPr>
      </w:pPr>
    </w:p>
    <w:p w14:paraId="05A2B984">
      <w:pPr>
        <w:jc w:val="center"/>
        <w:rPr>
          <w:rStyle w:val="80"/>
          <w:rFonts w:cs="仿宋" w:asciiTheme="minorEastAsia" w:hAnsiTheme="minorEastAsia" w:eastAsiaTheme="minorEastAsia"/>
          <w:b w:val="0"/>
          <w:color w:val="auto"/>
          <w:sz w:val="24"/>
          <w:szCs w:val="24"/>
          <w:highlight w:val="none"/>
        </w:rPr>
      </w:pPr>
    </w:p>
    <w:p w14:paraId="4EB3B287">
      <w:pPr>
        <w:jc w:val="center"/>
        <w:rPr>
          <w:rStyle w:val="80"/>
          <w:rFonts w:cs="仿宋" w:asciiTheme="minorEastAsia" w:hAnsiTheme="minorEastAsia" w:eastAsiaTheme="minorEastAsia"/>
          <w:b w:val="0"/>
          <w:color w:val="auto"/>
          <w:sz w:val="24"/>
          <w:szCs w:val="24"/>
          <w:highlight w:val="none"/>
        </w:rPr>
      </w:pPr>
    </w:p>
    <w:p w14:paraId="5ED4BA03">
      <w:pPr>
        <w:jc w:val="center"/>
        <w:rPr>
          <w:rStyle w:val="80"/>
          <w:rFonts w:cs="仿宋" w:asciiTheme="minorEastAsia" w:hAnsiTheme="minorEastAsia" w:eastAsiaTheme="minorEastAsia"/>
          <w:b w:val="0"/>
          <w:color w:val="auto"/>
          <w:sz w:val="24"/>
          <w:szCs w:val="24"/>
          <w:highlight w:val="none"/>
        </w:rPr>
      </w:pPr>
    </w:p>
    <w:p w14:paraId="21F0DE2F">
      <w:pPr>
        <w:jc w:val="center"/>
        <w:rPr>
          <w:rStyle w:val="80"/>
          <w:rFonts w:cs="仿宋" w:asciiTheme="minorEastAsia" w:hAnsiTheme="minorEastAsia" w:eastAsiaTheme="minorEastAsia"/>
          <w:b w:val="0"/>
          <w:color w:val="auto"/>
          <w:sz w:val="24"/>
          <w:szCs w:val="24"/>
          <w:highlight w:val="none"/>
        </w:rPr>
      </w:pPr>
    </w:p>
    <w:p w14:paraId="3088636D">
      <w:pPr>
        <w:jc w:val="center"/>
        <w:rPr>
          <w:rStyle w:val="80"/>
          <w:rFonts w:cs="仿宋" w:asciiTheme="minorEastAsia" w:hAnsiTheme="minorEastAsia" w:eastAsiaTheme="minorEastAsia"/>
          <w:b w:val="0"/>
          <w:color w:val="auto"/>
          <w:sz w:val="24"/>
          <w:szCs w:val="24"/>
          <w:highlight w:val="none"/>
        </w:rPr>
      </w:pPr>
    </w:p>
    <w:p w14:paraId="7B5B28D5">
      <w:pPr>
        <w:jc w:val="center"/>
        <w:rPr>
          <w:rStyle w:val="80"/>
          <w:rFonts w:cs="仿宋" w:asciiTheme="minorEastAsia" w:hAnsiTheme="minorEastAsia" w:eastAsiaTheme="minorEastAsia"/>
          <w:b w:val="0"/>
          <w:color w:val="auto"/>
          <w:sz w:val="24"/>
          <w:szCs w:val="24"/>
          <w:highlight w:val="none"/>
        </w:rPr>
      </w:pPr>
    </w:p>
    <w:p w14:paraId="733A6438">
      <w:pPr>
        <w:jc w:val="center"/>
        <w:rPr>
          <w:rStyle w:val="80"/>
          <w:rFonts w:cs="仿宋" w:asciiTheme="minorEastAsia" w:hAnsiTheme="minorEastAsia" w:eastAsiaTheme="minorEastAsia"/>
          <w:b w:val="0"/>
          <w:color w:val="auto"/>
          <w:sz w:val="24"/>
          <w:szCs w:val="24"/>
          <w:highlight w:val="none"/>
        </w:rPr>
      </w:pPr>
    </w:p>
    <w:p w14:paraId="2223A777">
      <w:pPr>
        <w:jc w:val="center"/>
        <w:rPr>
          <w:rStyle w:val="80"/>
          <w:rFonts w:cs="仿宋" w:asciiTheme="minorEastAsia" w:hAnsiTheme="minorEastAsia" w:eastAsiaTheme="minorEastAsia"/>
          <w:b w:val="0"/>
          <w:color w:val="auto"/>
          <w:sz w:val="24"/>
          <w:szCs w:val="24"/>
          <w:highlight w:val="none"/>
        </w:rPr>
      </w:pPr>
    </w:p>
    <w:p w14:paraId="4CDC4218">
      <w:pPr>
        <w:jc w:val="center"/>
        <w:rPr>
          <w:rStyle w:val="80"/>
          <w:rFonts w:cs="仿宋" w:asciiTheme="minorEastAsia" w:hAnsiTheme="minorEastAsia" w:eastAsiaTheme="minorEastAsia"/>
          <w:b w:val="0"/>
          <w:color w:val="auto"/>
          <w:sz w:val="24"/>
          <w:szCs w:val="24"/>
          <w:highlight w:val="none"/>
        </w:rPr>
      </w:pPr>
    </w:p>
    <w:p w14:paraId="38E05F99">
      <w:pPr>
        <w:keepNext/>
        <w:keepLines/>
        <w:spacing w:line="480" w:lineRule="exact"/>
        <w:outlineLvl w:val="1"/>
        <w:rPr>
          <w:rFonts w:ascii="黑体" w:hAnsi="Arial" w:eastAsia="黑体"/>
          <w:b/>
          <w:bCs/>
          <w:color w:val="auto"/>
          <w:sz w:val="28"/>
          <w:szCs w:val="28"/>
          <w:highlight w:val="none"/>
        </w:rPr>
      </w:pPr>
      <w:bookmarkStart w:id="187" w:name="_Toc319051140"/>
      <w:bookmarkStart w:id="188" w:name="_Toc285624299"/>
      <w:bookmarkStart w:id="189" w:name="_Toc9620702"/>
      <w:bookmarkStart w:id="190" w:name="_Toc16498134"/>
      <w:r>
        <w:rPr>
          <w:rFonts w:hint="eastAsia" w:ascii="黑体" w:hAnsi="Arial" w:eastAsia="黑体"/>
          <w:bCs/>
          <w:color w:val="auto"/>
          <w:sz w:val="28"/>
          <w:szCs w:val="28"/>
          <w:highlight w:val="none"/>
        </w:rPr>
        <w:t>第1条  合同当事人</w:t>
      </w:r>
      <w:bookmarkEnd w:id="187"/>
      <w:bookmarkEnd w:id="188"/>
      <w:bookmarkEnd w:id="189"/>
      <w:bookmarkEnd w:id="190"/>
    </w:p>
    <w:tbl>
      <w:tblPr>
        <w:tblStyle w:val="40"/>
        <w:tblpPr w:leftFromText="180" w:rightFromText="180" w:vertAnchor="text" w:horzAnchor="margin" w:tblpXSpec="center" w:tblpY="24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8"/>
        <w:gridCol w:w="3242"/>
        <w:gridCol w:w="3777"/>
      </w:tblGrid>
      <w:tr w14:paraId="21E8ED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12C031FF">
            <w:pPr>
              <w:spacing w:line="480" w:lineRule="exact"/>
              <w:jc w:val="center"/>
              <w:rPr>
                <w:rFonts w:ascii="仿宋_GB2312"/>
                <w:color w:val="auto"/>
                <w:highlight w:val="none"/>
              </w:rPr>
            </w:pPr>
            <w:r>
              <w:rPr>
                <w:rFonts w:hint="eastAsia" w:ascii="仿宋_GB2312"/>
                <w:color w:val="auto"/>
                <w:highlight w:val="none"/>
              </w:rPr>
              <w:t>项目</w:t>
            </w:r>
          </w:p>
        </w:tc>
        <w:tc>
          <w:tcPr>
            <w:tcW w:w="1812" w:type="pct"/>
            <w:vAlign w:val="center"/>
          </w:tcPr>
          <w:p w14:paraId="724ACD10">
            <w:pPr>
              <w:spacing w:line="480" w:lineRule="exact"/>
              <w:jc w:val="center"/>
              <w:rPr>
                <w:rFonts w:ascii="仿宋_GB2312"/>
                <w:color w:val="auto"/>
                <w:highlight w:val="none"/>
              </w:rPr>
            </w:pPr>
            <w:r>
              <w:rPr>
                <w:rFonts w:hint="eastAsia" w:ascii="仿宋_GB2312"/>
                <w:color w:val="auto"/>
                <w:highlight w:val="none"/>
              </w:rPr>
              <w:t>委托方（甲方）</w:t>
            </w:r>
          </w:p>
        </w:tc>
        <w:tc>
          <w:tcPr>
            <w:tcW w:w="2112" w:type="pct"/>
            <w:vAlign w:val="center"/>
          </w:tcPr>
          <w:p w14:paraId="3AA9DF51">
            <w:pPr>
              <w:spacing w:line="480" w:lineRule="exact"/>
              <w:jc w:val="center"/>
              <w:rPr>
                <w:rFonts w:ascii="仿宋_GB2312"/>
                <w:color w:val="auto"/>
                <w:highlight w:val="none"/>
              </w:rPr>
            </w:pPr>
            <w:r>
              <w:rPr>
                <w:rFonts w:hint="eastAsia" w:ascii="仿宋_GB2312"/>
                <w:color w:val="auto"/>
                <w:highlight w:val="none"/>
              </w:rPr>
              <w:t>服务方（乙方）</w:t>
            </w:r>
          </w:p>
        </w:tc>
      </w:tr>
      <w:tr w14:paraId="1BB0B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7FF32272">
            <w:pPr>
              <w:spacing w:line="480" w:lineRule="exact"/>
              <w:jc w:val="center"/>
              <w:rPr>
                <w:rFonts w:ascii="仿宋_GB2312"/>
                <w:color w:val="auto"/>
                <w:highlight w:val="none"/>
              </w:rPr>
            </w:pPr>
            <w:r>
              <w:rPr>
                <w:rFonts w:hint="eastAsia" w:ascii="仿宋_GB2312"/>
                <w:color w:val="auto"/>
                <w:highlight w:val="none"/>
              </w:rPr>
              <w:t>法人单位</w:t>
            </w:r>
          </w:p>
          <w:p w14:paraId="2D7D6162">
            <w:pPr>
              <w:spacing w:line="480" w:lineRule="exact"/>
              <w:jc w:val="center"/>
              <w:rPr>
                <w:rFonts w:ascii="仿宋_GB2312"/>
                <w:color w:val="auto"/>
                <w:highlight w:val="none"/>
              </w:rPr>
            </w:pPr>
            <w:r>
              <w:rPr>
                <w:rFonts w:hint="eastAsia" w:ascii="仿宋_GB2312"/>
                <w:color w:val="auto"/>
                <w:highlight w:val="none"/>
              </w:rPr>
              <w:t>名称</w:t>
            </w:r>
          </w:p>
        </w:tc>
        <w:tc>
          <w:tcPr>
            <w:tcW w:w="1812" w:type="pct"/>
            <w:vAlign w:val="center"/>
          </w:tcPr>
          <w:p w14:paraId="3E0DAAB8">
            <w:pPr>
              <w:spacing w:line="480" w:lineRule="exact"/>
              <w:jc w:val="center"/>
              <w:rPr>
                <w:rFonts w:ascii="仿宋_GB2312"/>
                <w:color w:val="auto"/>
                <w:spacing w:val="-20"/>
                <w:w w:val="92"/>
                <w:highlight w:val="none"/>
              </w:rPr>
            </w:pPr>
          </w:p>
        </w:tc>
        <w:tc>
          <w:tcPr>
            <w:tcW w:w="2112" w:type="pct"/>
            <w:vAlign w:val="center"/>
          </w:tcPr>
          <w:p w14:paraId="2D5B1E93">
            <w:pPr>
              <w:spacing w:line="480" w:lineRule="exact"/>
              <w:jc w:val="center"/>
              <w:rPr>
                <w:rFonts w:ascii="仿宋_GB2312"/>
                <w:color w:val="auto"/>
                <w:highlight w:val="none"/>
              </w:rPr>
            </w:pPr>
          </w:p>
        </w:tc>
      </w:tr>
      <w:tr w14:paraId="062666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665178C8">
            <w:pPr>
              <w:spacing w:line="480" w:lineRule="exact"/>
              <w:jc w:val="center"/>
              <w:rPr>
                <w:rFonts w:ascii="仿宋_GB2312"/>
                <w:color w:val="auto"/>
                <w:highlight w:val="none"/>
              </w:rPr>
            </w:pPr>
            <w:r>
              <w:rPr>
                <w:rFonts w:hint="eastAsia" w:ascii="仿宋_GB2312"/>
                <w:color w:val="auto"/>
                <w:highlight w:val="none"/>
              </w:rPr>
              <w:t>法定代表人</w:t>
            </w:r>
          </w:p>
          <w:p w14:paraId="5E93816C">
            <w:pPr>
              <w:spacing w:line="480" w:lineRule="exact"/>
              <w:jc w:val="center"/>
              <w:rPr>
                <w:rFonts w:ascii="仿宋_GB2312"/>
                <w:color w:val="auto"/>
                <w:spacing w:val="-20"/>
                <w:highlight w:val="none"/>
              </w:rPr>
            </w:pPr>
            <w:r>
              <w:rPr>
                <w:rFonts w:hint="eastAsia" w:ascii="仿宋_GB2312"/>
                <w:color w:val="auto"/>
                <w:spacing w:val="-20"/>
                <w:highlight w:val="none"/>
              </w:rPr>
              <w:t>(职务、姓名)</w:t>
            </w:r>
          </w:p>
        </w:tc>
        <w:tc>
          <w:tcPr>
            <w:tcW w:w="1812" w:type="pct"/>
            <w:vAlign w:val="center"/>
          </w:tcPr>
          <w:p w14:paraId="5BD8F43C">
            <w:pPr>
              <w:spacing w:line="480" w:lineRule="exact"/>
              <w:jc w:val="center"/>
              <w:rPr>
                <w:rFonts w:ascii="仿宋_GB2312"/>
                <w:color w:val="auto"/>
                <w:highlight w:val="none"/>
              </w:rPr>
            </w:pPr>
          </w:p>
        </w:tc>
        <w:tc>
          <w:tcPr>
            <w:tcW w:w="2112" w:type="pct"/>
            <w:vAlign w:val="center"/>
          </w:tcPr>
          <w:p w14:paraId="2D1E8022">
            <w:pPr>
              <w:spacing w:line="480" w:lineRule="exact"/>
              <w:jc w:val="center"/>
              <w:rPr>
                <w:rFonts w:ascii="仿宋_GB2312"/>
                <w:color w:val="auto"/>
                <w:highlight w:val="none"/>
              </w:rPr>
            </w:pPr>
          </w:p>
        </w:tc>
      </w:tr>
      <w:tr w14:paraId="50CD9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0A28C84C">
            <w:pPr>
              <w:spacing w:line="480" w:lineRule="exact"/>
              <w:jc w:val="center"/>
              <w:rPr>
                <w:rFonts w:ascii="仿宋_GB2312"/>
                <w:color w:val="auto"/>
                <w:highlight w:val="none"/>
              </w:rPr>
            </w:pPr>
            <w:r>
              <w:rPr>
                <w:rFonts w:hint="eastAsia" w:ascii="仿宋_GB2312"/>
                <w:color w:val="auto"/>
                <w:highlight w:val="none"/>
              </w:rPr>
              <w:t>代理单位</w:t>
            </w:r>
          </w:p>
          <w:p w14:paraId="5998C9F3">
            <w:pPr>
              <w:spacing w:line="480" w:lineRule="exact"/>
              <w:jc w:val="center"/>
              <w:rPr>
                <w:rFonts w:ascii="仿宋_GB2312"/>
                <w:color w:val="auto"/>
                <w:highlight w:val="none"/>
              </w:rPr>
            </w:pPr>
            <w:r>
              <w:rPr>
                <w:rFonts w:hint="eastAsia" w:ascii="仿宋_GB2312"/>
                <w:color w:val="auto"/>
                <w:highlight w:val="none"/>
              </w:rPr>
              <w:t>名称</w:t>
            </w:r>
          </w:p>
        </w:tc>
        <w:tc>
          <w:tcPr>
            <w:tcW w:w="1812" w:type="pct"/>
            <w:vAlign w:val="center"/>
          </w:tcPr>
          <w:p w14:paraId="55884DE9">
            <w:pPr>
              <w:spacing w:line="480" w:lineRule="exact"/>
              <w:jc w:val="center"/>
              <w:rPr>
                <w:rFonts w:ascii="仿宋_GB2312"/>
                <w:color w:val="auto"/>
                <w:highlight w:val="none"/>
              </w:rPr>
            </w:pPr>
          </w:p>
        </w:tc>
        <w:tc>
          <w:tcPr>
            <w:tcW w:w="2112" w:type="pct"/>
            <w:vAlign w:val="center"/>
          </w:tcPr>
          <w:p w14:paraId="6921CD4B">
            <w:pPr>
              <w:spacing w:line="480" w:lineRule="exact"/>
              <w:jc w:val="center"/>
              <w:rPr>
                <w:rFonts w:ascii="仿宋_GB2312"/>
                <w:color w:val="auto"/>
                <w:highlight w:val="none"/>
              </w:rPr>
            </w:pPr>
          </w:p>
        </w:tc>
      </w:tr>
      <w:tr w14:paraId="7BE2F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79C42629">
            <w:pPr>
              <w:spacing w:line="480" w:lineRule="exact"/>
              <w:jc w:val="center"/>
              <w:rPr>
                <w:rFonts w:ascii="仿宋_GB2312"/>
                <w:color w:val="auto"/>
                <w:highlight w:val="none"/>
              </w:rPr>
            </w:pPr>
            <w:r>
              <w:rPr>
                <w:rFonts w:hint="eastAsia" w:ascii="仿宋_GB2312"/>
                <w:color w:val="auto"/>
                <w:highlight w:val="none"/>
              </w:rPr>
              <w:t>代理人</w:t>
            </w:r>
          </w:p>
          <w:p w14:paraId="74F8E9CE">
            <w:pPr>
              <w:spacing w:line="480" w:lineRule="exact"/>
              <w:jc w:val="center"/>
              <w:rPr>
                <w:rFonts w:ascii="仿宋_GB2312"/>
                <w:color w:val="auto"/>
                <w:highlight w:val="none"/>
              </w:rPr>
            </w:pPr>
            <w:r>
              <w:rPr>
                <w:rFonts w:hint="eastAsia" w:ascii="仿宋_GB2312"/>
                <w:color w:val="auto"/>
                <w:spacing w:val="-20"/>
                <w:highlight w:val="none"/>
              </w:rPr>
              <w:t>(职务、姓名)</w:t>
            </w:r>
          </w:p>
        </w:tc>
        <w:tc>
          <w:tcPr>
            <w:tcW w:w="1812" w:type="pct"/>
            <w:vAlign w:val="center"/>
          </w:tcPr>
          <w:p w14:paraId="0C2E67DE">
            <w:pPr>
              <w:spacing w:line="480" w:lineRule="exact"/>
              <w:jc w:val="center"/>
              <w:rPr>
                <w:rFonts w:ascii="仿宋_GB2312"/>
                <w:color w:val="auto"/>
                <w:highlight w:val="none"/>
              </w:rPr>
            </w:pPr>
          </w:p>
        </w:tc>
        <w:tc>
          <w:tcPr>
            <w:tcW w:w="2112" w:type="pct"/>
            <w:vAlign w:val="center"/>
          </w:tcPr>
          <w:p w14:paraId="6B537601">
            <w:pPr>
              <w:spacing w:line="480" w:lineRule="exact"/>
              <w:jc w:val="center"/>
              <w:rPr>
                <w:rFonts w:ascii="仿宋_GB2312"/>
                <w:color w:val="auto"/>
                <w:highlight w:val="none"/>
              </w:rPr>
            </w:pPr>
          </w:p>
        </w:tc>
      </w:tr>
      <w:tr w14:paraId="2FA32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5" w:hRule="atLeast"/>
        </w:trPr>
        <w:tc>
          <w:tcPr>
            <w:tcW w:w="1077" w:type="pct"/>
            <w:vAlign w:val="center"/>
          </w:tcPr>
          <w:p w14:paraId="4CAC3D98">
            <w:pPr>
              <w:spacing w:line="480" w:lineRule="exact"/>
              <w:jc w:val="center"/>
              <w:rPr>
                <w:rFonts w:ascii="仿宋_GB2312"/>
                <w:color w:val="auto"/>
                <w:highlight w:val="none"/>
              </w:rPr>
            </w:pPr>
            <w:r>
              <w:rPr>
                <w:rFonts w:hint="eastAsia" w:ascii="仿宋_GB2312"/>
                <w:color w:val="auto"/>
                <w:highlight w:val="none"/>
              </w:rPr>
              <w:t>单位地址</w:t>
            </w:r>
          </w:p>
        </w:tc>
        <w:tc>
          <w:tcPr>
            <w:tcW w:w="1812" w:type="pct"/>
            <w:vAlign w:val="center"/>
          </w:tcPr>
          <w:p w14:paraId="06C3DE24">
            <w:pPr>
              <w:spacing w:line="480" w:lineRule="exact"/>
              <w:jc w:val="center"/>
              <w:rPr>
                <w:rFonts w:ascii="仿宋_GB2312"/>
                <w:color w:val="auto"/>
                <w:highlight w:val="none"/>
              </w:rPr>
            </w:pPr>
          </w:p>
        </w:tc>
        <w:tc>
          <w:tcPr>
            <w:tcW w:w="2112" w:type="pct"/>
            <w:vAlign w:val="center"/>
          </w:tcPr>
          <w:p w14:paraId="232DD077">
            <w:pPr>
              <w:spacing w:line="480" w:lineRule="exact"/>
              <w:jc w:val="center"/>
              <w:rPr>
                <w:rFonts w:ascii="仿宋_GB2312"/>
                <w:color w:val="auto"/>
                <w:highlight w:val="none"/>
              </w:rPr>
            </w:pPr>
          </w:p>
        </w:tc>
      </w:tr>
      <w:tr w14:paraId="30A21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077" w:type="pct"/>
            <w:vAlign w:val="center"/>
          </w:tcPr>
          <w:p w14:paraId="201CDC3D">
            <w:pPr>
              <w:spacing w:line="480" w:lineRule="exact"/>
              <w:jc w:val="center"/>
              <w:rPr>
                <w:rFonts w:ascii="仿宋_GB2312"/>
                <w:color w:val="auto"/>
                <w:highlight w:val="none"/>
              </w:rPr>
            </w:pPr>
            <w:r>
              <w:rPr>
                <w:rFonts w:hint="eastAsia" w:ascii="仿宋_GB2312"/>
                <w:color w:val="auto"/>
                <w:highlight w:val="none"/>
              </w:rPr>
              <w:t>邮政编码</w:t>
            </w:r>
          </w:p>
        </w:tc>
        <w:tc>
          <w:tcPr>
            <w:tcW w:w="1812" w:type="pct"/>
            <w:vAlign w:val="center"/>
          </w:tcPr>
          <w:p w14:paraId="0E39C4D7">
            <w:pPr>
              <w:spacing w:line="480" w:lineRule="exact"/>
              <w:jc w:val="center"/>
              <w:rPr>
                <w:rFonts w:ascii="仿宋_GB2312"/>
                <w:color w:val="auto"/>
                <w:highlight w:val="none"/>
              </w:rPr>
            </w:pPr>
          </w:p>
        </w:tc>
        <w:tc>
          <w:tcPr>
            <w:tcW w:w="2112" w:type="pct"/>
            <w:vAlign w:val="center"/>
          </w:tcPr>
          <w:p w14:paraId="594113D1">
            <w:pPr>
              <w:spacing w:line="480" w:lineRule="exact"/>
              <w:jc w:val="center"/>
              <w:rPr>
                <w:rFonts w:ascii="仿宋_GB2312"/>
                <w:color w:val="auto"/>
                <w:highlight w:val="none"/>
              </w:rPr>
            </w:pPr>
          </w:p>
        </w:tc>
      </w:tr>
      <w:tr w14:paraId="37669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077" w:type="pct"/>
            <w:vAlign w:val="center"/>
          </w:tcPr>
          <w:p w14:paraId="56436907">
            <w:pPr>
              <w:spacing w:line="480" w:lineRule="exact"/>
              <w:jc w:val="center"/>
              <w:rPr>
                <w:rFonts w:ascii="仿宋_GB2312"/>
                <w:color w:val="auto"/>
                <w:highlight w:val="none"/>
              </w:rPr>
            </w:pPr>
            <w:r>
              <w:rPr>
                <w:rFonts w:hint="eastAsia" w:ascii="仿宋_GB2312"/>
                <w:color w:val="auto"/>
                <w:highlight w:val="none"/>
              </w:rPr>
              <w:t>联系电话</w:t>
            </w:r>
          </w:p>
        </w:tc>
        <w:tc>
          <w:tcPr>
            <w:tcW w:w="1812" w:type="pct"/>
            <w:vAlign w:val="center"/>
          </w:tcPr>
          <w:p w14:paraId="732111AC">
            <w:pPr>
              <w:spacing w:line="480" w:lineRule="exact"/>
              <w:jc w:val="center"/>
              <w:rPr>
                <w:rFonts w:ascii="仿宋_GB2312"/>
                <w:color w:val="auto"/>
                <w:highlight w:val="none"/>
              </w:rPr>
            </w:pPr>
          </w:p>
        </w:tc>
        <w:tc>
          <w:tcPr>
            <w:tcW w:w="2112" w:type="pct"/>
            <w:vAlign w:val="center"/>
          </w:tcPr>
          <w:p w14:paraId="56AFF569">
            <w:pPr>
              <w:spacing w:line="480" w:lineRule="exact"/>
              <w:jc w:val="center"/>
              <w:rPr>
                <w:rFonts w:ascii="仿宋_GB2312"/>
                <w:color w:val="auto"/>
                <w:highlight w:val="none"/>
              </w:rPr>
            </w:pPr>
          </w:p>
        </w:tc>
      </w:tr>
      <w:tr w14:paraId="354A6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077" w:type="pct"/>
            <w:vAlign w:val="center"/>
          </w:tcPr>
          <w:p w14:paraId="758D1549">
            <w:pPr>
              <w:spacing w:line="480" w:lineRule="exact"/>
              <w:jc w:val="center"/>
              <w:rPr>
                <w:rFonts w:ascii="仿宋_GB2312"/>
                <w:color w:val="auto"/>
                <w:highlight w:val="none"/>
              </w:rPr>
            </w:pPr>
            <w:r>
              <w:rPr>
                <w:rFonts w:hint="eastAsia" w:ascii="仿宋_GB2312"/>
                <w:color w:val="auto"/>
                <w:highlight w:val="none"/>
              </w:rPr>
              <w:t>账户名称</w:t>
            </w:r>
          </w:p>
        </w:tc>
        <w:tc>
          <w:tcPr>
            <w:tcW w:w="1812" w:type="pct"/>
            <w:vAlign w:val="center"/>
          </w:tcPr>
          <w:p w14:paraId="4076867C">
            <w:pPr>
              <w:spacing w:line="480" w:lineRule="exact"/>
              <w:jc w:val="center"/>
              <w:rPr>
                <w:rFonts w:ascii="仿宋_GB2312"/>
                <w:color w:val="auto"/>
                <w:spacing w:val="-20"/>
                <w:w w:val="92"/>
                <w:highlight w:val="none"/>
              </w:rPr>
            </w:pPr>
          </w:p>
        </w:tc>
        <w:tc>
          <w:tcPr>
            <w:tcW w:w="2112" w:type="pct"/>
            <w:vAlign w:val="center"/>
          </w:tcPr>
          <w:p w14:paraId="1E120B5B">
            <w:pPr>
              <w:spacing w:line="480" w:lineRule="exact"/>
              <w:jc w:val="center"/>
              <w:rPr>
                <w:rFonts w:ascii="仿宋_GB2312"/>
                <w:color w:val="auto"/>
                <w:highlight w:val="none"/>
              </w:rPr>
            </w:pPr>
          </w:p>
        </w:tc>
      </w:tr>
      <w:tr w14:paraId="19284A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077" w:type="pct"/>
            <w:vAlign w:val="center"/>
          </w:tcPr>
          <w:p w14:paraId="016107B1">
            <w:pPr>
              <w:spacing w:line="480" w:lineRule="exact"/>
              <w:jc w:val="center"/>
              <w:rPr>
                <w:rFonts w:ascii="仿宋_GB2312"/>
                <w:color w:val="auto"/>
                <w:highlight w:val="none"/>
              </w:rPr>
            </w:pPr>
            <w:r>
              <w:rPr>
                <w:rFonts w:hint="eastAsia" w:ascii="仿宋_GB2312"/>
                <w:color w:val="auto"/>
                <w:highlight w:val="none"/>
              </w:rPr>
              <w:t>开户银行</w:t>
            </w:r>
          </w:p>
        </w:tc>
        <w:tc>
          <w:tcPr>
            <w:tcW w:w="1812" w:type="pct"/>
            <w:vAlign w:val="center"/>
          </w:tcPr>
          <w:p w14:paraId="0270D497">
            <w:pPr>
              <w:spacing w:line="480" w:lineRule="exact"/>
              <w:jc w:val="center"/>
              <w:rPr>
                <w:rFonts w:ascii="仿宋_GB2312"/>
                <w:color w:val="auto"/>
                <w:w w:val="95"/>
                <w:highlight w:val="none"/>
              </w:rPr>
            </w:pPr>
          </w:p>
        </w:tc>
        <w:tc>
          <w:tcPr>
            <w:tcW w:w="2112" w:type="pct"/>
            <w:vAlign w:val="center"/>
          </w:tcPr>
          <w:p w14:paraId="3D985CAE">
            <w:pPr>
              <w:spacing w:line="480" w:lineRule="exact"/>
              <w:jc w:val="center"/>
              <w:rPr>
                <w:rFonts w:ascii="仿宋_GB2312"/>
                <w:color w:val="auto"/>
                <w:highlight w:val="none"/>
              </w:rPr>
            </w:pPr>
          </w:p>
        </w:tc>
      </w:tr>
      <w:tr w14:paraId="10C86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trPr>
        <w:tc>
          <w:tcPr>
            <w:tcW w:w="1077" w:type="pct"/>
            <w:vAlign w:val="center"/>
          </w:tcPr>
          <w:p w14:paraId="39C0CB74">
            <w:pPr>
              <w:spacing w:line="480" w:lineRule="exact"/>
              <w:jc w:val="center"/>
              <w:rPr>
                <w:rFonts w:ascii="仿宋_GB2312"/>
                <w:color w:val="auto"/>
                <w:highlight w:val="none"/>
              </w:rPr>
            </w:pPr>
            <w:r>
              <w:rPr>
                <w:rFonts w:hint="eastAsia" w:ascii="仿宋_GB2312"/>
                <w:color w:val="auto"/>
                <w:highlight w:val="none"/>
              </w:rPr>
              <w:t>账号</w:t>
            </w:r>
          </w:p>
        </w:tc>
        <w:tc>
          <w:tcPr>
            <w:tcW w:w="1812" w:type="pct"/>
            <w:vAlign w:val="center"/>
          </w:tcPr>
          <w:p w14:paraId="3449FEE1">
            <w:pPr>
              <w:spacing w:line="480" w:lineRule="exact"/>
              <w:jc w:val="center"/>
              <w:rPr>
                <w:rFonts w:ascii="仿宋_GB2312"/>
                <w:color w:val="auto"/>
                <w:highlight w:val="none"/>
              </w:rPr>
            </w:pPr>
          </w:p>
        </w:tc>
        <w:tc>
          <w:tcPr>
            <w:tcW w:w="2112" w:type="pct"/>
            <w:vAlign w:val="center"/>
          </w:tcPr>
          <w:p w14:paraId="15C3BA22">
            <w:pPr>
              <w:spacing w:line="480" w:lineRule="exact"/>
              <w:jc w:val="center"/>
              <w:rPr>
                <w:rFonts w:ascii="仿宋_GB2312"/>
                <w:color w:val="auto"/>
                <w:highlight w:val="none"/>
              </w:rPr>
            </w:pPr>
          </w:p>
        </w:tc>
      </w:tr>
      <w:tr w14:paraId="63A49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90" w:hRule="atLeast"/>
        </w:trPr>
        <w:tc>
          <w:tcPr>
            <w:tcW w:w="1077" w:type="pct"/>
            <w:vAlign w:val="center"/>
          </w:tcPr>
          <w:p w14:paraId="7414850B">
            <w:pPr>
              <w:spacing w:line="480" w:lineRule="exact"/>
              <w:jc w:val="center"/>
              <w:rPr>
                <w:rFonts w:ascii="仿宋_GB2312"/>
                <w:color w:val="auto"/>
                <w:highlight w:val="none"/>
              </w:rPr>
            </w:pPr>
            <w:r>
              <w:rPr>
                <w:rFonts w:hint="eastAsia" w:ascii="仿宋_GB2312"/>
                <w:color w:val="auto"/>
                <w:highlight w:val="none"/>
              </w:rPr>
              <w:t>法定代表人</w:t>
            </w:r>
          </w:p>
          <w:p w14:paraId="5240F1CE">
            <w:pPr>
              <w:spacing w:line="480" w:lineRule="exact"/>
              <w:jc w:val="center"/>
              <w:rPr>
                <w:rFonts w:ascii="仿宋_GB2312"/>
                <w:color w:val="auto"/>
                <w:highlight w:val="none"/>
              </w:rPr>
            </w:pPr>
            <w:r>
              <w:rPr>
                <w:rFonts w:hint="eastAsia" w:ascii="仿宋_GB2312"/>
                <w:color w:val="auto"/>
                <w:highlight w:val="none"/>
              </w:rPr>
              <w:t>或代理人</w:t>
            </w:r>
          </w:p>
          <w:p w14:paraId="20893A96">
            <w:pPr>
              <w:spacing w:line="480" w:lineRule="exact"/>
              <w:jc w:val="center"/>
              <w:rPr>
                <w:rFonts w:ascii="仿宋_GB2312"/>
                <w:color w:val="auto"/>
                <w:highlight w:val="none"/>
              </w:rPr>
            </w:pPr>
          </w:p>
          <w:p w14:paraId="4B9962A9">
            <w:pPr>
              <w:spacing w:line="480" w:lineRule="exact"/>
              <w:jc w:val="center"/>
              <w:rPr>
                <w:rFonts w:ascii="仿宋_GB2312"/>
                <w:color w:val="auto"/>
                <w:highlight w:val="none"/>
              </w:rPr>
            </w:pPr>
            <w:r>
              <w:rPr>
                <w:rFonts w:hint="eastAsia" w:ascii="仿宋_GB2312"/>
                <w:color w:val="auto"/>
                <w:highlight w:val="none"/>
              </w:rPr>
              <w:t>单位印章</w:t>
            </w:r>
          </w:p>
          <w:p w14:paraId="566AC2E3">
            <w:pPr>
              <w:spacing w:line="480" w:lineRule="exact"/>
              <w:jc w:val="center"/>
              <w:rPr>
                <w:rFonts w:ascii="仿宋_GB2312"/>
                <w:color w:val="auto"/>
                <w:highlight w:val="none"/>
              </w:rPr>
            </w:pPr>
          </w:p>
          <w:p w14:paraId="58C361F8">
            <w:pPr>
              <w:spacing w:line="480" w:lineRule="exact"/>
              <w:jc w:val="center"/>
              <w:rPr>
                <w:rFonts w:ascii="仿宋_GB2312"/>
                <w:color w:val="auto"/>
                <w:highlight w:val="none"/>
              </w:rPr>
            </w:pPr>
            <w:r>
              <w:rPr>
                <w:rFonts w:hint="eastAsia" w:ascii="仿宋_GB2312"/>
                <w:color w:val="auto"/>
                <w:highlight w:val="none"/>
              </w:rPr>
              <w:t>日期</w:t>
            </w:r>
          </w:p>
        </w:tc>
        <w:tc>
          <w:tcPr>
            <w:tcW w:w="1812" w:type="pct"/>
            <w:vAlign w:val="center"/>
          </w:tcPr>
          <w:p w14:paraId="5A924953">
            <w:pPr>
              <w:spacing w:line="480" w:lineRule="exact"/>
              <w:jc w:val="center"/>
              <w:rPr>
                <w:rFonts w:ascii="仿宋_GB2312"/>
                <w:color w:val="auto"/>
                <w:highlight w:val="none"/>
              </w:rPr>
            </w:pPr>
          </w:p>
          <w:p w14:paraId="3913D403">
            <w:pPr>
              <w:spacing w:line="480" w:lineRule="exact"/>
              <w:jc w:val="center"/>
              <w:rPr>
                <w:rFonts w:ascii="仿宋_GB2312"/>
                <w:color w:val="auto"/>
                <w:highlight w:val="none"/>
              </w:rPr>
            </w:pPr>
          </w:p>
          <w:p w14:paraId="48B94F48">
            <w:pPr>
              <w:spacing w:line="480" w:lineRule="exact"/>
              <w:jc w:val="center"/>
              <w:rPr>
                <w:rFonts w:ascii="仿宋_GB2312"/>
                <w:color w:val="auto"/>
                <w:highlight w:val="none"/>
              </w:rPr>
            </w:pPr>
            <w:r>
              <w:rPr>
                <w:rFonts w:hint="eastAsia" w:ascii="仿宋_GB2312"/>
                <w:color w:val="auto"/>
                <w:highlight w:val="none"/>
              </w:rPr>
              <w:t>（印章）</w:t>
            </w:r>
          </w:p>
          <w:p w14:paraId="08234EFB">
            <w:pPr>
              <w:spacing w:line="480" w:lineRule="exact"/>
              <w:jc w:val="center"/>
              <w:rPr>
                <w:rFonts w:ascii="仿宋_GB2312"/>
                <w:color w:val="auto"/>
                <w:highlight w:val="none"/>
              </w:rPr>
            </w:pPr>
          </w:p>
          <w:p w14:paraId="4D99B425">
            <w:pPr>
              <w:spacing w:line="480" w:lineRule="exact"/>
              <w:jc w:val="distribute"/>
              <w:rPr>
                <w:rFonts w:ascii="仿宋_GB2312"/>
                <w:color w:val="auto"/>
                <w:highlight w:val="none"/>
              </w:rPr>
            </w:pPr>
            <w:r>
              <w:rPr>
                <w:rFonts w:hint="eastAsia" w:ascii="仿宋_GB2312"/>
                <w:color w:val="auto"/>
                <w:highlight w:val="none"/>
              </w:rPr>
              <w:t>年月日</w:t>
            </w:r>
          </w:p>
        </w:tc>
        <w:tc>
          <w:tcPr>
            <w:tcW w:w="2112" w:type="pct"/>
            <w:vAlign w:val="center"/>
          </w:tcPr>
          <w:p w14:paraId="1CA0DBCA">
            <w:pPr>
              <w:spacing w:line="480" w:lineRule="exact"/>
              <w:jc w:val="center"/>
              <w:rPr>
                <w:rFonts w:ascii="仿宋_GB2312"/>
                <w:color w:val="auto"/>
                <w:highlight w:val="none"/>
              </w:rPr>
            </w:pPr>
          </w:p>
          <w:p w14:paraId="621CA0E2">
            <w:pPr>
              <w:spacing w:line="480" w:lineRule="exact"/>
              <w:jc w:val="center"/>
              <w:rPr>
                <w:rFonts w:ascii="仿宋_GB2312"/>
                <w:color w:val="auto"/>
                <w:highlight w:val="none"/>
              </w:rPr>
            </w:pPr>
          </w:p>
          <w:p w14:paraId="7F54E965">
            <w:pPr>
              <w:spacing w:line="480" w:lineRule="exact"/>
              <w:jc w:val="center"/>
              <w:rPr>
                <w:rFonts w:ascii="仿宋_GB2312"/>
                <w:color w:val="auto"/>
                <w:highlight w:val="none"/>
              </w:rPr>
            </w:pPr>
            <w:r>
              <w:rPr>
                <w:rFonts w:hint="eastAsia" w:ascii="仿宋_GB2312"/>
                <w:color w:val="auto"/>
                <w:highlight w:val="none"/>
              </w:rPr>
              <w:t>（印章）</w:t>
            </w:r>
          </w:p>
          <w:p w14:paraId="778ACC16">
            <w:pPr>
              <w:spacing w:line="480" w:lineRule="exact"/>
              <w:jc w:val="center"/>
              <w:rPr>
                <w:rFonts w:ascii="仿宋_GB2312"/>
                <w:color w:val="auto"/>
                <w:highlight w:val="none"/>
              </w:rPr>
            </w:pPr>
          </w:p>
          <w:p w14:paraId="22C466B3">
            <w:pPr>
              <w:spacing w:line="480" w:lineRule="exact"/>
              <w:jc w:val="distribute"/>
              <w:rPr>
                <w:rFonts w:ascii="仿宋_GB2312"/>
                <w:color w:val="auto"/>
                <w:highlight w:val="none"/>
              </w:rPr>
            </w:pPr>
            <w:r>
              <w:rPr>
                <w:rFonts w:hint="eastAsia" w:ascii="仿宋_GB2312"/>
                <w:color w:val="auto"/>
                <w:highlight w:val="none"/>
              </w:rPr>
              <w:t>年月日</w:t>
            </w:r>
          </w:p>
        </w:tc>
      </w:tr>
      <w:tr w14:paraId="4A6B1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5" w:hRule="atLeast"/>
        </w:trPr>
        <w:tc>
          <w:tcPr>
            <w:tcW w:w="1077" w:type="pct"/>
            <w:vAlign w:val="center"/>
          </w:tcPr>
          <w:p w14:paraId="3CC7E031">
            <w:pPr>
              <w:spacing w:line="480" w:lineRule="exact"/>
              <w:jc w:val="center"/>
              <w:rPr>
                <w:color w:val="auto"/>
                <w:spacing w:val="-8"/>
                <w:highlight w:val="none"/>
              </w:rPr>
            </w:pPr>
            <w:r>
              <w:rPr>
                <w:rFonts w:hint="eastAsia"/>
                <w:color w:val="auto"/>
                <w:spacing w:val="-8"/>
                <w:highlight w:val="none"/>
              </w:rPr>
              <w:t>甲乙双方合同</w:t>
            </w:r>
          </w:p>
          <w:p w14:paraId="5AF07A69">
            <w:pPr>
              <w:spacing w:line="480" w:lineRule="exact"/>
              <w:jc w:val="center"/>
              <w:rPr>
                <w:rFonts w:ascii="仿宋_GB2312"/>
                <w:color w:val="auto"/>
                <w:highlight w:val="none"/>
              </w:rPr>
            </w:pPr>
            <w:r>
              <w:rPr>
                <w:rFonts w:hint="eastAsia"/>
                <w:color w:val="auto"/>
                <w:spacing w:val="-8"/>
                <w:highlight w:val="none"/>
              </w:rPr>
              <w:t>履行监督单位</w:t>
            </w:r>
          </w:p>
        </w:tc>
        <w:tc>
          <w:tcPr>
            <w:tcW w:w="1812" w:type="pct"/>
            <w:vAlign w:val="center"/>
          </w:tcPr>
          <w:p w14:paraId="5694FA57">
            <w:pPr>
              <w:spacing w:line="480" w:lineRule="exact"/>
              <w:jc w:val="center"/>
              <w:rPr>
                <w:rFonts w:ascii="仿宋_GB2312"/>
                <w:color w:val="auto"/>
                <w:highlight w:val="none"/>
              </w:rPr>
            </w:pPr>
          </w:p>
        </w:tc>
        <w:tc>
          <w:tcPr>
            <w:tcW w:w="2112" w:type="pct"/>
            <w:vAlign w:val="center"/>
          </w:tcPr>
          <w:p w14:paraId="2C54C089">
            <w:pPr>
              <w:spacing w:line="480" w:lineRule="exact"/>
              <w:jc w:val="center"/>
              <w:rPr>
                <w:rFonts w:ascii="仿宋_GB2312"/>
                <w:color w:val="auto"/>
                <w:highlight w:val="none"/>
              </w:rPr>
            </w:pPr>
          </w:p>
        </w:tc>
      </w:tr>
      <w:tr w14:paraId="52B9D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077" w:type="pct"/>
            <w:vAlign w:val="center"/>
          </w:tcPr>
          <w:p w14:paraId="090F6534">
            <w:pPr>
              <w:spacing w:line="480" w:lineRule="exact"/>
              <w:jc w:val="center"/>
              <w:rPr>
                <w:rFonts w:ascii="仿宋_GB2312"/>
                <w:color w:val="auto"/>
                <w:highlight w:val="none"/>
              </w:rPr>
            </w:pPr>
            <w:r>
              <w:rPr>
                <w:rFonts w:hint="eastAsia" w:ascii="仿宋_GB2312"/>
                <w:color w:val="auto"/>
                <w:highlight w:val="none"/>
              </w:rPr>
              <w:t>签字地点</w:t>
            </w:r>
          </w:p>
        </w:tc>
        <w:tc>
          <w:tcPr>
            <w:tcW w:w="3923" w:type="pct"/>
            <w:gridSpan w:val="2"/>
            <w:vAlign w:val="center"/>
          </w:tcPr>
          <w:p w14:paraId="2EAA34D6">
            <w:pPr>
              <w:spacing w:line="480" w:lineRule="exact"/>
              <w:jc w:val="center"/>
              <w:rPr>
                <w:rFonts w:ascii="仿宋_GB2312"/>
                <w:color w:val="auto"/>
                <w:highlight w:val="none"/>
              </w:rPr>
            </w:pPr>
          </w:p>
        </w:tc>
      </w:tr>
    </w:tbl>
    <w:p w14:paraId="3DA255B3">
      <w:pPr>
        <w:jc w:val="center"/>
        <w:rPr>
          <w:rStyle w:val="80"/>
          <w:rFonts w:cs="仿宋" w:asciiTheme="minorEastAsia" w:hAnsiTheme="minorEastAsia" w:eastAsiaTheme="minorEastAsia"/>
          <w:b w:val="0"/>
          <w:color w:val="auto"/>
          <w:sz w:val="24"/>
          <w:szCs w:val="24"/>
          <w:highlight w:val="none"/>
        </w:rPr>
      </w:pPr>
    </w:p>
    <w:p w14:paraId="17BE773E">
      <w:pPr>
        <w:keepNext/>
        <w:keepLines/>
        <w:spacing w:line="480" w:lineRule="exact"/>
        <w:outlineLvl w:val="1"/>
        <w:rPr>
          <w:rFonts w:ascii="黑体" w:hAnsi="Arial" w:eastAsia="黑体"/>
          <w:bCs/>
          <w:color w:val="auto"/>
          <w:sz w:val="24"/>
          <w:highlight w:val="none"/>
        </w:rPr>
      </w:pPr>
      <w:bookmarkStart w:id="191" w:name="_Toc9620703"/>
      <w:bookmarkStart w:id="192" w:name="_Toc16498135"/>
      <w:bookmarkStart w:id="193" w:name="_Toc319051141"/>
      <w:r>
        <w:rPr>
          <w:rFonts w:ascii="黑体" w:hAnsi="Arial" w:eastAsia="黑体"/>
          <w:bCs/>
          <w:color w:val="auto"/>
          <w:sz w:val="24"/>
          <w:highlight w:val="none"/>
        </w:rPr>
        <w:t>第2条  订立合同依据</w:t>
      </w:r>
      <w:bookmarkEnd w:id="191"/>
      <w:bookmarkEnd w:id="192"/>
      <w:bookmarkEnd w:id="193"/>
    </w:p>
    <w:p w14:paraId="00F13662">
      <w:pPr>
        <w:spacing w:line="480" w:lineRule="exact"/>
        <w:ind w:firstLine="480" w:firstLineChars="200"/>
        <w:rPr>
          <w:rFonts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本合同甲方委托乙方提供高能同步辐射光源通用设施及低温系统运维服务，并支付相应的报酬。双方经过平等协商，在真实、充分地表达各自意愿的基础上，根据《中华人民共和国民法典》的规定，达成如下协议，并由双方共同恪守。</w:t>
      </w:r>
    </w:p>
    <w:p w14:paraId="40BFEB33">
      <w:pPr>
        <w:keepNext/>
        <w:keepLines/>
        <w:spacing w:line="480" w:lineRule="exact"/>
        <w:outlineLvl w:val="1"/>
        <w:rPr>
          <w:rFonts w:ascii="黑体" w:hAnsi="Arial" w:eastAsia="黑体"/>
          <w:bCs/>
          <w:color w:val="auto"/>
          <w:sz w:val="24"/>
          <w:highlight w:val="none"/>
        </w:rPr>
      </w:pPr>
      <w:bookmarkStart w:id="194" w:name="_Toc2246"/>
      <w:bookmarkStart w:id="195" w:name="_Toc9620705"/>
      <w:bookmarkStart w:id="196" w:name="_Toc16498137"/>
      <w:bookmarkStart w:id="197" w:name="_Toc15096"/>
      <w:r>
        <w:rPr>
          <w:rFonts w:hint="eastAsia" w:ascii="黑体" w:hAnsi="Arial" w:eastAsia="黑体"/>
          <w:bCs/>
          <w:color w:val="auto"/>
          <w:sz w:val="24"/>
          <w:highlight w:val="none"/>
        </w:rPr>
        <w:t>第</w:t>
      </w:r>
      <w:r>
        <w:rPr>
          <w:rFonts w:ascii="黑体" w:hAnsi="Arial" w:eastAsia="黑体"/>
          <w:bCs/>
          <w:color w:val="auto"/>
          <w:sz w:val="24"/>
          <w:highlight w:val="none"/>
        </w:rPr>
        <w:t>3</w:t>
      </w:r>
      <w:r>
        <w:rPr>
          <w:rFonts w:hint="eastAsia" w:ascii="黑体" w:hAnsi="Arial" w:eastAsia="黑体"/>
          <w:bCs/>
          <w:color w:val="auto"/>
          <w:sz w:val="24"/>
          <w:highlight w:val="none"/>
        </w:rPr>
        <w:t>条  工作依据及范围</w:t>
      </w:r>
      <w:bookmarkEnd w:id="194"/>
      <w:bookmarkEnd w:id="195"/>
      <w:bookmarkEnd w:id="196"/>
      <w:bookmarkEnd w:id="197"/>
    </w:p>
    <w:p w14:paraId="1DAED3B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ascii="仿宋_GB2312" w:eastAsia="仿宋_GB2312" w:cs="Courier New"/>
          <w:color w:val="auto"/>
          <w:sz w:val="24"/>
          <w:highlight w:val="none"/>
        </w:rPr>
        <w:t>1、</w:t>
      </w:r>
      <w:r>
        <w:rPr>
          <w:rFonts w:hint="eastAsia" w:cs="Courier New" w:asciiTheme="minorEastAsia" w:hAnsiTheme="minorEastAsia" w:eastAsiaTheme="minorEastAsia"/>
          <w:color w:val="auto"/>
          <w:sz w:val="24"/>
          <w:highlight w:val="none"/>
        </w:rPr>
        <w:t>本合同项目服务标准依据中华人民共和国循环冷却水行业、通风空调行业、暖通锅炉行业、</w:t>
      </w:r>
      <w:bookmarkStart w:id="198" w:name="_Toc192471704"/>
      <w:bookmarkStart w:id="199" w:name="_Toc174955384"/>
      <w:bookmarkStart w:id="200" w:name="_Toc140734012"/>
      <w:bookmarkStart w:id="201" w:name="_Toc192473347"/>
      <w:bookmarkStart w:id="202" w:name="_Toc174403668"/>
      <w:bookmarkStart w:id="203" w:name="_Toc174400819"/>
      <w:bookmarkStart w:id="204" w:name="_Toc141941629"/>
      <w:bookmarkStart w:id="205" w:name="_Toc140736400"/>
      <w:bookmarkStart w:id="206" w:name="_Toc174954285"/>
      <w:bookmarkStart w:id="207" w:name="_Toc141944914"/>
      <w:r>
        <w:rPr>
          <w:rFonts w:hint="eastAsia" w:cs="Courier New" w:asciiTheme="minorEastAsia" w:hAnsiTheme="minorEastAsia" w:eastAsiaTheme="minorEastAsia"/>
          <w:color w:val="auto"/>
          <w:sz w:val="24"/>
          <w:highlight w:val="none"/>
        </w:rPr>
        <w:t>电力行业、低温行业各项标准，及国家现行的与本项目相关的法律、法规及相关规章制度。</w:t>
      </w:r>
    </w:p>
    <w:p w14:paraId="56FC6CF7">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2、服务期限；</w:t>
      </w:r>
      <w:r>
        <w:rPr>
          <w:rFonts w:cs="Courier New" w:asciiTheme="minorEastAsia" w:hAnsiTheme="minorEastAsia" w:eastAsiaTheme="minorEastAsia"/>
          <w:color w:val="auto"/>
          <w:sz w:val="24"/>
          <w:highlight w:val="none"/>
        </w:rPr>
        <w:t>本合同服务期限</w:t>
      </w:r>
      <w:r>
        <w:rPr>
          <w:rFonts w:hint="eastAsia" w:cs="Courier New" w:asciiTheme="minorEastAsia" w:hAnsiTheme="minorEastAsia" w:eastAsiaTheme="minorEastAsia"/>
          <w:color w:val="auto"/>
          <w:sz w:val="24"/>
          <w:highlight w:val="none"/>
        </w:rPr>
        <w:t>18个月，自乙方按甲方通知时间入场之日起计。</w:t>
      </w:r>
    </w:p>
    <w:p w14:paraId="2CED31FF">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3、实施地点：北京市怀柔高能同步辐射光源项目现场。</w:t>
      </w:r>
    </w:p>
    <w:bookmarkEnd w:id="198"/>
    <w:bookmarkEnd w:id="199"/>
    <w:bookmarkEnd w:id="200"/>
    <w:bookmarkEnd w:id="201"/>
    <w:bookmarkEnd w:id="202"/>
    <w:bookmarkEnd w:id="203"/>
    <w:bookmarkEnd w:id="204"/>
    <w:bookmarkEnd w:id="205"/>
    <w:bookmarkEnd w:id="206"/>
    <w:bookmarkEnd w:id="207"/>
    <w:p w14:paraId="22A3DD8E">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4、工作范围：</w:t>
      </w:r>
    </w:p>
    <w:p w14:paraId="037742DE">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本次采购的范围为：中国科学院高能物理研究所高能同步辐射光源通用设施运维服务，主要包含：（1）工艺循环冷却水、工艺及空调冷冻水、通风空调、冷却风、压缩空气、去离子水、热水、</w:t>
      </w:r>
      <w:r>
        <w:rPr>
          <w:rFonts w:cs="Courier New" w:asciiTheme="minorEastAsia" w:hAnsiTheme="minorEastAsia" w:eastAsiaTheme="minorEastAsia"/>
          <w:color w:val="auto"/>
          <w:sz w:val="24"/>
          <w:highlight w:val="none"/>
        </w:rPr>
        <w:t>膜脱气</w:t>
      </w:r>
      <w:r>
        <w:rPr>
          <w:rFonts w:hint="eastAsia" w:cs="Courier New" w:asciiTheme="minorEastAsia" w:hAnsiTheme="minorEastAsia" w:eastAsiaTheme="minorEastAsia"/>
          <w:color w:val="auto"/>
          <w:sz w:val="24"/>
          <w:highlight w:val="none"/>
        </w:rPr>
        <w:t>、氦气压缩机、氮气压缩机、油气分离设备、氦冷箱、低温杜瓦、低温传输分配阀葙、超导腔模组、氮低温设备和大型低温用储罐</w:t>
      </w:r>
      <w:r>
        <w:rPr>
          <w:rFonts w:cs="Courier New" w:asciiTheme="minorEastAsia" w:hAnsiTheme="minorEastAsia" w:eastAsiaTheme="minorEastAsia"/>
          <w:color w:val="auto"/>
          <w:sz w:val="24"/>
          <w:highlight w:val="none"/>
        </w:rPr>
        <w:t>等系统，</w:t>
      </w:r>
      <w:r>
        <w:rPr>
          <w:rFonts w:hint="eastAsia" w:cs="Courier New" w:asciiTheme="minorEastAsia" w:hAnsiTheme="minorEastAsia" w:eastAsiaTheme="minorEastAsia"/>
          <w:color w:val="auto"/>
          <w:sz w:val="24"/>
          <w:highlight w:val="none"/>
        </w:rPr>
        <w:t>以及相应的配电</w:t>
      </w: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控制系统的运维及管理</w:t>
      </w:r>
      <w:bookmarkStart w:id="208" w:name="_Hlk173827462"/>
      <w:r>
        <w:rPr>
          <w:rFonts w:hint="eastAsia" w:cs="Courier New" w:asciiTheme="minorEastAsia" w:hAnsiTheme="minorEastAsia" w:eastAsiaTheme="minorEastAsia"/>
          <w:color w:val="auto"/>
          <w:sz w:val="24"/>
          <w:highlight w:val="none"/>
        </w:rPr>
        <w:t>；</w:t>
      </w: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2</w:t>
      </w: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工艺设备相关现场配电柜和母线槽（不含变配电室）、工艺设备水电接口、室外暖沟管网（不含自来水）、室内氮气管网、漏水报警、缆温报警的运维及管理；（3）辐射防护区</w:t>
      </w:r>
      <w:r>
        <w:rPr>
          <w:rFonts w:cs="Courier New" w:asciiTheme="minorEastAsia" w:hAnsiTheme="minorEastAsia" w:eastAsiaTheme="minorEastAsia"/>
          <w:color w:val="auto"/>
          <w:sz w:val="24"/>
          <w:highlight w:val="none"/>
        </w:rPr>
        <w:t>隧道、大厅、内环</w:t>
      </w:r>
      <w:r>
        <w:rPr>
          <w:rFonts w:hint="eastAsia" w:cs="Courier New" w:asciiTheme="minorEastAsia" w:hAnsiTheme="minorEastAsia" w:eastAsiaTheme="minorEastAsia"/>
          <w:color w:val="auto"/>
          <w:sz w:val="24"/>
          <w:highlight w:val="none"/>
        </w:rPr>
        <w:t>工艺</w:t>
      </w:r>
      <w:r>
        <w:rPr>
          <w:rFonts w:cs="Courier New" w:asciiTheme="minorEastAsia" w:hAnsiTheme="minorEastAsia" w:eastAsiaTheme="minorEastAsia"/>
          <w:color w:val="auto"/>
          <w:sz w:val="24"/>
          <w:highlight w:val="none"/>
        </w:rPr>
        <w:t>用房</w:t>
      </w:r>
      <w:r>
        <w:rPr>
          <w:rFonts w:hint="eastAsia" w:cs="Courier New" w:asciiTheme="minorEastAsia" w:hAnsiTheme="minorEastAsia" w:eastAsiaTheme="minorEastAsia"/>
          <w:color w:val="auto"/>
          <w:sz w:val="24"/>
          <w:highlight w:val="none"/>
        </w:rPr>
        <w:t>日常维护（含照明、维修电源、空调、大厅棚屋排风和风盘）；（4）各项工艺设备的零星安装检修</w:t>
      </w:r>
      <w:bookmarkEnd w:id="208"/>
      <w:r>
        <w:rPr>
          <w:rFonts w:hint="eastAsia" w:cs="Courier New" w:asciiTheme="minorEastAsia" w:hAnsiTheme="minorEastAsia" w:eastAsiaTheme="minorEastAsia"/>
          <w:color w:val="auto"/>
          <w:sz w:val="24"/>
          <w:highlight w:val="none"/>
        </w:rPr>
        <w:t>；（5）春节期间增强器及储存环高频厅、储存环隧道顶各类机柜巡检。</w:t>
      </w:r>
    </w:p>
    <w:p w14:paraId="114CED8F">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要求为以上系统和设备设施提供</w:t>
      </w:r>
      <w:r>
        <w:rPr>
          <w:rFonts w:hint="eastAsia" w:cs="Courier New" w:asciiTheme="minorEastAsia" w:hAnsiTheme="minorEastAsia" w:eastAsiaTheme="minorEastAsia"/>
          <w:color w:val="auto"/>
          <w:sz w:val="24"/>
          <w:highlight w:val="none"/>
        </w:rPr>
        <w:t>24小时运行值班、维护保养、消缺维修、事故处理、应急保障及技术支持等。</w:t>
      </w:r>
      <w:r>
        <w:rPr>
          <w:rFonts w:cs="Courier New" w:asciiTheme="minorEastAsia" w:hAnsiTheme="minorEastAsia" w:eastAsiaTheme="minorEastAsia"/>
          <w:color w:val="auto"/>
          <w:sz w:val="24"/>
          <w:highlight w:val="none"/>
        </w:rPr>
        <w:t>各个系统主要设备及规模如下；</w:t>
      </w:r>
    </w:p>
    <w:p w14:paraId="4F422F2F">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工艺及空调冷冻水系统：总装机制冷量为44.2MW（7700冷吨），主要包括10台冷水机组、30台各型水泵、11组冷却塔、3台螺旋微气泡杂质分离器、2组旁滤式砂过滤装置、2组膨胀水箱、4台板式换热器以及相应的管网系统。</w:t>
      </w:r>
    </w:p>
    <w:p w14:paraId="39190CAB">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（2）压缩空气系统：主要包括3套排气量708 m3/h，排气压力1.0MPa的空压机及配套的冷干机、过滤器、储气罐、安全阀和减压阀以及相应的管网系统。</w:t>
      </w:r>
    </w:p>
    <w:p w14:paraId="1107D9DC">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（3）纯水制备系统：1套产水量为5t/h的纯水制备系统，提供EW-I级纯水。主要包括预处理、两级反渗透、EDI、膜脱气、终端抛光混床、纯水循环输送、软化水（产水量40m3/h）单元以及相应的管网系统。</w:t>
      </w:r>
    </w:p>
    <w:p w14:paraId="753D8950">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（4）热水系统：主要包括2台单台额定供热量3500KW的冷凝真空热水锅炉、2台水泵、2台板换换热器、1组膨胀水箱</w:t>
      </w:r>
      <w:r>
        <w:rPr>
          <w:rFonts w:cs="Courier New" w:asciiTheme="minorEastAsia" w:hAnsiTheme="minorEastAsia" w:eastAsiaTheme="minorEastAsia"/>
          <w:color w:val="auto"/>
          <w:sz w:val="24"/>
          <w:highlight w:val="none"/>
        </w:rPr>
        <w:t>以</w:t>
      </w:r>
      <w:r>
        <w:rPr>
          <w:rFonts w:hint="eastAsia" w:cs="Courier New" w:asciiTheme="minorEastAsia" w:hAnsiTheme="minorEastAsia" w:eastAsiaTheme="minorEastAsia"/>
          <w:color w:val="auto"/>
          <w:sz w:val="24"/>
          <w:highlight w:val="none"/>
        </w:rPr>
        <w:t>及相应的管网系统。</w:t>
      </w:r>
    </w:p>
    <w:p w14:paraId="54C9AB56">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（5）工艺循环冷却水系统：共计34套，循环冷却水量3100 m3/h，所属设备主要包括79台水泵、39台电加热器、39台调功柜、47台电动调节阀、52台板式换热器、46台机械过滤器、若干手动阀门等，根据功能分布在冷冻站、直线、增强器、储存环、环高频大厅等各个工艺设备附近。</w:t>
      </w:r>
    </w:p>
    <w:p w14:paraId="57BEE406">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（6）冷却风系统：冷却风总量10000 m3/h，所属设备主要包括4台不锈钢离心风机、2台高效过滤器、2台洁净空调箱体、2台空调调功柜、2台冷却风控制柜等。分为两个系统，位于增强器和储存环高频厅。</w:t>
      </w:r>
    </w:p>
    <w:p w14:paraId="513E9597">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（7）工艺通风空调系统：总送风量620000 m3/h，所属设备主要包括116台空调、排风机、柜机，84台空调控制柜，17台调功柜，</w:t>
      </w: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个直线隧道恒温洁净间，3个长光束线站恒温间，1</w:t>
      </w:r>
      <w:r>
        <w:rPr>
          <w:rFonts w:cs="Courier New" w:asciiTheme="minorEastAsia" w:hAnsiTheme="minorEastAsia" w:eastAsiaTheme="minorEastAsia"/>
          <w:color w:val="auto"/>
          <w:sz w:val="24"/>
          <w:highlight w:val="none"/>
        </w:rPr>
        <w:t>6</w:t>
      </w:r>
      <w:r>
        <w:rPr>
          <w:rFonts w:hint="eastAsia" w:cs="Courier New" w:asciiTheme="minorEastAsia" w:hAnsiTheme="minorEastAsia" w:eastAsiaTheme="minorEastAsia"/>
          <w:color w:val="auto"/>
          <w:sz w:val="24"/>
          <w:highlight w:val="none"/>
        </w:rPr>
        <w:t>个棚屋排风系统等，分别位于直线、增强器、储存环、实验大厅、长光束线站的机房内。</w:t>
      </w:r>
    </w:p>
    <w:p w14:paraId="68FDB2C5">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（8）现场配电及控制系统（不含变配电室）：总计包含590台动力配电柜，11组母线槽。分别位于磁铁电源厅、高频厅、直线长廊、储存环隧道顶层、中控室机房、水冷泵房、空调机房、动力中心机房等。</w:t>
      </w:r>
    </w:p>
    <w:p w14:paraId="67C02580">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9</w:t>
      </w:r>
      <w:r>
        <w:rPr>
          <w:rFonts w:cs="Courier New" w:asciiTheme="minorEastAsia" w:hAnsiTheme="minorEastAsia" w:eastAsiaTheme="minorEastAsia"/>
          <w:color w:val="auto"/>
          <w:sz w:val="24"/>
          <w:highlight w:val="none"/>
        </w:rPr>
        <w:t>）室外暖沟管网系统：冷冻站至直线</w:t>
      </w:r>
      <w:r>
        <w:rPr>
          <w:rFonts w:hint="eastAsia" w:cs="Courier New" w:asciiTheme="minorEastAsia" w:hAnsiTheme="minorEastAsia" w:eastAsiaTheme="minorEastAsia"/>
          <w:color w:val="auto"/>
          <w:sz w:val="24"/>
          <w:highlight w:val="none"/>
        </w:rPr>
        <w:t>，</w:t>
      </w:r>
      <w:r>
        <w:rPr>
          <w:rFonts w:cs="Courier New" w:asciiTheme="minorEastAsia" w:hAnsiTheme="minorEastAsia" w:eastAsiaTheme="minorEastAsia"/>
          <w:color w:val="auto"/>
          <w:sz w:val="24"/>
          <w:highlight w:val="none"/>
        </w:rPr>
        <w:t>增强器，储存环，</w:t>
      </w:r>
      <w:r>
        <w:rPr>
          <w:rFonts w:hint="eastAsia" w:cs="Courier New" w:asciiTheme="minorEastAsia" w:hAnsiTheme="minorEastAsia" w:eastAsiaTheme="minorEastAsia"/>
          <w:color w:val="auto"/>
          <w:sz w:val="24"/>
          <w:highlight w:val="none"/>
        </w:rPr>
        <w:t>B</w:t>
      </w:r>
      <w:r>
        <w:rPr>
          <w:rFonts w:cs="Courier New" w:asciiTheme="minorEastAsia" w:hAnsiTheme="minorEastAsia" w:eastAsiaTheme="minorEastAsia"/>
          <w:color w:val="auto"/>
          <w:sz w:val="24"/>
          <w:highlight w:val="none"/>
        </w:rPr>
        <w:t>2、B3、B7长光束线站地下管网系统，主要有工艺冷冻水、空调冷冻水、热水、纯水供回水、工艺循环冷却水、压缩空气管道。</w:t>
      </w:r>
    </w:p>
    <w:p w14:paraId="516B9BF5">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1</w:t>
      </w:r>
      <w:r>
        <w:rPr>
          <w:rFonts w:cs="Courier New" w:asciiTheme="minorEastAsia" w:hAnsiTheme="minorEastAsia" w:eastAsiaTheme="minorEastAsia"/>
          <w:color w:val="auto"/>
          <w:sz w:val="24"/>
          <w:highlight w:val="none"/>
        </w:rPr>
        <w:t>0）</w:t>
      </w:r>
      <w:r>
        <w:rPr>
          <w:rFonts w:hint="eastAsia" w:cs="Courier New" w:asciiTheme="minorEastAsia" w:hAnsiTheme="minorEastAsia" w:eastAsiaTheme="minorEastAsia"/>
          <w:color w:val="auto"/>
          <w:sz w:val="24"/>
          <w:highlight w:val="none"/>
        </w:rPr>
        <w:t>氮气系统：</w:t>
      </w:r>
      <w:r>
        <w:rPr>
          <w:rFonts w:cs="Courier New" w:asciiTheme="minorEastAsia" w:hAnsiTheme="minorEastAsia" w:eastAsiaTheme="minorEastAsia"/>
          <w:color w:val="auto"/>
          <w:sz w:val="24"/>
          <w:highlight w:val="none"/>
        </w:rPr>
        <w:t>为</w:t>
      </w:r>
      <w:r>
        <w:rPr>
          <w:rFonts w:hint="eastAsia" w:cs="Courier New" w:asciiTheme="minorEastAsia" w:hAnsiTheme="minorEastAsia" w:eastAsiaTheme="minorEastAsia"/>
          <w:color w:val="auto"/>
          <w:sz w:val="24"/>
          <w:highlight w:val="none"/>
        </w:rPr>
        <w:t>膜脱气系统脱气膜的氮气气源，</w:t>
      </w:r>
      <w:r>
        <w:rPr>
          <w:rFonts w:cs="Courier New" w:asciiTheme="minorEastAsia" w:hAnsiTheme="minorEastAsia" w:eastAsiaTheme="minorEastAsia"/>
          <w:color w:val="auto"/>
          <w:sz w:val="24"/>
          <w:highlight w:val="none"/>
        </w:rPr>
        <w:t>从环低温大厅引出通过氮气管网输送至各个工艺循环水冷泵房。</w:t>
      </w:r>
    </w:p>
    <w:p w14:paraId="284AD488">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w:t>
      </w: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w:t>
      </w:r>
      <w:r>
        <w:rPr>
          <w:rFonts w:cs="Courier New" w:asciiTheme="minorEastAsia" w:hAnsiTheme="minorEastAsia" w:eastAsiaTheme="minorEastAsia"/>
          <w:color w:val="auto"/>
          <w:sz w:val="24"/>
          <w:highlight w:val="none"/>
        </w:rPr>
        <w:t>漏水报警系统：</w:t>
      </w:r>
      <w:r>
        <w:rPr>
          <w:rFonts w:hint="eastAsia" w:cs="Courier New" w:asciiTheme="minorEastAsia" w:hAnsiTheme="minorEastAsia" w:eastAsiaTheme="minorEastAsia"/>
          <w:color w:val="auto"/>
          <w:sz w:val="24"/>
          <w:highlight w:val="none"/>
        </w:rPr>
        <w:t>漏水监测线缆分布在直线隧道、增强器隧道、储存环隧道顶和隧道内区域。</w:t>
      </w:r>
    </w:p>
    <w:p w14:paraId="59C826AB">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（12）缆温报警系统：主要设备有缆温监测线缆，报警系统等，缆温监测线缆</w:t>
      </w:r>
      <w:r>
        <w:rPr>
          <w:rFonts w:hint="eastAsia" w:cs="Courier New" w:asciiTheme="minorEastAsia" w:hAnsiTheme="minorEastAsia" w:eastAsiaTheme="minorEastAsia"/>
          <w:color w:val="auto"/>
          <w:sz w:val="24"/>
          <w:highlight w:val="none"/>
        </w:rPr>
        <w:t>分布在直线、增强器、储存环和2#动力站的电缆敷设区域</w:t>
      </w:r>
      <w:r>
        <w:rPr>
          <w:rFonts w:cs="Courier New" w:asciiTheme="minorEastAsia" w:hAnsiTheme="minorEastAsia" w:eastAsiaTheme="minorEastAsia"/>
          <w:color w:val="auto"/>
          <w:sz w:val="24"/>
          <w:highlight w:val="none"/>
        </w:rPr>
        <w:t>。</w:t>
      </w:r>
    </w:p>
    <w:p w14:paraId="6E804FFA">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w:t>
      </w:r>
      <w:r>
        <w:rPr>
          <w:rFonts w:cs="Courier New" w:asciiTheme="minorEastAsia" w:hAnsiTheme="minorEastAsia" w:eastAsiaTheme="minorEastAsia"/>
          <w:color w:val="auto"/>
          <w:sz w:val="24"/>
          <w:highlight w:val="none"/>
        </w:rPr>
        <w:t>3</w:t>
      </w:r>
      <w:r>
        <w:rPr>
          <w:rFonts w:hint="eastAsia" w:cs="Courier New" w:asciiTheme="minorEastAsia" w:hAnsiTheme="minorEastAsia" w:eastAsiaTheme="minorEastAsia"/>
          <w:color w:val="auto"/>
          <w:sz w:val="24"/>
          <w:highlight w:val="none"/>
        </w:rPr>
        <w:t>）低温系统：主要设备有3套氦气压缩机、2套氮气压缩机、1套油气分离设备、1台氦冷箱、2台7000L低温杜瓦、7套低温传输分配阀葙、7套超导腔模组、34台氮低温设备和11套大型低温用储罐等，分布在环外低温厅、环内低温制冷机房和HEPS储存环以及实验大厅。</w:t>
      </w:r>
    </w:p>
    <w:p w14:paraId="4B890C33">
      <w:pPr>
        <w:tabs>
          <w:tab w:val="left" w:pos="0"/>
        </w:tabs>
        <w:spacing w:line="440" w:lineRule="exact"/>
        <w:ind w:firstLine="420" w:firstLineChars="175"/>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运行管理、维护保养、维修、应急保障、事故处理及技术支持不仅包括上述系统内主要设备设施，而且包括组成系统的所有附属配件和线缆等。</w:t>
      </w:r>
    </w:p>
    <w:p w14:paraId="63A5ED65">
      <w:pPr>
        <w:snapToGrid w:val="0"/>
        <w:spacing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应针对服务范围内各系统进行全面的运行状况分析和系统风险分析，根据甲方的需求，依据国家、行业及地方相关规定、规程和标准制定完善的运行管理方案、维护保养方案、异常事故处理预案和设备状态检修试验方案，并提供正式的应急响应和故障处理承诺。其中运行管理计划至少包括24小时运行值班、日常巡视、各专业操作、设备管理、资料管理、设备保养维修和试验等。</w:t>
      </w:r>
    </w:p>
    <w:p w14:paraId="6F9138F8">
      <w:pPr>
        <w:snapToGrid w:val="0"/>
        <w:spacing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上述系统要求24小时不间断运行，全年（包括国家公休、节假日等）不停机，并需根据HEPS装置的运行特点、季节变化、停开机状态等进行及时调整，以配合各种工况运行</w:t>
      </w: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所有系统或设备应根据负荷条件和运行时间实现轮循运行（设备开机时，如需配电室配合送电，应按要求填写用电申请）。同时，上述设备进行无固定期的检修维护，以适应HEPS装置运行要求。</w:t>
      </w:r>
    </w:p>
    <w:p w14:paraId="314376E8">
      <w:pPr>
        <w:snapToGrid w:val="0"/>
        <w:spacing w:line="480" w:lineRule="exact"/>
        <w:ind w:firstLine="480" w:firstLineChars="200"/>
        <w:rPr>
          <w:rFonts w:ascii="黑体" w:hAnsi="Arial" w:eastAsia="黑体"/>
          <w:bCs/>
          <w:color w:val="auto"/>
          <w:sz w:val="24"/>
          <w:highlight w:val="none"/>
        </w:rPr>
      </w:pPr>
      <w:bookmarkStart w:id="209" w:name="_Toc16498138"/>
      <w:bookmarkStart w:id="210" w:name="_Toc26029"/>
      <w:bookmarkStart w:id="211" w:name="_Toc31688"/>
      <w:bookmarkStart w:id="212" w:name="_Toc9620706"/>
      <w:r>
        <w:rPr>
          <w:rFonts w:hint="eastAsia" w:ascii="黑体" w:hAnsi="Arial" w:eastAsia="黑体"/>
          <w:bCs/>
          <w:color w:val="auto"/>
          <w:sz w:val="24"/>
          <w:highlight w:val="none"/>
        </w:rPr>
        <w:t>第</w:t>
      </w:r>
      <w:r>
        <w:rPr>
          <w:rFonts w:ascii="黑体" w:hAnsi="Arial" w:eastAsia="黑体"/>
          <w:bCs/>
          <w:color w:val="auto"/>
          <w:sz w:val="24"/>
          <w:highlight w:val="none"/>
        </w:rPr>
        <w:t>4</w:t>
      </w:r>
      <w:r>
        <w:rPr>
          <w:rFonts w:hint="eastAsia" w:ascii="黑体" w:hAnsi="Arial" w:eastAsia="黑体"/>
          <w:bCs/>
          <w:color w:val="auto"/>
          <w:sz w:val="24"/>
          <w:highlight w:val="none"/>
        </w:rPr>
        <w:t>条 双方权利及义务</w:t>
      </w:r>
      <w:bookmarkEnd w:id="209"/>
      <w:bookmarkEnd w:id="210"/>
      <w:bookmarkEnd w:id="211"/>
      <w:bookmarkEnd w:id="212"/>
    </w:p>
    <w:p w14:paraId="04358305">
      <w:pPr>
        <w:spacing w:after="120" w:line="480" w:lineRule="exact"/>
        <w:ind w:firstLine="482" w:firstLineChars="200"/>
        <w:rPr>
          <w:rFonts w:cs="Courier New" w:asciiTheme="minorEastAsia" w:hAnsiTheme="minorEastAsia" w:eastAsiaTheme="minorEastAsia"/>
          <w:b/>
          <w:color w:val="auto"/>
          <w:sz w:val="24"/>
          <w:highlight w:val="none"/>
        </w:rPr>
      </w:pPr>
      <w:r>
        <w:rPr>
          <w:rFonts w:hint="eastAsia" w:cs="Courier New" w:asciiTheme="minorEastAsia" w:hAnsiTheme="minorEastAsia" w:eastAsiaTheme="minorEastAsia"/>
          <w:b/>
          <w:color w:val="auto"/>
          <w:sz w:val="24"/>
          <w:highlight w:val="none"/>
        </w:rPr>
        <w:t>一、甲方权利及义务</w:t>
      </w:r>
    </w:p>
    <w:p w14:paraId="13EFF70A">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1、甲方权利</w:t>
      </w:r>
    </w:p>
    <w:p w14:paraId="77E4F227">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1.1乙方人员入场前，甲方有权检查乙方工作人员相关证件，核对其是否与投标文件所列名单人员一致。</w:t>
      </w:r>
    </w:p>
    <w:p w14:paraId="252AB2DD">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1.2甲方发现乙方现场工作人员存在操作不规范及冒险作业行为，甲方有权勒令其停止作业，并报告其项目负责人，经双方项目负责人确认无误后，方可继续工作。</w:t>
      </w:r>
    </w:p>
    <w:p w14:paraId="721C82F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1.3甲方发现乙方现场工作方式不符合国家或行业规范要求，有权中止乙方工作，并报告其项目负责人，经双方项目负责人确认纠正后，方可继续工作。</w:t>
      </w:r>
    </w:p>
    <w:p w14:paraId="4AD8AD19">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2、甲方义务</w:t>
      </w:r>
    </w:p>
    <w:p w14:paraId="757565A1">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w:t>
      </w: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甲方提供设备的各项资料，包括技术资料、说明书、图纸等。</w:t>
      </w:r>
    </w:p>
    <w:p w14:paraId="33C8D19E">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w:t>
      </w:r>
      <w:r>
        <w:rPr>
          <w:rFonts w:cs="Courier New" w:asciiTheme="minorEastAsia" w:hAnsiTheme="minorEastAsia" w:eastAsiaTheme="minorEastAsia"/>
          <w:color w:val="auto"/>
          <w:sz w:val="24"/>
          <w:highlight w:val="none"/>
        </w:rPr>
        <w:t>2</w:t>
      </w:r>
      <w:r>
        <w:rPr>
          <w:rFonts w:hint="eastAsia" w:cs="Courier New" w:asciiTheme="minorEastAsia" w:hAnsiTheme="minorEastAsia" w:eastAsiaTheme="minorEastAsia"/>
          <w:color w:val="auto"/>
          <w:sz w:val="24"/>
          <w:highlight w:val="none"/>
        </w:rPr>
        <w:t xml:space="preserve"> 根据合同要求，乙方在约定时间内完成合同工作内容，甲方检查其工作质量合格后，应按照合同约定时间支付乙方相应款项。</w:t>
      </w:r>
    </w:p>
    <w:p w14:paraId="3A1E6541">
      <w:pPr>
        <w:spacing w:after="120" w:line="480" w:lineRule="exact"/>
        <w:ind w:firstLine="482" w:firstLineChars="200"/>
        <w:rPr>
          <w:rFonts w:cs="Courier New" w:asciiTheme="minorEastAsia" w:hAnsiTheme="minorEastAsia" w:eastAsiaTheme="minorEastAsia"/>
          <w:b/>
          <w:color w:val="auto"/>
          <w:sz w:val="24"/>
          <w:highlight w:val="none"/>
        </w:rPr>
      </w:pPr>
      <w:r>
        <w:rPr>
          <w:rFonts w:hint="eastAsia" w:cs="Courier New" w:asciiTheme="minorEastAsia" w:hAnsiTheme="minorEastAsia" w:eastAsiaTheme="minorEastAsia"/>
          <w:b/>
          <w:color w:val="auto"/>
          <w:sz w:val="24"/>
          <w:highlight w:val="none"/>
        </w:rPr>
        <w:t>二、乙方权利和义务</w:t>
      </w:r>
    </w:p>
    <w:p w14:paraId="3B1F33B3">
      <w:pPr>
        <w:numPr>
          <w:ilvl w:val="0"/>
          <w:numId w:val="3"/>
        </w:numPr>
        <w:spacing w:line="480" w:lineRule="exact"/>
        <w:ind w:left="0"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乙方权利</w:t>
      </w:r>
    </w:p>
    <w:p w14:paraId="370F1FA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1.1根据现场实际工作情况，乙方可向甲方借阅设备资料。</w:t>
      </w:r>
    </w:p>
    <w:p w14:paraId="5A3D803D">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w:t>
      </w:r>
      <w:r>
        <w:rPr>
          <w:rFonts w:cs="Courier New" w:asciiTheme="minorEastAsia" w:hAnsiTheme="minorEastAsia" w:eastAsiaTheme="minorEastAsia"/>
          <w:color w:val="auto"/>
          <w:sz w:val="24"/>
          <w:highlight w:val="none"/>
        </w:rPr>
        <w:t>2</w:t>
      </w:r>
      <w:r>
        <w:rPr>
          <w:rFonts w:hint="eastAsia" w:cs="Courier New" w:asciiTheme="minorEastAsia" w:hAnsiTheme="minorEastAsia" w:eastAsiaTheme="minorEastAsia"/>
          <w:color w:val="auto"/>
          <w:sz w:val="24"/>
          <w:highlight w:val="none"/>
        </w:rPr>
        <w:t>按照合同条款规定，乙方在约定时间内完成合同规定内容后，乙方有权利向甲方索要合同规定相应款项，甲方确认其工作质量合格后按照合同规定时间进行支付。</w:t>
      </w:r>
    </w:p>
    <w:p w14:paraId="046D7DB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2、乙方义务</w:t>
      </w:r>
    </w:p>
    <w:p w14:paraId="777C1830">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2.1乙方必须按照规定时间完成合同工作范围内所有设备运行值班、维护保养、紧急故障处理、消缺维修等内容，每月提供运行报告，在故障处理完成后的2个工作日内提交故障处理报告，对于重大故障处理报告提交时限可适当延长。</w:t>
      </w:r>
    </w:p>
    <w:p w14:paraId="6EB8D34F">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2.2甲方对乙方提交的运行报告、故障处理报告等资料存在异议或不同意见时，乙方应尽可能的给予详细解释。</w:t>
      </w:r>
    </w:p>
    <w:p w14:paraId="438F70DD">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2.3甲方设备运行异常或发生故障时,乙方应在接到甲方电话通知后及时到达现场进行处理。</w:t>
      </w:r>
    </w:p>
    <w:p w14:paraId="70E9AF2A">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2.4 乙方为本项目投入的管理及运维人员应与投标文件中提供的《拟投入本项目人员情况表》中人员一致。若乙方拟进行人员变更，乙方应提前将新人员名单（新人员资质及管理业绩不低于原岗位人员）及其相关资质等材料以传真形式发送给甲方，甲方同意后以书面给予回复，乙方才可变更现场工作人员名单。</w:t>
      </w:r>
    </w:p>
    <w:p w14:paraId="4FF1D92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乙方应派遣充足且高效、技术合格的人员履行本合同约定的义务，在合同期内原定的任何人员因故不能继续工作，乙方应征得甲方同意，并务必在48小时内确保替换人员到位。</w:t>
      </w:r>
    </w:p>
    <w:p w14:paraId="0C240FBA">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确保派遣到甲方工作的项目负责人和班长应为与乙方直接建立劳动合同关系的员工。乙方应为派遣员工提供足够的防护措施。如乙方派遣人员在为甲方提供运行维护过程中遭受伤害或对甲方或第三方造成损害，包括人身伤害或财产损失，由乙方自行负担全部责任并</w:t>
      </w:r>
      <w:r>
        <w:rPr>
          <w:rFonts w:hint="eastAsia" w:cs="Courier New" w:asciiTheme="minorEastAsia" w:hAnsiTheme="minorEastAsia" w:eastAsiaTheme="minorEastAsia"/>
          <w:color w:val="auto"/>
          <w:sz w:val="24"/>
          <w:highlight w:val="none"/>
        </w:rPr>
        <w:t>给与补偿。乙方保证甲方免受在乙方运行维护过程中发生的索赔。</w:t>
      </w:r>
    </w:p>
    <w:p w14:paraId="5E7BF749">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乙方在合同履行期内，与甲方及其它现场管理方签订安全、消防责任书。</w:t>
      </w:r>
    </w:p>
    <w:p w14:paraId="54CA8582">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乙方工作人员必须遵守甲方的安全管理规定，如工作涉及放射性作业或场所，应派遣可从事放射性工作的人员（加速器射线装置），并对工作人员进行辐射安全教育、辐射风险告知、个人剂量监测和现场管理等工作。乙方承诺遵守国家安全生产、核与辐射安全相关的法律、法规和安全方面的强制性国家标准或行业标准，了解放射性的危害并自愿接受项目中合理合法的放射性；乙方负责本单位员工的安全培训和授权，确保其员工具有完成承包项目所必须的安全知识和技能，告知其员工放射性的潜在风险，确保职工自愿从事可能接触到放射性的工作。甲方有权对乙方的安全培训授权有效性进行检查。</w:t>
      </w:r>
    </w:p>
    <w:p w14:paraId="7870ABD5">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2.5乙方负责故障维修、紧急故障处理、消缺维修人员</w:t>
      </w:r>
      <w:r>
        <w:rPr>
          <w:rFonts w:cs="Courier New" w:asciiTheme="minorEastAsia" w:hAnsiTheme="minorEastAsia" w:eastAsiaTheme="minorEastAsia"/>
          <w:color w:val="auto"/>
          <w:sz w:val="24"/>
          <w:highlight w:val="none"/>
        </w:rPr>
        <w:t>的</w:t>
      </w:r>
      <w:r>
        <w:rPr>
          <w:rFonts w:hint="eastAsia" w:cs="Courier New" w:asciiTheme="minorEastAsia" w:hAnsiTheme="minorEastAsia" w:eastAsiaTheme="minorEastAsia"/>
          <w:color w:val="auto"/>
          <w:sz w:val="24"/>
          <w:highlight w:val="none"/>
        </w:rPr>
        <w:t>交通、食宿费用和安全问题。</w:t>
      </w:r>
    </w:p>
    <w:p w14:paraId="157D01E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2.6</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乙方在每次完成重大故障处理、设备预试及定期维护后，必须有甲方现场工作负责人验收其工作合格并双方签字确认。</w:t>
      </w:r>
    </w:p>
    <w:p w14:paraId="5C17C16A">
      <w:pPr>
        <w:keepNext/>
        <w:keepLines/>
        <w:spacing w:line="480" w:lineRule="exact"/>
        <w:outlineLvl w:val="1"/>
        <w:rPr>
          <w:rFonts w:ascii="黑体" w:hAnsi="Arial" w:eastAsia="黑体"/>
          <w:bCs/>
          <w:color w:val="auto"/>
          <w:sz w:val="24"/>
          <w:highlight w:val="none"/>
        </w:rPr>
      </w:pPr>
      <w:bookmarkStart w:id="213" w:name="_Toc11331"/>
      <w:bookmarkStart w:id="214" w:name="_Toc16498139"/>
      <w:bookmarkStart w:id="215" w:name="_Toc9620707"/>
      <w:bookmarkStart w:id="216" w:name="_Toc31909"/>
      <w:r>
        <w:rPr>
          <w:rFonts w:hint="eastAsia" w:ascii="黑体" w:hAnsi="Arial" w:eastAsia="黑体"/>
          <w:bCs/>
          <w:color w:val="auto"/>
          <w:sz w:val="24"/>
          <w:highlight w:val="none"/>
        </w:rPr>
        <w:t>第</w:t>
      </w:r>
      <w:r>
        <w:rPr>
          <w:rFonts w:ascii="黑体" w:hAnsi="Arial" w:eastAsia="黑体"/>
          <w:bCs/>
          <w:color w:val="auto"/>
          <w:sz w:val="24"/>
          <w:highlight w:val="none"/>
        </w:rPr>
        <w:t>5</w:t>
      </w:r>
      <w:r>
        <w:rPr>
          <w:rFonts w:hint="eastAsia" w:ascii="黑体" w:hAnsi="Arial" w:eastAsia="黑体"/>
          <w:bCs/>
          <w:color w:val="auto"/>
          <w:sz w:val="24"/>
          <w:highlight w:val="none"/>
        </w:rPr>
        <w:t>条  乙方安全责任</w:t>
      </w:r>
      <w:bookmarkEnd w:id="213"/>
      <w:bookmarkEnd w:id="214"/>
      <w:bookmarkEnd w:id="215"/>
      <w:bookmarkEnd w:id="216"/>
    </w:p>
    <w:p w14:paraId="1663EB08">
      <w:pPr>
        <w:spacing w:after="120" w:line="480" w:lineRule="exact"/>
        <w:ind w:firstLine="482" w:firstLineChars="200"/>
        <w:rPr>
          <w:rFonts w:cs="Courier New" w:asciiTheme="minorEastAsia" w:hAnsiTheme="minorEastAsia" w:eastAsiaTheme="minorEastAsia"/>
          <w:b/>
          <w:color w:val="auto"/>
          <w:sz w:val="24"/>
          <w:highlight w:val="none"/>
        </w:rPr>
      </w:pPr>
      <w:r>
        <w:rPr>
          <w:rFonts w:cs="Courier New" w:asciiTheme="minorEastAsia" w:hAnsiTheme="minorEastAsia" w:eastAsiaTheme="minorEastAsia"/>
          <w:b/>
          <w:color w:val="auto"/>
          <w:sz w:val="24"/>
          <w:highlight w:val="none"/>
        </w:rPr>
        <w:t>1</w:t>
      </w:r>
      <w:r>
        <w:rPr>
          <w:rFonts w:hint="eastAsia" w:cs="Courier New" w:asciiTheme="minorEastAsia" w:hAnsiTheme="minorEastAsia" w:eastAsiaTheme="minorEastAsia"/>
          <w:b/>
          <w:color w:val="auto"/>
          <w:sz w:val="24"/>
          <w:highlight w:val="none"/>
        </w:rPr>
        <w:t>. 乙方安全责任</w:t>
      </w:r>
    </w:p>
    <w:p w14:paraId="123C5E7C">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.1乙方人员在工作过程中，由于自身原因发生的安全性问题，甲方一律不负责任。如果由于乙方原因</w:t>
      </w:r>
      <w:bookmarkStart w:id="217" w:name="_Hlk147757190"/>
      <w:r>
        <w:rPr>
          <w:rFonts w:hint="eastAsia" w:cs="Courier New" w:asciiTheme="minorEastAsia" w:hAnsiTheme="minorEastAsia" w:eastAsiaTheme="minorEastAsia"/>
          <w:color w:val="auto"/>
          <w:sz w:val="24"/>
          <w:highlight w:val="none"/>
        </w:rPr>
        <w:t>造成人员、设备设施发生安全事故及损失，乙方承担全部责任</w:t>
      </w:r>
      <w:bookmarkEnd w:id="217"/>
      <w:r>
        <w:rPr>
          <w:rFonts w:hint="eastAsia" w:cs="Courier New" w:asciiTheme="minorEastAsia" w:hAnsiTheme="minorEastAsia" w:eastAsiaTheme="minorEastAsia"/>
          <w:color w:val="auto"/>
          <w:sz w:val="24"/>
          <w:highlight w:val="none"/>
        </w:rPr>
        <w:t>，包括事故处理费用及政府罚款等，甲方不承担任何经济及法律责任。</w:t>
      </w:r>
    </w:p>
    <w:p w14:paraId="310186F3">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2乙方需采取有效的措施保证运维的工作质量，以保证设备可靠运行。运行值班、紧急故障处理、消缺维修后的设备在运行期间若发生事故，经核定为乙方维护不到位或维护质量不合格造成，乙方应免费及时处理，对于乙方相应的过错行为，给甲方造成的损失，乙方应进行赔偿，且甲方有权解除合同或视情节轻重采取罚款等措施。</w:t>
      </w:r>
    </w:p>
    <w:p w14:paraId="22A2F232">
      <w:pPr>
        <w:overflowPunct w:val="0"/>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2</w:t>
      </w:r>
      <w:r>
        <w:rPr>
          <w:rFonts w:hint="eastAsia" w:cs="Courier New" w:asciiTheme="minorEastAsia" w:hAnsiTheme="minorEastAsia" w:eastAsiaTheme="minorEastAsia"/>
          <w:color w:val="auto"/>
          <w:sz w:val="24"/>
          <w:highlight w:val="none"/>
        </w:rPr>
        <w:t>、双方共同签订合同附件</w:t>
      </w: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：《安全工作管理协议》，且作为合同有效部分。</w:t>
      </w:r>
    </w:p>
    <w:p w14:paraId="60321A70">
      <w:pPr>
        <w:keepNext/>
        <w:keepLines/>
        <w:spacing w:line="480" w:lineRule="exact"/>
        <w:outlineLvl w:val="1"/>
        <w:rPr>
          <w:rFonts w:ascii="黑体" w:hAnsi="Arial" w:eastAsia="黑体"/>
          <w:bCs/>
          <w:color w:val="auto"/>
          <w:sz w:val="24"/>
          <w:highlight w:val="none"/>
        </w:rPr>
      </w:pPr>
      <w:bookmarkStart w:id="218" w:name="_Toc15955"/>
      <w:bookmarkStart w:id="219" w:name="_Toc12753"/>
      <w:bookmarkStart w:id="220" w:name="_Toc16498140"/>
      <w:bookmarkStart w:id="221" w:name="_Toc9620708"/>
      <w:r>
        <w:rPr>
          <w:rFonts w:hint="eastAsia" w:ascii="黑体" w:hAnsi="Arial" w:eastAsia="黑体"/>
          <w:bCs/>
          <w:color w:val="auto"/>
          <w:sz w:val="24"/>
          <w:highlight w:val="none"/>
        </w:rPr>
        <w:t>第</w:t>
      </w:r>
      <w:r>
        <w:rPr>
          <w:rFonts w:ascii="黑体" w:hAnsi="Arial" w:eastAsia="黑体"/>
          <w:bCs/>
          <w:color w:val="auto"/>
          <w:sz w:val="24"/>
          <w:highlight w:val="none"/>
        </w:rPr>
        <w:t>6</w:t>
      </w:r>
      <w:r>
        <w:rPr>
          <w:rFonts w:hint="eastAsia" w:ascii="黑体" w:hAnsi="Arial" w:eastAsia="黑体"/>
          <w:bCs/>
          <w:color w:val="auto"/>
          <w:sz w:val="24"/>
          <w:highlight w:val="none"/>
        </w:rPr>
        <w:t>条  合同金额及支付</w:t>
      </w:r>
      <w:bookmarkEnd w:id="218"/>
      <w:bookmarkEnd w:id="219"/>
      <w:bookmarkEnd w:id="220"/>
      <w:bookmarkEnd w:id="221"/>
    </w:p>
    <w:p w14:paraId="7D2D3651">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1、本合同总金额为人民币：</w:t>
      </w:r>
    </w:p>
    <w:p w14:paraId="4A89B66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2、合同款项支付，合同生效后，按照以下方式支付：</w:t>
      </w:r>
    </w:p>
    <w:p w14:paraId="2026E2A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每三个月为一期，每期运维费用在本期首月支付，付款前乙方先向甲方提供相应金额的发票。</w:t>
      </w:r>
    </w:p>
    <w:p w14:paraId="0ED1458F">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3</w:t>
      </w:r>
      <w:r>
        <w:rPr>
          <w:rFonts w:cs="Courier New" w:asciiTheme="minorEastAsia" w:hAnsiTheme="minorEastAsia" w:eastAsiaTheme="minorEastAsia"/>
          <w:color w:val="auto"/>
          <w:sz w:val="24"/>
          <w:highlight w:val="none"/>
        </w:rPr>
        <w:t>、</w:t>
      </w:r>
      <w:r>
        <w:rPr>
          <w:rFonts w:hint="eastAsia" w:cs="Courier New" w:asciiTheme="minorEastAsia" w:hAnsiTheme="minorEastAsia" w:eastAsiaTheme="minorEastAsia"/>
          <w:color w:val="auto"/>
          <w:sz w:val="24"/>
          <w:highlight w:val="none"/>
        </w:rPr>
        <w:t>付款方式为：转账支票、电汇。</w:t>
      </w:r>
    </w:p>
    <w:p w14:paraId="0D663739">
      <w:pPr>
        <w:keepNext/>
        <w:keepLines/>
        <w:spacing w:line="480" w:lineRule="exact"/>
        <w:outlineLvl w:val="1"/>
        <w:rPr>
          <w:rFonts w:ascii="黑体" w:hAnsi="Arial" w:eastAsia="黑体"/>
          <w:bCs/>
          <w:color w:val="auto"/>
          <w:sz w:val="24"/>
          <w:highlight w:val="none"/>
        </w:rPr>
      </w:pPr>
      <w:r>
        <w:rPr>
          <w:rFonts w:hint="eastAsia" w:ascii="黑体" w:hAnsi="Arial" w:eastAsia="黑体"/>
          <w:bCs/>
          <w:color w:val="auto"/>
          <w:sz w:val="24"/>
          <w:highlight w:val="none"/>
        </w:rPr>
        <w:t>第</w:t>
      </w:r>
      <w:r>
        <w:rPr>
          <w:rFonts w:ascii="黑体" w:hAnsi="Arial" w:eastAsia="黑体"/>
          <w:bCs/>
          <w:color w:val="auto"/>
          <w:sz w:val="24"/>
          <w:highlight w:val="none"/>
        </w:rPr>
        <w:t>7</w:t>
      </w:r>
      <w:r>
        <w:rPr>
          <w:rFonts w:hint="eastAsia" w:ascii="黑体" w:hAnsi="Arial" w:eastAsia="黑体"/>
          <w:bCs/>
          <w:color w:val="auto"/>
          <w:sz w:val="24"/>
          <w:highlight w:val="none"/>
        </w:rPr>
        <w:t>条  乙方违约责任</w:t>
      </w:r>
    </w:p>
    <w:p w14:paraId="256148FF">
      <w:pPr>
        <w:numPr>
          <w:ilvl w:val="255"/>
          <w:numId w:val="0"/>
        </w:numPr>
        <w:spacing w:after="120" w:line="480" w:lineRule="exact"/>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7</w:t>
      </w:r>
      <w:r>
        <w:rPr>
          <w:rFonts w:hint="eastAsia" w:cs="Courier New" w:asciiTheme="minorEastAsia" w:hAnsiTheme="minorEastAsia" w:eastAsiaTheme="minorEastAsia"/>
          <w:color w:val="auto"/>
          <w:sz w:val="24"/>
          <w:highlight w:val="none"/>
        </w:rPr>
        <w:t>.1根据合同</w:t>
      </w:r>
      <w:r>
        <w:rPr>
          <w:rFonts w:cs="Courier New" w:asciiTheme="minorEastAsia" w:hAnsiTheme="minorEastAsia" w:eastAsiaTheme="minorEastAsia"/>
          <w:color w:val="auto"/>
          <w:sz w:val="24"/>
          <w:highlight w:val="none"/>
        </w:rPr>
        <w:t>附件</w:t>
      </w:r>
      <w:r>
        <w:rPr>
          <w:rFonts w:hint="eastAsia" w:cs="Courier New" w:asciiTheme="minorEastAsia" w:hAnsiTheme="minorEastAsia" w:eastAsiaTheme="minorEastAsia"/>
          <w:color w:val="auto"/>
          <w:sz w:val="24"/>
          <w:highlight w:val="none"/>
        </w:rPr>
        <w:t>-采购需求中的《设备运行维护质量评价表》，自合同生效起每年（注：自服务开始之日起连续的12个月为1年）汇总当年的扣分总数。</w:t>
      </w:r>
    </w:p>
    <w:p w14:paraId="203A1676">
      <w:pPr>
        <w:numPr>
          <w:ilvl w:val="255"/>
          <w:numId w:val="0"/>
        </w:numPr>
        <w:spacing w:after="120" w:line="480" w:lineRule="exact"/>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（1）当扣分少于12分时，乙方无需支付违约金；</w:t>
      </w:r>
    </w:p>
    <w:p w14:paraId="6F7C6CB4">
      <w:pPr>
        <w:numPr>
          <w:ilvl w:val="255"/>
          <w:numId w:val="0"/>
        </w:numPr>
        <w:spacing w:after="120" w:line="480" w:lineRule="exact"/>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（2）当扣分多于12分（含12分），少于24分，乙方向甲方支付每年合同总额的5%作为违约金。</w:t>
      </w:r>
    </w:p>
    <w:p w14:paraId="13632C4E">
      <w:pPr>
        <w:numPr>
          <w:ilvl w:val="255"/>
          <w:numId w:val="0"/>
        </w:numPr>
        <w:spacing w:after="120" w:line="480" w:lineRule="exact"/>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（3）当扣分超过24分（含24分），乙方向甲方支付每年合同总额的10%作为违约金。</w:t>
      </w:r>
    </w:p>
    <w:p w14:paraId="5EA76A00">
      <w:pPr>
        <w:numPr>
          <w:ilvl w:val="255"/>
          <w:numId w:val="0"/>
        </w:numPr>
        <w:spacing w:after="120" w:line="480" w:lineRule="exact"/>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7</w:t>
      </w:r>
      <w:r>
        <w:rPr>
          <w:rFonts w:hint="eastAsia" w:cs="Courier New" w:asciiTheme="minorEastAsia" w:hAnsiTheme="minorEastAsia" w:eastAsiaTheme="minorEastAsia"/>
          <w:color w:val="auto"/>
          <w:sz w:val="24"/>
          <w:highlight w:val="none"/>
        </w:rPr>
        <w:t>.2 当扣分超过12分（含12分）时，甲方有权解除合同，当甲方决定解除合同时，如果违约金不足以弥补甲方实际损失，乙方应赔偿甲方所有实际损失。</w:t>
      </w:r>
    </w:p>
    <w:p w14:paraId="579A6EA5">
      <w:pPr>
        <w:keepNext/>
        <w:keepLines/>
        <w:spacing w:line="480" w:lineRule="exact"/>
        <w:outlineLvl w:val="1"/>
        <w:rPr>
          <w:rFonts w:ascii="黑体" w:hAnsi="Arial" w:eastAsia="黑体"/>
          <w:bCs/>
          <w:color w:val="auto"/>
          <w:sz w:val="24"/>
          <w:highlight w:val="none"/>
        </w:rPr>
      </w:pPr>
      <w:bookmarkStart w:id="222" w:name="_Toc9620709"/>
      <w:bookmarkStart w:id="223" w:name="_Toc16871"/>
      <w:bookmarkStart w:id="224" w:name="_Toc16498141"/>
      <w:bookmarkStart w:id="225" w:name="_Toc421"/>
      <w:r>
        <w:rPr>
          <w:rFonts w:hint="eastAsia" w:ascii="黑体" w:hAnsi="Arial" w:eastAsia="黑体"/>
          <w:bCs/>
          <w:color w:val="auto"/>
          <w:sz w:val="24"/>
          <w:highlight w:val="none"/>
        </w:rPr>
        <w:t>第</w:t>
      </w:r>
      <w:r>
        <w:rPr>
          <w:rFonts w:ascii="黑体" w:hAnsi="Arial" w:eastAsia="黑体"/>
          <w:bCs/>
          <w:color w:val="auto"/>
          <w:sz w:val="24"/>
          <w:highlight w:val="none"/>
        </w:rPr>
        <w:t>8</w:t>
      </w:r>
      <w:r>
        <w:rPr>
          <w:rFonts w:hint="eastAsia" w:ascii="黑体" w:hAnsi="Arial" w:eastAsia="黑体"/>
          <w:bCs/>
          <w:color w:val="auto"/>
          <w:sz w:val="24"/>
          <w:highlight w:val="none"/>
        </w:rPr>
        <w:t>条  合同的变更、修改和终止</w:t>
      </w:r>
      <w:bookmarkEnd w:id="222"/>
      <w:bookmarkEnd w:id="223"/>
      <w:bookmarkEnd w:id="224"/>
      <w:bookmarkEnd w:id="225"/>
    </w:p>
    <w:p w14:paraId="5A939851">
      <w:pPr>
        <w:overflowPunct w:val="0"/>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1</w:t>
      </w:r>
      <w:r>
        <w:rPr>
          <w:rFonts w:hint="eastAsia" w:cs="Courier New" w:asciiTheme="minorEastAsia" w:hAnsiTheme="minorEastAsia" w:eastAsiaTheme="minorEastAsia"/>
          <w:color w:val="auto"/>
          <w:sz w:val="24"/>
          <w:highlight w:val="none"/>
        </w:rPr>
        <w:t>、本合同一经生效，合同各方均不得擅自对本合同的内容(包括附件)作任何单方的修改。但任何一方均可以对合同内容以书面形式提出变更、修改或补充的建议。该项建议应以书面形式通知另一方，经双方法定代表人或授权代表签字确认后方能生效，并将修改后的有关部分抄送原合同有关单位。</w:t>
      </w:r>
    </w:p>
    <w:p w14:paraId="6B47363D">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2</w:t>
      </w:r>
      <w:r>
        <w:rPr>
          <w:rFonts w:hint="eastAsia" w:cs="Courier New" w:asciiTheme="minorEastAsia" w:hAnsiTheme="minorEastAsia" w:eastAsiaTheme="minorEastAsia"/>
          <w:color w:val="auto"/>
          <w:sz w:val="24"/>
          <w:highlight w:val="none"/>
        </w:rPr>
        <w:t>、乙方各项服务不满足国家相关规定，无法达到甲方要求，且经甲方提醒后乙方无明显改善，甲方有权勒令乙方工作人员退出工作现场，由此产生的费用乙方自行承担，甲方有权单方面解除本合同。</w:t>
      </w:r>
    </w:p>
    <w:p w14:paraId="25F8A1B2">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3</w:t>
      </w:r>
      <w:r>
        <w:rPr>
          <w:rFonts w:hint="eastAsia" w:cs="Courier New" w:asciiTheme="minorEastAsia" w:hAnsiTheme="minorEastAsia" w:eastAsiaTheme="minorEastAsia"/>
          <w:color w:val="auto"/>
          <w:sz w:val="24"/>
          <w:highlight w:val="none"/>
        </w:rPr>
        <w:t>、乙方因不遵守甲方的管理制度和规定、不服从甲方的调度命令、不能满足甲方的运维管理要求，且经甲方提醒后乙方无明显改善，甲方有权单方面解除本合同。</w:t>
      </w:r>
    </w:p>
    <w:p w14:paraId="4E5FF3EB">
      <w:pPr>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4</w:t>
      </w:r>
      <w:r>
        <w:rPr>
          <w:rFonts w:hint="eastAsia" w:cs="Courier New" w:asciiTheme="minorEastAsia" w:hAnsiTheme="minorEastAsia" w:eastAsiaTheme="minorEastAsia"/>
          <w:color w:val="auto"/>
          <w:sz w:val="24"/>
          <w:highlight w:val="none"/>
        </w:rPr>
        <w:t>、乙方若进行实质服务的转包、分包，甲方有权单方面解除本合同，同时乙方须赔偿甲方因其造成的损失。</w:t>
      </w:r>
    </w:p>
    <w:p w14:paraId="521D586F">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5、合同履行期内甲方拥有后述随时解除合同的权利：如乙方发生严重安全生产责任事故，或因乙方原因造成甲方重大经济损失等甲方认为乙方不能胜任所委托的工作时，甲方有权随时终止本委托合同。</w:t>
      </w:r>
    </w:p>
    <w:p w14:paraId="4AD680E7">
      <w:pPr>
        <w:keepNext/>
        <w:keepLines/>
        <w:spacing w:line="480" w:lineRule="exact"/>
        <w:outlineLvl w:val="1"/>
        <w:rPr>
          <w:rFonts w:ascii="黑体" w:hAnsi="Arial" w:eastAsia="黑体"/>
          <w:bCs/>
          <w:color w:val="auto"/>
          <w:sz w:val="24"/>
          <w:highlight w:val="none"/>
        </w:rPr>
      </w:pPr>
      <w:bookmarkStart w:id="226" w:name="_Toc9620710"/>
      <w:bookmarkStart w:id="227" w:name="_Toc23813"/>
      <w:bookmarkStart w:id="228" w:name="_Toc16498142"/>
      <w:bookmarkStart w:id="229" w:name="_Toc27485"/>
      <w:r>
        <w:rPr>
          <w:rFonts w:hint="eastAsia" w:ascii="黑体" w:hAnsi="Arial" w:eastAsia="黑体"/>
          <w:bCs/>
          <w:color w:val="auto"/>
          <w:sz w:val="24"/>
          <w:highlight w:val="none"/>
        </w:rPr>
        <w:t>第</w:t>
      </w:r>
      <w:r>
        <w:rPr>
          <w:rFonts w:ascii="黑体" w:hAnsi="Arial" w:eastAsia="黑体"/>
          <w:bCs/>
          <w:color w:val="auto"/>
          <w:sz w:val="24"/>
          <w:highlight w:val="none"/>
        </w:rPr>
        <w:t>9</w:t>
      </w:r>
      <w:r>
        <w:rPr>
          <w:rFonts w:hint="eastAsia" w:ascii="黑体" w:hAnsi="Arial" w:eastAsia="黑体"/>
          <w:bCs/>
          <w:color w:val="auto"/>
          <w:sz w:val="24"/>
          <w:highlight w:val="none"/>
        </w:rPr>
        <w:t>条  其他</w:t>
      </w:r>
      <w:bookmarkEnd w:id="226"/>
      <w:bookmarkEnd w:id="227"/>
      <w:bookmarkEnd w:id="228"/>
      <w:bookmarkEnd w:id="229"/>
    </w:p>
    <w:p w14:paraId="221BEAF2">
      <w:pPr>
        <w:overflowPunct w:val="0"/>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1、双方确定，在本合同有效期内，甲方指定</w:t>
      </w:r>
      <w:r>
        <w:rPr>
          <w:rFonts w:hint="eastAsia" w:cs="Courier New" w:asciiTheme="minorEastAsia" w:hAnsiTheme="minorEastAsia" w:eastAsiaTheme="minorEastAsia"/>
          <w:color w:val="auto"/>
          <w:sz w:val="24"/>
          <w:highlight w:val="none"/>
          <w:u w:val="single"/>
        </w:rPr>
        <w:t xml:space="preserve">           </w:t>
      </w:r>
      <w:r>
        <w:rPr>
          <w:rFonts w:hint="eastAsia" w:cs="Courier New" w:asciiTheme="minorEastAsia" w:hAnsiTheme="minorEastAsia" w:eastAsiaTheme="minorEastAsia"/>
          <w:color w:val="auto"/>
          <w:sz w:val="24"/>
          <w:highlight w:val="none"/>
        </w:rPr>
        <w:t>为甲方项目联系人，乙方指定</w:t>
      </w:r>
      <w:r>
        <w:rPr>
          <w:rFonts w:hint="eastAsia" w:cs="Courier New" w:asciiTheme="minorEastAsia" w:hAnsiTheme="minorEastAsia" w:eastAsiaTheme="minorEastAsia"/>
          <w:color w:val="auto"/>
          <w:sz w:val="24"/>
          <w:highlight w:val="none"/>
          <w:u w:val="single"/>
        </w:rPr>
        <w:t xml:space="preserve">         </w:t>
      </w:r>
      <w:r>
        <w:rPr>
          <w:rFonts w:hint="eastAsia" w:cs="Courier New" w:asciiTheme="minorEastAsia" w:hAnsiTheme="minorEastAsia" w:eastAsiaTheme="minorEastAsia"/>
          <w:color w:val="auto"/>
          <w:sz w:val="24"/>
          <w:highlight w:val="none"/>
        </w:rPr>
        <w:t>为乙方项目联系人。项目联系人承担以下责任：</w:t>
      </w:r>
    </w:p>
    <w:p w14:paraId="24111544">
      <w:pPr>
        <w:overflowPunct w:val="0"/>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1）联系沟通设备的运行状况；</w:t>
      </w:r>
    </w:p>
    <w:p w14:paraId="3E6992E4">
      <w:pPr>
        <w:overflowPunct w:val="0"/>
        <w:spacing w:after="120" w:line="480" w:lineRule="exact"/>
        <w:ind w:firstLine="480" w:firstLineChars="200"/>
        <w:rPr>
          <w:rFonts w:cs="Courier New" w:asciiTheme="minorEastAsia" w:hAnsiTheme="minorEastAsia" w:eastAsiaTheme="minorEastAsia"/>
          <w:color w:val="auto"/>
          <w:sz w:val="24"/>
          <w:highlight w:val="none"/>
        </w:rPr>
      </w:pPr>
      <w:r>
        <w:rPr>
          <w:rFonts w:cs="Courier New" w:asciiTheme="minorEastAsia" w:hAnsiTheme="minorEastAsia" w:eastAsiaTheme="minorEastAsia"/>
          <w:color w:val="auto"/>
          <w:sz w:val="24"/>
          <w:highlight w:val="none"/>
        </w:rPr>
        <w:t>2</w:t>
      </w:r>
      <w:r>
        <w:rPr>
          <w:rFonts w:hint="eastAsia" w:cs="Courier New" w:asciiTheme="minorEastAsia" w:hAnsiTheme="minorEastAsia" w:eastAsiaTheme="minorEastAsia"/>
          <w:color w:val="auto"/>
          <w:sz w:val="24"/>
          <w:highlight w:val="none"/>
        </w:rPr>
        <w:t>）联系沟通维护费用的正常支付情况；</w:t>
      </w:r>
    </w:p>
    <w:p w14:paraId="73350FB7">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一方变更项目联系人时，应当及时以书面形式通知另一方。未及时通知并影响本合同履行或造成损失的，应承担相应的责任。</w:t>
      </w:r>
    </w:p>
    <w:p w14:paraId="55A8C5FB">
      <w:pPr>
        <w:numPr>
          <w:ilvl w:val="0"/>
          <w:numId w:val="3"/>
        </w:numPr>
        <w:spacing w:after="120" w:line="480" w:lineRule="exact"/>
        <w:ind w:left="0"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双方因履行本合同而发生的争议，应协商、调解解决。协商、调解不成的，可依法向甲方所在地有管辖权的人民法院起诉。</w:t>
      </w:r>
    </w:p>
    <w:p w14:paraId="46C01A9B">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3、附件：</w:t>
      </w:r>
    </w:p>
    <w:p w14:paraId="52C97FC7">
      <w:pPr>
        <w:spacing w:after="120" w:line="480" w:lineRule="exact"/>
        <w:ind w:firstLine="960" w:firstLineChars="400"/>
        <w:rPr>
          <w:rFonts w:cs="Courier New" w:asciiTheme="minorEastAsia" w:hAnsiTheme="minorEastAsia" w:eastAsiaTheme="minorEastAsia"/>
          <w:bCs/>
          <w:color w:val="auto"/>
          <w:sz w:val="24"/>
          <w:highlight w:val="none"/>
        </w:rPr>
      </w:pPr>
      <w:r>
        <w:rPr>
          <w:rFonts w:hint="eastAsia" w:cs="Courier New" w:asciiTheme="minorEastAsia" w:hAnsiTheme="minorEastAsia" w:eastAsiaTheme="minorEastAsia"/>
          <w:color w:val="auto"/>
          <w:sz w:val="24"/>
          <w:highlight w:val="none"/>
        </w:rPr>
        <w:t>1）</w:t>
      </w:r>
      <w:r>
        <w:rPr>
          <w:rFonts w:hint="eastAsia" w:cs="Courier New" w:asciiTheme="minorEastAsia" w:hAnsiTheme="minorEastAsia" w:eastAsiaTheme="minorEastAsia"/>
          <w:bCs/>
          <w:color w:val="auto"/>
          <w:sz w:val="24"/>
          <w:highlight w:val="none"/>
        </w:rPr>
        <w:t>安全管理工作协议</w:t>
      </w:r>
    </w:p>
    <w:p w14:paraId="1737DC79">
      <w:pPr>
        <w:spacing w:after="120" w:line="480" w:lineRule="exact"/>
        <w:ind w:firstLine="960" w:firstLineChars="400"/>
        <w:rPr>
          <w:rFonts w:cs="Courier New" w:asciiTheme="minorEastAsia" w:hAnsiTheme="minorEastAsia" w:eastAsiaTheme="minorEastAsia"/>
          <w:bCs/>
          <w:color w:val="auto"/>
          <w:sz w:val="24"/>
          <w:highlight w:val="none"/>
        </w:rPr>
      </w:pPr>
      <w:r>
        <w:rPr>
          <w:rFonts w:hint="eastAsia" w:cs="Courier New" w:asciiTheme="minorEastAsia" w:hAnsiTheme="minorEastAsia" w:eastAsiaTheme="minorEastAsia"/>
          <w:bCs/>
          <w:color w:val="auto"/>
          <w:sz w:val="24"/>
          <w:highlight w:val="none"/>
        </w:rPr>
        <w:t>2）甲方采购需求（招标文件第八部分）</w:t>
      </w:r>
    </w:p>
    <w:p w14:paraId="5511C601">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4、本合同自双方签字盖章之日起生效。</w:t>
      </w:r>
    </w:p>
    <w:p w14:paraId="25E5E91C">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（以下无正文）</w:t>
      </w:r>
    </w:p>
    <w:p w14:paraId="002C9B5C">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签章页：</w:t>
      </w:r>
    </w:p>
    <w:p w14:paraId="4A50D72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甲方：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乙方：</w:t>
      </w:r>
    </w:p>
    <w:p w14:paraId="1A5A34D5">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（盖章）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（盖章）</w:t>
      </w:r>
    </w:p>
    <w:p w14:paraId="11A98C7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法人或授权代表：（签字）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法人或授权代表：（签字）</w:t>
      </w:r>
    </w:p>
    <w:p w14:paraId="307DCCAE">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地址：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地址：</w:t>
      </w:r>
    </w:p>
    <w:p w14:paraId="6521EBD3">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邮编：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邮编：</w:t>
      </w:r>
    </w:p>
    <w:p w14:paraId="6160FBD4">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电话：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电话：</w:t>
      </w:r>
    </w:p>
    <w:p w14:paraId="60A9EFB8">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传真：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传真：</w:t>
      </w:r>
    </w:p>
    <w:p w14:paraId="725E61C6">
      <w:pPr>
        <w:spacing w:after="120"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开户银行：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开户银行：</w:t>
      </w:r>
    </w:p>
    <w:p w14:paraId="29D9D368">
      <w:pPr>
        <w:spacing w:line="480" w:lineRule="exact"/>
        <w:ind w:firstLine="480" w:firstLineChars="200"/>
        <w:rPr>
          <w:rFonts w:cs="Courier New" w:asciiTheme="minorEastAsia" w:hAnsiTheme="minorEastAsia" w:eastAsiaTheme="minorEastAsia"/>
          <w:color w:val="auto"/>
          <w:sz w:val="24"/>
          <w:highlight w:val="none"/>
        </w:rPr>
      </w:pPr>
      <w:r>
        <w:rPr>
          <w:rFonts w:hint="eastAsia" w:cs="Courier New" w:asciiTheme="minorEastAsia" w:hAnsiTheme="minorEastAsia" w:eastAsiaTheme="minorEastAsia"/>
          <w:color w:val="auto"/>
          <w:sz w:val="24"/>
          <w:highlight w:val="none"/>
        </w:rPr>
        <w:t xml:space="preserve">账号： </w:t>
      </w:r>
      <w:r>
        <w:rPr>
          <w:rFonts w:cs="Courier New" w:asciiTheme="minorEastAsia" w:hAnsiTheme="minorEastAsia" w:eastAsiaTheme="minorEastAsia"/>
          <w:color w:val="auto"/>
          <w:sz w:val="24"/>
          <w:highlight w:val="none"/>
        </w:rPr>
        <w:t xml:space="preserve">                             </w:t>
      </w:r>
      <w:r>
        <w:rPr>
          <w:rFonts w:hint="eastAsia" w:cs="Courier New" w:asciiTheme="minorEastAsia" w:hAnsiTheme="minorEastAsia" w:eastAsiaTheme="minorEastAsia"/>
          <w:color w:val="auto"/>
          <w:sz w:val="24"/>
          <w:highlight w:val="none"/>
        </w:rPr>
        <w:t>账号：</w:t>
      </w:r>
    </w:p>
    <w:p w14:paraId="248FF49B">
      <w:pPr>
        <w:overflowPunct w:val="0"/>
        <w:spacing w:before="120" w:beforeLines="50" w:line="480" w:lineRule="exact"/>
        <w:rPr>
          <w:rFonts w:cs="宋体" w:asciiTheme="minorEastAsia" w:hAnsiTheme="minorEastAsia" w:eastAsiaTheme="minorEastAsia"/>
          <w:b/>
          <w:color w:val="auto"/>
          <w:sz w:val="32"/>
          <w:szCs w:val="32"/>
          <w:highlight w:val="none"/>
        </w:rPr>
        <w:sectPr>
          <w:pgSz w:w="11906" w:h="16838"/>
          <w:pgMar w:top="1440" w:right="1474" w:bottom="1440" w:left="1701" w:header="850" w:footer="992" w:gutter="0"/>
          <w:cols w:space="720" w:num="1"/>
          <w:docGrid w:linePitch="333" w:charSpace="0"/>
        </w:sectPr>
      </w:pPr>
    </w:p>
    <w:p w14:paraId="41A79E26">
      <w:pPr>
        <w:overflowPunct w:val="0"/>
        <w:spacing w:before="156" w:beforeLines="50" w:after="120" w:line="480" w:lineRule="exact"/>
        <w:rPr>
          <w:rFonts w:ascii="仿宋" w:hAnsi="仿宋" w:eastAsia="仿宋" w:cs="宋体"/>
          <w:b/>
          <w:color w:val="auto"/>
          <w:sz w:val="32"/>
          <w:szCs w:val="32"/>
          <w:highlight w:val="none"/>
        </w:rPr>
      </w:pPr>
      <w:r>
        <w:rPr>
          <w:rFonts w:ascii="仿宋" w:hAnsi="仿宋" w:eastAsia="仿宋" w:cs="宋体"/>
          <w:b/>
          <w:color w:val="auto"/>
          <w:sz w:val="32"/>
          <w:szCs w:val="32"/>
          <w:highlight w:val="none"/>
        </w:rPr>
        <w:t>附件1</w:t>
      </w:r>
    </w:p>
    <w:p w14:paraId="566AE85A">
      <w:pPr>
        <w:spacing w:line="320" w:lineRule="exact"/>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安全管理工作协议</w:t>
      </w:r>
    </w:p>
    <w:p w14:paraId="5E60A8A6">
      <w:pPr>
        <w:overflowPunct w:val="0"/>
        <w:spacing w:before="156" w:beforeLines="50" w:after="120" w:line="320" w:lineRule="exact"/>
        <w:ind w:firstLine="480" w:firstLineChars="200"/>
        <w:rPr>
          <w:rFonts w:ascii="仿宋" w:hAnsi="仿宋" w:eastAsia="仿宋" w:cs="宋体"/>
          <w:color w:val="auto"/>
          <w:sz w:val="24"/>
          <w:highlight w:val="none"/>
        </w:rPr>
      </w:pPr>
    </w:p>
    <w:p w14:paraId="3D32CDFC">
      <w:pPr>
        <w:overflowPunct w:val="0"/>
        <w:spacing w:before="156" w:beforeLines="50"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甲方：</w:t>
      </w:r>
    </w:p>
    <w:p w14:paraId="611502AE">
      <w:pPr>
        <w:overflowPunct w:val="0"/>
        <w:spacing w:before="156" w:beforeLines="50"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乙方：</w:t>
      </w:r>
    </w:p>
    <w:p w14:paraId="7E14A7A5">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为贯彻《中华人民共和国安全生产法》和“安全第一、预防为主”的方针，保障人员生命和财产安全，促进本项目设备维护工作的安全顺利开展，经甲乙双方协商，对合同期间的安全管理工作达成如下协议。</w:t>
      </w:r>
    </w:p>
    <w:p w14:paraId="79706E5B">
      <w:pPr>
        <w:overflowPunct w:val="0"/>
        <w:spacing w:after="120" w:line="320" w:lineRule="exact"/>
        <w:ind w:firstLine="482" w:firstLineChars="200"/>
        <w:rPr>
          <w:rFonts w:ascii="仿宋" w:hAnsi="仿宋" w:eastAsia="仿宋" w:cs="宋体"/>
          <w:b/>
          <w:color w:val="auto"/>
          <w:sz w:val="24"/>
          <w:highlight w:val="none"/>
        </w:rPr>
      </w:pPr>
      <w:r>
        <w:rPr>
          <w:rFonts w:hint="eastAsia" w:ascii="仿宋" w:hAnsi="仿宋" w:eastAsia="仿宋" w:cs="宋体"/>
          <w:b/>
          <w:color w:val="auto"/>
          <w:sz w:val="24"/>
          <w:highlight w:val="none"/>
        </w:rPr>
        <w:t>一、双方责任</w:t>
      </w:r>
    </w:p>
    <w:p w14:paraId="69469E5B">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1、甲方责任范围：</w:t>
      </w:r>
    </w:p>
    <w:p w14:paraId="5535E84B">
      <w:pPr>
        <w:overflowPunct w:val="0"/>
        <w:spacing w:after="4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（1）贯彻落实国家、行业及上级有关安全工作的方针、政策、法规，保障工作场所必要的安全设施和设备。</w:t>
      </w:r>
    </w:p>
    <w:p w14:paraId="101D59EB">
      <w:pPr>
        <w:overflowPunct w:val="0"/>
        <w:spacing w:after="4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（2）监督、检查和指导乙方履行合同相关安全工作。</w:t>
      </w:r>
    </w:p>
    <w:p w14:paraId="510F4996">
      <w:pPr>
        <w:overflowPunct w:val="0"/>
        <w:spacing w:after="4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w:t>
      </w:r>
      <w:r>
        <w:rPr>
          <w:rFonts w:ascii="仿宋" w:hAnsi="仿宋" w:eastAsia="仿宋" w:cs="宋体"/>
          <w:color w:val="auto"/>
          <w:sz w:val="24"/>
          <w:highlight w:val="none"/>
        </w:rPr>
        <w:t>3</w:t>
      </w:r>
      <w:r>
        <w:rPr>
          <w:rFonts w:hint="eastAsia" w:ascii="仿宋" w:hAnsi="仿宋" w:eastAsia="仿宋" w:cs="宋体"/>
          <w:color w:val="auto"/>
          <w:sz w:val="24"/>
          <w:highlight w:val="none"/>
        </w:rPr>
        <w:t>）督促乙方运维工作要严格执行安全标准、规范和规程要求，严禁违法、违章和违规操作，积极排查、消除安全隐患。</w:t>
      </w:r>
    </w:p>
    <w:p w14:paraId="5286E8B1">
      <w:pPr>
        <w:overflowPunct w:val="0"/>
        <w:spacing w:after="4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（4）甲方有权对乙方的不安全行为给予处罚，包括但不限于罚款、解除合同等。（</w:t>
      </w:r>
      <w:r>
        <w:rPr>
          <w:rFonts w:ascii="仿宋" w:hAnsi="仿宋" w:eastAsia="仿宋" w:cs="宋体"/>
          <w:color w:val="auto"/>
          <w:sz w:val="24"/>
          <w:highlight w:val="none"/>
        </w:rPr>
        <w:t>5</w:t>
      </w:r>
      <w:r>
        <w:rPr>
          <w:rFonts w:hint="eastAsia" w:ascii="仿宋" w:hAnsi="仿宋" w:eastAsia="仿宋" w:cs="宋体"/>
          <w:color w:val="auto"/>
          <w:sz w:val="24"/>
          <w:highlight w:val="none"/>
        </w:rPr>
        <w:t>）本协议</w:t>
      </w:r>
      <w:r>
        <w:rPr>
          <w:rFonts w:ascii="仿宋" w:hAnsi="仿宋" w:eastAsia="仿宋" w:cs="宋体"/>
          <w:color w:val="auto"/>
          <w:sz w:val="24"/>
          <w:highlight w:val="none"/>
        </w:rPr>
        <w:t>中所提到的甲方监督、督促、指导、检查等工作</w:t>
      </w:r>
      <w:r>
        <w:rPr>
          <w:rFonts w:hint="eastAsia" w:ascii="仿宋" w:hAnsi="仿宋" w:eastAsia="仿宋" w:cs="宋体"/>
          <w:color w:val="auto"/>
          <w:sz w:val="24"/>
          <w:highlight w:val="none"/>
        </w:rPr>
        <w:t>，均</w:t>
      </w:r>
      <w:r>
        <w:rPr>
          <w:rFonts w:ascii="仿宋" w:hAnsi="仿宋" w:eastAsia="仿宋" w:cs="宋体"/>
          <w:color w:val="auto"/>
          <w:sz w:val="24"/>
          <w:highlight w:val="none"/>
        </w:rPr>
        <w:t>不免除乙方应承担的安全责任。</w:t>
      </w:r>
    </w:p>
    <w:p w14:paraId="1C99A90B">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2、乙方责任范围：</w:t>
      </w:r>
    </w:p>
    <w:p w14:paraId="4DF6BD33">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（1）乙方应严格遵守国家安全生产相关法规、标准和政策以及甲方的安全管理规定，服从甲方的监督、管理和协调</w:t>
      </w:r>
    </w:p>
    <w:p w14:paraId="0DC51BD5">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（2）乙方对合同内容安全工作负责，乙方工作现场项目负责人是安全工作的第一责任人，应制定、落实安全管理制度和现场安全防护措施，确保运维工作安全开展。</w:t>
      </w:r>
    </w:p>
    <w:p w14:paraId="5DC966BC">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（3）乙方应其员工进行安全培训，确保其了解和掌握现场相关的安全操作规程和应急处理措施。</w:t>
      </w:r>
    </w:p>
    <w:p w14:paraId="12772885">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（4）乙方应为其员工提供必要的个人防护用品，并确保其在工作期间正确使用，接受甲方及政府有关部门对安全工作的监督检查。</w:t>
      </w:r>
    </w:p>
    <w:p w14:paraId="005A3137">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（5）乙方要保持员工着装统一、工作现场整洁、物品物料摆放整齐有序。</w:t>
      </w:r>
    </w:p>
    <w:p w14:paraId="1F1EB59E">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（6）乙方要严格自查、巡查设施设备，认真排查、消除工作现场存在的安全隐患。</w:t>
      </w:r>
    </w:p>
    <w:p w14:paraId="782A2F6F">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（7）发生事故时，乙方要采取有效措施，及时控制、消除和减少事故危害；及时报告甲方及相关部门，不得迟报、漏报、谎报或者瞒报。</w:t>
      </w:r>
    </w:p>
    <w:p w14:paraId="056AB707">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w:t>
      </w:r>
      <w:r>
        <w:rPr>
          <w:rFonts w:ascii="仿宋" w:hAnsi="仿宋" w:eastAsia="仿宋" w:cs="宋体"/>
          <w:color w:val="auto"/>
          <w:sz w:val="24"/>
          <w:highlight w:val="none"/>
        </w:rPr>
        <w:t>8</w:t>
      </w:r>
      <w:r>
        <w:rPr>
          <w:rFonts w:hint="eastAsia" w:ascii="仿宋" w:hAnsi="仿宋" w:eastAsia="仿宋" w:cs="宋体"/>
          <w:color w:val="auto"/>
          <w:sz w:val="24"/>
          <w:highlight w:val="none"/>
        </w:rPr>
        <w:t>）因乙方责任造成的人员伤亡和设备事故，由乙方承担全部经济和法律责任；因设备维护不当产生隐患，导致后期发生事故的，乙方有责任为甲方及时处理及赔偿。</w:t>
      </w:r>
    </w:p>
    <w:p w14:paraId="69FC4B33">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w:t>
      </w:r>
      <w:r>
        <w:rPr>
          <w:rFonts w:ascii="仿宋" w:hAnsi="仿宋" w:eastAsia="仿宋" w:cs="宋体"/>
          <w:color w:val="auto"/>
          <w:sz w:val="24"/>
          <w:highlight w:val="none"/>
        </w:rPr>
        <w:t>9</w:t>
      </w:r>
      <w:r>
        <w:rPr>
          <w:rFonts w:hint="eastAsia" w:ascii="仿宋" w:hAnsi="仿宋" w:eastAsia="仿宋" w:cs="宋体"/>
          <w:color w:val="auto"/>
          <w:sz w:val="24"/>
          <w:highlight w:val="none"/>
        </w:rPr>
        <w:t>）由于乙方的原因造成甲方人员及设备等财产损害的，应由乙方承担全部责任并进行相应赔偿。</w:t>
      </w:r>
    </w:p>
    <w:p w14:paraId="0EDDE48F">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w:t>
      </w:r>
      <w:r>
        <w:rPr>
          <w:rFonts w:ascii="仿宋" w:hAnsi="仿宋" w:eastAsia="仿宋" w:cs="宋体"/>
          <w:color w:val="auto"/>
          <w:sz w:val="24"/>
          <w:highlight w:val="none"/>
        </w:rPr>
        <w:t>0</w:t>
      </w:r>
      <w:r>
        <w:rPr>
          <w:rFonts w:hint="eastAsia" w:ascii="仿宋" w:hAnsi="仿宋" w:eastAsia="仿宋" w:cs="宋体"/>
          <w:color w:val="auto"/>
          <w:sz w:val="24"/>
          <w:highlight w:val="none"/>
        </w:rPr>
        <w:t>）乙方承担合同约定的其他安全工作责任。</w:t>
      </w:r>
    </w:p>
    <w:p w14:paraId="7195ED2E">
      <w:pPr>
        <w:overflowPunct w:val="0"/>
        <w:spacing w:after="120" w:line="320" w:lineRule="exact"/>
        <w:ind w:firstLine="482" w:firstLineChars="200"/>
        <w:rPr>
          <w:rFonts w:ascii="仿宋" w:hAnsi="仿宋" w:eastAsia="仿宋" w:cs="宋体"/>
          <w:color w:val="auto"/>
          <w:sz w:val="24"/>
          <w:highlight w:val="none"/>
        </w:rPr>
      </w:pPr>
      <w:r>
        <w:rPr>
          <w:rFonts w:hint="eastAsia" w:ascii="仿宋" w:hAnsi="仿宋" w:eastAsia="仿宋" w:cs="宋体"/>
          <w:b/>
          <w:color w:val="auto"/>
          <w:sz w:val="24"/>
          <w:highlight w:val="none"/>
        </w:rPr>
        <w:t>二、安全工作管理目标</w:t>
      </w:r>
    </w:p>
    <w:p w14:paraId="1FB8F67F">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1、不发生人身伤亡事故；</w:t>
      </w:r>
    </w:p>
    <w:p w14:paraId="15D5387C">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2、不发生设备非正常损坏、损失事故；</w:t>
      </w:r>
    </w:p>
    <w:p w14:paraId="2FE4B86D">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3、不发生火灾事故；</w:t>
      </w:r>
    </w:p>
    <w:p w14:paraId="7483FD18">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4、不发生环保责任事故；</w:t>
      </w:r>
    </w:p>
    <w:p w14:paraId="06917736">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5、隐患整改率为1</w:t>
      </w:r>
      <w:r>
        <w:rPr>
          <w:rFonts w:ascii="仿宋" w:hAnsi="仿宋" w:eastAsia="仿宋" w:cs="宋体"/>
          <w:color w:val="auto"/>
          <w:sz w:val="24"/>
          <w:highlight w:val="none"/>
        </w:rPr>
        <w:t>00%</w:t>
      </w:r>
      <w:r>
        <w:rPr>
          <w:rFonts w:hint="eastAsia" w:ascii="仿宋" w:hAnsi="仿宋" w:eastAsia="仿宋" w:cs="宋体"/>
          <w:color w:val="auto"/>
          <w:sz w:val="24"/>
          <w:highlight w:val="none"/>
        </w:rPr>
        <w:t>。</w:t>
      </w:r>
    </w:p>
    <w:p w14:paraId="1596FEE7">
      <w:pPr>
        <w:overflowPunct w:val="0"/>
        <w:spacing w:after="120" w:line="320" w:lineRule="exact"/>
        <w:ind w:firstLine="482" w:firstLineChars="200"/>
        <w:rPr>
          <w:rFonts w:ascii="仿宋" w:hAnsi="仿宋" w:eastAsia="仿宋" w:cs="宋体"/>
          <w:b/>
          <w:color w:val="auto"/>
          <w:sz w:val="24"/>
          <w:highlight w:val="none"/>
        </w:rPr>
      </w:pPr>
      <w:r>
        <w:rPr>
          <w:rFonts w:hint="eastAsia" w:ascii="仿宋" w:hAnsi="仿宋" w:eastAsia="仿宋" w:cs="宋体"/>
          <w:b/>
          <w:color w:val="auto"/>
          <w:sz w:val="24"/>
          <w:highlight w:val="none"/>
        </w:rPr>
        <w:t>三、经济责任</w:t>
      </w:r>
    </w:p>
    <w:p w14:paraId="5CBDA4CE">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1、对乙方的违规违制行为，应根据合同条款进行相应处罚。</w:t>
      </w:r>
    </w:p>
    <w:p w14:paraId="72685836">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2、乙方在工作现场必须服从甲方人员的管理，服从甲方有关安全管理规定。对不服从现场人员的违章处罚，甲方有权停止乙方的工作，并视情节给予警告。</w:t>
      </w:r>
    </w:p>
    <w:p w14:paraId="280D069B">
      <w:pPr>
        <w:overflowPunct w:val="0"/>
        <w:spacing w:after="120" w:line="320" w:lineRule="exact"/>
        <w:ind w:firstLine="482" w:firstLineChars="200"/>
        <w:rPr>
          <w:rFonts w:ascii="仿宋" w:hAnsi="仿宋" w:eastAsia="仿宋" w:cs="宋体"/>
          <w:b/>
          <w:color w:val="auto"/>
          <w:sz w:val="24"/>
          <w:highlight w:val="none"/>
        </w:rPr>
      </w:pPr>
      <w:r>
        <w:rPr>
          <w:rFonts w:hint="eastAsia" w:ascii="仿宋" w:hAnsi="仿宋" w:eastAsia="仿宋" w:cs="宋体"/>
          <w:b/>
          <w:color w:val="auto"/>
          <w:sz w:val="24"/>
          <w:highlight w:val="none"/>
        </w:rPr>
        <w:t>四、协议生效与终止</w:t>
      </w:r>
    </w:p>
    <w:p w14:paraId="16C32CDF">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本协议自双方盖章之日起生效，乙方承担的全部维护工作结束，质保期满后此协议自动失效。</w:t>
      </w:r>
    </w:p>
    <w:p w14:paraId="589D2234">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协议份数：</w:t>
      </w:r>
    </w:p>
    <w:p w14:paraId="1F3611C4">
      <w:pPr>
        <w:overflowPunct w:val="0"/>
        <w:spacing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本协议共一式肆份，甲方贰份，乙方贰份，具有同等效力。</w:t>
      </w:r>
    </w:p>
    <w:p w14:paraId="78543CC1">
      <w:pPr>
        <w:overflowPunct w:val="0"/>
        <w:spacing w:before="156" w:beforeLines="50" w:after="120" w:line="320" w:lineRule="exact"/>
        <w:ind w:firstLine="480" w:firstLineChars="200"/>
        <w:rPr>
          <w:rFonts w:ascii="仿宋" w:hAnsi="仿宋" w:eastAsia="仿宋" w:cs="宋体"/>
          <w:color w:val="auto"/>
          <w:sz w:val="24"/>
          <w:highlight w:val="none"/>
        </w:rPr>
      </w:pPr>
    </w:p>
    <w:p w14:paraId="52ABACED">
      <w:pPr>
        <w:overflowPunct w:val="0"/>
        <w:spacing w:before="156" w:beforeLines="50" w:after="120" w:line="320" w:lineRule="exact"/>
        <w:ind w:firstLine="480" w:firstLineChars="200"/>
        <w:rPr>
          <w:rFonts w:ascii="仿宋" w:hAnsi="仿宋" w:eastAsia="仿宋" w:cs="宋体"/>
          <w:color w:val="auto"/>
          <w:sz w:val="24"/>
          <w:highlight w:val="none"/>
        </w:rPr>
      </w:pPr>
    </w:p>
    <w:p w14:paraId="1F15E0D5">
      <w:pPr>
        <w:overflowPunct w:val="0"/>
        <w:spacing w:before="156" w:beforeLines="50" w:after="120" w:line="320" w:lineRule="exact"/>
        <w:ind w:firstLine="480" w:firstLineChars="20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甲方：（盖章） </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乙方：（盖章）</w:t>
      </w:r>
    </w:p>
    <w:p w14:paraId="255F11F7">
      <w:pPr>
        <w:overflowPunct w:val="0"/>
        <w:spacing w:before="156" w:beforeLines="50" w:after="120" w:line="320" w:lineRule="exact"/>
        <w:ind w:firstLine="480" w:firstLineChars="200"/>
        <w:rPr>
          <w:rFonts w:ascii="仿宋" w:hAnsi="仿宋" w:eastAsia="仿宋" w:cs="宋体"/>
          <w:color w:val="auto"/>
          <w:sz w:val="24"/>
          <w:highlight w:val="none"/>
        </w:rPr>
      </w:pPr>
    </w:p>
    <w:p w14:paraId="4B40E841">
      <w:pPr>
        <w:overflowPunct w:val="0"/>
        <w:spacing w:before="156" w:beforeLines="50" w:after="120" w:line="320" w:lineRule="exact"/>
        <w:ind w:firstLine="1320" w:firstLineChars="550"/>
        <w:rPr>
          <w:rFonts w:ascii="仿宋" w:hAnsi="仿宋" w:eastAsia="仿宋" w:cs="宋体"/>
          <w:color w:val="auto"/>
          <w:sz w:val="24"/>
          <w:highlight w:val="none"/>
        </w:rPr>
      </w:pPr>
      <w:r>
        <w:rPr>
          <w:rFonts w:hint="eastAsia" w:ascii="仿宋" w:hAnsi="仿宋" w:eastAsia="仿宋" w:cs="宋体"/>
          <w:color w:val="auto"/>
          <w:sz w:val="24"/>
          <w:highlight w:val="none"/>
        </w:rPr>
        <w:t>年  月  日                年  月  日</w:t>
      </w:r>
    </w:p>
    <w:p w14:paraId="141ACFF2">
      <w:pPr>
        <w:rPr>
          <w:rFonts w:ascii="仿宋" w:hAnsi="仿宋" w:eastAsia="仿宋" w:cs="宋体"/>
          <w:color w:val="auto"/>
          <w:sz w:val="24"/>
          <w:highlight w:val="none"/>
        </w:rPr>
      </w:pPr>
      <w:r>
        <w:rPr>
          <w:rFonts w:ascii="仿宋" w:hAnsi="仿宋" w:eastAsia="仿宋" w:cs="宋体"/>
          <w:color w:val="auto"/>
          <w:sz w:val="24"/>
          <w:highlight w:val="none"/>
        </w:rPr>
        <w:br w:type="page"/>
      </w:r>
    </w:p>
    <w:p w14:paraId="63A83195">
      <w:pPr>
        <w:spacing w:before="120" w:line="22" w:lineRule="atLeast"/>
        <w:jc w:val="center"/>
        <w:rPr>
          <w:rFonts w:ascii="宋体" w:hAnsi="宋体"/>
          <w:b/>
          <w:color w:val="auto"/>
          <w:sz w:val="30"/>
          <w:szCs w:val="30"/>
          <w:highlight w:val="none"/>
        </w:rPr>
      </w:pPr>
      <w:bookmarkStart w:id="230" w:name="_Hlt487972895"/>
      <w:bookmarkEnd w:id="230"/>
      <w:r>
        <w:rPr>
          <w:rFonts w:hint="eastAsia" w:ascii="宋体" w:hAnsi="宋体"/>
          <w:b/>
          <w:color w:val="auto"/>
          <w:sz w:val="30"/>
          <w:szCs w:val="30"/>
          <w:highlight w:val="none"/>
        </w:rPr>
        <w:t>第五部分 合同特殊条款</w:t>
      </w:r>
      <w:bookmarkEnd w:id="185"/>
    </w:p>
    <w:p w14:paraId="46830396">
      <w:pPr>
        <w:adjustRightInd w:val="0"/>
        <w:snapToGrid w:val="0"/>
        <w:ind w:firstLine="454"/>
        <w:rPr>
          <w:rFonts w:ascii="宋体" w:hAnsi="宋体"/>
          <w:color w:val="auto"/>
          <w:sz w:val="24"/>
          <w:highlight w:val="none"/>
        </w:rPr>
      </w:pPr>
    </w:p>
    <w:p w14:paraId="2B2D5EE5">
      <w:pPr>
        <w:adjustRightInd w:val="0"/>
        <w:snapToGrid w:val="0"/>
        <w:spacing w:line="360" w:lineRule="auto"/>
        <w:ind w:firstLine="480"/>
        <w:rPr>
          <w:rFonts w:cs="仿宋" w:asciiTheme="minorEastAsia" w:hAnsiTheme="minorEastAsia" w:eastAsiaTheme="minorEastAsia"/>
          <w:color w:val="auto"/>
          <w:sz w:val="22"/>
          <w:szCs w:val="28"/>
          <w:highlight w:val="none"/>
        </w:rPr>
      </w:pPr>
      <w:bookmarkStart w:id="231" w:name="_Toc512937852"/>
      <w:r>
        <w:rPr>
          <w:rFonts w:hint="eastAsia" w:cs="仿宋" w:asciiTheme="minorEastAsia" w:hAnsiTheme="minorEastAsia" w:eastAsiaTheme="minorEastAsia"/>
          <w:color w:val="auto"/>
          <w:sz w:val="22"/>
          <w:szCs w:val="28"/>
          <w:highlight w:val="none"/>
        </w:rPr>
        <w:t>合同专用条款是合同一般条款的补充和修改。如果两者之间有抵触，应以专用条款为准。</w:t>
      </w:r>
    </w:p>
    <w:p w14:paraId="069E4306">
      <w:pPr>
        <w:adjustRightInd w:val="0"/>
        <w:snapToGrid w:val="0"/>
        <w:spacing w:line="360" w:lineRule="auto"/>
        <w:ind w:firstLine="480"/>
        <w:rPr>
          <w:rFonts w:cs="仿宋" w:asciiTheme="minorEastAsia" w:hAnsiTheme="minorEastAsia" w:eastAsiaTheme="minorEastAsia"/>
          <w:color w:val="auto"/>
          <w:sz w:val="22"/>
          <w:szCs w:val="28"/>
          <w:highlight w:val="none"/>
        </w:rPr>
      </w:pPr>
      <w:r>
        <w:rPr>
          <w:rFonts w:cs="仿宋" w:asciiTheme="minorEastAsia" w:hAnsiTheme="minorEastAsia" w:eastAsiaTheme="minorEastAsia"/>
          <w:color w:val="auto"/>
          <w:sz w:val="22"/>
          <w:szCs w:val="28"/>
          <w:highlight w:val="none"/>
        </w:rPr>
        <w:t>1.</w:t>
      </w:r>
      <w:r>
        <w:rPr>
          <w:rFonts w:hint="eastAsia" w:cs="仿宋" w:asciiTheme="minorEastAsia" w:hAnsiTheme="minorEastAsia" w:eastAsiaTheme="minorEastAsia"/>
          <w:color w:val="auto"/>
          <w:sz w:val="22"/>
          <w:szCs w:val="28"/>
          <w:highlight w:val="none"/>
        </w:rPr>
        <w:t>5</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买方：本合同买方系指：</w:t>
      </w:r>
      <w:r>
        <w:rPr>
          <w:rFonts w:hint="eastAsia" w:cs="仿宋" w:asciiTheme="minorEastAsia" w:hAnsiTheme="minorEastAsia" w:eastAsiaTheme="minorEastAsia"/>
          <w:color w:val="auto"/>
          <w:sz w:val="22"/>
          <w:szCs w:val="28"/>
          <w:highlight w:val="none"/>
          <w:u w:val="single"/>
        </w:rPr>
        <w:t xml:space="preserve"> 中国科学院高能物理研究所                 </w:t>
      </w:r>
    </w:p>
    <w:p w14:paraId="007DE9C4">
      <w:pPr>
        <w:adjustRightInd w:val="0"/>
        <w:snapToGrid w:val="0"/>
        <w:spacing w:line="360" w:lineRule="auto"/>
        <w:ind w:firstLine="440" w:firstLineChars="200"/>
        <w:rPr>
          <w:rFonts w:cs="仿宋" w:asciiTheme="minorEastAsia" w:hAnsiTheme="minorEastAsia" w:eastAsiaTheme="minorEastAsia"/>
          <w:color w:val="auto"/>
          <w:sz w:val="22"/>
          <w:szCs w:val="28"/>
          <w:highlight w:val="none"/>
        </w:rPr>
      </w:pPr>
      <w:r>
        <w:rPr>
          <w:rFonts w:hint="eastAsia" w:cs="仿宋" w:asciiTheme="minorEastAsia" w:hAnsiTheme="minorEastAsia" w:eastAsiaTheme="minorEastAsia"/>
          <w:color w:val="auto"/>
          <w:sz w:val="22"/>
          <w:szCs w:val="28"/>
          <w:highlight w:val="none"/>
        </w:rPr>
        <w:t>1.6   卖方：本合同卖方系指：</w:t>
      </w:r>
      <w:r>
        <w:rPr>
          <w:rFonts w:hint="eastAsia" w:cs="仿宋" w:asciiTheme="minorEastAsia" w:hAnsiTheme="minorEastAsia" w:eastAsiaTheme="minorEastAsia"/>
          <w:color w:val="auto"/>
          <w:sz w:val="22"/>
          <w:szCs w:val="28"/>
          <w:highlight w:val="none"/>
          <w:u w:val="single"/>
        </w:rPr>
        <w:t>　中标人　</w:t>
      </w:r>
    </w:p>
    <w:p w14:paraId="797DBA99">
      <w:pPr>
        <w:adjustRightInd w:val="0"/>
        <w:snapToGrid w:val="0"/>
        <w:spacing w:line="360" w:lineRule="auto"/>
        <w:ind w:firstLine="480"/>
        <w:rPr>
          <w:rFonts w:cs="仿宋" w:asciiTheme="minorEastAsia" w:hAnsiTheme="minorEastAsia" w:eastAsiaTheme="minorEastAsia"/>
          <w:color w:val="auto"/>
          <w:sz w:val="22"/>
          <w:szCs w:val="28"/>
          <w:highlight w:val="none"/>
          <w:u w:val="single"/>
        </w:rPr>
      </w:pPr>
      <w:r>
        <w:rPr>
          <w:rFonts w:cs="仿宋" w:asciiTheme="minorEastAsia" w:hAnsiTheme="minorEastAsia" w:eastAsiaTheme="minorEastAsia"/>
          <w:color w:val="auto"/>
          <w:sz w:val="22"/>
          <w:szCs w:val="28"/>
          <w:highlight w:val="none"/>
        </w:rPr>
        <w:t>1.</w:t>
      </w:r>
      <w:r>
        <w:rPr>
          <w:rFonts w:hint="eastAsia" w:cs="仿宋" w:asciiTheme="minorEastAsia" w:hAnsiTheme="minorEastAsia" w:eastAsiaTheme="minorEastAsia"/>
          <w:color w:val="auto"/>
          <w:sz w:val="22"/>
          <w:szCs w:val="28"/>
          <w:highlight w:val="none"/>
        </w:rPr>
        <w:t>7</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项目现场：本合同项下的货物安装和运行地点位于：</w:t>
      </w:r>
      <w:r>
        <w:rPr>
          <w:rFonts w:hint="eastAsia" w:cs="仿宋" w:asciiTheme="minorEastAsia" w:hAnsiTheme="minorEastAsia" w:eastAsiaTheme="minorEastAsia"/>
          <w:color w:val="auto"/>
          <w:sz w:val="22"/>
          <w:szCs w:val="28"/>
          <w:highlight w:val="none"/>
          <w:u w:val="single"/>
        </w:rPr>
        <w:t xml:space="preserve">北京市怀柔区高能同步辐射光源园区内 </w:t>
      </w:r>
    </w:p>
    <w:p w14:paraId="676C7AD7">
      <w:pPr>
        <w:adjustRightInd w:val="0"/>
        <w:snapToGrid w:val="0"/>
        <w:spacing w:line="360" w:lineRule="auto"/>
        <w:ind w:firstLine="480"/>
        <w:rPr>
          <w:rFonts w:cs="仿宋" w:asciiTheme="minorEastAsia" w:hAnsiTheme="minorEastAsia" w:eastAsiaTheme="minorEastAsia"/>
          <w:color w:val="auto"/>
          <w:sz w:val="22"/>
          <w:szCs w:val="28"/>
          <w:highlight w:val="none"/>
        </w:rPr>
      </w:pPr>
      <w:r>
        <w:rPr>
          <w:rFonts w:hint="eastAsia" w:cs="仿宋" w:asciiTheme="minorEastAsia" w:hAnsiTheme="minorEastAsia" w:eastAsiaTheme="minorEastAsia"/>
          <w:color w:val="auto"/>
          <w:sz w:val="22"/>
          <w:szCs w:val="28"/>
          <w:highlight w:val="none"/>
        </w:rPr>
        <w:t>1.8</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交货时间要求:详见“第八部分</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货物需求一览表及技术规格”</w:t>
      </w:r>
    </w:p>
    <w:p w14:paraId="47B167D7">
      <w:pPr>
        <w:adjustRightInd w:val="0"/>
        <w:snapToGrid w:val="0"/>
        <w:spacing w:line="360" w:lineRule="auto"/>
        <w:ind w:left="1196" w:leftChars="229" w:hanging="715" w:hangingChars="325"/>
        <w:rPr>
          <w:rFonts w:cs="仿宋" w:asciiTheme="minorEastAsia" w:hAnsiTheme="minorEastAsia" w:eastAsiaTheme="minorEastAsia"/>
          <w:color w:val="auto"/>
          <w:sz w:val="22"/>
          <w:szCs w:val="28"/>
          <w:highlight w:val="none"/>
          <w:u w:val="single"/>
        </w:rPr>
      </w:pPr>
      <w:bookmarkStart w:id="232" w:name="_Toc34754057"/>
      <w:bookmarkStart w:id="233" w:name="_Toc35941933"/>
      <w:r>
        <w:rPr>
          <w:rFonts w:hint="eastAsia" w:cs="仿宋" w:asciiTheme="minorEastAsia" w:hAnsiTheme="minorEastAsia" w:eastAsiaTheme="minorEastAsia"/>
          <w:color w:val="auto"/>
          <w:sz w:val="22"/>
          <w:szCs w:val="28"/>
          <w:highlight w:val="none"/>
        </w:rPr>
        <w:t xml:space="preserve">      交货地点要求</w:t>
      </w:r>
      <w:bookmarkEnd w:id="232"/>
      <w:bookmarkEnd w:id="233"/>
      <w:r>
        <w:rPr>
          <w:rFonts w:hint="eastAsia" w:cs="仿宋" w:asciiTheme="minorEastAsia" w:hAnsiTheme="minorEastAsia" w:eastAsiaTheme="minorEastAsia"/>
          <w:color w:val="auto"/>
          <w:sz w:val="22"/>
          <w:szCs w:val="28"/>
          <w:highlight w:val="none"/>
        </w:rPr>
        <w:t>：</w:t>
      </w:r>
      <w:r>
        <w:rPr>
          <w:rFonts w:hint="eastAsia" w:cs="仿宋" w:asciiTheme="minorEastAsia" w:hAnsiTheme="minorEastAsia" w:eastAsiaTheme="minorEastAsia"/>
          <w:color w:val="auto"/>
          <w:sz w:val="22"/>
          <w:szCs w:val="28"/>
          <w:highlight w:val="none"/>
          <w:u w:val="single"/>
        </w:rPr>
        <w:t>北京市怀柔区高能同步辐射光源园区内</w:t>
      </w:r>
    </w:p>
    <w:p w14:paraId="7BE985DC">
      <w:pPr>
        <w:adjustRightInd w:val="0"/>
        <w:snapToGrid w:val="0"/>
        <w:spacing w:line="360" w:lineRule="auto"/>
        <w:ind w:left="1196" w:leftChars="229" w:hanging="715" w:hangingChars="325"/>
        <w:rPr>
          <w:rFonts w:cs="仿宋" w:asciiTheme="minorEastAsia" w:hAnsiTheme="minorEastAsia" w:eastAsiaTheme="minorEastAsia"/>
          <w:color w:val="auto"/>
          <w:sz w:val="22"/>
          <w:szCs w:val="28"/>
          <w:highlight w:val="none"/>
        </w:rPr>
      </w:pPr>
      <w:r>
        <w:rPr>
          <w:rFonts w:hint="eastAsia" w:cs="仿宋" w:asciiTheme="minorEastAsia" w:hAnsiTheme="minorEastAsia" w:eastAsiaTheme="minorEastAsia"/>
          <w:color w:val="auto"/>
          <w:sz w:val="22"/>
          <w:szCs w:val="28"/>
          <w:highlight w:val="none"/>
        </w:rPr>
        <w:t>1.9</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质量保证期：详见“第八部分</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货物需求一览表及技术规格”</w:t>
      </w:r>
    </w:p>
    <w:p w14:paraId="48C13232">
      <w:pPr>
        <w:adjustRightInd w:val="0"/>
        <w:snapToGrid w:val="0"/>
        <w:spacing w:line="360" w:lineRule="auto"/>
        <w:ind w:firstLine="480"/>
        <w:rPr>
          <w:rFonts w:cs="仿宋" w:asciiTheme="minorEastAsia" w:hAnsiTheme="minorEastAsia" w:eastAsiaTheme="minorEastAsia"/>
          <w:color w:val="auto"/>
          <w:sz w:val="22"/>
          <w:szCs w:val="28"/>
          <w:highlight w:val="none"/>
        </w:rPr>
      </w:pPr>
      <w:r>
        <w:rPr>
          <w:rFonts w:hint="eastAsia" w:cs="仿宋" w:asciiTheme="minorEastAsia" w:hAnsiTheme="minorEastAsia" w:eastAsiaTheme="minorEastAsia"/>
          <w:color w:val="auto"/>
          <w:sz w:val="22"/>
          <w:szCs w:val="28"/>
          <w:highlight w:val="none"/>
        </w:rPr>
        <w:t>4</w:t>
      </w:r>
      <w:r>
        <w:rPr>
          <w:rFonts w:cs="仿宋" w:asciiTheme="minorEastAsia" w:hAnsiTheme="minorEastAsia" w:eastAsiaTheme="minorEastAsia"/>
          <w:color w:val="auto"/>
          <w:sz w:val="22"/>
          <w:szCs w:val="28"/>
          <w:highlight w:val="none"/>
        </w:rPr>
        <w:t xml:space="preserve">  </w:t>
      </w:r>
      <w:r>
        <w:rPr>
          <w:rFonts w:hint="eastAsia" w:cs="仿宋" w:asciiTheme="minorEastAsia" w:hAnsiTheme="minorEastAsia" w:eastAsiaTheme="minorEastAsia"/>
          <w:color w:val="auto"/>
          <w:sz w:val="22"/>
          <w:szCs w:val="28"/>
          <w:highlight w:val="none"/>
        </w:rPr>
        <w:t>付款方式：</w:t>
      </w:r>
    </w:p>
    <w:p w14:paraId="36AF89F2">
      <w:pPr>
        <w:adjustRightInd w:val="0"/>
        <w:snapToGrid w:val="0"/>
        <w:spacing w:line="360" w:lineRule="auto"/>
        <w:ind w:firstLine="480"/>
        <w:rPr>
          <w:rFonts w:cs="仿宋" w:asciiTheme="minorEastAsia" w:hAnsiTheme="minorEastAsia" w:eastAsiaTheme="minorEastAsia"/>
          <w:color w:val="auto"/>
          <w:sz w:val="22"/>
          <w:szCs w:val="28"/>
          <w:highlight w:val="none"/>
        </w:rPr>
      </w:pPr>
      <w:r>
        <w:rPr>
          <w:rFonts w:hint="eastAsia" w:cs="仿宋" w:asciiTheme="minorEastAsia" w:hAnsiTheme="minorEastAsia" w:eastAsiaTheme="minorEastAsia"/>
          <w:color w:val="auto"/>
          <w:sz w:val="22"/>
          <w:szCs w:val="28"/>
          <w:highlight w:val="none"/>
        </w:rPr>
        <w:t>见本招标文件第四部分合同格式部分相关条款。</w:t>
      </w:r>
    </w:p>
    <w:p w14:paraId="074BE455">
      <w:pPr>
        <w:adjustRightInd w:val="0"/>
        <w:snapToGrid w:val="0"/>
        <w:spacing w:line="360" w:lineRule="auto"/>
        <w:ind w:firstLine="480" w:firstLineChars="200"/>
        <w:rPr>
          <w:rFonts w:ascii="宋体" w:hAnsi="宋体"/>
          <w:color w:val="auto"/>
          <w:sz w:val="24"/>
          <w:highlight w:val="none"/>
        </w:rPr>
      </w:pPr>
    </w:p>
    <w:p w14:paraId="05833513">
      <w:pPr>
        <w:adjustRightInd w:val="0"/>
        <w:snapToGrid w:val="0"/>
        <w:ind w:firstLine="3360" w:firstLineChars="1400"/>
        <w:rPr>
          <w:rFonts w:ascii="宋体" w:hAnsi="宋体"/>
          <w:color w:val="auto"/>
          <w:sz w:val="24"/>
          <w:highlight w:val="none"/>
        </w:rPr>
      </w:pPr>
    </w:p>
    <w:p w14:paraId="1597C31E">
      <w:pPr>
        <w:adjustRightInd w:val="0"/>
        <w:snapToGrid w:val="0"/>
        <w:rPr>
          <w:rFonts w:ascii="宋体" w:hAnsi="宋体"/>
          <w:color w:val="auto"/>
          <w:sz w:val="24"/>
          <w:highlight w:val="none"/>
        </w:rPr>
      </w:pPr>
    </w:p>
    <w:p w14:paraId="7A2505A0">
      <w:pPr>
        <w:adjustRightInd w:val="0"/>
        <w:snapToGrid w:val="0"/>
        <w:spacing w:after="156" w:afterLines="50" w:line="360" w:lineRule="auto"/>
        <w:jc w:val="center"/>
        <w:outlineLvl w:val="0"/>
        <w:rPr>
          <w:rFonts w:ascii="宋体" w:hAnsi="宋体"/>
          <w:b/>
          <w:color w:val="auto"/>
          <w:sz w:val="30"/>
          <w:szCs w:val="30"/>
          <w:highlight w:val="none"/>
        </w:rPr>
      </w:pPr>
      <w:r>
        <w:rPr>
          <w:rFonts w:hAnsi="宋体"/>
          <w:b/>
          <w:color w:val="auto"/>
          <w:sz w:val="24"/>
          <w:highlight w:val="none"/>
        </w:rPr>
        <w:br w:type="page"/>
      </w:r>
      <w:bookmarkStart w:id="234" w:name="_Toc89569910"/>
      <w:bookmarkStart w:id="235" w:name="_Toc129880037"/>
      <w:r>
        <w:rPr>
          <w:rFonts w:hint="eastAsia" w:ascii="宋体" w:hAnsi="宋体"/>
          <w:b/>
          <w:color w:val="auto"/>
          <w:sz w:val="30"/>
          <w:szCs w:val="30"/>
          <w:highlight w:val="none"/>
        </w:rPr>
        <w:t>第六部分 附件</w:t>
      </w:r>
      <w:bookmarkEnd w:id="234"/>
      <w:bookmarkEnd w:id="235"/>
    </w:p>
    <w:p w14:paraId="7955C003">
      <w:pPr>
        <w:tabs>
          <w:tab w:val="left" w:pos="1980"/>
        </w:tabs>
        <w:spacing w:before="120"/>
        <w:ind w:firstLine="4032" w:firstLineChars="1680"/>
        <w:rPr>
          <w:rFonts w:ascii="宋体" w:hAnsi="宋体"/>
          <w:color w:val="auto"/>
          <w:sz w:val="24"/>
          <w:highlight w:val="none"/>
        </w:rPr>
      </w:pPr>
    </w:p>
    <w:p w14:paraId="69B41AB7">
      <w:pPr>
        <w:widowControl/>
        <w:tabs>
          <w:tab w:val="left" w:pos="900"/>
        </w:tabs>
        <w:adjustRightInd w:val="0"/>
        <w:snapToGrid w:val="0"/>
        <w:spacing w:line="360" w:lineRule="auto"/>
        <w:ind w:firstLine="482" w:firstLineChars="200"/>
        <w:jc w:val="left"/>
        <w:rPr>
          <w:rFonts w:ascii="宋体" w:hAnsi="宋体" w:cs="仿宋_GB2312"/>
          <w:b/>
          <w:bCs/>
          <w:color w:val="auto"/>
          <w:sz w:val="24"/>
          <w:highlight w:val="none"/>
        </w:rPr>
      </w:pPr>
      <w:r>
        <w:rPr>
          <w:rFonts w:hint="eastAsia" w:ascii="宋体" w:hAnsi="宋体" w:cs="仿宋_GB2312"/>
          <w:b/>
          <w:bCs/>
          <w:color w:val="auto"/>
          <w:sz w:val="24"/>
          <w:highlight w:val="none"/>
          <w:lang w:bidi="ar"/>
        </w:rPr>
        <w:t xml:space="preserve">投标人编制文件须知 </w:t>
      </w:r>
    </w:p>
    <w:p w14:paraId="3D71C06A">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lang w:bidi="ar"/>
        </w:rPr>
        <w:t xml:space="preserve">1、投标人按照本部分的顺序编制投标文件。 </w:t>
      </w:r>
    </w:p>
    <w:p w14:paraId="4FEF657E">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lang w:bidi="ar"/>
        </w:rPr>
      </w:pPr>
      <w:r>
        <w:rPr>
          <w:rFonts w:hint="eastAsia" w:ascii="宋体" w:hAnsi="宋体" w:cs="仿宋_GB2312"/>
          <w:color w:val="auto"/>
          <w:sz w:val="24"/>
          <w:highlight w:val="none"/>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2E157B73">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lang w:bidi="ar"/>
        </w:rPr>
        <w:t>3、全部声明和问题的回答及所附材料必须是真实的、准确的和完整的。</w:t>
      </w:r>
    </w:p>
    <w:p w14:paraId="092DBB1B">
      <w:pPr>
        <w:widowControl/>
        <w:jc w:val="left"/>
        <w:rPr>
          <w:color w:val="auto"/>
          <w:highlight w:val="none"/>
        </w:rPr>
      </w:pPr>
      <w:r>
        <w:rPr>
          <w:rFonts w:hint="eastAsia" w:ascii="宋体" w:hAnsi="宋体" w:cs="仿宋_GB2312"/>
          <w:color w:val="auto"/>
          <w:sz w:val="24"/>
          <w:highlight w:val="none"/>
        </w:rPr>
        <w:br w:type="page"/>
      </w:r>
      <w:r>
        <w:rPr>
          <w:rFonts w:hint="eastAsia" w:ascii="宋体" w:hAnsi="宋体" w:cs="宋体"/>
          <w:b/>
          <w:bCs/>
          <w:color w:val="auto"/>
          <w:kern w:val="0"/>
          <w:sz w:val="24"/>
          <w:highlight w:val="none"/>
          <w:lang w:bidi="ar"/>
        </w:rPr>
        <w:t xml:space="preserve">一 、 资 格 证 明 文 件 格 式 </w:t>
      </w:r>
    </w:p>
    <w:p w14:paraId="3A6FA37F">
      <w:pPr>
        <w:widowControl/>
        <w:jc w:val="left"/>
        <w:rPr>
          <w:rFonts w:ascii="宋体" w:hAnsi="宋体" w:cs="宋体"/>
          <w:b/>
          <w:bCs/>
          <w:color w:val="auto"/>
          <w:kern w:val="0"/>
          <w:sz w:val="24"/>
          <w:highlight w:val="none"/>
          <w:lang w:bidi="ar"/>
        </w:rPr>
      </w:pPr>
    </w:p>
    <w:p w14:paraId="67E00AD0">
      <w:pPr>
        <w:widowControl/>
        <w:jc w:val="left"/>
        <w:rPr>
          <w:color w:val="auto"/>
          <w:highlight w:val="none"/>
        </w:rPr>
      </w:pPr>
      <w:r>
        <w:rPr>
          <w:rFonts w:hint="eastAsia" w:ascii="宋体" w:hAnsi="宋体" w:cs="宋体"/>
          <w:b/>
          <w:bCs/>
          <w:color w:val="auto"/>
          <w:kern w:val="0"/>
          <w:sz w:val="24"/>
          <w:highlight w:val="none"/>
          <w:lang w:bidi="ar"/>
        </w:rPr>
        <w:t xml:space="preserve">投 标 文 件 （ 资 格 证 明 文 件 ）封面 </w:t>
      </w:r>
    </w:p>
    <w:p w14:paraId="190BB8F0">
      <w:pPr>
        <w:widowControl/>
        <w:jc w:val="left"/>
        <w:rPr>
          <w:rFonts w:ascii="宋体" w:hAnsi="宋体" w:cs="宋体"/>
          <w:b/>
          <w:bCs/>
          <w:color w:val="auto"/>
          <w:kern w:val="0"/>
          <w:sz w:val="84"/>
          <w:szCs w:val="84"/>
          <w:highlight w:val="none"/>
          <w:lang w:bidi="ar"/>
        </w:rPr>
      </w:pPr>
    </w:p>
    <w:p w14:paraId="71C28DD3">
      <w:pPr>
        <w:widowControl/>
        <w:jc w:val="left"/>
        <w:rPr>
          <w:rFonts w:ascii="宋体" w:hAnsi="宋体" w:cs="宋体"/>
          <w:b/>
          <w:bCs/>
          <w:color w:val="auto"/>
          <w:kern w:val="0"/>
          <w:sz w:val="84"/>
          <w:szCs w:val="84"/>
          <w:highlight w:val="none"/>
          <w:lang w:bidi="ar"/>
        </w:rPr>
      </w:pPr>
    </w:p>
    <w:p w14:paraId="4FC7D229">
      <w:pPr>
        <w:widowControl/>
        <w:jc w:val="left"/>
        <w:rPr>
          <w:rFonts w:ascii="宋体" w:hAnsi="宋体" w:cs="宋体"/>
          <w:b/>
          <w:bCs/>
          <w:color w:val="auto"/>
          <w:kern w:val="0"/>
          <w:sz w:val="84"/>
          <w:szCs w:val="84"/>
          <w:highlight w:val="none"/>
          <w:lang w:bidi="ar"/>
        </w:rPr>
      </w:pPr>
    </w:p>
    <w:p w14:paraId="3FD64822">
      <w:pPr>
        <w:widowControl/>
        <w:jc w:val="center"/>
        <w:rPr>
          <w:color w:val="auto"/>
          <w:highlight w:val="none"/>
        </w:rPr>
      </w:pPr>
      <w:r>
        <w:rPr>
          <w:rFonts w:hint="eastAsia" w:ascii="宋体" w:hAnsi="宋体" w:cs="宋体"/>
          <w:b/>
          <w:bCs/>
          <w:color w:val="auto"/>
          <w:kern w:val="0"/>
          <w:sz w:val="84"/>
          <w:szCs w:val="84"/>
          <w:highlight w:val="none"/>
          <w:lang w:bidi="ar"/>
        </w:rPr>
        <w:t>投 标 文 件</w:t>
      </w:r>
    </w:p>
    <w:p w14:paraId="1A9A2702">
      <w:pPr>
        <w:widowControl/>
        <w:jc w:val="center"/>
        <w:rPr>
          <w:color w:val="auto"/>
          <w:highlight w:val="none"/>
        </w:rPr>
      </w:pPr>
      <w:r>
        <w:rPr>
          <w:rFonts w:hint="eastAsia" w:ascii="宋体" w:hAnsi="宋体" w:cs="宋体"/>
          <w:b/>
          <w:bCs/>
          <w:color w:val="auto"/>
          <w:kern w:val="0"/>
          <w:sz w:val="52"/>
          <w:szCs w:val="52"/>
          <w:highlight w:val="none"/>
          <w:lang w:bidi="ar"/>
        </w:rPr>
        <w:t>（ 资 格 证 明 文 件 ）</w:t>
      </w:r>
    </w:p>
    <w:p w14:paraId="26D7255C">
      <w:pPr>
        <w:widowControl/>
        <w:jc w:val="left"/>
        <w:rPr>
          <w:rFonts w:ascii="宋体" w:hAnsi="宋体" w:cs="宋体"/>
          <w:b/>
          <w:bCs/>
          <w:color w:val="auto"/>
          <w:kern w:val="0"/>
          <w:sz w:val="24"/>
          <w:highlight w:val="none"/>
          <w:lang w:bidi="ar"/>
        </w:rPr>
      </w:pPr>
    </w:p>
    <w:p w14:paraId="26C105A7">
      <w:pPr>
        <w:widowControl/>
        <w:spacing w:before="312" w:beforeLines="100"/>
        <w:jc w:val="center"/>
        <w:rPr>
          <w:color w:val="auto"/>
          <w:sz w:val="24"/>
          <w:highlight w:val="none"/>
        </w:rPr>
      </w:pPr>
    </w:p>
    <w:p w14:paraId="5602993B">
      <w:pPr>
        <w:widowControl/>
        <w:jc w:val="center"/>
        <w:rPr>
          <w:color w:val="auto"/>
          <w:sz w:val="24"/>
          <w:highlight w:val="none"/>
        </w:rPr>
      </w:pPr>
    </w:p>
    <w:p w14:paraId="3CBD43CD">
      <w:pPr>
        <w:widowControl/>
        <w:jc w:val="center"/>
        <w:rPr>
          <w:color w:val="auto"/>
          <w:sz w:val="24"/>
          <w:highlight w:val="none"/>
        </w:rPr>
      </w:pPr>
    </w:p>
    <w:p w14:paraId="43DEE15F">
      <w:pPr>
        <w:widowControl/>
        <w:jc w:val="center"/>
        <w:rPr>
          <w:color w:val="auto"/>
          <w:sz w:val="24"/>
          <w:highlight w:val="none"/>
        </w:rPr>
      </w:pPr>
    </w:p>
    <w:p w14:paraId="5878C171">
      <w:pPr>
        <w:widowControl/>
        <w:jc w:val="center"/>
        <w:rPr>
          <w:color w:val="auto"/>
          <w:sz w:val="24"/>
          <w:highlight w:val="none"/>
        </w:rPr>
      </w:pPr>
    </w:p>
    <w:p w14:paraId="2BA1F447">
      <w:pPr>
        <w:widowControl/>
        <w:jc w:val="center"/>
        <w:rPr>
          <w:color w:val="auto"/>
          <w:sz w:val="24"/>
          <w:highlight w:val="none"/>
        </w:rPr>
      </w:pPr>
    </w:p>
    <w:p w14:paraId="7F2514AA">
      <w:pPr>
        <w:widowControl/>
        <w:jc w:val="center"/>
        <w:rPr>
          <w:color w:val="auto"/>
          <w:sz w:val="24"/>
          <w:highlight w:val="none"/>
        </w:rPr>
      </w:pPr>
    </w:p>
    <w:p w14:paraId="4C96CBE5">
      <w:pPr>
        <w:widowControl/>
        <w:jc w:val="left"/>
        <w:rPr>
          <w:rFonts w:ascii="宋体" w:hAnsi="宋体" w:cs="宋体"/>
          <w:b/>
          <w:bCs/>
          <w:color w:val="auto"/>
          <w:kern w:val="0"/>
          <w:sz w:val="24"/>
          <w:highlight w:val="none"/>
          <w:lang w:bidi="ar"/>
        </w:rPr>
      </w:pPr>
    </w:p>
    <w:tbl>
      <w:tblPr>
        <w:tblStyle w:val="41"/>
        <w:tblW w:w="0" w:type="auto"/>
        <w:tblInd w:w="3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20"/>
        <w:gridCol w:w="6377"/>
      </w:tblGrid>
      <w:tr w14:paraId="0701D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5019000F">
            <w:pPr>
              <w:widowControl/>
              <w:jc w:val="distribute"/>
              <w:rPr>
                <w:rFonts w:ascii="宋体" w:hAnsi="宋体" w:cs="宋体"/>
                <w:b/>
                <w:bCs/>
                <w:color w:val="auto"/>
                <w:sz w:val="32"/>
                <w:szCs w:val="32"/>
                <w:highlight w:val="none"/>
              </w:rPr>
            </w:pPr>
            <w:r>
              <w:rPr>
                <w:rFonts w:hint="eastAsia" w:ascii="宋体" w:hAnsi="宋体" w:cs="宋体"/>
                <w:b/>
                <w:bCs/>
                <w:color w:val="auto"/>
                <w:kern w:val="0"/>
                <w:sz w:val="31"/>
                <w:szCs w:val="31"/>
                <w:highlight w:val="none"/>
                <w:lang w:bidi="ar"/>
              </w:rPr>
              <w:t xml:space="preserve">项 目 名 称 </w:t>
            </w:r>
          </w:p>
        </w:tc>
        <w:tc>
          <w:tcPr>
            <w:tcW w:w="6377" w:type="dxa"/>
            <w:tcBorders>
              <w:tl2br w:val="nil"/>
              <w:tr2bl w:val="nil"/>
            </w:tcBorders>
          </w:tcPr>
          <w:p w14:paraId="6A24208E">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0F2B5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6BBC295E">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项目编号/包号</w:t>
            </w:r>
          </w:p>
        </w:tc>
        <w:tc>
          <w:tcPr>
            <w:tcW w:w="6377" w:type="dxa"/>
            <w:tcBorders>
              <w:tl2br w:val="nil"/>
              <w:tr2bl w:val="nil"/>
            </w:tcBorders>
          </w:tcPr>
          <w:p w14:paraId="2C8BEDB7">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25F0E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0C67F050">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投标人名称</w:t>
            </w:r>
          </w:p>
        </w:tc>
        <w:tc>
          <w:tcPr>
            <w:tcW w:w="6377" w:type="dxa"/>
            <w:tcBorders>
              <w:tl2br w:val="nil"/>
              <w:tr2bl w:val="nil"/>
            </w:tcBorders>
          </w:tcPr>
          <w:p w14:paraId="0A7AD959">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68EC6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26A305B9">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投标时间</w:t>
            </w:r>
          </w:p>
        </w:tc>
        <w:tc>
          <w:tcPr>
            <w:tcW w:w="6377" w:type="dxa"/>
            <w:tcBorders>
              <w:tl2br w:val="nil"/>
              <w:tr2bl w:val="nil"/>
            </w:tcBorders>
          </w:tcPr>
          <w:p w14:paraId="571F5AD4">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bl>
    <w:p w14:paraId="4F7615BE">
      <w:pPr>
        <w:widowControl/>
        <w:jc w:val="left"/>
        <w:rPr>
          <w:color w:val="auto"/>
          <w:highlight w:val="none"/>
        </w:rPr>
      </w:pPr>
    </w:p>
    <w:p w14:paraId="002D06E6">
      <w:pPr>
        <w:widowControl/>
        <w:jc w:val="left"/>
        <w:rPr>
          <w:rFonts w:ascii="宋体" w:hAnsi="宋体" w:cs="宋体"/>
          <w:b/>
          <w:bCs/>
          <w:color w:val="auto"/>
          <w:kern w:val="0"/>
          <w:sz w:val="31"/>
          <w:szCs w:val="31"/>
          <w:highlight w:val="none"/>
          <w:lang w:bidi="ar"/>
        </w:rPr>
      </w:pPr>
      <w:r>
        <w:rPr>
          <w:rFonts w:hint="eastAsia" w:ascii="宋体" w:hAnsi="宋体" w:cs="仿宋_GB2312"/>
          <w:color w:val="auto"/>
          <w:sz w:val="24"/>
          <w:highlight w:val="none"/>
        </w:rPr>
        <w:br w:type="page"/>
      </w:r>
    </w:p>
    <w:p w14:paraId="5A6E561B">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★附件1  营业执照等证明文件（复印件，加盖公章）</w:t>
      </w:r>
    </w:p>
    <w:p w14:paraId="55EA3E9F">
      <w:pPr>
        <w:tabs>
          <w:tab w:val="left" w:pos="5580"/>
        </w:tabs>
        <w:adjustRightInd w:val="0"/>
        <w:snapToGrid w:val="0"/>
        <w:spacing w:line="360" w:lineRule="auto"/>
        <w:ind w:firstLine="480" w:firstLineChars="200"/>
        <w:jc w:val="left"/>
        <w:rPr>
          <w:color w:val="auto"/>
          <w:sz w:val="24"/>
          <w:highlight w:val="none"/>
        </w:rPr>
      </w:pPr>
      <w:r>
        <w:rPr>
          <w:color w:val="auto"/>
          <w:sz w:val="24"/>
          <w:highlight w:val="none"/>
        </w:rPr>
        <w:t>投标人为企业（包括合伙企业）的，应提供有效的“营业执照”；投标人为事业单位的，应提供有效的“事业单位法人证书”；</w:t>
      </w:r>
      <w:r>
        <w:rPr>
          <w:rFonts w:hint="eastAsia"/>
          <w:color w:val="auto"/>
          <w:sz w:val="24"/>
          <w:highlight w:val="none"/>
        </w:rPr>
        <w:t>投标人是非企业机构的，应提供有效的“执业许可证”、“登记证书”等证明文件；</w:t>
      </w:r>
      <w:r>
        <w:rPr>
          <w:color w:val="auto"/>
          <w:sz w:val="24"/>
          <w:highlight w:val="none"/>
        </w:rPr>
        <w:t>投标人是个体工商户的，应提供有效的“个体工商户营业执照”；投标人是自然人的，应提供有效的自然人身份证明</w:t>
      </w:r>
      <w:r>
        <w:rPr>
          <w:rFonts w:hint="eastAsia"/>
          <w:color w:val="auto"/>
          <w:sz w:val="24"/>
          <w:highlight w:val="none"/>
        </w:rPr>
        <w:t>。</w:t>
      </w:r>
    </w:p>
    <w:p w14:paraId="167148CF">
      <w:pPr>
        <w:tabs>
          <w:tab w:val="left" w:pos="5580"/>
        </w:tabs>
        <w:adjustRightInd w:val="0"/>
        <w:snapToGrid w:val="0"/>
        <w:spacing w:line="360" w:lineRule="auto"/>
        <w:jc w:val="center"/>
        <w:rPr>
          <w:color w:val="auto"/>
          <w:sz w:val="24"/>
          <w:highlight w:val="none"/>
        </w:rPr>
      </w:pPr>
    </w:p>
    <w:p w14:paraId="1302E805">
      <w:pPr>
        <w:tabs>
          <w:tab w:val="left" w:pos="5580"/>
        </w:tabs>
        <w:adjustRightInd w:val="0"/>
        <w:snapToGrid w:val="0"/>
        <w:spacing w:line="360" w:lineRule="auto"/>
        <w:jc w:val="center"/>
        <w:rPr>
          <w:color w:val="auto"/>
          <w:sz w:val="24"/>
          <w:highlight w:val="none"/>
        </w:rPr>
      </w:pPr>
    </w:p>
    <w:p w14:paraId="718BD1D8">
      <w:pPr>
        <w:tabs>
          <w:tab w:val="left" w:pos="5580"/>
        </w:tabs>
        <w:adjustRightInd w:val="0"/>
        <w:snapToGrid w:val="0"/>
        <w:spacing w:line="360" w:lineRule="auto"/>
        <w:jc w:val="center"/>
        <w:rPr>
          <w:color w:val="auto"/>
          <w:sz w:val="24"/>
          <w:highlight w:val="none"/>
        </w:rPr>
      </w:pPr>
    </w:p>
    <w:p w14:paraId="1BFE36FE">
      <w:pPr>
        <w:widowControl/>
        <w:tabs>
          <w:tab w:val="left" w:pos="5580"/>
        </w:tabs>
        <w:jc w:val="center"/>
        <w:rPr>
          <w:rFonts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 xml:space="preserve">★附件2  </w:t>
      </w:r>
      <w:r>
        <w:rPr>
          <w:rFonts w:hint="eastAsia" w:ascii="宋体" w:hAnsi="宋体"/>
          <w:b/>
          <w:color w:val="auto"/>
          <w:sz w:val="24"/>
          <w:highlight w:val="none"/>
          <w:lang w:bidi="ar"/>
        </w:rPr>
        <w:t>投标人资格声明书</w:t>
      </w:r>
    </w:p>
    <w:p w14:paraId="02907AEE">
      <w:pPr>
        <w:widowControl/>
        <w:tabs>
          <w:tab w:val="left" w:pos="5580"/>
        </w:tabs>
        <w:adjustRightInd w:val="0"/>
        <w:snapToGrid w:val="0"/>
        <w:spacing w:line="360" w:lineRule="auto"/>
        <w:jc w:val="left"/>
        <w:rPr>
          <w:color w:val="auto"/>
          <w:sz w:val="24"/>
          <w:highlight w:val="none"/>
          <w:lang w:bidi="ar"/>
        </w:rPr>
      </w:pPr>
    </w:p>
    <w:p w14:paraId="7BC8A8F7">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致：采购人或采购代理机构 </w:t>
      </w:r>
    </w:p>
    <w:p w14:paraId="5C0707E3">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在参与本次项目投标中，我单位承诺： </w:t>
      </w:r>
    </w:p>
    <w:p w14:paraId="14C67F7C">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（一）具有良好的商业信誉和健全的财务会计制度； </w:t>
      </w:r>
    </w:p>
    <w:p w14:paraId="1E1580BB">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（二）具有履行合同所必需的设备和专业技术能力； </w:t>
      </w:r>
    </w:p>
    <w:p w14:paraId="39F840C1">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（三）有依法缴纳税收和社会保障资金的良好记录； </w:t>
      </w:r>
    </w:p>
    <w:p w14:paraId="03D8F625">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（四）参加政府采购活动前三年内，在经营活动中没有重大违法记录（重大违法记 </w:t>
      </w:r>
    </w:p>
    <w:p w14:paraId="3567AE9A">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65A21685">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五</w:t>
      </w:r>
      <w:r>
        <w:rPr>
          <w:color w:val="auto"/>
          <w:sz w:val="24"/>
          <w:highlight w:val="none"/>
          <w:lang w:bidi="ar"/>
        </w:rPr>
        <w:t xml:space="preserve">）我单位不存在为采购项目提供整体设计、规范编制或者项目管理、监理、检 </w:t>
      </w:r>
    </w:p>
    <w:p w14:paraId="1646DE96">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测等服务后，再参加该采购项目的其他采购活动的情形（单一来源采购项目除外）； </w:t>
      </w:r>
    </w:p>
    <w:p w14:paraId="37D5D40B">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六</w:t>
      </w:r>
      <w:r>
        <w:rPr>
          <w:color w:val="auto"/>
          <w:sz w:val="24"/>
          <w:highlight w:val="none"/>
          <w:lang w:bidi="ar"/>
        </w:rPr>
        <w:t xml:space="preserve">）与我单位存在“单位负责人为同一人或者存在直接控股、管理关系”的其他法 </w:t>
      </w:r>
    </w:p>
    <w:p w14:paraId="213482A3">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人单位信息如下（如有，不论其是否参加同一合同项下的政府采购活动均须填写）： </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68F4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6847C7B">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序号</w:t>
            </w:r>
          </w:p>
        </w:tc>
        <w:tc>
          <w:tcPr>
            <w:tcW w:w="3095" w:type="dxa"/>
          </w:tcPr>
          <w:p w14:paraId="53A86FA5">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单位名称</w:t>
            </w:r>
          </w:p>
        </w:tc>
        <w:tc>
          <w:tcPr>
            <w:tcW w:w="3096" w:type="dxa"/>
          </w:tcPr>
          <w:p w14:paraId="7FCFFB9B">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相互关系</w:t>
            </w:r>
          </w:p>
        </w:tc>
      </w:tr>
      <w:tr w14:paraId="214C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05216583">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1 </w:t>
            </w:r>
          </w:p>
        </w:tc>
        <w:tc>
          <w:tcPr>
            <w:tcW w:w="3095" w:type="dxa"/>
          </w:tcPr>
          <w:p w14:paraId="6D4015DF">
            <w:pPr>
              <w:widowControl/>
              <w:tabs>
                <w:tab w:val="left" w:pos="5580"/>
              </w:tabs>
              <w:adjustRightInd w:val="0"/>
              <w:snapToGrid w:val="0"/>
              <w:spacing w:line="360" w:lineRule="auto"/>
              <w:jc w:val="left"/>
              <w:rPr>
                <w:color w:val="auto"/>
                <w:sz w:val="24"/>
                <w:highlight w:val="none"/>
                <w:lang w:bidi="ar"/>
              </w:rPr>
            </w:pPr>
          </w:p>
        </w:tc>
        <w:tc>
          <w:tcPr>
            <w:tcW w:w="3096" w:type="dxa"/>
          </w:tcPr>
          <w:p w14:paraId="4E94108F">
            <w:pPr>
              <w:widowControl/>
              <w:tabs>
                <w:tab w:val="left" w:pos="5580"/>
              </w:tabs>
              <w:adjustRightInd w:val="0"/>
              <w:snapToGrid w:val="0"/>
              <w:spacing w:line="360" w:lineRule="auto"/>
              <w:jc w:val="left"/>
              <w:rPr>
                <w:color w:val="auto"/>
                <w:sz w:val="24"/>
                <w:highlight w:val="none"/>
                <w:lang w:bidi="ar"/>
              </w:rPr>
            </w:pPr>
          </w:p>
        </w:tc>
      </w:tr>
      <w:tr w14:paraId="0791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01169C97">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2</w:t>
            </w:r>
          </w:p>
        </w:tc>
        <w:tc>
          <w:tcPr>
            <w:tcW w:w="3095" w:type="dxa"/>
          </w:tcPr>
          <w:p w14:paraId="5B820653">
            <w:pPr>
              <w:widowControl/>
              <w:tabs>
                <w:tab w:val="left" w:pos="5580"/>
              </w:tabs>
              <w:adjustRightInd w:val="0"/>
              <w:snapToGrid w:val="0"/>
              <w:spacing w:line="360" w:lineRule="auto"/>
              <w:jc w:val="left"/>
              <w:rPr>
                <w:color w:val="auto"/>
                <w:sz w:val="24"/>
                <w:highlight w:val="none"/>
                <w:lang w:bidi="ar"/>
              </w:rPr>
            </w:pPr>
          </w:p>
        </w:tc>
        <w:tc>
          <w:tcPr>
            <w:tcW w:w="3096" w:type="dxa"/>
          </w:tcPr>
          <w:p w14:paraId="26398435">
            <w:pPr>
              <w:widowControl/>
              <w:tabs>
                <w:tab w:val="left" w:pos="5580"/>
              </w:tabs>
              <w:adjustRightInd w:val="0"/>
              <w:snapToGrid w:val="0"/>
              <w:spacing w:line="360" w:lineRule="auto"/>
              <w:jc w:val="left"/>
              <w:rPr>
                <w:color w:val="auto"/>
                <w:sz w:val="24"/>
                <w:highlight w:val="none"/>
                <w:lang w:bidi="ar"/>
              </w:rPr>
            </w:pPr>
          </w:p>
        </w:tc>
      </w:tr>
      <w:tr w14:paraId="108F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B9981B1">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 </w:t>
            </w:r>
          </w:p>
        </w:tc>
        <w:tc>
          <w:tcPr>
            <w:tcW w:w="3095" w:type="dxa"/>
          </w:tcPr>
          <w:p w14:paraId="4B115DE2">
            <w:pPr>
              <w:widowControl/>
              <w:tabs>
                <w:tab w:val="left" w:pos="5580"/>
              </w:tabs>
              <w:adjustRightInd w:val="0"/>
              <w:snapToGrid w:val="0"/>
              <w:spacing w:line="360" w:lineRule="auto"/>
              <w:jc w:val="left"/>
              <w:rPr>
                <w:color w:val="auto"/>
                <w:sz w:val="24"/>
                <w:highlight w:val="none"/>
                <w:lang w:bidi="ar"/>
              </w:rPr>
            </w:pPr>
          </w:p>
        </w:tc>
        <w:tc>
          <w:tcPr>
            <w:tcW w:w="3096" w:type="dxa"/>
          </w:tcPr>
          <w:p w14:paraId="744B873B">
            <w:pPr>
              <w:widowControl/>
              <w:tabs>
                <w:tab w:val="left" w:pos="5580"/>
              </w:tabs>
              <w:adjustRightInd w:val="0"/>
              <w:snapToGrid w:val="0"/>
              <w:spacing w:line="360" w:lineRule="auto"/>
              <w:jc w:val="left"/>
              <w:rPr>
                <w:color w:val="auto"/>
                <w:sz w:val="24"/>
                <w:highlight w:val="none"/>
                <w:lang w:bidi="ar"/>
              </w:rPr>
            </w:pPr>
          </w:p>
        </w:tc>
      </w:tr>
    </w:tbl>
    <w:p w14:paraId="7B38760F">
      <w:pPr>
        <w:widowControl/>
        <w:tabs>
          <w:tab w:val="left" w:pos="5580"/>
        </w:tabs>
        <w:adjustRightInd w:val="0"/>
        <w:snapToGrid w:val="0"/>
        <w:spacing w:line="360" w:lineRule="auto"/>
        <w:ind w:firstLine="480" w:firstLineChars="200"/>
        <w:jc w:val="left"/>
        <w:rPr>
          <w:color w:val="auto"/>
          <w:sz w:val="24"/>
          <w:highlight w:val="none"/>
          <w:lang w:bidi="ar"/>
        </w:rPr>
      </w:pPr>
    </w:p>
    <w:p w14:paraId="40161915">
      <w:pPr>
        <w:widowControl/>
        <w:tabs>
          <w:tab w:val="left" w:pos="5580"/>
        </w:tabs>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我单位对</w:t>
      </w:r>
      <w:r>
        <w:rPr>
          <w:color w:val="auto"/>
          <w:sz w:val="24"/>
          <w:highlight w:val="none"/>
          <w:lang w:bidi="ar"/>
        </w:rPr>
        <w:t>上述声明</w:t>
      </w:r>
      <w:r>
        <w:rPr>
          <w:rFonts w:hint="eastAsia"/>
          <w:color w:val="auto"/>
          <w:sz w:val="24"/>
          <w:highlight w:val="none"/>
          <w:lang w:bidi="ar"/>
        </w:rPr>
        <w:t>的</w:t>
      </w:r>
      <w:r>
        <w:rPr>
          <w:color w:val="auto"/>
          <w:sz w:val="24"/>
          <w:highlight w:val="none"/>
          <w:lang w:bidi="ar"/>
        </w:rPr>
        <w:t>内容事项</w:t>
      </w:r>
      <w:r>
        <w:rPr>
          <w:rFonts w:hint="eastAsia"/>
          <w:color w:val="auto"/>
          <w:sz w:val="24"/>
          <w:highlight w:val="none"/>
          <w:lang w:bidi="ar"/>
        </w:rPr>
        <w:t>的</w:t>
      </w:r>
      <w:r>
        <w:rPr>
          <w:color w:val="auto"/>
          <w:sz w:val="24"/>
          <w:highlight w:val="none"/>
          <w:lang w:bidi="ar"/>
        </w:rPr>
        <w:t>真实性负责。如经查实上述</w:t>
      </w:r>
      <w:r>
        <w:rPr>
          <w:rFonts w:hint="eastAsia"/>
          <w:color w:val="auto"/>
          <w:sz w:val="24"/>
          <w:highlight w:val="none"/>
          <w:lang w:bidi="ar"/>
        </w:rPr>
        <w:t>声明</w:t>
      </w:r>
      <w:r>
        <w:rPr>
          <w:color w:val="auto"/>
          <w:sz w:val="24"/>
          <w:highlight w:val="none"/>
          <w:lang w:bidi="ar"/>
        </w:rPr>
        <w:t>的内容事项存在虚假，我</w:t>
      </w:r>
      <w:r>
        <w:rPr>
          <w:rFonts w:hint="eastAsia"/>
          <w:color w:val="auto"/>
          <w:sz w:val="24"/>
          <w:highlight w:val="none"/>
          <w:lang w:bidi="ar"/>
        </w:rPr>
        <w:t>单位</w:t>
      </w:r>
      <w:r>
        <w:rPr>
          <w:color w:val="auto"/>
          <w:sz w:val="24"/>
          <w:highlight w:val="none"/>
          <w:lang w:bidi="ar"/>
        </w:rPr>
        <w:t>愿意接受以提供虚假材料谋取中标追究法律责任</w:t>
      </w:r>
      <w:r>
        <w:rPr>
          <w:rFonts w:hint="eastAsia"/>
          <w:color w:val="auto"/>
          <w:sz w:val="24"/>
          <w:highlight w:val="none"/>
          <w:lang w:bidi="ar"/>
        </w:rPr>
        <w:t>。</w:t>
      </w:r>
    </w:p>
    <w:p w14:paraId="2ACD0961">
      <w:pPr>
        <w:widowControl/>
        <w:tabs>
          <w:tab w:val="left" w:pos="5580"/>
        </w:tabs>
        <w:adjustRightInd w:val="0"/>
        <w:snapToGrid w:val="0"/>
        <w:spacing w:line="360" w:lineRule="auto"/>
        <w:ind w:firstLine="480" w:firstLineChars="200"/>
        <w:jc w:val="left"/>
        <w:rPr>
          <w:color w:val="auto"/>
          <w:sz w:val="24"/>
          <w:highlight w:val="none"/>
        </w:rPr>
      </w:pPr>
    </w:p>
    <w:p w14:paraId="16EDA469">
      <w:pPr>
        <w:widowControl/>
        <w:tabs>
          <w:tab w:val="left" w:pos="5580"/>
        </w:tabs>
        <w:adjustRightInd w:val="0"/>
        <w:snapToGrid w:val="0"/>
        <w:spacing w:line="360" w:lineRule="auto"/>
        <w:ind w:firstLine="3840" w:firstLineChars="1600"/>
        <w:jc w:val="left"/>
        <w:rPr>
          <w:color w:val="auto"/>
          <w:sz w:val="24"/>
          <w:highlight w:val="none"/>
          <w:lang w:bidi="ar"/>
        </w:rPr>
      </w:pPr>
    </w:p>
    <w:p w14:paraId="35C8FF46">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 xml:space="preserve">投标人名称（加盖公章）： ____________ </w:t>
      </w:r>
    </w:p>
    <w:p w14:paraId="7AF603EE">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日期：_____年______月______日</w:t>
      </w:r>
    </w:p>
    <w:p w14:paraId="4B01CA0E">
      <w:pPr>
        <w:widowControl/>
        <w:jc w:val="center"/>
        <w:rPr>
          <w:rFonts w:ascii="宋体" w:hAnsi="宋体"/>
          <w:b/>
          <w:color w:val="auto"/>
          <w:sz w:val="24"/>
          <w:szCs w:val="20"/>
          <w:highlight w:val="none"/>
        </w:rPr>
      </w:pPr>
      <w:r>
        <w:rPr>
          <w:rFonts w:ascii="宋体" w:hAnsi="宋体"/>
          <w:b/>
          <w:color w:val="auto"/>
          <w:sz w:val="24"/>
          <w:highlight w:val="none"/>
        </w:rPr>
        <w:br w:type="page"/>
      </w:r>
      <w:r>
        <w:rPr>
          <w:rFonts w:hint="eastAsia" w:ascii="宋体" w:hAnsi="宋体"/>
          <w:b/>
          <w:color w:val="auto"/>
          <w:sz w:val="24"/>
          <w:highlight w:val="none"/>
        </w:rPr>
        <w:t>★附件3</w:t>
      </w:r>
      <w:r>
        <w:rPr>
          <w:rFonts w:hint="eastAsia" w:ascii="宋体" w:hAnsi="宋体"/>
          <w:b/>
          <w:color w:val="auto"/>
          <w:sz w:val="24"/>
          <w:szCs w:val="20"/>
          <w:highlight w:val="none"/>
        </w:rPr>
        <w:t xml:space="preserve"> 中小企业声明函、残疾人福利性单位声明函及属于监狱企业的证明文件</w:t>
      </w:r>
    </w:p>
    <w:p w14:paraId="1EB15A06">
      <w:pPr>
        <w:widowControl/>
        <w:jc w:val="center"/>
        <w:rPr>
          <w:rFonts w:ascii="宋体" w:hAnsi="宋体"/>
          <w:b/>
          <w:color w:val="auto"/>
          <w:sz w:val="24"/>
          <w:szCs w:val="20"/>
          <w:highlight w:val="none"/>
        </w:rPr>
      </w:pPr>
      <w:r>
        <w:rPr>
          <w:rFonts w:hint="eastAsia" w:ascii="宋体" w:hAnsi="宋体"/>
          <w:b/>
          <w:color w:val="auto"/>
          <w:sz w:val="24"/>
          <w:szCs w:val="20"/>
          <w:highlight w:val="none"/>
        </w:rPr>
        <w:t>（专门面向中小企业采购项目时提供）</w:t>
      </w:r>
    </w:p>
    <w:p w14:paraId="14D750FA">
      <w:pPr>
        <w:widowControl/>
        <w:jc w:val="left"/>
        <w:rPr>
          <w:rFonts w:ascii="宋体" w:hAnsi="宋体"/>
          <w:b/>
          <w:color w:val="auto"/>
          <w:sz w:val="24"/>
          <w:szCs w:val="20"/>
          <w:highlight w:val="none"/>
        </w:rPr>
      </w:pPr>
    </w:p>
    <w:p w14:paraId="234A5486">
      <w:pPr>
        <w:widowControl/>
        <w:jc w:val="left"/>
        <w:rPr>
          <w:color w:val="auto"/>
          <w:highlight w:val="none"/>
        </w:rPr>
      </w:pPr>
      <w:r>
        <w:rPr>
          <w:rFonts w:hint="eastAsia" w:ascii="宋体" w:hAnsi="宋体" w:cs="宋体"/>
          <w:color w:val="auto"/>
          <w:kern w:val="0"/>
          <w:sz w:val="24"/>
          <w:highlight w:val="none"/>
          <w:lang w:bidi="ar"/>
        </w:rPr>
        <w:t xml:space="preserve">说明： </w:t>
      </w:r>
    </w:p>
    <w:p w14:paraId="75995A04">
      <w:pPr>
        <w:widowControl/>
        <w:jc w:val="left"/>
        <w:rPr>
          <w:color w:val="auto"/>
          <w:highlight w:val="none"/>
        </w:rPr>
      </w:pPr>
      <w:r>
        <w:rPr>
          <w:rFonts w:hint="eastAsia" w:ascii="宋体" w:hAnsi="宋体" w:cs="宋体"/>
          <w:color w:val="auto"/>
          <w:kern w:val="0"/>
          <w:sz w:val="24"/>
          <w:highlight w:val="none"/>
          <w:lang w:bidi="ar"/>
        </w:rPr>
        <w:t xml:space="preserve">如本项目（包）专门面向中小企业采购，投标文件中须提供《中小企业声明函》或《残疾人福利性单位声明函》或由省级以上监狱管理局、戒毒管理局（含新疆生产建 </w:t>
      </w:r>
    </w:p>
    <w:p w14:paraId="171F3448">
      <w:pPr>
        <w:widowControl/>
        <w:jc w:val="left"/>
        <w:rPr>
          <w:color w:val="auto"/>
          <w:highlight w:val="none"/>
        </w:rPr>
      </w:pPr>
      <w:r>
        <w:rPr>
          <w:rFonts w:hint="eastAsia" w:ascii="宋体" w:hAnsi="宋体" w:cs="宋体"/>
          <w:color w:val="auto"/>
          <w:kern w:val="0"/>
          <w:sz w:val="24"/>
          <w:highlight w:val="none"/>
          <w:lang w:bidi="ar"/>
        </w:rPr>
        <w:t>设兵团）出具的属于监狱企业的证明文件，且建议在资格证明文件部分提供。</w:t>
      </w:r>
    </w:p>
    <w:p w14:paraId="23256621">
      <w:pPr>
        <w:widowControl/>
        <w:jc w:val="left"/>
        <w:rPr>
          <w:rFonts w:ascii="宋体" w:hAnsi="宋体"/>
          <w:b/>
          <w:color w:val="auto"/>
          <w:sz w:val="24"/>
          <w:szCs w:val="20"/>
          <w:highlight w:val="none"/>
        </w:rPr>
      </w:pPr>
    </w:p>
    <w:p w14:paraId="6CCBCDC3">
      <w:pPr>
        <w:widowControl/>
        <w:jc w:val="left"/>
        <w:rPr>
          <w:color w:val="auto"/>
          <w:highlight w:val="none"/>
        </w:rPr>
      </w:pPr>
    </w:p>
    <w:p w14:paraId="61A1A082">
      <w:pPr>
        <w:widowControl/>
        <w:spacing w:line="400" w:lineRule="atLeast"/>
        <w:jc w:val="center"/>
        <w:rPr>
          <w:rFonts w:ascii="宋体" w:hAnsi="宋体"/>
          <w:b/>
          <w:color w:val="auto"/>
          <w:sz w:val="36"/>
          <w:szCs w:val="36"/>
          <w:highlight w:val="none"/>
        </w:rPr>
      </w:pPr>
      <w:r>
        <w:rPr>
          <w:rFonts w:ascii="宋体" w:hAnsi="宋体"/>
          <w:b/>
          <w:color w:val="auto"/>
          <w:sz w:val="24"/>
          <w:highlight w:val="none"/>
        </w:rPr>
        <w:br w:type="page"/>
      </w:r>
      <w:r>
        <w:rPr>
          <w:rFonts w:ascii="宋体" w:hAnsi="宋体"/>
          <w:b/>
          <w:color w:val="auto"/>
          <w:sz w:val="36"/>
          <w:szCs w:val="36"/>
          <w:highlight w:val="none"/>
        </w:rPr>
        <w:t>　</w:t>
      </w:r>
    </w:p>
    <w:p w14:paraId="10978002">
      <w:pPr>
        <w:widowControl/>
        <w:spacing w:line="400" w:lineRule="atLeast"/>
        <w:jc w:val="center"/>
        <w:rPr>
          <w:color w:val="auto"/>
          <w:sz w:val="28"/>
          <w:szCs w:val="28"/>
          <w:highlight w:val="none"/>
        </w:rPr>
      </w:pPr>
      <w:r>
        <w:rPr>
          <w:rFonts w:ascii="宋体" w:hAnsi="宋体"/>
          <w:b/>
          <w:color w:val="auto"/>
          <w:sz w:val="36"/>
          <w:szCs w:val="36"/>
          <w:highlight w:val="none"/>
        </w:rPr>
        <w:t>　</w:t>
      </w:r>
      <w:r>
        <w:rPr>
          <w:rFonts w:ascii="宋体" w:hAnsi="宋体"/>
          <w:b/>
          <w:snapToGrid w:val="0"/>
          <w:color w:val="auto"/>
          <w:sz w:val="28"/>
          <w:szCs w:val="28"/>
          <w:highlight w:val="none"/>
        </w:rPr>
        <w:t>中小企业声明函</w:t>
      </w:r>
      <w:r>
        <w:rPr>
          <w:rFonts w:hint="eastAsia" w:ascii="宋体" w:hAnsi="宋体"/>
          <w:b/>
          <w:snapToGrid w:val="0"/>
          <w:color w:val="auto"/>
          <w:sz w:val="28"/>
          <w:szCs w:val="28"/>
          <w:highlight w:val="none"/>
        </w:rPr>
        <w:t>（服务）</w:t>
      </w:r>
    </w:p>
    <w:p w14:paraId="1F168BF8">
      <w:pPr>
        <w:pStyle w:val="75"/>
        <w:spacing w:line="360" w:lineRule="auto"/>
        <w:ind w:right="158" w:firstLine="643"/>
        <w:rPr>
          <w:rFonts w:ascii="宋体" w:hAnsi="宋体" w:eastAsia="宋体" w:cs="仿宋"/>
          <w:color w:val="auto"/>
          <w:highlight w:val="none"/>
        </w:rPr>
      </w:pPr>
    </w:p>
    <w:p w14:paraId="3F046842">
      <w:pPr>
        <w:pStyle w:val="75"/>
        <w:spacing w:line="360" w:lineRule="auto"/>
        <w:ind w:right="158" w:firstLine="643"/>
        <w:rPr>
          <w:rFonts w:ascii="宋体" w:hAnsi="宋体" w:eastAsia="宋体" w:cs="仿宋"/>
          <w:color w:val="auto"/>
          <w:highlight w:val="none"/>
        </w:rPr>
      </w:pPr>
      <w:r>
        <w:rPr>
          <w:rFonts w:hint="eastAsia" w:ascii="宋体" w:hAnsi="宋体" w:eastAsia="宋体" w:cs="仿宋"/>
          <w:color w:val="auto"/>
          <w:highlight w:val="none"/>
        </w:rPr>
        <w:t>本公司（联合体）郑重声明，根据《政府采购促进中小企业发展管理办法》（财库</w:t>
      </w:r>
      <w:r>
        <w:rPr>
          <w:rFonts w:hint="eastAsia" w:ascii="宋体" w:hAnsi="宋体" w:eastAsia="宋体" w:cs="宋体"/>
          <w:color w:val="auto"/>
          <w:highlight w:val="none"/>
        </w:rPr>
        <w:t>﹝</w:t>
      </w:r>
      <w:r>
        <w:rPr>
          <w:rFonts w:ascii="宋体" w:hAnsi="宋体" w:eastAsia="宋体" w:cs="仿宋"/>
          <w:color w:val="auto"/>
          <w:highlight w:val="none"/>
        </w:rPr>
        <w:t>2020</w:t>
      </w:r>
      <w:r>
        <w:rPr>
          <w:rFonts w:hint="eastAsia" w:ascii="宋体" w:hAnsi="宋体" w:eastAsia="宋体" w:cs="宋体"/>
          <w:color w:val="auto"/>
          <w:highlight w:val="none"/>
        </w:rPr>
        <w:t>﹞</w:t>
      </w:r>
      <w:r>
        <w:rPr>
          <w:rFonts w:ascii="宋体" w:hAnsi="宋体" w:eastAsia="宋体" w:cs="仿宋"/>
          <w:color w:val="auto"/>
          <w:highlight w:val="none"/>
        </w:rPr>
        <w:t>46</w:t>
      </w:r>
      <w:r>
        <w:rPr>
          <w:rFonts w:hint="eastAsia" w:ascii="宋体" w:hAnsi="宋体" w:eastAsia="宋体" w:cs="仿宋"/>
          <w:color w:val="auto"/>
          <w:highlight w:val="none"/>
        </w:rPr>
        <w:t>号）的规定，本公司（联合体）参加</w:t>
      </w:r>
      <w:r>
        <w:rPr>
          <w:rFonts w:hint="eastAsia" w:ascii="宋体" w:hAnsi="宋体" w:eastAsia="宋体" w:cs="仿宋"/>
          <w:color w:val="auto"/>
          <w:highlight w:val="none"/>
          <w:u w:val="single"/>
        </w:rPr>
        <w:t>（单位名称）</w:t>
      </w:r>
      <w:r>
        <w:rPr>
          <w:rFonts w:hint="eastAsia" w:ascii="宋体" w:hAnsi="宋体" w:eastAsia="宋体" w:cs="仿宋"/>
          <w:color w:val="auto"/>
          <w:highlight w:val="none"/>
        </w:rPr>
        <w:t>的</w:t>
      </w:r>
      <w:r>
        <w:rPr>
          <w:rFonts w:hint="eastAsia" w:ascii="宋体" w:hAnsi="宋体" w:eastAsia="宋体" w:cs="仿宋"/>
          <w:color w:val="auto"/>
          <w:highlight w:val="none"/>
          <w:u w:val="single"/>
        </w:rPr>
        <w:t>（项目名称）</w:t>
      </w:r>
      <w:r>
        <w:rPr>
          <w:rFonts w:hint="eastAsia" w:ascii="宋体" w:hAnsi="宋体" w:eastAsia="宋体" w:cs="仿宋"/>
          <w:color w:val="auto"/>
          <w:highlight w:val="none"/>
        </w:rPr>
        <w:t>采购活动，服务全部由符合政策要求的中小企业承接。相关企业的具体情况如下：</w:t>
      </w:r>
    </w:p>
    <w:p w14:paraId="27208A8A">
      <w:pPr>
        <w:pStyle w:val="77"/>
        <w:spacing w:line="360" w:lineRule="auto"/>
        <w:ind w:firstLine="640"/>
        <w:rPr>
          <w:rFonts w:ascii="宋体" w:hAnsi="宋体" w:eastAsia="宋体"/>
          <w:color w:val="auto"/>
          <w:highlight w:val="none"/>
        </w:rPr>
      </w:pPr>
      <w:r>
        <w:rPr>
          <w:rFonts w:ascii="宋体" w:hAnsi="宋体" w:eastAsia="宋体" w:cs="仿宋"/>
          <w:color w:val="auto"/>
          <w:highlight w:val="none"/>
        </w:rPr>
        <w:t xml:space="preserve">1. </w:t>
      </w:r>
      <w:r>
        <w:rPr>
          <w:rFonts w:hint="eastAsia" w:ascii="宋体" w:hAnsi="宋体" w:eastAsia="宋体" w:cs="仿宋"/>
          <w:color w:val="auto"/>
          <w:highlight w:val="none"/>
          <w:u w:val="single"/>
        </w:rPr>
        <w:t>（标的名称）</w:t>
      </w:r>
      <w:r>
        <w:rPr>
          <w:rFonts w:hint="eastAsia" w:ascii="宋体" w:hAnsi="宋体" w:eastAsia="宋体" w:cs="仿宋"/>
          <w:color w:val="auto"/>
          <w:highlight w:val="none"/>
        </w:rPr>
        <w:t>，属于</w:t>
      </w:r>
      <w:r>
        <w:rPr>
          <w:rFonts w:hint="eastAsia" w:ascii="宋体" w:hAnsi="宋体" w:eastAsia="宋体" w:cs="仿宋"/>
          <w:color w:val="auto"/>
          <w:highlight w:val="none"/>
          <w:u w:val="single"/>
        </w:rPr>
        <w:t>（采购文件中明确的所属行业）</w:t>
      </w:r>
      <w:r>
        <w:rPr>
          <w:rFonts w:hint="eastAsia" w:ascii="宋体" w:hAnsi="宋体" w:eastAsia="宋体" w:cs="仿宋"/>
          <w:color w:val="auto"/>
          <w:highlight w:val="none"/>
        </w:rPr>
        <w:t>；承接企业为</w:t>
      </w:r>
      <w:r>
        <w:rPr>
          <w:rFonts w:hint="eastAsia" w:ascii="宋体" w:hAnsi="宋体" w:eastAsia="宋体" w:cs="仿宋"/>
          <w:color w:val="auto"/>
          <w:highlight w:val="none"/>
          <w:u w:val="single"/>
        </w:rPr>
        <w:t>（企业名称）</w:t>
      </w:r>
      <w:r>
        <w:rPr>
          <w:rFonts w:hint="eastAsia" w:ascii="宋体" w:hAnsi="宋体" w:eastAsia="宋体" w:cs="仿宋"/>
          <w:color w:val="auto"/>
          <w:highlight w:val="none"/>
        </w:rPr>
        <w:t>，从业人员人，营业</w:t>
      </w:r>
      <w:r>
        <w:rPr>
          <w:rFonts w:hint="eastAsia" w:ascii="宋体" w:hAnsi="宋体" w:eastAsia="宋体"/>
          <w:color w:val="auto"/>
          <w:highlight w:val="none"/>
        </w:rPr>
        <w:t>收入为万元，资产总额为万元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rFonts w:hint="eastAsia" w:ascii="宋体" w:hAnsi="宋体" w:eastAsia="宋体"/>
          <w:color w:val="auto"/>
          <w:highlight w:val="none"/>
        </w:rPr>
        <w:t>，属于</w:t>
      </w:r>
      <w:r>
        <w:rPr>
          <w:rFonts w:hint="eastAsia" w:ascii="宋体" w:hAnsi="宋体" w:eastAsia="宋体"/>
          <w:color w:val="auto"/>
          <w:highlight w:val="none"/>
          <w:u w:val="single"/>
        </w:rPr>
        <w:t>（中型企业、小型企业、微型企业）</w:t>
      </w:r>
      <w:r>
        <w:rPr>
          <w:rFonts w:hint="eastAsia" w:ascii="宋体" w:hAnsi="宋体" w:eastAsia="宋体"/>
          <w:color w:val="auto"/>
          <w:highlight w:val="none"/>
        </w:rPr>
        <w:t>；</w:t>
      </w:r>
    </w:p>
    <w:p w14:paraId="266F8C74">
      <w:pPr>
        <w:pStyle w:val="77"/>
        <w:spacing w:line="360" w:lineRule="auto"/>
        <w:ind w:firstLine="640"/>
        <w:rPr>
          <w:rFonts w:ascii="宋体" w:hAnsi="宋体" w:eastAsia="宋体" w:cs="仿宋"/>
          <w:color w:val="auto"/>
          <w:highlight w:val="none"/>
        </w:rPr>
      </w:pPr>
      <w:r>
        <w:rPr>
          <w:rFonts w:hint="eastAsia" w:ascii="宋体" w:hAnsi="宋体" w:eastAsia="宋体" w:cs="仿宋"/>
          <w:color w:val="auto"/>
          <w:highlight w:val="none"/>
        </w:rPr>
        <w:t>2</w:t>
      </w:r>
      <w:r>
        <w:rPr>
          <w:rFonts w:ascii="宋体" w:hAnsi="宋体" w:eastAsia="宋体" w:cs="仿宋"/>
          <w:color w:val="auto"/>
          <w:highlight w:val="none"/>
        </w:rPr>
        <w:t xml:space="preserve">. </w:t>
      </w:r>
      <w:r>
        <w:rPr>
          <w:rFonts w:hint="eastAsia" w:ascii="宋体" w:hAnsi="宋体" w:eastAsia="宋体" w:cs="仿宋"/>
          <w:color w:val="auto"/>
          <w:highlight w:val="none"/>
          <w:u w:val="single"/>
        </w:rPr>
        <w:t>（标的名称）</w:t>
      </w:r>
      <w:r>
        <w:rPr>
          <w:rFonts w:hint="eastAsia" w:ascii="宋体" w:hAnsi="宋体" w:eastAsia="宋体" w:cs="仿宋"/>
          <w:color w:val="auto"/>
          <w:highlight w:val="none"/>
        </w:rPr>
        <w:t>，属于</w:t>
      </w:r>
      <w:r>
        <w:rPr>
          <w:rFonts w:hint="eastAsia" w:ascii="宋体" w:hAnsi="宋体" w:eastAsia="宋体" w:cs="仿宋"/>
          <w:color w:val="auto"/>
          <w:highlight w:val="none"/>
          <w:u w:val="single"/>
        </w:rPr>
        <w:t>（采购文件中明确的所属行业）</w:t>
      </w:r>
      <w:r>
        <w:rPr>
          <w:rFonts w:hint="eastAsia" w:ascii="宋体" w:hAnsi="宋体" w:eastAsia="宋体" w:cs="仿宋"/>
          <w:color w:val="auto"/>
          <w:highlight w:val="none"/>
        </w:rPr>
        <w:t>；承接企业为</w:t>
      </w:r>
      <w:r>
        <w:rPr>
          <w:rFonts w:hint="eastAsia" w:ascii="宋体" w:hAnsi="宋体" w:eastAsia="宋体" w:cs="仿宋"/>
          <w:color w:val="auto"/>
          <w:highlight w:val="none"/>
          <w:u w:val="single"/>
        </w:rPr>
        <w:t>（企业名称）</w:t>
      </w:r>
      <w:r>
        <w:rPr>
          <w:rFonts w:hint="eastAsia" w:ascii="宋体" w:hAnsi="宋体" w:eastAsia="宋体" w:cs="仿宋"/>
          <w:color w:val="auto"/>
          <w:highlight w:val="none"/>
        </w:rPr>
        <w:t>，从业人员人，营业</w:t>
      </w:r>
      <w:r>
        <w:rPr>
          <w:rFonts w:hint="eastAsia" w:ascii="宋体" w:hAnsi="宋体" w:eastAsia="宋体"/>
          <w:color w:val="auto"/>
          <w:highlight w:val="none"/>
        </w:rPr>
        <w:t>收入为万元，资产总额为万元，属于</w:t>
      </w:r>
      <w:r>
        <w:rPr>
          <w:rFonts w:hint="eastAsia" w:ascii="宋体" w:hAnsi="宋体" w:eastAsia="宋体"/>
          <w:color w:val="auto"/>
          <w:highlight w:val="none"/>
          <w:u w:val="single"/>
        </w:rPr>
        <w:t>（中型企业、小型企业、微型企业）</w:t>
      </w:r>
      <w:r>
        <w:rPr>
          <w:rFonts w:hint="eastAsia" w:ascii="宋体" w:hAnsi="宋体" w:eastAsia="宋体"/>
          <w:color w:val="auto"/>
          <w:highlight w:val="none"/>
        </w:rPr>
        <w:t>；</w:t>
      </w:r>
    </w:p>
    <w:p w14:paraId="206BFA16">
      <w:pPr>
        <w:pStyle w:val="78"/>
        <w:spacing w:line="360" w:lineRule="auto"/>
        <w:ind w:left="643"/>
        <w:rPr>
          <w:rFonts w:ascii="宋体" w:hAnsi="宋体" w:eastAsia="宋体" w:cs="仿宋"/>
          <w:color w:val="auto"/>
          <w:highlight w:val="none"/>
        </w:rPr>
      </w:pPr>
      <w:r>
        <w:rPr>
          <w:rFonts w:hint="eastAsia" w:ascii="宋体" w:hAnsi="宋体" w:eastAsia="宋体" w:cs="仿宋"/>
          <w:color w:val="auto"/>
          <w:highlight w:val="none"/>
        </w:rPr>
        <w:t>……</w:t>
      </w:r>
    </w:p>
    <w:p w14:paraId="6965DD74">
      <w:pPr>
        <w:pStyle w:val="75"/>
        <w:spacing w:line="360" w:lineRule="auto"/>
        <w:ind w:right="158" w:firstLine="643"/>
        <w:rPr>
          <w:rFonts w:ascii="宋体" w:hAnsi="宋体" w:eastAsia="宋体" w:cs="仿宋"/>
          <w:color w:val="auto"/>
          <w:highlight w:val="none"/>
        </w:rPr>
      </w:pPr>
      <w:r>
        <w:rPr>
          <w:rFonts w:hint="eastAsia" w:ascii="宋体" w:hAnsi="宋体" w:eastAsia="宋体" w:cs="仿宋"/>
          <w:color w:val="auto"/>
          <w:highlight w:val="none"/>
        </w:rPr>
        <w:t>以上企业，不属于大企业的分支机构，不存在控股股东为大企业的情形，也不存在与大企业的负责人为同一人的情形。</w:t>
      </w:r>
    </w:p>
    <w:p w14:paraId="03EDA594">
      <w:pPr>
        <w:spacing w:before="55" w:line="302" w:lineRule="auto"/>
        <w:ind w:right="415"/>
        <w:rPr>
          <w:rFonts w:ascii="宋体" w:hAnsi="宋体"/>
          <w:color w:val="auto"/>
          <w:spacing w:val="-2"/>
          <w:sz w:val="24"/>
          <w:highlight w:val="none"/>
        </w:rPr>
      </w:pPr>
      <w:r>
        <w:rPr>
          <w:rFonts w:hint="eastAsia" w:ascii="宋体" w:hAnsi="宋体" w:cs="仿宋"/>
          <w:color w:val="auto"/>
          <w:sz w:val="24"/>
          <w:highlight w:val="none"/>
        </w:rPr>
        <w:t>本企业对上述声明内容的真实性负责。如有虚假，将依法承担相应责任。</w:t>
      </w:r>
    </w:p>
    <w:p w14:paraId="4EF5CA99">
      <w:pPr>
        <w:spacing w:before="55" w:line="302" w:lineRule="auto"/>
        <w:ind w:right="415"/>
        <w:rPr>
          <w:rFonts w:ascii="宋体" w:hAnsi="宋体"/>
          <w:color w:val="auto"/>
          <w:spacing w:val="-2"/>
          <w:sz w:val="24"/>
          <w:highlight w:val="none"/>
        </w:rPr>
      </w:pPr>
    </w:p>
    <w:p w14:paraId="466A3363">
      <w:pPr>
        <w:pStyle w:val="78"/>
        <w:ind w:firstLine="5760" w:firstLineChars="2400"/>
        <w:rPr>
          <w:rFonts w:ascii="宋体" w:hAnsi="宋体" w:eastAsia="宋体" w:cs="仿宋"/>
          <w:color w:val="auto"/>
          <w:highlight w:val="none"/>
        </w:rPr>
      </w:pPr>
      <w:r>
        <w:rPr>
          <w:rFonts w:hint="eastAsia" w:ascii="宋体" w:hAnsi="宋体" w:eastAsia="宋体" w:cs="仿宋"/>
          <w:color w:val="auto"/>
          <w:highlight w:val="none"/>
        </w:rPr>
        <w:t>企业名称（盖章）：</w:t>
      </w:r>
    </w:p>
    <w:p w14:paraId="734234B4">
      <w:pPr>
        <w:pStyle w:val="78"/>
        <w:ind w:firstLine="5760" w:firstLineChars="2400"/>
        <w:rPr>
          <w:color w:val="auto"/>
          <w:spacing w:val="-2"/>
          <w:highlight w:val="none"/>
        </w:rPr>
      </w:pPr>
      <w:r>
        <w:rPr>
          <w:rFonts w:hint="eastAsia" w:ascii="宋体" w:hAnsi="宋体" w:eastAsia="宋体" w:cs="仿宋"/>
          <w:color w:val="auto"/>
          <w:highlight w:val="none"/>
        </w:rPr>
        <w:t>日期：</w:t>
      </w:r>
    </w:p>
    <w:p w14:paraId="4DECD221">
      <w:pPr>
        <w:spacing w:before="55" w:line="302" w:lineRule="auto"/>
        <w:ind w:right="415"/>
        <w:rPr>
          <w:rFonts w:ascii="宋体" w:hAnsi="宋体"/>
          <w:color w:val="auto"/>
          <w:spacing w:val="-2"/>
          <w:sz w:val="24"/>
          <w:highlight w:val="none"/>
        </w:rPr>
      </w:pPr>
    </w:p>
    <w:p w14:paraId="114615D5">
      <w:pPr>
        <w:spacing w:before="55" w:line="302" w:lineRule="auto"/>
        <w:ind w:right="415"/>
        <w:rPr>
          <w:rFonts w:ascii="宋体" w:hAnsi="宋体"/>
          <w:color w:val="auto"/>
          <w:spacing w:val="-2"/>
          <w:sz w:val="24"/>
          <w:highlight w:val="none"/>
        </w:rPr>
      </w:pPr>
    </w:p>
    <w:p w14:paraId="48C037B0">
      <w:pPr>
        <w:spacing w:before="55" w:line="302" w:lineRule="auto"/>
        <w:ind w:right="415"/>
        <w:rPr>
          <w:rFonts w:ascii="宋体" w:hAnsi="宋体"/>
          <w:color w:val="auto"/>
          <w:spacing w:val="-2"/>
          <w:sz w:val="24"/>
          <w:highlight w:val="none"/>
        </w:rPr>
      </w:pPr>
    </w:p>
    <w:p w14:paraId="11253455">
      <w:pPr>
        <w:spacing w:before="55" w:line="302" w:lineRule="auto"/>
        <w:ind w:right="415"/>
        <w:rPr>
          <w:rFonts w:ascii="宋体" w:hAnsi="宋体"/>
          <w:color w:val="auto"/>
          <w:spacing w:val="-2"/>
          <w:sz w:val="24"/>
          <w:highlight w:val="none"/>
        </w:rPr>
      </w:pPr>
    </w:p>
    <w:p w14:paraId="5B5548BD">
      <w:pPr>
        <w:spacing w:before="55" w:line="302" w:lineRule="auto"/>
        <w:ind w:right="415"/>
        <w:rPr>
          <w:rFonts w:ascii="宋体" w:hAnsi="宋体"/>
          <w:color w:val="auto"/>
          <w:spacing w:val="-2"/>
          <w:sz w:val="24"/>
          <w:highlight w:val="none"/>
        </w:rPr>
      </w:pPr>
    </w:p>
    <w:p w14:paraId="71D46CC6">
      <w:pPr>
        <w:spacing w:before="55" w:line="302" w:lineRule="auto"/>
        <w:ind w:right="415"/>
        <w:rPr>
          <w:rFonts w:ascii="宋体" w:hAnsi="宋体"/>
          <w:color w:val="auto"/>
          <w:spacing w:val="-2"/>
          <w:sz w:val="24"/>
          <w:highlight w:val="none"/>
        </w:rPr>
      </w:pPr>
    </w:p>
    <w:p w14:paraId="7D5DDA44">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14:paraId="148B6A1A">
      <w:pPr>
        <w:spacing w:before="55" w:line="302" w:lineRule="auto"/>
        <w:ind w:right="415"/>
        <w:rPr>
          <w:rFonts w:ascii="宋体" w:hAnsi="宋体"/>
          <w:color w:val="auto"/>
          <w:spacing w:val="-2"/>
          <w:sz w:val="24"/>
          <w:highlight w:val="none"/>
        </w:rPr>
      </w:pPr>
    </w:p>
    <w:p w14:paraId="4372239D">
      <w:pPr>
        <w:spacing w:line="588" w:lineRule="exact"/>
        <w:jc w:val="center"/>
        <w:rPr>
          <w:rFonts w:ascii="宋体" w:hAnsi="宋体" w:cs="宋体"/>
          <w:color w:val="auto"/>
          <w:kern w:val="0"/>
          <w:sz w:val="36"/>
          <w:szCs w:val="36"/>
          <w:highlight w:val="none"/>
        </w:rPr>
      </w:pPr>
      <w:r>
        <w:rPr>
          <w:rFonts w:ascii="宋体" w:hAnsi="宋体"/>
          <w:b/>
          <w:color w:val="auto"/>
          <w:sz w:val="24"/>
          <w:highlight w:val="none"/>
        </w:rPr>
        <w:br w:type="page"/>
      </w:r>
      <w:r>
        <w:rPr>
          <w:rFonts w:hint="eastAsia" w:ascii="宋体" w:hAnsi="宋体" w:cs="宋体"/>
          <w:color w:val="auto"/>
          <w:kern w:val="0"/>
          <w:sz w:val="36"/>
          <w:szCs w:val="36"/>
          <w:highlight w:val="none"/>
        </w:rPr>
        <w:t>残疾人福利性单位声明函（格式）</w:t>
      </w:r>
    </w:p>
    <w:p w14:paraId="0CCD1268">
      <w:pPr>
        <w:spacing w:line="588" w:lineRule="exact"/>
        <w:rPr>
          <w:rFonts w:ascii="宋体" w:hAnsi="宋体" w:cs="宋体"/>
          <w:color w:val="auto"/>
          <w:kern w:val="0"/>
          <w:sz w:val="24"/>
          <w:highlight w:val="none"/>
        </w:rPr>
      </w:pPr>
    </w:p>
    <w:p w14:paraId="3247E77D">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8879BC">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0DB2D42D">
      <w:pPr>
        <w:spacing w:line="588" w:lineRule="exact"/>
        <w:ind w:firstLine="480" w:firstLineChars="200"/>
        <w:rPr>
          <w:rFonts w:ascii="宋体" w:hAnsi="宋体" w:cs="宋体"/>
          <w:color w:val="auto"/>
          <w:kern w:val="0"/>
          <w:sz w:val="24"/>
          <w:highlight w:val="none"/>
        </w:rPr>
      </w:pPr>
    </w:p>
    <w:p w14:paraId="208282A3">
      <w:pPr>
        <w:spacing w:line="588" w:lineRule="exact"/>
        <w:ind w:firstLine="480" w:firstLineChars="200"/>
        <w:rPr>
          <w:rFonts w:ascii="宋体" w:hAnsi="宋体" w:cs="宋体"/>
          <w:color w:val="auto"/>
          <w:kern w:val="0"/>
          <w:sz w:val="24"/>
          <w:highlight w:val="none"/>
        </w:rPr>
      </w:pPr>
    </w:p>
    <w:p w14:paraId="49DA7B36">
      <w:pPr>
        <w:tabs>
          <w:tab w:val="left" w:pos="4860"/>
        </w:tabs>
        <w:spacing w:line="588" w:lineRule="exact"/>
        <w:ind w:right="1560"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单位名称（盖章）：</w:t>
      </w:r>
    </w:p>
    <w:p w14:paraId="5DB591D8">
      <w:pPr>
        <w:tabs>
          <w:tab w:val="left" w:pos="4860"/>
        </w:tabs>
        <w:spacing w:line="588" w:lineRule="exact"/>
        <w:ind w:right="1560"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日  期：</w:t>
      </w:r>
    </w:p>
    <w:p w14:paraId="19A8F366">
      <w:pPr>
        <w:tabs>
          <w:tab w:val="left" w:pos="5580"/>
        </w:tabs>
        <w:adjustRightInd w:val="0"/>
        <w:snapToGrid w:val="0"/>
        <w:spacing w:line="360" w:lineRule="auto"/>
        <w:jc w:val="center"/>
        <w:rPr>
          <w:rFonts w:ascii="宋体" w:hAnsi="宋体"/>
          <w:b/>
          <w:color w:val="auto"/>
          <w:sz w:val="24"/>
          <w:highlight w:val="none"/>
        </w:rPr>
      </w:pPr>
      <w:r>
        <w:rPr>
          <w:rFonts w:ascii="宋体" w:hAnsi="宋体" w:cs="宋体"/>
          <w:b/>
          <w:color w:val="auto"/>
          <w:sz w:val="24"/>
          <w:highlight w:val="none"/>
        </w:rPr>
        <w:br w:type="page"/>
      </w:r>
      <w:r>
        <w:rPr>
          <w:rFonts w:hint="eastAsia" w:ascii="宋体" w:hAnsi="宋体"/>
          <w:b/>
          <w:color w:val="auto"/>
          <w:sz w:val="24"/>
          <w:highlight w:val="none"/>
        </w:rPr>
        <w:t xml:space="preserve">★附件4 </w:t>
      </w:r>
      <w:r>
        <w:rPr>
          <w:rFonts w:ascii="宋体" w:hAnsi="宋体"/>
          <w:b/>
          <w:color w:val="auto"/>
          <w:sz w:val="24"/>
          <w:highlight w:val="none"/>
        </w:rPr>
        <w:t>联合体协议书原件（联合体投标时提供）</w:t>
      </w:r>
    </w:p>
    <w:p w14:paraId="018E4110">
      <w:pPr>
        <w:autoSpaceDE w:val="0"/>
        <w:autoSpaceDN w:val="0"/>
        <w:jc w:val="center"/>
        <w:rPr>
          <w:rFonts w:ascii="宋体" w:eastAsia="Times New Roman"/>
          <w:color w:val="auto"/>
          <w:sz w:val="28"/>
          <w:szCs w:val="28"/>
          <w:highlight w:val="none"/>
        </w:rPr>
      </w:pPr>
    </w:p>
    <w:p w14:paraId="4962AE58">
      <w:pPr>
        <w:autoSpaceDE w:val="0"/>
        <w:autoSpaceDN w:val="0"/>
        <w:jc w:val="center"/>
        <w:rPr>
          <w:rFonts w:ascii="宋体" w:hAnsi="黑体" w:eastAsia="黑体"/>
          <w:color w:val="auto"/>
          <w:sz w:val="28"/>
          <w:szCs w:val="28"/>
          <w:highlight w:val="none"/>
        </w:rPr>
      </w:pPr>
      <w:r>
        <w:rPr>
          <w:rFonts w:ascii="宋体" w:eastAsia="Times New Roman"/>
          <w:color w:val="auto"/>
          <w:sz w:val="28"/>
          <w:szCs w:val="28"/>
          <w:highlight w:val="none"/>
        </w:rPr>
        <w:t>联合体协议书</w:t>
      </w:r>
    </w:p>
    <w:p w14:paraId="69C75443">
      <w:pPr>
        <w:autoSpaceDE w:val="0"/>
        <w:autoSpaceDN w:val="0"/>
        <w:jc w:val="center"/>
        <w:rPr>
          <w:rFonts w:ascii="宋体" w:eastAsia="Times New Roman"/>
          <w:i/>
          <w:color w:val="auto"/>
          <w:highlight w:val="none"/>
        </w:rPr>
      </w:pPr>
    </w:p>
    <w:p w14:paraId="1EF88208">
      <w:pPr>
        <w:autoSpaceDE w:val="0"/>
        <w:autoSpaceDN w:val="0"/>
        <w:jc w:val="center"/>
        <w:rPr>
          <w:rFonts w:ascii="宋体" w:hAnsi="黑体" w:eastAsia="黑体"/>
          <w:i/>
          <w:color w:val="auto"/>
          <w:highlight w:val="none"/>
        </w:rPr>
      </w:pPr>
    </w:p>
    <w:p w14:paraId="3EA131C4">
      <w:pPr>
        <w:autoSpaceDE w:val="0"/>
        <w:autoSpaceDN w:val="0"/>
        <w:spacing w:line="360" w:lineRule="auto"/>
        <w:ind w:firstLine="480"/>
        <w:jc w:val="left"/>
        <w:rPr>
          <w:rFonts w:ascii="宋体" w:hAnsi="仿宋_GB2312" w:eastAsia="仿宋_GB2312"/>
          <w:color w:val="auto"/>
          <w:sz w:val="24"/>
          <w:highlight w:val="none"/>
        </w:rPr>
      </w:pP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（所有成员单位名称）自愿组成</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（联合体名称）联合体，共同参加</w:t>
      </w:r>
      <w:r>
        <w:rPr>
          <w:rFonts w:ascii="宋体" w:hAnsi="仿宋_GB2312" w:eastAsia="仿宋_GB2312"/>
          <w:color w:val="auto"/>
          <w:sz w:val="24"/>
          <w:highlight w:val="none"/>
        </w:rPr>
        <w:t xml:space="preserve"> </w:t>
      </w:r>
      <w:r>
        <w:rPr>
          <w:rFonts w:ascii="宋体" w:eastAsia="Times New Roman"/>
          <w:color w:val="auto"/>
          <w:sz w:val="24"/>
          <w:highlight w:val="none"/>
        </w:rPr>
        <w:t>（项目名称）  投标。现就联合体投标事宜订立如下协议。</w:t>
      </w:r>
    </w:p>
    <w:p w14:paraId="48FF0345">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1</w:t>
      </w:r>
      <w:r>
        <w:rPr>
          <w:rFonts w:ascii="宋体" w:eastAsia="Times New Roman"/>
          <w:color w:val="auto"/>
          <w:sz w:val="24"/>
          <w:highlight w:val="none"/>
        </w:rPr>
        <w:t>、</w:t>
      </w:r>
      <w:r>
        <w:rPr>
          <w:rFonts w:ascii="宋体" w:hAnsi="仿宋_GB2312" w:eastAsia="仿宋_GB2312"/>
          <w:color w:val="auto"/>
          <w:sz w:val="24"/>
          <w:highlight w:val="non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（某成员单位名称）为</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（联合体名称）牵头人。</w:t>
      </w:r>
    </w:p>
    <w:p w14:paraId="7A2D4A73">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2</w:t>
      </w:r>
      <w:r>
        <w:rPr>
          <w:rFonts w:ascii="宋体" w:eastAsia="Times New Roman"/>
          <w:color w:val="auto"/>
          <w:sz w:val="24"/>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368E1C8F">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3</w:t>
      </w:r>
      <w:r>
        <w:rPr>
          <w:rFonts w:ascii="宋体" w:eastAsia="Times New Roman"/>
          <w:color w:val="auto"/>
          <w:sz w:val="24"/>
          <w:highlight w:val="none"/>
        </w:rPr>
        <w:t>、联合体将严格按照招标文件的各项要求，递交投标文件，履行合同，并对外承担连带责任。</w:t>
      </w:r>
    </w:p>
    <w:p w14:paraId="04EA5A51">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4</w:t>
      </w:r>
      <w:r>
        <w:rPr>
          <w:rFonts w:ascii="宋体" w:eastAsia="Times New Roman"/>
          <w:color w:val="auto"/>
          <w:sz w:val="24"/>
          <w:highlight w:val="none"/>
        </w:rPr>
        <w:t>、联合体各成员单位内部的职责分工如下：</w:t>
      </w:r>
    </w:p>
    <w:p w14:paraId="2D978A07">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（成员单位名称及职责分工）</w:t>
      </w:r>
    </w:p>
    <w:p w14:paraId="2996F5A7">
      <w:pPr>
        <w:autoSpaceDE w:val="0"/>
        <w:autoSpaceDN w:val="0"/>
        <w:spacing w:line="360" w:lineRule="auto"/>
        <w:ind w:firstLine="480"/>
        <w:jc w:val="left"/>
        <w:rPr>
          <w:rFonts w:ascii="宋体" w:hAnsi="仿宋_GB2312" w:eastAsia="仿宋_GB2312"/>
          <w:color w:val="auto"/>
          <w:sz w:val="24"/>
          <w:highlight w:val="none"/>
        </w:rPr>
      </w:pPr>
    </w:p>
    <w:p w14:paraId="1F5AC99B">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5</w:t>
      </w:r>
      <w:r>
        <w:rPr>
          <w:rFonts w:ascii="宋体" w:eastAsia="Times New Roman"/>
          <w:color w:val="auto"/>
          <w:sz w:val="24"/>
          <w:highlight w:val="none"/>
        </w:rPr>
        <w:t>、本协议书自签署之日起生效，合同履行完毕后自动失效。</w:t>
      </w:r>
    </w:p>
    <w:p w14:paraId="78F51326">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6</w:t>
      </w:r>
      <w:r>
        <w:rPr>
          <w:rFonts w:ascii="宋体" w:eastAsia="Times New Roman"/>
          <w:color w:val="auto"/>
          <w:sz w:val="24"/>
          <w:highlight w:val="none"/>
        </w:rPr>
        <w:t>、本协议书一式</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份，联合体成员和采购人各执一份。</w:t>
      </w:r>
    </w:p>
    <w:p w14:paraId="6CECA2D2">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注：本协议书由委托代理人签字的，应附法定代表人签字的授权委托书。</w:t>
      </w:r>
    </w:p>
    <w:p w14:paraId="4D2F429B">
      <w:pPr>
        <w:autoSpaceDE w:val="0"/>
        <w:autoSpaceDN w:val="0"/>
        <w:spacing w:line="360" w:lineRule="auto"/>
        <w:ind w:firstLine="480"/>
        <w:jc w:val="left"/>
        <w:rPr>
          <w:rFonts w:ascii="宋体" w:hAnsi="仿宋_GB2312" w:eastAsia="仿宋_GB2312"/>
          <w:color w:val="auto"/>
          <w:sz w:val="24"/>
          <w:highlight w:val="none"/>
        </w:rPr>
      </w:pPr>
    </w:p>
    <w:p w14:paraId="291B18F0">
      <w:pPr>
        <w:autoSpaceDE w:val="0"/>
        <w:autoSpaceDN w:val="0"/>
        <w:spacing w:line="360" w:lineRule="auto"/>
        <w:ind w:firstLine="480"/>
        <w:jc w:val="left"/>
        <w:rPr>
          <w:rFonts w:ascii="宋体" w:hAnsi="仿宋_GB2312" w:eastAsia="仿宋_GB2312"/>
          <w:color w:val="auto"/>
          <w:sz w:val="24"/>
          <w:highlight w:val="none"/>
        </w:rPr>
      </w:pPr>
    </w:p>
    <w:p w14:paraId="0F9886DB">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牵头人名称：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697A46F7">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（签字）</w:t>
      </w:r>
    </w:p>
    <w:p w14:paraId="13014F8B">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成员一名称：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34554ADC">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 xml:space="preserve">法定代表人或其委托代理人：      </w:t>
      </w:r>
      <w:r>
        <w:rPr>
          <w:rFonts w:ascii="宋体" w:hAnsi="仿宋_GB2312" w:eastAsia="仿宋_GB2312"/>
          <w:color w:val="auto"/>
          <w:sz w:val="24"/>
          <w:highlight w:val="none"/>
        </w:rPr>
        <w:t xml:space="preserve"> </w:t>
      </w:r>
      <w:r>
        <w:rPr>
          <w:rFonts w:ascii="宋体" w:eastAsia="Times New Roman"/>
          <w:color w:val="auto"/>
          <w:sz w:val="24"/>
          <w:highlight w:val="none"/>
        </w:rPr>
        <w:t>（签字）</w:t>
      </w:r>
    </w:p>
    <w:p w14:paraId="472598B6">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成员二名称：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08606034">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（签字）</w:t>
      </w:r>
    </w:p>
    <w:p w14:paraId="74575572">
      <w:pPr>
        <w:autoSpaceDE w:val="0"/>
        <w:autoSpaceDN w:val="0"/>
        <w:spacing w:line="360" w:lineRule="auto"/>
        <w:ind w:firstLine="480"/>
        <w:jc w:val="left"/>
        <w:rPr>
          <w:rFonts w:ascii="宋体" w:hAnsi="TimesNewRomanPSMT" w:eastAsia="TimesNewRomanPSMT"/>
          <w:color w:val="auto"/>
          <w:sz w:val="24"/>
          <w:highlight w:val="none"/>
        </w:rPr>
      </w:pPr>
      <w:r>
        <w:rPr>
          <w:rFonts w:ascii="宋体" w:hAnsi="TimesNewRomanPSMT" w:eastAsia="TimesNewRomanPSMT"/>
          <w:color w:val="auto"/>
          <w:sz w:val="24"/>
          <w:highlight w:val="none"/>
        </w:rPr>
        <w:t>……</w:t>
      </w:r>
    </w:p>
    <w:p w14:paraId="5575FD36">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年</w:t>
      </w:r>
      <w:r>
        <w:rPr>
          <w:rFonts w:ascii="宋体" w:hAnsi="仿宋_GB2312" w:eastAsia="仿宋_GB2312"/>
          <w:color w:val="auto"/>
          <w:sz w:val="24"/>
          <w:highlight w:val="none"/>
        </w:rPr>
        <w:t xml:space="preserve"> </w:t>
      </w:r>
      <w:r>
        <w:rPr>
          <w:rFonts w:ascii="宋体" w:eastAsia="Times New Roman"/>
          <w:color w:val="auto"/>
          <w:sz w:val="24"/>
          <w:highlight w:val="none"/>
        </w:rPr>
        <w:t>月</w:t>
      </w:r>
      <w:r>
        <w:rPr>
          <w:rFonts w:ascii="宋体" w:hAnsi="仿宋_GB2312" w:eastAsia="仿宋_GB2312"/>
          <w:color w:val="auto"/>
          <w:sz w:val="24"/>
          <w:highlight w:val="none"/>
        </w:rPr>
        <w:t xml:space="preserve"> </w:t>
      </w:r>
      <w:r>
        <w:rPr>
          <w:rFonts w:ascii="宋体" w:eastAsia="Times New Roman"/>
          <w:color w:val="auto"/>
          <w:sz w:val="24"/>
          <w:highlight w:val="none"/>
        </w:rPr>
        <w:t>日</w:t>
      </w:r>
    </w:p>
    <w:p w14:paraId="2A7FD1C4">
      <w:pPr>
        <w:tabs>
          <w:tab w:val="left" w:pos="5580"/>
        </w:tabs>
        <w:adjustRightInd w:val="0"/>
        <w:snapToGrid w:val="0"/>
        <w:spacing w:line="360" w:lineRule="auto"/>
        <w:jc w:val="center"/>
        <w:rPr>
          <w:color w:val="auto"/>
          <w:sz w:val="24"/>
          <w:highlight w:val="none"/>
        </w:rPr>
      </w:pPr>
      <w:r>
        <w:rPr>
          <w:color w:val="auto"/>
          <w:highlight w:val="none"/>
        </w:rPr>
        <w:br w:type="page"/>
      </w:r>
    </w:p>
    <w:p w14:paraId="049F1B2E">
      <w:pPr>
        <w:adjustRightInd w:val="0"/>
        <w:snapToGrid w:val="0"/>
        <w:spacing w:before="156" w:beforeLines="50" w:after="156" w:afterLines="50" w:line="360" w:lineRule="auto"/>
        <w:jc w:val="left"/>
        <w:rPr>
          <w:rFonts w:ascii="宋体" w:hAnsi="宋体"/>
          <w:color w:val="auto"/>
          <w:sz w:val="24"/>
          <w:highlight w:val="none"/>
        </w:rPr>
      </w:pPr>
    </w:p>
    <w:p w14:paraId="66E2786B">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附件</w:t>
      </w:r>
      <w:r>
        <w:rPr>
          <w:rFonts w:ascii="宋体" w:hAnsi="宋体"/>
          <w:b/>
          <w:color w:val="auto"/>
          <w:sz w:val="24"/>
          <w:highlight w:val="none"/>
        </w:rPr>
        <w:t>5</w:t>
      </w:r>
      <w:r>
        <w:rPr>
          <w:rFonts w:hint="eastAsia" w:ascii="宋体" w:hAnsi="宋体"/>
          <w:b/>
          <w:color w:val="auto"/>
          <w:sz w:val="24"/>
          <w:highlight w:val="none"/>
        </w:rPr>
        <w:t xml:space="preserve"> 其他特定资格要求（如有）</w:t>
      </w:r>
    </w:p>
    <w:p w14:paraId="1932905E">
      <w:pPr>
        <w:tabs>
          <w:tab w:val="left" w:pos="5580"/>
        </w:tabs>
        <w:adjustRightInd w:val="0"/>
        <w:snapToGrid w:val="0"/>
        <w:spacing w:line="360" w:lineRule="auto"/>
        <w:jc w:val="center"/>
        <w:rPr>
          <w:rFonts w:ascii="宋体" w:hAnsi="宋体"/>
          <w:b/>
          <w:color w:val="auto"/>
          <w:sz w:val="24"/>
          <w:highlight w:val="none"/>
        </w:rPr>
      </w:pPr>
    </w:p>
    <w:p w14:paraId="43D9246A">
      <w:pPr>
        <w:tabs>
          <w:tab w:val="left" w:pos="5580"/>
        </w:tabs>
        <w:adjustRightInd w:val="0"/>
        <w:snapToGrid w:val="0"/>
        <w:spacing w:line="360" w:lineRule="auto"/>
        <w:ind w:firstLine="2880" w:firstLineChars="1200"/>
        <w:rPr>
          <w:rFonts w:ascii="宋体" w:hAnsi="宋体"/>
          <w:b/>
          <w:color w:val="auto"/>
          <w:sz w:val="24"/>
          <w:highlight w:val="none"/>
        </w:rPr>
      </w:pPr>
      <w:r>
        <w:rPr>
          <w:rFonts w:hint="eastAsia"/>
          <w:color w:val="auto"/>
          <w:sz w:val="24"/>
          <w:highlight w:val="none"/>
        </w:rPr>
        <w:t>投标人认为必要的其他证明文件</w:t>
      </w:r>
    </w:p>
    <w:p w14:paraId="7C56CE2C">
      <w:pPr>
        <w:adjustRightInd w:val="0"/>
        <w:snapToGrid w:val="0"/>
        <w:spacing w:before="156" w:beforeLines="50" w:after="156" w:afterLines="50" w:line="360" w:lineRule="auto"/>
        <w:jc w:val="left"/>
        <w:rPr>
          <w:rFonts w:ascii="宋体" w:hAnsi="宋体"/>
          <w:b/>
          <w:color w:val="auto"/>
          <w:sz w:val="24"/>
          <w:highlight w:val="none"/>
        </w:rPr>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pPr>
    </w:p>
    <w:p w14:paraId="29305BC2">
      <w:pPr>
        <w:widowControl/>
        <w:jc w:val="left"/>
        <w:rPr>
          <w:color w:val="auto"/>
          <w:highlight w:val="none"/>
        </w:rPr>
      </w:pPr>
      <w:r>
        <w:rPr>
          <w:rFonts w:hint="eastAsia" w:ascii="宋体" w:hAnsi="宋体" w:cs="宋体"/>
          <w:b/>
          <w:bCs/>
          <w:color w:val="auto"/>
          <w:kern w:val="0"/>
          <w:sz w:val="24"/>
          <w:highlight w:val="none"/>
          <w:lang w:bidi="ar"/>
        </w:rPr>
        <w:t xml:space="preserve">二 、 商 务 技 术 文 件 格 式 </w:t>
      </w:r>
    </w:p>
    <w:p w14:paraId="3F3CD900">
      <w:pPr>
        <w:widowControl/>
        <w:jc w:val="left"/>
        <w:rPr>
          <w:rFonts w:ascii="宋体" w:hAnsi="宋体" w:cs="宋体"/>
          <w:b/>
          <w:bCs/>
          <w:color w:val="auto"/>
          <w:kern w:val="0"/>
          <w:sz w:val="24"/>
          <w:highlight w:val="none"/>
          <w:lang w:bidi="ar"/>
        </w:rPr>
      </w:pPr>
    </w:p>
    <w:p w14:paraId="1C5D9F55">
      <w:pPr>
        <w:widowControl/>
        <w:jc w:val="left"/>
        <w:rPr>
          <w:color w:val="auto"/>
          <w:highlight w:val="none"/>
        </w:rPr>
      </w:pPr>
      <w:r>
        <w:rPr>
          <w:rFonts w:hint="eastAsia" w:ascii="宋体" w:hAnsi="宋体" w:cs="宋体"/>
          <w:b/>
          <w:bCs/>
          <w:color w:val="auto"/>
          <w:kern w:val="0"/>
          <w:sz w:val="24"/>
          <w:highlight w:val="none"/>
          <w:lang w:bidi="ar"/>
        </w:rPr>
        <w:t xml:space="preserve">投 标 文 件 （ 商 务 技 术 文 件 文 件 ）封面 </w:t>
      </w:r>
    </w:p>
    <w:p w14:paraId="4EB63A8C">
      <w:pPr>
        <w:widowControl/>
        <w:jc w:val="left"/>
        <w:rPr>
          <w:rFonts w:ascii="宋体" w:hAnsi="宋体" w:cs="宋体"/>
          <w:b/>
          <w:bCs/>
          <w:color w:val="auto"/>
          <w:kern w:val="0"/>
          <w:sz w:val="84"/>
          <w:szCs w:val="84"/>
          <w:highlight w:val="none"/>
          <w:lang w:bidi="ar"/>
        </w:rPr>
      </w:pPr>
    </w:p>
    <w:p w14:paraId="3FF0EF51">
      <w:pPr>
        <w:widowControl/>
        <w:jc w:val="left"/>
        <w:rPr>
          <w:rFonts w:ascii="宋体" w:hAnsi="宋体" w:cs="宋体"/>
          <w:b/>
          <w:bCs/>
          <w:color w:val="auto"/>
          <w:kern w:val="0"/>
          <w:sz w:val="84"/>
          <w:szCs w:val="84"/>
          <w:highlight w:val="none"/>
          <w:lang w:bidi="ar"/>
        </w:rPr>
      </w:pPr>
    </w:p>
    <w:p w14:paraId="1919C3D4">
      <w:pPr>
        <w:widowControl/>
        <w:jc w:val="left"/>
        <w:rPr>
          <w:rFonts w:ascii="宋体" w:hAnsi="宋体" w:cs="宋体"/>
          <w:b/>
          <w:bCs/>
          <w:color w:val="auto"/>
          <w:kern w:val="0"/>
          <w:sz w:val="84"/>
          <w:szCs w:val="84"/>
          <w:highlight w:val="none"/>
          <w:lang w:bidi="ar"/>
        </w:rPr>
      </w:pPr>
    </w:p>
    <w:p w14:paraId="0C7A67D9">
      <w:pPr>
        <w:widowControl/>
        <w:jc w:val="center"/>
        <w:rPr>
          <w:color w:val="auto"/>
          <w:highlight w:val="none"/>
        </w:rPr>
      </w:pPr>
      <w:r>
        <w:rPr>
          <w:rFonts w:hint="eastAsia" w:ascii="宋体" w:hAnsi="宋体" w:cs="宋体"/>
          <w:b/>
          <w:bCs/>
          <w:color w:val="auto"/>
          <w:kern w:val="0"/>
          <w:sz w:val="84"/>
          <w:szCs w:val="84"/>
          <w:highlight w:val="none"/>
          <w:lang w:bidi="ar"/>
        </w:rPr>
        <w:t>投 标 文 件</w:t>
      </w:r>
    </w:p>
    <w:p w14:paraId="4EEE9C6A">
      <w:pPr>
        <w:widowControl/>
        <w:jc w:val="center"/>
        <w:rPr>
          <w:color w:val="auto"/>
          <w:highlight w:val="none"/>
        </w:rPr>
      </w:pPr>
      <w:r>
        <w:rPr>
          <w:rFonts w:hint="eastAsia" w:ascii="宋体" w:hAnsi="宋体" w:cs="宋体"/>
          <w:b/>
          <w:bCs/>
          <w:color w:val="auto"/>
          <w:kern w:val="0"/>
          <w:sz w:val="52"/>
          <w:szCs w:val="52"/>
          <w:highlight w:val="none"/>
          <w:lang w:bidi="ar"/>
        </w:rPr>
        <w:t>（ 商 务 技 术 文 件 ）</w:t>
      </w:r>
    </w:p>
    <w:p w14:paraId="32F36B45">
      <w:pPr>
        <w:widowControl/>
        <w:jc w:val="left"/>
        <w:rPr>
          <w:rFonts w:ascii="宋体" w:hAnsi="宋体" w:cs="宋体"/>
          <w:b/>
          <w:bCs/>
          <w:color w:val="auto"/>
          <w:kern w:val="0"/>
          <w:sz w:val="24"/>
          <w:highlight w:val="none"/>
          <w:lang w:bidi="ar"/>
        </w:rPr>
      </w:pPr>
    </w:p>
    <w:p w14:paraId="3F670AF6">
      <w:pPr>
        <w:widowControl/>
        <w:jc w:val="left"/>
        <w:rPr>
          <w:rFonts w:ascii="宋体" w:hAnsi="宋体" w:cs="宋体"/>
          <w:b/>
          <w:bCs/>
          <w:color w:val="auto"/>
          <w:kern w:val="0"/>
          <w:sz w:val="24"/>
          <w:highlight w:val="none"/>
          <w:lang w:bidi="ar"/>
        </w:rPr>
      </w:pPr>
    </w:p>
    <w:p w14:paraId="6F1C517C">
      <w:pPr>
        <w:widowControl/>
        <w:jc w:val="left"/>
        <w:rPr>
          <w:rFonts w:ascii="宋体" w:hAnsi="宋体" w:cs="宋体"/>
          <w:b/>
          <w:bCs/>
          <w:color w:val="auto"/>
          <w:kern w:val="0"/>
          <w:sz w:val="24"/>
          <w:highlight w:val="none"/>
          <w:lang w:bidi="ar"/>
        </w:rPr>
      </w:pPr>
    </w:p>
    <w:p w14:paraId="2C6F053F">
      <w:pPr>
        <w:widowControl/>
        <w:jc w:val="left"/>
        <w:rPr>
          <w:rFonts w:ascii="宋体" w:hAnsi="宋体" w:cs="宋体"/>
          <w:b/>
          <w:bCs/>
          <w:color w:val="auto"/>
          <w:kern w:val="0"/>
          <w:sz w:val="24"/>
          <w:highlight w:val="none"/>
          <w:lang w:bidi="ar"/>
        </w:rPr>
      </w:pPr>
    </w:p>
    <w:p w14:paraId="3A291DD3">
      <w:pPr>
        <w:widowControl/>
        <w:jc w:val="left"/>
        <w:rPr>
          <w:rFonts w:ascii="宋体" w:hAnsi="宋体" w:cs="宋体"/>
          <w:b/>
          <w:bCs/>
          <w:color w:val="auto"/>
          <w:kern w:val="0"/>
          <w:sz w:val="24"/>
          <w:highlight w:val="none"/>
          <w:lang w:bidi="ar"/>
        </w:rPr>
      </w:pPr>
    </w:p>
    <w:p w14:paraId="5669FC9F">
      <w:pPr>
        <w:widowControl/>
        <w:jc w:val="left"/>
        <w:rPr>
          <w:rFonts w:ascii="宋体" w:hAnsi="宋体" w:cs="宋体"/>
          <w:b/>
          <w:bCs/>
          <w:color w:val="auto"/>
          <w:kern w:val="0"/>
          <w:sz w:val="24"/>
          <w:highlight w:val="none"/>
          <w:lang w:bidi="ar"/>
        </w:rPr>
      </w:pPr>
    </w:p>
    <w:p w14:paraId="3B0D38DA">
      <w:pPr>
        <w:widowControl/>
        <w:jc w:val="left"/>
        <w:rPr>
          <w:rFonts w:ascii="宋体" w:hAnsi="宋体" w:cs="宋体"/>
          <w:b/>
          <w:bCs/>
          <w:color w:val="auto"/>
          <w:kern w:val="0"/>
          <w:sz w:val="24"/>
          <w:highlight w:val="none"/>
          <w:lang w:bidi="ar"/>
        </w:rPr>
      </w:pPr>
    </w:p>
    <w:p w14:paraId="054ADBEA">
      <w:pPr>
        <w:widowControl/>
        <w:jc w:val="left"/>
        <w:rPr>
          <w:rFonts w:ascii="宋体" w:hAnsi="宋体" w:cs="宋体"/>
          <w:b/>
          <w:bCs/>
          <w:color w:val="auto"/>
          <w:kern w:val="0"/>
          <w:sz w:val="31"/>
          <w:szCs w:val="31"/>
          <w:highlight w:val="none"/>
          <w:lang w:bidi="ar"/>
        </w:rPr>
      </w:pPr>
    </w:p>
    <w:tbl>
      <w:tblPr>
        <w:tblStyle w:val="41"/>
        <w:tblW w:w="0" w:type="auto"/>
        <w:tblInd w:w="38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20"/>
        <w:gridCol w:w="6377"/>
      </w:tblGrid>
      <w:tr w14:paraId="5644E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23E355E2">
            <w:pPr>
              <w:widowControl/>
              <w:jc w:val="distribute"/>
              <w:rPr>
                <w:rFonts w:ascii="宋体" w:hAnsi="宋体" w:cs="宋体"/>
                <w:b/>
                <w:bCs/>
                <w:color w:val="auto"/>
                <w:sz w:val="32"/>
                <w:szCs w:val="32"/>
                <w:highlight w:val="none"/>
              </w:rPr>
            </w:pPr>
            <w:r>
              <w:rPr>
                <w:rFonts w:hint="eastAsia" w:ascii="宋体" w:hAnsi="宋体" w:cs="宋体"/>
                <w:b/>
                <w:bCs/>
                <w:color w:val="auto"/>
                <w:kern w:val="0"/>
                <w:sz w:val="31"/>
                <w:szCs w:val="31"/>
                <w:highlight w:val="none"/>
                <w:lang w:bidi="ar"/>
              </w:rPr>
              <w:t xml:space="preserve">项 目 名 称 </w:t>
            </w:r>
          </w:p>
        </w:tc>
        <w:tc>
          <w:tcPr>
            <w:tcW w:w="6377" w:type="dxa"/>
            <w:tcBorders>
              <w:tl2br w:val="nil"/>
              <w:tr2bl w:val="nil"/>
            </w:tcBorders>
          </w:tcPr>
          <w:p w14:paraId="63628994">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4F2FA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2B94C383">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项目编号/包号</w:t>
            </w:r>
          </w:p>
        </w:tc>
        <w:tc>
          <w:tcPr>
            <w:tcW w:w="6377" w:type="dxa"/>
            <w:tcBorders>
              <w:tl2br w:val="nil"/>
              <w:tr2bl w:val="nil"/>
            </w:tcBorders>
          </w:tcPr>
          <w:p w14:paraId="051D46BE">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642B9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72DEF44B">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投标人名称</w:t>
            </w:r>
          </w:p>
        </w:tc>
        <w:tc>
          <w:tcPr>
            <w:tcW w:w="6377" w:type="dxa"/>
            <w:tcBorders>
              <w:tl2br w:val="nil"/>
              <w:tr2bl w:val="nil"/>
            </w:tcBorders>
          </w:tcPr>
          <w:p w14:paraId="6E4EE81D">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r w14:paraId="5780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20" w:type="dxa"/>
            <w:tcBorders>
              <w:tl2br w:val="nil"/>
              <w:tr2bl w:val="nil"/>
            </w:tcBorders>
          </w:tcPr>
          <w:p w14:paraId="787D4782">
            <w:pPr>
              <w:widowControl/>
              <w:jc w:val="distribute"/>
              <w:rPr>
                <w:rFonts w:ascii="宋体" w:hAnsi="宋体" w:cs="宋体"/>
                <w:b/>
                <w:bCs/>
                <w:color w:val="auto"/>
                <w:sz w:val="32"/>
                <w:szCs w:val="32"/>
                <w:highlight w:val="none"/>
              </w:rPr>
            </w:pPr>
            <w:r>
              <w:rPr>
                <w:rFonts w:hint="eastAsia" w:ascii="宋体" w:hAnsi="宋体" w:cs="宋体"/>
                <w:b/>
                <w:bCs/>
                <w:color w:val="auto"/>
                <w:sz w:val="32"/>
                <w:szCs w:val="32"/>
                <w:highlight w:val="none"/>
              </w:rPr>
              <w:t>投标时间</w:t>
            </w:r>
          </w:p>
        </w:tc>
        <w:tc>
          <w:tcPr>
            <w:tcW w:w="6377" w:type="dxa"/>
            <w:tcBorders>
              <w:tl2br w:val="nil"/>
              <w:tr2bl w:val="nil"/>
            </w:tcBorders>
          </w:tcPr>
          <w:p w14:paraId="792D3CC3">
            <w:pP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w:t>
            </w:r>
          </w:p>
        </w:tc>
      </w:tr>
    </w:tbl>
    <w:p w14:paraId="07FC732A">
      <w:pPr>
        <w:widowControl/>
        <w:jc w:val="left"/>
        <w:rPr>
          <w:rFonts w:ascii="宋体" w:hAnsi="宋体" w:cs="宋体"/>
          <w:b/>
          <w:bCs/>
          <w:color w:val="auto"/>
          <w:kern w:val="0"/>
          <w:sz w:val="31"/>
          <w:szCs w:val="31"/>
          <w:highlight w:val="none"/>
          <w:lang w:bidi="ar"/>
        </w:rPr>
      </w:pPr>
    </w:p>
    <w:p w14:paraId="7ADAD53E">
      <w:pPr>
        <w:pageBreakBefore/>
        <w:adjustRightInd w:val="0"/>
        <w:snapToGrid w:val="0"/>
        <w:spacing w:before="120" w:beforeLines="50" w:after="120" w:afterLines="50" w:line="360" w:lineRule="auto"/>
        <w:jc w:val="center"/>
        <w:rPr>
          <w:rFonts w:ascii="宋体" w:hAnsi="宋体"/>
          <w:b/>
          <w:color w:val="auto"/>
          <w:sz w:val="24"/>
          <w:highlight w:val="none"/>
        </w:rPr>
      </w:pPr>
      <w:bookmarkStart w:id="236" w:name="_Ref467988698"/>
      <w:bookmarkStart w:id="237" w:name="_Toc480942349"/>
      <w:bookmarkStart w:id="238" w:name="_Toc520356217"/>
      <w:bookmarkStart w:id="239" w:name="_Toc89569911"/>
      <w:r>
        <w:rPr>
          <w:rFonts w:hint="eastAsia" w:ascii="宋体" w:hAnsi="宋体"/>
          <w:b/>
          <w:color w:val="auto"/>
          <w:sz w:val="24"/>
          <w:highlight w:val="none"/>
        </w:rPr>
        <w:t>★附件1  投标</w:t>
      </w:r>
      <w:bookmarkEnd w:id="236"/>
      <w:bookmarkEnd w:id="237"/>
      <w:r>
        <w:rPr>
          <w:rFonts w:hint="eastAsia" w:ascii="宋体" w:hAnsi="宋体"/>
          <w:b/>
          <w:color w:val="auto"/>
          <w:sz w:val="24"/>
          <w:highlight w:val="none"/>
        </w:rPr>
        <w:t>书</w:t>
      </w:r>
      <w:bookmarkEnd w:id="238"/>
      <w:r>
        <w:rPr>
          <w:rFonts w:hint="eastAsia" w:ascii="宋体" w:hAnsi="宋体"/>
          <w:b/>
          <w:color w:val="auto"/>
          <w:sz w:val="24"/>
          <w:highlight w:val="none"/>
        </w:rPr>
        <w:t>（格式）</w:t>
      </w:r>
      <w:bookmarkEnd w:id="239"/>
    </w:p>
    <w:p w14:paraId="38339433">
      <w:pPr>
        <w:tabs>
          <w:tab w:val="left" w:pos="5580"/>
        </w:tabs>
        <w:spacing w:before="120"/>
        <w:rPr>
          <w:rFonts w:ascii="宋体" w:hAnsi="宋体"/>
          <w:color w:val="auto"/>
          <w:sz w:val="24"/>
          <w:highlight w:val="none"/>
        </w:rPr>
      </w:pPr>
    </w:p>
    <w:p w14:paraId="2DC938ED">
      <w:pPr>
        <w:tabs>
          <w:tab w:val="left" w:pos="5580"/>
        </w:tabs>
        <w:spacing w:before="120"/>
        <w:rPr>
          <w:rFonts w:ascii="宋体" w:hAnsi="宋体"/>
          <w:color w:val="auto"/>
          <w:sz w:val="24"/>
          <w:highlight w:val="none"/>
        </w:rPr>
      </w:pPr>
      <w:r>
        <w:rPr>
          <w:rFonts w:hint="eastAsia" w:ascii="宋体" w:hAnsi="宋体" w:cs="仿宋_GB2312"/>
          <w:color w:val="auto"/>
          <w:sz w:val="24"/>
          <w:highlight w:val="none"/>
        </w:rPr>
        <w:t>致：东方国际招标有限责任公司</w:t>
      </w:r>
    </w:p>
    <w:p w14:paraId="1B99B21E">
      <w:pPr>
        <w:pStyle w:val="21"/>
        <w:tabs>
          <w:tab w:val="left" w:pos="5580"/>
        </w:tabs>
        <w:ind w:firstLine="480" w:firstLineChars="200"/>
        <w:rPr>
          <w:rFonts w:hAnsi="宋体"/>
          <w:color w:val="auto"/>
          <w:sz w:val="24"/>
          <w:szCs w:val="24"/>
          <w:highlight w:val="none"/>
        </w:rPr>
      </w:pPr>
    </w:p>
    <w:p w14:paraId="7252F074">
      <w:pPr>
        <w:pStyle w:val="21"/>
        <w:tabs>
          <w:tab w:val="left" w:pos="5580"/>
        </w:tabs>
        <w:spacing w:line="360" w:lineRule="exact"/>
        <w:ind w:firstLine="480" w:firstLineChars="200"/>
        <w:rPr>
          <w:rFonts w:hAnsi="宋体"/>
          <w:color w:val="auto"/>
          <w:sz w:val="24"/>
          <w:szCs w:val="24"/>
          <w:highlight w:val="none"/>
        </w:rPr>
      </w:pPr>
      <w:r>
        <w:rPr>
          <w:rFonts w:hint="eastAsia" w:hAnsi="宋体" w:cs="仿宋_GB2312"/>
          <w:color w:val="auto"/>
          <w:sz w:val="24"/>
          <w:szCs w:val="24"/>
          <w:highlight w:val="none"/>
        </w:rPr>
        <w:t>根据贵方为</w:t>
      </w:r>
      <w:r>
        <w:rPr>
          <w:rFonts w:hAnsi="宋体" w:cs="仿宋_GB2312"/>
          <w:color w:val="auto"/>
          <w:sz w:val="24"/>
          <w:szCs w:val="24"/>
          <w:highlight w:val="none"/>
        </w:rPr>
        <w:t>(</w:t>
      </w:r>
      <w:r>
        <w:rPr>
          <w:rFonts w:hint="eastAsia" w:hAnsi="宋体" w:cs="仿宋_GB2312"/>
          <w:i/>
          <w:iCs/>
          <w:color w:val="auto"/>
          <w:sz w:val="24"/>
          <w:szCs w:val="24"/>
          <w:highlight w:val="none"/>
          <w:u w:val="single"/>
        </w:rPr>
        <w:t>项目名称</w:t>
      </w:r>
      <w:r>
        <w:rPr>
          <w:rFonts w:hAnsi="宋体" w:cs="仿宋_GB2312"/>
          <w:color w:val="auto"/>
          <w:sz w:val="24"/>
          <w:szCs w:val="24"/>
          <w:highlight w:val="none"/>
        </w:rPr>
        <w:t>)</w:t>
      </w:r>
      <w:r>
        <w:rPr>
          <w:rFonts w:hint="eastAsia" w:hAnsi="宋体" w:cs="仿宋_GB2312"/>
          <w:color w:val="auto"/>
          <w:sz w:val="24"/>
          <w:szCs w:val="24"/>
          <w:highlight w:val="none"/>
        </w:rPr>
        <w:t>项目招标的投标邀请</w:t>
      </w:r>
      <w:r>
        <w:rPr>
          <w:rFonts w:hAnsi="宋体" w:cs="仿宋_GB2312"/>
          <w:color w:val="auto"/>
          <w:sz w:val="24"/>
          <w:szCs w:val="24"/>
          <w:highlight w:val="none"/>
        </w:rPr>
        <w:t>(</w:t>
      </w:r>
      <w:r>
        <w:rPr>
          <w:rFonts w:hint="eastAsia" w:hAnsi="宋体" w:cs="仿宋_GB2312"/>
          <w:i/>
          <w:iCs/>
          <w:color w:val="auto"/>
          <w:sz w:val="24"/>
          <w:szCs w:val="24"/>
          <w:highlight w:val="none"/>
          <w:u w:val="single"/>
        </w:rPr>
        <w:t>招标编号和包号</w:t>
      </w:r>
      <w:r>
        <w:rPr>
          <w:rFonts w:hAnsi="宋体" w:cs="仿宋_GB2312"/>
          <w:color w:val="auto"/>
          <w:sz w:val="24"/>
          <w:szCs w:val="24"/>
          <w:highlight w:val="none"/>
        </w:rPr>
        <w:t>),</w:t>
      </w:r>
      <w:r>
        <w:rPr>
          <w:rFonts w:hint="eastAsia" w:hAnsi="宋体" w:cs="仿宋_GB2312"/>
          <w:color w:val="auto"/>
          <w:sz w:val="24"/>
          <w:szCs w:val="24"/>
          <w:highlight w:val="none"/>
        </w:rPr>
        <w:t>签字代表</w:t>
      </w:r>
      <w:r>
        <w:rPr>
          <w:rFonts w:hAnsi="宋体" w:cs="仿宋_GB2312"/>
          <w:color w:val="auto"/>
          <w:sz w:val="24"/>
          <w:szCs w:val="24"/>
          <w:highlight w:val="none"/>
          <w:u w:val="single"/>
        </w:rPr>
        <w:t xml:space="preserve"> (</w:t>
      </w:r>
      <w:r>
        <w:rPr>
          <w:rFonts w:hint="eastAsia" w:hAnsi="宋体" w:cs="仿宋_GB2312"/>
          <w:i/>
          <w:iCs/>
          <w:color w:val="auto"/>
          <w:sz w:val="24"/>
          <w:szCs w:val="24"/>
          <w:highlight w:val="none"/>
          <w:u w:val="single"/>
        </w:rPr>
        <w:t>姓名、职务</w:t>
      </w:r>
      <w:r>
        <w:rPr>
          <w:rFonts w:hAnsi="宋体" w:cs="仿宋_GB2312"/>
          <w:color w:val="auto"/>
          <w:sz w:val="24"/>
          <w:szCs w:val="24"/>
          <w:highlight w:val="none"/>
        </w:rPr>
        <w:t>)</w:t>
      </w:r>
      <w:r>
        <w:rPr>
          <w:rFonts w:hint="eastAsia" w:hAnsi="宋体" w:cs="仿宋_GB2312"/>
          <w:color w:val="auto"/>
          <w:sz w:val="24"/>
          <w:szCs w:val="24"/>
          <w:highlight w:val="none"/>
        </w:rPr>
        <w:t>经正式授权并代表投标人（</w:t>
      </w:r>
      <w:r>
        <w:rPr>
          <w:rFonts w:hint="eastAsia" w:hAnsi="宋体" w:cs="仿宋_GB2312"/>
          <w:i/>
          <w:iCs/>
          <w:color w:val="auto"/>
          <w:sz w:val="24"/>
          <w:szCs w:val="24"/>
          <w:highlight w:val="none"/>
          <w:u w:val="single"/>
        </w:rPr>
        <w:t>投标人名称、地址</w:t>
      </w:r>
      <w:r>
        <w:rPr>
          <w:rFonts w:hint="eastAsia" w:hAnsi="宋体" w:cs="仿宋_GB2312"/>
          <w:color w:val="auto"/>
          <w:sz w:val="24"/>
          <w:szCs w:val="24"/>
          <w:highlight w:val="none"/>
        </w:rPr>
        <w:t>）提交下述文件。</w:t>
      </w:r>
    </w:p>
    <w:p w14:paraId="72DF7DE2">
      <w:pPr>
        <w:pStyle w:val="21"/>
        <w:numPr>
          <w:ilvl w:val="0"/>
          <w:numId w:val="4"/>
        </w:numPr>
        <w:tabs>
          <w:tab w:val="left" w:pos="210"/>
          <w:tab w:val="left" w:pos="315"/>
          <w:tab w:val="left" w:pos="630"/>
          <w:tab w:val="left" w:pos="840"/>
          <w:tab w:val="left" w:pos="945"/>
          <w:tab w:val="clear" w:pos="768"/>
        </w:tabs>
        <w:spacing w:line="360" w:lineRule="exact"/>
        <w:ind w:left="525" w:firstLine="0"/>
        <w:rPr>
          <w:rFonts w:hAnsi="宋体"/>
          <w:color w:val="auto"/>
          <w:sz w:val="24"/>
          <w:szCs w:val="24"/>
          <w:highlight w:val="none"/>
        </w:rPr>
      </w:pPr>
      <w:r>
        <w:rPr>
          <w:rFonts w:hint="eastAsia" w:hAnsi="宋体" w:cs="仿宋_GB2312"/>
          <w:color w:val="auto"/>
          <w:sz w:val="24"/>
          <w:szCs w:val="24"/>
          <w:highlight w:val="none"/>
        </w:rPr>
        <w:t>提供投标须知规定的全部投标文件：包括正本</w:t>
      </w:r>
      <w:r>
        <w:rPr>
          <w:rFonts w:hint="eastAsia" w:hAnsi="宋体" w:cs="仿宋_GB2312"/>
          <w:color w:val="auto"/>
          <w:sz w:val="24"/>
          <w:szCs w:val="24"/>
          <w:highlight w:val="none"/>
          <w:u w:val="single"/>
        </w:rPr>
        <w:t xml:space="preserve"> 1 </w:t>
      </w:r>
      <w:r>
        <w:rPr>
          <w:rFonts w:hint="eastAsia" w:hAnsi="宋体" w:cs="仿宋_GB2312"/>
          <w:color w:val="auto"/>
          <w:sz w:val="24"/>
          <w:szCs w:val="24"/>
          <w:highlight w:val="none"/>
        </w:rPr>
        <w:t>份，副本</w:t>
      </w:r>
      <w:r>
        <w:rPr>
          <w:rFonts w:hint="eastAsia" w:hAnsi="宋体" w:cs="仿宋_GB2312"/>
          <w:color w:val="auto"/>
          <w:sz w:val="24"/>
          <w:szCs w:val="24"/>
          <w:highlight w:val="none"/>
          <w:u w:val="single"/>
        </w:rPr>
        <w:t xml:space="preserve"> 5 </w:t>
      </w:r>
      <w:r>
        <w:rPr>
          <w:rFonts w:hint="eastAsia" w:hAnsi="宋体" w:cs="仿宋_GB2312"/>
          <w:color w:val="auto"/>
          <w:sz w:val="24"/>
          <w:szCs w:val="24"/>
          <w:highlight w:val="none"/>
        </w:rPr>
        <w:t>份，电子文档</w:t>
      </w:r>
      <w:r>
        <w:rPr>
          <w:rFonts w:hint="eastAsia" w:hAnsi="宋体" w:cs="仿宋_GB2312"/>
          <w:color w:val="auto"/>
          <w:sz w:val="24"/>
          <w:szCs w:val="24"/>
          <w:highlight w:val="none"/>
          <w:u w:val="single"/>
        </w:rPr>
        <w:t xml:space="preserve"> 1 </w:t>
      </w:r>
      <w:r>
        <w:rPr>
          <w:rFonts w:hint="eastAsia" w:hAnsi="宋体" w:cs="仿宋_GB2312"/>
          <w:color w:val="auto"/>
          <w:sz w:val="24"/>
          <w:szCs w:val="24"/>
          <w:highlight w:val="none"/>
        </w:rPr>
        <w:t>份。</w:t>
      </w:r>
    </w:p>
    <w:p w14:paraId="02ED4F1A">
      <w:pPr>
        <w:pStyle w:val="21"/>
        <w:numPr>
          <w:ilvl w:val="0"/>
          <w:numId w:val="4"/>
        </w:numPr>
        <w:tabs>
          <w:tab w:val="left" w:pos="630"/>
          <w:tab w:val="left" w:pos="735"/>
          <w:tab w:val="left" w:pos="945"/>
          <w:tab w:val="clear" w:pos="768"/>
        </w:tabs>
        <w:spacing w:line="360" w:lineRule="exact"/>
        <w:ind w:left="840" w:hanging="315"/>
        <w:rPr>
          <w:rFonts w:hAnsi="宋体"/>
          <w:color w:val="auto"/>
          <w:sz w:val="24"/>
          <w:szCs w:val="24"/>
          <w:highlight w:val="none"/>
        </w:rPr>
      </w:pPr>
      <w:r>
        <w:rPr>
          <w:rFonts w:hint="eastAsia" w:hAnsi="宋体" w:cs="仿宋_GB2312"/>
          <w:color w:val="auto"/>
          <w:sz w:val="24"/>
          <w:szCs w:val="24"/>
          <w:highlight w:val="none"/>
        </w:rPr>
        <w:t>以</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形式出具的投标保证金，金额为人民币</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元。</w:t>
      </w:r>
    </w:p>
    <w:p w14:paraId="65003FA2">
      <w:pPr>
        <w:pStyle w:val="21"/>
        <w:tabs>
          <w:tab w:val="left" w:pos="525"/>
          <w:tab w:val="left" w:pos="945"/>
          <w:tab w:val="left" w:pos="5580"/>
        </w:tabs>
        <w:spacing w:line="360" w:lineRule="exact"/>
        <w:ind w:firstLine="480" w:firstLineChars="200"/>
        <w:rPr>
          <w:rFonts w:hAnsi="宋体"/>
          <w:color w:val="auto"/>
          <w:sz w:val="24"/>
          <w:szCs w:val="24"/>
          <w:highlight w:val="none"/>
        </w:rPr>
      </w:pPr>
      <w:r>
        <w:rPr>
          <w:rFonts w:hint="eastAsia" w:hAnsi="宋体" w:cs="仿宋_GB2312"/>
          <w:color w:val="auto"/>
          <w:sz w:val="24"/>
          <w:szCs w:val="24"/>
          <w:highlight w:val="none"/>
        </w:rPr>
        <w:t>在此，签字代表宣布同意如下：</w:t>
      </w:r>
    </w:p>
    <w:p w14:paraId="5596039E">
      <w:pPr>
        <w:pStyle w:val="21"/>
        <w:numPr>
          <w:ilvl w:val="0"/>
          <w:numId w:val="5"/>
        </w:numPr>
        <w:tabs>
          <w:tab w:val="left" w:pos="5580"/>
        </w:tabs>
        <w:spacing w:line="360" w:lineRule="exact"/>
        <w:rPr>
          <w:rFonts w:hAnsi="宋体"/>
          <w:color w:val="auto"/>
          <w:sz w:val="24"/>
          <w:szCs w:val="24"/>
          <w:highlight w:val="none"/>
          <w:u w:val="single"/>
        </w:rPr>
      </w:pPr>
      <w:r>
        <w:rPr>
          <w:rFonts w:hint="eastAsia" w:hAnsi="宋体" w:cs="仿宋_GB2312"/>
          <w:color w:val="auto"/>
          <w:sz w:val="24"/>
          <w:szCs w:val="24"/>
          <w:highlight w:val="none"/>
        </w:rPr>
        <w:t>所附投标价格表中规定的应完成的服务投标总价为</w:t>
      </w:r>
      <w:r>
        <w:rPr>
          <w:rFonts w:hint="eastAsia" w:hAnsi="宋体" w:cs="仿宋_GB2312"/>
          <w:color w:val="auto"/>
          <w:sz w:val="24"/>
          <w:szCs w:val="24"/>
          <w:highlight w:val="none"/>
          <w:u w:val="single"/>
        </w:rPr>
        <w:t>　　　　　　</w:t>
      </w:r>
    </w:p>
    <w:p w14:paraId="7715A61A">
      <w:pPr>
        <w:pStyle w:val="21"/>
        <w:tabs>
          <w:tab w:val="left" w:pos="5580"/>
        </w:tabs>
        <w:spacing w:line="360" w:lineRule="exact"/>
        <w:ind w:left="-2" w:leftChars="-1" w:firstLine="1200" w:firstLineChars="500"/>
        <w:rPr>
          <w:rFonts w:hAnsi="宋体" w:cs="仿宋_GB2312"/>
          <w:i/>
          <w:iCs/>
          <w:color w:val="auto"/>
          <w:sz w:val="24"/>
          <w:szCs w:val="24"/>
          <w:highlight w:val="none"/>
          <w:u w:val="single"/>
        </w:rPr>
      </w:pPr>
      <w:r>
        <w:rPr>
          <w:rFonts w:hint="eastAsia" w:hAnsi="宋体" w:cs="仿宋_GB2312"/>
          <w:i/>
          <w:iCs/>
          <w:color w:val="auto"/>
          <w:sz w:val="24"/>
          <w:szCs w:val="24"/>
          <w:highlight w:val="none"/>
          <w:u w:val="single"/>
        </w:rPr>
        <w:t>（用文字和数字表示的投标总价，标明币种）。</w:t>
      </w:r>
    </w:p>
    <w:p w14:paraId="14922E41">
      <w:pPr>
        <w:pStyle w:val="21"/>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我方将按招标文件的规定履行合同责任和义务。</w:t>
      </w:r>
    </w:p>
    <w:p w14:paraId="4705425D">
      <w:pPr>
        <w:pStyle w:val="21"/>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我方已详细审查全部招标文件，包括第</w:t>
      </w:r>
      <w:r>
        <w:rPr>
          <w:rFonts w:hint="eastAsia" w:hAnsi="宋体" w:cs="仿宋_GB2312"/>
          <w:i/>
          <w:iCs/>
          <w:color w:val="auto"/>
          <w:sz w:val="24"/>
          <w:szCs w:val="24"/>
          <w:highlight w:val="none"/>
          <w:u w:val="single"/>
        </w:rPr>
        <w:t>号（招标编号、补充通知）（如果有的话</w:t>
      </w:r>
      <w:r>
        <w:rPr>
          <w:rFonts w:hint="eastAsia" w:hAnsi="宋体" w:cs="仿宋_GB2312"/>
          <w:i/>
          <w:iCs/>
          <w:color w:val="auto"/>
          <w:sz w:val="24"/>
          <w:szCs w:val="24"/>
          <w:highlight w:val="none"/>
        </w:rPr>
        <w:t>）</w:t>
      </w:r>
      <w:r>
        <w:rPr>
          <w:rFonts w:hint="eastAsia" w:hAnsi="宋体" w:cs="仿宋_GB2312"/>
          <w:color w:val="auto"/>
          <w:sz w:val="24"/>
          <w:szCs w:val="24"/>
          <w:highlight w:val="none"/>
        </w:rPr>
        <w:t>。我方完全理解并同意放弃对这方面有不明及误解的权力。</w:t>
      </w:r>
    </w:p>
    <w:p w14:paraId="2FCFBFF4">
      <w:pPr>
        <w:pStyle w:val="21"/>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本投标有效期为自开标日起</w:t>
      </w:r>
      <w:r>
        <w:rPr>
          <w:rFonts w:hint="eastAsia" w:hAnsi="宋体" w:cs="仿宋_GB2312"/>
          <w:color w:val="auto"/>
          <w:sz w:val="24"/>
          <w:szCs w:val="24"/>
          <w:highlight w:val="none"/>
          <w:u w:val="single"/>
        </w:rPr>
        <w:t xml:space="preserve">   150   </w:t>
      </w:r>
      <w:r>
        <w:rPr>
          <w:rFonts w:hint="eastAsia" w:hAnsi="宋体" w:cs="仿宋_GB2312"/>
          <w:color w:val="auto"/>
          <w:sz w:val="24"/>
          <w:szCs w:val="24"/>
          <w:highlight w:val="none"/>
        </w:rPr>
        <w:t>个日历日。</w:t>
      </w:r>
    </w:p>
    <w:p w14:paraId="5003C922">
      <w:pPr>
        <w:pStyle w:val="21"/>
        <w:numPr>
          <w:ilvl w:val="0"/>
          <w:numId w:val="5"/>
        </w:numPr>
        <w:tabs>
          <w:tab w:val="left" w:pos="5580"/>
        </w:tabs>
        <w:spacing w:line="360" w:lineRule="exact"/>
        <w:rPr>
          <w:rFonts w:hAnsi="宋体" w:cs="仿宋_GB2312"/>
          <w:color w:val="auto"/>
          <w:sz w:val="24"/>
          <w:szCs w:val="24"/>
          <w:highlight w:val="none"/>
        </w:rPr>
      </w:pPr>
      <w:r>
        <w:rPr>
          <w:rFonts w:hint="eastAsia" w:hAnsi="宋体" w:cs="仿宋_GB2312"/>
          <w:color w:val="auto"/>
          <w:sz w:val="24"/>
          <w:szCs w:val="24"/>
          <w:highlight w:val="none"/>
        </w:rPr>
        <w:t>在规定的开标时间后，我方保证遵守招标文件中有关保证金的规定。</w:t>
      </w:r>
    </w:p>
    <w:p w14:paraId="3C4800DB">
      <w:pPr>
        <w:pStyle w:val="21"/>
        <w:numPr>
          <w:ilvl w:val="0"/>
          <w:numId w:val="5"/>
        </w:numPr>
        <w:tabs>
          <w:tab w:val="left" w:pos="5580"/>
        </w:tabs>
        <w:spacing w:line="360" w:lineRule="exact"/>
        <w:rPr>
          <w:rFonts w:hAnsi="宋体" w:cs="仿宋_GB2312"/>
          <w:color w:val="auto"/>
          <w:sz w:val="24"/>
          <w:szCs w:val="24"/>
          <w:highlight w:val="none"/>
        </w:rPr>
      </w:pPr>
      <w:r>
        <w:rPr>
          <w:rFonts w:hint="eastAsia" w:hAnsi="宋体" w:cs="仿宋_GB2312"/>
          <w:color w:val="auto"/>
          <w:sz w:val="24"/>
          <w:szCs w:val="24"/>
          <w:highlight w:val="none"/>
          <w:lang w:bidi="ar"/>
        </w:rPr>
        <w:t>我方已提供的全部文件资料是真实、准确的，并对此承担一切法律后果。</w:t>
      </w:r>
    </w:p>
    <w:p w14:paraId="3155B3CA">
      <w:pPr>
        <w:pStyle w:val="21"/>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我方同意提供按照贵方可能要求的与其投标有关的一切数据或资料，完全理解贵方不一定接受最低价的投标或收到的任何投标。</w:t>
      </w:r>
    </w:p>
    <w:p w14:paraId="3FDF2B3E">
      <w:pPr>
        <w:pStyle w:val="21"/>
        <w:tabs>
          <w:tab w:val="left" w:pos="5580"/>
        </w:tabs>
        <w:ind w:firstLine="480" w:firstLineChars="200"/>
        <w:rPr>
          <w:rFonts w:hAnsi="宋体" w:cs="仿宋_GB2312"/>
          <w:color w:val="auto"/>
          <w:sz w:val="24"/>
          <w:szCs w:val="24"/>
          <w:highlight w:val="none"/>
        </w:rPr>
      </w:pPr>
    </w:p>
    <w:p w14:paraId="6F8AC1B6">
      <w:pPr>
        <w:pStyle w:val="21"/>
        <w:tabs>
          <w:tab w:val="left" w:pos="5580"/>
        </w:tabs>
        <w:ind w:firstLine="480" w:firstLineChars="200"/>
        <w:rPr>
          <w:rFonts w:hAnsi="宋体"/>
          <w:color w:val="auto"/>
          <w:sz w:val="24"/>
          <w:szCs w:val="24"/>
          <w:highlight w:val="none"/>
        </w:rPr>
      </w:pPr>
      <w:r>
        <w:rPr>
          <w:rFonts w:hint="eastAsia" w:hAnsi="宋体" w:cs="仿宋_GB2312"/>
          <w:color w:val="auto"/>
          <w:sz w:val="24"/>
          <w:szCs w:val="24"/>
          <w:highlight w:val="none"/>
        </w:rPr>
        <w:t>与本投标有关的一切正式往来信函请寄：</w:t>
      </w:r>
    </w:p>
    <w:p w14:paraId="39365B4E">
      <w:pPr>
        <w:pStyle w:val="21"/>
        <w:tabs>
          <w:tab w:val="left" w:pos="5580"/>
        </w:tabs>
        <w:ind w:left="420"/>
        <w:rPr>
          <w:rFonts w:hAnsi="宋体"/>
          <w:color w:val="auto"/>
          <w:sz w:val="24"/>
          <w:szCs w:val="24"/>
          <w:highlight w:val="none"/>
        </w:rPr>
      </w:pPr>
    </w:p>
    <w:p w14:paraId="7559804C">
      <w:pPr>
        <w:pStyle w:val="21"/>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地址</w:t>
      </w:r>
      <w:r>
        <w:rPr>
          <w:rFonts w:hAnsi="宋体" w:cs="仿宋_GB2312"/>
          <w:color w:val="auto"/>
          <w:sz w:val="24"/>
          <w:szCs w:val="24"/>
          <w:highlight w:val="none"/>
        </w:rPr>
        <w:t xml:space="preserve">_________________________     </w:t>
      </w:r>
      <w:r>
        <w:rPr>
          <w:rFonts w:hint="eastAsia" w:hAnsi="宋体" w:cs="仿宋_GB2312"/>
          <w:color w:val="auto"/>
          <w:sz w:val="24"/>
          <w:szCs w:val="24"/>
          <w:highlight w:val="none"/>
        </w:rPr>
        <w:t>电话</w:t>
      </w:r>
      <w:r>
        <w:rPr>
          <w:rFonts w:hAnsi="宋体" w:cs="仿宋_GB2312"/>
          <w:color w:val="auto"/>
          <w:sz w:val="24"/>
          <w:szCs w:val="24"/>
          <w:highlight w:val="none"/>
        </w:rPr>
        <w:t xml:space="preserve">_________________________     </w:t>
      </w:r>
    </w:p>
    <w:p w14:paraId="059BCFF6">
      <w:pPr>
        <w:pStyle w:val="21"/>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电子函件</w:t>
      </w:r>
      <w:r>
        <w:rPr>
          <w:rFonts w:hAnsi="宋体" w:cs="仿宋_GB2312"/>
          <w:color w:val="auto"/>
          <w:sz w:val="24"/>
          <w:szCs w:val="24"/>
          <w:highlight w:val="none"/>
        </w:rPr>
        <w:t>________________________</w:t>
      </w:r>
    </w:p>
    <w:p w14:paraId="4585B6A8">
      <w:pPr>
        <w:pStyle w:val="21"/>
        <w:tabs>
          <w:tab w:val="left" w:pos="5580"/>
        </w:tabs>
        <w:ind w:left="420"/>
        <w:rPr>
          <w:rFonts w:hAnsi="宋体" w:cs="仿宋_GB2312"/>
          <w:color w:val="auto"/>
          <w:sz w:val="24"/>
          <w:szCs w:val="24"/>
          <w:highlight w:val="none"/>
        </w:rPr>
      </w:pPr>
    </w:p>
    <w:p w14:paraId="35BD1DE7">
      <w:pPr>
        <w:pStyle w:val="21"/>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w:t>
      </w:r>
    </w:p>
    <w:p w14:paraId="3330FCB6">
      <w:pPr>
        <w:pStyle w:val="21"/>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投标人名称</w:t>
      </w:r>
      <w:r>
        <w:rPr>
          <w:rFonts w:hAnsi="宋体" w:cs="仿宋_GB2312"/>
          <w:color w:val="auto"/>
          <w:sz w:val="24"/>
          <w:szCs w:val="24"/>
          <w:highlight w:val="none"/>
        </w:rPr>
        <w:t>_______________________</w:t>
      </w:r>
    </w:p>
    <w:p w14:paraId="795BAB21">
      <w:pPr>
        <w:pStyle w:val="21"/>
        <w:tabs>
          <w:tab w:val="left" w:pos="5580"/>
        </w:tabs>
        <w:ind w:left="420"/>
        <w:rPr>
          <w:rFonts w:hAnsi="宋体" w:cs="仿宋_GB2312"/>
          <w:color w:val="auto"/>
          <w:sz w:val="24"/>
          <w:szCs w:val="24"/>
          <w:highlight w:val="none"/>
        </w:rPr>
      </w:pPr>
    </w:p>
    <w:p w14:paraId="4CC10919">
      <w:pPr>
        <w:pStyle w:val="21"/>
        <w:tabs>
          <w:tab w:val="left" w:pos="5580"/>
        </w:tabs>
        <w:ind w:left="420"/>
        <w:rPr>
          <w:rFonts w:hAnsi="宋体"/>
          <w:color w:val="auto"/>
          <w:sz w:val="24"/>
          <w:szCs w:val="24"/>
          <w:highlight w:val="none"/>
          <w:u w:val="single"/>
        </w:rPr>
      </w:pPr>
      <w:r>
        <w:rPr>
          <w:rFonts w:hint="eastAsia" w:hAnsi="宋体" w:cs="仿宋_GB2312"/>
          <w:color w:val="auto"/>
          <w:sz w:val="24"/>
          <w:szCs w:val="24"/>
          <w:highlight w:val="none"/>
        </w:rPr>
        <w:t>开户名全称</w:t>
      </w:r>
      <w:r>
        <w:rPr>
          <w:rFonts w:hint="eastAsia" w:hAnsi="宋体" w:cs="仿宋_GB2312"/>
          <w:color w:val="auto"/>
          <w:sz w:val="24"/>
          <w:szCs w:val="24"/>
          <w:highlight w:val="none"/>
          <w:u w:val="single"/>
        </w:rPr>
        <w:t>　　　　　　　　　　</w:t>
      </w:r>
    </w:p>
    <w:p w14:paraId="2486E484">
      <w:pPr>
        <w:pStyle w:val="21"/>
        <w:tabs>
          <w:tab w:val="left" w:pos="5580"/>
        </w:tabs>
        <w:ind w:left="420"/>
        <w:rPr>
          <w:rFonts w:hAnsi="宋体"/>
          <w:color w:val="auto"/>
          <w:sz w:val="24"/>
          <w:szCs w:val="24"/>
          <w:highlight w:val="none"/>
        </w:rPr>
      </w:pPr>
      <w:r>
        <w:rPr>
          <w:rFonts w:hint="eastAsia" w:hAnsi="宋体" w:cs="仿宋_GB2312"/>
          <w:color w:val="auto"/>
          <w:sz w:val="24"/>
          <w:szCs w:val="24"/>
          <w:highlight w:val="none"/>
        </w:rPr>
        <w:t>开户银行</w:t>
      </w:r>
      <w:r>
        <w:rPr>
          <w:rFonts w:hint="eastAsia" w:hAnsi="宋体" w:cs="仿宋_GB2312"/>
          <w:color w:val="auto"/>
          <w:sz w:val="24"/>
          <w:szCs w:val="24"/>
          <w:highlight w:val="none"/>
          <w:u w:val="single"/>
        </w:rPr>
        <w:t>　　　　　　　　　　　</w:t>
      </w:r>
    </w:p>
    <w:p w14:paraId="65F96D06">
      <w:pPr>
        <w:pStyle w:val="21"/>
        <w:tabs>
          <w:tab w:val="left" w:pos="5580"/>
        </w:tabs>
        <w:ind w:left="420"/>
        <w:rPr>
          <w:rFonts w:hAnsi="宋体"/>
          <w:color w:val="auto"/>
          <w:sz w:val="24"/>
          <w:szCs w:val="24"/>
          <w:highlight w:val="none"/>
        </w:rPr>
      </w:pPr>
      <w:r>
        <w:rPr>
          <w:rFonts w:hint="eastAsia" w:hAnsi="宋体" w:cs="仿宋_GB2312"/>
          <w:color w:val="auto"/>
          <w:sz w:val="24"/>
          <w:szCs w:val="24"/>
          <w:highlight w:val="none"/>
        </w:rPr>
        <w:t>银行账号</w:t>
      </w:r>
      <w:r>
        <w:rPr>
          <w:rFonts w:hint="eastAsia" w:hAnsi="宋体" w:cs="仿宋_GB2312"/>
          <w:color w:val="auto"/>
          <w:sz w:val="24"/>
          <w:szCs w:val="24"/>
          <w:highlight w:val="none"/>
          <w:u w:val="single"/>
        </w:rPr>
        <w:t>　　　　　　　　　　　</w:t>
      </w:r>
    </w:p>
    <w:p w14:paraId="2CD86D8D">
      <w:pPr>
        <w:pStyle w:val="21"/>
        <w:tabs>
          <w:tab w:val="left" w:pos="5580"/>
        </w:tabs>
        <w:ind w:left="420"/>
        <w:rPr>
          <w:rFonts w:hAnsi="宋体"/>
          <w:color w:val="auto"/>
          <w:sz w:val="24"/>
          <w:szCs w:val="24"/>
          <w:highlight w:val="none"/>
        </w:rPr>
      </w:pPr>
      <w:r>
        <w:rPr>
          <w:rFonts w:hint="eastAsia" w:hAnsi="宋体" w:cs="仿宋_GB2312"/>
          <w:color w:val="auto"/>
          <w:sz w:val="24"/>
          <w:szCs w:val="24"/>
          <w:highlight w:val="none"/>
        </w:rPr>
        <w:t>投标人公章</w:t>
      </w:r>
      <w:r>
        <w:rPr>
          <w:rFonts w:hint="eastAsia" w:hAnsi="宋体" w:cs="仿宋_GB2312"/>
          <w:color w:val="auto"/>
          <w:sz w:val="24"/>
          <w:szCs w:val="24"/>
          <w:highlight w:val="none"/>
          <w:u w:val="single"/>
        </w:rPr>
        <w:t>　　　　　　　　</w:t>
      </w:r>
    </w:p>
    <w:p w14:paraId="05EF830F">
      <w:pPr>
        <w:pStyle w:val="21"/>
        <w:tabs>
          <w:tab w:val="left" w:pos="5580"/>
        </w:tabs>
        <w:ind w:left="420"/>
        <w:rPr>
          <w:rFonts w:hAnsi="宋体" w:cs="仿宋_GB2312"/>
          <w:color w:val="auto"/>
          <w:sz w:val="24"/>
          <w:szCs w:val="24"/>
          <w:highlight w:val="none"/>
          <w:u w:val="single"/>
        </w:rPr>
      </w:pPr>
      <w:r>
        <w:rPr>
          <w:rFonts w:hint="eastAsia" w:hAnsi="宋体" w:cs="仿宋_GB2312"/>
          <w:color w:val="auto"/>
          <w:sz w:val="24"/>
          <w:szCs w:val="24"/>
          <w:highlight w:val="none"/>
        </w:rPr>
        <w:t>日期</w:t>
      </w:r>
      <w:r>
        <w:rPr>
          <w:rFonts w:hint="eastAsia" w:hAnsi="宋体" w:cs="仿宋_GB2312"/>
          <w:color w:val="auto"/>
          <w:sz w:val="24"/>
          <w:szCs w:val="24"/>
          <w:highlight w:val="none"/>
          <w:u w:val="single"/>
        </w:rPr>
        <w:t>　　　　　　　　　　　</w:t>
      </w:r>
    </w:p>
    <w:p w14:paraId="508378D7">
      <w:pPr>
        <w:pStyle w:val="21"/>
        <w:tabs>
          <w:tab w:val="left" w:pos="5580"/>
        </w:tabs>
        <w:ind w:left="420"/>
        <w:jc w:val="left"/>
        <w:rPr>
          <w:rFonts w:hAnsi="宋体"/>
          <w:color w:val="auto"/>
          <w:sz w:val="24"/>
          <w:szCs w:val="24"/>
          <w:highlight w:val="none"/>
          <w:u w:val="single"/>
        </w:rPr>
        <w:sectPr>
          <w:headerReference r:id="rId6" w:type="first"/>
          <w:footerReference r:id="rId8" w:type="first"/>
          <w:footerReference r:id="rId7" w:type="default"/>
          <w:pgSz w:w="11907" w:h="16840"/>
          <w:pgMar w:top="1418" w:right="1418" w:bottom="1418" w:left="1418" w:header="851" w:footer="851" w:gutter="0"/>
          <w:cols w:space="720" w:num="1"/>
          <w:titlePg/>
          <w:docGrid w:linePitch="462" w:charSpace="0"/>
        </w:sectPr>
      </w:pPr>
    </w:p>
    <w:p w14:paraId="5EBFB841">
      <w:pPr>
        <w:adjustRightInd w:val="0"/>
        <w:snapToGrid w:val="0"/>
        <w:spacing w:before="156" w:beforeLines="50" w:after="156" w:afterLines="50" w:line="360" w:lineRule="auto"/>
        <w:jc w:val="center"/>
        <w:rPr>
          <w:rFonts w:ascii="宋体" w:hAnsi="宋体"/>
          <w:color w:val="auto"/>
          <w:sz w:val="24"/>
          <w:highlight w:val="none"/>
        </w:rPr>
      </w:pPr>
      <w:bookmarkStart w:id="240" w:name="_Toc480942350"/>
      <w:bookmarkStart w:id="241" w:name="_Toc89569912"/>
      <w:bookmarkStart w:id="242" w:name="_Ref467988705"/>
      <w:bookmarkStart w:id="243" w:name="_Toc520356218"/>
      <w:r>
        <w:rPr>
          <w:rFonts w:hint="eastAsia" w:ascii="宋体" w:hAnsi="宋体"/>
          <w:b/>
          <w:color w:val="auto"/>
          <w:sz w:val="24"/>
          <w:highlight w:val="none"/>
        </w:rPr>
        <w:t>★附件2  投标一览表</w:t>
      </w:r>
      <w:bookmarkEnd w:id="240"/>
      <w:bookmarkEnd w:id="241"/>
      <w:bookmarkEnd w:id="242"/>
      <w:bookmarkEnd w:id="243"/>
      <w:r>
        <w:rPr>
          <w:rFonts w:hint="eastAsia" w:ascii="宋体" w:hAnsi="宋体"/>
          <w:b/>
          <w:color w:val="auto"/>
          <w:sz w:val="24"/>
          <w:highlight w:val="none"/>
        </w:rPr>
        <w:t>（格式）</w:t>
      </w:r>
    </w:p>
    <w:p w14:paraId="7C0C81E2">
      <w:pPr>
        <w:tabs>
          <w:tab w:val="left" w:pos="1800"/>
          <w:tab w:val="left" w:pos="5580"/>
        </w:tabs>
        <w:spacing w:line="400" w:lineRule="exact"/>
        <w:jc w:val="left"/>
        <w:rPr>
          <w:rFonts w:ascii="宋体" w:hAnsi="宋体" w:cs="仿宋_GB2312"/>
          <w:color w:val="auto"/>
          <w:sz w:val="24"/>
          <w:highlight w:val="none"/>
          <w:u w:val="single"/>
        </w:rPr>
      </w:pPr>
      <w:r>
        <w:rPr>
          <w:rFonts w:hint="eastAsia" w:ascii="宋体" w:hAnsi="宋体" w:cs="仿宋_GB2312"/>
          <w:color w:val="auto"/>
          <w:sz w:val="24"/>
          <w:highlight w:val="none"/>
        </w:rPr>
        <w:t>招标编号：</w:t>
      </w:r>
      <w:r>
        <w:rPr>
          <w:rFonts w:hint="eastAsia" w:ascii="宋体" w:hAnsi="宋体" w:cs="仿宋_GB2312"/>
          <w:color w:val="auto"/>
          <w:sz w:val="24"/>
          <w:highlight w:val="none"/>
          <w:u w:val="single"/>
        </w:rPr>
        <w:t xml:space="preserve">                    </w:t>
      </w:r>
    </w:p>
    <w:p w14:paraId="06DFA701">
      <w:pPr>
        <w:tabs>
          <w:tab w:val="left" w:pos="1800"/>
          <w:tab w:val="left" w:pos="5580"/>
        </w:tabs>
        <w:spacing w:line="400" w:lineRule="exact"/>
        <w:jc w:val="left"/>
        <w:rPr>
          <w:rFonts w:ascii="Bookman Old Style" w:hAnsi="Bookman Old Style"/>
          <w:color w:val="auto"/>
          <w:sz w:val="24"/>
          <w:highlight w:val="none"/>
        </w:rPr>
      </w:pPr>
      <w:r>
        <w:rPr>
          <w:rFonts w:hint="eastAsia" w:ascii="Bookman Old Style" w:hAnsi="Bookman Old Style"/>
          <w:color w:val="auto"/>
          <w:sz w:val="24"/>
          <w:highlight w:val="none"/>
        </w:rPr>
        <w:t>投标人名称：__________________</w:t>
      </w:r>
    </w:p>
    <w:p w14:paraId="4D16740E">
      <w:pPr>
        <w:tabs>
          <w:tab w:val="left" w:pos="1800"/>
          <w:tab w:val="left" w:pos="5580"/>
        </w:tabs>
        <w:spacing w:line="400" w:lineRule="exact"/>
        <w:jc w:val="right"/>
        <w:rPr>
          <w:rFonts w:ascii="宋体" w:hAnsi="宋体" w:cs="仿宋_GB2312"/>
          <w:color w:val="auto"/>
          <w:sz w:val="24"/>
          <w:highlight w:val="none"/>
        </w:rPr>
      </w:pPr>
      <w:r>
        <w:rPr>
          <w:rFonts w:hint="eastAsia" w:ascii="Bookman Old Style" w:hAnsi="Bookman Old Style"/>
          <w:color w:val="auto"/>
          <w:sz w:val="24"/>
          <w:highlight w:val="none"/>
        </w:rPr>
        <w:t>（币种：人民币）</w:t>
      </w:r>
    </w:p>
    <w:tbl>
      <w:tblPr>
        <w:tblStyle w:val="40"/>
        <w:tblW w:w="494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1365"/>
        <w:gridCol w:w="2760"/>
        <w:gridCol w:w="3184"/>
        <w:gridCol w:w="2084"/>
        <w:gridCol w:w="2377"/>
        <w:gridCol w:w="2084"/>
      </w:tblGrid>
      <w:tr w14:paraId="19DD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811" w:hRule="atLeast"/>
          <w:jc w:val="center"/>
        </w:trPr>
        <w:tc>
          <w:tcPr>
            <w:tcW w:w="493" w:type="pct"/>
            <w:vAlign w:val="center"/>
          </w:tcPr>
          <w:p w14:paraId="716F1ABE">
            <w:pPr>
              <w:snapToGrid w:val="0"/>
              <w:jc w:val="center"/>
              <w:rPr>
                <w:rFonts w:ascii="Bookman Old Style" w:hAnsi="Bookman Old Style"/>
                <w:color w:val="auto"/>
                <w:highlight w:val="none"/>
              </w:rPr>
            </w:pPr>
            <w:r>
              <w:rPr>
                <w:rFonts w:hint="eastAsia" w:ascii="Bookman Old Style" w:hAnsi="Bookman Old Style"/>
                <w:color w:val="auto"/>
                <w:sz w:val="24"/>
                <w:highlight w:val="none"/>
              </w:rPr>
              <w:t>包号</w:t>
            </w:r>
          </w:p>
        </w:tc>
        <w:tc>
          <w:tcPr>
            <w:tcW w:w="996" w:type="pct"/>
            <w:vAlign w:val="center"/>
          </w:tcPr>
          <w:p w14:paraId="4E61ED2C">
            <w:pPr>
              <w:snapToGrid w:val="0"/>
              <w:ind w:left="-146" w:firstLine="146"/>
              <w:jc w:val="center"/>
              <w:rPr>
                <w:rFonts w:ascii="Bookman Old Style" w:hAnsi="Bookman Old Style"/>
                <w:color w:val="auto"/>
                <w:highlight w:val="none"/>
              </w:rPr>
            </w:pPr>
            <w:r>
              <w:rPr>
                <w:rFonts w:hint="eastAsia" w:ascii="Bookman Old Style" w:hAnsi="Bookman Old Style"/>
                <w:color w:val="auto"/>
                <w:sz w:val="24"/>
                <w:highlight w:val="none"/>
              </w:rPr>
              <w:t>采购内容</w:t>
            </w:r>
          </w:p>
        </w:tc>
        <w:tc>
          <w:tcPr>
            <w:tcW w:w="1149" w:type="pct"/>
            <w:vAlign w:val="center"/>
          </w:tcPr>
          <w:p w14:paraId="1DD49E75">
            <w:pPr>
              <w:snapToGrid w:val="0"/>
              <w:jc w:val="center"/>
              <w:rPr>
                <w:rFonts w:ascii="Bookman Old Style" w:hAnsi="Bookman Old Style"/>
                <w:color w:val="auto"/>
                <w:sz w:val="24"/>
                <w:highlight w:val="none"/>
              </w:rPr>
            </w:pPr>
            <w:r>
              <w:rPr>
                <w:rFonts w:hint="eastAsia" w:ascii="Bookman Old Style" w:hAnsi="Bookman Old Style"/>
                <w:color w:val="auto"/>
                <w:sz w:val="24"/>
                <w:highlight w:val="none"/>
              </w:rPr>
              <w:t>投标总价</w:t>
            </w:r>
          </w:p>
        </w:tc>
        <w:tc>
          <w:tcPr>
            <w:tcW w:w="752" w:type="pct"/>
            <w:vAlign w:val="center"/>
          </w:tcPr>
          <w:p w14:paraId="00CFB072">
            <w:pPr>
              <w:snapToGrid w:val="0"/>
              <w:jc w:val="center"/>
              <w:rPr>
                <w:rFonts w:ascii="Bookman Old Style" w:hAnsi="Bookman Old Style"/>
                <w:color w:val="auto"/>
                <w:highlight w:val="none"/>
              </w:rPr>
            </w:pPr>
            <w:r>
              <w:rPr>
                <w:rFonts w:hint="eastAsia" w:ascii="Bookman Old Style" w:hAnsi="Bookman Old Style"/>
                <w:color w:val="auto"/>
                <w:sz w:val="24"/>
                <w:highlight w:val="none"/>
              </w:rPr>
              <w:t>服务期限</w:t>
            </w:r>
          </w:p>
        </w:tc>
        <w:tc>
          <w:tcPr>
            <w:tcW w:w="858" w:type="pct"/>
            <w:vAlign w:val="center"/>
          </w:tcPr>
          <w:p w14:paraId="3AB0B2E5">
            <w:pPr>
              <w:snapToGrid w:val="0"/>
              <w:jc w:val="center"/>
              <w:rPr>
                <w:rFonts w:ascii="Bookman Old Style" w:hAnsi="Bookman Old Style"/>
                <w:color w:val="auto"/>
                <w:highlight w:val="none"/>
              </w:rPr>
            </w:pPr>
            <w:r>
              <w:rPr>
                <w:rFonts w:hint="eastAsia" w:ascii="Bookman Old Style" w:hAnsi="Bookman Old Style"/>
                <w:color w:val="auto"/>
                <w:sz w:val="24"/>
                <w:highlight w:val="none"/>
              </w:rPr>
              <w:t>投标保证金</w:t>
            </w:r>
          </w:p>
          <w:p w14:paraId="27CBDED9">
            <w:pPr>
              <w:snapToGrid w:val="0"/>
              <w:jc w:val="center"/>
              <w:rPr>
                <w:rFonts w:ascii="Bookman Old Style" w:hAnsi="Bookman Old Style"/>
                <w:color w:val="auto"/>
                <w:highlight w:val="none"/>
              </w:rPr>
            </w:pPr>
            <w:r>
              <w:rPr>
                <w:rFonts w:hint="eastAsia" w:ascii="Bookman Old Style" w:hAnsi="Bookman Old Style"/>
                <w:color w:val="auto"/>
                <w:sz w:val="24"/>
                <w:highlight w:val="none"/>
              </w:rPr>
              <w:t>（有/无）</w:t>
            </w:r>
          </w:p>
        </w:tc>
        <w:tc>
          <w:tcPr>
            <w:tcW w:w="752" w:type="pct"/>
            <w:vAlign w:val="center"/>
          </w:tcPr>
          <w:p w14:paraId="53310019">
            <w:pPr>
              <w:snapToGrid w:val="0"/>
              <w:jc w:val="center"/>
              <w:rPr>
                <w:rFonts w:ascii="Bookman Old Style" w:hAnsi="Bookman Old Style"/>
                <w:color w:val="auto"/>
                <w:highlight w:val="none"/>
              </w:rPr>
            </w:pPr>
            <w:r>
              <w:rPr>
                <w:rFonts w:hint="eastAsia" w:ascii="Bookman Old Style" w:hAnsi="Bookman Old Style"/>
                <w:color w:val="auto"/>
                <w:sz w:val="24"/>
                <w:highlight w:val="none"/>
              </w:rPr>
              <w:t>投标声明</w:t>
            </w:r>
          </w:p>
        </w:tc>
      </w:tr>
      <w:tr w14:paraId="4179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80" w:hRule="atLeast"/>
          <w:jc w:val="center"/>
        </w:trPr>
        <w:tc>
          <w:tcPr>
            <w:tcW w:w="493" w:type="pct"/>
            <w:vAlign w:val="center"/>
          </w:tcPr>
          <w:p w14:paraId="6950F897">
            <w:pPr>
              <w:snapToGrid w:val="0"/>
              <w:jc w:val="center"/>
              <w:rPr>
                <w:color w:val="auto"/>
                <w:highlight w:val="none"/>
              </w:rPr>
            </w:pPr>
            <w:r>
              <w:rPr>
                <w:rFonts w:hint="eastAsia"/>
                <w:color w:val="auto"/>
                <w:highlight w:val="none"/>
              </w:rPr>
              <w:t>1</w:t>
            </w:r>
          </w:p>
        </w:tc>
        <w:tc>
          <w:tcPr>
            <w:tcW w:w="996" w:type="pct"/>
            <w:vAlign w:val="center"/>
          </w:tcPr>
          <w:p w14:paraId="625D9697">
            <w:pPr>
              <w:snapToGrid w:val="0"/>
              <w:jc w:val="center"/>
              <w:rPr>
                <w:color w:val="auto"/>
                <w:highlight w:val="none"/>
              </w:rPr>
            </w:pPr>
          </w:p>
        </w:tc>
        <w:tc>
          <w:tcPr>
            <w:tcW w:w="1149" w:type="pct"/>
            <w:vAlign w:val="center"/>
          </w:tcPr>
          <w:p w14:paraId="3B67019D">
            <w:pPr>
              <w:snapToGrid w:val="0"/>
              <w:jc w:val="center"/>
              <w:rPr>
                <w:color w:val="auto"/>
                <w:highlight w:val="none"/>
              </w:rPr>
            </w:pPr>
          </w:p>
        </w:tc>
        <w:tc>
          <w:tcPr>
            <w:tcW w:w="752" w:type="pct"/>
            <w:vAlign w:val="center"/>
          </w:tcPr>
          <w:p w14:paraId="79B5A6F1">
            <w:pPr>
              <w:snapToGrid w:val="0"/>
              <w:jc w:val="center"/>
              <w:rPr>
                <w:color w:val="auto"/>
                <w:highlight w:val="none"/>
              </w:rPr>
            </w:pPr>
          </w:p>
        </w:tc>
        <w:tc>
          <w:tcPr>
            <w:tcW w:w="858" w:type="pct"/>
            <w:vAlign w:val="center"/>
          </w:tcPr>
          <w:p w14:paraId="48D2739F">
            <w:pPr>
              <w:snapToGrid w:val="0"/>
              <w:jc w:val="center"/>
              <w:rPr>
                <w:color w:val="auto"/>
                <w:highlight w:val="none"/>
              </w:rPr>
            </w:pPr>
          </w:p>
        </w:tc>
        <w:tc>
          <w:tcPr>
            <w:tcW w:w="752" w:type="pct"/>
            <w:vAlign w:val="center"/>
          </w:tcPr>
          <w:p w14:paraId="4CAA6F35">
            <w:pPr>
              <w:snapToGrid w:val="0"/>
              <w:jc w:val="center"/>
              <w:rPr>
                <w:color w:val="auto"/>
                <w:highlight w:val="none"/>
              </w:rPr>
            </w:pPr>
          </w:p>
        </w:tc>
      </w:tr>
    </w:tbl>
    <w:p w14:paraId="5CD803A9">
      <w:pPr>
        <w:pStyle w:val="21"/>
        <w:tabs>
          <w:tab w:val="left" w:pos="5580"/>
        </w:tabs>
        <w:spacing w:before="120"/>
        <w:rPr>
          <w:rFonts w:hAnsi="宋体"/>
          <w:color w:val="auto"/>
          <w:sz w:val="24"/>
          <w:szCs w:val="24"/>
          <w:highlight w:val="none"/>
        </w:rPr>
      </w:pPr>
      <w:r>
        <w:rPr>
          <w:rFonts w:hint="eastAsia" w:hAnsi="宋体" w:cs="仿宋_GB2312"/>
          <w:color w:val="auto"/>
          <w:sz w:val="24"/>
          <w:szCs w:val="24"/>
          <w:highlight w:val="none"/>
        </w:rPr>
        <w:t>投标人名称（盖章）：</w:t>
      </w:r>
      <w:r>
        <w:rPr>
          <w:rFonts w:hAnsi="宋体" w:cs="仿宋_GB2312"/>
          <w:color w:val="auto"/>
          <w:sz w:val="24"/>
          <w:szCs w:val="24"/>
          <w:highlight w:val="none"/>
          <w:u w:val="single"/>
        </w:rPr>
        <w:t xml:space="preserve">                       </w:t>
      </w:r>
    </w:p>
    <w:p w14:paraId="66114402">
      <w:pPr>
        <w:pStyle w:val="21"/>
        <w:tabs>
          <w:tab w:val="left" w:pos="5340"/>
        </w:tabs>
        <w:spacing w:before="120"/>
        <w:rPr>
          <w:rFonts w:hAnsi="宋体" w:cs="Arial"/>
          <w:color w:val="auto"/>
          <w:sz w:val="24"/>
          <w:highlight w:val="none"/>
        </w:rPr>
      </w:pPr>
      <w:r>
        <w:rPr>
          <w:rFonts w:hint="eastAsia" w:hAnsi="宋体" w:cs="仿宋_GB2312"/>
          <w:color w:val="auto"/>
          <w:sz w:val="24"/>
          <w:szCs w:val="24"/>
          <w:highlight w:val="none"/>
        </w:rPr>
        <w:t>投标人授权代表</w:t>
      </w:r>
      <w:r>
        <w:rPr>
          <w:rFonts w:hAnsi="宋体" w:cs="仿宋_GB2312"/>
          <w:color w:val="auto"/>
          <w:sz w:val="24"/>
          <w:szCs w:val="24"/>
          <w:highlight w:val="none"/>
        </w:rPr>
        <w:t>(</w:t>
      </w:r>
      <w:r>
        <w:rPr>
          <w:rFonts w:hint="eastAsia" w:hAnsi="宋体" w:cs="仿宋_GB2312"/>
          <w:color w:val="auto"/>
          <w:sz w:val="24"/>
          <w:szCs w:val="24"/>
          <w:highlight w:val="none"/>
        </w:rPr>
        <w:t>签字</w:t>
      </w:r>
      <w:r>
        <w:rPr>
          <w:rFonts w:hAnsi="宋体" w:cs="仿宋_GB2312"/>
          <w:color w:val="auto"/>
          <w:sz w:val="24"/>
          <w:szCs w:val="24"/>
          <w:highlight w:val="none"/>
        </w:rPr>
        <w:t>):</w:t>
      </w:r>
      <w:r>
        <w:rPr>
          <w:rFonts w:hAnsi="宋体"/>
          <w:color w:val="auto"/>
          <w:sz w:val="24"/>
          <w:szCs w:val="24"/>
          <w:highlight w:val="none"/>
          <w:u w:val="single"/>
        </w:rPr>
        <w:tab/>
      </w:r>
    </w:p>
    <w:p w14:paraId="3F6AE3DB">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02B42E51">
      <w:pPr>
        <w:pStyle w:val="21"/>
        <w:spacing w:line="400" w:lineRule="exact"/>
        <w:rPr>
          <w:rFonts w:hAnsi="宋体" w:cs="仿宋_GB2312"/>
          <w:color w:val="auto"/>
          <w:sz w:val="24"/>
          <w:szCs w:val="24"/>
          <w:highlight w:val="none"/>
        </w:rPr>
      </w:pPr>
      <w:r>
        <w:rPr>
          <w:rFonts w:hint="eastAsia" w:hAnsi="宋体" w:cs="仿宋_GB2312"/>
          <w:color w:val="auto"/>
          <w:sz w:val="24"/>
          <w:szCs w:val="24"/>
          <w:highlight w:val="none"/>
        </w:rPr>
        <w:t>注：</w:t>
      </w:r>
    </w:p>
    <w:p w14:paraId="5561802A">
      <w:pPr>
        <w:pStyle w:val="21"/>
        <w:spacing w:line="400" w:lineRule="exact"/>
        <w:rPr>
          <w:rFonts w:hAnsi="宋体" w:cs="仿宋_GB2312"/>
          <w:color w:val="auto"/>
          <w:sz w:val="24"/>
          <w:szCs w:val="24"/>
          <w:highlight w:val="none"/>
        </w:rPr>
      </w:pPr>
      <w:r>
        <w:rPr>
          <w:rFonts w:hint="eastAsia" w:hAnsi="宋体" w:cs="仿宋_GB2312"/>
          <w:color w:val="auto"/>
          <w:sz w:val="24"/>
          <w:szCs w:val="24"/>
          <w:highlight w:val="none"/>
        </w:rPr>
        <w:t>1、本表按包填写；</w:t>
      </w:r>
    </w:p>
    <w:p w14:paraId="187EA195">
      <w:pPr>
        <w:pStyle w:val="21"/>
        <w:spacing w:line="400" w:lineRule="exact"/>
        <w:rPr>
          <w:rFonts w:hAnsi="宋体" w:cs="仿宋_GB2312"/>
          <w:color w:val="auto"/>
          <w:sz w:val="24"/>
          <w:szCs w:val="24"/>
          <w:highlight w:val="none"/>
        </w:rPr>
      </w:pPr>
      <w:r>
        <w:rPr>
          <w:rFonts w:hint="eastAsia" w:hAnsi="宋体" w:cs="仿宋_GB2312"/>
          <w:color w:val="auto"/>
          <w:sz w:val="24"/>
          <w:szCs w:val="24"/>
          <w:highlight w:val="none"/>
        </w:rPr>
        <w:t>2、招标文件明确要求的内容无需在投标声明中填写；</w:t>
      </w:r>
    </w:p>
    <w:p w14:paraId="4D097ED6">
      <w:pPr>
        <w:pStyle w:val="21"/>
        <w:spacing w:line="400" w:lineRule="exact"/>
        <w:ind w:left="1"/>
        <w:rPr>
          <w:rFonts w:hAnsi="宋体" w:cs="仿宋_GB2312"/>
          <w:color w:val="auto"/>
          <w:sz w:val="24"/>
          <w:szCs w:val="24"/>
          <w:highlight w:val="none"/>
        </w:rPr>
      </w:pPr>
      <w:r>
        <w:rPr>
          <w:rFonts w:hint="eastAsia" w:hAnsi="宋体" w:cs="仿宋_GB2312"/>
          <w:color w:val="auto"/>
          <w:sz w:val="24"/>
          <w:szCs w:val="24"/>
          <w:highlight w:val="none"/>
        </w:rPr>
        <w:t>3、投标人如有在投标文件投标报价表中未注明的进一步折扣和声明应在本表中填写，开标时未予宣读的声明，评标时不予考虑；</w:t>
      </w:r>
    </w:p>
    <w:p w14:paraId="0053A9F1">
      <w:pPr>
        <w:pStyle w:val="21"/>
        <w:spacing w:line="400" w:lineRule="exact"/>
        <w:rPr>
          <w:rFonts w:hAnsi="宋体" w:cs="仿宋_GB2312"/>
          <w:color w:val="auto"/>
          <w:sz w:val="24"/>
          <w:szCs w:val="24"/>
          <w:highlight w:val="none"/>
        </w:rPr>
      </w:pPr>
      <w:r>
        <w:rPr>
          <w:rFonts w:hint="eastAsia" w:hAnsi="宋体" w:cs="仿宋_GB2312"/>
          <w:color w:val="auto"/>
          <w:sz w:val="24"/>
          <w:szCs w:val="24"/>
          <w:highlight w:val="none"/>
        </w:rPr>
        <w:t>4、开标一览表应按“资料表”的规定密封递交；</w:t>
      </w:r>
    </w:p>
    <w:p w14:paraId="24AB3FFE">
      <w:pPr>
        <w:pStyle w:val="21"/>
        <w:spacing w:line="400" w:lineRule="exact"/>
        <w:rPr>
          <w:rFonts w:hAnsi="宋体" w:cs="仿宋_GB2312"/>
          <w:color w:val="auto"/>
          <w:sz w:val="24"/>
          <w:szCs w:val="24"/>
          <w:highlight w:val="none"/>
        </w:rPr>
      </w:pPr>
      <w:r>
        <w:rPr>
          <w:rFonts w:hint="eastAsia" w:hAnsi="宋体" w:cs="仿宋_GB2312"/>
          <w:color w:val="auto"/>
          <w:sz w:val="24"/>
          <w:szCs w:val="24"/>
          <w:highlight w:val="none"/>
        </w:rPr>
        <w:t>5、本表中投标价格应与投标分项报价表中对应包号的投标总价一致；</w:t>
      </w:r>
    </w:p>
    <w:p w14:paraId="58C2CB04">
      <w:pPr>
        <w:adjustRightInd w:val="0"/>
        <w:snapToGrid w:val="0"/>
        <w:spacing w:before="156" w:beforeLines="50" w:after="156" w:afterLines="50" w:line="360" w:lineRule="auto"/>
        <w:jc w:val="center"/>
        <w:rPr>
          <w:rFonts w:ascii="宋体" w:hAnsi="宋体"/>
          <w:b/>
          <w:color w:val="auto"/>
          <w:sz w:val="24"/>
          <w:highlight w:val="none"/>
        </w:rPr>
      </w:pPr>
      <w:r>
        <w:rPr>
          <w:color w:val="auto"/>
          <w:highlight w:val="none"/>
        </w:rPr>
        <w:br w:type="page"/>
      </w:r>
      <w:bookmarkStart w:id="244" w:name="_Toc89569913"/>
      <w:r>
        <w:rPr>
          <w:rFonts w:hint="eastAsia" w:ascii="宋体" w:hAnsi="宋体"/>
          <w:b/>
          <w:color w:val="auto"/>
          <w:sz w:val="24"/>
          <w:highlight w:val="none"/>
        </w:rPr>
        <w:t>★附件3  投标分项报价表</w:t>
      </w:r>
      <w:bookmarkEnd w:id="244"/>
      <w:r>
        <w:rPr>
          <w:rFonts w:hint="eastAsia" w:ascii="宋体" w:hAnsi="宋体"/>
          <w:b/>
          <w:color w:val="auto"/>
          <w:sz w:val="24"/>
          <w:highlight w:val="none"/>
        </w:rPr>
        <w:t>（格式）</w:t>
      </w:r>
    </w:p>
    <w:p w14:paraId="43F33537">
      <w:pPr>
        <w:spacing w:after="156" w:afterLines="50"/>
        <w:rPr>
          <w:rFonts w:cs="宋体" w:asciiTheme="minorEastAsia" w:hAnsiTheme="minorEastAsia" w:eastAsiaTheme="minorEastAsia"/>
          <w:color w:val="auto"/>
          <w:sz w:val="24"/>
          <w:szCs w:val="21"/>
          <w:highlight w:val="none"/>
        </w:rPr>
      </w:pPr>
      <w:bookmarkStart w:id="245" w:name="_Toc89569914"/>
      <w:r>
        <w:rPr>
          <w:rFonts w:hint="eastAsia" w:cs="宋体" w:asciiTheme="minorEastAsia" w:hAnsiTheme="minorEastAsia" w:eastAsiaTheme="minorEastAsia"/>
          <w:color w:val="auto"/>
          <w:sz w:val="24"/>
          <w:szCs w:val="21"/>
          <w:highlight w:val="none"/>
        </w:rPr>
        <w:t>投标人名称：___________ 招标编号：_______________ 报价单位：人民币元</w:t>
      </w:r>
    </w:p>
    <w:tbl>
      <w:tblPr>
        <w:tblStyle w:val="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2977"/>
        <w:gridCol w:w="1738"/>
        <w:gridCol w:w="1355"/>
        <w:gridCol w:w="2418"/>
        <w:gridCol w:w="1899"/>
        <w:gridCol w:w="3124"/>
      </w:tblGrid>
      <w:tr w14:paraId="4FFBE20A">
        <w:tblPrEx>
          <w:tblCellMar>
            <w:top w:w="0" w:type="dxa"/>
            <w:left w:w="108" w:type="dxa"/>
            <w:bottom w:w="0" w:type="dxa"/>
            <w:right w:w="108" w:type="dxa"/>
          </w:tblCellMar>
        </w:tblPrEx>
        <w:trPr>
          <w:trHeight w:val="611" w:hRule="atLeast"/>
          <w:jc w:val="center"/>
        </w:trPr>
        <w:tc>
          <w:tcPr>
            <w:tcW w:w="234" w:type="pct"/>
            <w:vAlign w:val="center"/>
          </w:tcPr>
          <w:p w14:paraId="644D53DF">
            <w:pP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序号</w:t>
            </w:r>
          </w:p>
        </w:tc>
        <w:tc>
          <w:tcPr>
            <w:tcW w:w="1050" w:type="pct"/>
            <w:vAlign w:val="center"/>
          </w:tcPr>
          <w:p w14:paraId="05978A80">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工种</w:t>
            </w:r>
          </w:p>
        </w:tc>
        <w:tc>
          <w:tcPr>
            <w:tcW w:w="613" w:type="pct"/>
            <w:vAlign w:val="center"/>
          </w:tcPr>
          <w:p w14:paraId="21A906FA">
            <w:pPr>
              <w:pStyle w:val="81"/>
              <w:jc w:val="center"/>
              <w:rPr>
                <w:b/>
                <w:color w:val="auto"/>
                <w:highlight w:val="none"/>
              </w:rPr>
            </w:pPr>
            <w:r>
              <w:rPr>
                <w:rFonts w:hint="eastAsia"/>
                <w:color w:val="auto"/>
                <w:highlight w:val="none"/>
              </w:rPr>
              <w:t>单价</w:t>
            </w:r>
          </w:p>
          <w:p w14:paraId="6C7D5A51">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元</w:t>
            </w:r>
            <w:r>
              <w:rPr>
                <w:rFonts w:asciiTheme="minorEastAsia" w:hAnsiTheme="minorEastAsia" w:eastAsiaTheme="minorEastAsia"/>
                <w:color w:val="auto"/>
                <w:szCs w:val="21"/>
                <w:highlight w:val="none"/>
              </w:rPr>
              <w:t>/月·人）</w:t>
            </w:r>
          </w:p>
        </w:tc>
        <w:tc>
          <w:tcPr>
            <w:tcW w:w="477" w:type="pct"/>
            <w:vAlign w:val="center"/>
          </w:tcPr>
          <w:p w14:paraId="1FFEC9CB">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人数</w:t>
            </w:r>
          </w:p>
        </w:tc>
        <w:tc>
          <w:tcPr>
            <w:tcW w:w="853" w:type="pct"/>
            <w:vAlign w:val="center"/>
          </w:tcPr>
          <w:p w14:paraId="0C9027AC">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月合计（元）</w:t>
            </w:r>
          </w:p>
        </w:tc>
        <w:tc>
          <w:tcPr>
            <w:tcW w:w="670" w:type="pct"/>
            <w:vAlign w:val="center"/>
          </w:tcPr>
          <w:p w14:paraId="114EAA6F">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人员资格</w:t>
            </w:r>
          </w:p>
        </w:tc>
        <w:tc>
          <w:tcPr>
            <w:tcW w:w="1099" w:type="pct"/>
            <w:vAlign w:val="center"/>
          </w:tcPr>
          <w:p w14:paraId="11ED199A">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14:paraId="1CCF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234" w:type="pct"/>
            <w:vAlign w:val="center"/>
          </w:tcPr>
          <w:p w14:paraId="0D1B8336">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w:t>
            </w:r>
          </w:p>
        </w:tc>
        <w:tc>
          <w:tcPr>
            <w:tcW w:w="1050" w:type="pct"/>
            <w:vAlign w:val="center"/>
          </w:tcPr>
          <w:p w14:paraId="73855F78">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负责人</w:t>
            </w:r>
          </w:p>
        </w:tc>
        <w:tc>
          <w:tcPr>
            <w:tcW w:w="613" w:type="pct"/>
            <w:vAlign w:val="center"/>
          </w:tcPr>
          <w:p w14:paraId="5EAC68EA">
            <w:pPr>
              <w:spacing w:line="360" w:lineRule="auto"/>
              <w:rPr>
                <w:rFonts w:asciiTheme="minorEastAsia" w:hAnsiTheme="minorEastAsia" w:eastAsiaTheme="minorEastAsia"/>
                <w:color w:val="auto"/>
                <w:szCs w:val="21"/>
                <w:highlight w:val="none"/>
              </w:rPr>
            </w:pPr>
          </w:p>
        </w:tc>
        <w:tc>
          <w:tcPr>
            <w:tcW w:w="477" w:type="pct"/>
            <w:vAlign w:val="center"/>
          </w:tcPr>
          <w:p w14:paraId="1741CF9F">
            <w:pPr>
              <w:rPr>
                <w:rFonts w:asciiTheme="minorEastAsia" w:hAnsiTheme="minorEastAsia" w:eastAsiaTheme="minorEastAsia"/>
                <w:color w:val="auto"/>
                <w:szCs w:val="21"/>
                <w:highlight w:val="none"/>
              </w:rPr>
            </w:pPr>
          </w:p>
        </w:tc>
        <w:tc>
          <w:tcPr>
            <w:tcW w:w="853" w:type="pct"/>
            <w:vAlign w:val="center"/>
          </w:tcPr>
          <w:p w14:paraId="52C6CED8">
            <w:pPr>
              <w:rPr>
                <w:rFonts w:cs="宋体" w:asciiTheme="minorEastAsia" w:hAnsiTheme="minorEastAsia" w:eastAsiaTheme="minorEastAsia"/>
                <w:color w:val="auto"/>
                <w:szCs w:val="21"/>
                <w:highlight w:val="none"/>
              </w:rPr>
            </w:pPr>
          </w:p>
        </w:tc>
        <w:tc>
          <w:tcPr>
            <w:tcW w:w="670" w:type="pct"/>
            <w:vAlign w:val="center"/>
          </w:tcPr>
          <w:p w14:paraId="2FFA0445">
            <w:pPr>
              <w:rPr>
                <w:rFonts w:cs="宋体" w:asciiTheme="minorEastAsia" w:hAnsiTheme="minorEastAsia" w:eastAsiaTheme="minorEastAsia"/>
                <w:color w:val="auto"/>
                <w:szCs w:val="21"/>
                <w:highlight w:val="none"/>
              </w:rPr>
            </w:pPr>
          </w:p>
        </w:tc>
        <w:tc>
          <w:tcPr>
            <w:tcW w:w="1099" w:type="pct"/>
            <w:vAlign w:val="center"/>
          </w:tcPr>
          <w:p w14:paraId="25828FB4">
            <w:pPr>
              <w:rPr>
                <w:rFonts w:cs="宋体" w:asciiTheme="minorEastAsia" w:hAnsiTheme="minorEastAsia" w:eastAsiaTheme="minorEastAsia"/>
                <w:color w:val="auto"/>
                <w:szCs w:val="21"/>
                <w:highlight w:val="none"/>
              </w:rPr>
            </w:pPr>
          </w:p>
        </w:tc>
      </w:tr>
      <w:tr w14:paraId="355F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4" w:type="pct"/>
            <w:vAlign w:val="center"/>
          </w:tcPr>
          <w:p w14:paraId="66683FF8">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p>
        </w:tc>
        <w:tc>
          <w:tcPr>
            <w:tcW w:w="1050" w:type="pct"/>
            <w:vAlign w:val="center"/>
          </w:tcPr>
          <w:p w14:paraId="486B0AC0">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班长</w:t>
            </w:r>
          </w:p>
        </w:tc>
        <w:tc>
          <w:tcPr>
            <w:tcW w:w="613" w:type="pct"/>
            <w:vAlign w:val="center"/>
          </w:tcPr>
          <w:p w14:paraId="4D8832AE">
            <w:pPr>
              <w:spacing w:line="360" w:lineRule="auto"/>
              <w:rPr>
                <w:rFonts w:asciiTheme="minorEastAsia" w:hAnsiTheme="minorEastAsia" w:eastAsiaTheme="minorEastAsia"/>
                <w:color w:val="auto"/>
                <w:szCs w:val="21"/>
                <w:highlight w:val="none"/>
              </w:rPr>
            </w:pPr>
          </w:p>
        </w:tc>
        <w:tc>
          <w:tcPr>
            <w:tcW w:w="477" w:type="pct"/>
            <w:vAlign w:val="center"/>
          </w:tcPr>
          <w:p w14:paraId="7D0D0942">
            <w:pPr>
              <w:rPr>
                <w:rFonts w:asciiTheme="minorEastAsia" w:hAnsiTheme="minorEastAsia" w:eastAsiaTheme="minorEastAsia"/>
                <w:color w:val="auto"/>
                <w:szCs w:val="21"/>
                <w:highlight w:val="none"/>
              </w:rPr>
            </w:pPr>
          </w:p>
        </w:tc>
        <w:tc>
          <w:tcPr>
            <w:tcW w:w="853" w:type="pct"/>
            <w:vAlign w:val="center"/>
          </w:tcPr>
          <w:p w14:paraId="78293730">
            <w:pPr>
              <w:rPr>
                <w:rFonts w:cs="宋体" w:asciiTheme="minorEastAsia" w:hAnsiTheme="minorEastAsia" w:eastAsiaTheme="minorEastAsia"/>
                <w:color w:val="auto"/>
                <w:szCs w:val="21"/>
                <w:highlight w:val="none"/>
              </w:rPr>
            </w:pPr>
          </w:p>
        </w:tc>
        <w:tc>
          <w:tcPr>
            <w:tcW w:w="670" w:type="pct"/>
            <w:vAlign w:val="center"/>
          </w:tcPr>
          <w:p w14:paraId="60372359">
            <w:pPr>
              <w:rPr>
                <w:rFonts w:cs="宋体" w:asciiTheme="minorEastAsia" w:hAnsiTheme="minorEastAsia" w:eastAsiaTheme="minorEastAsia"/>
                <w:color w:val="auto"/>
                <w:szCs w:val="21"/>
                <w:highlight w:val="none"/>
              </w:rPr>
            </w:pPr>
          </w:p>
        </w:tc>
        <w:tc>
          <w:tcPr>
            <w:tcW w:w="1099" w:type="pct"/>
            <w:vAlign w:val="center"/>
          </w:tcPr>
          <w:p w14:paraId="3E53F15D">
            <w:pPr>
              <w:rPr>
                <w:rFonts w:cs="宋体" w:asciiTheme="minorEastAsia" w:hAnsiTheme="minorEastAsia" w:eastAsiaTheme="minorEastAsia"/>
                <w:color w:val="auto"/>
                <w:szCs w:val="21"/>
                <w:highlight w:val="none"/>
              </w:rPr>
            </w:pPr>
          </w:p>
        </w:tc>
      </w:tr>
      <w:tr w14:paraId="7A318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4" w:type="pct"/>
            <w:vAlign w:val="center"/>
          </w:tcPr>
          <w:p w14:paraId="229CCB8E">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p>
        </w:tc>
        <w:tc>
          <w:tcPr>
            <w:tcW w:w="1050" w:type="pct"/>
            <w:vAlign w:val="center"/>
          </w:tcPr>
          <w:p w14:paraId="7439BB08">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动力中心运行值班人员</w:t>
            </w:r>
          </w:p>
        </w:tc>
        <w:tc>
          <w:tcPr>
            <w:tcW w:w="613" w:type="pct"/>
            <w:vAlign w:val="center"/>
          </w:tcPr>
          <w:p w14:paraId="65C927CD">
            <w:pPr>
              <w:spacing w:line="360" w:lineRule="auto"/>
              <w:jc w:val="center"/>
              <w:rPr>
                <w:rFonts w:asciiTheme="minorEastAsia" w:hAnsiTheme="minorEastAsia" w:eastAsiaTheme="minorEastAsia"/>
                <w:color w:val="auto"/>
                <w:szCs w:val="21"/>
                <w:highlight w:val="none"/>
              </w:rPr>
            </w:pPr>
          </w:p>
        </w:tc>
        <w:tc>
          <w:tcPr>
            <w:tcW w:w="477" w:type="pct"/>
            <w:vAlign w:val="center"/>
          </w:tcPr>
          <w:p w14:paraId="7108D416">
            <w:pPr>
              <w:rPr>
                <w:rFonts w:asciiTheme="minorEastAsia" w:hAnsiTheme="minorEastAsia" w:eastAsiaTheme="minorEastAsia"/>
                <w:color w:val="auto"/>
                <w:szCs w:val="21"/>
                <w:highlight w:val="none"/>
              </w:rPr>
            </w:pPr>
          </w:p>
        </w:tc>
        <w:tc>
          <w:tcPr>
            <w:tcW w:w="853" w:type="pct"/>
            <w:vAlign w:val="center"/>
          </w:tcPr>
          <w:p w14:paraId="7ABD506B">
            <w:pPr>
              <w:rPr>
                <w:rFonts w:cs="宋体" w:asciiTheme="minorEastAsia" w:hAnsiTheme="minorEastAsia" w:eastAsiaTheme="minorEastAsia"/>
                <w:color w:val="auto"/>
                <w:szCs w:val="21"/>
                <w:highlight w:val="none"/>
              </w:rPr>
            </w:pPr>
          </w:p>
        </w:tc>
        <w:tc>
          <w:tcPr>
            <w:tcW w:w="670" w:type="pct"/>
            <w:vAlign w:val="center"/>
          </w:tcPr>
          <w:p w14:paraId="4BC2FF99">
            <w:pPr>
              <w:rPr>
                <w:rFonts w:cs="宋体" w:asciiTheme="minorEastAsia" w:hAnsiTheme="minorEastAsia" w:eastAsiaTheme="minorEastAsia"/>
                <w:color w:val="auto"/>
                <w:szCs w:val="21"/>
                <w:highlight w:val="none"/>
              </w:rPr>
            </w:pPr>
          </w:p>
        </w:tc>
        <w:tc>
          <w:tcPr>
            <w:tcW w:w="1099" w:type="pct"/>
            <w:vAlign w:val="center"/>
          </w:tcPr>
          <w:p w14:paraId="12D46B9F">
            <w:pPr>
              <w:rPr>
                <w:rFonts w:cs="宋体" w:asciiTheme="minorEastAsia" w:hAnsiTheme="minorEastAsia" w:eastAsiaTheme="minorEastAsia"/>
                <w:color w:val="auto"/>
                <w:szCs w:val="21"/>
                <w:highlight w:val="none"/>
              </w:rPr>
            </w:pPr>
          </w:p>
        </w:tc>
      </w:tr>
      <w:tr w14:paraId="29A3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 w:type="pct"/>
            <w:vAlign w:val="center"/>
          </w:tcPr>
          <w:p w14:paraId="582875EC">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w:t>
            </w:r>
          </w:p>
        </w:tc>
        <w:tc>
          <w:tcPr>
            <w:tcW w:w="1050" w:type="pct"/>
            <w:vAlign w:val="center"/>
          </w:tcPr>
          <w:p w14:paraId="2340B308">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装置区运行值班人员</w:t>
            </w:r>
          </w:p>
        </w:tc>
        <w:tc>
          <w:tcPr>
            <w:tcW w:w="613" w:type="pct"/>
            <w:vAlign w:val="center"/>
          </w:tcPr>
          <w:p w14:paraId="0420FAA6">
            <w:pPr>
              <w:spacing w:before="60" w:after="60"/>
              <w:rPr>
                <w:rFonts w:asciiTheme="minorEastAsia" w:hAnsiTheme="minorEastAsia" w:eastAsiaTheme="minorEastAsia"/>
                <w:color w:val="auto"/>
                <w:szCs w:val="21"/>
                <w:highlight w:val="none"/>
              </w:rPr>
            </w:pPr>
          </w:p>
        </w:tc>
        <w:tc>
          <w:tcPr>
            <w:tcW w:w="477" w:type="pct"/>
            <w:vAlign w:val="center"/>
          </w:tcPr>
          <w:p w14:paraId="003C6363">
            <w:pPr>
              <w:rPr>
                <w:rFonts w:asciiTheme="minorEastAsia" w:hAnsiTheme="minorEastAsia" w:eastAsiaTheme="minorEastAsia"/>
                <w:color w:val="auto"/>
                <w:szCs w:val="21"/>
                <w:highlight w:val="none"/>
              </w:rPr>
            </w:pPr>
          </w:p>
        </w:tc>
        <w:tc>
          <w:tcPr>
            <w:tcW w:w="853" w:type="pct"/>
            <w:vAlign w:val="center"/>
          </w:tcPr>
          <w:p w14:paraId="27BD7F78">
            <w:pPr>
              <w:rPr>
                <w:rFonts w:cs="宋体" w:asciiTheme="minorEastAsia" w:hAnsiTheme="minorEastAsia" w:eastAsiaTheme="minorEastAsia"/>
                <w:color w:val="auto"/>
                <w:szCs w:val="21"/>
                <w:highlight w:val="none"/>
              </w:rPr>
            </w:pPr>
          </w:p>
        </w:tc>
        <w:tc>
          <w:tcPr>
            <w:tcW w:w="670" w:type="pct"/>
            <w:vAlign w:val="center"/>
          </w:tcPr>
          <w:p w14:paraId="2BCFE268">
            <w:pPr>
              <w:rPr>
                <w:rFonts w:cs="宋体" w:asciiTheme="minorEastAsia" w:hAnsiTheme="minorEastAsia" w:eastAsiaTheme="minorEastAsia"/>
                <w:color w:val="auto"/>
                <w:szCs w:val="21"/>
                <w:highlight w:val="none"/>
              </w:rPr>
            </w:pPr>
          </w:p>
        </w:tc>
        <w:tc>
          <w:tcPr>
            <w:tcW w:w="1099" w:type="pct"/>
            <w:vAlign w:val="center"/>
          </w:tcPr>
          <w:p w14:paraId="612D8067">
            <w:pPr>
              <w:rPr>
                <w:rFonts w:cs="宋体" w:asciiTheme="minorEastAsia" w:hAnsiTheme="minorEastAsia" w:eastAsiaTheme="minorEastAsia"/>
                <w:color w:val="auto"/>
                <w:szCs w:val="21"/>
                <w:highlight w:val="none"/>
              </w:rPr>
            </w:pPr>
          </w:p>
        </w:tc>
      </w:tr>
      <w:tr w14:paraId="788A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 w:type="pct"/>
            <w:vAlign w:val="center"/>
          </w:tcPr>
          <w:p w14:paraId="0DFC1D2A">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w:t>
            </w:r>
          </w:p>
        </w:tc>
        <w:tc>
          <w:tcPr>
            <w:tcW w:w="1050" w:type="pct"/>
            <w:vAlign w:val="center"/>
          </w:tcPr>
          <w:p w14:paraId="1BF79AC5">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装置区维修、支持人员</w:t>
            </w:r>
          </w:p>
        </w:tc>
        <w:tc>
          <w:tcPr>
            <w:tcW w:w="613" w:type="pct"/>
            <w:vAlign w:val="center"/>
          </w:tcPr>
          <w:p w14:paraId="04F92820">
            <w:pPr>
              <w:spacing w:before="60" w:after="60"/>
              <w:rPr>
                <w:rFonts w:asciiTheme="minorEastAsia" w:hAnsiTheme="minorEastAsia" w:eastAsiaTheme="minorEastAsia"/>
                <w:color w:val="auto"/>
                <w:szCs w:val="21"/>
                <w:highlight w:val="none"/>
              </w:rPr>
            </w:pPr>
          </w:p>
        </w:tc>
        <w:tc>
          <w:tcPr>
            <w:tcW w:w="477" w:type="pct"/>
            <w:vAlign w:val="center"/>
          </w:tcPr>
          <w:p w14:paraId="6584FBB6">
            <w:pPr>
              <w:rPr>
                <w:rFonts w:asciiTheme="minorEastAsia" w:hAnsiTheme="minorEastAsia" w:eastAsiaTheme="minorEastAsia"/>
                <w:color w:val="auto"/>
                <w:szCs w:val="21"/>
                <w:highlight w:val="none"/>
              </w:rPr>
            </w:pPr>
          </w:p>
        </w:tc>
        <w:tc>
          <w:tcPr>
            <w:tcW w:w="853" w:type="pct"/>
            <w:vAlign w:val="center"/>
          </w:tcPr>
          <w:p w14:paraId="39B955C7">
            <w:pPr>
              <w:rPr>
                <w:rFonts w:cs="宋体" w:asciiTheme="minorEastAsia" w:hAnsiTheme="minorEastAsia" w:eastAsiaTheme="minorEastAsia"/>
                <w:color w:val="auto"/>
                <w:szCs w:val="21"/>
                <w:highlight w:val="none"/>
              </w:rPr>
            </w:pPr>
          </w:p>
        </w:tc>
        <w:tc>
          <w:tcPr>
            <w:tcW w:w="670" w:type="pct"/>
            <w:vAlign w:val="center"/>
          </w:tcPr>
          <w:p w14:paraId="161C72E9">
            <w:pPr>
              <w:rPr>
                <w:rFonts w:cs="宋体" w:asciiTheme="minorEastAsia" w:hAnsiTheme="minorEastAsia" w:eastAsiaTheme="minorEastAsia"/>
                <w:color w:val="auto"/>
                <w:szCs w:val="21"/>
                <w:highlight w:val="none"/>
              </w:rPr>
            </w:pPr>
          </w:p>
        </w:tc>
        <w:tc>
          <w:tcPr>
            <w:tcW w:w="1099" w:type="pct"/>
            <w:vAlign w:val="center"/>
          </w:tcPr>
          <w:p w14:paraId="5C711049">
            <w:pPr>
              <w:rPr>
                <w:rFonts w:cs="宋体" w:asciiTheme="minorEastAsia" w:hAnsiTheme="minorEastAsia" w:eastAsiaTheme="minorEastAsia"/>
                <w:color w:val="auto"/>
                <w:szCs w:val="21"/>
                <w:highlight w:val="none"/>
              </w:rPr>
            </w:pPr>
          </w:p>
        </w:tc>
      </w:tr>
      <w:tr w14:paraId="4F7D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 w:type="pct"/>
            <w:vAlign w:val="center"/>
          </w:tcPr>
          <w:p w14:paraId="7BAEE64B">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w:t>
            </w:r>
          </w:p>
        </w:tc>
        <w:tc>
          <w:tcPr>
            <w:tcW w:w="1050" w:type="pct"/>
            <w:shd w:val="clear" w:color="auto" w:fill="auto"/>
            <w:vAlign w:val="center"/>
          </w:tcPr>
          <w:p w14:paraId="7FC5C274">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低温系统运行值班人员</w:t>
            </w:r>
          </w:p>
        </w:tc>
        <w:tc>
          <w:tcPr>
            <w:tcW w:w="613" w:type="pct"/>
            <w:vAlign w:val="center"/>
          </w:tcPr>
          <w:p w14:paraId="60C1DC0B">
            <w:pPr>
              <w:spacing w:before="60" w:after="60"/>
              <w:rPr>
                <w:rFonts w:asciiTheme="minorEastAsia" w:hAnsiTheme="minorEastAsia" w:eastAsiaTheme="minorEastAsia"/>
                <w:color w:val="auto"/>
                <w:szCs w:val="21"/>
                <w:highlight w:val="none"/>
              </w:rPr>
            </w:pPr>
          </w:p>
        </w:tc>
        <w:tc>
          <w:tcPr>
            <w:tcW w:w="477" w:type="pct"/>
            <w:vAlign w:val="center"/>
          </w:tcPr>
          <w:p w14:paraId="08236E3D">
            <w:pPr>
              <w:rPr>
                <w:rFonts w:asciiTheme="minorEastAsia" w:hAnsiTheme="minorEastAsia" w:eastAsiaTheme="minorEastAsia"/>
                <w:color w:val="auto"/>
                <w:szCs w:val="21"/>
                <w:highlight w:val="none"/>
              </w:rPr>
            </w:pPr>
          </w:p>
        </w:tc>
        <w:tc>
          <w:tcPr>
            <w:tcW w:w="853" w:type="pct"/>
            <w:vAlign w:val="center"/>
          </w:tcPr>
          <w:p w14:paraId="5248BE46">
            <w:pPr>
              <w:rPr>
                <w:rFonts w:cs="宋体" w:asciiTheme="minorEastAsia" w:hAnsiTheme="minorEastAsia" w:eastAsiaTheme="minorEastAsia"/>
                <w:color w:val="auto"/>
                <w:szCs w:val="21"/>
                <w:highlight w:val="none"/>
              </w:rPr>
            </w:pPr>
          </w:p>
        </w:tc>
        <w:tc>
          <w:tcPr>
            <w:tcW w:w="670" w:type="pct"/>
            <w:vAlign w:val="center"/>
          </w:tcPr>
          <w:p w14:paraId="4BB87266">
            <w:pPr>
              <w:rPr>
                <w:rFonts w:cs="宋体" w:asciiTheme="minorEastAsia" w:hAnsiTheme="minorEastAsia" w:eastAsiaTheme="minorEastAsia"/>
                <w:color w:val="auto"/>
                <w:szCs w:val="21"/>
                <w:highlight w:val="none"/>
              </w:rPr>
            </w:pPr>
          </w:p>
        </w:tc>
        <w:tc>
          <w:tcPr>
            <w:tcW w:w="1099" w:type="pct"/>
            <w:vAlign w:val="center"/>
          </w:tcPr>
          <w:p w14:paraId="7E098D44">
            <w:pPr>
              <w:rPr>
                <w:rFonts w:cs="宋体" w:asciiTheme="minorEastAsia" w:hAnsiTheme="minorEastAsia" w:eastAsiaTheme="minorEastAsia"/>
                <w:color w:val="auto"/>
                <w:szCs w:val="21"/>
                <w:highlight w:val="none"/>
              </w:rPr>
            </w:pPr>
          </w:p>
        </w:tc>
      </w:tr>
      <w:tr w14:paraId="1961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34" w:type="pct"/>
            <w:vAlign w:val="center"/>
          </w:tcPr>
          <w:p w14:paraId="17944F35">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7</w:t>
            </w:r>
          </w:p>
        </w:tc>
        <w:tc>
          <w:tcPr>
            <w:tcW w:w="1050" w:type="pct"/>
            <w:shd w:val="clear" w:color="auto" w:fill="auto"/>
            <w:vAlign w:val="center"/>
          </w:tcPr>
          <w:p w14:paraId="2FAF54F5">
            <w:pPr>
              <w:spacing w:before="60" w:after="6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其他</w:t>
            </w:r>
          </w:p>
        </w:tc>
        <w:tc>
          <w:tcPr>
            <w:tcW w:w="613" w:type="pct"/>
            <w:vAlign w:val="center"/>
          </w:tcPr>
          <w:p w14:paraId="745B1763">
            <w:pPr>
              <w:spacing w:before="60" w:after="60"/>
              <w:rPr>
                <w:rFonts w:asciiTheme="minorEastAsia" w:hAnsiTheme="minorEastAsia" w:eastAsiaTheme="minorEastAsia"/>
                <w:color w:val="auto"/>
                <w:szCs w:val="21"/>
                <w:highlight w:val="none"/>
              </w:rPr>
            </w:pPr>
          </w:p>
        </w:tc>
        <w:tc>
          <w:tcPr>
            <w:tcW w:w="477" w:type="pct"/>
            <w:vAlign w:val="center"/>
          </w:tcPr>
          <w:p w14:paraId="659D2FBE">
            <w:pPr>
              <w:rPr>
                <w:rFonts w:asciiTheme="minorEastAsia" w:hAnsiTheme="minorEastAsia" w:eastAsiaTheme="minorEastAsia"/>
                <w:color w:val="auto"/>
                <w:szCs w:val="21"/>
                <w:highlight w:val="none"/>
              </w:rPr>
            </w:pPr>
          </w:p>
        </w:tc>
        <w:tc>
          <w:tcPr>
            <w:tcW w:w="853" w:type="pct"/>
            <w:vAlign w:val="center"/>
          </w:tcPr>
          <w:p w14:paraId="5A3D72C0">
            <w:pPr>
              <w:rPr>
                <w:rFonts w:cs="宋体" w:asciiTheme="minorEastAsia" w:hAnsiTheme="minorEastAsia" w:eastAsiaTheme="minorEastAsia"/>
                <w:color w:val="auto"/>
                <w:szCs w:val="21"/>
                <w:highlight w:val="none"/>
              </w:rPr>
            </w:pPr>
          </w:p>
        </w:tc>
        <w:tc>
          <w:tcPr>
            <w:tcW w:w="670" w:type="pct"/>
            <w:vAlign w:val="center"/>
          </w:tcPr>
          <w:p w14:paraId="02680AB8">
            <w:pPr>
              <w:rPr>
                <w:rFonts w:cs="宋体" w:asciiTheme="minorEastAsia" w:hAnsiTheme="minorEastAsia" w:eastAsiaTheme="minorEastAsia"/>
                <w:color w:val="auto"/>
                <w:szCs w:val="21"/>
                <w:highlight w:val="none"/>
              </w:rPr>
            </w:pPr>
          </w:p>
        </w:tc>
        <w:tc>
          <w:tcPr>
            <w:tcW w:w="1099" w:type="pct"/>
            <w:vAlign w:val="center"/>
          </w:tcPr>
          <w:p w14:paraId="6C6FD596">
            <w:pPr>
              <w:rPr>
                <w:rFonts w:cs="宋体" w:asciiTheme="minorEastAsia" w:hAnsiTheme="minorEastAsia" w:eastAsiaTheme="minorEastAsia"/>
                <w:color w:val="auto"/>
                <w:szCs w:val="21"/>
                <w:highlight w:val="none"/>
              </w:rPr>
            </w:pPr>
          </w:p>
        </w:tc>
      </w:tr>
      <w:tr w14:paraId="0061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5000" w:type="pct"/>
            <w:gridSpan w:val="7"/>
            <w:vAlign w:val="center"/>
          </w:tcPr>
          <w:p w14:paraId="56A12DAB">
            <w:pP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说明：各工种人员单价已包含全部费用。</w:t>
            </w:r>
          </w:p>
        </w:tc>
      </w:tr>
      <w:tr w14:paraId="015C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2375" w:type="pct"/>
            <w:gridSpan w:val="4"/>
            <w:vAlign w:val="center"/>
          </w:tcPr>
          <w:p w14:paraId="450F0BB8">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①月总计</w:t>
            </w:r>
          </w:p>
        </w:tc>
        <w:tc>
          <w:tcPr>
            <w:tcW w:w="2624" w:type="pct"/>
            <w:gridSpan w:val="3"/>
            <w:vAlign w:val="center"/>
          </w:tcPr>
          <w:p w14:paraId="6D4168C2">
            <w:pPr>
              <w:rPr>
                <w:rFonts w:cs="宋体" w:asciiTheme="minorEastAsia" w:hAnsiTheme="minorEastAsia" w:eastAsiaTheme="minorEastAsia"/>
                <w:color w:val="auto"/>
                <w:szCs w:val="21"/>
                <w:highlight w:val="none"/>
              </w:rPr>
            </w:pPr>
          </w:p>
        </w:tc>
      </w:tr>
      <w:tr w14:paraId="7EB2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4" w:type="pct"/>
            <w:vAlign w:val="center"/>
          </w:tcPr>
          <w:p w14:paraId="62B111C8">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序号</w:t>
            </w:r>
          </w:p>
        </w:tc>
        <w:tc>
          <w:tcPr>
            <w:tcW w:w="1050" w:type="pct"/>
            <w:vAlign w:val="center"/>
          </w:tcPr>
          <w:p w14:paraId="3E0420FD">
            <w:pPr>
              <w:spacing w:before="60" w:after="6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检查费用</w:t>
            </w:r>
          </w:p>
        </w:tc>
        <w:tc>
          <w:tcPr>
            <w:tcW w:w="613" w:type="pct"/>
            <w:vAlign w:val="center"/>
          </w:tcPr>
          <w:p w14:paraId="3F726E77">
            <w:pPr>
              <w:spacing w:before="60" w:after="6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单价（元）</w:t>
            </w:r>
          </w:p>
        </w:tc>
        <w:tc>
          <w:tcPr>
            <w:tcW w:w="477" w:type="pct"/>
            <w:vAlign w:val="center"/>
          </w:tcPr>
          <w:p w14:paraId="24049BEE">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数量</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人次)</w:t>
            </w:r>
          </w:p>
        </w:tc>
        <w:tc>
          <w:tcPr>
            <w:tcW w:w="853" w:type="pct"/>
            <w:vAlign w:val="center"/>
          </w:tcPr>
          <w:p w14:paraId="5FDEC4FD">
            <w:pP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合计（元）</w:t>
            </w:r>
          </w:p>
        </w:tc>
        <w:tc>
          <w:tcPr>
            <w:tcW w:w="1770" w:type="pct"/>
            <w:gridSpan w:val="2"/>
            <w:vAlign w:val="center"/>
          </w:tcPr>
          <w:p w14:paraId="0037FB5A">
            <w:pPr>
              <w:jc w:val="center"/>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14:paraId="40D1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4" w:type="pct"/>
            <w:vAlign w:val="center"/>
          </w:tcPr>
          <w:p w14:paraId="1922AD61">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w:t>
            </w:r>
          </w:p>
        </w:tc>
        <w:tc>
          <w:tcPr>
            <w:tcW w:w="1050" w:type="pct"/>
            <w:vAlign w:val="center"/>
          </w:tcPr>
          <w:p w14:paraId="62622A8B">
            <w:pPr>
              <w:spacing w:before="60" w:after="6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岗前放射工作人员职业健康检查费</w:t>
            </w:r>
          </w:p>
        </w:tc>
        <w:tc>
          <w:tcPr>
            <w:tcW w:w="613" w:type="pct"/>
            <w:vAlign w:val="center"/>
          </w:tcPr>
          <w:p w14:paraId="6B06FB33">
            <w:pPr>
              <w:spacing w:before="60" w:after="60"/>
              <w:rPr>
                <w:rFonts w:asciiTheme="minorEastAsia" w:hAnsiTheme="minorEastAsia" w:eastAsiaTheme="minorEastAsia"/>
                <w:color w:val="auto"/>
                <w:szCs w:val="21"/>
                <w:highlight w:val="none"/>
              </w:rPr>
            </w:pPr>
          </w:p>
        </w:tc>
        <w:tc>
          <w:tcPr>
            <w:tcW w:w="477" w:type="pct"/>
            <w:vAlign w:val="center"/>
          </w:tcPr>
          <w:p w14:paraId="05DFB22A">
            <w:pPr>
              <w:rPr>
                <w:rFonts w:asciiTheme="minorEastAsia" w:hAnsiTheme="minorEastAsia" w:eastAsiaTheme="minorEastAsia"/>
                <w:color w:val="auto"/>
                <w:szCs w:val="21"/>
                <w:highlight w:val="none"/>
              </w:rPr>
            </w:pPr>
          </w:p>
        </w:tc>
        <w:tc>
          <w:tcPr>
            <w:tcW w:w="853" w:type="pct"/>
            <w:vAlign w:val="center"/>
          </w:tcPr>
          <w:p w14:paraId="71C2B89E">
            <w:pPr>
              <w:rPr>
                <w:rFonts w:cs="宋体" w:asciiTheme="minorEastAsia" w:hAnsiTheme="minorEastAsia" w:eastAsiaTheme="minorEastAsia"/>
                <w:color w:val="auto"/>
                <w:szCs w:val="21"/>
                <w:highlight w:val="none"/>
              </w:rPr>
            </w:pPr>
          </w:p>
        </w:tc>
        <w:tc>
          <w:tcPr>
            <w:tcW w:w="1770" w:type="pct"/>
            <w:gridSpan w:val="2"/>
            <w:vAlign w:val="center"/>
          </w:tcPr>
          <w:p w14:paraId="56316A8D">
            <w:pPr>
              <w:rPr>
                <w:rFonts w:cs="宋体" w:asciiTheme="minorEastAsia" w:hAnsiTheme="minorEastAsia" w:eastAsiaTheme="minorEastAsia"/>
                <w:color w:val="auto"/>
                <w:szCs w:val="21"/>
                <w:highlight w:val="none"/>
              </w:rPr>
            </w:pPr>
          </w:p>
        </w:tc>
      </w:tr>
      <w:tr w14:paraId="3F93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4" w:type="pct"/>
            <w:vAlign w:val="center"/>
          </w:tcPr>
          <w:p w14:paraId="40F99200">
            <w:pPr>
              <w:jc w:val="center"/>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p>
        </w:tc>
        <w:tc>
          <w:tcPr>
            <w:tcW w:w="1050" w:type="pct"/>
            <w:vAlign w:val="center"/>
          </w:tcPr>
          <w:p w14:paraId="4162E231">
            <w:pPr>
              <w:spacing w:before="60" w:after="6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岗后放射工作人员职业健康检查费</w:t>
            </w:r>
          </w:p>
        </w:tc>
        <w:tc>
          <w:tcPr>
            <w:tcW w:w="613" w:type="pct"/>
            <w:vAlign w:val="center"/>
          </w:tcPr>
          <w:p w14:paraId="098C43A0">
            <w:pPr>
              <w:spacing w:before="60" w:after="60"/>
              <w:rPr>
                <w:rFonts w:asciiTheme="minorEastAsia" w:hAnsiTheme="minorEastAsia" w:eastAsiaTheme="minorEastAsia"/>
                <w:color w:val="auto"/>
                <w:szCs w:val="21"/>
                <w:highlight w:val="none"/>
              </w:rPr>
            </w:pPr>
          </w:p>
        </w:tc>
        <w:tc>
          <w:tcPr>
            <w:tcW w:w="477" w:type="pct"/>
            <w:vAlign w:val="center"/>
          </w:tcPr>
          <w:p w14:paraId="650B1216">
            <w:pPr>
              <w:rPr>
                <w:rFonts w:asciiTheme="minorEastAsia" w:hAnsiTheme="minorEastAsia" w:eastAsiaTheme="minorEastAsia"/>
                <w:color w:val="auto"/>
                <w:szCs w:val="21"/>
                <w:highlight w:val="none"/>
              </w:rPr>
            </w:pPr>
          </w:p>
        </w:tc>
        <w:tc>
          <w:tcPr>
            <w:tcW w:w="853" w:type="pct"/>
            <w:vAlign w:val="center"/>
          </w:tcPr>
          <w:p w14:paraId="74C1C256">
            <w:pPr>
              <w:rPr>
                <w:rFonts w:cs="宋体" w:asciiTheme="minorEastAsia" w:hAnsiTheme="minorEastAsia" w:eastAsiaTheme="minorEastAsia"/>
                <w:color w:val="auto"/>
                <w:szCs w:val="21"/>
                <w:highlight w:val="none"/>
              </w:rPr>
            </w:pPr>
          </w:p>
        </w:tc>
        <w:tc>
          <w:tcPr>
            <w:tcW w:w="1770" w:type="pct"/>
            <w:gridSpan w:val="2"/>
            <w:vAlign w:val="center"/>
          </w:tcPr>
          <w:p w14:paraId="4849501B">
            <w:pPr>
              <w:rPr>
                <w:rFonts w:cs="宋体" w:asciiTheme="minorEastAsia" w:hAnsiTheme="minorEastAsia" w:eastAsiaTheme="minorEastAsia"/>
                <w:color w:val="auto"/>
                <w:szCs w:val="21"/>
                <w:highlight w:val="none"/>
              </w:rPr>
            </w:pPr>
          </w:p>
        </w:tc>
      </w:tr>
      <w:tr w14:paraId="2789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2375" w:type="pct"/>
            <w:gridSpan w:val="4"/>
            <w:vAlign w:val="center"/>
          </w:tcPr>
          <w:p w14:paraId="068754B8">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②检查费用合计</w:t>
            </w:r>
          </w:p>
        </w:tc>
        <w:tc>
          <w:tcPr>
            <w:tcW w:w="2624" w:type="pct"/>
            <w:gridSpan w:val="3"/>
          </w:tcPr>
          <w:p w14:paraId="10C9C4A1">
            <w:pPr>
              <w:rPr>
                <w:rFonts w:cs="宋体" w:asciiTheme="minorEastAsia" w:hAnsiTheme="minorEastAsia" w:eastAsiaTheme="minorEastAsia"/>
                <w:color w:val="auto"/>
                <w:szCs w:val="21"/>
                <w:highlight w:val="none"/>
              </w:rPr>
            </w:pPr>
          </w:p>
        </w:tc>
      </w:tr>
      <w:tr w14:paraId="7020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897" w:type="pct"/>
            <w:gridSpan w:val="3"/>
            <w:vAlign w:val="center"/>
          </w:tcPr>
          <w:p w14:paraId="4EE98191">
            <w:pPr>
              <w:widowControl/>
              <w:jc w:val="left"/>
              <w:rPr>
                <w:color w:val="auto"/>
                <w:highlight w:val="none"/>
              </w:rPr>
            </w:pPr>
            <w:r>
              <w:rPr>
                <w:rFonts w:hint="eastAsia"/>
                <w:color w:val="auto"/>
                <w:highlight w:val="none"/>
              </w:rPr>
              <w:t>报价合计：</w:t>
            </w:r>
          </w:p>
          <w:p w14:paraId="6F1C6FCA">
            <w:pPr>
              <w:pStyle w:val="69"/>
              <w:numPr>
                <w:ilvl w:val="0"/>
                <w:numId w:val="6"/>
              </w:numPr>
              <w:rPr>
                <w:rFonts w:asciiTheme="minorEastAsia" w:hAnsiTheme="minorEastAsia" w:eastAsiaTheme="minorEastAsia"/>
                <w:color w:val="auto"/>
                <w:highlight w:val="none"/>
              </w:rPr>
            </w:pPr>
            <w:r>
              <w:rPr>
                <w:rFonts w:hint="eastAsia"/>
                <w:color w:val="auto"/>
                <w:highlight w:val="none"/>
              </w:rPr>
              <w:t>×</w:t>
            </w:r>
            <w:r>
              <w:rPr>
                <w:color w:val="auto"/>
                <w:highlight w:val="none"/>
              </w:rPr>
              <w:t>18</w:t>
            </w:r>
            <w:r>
              <w:rPr>
                <w:rFonts w:hint="eastAsia"/>
                <w:color w:val="auto"/>
                <w:highlight w:val="none"/>
              </w:rPr>
              <w:t>个月）+ ②</w:t>
            </w:r>
          </w:p>
        </w:tc>
        <w:tc>
          <w:tcPr>
            <w:tcW w:w="3102" w:type="pct"/>
            <w:gridSpan w:val="4"/>
            <w:vAlign w:val="center"/>
          </w:tcPr>
          <w:p w14:paraId="30F9899A">
            <w:pPr>
              <w:rPr>
                <w:rFonts w:cs="宋体" w:asciiTheme="minorEastAsia" w:hAnsiTheme="minorEastAsia" w:eastAsiaTheme="minorEastAsia"/>
                <w:color w:val="auto"/>
                <w:szCs w:val="21"/>
                <w:highlight w:val="none"/>
              </w:rPr>
            </w:pPr>
          </w:p>
        </w:tc>
      </w:tr>
    </w:tbl>
    <w:p w14:paraId="2E5E3E63">
      <w:pPr>
        <w:rPr>
          <w:rFonts w:cs="宋体" w:asciiTheme="minorEastAsia" w:hAnsiTheme="minorEastAsia" w:eastAsiaTheme="minorEastAsia"/>
          <w:color w:val="auto"/>
          <w:sz w:val="24"/>
          <w:szCs w:val="21"/>
          <w:highlight w:val="none"/>
        </w:rPr>
      </w:pPr>
    </w:p>
    <w:p w14:paraId="708C2804">
      <w:pPr>
        <w:spacing w:line="360" w:lineRule="auto"/>
        <w:rPr>
          <w:rFonts w:cs="宋体" w:asciiTheme="minorEastAsia" w:hAnsiTheme="minorEastAsia" w:eastAsiaTheme="minorEastAsia"/>
          <w:color w:val="auto"/>
          <w:sz w:val="24"/>
          <w:szCs w:val="21"/>
          <w:highlight w:val="none"/>
        </w:rPr>
      </w:pPr>
      <w:r>
        <w:rPr>
          <w:rFonts w:hint="eastAsia" w:cs="宋体" w:asciiTheme="minorEastAsia" w:hAnsiTheme="minorEastAsia" w:eastAsiaTheme="minorEastAsia"/>
          <w:color w:val="auto"/>
          <w:sz w:val="24"/>
          <w:szCs w:val="21"/>
          <w:highlight w:val="none"/>
        </w:rPr>
        <w:t>投标人授权代表签字：___________________</w:t>
      </w:r>
    </w:p>
    <w:p w14:paraId="4BE8094E">
      <w:pPr>
        <w:spacing w:line="360" w:lineRule="auto"/>
        <w:rPr>
          <w:rFonts w:cs="宋体" w:asciiTheme="minorEastAsia" w:hAnsiTheme="minorEastAsia" w:eastAsiaTheme="minorEastAsia"/>
          <w:color w:val="auto"/>
          <w:sz w:val="24"/>
          <w:szCs w:val="21"/>
          <w:highlight w:val="none"/>
          <w:u w:val="single"/>
        </w:rPr>
      </w:pPr>
      <w:r>
        <w:rPr>
          <w:rFonts w:hint="eastAsia" w:cs="宋体" w:asciiTheme="minorEastAsia" w:hAnsiTheme="minorEastAsia" w:eastAsiaTheme="minorEastAsia"/>
          <w:color w:val="auto"/>
          <w:sz w:val="24"/>
          <w:szCs w:val="21"/>
          <w:highlight w:val="none"/>
        </w:rPr>
        <w:t>投标人(盖章)：</w:t>
      </w:r>
      <w:r>
        <w:rPr>
          <w:rFonts w:cs="宋体" w:asciiTheme="minorEastAsia" w:hAnsiTheme="minorEastAsia" w:eastAsiaTheme="minorEastAsia"/>
          <w:color w:val="auto"/>
          <w:sz w:val="24"/>
          <w:szCs w:val="21"/>
          <w:highlight w:val="none"/>
          <w:u w:val="single"/>
        </w:rPr>
        <w:tab/>
      </w:r>
      <w:r>
        <w:rPr>
          <w:rFonts w:hint="eastAsia" w:cs="宋体" w:asciiTheme="minorEastAsia" w:hAnsiTheme="minorEastAsia" w:eastAsiaTheme="minorEastAsia"/>
          <w:color w:val="auto"/>
          <w:sz w:val="24"/>
          <w:szCs w:val="21"/>
          <w:highlight w:val="none"/>
          <w:u w:val="single"/>
        </w:rPr>
        <w:t xml:space="preserve">                  </w:t>
      </w:r>
      <w:r>
        <w:rPr>
          <w:rFonts w:cs="宋体" w:asciiTheme="minorEastAsia" w:hAnsiTheme="minorEastAsia" w:eastAsiaTheme="minorEastAsia"/>
          <w:color w:val="auto"/>
          <w:sz w:val="24"/>
          <w:szCs w:val="21"/>
          <w:highlight w:val="none"/>
          <w:u w:val="single"/>
        </w:rPr>
        <w:tab/>
      </w:r>
    </w:p>
    <w:p w14:paraId="1FB9C5E3">
      <w:pPr>
        <w:rPr>
          <w:rFonts w:cs="宋体" w:asciiTheme="minorEastAsia" w:hAnsiTheme="minorEastAsia" w:eastAsiaTheme="minorEastAsia"/>
          <w:color w:val="auto"/>
          <w:sz w:val="24"/>
          <w:szCs w:val="21"/>
          <w:highlight w:val="none"/>
          <w:u w:val="single"/>
        </w:rPr>
      </w:pPr>
    </w:p>
    <w:p w14:paraId="34E9530F">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注：1. 如果按单价计算的结果与总价不一致,以单价为准修正总价。</w:t>
      </w:r>
    </w:p>
    <w:p w14:paraId="762425C3">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 xml:space="preserve">    2. 如果不提供详细分项报价将视为没有实质性响应招标文件。</w:t>
      </w:r>
    </w:p>
    <w:p w14:paraId="63C99656">
      <w:pPr>
        <w:autoSpaceDE w:val="0"/>
        <w:autoSpaceDN w:val="0"/>
        <w:spacing w:line="360" w:lineRule="auto"/>
        <w:ind w:right="471" w:firstLine="480" w:firstLineChars="200"/>
        <w:textAlignment w:val="bottom"/>
        <w:rPr>
          <w:rFonts w:ascii="宋体" w:hAnsi="宋体" w:cs="Arial"/>
          <w:color w:val="auto"/>
          <w:sz w:val="24"/>
          <w:highlight w:val="none"/>
        </w:rPr>
      </w:pPr>
      <w:r>
        <w:rPr>
          <w:rFonts w:hint="eastAsia" w:ascii="宋体" w:hAnsi="宋体" w:cs="Arial"/>
          <w:color w:val="auto"/>
          <w:sz w:val="24"/>
          <w:highlight w:val="none"/>
        </w:rPr>
        <w:t>3. 上述各项的详细分项报价，应另页描述。</w:t>
      </w:r>
    </w:p>
    <w:p w14:paraId="5C936544">
      <w:pPr>
        <w:adjustRightInd w:val="0"/>
        <w:snapToGrid w:val="0"/>
        <w:spacing w:before="156" w:beforeLines="50" w:after="156" w:afterLines="50" w:line="360" w:lineRule="auto"/>
        <w:jc w:val="left"/>
        <w:rPr>
          <w:rFonts w:ascii="宋体" w:hAnsi="宋体" w:cs="仿宋_GB2312"/>
          <w:color w:val="auto"/>
          <w:sz w:val="24"/>
          <w:highlight w:val="none"/>
        </w:rPr>
        <w:sectPr>
          <w:headerReference r:id="rId9" w:type="default"/>
          <w:footerReference r:id="rId10" w:type="default"/>
          <w:pgSz w:w="16838" w:h="11906" w:orient="landscape"/>
          <w:pgMar w:top="1800" w:right="1440" w:bottom="1800" w:left="1440" w:header="851" w:footer="992" w:gutter="0"/>
          <w:cols w:space="720" w:num="1"/>
          <w:docGrid w:type="lines" w:linePitch="312" w:charSpace="0"/>
        </w:sectPr>
      </w:pPr>
      <w:r>
        <w:rPr>
          <w:rFonts w:ascii="宋体" w:hAnsi="宋体" w:cs="仿宋_GB2312"/>
          <w:color w:val="auto"/>
          <w:sz w:val="24"/>
          <w:highlight w:val="none"/>
        </w:rPr>
        <w:br w:type="page"/>
      </w:r>
      <w:bookmarkEnd w:id="245"/>
      <w:bookmarkStart w:id="246" w:name="_Toc89569915"/>
    </w:p>
    <w:p w14:paraId="1DA0C07D">
      <w:pPr>
        <w:adjustRightInd w:val="0"/>
        <w:snapToGrid w:val="0"/>
        <w:spacing w:before="156" w:beforeLines="50" w:after="156" w:afterLines="50" w:line="360" w:lineRule="auto"/>
        <w:jc w:val="left"/>
        <w:rPr>
          <w:rFonts w:ascii="宋体" w:hAnsi="宋体"/>
          <w:b/>
          <w:color w:val="auto"/>
          <w:sz w:val="24"/>
          <w:highlight w:val="none"/>
        </w:rPr>
      </w:pPr>
      <w:r>
        <w:rPr>
          <w:rFonts w:hint="eastAsia" w:ascii="宋体" w:hAnsi="宋体"/>
          <w:b/>
          <w:color w:val="auto"/>
          <w:sz w:val="24"/>
          <w:highlight w:val="none"/>
        </w:rPr>
        <w:t>★附件4 服务需求逐条应答表</w:t>
      </w:r>
      <w:bookmarkEnd w:id="246"/>
      <w:r>
        <w:rPr>
          <w:rFonts w:hint="eastAsia" w:ascii="宋体" w:hAnsi="宋体"/>
          <w:b/>
          <w:color w:val="auto"/>
          <w:sz w:val="24"/>
          <w:highlight w:val="none"/>
        </w:rPr>
        <w:t>（格式）</w:t>
      </w:r>
    </w:p>
    <w:p w14:paraId="3B054CA2">
      <w:pPr>
        <w:pStyle w:val="21"/>
        <w:rPr>
          <w:rFonts w:hAnsi="宋体"/>
          <w:color w:val="auto"/>
          <w:sz w:val="24"/>
          <w:szCs w:val="24"/>
          <w:highlight w:val="none"/>
        </w:rPr>
      </w:pPr>
    </w:p>
    <w:p w14:paraId="5559B8CB">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6E132AB2">
      <w:pPr>
        <w:autoSpaceDE w:val="0"/>
        <w:autoSpaceDN w:val="0"/>
        <w:ind w:right="471"/>
        <w:textAlignment w:val="bottom"/>
        <w:rPr>
          <w:rFonts w:ascii="宋体" w:hAnsi="宋体" w:cs="Arial"/>
          <w:color w:val="auto"/>
          <w:sz w:val="24"/>
          <w:highlight w:val="none"/>
          <w:u w:val="single"/>
        </w:rPr>
      </w:pPr>
    </w:p>
    <w:p w14:paraId="7059DE88">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42BAE897">
      <w:pPr>
        <w:autoSpaceDE w:val="0"/>
        <w:autoSpaceDN w:val="0"/>
        <w:ind w:right="471"/>
        <w:textAlignment w:val="bottom"/>
        <w:rPr>
          <w:rFonts w:ascii="宋体" w:hAnsi="宋体" w:cs="Arial"/>
          <w:color w:val="auto"/>
          <w:sz w:val="24"/>
          <w:highlight w:val="none"/>
          <w:u w:val="single"/>
        </w:rPr>
      </w:pPr>
    </w:p>
    <w:p w14:paraId="1779B2F6">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32D3537F">
      <w:pPr>
        <w:autoSpaceDE w:val="0"/>
        <w:autoSpaceDN w:val="0"/>
        <w:textAlignment w:val="bottom"/>
        <w:rPr>
          <w:rFonts w:ascii="宋体" w:hAnsi="宋体" w:cs="Arial"/>
          <w:color w:val="auto"/>
          <w:sz w:val="24"/>
          <w:highlight w:val="none"/>
        </w:rPr>
      </w:pPr>
    </w:p>
    <w:tbl>
      <w:tblPr>
        <w:tblStyle w:val="40"/>
        <w:tblW w:w="905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632"/>
        <w:gridCol w:w="2388"/>
        <w:gridCol w:w="2472"/>
        <w:gridCol w:w="1860"/>
      </w:tblGrid>
      <w:tr w14:paraId="3CD39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701" w:type="dxa"/>
            <w:vAlign w:val="center"/>
          </w:tcPr>
          <w:p w14:paraId="7036F797">
            <w:pPr>
              <w:autoSpaceDE w:val="0"/>
              <w:autoSpaceDN w:val="0"/>
              <w:jc w:val="center"/>
              <w:textAlignment w:val="bottom"/>
              <w:rPr>
                <w:rFonts w:ascii="宋体" w:hAnsi="宋体" w:cs="Arial"/>
                <w:color w:val="auto"/>
                <w:sz w:val="24"/>
                <w:highlight w:val="none"/>
              </w:rPr>
            </w:pPr>
            <w:r>
              <w:rPr>
                <w:rFonts w:hint="eastAsia" w:ascii="宋体" w:hAnsi="宋体" w:cs="Arial"/>
                <w:color w:val="auto"/>
                <w:sz w:val="24"/>
                <w:highlight w:val="none"/>
              </w:rPr>
              <w:t>序号</w:t>
            </w:r>
          </w:p>
        </w:tc>
        <w:tc>
          <w:tcPr>
            <w:tcW w:w="1632" w:type="dxa"/>
            <w:vAlign w:val="center"/>
          </w:tcPr>
          <w:p w14:paraId="07C54E80">
            <w:pPr>
              <w:autoSpaceDE w:val="0"/>
              <w:autoSpaceDN w:val="0"/>
              <w:jc w:val="center"/>
              <w:textAlignment w:val="bottom"/>
              <w:rPr>
                <w:rFonts w:ascii="宋体" w:hAnsi="宋体" w:cs="Arial"/>
                <w:color w:val="auto"/>
                <w:sz w:val="24"/>
                <w:highlight w:val="none"/>
              </w:rPr>
            </w:pPr>
            <w:r>
              <w:rPr>
                <w:rFonts w:hint="eastAsia" w:ascii="宋体" w:hAnsi="宋体" w:cs="Arial"/>
                <w:color w:val="auto"/>
                <w:sz w:val="24"/>
                <w:highlight w:val="none"/>
              </w:rPr>
              <w:t>招标文件</w:t>
            </w:r>
          </w:p>
          <w:p w14:paraId="376134AE">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需求条目号</w:t>
            </w:r>
          </w:p>
        </w:tc>
        <w:tc>
          <w:tcPr>
            <w:tcW w:w="2388" w:type="dxa"/>
            <w:vAlign w:val="center"/>
          </w:tcPr>
          <w:p w14:paraId="272EC92F">
            <w:pPr>
              <w:autoSpaceDE w:val="0"/>
              <w:autoSpaceDN w:val="0"/>
              <w:jc w:val="center"/>
              <w:textAlignment w:val="bottom"/>
              <w:rPr>
                <w:rFonts w:ascii="宋体" w:hAnsi="宋体" w:cs="Arial"/>
                <w:color w:val="auto"/>
                <w:sz w:val="24"/>
                <w:highlight w:val="none"/>
              </w:rPr>
            </w:pPr>
            <w:r>
              <w:rPr>
                <w:rFonts w:hint="eastAsia" w:ascii="宋体" w:hAnsi="宋体" w:cs="Arial"/>
                <w:color w:val="auto"/>
                <w:sz w:val="24"/>
                <w:highlight w:val="none"/>
              </w:rPr>
              <w:t>招标要求</w:t>
            </w:r>
          </w:p>
        </w:tc>
        <w:tc>
          <w:tcPr>
            <w:tcW w:w="2472" w:type="dxa"/>
            <w:vAlign w:val="center"/>
          </w:tcPr>
          <w:p w14:paraId="48E8DEF9">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投标文件响应内容</w:t>
            </w:r>
          </w:p>
        </w:tc>
        <w:tc>
          <w:tcPr>
            <w:tcW w:w="1860" w:type="dxa"/>
            <w:vAlign w:val="center"/>
          </w:tcPr>
          <w:p w14:paraId="28BEDA90">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偏离说明（无偏离，正/负偏离及偏离情况）</w:t>
            </w:r>
          </w:p>
        </w:tc>
      </w:tr>
      <w:tr w14:paraId="1142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1BD0DF92">
            <w:pPr>
              <w:autoSpaceDE w:val="0"/>
              <w:autoSpaceDN w:val="0"/>
              <w:textAlignment w:val="bottom"/>
              <w:rPr>
                <w:rFonts w:ascii="宋体" w:hAnsi="宋体" w:cs="Arial"/>
                <w:color w:val="auto"/>
                <w:highlight w:val="none"/>
              </w:rPr>
            </w:pPr>
          </w:p>
        </w:tc>
        <w:tc>
          <w:tcPr>
            <w:tcW w:w="1632" w:type="dxa"/>
          </w:tcPr>
          <w:p w14:paraId="371D98DD">
            <w:pPr>
              <w:autoSpaceDE w:val="0"/>
              <w:autoSpaceDN w:val="0"/>
              <w:textAlignment w:val="bottom"/>
              <w:rPr>
                <w:rFonts w:ascii="宋体" w:hAnsi="宋体" w:cs="Arial"/>
                <w:color w:val="auto"/>
                <w:highlight w:val="none"/>
              </w:rPr>
            </w:pPr>
          </w:p>
        </w:tc>
        <w:tc>
          <w:tcPr>
            <w:tcW w:w="2388" w:type="dxa"/>
          </w:tcPr>
          <w:p w14:paraId="057E324D">
            <w:pPr>
              <w:autoSpaceDE w:val="0"/>
              <w:autoSpaceDN w:val="0"/>
              <w:textAlignment w:val="bottom"/>
              <w:rPr>
                <w:rFonts w:ascii="宋体" w:hAnsi="宋体" w:cs="Arial"/>
                <w:color w:val="auto"/>
                <w:highlight w:val="none"/>
              </w:rPr>
            </w:pPr>
          </w:p>
        </w:tc>
        <w:tc>
          <w:tcPr>
            <w:tcW w:w="2472" w:type="dxa"/>
          </w:tcPr>
          <w:p w14:paraId="555C698C">
            <w:pPr>
              <w:autoSpaceDE w:val="0"/>
              <w:autoSpaceDN w:val="0"/>
              <w:textAlignment w:val="bottom"/>
              <w:rPr>
                <w:rFonts w:ascii="宋体" w:hAnsi="宋体" w:cs="Arial"/>
                <w:color w:val="auto"/>
                <w:highlight w:val="none"/>
              </w:rPr>
            </w:pPr>
          </w:p>
        </w:tc>
        <w:tc>
          <w:tcPr>
            <w:tcW w:w="1860" w:type="dxa"/>
          </w:tcPr>
          <w:p w14:paraId="5549F4D4">
            <w:pPr>
              <w:autoSpaceDE w:val="0"/>
              <w:autoSpaceDN w:val="0"/>
              <w:textAlignment w:val="bottom"/>
              <w:rPr>
                <w:rFonts w:ascii="宋体" w:hAnsi="宋体" w:cs="Arial"/>
                <w:color w:val="auto"/>
                <w:highlight w:val="none"/>
              </w:rPr>
            </w:pPr>
          </w:p>
        </w:tc>
      </w:tr>
      <w:tr w14:paraId="2294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35EEDE86">
            <w:pPr>
              <w:autoSpaceDE w:val="0"/>
              <w:autoSpaceDN w:val="0"/>
              <w:textAlignment w:val="bottom"/>
              <w:rPr>
                <w:rFonts w:ascii="宋体" w:hAnsi="宋体" w:cs="Arial"/>
                <w:b/>
                <w:color w:val="auto"/>
                <w:highlight w:val="none"/>
              </w:rPr>
            </w:pPr>
          </w:p>
        </w:tc>
        <w:tc>
          <w:tcPr>
            <w:tcW w:w="1632" w:type="dxa"/>
          </w:tcPr>
          <w:p w14:paraId="27DB96EB">
            <w:pPr>
              <w:autoSpaceDE w:val="0"/>
              <w:autoSpaceDN w:val="0"/>
              <w:textAlignment w:val="bottom"/>
              <w:rPr>
                <w:rFonts w:ascii="宋体" w:hAnsi="宋体" w:cs="Arial"/>
                <w:b/>
                <w:color w:val="auto"/>
                <w:highlight w:val="none"/>
              </w:rPr>
            </w:pPr>
          </w:p>
        </w:tc>
        <w:tc>
          <w:tcPr>
            <w:tcW w:w="2388" w:type="dxa"/>
          </w:tcPr>
          <w:p w14:paraId="2E397FDA">
            <w:pPr>
              <w:autoSpaceDE w:val="0"/>
              <w:autoSpaceDN w:val="0"/>
              <w:textAlignment w:val="bottom"/>
              <w:rPr>
                <w:rFonts w:ascii="宋体" w:hAnsi="宋体" w:cs="Arial"/>
                <w:b/>
                <w:color w:val="auto"/>
                <w:highlight w:val="none"/>
              </w:rPr>
            </w:pPr>
          </w:p>
        </w:tc>
        <w:tc>
          <w:tcPr>
            <w:tcW w:w="2472" w:type="dxa"/>
          </w:tcPr>
          <w:p w14:paraId="6EEA96CC">
            <w:pPr>
              <w:autoSpaceDE w:val="0"/>
              <w:autoSpaceDN w:val="0"/>
              <w:textAlignment w:val="bottom"/>
              <w:rPr>
                <w:rFonts w:ascii="宋体" w:hAnsi="宋体" w:cs="Arial"/>
                <w:b/>
                <w:color w:val="auto"/>
                <w:highlight w:val="none"/>
              </w:rPr>
            </w:pPr>
          </w:p>
        </w:tc>
        <w:tc>
          <w:tcPr>
            <w:tcW w:w="1860" w:type="dxa"/>
          </w:tcPr>
          <w:p w14:paraId="38A810B0">
            <w:pPr>
              <w:autoSpaceDE w:val="0"/>
              <w:autoSpaceDN w:val="0"/>
              <w:textAlignment w:val="bottom"/>
              <w:rPr>
                <w:rFonts w:ascii="宋体" w:hAnsi="宋体" w:cs="Arial"/>
                <w:b/>
                <w:color w:val="auto"/>
                <w:highlight w:val="none"/>
              </w:rPr>
            </w:pPr>
          </w:p>
        </w:tc>
      </w:tr>
      <w:tr w14:paraId="4DC8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48E47D24">
            <w:pPr>
              <w:autoSpaceDE w:val="0"/>
              <w:autoSpaceDN w:val="0"/>
              <w:textAlignment w:val="bottom"/>
              <w:rPr>
                <w:rFonts w:ascii="宋体" w:hAnsi="宋体" w:cs="Arial"/>
                <w:b/>
                <w:color w:val="auto"/>
                <w:highlight w:val="none"/>
              </w:rPr>
            </w:pPr>
          </w:p>
        </w:tc>
        <w:tc>
          <w:tcPr>
            <w:tcW w:w="1632" w:type="dxa"/>
          </w:tcPr>
          <w:p w14:paraId="00A19E2E">
            <w:pPr>
              <w:autoSpaceDE w:val="0"/>
              <w:autoSpaceDN w:val="0"/>
              <w:textAlignment w:val="bottom"/>
              <w:rPr>
                <w:rFonts w:ascii="宋体" w:hAnsi="宋体" w:cs="Arial"/>
                <w:b/>
                <w:color w:val="auto"/>
                <w:highlight w:val="none"/>
              </w:rPr>
            </w:pPr>
          </w:p>
        </w:tc>
        <w:tc>
          <w:tcPr>
            <w:tcW w:w="2388" w:type="dxa"/>
          </w:tcPr>
          <w:p w14:paraId="533E04DB">
            <w:pPr>
              <w:autoSpaceDE w:val="0"/>
              <w:autoSpaceDN w:val="0"/>
              <w:textAlignment w:val="bottom"/>
              <w:rPr>
                <w:rFonts w:ascii="宋体" w:hAnsi="宋体" w:cs="Arial"/>
                <w:b/>
                <w:color w:val="auto"/>
                <w:highlight w:val="none"/>
              </w:rPr>
            </w:pPr>
          </w:p>
        </w:tc>
        <w:tc>
          <w:tcPr>
            <w:tcW w:w="2472" w:type="dxa"/>
          </w:tcPr>
          <w:p w14:paraId="0D4D1D9B">
            <w:pPr>
              <w:autoSpaceDE w:val="0"/>
              <w:autoSpaceDN w:val="0"/>
              <w:textAlignment w:val="bottom"/>
              <w:rPr>
                <w:rFonts w:ascii="宋体" w:hAnsi="宋体" w:cs="Arial"/>
                <w:b/>
                <w:color w:val="auto"/>
                <w:highlight w:val="none"/>
              </w:rPr>
            </w:pPr>
          </w:p>
        </w:tc>
        <w:tc>
          <w:tcPr>
            <w:tcW w:w="1860" w:type="dxa"/>
          </w:tcPr>
          <w:p w14:paraId="62756C4B">
            <w:pPr>
              <w:autoSpaceDE w:val="0"/>
              <w:autoSpaceDN w:val="0"/>
              <w:textAlignment w:val="bottom"/>
              <w:rPr>
                <w:rFonts w:ascii="宋体" w:hAnsi="宋体" w:cs="Arial"/>
                <w:b/>
                <w:color w:val="auto"/>
                <w:highlight w:val="none"/>
              </w:rPr>
            </w:pPr>
          </w:p>
        </w:tc>
      </w:tr>
      <w:tr w14:paraId="36286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1B364D00">
            <w:pPr>
              <w:autoSpaceDE w:val="0"/>
              <w:autoSpaceDN w:val="0"/>
              <w:textAlignment w:val="bottom"/>
              <w:rPr>
                <w:rFonts w:ascii="宋体" w:hAnsi="宋体" w:cs="Arial"/>
                <w:b/>
                <w:color w:val="auto"/>
                <w:highlight w:val="none"/>
              </w:rPr>
            </w:pPr>
          </w:p>
        </w:tc>
        <w:tc>
          <w:tcPr>
            <w:tcW w:w="1632" w:type="dxa"/>
          </w:tcPr>
          <w:p w14:paraId="0D34B924">
            <w:pPr>
              <w:autoSpaceDE w:val="0"/>
              <w:autoSpaceDN w:val="0"/>
              <w:textAlignment w:val="bottom"/>
              <w:rPr>
                <w:rFonts w:ascii="宋体" w:hAnsi="宋体" w:cs="Arial"/>
                <w:b/>
                <w:color w:val="auto"/>
                <w:highlight w:val="none"/>
              </w:rPr>
            </w:pPr>
          </w:p>
        </w:tc>
        <w:tc>
          <w:tcPr>
            <w:tcW w:w="2388" w:type="dxa"/>
          </w:tcPr>
          <w:p w14:paraId="3AAF6023">
            <w:pPr>
              <w:autoSpaceDE w:val="0"/>
              <w:autoSpaceDN w:val="0"/>
              <w:textAlignment w:val="bottom"/>
              <w:rPr>
                <w:rFonts w:ascii="宋体" w:hAnsi="宋体" w:cs="Arial"/>
                <w:b/>
                <w:color w:val="auto"/>
                <w:highlight w:val="none"/>
              </w:rPr>
            </w:pPr>
          </w:p>
        </w:tc>
        <w:tc>
          <w:tcPr>
            <w:tcW w:w="2472" w:type="dxa"/>
          </w:tcPr>
          <w:p w14:paraId="7507F22F">
            <w:pPr>
              <w:autoSpaceDE w:val="0"/>
              <w:autoSpaceDN w:val="0"/>
              <w:textAlignment w:val="bottom"/>
              <w:rPr>
                <w:rFonts w:ascii="宋体" w:hAnsi="宋体" w:cs="Arial"/>
                <w:b/>
                <w:color w:val="auto"/>
                <w:highlight w:val="none"/>
              </w:rPr>
            </w:pPr>
          </w:p>
        </w:tc>
        <w:tc>
          <w:tcPr>
            <w:tcW w:w="1860" w:type="dxa"/>
          </w:tcPr>
          <w:p w14:paraId="4CE2DC40">
            <w:pPr>
              <w:autoSpaceDE w:val="0"/>
              <w:autoSpaceDN w:val="0"/>
              <w:textAlignment w:val="bottom"/>
              <w:rPr>
                <w:rFonts w:ascii="宋体" w:hAnsi="宋体" w:cs="Arial"/>
                <w:b/>
                <w:color w:val="auto"/>
                <w:highlight w:val="none"/>
              </w:rPr>
            </w:pPr>
          </w:p>
        </w:tc>
      </w:tr>
      <w:tr w14:paraId="4160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463A4502">
            <w:pPr>
              <w:autoSpaceDE w:val="0"/>
              <w:autoSpaceDN w:val="0"/>
              <w:textAlignment w:val="bottom"/>
              <w:rPr>
                <w:rFonts w:ascii="宋体" w:hAnsi="宋体" w:cs="Arial"/>
                <w:b/>
                <w:color w:val="auto"/>
                <w:highlight w:val="none"/>
              </w:rPr>
            </w:pPr>
          </w:p>
        </w:tc>
        <w:tc>
          <w:tcPr>
            <w:tcW w:w="1632" w:type="dxa"/>
          </w:tcPr>
          <w:p w14:paraId="44764427">
            <w:pPr>
              <w:autoSpaceDE w:val="0"/>
              <w:autoSpaceDN w:val="0"/>
              <w:textAlignment w:val="bottom"/>
              <w:rPr>
                <w:rFonts w:ascii="宋体" w:hAnsi="宋体" w:cs="Arial"/>
                <w:b/>
                <w:color w:val="auto"/>
                <w:highlight w:val="none"/>
              </w:rPr>
            </w:pPr>
          </w:p>
        </w:tc>
        <w:tc>
          <w:tcPr>
            <w:tcW w:w="2388" w:type="dxa"/>
          </w:tcPr>
          <w:p w14:paraId="082171A0">
            <w:pPr>
              <w:autoSpaceDE w:val="0"/>
              <w:autoSpaceDN w:val="0"/>
              <w:textAlignment w:val="bottom"/>
              <w:rPr>
                <w:rFonts w:ascii="宋体" w:hAnsi="宋体" w:cs="Arial"/>
                <w:b/>
                <w:color w:val="auto"/>
                <w:highlight w:val="none"/>
              </w:rPr>
            </w:pPr>
          </w:p>
        </w:tc>
        <w:tc>
          <w:tcPr>
            <w:tcW w:w="2472" w:type="dxa"/>
          </w:tcPr>
          <w:p w14:paraId="0610B85B">
            <w:pPr>
              <w:autoSpaceDE w:val="0"/>
              <w:autoSpaceDN w:val="0"/>
              <w:textAlignment w:val="bottom"/>
              <w:rPr>
                <w:rFonts w:ascii="宋体" w:hAnsi="宋体" w:cs="Arial"/>
                <w:b/>
                <w:color w:val="auto"/>
                <w:highlight w:val="none"/>
              </w:rPr>
            </w:pPr>
          </w:p>
        </w:tc>
        <w:tc>
          <w:tcPr>
            <w:tcW w:w="1860" w:type="dxa"/>
          </w:tcPr>
          <w:p w14:paraId="4A7D3B7F">
            <w:pPr>
              <w:autoSpaceDE w:val="0"/>
              <w:autoSpaceDN w:val="0"/>
              <w:textAlignment w:val="bottom"/>
              <w:rPr>
                <w:rFonts w:ascii="宋体" w:hAnsi="宋体" w:cs="Arial"/>
                <w:b/>
                <w:color w:val="auto"/>
                <w:highlight w:val="none"/>
              </w:rPr>
            </w:pPr>
          </w:p>
        </w:tc>
      </w:tr>
      <w:tr w14:paraId="06A9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2845CA87">
            <w:pPr>
              <w:autoSpaceDE w:val="0"/>
              <w:autoSpaceDN w:val="0"/>
              <w:textAlignment w:val="bottom"/>
              <w:rPr>
                <w:rFonts w:ascii="宋体" w:hAnsi="宋体" w:cs="Arial"/>
                <w:b/>
                <w:color w:val="auto"/>
                <w:highlight w:val="none"/>
              </w:rPr>
            </w:pPr>
          </w:p>
        </w:tc>
        <w:tc>
          <w:tcPr>
            <w:tcW w:w="1632" w:type="dxa"/>
          </w:tcPr>
          <w:p w14:paraId="18775F5B">
            <w:pPr>
              <w:autoSpaceDE w:val="0"/>
              <w:autoSpaceDN w:val="0"/>
              <w:textAlignment w:val="bottom"/>
              <w:rPr>
                <w:rFonts w:ascii="宋体" w:hAnsi="宋体" w:cs="Arial"/>
                <w:b/>
                <w:color w:val="auto"/>
                <w:highlight w:val="none"/>
              </w:rPr>
            </w:pPr>
          </w:p>
        </w:tc>
        <w:tc>
          <w:tcPr>
            <w:tcW w:w="2388" w:type="dxa"/>
          </w:tcPr>
          <w:p w14:paraId="3691F662">
            <w:pPr>
              <w:autoSpaceDE w:val="0"/>
              <w:autoSpaceDN w:val="0"/>
              <w:textAlignment w:val="bottom"/>
              <w:rPr>
                <w:rFonts w:ascii="宋体" w:hAnsi="宋体" w:cs="Arial"/>
                <w:b/>
                <w:color w:val="auto"/>
                <w:highlight w:val="none"/>
              </w:rPr>
            </w:pPr>
          </w:p>
        </w:tc>
        <w:tc>
          <w:tcPr>
            <w:tcW w:w="2472" w:type="dxa"/>
          </w:tcPr>
          <w:p w14:paraId="18A5DCA7">
            <w:pPr>
              <w:autoSpaceDE w:val="0"/>
              <w:autoSpaceDN w:val="0"/>
              <w:textAlignment w:val="bottom"/>
              <w:rPr>
                <w:rFonts w:ascii="宋体" w:hAnsi="宋体" w:cs="Arial"/>
                <w:b/>
                <w:color w:val="auto"/>
                <w:highlight w:val="none"/>
              </w:rPr>
            </w:pPr>
          </w:p>
        </w:tc>
        <w:tc>
          <w:tcPr>
            <w:tcW w:w="1860" w:type="dxa"/>
          </w:tcPr>
          <w:p w14:paraId="2E0EBE59">
            <w:pPr>
              <w:autoSpaceDE w:val="0"/>
              <w:autoSpaceDN w:val="0"/>
              <w:textAlignment w:val="bottom"/>
              <w:rPr>
                <w:rFonts w:ascii="宋体" w:hAnsi="宋体" w:cs="Arial"/>
                <w:b/>
                <w:color w:val="auto"/>
                <w:highlight w:val="none"/>
              </w:rPr>
            </w:pPr>
          </w:p>
        </w:tc>
      </w:tr>
      <w:tr w14:paraId="5AB06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2170EB9C">
            <w:pPr>
              <w:autoSpaceDE w:val="0"/>
              <w:autoSpaceDN w:val="0"/>
              <w:textAlignment w:val="bottom"/>
              <w:rPr>
                <w:rFonts w:ascii="宋体" w:hAnsi="宋体" w:cs="Arial"/>
                <w:b/>
                <w:color w:val="auto"/>
                <w:highlight w:val="none"/>
              </w:rPr>
            </w:pPr>
          </w:p>
        </w:tc>
        <w:tc>
          <w:tcPr>
            <w:tcW w:w="1632" w:type="dxa"/>
          </w:tcPr>
          <w:p w14:paraId="040B93D2">
            <w:pPr>
              <w:autoSpaceDE w:val="0"/>
              <w:autoSpaceDN w:val="0"/>
              <w:textAlignment w:val="bottom"/>
              <w:rPr>
                <w:rFonts w:ascii="宋体" w:hAnsi="宋体" w:cs="Arial"/>
                <w:b/>
                <w:color w:val="auto"/>
                <w:highlight w:val="none"/>
              </w:rPr>
            </w:pPr>
          </w:p>
        </w:tc>
        <w:tc>
          <w:tcPr>
            <w:tcW w:w="2388" w:type="dxa"/>
          </w:tcPr>
          <w:p w14:paraId="4B329217">
            <w:pPr>
              <w:autoSpaceDE w:val="0"/>
              <w:autoSpaceDN w:val="0"/>
              <w:textAlignment w:val="bottom"/>
              <w:rPr>
                <w:rFonts w:ascii="宋体" w:hAnsi="宋体" w:cs="Arial"/>
                <w:b/>
                <w:color w:val="auto"/>
                <w:highlight w:val="none"/>
              </w:rPr>
            </w:pPr>
          </w:p>
        </w:tc>
        <w:tc>
          <w:tcPr>
            <w:tcW w:w="2472" w:type="dxa"/>
          </w:tcPr>
          <w:p w14:paraId="6E1B5C09">
            <w:pPr>
              <w:autoSpaceDE w:val="0"/>
              <w:autoSpaceDN w:val="0"/>
              <w:textAlignment w:val="bottom"/>
              <w:rPr>
                <w:rFonts w:ascii="宋体" w:hAnsi="宋体" w:cs="Arial"/>
                <w:b/>
                <w:color w:val="auto"/>
                <w:highlight w:val="none"/>
              </w:rPr>
            </w:pPr>
          </w:p>
        </w:tc>
        <w:tc>
          <w:tcPr>
            <w:tcW w:w="1860" w:type="dxa"/>
          </w:tcPr>
          <w:p w14:paraId="2AA6C3C0">
            <w:pPr>
              <w:autoSpaceDE w:val="0"/>
              <w:autoSpaceDN w:val="0"/>
              <w:textAlignment w:val="bottom"/>
              <w:rPr>
                <w:rFonts w:ascii="宋体" w:hAnsi="宋体" w:cs="Arial"/>
                <w:b/>
                <w:color w:val="auto"/>
                <w:highlight w:val="none"/>
              </w:rPr>
            </w:pPr>
          </w:p>
        </w:tc>
      </w:tr>
      <w:tr w14:paraId="2FA6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01" w:type="dxa"/>
          </w:tcPr>
          <w:p w14:paraId="3C836A65">
            <w:pPr>
              <w:autoSpaceDE w:val="0"/>
              <w:autoSpaceDN w:val="0"/>
              <w:textAlignment w:val="bottom"/>
              <w:rPr>
                <w:rFonts w:ascii="宋体" w:hAnsi="宋体" w:cs="Arial"/>
                <w:b/>
                <w:color w:val="auto"/>
                <w:highlight w:val="none"/>
              </w:rPr>
            </w:pPr>
          </w:p>
        </w:tc>
        <w:tc>
          <w:tcPr>
            <w:tcW w:w="1632" w:type="dxa"/>
          </w:tcPr>
          <w:p w14:paraId="18956A4D">
            <w:pPr>
              <w:autoSpaceDE w:val="0"/>
              <w:autoSpaceDN w:val="0"/>
              <w:textAlignment w:val="bottom"/>
              <w:rPr>
                <w:rFonts w:ascii="宋体" w:hAnsi="宋体" w:cs="Arial"/>
                <w:b/>
                <w:color w:val="auto"/>
                <w:highlight w:val="none"/>
              </w:rPr>
            </w:pPr>
          </w:p>
        </w:tc>
        <w:tc>
          <w:tcPr>
            <w:tcW w:w="2388" w:type="dxa"/>
          </w:tcPr>
          <w:p w14:paraId="371BDBFF">
            <w:pPr>
              <w:autoSpaceDE w:val="0"/>
              <w:autoSpaceDN w:val="0"/>
              <w:textAlignment w:val="bottom"/>
              <w:rPr>
                <w:rFonts w:ascii="宋体" w:hAnsi="宋体" w:cs="Arial"/>
                <w:b/>
                <w:color w:val="auto"/>
                <w:highlight w:val="none"/>
              </w:rPr>
            </w:pPr>
          </w:p>
        </w:tc>
        <w:tc>
          <w:tcPr>
            <w:tcW w:w="2472" w:type="dxa"/>
          </w:tcPr>
          <w:p w14:paraId="42D39F2D">
            <w:pPr>
              <w:autoSpaceDE w:val="0"/>
              <w:autoSpaceDN w:val="0"/>
              <w:textAlignment w:val="bottom"/>
              <w:rPr>
                <w:rFonts w:ascii="宋体" w:hAnsi="宋体" w:cs="Arial"/>
                <w:b/>
                <w:color w:val="auto"/>
                <w:highlight w:val="none"/>
              </w:rPr>
            </w:pPr>
          </w:p>
        </w:tc>
        <w:tc>
          <w:tcPr>
            <w:tcW w:w="1860" w:type="dxa"/>
          </w:tcPr>
          <w:p w14:paraId="4B8E5D82">
            <w:pPr>
              <w:autoSpaceDE w:val="0"/>
              <w:autoSpaceDN w:val="0"/>
              <w:textAlignment w:val="bottom"/>
              <w:rPr>
                <w:rFonts w:ascii="宋体" w:hAnsi="宋体" w:cs="Arial"/>
                <w:b/>
                <w:color w:val="auto"/>
                <w:highlight w:val="none"/>
              </w:rPr>
            </w:pPr>
          </w:p>
        </w:tc>
      </w:tr>
      <w:tr w14:paraId="59A7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01" w:type="dxa"/>
          </w:tcPr>
          <w:p w14:paraId="1543682D">
            <w:pPr>
              <w:autoSpaceDE w:val="0"/>
              <w:autoSpaceDN w:val="0"/>
              <w:textAlignment w:val="bottom"/>
              <w:rPr>
                <w:rFonts w:ascii="宋体" w:hAnsi="宋体" w:cs="Arial"/>
                <w:b/>
                <w:color w:val="auto"/>
                <w:highlight w:val="none"/>
              </w:rPr>
            </w:pPr>
          </w:p>
        </w:tc>
        <w:tc>
          <w:tcPr>
            <w:tcW w:w="1632" w:type="dxa"/>
          </w:tcPr>
          <w:p w14:paraId="560039D3">
            <w:pPr>
              <w:autoSpaceDE w:val="0"/>
              <w:autoSpaceDN w:val="0"/>
              <w:textAlignment w:val="bottom"/>
              <w:rPr>
                <w:rFonts w:ascii="宋体" w:hAnsi="宋体" w:cs="Arial"/>
                <w:b/>
                <w:color w:val="auto"/>
                <w:highlight w:val="none"/>
              </w:rPr>
            </w:pPr>
          </w:p>
        </w:tc>
        <w:tc>
          <w:tcPr>
            <w:tcW w:w="2388" w:type="dxa"/>
          </w:tcPr>
          <w:p w14:paraId="61B72553">
            <w:pPr>
              <w:autoSpaceDE w:val="0"/>
              <w:autoSpaceDN w:val="0"/>
              <w:textAlignment w:val="bottom"/>
              <w:rPr>
                <w:rFonts w:ascii="宋体" w:hAnsi="宋体" w:cs="Arial"/>
                <w:b/>
                <w:color w:val="auto"/>
                <w:highlight w:val="none"/>
              </w:rPr>
            </w:pPr>
          </w:p>
        </w:tc>
        <w:tc>
          <w:tcPr>
            <w:tcW w:w="2472" w:type="dxa"/>
          </w:tcPr>
          <w:p w14:paraId="4A1FBA8B">
            <w:pPr>
              <w:autoSpaceDE w:val="0"/>
              <w:autoSpaceDN w:val="0"/>
              <w:textAlignment w:val="bottom"/>
              <w:rPr>
                <w:rFonts w:ascii="宋体" w:hAnsi="宋体" w:cs="Arial"/>
                <w:b/>
                <w:color w:val="auto"/>
                <w:highlight w:val="none"/>
              </w:rPr>
            </w:pPr>
          </w:p>
        </w:tc>
        <w:tc>
          <w:tcPr>
            <w:tcW w:w="1860" w:type="dxa"/>
          </w:tcPr>
          <w:p w14:paraId="3E4434B9">
            <w:pPr>
              <w:autoSpaceDE w:val="0"/>
              <w:autoSpaceDN w:val="0"/>
              <w:textAlignment w:val="bottom"/>
              <w:rPr>
                <w:rFonts w:ascii="宋体" w:hAnsi="宋体" w:cs="Arial"/>
                <w:b/>
                <w:color w:val="auto"/>
                <w:highlight w:val="none"/>
              </w:rPr>
            </w:pPr>
          </w:p>
        </w:tc>
      </w:tr>
    </w:tbl>
    <w:p w14:paraId="06727159">
      <w:pPr>
        <w:autoSpaceDE w:val="0"/>
        <w:autoSpaceDN w:val="0"/>
        <w:textAlignment w:val="bottom"/>
        <w:rPr>
          <w:rFonts w:ascii="宋体" w:hAnsi="宋体" w:cs="Arial"/>
          <w:color w:val="auto"/>
          <w:sz w:val="24"/>
          <w:highlight w:val="none"/>
        </w:rPr>
      </w:pPr>
    </w:p>
    <w:p w14:paraId="6F731DD9">
      <w:pPr>
        <w:pStyle w:val="21"/>
        <w:spacing w:before="156"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2E4D08B7">
      <w:pPr>
        <w:pStyle w:val="21"/>
        <w:tabs>
          <w:tab w:val="left" w:pos="4890"/>
        </w:tabs>
        <w:spacing w:before="120"/>
        <w:rPr>
          <w:rFonts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5C542A1F">
      <w:pPr>
        <w:autoSpaceDE w:val="0"/>
        <w:autoSpaceDN w:val="0"/>
        <w:spacing w:line="360" w:lineRule="auto"/>
        <w:textAlignment w:val="bottom"/>
        <w:rPr>
          <w:rFonts w:ascii="宋体" w:hAnsi="宋体" w:cs="Arial"/>
          <w:color w:val="auto"/>
          <w:sz w:val="24"/>
          <w:highlight w:val="none"/>
        </w:rPr>
      </w:pPr>
    </w:p>
    <w:p w14:paraId="23E0D8B5">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03E64B62">
      <w:pPr>
        <w:autoSpaceDE w:val="0"/>
        <w:autoSpaceDN w:val="0"/>
        <w:spacing w:line="360" w:lineRule="auto"/>
        <w:textAlignment w:val="bottom"/>
        <w:rPr>
          <w:rFonts w:ascii="宋体" w:hAnsi="宋体" w:cs="Arial"/>
          <w:color w:val="auto"/>
          <w:sz w:val="24"/>
          <w:highlight w:val="none"/>
        </w:rPr>
      </w:pPr>
    </w:p>
    <w:p w14:paraId="34E6A7D9">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注：</w:t>
      </w:r>
    </w:p>
    <w:p w14:paraId="0FC200FC">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1、本表须针对招标文件“第八部分 采购需求一、技术要求”相关内容进行应答。如无偏离应标明全部无偏离，如有正、负偏离均须对偏离情况作具体说明。</w:t>
      </w:r>
    </w:p>
    <w:p w14:paraId="20AC6C29">
      <w:pPr>
        <w:pStyle w:val="21"/>
        <w:rPr>
          <w:rFonts w:hAnsi="宋体"/>
          <w:color w:val="auto"/>
          <w:sz w:val="24"/>
          <w:szCs w:val="24"/>
          <w:highlight w:val="none"/>
        </w:rPr>
      </w:pPr>
      <w:r>
        <w:rPr>
          <w:rFonts w:hint="eastAsia" w:hAnsi="宋体" w:cs="Arial"/>
          <w:color w:val="auto"/>
          <w:sz w:val="24"/>
          <w:highlight w:val="none"/>
        </w:rPr>
        <w:t>,</w:t>
      </w:r>
    </w:p>
    <w:p w14:paraId="11BE259B">
      <w:pPr>
        <w:adjustRightInd w:val="0"/>
        <w:snapToGrid w:val="0"/>
        <w:spacing w:before="156" w:beforeLines="50" w:after="156" w:afterLines="50" w:line="360" w:lineRule="auto"/>
        <w:jc w:val="center"/>
        <w:rPr>
          <w:rFonts w:ascii="宋体" w:hAnsi="宋体"/>
          <w:b/>
          <w:color w:val="auto"/>
          <w:sz w:val="24"/>
          <w:highlight w:val="none"/>
        </w:rPr>
      </w:pPr>
      <w:r>
        <w:rPr>
          <w:rFonts w:ascii="宋体" w:hAnsi="宋体"/>
          <w:color w:val="auto"/>
          <w:sz w:val="24"/>
          <w:highlight w:val="none"/>
        </w:rPr>
        <w:br w:type="page"/>
      </w:r>
      <w:bookmarkStart w:id="247" w:name="_Toc89569916"/>
      <w:r>
        <w:rPr>
          <w:rFonts w:hint="eastAsia" w:ascii="宋体" w:hAnsi="宋体"/>
          <w:b/>
          <w:color w:val="auto"/>
          <w:sz w:val="24"/>
          <w:highlight w:val="none"/>
        </w:rPr>
        <w:t>★附件5  商务条款偏离表</w:t>
      </w:r>
      <w:bookmarkEnd w:id="247"/>
      <w:r>
        <w:rPr>
          <w:rFonts w:hint="eastAsia" w:ascii="宋体" w:hAnsi="宋体"/>
          <w:b/>
          <w:color w:val="auto"/>
          <w:sz w:val="24"/>
          <w:highlight w:val="none"/>
        </w:rPr>
        <w:t>（格式）</w:t>
      </w:r>
    </w:p>
    <w:p w14:paraId="46B57470">
      <w:pPr>
        <w:autoSpaceDE w:val="0"/>
        <w:autoSpaceDN w:val="0"/>
        <w:textAlignment w:val="bottom"/>
        <w:rPr>
          <w:rFonts w:ascii="宋体" w:hAnsi="宋体" w:cs="Arial"/>
          <w:color w:val="auto"/>
          <w:sz w:val="24"/>
          <w:highlight w:val="none"/>
        </w:rPr>
      </w:pPr>
    </w:p>
    <w:p w14:paraId="3A40D151">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63AAE817">
      <w:pPr>
        <w:autoSpaceDE w:val="0"/>
        <w:autoSpaceDN w:val="0"/>
        <w:ind w:right="471"/>
        <w:textAlignment w:val="bottom"/>
        <w:rPr>
          <w:rFonts w:ascii="宋体" w:hAnsi="宋体" w:cs="Arial"/>
          <w:color w:val="auto"/>
          <w:sz w:val="24"/>
          <w:highlight w:val="none"/>
          <w:u w:val="single"/>
        </w:rPr>
      </w:pPr>
    </w:p>
    <w:p w14:paraId="2E96A820">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64BCB16F">
      <w:pPr>
        <w:autoSpaceDE w:val="0"/>
        <w:autoSpaceDN w:val="0"/>
        <w:ind w:right="471"/>
        <w:textAlignment w:val="bottom"/>
        <w:rPr>
          <w:rFonts w:ascii="宋体" w:hAnsi="宋体" w:cs="Arial"/>
          <w:color w:val="auto"/>
          <w:sz w:val="24"/>
          <w:highlight w:val="none"/>
          <w:u w:val="single"/>
        </w:rPr>
      </w:pPr>
    </w:p>
    <w:p w14:paraId="35EFD90D">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4D668683">
      <w:pPr>
        <w:autoSpaceDE w:val="0"/>
        <w:autoSpaceDN w:val="0"/>
        <w:textAlignment w:val="bottom"/>
        <w:rPr>
          <w:rFonts w:ascii="宋体" w:hAnsi="宋体" w:cs="Arial"/>
          <w:color w:val="auto"/>
          <w:sz w:val="24"/>
          <w:highlight w:val="none"/>
        </w:rPr>
      </w:pPr>
    </w:p>
    <w:tbl>
      <w:tblPr>
        <w:tblStyle w:val="40"/>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716"/>
        <w:gridCol w:w="2532"/>
        <w:gridCol w:w="2188"/>
        <w:gridCol w:w="1638"/>
      </w:tblGrid>
      <w:tr w14:paraId="5E1C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25" w:type="dxa"/>
            <w:vAlign w:val="center"/>
          </w:tcPr>
          <w:p w14:paraId="714331AB">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序号</w:t>
            </w:r>
          </w:p>
        </w:tc>
        <w:tc>
          <w:tcPr>
            <w:tcW w:w="1716" w:type="dxa"/>
            <w:vAlign w:val="center"/>
          </w:tcPr>
          <w:p w14:paraId="39D56468">
            <w:pPr>
              <w:autoSpaceDE w:val="0"/>
              <w:autoSpaceDN w:val="0"/>
              <w:jc w:val="center"/>
              <w:textAlignment w:val="bottom"/>
              <w:rPr>
                <w:rFonts w:ascii="宋体" w:hAnsi="宋体" w:cs="Arial"/>
                <w:color w:val="auto"/>
                <w:sz w:val="24"/>
                <w:highlight w:val="none"/>
              </w:rPr>
            </w:pPr>
            <w:r>
              <w:rPr>
                <w:rFonts w:hint="eastAsia" w:ascii="宋体" w:hAnsi="宋体" w:cs="Arial"/>
                <w:color w:val="auto"/>
                <w:sz w:val="24"/>
                <w:highlight w:val="none"/>
              </w:rPr>
              <w:t>招标文件</w:t>
            </w:r>
          </w:p>
          <w:p w14:paraId="4A79CA37">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内容条目号</w:t>
            </w:r>
          </w:p>
        </w:tc>
        <w:tc>
          <w:tcPr>
            <w:tcW w:w="2532" w:type="dxa"/>
            <w:vAlign w:val="center"/>
          </w:tcPr>
          <w:p w14:paraId="3D4F710E">
            <w:pPr>
              <w:tabs>
                <w:tab w:val="left" w:pos="1431"/>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招标文件要求</w:t>
            </w:r>
          </w:p>
        </w:tc>
        <w:tc>
          <w:tcPr>
            <w:tcW w:w="2188" w:type="dxa"/>
            <w:vAlign w:val="center"/>
          </w:tcPr>
          <w:p w14:paraId="2BB0EE18">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投标文件响应内容</w:t>
            </w:r>
          </w:p>
        </w:tc>
        <w:tc>
          <w:tcPr>
            <w:tcW w:w="1638" w:type="dxa"/>
            <w:vAlign w:val="center"/>
          </w:tcPr>
          <w:p w14:paraId="3DAAD78D">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偏离说明</w:t>
            </w:r>
          </w:p>
        </w:tc>
      </w:tr>
      <w:tr w14:paraId="01B7C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3F7D2F8">
            <w:pPr>
              <w:autoSpaceDE w:val="0"/>
              <w:autoSpaceDN w:val="0"/>
              <w:textAlignment w:val="bottom"/>
              <w:rPr>
                <w:rFonts w:ascii="宋体" w:hAnsi="宋体" w:cs="Arial"/>
                <w:color w:val="auto"/>
                <w:highlight w:val="none"/>
              </w:rPr>
            </w:pPr>
          </w:p>
        </w:tc>
        <w:tc>
          <w:tcPr>
            <w:tcW w:w="1716" w:type="dxa"/>
          </w:tcPr>
          <w:p w14:paraId="0565605E">
            <w:pPr>
              <w:autoSpaceDE w:val="0"/>
              <w:autoSpaceDN w:val="0"/>
              <w:textAlignment w:val="bottom"/>
              <w:rPr>
                <w:rFonts w:ascii="宋体" w:hAnsi="宋体" w:cs="Arial"/>
                <w:color w:val="auto"/>
                <w:highlight w:val="none"/>
              </w:rPr>
            </w:pPr>
          </w:p>
          <w:p w14:paraId="1D2EBBC2">
            <w:pPr>
              <w:autoSpaceDE w:val="0"/>
              <w:autoSpaceDN w:val="0"/>
              <w:textAlignment w:val="bottom"/>
              <w:rPr>
                <w:rFonts w:ascii="宋体" w:hAnsi="宋体" w:cs="Arial"/>
                <w:color w:val="auto"/>
                <w:highlight w:val="none"/>
              </w:rPr>
            </w:pPr>
          </w:p>
        </w:tc>
        <w:tc>
          <w:tcPr>
            <w:tcW w:w="2532" w:type="dxa"/>
          </w:tcPr>
          <w:p w14:paraId="24E5D181">
            <w:pPr>
              <w:autoSpaceDE w:val="0"/>
              <w:autoSpaceDN w:val="0"/>
              <w:textAlignment w:val="bottom"/>
              <w:rPr>
                <w:rFonts w:ascii="宋体" w:hAnsi="宋体" w:cs="Arial"/>
                <w:color w:val="auto"/>
                <w:highlight w:val="none"/>
              </w:rPr>
            </w:pPr>
          </w:p>
        </w:tc>
        <w:tc>
          <w:tcPr>
            <w:tcW w:w="2188" w:type="dxa"/>
          </w:tcPr>
          <w:p w14:paraId="1FA2F50B">
            <w:pPr>
              <w:autoSpaceDE w:val="0"/>
              <w:autoSpaceDN w:val="0"/>
              <w:textAlignment w:val="bottom"/>
              <w:rPr>
                <w:rFonts w:ascii="宋体" w:hAnsi="宋体" w:cs="Arial"/>
                <w:color w:val="auto"/>
                <w:highlight w:val="none"/>
              </w:rPr>
            </w:pPr>
          </w:p>
        </w:tc>
        <w:tc>
          <w:tcPr>
            <w:tcW w:w="1638" w:type="dxa"/>
          </w:tcPr>
          <w:p w14:paraId="499F5CCB">
            <w:pPr>
              <w:autoSpaceDE w:val="0"/>
              <w:autoSpaceDN w:val="0"/>
              <w:textAlignment w:val="bottom"/>
              <w:rPr>
                <w:rFonts w:ascii="宋体" w:hAnsi="宋体" w:cs="Arial"/>
                <w:color w:val="auto"/>
                <w:highlight w:val="none"/>
              </w:rPr>
            </w:pPr>
          </w:p>
        </w:tc>
      </w:tr>
      <w:tr w14:paraId="4F27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18BBD7E">
            <w:pPr>
              <w:autoSpaceDE w:val="0"/>
              <w:autoSpaceDN w:val="0"/>
              <w:textAlignment w:val="bottom"/>
              <w:rPr>
                <w:rFonts w:ascii="宋体" w:hAnsi="宋体" w:cs="Arial"/>
                <w:b/>
                <w:color w:val="auto"/>
                <w:highlight w:val="none"/>
              </w:rPr>
            </w:pPr>
          </w:p>
        </w:tc>
        <w:tc>
          <w:tcPr>
            <w:tcW w:w="1716" w:type="dxa"/>
          </w:tcPr>
          <w:p w14:paraId="68F13E40">
            <w:pPr>
              <w:autoSpaceDE w:val="0"/>
              <w:autoSpaceDN w:val="0"/>
              <w:textAlignment w:val="bottom"/>
              <w:rPr>
                <w:rFonts w:ascii="宋体" w:hAnsi="宋体" w:cs="Arial"/>
                <w:b/>
                <w:color w:val="auto"/>
                <w:highlight w:val="none"/>
              </w:rPr>
            </w:pPr>
          </w:p>
          <w:p w14:paraId="09EE05EC">
            <w:pPr>
              <w:autoSpaceDE w:val="0"/>
              <w:autoSpaceDN w:val="0"/>
              <w:textAlignment w:val="bottom"/>
              <w:rPr>
                <w:rFonts w:ascii="宋体" w:hAnsi="宋体" w:cs="Arial"/>
                <w:b/>
                <w:color w:val="auto"/>
                <w:highlight w:val="none"/>
              </w:rPr>
            </w:pPr>
          </w:p>
        </w:tc>
        <w:tc>
          <w:tcPr>
            <w:tcW w:w="2532" w:type="dxa"/>
          </w:tcPr>
          <w:p w14:paraId="0B65EBF4">
            <w:pPr>
              <w:autoSpaceDE w:val="0"/>
              <w:autoSpaceDN w:val="0"/>
              <w:textAlignment w:val="bottom"/>
              <w:rPr>
                <w:rFonts w:ascii="宋体" w:hAnsi="宋体" w:cs="Arial"/>
                <w:b/>
                <w:color w:val="auto"/>
                <w:highlight w:val="none"/>
              </w:rPr>
            </w:pPr>
          </w:p>
        </w:tc>
        <w:tc>
          <w:tcPr>
            <w:tcW w:w="2188" w:type="dxa"/>
          </w:tcPr>
          <w:p w14:paraId="6019B27A">
            <w:pPr>
              <w:autoSpaceDE w:val="0"/>
              <w:autoSpaceDN w:val="0"/>
              <w:textAlignment w:val="bottom"/>
              <w:rPr>
                <w:rFonts w:ascii="宋体" w:hAnsi="宋体" w:cs="Arial"/>
                <w:b/>
                <w:color w:val="auto"/>
                <w:highlight w:val="none"/>
              </w:rPr>
            </w:pPr>
          </w:p>
        </w:tc>
        <w:tc>
          <w:tcPr>
            <w:tcW w:w="1638" w:type="dxa"/>
          </w:tcPr>
          <w:p w14:paraId="54E0CD0F">
            <w:pPr>
              <w:autoSpaceDE w:val="0"/>
              <w:autoSpaceDN w:val="0"/>
              <w:textAlignment w:val="bottom"/>
              <w:rPr>
                <w:rFonts w:ascii="宋体" w:hAnsi="宋体" w:cs="Arial"/>
                <w:b/>
                <w:color w:val="auto"/>
                <w:highlight w:val="none"/>
              </w:rPr>
            </w:pPr>
          </w:p>
        </w:tc>
      </w:tr>
      <w:tr w14:paraId="1495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BF314C1">
            <w:pPr>
              <w:autoSpaceDE w:val="0"/>
              <w:autoSpaceDN w:val="0"/>
              <w:textAlignment w:val="bottom"/>
              <w:rPr>
                <w:rFonts w:ascii="宋体" w:hAnsi="宋体" w:cs="Arial"/>
                <w:b/>
                <w:color w:val="auto"/>
                <w:highlight w:val="none"/>
              </w:rPr>
            </w:pPr>
          </w:p>
        </w:tc>
        <w:tc>
          <w:tcPr>
            <w:tcW w:w="1716" w:type="dxa"/>
          </w:tcPr>
          <w:p w14:paraId="777002D5">
            <w:pPr>
              <w:autoSpaceDE w:val="0"/>
              <w:autoSpaceDN w:val="0"/>
              <w:textAlignment w:val="bottom"/>
              <w:rPr>
                <w:rFonts w:ascii="宋体" w:hAnsi="宋体" w:cs="Arial"/>
                <w:b/>
                <w:color w:val="auto"/>
                <w:highlight w:val="none"/>
              </w:rPr>
            </w:pPr>
          </w:p>
          <w:p w14:paraId="1F29939A">
            <w:pPr>
              <w:autoSpaceDE w:val="0"/>
              <w:autoSpaceDN w:val="0"/>
              <w:textAlignment w:val="bottom"/>
              <w:rPr>
                <w:rFonts w:ascii="宋体" w:hAnsi="宋体" w:cs="Arial"/>
                <w:b/>
                <w:color w:val="auto"/>
                <w:highlight w:val="none"/>
              </w:rPr>
            </w:pPr>
          </w:p>
        </w:tc>
        <w:tc>
          <w:tcPr>
            <w:tcW w:w="2532" w:type="dxa"/>
          </w:tcPr>
          <w:p w14:paraId="191035EB">
            <w:pPr>
              <w:autoSpaceDE w:val="0"/>
              <w:autoSpaceDN w:val="0"/>
              <w:textAlignment w:val="bottom"/>
              <w:rPr>
                <w:rFonts w:ascii="宋体" w:hAnsi="宋体" w:cs="Arial"/>
                <w:b/>
                <w:color w:val="auto"/>
                <w:highlight w:val="none"/>
              </w:rPr>
            </w:pPr>
          </w:p>
        </w:tc>
        <w:tc>
          <w:tcPr>
            <w:tcW w:w="2188" w:type="dxa"/>
          </w:tcPr>
          <w:p w14:paraId="1DF129FA">
            <w:pPr>
              <w:autoSpaceDE w:val="0"/>
              <w:autoSpaceDN w:val="0"/>
              <w:textAlignment w:val="bottom"/>
              <w:rPr>
                <w:rFonts w:ascii="宋体" w:hAnsi="宋体" w:cs="Arial"/>
                <w:b/>
                <w:color w:val="auto"/>
                <w:highlight w:val="none"/>
              </w:rPr>
            </w:pPr>
          </w:p>
        </w:tc>
        <w:tc>
          <w:tcPr>
            <w:tcW w:w="1638" w:type="dxa"/>
          </w:tcPr>
          <w:p w14:paraId="47E418BD">
            <w:pPr>
              <w:autoSpaceDE w:val="0"/>
              <w:autoSpaceDN w:val="0"/>
              <w:textAlignment w:val="bottom"/>
              <w:rPr>
                <w:rFonts w:ascii="宋体" w:hAnsi="宋体" w:cs="Arial"/>
                <w:b/>
                <w:color w:val="auto"/>
                <w:highlight w:val="none"/>
              </w:rPr>
            </w:pPr>
          </w:p>
        </w:tc>
      </w:tr>
      <w:tr w14:paraId="1485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38BC9C5">
            <w:pPr>
              <w:autoSpaceDE w:val="0"/>
              <w:autoSpaceDN w:val="0"/>
              <w:textAlignment w:val="bottom"/>
              <w:rPr>
                <w:rFonts w:ascii="宋体" w:hAnsi="宋体" w:cs="Arial"/>
                <w:b/>
                <w:color w:val="auto"/>
                <w:highlight w:val="none"/>
              </w:rPr>
            </w:pPr>
          </w:p>
        </w:tc>
        <w:tc>
          <w:tcPr>
            <w:tcW w:w="1716" w:type="dxa"/>
          </w:tcPr>
          <w:p w14:paraId="34C861A2">
            <w:pPr>
              <w:autoSpaceDE w:val="0"/>
              <w:autoSpaceDN w:val="0"/>
              <w:textAlignment w:val="bottom"/>
              <w:rPr>
                <w:rFonts w:ascii="宋体" w:hAnsi="宋体" w:cs="Arial"/>
                <w:b/>
                <w:color w:val="auto"/>
                <w:highlight w:val="none"/>
              </w:rPr>
            </w:pPr>
          </w:p>
          <w:p w14:paraId="0656603E">
            <w:pPr>
              <w:autoSpaceDE w:val="0"/>
              <w:autoSpaceDN w:val="0"/>
              <w:textAlignment w:val="bottom"/>
              <w:rPr>
                <w:rFonts w:ascii="宋体" w:hAnsi="宋体" w:cs="Arial"/>
                <w:b/>
                <w:color w:val="auto"/>
                <w:highlight w:val="none"/>
              </w:rPr>
            </w:pPr>
          </w:p>
        </w:tc>
        <w:tc>
          <w:tcPr>
            <w:tcW w:w="2532" w:type="dxa"/>
          </w:tcPr>
          <w:p w14:paraId="3AB6DC94">
            <w:pPr>
              <w:autoSpaceDE w:val="0"/>
              <w:autoSpaceDN w:val="0"/>
              <w:textAlignment w:val="bottom"/>
              <w:rPr>
                <w:rFonts w:ascii="宋体" w:hAnsi="宋体" w:cs="Arial"/>
                <w:b/>
                <w:color w:val="auto"/>
                <w:highlight w:val="none"/>
              </w:rPr>
            </w:pPr>
          </w:p>
        </w:tc>
        <w:tc>
          <w:tcPr>
            <w:tcW w:w="2188" w:type="dxa"/>
          </w:tcPr>
          <w:p w14:paraId="1438DA22">
            <w:pPr>
              <w:autoSpaceDE w:val="0"/>
              <w:autoSpaceDN w:val="0"/>
              <w:textAlignment w:val="bottom"/>
              <w:rPr>
                <w:rFonts w:ascii="宋体" w:hAnsi="宋体" w:cs="Arial"/>
                <w:b/>
                <w:color w:val="auto"/>
                <w:highlight w:val="none"/>
              </w:rPr>
            </w:pPr>
          </w:p>
        </w:tc>
        <w:tc>
          <w:tcPr>
            <w:tcW w:w="1638" w:type="dxa"/>
          </w:tcPr>
          <w:p w14:paraId="6414FEF3">
            <w:pPr>
              <w:autoSpaceDE w:val="0"/>
              <w:autoSpaceDN w:val="0"/>
              <w:textAlignment w:val="bottom"/>
              <w:rPr>
                <w:rFonts w:ascii="宋体" w:hAnsi="宋体" w:cs="Arial"/>
                <w:b/>
                <w:color w:val="auto"/>
                <w:highlight w:val="none"/>
              </w:rPr>
            </w:pPr>
          </w:p>
        </w:tc>
      </w:tr>
      <w:tr w14:paraId="6D8E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50190AF">
            <w:pPr>
              <w:autoSpaceDE w:val="0"/>
              <w:autoSpaceDN w:val="0"/>
              <w:textAlignment w:val="bottom"/>
              <w:rPr>
                <w:rFonts w:ascii="宋体" w:hAnsi="宋体" w:cs="Arial"/>
                <w:b/>
                <w:color w:val="auto"/>
                <w:highlight w:val="none"/>
              </w:rPr>
            </w:pPr>
          </w:p>
        </w:tc>
        <w:tc>
          <w:tcPr>
            <w:tcW w:w="1716" w:type="dxa"/>
          </w:tcPr>
          <w:p w14:paraId="081883C9">
            <w:pPr>
              <w:autoSpaceDE w:val="0"/>
              <w:autoSpaceDN w:val="0"/>
              <w:textAlignment w:val="bottom"/>
              <w:rPr>
                <w:rFonts w:ascii="宋体" w:hAnsi="宋体" w:cs="Arial"/>
                <w:b/>
                <w:color w:val="auto"/>
                <w:highlight w:val="none"/>
              </w:rPr>
            </w:pPr>
          </w:p>
          <w:p w14:paraId="2F847350">
            <w:pPr>
              <w:autoSpaceDE w:val="0"/>
              <w:autoSpaceDN w:val="0"/>
              <w:textAlignment w:val="bottom"/>
              <w:rPr>
                <w:rFonts w:ascii="宋体" w:hAnsi="宋体" w:cs="Arial"/>
                <w:b/>
                <w:color w:val="auto"/>
                <w:highlight w:val="none"/>
              </w:rPr>
            </w:pPr>
          </w:p>
        </w:tc>
        <w:tc>
          <w:tcPr>
            <w:tcW w:w="2532" w:type="dxa"/>
          </w:tcPr>
          <w:p w14:paraId="07488DDF">
            <w:pPr>
              <w:autoSpaceDE w:val="0"/>
              <w:autoSpaceDN w:val="0"/>
              <w:textAlignment w:val="bottom"/>
              <w:rPr>
                <w:rFonts w:ascii="宋体" w:hAnsi="宋体" w:cs="Arial"/>
                <w:b/>
                <w:color w:val="auto"/>
                <w:highlight w:val="none"/>
              </w:rPr>
            </w:pPr>
          </w:p>
        </w:tc>
        <w:tc>
          <w:tcPr>
            <w:tcW w:w="2188" w:type="dxa"/>
          </w:tcPr>
          <w:p w14:paraId="05775445">
            <w:pPr>
              <w:autoSpaceDE w:val="0"/>
              <w:autoSpaceDN w:val="0"/>
              <w:textAlignment w:val="bottom"/>
              <w:rPr>
                <w:rFonts w:ascii="宋体" w:hAnsi="宋体" w:cs="Arial"/>
                <w:b/>
                <w:color w:val="auto"/>
                <w:highlight w:val="none"/>
              </w:rPr>
            </w:pPr>
          </w:p>
        </w:tc>
        <w:tc>
          <w:tcPr>
            <w:tcW w:w="1638" w:type="dxa"/>
          </w:tcPr>
          <w:p w14:paraId="4DE88DA4">
            <w:pPr>
              <w:autoSpaceDE w:val="0"/>
              <w:autoSpaceDN w:val="0"/>
              <w:textAlignment w:val="bottom"/>
              <w:rPr>
                <w:rFonts w:ascii="宋体" w:hAnsi="宋体" w:cs="Arial"/>
                <w:b/>
                <w:color w:val="auto"/>
                <w:highlight w:val="none"/>
              </w:rPr>
            </w:pPr>
          </w:p>
        </w:tc>
      </w:tr>
      <w:tr w14:paraId="2CF5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8112053">
            <w:pPr>
              <w:autoSpaceDE w:val="0"/>
              <w:autoSpaceDN w:val="0"/>
              <w:textAlignment w:val="bottom"/>
              <w:rPr>
                <w:rFonts w:ascii="宋体" w:hAnsi="宋体" w:cs="Arial"/>
                <w:b/>
                <w:color w:val="auto"/>
                <w:highlight w:val="none"/>
              </w:rPr>
            </w:pPr>
          </w:p>
        </w:tc>
        <w:tc>
          <w:tcPr>
            <w:tcW w:w="1716" w:type="dxa"/>
          </w:tcPr>
          <w:p w14:paraId="6411D9F4">
            <w:pPr>
              <w:autoSpaceDE w:val="0"/>
              <w:autoSpaceDN w:val="0"/>
              <w:textAlignment w:val="bottom"/>
              <w:rPr>
                <w:rFonts w:ascii="宋体" w:hAnsi="宋体" w:cs="Arial"/>
                <w:b/>
                <w:color w:val="auto"/>
                <w:highlight w:val="none"/>
              </w:rPr>
            </w:pPr>
          </w:p>
          <w:p w14:paraId="1BE362A0">
            <w:pPr>
              <w:autoSpaceDE w:val="0"/>
              <w:autoSpaceDN w:val="0"/>
              <w:textAlignment w:val="bottom"/>
              <w:rPr>
                <w:rFonts w:ascii="宋体" w:hAnsi="宋体" w:cs="Arial"/>
                <w:b/>
                <w:color w:val="auto"/>
                <w:highlight w:val="none"/>
              </w:rPr>
            </w:pPr>
          </w:p>
        </w:tc>
        <w:tc>
          <w:tcPr>
            <w:tcW w:w="2532" w:type="dxa"/>
          </w:tcPr>
          <w:p w14:paraId="7D4B46B3">
            <w:pPr>
              <w:autoSpaceDE w:val="0"/>
              <w:autoSpaceDN w:val="0"/>
              <w:textAlignment w:val="bottom"/>
              <w:rPr>
                <w:rFonts w:ascii="宋体" w:hAnsi="宋体" w:cs="Arial"/>
                <w:b/>
                <w:color w:val="auto"/>
                <w:highlight w:val="none"/>
              </w:rPr>
            </w:pPr>
          </w:p>
        </w:tc>
        <w:tc>
          <w:tcPr>
            <w:tcW w:w="2188" w:type="dxa"/>
          </w:tcPr>
          <w:p w14:paraId="4BE4322B">
            <w:pPr>
              <w:autoSpaceDE w:val="0"/>
              <w:autoSpaceDN w:val="0"/>
              <w:textAlignment w:val="bottom"/>
              <w:rPr>
                <w:rFonts w:ascii="宋体" w:hAnsi="宋体" w:cs="Arial"/>
                <w:b/>
                <w:color w:val="auto"/>
                <w:highlight w:val="none"/>
              </w:rPr>
            </w:pPr>
          </w:p>
        </w:tc>
        <w:tc>
          <w:tcPr>
            <w:tcW w:w="1638" w:type="dxa"/>
          </w:tcPr>
          <w:p w14:paraId="0C658041">
            <w:pPr>
              <w:autoSpaceDE w:val="0"/>
              <w:autoSpaceDN w:val="0"/>
              <w:textAlignment w:val="bottom"/>
              <w:rPr>
                <w:rFonts w:ascii="宋体" w:hAnsi="宋体" w:cs="Arial"/>
                <w:b/>
                <w:color w:val="auto"/>
                <w:highlight w:val="none"/>
              </w:rPr>
            </w:pPr>
          </w:p>
        </w:tc>
      </w:tr>
      <w:tr w14:paraId="293C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1DB74C6">
            <w:pPr>
              <w:autoSpaceDE w:val="0"/>
              <w:autoSpaceDN w:val="0"/>
              <w:textAlignment w:val="bottom"/>
              <w:rPr>
                <w:rFonts w:ascii="宋体" w:hAnsi="宋体" w:cs="Arial"/>
                <w:b/>
                <w:color w:val="auto"/>
                <w:highlight w:val="none"/>
              </w:rPr>
            </w:pPr>
          </w:p>
        </w:tc>
        <w:tc>
          <w:tcPr>
            <w:tcW w:w="1716" w:type="dxa"/>
          </w:tcPr>
          <w:p w14:paraId="0B1BD41B">
            <w:pPr>
              <w:autoSpaceDE w:val="0"/>
              <w:autoSpaceDN w:val="0"/>
              <w:textAlignment w:val="bottom"/>
              <w:rPr>
                <w:rFonts w:ascii="宋体" w:hAnsi="宋体" w:cs="Arial"/>
                <w:b/>
                <w:color w:val="auto"/>
                <w:highlight w:val="none"/>
              </w:rPr>
            </w:pPr>
          </w:p>
          <w:p w14:paraId="45A4D32B">
            <w:pPr>
              <w:autoSpaceDE w:val="0"/>
              <w:autoSpaceDN w:val="0"/>
              <w:textAlignment w:val="bottom"/>
              <w:rPr>
                <w:rFonts w:ascii="宋体" w:hAnsi="宋体" w:cs="Arial"/>
                <w:b/>
                <w:color w:val="auto"/>
                <w:highlight w:val="none"/>
              </w:rPr>
            </w:pPr>
          </w:p>
        </w:tc>
        <w:tc>
          <w:tcPr>
            <w:tcW w:w="2532" w:type="dxa"/>
          </w:tcPr>
          <w:p w14:paraId="5F45FDC6">
            <w:pPr>
              <w:autoSpaceDE w:val="0"/>
              <w:autoSpaceDN w:val="0"/>
              <w:textAlignment w:val="bottom"/>
              <w:rPr>
                <w:rFonts w:ascii="宋体" w:hAnsi="宋体" w:cs="Arial"/>
                <w:b/>
                <w:color w:val="auto"/>
                <w:highlight w:val="none"/>
              </w:rPr>
            </w:pPr>
          </w:p>
        </w:tc>
        <w:tc>
          <w:tcPr>
            <w:tcW w:w="2188" w:type="dxa"/>
          </w:tcPr>
          <w:p w14:paraId="1B257703">
            <w:pPr>
              <w:autoSpaceDE w:val="0"/>
              <w:autoSpaceDN w:val="0"/>
              <w:textAlignment w:val="bottom"/>
              <w:rPr>
                <w:rFonts w:ascii="宋体" w:hAnsi="宋体" w:cs="Arial"/>
                <w:b/>
                <w:color w:val="auto"/>
                <w:highlight w:val="none"/>
              </w:rPr>
            </w:pPr>
          </w:p>
        </w:tc>
        <w:tc>
          <w:tcPr>
            <w:tcW w:w="1638" w:type="dxa"/>
          </w:tcPr>
          <w:p w14:paraId="07537F04">
            <w:pPr>
              <w:autoSpaceDE w:val="0"/>
              <w:autoSpaceDN w:val="0"/>
              <w:textAlignment w:val="bottom"/>
              <w:rPr>
                <w:rFonts w:ascii="宋体" w:hAnsi="宋体" w:cs="Arial"/>
                <w:b/>
                <w:color w:val="auto"/>
                <w:highlight w:val="none"/>
              </w:rPr>
            </w:pPr>
          </w:p>
        </w:tc>
      </w:tr>
      <w:tr w14:paraId="44D3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F9BC3C1">
            <w:pPr>
              <w:autoSpaceDE w:val="0"/>
              <w:autoSpaceDN w:val="0"/>
              <w:textAlignment w:val="bottom"/>
              <w:rPr>
                <w:rFonts w:ascii="宋体" w:hAnsi="宋体" w:cs="Arial"/>
                <w:b/>
                <w:color w:val="auto"/>
                <w:highlight w:val="none"/>
              </w:rPr>
            </w:pPr>
          </w:p>
        </w:tc>
        <w:tc>
          <w:tcPr>
            <w:tcW w:w="1716" w:type="dxa"/>
          </w:tcPr>
          <w:p w14:paraId="65B18B1E">
            <w:pPr>
              <w:autoSpaceDE w:val="0"/>
              <w:autoSpaceDN w:val="0"/>
              <w:textAlignment w:val="bottom"/>
              <w:rPr>
                <w:rFonts w:ascii="宋体" w:hAnsi="宋体" w:cs="Arial"/>
                <w:b/>
                <w:color w:val="auto"/>
                <w:highlight w:val="none"/>
              </w:rPr>
            </w:pPr>
          </w:p>
          <w:p w14:paraId="6732ED17">
            <w:pPr>
              <w:autoSpaceDE w:val="0"/>
              <w:autoSpaceDN w:val="0"/>
              <w:textAlignment w:val="bottom"/>
              <w:rPr>
                <w:rFonts w:ascii="宋体" w:hAnsi="宋体" w:cs="Arial"/>
                <w:b/>
                <w:color w:val="auto"/>
                <w:highlight w:val="none"/>
              </w:rPr>
            </w:pPr>
          </w:p>
        </w:tc>
        <w:tc>
          <w:tcPr>
            <w:tcW w:w="2532" w:type="dxa"/>
          </w:tcPr>
          <w:p w14:paraId="27BE7A7A">
            <w:pPr>
              <w:autoSpaceDE w:val="0"/>
              <w:autoSpaceDN w:val="0"/>
              <w:textAlignment w:val="bottom"/>
              <w:rPr>
                <w:rFonts w:ascii="宋体" w:hAnsi="宋体" w:cs="Arial"/>
                <w:b/>
                <w:color w:val="auto"/>
                <w:highlight w:val="none"/>
              </w:rPr>
            </w:pPr>
          </w:p>
        </w:tc>
        <w:tc>
          <w:tcPr>
            <w:tcW w:w="2188" w:type="dxa"/>
          </w:tcPr>
          <w:p w14:paraId="516D5C1B">
            <w:pPr>
              <w:autoSpaceDE w:val="0"/>
              <w:autoSpaceDN w:val="0"/>
              <w:textAlignment w:val="bottom"/>
              <w:rPr>
                <w:rFonts w:ascii="宋体" w:hAnsi="宋体" w:cs="Arial"/>
                <w:b/>
                <w:color w:val="auto"/>
                <w:highlight w:val="none"/>
              </w:rPr>
            </w:pPr>
          </w:p>
        </w:tc>
        <w:tc>
          <w:tcPr>
            <w:tcW w:w="1638" w:type="dxa"/>
          </w:tcPr>
          <w:p w14:paraId="6B736414">
            <w:pPr>
              <w:autoSpaceDE w:val="0"/>
              <w:autoSpaceDN w:val="0"/>
              <w:textAlignment w:val="bottom"/>
              <w:rPr>
                <w:rFonts w:ascii="宋体" w:hAnsi="宋体" w:cs="Arial"/>
                <w:b/>
                <w:color w:val="auto"/>
                <w:highlight w:val="none"/>
              </w:rPr>
            </w:pPr>
          </w:p>
        </w:tc>
      </w:tr>
    </w:tbl>
    <w:p w14:paraId="772AF74F">
      <w:pPr>
        <w:autoSpaceDE w:val="0"/>
        <w:autoSpaceDN w:val="0"/>
        <w:textAlignment w:val="bottom"/>
        <w:rPr>
          <w:rFonts w:ascii="宋体" w:hAnsi="宋体" w:cs="Arial"/>
          <w:color w:val="auto"/>
          <w:sz w:val="24"/>
          <w:highlight w:val="none"/>
        </w:rPr>
      </w:pPr>
    </w:p>
    <w:p w14:paraId="465E95B9">
      <w:pPr>
        <w:pStyle w:val="21"/>
        <w:spacing w:before="156"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35A2B625">
      <w:pPr>
        <w:pStyle w:val="21"/>
        <w:tabs>
          <w:tab w:val="left" w:pos="4890"/>
        </w:tabs>
        <w:spacing w:before="120"/>
        <w:rPr>
          <w:rFonts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3E327E69">
      <w:pPr>
        <w:autoSpaceDE w:val="0"/>
        <w:autoSpaceDN w:val="0"/>
        <w:spacing w:line="360" w:lineRule="auto"/>
        <w:textAlignment w:val="bottom"/>
        <w:rPr>
          <w:rFonts w:ascii="宋体" w:hAnsi="宋体" w:cs="Arial"/>
          <w:color w:val="auto"/>
          <w:sz w:val="24"/>
          <w:highlight w:val="none"/>
        </w:rPr>
      </w:pPr>
    </w:p>
    <w:p w14:paraId="32285B3C">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5140E583">
      <w:pPr>
        <w:autoSpaceDE w:val="0"/>
        <w:autoSpaceDN w:val="0"/>
        <w:spacing w:line="360" w:lineRule="auto"/>
        <w:textAlignment w:val="bottom"/>
        <w:rPr>
          <w:rFonts w:ascii="宋体" w:hAnsi="宋体" w:cs="Arial"/>
          <w:color w:val="auto"/>
          <w:sz w:val="24"/>
          <w:highlight w:val="none"/>
        </w:rPr>
      </w:pPr>
    </w:p>
    <w:p w14:paraId="41B1AED4">
      <w:pPr>
        <w:autoSpaceDE w:val="0"/>
        <w:autoSpaceDN w:val="0"/>
        <w:spacing w:line="360" w:lineRule="auto"/>
        <w:textAlignment w:val="bottom"/>
        <w:rPr>
          <w:rFonts w:ascii="宋体" w:hAnsi="宋体" w:cs="Arial"/>
          <w:bCs/>
          <w:color w:val="auto"/>
          <w:sz w:val="24"/>
          <w:highlight w:val="none"/>
        </w:rPr>
      </w:pPr>
      <w:r>
        <w:rPr>
          <w:rFonts w:hint="eastAsia" w:ascii="宋体" w:hAnsi="宋体" w:cs="Arial"/>
          <w:bCs/>
          <w:color w:val="auto"/>
          <w:sz w:val="24"/>
          <w:highlight w:val="none"/>
        </w:rPr>
        <w:t>注：</w:t>
      </w:r>
    </w:p>
    <w:p w14:paraId="588CC57E">
      <w:pPr>
        <w:numPr>
          <w:ilvl w:val="0"/>
          <w:numId w:val="7"/>
        </w:numPr>
        <w:autoSpaceDE w:val="0"/>
        <w:autoSpaceDN w:val="0"/>
        <w:spacing w:line="360" w:lineRule="auto"/>
        <w:textAlignment w:val="bottom"/>
        <w:rPr>
          <w:color w:val="auto"/>
          <w:highlight w:val="none"/>
        </w:rPr>
      </w:pPr>
      <w:r>
        <w:rPr>
          <w:rFonts w:hint="eastAsia" w:ascii="宋体" w:hAnsi="宋体" w:cs="Arial"/>
          <w:bCs/>
          <w:color w:val="auto"/>
          <w:sz w:val="24"/>
          <w:highlight w:val="none"/>
        </w:rPr>
        <w:t>商务条款主要包括报价要求、售后服务、地点与方式、付款及结算方式等</w:t>
      </w:r>
      <w:r>
        <w:rPr>
          <w:rFonts w:hint="eastAsia" w:asciiTheme="minorEastAsia" w:hAnsiTheme="minorEastAsia" w:eastAsiaTheme="minorEastAsia"/>
          <w:color w:val="auto"/>
          <w:sz w:val="24"/>
          <w:highlight w:val="none"/>
        </w:rPr>
        <w:t>，如不能满足招标文件要求或有正偏离，请填写；如对招标文件无偏离应标明“全部无偏离”。</w:t>
      </w:r>
    </w:p>
    <w:p w14:paraId="2B8161BE">
      <w:pPr>
        <w:numPr>
          <w:ilvl w:val="0"/>
          <w:numId w:val="7"/>
        </w:numPr>
        <w:autoSpaceDE w:val="0"/>
        <w:autoSpaceDN w:val="0"/>
        <w:spacing w:line="360" w:lineRule="auto"/>
        <w:textAlignment w:val="bottom"/>
        <w:rPr>
          <w:rFonts w:ascii="宋体" w:hAnsi="宋体" w:cs="Arial"/>
          <w:bCs/>
          <w:color w:val="auto"/>
          <w:sz w:val="24"/>
          <w:highlight w:val="none"/>
        </w:rPr>
      </w:pPr>
      <w:r>
        <w:rPr>
          <w:rFonts w:hint="eastAsia" w:ascii="宋体" w:hAnsi="宋体" w:cs="Arial"/>
          <w:bCs/>
          <w:color w:val="auto"/>
          <w:sz w:val="24"/>
          <w:highlight w:val="none"/>
        </w:rPr>
        <w:t>对招标文件有任何偏离应列明，并标明“其他无偏离”；</w:t>
      </w:r>
    </w:p>
    <w:p w14:paraId="1D8F903D">
      <w:pPr>
        <w:adjustRightInd w:val="0"/>
        <w:snapToGrid w:val="0"/>
        <w:spacing w:before="156" w:beforeLines="50" w:after="156" w:afterLines="50" w:line="360" w:lineRule="auto"/>
        <w:ind w:firstLine="2640" w:firstLineChars="1100"/>
        <w:jc w:val="left"/>
        <w:rPr>
          <w:rFonts w:ascii="宋体" w:hAnsi="宋体"/>
          <w:b/>
          <w:color w:val="auto"/>
          <w:sz w:val="24"/>
          <w:highlight w:val="none"/>
        </w:rPr>
      </w:pPr>
      <w:r>
        <w:rPr>
          <w:rFonts w:ascii="宋体" w:hAnsi="宋体"/>
          <w:color w:val="auto"/>
          <w:sz w:val="24"/>
          <w:highlight w:val="none"/>
        </w:rPr>
        <w:br w:type="page"/>
      </w:r>
      <w:bookmarkStart w:id="248" w:name="_Toc89569918"/>
      <w:r>
        <w:rPr>
          <w:rFonts w:hint="eastAsia" w:ascii="宋体" w:hAnsi="宋体"/>
          <w:b/>
          <w:color w:val="auto"/>
          <w:sz w:val="24"/>
          <w:highlight w:val="none"/>
        </w:rPr>
        <w:t>★附件6  法定代表人授权书（格式）</w:t>
      </w:r>
    </w:p>
    <w:p w14:paraId="279D4250">
      <w:pPr>
        <w:pStyle w:val="21"/>
        <w:tabs>
          <w:tab w:val="left" w:pos="5580"/>
        </w:tabs>
        <w:spacing w:line="360" w:lineRule="auto"/>
        <w:rPr>
          <w:rFonts w:hAnsi="宋体" w:cs="仿宋_GB2312"/>
          <w:color w:val="auto"/>
          <w:sz w:val="24"/>
          <w:szCs w:val="24"/>
          <w:highlight w:val="none"/>
        </w:rPr>
      </w:pPr>
    </w:p>
    <w:p w14:paraId="5705BBD8">
      <w:pPr>
        <w:pStyle w:val="21"/>
        <w:tabs>
          <w:tab w:val="left" w:pos="5580"/>
        </w:tabs>
        <w:spacing w:line="360" w:lineRule="auto"/>
        <w:rPr>
          <w:rFonts w:hAnsi="宋体"/>
          <w:color w:val="auto"/>
          <w:sz w:val="24"/>
          <w:szCs w:val="24"/>
          <w:highlight w:val="none"/>
        </w:rPr>
      </w:pPr>
      <w:r>
        <w:rPr>
          <w:rFonts w:hint="eastAsia" w:hAnsi="宋体" w:cs="仿宋_GB2312"/>
          <w:color w:val="auto"/>
          <w:sz w:val="24"/>
          <w:szCs w:val="24"/>
          <w:highlight w:val="none"/>
        </w:rPr>
        <w:t xml:space="preserve">    本授权书声明：注册于</w:t>
      </w:r>
      <w:r>
        <w:rPr>
          <w:rFonts w:hint="eastAsia" w:hAnsi="宋体" w:cs="仿宋_GB2312"/>
          <w:color w:val="auto"/>
          <w:sz w:val="24"/>
          <w:szCs w:val="24"/>
          <w:highlight w:val="none"/>
          <w:u w:val="single"/>
        </w:rPr>
        <w:t>（国家或地区的名称）</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公司名称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法人代表姓名、职务</w:t>
      </w:r>
      <w:r>
        <w:rPr>
          <w:rFonts w:hint="eastAsia" w:hAnsi="宋体" w:cs="仿宋_GB2312"/>
          <w:color w:val="auto"/>
          <w:sz w:val="24"/>
          <w:szCs w:val="24"/>
          <w:highlight w:val="none"/>
        </w:rPr>
        <w:t>）代表本公司授权（</w:t>
      </w:r>
      <w:r>
        <w:rPr>
          <w:rFonts w:hint="eastAsia" w:hAnsi="宋体" w:cs="仿宋_GB2312"/>
          <w:i/>
          <w:iCs/>
          <w:color w:val="auto"/>
          <w:sz w:val="24"/>
          <w:szCs w:val="24"/>
          <w:highlight w:val="none"/>
          <w:u w:val="single"/>
        </w:rPr>
        <w:t>单位名称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被授权人的姓名、职务</w:t>
      </w:r>
      <w:r>
        <w:rPr>
          <w:rFonts w:hint="eastAsia" w:hAnsi="宋体" w:cs="仿宋_GB2312"/>
          <w:color w:val="auto"/>
          <w:sz w:val="24"/>
          <w:szCs w:val="24"/>
          <w:highlight w:val="none"/>
        </w:rPr>
        <w:t>）为本公司的合法代理人，就（</w:t>
      </w:r>
      <w:r>
        <w:rPr>
          <w:rFonts w:hint="eastAsia" w:hAnsi="宋体" w:cs="仿宋_GB2312"/>
          <w:i/>
          <w:iCs/>
          <w:color w:val="auto"/>
          <w:sz w:val="24"/>
          <w:szCs w:val="24"/>
          <w:highlight w:val="none"/>
          <w:u w:val="single"/>
        </w:rPr>
        <w:t>项目名称</w:t>
      </w:r>
      <w:r>
        <w:rPr>
          <w:rFonts w:hint="eastAsia" w:hAnsi="宋体" w:cs="仿宋_GB2312"/>
          <w:color w:val="auto"/>
          <w:sz w:val="24"/>
          <w:szCs w:val="24"/>
          <w:highlight w:val="none"/>
        </w:rPr>
        <w:t>）的投标，以本公司名义处理一切与之有关的事务。　　</w:t>
      </w:r>
    </w:p>
    <w:p w14:paraId="120443EF">
      <w:pPr>
        <w:pStyle w:val="21"/>
        <w:tabs>
          <w:tab w:val="left" w:pos="5580"/>
        </w:tabs>
        <w:spacing w:line="360" w:lineRule="auto"/>
        <w:ind w:firstLine="480"/>
        <w:rPr>
          <w:rFonts w:hAnsi="宋体" w:cs="仿宋_GB2312"/>
          <w:color w:val="auto"/>
          <w:sz w:val="24"/>
          <w:szCs w:val="24"/>
          <w:highlight w:val="none"/>
        </w:rPr>
      </w:pPr>
    </w:p>
    <w:p w14:paraId="48AEE1F8">
      <w:pPr>
        <w:pStyle w:val="21"/>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本授权书于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日签字生效</w:t>
      </w:r>
      <w:r>
        <w:rPr>
          <w:rFonts w:hAnsi="宋体" w:cs="仿宋_GB2312"/>
          <w:color w:val="auto"/>
          <w:sz w:val="24"/>
          <w:szCs w:val="24"/>
          <w:highlight w:val="none"/>
        </w:rPr>
        <w:t>,</w:t>
      </w:r>
      <w:r>
        <w:rPr>
          <w:rFonts w:hint="eastAsia" w:hAnsi="宋体" w:cs="仿宋_GB2312"/>
          <w:color w:val="auto"/>
          <w:sz w:val="24"/>
          <w:szCs w:val="24"/>
          <w:highlight w:val="none"/>
        </w:rPr>
        <w:t>特此声明。</w:t>
      </w:r>
    </w:p>
    <w:p w14:paraId="781FBF22">
      <w:pPr>
        <w:pStyle w:val="21"/>
        <w:tabs>
          <w:tab w:val="left" w:pos="5580"/>
        </w:tabs>
        <w:spacing w:line="360" w:lineRule="auto"/>
        <w:ind w:firstLine="480"/>
        <w:rPr>
          <w:rFonts w:hAnsi="宋体" w:cs="仿宋_GB2312"/>
          <w:color w:val="auto"/>
          <w:sz w:val="24"/>
          <w:szCs w:val="24"/>
          <w:highlight w:val="none"/>
        </w:rPr>
      </w:pPr>
    </w:p>
    <w:p w14:paraId="74F46599">
      <w:pPr>
        <w:pStyle w:val="21"/>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法定代表人签字或印章</w:t>
      </w:r>
      <w:r>
        <w:rPr>
          <w:rFonts w:hAnsi="宋体" w:cs="仿宋_GB2312"/>
          <w:color w:val="auto"/>
          <w:sz w:val="24"/>
          <w:szCs w:val="24"/>
          <w:highlight w:val="none"/>
        </w:rPr>
        <w:t>____________________</w:t>
      </w:r>
    </w:p>
    <w:p w14:paraId="5EEA8E4C">
      <w:pPr>
        <w:pStyle w:val="21"/>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被授权人签字</w:t>
      </w:r>
      <w:r>
        <w:rPr>
          <w:rFonts w:hAnsi="宋体" w:cs="仿宋_GB2312"/>
          <w:color w:val="auto"/>
          <w:sz w:val="24"/>
          <w:szCs w:val="24"/>
          <w:highlight w:val="none"/>
        </w:rPr>
        <w:t>_______________________________</w:t>
      </w:r>
    </w:p>
    <w:p w14:paraId="6761F337">
      <w:pPr>
        <w:pStyle w:val="21"/>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公司盖章：</w:t>
      </w:r>
      <w:r>
        <w:rPr>
          <w:rFonts w:hAnsi="宋体" w:cs="仿宋_GB2312"/>
          <w:color w:val="auto"/>
          <w:sz w:val="24"/>
          <w:szCs w:val="24"/>
          <w:highlight w:val="none"/>
          <w:u w:val="single"/>
        </w:rPr>
        <w:t xml:space="preserve">                                 </w:t>
      </w:r>
    </w:p>
    <w:p w14:paraId="33BC7D9E">
      <w:pPr>
        <w:pStyle w:val="21"/>
        <w:tabs>
          <w:tab w:val="left" w:pos="5580"/>
        </w:tabs>
        <w:spacing w:line="360" w:lineRule="auto"/>
        <w:rPr>
          <w:rFonts w:hAnsi="宋体" w:cs="仿宋_GB2312"/>
          <w:color w:val="auto"/>
          <w:sz w:val="24"/>
          <w:szCs w:val="24"/>
          <w:highlight w:val="none"/>
        </w:rPr>
      </w:pPr>
    </w:p>
    <w:p w14:paraId="612BDACE">
      <w:pPr>
        <w:pStyle w:val="21"/>
        <w:tabs>
          <w:tab w:val="left" w:pos="5580"/>
        </w:tabs>
        <w:spacing w:line="360" w:lineRule="auto"/>
        <w:rPr>
          <w:rFonts w:hAnsi="宋体" w:cs="仿宋_GB2312"/>
          <w:color w:val="auto"/>
          <w:sz w:val="24"/>
          <w:szCs w:val="24"/>
          <w:highlight w:val="none"/>
        </w:rPr>
      </w:pPr>
    </w:p>
    <w:p w14:paraId="6A760AD1">
      <w:pPr>
        <w:pStyle w:val="21"/>
        <w:tabs>
          <w:tab w:val="left" w:pos="5580"/>
        </w:tabs>
        <w:spacing w:line="360" w:lineRule="auto"/>
        <w:rPr>
          <w:rFonts w:hAnsi="宋体"/>
          <w:color w:val="auto"/>
          <w:sz w:val="24"/>
          <w:szCs w:val="24"/>
          <w:highlight w:val="none"/>
        </w:rPr>
      </w:pPr>
      <w:r>
        <w:rPr>
          <w:rFonts w:hint="eastAsia" w:hAnsi="宋体" w:cs="仿宋_GB2312"/>
          <w:color w:val="auto"/>
          <w:sz w:val="24"/>
          <w:szCs w:val="24"/>
          <w:highlight w:val="none"/>
        </w:rPr>
        <w:t>附：</w:t>
      </w:r>
    </w:p>
    <w:p w14:paraId="4D89E90A">
      <w:pPr>
        <w:pStyle w:val="21"/>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被授权人姓名：</w:t>
      </w:r>
      <w:r>
        <w:rPr>
          <w:rFonts w:hint="eastAsia" w:hAnsi="宋体" w:cs="仿宋_GB2312"/>
          <w:color w:val="auto"/>
          <w:sz w:val="24"/>
          <w:szCs w:val="24"/>
          <w:highlight w:val="none"/>
          <w:u w:val="single"/>
        </w:rPr>
        <w:t xml:space="preserve">                        </w:t>
      </w:r>
    </w:p>
    <w:p w14:paraId="3EBDFACD">
      <w:pPr>
        <w:pStyle w:val="21"/>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职　　　务：</w:t>
      </w:r>
      <w:r>
        <w:rPr>
          <w:rFonts w:hint="eastAsia" w:hAnsi="宋体" w:cs="仿宋_GB2312"/>
          <w:color w:val="auto"/>
          <w:sz w:val="24"/>
          <w:szCs w:val="24"/>
          <w:highlight w:val="none"/>
          <w:u w:val="single"/>
        </w:rPr>
        <w:t xml:space="preserve">                          </w:t>
      </w:r>
    </w:p>
    <w:p w14:paraId="194B5FF8">
      <w:pPr>
        <w:pStyle w:val="21"/>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详细通讯地址：</w:t>
      </w:r>
      <w:r>
        <w:rPr>
          <w:rFonts w:hint="eastAsia" w:hAnsi="宋体" w:cs="仿宋_GB2312"/>
          <w:color w:val="auto"/>
          <w:sz w:val="24"/>
          <w:szCs w:val="24"/>
          <w:highlight w:val="none"/>
          <w:u w:val="single"/>
        </w:rPr>
        <w:t xml:space="preserve">                        </w:t>
      </w:r>
    </w:p>
    <w:p w14:paraId="7BAD6A3B">
      <w:pPr>
        <w:pStyle w:val="21"/>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邮</w:t>
      </w:r>
      <w:r>
        <w:rPr>
          <w:rFonts w:hAnsi="宋体" w:cs="仿宋_GB2312"/>
          <w:color w:val="auto"/>
          <w:sz w:val="24"/>
          <w:szCs w:val="24"/>
          <w:highlight w:val="none"/>
        </w:rPr>
        <w:t xml:space="preserve"> </w:t>
      </w:r>
      <w:r>
        <w:rPr>
          <w:rFonts w:hint="eastAsia" w:hAnsi="宋体" w:cs="仿宋_GB2312"/>
          <w:color w:val="auto"/>
          <w:sz w:val="24"/>
          <w:szCs w:val="24"/>
          <w:highlight w:val="none"/>
        </w:rPr>
        <w:t>政</w:t>
      </w:r>
      <w:r>
        <w:rPr>
          <w:rFonts w:hAnsi="宋体" w:cs="仿宋_GB2312"/>
          <w:color w:val="auto"/>
          <w:sz w:val="24"/>
          <w:szCs w:val="24"/>
          <w:highlight w:val="none"/>
        </w:rPr>
        <w:t xml:space="preserve"> </w:t>
      </w:r>
      <w:r>
        <w:rPr>
          <w:rFonts w:hint="eastAsia" w:hAnsi="宋体" w:cs="仿宋_GB2312"/>
          <w:color w:val="auto"/>
          <w:sz w:val="24"/>
          <w:szCs w:val="24"/>
          <w:highlight w:val="none"/>
        </w:rPr>
        <w:t>编</w:t>
      </w:r>
      <w:r>
        <w:rPr>
          <w:rFonts w:hAnsi="宋体" w:cs="仿宋_GB2312"/>
          <w:color w:val="auto"/>
          <w:sz w:val="24"/>
          <w:szCs w:val="24"/>
          <w:highlight w:val="none"/>
        </w:rPr>
        <w:t xml:space="preserve"> </w:t>
      </w:r>
      <w:r>
        <w:rPr>
          <w:rFonts w:hint="eastAsia" w:hAnsi="宋体" w:cs="仿宋_GB2312"/>
          <w:color w:val="auto"/>
          <w:sz w:val="24"/>
          <w:szCs w:val="24"/>
          <w:highlight w:val="none"/>
        </w:rPr>
        <w:t>码：</w:t>
      </w:r>
      <w:r>
        <w:rPr>
          <w:rFonts w:hint="eastAsia" w:hAnsi="宋体" w:cs="仿宋_GB2312"/>
          <w:color w:val="auto"/>
          <w:sz w:val="24"/>
          <w:szCs w:val="24"/>
          <w:highlight w:val="none"/>
          <w:u w:val="single"/>
        </w:rPr>
        <w:t xml:space="preserve">                         </w:t>
      </w:r>
    </w:p>
    <w:p w14:paraId="46D16207">
      <w:pPr>
        <w:pStyle w:val="21"/>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电　　　话：</w:t>
      </w:r>
      <w:r>
        <w:rPr>
          <w:rFonts w:hint="eastAsia" w:hAnsi="宋体" w:cs="仿宋_GB2312"/>
          <w:color w:val="auto"/>
          <w:sz w:val="24"/>
          <w:szCs w:val="24"/>
          <w:highlight w:val="none"/>
          <w:u w:val="single"/>
        </w:rPr>
        <w:t xml:space="preserve">                          </w:t>
      </w:r>
    </w:p>
    <w:p w14:paraId="69AA857A">
      <w:pPr>
        <w:widowControl/>
        <w:jc w:val="left"/>
        <w:rPr>
          <w:rFonts w:ascii="宋体" w:hAnsi="宋体" w:cs="宋体"/>
          <w:b/>
          <w:bCs/>
          <w:color w:val="auto"/>
          <w:kern w:val="0"/>
          <w:sz w:val="24"/>
          <w:highlight w:val="none"/>
          <w:lang w:bidi="ar"/>
        </w:rPr>
      </w:pPr>
    </w:p>
    <w:p w14:paraId="4DCF787B">
      <w:pPr>
        <w:widowControl/>
        <w:jc w:val="left"/>
        <w:rPr>
          <w:rFonts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附：法定代表人和被授权人的身份证复印件</w:t>
      </w:r>
    </w:p>
    <w:p w14:paraId="2B4DD463">
      <w:pPr>
        <w:widowControl/>
        <w:jc w:val="left"/>
        <w:rPr>
          <w:rFonts w:ascii="宋体" w:hAnsi="宋体" w:cs="宋体"/>
          <w:b/>
          <w:bCs/>
          <w:color w:val="auto"/>
          <w:kern w:val="0"/>
          <w:sz w:val="24"/>
          <w:highlight w:val="none"/>
          <w:lang w:bidi="ar"/>
        </w:rPr>
      </w:pPr>
    </w:p>
    <w:p w14:paraId="63D99B4D">
      <w:pPr>
        <w:widowControl/>
        <w:jc w:val="left"/>
        <w:rPr>
          <w:color w:val="auto"/>
          <w:highlight w:val="none"/>
        </w:rPr>
      </w:pPr>
      <w:r>
        <w:rPr>
          <w:rFonts w:hint="eastAsia" w:ascii="宋体" w:hAnsi="宋体" w:cs="宋体"/>
          <w:color w:val="auto"/>
          <w:kern w:val="0"/>
          <w:sz w:val="24"/>
          <w:highlight w:val="none"/>
          <w:lang w:bidi="ar"/>
        </w:rPr>
        <w:t xml:space="preserve">说明： </w:t>
      </w:r>
    </w:p>
    <w:p w14:paraId="2E27C1C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1.若供应商为事业单位或其他组织或分支机构，则法定代表人处的签署人可为单位负责人。 </w:t>
      </w:r>
    </w:p>
    <w:p w14:paraId="46428D5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2.若投标文件中签字之处均为法定代表人本人签署，则可不提供本《授权书》，但须提供《法定代表人身份证明》；否则，不需要提供《法定代表人身份证明》。 </w:t>
      </w:r>
    </w:p>
    <w:p w14:paraId="02363C53">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3.供应商为自然人的情形，可不提供本《授权书》。</w:t>
      </w:r>
    </w:p>
    <w:p w14:paraId="75B4E237">
      <w:pPr>
        <w:widowControl/>
        <w:jc w:val="center"/>
        <w:rPr>
          <w:color w:val="auto"/>
          <w:highlight w:val="none"/>
        </w:rPr>
      </w:pPr>
      <w:r>
        <w:rPr>
          <w:rFonts w:ascii="宋体" w:hAnsi="宋体"/>
          <w:color w:val="auto"/>
          <w:sz w:val="24"/>
          <w:highlight w:val="none"/>
        </w:rPr>
        <w:br w:type="page"/>
      </w:r>
      <w:r>
        <w:rPr>
          <w:rFonts w:hint="eastAsia" w:ascii="宋体" w:hAnsi="宋体" w:cs="宋体"/>
          <w:b/>
          <w:bCs/>
          <w:color w:val="auto"/>
          <w:kern w:val="0"/>
          <w:sz w:val="36"/>
          <w:szCs w:val="36"/>
          <w:highlight w:val="none"/>
          <w:lang w:bidi="ar"/>
        </w:rPr>
        <w:t>法定代表人身份证明</w:t>
      </w:r>
    </w:p>
    <w:p w14:paraId="37573C50">
      <w:pPr>
        <w:widowControl/>
        <w:jc w:val="left"/>
        <w:rPr>
          <w:rFonts w:ascii="宋体" w:hAnsi="宋体" w:cs="宋体"/>
          <w:color w:val="auto"/>
          <w:kern w:val="0"/>
          <w:sz w:val="24"/>
          <w:highlight w:val="none"/>
          <w:lang w:bidi="ar"/>
        </w:rPr>
      </w:pPr>
    </w:p>
    <w:p w14:paraId="28B19BDC">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致：东方国际招标有限责任公司</w:t>
      </w:r>
    </w:p>
    <w:p w14:paraId="40B515BF">
      <w:pPr>
        <w:widowControl/>
        <w:jc w:val="left"/>
        <w:rPr>
          <w:color w:val="auto"/>
          <w:highlight w:val="none"/>
        </w:rPr>
      </w:pPr>
      <w:r>
        <w:rPr>
          <w:rFonts w:hint="eastAsia" w:ascii="宋体" w:hAnsi="宋体" w:cs="宋体"/>
          <w:color w:val="auto"/>
          <w:kern w:val="0"/>
          <w:sz w:val="24"/>
          <w:highlight w:val="none"/>
          <w:lang w:bidi="ar"/>
        </w:rPr>
        <w:t xml:space="preserve"> </w:t>
      </w:r>
    </w:p>
    <w:p w14:paraId="7E101D85">
      <w:pPr>
        <w:widowControl/>
        <w:ind w:firstLine="480" w:firstLineChars="200"/>
        <w:jc w:val="left"/>
        <w:rPr>
          <w:color w:val="auto"/>
          <w:highlight w:val="none"/>
        </w:rPr>
      </w:pPr>
      <w:r>
        <w:rPr>
          <w:rFonts w:hint="eastAsia" w:ascii="宋体" w:hAnsi="宋体" w:cs="宋体"/>
          <w:color w:val="auto"/>
          <w:kern w:val="0"/>
          <w:sz w:val="24"/>
          <w:highlight w:val="none"/>
          <w:lang w:bidi="ar"/>
        </w:rPr>
        <w:t xml:space="preserve">兹证明， </w:t>
      </w:r>
    </w:p>
    <w:p w14:paraId="4B496F0D">
      <w:pPr>
        <w:widowControl/>
        <w:jc w:val="left"/>
        <w:rPr>
          <w:color w:val="auto"/>
          <w:highlight w:val="none"/>
        </w:rPr>
      </w:pPr>
      <w:r>
        <w:rPr>
          <w:rFonts w:hint="eastAsia" w:ascii="宋体" w:hAnsi="宋体" w:cs="宋体"/>
          <w:color w:val="auto"/>
          <w:kern w:val="0"/>
          <w:sz w:val="24"/>
          <w:highlight w:val="none"/>
          <w:lang w:bidi="ar"/>
        </w:rPr>
        <w:t>姓名：</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性别：</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年龄：</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职务：</w:t>
      </w:r>
      <w:r>
        <w:rPr>
          <w:rFonts w:ascii="DejaVuSans" w:hAnsi="DejaVuSans" w:eastAsia="DejaVuSans" w:cs="DejaVuSans"/>
          <w:color w:val="auto"/>
          <w:kern w:val="0"/>
          <w:sz w:val="24"/>
          <w:highlight w:val="none"/>
          <w:lang w:bidi="ar"/>
        </w:rPr>
        <w:t xml:space="preserve">____ </w:t>
      </w:r>
    </w:p>
    <w:p w14:paraId="5B3629C0">
      <w:pPr>
        <w:widowControl/>
        <w:jc w:val="left"/>
        <w:rPr>
          <w:color w:val="auto"/>
          <w:highlight w:val="none"/>
        </w:rPr>
      </w:pPr>
      <w:r>
        <w:rPr>
          <w:rFonts w:hint="eastAsia" w:ascii="宋体" w:hAnsi="宋体" w:cs="宋体"/>
          <w:color w:val="auto"/>
          <w:kern w:val="0"/>
          <w:sz w:val="24"/>
          <w:highlight w:val="none"/>
          <w:lang w:bidi="ar"/>
        </w:rPr>
        <w:t xml:space="preserve">系 </w:t>
      </w:r>
      <w:r>
        <w:rPr>
          <w:rFonts w:hint="eastAsia" w:ascii="宋体" w:hAnsi="宋体" w:cs="宋体"/>
          <w:color w:val="auto"/>
          <w:kern w:val="0"/>
          <w:sz w:val="24"/>
          <w:highlight w:val="none"/>
          <w:u w:val="single"/>
          <w:lang w:bidi="ar"/>
        </w:rPr>
        <w:t>（投标人名称）</w:t>
      </w:r>
      <w:r>
        <w:rPr>
          <w:rFonts w:hint="eastAsia" w:ascii="宋体" w:hAnsi="宋体" w:cs="宋体"/>
          <w:color w:val="auto"/>
          <w:kern w:val="0"/>
          <w:sz w:val="24"/>
          <w:highlight w:val="none"/>
          <w:lang w:bidi="ar"/>
        </w:rPr>
        <w:t xml:space="preserve">的法定代表人。 </w:t>
      </w:r>
    </w:p>
    <w:p w14:paraId="47EC9765">
      <w:pPr>
        <w:widowControl/>
        <w:jc w:val="left"/>
        <w:rPr>
          <w:rFonts w:ascii="宋体" w:hAnsi="宋体" w:cs="宋体"/>
          <w:color w:val="auto"/>
          <w:kern w:val="0"/>
          <w:sz w:val="24"/>
          <w:highlight w:val="none"/>
          <w:lang w:bidi="ar"/>
        </w:rPr>
      </w:pPr>
    </w:p>
    <w:p w14:paraId="5A78E611">
      <w:pPr>
        <w:widowControl/>
        <w:jc w:val="left"/>
        <w:rPr>
          <w:color w:val="auto"/>
          <w:highlight w:val="none"/>
        </w:rPr>
      </w:pPr>
      <w:r>
        <w:rPr>
          <w:rFonts w:hint="eastAsia" w:ascii="宋体" w:hAnsi="宋体" w:cs="宋体"/>
          <w:color w:val="auto"/>
          <w:kern w:val="0"/>
          <w:sz w:val="24"/>
          <w:highlight w:val="none"/>
          <w:lang w:bidi="ar"/>
        </w:rPr>
        <w:t xml:space="preserve">附：法定代表人身份证复印件 </w:t>
      </w:r>
    </w:p>
    <w:p w14:paraId="6B1EF4FD">
      <w:pPr>
        <w:widowControl/>
        <w:jc w:val="left"/>
        <w:rPr>
          <w:rFonts w:ascii="宋体" w:hAnsi="宋体" w:cs="宋体"/>
          <w:color w:val="auto"/>
          <w:kern w:val="0"/>
          <w:sz w:val="24"/>
          <w:highlight w:val="none"/>
          <w:lang w:bidi="ar"/>
        </w:rPr>
      </w:pPr>
    </w:p>
    <w:p w14:paraId="1DA96D72">
      <w:pPr>
        <w:widowControl/>
        <w:jc w:val="left"/>
        <w:rPr>
          <w:color w:val="auto"/>
          <w:highlight w:val="none"/>
        </w:rPr>
      </w:pPr>
      <w:r>
        <w:rPr>
          <w:rFonts w:hint="eastAsia" w:ascii="宋体" w:hAnsi="宋体" w:cs="宋体"/>
          <w:color w:val="auto"/>
          <w:kern w:val="0"/>
          <w:sz w:val="24"/>
          <w:highlight w:val="none"/>
          <w:lang w:bidi="ar"/>
        </w:rPr>
        <w:t>投标人名称（加盖公章）：</w:t>
      </w:r>
      <w:r>
        <w:rPr>
          <w:rFonts w:ascii="DejaVuSans" w:hAnsi="DejaVuSans" w:eastAsia="DejaVuSans" w:cs="DejaVuSans"/>
          <w:color w:val="auto"/>
          <w:kern w:val="0"/>
          <w:sz w:val="24"/>
          <w:highlight w:val="none"/>
          <w:lang w:bidi="ar"/>
        </w:rPr>
        <w:t xml:space="preserve">________________ </w:t>
      </w:r>
    </w:p>
    <w:p w14:paraId="07D878AC">
      <w:pPr>
        <w:widowControl/>
        <w:jc w:val="left"/>
        <w:rPr>
          <w:color w:val="auto"/>
          <w:highlight w:val="none"/>
        </w:rPr>
      </w:pPr>
      <w:r>
        <w:rPr>
          <w:rFonts w:hint="eastAsia" w:ascii="宋体" w:hAnsi="宋体" w:cs="宋体"/>
          <w:color w:val="auto"/>
          <w:kern w:val="0"/>
          <w:sz w:val="24"/>
          <w:highlight w:val="none"/>
          <w:lang w:bidi="ar"/>
        </w:rPr>
        <w:t>法定代表人（签字或印章）：</w:t>
      </w:r>
      <w:r>
        <w:rPr>
          <w:rFonts w:ascii="DejaVuSans" w:hAnsi="DejaVuSans" w:eastAsia="DejaVuSans" w:cs="DejaVuSans"/>
          <w:color w:val="auto"/>
          <w:kern w:val="0"/>
          <w:sz w:val="24"/>
          <w:highlight w:val="none"/>
          <w:lang w:bidi="ar"/>
        </w:rPr>
        <w:t xml:space="preserve">_______ </w:t>
      </w:r>
    </w:p>
    <w:p w14:paraId="169A1230">
      <w:pPr>
        <w:widowControl/>
        <w:jc w:val="left"/>
        <w:rPr>
          <w:color w:val="auto"/>
          <w:highlight w:val="none"/>
        </w:rPr>
      </w:pPr>
      <w:r>
        <w:rPr>
          <w:rFonts w:hint="eastAsia" w:ascii="宋体" w:hAnsi="宋体" w:cs="宋体"/>
          <w:color w:val="auto"/>
          <w:kern w:val="0"/>
          <w:sz w:val="24"/>
          <w:highlight w:val="none"/>
          <w:lang w:bidi="ar"/>
        </w:rPr>
        <w:t>日期：</w:t>
      </w:r>
      <w:r>
        <w:rPr>
          <w:rFonts w:ascii="DejaVuSans" w:hAnsi="DejaVuSans" w:eastAsia="DejaVuSans" w:cs="DejaVuSans"/>
          <w:color w:val="auto"/>
          <w:kern w:val="0"/>
          <w:sz w:val="24"/>
          <w:highlight w:val="none"/>
          <w:lang w:bidi="ar"/>
        </w:rPr>
        <w:t>_____</w:t>
      </w:r>
      <w:r>
        <w:rPr>
          <w:rFonts w:hint="eastAsia" w:ascii="宋体" w:hAnsi="宋体" w:cs="宋体"/>
          <w:color w:val="auto"/>
          <w:kern w:val="0"/>
          <w:sz w:val="24"/>
          <w:highlight w:val="none"/>
          <w:lang w:bidi="ar"/>
        </w:rPr>
        <w:t>年</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月</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日</w:t>
      </w:r>
    </w:p>
    <w:p w14:paraId="2FB87BA7">
      <w:pPr>
        <w:adjustRightInd w:val="0"/>
        <w:snapToGrid w:val="0"/>
        <w:spacing w:before="156" w:beforeLines="50" w:after="156" w:afterLines="50" w:line="360" w:lineRule="auto"/>
        <w:rPr>
          <w:rFonts w:ascii="宋体" w:hAnsi="宋体"/>
          <w:color w:val="auto"/>
          <w:sz w:val="24"/>
          <w:highlight w:val="none"/>
        </w:rPr>
      </w:pPr>
    </w:p>
    <w:bookmarkEnd w:id="248"/>
    <w:p w14:paraId="536C82B2">
      <w:pPr>
        <w:spacing w:line="360" w:lineRule="auto"/>
        <w:rPr>
          <w:color w:val="auto"/>
          <w:highlight w:val="none"/>
        </w:rPr>
      </w:pPr>
      <w:r>
        <w:rPr>
          <w:color w:val="auto"/>
          <w:highlight w:val="none"/>
        </w:rPr>
        <w:br w:type="page"/>
      </w:r>
    </w:p>
    <w:p w14:paraId="04DEB604">
      <w:pPr>
        <w:pStyle w:val="3"/>
        <w:spacing w:before="360" w:line="360" w:lineRule="auto"/>
        <w:rPr>
          <w:rFonts w:ascii="宋体" w:hAnsi="宋体" w:eastAsia="宋体"/>
          <w:color w:val="auto"/>
          <w:sz w:val="24"/>
          <w:highlight w:val="none"/>
        </w:rPr>
      </w:pPr>
      <w:bookmarkStart w:id="249" w:name="_Toc55603783"/>
      <w:bookmarkStart w:id="250" w:name="_Toc451339937"/>
      <w:r>
        <w:rPr>
          <w:rFonts w:hint="eastAsia" w:ascii="宋体" w:hAnsi="宋体" w:eastAsia="宋体"/>
          <w:color w:val="auto"/>
          <w:sz w:val="24"/>
          <w:highlight w:val="none"/>
        </w:rPr>
        <w:t>附件7 项目实施方案及实施计划</w:t>
      </w:r>
      <w:bookmarkEnd w:id="249"/>
      <w:bookmarkEnd w:id="250"/>
    </w:p>
    <w:p w14:paraId="6EF978A3">
      <w:pPr>
        <w:pStyle w:val="4"/>
        <w:rPr>
          <w:rFonts w:ascii="仿宋" w:hAnsi="仿宋" w:eastAsia="仿宋"/>
          <w:color w:val="auto"/>
          <w:highlight w:val="none"/>
        </w:rPr>
      </w:pPr>
    </w:p>
    <w:p w14:paraId="73960677">
      <w:pPr>
        <w:pStyle w:val="4"/>
        <w:spacing w:line="360" w:lineRule="auto"/>
        <w:rPr>
          <w:rFonts w:ascii="仿宋" w:hAnsi="仿宋" w:eastAsia="仿宋"/>
          <w:color w:val="auto"/>
          <w:highlight w:val="none"/>
        </w:rPr>
      </w:pPr>
      <w:r>
        <w:rPr>
          <w:rFonts w:hint="eastAsia" w:ascii="仿宋" w:hAnsi="仿宋" w:eastAsia="仿宋"/>
          <w:color w:val="auto"/>
          <w:highlight w:val="none"/>
        </w:rPr>
        <w:t>投标人应根据招标文件第八部分采购需求部分的相关要求，详细叙述拟提供的实施方案及实施计划。具体内容以下面列出的附件7-1至7-5为准。</w:t>
      </w:r>
    </w:p>
    <w:p w14:paraId="5D82E9CE">
      <w:pPr>
        <w:spacing w:line="360" w:lineRule="auto"/>
        <w:ind w:firstLine="480" w:firstLineChars="200"/>
        <w:rPr>
          <w:rFonts w:ascii="仿宋" w:hAnsi="仿宋" w:eastAsia="仿宋"/>
          <w:color w:val="auto"/>
          <w:kern w:val="0"/>
          <w:sz w:val="24"/>
          <w:szCs w:val="20"/>
          <w:highlight w:val="none"/>
        </w:rPr>
      </w:pPr>
      <w:r>
        <w:rPr>
          <w:rFonts w:hint="eastAsia" w:ascii="仿宋" w:hAnsi="仿宋" w:eastAsia="仿宋"/>
          <w:color w:val="auto"/>
          <w:kern w:val="0"/>
          <w:sz w:val="24"/>
          <w:szCs w:val="20"/>
          <w:highlight w:val="none"/>
        </w:rPr>
        <w:t>附件7-1——运行维护依据的主要技术标准和规范等（格式自拟）</w:t>
      </w:r>
    </w:p>
    <w:p w14:paraId="0250774E">
      <w:pPr>
        <w:spacing w:line="360" w:lineRule="auto"/>
        <w:ind w:firstLine="480" w:firstLineChars="200"/>
        <w:rPr>
          <w:rFonts w:ascii="仿宋" w:hAnsi="仿宋" w:eastAsia="仿宋"/>
          <w:color w:val="auto"/>
          <w:kern w:val="0"/>
          <w:sz w:val="24"/>
          <w:szCs w:val="20"/>
          <w:highlight w:val="none"/>
        </w:rPr>
      </w:pPr>
      <w:r>
        <w:rPr>
          <w:rFonts w:hint="eastAsia" w:ascii="仿宋" w:hAnsi="仿宋" w:eastAsia="仿宋"/>
          <w:color w:val="auto"/>
          <w:kern w:val="0"/>
          <w:sz w:val="24"/>
          <w:szCs w:val="20"/>
          <w:highlight w:val="none"/>
        </w:rPr>
        <w:t>附件7-2——各类系统运行管理制度，维护保养制度，检修、故障应急处理程序等技术操作规程概要或全文（格式自拟）</w:t>
      </w:r>
    </w:p>
    <w:p w14:paraId="63FD9B4A">
      <w:pPr>
        <w:spacing w:line="360" w:lineRule="auto"/>
        <w:ind w:firstLine="480" w:firstLineChars="200"/>
        <w:rPr>
          <w:rFonts w:ascii="仿宋" w:hAnsi="仿宋" w:eastAsia="仿宋"/>
          <w:color w:val="auto"/>
          <w:kern w:val="0"/>
          <w:sz w:val="24"/>
          <w:szCs w:val="20"/>
          <w:highlight w:val="none"/>
        </w:rPr>
      </w:pPr>
      <w:r>
        <w:rPr>
          <w:rFonts w:hint="eastAsia" w:ascii="仿宋" w:hAnsi="仿宋" w:eastAsia="仿宋"/>
          <w:color w:val="auto"/>
          <w:kern w:val="0"/>
          <w:sz w:val="24"/>
          <w:szCs w:val="20"/>
          <w:highlight w:val="none"/>
        </w:rPr>
        <w:t>附件7-3——各类管理条例的目录及概要（格式自拟）</w:t>
      </w:r>
    </w:p>
    <w:p w14:paraId="133B4951">
      <w:pPr>
        <w:spacing w:line="360" w:lineRule="auto"/>
        <w:ind w:firstLine="480" w:firstLineChars="200"/>
        <w:rPr>
          <w:rFonts w:ascii="仿宋" w:hAnsi="仿宋" w:eastAsia="仿宋"/>
          <w:color w:val="auto"/>
          <w:kern w:val="0"/>
          <w:sz w:val="24"/>
          <w:szCs w:val="20"/>
          <w:highlight w:val="none"/>
        </w:rPr>
      </w:pPr>
      <w:r>
        <w:rPr>
          <w:rFonts w:hint="eastAsia" w:ascii="仿宋" w:hAnsi="仿宋" w:eastAsia="仿宋"/>
          <w:color w:val="auto"/>
          <w:kern w:val="0"/>
          <w:sz w:val="24"/>
          <w:szCs w:val="20"/>
          <w:highlight w:val="none"/>
        </w:rPr>
        <w:t>附件7-4——应急响应预案（格式自拟）</w:t>
      </w:r>
    </w:p>
    <w:p w14:paraId="64787454">
      <w:pPr>
        <w:spacing w:line="360" w:lineRule="auto"/>
        <w:ind w:firstLine="480" w:firstLineChars="200"/>
        <w:rPr>
          <w:rFonts w:ascii="仿宋" w:hAnsi="仿宋" w:eastAsia="仿宋"/>
          <w:color w:val="auto"/>
          <w:kern w:val="0"/>
          <w:sz w:val="24"/>
          <w:szCs w:val="20"/>
          <w:highlight w:val="none"/>
        </w:rPr>
      </w:pPr>
      <w:r>
        <w:rPr>
          <w:rFonts w:hint="eastAsia" w:ascii="仿宋" w:hAnsi="仿宋" w:eastAsia="仿宋"/>
          <w:color w:val="auto"/>
          <w:kern w:val="0"/>
          <w:sz w:val="24"/>
          <w:szCs w:val="20"/>
          <w:highlight w:val="none"/>
        </w:rPr>
        <w:t>附件7-5——应急保障条件情况表（格式）</w:t>
      </w:r>
    </w:p>
    <w:p w14:paraId="7C13946D">
      <w:pPr>
        <w:adjustRightInd w:val="0"/>
        <w:snapToGrid w:val="0"/>
        <w:spacing w:before="156" w:beforeLines="50" w:after="156" w:afterLines="50" w:line="360" w:lineRule="auto"/>
        <w:jc w:val="center"/>
        <w:rPr>
          <w:rFonts w:ascii="宋体" w:hAnsi="宋体"/>
          <w:b/>
          <w:color w:val="auto"/>
          <w:sz w:val="24"/>
          <w:highlight w:val="none"/>
        </w:rPr>
      </w:pPr>
    </w:p>
    <w:p w14:paraId="1632189B">
      <w:pPr>
        <w:adjustRightInd w:val="0"/>
        <w:snapToGrid w:val="0"/>
        <w:spacing w:before="156" w:beforeLines="50" w:after="156" w:afterLines="50" w:line="360" w:lineRule="auto"/>
        <w:jc w:val="center"/>
        <w:rPr>
          <w:rFonts w:ascii="宋体" w:hAnsi="宋体"/>
          <w:b/>
          <w:color w:val="auto"/>
          <w:sz w:val="24"/>
          <w:highlight w:val="none"/>
        </w:rPr>
      </w:pPr>
    </w:p>
    <w:p w14:paraId="1AE6A14B">
      <w:pPr>
        <w:adjustRightInd w:val="0"/>
        <w:snapToGrid w:val="0"/>
        <w:spacing w:before="156" w:beforeLines="50" w:after="156" w:afterLines="50" w:line="360" w:lineRule="auto"/>
        <w:jc w:val="center"/>
        <w:rPr>
          <w:rFonts w:ascii="宋体" w:hAnsi="宋体"/>
          <w:b/>
          <w:color w:val="auto"/>
          <w:sz w:val="24"/>
          <w:highlight w:val="none"/>
        </w:rPr>
      </w:pPr>
    </w:p>
    <w:p w14:paraId="1CC66974">
      <w:pPr>
        <w:adjustRightInd w:val="0"/>
        <w:snapToGrid w:val="0"/>
        <w:spacing w:before="156" w:beforeLines="50" w:after="156" w:afterLines="50" w:line="360" w:lineRule="auto"/>
        <w:jc w:val="center"/>
        <w:rPr>
          <w:rFonts w:ascii="宋体" w:hAnsi="宋体"/>
          <w:b/>
          <w:color w:val="auto"/>
          <w:sz w:val="24"/>
          <w:highlight w:val="none"/>
        </w:rPr>
      </w:pPr>
    </w:p>
    <w:p w14:paraId="02C84B41">
      <w:pPr>
        <w:adjustRightInd w:val="0"/>
        <w:snapToGrid w:val="0"/>
        <w:spacing w:before="156" w:beforeLines="50" w:after="156" w:afterLines="50" w:line="360" w:lineRule="auto"/>
        <w:jc w:val="center"/>
        <w:rPr>
          <w:rFonts w:ascii="宋体" w:hAnsi="宋体"/>
          <w:b/>
          <w:color w:val="auto"/>
          <w:sz w:val="24"/>
          <w:highlight w:val="none"/>
        </w:rPr>
      </w:pPr>
    </w:p>
    <w:p w14:paraId="58FBB45C">
      <w:pPr>
        <w:adjustRightInd w:val="0"/>
        <w:snapToGrid w:val="0"/>
        <w:spacing w:before="156" w:beforeLines="50" w:after="156" w:afterLines="50" w:line="360" w:lineRule="auto"/>
        <w:jc w:val="center"/>
        <w:rPr>
          <w:rFonts w:ascii="宋体" w:hAnsi="宋体"/>
          <w:b/>
          <w:color w:val="auto"/>
          <w:sz w:val="24"/>
          <w:highlight w:val="none"/>
        </w:rPr>
      </w:pPr>
    </w:p>
    <w:p w14:paraId="4B430CA8">
      <w:pPr>
        <w:adjustRightInd w:val="0"/>
        <w:snapToGrid w:val="0"/>
        <w:spacing w:before="156" w:beforeLines="50" w:after="156" w:afterLines="50" w:line="360" w:lineRule="auto"/>
        <w:jc w:val="center"/>
        <w:rPr>
          <w:rFonts w:ascii="宋体" w:hAnsi="宋体"/>
          <w:b/>
          <w:color w:val="auto"/>
          <w:sz w:val="24"/>
          <w:highlight w:val="none"/>
        </w:rPr>
      </w:pPr>
    </w:p>
    <w:p w14:paraId="664974B4">
      <w:pPr>
        <w:adjustRightInd w:val="0"/>
        <w:snapToGrid w:val="0"/>
        <w:spacing w:before="156" w:beforeLines="50" w:after="156" w:afterLines="50" w:line="360" w:lineRule="auto"/>
        <w:jc w:val="center"/>
        <w:rPr>
          <w:rFonts w:ascii="宋体" w:hAnsi="宋体"/>
          <w:b/>
          <w:color w:val="auto"/>
          <w:sz w:val="24"/>
          <w:highlight w:val="none"/>
        </w:rPr>
      </w:pPr>
    </w:p>
    <w:p w14:paraId="2B0EF7E8">
      <w:pPr>
        <w:adjustRightInd w:val="0"/>
        <w:snapToGrid w:val="0"/>
        <w:spacing w:before="156" w:beforeLines="50" w:after="156" w:afterLines="50" w:line="360" w:lineRule="auto"/>
        <w:jc w:val="center"/>
        <w:rPr>
          <w:rFonts w:ascii="宋体" w:hAnsi="宋体"/>
          <w:b/>
          <w:color w:val="auto"/>
          <w:sz w:val="24"/>
          <w:highlight w:val="none"/>
        </w:rPr>
      </w:pPr>
    </w:p>
    <w:p w14:paraId="784942F0">
      <w:pPr>
        <w:adjustRightInd w:val="0"/>
        <w:snapToGrid w:val="0"/>
        <w:spacing w:before="156" w:beforeLines="50" w:after="156" w:afterLines="50" w:line="360" w:lineRule="auto"/>
        <w:jc w:val="center"/>
        <w:rPr>
          <w:rFonts w:ascii="宋体" w:hAnsi="宋体"/>
          <w:b/>
          <w:color w:val="auto"/>
          <w:sz w:val="24"/>
          <w:highlight w:val="none"/>
        </w:rPr>
      </w:pPr>
    </w:p>
    <w:p w14:paraId="2D99F237">
      <w:pPr>
        <w:adjustRightInd w:val="0"/>
        <w:snapToGrid w:val="0"/>
        <w:spacing w:before="156" w:beforeLines="50" w:after="156" w:afterLines="50" w:line="360" w:lineRule="auto"/>
        <w:jc w:val="center"/>
        <w:rPr>
          <w:rFonts w:ascii="宋体" w:hAnsi="宋体"/>
          <w:b/>
          <w:color w:val="auto"/>
          <w:sz w:val="24"/>
          <w:highlight w:val="none"/>
        </w:rPr>
      </w:pPr>
    </w:p>
    <w:p w14:paraId="05EDF9BB">
      <w:pPr>
        <w:adjustRightInd w:val="0"/>
        <w:snapToGrid w:val="0"/>
        <w:spacing w:before="156" w:beforeLines="50" w:after="156" w:afterLines="50" w:line="360" w:lineRule="auto"/>
        <w:jc w:val="center"/>
        <w:rPr>
          <w:rFonts w:ascii="宋体" w:hAnsi="宋体"/>
          <w:b/>
          <w:color w:val="auto"/>
          <w:sz w:val="24"/>
          <w:highlight w:val="none"/>
        </w:rPr>
      </w:pPr>
    </w:p>
    <w:p w14:paraId="159234EE">
      <w:pPr>
        <w:adjustRightInd w:val="0"/>
        <w:snapToGrid w:val="0"/>
        <w:spacing w:before="156" w:beforeLines="50" w:after="156" w:afterLines="50" w:line="360" w:lineRule="auto"/>
        <w:jc w:val="center"/>
        <w:rPr>
          <w:rFonts w:ascii="宋体" w:hAnsi="宋体"/>
          <w:b/>
          <w:color w:val="auto"/>
          <w:sz w:val="24"/>
          <w:highlight w:val="none"/>
        </w:rPr>
      </w:pPr>
    </w:p>
    <w:p w14:paraId="25055891">
      <w:pPr>
        <w:adjustRightInd w:val="0"/>
        <w:snapToGrid w:val="0"/>
        <w:spacing w:before="156" w:beforeLines="50" w:after="156" w:afterLines="50" w:line="360" w:lineRule="auto"/>
        <w:jc w:val="center"/>
        <w:rPr>
          <w:rFonts w:ascii="宋体" w:hAnsi="宋体"/>
          <w:b/>
          <w:color w:val="auto"/>
          <w:sz w:val="24"/>
          <w:highlight w:val="none"/>
        </w:rPr>
      </w:pPr>
    </w:p>
    <w:p w14:paraId="59237ECD">
      <w:pPr>
        <w:adjustRightInd w:val="0"/>
        <w:snapToGrid w:val="0"/>
        <w:spacing w:before="156" w:beforeLines="50" w:after="156" w:afterLines="50" w:line="360" w:lineRule="auto"/>
        <w:jc w:val="center"/>
        <w:rPr>
          <w:rFonts w:ascii="宋体" w:hAnsi="宋体"/>
          <w:b/>
          <w:color w:val="auto"/>
          <w:sz w:val="24"/>
          <w:highlight w:val="none"/>
        </w:rPr>
      </w:pPr>
    </w:p>
    <w:p w14:paraId="41C46D4B">
      <w:pPr>
        <w:pStyle w:val="3"/>
        <w:spacing w:line="360" w:lineRule="auto"/>
        <w:rPr>
          <w:rFonts w:cs="宋体" w:asciiTheme="minorEastAsia" w:hAnsiTheme="minorEastAsia" w:eastAsiaTheme="minorEastAsia"/>
          <w:color w:val="auto"/>
          <w:sz w:val="28"/>
          <w:szCs w:val="28"/>
          <w:highlight w:val="none"/>
        </w:rPr>
      </w:pPr>
      <w:bookmarkStart w:id="251" w:name="_Toc11931"/>
      <w:bookmarkStart w:id="252" w:name="_Toc11523"/>
      <w:bookmarkStart w:id="253" w:name="_Toc19758"/>
      <w:bookmarkStart w:id="254" w:name="_Toc474936012"/>
      <w:bookmarkStart w:id="255" w:name="_Toc1528"/>
      <w:bookmarkStart w:id="256" w:name="_Toc7993"/>
      <w:bookmarkStart w:id="257" w:name="_Toc22830"/>
      <w:r>
        <w:rPr>
          <w:rFonts w:hint="eastAsia" w:cs="宋体" w:asciiTheme="minorEastAsia" w:hAnsiTheme="minorEastAsia" w:eastAsiaTheme="minorEastAsia"/>
          <w:color w:val="auto"/>
          <w:sz w:val="28"/>
          <w:szCs w:val="28"/>
          <w:highlight w:val="none"/>
        </w:rPr>
        <w:t>附件7-1　</w:t>
      </w:r>
      <w:bookmarkEnd w:id="251"/>
      <w:bookmarkEnd w:id="252"/>
      <w:bookmarkEnd w:id="253"/>
      <w:bookmarkEnd w:id="254"/>
      <w:bookmarkEnd w:id="255"/>
      <w:bookmarkEnd w:id="256"/>
      <w:bookmarkEnd w:id="257"/>
      <w:r>
        <w:rPr>
          <w:rFonts w:hint="eastAsia" w:cs="宋体" w:asciiTheme="minorEastAsia" w:hAnsiTheme="minorEastAsia" w:eastAsiaTheme="minorEastAsia"/>
          <w:color w:val="auto"/>
          <w:sz w:val="28"/>
          <w:szCs w:val="28"/>
          <w:highlight w:val="none"/>
        </w:rPr>
        <w:t>运行维护依据的主要技术标准和规范等</w:t>
      </w:r>
    </w:p>
    <w:p w14:paraId="27A1A286">
      <w:pPr>
        <w:widowControl/>
        <w:spacing w:before="312" w:beforeLines="100" w:after="312" w:afterLines="100"/>
        <w:jc w:val="center"/>
        <w:rPr>
          <w:rFonts w:asciiTheme="minorEastAsia" w:hAnsiTheme="minorEastAsia" w:eastAsiaTheme="minorEastAsia"/>
          <w:color w:val="auto"/>
          <w:sz w:val="30"/>
          <w:szCs w:val="30"/>
          <w:highlight w:val="none"/>
        </w:rPr>
      </w:pPr>
    </w:p>
    <w:p w14:paraId="7EE4C512">
      <w:pPr>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格式</w:t>
      </w:r>
      <w:r>
        <w:rPr>
          <w:rFonts w:asciiTheme="minorEastAsia" w:hAnsiTheme="minorEastAsia" w:eastAsiaTheme="minorEastAsia"/>
          <w:color w:val="auto"/>
          <w:sz w:val="24"/>
          <w:highlight w:val="none"/>
        </w:rPr>
        <w:t>自拟。</w:t>
      </w:r>
    </w:p>
    <w:p w14:paraId="29692DF0">
      <w:pPr>
        <w:jc w:val="left"/>
        <w:rPr>
          <w:rFonts w:asciiTheme="minorEastAsia" w:hAnsiTheme="minorEastAsia" w:eastAsiaTheme="minorEastAsia"/>
          <w:color w:val="auto"/>
          <w:highlight w:val="none"/>
        </w:rPr>
      </w:pPr>
    </w:p>
    <w:p w14:paraId="43142754">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要求：</w:t>
      </w:r>
    </w:p>
    <w:p w14:paraId="7735A4DE">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1、投标人根据招标范围的设备清单等内容自行编制，分别列出设备的检查内容、检查频次等</w:t>
      </w:r>
    </w:p>
    <w:p w14:paraId="6002D34E">
      <w:pPr>
        <w:spacing w:line="240" w:lineRule="atLeast"/>
        <w:jc w:val="left"/>
        <w:rPr>
          <w:rFonts w:asciiTheme="minorEastAsia" w:hAnsiTheme="minorEastAsia" w:eastAsiaTheme="minorEastAsia"/>
          <w:color w:val="auto"/>
          <w:sz w:val="24"/>
          <w:highlight w:val="none"/>
        </w:rPr>
      </w:pPr>
    </w:p>
    <w:p w14:paraId="67713E83">
      <w:pPr>
        <w:spacing w:line="240" w:lineRule="atLeast"/>
        <w:jc w:val="left"/>
        <w:rPr>
          <w:rFonts w:asciiTheme="minorEastAsia" w:hAnsiTheme="minorEastAsia" w:eastAsiaTheme="minorEastAsia"/>
          <w:color w:val="auto"/>
          <w:sz w:val="24"/>
          <w:highlight w:val="none"/>
        </w:rPr>
      </w:pPr>
    </w:p>
    <w:p w14:paraId="7E7805FF">
      <w:pPr>
        <w:spacing w:line="240" w:lineRule="atLeast"/>
        <w:jc w:val="left"/>
        <w:rPr>
          <w:rFonts w:asciiTheme="minorEastAsia" w:hAnsiTheme="minorEastAsia" w:eastAsiaTheme="minorEastAsia"/>
          <w:color w:val="auto"/>
          <w:sz w:val="24"/>
          <w:highlight w:val="none"/>
        </w:rPr>
      </w:pPr>
    </w:p>
    <w:p w14:paraId="5D8B02BE">
      <w:pPr>
        <w:spacing w:line="240" w:lineRule="atLeast"/>
        <w:jc w:val="left"/>
        <w:rPr>
          <w:rFonts w:asciiTheme="minorEastAsia" w:hAnsiTheme="minorEastAsia" w:eastAsiaTheme="minorEastAsia"/>
          <w:color w:val="auto"/>
          <w:sz w:val="24"/>
          <w:highlight w:val="none"/>
        </w:rPr>
      </w:pPr>
    </w:p>
    <w:p w14:paraId="38F51DA6">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投标单位： （盖章）                      投标代表： （签字）</w:t>
      </w:r>
    </w:p>
    <w:p w14:paraId="2E7F2EFD">
      <w:pPr>
        <w:rPr>
          <w:rFonts w:asciiTheme="minorEastAsia" w:hAnsiTheme="minorEastAsia" w:eastAsiaTheme="minorEastAsia"/>
          <w:color w:val="auto"/>
          <w:highlight w:val="none"/>
        </w:rPr>
      </w:pPr>
    </w:p>
    <w:p w14:paraId="603A76E6">
      <w:pPr>
        <w:snapToGrid w:val="0"/>
        <w:spacing w:before="156" w:beforeLines="50" w:after="156" w:afterLines="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年   月   日</w:t>
      </w:r>
    </w:p>
    <w:p w14:paraId="3DF05156">
      <w:pPr>
        <w:adjustRightInd w:val="0"/>
        <w:snapToGrid w:val="0"/>
        <w:spacing w:before="156" w:beforeLines="50" w:after="156" w:afterLines="50" w:line="360" w:lineRule="auto"/>
        <w:jc w:val="center"/>
        <w:rPr>
          <w:rFonts w:ascii="宋体" w:hAnsi="宋体"/>
          <w:b/>
          <w:color w:val="auto"/>
          <w:sz w:val="24"/>
          <w:highlight w:val="none"/>
        </w:rPr>
      </w:pPr>
    </w:p>
    <w:p w14:paraId="476D2CC7">
      <w:pPr>
        <w:adjustRightInd w:val="0"/>
        <w:snapToGrid w:val="0"/>
        <w:spacing w:before="156" w:beforeLines="50" w:after="156" w:afterLines="50" w:line="360" w:lineRule="auto"/>
        <w:jc w:val="center"/>
        <w:rPr>
          <w:rFonts w:ascii="宋体" w:hAnsi="宋体"/>
          <w:b/>
          <w:color w:val="auto"/>
          <w:sz w:val="24"/>
          <w:highlight w:val="none"/>
        </w:rPr>
      </w:pPr>
    </w:p>
    <w:p w14:paraId="425BB4A5">
      <w:pPr>
        <w:adjustRightInd w:val="0"/>
        <w:snapToGrid w:val="0"/>
        <w:spacing w:before="156" w:beforeLines="50" w:after="156" w:afterLines="50" w:line="360" w:lineRule="auto"/>
        <w:jc w:val="center"/>
        <w:rPr>
          <w:rFonts w:ascii="宋体" w:hAnsi="宋体"/>
          <w:b/>
          <w:color w:val="auto"/>
          <w:sz w:val="24"/>
          <w:highlight w:val="none"/>
        </w:rPr>
      </w:pPr>
    </w:p>
    <w:p w14:paraId="532DFC6D">
      <w:pPr>
        <w:adjustRightInd w:val="0"/>
        <w:snapToGrid w:val="0"/>
        <w:spacing w:before="156" w:beforeLines="50" w:after="156" w:afterLines="50" w:line="360" w:lineRule="auto"/>
        <w:jc w:val="center"/>
        <w:rPr>
          <w:rFonts w:ascii="宋体" w:hAnsi="宋体"/>
          <w:b/>
          <w:color w:val="auto"/>
          <w:sz w:val="24"/>
          <w:highlight w:val="none"/>
        </w:rPr>
      </w:pPr>
    </w:p>
    <w:p w14:paraId="2639BD50">
      <w:pPr>
        <w:adjustRightInd w:val="0"/>
        <w:snapToGrid w:val="0"/>
        <w:spacing w:before="156" w:beforeLines="50" w:after="156" w:afterLines="50" w:line="360" w:lineRule="auto"/>
        <w:jc w:val="center"/>
        <w:rPr>
          <w:rFonts w:ascii="宋体" w:hAnsi="宋体"/>
          <w:b/>
          <w:color w:val="auto"/>
          <w:sz w:val="24"/>
          <w:highlight w:val="none"/>
        </w:rPr>
      </w:pPr>
    </w:p>
    <w:p w14:paraId="10206621">
      <w:pPr>
        <w:adjustRightInd w:val="0"/>
        <w:snapToGrid w:val="0"/>
        <w:spacing w:before="156" w:beforeLines="50" w:after="156" w:afterLines="50" w:line="360" w:lineRule="auto"/>
        <w:jc w:val="center"/>
        <w:rPr>
          <w:rFonts w:ascii="宋体" w:hAnsi="宋体"/>
          <w:b/>
          <w:color w:val="auto"/>
          <w:sz w:val="24"/>
          <w:highlight w:val="none"/>
        </w:rPr>
      </w:pPr>
    </w:p>
    <w:p w14:paraId="45FABF14">
      <w:pPr>
        <w:adjustRightInd w:val="0"/>
        <w:snapToGrid w:val="0"/>
        <w:spacing w:before="156" w:beforeLines="50" w:after="156" w:afterLines="50" w:line="360" w:lineRule="auto"/>
        <w:jc w:val="center"/>
        <w:rPr>
          <w:rFonts w:ascii="宋体" w:hAnsi="宋体"/>
          <w:b/>
          <w:color w:val="auto"/>
          <w:sz w:val="24"/>
          <w:highlight w:val="none"/>
        </w:rPr>
      </w:pPr>
    </w:p>
    <w:p w14:paraId="3F8139DB">
      <w:pPr>
        <w:adjustRightInd w:val="0"/>
        <w:snapToGrid w:val="0"/>
        <w:spacing w:before="156" w:beforeLines="50" w:after="156" w:afterLines="50" w:line="360" w:lineRule="auto"/>
        <w:jc w:val="center"/>
        <w:rPr>
          <w:rFonts w:ascii="宋体" w:hAnsi="宋体"/>
          <w:b/>
          <w:color w:val="auto"/>
          <w:sz w:val="24"/>
          <w:highlight w:val="none"/>
        </w:rPr>
      </w:pPr>
    </w:p>
    <w:p w14:paraId="5B956D5C">
      <w:pPr>
        <w:adjustRightInd w:val="0"/>
        <w:snapToGrid w:val="0"/>
        <w:spacing w:before="156" w:beforeLines="50" w:after="156" w:afterLines="50" w:line="360" w:lineRule="auto"/>
        <w:jc w:val="center"/>
        <w:rPr>
          <w:rFonts w:ascii="宋体" w:hAnsi="宋体"/>
          <w:b/>
          <w:color w:val="auto"/>
          <w:sz w:val="24"/>
          <w:highlight w:val="none"/>
        </w:rPr>
      </w:pPr>
    </w:p>
    <w:p w14:paraId="0E91445B">
      <w:pPr>
        <w:adjustRightInd w:val="0"/>
        <w:snapToGrid w:val="0"/>
        <w:spacing w:before="156" w:beforeLines="50" w:after="156" w:afterLines="50" w:line="360" w:lineRule="auto"/>
        <w:jc w:val="center"/>
        <w:rPr>
          <w:rFonts w:ascii="宋体" w:hAnsi="宋体"/>
          <w:b/>
          <w:color w:val="auto"/>
          <w:sz w:val="24"/>
          <w:highlight w:val="none"/>
        </w:rPr>
      </w:pPr>
    </w:p>
    <w:p w14:paraId="75F81A0B">
      <w:pPr>
        <w:adjustRightInd w:val="0"/>
        <w:snapToGrid w:val="0"/>
        <w:spacing w:before="156" w:beforeLines="50" w:after="156" w:afterLines="50" w:line="360" w:lineRule="auto"/>
        <w:jc w:val="center"/>
        <w:rPr>
          <w:rFonts w:ascii="宋体" w:hAnsi="宋体"/>
          <w:b/>
          <w:color w:val="auto"/>
          <w:sz w:val="24"/>
          <w:highlight w:val="none"/>
        </w:rPr>
      </w:pPr>
    </w:p>
    <w:p w14:paraId="4A0C00AC">
      <w:pPr>
        <w:adjustRightInd w:val="0"/>
        <w:snapToGrid w:val="0"/>
        <w:spacing w:before="156" w:beforeLines="50" w:after="156" w:afterLines="50" w:line="360" w:lineRule="auto"/>
        <w:jc w:val="center"/>
        <w:rPr>
          <w:rFonts w:ascii="宋体" w:hAnsi="宋体"/>
          <w:b/>
          <w:color w:val="auto"/>
          <w:sz w:val="24"/>
          <w:highlight w:val="none"/>
        </w:rPr>
      </w:pPr>
    </w:p>
    <w:p w14:paraId="498296E2">
      <w:pPr>
        <w:adjustRightInd w:val="0"/>
        <w:snapToGrid w:val="0"/>
        <w:spacing w:before="156" w:beforeLines="50" w:after="156" w:afterLines="50" w:line="360" w:lineRule="auto"/>
        <w:jc w:val="center"/>
        <w:rPr>
          <w:rFonts w:ascii="宋体" w:hAnsi="宋体"/>
          <w:b/>
          <w:color w:val="auto"/>
          <w:sz w:val="24"/>
          <w:highlight w:val="none"/>
        </w:rPr>
      </w:pPr>
    </w:p>
    <w:p w14:paraId="31E3321F">
      <w:pPr>
        <w:pStyle w:val="4"/>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附件7-2——各类系统运行管理制度，维护保养制度，检修、故障应急处理程序等技术操作规程概要或全文</w:t>
      </w:r>
    </w:p>
    <w:p w14:paraId="740696D1">
      <w:pPr>
        <w:pStyle w:val="4"/>
        <w:jc w:val="center"/>
        <w:rPr>
          <w:rFonts w:asciiTheme="minorEastAsia" w:hAnsiTheme="minorEastAsia" w:eastAsiaTheme="minorEastAsia"/>
          <w:b/>
          <w:color w:val="auto"/>
          <w:sz w:val="28"/>
          <w:szCs w:val="28"/>
          <w:highlight w:val="none"/>
        </w:rPr>
      </w:pPr>
    </w:p>
    <w:p w14:paraId="3BD4BBAC">
      <w:pPr>
        <w:widowControl/>
        <w:spacing w:before="312" w:beforeLines="100" w:after="312" w:afterLines="100"/>
        <w:jc w:val="center"/>
        <w:rPr>
          <w:rFonts w:asciiTheme="minorEastAsia" w:hAnsiTheme="minorEastAsia" w:eastAsiaTheme="minorEastAsia"/>
          <w:color w:val="auto"/>
          <w:sz w:val="30"/>
          <w:szCs w:val="30"/>
          <w:highlight w:val="none"/>
        </w:rPr>
      </w:pPr>
    </w:p>
    <w:p w14:paraId="6B30971D">
      <w:pPr>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格式</w:t>
      </w:r>
      <w:r>
        <w:rPr>
          <w:rFonts w:asciiTheme="minorEastAsia" w:hAnsiTheme="minorEastAsia" w:eastAsiaTheme="minorEastAsia"/>
          <w:color w:val="auto"/>
          <w:sz w:val="24"/>
          <w:highlight w:val="none"/>
        </w:rPr>
        <w:t>自拟。</w:t>
      </w:r>
    </w:p>
    <w:p w14:paraId="42222760">
      <w:pPr>
        <w:jc w:val="left"/>
        <w:rPr>
          <w:rFonts w:asciiTheme="minorEastAsia" w:hAnsiTheme="minorEastAsia" w:eastAsiaTheme="minorEastAsia"/>
          <w:color w:val="auto"/>
          <w:highlight w:val="none"/>
        </w:rPr>
      </w:pPr>
    </w:p>
    <w:p w14:paraId="334D60D2">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要求：</w:t>
      </w:r>
    </w:p>
    <w:p w14:paraId="3A88350D">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1、投标人根据招标范围的设备清单等内容自行编制，分别列出设备的检查内容、检查频次等</w:t>
      </w:r>
    </w:p>
    <w:p w14:paraId="1668089F">
      <w:pPr>
        <w:spacing w:line="240" w:lineRule="atLeast"/>
        <w:jc w:val="left"/>
        <w:rPr>
          <w:rFonts w:asciiTheme="minorEastAsia" w:hAnsiTheme="minorEastAsia" w:eastAsiaTheme="minorEastAsia"/>
          <w:color w:val="auto"/>
          <w:sz w:val="24"/>
          <w:highlight w:val="none"/>
        </w:rPr>
      </w:pPr>
    </w:p>
    <w:p w14:paraId="301F6785">
      <w:pPr>
        <w:spacing w:line="240" w:lineRule="atLeast"/>
        <w:jc w:val="left"/>
        <w:rPr>
          <w:rFonts w:asciiTheme="minorEastAsia" w:hAnsiTheme="minorEastAsia" w:eastAsiaTheme="minorEastAsia"/>
          <w:color w:val="auto"/>
          <w:sz w:val="24"/>
          <w:highlight w:val="none"/>
        </w:rPr>
      </w:pPr>
    </w:p>
    <w:p w14:paraId="3FD33627">
      <w:pPr>
        <w:spacing w:line="240" w:lineRule="atLeast"/>
        <w:jc w:val="left"/>
        <w:rPr>
          <w:rFonts w:asciiTheme="minorEastAsia" w:hAnsiTheme="minorEastAsia" w:eastAsiaTheme="minorEastAsia"/>
          <w:color w:val="auto"/>
          <w:sz w:val="24"/>
          <w:highlight w:val="none"/>
        </w:rPr>
      </w:pPr>
    </w:p>
    <w:p w14:paraId="24D15208">
      <w:pPr>
        <w:spacing w:line="240" w:lineRule="atLeast"/>
        <w:jc w:val="left"/>
        <w:rPr>
          <w:rFonts w:asciiTheme="minorEastAsia" w:hAnsiTheme="minorEastAsia" w:eastAsiaTheme="minorEastAsia"/>
          <w:color w:val="auto"/>
          <w:sz w:val="24"/>
          <w:highlight w:val="none"/>
        </w:rPr>
      </w:pPr>
    </w:p>
    <w:p w14:paraId="0D44CAE9">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投标单位： （盖章）                      投标代表： （签字）</w:t>
      </w:r>
    </w:p>
    <w:p w14:paraId="2329037E">
      <w:pPr>
        <w:rPr>
          <w:rFonts w:asciiTheme="minorEastAsia" w:hAnsiTheme="minorEastAsia" w:eastAsiaTheme="minorEastAsia"/>
          <w:color w:val="auto"/>
          <w:highlight w:val="none"/>
        </w:rPr>
      </w:pPr>
    </w:p>
    <w:p w14:paraId="7777D11C">
      <w:pPr>
        <w:snapToGrid w:val="0"/>
        <w:spacing w:before="156" w:beforeLines="50" w:after="156" w:afterLines="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年   月   日</w:t>
      </w:r>
    </w:p>
    <w:p w14:paraId="4A9E254B">
      <w:pPr>
        <w:adjustRightInd w:val="0"/>
        <w:snapToGrid w:val="0"/>
        <w:spacing w:before="156" w:beforeLines="50" w:after="156" w:afterLines="50" w:line="360" w:lineRule="auto"/>
        <w:jc w:val="center"/>
        <w:rPr>
          <w:rFonts w:ascii="宋体" w:hAnsi="宋体"/>
          <w:b/>
          <w:color w:val="auto"/>
          <w:sz w:val="24"/>
          <w:highlight w:val="none"/>
        </w:rPr>
      </w:pPr>
    </w:p>
    <w:p w14:paraId="30098D7B">
      <w:pPr>
        <w:adjustRightInd w:val="0"/>
        <w:snapToGrid w:val="0"/>
        <w:spacing w:before="156" w:beforeLines="50" w:after="156" w:afterLines="50" w:line="360" w:lineRule="auto"/>
        <w:jc w:val="center"/>
        <w:rPr>
          <w:rFonts w:ascii="宋体" w:hAnsi="宋体"/>
          <w:b/>
          <w:color w:val="auto"/>
          <w:sz w:val="24"/>
          <w:highlight w:val="none"/>
        </w:rPr>
      </w:pPr>
    </w:p>
    <w:p w14:paraId="79857C59">
      <w:pPr>
        <w:adjustRightInd w:val="0"/>
        <w:snapToGrid w:val="0"/>
        <w:spacing w:before="156" w:beforeLines="50" w:after="156" w:afterLines="50" w:line="360" w:lineRule="auto"/>
        <w:jc w:val="center"/>
        <w:rPr>
          <w:rFonts w:ascii="宋体" w:hAnsi="宋体"/>
          <w:b/>
          <w:color w:val="auto"/>
          <w:sz w:val="24"/>
          <w:highlight w:val="none"/>
        </w:rPr>
      </w:pPr>
    </w:p>
    <w:p w14:paraId="11006C47">
      <w:pPr>
        <w:adjustRightInd w:val="0"/>
        <w:snapToGrid w:val="0"/>
        <w:spacing w:before="156" w:beforeLines="50" w:after="156" w:afterLines="50" w:line="360" w:lineRule="auto"/>
        <w:jc w:val="center"/>
        <w:rPr>
          <w:rFonts w:ascii="宋体" w:hAnsi="宋体"/>
          <w:b/>
          <w:color w:val="auto"/>
          <w:sz w:val="24"/>
          <w:highlight w:val="none"/>
        </w:rPr>
      </w:pPr>
    </w:p>
    <w:p w14:paraId="5846A2B4">
      <w:pPr>
        <w:adjustRightInd w:val="0"/>
        <w:snapToGrid w:val="0"/>
        <w:spacing w:before="156" w:beforeLines="50" w:after="156" w:afterLines="50" w:line="360" w:lineRule="auto"/>
        <w:jc w:val="center"/>
        <w:rPr>
          <w:rFonts w:ascii="宋体" w:hAnsi="宋体"/>
          <w:b/>
          <w:color w:val="auto"/>
          <w:sz w:val="24"/>
          <w:highlight w:val="none"/>
        </w:rPr>
      </w:pPr>
    </w:p>
    <w:p w14:paraId="28DCB519">
      <w:pPr>
        <w:adjustRightInd w:val="0"/>
        <w:snapToGrid w:val="0"/>
        <w:spacing w:before="156" w:beforeLines="50" w:after="156" w:afterLines="50" w:line="360" w:lineRule="auto"/>
        <w:jc w:val="center"/>
        <w:rPr>
          <w:rFonts w:ascii="宋体" w:hAnsi="宋体"/>
          <w:b/>
          <w:color w:val="auto"/>
          <w:sz w:val="24"/>
          <w:highlight w:val="none"/>
        </w:rPr>
      </w:pPr>
    </w:p>
    <w:p w14:paraId="361C5487">
      <w:pPr>
        <w:adjustRightInd w:val="0"/>
        <w:snapToGrid w:val="0"/>
        <w:spacing w:before="156" w:beforeLines="50" w:after="156" w:afterLines="50" w:line="360" w:lineRule="auto"/>
        <w:jc w:val="center"/>
        <w:rPr>
          <w:rFonts w:ascii="宋体" w:hAnsi="宋体"/>
          <w:b/>
          <w:color w:val="auto"/>
          <w:sz w:val="24"/>
          <w:highlight w:val="none"/>
        </w:rPr>
      </w:pPr>
    </w:p>
    <w:p w14:paraId="77E38DB7">
      <w:pPr>
        <w:adjustRightInd w:val="0"/>
        <w:snapToGrid w:val="0"/>
        <w:spacing w:before="156" w:beforeLines="50" w:after="156" w:afterLines="50" w:line="360" w:lineRule="auto"/>
        <w:jc w:val="center"/>
        <w:rPr>
          <w:rFonts w:ascii="宋体" w:hAnsi="宋体"/>
          <w:b/>
          <w:color w:val="auto"/>
          <w:sz w:val="24"/>
          <w:highlight w:val="none"/>
        </w:rPr>
      </w:pPr>
    </w:p>
    <w:p w14:paraId="6FC09B0A">
      <w:pPr>
        <w:adjustRightInd w:val="0"/>
        <w:snapToGrid w:val="0"/>
        <w:spacing w:before="156" w:beforeLines="50" w:after="156" w:afterLines="50" w:line="360" w:lineRule="auto"/>
        <w:jc w:val="center"/>
        <w:rPr>
          <w:rFonts w:ascii="宋体" w:hAnsi="宋体"/>
          <w:b/>
          <w:color w:val="auto"/>
          <w:sz w:val="24"/>
          <w:highlight w:val="none"/>
        </w:rPr>
      </w:pPr>
    </w:p>
    <w:p w14:paraId="4B08CEAF">
      <w:pPr>
        <w:adjustRightInd w:val="0"/>
        <w:snapToGrid w:val="0"/>
        <w:spacing w:before="156" w:beforeLines="50" w:after="156" w:afterLines="50" w:line="360" w:lineRule="auto"/>
        <w:jc w:val="center"/>
        <w:rPr>
          <w:rFonts w:ascii="宋体" w:hAnsi="宋体"/>
          <w:b/>
          <w:color w:val="auto"/>
          <w:sz w:val="24"/>
          <w:highlight w:val="none"/>
        </w:rPr>
      </w:pPr>
    </w:p>
    <w:p w14:paraId="2BEDF9C0">
      <w:pPr>
        <w:adjustRightInd w:val="0"/>
        <w:snapToGrid w:val="0"/>
        <w:spacing w:before="156" w:beforeLines="50" w:after="156" w:afterLines="50" w:line="360" w:lineRule="auto"/>
        <w:jc w:val="center"/>
        <w:rPr>
          <w:rFonts w:ascii="宋体" w:hAnsi="宋体"/>
          <w:b/>
          <w:color w:val="auto"/>
          <w:sz w:val="24"/>
          <w:highlight w:val="none"/>
        </w:rPr>
      </w:pPr>
    </w:p>
    <w:p w14:paraId="6392FCFC">
      <w:pPr>
        <w:pStyle w:val="4"/>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附件7-3——各类管理条例的目录及概要</w:t>
      </w:r>
    </w:p>
    <w:p w14:paraId="19003F45">
      <w:pPr>
        <w:widowControl/>
        <w:spacing w:before="312" w:beforeLines="100" w:after="312" w:afterLines="100"/>
        <w:jc w:val="center"/>
        <w:rPr>
          <w:rFonts w:asciiTheme="minorEastAsia" w:hAnsiTheme="minorEastAsia" w:eastAsiaTheme="minorEastAsia"/>
          <w:color w:val="auto"/>
          <w:sz w:val="30"/>
          <w:szCs w:val="30"/>
          <w:highlight w:val="none"/>
        </w:rPr>
      </w:pPr>
    </w:p>
    <w:p w14:paraId="3987E6E0">
      <w:pPr>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格式</w:t>
      </w:r>
      <w:r>
        <w:rPr>
          <w:rFonts w:asciiTheme="minorEastAsia" w:hAnsiTheme="minorEastAsia" w:eastAsiaTheme="minorEastAsia"/>
          <w:color w:val="auto"/>
          <w:sz w:val="24"/>
          <w:highlight w:val="none"/>
        </w:rPr>
        <w:t>自拟。</w:t>
      </w:r>
    </w:p>
    <w:p w14:paraId="2DB0EAAE">
      <w:pPr>
        <w:jc w:val="left"/>
        <w:rPr>
          <w:rFonts w:asciiTheme="minorEastAsia" w:hAnsiTheme="minorEastAsia" w:eastAsiaTheme="minorEastAsia"/>
          <w:color w:val="auto"/>
          <w:highlight w:val="none"/>
        </w:rPr>
      </w:pPr>
    </w:p>
    <w:p w14:paraId="7727DDBD">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要求：</w:t>
      </w:r>
    </w:p>
    <w:p w14:paraId="4F729545">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1、投标人根据招标范围的设备清单等内容自行编制，分别列出设备的检查内容、检查频次等</w:t>
      </w:r>
    </w:p>
    <w:p w14:paraId="79D54A69">
      <w:pPr>
        <w:spacing w:line="240" w:lineRule="atLeast"/>
        <w:jc w:val="left"/>
        <w:rPr>
          <w:rFonts w:asciiTheme="minorEastAsia" w:hAnsiTheme="minorEastAsia" w:eastAsiaTheme="minorEastAsia"/>
          <w:color w:val="auto"/>
          <w:sz w:val="24"/>
          <w:highlight w:val="none"/>
        </w:rPr>
      </w:pPr>
    </w:p>
    <w:p w14:paraId="06948FE4">
      <w:pPr>
        <w:spacing w:line="240" w:lineRule="atLeast"/>
        <w:jc w:val="left"/>
        <w:rPr>
          <w:rFonts w:asciiTheme="minorEastAsia" w:hAnsiTheme="minorEastAsia" w:eastAsiaTheme="minorEastAsia"/>
          <w:color w:val="auto"/>
          <w:sz w:val="24"/>
          <w:highlight w:val="none"/>
        </w:rPr>
      </w:pPr>
    </w:p>
    <w:p w14:paraId="0C60C71E">
      <w:pPr>
        <w:spacing w:line="240" w:lineRule="atLeast"/>
        <w:jc w:val="left"/>
        <w:rPr>
          <w:rFonts w:asciiTheme="minorEastAsia" w:hAnsiTheme="minorEastAsia" w:eastAsiaTheme="minorEastAsia"/>
          <w:color w:val="auto"/>
          <w:sz w:val="24"/>
          <w:highlight w:val="none"/>
        </w:rPr>
      </w:pPr>
    </w:p>
    <w:p w14:paraId="77C38098">
      <w:pPr>
        <w:spacing w:line="240" w:lineRule="atLeast"/>
        <w:jc w:val="left"/>
        <w:rPr>
          <w:rFonts w:asciiTheme="minorEastAsia" w:hAnsiTheme="minorEastAsia" w:eastAsiaTheme="minorEastAsia"/>
          <w:color w:val="auto"/>
          <w:sz w:val="24"/>
          <w:highlight w:val="none"/>
        </w:rPr>
      </w:pPr>
    </w:p>
    <w:p w14:paraId="222937FD">
      <w:pPr>
        <w:spacing w:line="240" w:lineRule="atLeast"/>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投标单位： （盖章）                      投标代表： （签字）</w:t>
      </w:r>
    </w:p>
    <w:p w14:paraId="2255A6A0">
      <w:pPr>
        <w:rPr>
          <w:rFonts w:asciiTheme="minorEastAsia" w:hAnsiTheme="minorEastAsia" w:eastAsiaTheme="minorEastAsia"/>
          <w:color w:val="auto"/>
          <w:highlight w:val="none"/>
        </w:rPr>
      </w:pPr>
    </w:p>
    <w:p w14:paraId="4AE60710">
      <w:pPr>
        <w:snapToGrid w:val="0"/>
        <w:spacing w:before="156" w:beforeLines="50" w:after="156" w:afterLines="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年   月   日</w:t>
      </w:r>
    </w:p>
    <w:p w14:paraId="75A9E0D4">
      <w:pPr>
        <w:adjustRightInd w:val="0"/>
        <w:snapToGrid w:val="0"/>
        <w:spacing w:before="156" w:beforeLines="50" w:after="156" w:afterLines="50" w:line="360" w:lineRule="auto"/>
        <w:jc w:val="center"/>
        <w:rPr>
          <w:rFonts w:ascii="宋体" w:hAnsi="宋体"/>
          <w:b/>
          <w:color w:val="auto"/>
          <w:sz w:val="24"/>
          <w:highlight w:val="none"/>
        </w:rPr>
      </w:pPr>
    </w:p>
    <w:p w14:paraId="11231410">
      <w:pPr>
        <w:adjustRightInd w:val="0"/>
        <w:snapToGrid w:val="0"/>
        <w:spacing w:before="156" w:beforeLines="50" w:after="156" w:afterLines="50" w:line="360" w:lineRule="auto"/>
        <w:jc w:val="center"/>
        <w:rPr>
          <w:rFonts w:ascii="宋体" w:hAnsi="宋体"/>
          <w:b/>
          <w:color w:val="auto"/>
          <w:sz w:val="24"/>
          <w:highlight w:val="none"/>
        </w:rPr>
      </w:pPr>
    </w:p>
    <w:p w14:paraId="09C564C9">
      <w:pPr>
        <w:adjustRightInd w:val="0"/>
        <w:snapToGrid w:val="0"/>
        <w:spacing w:before="156" w:beforeLines="50" w:after="156" w:afterLines="50" w:line="360" w:lineRule="auto"/>
        <w:jc w:val="center"/>
        <w:rPr>
          <w:rFonts w:ascii="宋体" w:hAnsi="宋体"/>
          <w:b/>
          <w:color w:val="auto"/>
          <w:sz w:val="24"/>
          <w:highlight w:val="none"/>
        </w:rPr>
      </w:pPr>
    </w:p>
    <w:p w14:paraId="74B8249F">
      <w:pPr>
        <w:adjustRightInd w:val="0"/>
        <w:snapToGrid w:val="0"/>
        <w:spacing w:before="156" w:beforeLines="50" w:after="156" w:afterLines="50" w:line="360" w:lineRule="auto"/>
        <w:jc w:val="center"/>
        <w:rPr>
          <w:rFonts w:ascii="宋体" w:hAnsi="宋体"/>
          <w:b/>
          <w:color w:val="auto"/>
          <w:sz w:val="24"/>
          <w:highlight w:val="none"/>
        </w:rPr>
      </w:pPr>
    </w:p>
    <w:p w14:paraId="5761CB0A">
      <w:pPr>
        <w:adjustRightInd w:val="0"/>
        <w:snapToGrid w:val="0"/>
        <w:spacing w:before="156" w:beforeLines="50" w:after="156" w:afterLines="50" w:line="360" w:lineRule="auto"/>
        <w:jc w:val="center"/>
        <w:rPr>
          <w:rFonts w:ascii="宋体" w:hAnsi="宋体"/>
          <w:b/>
          <w:color w:val="auto"/>
          <w:sz w:val="24"/>
          <w:highlight w:val="none"/>
        </w:rPr>
      </w:pPr>
    </w:p>
    <w:p w14:paraId="5DB73265">
      <w:pPr>
        <w:adjustRightInd w:val="0"/>
        <w:snapToGrid w:val="0"/>
        <w:spacing w:before="156" w:beforeLines="50" w:after="156" w:afterLines="50" w:line="360" w:lineRule="auto"/>
        <w:jc w:val="center"/>
        <w:rPr>
          <w:rFonts w:ascii="宋体" w:hAnsi="宋体"/>
          <w:b/>
          <w:color w:val="auto"/>
          <w:sz w:val="24"/>
          <w:highlight w:val="none"/>
        </w:rPr>
      </w:pPr>
    </w:p>
    <w:p w14:paraId="58153EE2">
      <w:pPr>
        <w:adjustRightInd w:val="0"/>
        <w:snapToGrid w:val="0"/>
        <w:spacing w:before="156" w:beforeLines="50" w:after="156" w:afterLines="50" w:line="360" w:lineRule="auto"/>
        <w:jc w:val="center"/>
        <w:rPr>
          <w:rFonts w:ascii="宋体" w:hAnsi="宋体"/>
          <w:b/>
          <w:color w:val="auto"/>
          <w:sz w:val="24"/>
          <w:highlight w:val="none"/>
        </w:rPr>
      </w:pPr>
    </w:p>
    <w:p w14:paraId="421A370C">
      <w:pPr>
        <w:adjustRightInd w:val="0"/>
        <w:snapToGrid w:val="0"/>
        <w:spacing w:before="156" w:beforeLines="50" w:after="156" w:afterLines="50" w:line="360" w:lineRule="auto"/>
        <w:jc w:val="center"/>
        <w:rPr>
          <w:rFonts w:ascii="宋体" w:hAnsi="宋体"/>
          <w:b/>
          <w:color w:val="auto"/>
          <w:sz w:val="24"/>
          <w:highlight w:val="none"/>
        </w:rPr>
      </w:pPr>
    </w:p>
    <w:p w14:paraId="02BEA420">
      <w:pPr>
        <w:adjustRightInd w:val="0"/>
        <w:snapToGrid w:val="0"/>
        <w:spacing w:before="156" w:beforeLines="50" w:after="156" w:afterLines="50" w:line="360" w:lineRule="auto"/>
        <w:jc w:val="center"/>
        <w:rPr>
          <w:rFonts w:ascii="宋体" w:hAnsi="宋体"/>
          <w:b/>
          <w:color w:val="auto"/>
          <w:sz w:val="24"/>
          <w:highlight w:val="none"/>
        </w:rPr>
      </w:pPr>
    </w:p>
    <w:p w14:paraId="66AB0E27">
      <w:pPr>
        <w:adjustRightInd w:val="0"/>
        <w:snapToGrid w:val="0"/>
        <w:spacing w:before="156" w:beforeLines="50" w:after="156" w:afterLines="50" w:line="360" w:lineRule="auto"/>
        <w:jc w:val="center"/>
        <w:rPr>
          <w:rFonts w:ascii="宋体" w:hAnsi="宋体"/>
          <w:b/>
          <w:color w:val="auto"/>
          <w:sz w:val="24"/>
          <w:highlight w:val="none"/>
        </w:rPr>
      </w:pPr>
    </w:p>
    <w:p w14:paraId="4B4AE6A8">
      <w:pPr>
        <w:adjustRightInd w:val="0"/>
        <w:snapToGrid w:val="0"/>
        <w:spacing w:before="156" w:beforeLines="50" w:after="156" w:afterLines="50" w:line="360" w:lineRule="auto"/>
        <w:rPr>
          <w:rFonts w:ascii="宋体" w:hAnsi="宋体"/>
          <w:b/>
          <w:color w:val="auto"/>
          <w:sz w:val="24"/>
          <w:highlight w:val="none"/>
        </w:rPr>
      </w:pPr>
    </w:p>
    <w:p w14:paraId="137F8883">
      <w:pPr>
        <w:adjustRightInd w:val="0"/>
        <w:snapToGrid w:val="0"/>
        <w:spacing w:before="156" w:beforeLines="50" w:after="156" w:afterLines="50" w:line="360" w:lineRule="auto"/>
        <w:rPr>
          <w:rFonts w:ascii="宋体" w:hAnsi="宋体"/>
          <w:b/>
          <w:color w:val="auto"/>
          <w:sz w:val="24"/>
          <w:highlight w:val="none"/>
        </w:rPr>
      </w:pPr>
    </w:p>
    <w:p w14:paraId="1EA4B606">
      <w:pPr>
        <w:adjustRightInd w:val="0"/>
        <w:snapToGrid w:val="0"/>
        <w:spacing w:before="156" w:beforeLines="50" w:after="156" w:afterLines="50" w:line="360" w:lineRule="auto"/>
        <w:rPr>
          <w:rFonts w:ascii="宋体" w:hAnsi="宋体"/>
          <w:b/>
          <w:color w:val="auto"/>
          <w:sz w:val="24"/>
          <w:highlight w:val="none"/>
        </w:rPr>
      </w:pPr>
    </w:p>
    <w:p w14:paraId="2FE7D301">
      <w:pPr>
        <w:pStyle w:val="4"/>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附件7-4——应急响应预案（格式自拟）</w:t>
      </w:r>
    </w:p>
    <w:p w14:paraId="6B96AA7F">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0E17C1E0">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40756C0B">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73BEA847">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744A942A">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6C231082">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183D31CE">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7EAC78EF">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39A86581">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0C4AE94C">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30E4BD83">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52470735">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09EC5413">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4A620BE2">
      <w:pPr>
        <w:widowControl/>
        <w:spacing w:before="312" w:beforeLines="100" w:after="312" w:afterLines="100"/>
        <w:jc w:val="center"/>
        <w:outlineLvl w:val="1"/>
        <w:rPr>
          <w:rFonts w:asciiTheme="minorEastAsia" w:hAnsiTheme="minorEastAsia" w:eastAsiaTheme="minorEastAsia"/>
          <w:color w:val="auto"/>
          <w:sz w:val="30"/>
          <w:szCs w:val="30"/>
          <w:highlight w:val="none"/>
        </w:rPr>
      </w:pPr>
    </w:p>
    <w:p w14:paraId="2E6EB2AC">
      <w:pPr>
        <w:widowControl/>
        <w:spacing w:before="312" w:beforeLines="100" w:after="312" w:afterLines="100"/>
        <w:jc w:val="center"/>
        <w:outlineLvl w:val="1"/>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附件7-5 应急保障条件情况表</w:t>
      </w:r>
    </w:p>
    <w:tbl>
      <w:tblPr>
        <w:tblStyle w:val="40"/>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7"/>
        <w:gridCol w:w="2996"/>
        <w:gridCol w:w="1276"/>
        <w:gridCol w:w="2501"/>
      </w:tblGrid>
      <w:tr w14:paraId="0922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67C93498">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应急保障办公场所</w:t>
            </w:r>
          </w:p>
        </w:tc>
        <w:tc>
          <w:tcPr>
            <w:tcW w:w="6773" w:type="dxa"/>
            <w:gridSpan w:val="3"/>
            <w:tcBorders>
              <w:top w:val="single" w:color="auto" w:sz="4" w:space="0"/>
              <w:left w:val="single" w:color="auto" w:sz="4" w:space="0"/>
              <w:bottom w:val="single" w:color="auto" w:sz="4" w:space="0"/>
              <w:right w:val="single" w:color="auto" w:sz="4" w:space="0"/>
            </w:tcBorders>
            <w:vAlign w:val="center"/>
          </w:tcPr>
          <w:p w14:paraId="2CF38955">
            <w:pPr>
              <w:snapToGrid w:val="0"/>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名称：</w:t>
            </w:r>
          </w:p>
          <w:p w14:paraId="15E83AC1">
            <w:pPr>
              <w:snapToGrid w:val="0"/>
              <w:rPr>
                <w:rFonts w:cs="黑体"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地址：</w:t>
            </w:r>
          </w:p>
        </w:tc>
      </w:tr>
      <w:tr w14:paraId="54F73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123D6874">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应急保障负责人姓名</w:t>
            </w:r>
          </w:p>
        </w:tc>
        <w:tc>
          <w:tcPr>
            <w:tcW w:w="2996" w:type="dxa"/>
            <w:tcBorders>
              <w:top w:val="single" w:color="auto" w:sz="4" w:space="0"/>
              <w:left w:val="single" w:color="auto" w:sz="4" w:space="0"/>
              <w:bottom w:val="single" w:color="auto" w:sz="4" w:space="0"/>
              <w:right w:val="single" w:color="auto" w:sz="4" w:space="0"/>
            </w:tcBorders>
            <w:vAlign w:val="center"/>
          </w:tcPr>
          <w:p w14:paraId="58DCECFA">
            <w:pPr>
              <w:snapToGrid w:val="0"/>
              <w:rPr>
                <w:rFonts w:cs="黑体" w:asciiTheme="minorEastAsia" w:hAnsiTheme="minorEastAsia" w:eastAsiaTheme="minorEastAsia"/>
                <w:b/>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E7C0D8F">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职   务</w:t>
            </w:r>
          </w:p>
        </w:tc>
        <w:tc>
          <w:tcPr>
            <w:tcW w:w="2501" w:type="dxa"/>
            <w:tcBorders>
              <w:top w:val="single" w:color="auto" w:sz="4" w:space="0"/>
              <w:left w:val="single" w:color="auto" w:sz="4" w:space="0"/>
              <w:bottom w:val="single" w:color="auto" w:sz="4" w:space="0"/>
              <w:right w:val="single" w:color="auto" w:sz="4" w:space="0"/>
            </w:tcBorders>
            <w:vAlign w:val="center"/>
          </w:tcPr>
          <w:p w14:paraId="6820FF83">
            <w:pPr>
              <w:snapToGrid w:val="0"/>
              <w:rPr>
                <w:rFonts w:cs="黑体" w:asciiTheme="minorEastAsia" w:hAnsiTheme="minorEastAsia" w:eastAsiaTheme="minorEastAsia"/>
                <w:b/>
                <w:color w:val="auto"/>
                <w:szCs w:val="21"/>
                <w:highlight w:val="none"/>
              </w:rPr>
            </w:pPr>
          </w:p>
        </w:tc>
      </w:tr>
      <w:tr w14:paraId="56D9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2B5C4556">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应急保障人员1</w:t>
            </w:r>
          </w:p>
          <w:p w14:paraId="0DDCBC1A">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姓名</w:t>
            </w:r>
          </w:p>
        </w:tc>
        <w:tc>
          <w:tcPr>
            <w:tcW w:w="2996" w:type="dxa"/>
            <w:tcBorders>
              <w:top w:val="single" w:color="auto" w:sz="4" w:space="0"/>
              <w:left w:val="single" w:color="auto" w:sz="4" w:space="0"/>
              <w:bottom w:val="single" w:color="auto" w:sz="4" w:space="0"/>
              <w:right w:val="single" w:color="auto" w:sz="4" w:space="0"/>
            </w:tcBorders>
            <w:vAlign w:val="center"/>
          </w:tcPr>
          <w:p w14:paraId="6828EC56">
            <w:pPr>
              <w:snapToGrid w:val="0"/>
              <w:rPr>
                <w:rFonts w:cs="黑体" w:asciiTheme="minorEastAsia" w:hAnsiTheme="minorEastAsia" w:eastAsiaTheme="minorEastAsia"/>
                <w:b/>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4FF969B">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职称</w:t>
            </w:r>
          </w:p>
        </w:tc>
        <w:tc>
          <w:tcPr>
            <w:tcW w:w="2501" w:type="dxa"/>
            <w:tcBorders>
              <w:top w:val="single" w:color="auto" w:sz="4" w:space="0"/>
              <w:left w:val="single" w:color="auto" w:sz="4" w:space="0"/>
              <w:bottom w:val="single" w:color="auto" w:sz="4" w:space="0"/>
              <w:right w:val="single" w:color="auto" w:sz="4" w:space="0"/>
            </w:tcBorders>
            <w:vAlign w:val="center"/>
          </w:tcPr>
          <w:p w14:paraId="5C417958">
            <w:pPr>
              <w:snapToGrid w:val="0"/>
              <w:rPr>
                <w:rFonts w:cs="黑体" w:asciiTheme="minorEastAsia" w:hAnsiTheme="minorEastAsia" w:eastAsiaTheme="minorEastAsia"/>
                <w:b/>
                <w:color w:val="auto"/>
                <w:szCs w:val="21"/>
                <w:highlight w:val="none"/>
              </w:rPr>
            </w:pPr>
          </w:p>
        </w:tc>
      </w:tr>
      <w:tr w14:paraId="4326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618570E6">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应急保障人员2</w:t>
            </w:r>
          </w:p>
          <w:p w14:paraId="5749133A">
            <w:pPr>
              <w:snapToGrid w:val="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姓名</w:t>
            </w:r>
          </w:p>
        </w:tc>
        <w:tc>
          <w:tcPr>
            <w:tcW w:w="2996" w:type="dxa"/>
            <w:tcBorders>
              <w:top w:val="single" w:color="auto" w:sz="4" w:space="0"/>
              <w:left w:val="single" w:color="auto" w:sz="4" w:space="0"/>
              <w:bottom w:val="single" w:color="auto" w:sz="4" w:space="0"/>
              <w:right w:val="single" w:color="auto" w:sz="4" w:space="0"/>
            </w:tcBorders>
            <w:vAlign w:val="center"/>
          </w:tcPr>
          <w:p w14:paraId="29737296">
            <w:pPr>
              <w:snapToGrid w:val="0"/>
              <w:rPr>
                <w:rFonts w:cs="黑体" w:asciiTheme="minorEastAsia" w:hAnsiTheme="minorEastAsia" w:eastAsiaTheme="minorEastAsia"/>
                <w:b/>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CFFA827">
            <w:pPr>
              <w:snapToGrid w:val="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职称</w:t>
            </w:r>
          </w:p>
        </w:tc>
        <w:tc>
          <w:tcPr>
            <w:tcW w:w="2501" w:type="dxa"/>
            <w:tcBorders>
              <w:top w:val="single" w:color="auto" w:sz="4" w:space="0"/>
              <w:left w:val="single" w:color="auto" w:sz="4" w:space="0"/>
              <w:bottom w:val="single" w:color="auto" w:sz="4" w:space="0"/>
              <w:right w:val="single" w:color="auto" w:sz="4" w:space="0"/>
            </w:tcBorders>
            <w:vAlign w:val="center"/>
          </w:tcPr>
          <w:p w14:paraId="06E2BAD6">
            <w:pPr>
              <w:snapToGrid w:val="0"/>
              <w:rPr>
                <w:rFonts w:cs="黑体" w:asciiTheme="minorEastAsia" w:hAnsiTheme="minorEastAsia" w:eastAsiaTheme="minorEastAsia"/>
                <w:b/>
                <w:color w:val="auto"/>
                <w:szCs w:val="21"/>
                <w:highlight w:val="none"/>
              </w:rPr>
            </w:pPr>
          </w:p>
        </w:tc>
      </w:tr>
      <w:tr w14:paraId="6E9C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257" w:type="dxa"/>
            <w:tcBorders>
              <w:top w:val="single" w:color="auto" w:sz="4" w:space="0"/>
              <w:left w:val="single" w:color="auto" w:sz="4" w:space="0"/>
              <w:bottom w:val="single" w:color="auto" w:sz="4" w:space="0"/>
              <w:right w:val="single" w:color="auto" w:sz="4" w:space="0"/>
            </w:tcBorders>
            <w:vAlign w:val="center"/>
          </w:tcPr>
          <w:p w14:paraId="2FB09F3E">
            <w:pPr>
              <w:snapToGrid w:val="0"/>
              <w:jc w:val="center"/>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应急保障人员2</w:t>
            </w:r>
          </w:p>
          <w:p w14:paraId="25D9DFDF">
            <w:pPr>
              <w:snapToGrid w:val="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姓名</w:t>
            </w:r>
          </w:p>
        </w:tc>
        <w:tc>
          <w:tcPr>
            <w:tcW w:w="2996" w:type="dxa"/>
            <w:tcBorders>
              <w:top w:val="single" w:color="auto" w:sz="4" w:space="0"/>
              <w:left w:val="single" w:color="auto" w:sz="4" w:space="0"/>
              <w:bottom w:val="single" w:color="auto" w:sz="4" w:space="0"/>
              <w:right w:val="single" w:color="auto" w:sz="4" w:space="0"/>
            </w:tcBorders>
            <w:vAlign w:val="center"/>
          </w:tcPr>
          <w:p w14:paraId="326E3964">
            <w:pPr>
              <w:snapToGrid w:val="0"/>
              <w:rPr>
                <w:rFonts w:cs="黑体" w:asciiTheme="minorEastAsia" w:hAnsiTheme="minorEastAsia" w:eastAsiaTheme="minorEastAsia"/>
                <w:b/>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99C80D4">
            <w:pPr>
              <w:snapToGrid w:val="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职称</w:t>
            </w:r>
          </w:p>
        </w:tc>
        <w:tc>
          <w:tcPr>
            <w:tcW w:w="2501" w:type="dxa"/>
            <w:tcBorders>
              <w:top w:val="single" w:color="auto" w:sz="4" w:space="0"/>
              <w:left w:val="single" w:color="auto" w:sz="4" w:space="0"/>
              <w:bottom w:val="single" w:color="auto" w:sz="4" w:space="0"/>
              <w:right w:val="single" w:color="auto" w:sz="4" w:space="0"/>
            </w:tcBorders>
            <w:vAlign w:val="center"/>
          </w:tcPr>
          <w:p w14:paraId="14071425">
            <w:pPr>
              <w:snapToGrid w:val="0"/>
              <w:rPr>
                <w:rFonts w:cs="黑体" w:asciiTheme="minorEastAsia" w:hAnsiTheme="minorEastAsia" w:eastAsiaTheme="minorEastAsia"/>
                <w:b/>
                <w:color w:val="auto"/>
                <w:szCs w:val="21"/>
                <w:highlight w:val="none"/>
              </w:rPr>
            </w:pPr>
          </w:p>
        </w:tc>
      </w:tr>
      <w:tr w14:paraId="749C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030" w:type="dxa"/>
            <w:gridSpan w:val="4"/>
            <w:tcBorders>
              <w:top w:val="single" w:color="auto" w:sz="4" w:space="0"/>
              <w:left w:val="single" w:color="auto" w:sz="4" w:space="0"/>
              <w:bottom w:val="single" w:color="auto" w:sz="4" w:space="0"/>
              <w:right w:val="single" w:color="auto" w:sz="4" w:space="0"/>
            </w:tcBorders>
            <w:vAlign w:val="center"/>
          </w:tcPr>
          <w:p w14:paraId="04434F76">
            <w:pPr>
              <w:spacing w:line="360" w:lineRule="auto"/>
              <w:jc w:val="left"/>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应急保障组织机构简介：</w:t>
            </w:r>
          </w:p>
          <w:p w14:paraId="254C2109">
            <w:pPr>
              <w:spacing w:line="360" w:lineRule="auto"/>
              <w:jc w:val="left"/>
              <w:rPr>
                <w:rFonts w:cs="黑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（部室划分、各部室人数、中高级职称等人员数）</w:t>
            </w:r>
          </w:p>
        </w:tc>
      </w:tr>
    </w:tbl>
    <w:p w14:paraId="21E3CDEA">
      <w:pPr>
        <w:tabs>
          <w:tab w:val="left" w:pos="1680"/>
        </w:tabs>
        <w:ind w:firstLine="420"/>
        <w:rPr>
          <w:rFonts w:cs="黑体" w:asciiTheme="minorEastAsia" w:hAnsiTheme="minorEastAsia" w:eastAsiaTheme="minorEastAsia"/>
          <w:color w:val="auto"/>
          <w:highlight w:val="none"/>
        </w:rPr>
      </w:pPr>
    </w:p>
    <w:p w14:paraId="3B5F4607">
      <w:pPr>
        <w:tabs>
          <w:tab w:val="left" w:pos="1680"/>
        </w:tabs>
        <w:spacing w:line="440" w:lineRule="exact"/>
        <w:ind w:firstLine="420"/>
        <w:rPr>
          <w:rFonts w:asciiTheme="minorEastAsia" w:hAnsiTheme="minorEastAsia" w:eastAsiaTheme="minorEastAsia"/>
          <w:color w:val="auto"/>
          <w:highlight w:val="none"/>
        </w:rPr>
      </w:pPr>
    </w:p>
    <w:p w14:paraId="510E40FA">
      <w:pPr>
        <w:tabs>
          <w:tab w:val="left" w:pos="1680"/>
        </w:tabs>
        <w:spacing w:line="440" w:lineRule="exact"/>
        <w:ind w:firstLine="420"/>
        <w:rPr>
          <w:rFonts w:asciiTheme="minorEastAsia" w:hAnsiTheme="minorEastAsia" w:eastAsiaTheme="minorEastAsia"/>
          <w:color w:val="auto"/>
          <w:highlight w:val="none"/>
        </w:rPr>
      </w:pPr>
    </w:p>
    <w:p w14:paraId="2ADF86C5">
      <w:pPr>
        <w:tabs>
          <w:tab w:val="left" w:pos="1680"/>
        </w:tabs>
        <w:spacing w:line="440" w:lineRule="exact"/>
        <w:ind w:firstLine="42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投标单位全称： </w:t>
      </w:r>
      <w:r>
        <w:rPr>
          <w:rFonts w:hint="eastAsia" w:asciiTheme="minorEastAsia" w:hAnsiTheme="minorEastAsia" w:eastAsiaTheme="minorEastAsia"/>
          <w:color w:val="auto"/>
          <w:highlight w:val="none"/>
          <w:u w:val="single"/>
        </w:rPr>
        <w:t xml:space="preserve">           （单位全称） (盖章)                </w:t>
      </w:r>
    </w:p>
    <w:p w14:paraId="5C420623">
      <w:pPr>
        <w:tabs>
          <w:tab w:val="left" w:pos="1680"/>
        </w:tabs>
        <w:spacing w:line="440" w:lineRule="exact"/>
        <w:ind w:firstLine="367" w:firstLineChars="17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法定代表人或授权代表：</w:t>
      </w:r>
      <w:r>
        <w:rPr>
          <w:rFonts w:hint="eastAsia" w:asciiTheme="minorEastAsia" w:hAnsiTheme="minorEastAsia" w:eastAsiaTheme="minorEastAsia"/>
          <w:color w:val="auto"/>
          <w:highlight w:val="none"/>
          <w:u w:val="single"/>
        </w:rPr>
        <w:t xml:space="preserve">               (签字)                </w:t>
      </w:r>
    </w:p>
    <w:p w14:paraId="6BF24CFF">
      <w:pPr>
        <w:tabs>
          <w:tab w:val="left" w:pos="1680"/>
        </w:tabs>
        <w:spacing w:line="440" w:lineRule="exact"/>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日      期：         年   月   日</w:t>
      </w:r>
    </w:p>
    <w:p w14:paraId="4980BC23">
      <w:pPr>
        <w:tabs>
          <w:tab w:val="left" w:pos="1680"/>
        </w:tabs>
        <w:spacing w:line="440" w:lineRule="exact"/>
        <w:ind w:firstLine="420"/>
        <w:rPr>
          <w:rFonts w:asciiTheme="minorEastAsia" w:hAnsiTheme="minorEastAsia" w:eastAsiaTheme="minorEastAsia"/>
          <w:color w:val="auto"/>
          <w:highlight w:val="none"/>
        </w:rPr>
      </w:pPr>
    </w:p>
    <w:p w14:paraId="6ABE5AF6">
      <w:pPr>
        <w:snapToGrid w:val="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w:t>
      </w:r>
    </w:p>
    <w:p w14:paraId="23B47DD0">
      <w:pPr>
        <w:snapToGrid w:val="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1、投标人可根据需要提供应急保障条件的证明材料（须加盖单位公章）；</w:t>
      </w:r>
    </w:p>
    <w:p w14:paraId="5E4B645C">
      <w:pPr>
        <w:adjustRightInd w:val="0"/>
        <w:snapToGrid w:val="0"/>
        <w:spacing w:before="156" w:beforeLines="50" w:after="156" w:afterLines="50" w:line="360" w:lineRule="auto"/>
        <w:rPr>
          <w:rFonts w:ascii="宋体" w:hAnsi="宋体"/>
          <w:b/>
          <w:color w:val="auto"/>
          <w:sz w:val="24"/>
          <w:highlight w:val="none"/>
        </w:rPr>
      </w:pPr>
    </w:p>
    <w:p w14:paraId="0D56086C">
      <w:pPr>
        <w:adjustRightInd w:val="0"/>
        <w:snapToGrid w:val="0"/>
        <w:spacing w:before="156" w:beforeLines="50" w:after="156" w:afterLines="50" w:line="360" w:lineRule="auto"/>
        <w:rPr>
          <w:rFonts w:ascii="宋体" w:hAnsi="宋体"/>
          <w:b/>
          <w:color w:val="auto"/>
          <w:sz w:val="24"/>
          <w:highlight w:val="none"/>
        </w:rPr>
      </w:pPr>
    </w:p>
    <w:p w14:paraId="388DD966">
      <w:pPr>
        <w:adjustRightInd w:val="0"/>
        <w:snapToGrid w:val="0"/>
        <w:spacing w:before="156" w:beforeLines="50" w:after="156" w:afterLines="50" w:line="360" w:lineRule="auto"/>
        <w:rPr>
          <w:rFonts w:ascii="宋体" w:hAnsi="宋体"/>
          <w:b/>
          <w:color w:val="auto"/>
          <w:sz w:val="24"/>
          <w:highlight w:val="none"/>
        </w:rPr>
      </w:pPr>
    </w:p>
    <w:p w14:paraId="34D9E071">
      <w:pPr>
        <w:adjustRightInd w:val="0"/>
        <w:snapToGrid w:val="0"/>
        <w:spacing w:before="156" w:beforeLines="50" w:after="156" w:afterLines="50" w:line="360" w:lineRule="auto"/>
        <w:rPr>
          <w:rFonts w:ascii="宋体" w:hAnsi="宋体"/>
          <w:b/>
          <w:color w:val="auto"/>
          <w:sz w:val="24"/>
          <w:highlight w:val="none"/>
        </w:rPr>
      </w:pPr>
    </w:p>
    <w:p w14:paraId="25842658">
      <w:pPr>
        <w:adjustRightInd w:val="0"/>
        <w:snapToGrid w:val="0"/>
        <w:spacing w:before="156" w:beforeLines="50" w:after="156" w:afterLines="50" w:line="360" w:lineRule="auto"/>
        <w:rPr>
          <w:rFonts w:ascii="宋体" w:hAnsi="宋体"/>
          <w:b/>
          <w:color w:val="auto"/>
          <w:sz w:val="24"/>
          <w:highlight w:val="none"/>
        </w:rPr>
      </w:pPr>
    </w:p>
    <w:p w14:paraId="59BFC8E5">
      <w:pPr>
        <w:adjustRightInd w:val="0"/>
        <w:snapToGrid w:val="0"/>
        <w:spacing w:before="156" w:beforeLines="50" w:after="156" w:afterLines="50" w:line="360" w:lineRule="auto"/>
        <w:rPr>
          <w:rFonts w:ascii="宋体" w:hAnsi="宋体"/>
          <w:b/>
          <w:color w:val="auto"/>
          <w:sz w:val="24"/>
          <w:highlight w:val="none"/>
        </w:rPr>
      </w:pPr>
    </w:p>
    <w:p w14:paraId="2D8AEB9C">
      <w:pPr>
        <w:pStyle w:val="3"/>
        <w:spacing w:before="360" w:line="360" w:lineRule="auto"/>
        <w:rPr>
          <w:rFonts w:ascii="宋体" w:hAnsi="宋体" w:eastAsia="宋体"/>
          <w:color w:val="auto"/>
          <w:sz w:val="24"/>
          <w:highlight w:val="none"/>
        </w:rPr>
      </w:pPr>
      <w:bookmarkStart w:id="258" w:name="_Toc1953"/>
      <w:bookmarkStart w:id="259" w:name="_Toc18869"/>
      <w:bookmarkStart w:id="260" w:name="_Toc194883188"/>
      <w:bookmarkStart w:id="261" w:name="_Toc194888462"/>
      <w:bookmarkStart w:id="262" w:name="_Toc451339938"/>
      <w:bookmarkStart w:id="263" w:name="_Toc55603784"/>
      <w:r>
        <w:rPr>
          <w:rFonts w:hint="eastAsia" w:ascii="宋体" w:hAnsi="宋体" w:eastAsia="宋体"/>
          <w:color w:val="auto"/>
          <w:sz w:val="24"/>
          <w:highlight w:val="none"/>
        </w:rPr>
        <w:t>（1）应急保障条件的证明文件（格式自拟，加盖公章）</w:t>
      </w:r>
    </w:p>
    <w:p w14:paraId="457D8129">
      <w:pPr>
        <w:pStyle w:val="3"/>
        <w:spacing w:before="360" w:line="360" w:lineRule="auto"/>
        <w:rPr>
          <w:rFonts w:ascii="宋体" w:hAnsi="宋体" w:eastAsia="宋体"/>
          <w:color w:val="auto"/>
          <w:sz w:val="24"/>
          <w:highlight w:val="none"/>
        </w:rPr>
      </w:pPr>
    </w:p>
    <w:p w14:paraId="7AD0D24A">
      <w:pPr>
        <w:pStyle w:val="3"/>
        <w:spacing w:before="360" w:line="360" w:lineRule="auto"/>
        <w:rPr>
          <w:rFonts w:ascii="宋体" w:hAnsi="宋体" w:eastAsia="宋体"/>
          <w:color w:val="auto"/>
          <w:sz w:val="24"/>
          <w:highlight w:val="none"/>
        </w:rPr>
      </w:pPr>
    </w:p>
    <w:p w14:paraId="38205D44">
      <w:pPr>
        <w:pStyle w:val="3"/>
        <w:spacing w:before="360" w:line="360" w:lineRule="auto"/>
        <w:rPr>
          <w:rFonts w:ascii="宋体" w:hAnsi="宋体" w:eastAsia="宋体"/>
          <w:color w:val="auto"/>
          <w:sz w:val="24"/>
          <w:highlight w:val="none"/>
        </w:rPr>
      </w:pPr>
    </w:p>
    <w:p w14:paraId="4CA6C142">
      <w:pPr>
        <w:pStyle w:val="3"/>
        <w:spacing w:before="360" w:line="360" w:lineRule="auto"/>
        <w:rPr>
          <w:rFonts w:ascii="宋体" w:hAnsi="宋体" w:eastAsia="宋体"/>
          <w:color w:val="auto"/>
          <w:sz w:val="24"/>
          <w:highlight w:val="none"/>
        </w:rPr>
      </w:pPr>
    </w:p>
    <w:p w14:paraId="3450ECB9">
      <w:pPr>
        <w:pStyle w:val="3"/>
        <w:spacing w:before="360" w:line="360" w:lineRule="auto"/>
        <w:rPr>
          <w:rFonts w:ascii="宋体" w:hAnsi="宋体" w:eastAsia="宋体"/>
          <w:color w:val="auto"/>
          <w:sz w:val="24"/>
          <w:highlight w:val="none"/>
        </w:rPr>
      </w:pPr>
    </w:p>
    <w:p w14:paraId="1F9656B1">
      <w:pPr>
        <w:pStyle w:val="3"/>
        <w:spacing w:before="360" w:line="360" w:lineRule="auto"/>
        <w:rPr>
          <w:rFonts w:ascii="宋体" w:hAnsi="宋体" w:eastAsia="宋体"/>
          <w:color w:val="auto"/>
          <w:sz w:val="24"/>
          <w:highlight w:val="none"/>
        </w:rPr>
      </w:pPr>
    </w:p>
    <w:p w14:paraId="658883D7">
      <w:pPr>
        <w:pStyle w:val="3"/>
        <w:spacing w:before="360" w:line="360" w:lineRule="auto"/>
        <w:rPr>
          <w:rFonts w:ascii="宋体" w:hAnsi="宋体" w:eastAsia="宋体"/>
          <w:color w:val="auto"/>
          <w:sz w:val="24"/>
          <w:highlight w:val="none"/>
        </w:rPr>
      </w:pPr>
    </w:p>
    <w:p w14:paraId="4136AA25">
      <w:pPr>
        <w:pStyle w:val="3"/>
        <w:spacing w:before="360" w:line="360" w:lineRule="auto"/>
        <w:rPr>
          <w:rFonts w:ascii="宋体" w:hAnsi="宋体" w:eastAsia="宋体"/>
          <w:color w:val="auto"/>
          <w:sz w:val="24"/>
          <w:highlight w:val="none"/>
        </w:rPr>
      </w:pPr>
    </w:p>
    <w:p w14:paraId="692A1B84">
      <w:pPr>
        <w:pStyle w:val="3"/>
        <w:spacing w:before="360" w:line="360" w:lineRule="auto"/>
        <w:rPr>
          <w:rFonts w:ascii="宋体" w:hAnsi="宋体" w:eastAsia="宋体"/>
          <w:color w:val="auto"/>
          <w:sz w:val="24"/>
          <w:highlight w:val="none"/>
        </w:rPr>
      </w:pPr>
    </w:p>
    <w:p w14:paraId="0F6E7B23">
      <w:pPr>
        <w:pStyle w:val="3"/>
        <w:spacing w:before="360" w:line="360" w:lineRule="auto"/>
        <w:rPr>
          <w:rFonts w:ascii="宋体" w:hAnsi="宋体" w:eastAsia="宋体"/>
          <w:color w:val="auto"/>
          <w:sz w:val="24"/>
          <w:highlight w:val="none"/>
        </w:rPr>
      </w:pPr>
    </w:p>
    <w:p w14:paraId="1C769B93">
      <w:pPr>
        <w:pStyle w:val="3"/>
        <w:spacing w:before="360" w:line="360" w:lineRule="auto"/>
        <w:rPr>
          <w:rFonts w:ascii="宋体" w:hAnsi="宋体" w:eastAsia="宋体"/>
          <w:color w:val="auto"/>
          <w:sz w:val="24"/>
          <w:highlight w:val="none"/>
        </w:rPr>
      </w:pPr>
    </w:p>
    <w:p w14:paraId="0D3B102D">
      <w:pPr>
        <w:pStyle w:val="3"/>
        <w:spacing w:before="360" w:line="360" w:lineRule="auto"/>
        <w:rPr>
          <w:rFonts w:ascii="宋体" w:hAnsi="宋体" w:eastAsia="宋体"/>
          <w:color w:val="auto"/>
          <w:sz w:val="24"/>
          <w:highlight w:val="none"/>
        </w:rPr>
      </w:pPr>
    </w:p>
    <w:p w14:paraId="2DE8438C">
      <w:pPr>
        <w:pStyle w:val="3"/>
        <w:spacing w:before="360" w:line="360" w:lineRule="auto"/>
        <w:rPr>
          <w:rFonts w:ascii="宋体" w:hAnsi="宋体" w:eastAsia="宋体"/>
          <w:color w:val="auto"/>
          <w:sz w:val="24"/>
          <w:highlight w:val="none"/>
        </w:rPr>
      </w:pPr>
    </w:p>
    <w:p w14:paraId="42742A5A">
      <w:pPr>
        <w:pStyle w:val="3"/>
        <w:spacing w:before="360" w:line="360" w:lineRule="auto"/>
        <w:rPr>
          <w:rFonts w:ascii="宋体" w:hAnsi="宋体" w:eastAsia="宋体"/>
          <w:color w:val="auto"/>
          <w:sz w:val="24"/>
          <w:highlight w:val="none"/>
        </w:rPr>
      </w:pPr>
    </w:p>
    <w:p w14:paraId="7D898606">
      <w:pPr>
        <w:pStyle w:val="3"/>
        <w:spacing w:before="360" w:line="360" w:lineRule="auto"/>
        <w:jc w:val="both"/>
        <w:rPr>
          <w:rFonts w:ascii="宋体" w:hAnsi="宋体" w:eastAsia="宋体"/>
          <w:color w:val="auto"/>
          <w:sz w:val="24"/>
          <w:highlight w:val="none"/>
        </w:rPr>
      </w:pPr>
    </w:p>
    <w:p w14:paraId="1FE79163">
      <w:pPr>
        <w:pStyle w:val="4"/>
        <w:rPr>
          <w:color w:val="auto"/>
          <w:highlight w:val="none"/>
        </w:rPr>
      </w:pPr>
    </w:p>
    <w:p w14:paraId="11C14A86">
      <w:pPr>
        <w:pStyle w:val="3"/>
        <w:spacing w:before="360" w:line="360" w:lineRule="auto"/>
        <w:rPr>
          <w:rFonts w:ascii="宋体" w:hAnsi="宋体" w:eastAsia="宋体"/>
          <w:color w:val="auto"/>
          <w:sz w:val="24"/>
          <w:highlight w:val="none"/>
        </w:rPr>
      </w:pPr>
      <w:r>
        <w:rPr>
          <w:rFonts w:hint="eastAsia" w:ascii="宋体" w:hAnsi="宋体" w:eastAsia="宋体"/>
          <w:color w:val="auto"/>
          <w:sz w:val="24"/>
          <w:highlight w:val="none"/>
        </w:rPr>
        <w:t>附件8  投标人的项目管理组织机构</w:t>
      </w:r>
      <w:bookmarkEnd w:id="258"/>
      <w:bookmarkEnd w:id="259"/>
    </w:p>
    <w:p w14:paraId="3F54BC10">
      <w:pPr>
        <w:spacing w:line="360" w:lineRule="auto"/>
        <w:ind w:left="14" w:firstLine="465" w:firstLineChars="194"/>
        <w:rPr>
          <w:rFonts w:eastAsia="仿宋"/>
          <w:color w:val="auto"/>
          <w:sz w:val="24"/>
          <w:szCs w:val="21"/>
          <w:highlight w:val="none"/>
        </w:rPr>
      </w:pPr>
    </w:p>
    <w:p w14:paraId="30BF934C">
      <w:pPr>
        <w:spacing w:line="360" w:lineRule="auto"/>
        <w:ind w:firstLine="480" w:firstLineChars="200"/>
        <w:rPr>
          <w:rFonts w:eastAsia="仿宋"/>
          <w:color w:val="auto"/>
          <w:kern w:val="0"/>
          <w:sz w:val="24"/>
          <w:szCs w:val="20"/>
          <w:highlight w:val="none"/>
        </w:rPr>
        <w:sectPr>
          <w:pgSz w:w="11906" w:h="16838"/>
          <w:pgMar w:top="1440" w:right="1800" w:bottom="1440" w:left="1800" w:header="851" w:footer="992" w:gutter="0"/>
          <w:cols w:space="720" w:num="1"/>
          <w:docGrid w:type="lines" w:linePitch="312" w:charSpace="0"/>
        </w:sectPr>
      </w:pPr>
      <w:r>
        <w:rPr>
          <w:rFonts w:hint="eastAsia" w:eastAsia="仿宋"/>
          <w:color w:val="auto"/>
          <w:kern w:val="0"/>
          <w:sz w:val="24"/>
          <w:szCs w:val="20"/>
          <w:highlight w:val="none"/>
        </w:rPr>
        <w:t>项目组织结构与人力资源方案（项目实施团队）：投标人应说明为满足本项目实施需要，拟成立的本项目实施团队的管理组织机构和现场团队，包括人员的配备、各管理机构/部门的职能以及组织机构的说明。</w:t>
      </w:r>
    </w:p>
    <w:p w14:paraId="40828A26">
      <w:pPr>
        <w:pStyle w:val="5"/>
        <w:adjustRightInd w:val="0"/>
        <w:snapToGrid w:val="0"/>
        <w:spacing w:before="120" w:after="120" w:line="240" w:lineRule="auto"/>
        <w:jc w:val="center"/>
        <w:rPr>
          <w:rFonts w:cs="宋体" w:asciiTheme="minorEastAsia" w:hAnsiTheme="minorEastAsia" w:eastAsiaTheme="minorEastAsia"/>
          <w:color w:val="auto"/>
          <w:sz w:val="28"/>
          <w:szCs w:val="28"/>
          <w:highlight w:val="none"/>
        </w:rPr>
      </w:pPr>
      <w:bookmarkStart w:id="264" w:name="_Toc182802851"/>
      <w:bookmarkStart w:id="265" w:name="_Toc70687212"/>
      <w:bookmarkStart w:id="266" w:name="_Toc177995495"/>
      <w:bookmarkStart w:id="267" w:name="_Toc182802967"/>
      <w:bookmarkStart w:id="268" w:name="_Toc182205342"/>
      <w:bookmarkStart w:id="269" w:name="_Toc177817356"/>
      <w:bookmarkStart w:id="270" w:name="_Toc177189257"/>
      <w:bookmarkStart w:id="271" w:name="_Toc176882564"/>
      <w:bookmarkStart w:id="272" w:name="_Toc194883190"/>
      <w:bookmarkStart w:id="273" w:name="_Toc518203006"/>
      <w:bookmarkStart w:id="274" w:name="_Toc182205199"/>
      <w:bookmarkStart w:id="275" w:name="_Toc194888464"/>
      <w:bookmarkStart w:id="276" w:name="_Toc181504488"/>
      <w:bookmarkStart w:id="277" w:name="_Toc181864912"/>
      <w:bookmarkStart w:id="278" w:name="_Toc178491535"/>
      <w:bookmarkStart w:id="279" w:name="_Toc510602676"/>
      <w:bookmarkStart w:id="280" w:name="_Toc21904"/>
      <w:bookmarkStart w:id="281" w:name="_Toc53722877"/>
      <w:bookmarkStart w:id="282" w:name="_Toc20798"/>
      <w:bookmarkStart w:id="283" w:name="_Toc182802767"/>
      <w:bookmarkStart w:id="284" w:name="_Toc474936015"/>
      <w:r>
        <w:rPr>
          <w:rFonts w:hint="eastAsia" w:cs="宋体" w:asciiTheme="minorEastAsia" w:hAnsiTheme="minorEastAsia" w:eastAsiaTheme="minorEastAsia"/>
          <w:color w:val="auto"/>
          <w:sz w:val="28"/>
          <w:szCs w:val="28"/>
          <w:highlight w:val="none"/>
        </w:rPr>
        <w:t xml:space="preserve">附件8-1  </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Pr>
          <w:rFonts w:hint="eastAsia" w:cs="宋体" w:asciiTheme="minorEastAsia" w:hAnsiTheme="minorEastAsia" w:eastAsiaTheme="minorEastAsia"/>
          <w:color w:val="auto"/>
          <w:sz w:val="28"/>
          <w:szCs w:val="28"/>
          <w:highlight w:val="none"/>
        </w:rPr>
        <w:t>拟投入本项目人员情况表</w:t>
      </w:r>
    </w:p>
    <w:p w14:paraId="6AFAAED7">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bCs/>
          <w:color w:val="auto"/>
          <w:highlight w:val="none"/>
        </w:rPr>
        <w:t>中国科学院高能物理研究所高能同步辐射光源通用设施运维项目</w:t>
      </w:r>
      <w:r>
        <w:rPr>
          <w:rFonts w:hint="eastAsia" w:asciiTheme="minorEastAsia" w:hAnsiTheme="minorEastAsia" w:eastAsiaTheme="minorEastAsia"/>
          <w:color w:val="auto"/>
          <w:highlight w:val="none"/>
        </w:rPr>
        <w:t xml:space="preserve">                </w:t>
      </w:r>
    </w:p>
    <w:p w14:paraId="2E12628C">
      <w:pPr>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highlight w:val="none"/>
        </w:rPr>
        <w:t>项目编号：</w:t>
      </w:r>
    </w:p>
    <w:tbl>
      <w:tblPr>
        <w:tblStyle w:val="40"/>
        <w:tblW w:w="13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3"/>
        <w:gridCol w:w="1324"/>
        <w:gridCol w:w="1701"/>
        <w:gridCol w:w="2551"/>
        <w:gridCol w:w="1843"/>
        <w:gridCol w:w="2126"/>
        <w:gridCol w:w="1418"/>
        <w:gridCol w:w="1984"/>
      </w:tblGrid>
      <w:tr w14:paraId="6481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125B52D4">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序号</w:t>
            </w:r>
          </w:p>
        </w:tc>
        <w:tc>
          <w:tcPr>
            <w:tcW w:w="1324" w:type="dxa"/>
            <w:tcMar>
              <w:top w:w="20" w:type="dxa"/>
              <w:left w:w="20" w:type="dxa"/>
              <w:bottom w:w="0" w:type="dxa"/>
              <w:right w:w="20" w:type="dxa"/>
            </w:tcMar>
            <w:vAlign w:val="center"/>
          </w:tcPr>
          <w:p w14:paraId="54854ACF">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姓名/岗位</w:t>
            </w:r>
          </w:p>
        </w:tc>
        <w:tc>
          <w:tcPr>
            <w:tcW w:w="1701" w:type="dxa"/>
            <w:tcMar>
              <w:top w:w="20" w:type="dxa"/>
              <w:left w:w="20" w:type="dxa"/>
              <w:bottom w:w="0" w:type="dxa"/>
              <w:right w:w="20" w:type="dxa"/>
            </w:tcMar>
            <w:vAlign w:val="center"/>
          </w:tcPr>
          <w:p w14:paraId="1893BF18">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性别</w:t>
            </w:r>
          </w:p>
        </w:tc>
        <w:tc>
          <w:tcPr>
            <w:tcW w:w="2551" w:type="dxa"/>
            <w:tcMar>
              <w:top w:w="20" w:type="dxa"/>
              <w:left w:w="20" w:type="dxa"/>
              <w:bottom w:w="0" w:type="dxa"/>
              <w:right w:w="20" w:type="dxa"/>
            </w:tcMar>
            <w:vAlign w:val="center"/>
          </w:tcPr>
          <w:p w14:paraId="7716B1AA">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本项目拟任职位</w:t>
            </w:r>
          </w:p>
        </w:tc>
        <w:tc>
          <w:tcPr>
            <w:tcW w:w="1843" w:type="dxa"/>
            <w:tcMar>
              <w:top w:w="20" w:type="dxa"/>
              <w:left w:w="20" w:type="dxa"/>
              <w:bottom w:w="0" w:type="dxa"/>
              <w:right w:w="20" w:type="dxa"/>
            </w:tcMar>
            <w:vAlign w:val="center"/>
          </w:tcPr>
          <w:p w14:paraId="3CAABE92">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职称</w:t>
            </w:r>
          </w:p>
        </w:tc>
        <w:tc>
          <w:tcPr>
            <w:tcW w:w="2126" w:type="dxa"/>
            <w:tcMar>
              <w:top w:w="20" w:type="dxa"/>
              <w:left w:w="20" w:type="dxa"/>
              <w:bottom w:w="0" w:type="dxa"/>
              <w:right w:w="20" w:type="dxa"/>
            </w:tcMar>
            <w:vAlign w:val="center"/>
          </w:tcPr>
          <w:p w14:paraId="7D5DAB98">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相关工作经验</w:t>
            </w:r>
          </w:p>
        </w:tc>
        <w:tc>
          <w:tcPr>
            <w:tcW w:w="1418" w:type="dxa"/>
            <w:tcMar>
              <w:top w:w="20" w:type="dxa"/>
              <w:left w:w="20" w:type="dxa"/>
              <w:bottom w:w="0" w:type="dxa"/>
              <w:right w:w="20" w:type="dxa"/>
            </w:tcMar>
            <w:vAlign w:val="center"/>
          </w:tcPr>
          <w:p w14:paraId="0D8CEE24">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资质证书</w:t>
            </w:r>
          </w:p>
        </w:tc>
        <w:tc>
          <w:tcPr>
            <w:tcW w:w="1984" w:type="dxa"/>
            <w:tcMar>
              <w:top w:w="20" w:type="dxa"/>
              <w:left w:w="20" w:type="dxa"/>
              <w:bottom w:w="0" w:type="dxa"/>
              <w:right w:w="20" w:type="dxa"/>
            </w:tcMar>
            <w:vAlign w:val="center"/>
          </w:tcPr>
          <w:p w14:paraId="7298A1BC">
            <w:pPr>
              <w:widowControl/>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14:paraId="36EC3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59373486">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35E6E806">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766004DE">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5CA7BEEB">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2A542A65">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79EB232E">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4CB18848">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51C613A3">
            <w:pPr>
              <w:ind w:firstLine="640" w:firstLineChars="200"/>
              <w:jc w:val="center"/>
              <w:rPr>
                <w:rFonts w:asciiTheme="minorEastAsia" w:hAnsiTheme="minorEastAsia" w:eastAsiaTheme="minorEastAsia"/>
                <w:color w:val="auto"/>
                <w:sz w:val="32"/>
                <w:szCs w:val="32"/>
                <w:highlight w:val="none"/>
              </w:rPr>
            </w:pPr>
          </w:p>
        </w:tc>
      </w:tr>
      <w:tr w14:paraId="6B21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1F7E6BF0">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4FFFA443">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1D4D8285">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4194FC89">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0BA8F3E8">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6BA1C07A">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3762072D">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46BA10C1">
            <w:pPr>
              <w:jc w:val="center"/>
              <w:rPr>
                <w:rFonts w:asciiTheme="minorEastAsia" w:hAnsiTheme="minorEastAsia" w:eastAsiaTheme="minorEastAsia"/>
                <w:color w:val="auto"/>
                <w:sz w:val="32"/>
                <w:szCs w:val="32"/>
                <w:highlight w:val="none"/>
              </w:rPr>
            </w:pPr>
          </w:p>
        </w:tc>
      </w:tr>
      <w:tr w14:paraId="4E7A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031ADC76">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388859BC">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61E743FC">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0027FE5B">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19559A70">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04128911">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562112DE">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4DDDBBCD">
            <w:pPr>
              <w:jc w:val="center"/>
              <w:rPr>
                <w:rFonts w:asciiTheme="minorEastAsia" w:hAnsiTheme="minorEastAsia" w:eastAsiaTheme="minorEastAsia"/>
                <w:color w:val="auto"/>
                <w:sz w:val="32"/>
                <w:szCs w:val="32"/>
                <w:highlight w:val="none"/>
              </w:rPr>
            </w:pPr>
          </w:p>
        </w:tc>
      </w:tr>
      <w:tr w14:paraId="403E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4BEAF54E">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0FD188C8">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74791328">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63E0CFB4">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428D1511">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396DFD80">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4BA2E68D">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43737AE6">
            <w:pPr>
              <w:jc w:val="center"/>
              <w:rPr>
                <w:rFonts w:asciiTheme="minorEastAsia" w:hAnsiTheme="minorEastAsia" w:eastAsiaTheme="minorEastAsia"/>
                <w:color w:val="auto"/>
                <w:sz w:val="32"/>
                <w:szCs w:val="32"/>
                <w:highlight w:val="none"/>
              </w:rPr>
            </w:pPr>
          </w:p>
        </w:tc>
      </w:tr>
      <w:tr w14:paraId="1CA5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40AFCD1A">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335C3297">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730DA404">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6D5A337F">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38768DB1">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37269133">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5D9D1975">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6EE685BA">
            <w:pPr>
              <w:jc w:val="center"/>
              <w:rPr>
                <w:rFonts w:asciiTheme="minorEastAsia" w:hAnsiTheme="minorEastAsia" w:eastAsiaTheme="minorEastAsia"/>
                <w:color w:val="auto"/>
                <w:sz w:val="32"/>
                <w:szCs w:val="32"/>
                <w:highlight w:val="none"/>
              </w:rPr>
            </w:pPr>
          </w:p>
        </w:tc>
      </w:tr>
      <w:tr w14:paraId="77EF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065BA421">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04B436FF">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10AE802C">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1177DFEB">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3ED5FC3C">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323A56AD">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031BEC44">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61438FC5">
            <w:pPr>
              <w:jc w:val="center"/>
              <w:rPr>
                <w:rFonts w:asciiTheme="minorEastAsia" w:hAnsiTheme="minorEastAsia" w:eastAsiaTheme="minorEastAsia"/>
                <w:color w:val="auto"/>
                <w:sz w:val="32"/>
                <w:szCs w:val="32"/>
                <w:highlight w:val="none"/>
              </w:rPr>
            </w:pPr>
          </w:p>
        </w:tc>
      </w:tr>
      <w:tr w14:paraId="6945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tcMar>
              <w:top w:w="20" w:type="dxa"/>
              <w:left w:w="20" w:type="dxa"/>
              <w:bottom w:w="0" w:type="dxa"/>
              <w:right w:w="20" w:type="dxa"/>
            </w:tcMar>
            <w:vAlign w:val="center"/>
          </w:tcPr>
          <w:p w14:paraId="3344C7F1">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70B72876">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3D9834BF">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132C6339">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28E74166">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4AC4A8AA">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75876DF4">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67920E91">
            <w:pPr>
              <w:jc w:val="center"/>
              <w:rPr>
                <w:rFonts w:asciiTheme="minorEastAsia" w:hAnsiTheme="minorEastAsia" w:eastAsiaTheme="minorEastAsia"/>
                <w:color w:val="auto"/>
                <w:sz w:val="32"/>
                <w:szCs w:val="32"/>
                <w:highlight w:val="none"/>
              </w:rPr>
            </w:pPr>
          </w:p>
        </w:tc>
      </w:tr>
      <w:tr w14:paraId="4654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noWrap/>
            <w:tcMar>
              <w:top w:w="20" w:type="dxa"/>
              <w:left w:w="20" w:type="dxa"/>
              <w:bottom w:w="0" w:type="dxa"/>
              <w:right w:w="20" w:type="dxa"/>
            </w:tcMar>
            <w:vAlign w:val="center"/>
          </w:tcPr>
          <w:p w14:paraId="34882F23">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67852CE7">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7B1875ED">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74710765">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2F35A91A">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38A50437">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2D9F8D8B">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5D05E5FC">
            <w:pPr>
              <w:jc w:val="center"/>
              <w:rPr>
                <w:rFonts w:asciiTheme="minorEastAsia" w:hAnsiTheme="minorEastAsia" w:eastAsiaTheme="minorEastAsia"/>
                <w:color w:val="auto"/>
                <w:sz w:val="32"/>
                <w:szCs w:val="32"/>
                <w:highlight w:val="none"/>
              </w:rPr>
            </w:pPr>
          </w:p>
        </w:tc>
      </w:tr>
      <w:tr w14:paraId="321C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823" w:type="dxa"/>
            <w:noWrap/>
            <w:tcMar>
              <w:top w:w="20" w:type="dxa"/>
              <w:left w:w="20" w:type="dxa"/>
              <w:bottom w:w="0" w:type="dxa"/>
              <w:right w:w="20" w:type="dxa"/>
            </w:tcMar>
            <w:vAlign w:val="center"/>
          </w:tcPr>
          <w:p w14:paraId="41783B5E">
            <w:pPr>
              <w:jc w:val="center"/>
              <w:rPr>
                <w:rFonts w:asciiTheme="minorEastAsia" w:hAnsiTheme="minorEastAsia" w:eastAsiaTheme="minorEastAsia"/>
                <w:color w:val="auto"/>
                <w:sz w:val="32"/>
                <w:szCs w:val="32"/>
                <w:highlight w:val="none"/>
              </w:rPr>
            </w:pPr>
          </w:p>
        </w:tc>
        <w:tc>
          <w:tcPr>
            <w:tcW w:w="1324" w:type="dxa"/>
            <w:tcMar>
              <w:top w:w="20" w:type="dxa"/>
              <w:left w:w="20" w:type="dxa"/>
              <w:bottom w:w="0" w:type="dxa"/>
              <w:right w:w="20" w:type="dxa"/>
            </w:tcMar>
            <w:vAlign w:val="center"/>
          </w:tcPr>
          <w:p w14:paraId="3C8A4CA1">
            <w:pPr>
              <w:jc w:val="center"/>
              <w:rPr>
                <w:rFonts w:asciiTheme="minorEastAsia" w:hAnsiTheme="minorEastAsia" w:eastAsiaTheme="minorEastAsia"/>
                <w:color w:val="auto"/>
                <w:sz w:val="32"/>
                <w:szCs w:val="32"/>
                <w:highlight w:val="none"/>
              </w:rPr>
            </w:pPr>
          </w:p>
        </w:tc>
        <w:tc>
          <w:tcPr>
            <w:tcW w:w="1701" w:type="dxa"/>
            <w:tcMar>
              <w:top w:w="20" w:type="dxa"/>
              <w:left w:w="20" w:type="dxa"/>
              <w:bottom w:w="0" w:type="dxa"/>
              <w:right w:w="20" w:type="dxa"/>
            </w:tcMar>
          </w:tcPr>
          <w:p w14:paraId="20AAA145">
            <w:pPr>
              <w:jc w:val="center"/>
              <w:rPr>
                <w:rFonts w:asciiTheme="minorEastAsia" w:hAnsiTheme="minorEastAsia" w:eastAsiaTheme="minorEastAsia"/>
                <w:color w:val="auto"/>
                <w:sz w:val="32"/>
                <w:szCs w:val="32"/>
                <w:highlight w:val="none"/>
              </w:rPr>
            </w:pPr>
          </w:p>
        </w:tc>
        <w:tc>
          <w:tcPr>
            <w:tcW w:w="2551" w:type="dxa"/>
            <w:tcMar>
              <w:top w:w="20" w:type="dxa"/>
              <w:left w:w="20" w:type="dxa"/>
              <w:bottom w:w="0" w:type="dxa"/>
              <w:right w:w="20" w:type="dxa"/>
            </w:tcMar>
            <w:vAlign w:val="center"/>
          </w:tcPr>
          <w:p w14:paraId="4CF9934E">
            <w:pPr>
              <w:jc w:val="center"/>
              <w:rPr>
                <w:rFonts w:asciiTheme="minorEastAsia" w:hAnsiTheme="minorEastAsia" w:eastAsiaTheme="minorEastAsia"/>
                <w:color w:val="auto"/>
                <w:sz w:val="32"/>
                <w:szCs w:val="32"/>
                <w:highlight w:val="none"/>
              </w:rPr>
            </w:pPr>
          </w:p>
        </w:tc>
        <w:tc>
          <w:tcPr>
            <w:tcW w:w="1843" w:type="dxa"/>
            <w:tcMar>
              <w:top w:w="20" w:type="dxa"/>
              <w:left w:w="20" w:type="dxa"/>
              <w:bottom w:w="0" w:type="dxa"/>
              <w:right w:w="20" w:type="dxa"/>
            </w:tcMar>
          </w:tcPr>
          <w:p w14:paraId="1D94FCDE">
            <w:pPr>
              <w:jc w:val="center"/>
              <w:rPr>
                <w:rFonts w:asciiTheme="minorEastAsia" w:hAnsiTheme="minorEastAsia" w:eastAsiaTheme="minorEastAsia"/>
                <w:color w:val="auto"/>
                <w:sz w:val="32"/>
                <w:szCs w:val="32"/>
                <w:highlight w:val="none"/>
              </w:rPr>
            </w:pPr>
          </w:p>
        </w:tc>
        <w:tc>
          <w:tcPr>
            <w:tcW w:w="2126" w:type="dxa"/>
            <w:tcMar>
              <w:top w:w="20" w:type="dxa"/>
              <w:left w:w="20" w:type="dxa"/>
              <w:bottom w:w="0" w:type="dxa"/>
              <w:right w:w="20" w:type="dxa"/>
            </w:tcMar>
            <w:vAlign w:val="center"/>
          </w:tcPr>
          <w:p w14:paraId="77B588D7">
            <w:pPr>
              <w:jc w:val="center"/>
              <w:rPr>
                <w:rFonts w:asciiTheme="minorEastAsia" w:hAnsiTheme="minorEastAsia" w:eastAsiaTheme="minorEastAsia"/>
                <w:color w:val="auto"/>
                <w:sz w:val="32"/>
                <w:szCs w:val="32"/>
                <w:highlight w:val="none"/>
              </w:rPr>
            </w:pPr>
          </w:p>
        </w:tc>
        <w:tc>
          <w:tcPr>
            <w:tcW w:w="1418" w:type="dxa"/>
            <w:tcMar>
              <w:top w:w="20" w:type="dxa"/>
              <w:left w:w="20" w:type="dxa"/>
              <w:bottom w:w="0" w:type="dxa"/>
              <w:right w:w="20" w:type="dxa"/>
            </w:tcMar>
            <w:vAlign w:val="center"/>
          </w:tcPr>
          <w:p w14:paraId="0A4FA927">
            <w:pPr>
              <w:jc w:val="center"/>
              <w:rPr>
                <w:rFonts w:asciiTheme="minorEastAsia" w:hAnsiTheme="minorEastAsia" w:eastAsiaTheme="minorEastAsia"/>
                <w:color w:val="auto"/>
                <w:sz w:val="32"/>
                <w:szCs w:val="32"/>
                <w:highlight w:val="none"/>
              </w:rPr>
            </w:pPr>
          </w:p>
        </w:tc>
        <w:tc>
          <w:tcPr>
            <w:tcW w:w="1984" w:type="dxa"/>
            <w:tcMar>
              <w:top w:w="20" w:type="dxa"/>
              <w:left w:w="20" w:type="dxa"/>
              <w:bottom w:w="0" w:type="dxa"/>
              <w:right w:w="20" w:type="dxa"/>
            </w:tcMar>
            <w:vAlign w:val="center"/>
          </w:tcPr>
          <w:p w14:paraId="2D18F930">
            <w:pPr>
              <w:jc w:val="center"/>
              <w:rPr>
                <w:rFonts w:asciiTheme="minorEastAsia" w:hAnsiTheme="minorEastAsia" w:eastAsiaTheme="minorEastAsia"/>
                <w:color w:val="auto"/>
                <w:sz w:val="32"/>
                <w:szCs w:val="32"/>
                <w:highlight w:val="none"/>
              </w:rPr>
            </w:pPr>
          </w:p>
        </w:tc>
      </w:tr>
    </w:tbl>
    <w:p w14:paraId="078976F7">
      <w:pPr>
        <w:spacing w:before="120" w:beforeLines="5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注：拟投入本项目人员一览表需含项目负责人、班长、运行值班及维修、支持人员。其中项目负责人、班长</w:t>
      </w:r>
      <w:r>
        <w:rPr>
          <w:rFonts w:hint="eastAsia" w:asciiTheme="minorEastAsia" w:hAnsiTheme="minorEastAsia" w:eastAsiaTheme="minorEastAsia"/>
          <w:color w:val="auto"/>
          <w:szCs w:val="21"/>
          <w:highlight w:val="none"/>
        </w:rPr>
        <w:t>和评审标准中规定的持有钳工证、空调设备运行操作作业证、焊工证的人员，</w:t>
      </w:r>
      <w:r>
        <w:rPr>
          <w:rFonts w:hint="eastAsia" w:asciiTheme="minorEastAsia" w:hAnsiTheme="minorEastAsia" w:eastAsiaTheme="minorEastAsia"/>
          <w:color w:val="auto"/>
          <w:szCs w:val="21"/>
          <w:highlight w:val="none"/>
        </w:rPr>
        <w:t>须在投标时确定具体人选，写明姓名，按要求提供资格及经验证明文件，其他人员投标时可不确定具体人选，但需对招标文件第八部分采购需求中对各类岗位人员的要求进行响应，评标时根据投标响应进行评审，如中标则必须按承诺安排人员到岗。</w:t>
      </w:r>
    </w:p>
    <w:p w14:paraId="3FA58DF0">
      <w:pPr>
        <w:spacing w:line="360" w:lineRule="auto"/>
        <w:rPr>
          <w:rFonts w:asciiTheme="minorEastAsia" w:hAnsiTheme="minorEastAsia" w:eastAsiaTheme="minorEastAsia"/>
          <w:color w:val="auto"/>
          <w:sz w:val="24"/>
          <w:szCs w:val="21"/>
          <w:highlight w:val="none"/>
        </w:rPr>
      </w:pPr>
    </w:p>
    <w:p w14:paraId="4D431078">
      <w:pPr>
        <w:spacing w:line="360" w:lineRule="auto"/>
        <w:rPr>
          <w:rFonts w:asciiTheme="minorEastAsia" w:hAnsiTheme="minorEastAsia" w:eastAsiaTheme="minorEastAsia"/>
          <w:color w:val="auto"/>
          <w:sz w:val="24"/>
          <w:szCs w:val="21"/>
          <w:highlight w:val="none"/>
          <w:u w:val="single"/>
        </w:rPr>
      </w:pPr>
      <w:r>
        <w:rPr>
          <w:rFonts w:hint="eastAsia" w:asciiTheme="minorEastAsia" w:hAnsiTheme="minorEastAsia" w:eastAsiaTheme="minorEastAsia"/>
          <w:color w:val="auto"/>
          <w:sz w:val="24"/>
          <w:szCs w:val="21"/>
          <w:highlight w:val="none"/>
        </w:rPr>
        <w:t>投标人：</w:t>
      </w:r>
      <w:r>
        <w:rPr>
          <w:rFonts w:hint="eastAsia" w:asciiTheme="minorEastAsia" w:hAnsiTheme="minorEastAsia" w:eastAsiaTheme="minorEastAsia"/>
          <w:color w:val="auto"/>
          <w:sz w:val="24"/>
          <w:szCs w:val="21"/>
          <w:highlight w:val="none"/>
          <w:u w:val="single"/>
        </w:rPr>
        <w:t xml:space="preserve">      （盖公章）         </w:t>
      </w:r>
    </w:p>
    <w:p w14:paraId="20DBB518">
      <w:pPr>
        <w:spacing w:line="360" w:lineRule="auto"/>
        <w:rPr>
          <w:rFonts w:asciiTheme="minorEastAsia" w:hAnsiTheme="minorEastAsia" w:eastAsiaTheme="minorEastAsia"/>
          <w:color w:val="auto"/>
          <w:sz w:val="24"/>
          <w:szCs w:val="21"/>
          <w:highlight w:val="none"/>
          <w:u w:val="single"/>
        </w:rPr>
      </w:pPr>
      <w:r>
        <w:rPr>
          <w:rFonts w:hint="eastAsia" w:asciiTheme="minorEastAsia" w:hAnsiTheme="minorEastAsia" w:eastAsiaTheme="minorEastAsia"/>
          <w:color w:val="auto"/>
          <w:sz w:val="24"/>
          <w:szCs w:val="21"/>
          <w:highlight w:val="none"/>
        </w:rPr>
        <w:t>法人代表或其授权人：</w:t>
      </w:r>
      <w:r>
        <w:rPr>
          <w:rFonts w:hint="eastAsia" w:asciiTheme="minorEastAsia" w:hAnsiTheme="minorEastAsia" w:eastAsiaTheme="minorEastAsia"/>
          <w:color w:val="auto"/>
          <w:sz w:val="24"/>
          <w:szCs w:val="21"/>
          <w:highlight w:val="none"/>
          <w:u w:val="single"/>
        </w:rPr>
        <w:t xml:space="preserve">    （签字/盖章）      </w:t>
      </w:r>
    </w:p>
    <w:p w14:paraId="27BF29F8">
      <w:pPr>
        <w:spacing w:line="360" w:lineRule="auto"/>
        <w:rPr>
          <w:rFonts w:asciiTheme="minorEastAsia" w:hAnsiTheme="minorEastAsia" w:eastAsiaTheme="minorEastAsia"/>
          <w:color w:val="auto"/>
          <w:kern w:val="0"/>
          <w:sz w:val="24"/>
          <w:szCs w:val="21"/>
          <w:highlight w:val="none"/>
          <w:u w:val="single"/>
        </w:rPr>
      </w:pPr>
      <w:r>
        <w:rPr>
          <w:rFonts w:hint="eastAsia" w:asciiTheme="minorEastAsia" w:hAnsiTheme="minorEastAsia" w:eastAsiaTheme="minorEastAsia"/>
          <w:color w:val="auto"/>
          <w:sz w:val="24"/>
          <w:szCs w:val="21"/>
          <w:highlight w:val="none"/>
        </w:rPr>
        <w:t>日 期：</w:t>
      </w:r>
      <w:r>
        <w:rPr>
          <w:rFonts w:hint="eastAsia" w:asciiTheme="minorEastAsia" w:hAnsiTheme="minorEastAsia" w:eastAsiaTheme="minorEastAsia"/>
          <w:color w:val="auto"/>
          <w:sz w:val="24"/>
          <w:szCs w:val="21"/>
          <w:highlight w:val="none"/>
          <w:u w:val="single"/>
        </w:rPr>
        <w:t xml:space="preserve">                   </w:t>
      </w:r>
    </w:p>
    <w:p w14:paraId="6BB9D72C">
      <w:pPr>
        <w:pStyle w:val="4"/>
        <w:rPr>
          <w:rFonts w:asciiTheme="minorEastAsia" w:hAnsiTheme="minorEastAsia" w:eastAsiaTheme="minorEastAsia"/>
          <w:color w:val="auto"/>
          <w:highlight w:val="none"/>
        </w:rPr>
        <w:sectPr>
          <w:pgSz w:w="16838" w:h="11906" w:orient="landscape"/>
          <w:pgMar w:top="1588" w:right="1440" w:bottom="1588" w:left="1701" w:header="851" w:footer="992" w:gutter="0"/>
          <w:cols w:space="720" w:num="1"/>
          <w:docGrid w:linePitch="312" w:charSpace="0"/>
        </w:sectPr>
      </w:pPr>
    </w:p>
    <w:p w14:paraId="5380A925">
      <w:pPr>
        <w:pStyle w:val="5"/>
        <w:spacing w:before="0" w:after="240" w:line="360" w:lineRule="auto"/>
        <w:jc w:val="center"/>
        <w:rPr>
          <w:rFonts w:asciiTheme="minorEastAsia" w:hAnsiTheme="minorEastAsia" w:eastAsiaTheme="minorEastAsia"/>
          <w:color w:val="auto"/>
          <w:szCs w:val="21"/>
          <w:highlight w:val="none"/>
        </w:rPr>
      </w:pPr>
      <w:bookmarkStart w:id="285" w:name="_Toc177995498"/>
      <w:bookmarkStart w:id="286" w:name="_Toc177189259"/>
      <w:bookmarkStart w:id="287" w:name="_Toc194883192"/>
      <w:bookmarkStart w:id="288" w:name="_Toc176882566"/>
      <w:bookmarkStart w:id="289" w:name="_Toc182205344"/>
      <w:bookmarkStart w:id="290" w:name="_Toc70687214"/>
      <w:bookmarkStart w:id="291" w:name="_Toc8188"/>
      <w:bookmarkStart w:id="292" w:name="_Toc182802769"/>
      <w:bookmarkStart w:id="293" w:name="_Toc178491538"/>
      <w:bookmarkStart w:id="294" w:name="_Toc194888466"/>
      <w:bookmarkStart w:id="295" w:name="_Toc182802969"/>
      <w:bookmarkStart w:id="296" w:name="_Toc182205201"/>
      <w:bookmarkStart w:id="297" w:name="_Toc53722879"/>
      <w:bookmarkStart w:id="298" w:name="_Toc30625"/>
      <w:bookmarkStart w:id="299" w:name="_Toc182802853"/>
      <w:bookmarkStart w:id="300" w:name="_Toc181864914"/>
      <w:bookmarkStart w:id="301" w:name="_Toc181504490"/>
      <w:bookmarkStart w:id="302" w:name="_Toc177817358"/>
      <w:bookmarkStart w:id="303" w:name="_Toc474936017"/>
      <w:r>
        <w:rPr>
          <w:rFonts w:hint="eastAsia" w:cs="宋体" w:asciiTheme="minorEastAsia" w:hAnsiTheme="minorEastAsia" w:eastAsiaTheme="minorEastAsia"/>
          <w:color w:val="auto"/>
          <w:sz w:val="28"/>
          <w:szCs w:val="28"/>
          <w:highlight w:val="none"/>
        </w:rPr>
        <w:t xml:space="preserve">附件8-2 </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Fonts w:hint="eastAsia" w:cs="宋体" w:asciiTheme="minorEastAsia" w:hAnsiTheme="minorEastAsia" w:eastAsiaTheme="minorEastAsia"/>
          <w:color w:val="auto"/>
          <w:sz w:val="28"/>
          <w:szCs w:val="28"/>
          <w:highlight w:val="none"/>
        </w:rPr>
        <w:t>拟投入本项目负责人简历表</w:t>
      </w:r>
    </w:p>
    <w:p w14:paraId="09E5DB84">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bCs/>
          <w:color w:val="auto"/>
          <w:highlight w:val="none"/>
        </w:rPr>
        <w:t>中国科学院高能物理研究所高能同步辐射光源通用设施运维项目</w:t>
      </w:r>
      <w:r>
        <w:rPr>
          <w:rFonts w:hint="eastAsia" w:asciiTheme="minorEastAsia" w:hAnsiTheme="minorEastAsia" w:eastAsiaTheme="minorEastAsia"/>
          <w:color w:val="auto"/>
          <w:highlight w:val="none"/>
        </w:rPr>
        <w:t xml:space="preserve">              </w:t>
      </w:r>
    </w:p>
    <w:p w14:paraId="52232015">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项目编号：</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615"/>
        <w:gridCol w:w="1065"/>
        <w:gridCol w:w="615"/>
        <w:gridCol w:w="11"/>
        <w:gridCol w:w="319"/>
        <w:gridCol w:w="945"/>
        <w:gridCol w:w="1287"/>
        <w:gridCol w:w="63"/>
        <w:gridCol w:w="788"/>
        <w:gridCol w:w="1417"/>
      </w:tblGrid>
      <w:tr w14:paraId="78BA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1380" w:type="dxa"/>
            <w:vAlign w:val="center"/>
          </w:tcPr>
          <w:p w14:paraId="2892AA42">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姓名</w:t>
            </w:r>
          </w:p>
        </w:tc>
        <w:tc>
          <w:tcPr>
            <w:tcW w:w="1680" w:type="dxa"/>
            <w:gridSpan w:val="2"/>
            <w:vAlign w:val="center"/>
          </w:tcPr>
          <w:p w14:paraId="1D9A7DA5">
            <w:pPr>
              <w:jc w:val="center"/>
              <w:rPr>
                <w:rFonts w:asciiTheme="minorEastAsia" w:hAnsiTheme="minorEastAsia" w:eastAsiaTheme="minorEastAsia"/>
                <w:color w:val="auto"/>
                <w:szCs w:val="21"/>
                <w:highlight w:val="none"/>
              </w:rPr>
            </w:pPr>
          </w:p>
        </w:tc>
        <w:tc>
          <w:tcPr>
            <w:tcW w:w="945" w:type="dxa"/>
            <w:gridSpan w:val="3"/>
            <w:vAlign w:val="center"/>
          </w:tcPr>
          <w:p w14:paraId="4AD2EA59">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性别</w:t>
            </w:r>
          </w:p>
        </w:tc>
        <w:tc>
          <w:tcPr>
            <w:tcW w:w="945" w:type="dxa"/>
            <w:vAlign w:val="center"/>
          </w:tcPr>
          <w:p w14:paraId="18753625">
            <w:pPr>
              <w:rPr>
                <w:rFonts w:asciiTheme="minorEastAsia" w:hAnsiTheme="minorEastAsia" w:eastAsiaTheme="minorEastAsia"/>
                <w:color w:val="auto"/>
                <w:szCs w:val="21"/>
                <w:highlight w:val="none"/>
              </w:rPr>
            </w:pPr>
          </w:p>
        </w:tc>
        <w:tc>
          <w:tcPr>
            <w:tcW w:w="1350" w:type="dxa"/>
            <w:gridSpan w:val="2"/>
            <w:vAlign w:val="center"/>
          </w:tcPr>
          <w:p w14:paraId="63AAECCD">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出生日期</w:t>
            </w:r>
          </w:p>
        </w:tc>
        <w:tc>
          <w:tcPr>
            <w:tcW w:w="2205" w:type="dxa"/>
            <w:gridSpan w:val="2"/>
            <w:vAlign w:val="center"/>
          </w:tcPr>
          <w:p w14:paraId="2F4B59A1">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年月日</w:t>
            </w:r>
          </w:p>
        </w:tc>
      </w:tr>
      <w:tr w14:paraId="029C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19FE8F2E">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毕业院校及专业</w:t>
            </w:r>
          </w:p>
        </w:tc>
        <w:tc>
          <w:tcPr>
            <w:tcW w:w="3570" w:type="dxa"/>
            <w:gridSpan w:val="6"/>
            <w:vAlign w:val="center"/>
          </w:tcPr>
          <w:p w14:paraId="55C791C8">
            <w:pPr>
              <w:rPr>
                <w:rFonts w:asciiTheme="minorEastAsia" w:hAnsiTheme="minorEastAsia" w:eastAsiaTheme="minorEastAsia"/>
                <w:color w:val="auto"/>
                <w:szCs w:val="21"/>
                <w:highlight w:val="none"/>
              </w:rPr>
            </w:pPr>
          </w:p>
        </w:tc>
        <w:tc>
          <w:tcPr>
            <w:tcW w:w="1350" w:type="dxa"/>
            <w:gridSpan w:val="2"/>
            <w:vAlign w:val="center"/>
          </w:tcPr>
          <w:p w14:paraId="643076BA">
            <w:pPr>
              <w:ind w:left="-18"/>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毕业时间</w:t>
            </w:r>
          </w:p>
        </w:tc>
        <w:tc>
          <w:tcPr>
            <w:tcW w:w="2205" w:type="dxa"/>
            <w:gridSpan w:val="2"/>
            <w:vAlign w:val="center"/>
          </w:tcPr>
          <w:p w14:paraId="3247ABF1">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年月日</w:t>
            </w:r>
          </w:p>
        </w:tc>
      </w:tr>
      <w:tr w14:paraId="1009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2"/>
            <w:vAlign w:val="center"/>
          </w:tcPr>
          <w:p w14:paraId="3687495C">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从事本专业时间</w:t>
            </w:r>
          </w:p>
        </w:tc>
        <w:tc>
          <w:tcPr>
            <w:tcW w:w="1680" w:type="dxa"/>
            <w:gridSpan w:val="2"/>
            <w:vAlign w:val="center"/>
          </w:tcPr>
          <w:p w14:paraId="7F161035">
            <w:pPr>
              <w:rPr>
                <w:rFonts w:asciiTheme="minorEastAsia" w:hAnsiTheme="minorEastAsia" w:eastAsiaTheme="minorEastAsia"/>
                <w:color w:val="auto"/>
                <w:szCs w:val="21"/>
                <w:highlight w:val="none"/>
              </w:rPr>
            </w:pPr>
          </w:p>
        </w:tc>
        <w:tc>
          <w:tcPr>
            <w:tcW w:w="2625" w:type="dxa"/>
            <w:gridSpan w:val="5"/>
            <w:vAlign w:val="center"/>
          </w:tcPr>
          <w:p w14:paraId="0C78C488">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职称</w:t>
            </w:r>
          </w:p>
        </w:tc>
        <w:tc>
          <w:tcPr>
            <w:tcW w:w="2205" w:type="dxa"/>
            <w:gridSpan w:val="2"/>
            <w:vAlign w:val="center"/>
          </w:tcPr>
          <w:p w14:paraId="101851E0">
            <w:pPr>
              <w:rPr>
                <w:rFonts w:asciiTheme="minorEastAsia" w:hAnsiTheme="minorEastAsia" w:eastAsiaTheme="minorEastAsia"/>
                <w:color w:val="auto"/>
                <w:szCs w:val="21"/>
                <w:highlight w:val="none"/>
              </w:rPr>
            </w:pPr>
          </w:p>
        </w:tc>
      </w:tr>
      <w:tr w14:paraId="208D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2"/>
            <w:vAlign w:val="center"/>
          </w:tcPr>
          <w:p w14:paraId="62544332">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资质证书</w:t>
            </w:r>
          </w:p>
        </w:tc>
        <w:tc>
          <w:tcPr>
            <w:tcW w:w="1691" w:type="dxa"/>
            <w:gridSpan w:val="3"/>
            <w:vAlign w:val="center"/>
          </w:tcPr>
          <w:p w14:paraId="55A2D058">
            <w:pPr>
              <w:rPr>
                <w:rFonts w:asciiTheme="minorEastAsia" w:hAnsiTheme="minorEastAsia" w:eastAsiaTheme="minorEastAsia"/>
                <w:color w:val="auto"/>
                <w:szCs w:val="21"/>
                <w:highlight w:val="none"/>
              </w:rPr>
            </w:pPr>
          </w:p>
        </w:tc>
        <w:tc>
          <w:tcPr>
            <w:tcW w:w="3402" w:type="dxa"/>
            <w:gridSpan w:val="5"/>
            <w:vAlign w:val="center"/>
          </w:tcPr>
          <w:p w14:paraId="621FB17C">
            <w:pPr>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从事通用设施运维管理工作年限</w:t>
            </w:r>
          </w:p>
        </w:tc>
        <w:tc>
          <w:tcPr>
            <w:tcW w:w="1417" w:type="dxa"/>
            <w:vAlign w:val="center"/>
          </w:tcPr>
          <w:p w14:paraId="74E8C300">
            <w:pPr>
              <w:rPr>
                <w:rFonts w:asciiTheme="minorEastAsia" w:hAnsiTheme="minorEastAsia" w:eastAsiaTheme="minorEastAsia"/>
                <w:color w:val="auto"/>
                <w:szCs w:val="21"/>
                <w:highlight w:val="none"/>
              </w:rPr>
            </w:pPr>
          </w:p>
        </w:tc>
      </w:tr>
      <w:tr w14:paraId="2AEF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8505" w:type="dxa"/>
            <w:gridSpan w:val="11"/>
            <w:vAlign w:val="center"/>
          </w:tcPr>
          <w:p w14:paraId="7CC4F4CA">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主要经历</w:t>
            </w:r>
          </w:p>
        </w:tc>
      </w:tr>
      <w:tr w14:paraId="32BA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995" w:type="dxa"/>
            <w:gridSpan w:val="2"/>
            <w:vAlign w:val="center"/>
          </w:tcPr>
          <w:p w14:paraId="4FC45DF7">
            <w:pPr>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时间</w:t>
            </w:r>
          </w:p>
        </w:tc>
        <w:tc>
          <w:tcPr>
            <w:tcW w:w="4242" w:type="dxa"/>
            <w:gridSpan w:val="6"/>
            <w:vAlign w:val="center"/>
          </w:tcPr>
          <w:p w14:paraId="3B55BE79">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参加过的</w:t>
            </w:r>
            <w:r>
              <w:rPr>
                <w:rFonts w:hint="eastAsia" w:asciiTheme="minorEastAsia" w:hAnsiTheme="minorEastAsia" w:eastAsiaTheme="minorEastAsia"/>
                <w:color w:val="auto"/>
                <w:szCs w:val="21"/>
                <w:highlight w:val="none"/>
              </w:rPr>
              <w:t>通用设施运维管理项目及规模</w:t>
            </w:r>
          </w:p>
        </w:tc>
        <w:tc>
          <w:tcPr>
            <w:tcW w:w="2268" w:type="dxa"/>
            <w:gridSpan w:val="3"/>
            <w:vAlign w:val="center"/>
          </w:tcPr>
          <w:p w14:paraId="6378F774">
            <w:pP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该项目中任职</w:t>
            </w:r>
          </w:p>
        </w:tc>
      </w:tr>
      <w:tr w14:paraId="4F3C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7" w:hRule="atLeast"/>
        </w:trPr>
        <w:tc>
          <w:tcPr>
            <w:tcW w:w="1995" w:type="dxa"/>
            <w:gridSpan w:val="2"/>
          </w:tcPr>
          <w:p w14:paraId="27697D23">
            <w:pPr>
              <w:rPr>
                <w:rFonts w:asciiTheme="minorEastAsia" w:hAnsiTheme="minorEastAsia" w:eastAsiaTheme="minorEastAsia"/>
                <w:color w:val="auto"/>
                <w:szCs w:val="21"/>
                <w:highlight w:val="none"/>
              </w:rPr>
            </w:pPr>
          </w:p>
        </w:tc>
        <w:tc>
          <w:tcPr>
            <w:tcW w:w="4242" w:type="dxa"/>
            <w:gridSpan w:val="6"/>
          </w:tcPr>
          <w:p w14:paraId="14F2689B">
            <w:pPr>
              <w:rPr>
                <w:rFonts w:asciiTheme="minorEastAsia" w:hAnsiTheme="minorEastAsia" w:eastAsiaTheme="minorEastAsia"/>
                <w:color w:val="auto"/>
                <w:szCs w:val="21"/>
                <w:highlight w:val="none"/>
              </w:rPr>
            </w:pPr>
          </w:p>
        </w:tc>
        <w:tc>
          <w:tcPr>
            <w:tcW w:w="2268" w:type="dxa"/>
            <w:gridSpan w:val="3"/>
          </w:tcPr>
          <w:p w14:paraId="32A3C153">
            <w:pPr>
              <w:rPr>
                <w:rFonts w:asciiTheme="minorEastAsia" w:hAnsiTheme="minorEastAsia" w:eastAsiaTheme="minorEastAsia"/>
                <w:color w:val="auto"/>
                <w:szCs w:val="21"/>
                <w:highlight w:val="none"/>
              </w:rPr>
            </w:pPr>
          </w:p>
        </w:tc>
      </w:tr>
    </w:tbl>
    <w:p w14:paraId="59E65FDA">
      <w:pPr>
        <w:adjustRightInd w:val="0"/>
        <w:spacing w:before="120" w:beforeLines="50" w:line="440" w:lineRule="exact"/>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注：</w:t>
      </w:r>
    </w:p>
    <w:p w14:paraId="75F80FC0">
      <w:pPr>
        <w:adjustRightInd w:val="0"/>
        <w:spacing w:before="120" w:beforeLines="50" w:line="440" w:lineRule="exact"/>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1、请附人员相关证书、业绩或经验的证明材料及身份证复印件，须加盖单位公章。</w:t>
      </w:r>
    </w:p>
    <w:p w14:paraId="4881259F">
      <w:pPr>
        <w:spacing w:before="120" w:beforeLines="50" w:line="360" w:lineRule="auto"/>
        <w:rPr>
          <w:rFonts w:cs="宋体" w:asciiTheme="minorEastAsia" w:hAnsiTheme="minorEastAsia" w:eastAsiaTheme="minorEastAsia"/>
          <w:color w:val="auto"/>
          <w:sz w:val="24"/>
          <w:szCs w:val="21"/>
          <w:highlight w:val="none"/>
        </w:rPr>
      </w:pPr>
      <w:r>
        <w:rPr>
          <w:rFonts w:hint="eastAsia" w:asciiTheme="minorEastAsia" w:hAnsiTheme="minorEastAsia" w:eastAsiaTheme="minorEastAsia"/>
          <w:color w:val="auto"/>
          <w:highlight w:val="none"/>
          <w:lang w:val="zh-CN"/>
        </w:rPr>
        <w:t>2、提供项目负责人、班长的投标截止日前六个月内任意一个月的社保或在职证明，须加盖单位公章。</w:t>
      </w:r>
    </w:p>
    <w:p w14:paraId="1D8D1BC2">
      <w:pPr>
        <w:pStyle w:val="79"/>
        <w:widowControl w:val="0"/>
        <w:spacing w:before="0" w:beforeAutospacing="0" w:after="0" w:afterAutospacing="0"/>
        <w:textAlignment w:val="auto"/>
        <w:rPr>
          <w:rFonts w:cs="宋体" w:asciiTheme="minorEastAsia" w:hAnsiTheme="minorEastAsia" w:eastAsiaTheme="minorEastAsia"/>
          <w:color w:val="auto"/>
          <w:kern w:val="2"/>
          <w:szCs w:val="21"/>
          <w:highlight w:val="none"/>
        </w:rPr>
      </w:pPr>
    </w:p>
    <w:p w14:paraId="496E9088">
      <w:pPr>
        <w:spacing w:line="360" w:lineRule="auto"/>
        <w:rPr>
          <w:rFonts w:cs="宋体" w:asciiTheme="minorEastAsia" w:hAnsiTheme="minorEastAsia" w:eastAsiaTheme="minorEastAsia"/>
          <w:color w:val="auto"/>
          <w:sz w:val="24"/>
          <w:szCs w:val="21"/>
          <w:highlight w:val="none"/>
          <w:u w:val="single"/>
        </w:rPr>
      </w:pPr>
      <w:r>
        <w:rPr>
          <w:rFonts w:hint="eastAsia" w:cs="宋体" w:asciiTheme="minorEastAsia" w:hAnsiTheme="minorEastAsia" w:eastAsiaTheme="minorEastAsia"/>
          <w:color w:val="auto"/>
          <w:sz w:val="24"/>
          <w:szCs w:val="21"/>
          <w:highlight w:val="none"/>
        </w:rPr>
        <w:t>投标人：</w:t>
      </w:r>
      <w:r>
        <w:rPr>
          <w:rFonts w:hint="eastAsia" w:cs="宋体" w:asciiTheme="minorEastAsia" w:hAnsiTheme="minorEastAsia" w:eastAsiaTheme="minorEastAsia"/>
          <w:color w:val="auto"/>
          <w:sz w:val="24"/>
          <w:szCs w:val="21"/>
          <w:highlight w:val="none"/>
          <w:u w:val="single"/>
        </w:rPr>
        <w:t xml:space="preserve">      （盖公章）         </w:t>
      </w:r>
    </w:p>
    <w:p w14:paraId="31AB8DF2">
      <w:pPr>
        <w:spacing w:line="360" w:lineRule="auto"/>
        <w:rPr>
          <w:rFonts w:cs="宋体" w:asciiTheme="minorEastAsia" w:hAnsiTheme="minorEastAsia" w:eastAsiaTheme="minorEastAsia"/>
          <w:color w:val="auto"/>
          <w:sz w:val="24"/>
          <w:szCs w:val="21"/>
          <w:highlight w:val="none"/>
          <w:u w:val="single"/>
        </w:rPr>
      </w:pPr>
      <w:r>
        <w:rPr>
          <w:rFonts w:hint="eastAsia" w:cs="宋体" w:asciiTheme="minorEastAsia" w:hAnsiTheme="minorEastAsia" w:eastAsiaTheme="minorEastAsia"/>
          <w:color w:val="auto"/>
          <w:sz w:val="24"/>
          <w:szCs w:val="21"/>
          <w:highlight w:val="none"/>
        </w:rPr>
        <w:t>法人代表或其授权人：</w:t>
      </w:r>
      <w:r>
        <w:rPr>
          <w:rFonts w:hint="eastAsia" w:cs="宋体" w:asciiTheme="minorEastAsia" w:hAnsiTheme="minorEastAsia" w:eastAsiaTheme="minorEastAsia"/>
          <w:color w:val="auto"/>
          <w:sz w:val="24"/>
          <w:szCs w:val="21"/>
          <w:highlight w:val="none"/>
          <w:u w:val="single"/>
        </w:rPr>
        <w:t xml:space="preserve">    （签字/盖章）      </w:t>
      </w:r>
    </w:p>
    <w:p w14:paraId="1D713CE8">
      <w:pPr>
        <w:spacing w:line="360" w:lineRule="auto"/>
        <w:rPr>
          <w:rFonts w:cs="宋体" w:asciiTheme="minorEastAsia" w:hAnsiTheme="minorEastAsia" w:eastAsiaTheme="minorEastAsia"/>
          <w:color w:val="auto"/>
          <w:sz w:val="24"/>
          <w:szCs w:val="21"/>
          <w:highlight w:val="none"/>
          <w:u w:val="single"/>
        </w:rPr>
      </w:pPr>
      <w:r>
        <w:rPr>
          <w:rFonts w:hint="eastAsia" w:cs="宋体" w:asciiTheme="minorEastAsia" w:hAnsiTheme="minorEastAsia" w:eastAsiaTheme="minorEastAsia"/>
          <w:color w:val="auto"/>
          <w:sz w:val="24"/>
          <w:szCs w:val="21"/>
          <w:highlight w:val="none"/>
        </w:rPr>
        <w:t>日 期：</w:t>
      </w:r>
      <w:r>
        <w:rPr>
          <w:rFonts w:hint="eastAsia" w:cs="宋体" w:asciiTheme="minorEastAsia" w:hAnsiTheme="minorEastAsia" w:eastAsiaTheme="minorEastAsia"/>
          <w:color w:val="auto"/>
          <w:sz w:val="24"/>
          <w:szCs w:val="21"/>
          <w:highlight w:val="none"/>
          <w:u w:val="single"/>
        </w:rPr>
        <w:t xml:space="preserve">                   </w:t>
      </w:r>
    </w:p>
    <w:p w14:paraId="1C3A4868">
      <w:pPr>
        <w:pStyle w:val="5"/>
        <w:spacing w:before="0" w:after="240"/>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 w:val="28"/>
          <w:szCs w:val="28"/>
          <w:highlight w:val="none"/>
        </w:rPr>
        <w:t>附件8</w:t>
      </w:r>
      <w:r>
        <w:rPr>
          <w:rFonts w:cs="仿宋" w:asciiTheme="minorEastAsia" w:hAnsiTheme="minorEastAsia" w:eastAsiaTheme="minorEastAsia"/>
          <w:color w:val="auto"/>
          <w:sz w:val="28"/>
          <w:szCs w:val="28"/>
          <w:highlight w:val="none"/>
        </w:rPr>
        <w:t>-</w:t>
      </w:r>
      <w:r>
        <w:rPr>
          <w:rFonts w:hint="eastAsia" w:cs="仿宋" w:asciiTheme="minorEastAsia" w:hAnsiTheme="minorEastAsia" w:eastAsiaTheme="minorEastAsia"/>
          <w:color w:val="auto"/>
          <w:sz w:val="28"/>
          <w:szCs w:val="28"/>
          <w:highlight w:val="none"/>
        </w:rPr>
        <w:t>3</w:t>
      </w:r>
      <w:r>
        <w:rPr>
          <w:rFonts w:cs="仿宋" w:asciiTheme="minorEastAsia" w:hAnsiTheme="minorEastAsia" w:eastAsiaTheme="minorEastAsia"/>
          <w:color w:val="auto"/>
          <w:sz w:val="28"/>
          <w:szCs w:val="28"/>
          <w:highlight w:val="none"/>
        </w:rPr>
        <w:t xml:space="preserve"> 《人员岗位需求汇总表》响应表</w:t>
      </w:r>
    </w:p>
    <w:tbl>
      <w:tblPr>
        <w:tblStyle w:val="41"/>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1867"/>
        <w:gridCol w:w="4137"/>
        <w:gridCol w:w="1068"/>
        <w:gridCol w:w="996"/>
      </w:tblGrid>
      <w:tr w14:paraId="415C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065" w:type="dxa"/>
            <w:gridSpan w:val="3"/>
            <w:vAlign w:val="center"/>
          </w:tcPr>
          <w:p w14:paraId="02F87322">
            <w:pPr>
              <w:pStyle w:val="21"/>
              <w:spacing w:before="60" w:beforeLines="25" w:after="60" w:afterLines="25"/>
              <w:jc w:val="center"/>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color w:val="auto"/>
                <w:sz w:val="24"/>
                <w:szCs w:val="24"/>
                <w:highlight w:val="none"/>
              </w:rPr>
              <w:t>招标文件要求</w:t>
            </w:r>
          </w:p>
        </w:tc>
        <w:tc>
          <w:tcPr>
            <w:tcW w:w="1068" w:type="dxa"/>
            <w:vMerge w:val="restart"/>
            <w:vAlign w:val="center"/>
          </w:tcPr>
          <w:p w14:paraId="10659F6B">
            <w:pPr>
              <w:pStyle w:val="21"/>
              <w:spacing w:before="60" w:beforeLines="25" w:after="60" w:afterLines="25"/>
              <w:jc w:val="center"/>
              <w:rPr>
                <w:rFonts w:cs="仿宋" w:asciiTheme="minorEastAsia" w:hAnsiTheme="minorEastAsia" w:eastAsiaTheme="minorEastAsia"/>
                <w:b/>
                <w:bCs/>
                <w:color w:val="auto"/>
                <w:sz w:val="24"/>
                <w:szCs w:val="24"/>
                <w:highlight w:val="none"/>
              </w:rPr>
            </w:pPr>
            <w:r>
              <w:rPr>
                <w:rFonts w:hint="eastAsia" w:cs="仿宋" w:asciiTheme="minorEastAsia" w:hAnsiTheme="minorEastAsia" w:eastAsiaTheme="minorEastAsia"/>
                <w:color w:val="auto"/>
                <w:sz w:val="24"/>
                <w:szCs w:val="24"/>
                <w:highlight w:val="none"/>
              </w:rPr>
              <w:t>投标文件响应</w:t>
            </w:r>
          </w:p>
        </w:tc>
        <w:tc>
          <w:tcPr>
            <w:tcW w:w="996" w:type="dxa"/>
            <w:vMerge w:val="restart"/>
            <w:vAlign w:val="center"/>
          </w:tcPr>
          <w:p w14:paraId="25A18AF7">
            <w:pPr>
              <w:pStyle w:val="21"/>
              <w:spacing w:before="60" w:beforeLines="25" w:after="60" w:afterLines="25"/>
              <w:jc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偏离说明</w:t>
            </w:r>
          </w:p>
        </w:tc>
      </w:tr>
      <w:tr w14:paraId="405C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61" w:type="dxa"/>
            <w:vAlign w:val="center"/>
          </w:tcPr>
          <w:p w14:paraId="2521D41B">
            <w:pPr>
              <w:jc w:val="cente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岗位</w:t>
            </w:r>
          </w:p>
        </w:tc>
        <w:tc>
          <w:tcPr>
            <w:tcW w:w="1867" w:type="dxa"/>
            <w:vAlign w:val="center"/>
          </w:tcPr>
          <w:p w14:paraId="1DD2CC34">
            <w:pPr>
              <w:jc w:val="cente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工作职责</w:t>
            </w:r>
          </w:p>
        </w:tc>
        <w:tc>
          <w:tcPr>
            <w:tcW w:w="4137" w:type="dxa"/>
            <w:vAlign w:val="center"/>
          </w:tcPr>
          <w:p w14:paraId="3AF0A9CD">
            <w:pPr>
              <w:jc w:val="cente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岗位要求</w:t>
            </w:r>
          </w:p>
        </w:tc>
        <w:tc>
          <w:tcPr>
            <w:tcW w:w="1068" w:type="dxa"/>
            <w:vMerge w:val="continue"/>
            <w:vAlign w:val="center"/>
          </w:tcPr>
          <w:p w14:paraId="3DAEFF2E">
            <w:pPr>
              <w:jc w:val="center"/>
              <w:rPr>
                <w:rFonts w:cs="仿宋" w:asciiTheme="minorEastAsia" w:hAnsiTheme="minorEastAsia" w:eastAsiaTheme="minorEastAsia"/>
                <w:b/>
                <w:bCs/>
                <w:color w:val="auto"/>
                <w:sz w:val="24"/>
                <w:highlight w:val="none"/>
              </w:rPr>
            </w:pPr>
          </w:p>
        </w:tc>
        <w:tc>
          <w:tcPr>
            <w:tcW w:w="996" w:type="dxa"/>
            <w:vMerge w:val="continue"/>
            <w:vAlign w:val="center"/>
          </w:tcPr>
          <w:p w14:paraId="7D805C27">
            <w:pPr>
              <w:jc w:val="center"/>
              <w:rPr>
                <w:rFonts w:cs="仿宋" w:asciiTheme="minorEastAsia" w:hAnsiTheme="minorEastAsia" w:eastAsiaTheme="minorEastAsia"/>
                <w:b/>
                <w:bCs/>
                <w:color w:val="auto"/>
                <w:sz w:val="24"/>
                <w:highlight w:val="none"/>
              </w:rPr>
            </w:pPr>
          </w:p>
        </w:tc>
      </w:tr>
      <w:tr w14:paraId="1376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1061" w:type="dxa"/>
          </w:tcPr>
          <w:p w14:paraId="2D0B759B">
            <w:pPr>
              <w:rPr>
                <w:rFonts w:cs="仿宋" w:asciiTheme="minorEastAsia" w:hAnsiTheme="minorEastAsia" w:eastAsiaTheme="minorEastAsia"/>
                <w:b/>
                <w:bCs/>
                <w:color w:val="auto"/>
                <w:sz w:val="24"/>
                <w:highlight w:val="none"/>
              </w:rPr>
            </w:pPr>
          </w:p>
        </w:tc>
        <w:tc>
          <w:tcPr>
            <w:tcW w:w="1867" w:type="dxa"/>
          </w:tcPr>
          <w:p w14:paraId="2BAB7C7F">
            <w:pPr>
              <w:rPr>
                <w:rFonts w:cs="仿宋" w:asciiTheme="minorEastAsia" w:hAnsiTheme="minorEastAsia" w:eastAsiaTheme="minorEastAsia"/>
                <w:color w:val="auto"/>
                <w:sz w:val="24"/>
                <w:highlight w:val="none"/>
              </w:rPr>
            </w:pPr>
          </w:p>
        </w:tc>
        <w:tc>
          <w:tcPr>
            <w:tcW w:w="4137" w:type="dxa"/>
          </w:tcPr>
          <w:p w14:paraId="6CD3EF06">
            <w:pPr>
              <w:rPr>
                <w:rFonts w:cs="仿宋" w:asciiTheme="minorEastAsia" w:hAnsiTheme="minorEastAsia" w:eastAsiaTheme="minorEastAsia"/>
                <w:color w:val="auto"/>
                <w:sz w:val="24"/>
                <w:highlight w:val="none"/>
              </w:rPr>
            </w:pPr>
          </w:p>
        </w:tc>
        <w:tc>
          <w:tcPr>
            <w:tcW w:w="1068" w:type="dxa"/>
            <w:vAlign w:val="center"/>
          </w:tcPr>
          <w:p w14:paraId="19859FAF">
            <w:pPr>
              <w:jc w:val="center"/>
              <w:rPr>
                <w:rFonts w:cs="仿宋" w:asciiTheme="minorEastAsia" w:hAnsiTheme="minorEastAsia" w:eastAsiaTheme="minorEastAsia"/>
                <w:color w:val="auto"/>
                <w:sz w:val="24"/>
                <w:highlight w:val="none"/>
              </w:rPr>
            </w:pPr>
          </w:p>
        </w:tc>
        <w:tc>
          <w:tcPr>
            <w:tcW w:w="996" w:type="dxa"/>
            <w:vAlign w:val="center"/>
          </w:tcPr>
          <w:p w14:paraId="364BC2A2">
            <w:pPr>
              <w:jc w:val="center"/>
              <w:rPr>
                <w:rFonts w:cs="仿宋" w:asciiTheme="minorEastAsia" w:hAnsiTheme="minorEastAsia" w:eastAsiaTheme="minorEastAsia"/>
                <w:color w:val="auto"/>
                <w:sz w:val="24"/>
                <w:highlight w:val="none"/>
              </w:rPr>
            </w:pPr>
          </w:p>
        </w:tc>
      </w:tr>
      <w:tr w14:paraId="6A6F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0" w:hRule="atLeast"/>
          <w:jc w:val="center"/>
        </w:trPr>
        <w:tc>
          <w:tcPr>
            <w:tcW w:w="1061" w:type="dxa"/>
          </w:tcPr>
          <w:p w14:paraId="4724F4F7">
            <w:pPr>
              <w:rPr>
                <w:rFonts w:cs="仿宋" w:asciiTheme="minorEastAsia" w:hAnsiTheme="minorEastAsia" w:eastAsiaTheme="minorEastAsia"/>
                <w:b/>
                <w:bCs/>
                <w:color w:val="auto"/>
                <w:sz w:val="24"/>
                <w:highlight w:val="none"/>
              </w:rPr>
            </w:pPr>
          </w:p>
        </w:tc>
        <w:tc>
          <w:tcPr>
            <w:tcW w:w="1867" w:type="dxa"/>
          </w:tcPr>
          <w:p w14:paraId="6FD68623">
            <w:pPr>
              <w:rPr>
                <w:rFonts w:cs="仿宋" w:asciiTheme="minorEastAsia" w:hAnsiTheme="minorEastAsia" w:eastAsiaTheme="minorEastAsia"/>
                <w:color w:val="auto"/>
                <w:sz w:val="24"/>
                <w:highlight w:val="none"/>
              </w:rPr>
            </w:pPr>
          </w:p>
        </w:tc>
        <w:tc>
          <w:tcPr>
            <w:tcW w:w="4137" w:type="dxa"/>
          </w:tcPr>
          <w:p w14:paraId="13E4E7D3">
            <w:pPr>
              <w:jc w:val="left"/>
              <w:rPr>
                <w:rFonts w:cs="仿宋" w:asciiTheme="minorEastAsia" w:hAnsiTheme="minorEastAsia" w:eastAsiaTheme="minorEastAsia"/>
                <w:color w:val="auto"/>
                <w:sz w:val="24"/>
                <w:highlight w:val="none"/>
              </w:rPr>
            </w:pPr>
          </w:p>
        </w:tc>
        <w:tc>
          <w:tcPr>
            <w:tcW w:w="1068" w:type="dxa"/>
            <w:vAlign w:val="center"/>
          </w:tcPr>
          <w:p w14:paraId="4F9E4DE9">
            <w:pPr>
              <w:jc w:val="center"/>
              <w:rPr>
                <w:rFonts w:cs="仿宋" w:asciiTheme="minorEastAsia" w:hAnsiTheme="minorEastAsia" w:eastAsiaTheme="minorEastAsia"/>
                <w:color w:val="auto"/>
                <w:sz w:val="24"/>
                <w:highlight w:val="none"/>
              </w:rPr>
            </w:pPr>
          </w:p>
        </w:tc>
        <w:tc>
          <w:tcPr>
            <w:tcW w:w="996" w:type="dxa"/>
            <w:vAlign w:val="center"/>
          </w:tcPr>
          <w:p w14:paraId="071FCFB2">
            <w:pPr>
              <w:jc w:val="center"/>
              <w:rPr>
                <w:rFonts w:cs="仿宋" w:asciiTheme="minorEastAsia" w:hAnsiTheme="minorEastAsia" w:eastAsiaTheme="minorEastAsia"/>
                <w:color w:val="auto"/>
                <w:sz w:val="24"/>
                <w:highlight w:val="none"/>
              </w:rPr>
            </w:pPr>
          </w:p>
        </w:tc>
      </w:tr>
    </w:tbl>
    <w:p w14:paraId="54FF62AA">
      <w:pPr>
        <w:pStyle w:val="39"/>
        <w:tabs>
          <w:tab w:val="left" w:pos="5580"/>
        </w:tabs>
        <w:ind w:firstLine="0" w:firstLineChars="0"/>
        <w:rPr>
          <w:rFonts w:cs="仿宋" w:asciiTheme="minorEastAsia" w:hAnsiTheme="minorEastAsia" w:eastAsiaTheme="minorEastAsia"/>
          <w:color w:val="auto"/>
          <w:szCs w:val="21"/>
          <w:highlight w:val="none"/>
          <w:u w:val="single"/>
        </w:rPr>
      </w:pPr>
      <w:r>
        <w:rPr>
          <w:rFonts w:hint="eastAsia" w:cs="仿宋" w:asciiTheme="minorEastAsia" w:hAnsiTheme="minorEastAsia" w:eastAsiaTheme="minorEastAsia"/>
          <w:color w:val="auto"/>
          <w:szCs w:val="21"/>
          <w:highlight w:val="none"/>
          <w:u w:val="single"/>
        </w:rPr>
        <w:t>注：</w:t>
      </w:r>
    </w:p>
    <w:p w14:paraId="6478F04B">
      <w:pPr>
        <w:pStyle w:val="39"/>
        <w:tabs>
          <w:tab w:val="left" w:pos="5580"/>
        </w:tabs>
        <w:ind w:firstLine="0" w:firstLineChars="0"/>
        <w:rPr>
          <w:rFonts w:cs="仿宋" w:asciiTheme="minorEastAsia" w:hAnsiTheme="minorEastAsia" w:eastAsiaTheme="minorEastAsia"/>
          <w:color w:val="auto"/>
          <w:sz w:val="24"/>
          <w:szCs w:val="20"/>
          <w:highlight w:val="none"/>
          <w:u w:val="single"/>
        </w:rPr>
      </w:pPr>
      <w:r>
        <w:rPr>
          <w:rFonts w:cs="仿宋" w:asciiTheme="minorEastAsia" w:hAnsiTheme="minorEastAsia" w:eastAsiaTheme="minorEastAsia"/>
          <w:color w:val="auto"/>
          <w:sz w:val="24"/>
          <w:szCs w:val="20"/>
          <w:highlight w:val="none"/>
          <w:u w:val="single"/>
        </w:rPr>
        <w:t>1.</w:t>
      </w:r>
      <w:r>
        <w:rPr>
          <w:rFonts w:hint="eastAsia" w:cs="仿宋" w:asciiTheme="minorEastAsia" w:hAnsiTheme="minorEastAsia" w:eastAsiaTheme="minorEastAsia"/>
          <w:color w:val="auto"/>
          <w:sz w:val="24"/>
          <w:szCs w:val="20"/>
          <w:highlight w:val="none"/>
          <w:u w:val="single"/>
        </w:rPr>
        <w:t>偏离一栏要求填写正偏离、负偏离、无偏离，对招标文件无偏离应标明“全部无偏离”。</w:t>
      </w:r>
    </w:p>
    <w:p w14:paraId="0EA7539A">
      <w:pPr>
        <w:pStyle w:val="39"/>
        <w:tabs>
          <w:tab w:val="left" w:pos="5580"/>
        </w:tabs>
        <w:ind w:firstLine="0" w:firstLineChars="0"/>
        <w:rPr>
          <w:rFonts w:cs="仿宋" w:asciiTheme="minorEastAsia" w:hAnsiTheme="minorEastAsia" w:eastAsiaTheme="minorEastAsia"/>
          <w:color w:val="auto"/>
          <w:sz w:val="24"/>
          <w:szCs w:val="20"/>
          <w:highlight w:val="none"/>
          <w:u w:val="single"/>
        </w:rPr>
        <w:sectPr>
          <w:pgSz w:w="11906" w:h="16838"/>
          <w:pgMar w:top="1701" w:right="1588" w:bottom="1440" w:left="1588" w:header="851" w:footer="992" w:gutter="0"/>
          <w:cols w:space="720" w:num="1"/>
          <w:docGrid w:linePitch="312" w:charSpace="0"/>
        </w:sectPr>
      </w:pPr>
      <w:r>
        <w:rPr>
          <w:rFonts w:cs="仿宋" w:asciiTheme="minorEastAsia" w:hAnsiTheme="minorEastAsia" w:eastAsiaTheme="minorEastAsia"/>
          <w:color w:val="auto"/>
          <w:sz w:val="24"/>
          <w:szCs w:val="20"/>
          <w:highlight w:val="none"/>
          <w:u w:val="single"/>
        </w:rPr>
        <w:t>2.</w:t>
      </w:r>
      <w:r>
        <w:rPr>
          <w:rFonts w:hint="eastAsia" w:cs="仿宋" w:asciiTheme="minorEastAsia" w:hAnsiTheme="minorEastAsia" w:eastAsiaTheme="minorEastAsia"/>
          <w:color w:val="auto"/>
          <w:sz w:val="24"/>
          <w:szCs w:val="20"/>
          <w:highlight w:val="none"/>
          <w:u w:val="single"/>
        </w:rPr>
        <w:t>人员经验等相关承诺需要投标单位出具加盖公章的证明，所有人员在一张上即可。项目负责人及班长应提供投标截止日前六个月内任意一个月的社保或在职证明。</w:t>
      </w:r>
    </w:p>
    <w:p w14:paraId="443EF311">
      <w:pPr>
        <w:pStyle w:val="3"/>
        <w:spacing w:before="0" w:line="240" w:lineRule="auto"/>
        <w:jc w:val="both"/>
        <w:rPr>
          <w:rFonts w:ascii="宋体" w:hAnsi="宋体" w:eastAsia="宋体"/>
          <w:color w:val="auto"/>
          <w:sz w:val="24"/>
          <w:highlight w:val="none"/>
        </w:rPr>
      </w:pPr>
    </w:p>
    <w:p w14:paraId="3DFFAEE3">
      <w:pPr>
        <w:pStyle w:val="3"/>
        <w:spacing w:before="0" w:line="240" w:lineRule="auto"/>
        <w:rPr>
          <w:rFonts w:ascii="宋体" w:hAnsi="宋体" w:eastAsia="宋体"/>
          <w:color w:val="auto"/>
          <w:sz w:val="24"/>
          <w:highlight w:val="none"/>
        </w:rPr>
      </w:pPr>
    </w:p>
    <w:p w14:paraId="14E520E5">
      <w:pPr>
        <w:pStyle w:val="3"/>
        <w:spacing w:before="0" w:line="240" w:lineRule="auto"/>
        <w:rPr>
          <w:rFonts w:ascii="宋体" w:hAnsi="宋体" w:eastAsia="宋体"/>
          <w:color w:val="auto"/>
          <w:sz w:val="24"/>
          <w:highlight w:val="none"/>
        </w:rPr>
      </w:pPr>
      <w:r>
        <w:rPr>
          <w:rFonts w:hint="eastAsia" w:ascii="宋体" w:hAnsi="宋体" w:eastAsia="宋体"/>
          <w:color w:val="auto"/>
          <w:sz w:val="24"/>
          <w:highlight w:val="none"/>
        </w:rPr>
        <w:t xml:space="preserve">附件9  </w:t>
      </w:r>
      <w:bookmarkEnd w:id="260"/>
      <w:bookmarkEnd w:id="261"/>
      <w:bookmarkEnd w:id="262"/>
      <w:r>
        <w:rPr>
          <w:rFonts w:hint="eastAsia" w:ascii="宋体" w:hAnsi="宋体" w:eastAsia="宋体"/>
          <w:color w:val="auto"/>
          <w:sz w:val="24"/>
          <w:highlight w:val="none"/>
        </w:rPr>
        <w:t>投标人类似项目业绩（根据招标文件第七部分中的打分表要求提供）</w:t>
      </w:r>
      <w:bookmarkEnd w:id="263"/>
    </w:p>
    <w:p w14:paraId="352BB048">
      <w:pPr>
        <w:snapToGrid w:val="0"/>
        <w:spacing w:before="156" w:beforeLines="50" w:after="156" w:afterLines="50"/>
        <w:jc w:val="center"/>
        <w:rPr>
          <w:rFonts w:ascii="黑体" w:eastAsia="黑体"/>
          <w:color w:val="auto"/>
          <w:sz w:val="24"/>
          <w:szCs w:val="21"/>
          <w:highlight w:val="none"/>
        </w:rPr>
      </w:pPr>
      <w:r>
        <w:rPr>
          <w:rFonts w:hint="eastAsia" w:ascii="黑体" w:eastAsia="黑体"/>
          <w:color w:val="auto"/>
          <w:sz w:val="24"/>
          <w:szCs w:val="21"/>
          <w:highlight w:val="none"/>
        </w:rPr>
        <w:t>类似</w:t>
      </w:r>
      <w:r>
        <w:rPr>
          <w:rFonts w:ascii="黑体" w:eastAsia="黑体"/>
          <w:color w:val="auto"/>
          <w:sz w:val="24"/>
          <w:szCs w:val="21"/>
          <w:highlight w:val="none"/>
        </w:rPr>
        <w:t>项目</w:t>
      </w:r>
      <w:r>
        <w:rPr>
          <w:rFonts w:hint="eastAsia" w:ascii="黑体" w:eastAsia="黑体"/>
          <w:color w:val="auto"/>
          <w:sz w:val="24"/>
          <w:szCs w:val="21"/>
          <w:highlight w:val="none"/>
        </w:rPr>
        <w:t>业绩清单</w:t>
      </w:r>
    </w:p>
    <w:p w14:paraId="681691BF">
      <w:pPr>
        <w:spacing w:before="62" w:beforeLines="20" w:after="62" w:afterLines="20" w:line="360" w:lineRule="atLeast"/>
        <w:rPr>
          <w:color w:val="auto"/>
          <w:szCs w:val="21"/>
          <w:highlight w:val="none"/>
        </w:rPr>
      </w:pPr>
      <w:r>
        <w:rPr>
          <w:rFonts w:hint="eastAsia" w:eastAsia="黑体"/>
          <w:color w:val="auto"/>
          <w:szCs w:val="21"/>
          <w:highlight w:val="none"/>
        </w:rPr>
        <w:t>项目</w:t>
      </w:r>
      <w:r>
        <w:rPr>
          <w:rFonts w:eastAsia="黑体"/>
          <w:color w:val="auto"/>
          <w:szCs w:val="21"/>
          <w:highlight w:val="none"/>
        </w:rPr>
        <w:t>名称</w:t>
      </w:r>
      <w:r>
        <w:rPr>
          <w:rFonts w:hint="eastAsia" w:eastAsia="黑体"/>
          <w:color w:val="auto"/>
          <w:szCs w:val="21"/>
          <w:highlight w:val="none"/>
        </w:rPr>
        <w:t>：</w:t>
      </w:r>
      <w:r>
        <w:rPr>
          <w:color w:val="auto"/>
          <w:szCs w:val="21"/>
          <w:highlight w:val="none"/>
        </w:rPr>
        <w:t xml:space="preserve"> </w:t>
      </w:r>
    </w:p>
    <w:p w14:paraId="44E23330">
      <w:pPr>
        <w:spacing w:before="62" w:beforeLines="20" w:after="62" w:afterLines="20" w:line="360" w:lineRule="atLeast"/>
        <w:rPr>
          <w:color w:val="auto"/>
          <w:szCs w:val="21"/>
          <w:highlight w:val="none"/>
        </w:rPr>
      </w:pPr>
      <w:r>
        <w:rPr>
          <w:rFonts w:hint="eastAsia" w:eastAsia="黑体"/>
          <w:color w:val="auto"/>
          <w:szCs w:val="21"/>
          <w:highlight w:val="none"/>
        </w:rPr>
        <w:t>招标编号：</w:t>
      </w:r>
    </w:p>
    <w:tbl>
      <w:tblPr>
        <w:tblStyle w:val="4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58"/>
        <w:gridCol w:w="754"/>
        <w:gridCol w:w="1564"/>
        <w:gridCol w:w="2102"/>
        <w:gridCol w:w="2002"/>
        <w:gridCol w:w="2502"/>
      </w:tblGrid>
      <w:tr w14:paraId="6AE1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93" w:type="pct"/>
            <w:tcBorders>
              <w:top w:val="single" w:color="auto" w:sz="12" w:space="0"/>
              <w:bottom w:val="double" w:color="auto" w:sz="4" w:space="0"/>
            </w:tcBorders>
            <w:shd w:val="clear" w:color="auto" w:fill="EEECE1"/>
            <w:vAlign w:val="center"/>
          </w:tcPr>
          <w:p w14:paraId="34D29A5F">
            <w:pPr>
              <w:adjustRightInd w:val="0"/>
              <w:snapToGrid w:val="0"/>
              <w:ind w:left="-84" w:leftChars="-40" w:right="-107" w:rightChars="-51"/>
              <w:jc w:val="center"/>
              <w:rPr>
                <w:color w:val="auto"/>
                <w:szCs w:val="21"/>
                <w:highlight w:val="none"/>
              </w:rPr>
            </w:pPr>
            <w:r>
              <w:rPr>
                <w:rFonts w:hint="eastAsia"/>
                <w:color w:val="auto"/>
                <w:szCs w:val="21"/>
                <w:highlight w:val="none"/>
              </w:rPr>
              <w:t>序号</w:t>
            </w:r>
          </w:p>
        </w:tc>
        <w:tc>
          <w:tcPr>
            <w:tcW w:w="406" w:type="pct"/>
            <w:tcBorders>
              <w:top w:val="single" w:color="auto" w:sz="12" w:space="0"/>
              <w:bottom w:val="double" w:color="auto" w:sz="4" w:space="0"/>
            </w:tcBorders>
            <w:shd w:val="clear" w:color="auto" w:fill="EEECE1"/>
            <w:vAlign w:val="center"/>
          </w:tcPr>
          <w:p w14:paraId="0E78F180">
            <w:pPr>
              <w:adjustRightInd w:val="0"/>
              <w:snapToGrid w:val="0"/>
              <w:jc w:val="center"/>
              <w:rPr>
                <w:color w:val="auto"/>
                <w:szCs w:val="21"/>
                <w:highlight w:val="none"/>
              </w:rPr>
            </w:pPr>
            <w:r>
              <w:rPr>
                <w:rFonts w:hint="eastAsia"/>
                <w:color w:val="auto"/>
                <w:szCs w:val="21"/>
                <w:highlight w:val="none"/>
              </w:rPr>
              <w:t>业主名称</w:t>
            </w:r>
          </w:p>
        </w:tc>
        <w:tc>
          <w:tcPr>
            <w:tcW w:w="842" w:type="pct"/>
            <w:tcBorders>
              <w:top w:val="single" w:color="auto" w:sz="12" w:space="0"/>
              <w:bottom w:val="double" w:color="auto" w:sz="4" w:space="0"/>
            </w:tcBorders>
            <w:shd w:val="clear" w:color="auto" w:fill="EEECE1"/>
            <w:vAlign w:val="center"/>
          </w:tcPr>
          <w:p w14:paraId="50D57DD0">
            <w:pPr>
              <w:adjustRightInd w:val="0"/>
              <w:snapToGrid w:val="0"/>
              <w:jc w:val="center"/>
              <w:rPr>
                <w:color w:val="auto"/>
                <w:szCs w:val="21"/>
                <w:highlight w:val="none"/>
              </w:rPr>
            </w:pPr>
            <w:r>
              <w:rPr>
                <w:rFonts w:hint="eastAsia"/>
                <w:color w:val="auto"/>
                <w:szCs w:val="21"/>
                <w:highlight w:val="none"/>
              </w:rPr>
              <w:t>项目名称</w:t>
            </w:r>
          </w:p>
        </w:tc>
        <w:tc>
          <w:tcPr>
            <w:tcW w:w="1132" w:type="pct"/>
            <w:tcBorders>
              <w:top w:val="single" w:color="auto" w:sz="12" w:space="0"/>
              <w:bottom w:val="double" w:color="auto" w:sz="4" w:space="0"/>
            </w:tcBorders>
            <w:shd w:val="clear" w:color="auto" w:fill="EEECE1"/>
            <w:vAlign w:val="center"/>
          </w:tcPr>
          <w:p w14:paraId="294864E3">
            <w:pPr>
              <w:adjustRightInd w:val="0"/>
              <w:snapToGrid w:val="0"/>
              <w:jc w:val="center"/>
              <w:rPr>
                <w:color w:val="auto"/>
                <w:szCs w:val="21"/>
                <w:highlight w:val="none"/>
              </w:rPr>
            </w:pPr>
            <w:r>
              <w:rPr>
                <w:rFonts w:hint="eastAsia"/>
                <w:color w:val="auto"/>
                <w:szCs w:val="21"/>
                <w:highlight w:val="none"/>
              </w:rPr>
              <w:t>签约及完成时间</w:t>
            </w:r>
          </w:p>
        </w:tc>
        <w:tc>
          <w:tcPr>
            <w:tcW w:w="1078" w:type="pct"/>
            <w:tcBorders>
              <w:top w:val="single" w:color="auto" w:sz="12" w:space="0"/>
              <w:bottom w:val="double" w:color="auto" w:sz="4" w:space="0"/>
            </w:tcBorders>
            <w:shd w:val="clear" w:color="auto" w:fill="EEECE1"/>
            <w:vAlign w:val="center"/>
          </w:tcPr>
          <w:p w14:paraId="59532783">
            <w:pPr>
              <w:adjustRightInd w:val="0"/>
              <w:snapToGrid w:val="0"/>
              <w:jc w:val="center"/>
              <w:rPr>
                <w:color w:val="auto"/>
                <w:szCs w:val="21"/>
                <w:highlight w:val="none"/>
              </w:rPr>
            </w:pPr>
            <w:r>
              <w:rPr>
                <w:rFonts w:hint="eastAsia"/>
                <w:color w:val="auto"/>
                <w:szCs w:val="21"/>
                <w:highlight w:val="none"/>
              </w:rPr>
              <w:t>业主单位联系人及电话</w:t>
            </w:r>
          </w:p>
        </w:tc>
        <w:tc>
          <w:tcPr>
            <w:tcW w:w="1347" w:type="pct"/>
            <w:tcBorders>
              <w:top w:val="single" w:color="auto" w:sz="12" w:space="0"/>
              <w:bottom w:val="double" w:color="auto" w:sz="4" w:space="0"/>
            </w:tcBorders>
            <w:shd w:val="clear" w:color="auto" w:fill="EEECE1"/>
            <w:vAlign w:val="center"/>
          </w:tcPr>
          <w:p w14:paraId="661FBEA1">
            <w:pPr>
              <w:adjustRightInd w:val="0"/>
              <w:snapToGrid w:val="0"/>
              <w:jc w:val="center"/>
              <w:rPr>
                <w:color w:val="auto"/>
                <w:szCs w:val="21"/>
                <w:highlight w:val="none"/>
              </w:rPr>
            </w:pPr>
            <w:r>
              <w:rPr>
                <w:rFonts w:hint="eastAsia"/>
                <w:color w:val="auto"/>
                <w:szCs w:val="21"/>
                <w:highlight w:val="none"/>
              </w:rPr>
              <w:t>备注</w:t>
            </w:r>
          </w:p>
        </w:tc>
      </w:tr>
      <w:tr w14:paraId="36199A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577709ED">
            <w:pPr>
              <w:spacing w:line="400" w:lineRule="exact"/>
              <w:jc w:val="center"/>
              <w:rPr>
                <w:color w:val="auto"/>
                <w:szCs w:val="21"/>
                <w:highlight w:val="none"/>
              </w:rPr>
            </w:pPr>
            <w:r>
              <w:rPr>
                <w:rFonts w:hint="eastAsia"/>
                <w:color w:val="auto"/>
                <w:szCs w:val="21"/>
                <w:highlight w:val="none"/>
              </w:rPr>
              <w:t>1</w:t>
            </w:r>
          </w:p>
        </w:tc>
        <w:tc>
          <w:tcPr>
            <w:tcW w:w="406" w:type="pct"/>
            <w:vAlign w:val="center"/>
          </w:tcPr>
          <w:p w14:paraId="0CC49D3F">
            <w:pPr>
              <w:spacing w:line="400" w:lineRule="exact"/>
              <w:jc w:val="center"/>
              <w:rPr>
                <w:color w:val="auto"/>
                <w:szCs w:val="21"/>
                <w:highlight w:val="none"/>
              </w:rPr>
            </w:pPr>
          </w:p>
        </w:tc>
        <w:tc>
          <w:tcPr>
            <w:tcW w:w="842" w:type="pct"/>
            <w:vAlign w:val="center"/>
          </w:tcPr>
          <w:p w14:paraId="6DD12CB0">
            <w:pPr>
              <w:spacing w:line="400" w:lineRule="exact"/>
              <w:jc w:val="center"/>
              <w:rPr>
                <w:color w:val="auto"/>
                <w:szCs w:val="21"/>
                <w:highlight w:val="none"/>
              </w:rPr>
            </w:pPr>
          </w:p>
        </w:tc>
        <w:tc>
          <w:tcPr>
            <w:tcW w:w="1132" w:type="pct"/>
            <w:vAlign w:val="center"/>
          </w:tcPr>
          <w:p w14:paraId="0CAC3BA0">
            <w:pPr>
              <w:spacing w:line="400" w:lineRule="exact"/>
              <w:jc w:val="center"/>
              <w:rPr>
                <w:color w:val="auto"/>
                <w:szCs w:val="21"/>
                <w:highlight w:val="none"/>
              </w:rPr>
            </w:pPr>
          </w:p>
        </w:tc>
        <w:tc>
          <w:tcPr>
            <w:tcW w:w="1078" w:type="pct"/>
          </w:tcPr>
          <w:p w14:paraId="46781AF4">
            <w:pPr>
              <w:spacing w:line="400" w:lineRule="exact"/>
              <w:jc w:val="center"/>
              <w:rPr>
                <w:color w:val="auto"/>
                <w:szCs w:val="21"/>
                <w:highlight w:val="none"/>
              </w:rPr>
            </w:pPr>
          </w:p>
        </w:tc>
        <w:tc>
          <w:tcPr>
            <w:tcW w:w="1347" w:type="pct"/>
            <w:vAlign w:val="center"/>
          </w:tcPr>
          <w:p w14:paraId="08AED477">
            <w:pPr>
              <w:spacing w:line="400" w:lineRule="exact"/>
              <w:jc w:val="center"/>
              <w:rPr>
                <w:color w:val="auto"/>
                <w:szCs w:val="21"/>
                <w:highlight w:val="none"/>
              </w:rPr>
            </w:pPr>
          </w:p>
        </w:tc>
      </w:tr>
      <w:tr w14:paraId="4AFA29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0F3D3627">
            <w:pPr>
              <w:spacing w:line="400" w:lineRule="exact"/>
              <w:jc w:val="center"/>
              <w:rPr>
                <w:color w:val="auto"/>
                <w:szCs w:val="21"/>
                <w:highlight w:val="none"/>
              </w:rPr>
            </w:pPr>
            <w:r>
              <w:rPr>
                <w:rFonts w:hint="eastAsia"/>
                <w:color w:val="auto"/>
                <w:szCs w:val="21"/>
                <w:highlight w:val="none"/>
              </w:rPr>
              <w:t>2</w:t>
            </w:r>
          </w:p>
        </w:tc>
        <w:tc>
          <w:tcPr>
            <w:tcW w:w="406" w:type="pct"/>
            <w:vAlign w:val="center"/>
          </w:tcPr>
          <w:p w14:paraId="3A531C4F">
            <w:pPr>
              <w:spacing w:line="400" w:lineRule="exact"/>
              <w:jc w:val="center"/>
              <w:rPr>
                <w:color w:val="auto"/>
                <w:szCs w:val="21"/>
                <w:highlight w:val="none"/>
              </w:rPr>
            </w:pPr>
          </w:p>
        </w:tc>
        <w:tc>
          <w:tcPr>
            <w:tcW w:w="842" w:type="pct"/>
            <w:vAlign w:val="center"/>
          </w:tcPr>
          <w:p w14:paraId="2171C7A3">
            <w:pPr>
              <w:spacing w:line="400" w:lineRule="exact"/>
              <w:jc w:val="center"/>
              <w:rPr>
                <w:color w:val="auto"/>
                <w:szCs w:val="21"/>
                <w:highlight w:val="none"/>
              </w:rPr>
            </w:pPr>
          </w:p>
        </w:tc>
        <w:tc>
          <w:tcPr>
            <w:tcW w:w="1132" w:type="pct"/>
            <w:vAlign w:val="center"/>
          </w:tcPr>
          <w:p w14:paraId="25046FE3">
            <w:pPr>
              <w:spacing w:line="400" w:lineRule="exact"/>
              <w:jc w:val="center"/>
              <w:rPr>
                <w:color w:val="auto"/>
                <w:szCs w:val="21"/>
                <w:highlight w:val="none"/>
              </w:rPr>
            </w:pPr>
          </w:p>
        </w:tc>
        <w:tc>
          <w:tcPr>
            <w:tcW w:w="1078" w:type="pct"/>
          </w:tcPr>
          <w:p w14:paraId="36452FBB">
            <w:pPr>
              <w:spacing w:line="400" w:lineRule="exact"/>
              <w:jc w:val="center"/>
              <w:rPr>
                <w:color w:val="auto"/>
                <w:szCs w:val="21"/>
                <w:highlight w:val="none"/>
              </w:rPr>
            </w:pPr>
          </w:p>
        </w:tc>
        <w:tc>
          <w:tcPr>
            <w:tcW w:w="1347" w:type="pct"/>
            <w:vAlign w:val="center"/>
          </w:tcPr>
          <w:p w14:paraId="1744F1BA">
            <w:pPr>
              <w:spacing w:line="400" w:lineRule="exact"/>
              <w:jc w:val="center"/>
              <w:rPr>
                <w:color w:val="auto"/>
                <w:szCs w:val="21"/>
                <w:highlight w:val="none"/>
              </w:rPr>
            </w:pPr>
          </w:p>
        </w:tc>
      </w:tr>
      <w:tr w14:paraId="5641A0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7A138DDD">
            <w:pPr>
              <w:spacing w:line="400" w:lineRule="exact"/>
              <w:jc w:val="center"/>
              <w:rPr>
                <w:color w:val="auto"/>
                <w:szCs w:val="21"/>
                <w:highlight w:val="none"/>
              </w:rPr>
            </w:pPr>
            <w:r>
              <w:rPr>
                <w:rFonts w:hint="eastAsia"/>
                <w:color w:val="auto"/>
                <w:szCs w:val="21"/>
                <w:highlight w:val="none"/>
              </w:rPr>
              <w:t>3</w:t>
            </w:r>
          </w:p>
        </w:tc>
        <w:tc>
          <w:tcPr>
            <w:tcW w:w="406" w:type="pct"/>
            <w:vAlign w:val="center"/>
          </w:tcPr>
          <w:p w14:paraId="5B3646A1">
            <w:pPr>
              <w:spacing w:line="400" w:lineRule="exact"/>
              <w:jc w:val="center"/>
              <w:rPr>
                <w:color w:val="auto"/>
                <w:szCs w:val="21"/>
                <w:highlight w:val="none"/>
              </w:rPr>
            </w:pPr>
          </w:p>
        </w:tc>
        <w:tc>
          <w:tcPr>
            <w:tcW w:w="842" w:type="pct"/>
            <w:vAlign w:val="center"/>
          </w:tcPr>
          <w:p w14:paraId="4C406554">
            <w:pPr>
              <w:spacing w:line="400" w:lineRule="exact"/>
              <w:jc w:val="center"/>
              <w:rPr>
                <w:color w:val="auto"/>
                <w:szCs w:val="21"/>
                <w:highlight w:val="none"/>
              </w:rPr>
            </w:pPr>
          </w:p>
        </w:tc>
        <w:tc>
          <w:tcPr>
            <w:tcW w:w="1132" w:type="pct"/>
            <w:vAlign w:val="center"/>
          </w:tcPr>
          <w:p w14:paraId="5D7C355C">
            <w:pPr>
              <w:spacing w:line="400" w:lineRule="exact"/>
              <w:jc w:val="center"/>
              <w:rPr>
                <w:color w:val="auto"/>
                <w:szCs w:val="21"/>
                <w:highlight w:val="none"/>
              </w:rPr>
            </w:pPr>
          </w:p>
        </w:tc>
        <w:tc>
          <w:tcPr>
            <w:tcW w:w="1078" w:type="pct"/>
          </w:tcPr>
          <w:p w14:paraId="0117EF34">
            <w:pPr>
              <w:spacing w:line="400" w:lineRule="exact"/>
              <w:jc w:val="center"/>
              <w:rPr>
                <w:color w:val="auto"/>
                <w:szCs w:val="21"/>
                <w:highlight w:val="none"/>
              </w:rPr>
            </w:pPr>
          </w:p>
        </w:tc>
        <w:tc>
          <w:tcPr>
            <w:tcW w:w="1347" w:type="pct"/>
            <w:vAlign w:val="center"/>
          </w:tcPr>
          <w:p w14:paraId="0E405D22">
            <w:pPr>
              <w:spacing w:line="400" w:lineRule="exact"/>
              <w:jc w:val="center"/>
              <w:rPr>
                <w:color w:val="auto"/>
                <w:szCs w:val="21"/>
                <w:highlight w:val="none"/>
              </w:rPr>
            </w:pPr>
          </w:p>
        </w:tc>
      </w:tr>
      <w:tr w14:paraId="4B1718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2EB7D204">
            <w:pPr>
              <w:spacing w:line="400" w:lineRule="exact"/>
              <w:jc w:val="center"/>
              <w:rPr>
                <w:color w:val="auto"/>
                <w:szCs w:val="21"/>
                <w:highlight w:val="none"/>
              </w:rPr>
            </w:pPr>
            <w:r>
              <w:rPr>
                <w:rFonts w:hint="eastAsia"/>
                <w:color w:val="auto"/>
                <w:szCs w:val="21"/>
                <w:highlight w:val="none"/>
              </w:rPr>
              <w:t>4</w:t>
            </w:r>
          </w:p>
        </w:tc>
        <w:tc>
          <w:tcPr>
            <w:tcW w:w="406" w:type="pct"/>
            <w:vAlign w:val="center"/>
          </w:tcPr>
          <w:p w14:paraId="5D00AE61">
            <w:pPr>
              <w:spacing w:line="400" w:lineRule="exact"/>
              <w:jc w:val="center"/>
              <w:rPr>
                <w:color w:val="auto"/>
                <w:szCs w:val="21"/>
                <w:highlight w:val="none"/>
              </w:rPr>
            </w:pPr>
          </w:p>
        </w:tc>
        <w:tc>
          <w:tcPr>
            <w:tcW w:w="842" w:type="pct"/>
            <w:vAlign w:val="center"/>
          </w:tcPr>
          <w:p w14:paraId="7E2EB1A6">
            <w:pPr>
              <w:spacing w:line="400" w:lineRule="exact"/>
              <w:jc w:val="center"/>
              <w:rPr>
                <w:color w:val="auto"/>
                <w:szCs w:val="21"/>
                <w:highlight w:val="none"/>
              </w:rPr>
            </w:pPr>
          </w:p>
        </w:tc>
        <w:tc>
          <w:tcPr>
            <w:tcW w:w="1132" w:type="pct"/>
            <w:vAlign w:val="center"/>
          </w:tcPr>
          <w:p w14:paraId="60623B84">
            <w:pPr>
              <w:spacing w:line="400" w:lineRule="exact"/>
              <w:jc w:val="center"/>
              <w:rPr>
                <w:color w:val="auto"/>
                <w:szCs w:val="21"/>
                <w:highlight w:val="none"/>
              </w:rPr>
            </w:pPr>
          </w:p>
        </w:tc>
        <w:tc>
          <w:tcPr>
            <w:tcW w:w="1078" w:type="pct"/>
          </w:tcPr>
          <w:p w14:paraId="33922DDE">
            <w:pPr>
              <w:spacing w:line="400" w:lineRule="exact"/>
              <w:jc w:val="center"/>
              <w:rPr>
                <w:color w:val="auto"/>
                <w:szCs w:val="21"/>
                <w:highlight w:val="none"/>
              </w:rPr>
            </w:pPr>
          </w:p>
        </w:tc>
        <w:tc>
          <w:tcPr>
            <w:tcW w:w="1347" w:type="pct"/>
            <w:vAlign w:val="center"/>
          </w:tcPr>
          <w:p w14:paraId="09F65B3E">
            <w:pPr>
              <w:spacing w:line="400" w:lineRule="exact"/>
              <w:jc w:val="center"/>
              <w:rPr>
                <w:color w:val="auto"/>
                <w:szCs w:val="21"/>
                <w:highlight w:val="none"/>
              </w:rPr>
            </w:pPr>
          </w:p>
        </w:tc>
      </w:tr>
      <w:tr w14:paraId="7383F8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5020B63D">
            <w:pPr>
              <w:spacing w:line="400" w:lineRule="exact"/>
              <w:jc w:val="center"/>
              <w:rPr>
                <w:color w:val="auto"/>
                <w:szCs w:val="21"/>
                <w:highlight w:val="none"/>
              </w:rPr>
            </w:pPr>
            <w:r>
              <w:rPr>
                <w:rFonts w:hint="eastAsia"/>
                <w:color w:val="auto"/>
                <w:szCs w:val="21"/>
                <w:highlight w:val="none"/>
              </w:rPr>
              <w:t>5</w:t>
            </w:r>
          </w:p>
        </w:tc>
        <w:tc>
          <w:tcPr>
            <w:tcW w:w="406" w:type="pct"/>
            <w:vAlign w:val="center"/>
          </w:tcPr>
          <w:p w14:paraId="11FC1C9A">
            <w:pPr>
              <w:spacing w:line="400" w:lineRule="exact"/>
              <w:jc w:val="center"/>
              <w:rPr>
                <w:color w:val="auto"/>
                <w:szCs w:val="21"/>
                <w:highlight w:val="none"/>
              </w:rPr>
            </w:pPr>
          </w:p>
        </w:tc>
        <w:tc>
          <w:tcPr>
            <w:tcW w:w="842" w:type="pct"/>
            <w:vAlign w:val="center"/>
          </w:tcPr>
          <w:p w14:paraId="0FE1FCA4">
            <w:pPr>
              <w:spacing w:line="400" w:lineRule="exact"/>
              <w:jc w:val="center"/>
              <w:rPr>
                <w:color w:val="auto"/>
                <w:szCs w:val="21"/>
                <w:highlight w:val="none"/>
              </w:rPr>
            </w:pPr>
          </w:p>
        </w:tc>
        <w:tc>
          <w:tcPr>
            <w:tcW w:w="1132" w:type="pct"/>
            <w:vAlign w:val="center"/>
          </w:tcPr>
          <w:p w14:paraId="6BA5D7FF">
            <w:pPr>
              <w:spacing w:line="400" w:lineRule="exact"/>
              <w:jc w:val="center"/>
              <w:rPr>
                <w:color w:val="auto"/>
                <w:szCs w:val="21"/>
                <w:highlight w:val="none"/>
              </w:rPr>
            </w:pPr>
          </w:p>
        </w:tc>
        <w:tc>
          <w:tcPr>
            <w:tcW w:w="1078" w:type="pct"/>
          </w:tcPr>
          <w:p w14:paraId="545C4939">
            <w:pPr>
              <w:spacing w:line="400" w:lineRule="exact"/>
              <w:jc w:val="center"/>
              <w:rPr>
                <w:color w:val="auto"/>
                <w:szCs w:val="21"/>
                <w:highlight w:val="none"/>
              </w:rPr>
            </w:pPr>
          </w:p>
        </w:tc>
        <w:tc>
          <w:tcPr>
            <w:tcW w:w="1347" w:type="pct"/>
            <w:vAlign w:val="center"/>
          </w:tcPr>
          <w:p w14:paraId="7371E5A6">
            <w:pPr>
              <w:spacing w:line="400" w:lineRule="exact"/>
              <w:jc w:val="center"/>
              <w:rPr>
                <w:color w:val="auto"/>
                <w:szCs w:val="21"/>
                <w:highlight w:val="none"/>
              </w:rPr>
            </w:pPr>
          </w:p>
        </w:tc>
      </w:tr>
      <w:tr w14:paraId="1DB83B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28D7C5A2">
            <w:pPr>
              <w:spacing w:line="400" w:lineRule="exact"/>
              <w:jc w:val="center"/>
              <w:rPr>
                <w:color w:val="auto"/>
                <w:szCs w:val="21"/>
                <w:highlight w:val="none"/>
              </w:rPr>
            </w:pPr>
          </w:p>
        </w:tc>
        <w:tc>
          <w:tcPr>
            <w:tcW w:w="406" w:type="pct"/>
            <w:vAlign w:val="center"/>
          </w:tcPr>
          <w:p w14:paraId="78C5A09B">
            <w:pPr>
              <w:spacing w:line="400" w:lineRule="exact"/>
              <w:jc w:val="center"/>
              <w:rPr>
                <w:color w:val="auto"/>
                <w:szCs w:val="21"/>
                <w:highlight w:val="none"/>
              </w:rPr>
            </w:pPr>
          </w:p>
        </w:tc>
        <w:tc>
          <w:tcPr>
            <w:tcW w:w="842" w:type="pct"/>
            <w:vAlign w:val="center"/>
          </w:tcPr>
          <w:p w14:paraId="50AF4275">
            <w:pPr>
              <w:spacing w:line="400" w:lineRule="exact"/>
              <w:jc w:val="center"/>
              <w:rPr>
                <w:color w:val="auto"/>
                <w:szCs w:val="21"/>
                <w:highlight w:val="none"/>
              </w:rPr>
            </w:pPr>
          </w:p>
        </w:tc>
        <w:tc>
          <w:tcPr>
            <w:tcW w:w="1132" w:type="pct"/>
            <w:vAlign w:val="center"/>
          </w:tcPr>
          <w:p w14:paraId="6E956EEC">
            <w:pPr>
              <w:spacing w:line="400" w:lineRule="exact"/>
              <w:jc w:val="center"/>
              <w:rPr>
                <w:color w:val="auto"/>
                <w:szCs w:val="21"/>
                <w:highlight w:val="none"/>
              </w:rPr>
            </w:pPr>
          </w:p>
        </w:tc>
        <w:tc>
          <w:tcPr>
            <w:tcW w:w="1078" w:type="pct"/>
          </w:tcPr>
          <w:p w14:paraId="75CD4D91">
            <w:pPr>
              <w:spacing w:line="400" w:lineRule="exact"/>
              <w:jc w:val="center"/>
              <w:rPr>
                <w:color w:val="auto"/>
                <w:szCs w:val="21"/>
                <w:highlight w:val="none"/>
              </w:rPr>
            </w:pPr>
          </w:p>
        </w:tc>
        <w:tc>
          <w:tcPr>
            <w:tcW w:w="1347" w:type="pct"/>
            <w:vAlign w:val="center"/>
          </w:tcPr>
          <w:p w14:paraId="60259B00">
            <w:pPr>
              <w:spacing w:line="400" w:lineRule="exact"/>
              <w:jc w:val="center"/>
              <w:rPr>
                <w:color w:val="auto"/>
                <w:szCs w:val="21"/>
                <w:highlight w:val="none"/>
              </w:rPr>
            </w:pPr>
          </w:p>
        </w:tc>
      </w:tr>
      <w:tr w14:paraId="305564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93" w:type="pct"/>
            <w:vAlign w:val="center"/>
          </w:tcPr>
          <w:p w14:paraId="3FCC71B4">
            <w:pPr>
              <w:spacing w:line="400" w:lineRule="exact"/>
              <w:jc w:val="center"/>
              <w:rPr>
                <w:color w:val="auto"/>
                <w:szCs w:val="21"/>
                <w:highlight w:val="none"/>
              </w:rPr>
            </w:pPr>
          </w:p>
        </w:tc>
        <w:tc>
          <w:tcPr>
            <w:tcW w:w="406" w:type="pct"/>
            <w:vAlign w:val="center"/>
          </w:tcPr>
          <w:p w14:paraId="2132ED92">
            <w:pPr>
              <w:spacing w:line="400" w:lineRule="exact"/>
              <w:jc w:val="center"/>
              <w:rPr>
                <w:color w:val="auto"/>
                <w:szCs w:val="21"/>
                <w:highlight w:val="none"/>
              </w:rPr>
            </w:pPr>
          </w:p>
        </w:tc>
        <w:tc>
          <w:tcPr>
            <w:tcW w:w="842" w:type="pct"/>
            <w:vAlign w:val="center"/>
          </w:tcPr>
          <w:p w14:paraId="39D0B216">
            <w:pPr>
              <w:spacing w:line="400" w:lineRule="exact"/>
              <w:jc w:val="center"/>
              <w:rPr>
                <w:color w:val="auto"/>
                <w:szCs w:val="21"/>
                <w:highlight w:val="none"/>
              </w:rPr>
            </w:pPr>
          </w:p>
        </w:tc>
        <w:tc>
          <w:tcPr>
            <w:tcW w:w="1132" w:type="pct"/>
            <w:vAlign w:val="center"/>
          </w:tcPr>
          <w:p w14:paraId="164CCABD">
            <w:pPr>
              <w:spacing w:line="400" w:lineRule="exact"/>
              <w:jc w:val="center"/>
              <w:rPr>
                <w:color w:val="auto"/>
                <w:szCs w:val="21"/>
                <w:highlight w:val="none"/>
              </w:rPr>
            </w:pPr>
          </w:p>
        </w:tc>
        <w:tc>
          <w:tcPr>
            <w:tcW w:w="1078" w:type="pct"/>
          </w:tcPr>
          <w:p w14:paraId="1B0A78D9">
            <w:pPr>
              <w:spacing w:line="400" w:lineRule="exact"/>
              <w:jc w:val="center"/>
              <w:rPr>
                <w:color w:val="auto"/>
                <w:szCs w:val="21"/>
                <w:highlight w:val="none"/>
              </w:rPr>
            </w:pPr>
          </w:p>
        </w:tc>
        <w:tc>
          <w:tcPr>
            <w:tcW w:w="1347" w:type="pct"/>
            <w:vAlign w:val="center"/>
          </w:tcPr>
          <w:p w14:paraId="7BCADB8B">
            <w:pPr>
              <w:spacing w:line="400" w:lineRule="exact"/>
              <w:jc w:val="center"/>
              <w:rPr>
                <w:color w:val="auto"/>
                <w:szCs w:val="21"/>
                <w:highlight w:val="none"/>
              </w:rPr>
            </w:pPr>
          </w:p>
        </w:tc>
      </w:tr>
    </w:tbl>
    <w:p w14:paraId="570F7980">
      <w:pPr>
        <w:spacing w:before="312" w:beforeLines="100"/>
        <w:rPr>
          <w:rFonts w:eastAsia="仿宋"/>
          <w:b/>
          <w:bCs/>
          <w:color w:val="auto"/>
          <w:sz w:val="24"/>
          <w:szCs w:val="21"/>
          <w:highlight w:val="none"/>
        </w:rPr>
      </w:pPr>
      <w:r>
        <w:rPr>
          <w:rFonts w:hint="eastAsia"/>
          <w:bCs/>
          <w:color w:val="auto"/>
          <w:szCs w:val="21"/>
          <w:highlight w:val="none"/>
        </w:rPr>
        <w:t>备注：所填</w:t>
      </w:r>
      <w:r>
        <w:rPr>
          <w:bCs/>
          <w:color w:val="auto"/>
          <w:szCs w:val="21"/>
          <w:highlight w:val="none"/>
        </w:rPr>
        <w:t>业绩</w:t>
      </w:r>
      <w:r>
        <w:rPr>
          <w:rFonts w:hint="eastAsia"/>
          <w:bCs/>
          <w:color w:val="auto"/>
          <w:szCs w:val="21"/>
          <w:highlight w:val="none"/>
        </w:rPr>
        <w:t>应是</w:t>
      </w:r>
      <w:r>
        <w:rPr>
          <w:rFonts w:hint="eastAsia"/>
          <w:b/>
          <w:color w:val="auto"/>
          <w:szCs w:val="21"/>
          <w:highlight w:val="none"/>
        </w:rPr>
        <w:t>近3年内（自2023年5月1日至投标截止日前）的类似项目业绩（类似项目是指通用设施运行维护业绩，要求一项业绩合同内须同时包含以下全部内容：冷冻站、工艺循环冷却水、纯水站及压缩空气站24小时连续不间断运行值班、故障处理及检修，不包括施工安装等类业绩）</w:t>
      </w:r>
      <w:r>
        <w:rPr>
          <w:rFonts w:hint="eastAsia"/>
          <w:bCs/>
          <w:color w:val="auto"/>
          <w:szCs w:val="21"/>
          <w:highlight w:val="none"/>
        </w:rPr>
        <w:t>，</w:t>
      </w:r>
      <w:r>
        <w:rPr>
          <w:bCs/>
          <w:color w:val="auto"/>
          <w:szCs w:val="21"/>
          <w:highlight w:val="none"/>
        </w:rPr>
        <w:t>须附</w:t>
      </w:r>
      <w:r>
        <w:rPr>
          <w:rFonts w:hint="eastAsia" w:ascii="宋体" w:hAnsi="宋体"/>
          <w:color w:val="auto"/>
          <w:szCs w:val="21"/>
          <w:highlight w:val="none"/>
          <w:shd w:val="clear" w:color="auto" w:fill="FFFFFF"/>
        </w:rPr>
        <w:t>合同复印件</w:t>
      </w:r>
      <w:r>
        <w:rPr>
          <w:rFonts w:hint="eastAsia" w:ascii="宋体" w:hAnsi="宋体" w:cs="宋体"/>
          <w:color w:val="auto"/>
          <w:kern w:val="0"/>
          <w:szCs w:val="21"/>
          <w:highlight w:val="none"/>
        </w:rPr>
        <w:t>等</w:t>
      </w:r>
      <w:r>
        <w:rPr>
          <w:rFonts w:hint="eastAsia" w:ascii="宋体" w:hAnsi="宋体"/>
          <w:color w:val="auto"/>
          <w:szCs w:val="21"/>
          <w:highlight w:val="none"/>
          <w:shd w:val="clear" w:color="auto" w:fill="FFFFFF"/>
        </w:rPr>
        <w:t>，</w:t>
      </w:r>
      <w:r>
        <w:rPr>
          <w:rFonts w:hint="eastAsia" w:ascii="宋体" w:hAnsi="宋体"/>
          <w:color w:val="auto"/>
          <w:szCs w:val="21"/>
          <w:highlight w:val="none"/>
        </w:rPr>
        <w:t>未提供证明</w:t>
      </w:r>
      <w:r>
        <w:rPr>
          <w:rFonts w:ascii="宋体" w:hAnsi="宋体"/>
          <w:color w:val="auto"/>
          <w:szCs w:val="21"/>
          <w:highlight w:val="none"/>
        </w:rPr>
        <w:t>材料的</w:t>
      </w:r>
      <w:r>
        <w:rPr>
          <w:rFonts w:hint="eastAsia" w:ascii="宋体" w:hAnsi="宋体"/>
          <w:color w:val="auto"/>
          <w:szCs w:val="21"/>
          <w:highlight w:val="none"/>
        </w:rPr>
        <w:t>业绩</w:t>
      </w:r>
      <w:r>
        <w:rPr>
          <w:rFonts w:ascii="宋体" w:hAnsi="宋体"/>
          <w:color w:val="auto"/>
          <w:szCs w:val="21"/>
          <w:highlight w:val="none"/>
        </w:rPr>
        <w:t>评审时</w:t>
      </w:r>
      <w:r>
        <w:rPr>
          <w:rFonts w:hint="eastAsia" w:ascii="宋体" w:hAnsi="宋体"/>
          <w:color w:val="auto"/>
          <w:szCs w:val="21"/>
          <w:highlight w:val="none"/>
        </w:rPr>
        <w:t>不予</w:t>
      </w:r>
      <w:r>
        <w:rPr>
          <w:rFonts w:ascii="宋体" w:hAnsi="宋体"/>
          <w:color w:val="auto"/>
          <w:szCs w:val="21"/>
          <w:highlight w:val="none"/>
        </w:rPr>
        <w:t>认可。</w:t>
      </w:r>
    </w:p>
    <w:p w14:paraId="07B50390">
      <w:pPr>
        <w:spacing w:line="360" w:lineRule="auto"/>
        <w:ind w:firstLine="482" w:firstLineChars="200"/>
        <w:rPr>
          <w:rFonts w:eastAsia="仿宋"/>
          <w:b/>
          <w:bCs/>
          <w:color w:val="auto"/>
          <w:sz w:val="24"/>
          <w:szCs w:val="21"/>
          <w:highlight w:val="none"/>
        </w:rPr>
      </w:pPr>
      <w:r>
        <w:rPr>
          <w:rFonts w:eastAsia="仿宋"/>
          <w:b/>
          <w:bCs/>
          <w:color w:val="auto"/>
          <w:sz w:val="24"/>
          <w:szCs w:val="21"/>
          <w:highlight w:val="none"/>
        </w:rPr>
        <w:t>投标人在证明上述业绩时必须提供证明其真实性的合同复印件</w:t>
      </w:r>
      <w:r>
        <w:rPr>
          <w:rFonts w:eastAsia="仿宋"/>
          <w:b/>
          <w:color w:val="auto"/>
          <w:sz w:val="24"/>
          <w:szCs w:val="21"/>
          <w:highlight w:val="none"/>
        </w:rPr>
        <w:t>（</w:t>
      </w:r>
      <w:r>
        <w:rPr>
          <w:rFonts w:hint="eastAsia" w:eastAsia="仿宋"/>
          <w:b/>
          <w:color w:val="auto"/>
          <w:sz w:val="24"/>
          <w:szCs w:val="21"/>
          <w:highlight w:val="none"/>
        </w:rPr>
        <w:t>要求必须提供与最终用户签订的合同首页、合同金额所在页、签字盖章页复印件作为证明</w:t>
      </w:r>
      <w:r>
        <w:rPr>
          <w:rFonts w:eastAsia="仿宋"/>
          <w:b/>
          <w:color w:val="auto"/>
          <w:sz w:val="24"/>
          <w:szCs w:val="21"/>
          <w:highlight w:val="none"/>
        </w:rPr>
        <w:t>）</w:t>
      </w:r>
      <w:r>
        <w:rPr>
          <w:rFonts w:eastAsia="仿宋"/>
          <w:b/>
          <w:bCs/>
          <w:color w:val="auto"/>
          <w:sz w:val="24"/>
          <w:szCs w:val="21"/>
          <w:highlight w:val="none"/>
        </w:rPr>
        <w:t>。</w:t>
      </w:r>
    </w:p>
    <w:p w14:paraId="4656598B">
      <w:pPr>
        <w:numPr>
          <w:ilvl w:val="0"/>
          <w:numId w:val="8"/>
        </w:numPr>
        <w:spacing w:line="360" w:lineRule="auto"/>
        <w:rPr>
          <w:rFonts w:eastAsia="仿宋"/>
          <w:b/>
          <w:color w:val="auto"/>
          <w:sz w:val="24"/>
          <w:szCs w:val="21"/>
          <w:highlight w:val="none"/>
        </w:rPr>
      </w:pPr>
      <w:r>
        <w:rPr>
          <w:rFonts w:eastAsia="仿宋"/>
          <w:b/>
          <w:color w:val="auto"/>
          <w:sz w:val="24"/>
          <w:szCs w:val="21"/>
          <w:highlight w:val="none"/>
        </w:rPr>
        <w:t>投标人的合同复印件必须包括：</w:t>
      </w:r>
    </w:p>
    <w:p w14:paraId="79B6061B">
      <w:pPr>
        <w:numPr>
          <w:ilvl w:val="0"/>
          <w:numId w:val="9"/>
        </w:numPr>
        <w:spacing w:line="360" w:lineRule="auto"/>
        <w:rPr>
          <w:rFonts w:eastAsia="仿宋"/>
          <w:color w:val="auto"/>
          <w:sz w:val="24"/>
          <w:szCs w:val="21"/>
          <w:highlight w:val="none"/>
        </w:rPr>
      </w:pPr>
      <w:r>
        <w:rPr>
          <w:rFonts w:eastAsia="仿宋"/>
          <w:color w:val="auto"/>
          <w:sz w:val="24"/>
          <w:szCs w:val="21"/>
          <w:highlight w:val="none"/>
        </w:rPr>
        <w:t>合同的甲乙双方；</w:t>
      </w:r>
    </w:p>
    <w:p w14:paraId="57152721">
      <w:pPr>
        <w:numPr>
          <w:ilvl w:val="0"/>
          <w:numId w:val="9"/>
        </w:numPr>
        <w:spacing w:line="360" w:lineRule="auto"/>
        <w:rPr>
          <w:rFonts w:eastAsia="仿宋"/>
          <w:color w:val="auto"/>
          <w:sz w:val="24"/>
          <w:szCs w:val="21"/>
          <w:highlight w:val="none"/>
        </w:rPr>
      </w:pPr>
      <w:r>
        <w:rPr>
          <w:rFonts w:eastAsia="仿宋"/>
          <w:color w:val="auto"/>
          <w:sz w:val="24"/>
          <w:szCs w:val="21"/>
          <w:highlight w:val="none"/>
        </w:rPr>
        <w:t>合同的详细标的；</w:t>
      </w:r>
    </w:p>
    <w:p w14:paraId="618AF76D">
      <w:pPr>
        <w:numPr>
          <w:ilvl w:val="0"/>
          <w:numId w:val="9"/>
        </w:numPr>
        <w:spacing w:line="360" w:lineRule="auto"/>
        <w:rPr>
          <w:rFonts w:eastAsia="仿宋"/>
          <w:color w:val="auto"/>
          <w:sz w:val="24"/>
          <w:szCs w:val="21"/>
          <w:highlight w:val="none"/>
        </w:rPr>
      </w:pPr>
      <w:r>
        <w:rPr>
          <w:rFonts w:eastAsia="仿宋"/>
          <w:color w:val="auto"/>
          <w:sz w:val="24"/>
          <w:szCs w:val="21"/>
          <w:highlight w:val="none"/>
        </w:rPr>
        <w:t>甲乙双方授权代表签字、印章及时间；</w:t>
      </w:r>
    </w:p>
    <w:p w14:paraId="2B42F3A8">
      <w:pPr>
        <w:numPr>
          <w:ilvl w:val="0"/>
          <w:numId w:val="8"/>
        </w:numPr>
        <w:spacing w:line="360" w:lineRule="auto"/>
        <w:rPr>
          <w:rFonts w:eastAsia="仿宋"/>
          <w:color w:val="auto"/>
          <w:sz w:val="24"/>
          <w:szCs w:val="21"/>
          <w:highlight w:val="none"/>
        </w:rPr>
      </w:pPr>
      <w:r>
        <w:rPr>
          <w:rFonts w:eastAsia="仿宋"/>
          <w:color w:val="auto"/>
          <w:sz w:val="24"/>
          <w:szCs w:val="21"/>
          <w:highlight w:val="none"/>
        </w:rPr>
        <w:t>在不涉及商业秘密的前提下尽可能提供详细的合同复印件；</w:t>
      </w:r>
    </w:p>
    <w:p w14:paraId="428A2C74">
      <w:pPr>
        <w:numPr>
          <w:ilvl w:val="0"/>
          <w:numId w:val="8"/>
        </w:numPr>
        <w:spacing w:line="360" w:lineRule="auto"/>
        <w:rPr>
          <w:rFonts w:eastAsia="仿宋"/>
          <w:color w:val="auto"/>
          <w:sz w:val="24"/>
          <w:szCs w:val="21"/>
          <w:highlight w:val="none"/>
        </w:rPr>
      </w:pPr>
      <w:r>
        <w:rPr>
          <w:rFonts w:eastAsia="仿宋"/>
          <w:color w:val="auto"/>
          <w:sz w:val="24"/>
          <w:szCs w:val="21"/>
          <w:highlight w:val="none"/>
        </w:rPr>
        <w:t>所有合同复印件需由投标人单位盖章；</w:t>
      </w:r>
    </w:p>
    <w:p w14:paraId="49D82F5D">
      <w:pPr>
        <w:spacing w:line="360" w:lineRule="auto"/>
        <w:rPr>
          <w:rFonts w:eastAsia="仿宋"/>
          <w:bCs/>
          <w:color w:val="auto"/>
          <w:sz w:val="24"/>
          <w:szCs w:val="21"/>
          <w:highlight w:val="none"/>
        </w:rPr>
      </w:pPr>
      <w:r>
        <w:rPr>
          <w:rFonts w:eastAsia="仿宋"/>
          <w:bCs/>
          <w:color w:val="auto"/>
          <w:sz w:val="24"/>
          <w:szCs w:val="21"/>
          <w:highlight w:val="none"/>
        </w:rPr>
        <w:t>投标人应针对上述内容如实提供必要的清单、数字、图表说明和相关的证明材料。</w:t>
      </w:r>
    </w:p>
    <w:p w14:paraId="059DD8BB">
      <w:pPr>
        <w:spacing w:line="440" w:lineRule="exact"/>
        <w:rPr>
          <w:rFonts w:eastAsia="仿宋"/>
          <w:color w:val="auto"/>
          <w:sz w:val="24"/>
          <w:szCs w:val="21"/>
          <w:highlight w:val="none"/>
          <w:u w:val="single"/>
        </w:rPr>
      </w:pPr>
      <w:r>
        <w:rPr>
          <w:rFonts w:eastAsia="仿宋"/>
          <w:color w:val="auto"/>
          <w:sz w:val="24"/>
          <w:szCs w:val="21"/>
          <w:highlight w:val="none"/>
        </w:rPr>
        <w:t>投标人：</w:t>
      </w:r>
      <w:r>
        <w:rPr>
          <w:rFonts w:eastAsia="仿宋"/>
          <w:color w:val="auto"/>
          <w:sz w:val="24"/>
          <w:szCs w:val="21"/>
          <w:highlight w:val="none"/>
          <w:u w:val="single"/>
        </w:rPr>
        <w:t xml:space="preserve">      （盖章）    </w:t>
      </w:r>
      <w:r>
        <w:rPr>
          <w:rFonts w:eastAsia="仿宋"/>
          <w:color w:val="auto"/>
          <w:sz w:val="24"/>
          <w:szCs w:val="21"/>
          <w:highlight w:val="none"/>
        </w:rPr>
        <w:t xml:space="preserve">        法人代表或其授权人：</w:t>
      </w:r>
      <w:r>
        <w:rPr>
          <w:rFonts w:eastAsia="仿宋"/>
          <w:color w:val="auto"/>
          <w:sz w:val="24"/>
          <w:szCs w:val="21"/>
          <w:highlight w:val="none"/>
          <w:u w:val="single"/>
        </w:rPr>
        <w:t xml:space="preserve">    （签字/盖章）      </w:t>
      </w:r>
    </w:p>
    <w:p w14:paraId="13903E86">
      <w:pPr>
        <w:spacing w:line="440" w:lineRule="exact"/>
        <w:rPr>
          <w:rFonts w:eastAsia="仿宋"/>
          <w:color w:val="auto"/>
          <w:sz w:val="24"/>
          <w:szCs w:val="21"/>
          <w:highlight w:val="none"/>
        </w:rPr>
      </w:pPr>
      <w:r>
        <w:rPr>
          <w:rFonts w:eastAsia="仿宋"/>
          <w:color w:val="auto"/>
          <w:sz w:val="24"/>
          <w:szCs w:val="21"/>
          <w:highlight w:val="none"/>
        </w:rPr>
        <w:t>日期：</w:t>
      </w:r>
      <w:r>
        <w:rPr>
          <w:rFonts w:eastAsia="仿宋"/>
          <w:color w:val="auto"/>
          <w:sz w:val="24"/>
          <w:szCs w:val="21"/>
          <w:highlight w:val="none"/>
          <w:u w:val="single"/>
        </w:rPr>
        <w:t xml:space="preserve">    </w:t>
      </w:r>
      <w:r>
        <w:rPr>
          <w:rFonts w:eastAsia="仿宋"/>
          <w:color w:val="auto"/>
          <w:sz w:val="24"/>
          <w:szCs w:val="21"/>
          <w:highlight w:val="none"/>
        </w:rPr>
        <w:t>年</w:t>
      </w:r>
      <w:r>
        <w:rPr>
          <w:rFonts w:eastAsia="仿宋"/>
          <w:color w:val="auto"/>
          <w:sz w:val="24"/>
          <w:szCs w:val="21"/>
          <w:highlight w:val="none"/>
          <w:u w:val="single"/>
        </w:rPr>
        <w:t xml:space="preserve">    </w:t>
      </w:r>
      <w:r>
        <w:rPr>
          <w:rFonts w:eastAsia="仿宋"/>
          <w:color w:val="auto"/>
          <w:sz w:val="24"/>
          <w:szCs w:val="21"/>
          <w:highlight w:val="none"/>
        </w:rPr>
        <w:t>月</w:t>
      </w:r>
      <w:r>
        <w:rPr>
          <w:rFonts w:eastAsia="仿宋"/>
          <w:color w:val="auto"/>
          <w:sz w:val="24"/>
          <w:szCs w:val="21"/>
          <w:highlight w:val="none"/>
          <w:u w:val="single"/>
        </w:rPr>
        <w:t xml:space="preserve">    </w:t>
      </w:r>
      <w:r>
        <w:rPr>
          <w:rFonts w:eastAsia="仿宋"/>
          <w:color w:val="auto"/>
          <w:sz w:val="24"/>
          <w:szCs w:val="21"/>
          <w:highlight w:val="none"/>
        </w:rPr>
        <w:t>日</w:t>
      </w:r>
    </w:p>
    <w:p w14:paraId="1FBB6430">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br w:type="page"/>
      </w:r>
    </w:p>
    <w:p w14:paraId="72FF402E">
      <w:pPr>
        <w:adjustRightInd w:val="0"/>
        <w:snapToGrid w:val="0"/>
        <w:spacing w:before="156" w:beforeLines="50" w:after="156" w:afterLines="50" w:line="360" w:lineRule="auto"/>
        <w:rPr>
          <w:rFonts w:ascii="宋体" w:hAnsi="宋体"/>
          <w:b/>
          <w:color w:val="auto"/>
          <w:sz w:val="24"/>
          <w:highlight w:val="none"/>
        </w:rPr>
      </w:pPr>
    </w:p>
    <w:p w14:paraId="454E0E23">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 xml:space="preserve">附件10  </w:t>
      </w:r>
      <w:r>
        <w:rPr>
          <w:rFonts w:ascii="宋体" w:hAnsi="宋体"/>
          <w:b/>
          <w:color w:val="auto"/>
          <w:sz w:val="24"/>
          <w:highlight w:val="none"/>
        </w:rPr>
        <w:t>中小企业声明函</w:t>
      </w:r>
      <w:r>
        <w:rPr>
          <w:rFonts w:hint="eastAsia" w:ascii="宋体" w:hAnsi="宋体"/>
          <w:b/>
          <w:color w:val="auto"/>
          <w:sz w:val="24"/>
          <w:highlight w:val="none"/>
        </w:rPr>
        <w:t>（格式）</w:t>
      </w:r>
    </w:p>
    <w:p w14:paraId="5E811E11">
      <w:pPr>
        <w:widowControl/>
        <w:spacing w:line="400" w:lineRule="atLeast"/>
        <w:jc w:val="center"/>
        <w:rPr>
          <w:color w:val="auto"/>
          <w:sz w:val="28"/>
          <w:szCs w:val="28"/>
          <w:highlight w:val="none"/>
        </w:rPr>
      </w:pPr>
      <w:r>
        <w:rPr>
          <w:rFonts w:ascii="宋体" w:hAnsi="宋体"/>
          <w:b/>
          <w:snapToGrid w:val="0"/>
          <w:color w:val="auto"/>
          <w:sz w:val="28"/>
          <w:szCs w:val="28"/>
          <w:highlight w:val="none"/>
        </w:rPr>
        <w:t>中小企业声明函</w:t>
      </w:r>
      <w:r>
        <w:rPr>
          <w:rFonts w:hint="eastAsia" w:ascii="宋体" w:hAnsi="宋体"/>
          <w:b/>
          <w:snapToGrid w:val="0"/>
          <w:color w:val="auto"/>
          <w:sz w:val="28"/>
          <w:szCs w:val="28"/>
          <w:highlight w:val="none"/>
        </w:rPr>
        <w:t>（服务）</w:t>
      </w:r>
    </w:p>
    <w:p w14:paraId="1A6B6BB6">
      <w:pPr>
        <w:jc w:val="center"/>
        <w:rPr>
          <w:b/>
          <w:color w:val="auto"/>
          <w:sz w:val="24"/>
          <w:highlight w:val="none"/>
        </w:rPr>
      </w:pPr>
      <w:r>
        <w:rPr>
          <w:rFonts w:hint="eastAsia"/>
          <w:b/>
          <w:color w:val="auto"/>
          <w:sz w:val="24"/>
          <w:highlight w:val="none"/>
        </w:rPr>
        <w:t>（如为中小企业，应按《政府采购促进中小企业发展管理办法》的规定</w:t>
      </w:r>
      <w:r>
        <w:rPr>
          <w:b/>
          <w:color w:val="auto"/>
          <w:sz w:val="24"/>
          <w:highlight w:val="none"/>
        </w:rPr>
        <w:t>提供</w:t>
      </w:r>
      <w:r>
        <w:rPr>
          <w:rFonts w:hint="eastAsia"/>
          <w:b/>
          <w:color w:val="auto"/>
          <w:sz w:val="24"/>
          <w:highlight w:val="none"/>
        </w:rPr>
        <w:t>）</w:t>
      </w:r>
    </w:p>
    <w:p w14:paraId="260FF06C">
      <w:pPr>
        <w:pStyle w:val="75"/>
        <w:spacing w:line="360" w:lineRule="auto"/>
        <w:ind w:right="158" w:firstLine="643"/>
        <w:rPr>
          <w:rFonts w:ascii="宋体" w:hAnsi="宋体" w:eastAsia="宋体" w:cs="仿宋"/>
          <w:color w:val="auto"/>
          <w:highlight w:val="none"/>
        </w:rPr>
      </w:pPr>
    </w:p>
    <w:p w14:paraId="4C8727C4">
      <w:pPr>
        <w:pStyle w:val="75"/>
        <w:spacing w:line="360" w:lineRule="auto"/>
        <w:ind w:right="158" w:firstLine="643"/>
        <w:rPr>
          <w:rFonts w:ascii="宋体" w:hAnsi="宋体" w:eastAsia="宋体" w:cs="仿宋"/>
          <w:color w:val="auto"/>
          <w:highlight w:val="none"/>
        </w:rPr>
      </w:pPr>
      <w:r>
        <w:rPr>
          <w:rFonts w:hint="eastAsia" w:ascii="宋体" w:hAnsi="宋体" w:eastAsia="宋体" w:cs="仿宋"/>
          <w:color w:val="auto"/>
          <w:highlight w:val="none"/>
        </w:rPr>
        <w:t>本公司（联合体）郑重声明，根据《政府采购促进中小企业发展管理办法》（财库</w:t>
      </w:r>
      <w:r>
        <w:rPr>
          <w:rFonts w:hint="eastAsia" w:ascii="宋体" w:hAnsi="宋体" w:eastAsia="宋体" w:cs="宋体"/>
          <w:color w:val="auto"/>
          <w:highlight w:val="none"/>
        </w:rPr>
        <w:t>﹝</w:t>
      </w:r>
      <w:r>
        <w:rPr>
          <w:rFonts w:ascii="宋体" w:hAnsi="宋体" w:eastAsia="宋体" w:cs="仿宋"/>
          <w:color w:val="auto"/>
          <w:highlight w:val="none"/>
        </w:rPr>
        <w:t>2020</w:t>
      </w:r>
      <w:r>
        <w:rPr>
          <w:rFonts w:hint="eastAsia" w:ascii="宋体" w:hAnsi="宋体" w:eastAsia="宋体" w:cs="宋体"/>
          <w:color w:val="auto"/>
          <w:highlight w:val="none"/>
        </w:rPr>
        <w:t>﹞</w:t>
      </w:r>
      <w:r>
        <w:rPr>
          <w:rFonts w:ascii="宋体" w:hAnsi="宋体" w:eastAsia="宋体" w:cs="仿宋"/>
          <w:color w:val="auto"/>
          <w:highlight w:val="none"/>
        </w:rPr>
        <w:t>46</w:t>
      </w:r>
      <w:r>
        <w:rPr>
          <w:rFonts w:hint="eastAsia" w:ascii="宋体" w:hAnsi="宋体" w:eastAsia="宋体" w:cs="仿宋"/>
          <w:color w:val="auto"/>
          <w:highlight w:val="none"/>
        </w:rPr>
        <w:t>号）的规定，本公司（联合体）参加</w:t>
      </w:r>
      <w:r>
        <w:rPr>
          <w:rFonts w:hint="eastAsia" w:ascii="宋体" w:hAnsi="宋体" w:eastAsia="宋体" w:cs="仿宋"/>
          <w:color w:val="auto"/>
          <w:highlight w:val="none"/>
          <w:u w:val="single"/>
        </w:rPr>
        <w:t>（单位名称）</w:t>
      </w:r>
      <w:r>
        <w:rPr>
          <w:rFonts w:hint="eastAsia" w:ascii="宋体" w:hAnsi="宋体" w:eastAsia="宋体" w:cs="仿宋"/>
          <w:color w:val="auto"/>
          <w:highlight w:val="none"/>
        </w:rPr>
        <w:t>的</w:t>
      </w:r>
      <w:r>
        <w:rPr>
          <w:rFonts w:hint="eastAsia" w:ascii="宋体" w:hAnsi="宋体" w:eastAsia="宋体" w:cs="仿宋"/>
          <w:color w:val="auto"/>
          <w:highlight w:val="none"/>
          <w:u w:val="single"/>
        </w:rPr>
        <w:t>（项目名称）</w:t>
      </w:r>
      <w:r>
        <w:rPr>
          <w:rFonts w:hint="eastAsia" w:ascii="宋体" w:hAnsi="宋体" w:eastAsia="宋体" w:cs="仿宋"/>
          <w:color w:val="auto"/>
          <w:highlight w:val="none"/>
        </w:rPr>
        <w:t>采购活动，服务全部由符合政策要求的中小企业承接。相关企业的具体情况如下：</w:t>
      </w:r>
    </w:p>
    <w:p w14:paraId="780D5D72">
      <w:pPr>
        <w:pStyle w:val="77"/>
        <w:spacing w:line="360" w:lineRule="auto"/>
        <w:ind w:firstLine="640"/>
        <w:rPr>
          <w:rFonts w:ascii="宋体" w:hAnsi="宋体" w:eastAsia="宋体"/>
          <w:color w:val="auto"/>
          <w:highlight w:val="none"/>
        </w:rPr>
      </w:pPr>
      <w:r>
        <w:rPr>
          <w:rFonts w:ascii="宋体" w:hAnsi="宋体" w:eastAsia="宋体" w:cs="仿宋"/>
          <w:color w:val="auto"/>
          <w:highlight w:val="none"/>
        </w:rPr>
        <w:t xml:space="preserve">1. </w:t>
      </w:r>
      <w:r>
        <w:rPr>
          <w:rFonts w:hint="eastAsia" w:ascii="宋体" w:hAnsi="宋体" w:eastAsia="宋体" w:cs="仿宋"/>
          <w:color w:val="auto"/>
          <w:highlight w:val="none"/>
          <w:u w:val="single"/>
        </w:rPr>
        <w:t>（标的名称）</w:t>
      </w:r>
      <w:r>
        <w:rPr>
          <w:rFonts w:hint="eastAsia" w:ascii="宋体" w:hAnsi="宋体" w:eastAsia="宋体" w:cs="仿宋"/>
          <w:color w:val="auto"/>
          <w:highlight w:val="none"/>
        </w:rPr>
        <w:t>，属于</w:t>
      </w:r>
      <w:r>
        <w:rPr>
          <w:rFonts w:hint="eastAsia" w:ascii="宋体" w:hAnsi="宋体" w:eastAsia="宋体" w:cs="仿宋"/>
          <w:color w:val="auto"/>
          <w:highlight w:val="none"/>
          <w:u w:val="single"/>
        </w:rPr>
        <w:t>（采购文件中明确的所属行业）</w:t>
      </w:r>
      <w:r>
        <w:rPr>
          <w:rFonts w:hint="eastAsia" w:ascii="宋体" w:hAnsi="宋体" w:eastAsia="宋体" w:cs="仿宋"/>
          <w:color w:val="auto"/>
          <w:highlight w:val="none"/>
        </w:rPr>
        <w:t>；承接企业为</w:t>
      </w:r>
      <w:r>
        <w:rPr>
          <w:rFonts w:hint="eastAsia" w:ascii="宋体" w:hAnsi="宋体" w:eastAsia="宋体" w:cs="仿宋"/>
          <w:color w:val="auto"/>
          <w:highlight w:val="none"/>
          <w:u w:val="single"/>
        </w:rPr>
        <w:t>（企业名称）</w:t>
      </w:r>
      <w:r>
        <w:rPr>
          <w:rFonts w:hint="eastAsia" w:ascii="宋体" w:hAnsi="宋体" w:eastAsia="宋体" w:cs="仿宋"/>
          <w:color w:val="auto"/>
          <w:highlight w:val="none"/>
        </w:rPr>
        <w:t>，从业人员人，营业</w:t>
      </w:r>
      <w:r>
        <w:rPr>
          <w:rFonts w:hint="eastAsia" w:ascii="宋体" w:hAnsi="宋体" w:eastAsia="宋体"/>
          <w:color w:val="auto"/>
          <w:highlight w:val="none"/>
        </w:rPr>
        <w:t>收入为万元，资产总额为万元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rFonts w:hint="eastAsia" w:ascii="宋体" w:hAnsi="宋体" w:eastAsia="宋体"/>
          <w:color w:val="auto"/>
          <w:highlight w:val="none"/>
        </w:rPr>
        <w:t>，属于</w:t>
      </w:r>
      <w:r>
        <w:rPr>
          <w:rFonts w:hint="eastAsia" w:ascii="宋体" w:hAnsi="宋体" w:eastAsia="宋体"/>
          <w:color w:val="auto"/>
          <w:highlight w:val="none"/>
          <w:u w:val="single"/>
        </w:rPr>
        <w:t>（中型企业、小型企业、微型企业）</w:t>
      </w:r>
      <w:r>
        <w:rPr>
          <w:rFonts w:hint="eastAsia" w:ascii="宋体" w:hAnsi="宋体" w:eastAsia="宋体"/>
          <w:color w:val="auto"/>
          <w:highlight w:val="none"/>
        </w:rPr>
        <w:t>；</w:t>
      </w:r>
    </w:p>
    <w:p w14:paraId="33C6D70D">
      <w:pPr>
        <w:pStyle w:val="77"/>
        <w:spacing w:line="360" w:lineRule="auto"/>
        <w:ind w:firstLine="640"/>
        <w:rPr>
          <w:rFonts w:ascii="宋体" w:hAnsi="宋体" w:eastAsia="宋体" w:cs="仿宋"/>
          <w:color w:val="auto"/>
          <w:highlight w:val="none"/>
        </w:rPr>
      </w:pPr>
      <w:r>
        <w:rPr>
          <w:rFonts w:hint="eastAsia" w:ascii="宋体" w:hAnsi="宋体" w:eastAsia="宋体" w:cs="仿宋"/>
          <w:color w:val="auto"/>
          <w:highlight w:val="none"/>
        </w:rPr>
        <w:t>2</w:t>
      </w:r>
      <w:r>
        <w:rPr>
          <w:rFonts w:ascii="宋体" w:hAnsi="宋体" w:eastAsia="宋体" w:cs="仿宋"/>
          <w:color w:val="auto"/>
          <w:highlight w:val="none"/>
        </w:rPr>
        <w:t xml:space="preserve">. </w:t>
      </w:r>
      <w:r>
        <w:rPr>
          <w:rFonts w:hint="eastAsia" w:ascii="宋体" w:hAnsi="宋体" w:eastAsia="宋体" w:cs="仿宋"/>
          <w:color w:val="auto"/>
          <w:highlight w:val="none"/>
          <w:u w:val="single"/>
        </w:rPr>
        <w:t>（标的名称）</w:t>
      </w:r>
      <w:r>
        <w:rPr>
          <w:rFonts w:hint="eastAsia" w:ascii="宋体" w:hAnsi="宋体" w:eastAsia="宋体" w:cs="仿宋"/>
          <w:color w:val="auto"/>
          <w:highlight w:val="none"/>
        </w:rPr>
        <w:t>，属于</w:t>
      </w:r>
      <w:r>
        <w:rPr>
          <w:rFonts w:hint="eastAsia" w:ascii="宋体" w:hAnsi="宋体" w:eastAsia="宋体" w:cs="仿宋"/>
          <w:color w:val="auto"/>
          <w:highlight w:val="none"/>
          <w:u w:val="single"/>
        </w:rPr>
        <w:t>（采购文件中明确的所属行业）</w:t>
      </w:r>
      <w:r>
        <w:rPr>
          <w:rFonts w:hint="eastAsia" w:ascii="宋体" w:hAnsi="宋体" w:eastAsia="宋体" w:cs="仿宋"/>
          <w:color w:val="auto"/>
          <w:highlight w:val="none"/>
        </w:rPr>
        <w:t>；承接企业为</w:t>
      </w:r>
      <w:r>
        <w:rPr>
          <w:rFonts w:hint="eastAsia" w:ascii="宋体" w:hAnsi="宋体" w:eastAsia="宋体" w:cs="仿宋"/>
          <w:color w:val="auto"/>
          <w:highlight w:val="none"/>
          <w:u w:val="single"/>
        </w:rPr>
        <w:t>（企业名称）</w:t>
      </w:r>
      <w:r>
        <w:rPr>
          <w:rFonts w:hint="eastAsia" w:ascii="宋体" w:hAnsi="宋体" w:eastAsia="宋体" w:cs="仿宋"/>
          <w:color w:val="auto"/>
          <w:highlight w:val="none"/>
        </w:rPr>
        <w:t>，从业人员人，营业</w:t>
      </w:r>
      <w:r>
        <w:rPr>
          <w:rFonts w:hint="eastAsia" w:ascii="宋体" w:hAnsi="宋体" w:eastAsia="宋体"/>
          <w:color w:val="auto"/>
          <w:highlight w:val="none"/>
        </w:rPr>
        <w:t>收入为万元，资产总额为万元，属于</w:t>
      </w:r>
      <w:r>
        <w:rPr>
          <w:rFonts w:hint="eastAsia" w:ascii="宋体" w:hAnsi="宋体" w:eastAsia="宋体"/>
          <w:color w:val="auto"/>
          <w:highlight w:val="none"/>
          <w:u w:val="single"/>
        </w:rPr>
        <w:t>（中型企业、小型企业、微型企业）</w:t>
      </w:r>
      <w:r>
        <w:rPr>
          <w:rFonts w:hint="eastAsia" w:ascii="宋体" w:hAnsi="宋体" w:eastAsia="宋体"/>
          <w:color w:val="auto"/>
          <w:highlight w:val="none"/>
        </w:rPr>
        <w:t>；</w:t>
      </w:r>
    </w:p>
    <w:p w14:paraId="6E34D248">
      <w:pPr>
        <w:pStyle w:val="78"/>
        <w:spacing w:line="360" w:lineRule="auto"/>
        <w:ind w:left="643"/>
        <w:rPr>
          <w:rFonts w:ascii="宋体" w:hAnsi="宋体" w:eastAsia="宋体" w:cs="仿宋"/>
          <w:color w:val="auto"/>
          <w:highlight w:val="none"/>
        </w:rPr>
      </w:pPr>
      <w:r>
        <w:rPr>
          <w:rFonts w:hint="eastAsia" w:ascii="宋体" w:hAnsi="宋体" w:eastAsia="宋体" w:cs="仿宋"/>
          <w:color w:val="auto"/>
          <w:highlight w:val="none"/>
        </w:rPr>
        <w:t>……</w:t>
      </w:r>
    </w:p>
    <w:p w14:paraId="7B73F5B6">
      <w:pPr>
        <w:pStyle w:val="75"/>
        <w:spacing w:line="360" w:lineRule="auto"/>
        <w:ind w:right="158" w:firstLine="643"/>
        <w:rPr>
          <w:rFonts w:ascii="宋体" w:hAnsi="宋体" w:eastAsia="宋体" w:cs="仿宋"/>
          <w:color w:val="auto"/>
          <w:highlight w:val="none"/>
        </w:rPr>
      </w:pPr>
      <w:r>
        <w:rPr>
          <w:rFonts w:hint="eastAsia" w:ascii="宋体" w:hAnsi="宋体" w:eastAsia="宋体" w:cs="仿宋"/>
          <w:color w:val="auto"/>
          <w:highlight w:val="none"/>
        </w:rPr>
        <w:t>以上企业，不属于大企业的分支机构，不存在控股股东为大企业的情形，也不存在与大企业的负责人为同一人的情形。</w:t>
      </w:r>
    </w:p>
    <w:p w14:paraId="2AA63424">
      <w:pPr>
        <w:spacing w:before="55" w:line="302" w:lineRule="auto"/>
        <w:ind w:right="415"/>
        <w:rPr>
          <w:rFonts w:ascii="宋体" w:hAnsi="宋体"/>
          <w:color w:val="auto"/>
          <w:spacing w:val="-2"/>
          <w:sz w:val="24"/>
          <w:highlight w:val="none"/>
        </w:rPr>
      </w:pPr>
      <w:r>
        <w:rPr>
          <w:rFonts w:hint="eastAsia" w:ascii="宋体" w:hAnsi="宋体" w:cs="仿宋"/>
          <w:color w:val="auto"/>
          <w:sz w:val="24"/>
          <w:highlight w:val="none"/>
        </w:rPr>
        <w:t>本企业对上述声明内容的真实性负责。如有虚假，将依法承担相应责任。</w:t>
      </w:r>
    </w:p>
    <w:p w14:paraId="452B07A5">
      <w:pPr>
        <w:spacing w:before="55" w:line="302" w:lineRule="auto"/>
        <w:ind w:right="415"/>
        <w:rPr>
          <w:rFonts w:ascii="宋体" w:hAnsi="宋体"/>
          <w:color w:val="auto"/>
          <w:spacing w:val="-2"/>
          <w:sz w:val="24"/>
          <w:highlight w:val="none"/>
        </w:rPr>
      </w:pPr>
    </w:p>
    <w:p w14:paraId="1ED1121F">
      <w:pPr>
        <w:pStyle w:val="78"/>
        <w:ind w:firstLine="5760" w:firstLineChars="2400"/>
        <w:rPr>
          <w:rFonts w:ascii="宋体" w:hAnsi="宋体" w:eastAsia="宋体" w:cs="仿宋"/>
          <w:color w:val="auto"/>
          <w:highlight w:val="none"/>
        </w:rPr>
      </w:pPr>
      <w:r>
        <w:rPr>
          <w:rFonts w:hint="eastAsia" w:ascii="宋体" w:hAnsi="宋体" w:eastAsia="宋体" w:cs="仿宋"/>
          <w:color w:val="auto"/>
          <w:highlight w:val="none"/>
        </w:rPr>
        <w:t>企业名称（盖章）：</w:t>
      </w:r>
    </w:p>
    <w:p w14:paraId="55B0E62F">
      <w:pPr>
        <w:pStyle w:val="78"/>
        <w:ind w:firstLine="5760" w:firstLineChars="2400"/>
        <w:rPr>
          <w:color w:val="auto"/>
          <w:spacing w:val="-2"/>
          <w:highlight w:val="none"/>
        </w:rPr>
      </w:pPr>
      <w:r>
        <w:rPr>
          <w:rFonts w:hint="eastAsia" w:ascii="宋体" w:hAnsi="宋体" w:eastAsia="宋体" w:cs="仿宋"/>
          <w:color w:val="auto"/>
          <w:highlight w:val="none"/>
        </w:rPr>
        <w:t>日期：</w:t>
      </w:r>
    </w:p>
    <w:p w14:paraId="7E7B7861">
      <w:pPr>
        <w:spacing w:before="55" w:line="302" w:lineRule="auto"/>
        <w:ind w:right="415"/>
        <w:rPr>
          <w:rFonts w:ascii="宋体" w:hAnsi="宋体"/>
          <w:color w:val="auto"/>
          <w:spacing w:val="-2"/>
          <w:sz w:val="24"/>
          <w:highlight w:val="none"/>
        </w:rPr>
      </w:pPr>
    </w:p>
    <w:p w14:paraId="61C6233D">
      <w:pPr>
        <w:spacing w:before="55" w:line="302" w:lineRule="auto"/>
        <w:ind w:right="415"/>
        <w:rPr>
          <w:rFonts w:ascii="宋体" w:hAnsi="宋体"/>
          <w:color w:val="auto"/>
          <w:spacing w:val="-2"/>
          <w:sz w:val="24"/>
          <w:highlight w:val="none"/>
        </w:rPr>
      </w:pPr>
    </w:p>
    <w:p w14:paraId="0942BAB3">
      <w:pPr>
        <w:jc w:val="center"/>
        <w:rPr>
          <w:rFonts w:ascii="宋体" w:hAnsi="宋体"/>
          <w:b/>
          <w:color w:val="auto"/>
          <w:sz w:val="24"/>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r>
        <w:rPr>
          <w:color w:val="auto"/>
          <w:highlight w:val="none"/>
        </w:rPr>
        <w:br w:type="page"/>
      </w:r>
      <w:r>
        <w:rPr>
          <w:rFonts w:hint="eastAsia" w:ascii="宋体" w:hAnsi="宋体"/>
          <w:b/>
          <w:color w:val="auto"/>
          <w:sz w:val="24"/>
          <w:highlight w:val="none"/>
        </w:rPr>
        <w:t xml:space="preserve">附件11  </w:t>
      </w:r>
      <w:r>
        <w:rPr>
          <w:rFonts w:ascii="宋体" w:hAnsi="宋体"/>
          <w:b/>
          <w:color w:val="auto"/>
          <w:sz w:val="24"/>
          <w:highlight w:val="none"/>
        </w:rPr>
        <w:t>残疾人福利性单位声明函</w:t>
      </w:r>
    </w:p>
    <w:p w14:paraId="600108D7">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（如为</w:t>
      </w:r>
      <w:r>
        <w:rPr>
          <w:rFonts w:ascii="宋体" w:hAnsi="宋体"/>
          <w:b/>
          <w:color w:val="auto"/>
          <w:sz w:val="24"/>
          <w:highlight w:val="none"/>
        </w:rPr>
        <w:t>残疾人福利性单位</w:t>
      </w:r>
      <w:r>
        <w:rPr>
          <w:rFonts w:hint="eastAsia" w:ascii="宋体" w:hAnsi="宋体"/>
          <w:b/>
          <w:color w:val="auto"/>
          <w:sz w:val="24"/>
          <w:highlight w:val="none"/>
        </w:rPr>
        <w:t>，应按《财政部 民政部 中国残疾人联合会关于促进残疾人就业政府采购政策的通知》（财库〔2017〕 141号）的规定提供）</w:t>
      </w:r>
    </w:p>
    <w:p w14:paraId="22BD1991">
      <w:pPr>
        <w:adjustRightInd w:val="0"/>
        <w:snapToGrid w:val="0"/>
        <w:spacing w:before="156" w:beforeLines="50" w:after="156" w:afterLines="50" w:line="360" w:lineRule="auto"/>
        <w:jc w:val="center"/>
        <w:rPr>
          <w:rFonts w:ascii="宋体" w:hAnsi="宋体"/>
          <w:b/>
          <w:color w:val="auto"/>
          <w:sz w:val="24"/>
          <w:highlight w:val="none"/>
        </w:rPr>
      </w:pPr>
      <w:bookmarkStart w:id="304" w:name="OLE_LINK14"/>
      <w:bookmarkStart w:id="305" w:name="OLE_LINK13"/>
    </w:p>
    <w:p w14:paraId="4B8A9403">
      <w:pPr>
        <w:spacing w:line="588"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残疾人福利性单位声明函</w:t>
      </w:r>
    </w:p>
    <w:bookmarkEnd w:id="304"/>
    <w:bookmarkEnd w:id="305"/>
    <w:p w14:paraId="1E5D03BE">
      <w:pPr>
        <w:spacing w:line="588" w:lineRule="exact"/>
        <w:rPr>
          <w:rFonts w:ascii="宋体" w:hAnsi="宋体" w:cs="宋体"/>
          <w:color w:val="auto"/>
          <w:kern w:val="0"/>
          <w:sz w:val="24"/>
          <w:highlight w:val="none"/>
        </w:rPr>
      </w:pPr>
    </w:p>
    <w:p w14:paraId="716562E4">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98FC0FC">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7AEB5CA2">
      <w:pPr>
        <w:spacing w:line="588" w:lineRule="exact"/>
        <w:ind w:firstLine="480" w:firstLineChars="200"/>
        <w:rPr>
          <w:rFonts w:ascii="宋体" w:hAnsi="宋体" w:cs="宋体"/>
          <w:color w:val="auto"/>
          <w:kern w:val="0"/>
          <w:sz w:val="24"/>
          <w:highlight w:val="none"/>
        </w:rPr>
      </w:pPr>
    </w:p>
    <w:p w14:paraId="324DB1EE">
      <w:pPr>
        <w:spacing w:line="588" w:lineRule="exact"/>
        <w:ind w:firstLine="480" w:firstLineChars="200"/>
        <w:rPr>
          <w:rFonts w:ascii="宋体" w:hAnsi="宋体" w:cs="宋体"/>
          <w:color w:val="auto"/>
          <w:kern w:val="0"/>
          <w:sz w:val="24"/>
          <w:highlight w:val="none"/>
        </w:rPr>
      </w:pPr>
    </w:p>
    <w:p w14:paraId="69AFD3B2">
      <w:pPr>
        <w:tabs>
          <w:tab w:val="left" w:pos="4860"/>
        </w:tabs>
        <w:spacing w:line="360" w:lineRule="auto"/>
        <w:ind w:right="2268"/>
        <w:jc w:val="right"/>
        <w:rPr>
          <w:rFonts w:ascii="宋体" w:hAnsi="宋体" w:cs="宋体"/>
          <w:color w:val="auto"/>
          <w:kern w:val="0"/>
          <w:sz w:val="24"/>
          <w:highlight w:val="none"/>
        </w:rPr>
      </w:pPr>
      <w:r>
        <w:rPr>
          <w:rFonts w:hint="eastAsia" w:ascii="宋体" w:hAnsi="宋体" w:cs="宋体"/>
          <w:color w:val="auto"/>
          <w:kern w:val="0"/>
          <w:sz w:val="24"/>
          <w:highlight w:val="none"/>
        </w:rPr>
        <w:t>单位名称（盖章）：</w:t>
      </w:r>
    </w:p>
    <w:p w14:paraId="19594482">
      <w:pPr>
        <w:tabs>
          <w:tab w:val="left" w:pos="4860"/>
        </w:tabs>
        <w:spacing w:line="360" w:lineRule="auto"/>
        <w:ind w:right="2268"/>
        <w:jc w:val="right"/>
        <w:rPr>
          <w:rFonts w:ascii="宋体" w:hAnsi="宋体" w:cs="宋体"/>
          <w:color w:val="auto"/>
          <w:kern w:val="0"/>
          <w:sz w:val="24"/>
          <w:highlight w:val="none"/>
        </w:rPr>
      </w:pPr>
      <w:r>
        <w:rPr>
          <w:rFonts w:hint="eastAsia" w:ascii="宋体" w:hAnsi="宋体" w:cs="宋体"/>
          <w:color w:val="auto"/>
          <w:kern w:val="0"/>
          <w:sz w:val="24"/>
          <w:highlight w:val="none"/>
        </w:rPr>
        <w:t>日  期：</w:t>
      </w:r>
    </w:p>
    <w:p w14:paraId="10A5F7D6">
      <w:pPr>
        <w:pStyle w:val="4"/>
        <w:spacing w:line="600" w:lineRule="exact"/>
        <w:ind w:firstLine="482" w:firstLineChars="200"/>
        <w:rPr>
          <w:rFonts w:hAnsi="宋体"/>
          <w:color w:val="auto"/>
          <w:highlight w:val="none"/>
          <w:u w:val="single"/>
        </w:rPr>
      </w:pPr>
      <w:r>
        <w:rPr>
          <w:rFonts w:hAnsi="宋体" w:cs="宋体"/>
          <w:b/>
          <w:color w:val="auto"/>
          <w:highlight w:val="none"/>
        </w:rPr>
        <w:br w:type="page"/>
      </w:r>
    </w:p>
    <w:p w14:paraId="4A218098">
      <w:pPr>
        <w:tabs>
          <w:tab w:val="left" w:pos="5580"/>
        </w:tabs>
        <w:adjustRightInd w:val="0"/>
        <w:snapToGrid w:val="0"/>
        <w:spacing w:line="360" w:lineRule="auto"/>
        <w:ind w:firstLine="482" w:firstLineChars="200"/>
        <w:jc w:val="center"/>
        <w:rPr>
          <w:rFonts w:ascii="宋体" w:hAnsi="宋体"/>
          <w:b/>
          <w:color w:val="auto"/>
          <w:sz w:val="24"/>
          <w:highlight w:val="none"/>
        </w:rPr>
      </w:pPr>
      <w:r>
        <w:rPr>
          <w:rFonts w:hint="eastAsia" w:ascii="宋体" w:hAnsi="宋体"/>
          <w:b/>
          <w:color w:val="auto"/>
          <w:sz w:val="24"/>
          <w:highlight w:val="none"/>
        </w:rPr>
        <w:t>附件12 招标文件要求或投标人认为必要的其它内容</w:t>
      </w:r>
    </w:p>
    <w:p w14:paraId="024F1560">
      <w:pPr>
        <w:adjustRightInd w:val="0"/>
        <w:snapToGrid w:val="0"/>
        <w:spacing w:after="156" w:afterLines="50" w:line="360" w:lineRule="auto"/>
        <w:jc w:val="center"/>
        <w:outlineLvl w:val="0"/>
        <w:rPr>
          <w:rFonts w:ascii="宋体" w:hAnsi="宋体"/>
          <w:b/>
          <w:color w:val="auto"/>
          <w:sz w:val="30"/>
          <w:szCs w:val="30"/>
          <w:highlight w:val="none"/>
        </w:rPr>
      </w:pPr>
      <w:r>
        <w:rPr>
          <w:rFonts w:ascii="宋体" w:hAnsi="宋体"/>
          <w:b/>
          <w:color w:val="auto"/>
          <w:sz w:val="30"/>
          <w:szCs w:val="30"/>
          <w:highlight w:val="none"/>
        </w:rPr>
        <w:br w:type="page"/>
      </w:r>
      <w:bookmarkStart w:id="306" w:name="_Toc129880038"/>
      <w:r>
        <w:rPr>
          <w:rFonts w:hint="eastAsia" w:ascii="宋体" w:hAnsi="宋体"/>
          <w:b/>
          <w:color w:val="auto"/>
          <w:sz w:val="30"/>
          <w:szCs w:val="30"/>
          <w:highlight w:val="none"/>
        </w:rPr>
        <w:t>第七部分 资格审查和评标</w:t>
      </w:r>
      <w:bookmarkEnd w:id="306"/>
      <w:r>
        <w:rPr>
          <w:rFonts w:hint="eastAsia" w:ascii="宋体" w:hAnsi="宋体"/>
          <w:b/>
          <w:color w:val="auto"/>
          <w:sz w:val="30"/>
          <w:szCs w:val="30"/>
          <w:highlight w:val="none"/>
        </w:rPr>
        <w:t>办法</w:t>
      </w:r>
    </w:p>
    <w:p w14:paraId="2EF3A24C">
      <w:pPr>
        <w:spacing w:line="300" w:lineRule="auto"/>
        <w:ind w:firstLine="480" w:firstLineChars="200"/>
        <w:rPr>
          <w:rFonts w:ascii="宋体" w:hAnsi="宋体"/>
          <w:color w:val="auto"/>
          <w:sz w:val="24"/>
          <w:highlight w:val="none"/>
        </w:rPr>
      </w:pPr>
      <w:r>
        <w:rPr>
          <w:rFonts w:hint="eastAsia" w:hAnsi="宋体" w:cs="仿宋_GB2312"/>
          <w:color w:val="auto"/>
          <w:sz w:val="24"/>
          <w:highlight w:val="none"/>
        </w:rPr>
        <w:t>一、投标文件的</w:t>
      </w:r>
      <w:r>
        <w:rPr>
          <w:rFonts w:hint="eastAsia" w:ascii="宋体" w:hAnsi="宋体"/>
          <w:color w:val="auto"/>
          <w:sz w:val="24"/>
          <w:highlight w:val="none"/>
        </w:rPr>
        <w:t>资格性检查</w:t>
      </w:r>
    </w:p>
    <w:tbl>
      <w:tblPr>
        <w:tblStyle w:val="40"/>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gridCol w:w="45"/>
      </w:tblGrid>
      <w:tr w14:paraId="640A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838" w:hRule="atLeast"/>
        </w:trPr>
        <w:tc>
          <w:tcPr>
            <w:tcW w:w="1001" w:type="dxa"/>
            <w:shd w:val="clear" w:color="auto" w:fill="FFFFFF"/>
            <w:vAlign w:val="center"/>
          </w:tcPr>
          <w:p w14:paraId="53A60DB6">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3" w:type="dxa"/>
            <w:gridSpan w:val="2"/>
            <w:shd w:val="clear" w:color="auto" w:fill="FFFFFF"/>
            <w:vAlign w:val="center"/>
          </w:tcPr>
          <w:p w14:paraId="2468D044">
            <w:pPr>
              <w:ind w:right="-124" w:rightChars="-59"/>
              <w:jc w:val="center"/>
              <w:rPr>
                <w:rFonts w:ascii="宋体" w:hAnsi="宋体" w:cs="宋体"/>
                <w:b/>
                <w:bCs/>
                <w:color w:val="auto"/>
                <w:sz w:val="24"/>
                <w:highlight w:val="none"/>
              </w:rPr>
            </w:pPr>
            <w:r>
              <w:rPr>
                <w:rFonts w:hint="eastAsia" w:ascii="宋体" w:hAnsi="宋体" w:cs="宋体"/>
                <w:b/>
                <w:bCs/>
                <w:color w:val="auto"/>
                <w:sz w:val="24"/>
                <w:highlight w:val="none"/>
              </w:rPr>
              <w:t>审查内容</w:t>
            </w:r>
          </w:p>
        </w:tc>
      </w:tr>
      <w:tr w14:paraId="6EF0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0436CAED">
            <w:pPr>
              <w:jc w:val="center"/>
              <w:rPr>
                <w:rFonts w:ascii="宋体" w:hAnsi="宋体" w:cs="Tahoma"/>
                <w:color w:val="auto"/>
                <w:sz w:val="24"/>
                <w:highlight w:val="none"/>
              </w:rPr>
            </w:pPr>
            <w:r>
              <w:rPr>
                <w:rFonts w:hint="eastAsia" w:ascii="宋体" w:hAnsi="宋体" w:cs="Tahoma"/>
                <w:color w:val="auto"/>
                <w:sz w:val="24"/>
                <w:highlight w:val="none"/>
              </w:rPr>
              <w:t>1</w:t>
            </w:r>
          </w:p>
        </w:tc>
        <w:tc>
          <w:tcPr>
            <w:tcW w:w="2296" w:type="dxa"/>
            <w:vMerge w:val="restart"/>
            <w:vAlign w:val="center"/>
          </w:tcPr>
          <w:p w14:paraId="451388DD">
            <w:pPr>
              <w:rPr>
                <w:rFonts w:ascii="宋体" w:hAnsi="宋体" w:cs="Tahoma"/>
                <w:color w:val="auto"/>
                <w:sz w:val="24"/>
                <w:highlight w:val="none"/>
              </w:rPr>
            </w:pPr>
            <w:r>
              <w:rPr>
                <w:rFonts w:hint="eastAsia" w:ascii="宋体" w:hAnsi="宋体" w:cs="Tahoma"/>
                <w:color w:val="auto"/>
                <w:kern w:val="28"/>
                <w:sz w:val="24"/>
                <w:highlight w:val="none"/>
              </w:rPr>
              <w:t>具备《政府采购法》第二十二条供应商资格条件</w:t>
            </w:r>
          </w:p>
        </w:tc>
        <w:tc>
          <w:tcPr>
            <w:tcW w:w="6482" w:type="dxa"/>
            <w:gridSpan w:val="2"/>
            <w:vAlign w:val="center"/>
          </w:tcPr>
          <w:p w14:paraId="19766AEB">
            <w:pPr>
              <w:rPr>
                <w:rFonts w:ascii="宋体" w:hAnsi="宋体" w:cs="Tahoma"/>
                <w:color w:val="auto"/>
                <w:sz w:val="24"/>
                <w:highlight w:val="none"/>
              </w:rPr>
            </w:pPr>
            <w:r>
              <w:rPr>
                <w:rFonts w:hint="eastAsia" w:ascii="宋体" w:hAnsi="宋体" w:cs="Tahoma"/>
                <w:color w:val="auto"/>
                <w:sz w:val="24"/>
                <w:highlight w:val="none"/>
              </w:rPr>
              <w:t>具有独立承担民事责任的能力；</w:t>
            </w:r>
            <w:r>
              <w:rPr>
                <w:rFonts w:hint="eastAsia" w:ascii="宋体" w:hAnsi="宋体"/>
                <w:color w:val="auto"/>
                <w:kern w:val="0"/>
                <w:sz w:val="24"/>
                <w:highlight w:val="none"/>
              </w:rPr>
              <w:t xml:space="preserve"> </w:t>
            </w:r>
          </w:p>
        </w:tc>
      </w:tr>
      <w:tr w14:paraId="7C16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18393642">
            <w:pPr>
              <w:jc w:val="center"/>
              <w:rPr>
                <w:rFonts w:ascii="宋体" w:hAnsi="宋体" w:cs="Tahoma"/>
                <w:color w:val="auto"/>
                <w:kern w:val="28"/>
                <w:sz w:val="24"/>
                <w:highlight w:val="none"/>
              </w:rPr>
            </w:pPr>
          </w:p>
        </w:tc>
        <w:tc>
          <w:tcPr>
            <w:tcW w:w="2296" w:type="dxa"/>
            <w:vMerge w:val="continue"/>
            <w:vAlign w:val="center"/>
          </w:tcPr>
          <w:p w14:paraId="65E3397F">
            <w:pPr>
              <w:rPr>
                <w:rFonts w:ascii="宋体" w:hAnsi="宋体" w:cs="Tahoma"/>
                <w:color w:val="auto"/>
                <w:kern w:val="28"/>
                <w:sz w:val="24"/>
                <w:highlight w:val="none"/>
              </w:rPr>
            </w:pPr>
          </w:p>
        </w:tc>
        <w:tc>
          <w:tcPr>
            <w:tcW w:w="6482" w:type="dxa"/>
            <w:gridSpan w:val="2"/>
            <w:vAlign w:val="center"/>
          </w:tcPr>
          <w:p w14:paraId="5921ADD4">
            <w:pPr>
              <w:rPr>
                <w:rFonts w:ascii="宋体" w:hAnsi="宋体" w:cs="Tahoma"/>
                <w:color w:val="auto"/>
                <w:sz w:val="24"/>
                <w:highlight w:val="none"/>
              </w:rPr>
            </w:pPr>
            <w:r>
              <w:rPr>
                <w:rFonts w:hint="eastAsia" w:ascii="宋体" w:hAnsi="宋体" w:cs="Tahoma"/>
                <w:color w:val="auto"/>
                <w:sz w:val="24"/>
                <w:highlight w:val="none"/>
              </w:rPr>
              <w:t xml:space="preserve">具有良好的商业信誉和健全的财务会计制度； </w:t>
            </w:r>
          </w:p>
        </w:tc>
      </w:tr>
      <w:tr w14:paraId="42A2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614D1D2">
            <w:pPr>
              <w:jc w:val="center"/>
              <w:rPr>
                <w:rFonts w:ascii="宋体" w:hAnsi="宋体" w:cs="Tahoma"/>
                <w:color w:val="auto"/>
                <w:kern w:val="28"/>
                <w:sz w:val="24"/>
                <w:highlight w:val="none"/>
              </w:rPr>
            </w:pPr>
          </w:p>
        </w:tc>
        <w:tc>
          <w:tcPr>
            <w:tcW w:w="2296" w:type="dxa"/>
            <w:vMerge w:val="continue"/>
            <w:vAlign w:val="center"/>
          </w:tcPr>
          <w:p w14:paraId="67C20C79">
            <w:pPr>
              <w:rPr>
                <w:rFonts w:ascii="宋体" w:hAnsi="宋体" w:cs="Tahoma"/>
                <w:color w:val="auto"/>
                <w:kern w:val="28"/>
                <w:sz w:val="24"/>
                <w:highlight w:val="none"/>
              </w:rPr>
            </w:pPr>
          </w:p>
        </w:tc>
        <w:tc>
          <w:tcPr>
            <w:tcW w:w="6482" w:type="dxa"/>
            <w:gridSpan w:val="2"/>
            <w:vAlign w:val="center"/>
          </w:tcPr>
          <w:p w14:paraId="1A657E16">
            <w:pPr>
              <w:rPr>
                <w:rFonts w:ascii="宋体" w:hAnsi="宋体" w:cs="Tahoma"/>
                <w:color w:val="auto"/>
                <w:sz w:val="24"/>
                <w:highlight w:val="none"/>
              </w:rPr>
            </w:pPr>
            <w:r>
              <w:rPr>
                <w:rFonts w:hint="eastAsia" w:ascii="宋体" w:hAnsi="宋体" w:cs="Tahoma"/>
                <w:color w:val="auto"/>
                <w:sz w:val="24"/>
                <w:highlight w:val="none"/>
              </w:rPr>
              <w:t xml:space="preserve">具有履行合同所必需的设备和专业技术能力； </w:t>
            </w:r>
          </w:p>
        </w:tc>
      </w:tr>
      <w:tr w14:paraId="3672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CF9762C">
            <w:pPr>
              <w:jc w:val="center"/>
              <w:rPr>
                <w:rFonts w:ascii="宋体" w:hAnsi="宋体" w:cs="Tahoma"/>
                <w:color w:val="auto"/>
                <w:kern w:val="28"/>
                <w:sz w:val="24"/>
                <w:highlight w:val="none"/>
              </w:rPr>
            </w:pPr>
          </w:p>
        </w:tc>
        <w:tc>
          <w:tcPr>
            <w:tcW w:w="2296" w:type="dxa"/>
            <w:vMerge w:val="continue"/>
            <w:vAlign w:val="center"/>
          </w:tcPr>
          <w:p w14:paraId="09376A34">
            <w:pPr>
              <w:rPr>
                <w:rFonts w:ascii="宋体" w:hAnsi="宋体" w:cs="Tahoma"/>
                <w:color w:val="auto"/>
                <w:kern w:val="28"/>
                <w:sz w:val="24"/>
                <w:highlight w:val="none"/>
              </w:rPr>
            </w:pPr>
          </w:p>
        </w:tc>
        <w:tc>
          <w:tcPr>
            <w:tcW w:w="6482" w:type="dxa"/>
            <w:gridSpan w:val="2"/>
            <w:vAlign w:val="center"/>
          </w:tcPr>
          <w:p w14:paraId="2DF1F5E1">
            <w:pPr>
              <w:rPr>
                <w:rFonts w:ascii="宋体" w:hAnsi="宋体" w:cs="Tahoma"/>
                <w:color w:val="auto"/>
                <w:sz w:val="24"/>
                <w:highlight w:val="none"/>
              </w:rPr>
            </w:pPr>
            <w:r>
              <w:rPr>
                <w:rFonts w:hint="eastAsia" w:ascii="宋体" w:hAnsi="宋体" w:cs="Tahoma"/>
                <w:color w:val="auto"/>
                <w:sz w:val="24"/>
                <w:highlight w:val="none"/>
              </w:rPr>
              <w:t xml:space="preserve">有依法缴纳税收和社会保障资金的良好记录； </w:t>
            </w:r>
          </w:p>
        </w:tc>
      </w:tr>
      <w:tr w14:paraId="24A2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60BC53FC">
            <w:pPr>
              <w:jc w:val="center"/>
              <w:rPr>
                <w:rFonts w:ascii="宋体" w:hAnsi="宋体" w:cs="Tahoma"/>
                <w:color w:val="auto"/>
                <w:kern w:val="28"/>
                <w:sz w:val="24"/>
                <w:highlight w:val="none"/>
              </w:rPr>
            </w:pPr>
          </w:p>
        </w:tc>
        <w:tc>
          <w:tcPr>
            <w:tcW w:w="2296" w:type="dxa"/>
            <w:vMerge w:val="continue"/>
            <w:vAlign w:val="center"/>
          </w:tcPr>
          <w:p w14:paraId="33EED10D">
            <w:pPr>
              <w:rPr>
                <w:rFonts w:ascii="宋体" w:hAnsi="宋体" w:cs="Tahoma"/>
                <w:color w:val="auto"/>
                <w:kern w:val="28"/>
                <w:sz w:val="24"/>
                <w:highlight w:val="none"/>
              </w:rPr>
            </w:pPr>
          </w:p>
        </w:tc>
        <w:tc>
          <w:tcPr>
            <w:tcW w:w="6482" w:type="dxa"/>
            <w:gridSpan w:val="2"/>
            <w:vAlign w:val="center"/>
          </w:tcPr>
          <w:p w14:paraId="6BD6A5C7">
            <w:pPr>
              <w:rPr>
                <w:rFonts w:ascii="宋体" w:hAnsi="宋体" w:cs="Tahoma"/>
                <w:color w:val="auto"/>
                <w:sz w:val="24"/>
                <w:highlight w:val="none"/>
              </w:rPr>
            </w:pPr>
            <w:r>
              <w:rPr>
                <w:rFonts w:hint="eastAsia" w:ascii="宋体" w:hAnsi="宋体" w:cs="Tahoma"/>
                <w:color w:val="auto"/>
                <w:sz w:val="24"/>
                <w:highlight w:val="none"/>
              </w:rPr>
              <w:t xml:space="preserve">参加招标投标活动前三年内，在经营活动中没有重大违法记录； </w:t>
            </w:r>
          </w:p>
        </w:tc>
      </w:tr>
      <w:tr w14:paraId="706F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123E5BF4">
            <w:pPr>
              <w:jc w:val="center"/>
              <w:rPr>
                <w:rFonts w:ascii="宋体" w:hAnsi="宋体" w:cs="Tahoma"/>
                <w:color w:val="auto"/>
                <w:kern w:val="28"/>
                <w:sz w:val="24"/>
                <w:highlight w:val="none"/>
              </w:rPr>
            </w:pPr>
          </w:p>
        </w:tc>
        <w:tc>
          <w:tcPr>
            <w:tcW w:w="2296" w:type="dxa"/>
            <w:vMerge w:val="continue"/>
            <w:vAlign w:val="center"/>
          </w:tcPr>
          <w:p w14:paraId="7D5A659F">
            <w:pPr>
              <w:rPr>
                <w:rFonts w:ascii="宋体" w:hAnsi="宋体" w:cs="Tahoma"/>
                <w:color w:val="auto"/>
                <w:kern w:val="28"/>
                <w:sz w:val="24"/>
                <w:highlight w:val="none"/>
              </w:rPr>
            </w:pPr>
          </w:p>
        </w:tc>
        <w:tc>
          <w:tcPr>
            <w:tcW w:w="6482" w:type="dxa"/>
            <w:gridSpan w:val="2"/>
            <w:vAlign w:val="center"/>
          </w:tcPr>
          <w:p w14:paraId="0FF977A1">
            <w:pPr>
              <w:rPr>
                <w:rFonts w:ascii="宋体" w:hAnsi="宋体" w:cs="Tahoma"/>
                <w:color w:val="auto"/>
                <w:sz w:val="24"/>
                <w:highlight w:val="none"/>
              </w:rPr>
            </w:pPr>
            <w:r>
              <w:rPr>
                <w:rFonts w:hint="eastAsia" w:ascii="宋体" w:hAnsi="宋体" w:cs="Tahoma"/>
                <w:color w:val="auto"/>
                <w:sz w:val="24"/>
                <w:highlight w:val="none"/>
              </w:rPr>
              <w:t>法律、行政法规规定的其他条件</w:t>
            </w:r>
          </w:p>
        </w:tc>
      </w:tr>
      <w:tr w14:paraId="2B6C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723E8D23">
            <w:pPr>
              <w:jc w:val="center"/>
              <w:rPr>
                <w:rFonts w:ascii="宋体" w:hAnsi="宋体" w:cs="Tahoma"/>
                <w:color w:val="auto"/>
                <w:kern w:val="28"/>
                <w:sz w:val="24"/>
                <w:highlight w:val="none"/>
              </w:rPr>
            </w:pPr>
            <w:r>
              <w:rPr>
                <w:rFonts w:hint="eastAsia" w:ascii="宋体" w:hAnsi="宋体" w:cs="Tahoma"/>
                <w:color w:val="auto"/>
                <w:kern w:val="28"/>
                <w:sz w:val="24"/>
                <w:highlight w:val="none"/>
              </w:rPr>
              <w:t>2</w:t>
            </w:r>
          </w:p>
        </w:tc>
        <w:tc>
          <w:tcPr>
            <w:tcW w:w="8733" w:type="dxa"/>
            <w:gridSpan w:val="2"/>
            <w:vAlign w:val="center"/>
          </w:tcPr>
          <w:p w14:paraId="64B97238">
            <w:pPr>
              <w:tabs>
                <w:tab w:val="left" w:pos="1080"/>
              </w:tabs>
              <w:snapToGrid w:val="0"/>
              <w:rPr>
                <w:rFonts w:ascii="宋体" w:hAnsi="宋体" w:cs="宋体"/>
                <w:color w:val="auto"/>
                <w:kern w:val="0"/>
                <w:sz w:val="24"/>
                <w:highlight w:val="none"/>
              </w:rPr>
            </w:pPr>
            <w:r>
              <w:rPr>
                <w:rFonts w:hint="eastAsia" w:ascii="宋体" w:hAnsi="宋体" w:cs="宋体"/>
                <w:color w:val="auto"/>
                <w:kern w:val="0"/>
                <w:sz w:val="24"/>
                <w:highlight w:val="none"/>
              </w:rPr>
              <w:t>在中华人民共和国境内依法注册的，具有独立承担民事责任能力，遵守国家法律法规，具有良好信誉，具有履行合同能力和良好的履行合同的记录，具有良好资金、财务状况的企事业法人、其他组织或者自然人</w:t>
            </w:r>
          </w:p>
          <w:p w14:paraId="395FCDF3">
            <w:pPr>
              <w:tabs>
                <w:tab w:val="left" w:pos="1080"/>
              </w:tabs>
              <w:snapToGrid w:val="0"/>
              <w:rPr>
                <w:rFonts w:ascii="宋体" w:hAnsi="宋体" w:cs="Tahoma"/>
                <w:color w:val="auto"/>
                <w:sz w:val="24"/>
                <w:highlight w:val="none"/>
              </w:rPr>
            </w:pPr>
            <w:r>
              <w:rPr>
                <w:b/>
                <w:bCs/>
                <w:color w:val="auto"/>
                <w:sz w:val="24"/>
                <w:highlight w:val="none"/>
              </w:rPr>
              <w:t>投标人为企业（包括合伙企业）的，应提供有效的“营业执照”；投标人为事业单位的，应提供有效的“事业单位法人证书”；</w:t>
            </w:r>
            <w:r>
              <w:rPr>
                <w:rFonts w:hint="eastAsia"/>
                <w:b/>
                <w:bCs/>
                <w:color w:val="auto"/>
                <w:sz w:val="24"/>
                <w:highlight w:val="none"/>
              </w:rPr>
              <w:t>投标人是非企业机构的，应提供有效的“执业许可证”、“登记证书”等证明文件；</w:t>
            </w:r>
            <w:r>
              <w:rPr>
                <w:b/>
                <w:bCs/>
                <w:color w:val="auto"/>
                <w:sz w:val="24"/>
                <w:highlight w:val="none"/>
              </w:rPr>
              <w:t>投标人是个体工商户的，应提供有效的“个体工商户营业执照”；投标人是自然人的，应提供有效的自然人身份证明</w:t>
            </w:r>
          </w:p>
        </w:tc>
      </w:tr>
      <w:tr w14:paraId="061F8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01CBC5AD">
            <w:pPr>
              <w:jc w:val="center"/>
              <w:rPr>
                <w:rFonts w:ascii="宋体" w:hAnsi="宋体" w:cs="Tahoma"/>
                <w:color w:val="auto"/>
                <w:kern w:val="28"/>
                <w:sz w:val="24"/>
                <w:highlight w:val="none"/>
              </w:rPr>
            </w:pPr>
            <w:r>
              <w:rPr>
                <w:rFonts w:hint="eastAsia" w:ascii="宋体" w:hAnsi="宋体" w:cs="Tahoma"/>
                <w:color w:val="auto"/>
                <w:kern w:val="28"/>
                <w:sz w:val="24"/>
                <w:highlight w:val="none"/>
              </w:rPr>
              <w:t>3</w:t>
            </w:r>
          </w:p>
        </w:tc>
        <w:tc>
          <w:tcPr>
            <w:tcW w:w="8733" w:type="dxa"/>
            <w:gridSpan w:val="2"/>
            <w:shd w:val="clear" w:color="auto" w:fill="auto"/>
            <w:vAlign w:val="center"/>
          </w:tcPr>
          <w:p w14:paraId="016B22B7">
            <w:pPr>
              <w:jc w:val="left"/>
              <w:rPr>
                <w:rFonts w:ascii="宋体" w:hAnsi="宋体" w:cs="Tahoma"/>
                <w:color w:val="auto"/>
                <w:sz w:val="24"/>
                <w:highlight w:val="none"/>
              </w:rPr>
            </w:pPr>
            <w:r>
              <w:rPr>
                <w:rFonts w:ascii="FZShuSong-Z01" w:hAnsi="FZShuSong-Z01" w:eastAsia="FZShuSong-Z01" w:cs="FZShuSong-Z01"/>
                <w:color w:val="auto"/>
                <w:kern w:val="0"/>
                <w:sz w:val="24"/>
                <w:highlight w:val="none"/>
                <w:lang w:bidi="ar"/>
              </w:rPr>
              <w:t>提供符合招标文件要求的《投标人资格声明书》。</w:t>
            </w:r>
          </w:p>
        </w:tc>
      </w:tr>
      <w:tr w14:paraId="2EDF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02B2FC5D">
            <w:pPr>
              <w:jc w:val="center"/>
              <w:rPr>
                <w:rFonts w:ascii="宋体" w:hAnsi="宋体" w:cs="Tahoma"/>
                <w:color w:val="auto"/>
                <w:kern w:val="28"/>
                <w:sz w:val="24"/>
                <w:highlight w:val="none"/>
              </w:rPr>
            </w:pPr>
            <w:r>
              <w:rPr>
                <w:rFonts w:hint="eastAsia" w:ascii="宋体" w:hAnsi="宋体" w:cs="Tahoma"/>
                <w:color w:val="auto"/>
                <w:kern w:val="28"/>
                <w:sz w:val="24"/>
                <w:highlight w:val="none"/>
              </w:rPr>
              <w:t>4</w:t>
            </w:r>
          </w:p>
        </w:tc>
        <w:tc>
          <w:tcPr>
            <w:tcW w:w="8733" w:type="dxa"/>
            <w:gridSpan w:val="2"/>
            <w:shd w:val="clear" w:color="auto" w:fill="auto"/>
            <w:vAlign w:val="center"/>
          </w:tcPr>
          <w:p w14:paraId="2788317E">
            <w:pPr>
              <w:jc w:val="left"/>
              <w:rPr>
                <w:rFonts w:ascii="宋体" w:hAnsi="宋体" w:cs="Tahoma"/>
                <w:color w:val="auto"/>
                <w:sz w:val="24"/>
                <w:highlight w:val="none"/>
              </w:rPr>
            </w:pPr>
            <w:r>
              <w:rPr>
                <w:rFonts w:hint="eastAsia" w:ascii="宋体" w:hAnsi="宋体"/>
                <w:color w:val="auto"/>
                <w:sz w:val="24"/>
                <w:highlight w:val="none"/>
              </w:rPr>
              <w:t>按本投标邀请的规定获取招标文件</w:t>
            </w:r>
          </w:p>
        </w:tc>
      </w:tr>
      <w:tr w14:paraId="2B774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4D5204B6">
            <w:pPr>
              <w:jc w:val="center"/>
              <w:rPr>
                <w:rFonts w:ascii="宋体" w:hAnsi="宋体" w:cs="Tahoma"/>
                <w:color w:val="auto"/>
                <w:kern w:val="28"/>
                <w:sz w:val="24"/>
                <w:highlight w:val="none"/>
              </w:rPr>
            </w:pPr>
            <w:r>
              <w:rPr>
                <w:rFonts w:hint="eastAsia" w:ascii="宋体" w:hAnsi="宋体" w:cs="Tahoma"/>
                <w:color w:val="auto"/>
                <w:kern w:val="28"/>
                <w:sz w:val="24"/>
                <w:highlight w:val="none"/>
              </w:rPr>
              <w:t>5</w:t>
            </w:r>
          </w:p>
        </w:tc>
        <w:tc>
          <w:tcPr>
            <w:tcW w:w="8733" w:type="dxa"/>
            <w:gridSpan w:val="2"/>
            <w:shd w:val="clear" w:color="auto" w:fill="auto"/>
            <w:vAlign w:val="center"/>
          </w:tcPr>
          <w:p w14:paraId="5E8B9245">
            <w:pPr>
              <w:jc w:val="left"/>
              <w:rPr>
                <w:rFonts w:ascii="宋体" w:hAnsi="宋体"/>
                <w:color w:val="auto"/>
                <w:sz w:val="24"/>
                <w:highlight w:val="none"/>
              </w:rPr>
            </w:pPr>
            <w:r>
              <w:rPr>
                <w:rFonts w:hint="eastAsia" w:ascii="宋体" w:hAnsi="宋体"/>
                <w:color w:val="auto"/>
                <w:sz w:val="24"/>
                <w:highlight w:val="none"/>
              </w:rPr>
              <w:t>本项目不接受联合体投标</w:t>
            </w:r>
          </w:p>
        </w:tc>
      </w:tr>
      <w:tr w14:paraId="1672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1943BAA3">
            <w:pPr>
              <w:jc w:val="center"/>
              <w:rPr>
                <w:rFonts w:ascii="宋体" w:hAnsi="宋体" w:cs="Tahoma"/>
                <w:color w:val="auto"/>
                <w:kern w:val="28"/>
                <w:sz w:val="24"/>
                <w:highlight w:val="none"/>
              </w:rPr>
            </w:pPr>
            <w:r>
              <w:rPr>
                <w:rFonts w:hint="eastAsia" w:ascii="宋体" w:hAnsi="宋体" w:cs="Tahoma"/>
                <w:color w:val="auto"/>
                <w:kern w:val="28"/>
                <w:sz w:val="24"/>
                <w:highlight w:val="none"/>
              </w:rPr>
              <w:t>6</w:t>
            </w:r>
          </w:p>
        </w:tc>
        <w:tc>
          <w:tcPr>
            <w:tcW w:w="8733" w:type="dxa"/>
            <w:gridSpan w:val="2"/>
            <w:shd w:val="clear" w:color="auto" w:fill="auto"/>
            <w:vAlign w:val="center"/>
          </w:tcPr>
          <w:p w14:paraId="565BAFC4">
            <w:pPr>
              <w:jc w:val="left"/>
              <w:rPr>
                <w:rFonts w:ascii="宋体" w:hAnsi="宋体" w:cs="Tahoma"/>
                <w:color w:val="auto"/>
                <w:kern w:val="28"/>
                <w:sz w:val="24"/>
                <w:highlight w:val="none"/>
              </w:rPr>
            </w:pPr>
            <w:r>
              <w:rPr>
                <w:rFonts w:hint="eastAsia" w:ascii="宋体" w:hAnsi="宋体"/>
                <w:color w:val="auto"/>
                <w:sz w:val="24"/>
                <w:highlight w:val="none"/>
              </w:rPr>
              <w:t>本项目不允许分包和转包</w:t>
            </w:r>
          </w:p>
        </w:tc>
      </w:tr>
      <w:tr w14:paraId="0534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5115651C">
            <w:pPr>
              <w:jc w:val="center"/>
              <w:rPr>
                <w:rFonts w:ascii="宋体" w:hAnsi="宋体" w:cs="Tahoma"/>
                <w:color w:val="auto"/>
                <w:kern w:val="28"/>
                <w:sz w:val="24"/>
                <w:highlight w:val="none"/>
              </w:rPr>
            </w:pPr>
            <w:r>
              <w:rPr>
                <w:rFonts w:hint="eastAsia" w:ascii="宋体" w:hAnsi="宋体" w:cs="Tahoma"/>
                <w:color w:val="auto"/>
                <w:kern w:val="28"/>
                <w:sz w:val="24"/>
                <w:highlight w:val="none"/>
              </w:rPr>
              <w:t>7</w:t>
            </w:r>
          </w:p>
        </w:tc>
        <w:tc>
          <w:tcPr>
            <w:tcW w:w="8733" w:type="dxa"/>
            <w:gridSpan w:val="2"/>
            <w:shd w:val="clear" w:color="auto" w:fill="auto"/>
            <w:vAlign w:val="center"/>
          </w:tcPr>
          <w:p w14:paraId="3CD4C926">
            <w:pPr>
              <w:rPr>
                <w:color w:val="auto"/>
                <w:sz w:val="24"/>
                <w:highlight w:val="none"/>
              </w:rPr>
            </w:pPr>
            <w:r>
              <w:rPr>
                <w:rFonts w:hint="eastAsia"/>
                <w:color w:val="auto"/>
                <w:sz w:val="24"/>
                <w:highlight w:val="none"/>
              </w:rPr>
              <w:t>投标人未被列入</w:t>
            </w:r>
            <w:r>
              <w:rPr>
                <w:color w:val="auto"/>
                <w:sz w:val="24"/>
                <w:highlight w:val="none"/>
              </w:rPr>
              <w:t>“</w:t>
            </w:r>
            <w:r>
              <w:rPr>
                <w:rFonts w:hint="eastAsia"/>
                <w:color w:val="auto"/>
                <w:sz w:val="24"/>
                <w:highlight w:val="none"/>
              </w:rPr>
              <w:t>信用中国</w:t>
            </w:r>
            <w:r>
              <w:rPr>
                <w:color w:val="auto"/>
                <w:sz w:val="24"/>
                <w:highlight w:val="none"/>
              </w:rPr>
              <w:t>”</w:t>
            </w:r>
            <w:r>
              <w:rPr>
                <w:rFonts w:hint="eastAsia"/>
                <w:color w:val="auto"/>
                <w:sz w:val="24"/>
                <w:highlight w:val="none"/>
              </w:rPr>
              <w:t>网站</w:t>
            </w:r>
            <w:r>
              <w:rPr>
                <w:color w:val="auto"/>
                <w:sz w:val="24"/>
                <w:highlight w:val="none"/>
              </w:rPr>
              <w:t>(www.creditchina.gov.cn)“</w:t>
            </w:r>
            <w:r>
              <w:rPr>
                <w:rFonts w:hint="eastAsia"/>
                <w:color w:val="auto"/>
                <w:sz w:val="24"/>
                <w:highlight w:val="none"/>
              </w:rPr>
              <w:t>记录失信被执行人或重大税收违法案件当事人名单或政府采购严重违法失信行为</w:t>
            </w:r>
            <w:r>
              <w:rPr>
                <w:color w:val="auto"/>
                <w:sz w:val="24"/>
                <w:highlight w:val="none"/>
              </w:rPr>
              <w:t>”</w:t>
            </w:r>
            <w:r>
              <w:rPr>
                <w:rFonts w:hint="eastAsia"/>
                <w:color w:val="auto"/>
                <w:sz w:val="24"/>
                <w:highlight w:val="none"/>
              </w:rPr>
              <w:t>记录名单；不处于中国政府采购网</w:t>
            </w:r>
            <w:r>
              <w:rPr>
                <w:color w:val="auto"/>
                <w:sz w:val="24"/>
                <w:highlight w:val="none"/>
              </w:rPr>
              <w:t>(www.ccgp.gov.cn)“</w:t>
            </w:r>
            <w:r>
              <w:rPr>
                <w:rFonts w:hint="eastAsia"/>
                <w:color w:val="auto"/>
                <w:sz w:val="24"/>
                <w:highlight w:val="none"/>
              </w:rPr>
              <w:t>政府采购严重违法失信行为信息记录</w:t>
            </w:r>
            <w:r>
              <w:rPr>
                <w:color w:val="auto"/>
                <w:sz w:val="24"/>
                <w:highlight w:val="none"/>
              </w:rPr>
              <w:t>”</w:t>
            </w:r>
            <w:r>
              <w:rPr>
                <w:rFonts w:hint="eastAsia"/>
                <w:color w:val="auto"/>
                <w:sz w:val="24"/>
                <w:highlight w:val="none"/>
              </w:rPr>
              <w:t>中的禁止参加政府采购活动期间。</w:t>
            </w:r>
          </w:p>
          <w:p w14:paraId="4A3598D0">
            <w:pPr>
              <w:widowControl/>
              <w:jc w:val="left"/>
              <w:rPr>
                <w:color w:val="auto"/>
                <w:sz w:val="24"/>
                <w:highlight w:val="none"/>
              </w:rPr>
            </w:pPr>
            <w:r>
              <w:rPr>
                <w:rFonts w:hint="eastAsia"/>
                <w:b/>
                <w:bCs/>
                <w:color w:val="auto"/>
                <w:sz w:val="24"/>
                <w:highlight w:val="none"/>
              </w:rPr>
              <w:t>以采购代理机构于投标截止日当天在</w:t>
            </w:r>
            <w:r>
              <w:rPr>
                <w:b/>
                <w:bCs/>
                <w:color w:val="auto"/>
                <w:sz w:val="24"/>
                <w:highlight w:val="none"/>
              </w:rPr>
              <w:t>“</w:t>
            </w:r>
            <w:r>
              <w:rPr>
                <w:rFonts w:hint="eastAsia"/>
                <w:b/>
                <w:bCs/>
                <w:color w:val="auto"/>
                <w:sz w:val="24"/>
                <w:highlight w:val="none"/>
              </w:rPr>
              <w:t>信用中国</w:t>
            </w:r>
            <w:r>
              <w:rPr>
                <w:b/>
                <w:bCs/>
                <w:color w:val="auto"/>
                <w:sz w:val="24"/>
                <w:highlight w:val="none"/>
              </w:rPr>
              <w:t>”</w:t>
            </w:r>
            <w:r>
              <w:rPr>
                <w:rFonts w:hint="eastAsia"/>
                <w:b/>
                <w:bCs/>
                <w:color w:val="auto"/>
                <w:sz w:val="24"/>
                <w:highlight w:val="none"/>
              </w:rPr>
              <w:t>网站（</w:t>
            </w:r>
            <w:r>
              <w:rPr>
                <w:b/>
                <w:bCs/>
                <w:color w:val="auto"/>
                <w:sz w:val="24"/>
                <w:highlight w:val="none"/>
              </w:rPr>
              <w:t>www.creditchina.gov.cn</w:t>
            </w:r>
            <w:r>
              <w:rPr>
                <w:rFonts w:hint="eastAsia"/>
                <w:b/>
                <w:bCs/>
                <w:color w:val="auto"/>
                <w:sz w:val="24"/>
                <w:highlight w:val="none"/>
              </w:rPr>
              <w:t>）及中国政府采购网（</w:t>
            </w:r>
            <w:r>
              <w:rPr>
                <w:b/>
                <w:bCs/>
                <w:color w:val="auto"/>
                <w:sz w:val="24"/>
                <w:highlight w:val="none"/>
              </w:rPr>
              <w:t>http://www.ccgp.gov.cn/</w:t>
            </w:r>
            <w:r>
              <w:rPr>
                <w:rFonts w:hint="eastAsia"/>
                <w:b/>
                <w:bCs/>
                <w:color w:val="auto"/>
                <w:sz w:val="24"/>
                <w:highlight w:val="none"/>
              </w:rPr>
              <w:t>）查询结果为准，如相关失信记录已失效，投标人需提供相关证明资料</w:t>
            </w:r>
            <w:r>
              <w:rPr>
                <w:rFonts w:hint="eastAsia" w:ascii="宋体" w:hAnsi="宋体" w:cs="Tahoma"/>
                <w:b/>
                <w:bCs/>
                <w:color w:val="auto"/>
                <w:kern w:val="28"/>
                <w:sz w:val="24"/>
                <w:highlight w:val="none"/>
              </w:rPr>
              <w:t>。</w:t>
            </w:r>
          </w:p>
        </w:tc>
      </w:tr>
      <w:tr w14:paraId="74DD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90" w:hRule="atLeast"/>
        </w:trPr>
        <w:tc>
          <w:tcPr>
            <w:tcW w:w="1001" w:type="dxa"/>
            <w:vAlign w:val="center"/>
          </w:tcPr>
          <w:p w14:paraId="3DC30582">
            <w:pPr>
              <w:jc w:val="center"/>
              <w:rPr>
                <w:rFonts w:ascii="宋体" w:hAnsi="宋体" w:cs="Tahoma"/>
                <w:color w:val="auto"/>
                <w:kern w:val="28"/>
                <w:sz w:val="24"/>
                <w:highlight w:val="none"/>
              </w:rPr>
            </w:pPr>
            <w:r>
              <w:rPr>
                <w:rFonts w:hint="eastAsia" w:ascii="宋体" w:hAnsi="宋体" w:cs="Tahoma"/>
                <w:color w:val="auto"/>
                <w:kern w:val="28"/>
                <w:sz w:val="24"/>
                <w:highlight w:val="none"/>
              </w:rPr>
              <w:t>8</w:t>
            </w:r>
          </w:p>
        </w:tc>
        <w:tc>
          <w:tcPr>
            <w:tcW w:w="8733" w:type="dxa"/>
            <w:gridSpan w:val="2"/>
            <w:shd w:val="clear" w:color="auto" w:fill="auto"/>
            <w:vAlign w:val="center"/>
          </w:tcPr>
          <w:p w14:paraId="7DB71CEC">
            <w:pPr>
              <w:jc w:val="left"/>
              <w:rPr>
                <w:rFonts w:ascii="宋体" w:hAnsi="宋体" w:cs="Tahoma"/>
                <w:color w:val="auto"/>
                <w:sz w:val="24"/>
                <w:highlight w:val="none"/>
              </w:rPr>
            </w:pPr>
            <w:r>
              <w:rPr>
                <w:rFonts w:ascii="FZShuSong-Z01" w:hAnsi="FZShuSong-Z01" w:eastAsia="FZShuSong-Z01" w:cs="FZShuSong-Z01"/>
                <w:color w:val="auto"/>
                <w:kern w:val="0"/>
                <w:sz w:val="24"/>
                <w:highlight w:val="none"/>
                <w:lang w:bidi="ar"/>
              </w:rPr>
              <w:t>其他特定资格要求</w:t>
            </w:r>
            <w:r>
              <w:rPr>
                <w:rFonts w:hint="eastAsia" w:ascii="FZShuSong-Z01" w:hAnsi="FZShuSong-Z01" w:eastAsia="FZShuSong-Z01" w:cs="FZShuSong-Z01"/>
                <w:color w:val="auto"/>
                <w:kern w:val="0"/>
                <w:sz w:val="24"/>
                <w:highlight w:val="none"/>
                <w:lang w:bidi="ar"/>
              </w:rPr>
              <w:t>（</w:t>
            </w:r>
            <w:r>
              <w:rPr>
                <w:rFonts w:ascii="FZShuSong-Z01" w:hAnsi="FZShuSong-Z01" w:eastAsia="FZShuSong-Z01" w:cs="FZShuSong-Z01"/>
                <w:color w:val="auto"/>
                <w:kern w:val="0"/>
                <w:sz w:val="24"/>
                <w:highlight w:val="none"/>
                <w:lang w:bidi="ar"/>
              </w:rPr>
              <w:t>如有，见投标邀请</w:t>
            </w:r>
            <w:r>
              <w:rPr>
                <w:rFonts w:hint="eastAsia" w:ascii="FZShuSong-Z01" w:hAnsi="FZShuSong-Z01" w:eastAsia="FZShuSong-Z01" w:cs="FZShuSong-Z01"/>
                <w:color w:val="auto"/>
                <w:kern w:val="0"/>
                <w:sz w:val="24"/>
                <w:highlight w:val="none"/>
                <w:lang w:bidi="ar"/>
              </w:rPr>
              <w:t>）</w:t>
            </w:r>
          </w:p>
        </w:tc>
      </w:tr>
    </w:tbl>
    <w:p w14:paraId="6FDC868F">
      <w:pPr>
        <w:spacing w:line="300" w:lineRule="auto"/>
        <w:ind w:firstLine="480" w:firstLineChars="200"/>
        <w:rPr>
          <w:rFonts w:ascii="宋体" w:hAnsi="宋体"/>
          <w:color w:val="auto"/>
          <w:sz w:val="24"/>
          <w:highlight w:val="none"/>
        </w:rPr>
      </w:pPr>
    </w:p>
    <w:p w14:paraId="7A230944">
      <w:pPr>
        <w:spacing w:line="300" w:lineRule="auto"/>
        <w:rPr>
          <w:rFonts w:hAnsi="宋体" w:cs="仿宋_GB2312"/>
          <w:color w:val="auto"/>
          <w:sz w:val="24"/>
          <w:highlight w:val="none"/>
        </w:rPr>
      </w:pPr>
      <w:r>
        <w:rPr>
          <w:rFonts w:hint="eastAsia" w:hAnsi="宋体" w:cs="仿宋_GB2312"/>
          <w:color w:val="auto"/>
          <w:sz w:val="24"/>
          <w:highlight w:val="none"/>
        </w:rPr>
        <w:t>注：</w:t>
      </w:r>
      <w:r>
        <w:rPr>
          <w:rFonts w:hint="eastAsia" w:ascii="宋体" w:hAnsi="宋体" w:cs="宋体"/>
          <w:color w:val="auto"/>
          <w:kern w:val="0"/>
          <w:sz w:val="24"/>
          <w:highlight w:val="none"/>
          <w:lang w:bidi="ar"/>
        </w:rPr>
        <w:t>投标人的资格证明文件有任何一项不符合招标文件资格性要求的，资格审查不合格，其</w:t>
      </w:r>
      <w:r>
        <w:rPr>
          <w:rFonts w:hint="eastAsia" w:ascii="宋体" w:hAnsi="宋体" w:cs="宋体"/>
          <w:b/>
          <w:bCs/>
          <w:color w:val="auto"/>
          <w:kern w:val="0"/>
          <w:sz w:val="24"/>
          <w:highlight w:val="none"/>
          <w:lang w:bidi="ar"/>
        </w:rPr>
        <w:t>投标无效。</w:t>
      </w:r>
      <w:r>
        <w:rPr>
          <w:rFonts w:hint="eastAsia" w:hAnsi="宋体" w:cs="仿宋_GB2312"/>
          <w:color w:val="auto"/>
          <w:sz w:val="24"/>
          <w:highlight w:val="none"/>
        </w:rPr>
        <w:t>资格审查合格的投标人不足 3 家的，不进行评标。</w:t>
      </w:r>
    </w:p>
    <w:p w14:paraId="2D277682">
      <w:pPr>
        <w:spacing w:line="300" w:lineRule="auto"/>
        <w:ind w:firstLine="480" w:firstLineChars="200"/>
        <w:rPr>
          <w:rFonts w:ascii="宋体" w:hAnsi="宋体"/>
          <w:color w:val="auto"/>
          <w:sz w:val="24"/>
          <w:highlight w:val="none"/>
        </w:rPr>
      </w:pPr>
    </w:p>
    <w:p w14:paraId="5DFA15FE">
      <w:pPr>
        <w:spacing w:line="300" w:lineRule="auto"/>
        <w:rPr>
          <w:rFonts w:hAnsi="宋体" w:cs="仿宋_GB2312"/>
          <w:color w:val="auto"/>
          <w:sz w:val="24"/>
          <w:highlight w:val="none"/>
        </w:rPr>
      </w:pPr>
      <w:r>
        <w:rPr>
          <w:rFonts w:hint="eastAsia" w:hAnsi="宋体" w:cs="仿宋_GB2312"/>
          <w:color w:val="auto"/>
          <w:sz w:val="24"/>
          <w:highlight w:val="none"/>
        </w:rPr>
        <w:t>二、评标办法</w:t>
      </w:r>
    </w:p>
    <w:p w14:paraId="5E2A9706">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（一）符合性检查</w:t>
      </w:r>
    </w:p>
    <w:tbl>
      <w:tblPr>
        <w:tblStyle w:val="40"/>
        <w:tblW w:w="9781" w:type="dxa"/>
        <w:tblInd w:w="16" w:type="dxa"/>
        <w:tblLayout w:type="fixed"/>
        <w:tblCellMar>
          <w:top w:w="0" w:type="dxa"/>
          <w:left w:w="0" w:type="dxa"/>
          <w:bottom w:w="0" w:type="dxa"/>
          <w:right w:w="0" w:type="dxa"/>
        </w:tblCellMar>
      </w:tblPr>
      <w:tblGrid>
        <w:gridCol w:w="735"/>
        <w:gridCol w:w="9046"/>
      </w:tblGrid>
      <w:tr w14:paraId="7AFD6B67">
        <w:tblPrEx>
          <w:tblCellMar>
            <w:top w:w="0" w:type="dxa"/>
            <w:left w:w="0" w:type="dxa"/>
            <w:bottom w:w="0" w:type="dxa"/>
            <w:right w:w="0" w:type="dxa"/>
          </w:tblCellMar>
        </w:tblPrEx>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22F0B4A5">
            <w:pPr>
              <w:spacing w:line="400" w:lineRule="exact"/>
              <w:ind w:right="-120" w:rightChars="-57"/>
              <w:jc w:val="center"/>
              <w:rPr>
                <w:rFonts w:ascii="宋体" w:hAnsi="宋体"/>
                <w:color w:val="auto"/>
                <w:sz w:val="24"/>
                <w:highlight w:val="none"/>
              </w:rPr>
            </w:pPr>
            <w:r>
              <w:rPr>
                <w:rFonts w:hint="eastAsia" w:ascii="宋体" w:hAnsi="宋体"/>
                <w:color w:val="auto"/>
                <w:sz w:val="24"/>
                <w:highlight w:val="none"/>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074EF443">
            <w:pPr>
              <w:spacing w:line="400" w:lineRule="exact"/>
              <w:ind w:right="-120" w:rightChars="-57"/>
              <w:jc w:val="center"/>
              <w:rPr>
                <w:rFonts w:ascii="宋体" w:hAnsi="宋体"/>
                <w:color w:val="auto"/>
                <w:sz w:val="24"/>
                <w:highlight w:val="none"/>
              </w:rPr>
            </w:pPr>
            <w:r>
              <w:rPr>
                <w:rFonts w:hint="eastAsia" w:ascii="宋体" w:hAnsi="宋体"/>
                <w:color w:val="auto"/>
                <w:sz w:val="24"/>
                <w:highlight w:val="none"/>
              </w:rPr>
              <w:t>评审内容</w:t>
            </w:r>
          </w:p>
        </w:tc>
      </w:tr>
      <w:tr w14:paraId="42FC4661">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670E500B">
            <w:pPr>
              <w:spacing w:line="400" w:lineRule="exact"/>
              <w:rPr>
                <w:rFonts w:ascii="宋体" w:hAnsi="宋体"/>
                <w:color w:val="auto"/>
                <w:sz w:val="24"/>
                <w:highlight w:val="none"/>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2B219921">
            <w:pPr>
              <w:spacing w:line="400" w:lineRule="exact"/>
              <w:rPr>
                <w:rFonts w:ascii="宋体" w:hAnsi="宋体"/>
                <w:color w:val="auto"/>
                <w:sz w:val="24"/>
                <w:highlight w:val="none"/>
              </w:rPr>
            </w:pPr>
          </w:p>
        </w:tc>
      </w:tr>
      <w:tr w14:paraId="0342282B">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6324C456">
            <w:pPr>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046" w:type="dxa"/>
            <w:tcBorders>
              <w:top w:val="nil"/>
              <w:left w:val="single" w:color="auto" w:sz="4" w:space="0"/>
              <w:bottom w:val="single" w:color="auto" w:sz="4" w:space="0"/>
              <w:right w:val="single" w:color="auto" w:sz="4" w:space="0"/>
            </w:tcBorders>
            <w:vAlign w:val="center"/>
          </w:tcPr>
          <w:p w14:paraId="148D13ED">
            <w:pPr>
              <w:pStyle w:val="72"/>
              <w:widowControl w:val="0"/>
              <w:pBdr>
                <w:bottom w:val="none" w:color="auto" w:sz="0" w:space="0"/>
                <w:right w:val="none" w:color="auto" w:sz="0" w:space="0"/>
              </w:pBdr>
              <w:spacing w:before="0" w:beforeAutospacing="0" w:after="0" w:afterAutospacing="0" w:line="400" w:lineRule="exact"/>
              <w:jc w:val="both"/>
              <w:rPr>
                <w:color w:val="auto"/>
                <w:kern w:val="2"/>
                <w:sz w:val="24"/>
                <w:szCs w:val="24"/>
                <w:highlight w:val="none"/>
              </w:rPr>
            </w:pPr>
            <w:r>
              <w:rPr>
                <w:rFonts w:hint="eastAsia"/>
                <w:color w:val="auto"/>
                <w:sz w:val="24"/>
                <w:szCs w:val="24"/>
                <w:highlight w:val="none"/>
              </w:rPr>
              <w:t>是否由法人代表或授权代表有效签署</w:t>
            </w:r>
          </w:p>
        </w:tc>
      </w:tr>
      <w:tr w14:paraId="4BABDD6E">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1C0BAE86">
            <w:pPr>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046" w:type="dxa"/>
            <w:tcBorders>
              <w:top w:val="nil"/>
              <w:left w:val="single" w:color="auto" w:sz="4" w:space="0"/>
              <w:bottom w:val="single" w:color="auto" w:sz="4" w:space="0"/>
              <w:right w:val="single" w:color="auto" w:sz="4" w:space="0"/>
            </w:tcBorders>
            <w:vAlign w:val="center"/>
          </w:tcPr>
          <w:p w14:paraId="0733074E">
            <w:pPr>
              <w:pStyle w:val="72"/>
              <w:widowControl w:val="0"/>
              <w:pBdr>
                <w:bottom w:val="none" w:color="auto" w:sz="0" w:space="0"/>
                <w:right w:val="none" w:color="auto" w:sz="0" w:space="0"/>
              </w:pBdr>
              <w:spacing w:before="0" w:beforeAutospacing="0" w:after="0" w:afterAutospacing="0" w:line="400" w:lineRule="exact"/>
              <w:jc w:val="both"/>
              <w:rPr>
                <w:color w:val="auto"/>
                <w:sz w:val="24"/>
                <w:szCs w:val="24"/>
                <w:highlight w:val="none"/>
              </w:rPr>
            </w:pPr>
            <w:r>
              <w:rPr>
                <w:rFonts w:hint="eastAsia"/>
                <w:color w:val="auto"/>
                <w:sz w:val="24"/>
                <w:szCs w:val="24"/>
                <w:highlight w:val="none"/>
              </w:rPr>
              <w:t>是否按招标文件规定提供法人代表授权书（如适用）</w:t>
            </w:r>
          </w:p>
        </w:tc>
      </w:tr>
      <w:tr w14:paraId="3B62B69F">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1B5A913E">
            <w:pPr>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C82A78D">
            <w:pPr>
              <w:spacing w:line="400" w:lineRule="exact"/>
              <w:rPr>
                <w:rFonts w:ascii="宋体" w:hAnsi="宋体"/>
                <w:color w:val="auto"/>
                <w:sz w:val="24"/>
                <w:highlight w:val="none"/>
              </w:rPr>
            </w:pPr>
            <w:r>
              <w:rPr>
                <w:rFonts w:hint="eastAsia" w:ascii="宋体" w:hAnsi="宋体"/>
                <w:color w:val="auto"/>
                <w:sz w:val="24"/>
                <w:highlight w:val="none"/>
              </w:rPr>
              <w:t>是否按招标文件规定要求密封、签署、盖章</w:t>
            </w:r>
          </w:p>
        </w:tc>
      </w:tr>
      <w:tr w14:paraId="08E836B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504C8E7">
            <w:pPr>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339C2946">
            <w:pPr>
              <w:spacing w:line="400" w:lineRule="exact"/>
              <w:rPr>
                <w:rFonts w:ascii="宋体" w:hAnsi="宋体"/>
                <w:color w:val="auto"/>
                <w:sz w:val="24"/>
                <w:highlight w:val="none"/>
              </w:rPr>
            </w:pPr>
            <w:r>
              <w:rPr>
                <w:rFonts w:hint="eastAsia" w:ascii="宋体" w:hAnsi="宋体"/>
                <w:color w:val="auto"/>
                <w:sz w:val="24"/>
                <w:highlight w:val="none"/>
              </w:rPr>
              <w:t>投标有效期是否满足招标文件（不少于150天）</w:t>
            </w:r>
          </w:p>
        </w:tc>
      </w:tr>
      <w:tr w14:paraId="669C21F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F883E4F">
            <w:pPr>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8CB3424">
            <w:pPr>
              <w:pStyle w:val="72"/>
              <w:widowControl w:val="0"/>
              <w:pBdr>
                <w:bottom w:val="none" w:color="auto" w:sz="0" w:space="0"/>
                <w:right w:val="none" w:color="auto" w:sz="0" w:space="0"/>
              </w:pBdr>
              <w:spacing w:before="0" w:beforeAutospacing="0" w:after="0" w:afterAutospacing="0" w:line="400" w:lineRule="exact"/>
              <w:jc w:val="both"/>
              <w:rPr>
                <w:color w:val="auto"/>
                <w:kern w:val="2"/>
                <w:sz w:val="24"/>
                <w:szCs w:val="24"/>
                <w:highlight w:val="none"/>
              </w:rPr>
            </w:pPr>
            <w:r>
              <w:rPr>
                <w:rFonts w:hint="eastAsia"/>
                <w:color w:val="auto"/>
                <w:sz w:val="24"/>
                <w:szCs w:val="24"/>
                <w:highlight w:val="none"/>
              </w:rPr>
              <w:t>是否按招标文件规定提交足额投标保证金</w:t>
            </w:r>
          </w:p>
        </w:tc>
      </w:tr>
      <w:tr w14:paraId="73526F8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ECF04BA">
            <w:pPr>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36F515CF">
            <w:pPr>
              <w:pStyle w:val="72"/>
              <w:widowControl w:val="0"/>
              <w:pBdr>
                <w:bottom w:val="none" w:color="auto" w:sz="0" w:space="0"/>
                <w:right w:val="none" w:color="auto" w:sz="0" w:space="0"/>
              </w:pBdr>
              <w:spacing w:before="0" w:beforeAutospacing="0" w:after="0" w:afterAutospacing="0" w:line="400" w:lineRule="exact"/>
              <w:jc w:val="both"/>
              <w:rPr>
                <w:color w:val="auto"/>
                <w:sz w:val="24"/>
                <w:szCs w:val="24"/>
                <w:highlight w:val="none"/>
              </w:rPr>
            </w:pPr>
            <w:r>
              <w:rPr>
                <w:rFonts w:hint="eastAsia"/>
                <w:color w:val="auto"/>
                <w:sz w:val="24"/>
                <w:szCs w:val="24"/>
                <w:highlight w:val="none"/>
              </w:rPr>
              <w:t>投标保证金的有效期是否满足招标文件（同投标有效期）</w:t>
            </w:r>
          </w:p>
        </w:tc>
      </w:tr>
      <w:tr w14:paraId="35805EEE">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C8E6DC2">
            <w:pPr>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3F1576EE">
            <w:pPr>
              <w:spacing w:line="400" w:lineRule="exact"/>
              <w:rPr>
                <w:rFonts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报价是否固定唯一，</w:t>
            </w:r>
            <w:r>
              <w:rPr>
                <w:rFonts w:hint="eastAsia" w:ascii="宋体" w:hAnsi="宋体" w:cs="宋体"/>
                <w:color w:val="auto"/>
                <w:sz w:val="24"/>
                <w:highlight w:val="none"/>
              </w:rPr>
              <w:t>投标报价</w:t>
            </w:r>
            <w:r>
              <w:rPr>
                <w:rFonts w:hint="eastAsia" w:ascii="宋体" w:hAnsi="宋体"/>
                <w:color w:val="auto"/>
                <w:sz w:val="24"/>
                <w:highlight w:val="none"/>
              </w:rPr>
              <w:t>是否</w:t>
            </w:r>
            <w:r>
              <w:rPr>
                <w:rFonts w:hint="eastAsia" w:ascii="宋体" w:hAnsi="宋体" w:cs="宋体"/>
                <w:color w:val="auto"/>
                <w:sz w:val="24"/>
                <w:highlight w:val="none"/>
              </w:rPr>
              <w:t>超过采购预算（设置最高限价的，以最高限价为准）</w:t>
            </w:r>
          </w:p>
        </w:tc>
      </w:tr>
      <w:tr w14:paraId="3B8835FB">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8C69B78">
            <w:pPr>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1646F741">
            <w:pPr>
              <w:widowControl/>
              <w:jc w:val="left"/>
              <w:rPr>
                <w:rFonts w:ascii="宋体" w:hAnsi="宋体"/>
                <w:color w:val="auto"/>
                <w:sz w:val="24"/>
                <w:highlight w:val="none"/>
              </w:rPr>
            </w:pPr>
            <w:r>
              <w:rPr>
                <w:rFonts w:hint="eastAsia" w:ascii="宋体" w:hAnsi="宋体" w:cs="宋体"/>
                <w:color w:val="auto"/>
                <w:kern w:val="0"/>
                <w:sz w:val="24"/>
                <w:highlight w:val="none"/>
                <w:lang w:bidi="ar"/>
              </w:rPr>
              <w:t>投标文件是否满足招标文件第八部分《采购需求》中</w:t>
            </w:r>
            <w:r>
              <w:rPr>
                <w:rFonts w:ascii="FZSONGS--GB1-5" w:hAnsi="FZSONGS--GB1-5" w:eastAsia="FZSONGS--GB1-5" w:cs="FZSONGS--GB1-5"/>
                <w:color w:val="auto"/>
                <w:kern w:val="0"/>
                <w:sz w:val="24"/>
                <w:highlight w:val="none"/>
                <w:lang w:bidi="ar"/>
              </w:rPr>
              <w:t>★</w:t>
            </w:r>
            <w:r>
              <w:rPr>
                <w:rFonts w:hint="eastAsia" w:ascii="宋体" w:hAnsi="宋体" w:cs="宋体"/>
                <w:color w:val="auto"/>
                <w:kern w:val="0"/>
                <w:sz w:val="24"/>
                <w:highlight w:val="none"/>
                <w:lang w:bidi="ar"/>
              </w:rPr>
              <w:t>号条款要求</w:t>
            </w:r>
          </w:p>
        </w:tc>
      </w:tr>
      <w:tr w14:paraId="00966AE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38BAEF4">
            <w:pPr>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50C3BF80">
            <w:pPr>
              <w:spacing w:line="360" w:lineRule="auto"/>
              <w:rPr>
                <w:rFonts w:ascii="宋体" w:hAnsi="宋体"/>
                <w:color w:val="auto"/>
                <w:sz w:val="24"/>
                <w:highlight w:val="none"/>
              </w:rPr>
            </w:pPr>
            <w:r>
              <w:rPr>
                <w:rFonts w:ascii="宋体" w:hAnsi="宋体" w:cs="宋体"/>
                <w:color w:val="auto"/>
                <w:sz w:val="24"/>
                <w:highlight w:val="none"/>
              </w:rPr>
              <w:t>如</w:t>
            </w:r>
            <w:r>
              <w:rPr>
                <w:rFonts w:hint="eastAsia" w:ascii="宋体" w:hAnsi="宋体" w:cs="仿宋_GB2312"/>
                <w:color w:val="auto"/>
                <w:sz w:val="24"/>
                <w:highlight w:val="none"/>
              </w:rPr>
              <w:t>评标委员会对投标人的报价</w:t>
            </w:r>
            <w:r>
              <w:rPr>
                <w:rFonts w:hint="eastAsia" w:ascii="宋体" w:hAnsi="宋体" w:cs="宋体"/>
                <w:color w:val="auto"/>
                <w:kern w:val="0"/>
                <w:sz w:val="24"/>
                <w:highlight w:val="none"/>
                <w:shd w:val="clear" w:color="auto" w:fill="FFFFFF"/>
                <w:lang w:bidi="ar"/>
              </w:rPr>
              <w:t>启动异常低价投标审查后，</w:t>
            </w:r>
            <w:r>
              <w:rPr>
                <w:rFonts w:hint="eastAsia" w:ascii="宋体" w:hAnsi="宋体" w:cs="仿宋_GB2312"/>
                <w:color w:val="auto"/>
                <w:sz w:val="24"/>
                <w:highlight w:val="none"/>
              </w:rPr>
              <w:t>应当要求相关投标人在</w:t>
            </w:r>
            <w:r>
              <w:rPr>
                <w:rFonts w:hint="eastAsia" w:ascii="宋体" w:hAnsi="宋体" w:cs="宋体"/>
                <w:color w:val="auto"/>
                <w:kern w:val="0"/>
                <w:sz w:val="24"/>
                <w:highlight w:val="none"/>
                <w:shd w:val="clear" w:color="auto" w:fill="FFFFFF"/>
                <w:lang w:bidi="ar"/>
              </w:rPr>
              <w:t>评审现场合理的时间</w:t>
            </w:r>
            <w:r>
              <w:rPr>
                <w:rFonts w:hint="eastAsia" w:ascii="宋体" w:hAnsi="宋体" w:cs="仿宋_GB2312"/>
                <w:color w:val="auto"/>
                <w:sz w:val="24"/>
                <w:highlight w:val="none"/>
              </w:rPr>
              <w:t>内对</w:t>
            </w:r>
            <w:r>
              <w:rPr>
                <w:rFonts w:hint="eastAsia" w:ascii="宋体" w:hAnsi="宋体" w:cs="宋体"/>
                <w:color w:val="auto"/>
                <w:kern w:val="0"/>
                <w:sz w:val="24"/>
                <w:highlight w:val="none"/>
                <w:shd w:val="clear" w:color="auto" w:fill="FFFFFF"/>
                <w:lang w:bidi="ar"/>
              </w:rPr>
              <w:t>投标价格作出解释，并提供项目具体成本测算等与报价合理性相关的书面说明及必要的证明材料</w:t>
            </w:r>
            <w:r>
              <w:rPr>
                <w:rFonts w:hint="eastAsia" w:ascii="宋体" w:hAnsi="宋体" w:cs="仿宋_GB2312"/>
                <w:color w:val="auto"/>
                <w:sz w:val="24"/>
                <w:highlight w:val="none"/>
              </w:rPr>
              <w:t>；</w:t>
            </w:r>
            <w:r>
              <w:rPr>
                <w:rFonts w:hint="eastAsia" w:ascii="宋体" w:hAnsi="宋体" w:cs="宋体"/>
                <w:color w:val="auto"/>
                <w:kern w:val="0"/>
                <w:sz w:val="24"/>
                <w:highlight w:val="none"/>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color w:val="auto"/>
                <w:sz w:val="24"/>
                <w:highlight w:val="none"/>
              </w:rPr>
              <w:t>；</w:t>
            </w:r>
          </w:p>
        </w:tc>
      </w:tr>
      <w:tr w14:paraId="55E4769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58F7B0E">
            <w:pPr>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0C7093D8">
            <w:pPr>
              <w:widowControl/>
              <w:jc w:val="left"/>
              <w:rPr>
                <w:rFonts w:ascii="宋体" w:hAnsi="宋体" w:cs="宋体"/>
                <w:color w:val="auto"/>
                <w:sz w:val="24"/>
                <w:highlight w:val="none"/>
              </w:rPr>
            </w:pPr>
            <w:r>
              <w:rPr>
                <w:rFonts w:hint="eastAsia" w:ascii="宋体" w:hAnsi="宋体" w:cs="宋体"/>
                <w:color w:val="auto"/>
                <w:kern w:val="0"/>
                <w:sz w:val="24"/>
                <w:highlight w:val="none"/>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1B439E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8A621A9">
            <w:pPr>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5866255D">
            <w:pPr>
              <w:spacing w:line="400" w:lineRule="exact"/>
              <w:rPr>
                <w:rFonts w:ascii="宋体" w:hAnsi="宋体"/>
                <w:color w:val="auto"/>
                <w:sz w:val="24"/>
                <w:highlight w:val="none"/>
              </w:rPr>
            </w:pPr>
            <w:r>
              <w:rPr>
                <w:rFonts w:hint="eastAsia" w:ascii="宋体" w:hAnsi="宋体"/>
                <w:color w:val="auto"/>
                <w:sz w:val="24"/>
                <w:highlight w:val="none"/>
              </w:rPr>
              <w:t>是否符合招标文件规定的其它实质性要求</w:t>
            </w:r>
            <w:r>
              <w:rPr>
                <w:rFonts w:hint="eastAsia" w:ascii="宋体" w:hAnsi="宋体" w:cs="宋体"/>
                <w:color w:val="auto"/>
                <w:kern w:val="1"/>
                <w:sz w:val="24"/>
                <w:highlight w:val="none"/>
              </w:rPr>
              <w:t>（须</w:t>
            </w:r>
            <w:r>
              <w:rPr>
                <w:rFonts w:hint="eastAsia" w:ascii="宋体" w:hAnsi="宋体"/>
                <w:color w:val="auto"/>
                <w:sz w:val="24"/>
                <w:highlight w:val="none"/>
              </w:rPr>
              <w:t>满足带★要求</w:t>
            </w:r>
            <w:r>
              <w:rPr>
                <w:rFonts w:hint="eastAsia" w:ascii="宋体" w:hAnsi="宋体" w:cs="宋体"/>
                <w:color w:val="auto"/>
                <w:kern w:val="1"/>
                <w:sz w:val="24"/>
                <w:highlight w:val="none"/>
              </w:rPr>
              <w:t>）</w:t>
            </w:r>
          </w:p>
        </w:tc>
      </w:tr>
      <w:tr w14:paraId="3D643EB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A1D1F17">
            <w:pPr>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2A3E9198">
            <w:pPr>
              <w:spacing w:line="400" w:lineRule="exact"/>
              <w:rPr>
                <w:rFonts w:ascii="宋体" w:hAnsi="宋体"/>
                <w:color w:val="auto"/>
                <w:sz w:val="24"/>
                <w:highlight w:val="none"/>
              </w:rPr>
            </w:pPr>
            <w:r>
              <w:rPr>
                <w:rFonts w:hint="eastAsia" w:ascii="宋体" w:hAnsi="宋体" w:cs="宋体"/>
                <w:color w:val="auto"/>
                <w:sz w:val="24"/>
                <w:highlight w:val="none"/>
              </w:rPr>
              <w:t>投标文件</w:t>
            </w:r>
            <w:r>
              <w:rPr>
                <w:rFonts w:ascii="宋体" w:hAnsi="宋体"/>
                <w:color w:val="auto"/>
                <w:sz w:val="24"/>
                <w:highlight w:val="none"/>
              </w:rPr>
              <w:t>是否</w:t>
            </w:r>
            <w:r>
              <w:rPr>
                <w:rFonts w:hint="eastAsia" w:ascii="宋体" w:hAnsi="宋体" w:cs="宋体"/>
                <w:color w:val="auto"/>
                <w:sz w:val="24"/>
                <w:highlight w:val="none"/>
              </w:rPr>
              <w:t>有招标文件中规定的其它无效投标条款</w:t>
            </w:r>
          </w:p>
        </w:tc>
      </w:tr>
    </w:tbl>
    <w:p w14:paraId="49C621A2">
      <w:pPr>
        <w:rPr>
          <w:rFonts w:ascii="time of new roman" w:hAnsi="time of new roman"/>
          <w:color w:val="auto"/>
          <w:szCs w:val="21"/>
          <w:highlight w:val="none"/>
        </w:rPr>
      </w:pPr>
      <w:r>
        <w:rPr>
          <w:rFonts w:hint="eastAsia" w:ascii="time of new roman" w:hAnsi="time of new roman"/>
          <w:color w:val="auto"/>
          <w:szCs w:val="21"/>
          <w:highlight w:val="none"/>
        </w:rPr>
        <w:t xml:space="preserve">  </w:t>
      </w:r>
    </w:p>
    <w:p w14:paraId="51051E11">
      <w:pPr>
        <w:widowControl/>
        <w:jc w:val="left"/>
        <w:rPr>
          <w:color w:val="auto"/>
          <w:highlight w:val="none"/>
        </w:rPr>
      </w:pPr>
      <w:r>
        <w:rPr>
          <w:rFonts w:hint="eastAsia" w:ascii="time of new roman" w:hAnsi="time of new roman"/>
          <w:color w:val="auto"/>
          <w:sz w:val="24"/>
          <w:highlight w:val="none"/>
        </w:rPr>
        <w:t>注：</w:t>
      </w:r>
      <w:r>
        <w:rPr>
          <w:rFonts w:hint="eastAsia" w:ascii="宋体" w:hAnsi="宋体" w:cs="宋体"/>
          <w:color w:val="auto"/>
          <w:kern w:val="0"/>
          <w:sz w:val="24"/>
          <w:highlight w:val="none"/>
          <w:lang w:bidi="ar"/>
        </w:rPr>
        <w:t>投标人的投标文件有任何一项不符合招标文件符合性检查要求的，符合性检查不合格，其</w:t>
      </w:r>
      <w:r>
        <w:rPr>
          <w:rFonts w:hint="eastAsia" w:ascii="宋体" w:hAnsi="宋体" w:cs="宋体"/>
          <w:b/>
          <w:bCs/>
          <w:color w:val="auto"/>
          <w:kern w:val="0"/>
          <w:sz w:val="24"/>
          <w:highlight w:val="none"/>
          <w:lang w:bidi="ar"/>
        </w:rPr>
        <w:t>投标无效</w:t>
      </w:r>
      <w:r>
        <w:rPr>
          <w:rFonts w:hint="eastAsia" w:ascii="宋体" w:hAnsi="宋体" w:cs="宋体"/>
          <w:color w:val="auto"/>
          <w:kern w:val="0"/>
          <w:sz w:val="24"/>
          <w:highlight w:val="none"/>
          <w:lang w:bidi="ar"/>
        </w:rPr>
        <w:t>。</w:t>
      </w:r>
    </w:p>
    <w:p w14:paraId="4C5F4053">
      <w:pPr>
        <w:ind w:firstLine="480"/>
        <w:rPr>
          <w:rFonts w:ascii="宋体" w:hAnsi="宋体"/>
          <w:color w:val="auto"/>
          <w:sz w:val="24"/>
          <w:highlight w:val="none"/>
        </w:rPr>
      </w:pPr>
    </w:p>
    <w:p w14:paraId="7D339B4C">
      <w:pPr>
        <w:spacing w:line="300" w:lineRule="auto"/>
        <w:ind w:firstLine="480" w:firstLineChars="200"/>
        <w:rPr>
          <w:rFonts w:ascii="inherit" w:hAnsi="inherit" w:cs="宋体"/>
          <w:color w:val="auto"/>
          <w:kern w:val="0"/>
          <w:sz w:val="24"/>
          <w:highlight w:val="none"/>
        </w:rPr>
      </w:pPr>
      <w:r>
        <w:rPr>
          <w:rFonts w:hint="eastAsia" w:hAnsi="宋体" w:cs="仿宋_GB2312"/>
          <w:color w:val="auto"/>
          <w:sz w:val="24"/>
          <w:highlight w:val="none"/>
        </w:rPr>
        <w:t>（二）本次评标采用综合评价打分法，即在</w:t>
      </w:r>
      <w:r>
        <w:rPr>
          <w:rFonts w:ascii="inherit" w:hAnsi="inherit" w:cs="宋体"/>
          <w:color w:val="auto"/>
          <w:kern w:val="0"/>
          <w:sz w:val="24"/>
          <w:highlight w:val="none"/>
        </w:rPr>
        <w:t>投标文件满足招标文件全部实质性要求</w:t>
      </w:r>
      <w:r>
        <w:rPr>
          <w:rFonts w:hint="eastAsia" w:hAnsi="宋体" w:cs="仿宋_GB2312"/>
          <w:color w:val="auto"/>
          <w:sz w:val="24"/>
          <w:highlight w:val="none"/>
        </w:rPr>
        <w:t>前提下，根据招标文件中规定的各项因素及权重（分值），评标委员会每位成员分别对每个通过初审的投标人进行综合评审后，</w:t>
      </w:r>
      <w:r>
        <w:rPr>
          <w:rFonts w:ascii="inherit" w:hAnsi="inherit" w:cs="宋体"/>
          <w:color w:val="auto"/>
          <w:kern w:val="0"/>
          <w:sz w:val="24"/>
          <w:highlight w:val="none"/>
        </w:rPr>
        <w:t>评审得分最高的投标人为中标候选人的评标方法。</w:t>
      </w:r>
    </w:p>
    <w:p w14:paraId="3FD9A912">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（三）非</w:t>
      </w:r>
      <w:r>
        <w:rPr>
          <w:rFonts w:ascii="宋体" w:hAnsi="宋体"/>
          <w:color w:val="auto"/>
          <w:sz w:val="24"/>
          <w:highlight w:val="none"/>
        </w:rPr>
        <w:t>专门面向中小企业采购的采购项目</w:t>
      </w:r>
      <w:r>
        <w:rPr>
          <w:rFonts w:hint="eastAsia" w:ascii="宋体" w:hAnsi="宋体"/>
          <w:color w:val="auto"/>
          <w:sz w:val="24"/>
          <w:highlight w:val="none"/>
        </w:rPr>
        <w:t>，</w:t>
      </w:r>
      <w:r>
        <w:rPr>
          <w:rFonts w:ascii="宋体" w:hAnsi="宋体"/>
          <w:color w:val="auto"/>
          <w:sz w:val="24"/>
          <w:highlight w:val="none"/>
        </w:rPr>
        <w:t>根据财政部、工业和信息化部</w:t>
      </w:r>
      <w:r>
        <w:rPr>
          <w:rFonts w:hint="eastAsia" w:ascii="宋体" w:hAnsi="宋体"/>
          <w:color w:val="auto"/>
          <w:sz w:val="24"/>
          <w:highlight w:val="none"/>
        </w:rPr>
        <w:t>发布</w:t>
      </w:r>
      <w:r>
        <w:rPr>
          <w:rFonts w:ascii="宋体" w:hAnsi="宋体"/>
          <w:color w:val="auto"/>
          <w:sz w:val="24"/>
          <w:highlight w:val="none"/>
        </w:rPr>
        <w:t>的《</w:t>
      </w:r>
      <w:r>
        <w:rPr>
          <w:rFonts w:hint="eastAsia" w:ascii="宋体" w:hAnsi="宋体" w:cs="宋体"/>
          <w:color w:val="auto"/>
          <w:sz w:val="24"/>
          <w:highlight w:val="none"/>
          <w:shd w:val="clear" w:color="auto" w:fill="FFFFFF"/>
        </w:rPr>
        <w:t>政府采购促进中小企业发展管理办法</w:t>
      </w:r>
      <w:r>
        <w:rPr>
          <w:rFonts w:ascii="宋体" w:hAnsi="宋体"/>
          <w:color w:val="auto"/>
          <w:sz w:val="24"/>
          <w:highlight w:val="none"/>
        </w:rPr>
        <w:t>》</w:t>
      </w:r>
      <w:r>
        <w:rPr>
          <w:rFonts w:hint="eastAsia" w:ascii="宋体" w:hAnsi="宋体"/>
          <w:color w:val="auto"/>
          <w:sz w:val="24"/>
          <w:highlight w:val="none"/>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如投标产品或者服务被认定为小微型企业或监狱企业或残疾人福利性单位制造的产品或者承接的服务（须提</w:t>
      </w:r>
      <w:r>
        <w:rPr>
          <w:rFonts w:ascii="宋体" w:hAnsi="宋体"/>
          <w:color w:val="auto"/>
          <w:sz w:val="24"/>
          <w:highlight w:val="none"/>
        </w:rPr>
        <w:t>供相关证明文件，</w:t>
      </w:r>
      <w:r>
        <w:rPr>
          <w:rFonts w:hint="eastAsia" w:ascii="宋体" w:hAnsi="宋体"/>
          <w:color w:val="auto"/>
          <w:sz w:val="24"/>
          <w:highlight w:val="none"/>
        </w:rPr>
        <w:t>小微企业提供</w:t>
      </w:r>
      <w:r>
        <w:rPr>
          <w:rFonts w:ascii="宋体" w:hAnsi="宋体"/>
          <w:color w:val="auto"/>
          <w:sz w:val="24"/>
          <w:highlight w:val="none"/>
        </w:rPr>
        <w:t>《中小企业声明函》</w:t>
      </w:r>
      <w:r>
        <w:rPr>
          <w:rFonts w:hint="eastAsia" w:ascii="宋体" w:hAnsi="宋体"/>
          <w:color w:val="auto"/>
          <w:sz w:val="24"/>
          <w:highlight w:val="none"/>
        </w:rPr>
        <w:t>，监狱企业提供由省级以上监狱管理局、戒毒管理局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w:t>
      </w:r>
      <w:r>
        <w:rPr>
          <w:rFonts w:ascii="宋体" w:hAnsi="宋体"/>
          <w:color w:val="auto"/>
          <w:sz w:val="24"/>
          <w:highlight w:val="none"/>
        </w:rPr>
        <w:t>残疾人福利性单位</w:t>
      </w:r>
      <w:r>
        <w:rPr>
          <w:rFonts w:hint="eastAsia" w:ascii="宋体" w:hAnsi="宋体"/>
          <w:color w:val="auto"/>
          <w:sz w:val="24"/>
          <w:highlight w:val="none"/>
        </w:rPr>
        <w:t>提供</w:t>
      </w:r>
      <w:r>
        <w:rPr>
          <w:rFonts w:ascii="宋体" w:hAnsi="宋体"/>
          <w:color w:val="auto"/>
          <w:sz w:val="24"/>
          <w:highlight w:val="none"/>
        </w:rPr>
        <w:t>《残疾人福利性单位声明函》）</w:t>
      </w:r>
      <w:r>
        <w:rPr>
          <w:rFonts w:hint="eastAsia" w:ascii="宋体" w:hAnsi="宋体"/>
          <w:color w:val="auto"/>
          <w:sz w:val="24"/>
          <w:highlight w:val="none"/>
        </w:rPr>
        <w:t>，可在价格评分中，对该包的价格给予10%的扣除，并用扣除后的价格计算价格评分。</w:t>
      </w:r>
    </w:p>
    <w:p w14:paraId="1C37F820">
      <w:pPr>
        <w:spacing w:line="300" w:lineRule="auto"/>
        <w:rPr>
          <w:rFonts w:ascii="宋体" w:hAnsi="宋体"/>
          <w:color w:val="auto"/>
          <w:sz w:val="24"/>
          <w:highlight w:val="none"/>
        </w:rPr>
      </w:pPr>
      <w:r>
        <w:rPr>
          <w:rFonts w:hint="eastAsia" w:ascii="宋体" w:hAnsi="宋体"/>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A369C46">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olor w:val="auto"/>
          <w:sz w:val="24"/>
          <w:highlight w:val="none"/>
        </w:rPr>
        <w:t xml:space="preserve"> </w:t>
      </w:r>
      <w:r>
        <w:rPr>
          <w:rFonts w:hint="eastAsia" w:ascii="宋体" w:hAnsi="宋体" w:cs="宋体"/>
          <w:color w:val="auto"/>
          <w:kern w:val="0"/>
          <w:sz w:val="24"/>
          <w:highlight w:val="none"/>
          <w:shd w:val="clear" w:color="auto" w:fill="FFFFFF"/>
          <w:lang w:bidi="ar"/>
        </w:rPr>
        <w:t>（四）异常低价审查</w:t>
      </w:r>
    </w:p>
    <w:p w14:paraId="0C15E932">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 评审中出现下列情形之一的，评标委员会应当启动异常低价投标（响应）审查程序：</w:t>
      </w:r>
    </w:p>
    <w:p w14:paraId="3F9FECBE">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754A1D19">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374B2D63">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（3）投标（响应）报价低于采购项目最高限价45%的，即投标（响应）报价&lt;采购项目最高限价×45%；</w:t>
      </w:r>
    </w:p>
    <w:p w14:paraId="5A18F89E">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（4）评标委员会基于专业判断，认为供应商报价过低，有可能影响产品质量或者不能诚信履约的其他情形。</w:t>
      </w:r>
    </w:p>
    <w:p w14:paraId="0B06B472">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相关法律法规对供应商报价有规定的，从其规定。</w:t>
      </w:r>
    </w:p>
    <w:p w14:paraId="1B45343C">
      <w:pPr>
        <w:widowControl/>
        <w:spacing w:line="300" w:lineRule="auto"/>
        <w:ind w:firstLine="480" w:firstLineChars="200"/>
        <w:jc w:val="left"/>
        <w:rPr>
          <w:rFonts w:ascii="Calibri" w:hAnsi="Calibri" w:cs="Calibri"/>
          <w:color w:val="auto"/>
          <w:szCs w:val="21"/>
          <w:highlight w:val="none"/>
        </w:rPr>
      </w:pPr>
      <w:r>
        <w:rPr>
          <w:rFonts w:hint="eastAsia" w:ascii="宋体" w:hAnsi="宋体" w:cs="宋体"/>
          <w:color w:val="auto"/>
          <w:kern w:val="0"/>
          <w:sz w:val="24"/>
          <w:highlight w:val="none"/>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F1ABD3">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A59A92C">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5CBBEFEC">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30F02327">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（五）评分分值计算保留小数点后两位，第三位四舍五入</w:t>
      </w:r>
      <w:r>
        <w:rPr>
          <w:rFonts w:ascii="宋体" w:hAnsi="宋体"/>
          <w:color w:val="auto"/>
          <w:sz w:val="24"/>
          <w:highlight w:val="none"/>
        </w:rPr>
        <w:t>。</w:t>
      </w:r>
    </w:p>
    <w:p w14:paraId="078150A9">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（六）具体评审因素及评分标准（满分为100分）</w:t>
      </w:r>
    </w:p>
    <w:tbl>
      <w:tblPr>
        <w:tblStyle w:val="41"/>
        <w:tblpPr w:leftFromText="180" w:rightFromText="180" w:vertAnchor="text" w:tblpXSpec="right" w:tblpY="1"/>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1340"/>
        <w:gridCol w:w="780"/>
        <w:gridCol w:w="5841"/>
      </w:tblGrid>
      <w:tr w14:paraId="3949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432" w:type="pct"/>
            <w:gridSpan w:val="2"/>
          </w:tcPr>
          <w:p w14:paraId="07000D6F">
            <w:pP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评标内容</w:t>
            </w:r>
          </w:p>
        </w:tc>
        <w:tc>
          <w:tcPr>
            <w:tcW w:w="420" w:type="pct"/>
          </w:tcPr>
          <w:p w14:paraId="28100AFB">
            <w:pPr>
              <w:jc w:val="cente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分值</w:t>
            </w:r>
          </w:p>
        </w:tc>
        <w:tc>
          <w:tcPr>
            <w:tcW w:w="3147" w:type="pct"/>
          </w:tcPr>
          <w:p w14:paraId="0A8206BE">
            <w:pPr>
              <w:rPr>
                <w:rFonts w:cs="仿宋" w:asciiTheme="minorEastAsia" w:hAnsiTheme="minorEastAsia" w:eastAsiaTheme="minorEastAsia"/>
                <w:b/>
                <w:bCs/>
                <w:color w:val="auto"/>
                <w:sz w:val="24"/>
                <w:highlight w:val="none"/>
              </w:rPr>
            </w:pPr>
            <w:r>
              <w:rPr>
                <w:rFonts w:hint="eastAsia" w:cs="仿宋" w:asciiTheme="minorEastAsia" w:hAnsiTheme="minorEastAsia" w:eastAsiaTheme="minorEastAsia"/>
                <w:b/>
                <w:bCs/>
                <w:color w:val="auto"/>
                <w:sz w:val="24"/>
                <w:highlight w:val="none"/>
              </w:rPr>
              <w:t>评标依据</w:t>
            </w:r>
          </w:p>
        </w:tc>
      </w:tr>
      <w:tr w14:paraId="38AD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2" w:type="pct"/>
            <w:gridSpan w:val="2"/>
            <w:vAlign w:val="center"/>
          </w:tcPr>
          <w:p w14:paraId="50D0B343">
            <w:pPr>
              <w:jc w:val="cente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投标报价</w:t>
            </w:r>
          </w:p>
          <w:p w14:paraId="7179F73D">
            <w:pPr>
              <w:jc w:val="cente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(10分)</w:t>
            </w:r>
          </w:p>
        </w:tc>
        <w:tc>
          <w:tcPr>
            <w:tcW w:w="420" w:type="pct"/>
            <w:vAlign w:val="center"/>
          </w:tcPr>
          <w:p w14:paraId="6F0EE08F">
            <w:pPr>
              <w:jc w:val="cente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10分</w:t>
            </w:r>
          </w:p>
        </w:tc>
        <w:tc>
          <w:tcPr>
            <w:tcW w:w="3147" w:type="pct"/>
          </w:tcPr>
          <w:p w14:paraId="28C9C277">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根据《财政部关于加强政府采购货物和服务项目价格评审管理的通知》的规定，本次价格评分统一采用低价优先法计算，即满足招标文件要求且投标价格最低的投标报价为评标基准价，其价格分为满分。其他投标人的价格评分统一按照下列公式计算：</w:t>
            </w:r>
          </w:p>
          <w:p w14:paraId="5F361417">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价格评分 =（评标基准价/投标报价）×10，总分不超过10分。</w:t>
            </w:r>
          </w:p>
        </w:tc>
      </w:tr>
      <w:tr w14:paraId="0923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4" w:hRule="atLeast"/>
        </w:trPr>
        <w:tc>
          <w:tcPr>
            <w:tcW w:w="710" w:type="pct"/>
            <w:vMerge w:val="restart"/>
            <w:vAlign w:val="center"/>
          </w:tcPr>
          <w:p w14:paraId="7517449E">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商务部分（18分）</w:t>
            </w:r>
          </w:p>
        </w:tc>
        <w:tc>
          <w:tcPr>
            <w:tcW w:w="722" w:type="pct"/>
            <w:vAlign w:val="center"/>
          </w:tcPr>
          <w:p w14:paraId="18B0602E">
            <w:pPr>
              <w:jc w:val="lef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同类项目业绩</w:t>
            </w:r>
          </w:p>
        </w:tc>
        <w:tc>
          <w:tcPr>
            <w:tcW w:w="420" w:type="pct"/>
            <w:vAlign w:val="center"/>
          </w:tcPr>
          <w:p w14:paraId="41668513">
            <w:pPr>
              <w:jc w:val="lef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10分</w:t>
            </w:r>
          </w:p>
        </w:tc>
        <w:tc>
          <w:tcPr>
            <w:tcW w:w="3147" w:type="pct"/>
          </w:tcPr>
          <w:p w14:paraId="150C04DE">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投标人需具有近3年（202</w:t>
            </w:r>
            <w:r>
              <w:rPr>
                <w:rFonts w:cs="仿宋" w:asciiTheme="minorEastAsia" w:hAnsiTheme="minorEastAsia" w:eastAsiaTheme="minorEastAsia"/>
                <w:color w:val="auto"/>
                <w:sz w:val="24"/>
                <w:highlight w:val="none"/>
              </w:rPr>
              <w:t>3</w:t>
            </w:r>
            <w:r>
              <w:rPr>
                <w:rFonts w:hint="eastAsia" w:cs="仿宋" w:asciiTheme="minorEastAsia" w:hAnsiTheme="minorEastAsia" w:eastAsiaTheme="minorEastAsia"/>
                <w:color w:val="auto"/>
                <w:sz w:val="24"/>
                <w:highlight w:val="none"/>
              </w:rPr>
              <w:t>年</w:t>
            </w:r>
            <w:r>
              <w:rPr>
                <w:rFonts w:cs="仿宋" w:asciiTheme="minorEastAsia" w:hAnsiTheme="minorEastAsia" w:eastAsiaTheme="minorEastAsia"/>
                <w:color w:val="auto"/>
                <w:sz w:val="24"/>
                <w:highlight w:val="none"/>
              </w:rPr>
              <w:t>5</w:t>
            </w:r>
            <w:r>
              <w:rPr>
                <w:rFonts w:hint="eastAsia" w:cs="仿宋" w:asciiTheme="minorEastAsia" w:hAnsiTheme="minorEastAsia" w:eastAsiaTheme="minorEastAsia"/>
                <w:color w:val="auto"/>
                <w:sz w:val="24"/>
                <w:highlight w:val="none"/>
              </w:rPr>
              <w:t>月1日至投标截止日前）通用设施运行维护业绩（要求一项业绩合同内须同时包含以下全部内容：冷冻站、工艺循环冷却水、纯水站及压缩空气站24小时连续不间断运行值班、故障处理及检修，不包括施工安装等类业绩）每个得5分，最高得10分；（以提供的合同为准，要求必须提供与最终用户签订的合同首页、合同金额所在页、签字盖章页复印件作为证明）</w:t>
            </w:r>
          </w:p>
        </w:tc>
      </w:tr>
      <w:tr w14:paraId="0CF7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710" w:type="pct"/>
            <w:vMerge w:val="continue"/>
            <w:vAlign w:val="center"/>
          </w:tcPr>
          <w:p w14:paraId="31E8F76A">
            <w:pPr>
              <w:rPr>
                <w:rFonts w:cs="仿宋" w:asciiTheme="minorEastAsia" w:hAnsiTheme="minorEastAsia" w:eastAsiaTheme="minorEastAsia"/>
                <w:color w:val="auto"/>
                <w:sz w:val="24"/>
                <w:highlight w:val="none"/>
              </w:rPr>
            </w:pPr>
          </w:p>
        </w:tc>
        <w:tc>
          <w:tcPr>
            <w:tcW w:w="722" w:type="pct"/>
            <w:vAlign w:val="center"/>
          </w:tcPr>
          <w:p w14:paraId="5168715A">
            <w:pPr>
              <w:jc w:val="lef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商务条款应答响应情况</w:t>
            </w:r>
          </w:p>
        </w:tc>
        <w:tc>
          <w:tcPr>
            <w:tcW w:w="420" w:type="pct"/>
            <w:vAlign w:val="center"/>
          </w:tcPr>
          <w:p w14:paraId="2ED16D5A">
            <w:pPr>
              <w:jc w:val="lef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2分</w:t>
            </w:r>
          </w:p>
        </w:tc>
        <w:tc>
          <w:tcPr>
            <w:tcW w:w="3147" w:type="pct"/>
          </w:tcPr>
          <w:p w14:paraId="335CDF80">
            <w:pPr>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t>商务条款应答有负偏离得0分，商务条款应答无偏离或正偏离得2分</w:t>
            </w:r>
          </w:p>
        </w:tc>
      </w:tr>
      <w:tr w14:paraId="49E6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10" w:type="pct"/>
            <w:vMerge w:val="continue"/>
            <w:vAlign w:val="center"/>
          </w:tcPr>
          <w:p w14:paraId="7BFF3FD6">
            <w:pPr>
              <w:rPr>
                <w:rFonts w:cs="仿宋" w:asciiTheme="minorEastAsia" w:hAnsiTheme="minorEastAsia" w:eastAsiaTheme="minorEastAsia"/>
                <w:color w:val="auto"/>
                <w:sz w:val="24"/>
                <w:highlight w:val="none"/>
              </w:rPr>
            </w:pPr>
          </w:p>
        </w:tc>
        <w:tc>
          <w:tcPr>
            <w:tcW w:w="722" w:type="pct"/>
            <w:vAlign w:val="center"/>
          </w:tcPr>
          <w:p w14:paraId="0A40E5E3">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质量管理体系</w:t>
            </w:r>
          </w:p>
        </w:tc>
        <w:tc>
          <w:tcPr>
            <w:tcW w:w="420" w:type="pct"/>
            <w:vAlign w:val="center"/>
          </w:tcPr>
          <w:p w14:paraId="76BFF3BA">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6分</w:t>
            </w:r>
          </w:p>
        </w:tc>
        <w:tc>
          <w:tcPr>
            <w:tcW w:w="3147" w:type="pct"/>
          </w:tcPr>
          <w:p w14:paraId="3CF6249A">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投标人具备质量管理体系认证（ISO9001或GB/T19001）、环境管理体系认证（ISO14001或GB/T24001）、职业健康安全管理体系认证（ISO45001或GB/T45001)，每通过一项得2分，本项满分6分。注：须提供有效证书复印件，不提供不得分。</w:t>
            </w:r>
          </w:p>
        </w:tc>
      </w:tr>
      <w:tr w14:paraId="6AC4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10" w:type="pct"/>
            <w:vMerge w:val="restart"/>
            <w:vAlign w:val="center"/>
          </w:tcPr>
          <w:p w14:paraId="3B7EED3F">
            <w:pPr>
              <w:rPr>
                <w:rFonts w:cs="仿宋" w:asciiTheme="minorEastAsia" w:hAnsiTheme="minorEastAsia" w:eastAsiaTheme="minorEastAsia"/>
                <w:color w:val="auto"/>
                <w:sz w:val="24"/>
                <w:highlight w:val="none"/>
              </w:rPr>
            </w:pPr>
          </w:p>
          <w:p w14:paraId="0F606B5F">
            <w:pPr>
              <w:rPr>
                <w:rFonts w:cs="仿宋" w:asciiTheme="minorEastAsia" w:hAnsiTheme="minorEastAsia" w:eastAsiaTheme="minorEastAsia"/>
                <w:color w:val="auto"/>
                <w:sz w:val="24"/>
                <w:highlight w:val="none"/>
              </w:rPr>
            </w:pPr>
          </w:p>
          <w:p w14:paraId="0103DB0E">
            <w:pPr>
              <w:rPr>
                <w:rFonts w:cs="仿宋" w:asciiTheme="minorEastAsia" w:hAnsiTheme="minorEastAsia" w:eastAsiaTheme="minorEastAsia"/>
                <w:color w:val="auto"/>
                <w:sz w:val="24"/>
                <w:highlight w:val="none"/>
              </w:rPr>
            </w:pPr>
          </w:p>
          <w:p w14:paraId="0BF75CC4">
            <w:pPr>
              <w:rPr>
                <w:rFonts w:cs="仿宋" w:asciiTheme="minorEastAsia" w:hAnsiTheme="minorEastAsia" w:eastAsiaTheme="minorEastAsia"/>
                <w:color w:val="auto"/>
                <w:sz w:val="24"/>
                <w:highlight w:val="none"/>
              </w:rPr>
            </w:pPr>
          </w:p>
          <w:p w14:paraId="2BAE72EB">
            <w:pPr>
              <w:rPr>
                <w:rFonts w:cs="仿宋" w:asciiTheme="minorEastAsia" w:hAnsiTheme="minorEastAsia" w:eastAsiaTheme="minorEastAsia"/>
                <w:color w:val="auto"/>
                <w:sz w:val="24"/>
                <w:highlight w:val="none"/>
              </w:rPr>
            </w:pPr>
          </w:p>
          <w:p w14:paraId="5E7B6AB0">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技术部分（72分）</w:t>
            </w:r>
          </w:p>
          <w:p w14:paraId="3FB8C4CE">
            <w:pPr>
              <w:rPr>
                <w:rFonts w:cs="仿宋" w:asciiTheme="minorEastAsia" w:hAnsiTheme="minorEastAsia" w:eastAsiaTheme="minorEastAsia"/>
                <w:color w:val="auto"/>
                <w:sz w:val="24"/>
                <w:highlight w:val="none"/>
              </w:rPr>
            </w:pPr>
          </w:p>
          <w:p w14:paraId="2E62F358">
            <w:pPr>
              <w:rPr>
                <w:rFonts w:cs="仿宋" w:asciiTheme="minorEastAsia" w:hAnsiTheme="minorEastAsia" w:eastAsiaTheme="minorEastAsia"/>
                <w:color w:val="auto"/>
                <w:sz w:val="24"/>
                <w:highlight w:val="none"/>
              </w:rPr>
            </w:pPr>
          </w:p>
          <w:p w14:paraId="251E4F03">
            <w:pPr>
              <w:rPr>
                <w:rFonts w:cs="仿宋" w:asciiTheme="minorEastAsia" w:hAnsiTheme="minorEastAsia" w:eastAsiaTheme="minorEastAsia"/>
                <w:color w:val="auto"/>
                <w:sz w:val="24"/>
                <w:highlight w:val="none"/>
              </w:rPr>
            </w:pPr>
          </w:p>
          <w:p w14:paraId="16C9E9FA">
            <w:pPr>
              <w:rPr>
                <w:rFonts w:cs="仿宋" w:asciiTheme="minorEastAsia" w:hAnsiTheme="minorEastAsia" w:eastAsiaTheme="minorEastAsia"/>
                <w:color w:val="auto"/>
                <w:sz w:val="24"/>
                <w:highlight w:val="none"/>
              </w:rPr>
            </w:pPr>
          </w:p>
          <w:p w14:paraId="5B21E506">
            <w:pPr>
              <w:rPr>
                <w:rFonts w:cs="仿宋" w:asciiTheme="minorEastAsia" w:hAnsiTheme="minorEastAsia" w:eastAsiaTheme="minorEastAsia"/>
                <w:color w:val="auto"/>
                <w:sz w:val="24"/>
                <w:highlight w:val="none"/>
              </w:rPr>
            </w:pPr>
          </w:p>
          <w:p w14:paraId="3E5C02C7">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w:t>
            </w:r>
          </w:p>
          <w:p w14:paraId="6AE35FD6">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w:t>
            </w:r>
          </w:p>
          <w:p w14:paraId="2FE082E3">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w:t>
            </w:r>
          </w:p>
          <w:p w14:paraId="530A18E7">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w:t>
            </w:r>
          </w:p>
          <w:p w14:paraId="456A38F9">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w:t>
            </w:r>
          </w:p>
        </w:tc>
        <w:tc>
          <w:tcPr>
            <w:tcW w:w="722" w:type="pct"/>
            <w:vAlign w:val="center"/>
          </w:tcPr>
          <w:p w14:paraId="1718873F">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服务需求响应情况</w:t>
            </w:r>
          </w:p>
          <w:p w14:paraId="230926BF">
            <w:pPr>
              <w:rPr>
                <w:rFonts w:cs="仿宋" w:asciiTheme="minorEastAsia" w:hAnsiTheme="minorEastAsia" w:eastAsiaTheme="minorEastAsia"/>
                <w:color w:val="auto"/>
                <w:sz w:val="24"/>
                <w:highlight w:val="none"/>
              </w:rPr>
            </w:pPr>
          </w:p>
        </w:tc>
        <w:tc>
          <w:tcPr>
            <w:tcW w:w="420" w:type="pct"/>
            <w:vAlign w:val="center"/>
          </w:tcPr>
          <w:p w14:paraId="31204355">
            <w:pPr>
              <w:rPr>
                <w:rFonts w:cs="仿宋" w:asciiTheme="minorEastAsia" w:hAnsiTheme="minorEastAsia" w:eastAsiaTheme="minorEastAsia"/>
                <w:color w:val="auto"/>
                <w:sz w:val="24"/>
                <w:highlight w:val="none"/>
              </w:rPr>
            </w:pPr>
          </w:p>
          <w:p w14:paraId="3DC3D478">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6分</w:t>
            </w:r>
          </w:p>
        </w:tc>
        <w:tc>
          <w:tcPr>
            <w:tcW w:w="3147" w:type="pct"/>
          </w:tcPr>
          <w:p w14:paraId="1CBAC91A">
            <w:pPr>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t>（1)</w:t>
            </w:r>
            <w:r>
              <w:rPr>
                <w:rFonts w:hint="eastAsia" w:cs="仿宋" w:asciiTheme="minorEastAsia" w:hAnsiTheme="minorEastAsia" w:eastAsiaTheme="minorEastAsia"/>
                <w:color w:val="auto"/>
                <w:sz w:val="24"/>
                <w:highlight w:val="none"/>
              </w:rPr>
              <w:t>服务需求</w:t>
            </w:r>
            <w:r>
              <w:rPr>
                <w:rFonts w:cs="仿宋" w:asciiTheme="minorEastAsia" w:hAnsiTheme="minorEastAsia" w:eastAsiaTheme="minorEastAsia"/>
                <w:color w:val="auto"/>
                <w:sz w:val="24"/>
                <w:highlight w:val="none"/>
              </w:rPr>
              <w:t>偏离表须依据招标文件</w:t>
            </w:r>
            <w:r>
              <w:rPr>
                <w:rFonts w:hint="eastAsia" w:cs="仿宋" w:asciiTheme="minorEastAsia" w:hAnsiTheme="minorEastAsia" w:eastAsiaTheme="minorEastAsia"/>
                <w:color w:val="auto"/>
                <w:sz w:val="24"/>
                <w:highlight w:val="none"/>
              </w:rPr>
              <w:t>“第八部分 采购需求一、技术要求”相关内容</w:t>
            </w:r>
            <w:r>
              <w:rPr>
                <w:rFonts w:cs="仿宋" w:asciiTheme="minorEastAsia" w:hAnsiTheme="minorEastAsia" w:eastAsiaTheme="minorEastAsia"/>
                <w:color w:val="auto"/>
                <w:sz w:val="24"/>
                <w:highlight w:val="none"/>
              </w:rPr>
              <w:t>响应；</w:t>
            </w:r>
          </w:p>
          <w:p w14:paraId="44C1A530">
            <w:pPr>
              <w:rPr>
                <w:rFonts w:hint="eastAsia"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t>（2)</w:t>
            </w:r>
            <w:r>
              <w:rPr>
                <w:rFonts w:hint="eastAsia" w:cs="仿宋" w:asciiTheme="minorEastAsia" w:hAnsiTheme="minorEastAsia" w:eastAsiaTheme="minorEastAsia"/>
                <w:color w:val="auto"/>
                <w:sz w:val="24"/>
                <w:highlight w:val="none"/>
              </w:rPr>
              <w:t>服务需求</w:t>
            </w:r>
            <w:r>
              <w:rPr>
                <w:rFonts w:cs="仿宋" w:asciiTheme="minorEastAsia" w:hAnsiTheme="minorEastAsia" w:eastAsiaTheme="minorEastAsia"/>
                <w:color w:val="auto"/>
                <w:sz w:val="24"/>
                <w:highlight w:val="none"/>
              </w:rPr>
              <w:t>评审基准分为</w:t>
            </w:r>
            <w:r>
              <w:rPr>
                <w:rFonts w:hint="eastAsia" w:cs="仿宋" w:asciiTheme="minorEastAsia" w:hAnsiTheme="minorEastAsia" w:eastAsiaTheme="minorEastAsia"/>
                <w:color w:val="auto"/>
                <w:sz w:val="24"/>
                <w:highlight w:val="none"/>
              </w:rPr>
              <w:t>6</w:t>
            </w:r>
            <w:r>
              <w:rPr>
                <w:rFonts w:cs="仿宋" w:asciiTheme="minorEastAsia" w:hAnsiTheme="minorEastAsia" w:eastAsiaTheme="minorEastAsia"/>
                <w:color w:val="auto"/>
                <w:sz w:val="24"/>
                <w:highlight w:val="none"/>
              </w:rPr>
              <w:t>分，评委根据技术指标的偏离情况按以下标准进行评审：</w:t>
            </w:r>
          </w:p>
          <w:p w14:paraId="4F8248FD">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a.</w:t>
            </w:r>
            <w:r>
              <w:rPr>
                <w:rFonts w:cs="仿宋" w:asciiTheme="minorEastAsia" w:hAnsiTheme="minorEastAsia" w:eastAsiaTheme="minorEastAsia"/>
                <w:color w:val="auto"/>
                <w:sz w:val="24"/>
                <w:highlight w:val="none"/>
              </w:rPr>
              <w:t>标记为“</w:t>
            </w:r>
            <w:r>
              <w:rPr>
                <w:rFonts w:hint="eastAsia" w:cs="仿宋" w:asciiTheme="minorEastAsia" w:hAnsiTheme="minorEastAsia" w:eastAsiaTheme="minorEastAsia"/>
                <w:color w:val="auto"/>
                <w:sz w:val="24"/>
                <w:highlight w:val="none"/>
              </w:rPr>
              <w:t>★</w:t>
            </w:r>
            <w:r>
              <w:rPr>
                <w:rFonts w:cs="仿宋" w:asciiTheme="minorEastAsia" w:hAnsiTheme="minorEastAsia" w:eastAsiaTheme="minorEastAsia"/>
                <w:color w:val="auto"/>
                <w:sz w:val="24"/>
                <w:highlight w:val="none"/>
              </w:rPr>
              <w:t>”的指标是关键技术条款，正偏离不加分，如不满足其投标予以拒绝；</w:t>
            </w:r>
          </w:p>
          <w:p w14:paraId="53EB0BDC">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b.</w:t>
            </w:r>
            <w:r>
              <w:rPr>
                <w:rFonts w:cs="仿宋" w:asciiTheme="minorEastAsia" w:hAnsiTheme="minorEastAsia" w:eastAsiaTheme="minorEastAsia"/>
                <w:color w:val="auto"/>
                <w:sz w:val="24"/>
                <w:highlight w:val="none"/>
              </w:rPr>
              <w:t>无标记的指标是一般技术条款，正偏离不加分，负偏离每条减</w:t>
            </w:r>
            <w:r>
              <w:rPr>
                <w:rFonts w:hint="eastAsia" w:cs="仿宋" w:asciiTheme="minorEastAsia" w:hAnsiTheme="minorEastAsia" w:eastAsiaTheme="minorEastAsia"/>
                <w:color w:val="auto"/>
                <w:sz w:val="24"/>
                <w:highlight w:val="none"/>
              </w:rPr>
              <w:t>0.1</w:t>
            </w:r>
            <w:r>
              <w:rPr>
                <w:rFonts w:cs="仿宋" w:asciiTheme="minorEastAsia" w:hAnsiTheme="minorEastAsia" w:eastAsiaTheme="minorEastAsia"/>
                <w:color w:val="auto"/>
                <w:sz w:val="24"/>
                <w:highlight w:val="none"/>
              </w:rPr>
              <w:t>分。</w:t>
            </w:r>
          </w:p>
          <w:p w14:paraId="7B32E690">
            <w:pPr>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t>（3)凡标有最低一级序号的指标项即为一项技术条款，无论是否隶属于上一级编号。</w:t>
            </w:r>
          </w:p>
        </w:tc>
      </w:tr>
      <w:tr w14:paraId="26A0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710" w:type="pct"/>
            <w:vMerge w:val="continue"/>
            <w:vAlign w:val="center"/>
          </w:tcPr>
          <w:p w14:paraId="7F61CB3C">
            <w:pPr>
              <w:rPr>
                <w:rFonts w:cs="仿宋" w:asciiTheme="minorEastAsia" w:hAnsiTheme="minorEastAsia" w:eastAsiaTheme="minorEastAsia"/>
                <w:color w:val="auto"/>
                <w:sz w:val="24"/>
                <w:highlight w:val="none"/>
              </w:rPr>
            </w:pPr>
          </w:p>
        </w:tc>
        <w:tc>
          <w:tcPr>
            <w:tcW w:w="722" w:type="pct"/>
            <w:vAlign w:val="center"/>
          </w:tcPr>
          <w:p w14:paraId="65BEB248">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技术力量</w:t>
            </w:r>
          </w:p>
        </w:tc>
        <w:tc>
          <w:tcPr>
            <w:tcW w:w="420" w:type="pct"/>
            <w:vAlign w:val="center"/>
          </w:tcPr>
          <w:p w14:paraId="5FCA6D2A">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16分</w:t>
            </w:r>
          </w:p>
        </w:tc>
        <w:tc>
          <w:tcPr>
            <w:tcW w:w="3147" w:type="pct"/>
          </w:tcPr>
          <w:p w14:paraId="73CACB82">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w:t>
            </w:r>
            <w:r>
              <w:rPr>
                <w:rFonts w:hint="eastAsia" w:cs="仿宋" w:asciiTheme="minorEastAsia" w:hAnsiTheme="minorEastAsia" w:eastAsiaTheme="minorEastAsia"/>
                <w:color w:val="auto"/>
                <w:sz w:val="24"/>
                <w:highlight w:val="none"/>
              </w:rPr>
              <w:t>1)项目负责人1名：投标方应委派一名分管该项目的负责人。项目负责人应具有高级工程师职称；</w:t>
            </w:r>
            <w:bookmarkStart w:id="307" w:name="OLE_LINK19"/>
            <w:bookmarkStart w:id="308" w:name="OLE_LINK18"/>
            <w:r>
              <w:rPr>
                <w:rFonts w:hint="eastAsia" w:cs="仿宋" w:asciiTheme="minorEastAsia" w:hAnsiTheme="minorEastAsia" w:eastAsiaTheme="minorEastAsia"/>
                <w:color w:val="auto"/>
                <w:sz w:val="24"/>
                <w:highlight w:val="none"/>
              </w:rPr>
              <w:t>需为与投标人建立劳动关系的人员，且有2年及以上运维同类型通用设施经验。</w:t>
            </w:r>
            <w:bookmarkEnd w:id="307"/>
            <w:bookmarkEnd w:id="308"/>
            <w:r>
              <w:rPr>
                <w:rFonts w:hint="eastAsia" w:cs="仿宋" w:asciiTheme="minorEastAsia" w:hAnsiTheme="minorEastAsia" w:eastAsiaTheme="minorEastAsia"/>
                <w:color w:val="auto"/>
                <w:sz w:val="24"/>
                <w:highlight w:val="none"/>
              </w:rPr>
              <w:t>项目负责人的技术力量配备情况完全满足及优于招标文件的得6分，满足证书要求但经验不足</w:t>
            </w:r>
            <w:r>
              <w:rPr>
                <w:rFonts w:cs="仿宋" w:asciiTheme="minorEastAsia" w:hAnsiTheme="minorEastAsia" w:eastAsiaTheme="minorEastAsia"/>
                <w:color w:val="auto"/>
                <w:sz w:val="24"/>
                <w:highlight w:val="none"/>
              </w:rPr>
              <w:t>2</w:t>
            </w:r>
            <w:r>
              <w:rPr>
                <w:rFonts w:hint="eastAsia" w:cs="仿宋" w:asciiTheme="minorEastAsia" w:hAnsiTheme="minorEastAsia" w:eastAsiaTheme="minorEastAsia"/>
                <w:color w:val="auto"/>
                <w:sz w:val="24"/>
                <w:highlight w:val="none"/>
              </w:rPr>
              <w:t>年的得3分，不满足要求或无证书的不得分。</w:t>
            </w:r>
          </w:p>
          <w:p w14:paraId="45EE1F9B">
            <w:pPr>
              <w:jc w:val="lef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(2)班长2人：需持有高低压电工操作证或高级钳工证书；需为与投标人建立劳动关系的人员。班长的技术力量配备情况优于招标文件的得4分，班长的技术力量配备情况完全满足招标文件的得2分，不满足要求的不得分。</w:t>
            </w:r>
          </w:p>
          <w:p w14:paraId="5B3F4E01">
            <w:pPr>
              <w:rPr>
                <w:rFonts w:cs="仿宋" w:asciiTheme="minorEastAsia" w:hAnsiTheme="minorEastAsia" w:eastAsiaTheme="minorEastAsia"/>
                <w:color w:val="auto"/>
                <w:sz w:val="24"/>
                <w:highlight w:val="none"/>
              </w:rPr>
            </w:pPr>
            <w:bookmarkStart w:id="309" w:name="OLE_LINK23"/>
            <w:bookmarkStart w:id="310" w:name="OLE_LINK22"/>
            <w:r>
              <w:rPr>
                <w:rFonts w:hint="eastAsia" w:cs="仿宋" w:asciiTheme="minorEastAsia" w:hAnsiTheme="minorEastAsia" w:eastAsiaTheme="minorEastAsia"/>
                <w:color w:val="auto"/>
                <w:sz w:val="24"/>
                <w:highlight w:val="none"/>
              </w:rPr>
              <w:t>(3)低温与超导设备运行值班</w:t>
            </w:r>
            <w:r>
              <w:rPr>
                <w:rFonts w:hint="eastAsia" w:cs="仿宋" w:asciiTheme="minorEastAsia" w:hAnsiTheme="minorEastAsia" w:eastAsiaTheme="minorEastAsia"/>
                <w:color w:val="auto"/>
                <w:sz w:val="24"/>
                <w:highlight w:val="none"/>
                <w:lang w:val="en-US" w:eastAsia="zh-CN"/>
              </w:rPr>
              <w:t>人员应具有</w:t>
            </w:r>
            <w:r>
              <w:rPr>
                <w:rFonts w:hint="eastAsia" w:cs="仿宋" w:asciiTheme="minorEastAsia" w:hAnsiTheme="minorEastAsia" w:eastAsiaTheme="minorEastAsia"/>
                <w:color w:val="auto"/>
                <w:sz w:val="24"/>
                <w:highlight w:val="none"/>
              </w:rPr>
              <w:t>1年及以上工作经验</w:t>
            </w:r>
            <w:r>
              <w:rPr>
                <w:rFonts w:hint="eastAsia" w:cs="仿宋" w:asciiTheme="minorEastAsia" w:hAnsiTheme="minorEastAsia" w:eastAsiaTheme="minorEastAsia"/>
                <w:color w:val="auto"/>
                <w:sz w:val="24"/>
                <w:highlight w:val="none"/>
                <w:lang w:eastAsia="zh-CN"/>
              </w:rPr>
              <w:t>，</w:t>
            </w:r>
            <w:r>
              <w:rPr>
                <w:rFonts w:hint="eastAsia" w:cs="仿宋" w:asciiTheme="minorEastAsia" w:hAnsiTheme="minorEastAsia" w:eastAsiaTheme="minorEastAsia"/>
                <w:color w:val="auto"/>
                <w:sz w:val="24"/>
                <w:highlight w:val="none"/>
                <w:lang w:val="en-US" w:eastAsia="zh-CN"/>
              </w:rPr>
              <w:t>其余</w:t>
            </w:r>
            <w:r>
              <w:rPr>
                <w:rFonts w:hint="eastAsia" w:cs="仿宋" w:asciiTheme="minorEastAsia" w:hAnsiTheme="minorEastAsia" w:eastAsiaTheme="minorEastAsia"/>
                <w:color w:val="auto"/>
                <w:sz w:val="24"/>
                <w:highlight w:val="none"/>
              </w:rPr>
              <w:t>运行值班及维保人员，应具有</w:t>
            </w:r>
            <w:r>
              <w:rPr>
                <w:rFonts w:cs="仿宋" w:asciiTheme="minorEastAsia" w:hAnsiTheme="minorEastAsia" w:eastAsiaTheme="minorEastAsia"/>
                <w:color w:val="auto"/>
                <w:sz w:val="24"/>
                <w:highlight w:val="none"/>
              </w:rPr>
              <w:t>5</w:t>
            </w:r>
            <w:r>
              <w:rPr>
                <w:rFonts w:hint="eastAsia" w:cs="仿宋" w:asciiTheme="minorEastAsia" w:hAnsiTheme="minorEastAsia" w:eastAsiaTheme="minorEastAsia"/>
                <w:color w:val="auto"/>
                <w:sz w:val="24"/>
                <w:highlight w:val="none"/>
              </w:rPr>
              <w:t>年及以上相关工作经验，且组成成员中须持有钳工证、空调设备运行操作作业证、焊工证。根据值班及维保人员的技术力量配备情况完全满足及优于招标文件的得6分，满足人员及证书要求但经验不足的</w:t>
            </w:r>
            <w:bookmarkStart w:id="313" w:name="_GoBack"/>
            <w:bookmarkEnd w:id="313"/>
            <w:r>
              <w:rPr>
                <w:rFonts w:hint="eastAsia" w:cs="仿宋" w:asciiTheme="minorEastAsia" w:hAnsiTheme="minorEastAsia" w:eastAsiaTheme="minorEastAsia"/>
                <w:color w:val="auto"/>
                <w:sz w:val="24"/>
                <w:highlight w:val="none"/>
              </w:rPr>
              <w:t>得3分，不满足要求或无证书的不得分。</w:t>
            </w:r>
            <w:bookmarkEnd w:id="309"/>
            <w:bookmarkEnd w:id="310"/>
          </w:p>
        </w:tc>
      </w:tr>
      <w:tr w14:paraId="4F38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710" w:type="pct"/>
            <w:vMerge w:val="continue"/>
            <w:vAlign w:val="center"/>
          </w:tcPr>
          <w:p w14:paraId="73B2910C">
            <w:pPr>
              <w:rPr>
                <w:rFonts w:cs="仿宋" w:asciiTheme="minorEastAsia" w:hAnsiTheme="minorEastAsia" w:eastAsiaTheme="minorEastAsia"/>
                <w:color w:val="auto"/>
                <w:sz w:val="24"/>
                <w:highlight w:val="none"/>
              </w:rPr>
            </w:pPr>
          </w:p>
        </w:tc>
        <w:tc>
          <w:tcPr>
            <w:tcW w:w="722" w:type="pct"/>
            <w:vAlign w:val="center"/>
          </w:tcPr>
          <w:p w14:paraId="2473669B">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运行管理规章制度</w:t>
            </w:r>
          </w:p>
        </w:tc>
        <w:tc>
          <w:tcPr>
            <w:tcW w:w="420" w:type="pct"/>
            <w:vAlign w:val="center"/>
          </w:tcPr>
          <w:p w14:paraId="7A341BDA">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20分</w:t>
            </w:r>
          </w:p>
        </w:tc>
        <w:tc>
          <w:tcPr>
            <w:tcW w:w="3147" w:type="pct"/>
            <w:vAlign w:val="center"/>
          </w:tcPr>
          <w:p w14:paraId="3C1D6857">
            <w:pP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sz w:val="24"/>
                <w:highlight w:val="none"/>
              </w:rPr>
              <w:t>投标人编制的运行管理方案规范合理、内容清晰、项目齐全的得2</w:t>
            </w:r>
            <w:r>
              <w:rPr>
                <w:rFonts w:cs="仿宋" w:asciiTheme="minorEastAsia" w:hAnsiTheme="minorEastAsia" w:eastAsiaTheme="minorEastAsia"/>
                <w:color w:val="auto"/>
                <w:sz w:val="24"/>
                <w:highlight w:val="none"/>
              </w:rPr>
              <w:t>0</w:t>
            </w:r>
            <w:r>
              <w:rPr>
                <w:rFonts w:hint="eastAsia" w:cs="仿宋" w:asciiTheme="minorEastAsia" w:hAnsiTheme="minorEastAsia" w:eastAsiaTheme="minorEastAsia"/>
                <w:color w:val="auto"/>
                <w:sz w:val="24"/>
                <w:highlight w:val="none"/>
              </w:rPr>
              <w:t>分；方案基本合理、内容基本清晰、项目基本齐全的得14分；有部分缺陷和不足的得8分；逻辑混乱、缺项较多的或未提供的，得0分。</w:t>
            </w:r>
          </w:p>
        </w:tc>
      </w:tr>
      <w:tr w14:paraId="0F68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710" w:type="pct"/>
            <w:vMerge w:val="continue"/>
            <w:vAlign w:val="center"/>
          </w:tcPr>
          <w:p w14:paraId="4C2D050D">
            <w:pPr>
              <w:rPr>
                <w:rFonts w:cs="仿宋" w:asciiTheme="minorEastAsia" w:hAnsiTheme="minorEastAsia" w:eastAsiaTheme="minorEastAsia"/>
                <w:color w:val="auto"/>
                <w:sz w:val="24"/>
                <w:highlight w:val="none"/>
              </w:rPr>
            </w:pPr>
          </w:p>
        </w:tc>
        <w:tc>
          <w:tcPr>
            <w:tcW w:w="722" w:type="pct"/>
            <w:vAlign w:val="center"/>
          </w:tcPr>
          <w:p w14:paraId="7627A281">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设备巡检维护规程</w:t>
            </w:r>
          </w:p>
        </w:tc>
        <w:tc>
          <w:tcPr>
            <w:tcW w:w="420" w:type="pct"/>
            <w:vAlign w:val="center"/>
          </w:tcPr>
          <w:p w14:paraId="69922672">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20分</w:t>
            </w:r>
          </w:p>
        </w:tc>
        <w:tc>
          <w:tcPr>
            <w:tcW w:w="3147" w:type="pct"/>
            <w:vAlign w:val="center"/>
          </w:tcPr>
          <w:p w14:paraId="26D9DFB9">
            <w:pPr>
              <w:pStyle w:val="39"/>
              <w:tabs>
                <w:tab w:val="left" w:pos="5580"/>
              </w:tabs>
              <w:ind w:firstLine="0" w:firstLineChars="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sz w:val="24"/>
                <w:szCs w:val="24"/>
                <w:highlight w:val="none"/>
              </w:rPr>
              <w:t>投标人编制的不同设备巡检、维护方案，方案规范合理、内容清晰、项目齐全的得20分；方案基本合理、内容基本清晰、项目基本齐全的得14分；有部分缺陷和不足的得8分；逻辑混乱、缺项较多的或未提供的，得0分。</w:t>
            </w:r>
          </w:p>
        </w:tc>
      </w:tr>
      <w:tr w14:paraId="43BED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10" w:type="pct"/>
            <w:vMerge w:val="continue"/>
          </w:tcPr>
          <w:p w14:paraId="3688679D">
            <w:pPr>
              <w:rPr>
                <w:rFonts w:cs="仿宋" w:asciiTheme="minorEastAsia" w:hAnsiTheme="minorEastAsia" w:eastAsiaTheme="minorEastAsia"/>
                <w:color w:val="auto"/>
                <w:sz w:val="24"/>
                <w:highlight w:val="none"/>
              </w:rPr>
            </w:pPr>
          </w:p>
        </w:tc>
        <w:tc>
          <w:tcPr>
            <w:tcW w:w="722" w:type="pct"/>
            <w:vAlign w:val="center"/>
          </w:tcPr>
          <w:p w14:paraId="29FBD325">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常态化应急保障能力及应急响应预案</w:t>
            </w:r>
          </w:p>
        </w:tc>
        <w:tc>
          <w:tcPr>
            <w:tcW w:w="420" w:type="pct"/>
            <w:vAlign w:val="center"/>
          </w:tcPr>
          <w:p w14:paraId="3CDFF581">
            <w:pPr>
              <w:rPr>
                <w:rFonts w:cs="仿宋" w:asciiTheme="minorEastAsia" w:hAnsiTheme="minorEastAsia" w:eastAsiaTheme="minorEastAsia"/>
                <w:color w:val="auto"/>
                <w:sz w:val="24"/>
                <w:highlight w:val="none"/>
              </w:rPr>
            </w:pPr>
            <w:r>
              <w:rPr>
                <w:rFonts w:cs="仿宋" w:asciiTheme="minorEastAsia" w:hAnsiTheme="minorEastAsia" w:eastAsiaTheme="minorEastAsia"/>
                <w:color w:val="auto"/>
                <w:sz w:val="24"/>
                <w:highlight w:val="none"/>
              </w:rPr>
              <w:t>10</w:t>
            </w:r>
            <w:r>
              <w:rPr>
                <w:rFonts w:hint="eastAsia" w:cs="仿宋" w:asciiTheme="minorEastAsia" w:hAnsiTheme="minorEastAsia" w:eastAsiaTheme="minorEastAsia"/>
                <w:color w:val="auto"/>
                <w:sz w:val="24"/>
                <w:highlight w:val="none"/>
              </w:rPr>
              <w:t>分</w:t>
            </w:r>
          </w:p>
        </w:tc>
        <w:tc>
          <w:tcPr>
            <w:tcW w:w="3147" w:type="pct"/>
            <w:vAlign w:val="center"/>
          </w:tcPr>
          <w:p w14:paraId="76DA1F24">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根据各投标人</w:t>
            </w:r>
            <w:r>
              <w:rPr>
                <w:rFonts w:cs="仿宋" w:asciiTheme="minorEastAsia" w:hAnsiTheme="minorEastAsia" w:eastAsiaTheme="minorEastAsia"/>
                <w:color w:val="auto"/>
                <w:sz w:val="24"/>
                <w:highlight w:val="none"/>
              </w:rPr>
              <w:t>在</w:t>
            </w:r>
            <w:r>
              <w:rPr>
                <w:rFonts w:hint="eastAsia" w:cs="仿宋" w:asciiTheme="minorEastAsia" w:hAnsiTheme="minorEastAsia" w:eastAsiaTheme="minorEastAsia"/>
                <w:color w:val="auto"/>
                <w:sz w:val="24"/>
                <w:highlight w:val="none"/>
              </w:rPr>
              <w:t>本项目周边可提供的应急预案及支援能力、应急人员及备件配置等进行综合评审打分：</w:t>
            </w:r>
          </w:p>
          <w:p w14:paraId="28E99AA5">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编制的应急响应预案满足用户要求、具体详细、内容清晰。方案规范合理、具体详细、内容清晰、项目齐全，人员充裕，备件齐备，能够为本项目提供合理的应急处理和紧急维修得</w:t>
            </w:r>
            <w:r>
              <w:rPr>
                <w:rFonts w:cs="仿宋" w:asciiTheme="minorEastAsia" w:hAnsiTheme="minorEastAsia" w:eastAsiaTheme="minorEastAsia"/>
                <w:color w:val="auto"/>
                <w:sz w:val="24"/>
                <w:highlight w:val="none"/>
              </w:rPr>
              <w:t>10</w:t>
            </w:r>
            <w:r>
              <w:rPr>
                <w:rFonts w:hint="eastAsia" w:cs="仿宋" w:asciiTheme="minorEastAsia" w:hAnsiTheme="minorEastAsia" w:eastAsiaTheme="minorEastAsia"/>
                <w:color w:val="auto"/>
                <w:sz w:val="24"/>
                <w:highlight w:val="none"/>
              </w:rPr>
              <w:t>分；</w:t>
            </w:r>
          </w:p>
          <w:p w14:paraId="24DE7B71">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编制的应急响应预案基本合理详细、内容基本清晰、项目基本齐全的，人员及备件数量一般，能够为本项目提供一般维修得</w:t>
            </w:r>
            <w:r>
              <w:rPr>
                <w:rFonts w:cs="仿宋" w:asciiTheme="minorEastAsia" w:hAnsiTheme="minorEastAsia" w:eastAsiaTheme="minorEastAsia"/>
                <w:color w:val="auto"/>
                <w:sz w:val="24"/>
                <w:highlight w:val="none"/>
              </w:rPr>
              <w:t>7</w:t>
            </w:r>
            <w:r>
              <w:rPr>
                <w:rFonts w:hint="eastAsia" w:cs="仿宋" w:asciiTheme="minorEastAsia" w:hAnsiTheme="minorEastAsia" w:eastAsiaTheme="minorEastAsia"/>
                <w:color w:val="auto"/>
                <w:sz w:val="24"/>
                <w:highlight w:val="none"/>
              </w:rPr>
              <w:t>分；</w:t>
            </w:r>
          </w:p>
          <w:p w14:paraId="06326D2E">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编制的应急响应预案有部分缺陷和不足，人员及备件数量较少，仅能为本项目提供极为有限的维修得</w:t>
            </w:r>
            <w:r>
              <w:rPr>
                <w:rFonts w:cs="仿宋" w:asciiTheme="minorEastAsia" w:hAnsiTheme="minorEastAsia" w:eastAsiaTheme="minorEastAsia"/>
                <w:color w:val="auto"/>
                <w:sz w:val="24"/>
                <w:highlight w:val="none"/>
              </w:rPr>
              <w:t>4</w:t>
            </w:r>
            <w:r>
              <w:rPr>
                <w:rFonts w:hint="eastAsia" w:cs="仿宋" w:asciiTheme="minorEastAsia" w:hAnsiTheme="minorEastAsia" w:eastAsiaTheme="minorEastAsia"/>
                <w:color w:val="auto"/>
                <w:sz w:val="24"/>
                <w:highlight w:val="none"/>
              </w:rPr>
              <w:t>分；</w:t>
            </w:r>
          </w:p>
          <w:p w14:paraId="579329FE">
            <w:pP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编制的应急响应预案逻辑混乱、缺项较多，无可提供的应急人员及备件，无法为本项目提供一般维修或未提供应急预案及支援能力、应急人员及备件配置的，得</w:t>
            </w:r>
            <w:r>
              <w:rPr>
                <w:rFonts w:cs="仿宋" w:asciiTheme="minorEastAsia" w:hAnsiTheme="minorEastAsia" w:eastAsiaTheme="minorEastAsia"/>
                <w:color w:val="auto"/>
                <w:sz w:val="24"/>
                <w:highlight w:val="none"/>
              </w:rPr>
              <w:t>0</w:t>
            </w:r>
            <w:r>
              <w:rPr>
                <w:rFonts w:hint="eastAsia" w:cs="仿宋" w:asciiTheme="minorEastAsia" w:hAnsiTheme="minorEastAsia" w:eastAsiaTheme="minorEastAsia"/>
                <w:color w:val="auto"/>
                <w:sz w:val="24"/>
                <w:highlight w:val="none"/>
              </w:rPr>
              <w:t>分。</w:t>
            </w:r>
          </w:p>
        </w:tc>
      </w:tr>
      <w:tr w14:paraId="19F9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432" w:type="pct"/>
            <w:gridSpan w:val="2"/>
            <w:vAlign w:val="center"/>
          </w:tcPr>
          <w:p w14:paraId="0C1EE610">
            <w:pPr>
              <w:jc w:val="cente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合计</w:t>
            </w:r>
          </w:p>
        </w:tc>
        <w:tc>
          <w:tcPr>
            <w:tcW w:w="3567" w:type="pct"/>
            <w:gridSpan w:val="2"/>
            <w:vAlign w:val="center"/>
          </w:tcPr>
          <w:p w14:paraId="186C9E13">
            <w:pPr>
              <w:jc w:val="center"/>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100分</w:t>
            </w:r>
          </w:p>
        </w:tc>
      </w:tr>
    </w:tbl>
    <w:p w14:paraId="0106A76E">
      <w:pPr>
        <w:spacing w:line="300" w:lineRule="auto"/>
        <w:ind w:firstLine="482"/>
        <w:rPr>
          <w:rFonts w:cs="仿宋" w:asciiTheme="minorEastAsia" w:hAnsiTheme="minorEastAsia" w:eastAsiaTheme="minorEastAsia"/>
          <w:b/>
          <w:color w:val="auto"/>
          <w:highlight w:val="none"/>
        </w:rPr>
      </w:pPr>
      <w:r>
        <w:rPr>
          <w:rFonts w:hint="eastAsia" w:cs="仿宋" w:asciiTheme="minorEastAsia" w:hAnsiTheme="minorEastAsia" w:eastAsiaTheme="minorEastAsia"/>
          <w:b/>
          <w:color w:val="auto"/>
          <w:highlight w:val="none"/>
        </w:rPr>
        <w:t>注：</w:t>
      </w:r>
    </w:p>
    <w:p w14:paraId="7751C71A">
      <w:pPr>
        <w:numPr>
          <w:ilvl w:val="0"/>
          <w:numId w:val="10"/>
        </w:numPr>
        <w:spacing w:line="300" w:lineRule="auto"/>
        <w:ind w:firstLine="480"/>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评分分值计算保留小数点后两位，第三位四舍五入。</w:t>
      </w:r>
    </w:p>
    <w:p w14:paraId="17502DBB">
      <w:pPr>
        <w:numPr>
          <w:ilvl w:val="0"/>
          <w:numId w:val="10"/>
        </w:numPr>
        <w:spacing w:line="300" w:lineRule="auto"/>
        <w:ind w:firstLine="48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①按照中小企业划分标准所属行业，本项目采购标的对应的中小企业划分标准所属行业：其他未列明行业；若投标人按照工业和信息化部、国家统计局、国家发展和改革委员会、财政部联合印发了《关于印发中小企业划型标准规定的通知》属小型、微型企业的，根据财政部、工业和信息化部发布的《政府采购促进中小企业发展管理办法》，其投标报价扣减</w:t>
      </w:r>
      <w:r>
        <w:rPr>
          <w:rFonts w:asciiTheme="minorEastAsia" w:hAnsiTheme="minorEastAsia" w:eastAsiaTheme="minorEastAsia"/>
          <w:color w:val="auto"/>
          <w:szCs w:val="21"/>
          <w:highlight w:val="none"/>
        </w:rPr>
        <w:t>10%后再计入投标报价得分的评审。（须提供相关证明文件，小微企业提供《中小企业声明函》）②若本项目所有投标人均属小型、微型企业的，按原报价进行评审。③监狱企业、残疾人福利性单位视同小微企业；残疾人福利性单位属于小型、微型企业的，不重复享受政策。</w:t>
      </w:r>
    </w:p>
    <w:p w14:paraId="79F7128E">
      <w:pPr>
        <w:adjustRightInd w:val="0"/>
        <w:snapToGrid w:val="0"/>
        <w:spacing w:after="156" w:afterLines="50" w:line="360" w:lineRule="auto"/>
        <w:jc w:val="center"/>
        <w:outlineLvl w:val="0"/>
        <w:rPr>
          <w:rFonts w:ascii="黑体" w:eastAsia="黑体"/>
          <w:b/>
          <w:color w:val="auto"/>
          <w:kern w:val="44"/>
          <w:sz w:val="48"/>
          <w:szCs w:val="20"/>
          <w:highlight w:val="none"/>
        </w:rPr>
      </w:pPr>
      <w:r>
        <w:rPr>
          <w:rFonts w:hint="eastAsia" w:ascii="宋体" w:hAnsi="宋体"/>
          <w:b/>
          <w:bCs/>
          <w:color w:val="auto"/>
          <w:sz w:val="24"/>
          <w:highlight w:val="none"/>
        </w:rPr>
        <w:br w:type="page"/>
      </w:r>
      <w:bookmarkStart w:id="311" w:name="_Toc129880039"/>
      <w:r>
        <w:rPr>
          <w:rFonts w:hint="eastAsia" w:ascii="宋体" w:hAnsi="宋体"/>
          <w:b/>
          <w:color w:val="auto"/>
          <w:sz w:val="30"/>
          <w:szCs w:val="30"/>
          <w:highlight w:val="none"/>
        </w:rPr>
        <w:t>第八部分 采购需求</w:t>
      </w:r>
      <w:bookmarkEnd w:id="311"/>
    </w:p>
    <w:bookmarkEnd w:id="231"/>
    <w:p w14:paraId="168FD790">
      <w:pPr>
        <w:adjustRightInd w:val="0"/>
        <w:snapToGrid w:val="0"/>
        <w:spacing w:before="156" w:beforeLines="50" w:after="156" w:afterLines="50" w:line="360" w:lineRule="auto"/>
        <w:jc w:val="center"/>
        <w:rPr>
          <w:rFonts w:ascii="宋体" w:hAnsi="宋体"/>
          <w:b/>
          <w:color w:val="auto"/>
          <w:sz w:val="24"/>
          <w:highlight w:val="none"/>
        </w:rPr>
      </w:pPr>
    </w:p>
    <w:p w14:paraId="274D5A19">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需求一览表</w:t>
      </w:r>
    </w:p>
    <w:tbl>
      <w:tblPr>
        <w:tblStyle w:val="40"/>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640"/>
        <w:gridCol w:w="3322"/>
        <w:gridCol w:w="2581"/>
        <w:gridCol w:w="2581"/>
      </w:tblGrid>
      <w:tr w14:paraId="3582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351" w:type="pct"/>
            <w:vAlign w:val="center"/>
          </w:tcPr>
          <w:p w14:paraId="5D86400E">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1820" w:type="pct"/>
            <w:vAlign w:val="center"/>
          </w:tcPr>
          <w:p w14:paraId="0254442A">
            <w:pPr>
              <w:jc w:val="center"/>
              <w:rPr>
                <w:rFonts w:ascii="宋体" w:hAnsi="Bookman Old Style"/>
                <w:color w:val="auto"/>
                <w:sz w:val="24"/>
                <w:highlight w:val="none"/>
              </w:rPr>
            </w:pPr>
            <w:r>
              <w:rPr>
                <w:rFonts w:hint="eastAsia" w:ascii="宋体" w:hAnsi="Bookman Old Style"/>
                <w:color w:val="auto"/>
                <w:sz w:val="24"/>
                <w:highlight w:val="none"/>
              </w:rPr>
              <w:t>采购内容</w:t>
            </w:r>
          </w:p>
        </w:tc>
        <w:tc>
          <w:tcPr>
            <w:tcW w:w="2581" w:type="dxa"/>
            <w:vAlign w:val="center"/>
          </w:tcPr>
          <w:p w14:paraId="75C7A206">
            <w:pPr>
              <w:jc w:val="center"/>
              <w:rPr>
                <w:rFonts w:ascii="宋体" w:hAnsi="Bookman Old Style"/>
                <w:color w:val="auto"/>
                <w:sz w:val="24"/>
                <w:highlight w:val="none"/>
              </w:rPr>
            </w:pPr>
            <w:r>
              <w:rPr>
                <w:rFonts w:hint="eastAsia" w:ascii="宋体" w:hAnsi="Bookman Old Style"/>
                <w:color w:val="auto"/>
                <w:sz w:val="24"/>
                <w:highlight w:val="none"/>
              </w:rPr>
              <w:t>服务期</w:t>
            </w:r>
          </w:p>
        </w:tc>
        <w:tc>
          <w:tcPr>
            <w:tcW w:w="2581" w:type="dxa"/>
            <w:vAlign w:val="center"/>
          </w:tcPr>
          <w:p w14:paraId="069FA4D1">
            <w:pPr>
              <w:jc w:val="center"/>
              <w:rPr>
                <w:rFonts w:ascii="宋体" w:hAnsi="Bookman Old Style"/>
                <w:color w:val="auto"/>
                <w:sz w:val="24"/>
                <w:highlight w:val="none"/>
              </w:rPr>
            </w:pPr>
            <w:r>
              <w:rPr>
                <w:rFonts w:hint="eastAsia" w:ascii="宋体" w:hAnsi="Bookman Old Style"/>
                <w:color w:val="auto"/>
                <w:sz w:val="24"/>
                <w:highlight w:val="none"/>
              </w:rPr>
              <w:t>项目现场（交货地点）</w:t>
            </w:r>
          </w:p>
        </w:tc>
      </w:tr>
      <w:tr w14:paraId="7BBDB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351" w:type="pct"/>
            <w:vAlign w:val="center"/>
          </w:tcPr>
          <w:p w14:paraId="6BA3345A">
            <w:pPr>
              <w:jc w:val="center"/>
              <w:rPr>
                <w:rFonts w:ascii="宋体"/>
                <w:color w:val="auto"/>
                <w:sz w:val="24"/>
                <w:highlight w:val="none"/>
              </w:rPr>
            </w:pPr>
            <w:r>
              <w:rPr>
                <w:rFonts w:hint="eastAsia" w:ascii="宋体"/>
                <w:color w:val="auto"/>
                <w:sz w:val="24"/>
                <w:highlight w:val="none"/>
              </w:rPr>
              <w:t>1</w:t>
            </w:r>
          </w:p>
        </w:tc>
        <w:tc>
          <w:tcPr>
            <w:tcW w:w="1820" w:type="pct"/>
            <w:vAlign w:val="center"/>
          </w:tcPr>
          <w:p w14:paraId="6F1C3F54">
            <w:pPr>
              <w:jc w:val="center"/>
              <w:rPr>
                <w:rFonts w:ascii="Bookman Old Style" w:hAnsi="Bookman Old Style"/>
                <w:color w:val="auto"/>
                <w:sz w:val="24"/>
                <w:highlight w:val="none"/>
              </w:rPr>
            </w:pPr>
            <w:r>
              <w:rPr>
                <w:rFonts w:hint="eastAsia" w:cs="仿宋" w:asciiTheme="minorEastAsia" w:hAnsiTheme="minorEastAsia" w:eastAsiaTheme="minorEastAsia"/>
                <w:color w:val="auto"/>
                <w:kern w:val="0"/>
                <w:sz w:val="24"/>
                <w:highlight w:val="none"/>
              </w:rPr>
              <w:t>高能同步辐射光源通用设施运维</w:t>
            </w:r>
          </w:p>
        </w:tc>
        <w:tc>
          <w:tcPr>
            <w:tcW w:w="2581" w:type="dxa"/>
            <w:vAlign w:val="center"/>
          </w:tcPr>
          <w:p w14:paraId="29B6633E">
            <w:pPr>
              <w:jc w:val="center"/>
              <w:rPr>
                <w:rFonts w:ascii="宋体" w:hAnsi="Bookman Old Style"/>
                <w:color w:val="auto"/>
                <w:sz w:val="24"/>
                <w:highlight w:val="none"/>
              </w:rPr>
            </w:pPr>
            <w:r>
              <w:rPr>
                <w:rFonts w:hint="eastAsia" w:ascii="宋体" w:hAnsi="Bookman Old Style"/>
                <w:color w:val="auto"/>
                <w:sz w:val="24"/>
                <w:highlight w:val="none"/>
              </w:rPr>
              <w:t>服务期18个月</w:t>
            </w:r>
          </w:p>
        </w:tc>
        <w:tc>
          <w:tcPr>
            <w:tcW w:w="2581" w:type="dxa"/>
            <w:vAlign w:val="center"/>
          </w:tcPr>
          <w:p w14:paraId="550A0063">
            <w:pPr>
              <w:jc w:val="center"/>
              <w:rPr>
                <w:rFonts w:ascii="宋体" w:hAnsi="Bookman Old Style"/>
                <w:color w:val="auto"/>
                <w:sz w:val="24"/>
                <w:highlight w:val="none"/>
              </w:rPr>
            </w:pPr>
            <w:r>
              <w:rPr>
                <w:rFonts w:hint="eastAsia" w:ascii="宋体" w:hAnsi="Bookman Old Style"/>
                <w:color w:val="auto"/>
                <w:sz w:val="24"/>
                <w:highlight w:val="none"/>
              </w:rPr>
              <w:t>北京市怀柔区高能同步辐射光源园区内</w:t>
            </w:r>
          </w:p>
        </w:tc>
      </w:tr>
    </w:tbl>
    <w:p w14:paraId="3955C941">
      <w:pPr>
        <w:adjustRightInd w:val="0"/>
        <w:snapToGrid w:val="0"/>
        <w:jc w:val="center"/>
        <w:rPr>
          <w:rFonts w:ascii="宋体" w:hAnsi="宋体"/>
          <w:b/>
          <w:color w:val="auto"/>
          <w:sz w:val="30"/>
          <w:szCs w:val="30"/>
          <w:highlight w:val="none"/>
        </w:rPr>
      </w:pPr>
    </w:p>
    <w:p w14:paraId="2B16A37F">
      <w:pPr>
        <w:adjustRightInd w:val="0"/>
        <w:snapToGrid w:val="0"/>
        <w:jc w:val="center"/>
        <w:rPr>
          <w:rFonts w:ascii="宋体" w:hAnsi="宋体"/>
          <w:b/>
          <w:color w:val="auto"/>
          <w:sz w:val="30"/>
          <w:szCs w:val="30"/>
          <w:highlight w:val="none"/>
        </w:rPr>
      </w:pPr>
    </w:p>
    <w:p w14:paraId="1E8B13A8">
      <w:pPr>
        <w:rPr>
          <w:rFonts w:ascii="Bookman Old Style" w:hAnsi="Bookman Old Style"/>
          <w:color w:val="auto"/>
          <w:sz w:val="24"/>
          <w:highlight w:val="none"/>
        </w:rPr>
      </w:pPr>
      <w:r>
        <w:rPr>
          <w:rFonts w:hint="eastAsia"/>
          <w:color w:val="auto"/>
          <w:sz w:val="24"/>
          <w:highlight w:val="none"/>
        </w:rPr>
        <w:t>注：投标人须对上述投标内容中完整的一包进行投标，</w:t>
      </w:r>
      <w:r>
        <w:rPr>
          <w:rFonts w:hint="eastAsia" w:ascii="Bookman Old Style" w:hAnsi="Bookman Old Style"/>
          <w:color w:val="auto"/>
          <w:sz w:val="24"/>
          <w:highlight w:val="none"/>
        </w:rPr>
        <w:t>不完整的投标将视为非响应性投标予以拒绝。</w:t>
      </w:r>
    </w:p>
    <w:p w14:paraId="587DE9AC">
      <w:pPr>
        <w:adjustRightInd w:val="0"/>
        <w:snapToGrid w:val="0"/>
        <w:rPr>
          <w:rFonts w:ascii="宋体" w:hAnsi="宋体"/>
          <w:color w:val="auto"/>
          <w:szCs w:val="21"/>
          <w:highlight w:val="none"/>
        </w:rPr>
      </w:pPr>
    </w:p>
    <w:p w14:paraId="717A5CEC">
      <w:pPr>
        <w:adjustRightInd w:val="0"/>
        <w:snapToGrid w:val="0"/>
        <w:rPr>
          <w:rFonts w:ascii="宋体" w:hAnsi="宋体"/>
          <w:color w:val="auto"/>
          <w:szCs w:val="21"/>
          <w:highlight w:val="none"/>
        </w:rPr>
      </w:pPr>
    </w:p>
    <w:p w14:paraId="7E4BCA15">
      <w:pPr>
        <w:adjustRightInd w:val="0"/>
        <w:snapToGrid w:val="0"/>
        <w:rPr>
          <w:rFonts w:ascii="宋体" w:hAnsi="宋体"/>
          <w:color w:val="auto"/>
          <w:szCs w:val="21"/>
          <w:highlight w:val="none"/>
        </w:rPr>
      </w:pPr>
    </w:p>
    <w:p w14:paraId="3C948DAD">
      <w:pPr>
        <w:spacing w:line="360" w:lineRule="auto"/>
        <w:rPr>
          <w:rFonts w:ascii="inherit" w:hAnsi="inherit" w:cs="宋体"/>
          <w:color w:val="auto"/>
          <w:kern w:val="0"/>
          <w:sz w:val="24"/>
          <w:highlight w:val="none"/>
        </w:rPr>
      </w:pPr>
      <w:r>
        <w:rPr>
          <w:rFonts w:ascii="宋体" w:hAnsi="宋体"/>
          <w:b/>
          <w:color w:val="auto"/>
          <w:sz w:val="30"/>
          <w:szCs w:val="30"/>
          <w:highlight w:val="none"/>
        </w:rPr>
        <w:br w:type="page"/>
      </w:r>
    </w:p>
    <w:p w14:paraId="2A0BFE0A">
      <w:pPr>
        <w:pStyle w:val="37"/>
        <w:spacing w:before="120" w:after="120"/>
        <w:ind w:left="420" w:firstLine="480"/>
        <w:rPr>
          <w:rFonts w:asciiTheme="minorEastAsia" w:hAnsiTheme="minorEastAsia" w:eastAsiaTheme="minorEastAsia"/>
          <w:color w:val="auto"/>
          <w:kern w:val="0"/>
          <w:highlight w:val="none"/>
          <w:u w:val="single"/>
        </w:rPr>
      </w:pPr>
      <w:bookmarkStart w:id="312" w:name="_Toc23359206"/>
      <w:r>
        <w:rPr>
          <w:rFonts w:hint="eastAsia" w:asciiTheme="minorEastAsia" w:hAnsiTheme="minorEastAsia" w:eastAsiaTheme="minorEastAsia"/>
          <w:color w:val="auto"/>
          <w:kern w:val="0"/>
          <w:highlight w:val="none"/>
          <w:u w:val="single"/>
        </w:rPr>
        <w:t>采购需求</w:t>
      </w:r>
      <w:bookmarkEnd w:id="312"/>
    </w:p>
    <w:p w14:paraId="291D9775">
      <w:pPr>
        <w:widowControl/>
        <w:spacing w:line="360" w:lineRule="auto"/>
        <w:jc w:val="left"/>
        <w:outlineLvl w:val="1"/>
        <w:rPr>
          <w:rFonts w:cs="仿宋" w:asciiTheme="minorEastAsia" w:hAnsiTheme="minorEastAsia" w:eastAsiaTheme="minorEastAsia"/>
          <w:color w:val="auto"/>
          <w:sz w:val="24"/>
          <w:highlight w:val="none"/>
        </w:rPr>
      </w:pPr>
      <w:r>
        <w:rPr>
          <w:rFonts w:hint="eastAsia" w:cs="仿宋" w:asciiTheme="minorEastAsia" w:hAnsiTheme="minorEastAsia" w:eastAsiaTheme="minorEastAsia"/>
          <w:b/>
          <w:bCs/>
          <w:color w:val="auto"/>
          <w:sz w:val="24"/>
          <w:highlight w:val="none"/>
        </w:rPr>
        <w:t>项目简介</w:t>
      </w:r>
      <w:r>
        <w:rPr>
          <w:rFonts w:hint="eastAsia" w:cs="仿宋" w:asciiTheme="minorEastAsia" w:hAnsiTheme="minorEastAsia" w:eastAsiaTheme="minorEastAsia"/>
          <w:color w:val="auto"/>
          <w:sz w:val="24"/>
          <w:highlight w:val="none"/>
        </w:rPr>
        <w:t>：</w:t>
      </w:r>
    </w:p>
    <w:p w14:paraId="6F482477">
      <w:pPr>
        <w:spacing w:line="360" w:lineRule="auto"/>
        <w:ind w:firstLine="480" w:firstLineChars="200"/>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高能同步辐射光源（以下简称HEPS）项目是国家发展改革委在“十三五”期间优先启动建设的十个重大科技基础设施项目之一，是国家科技创新中心（北京）核心大科学装置。项目2019年6月开工，目前处于储存环联合调试阶段。HEPS建设地点位于北京市怀柔区光源街1号。</w:t>
      </w:r>
    </w:p>
    <w:p w14:paraId="3DABD594">
      <w:pPr>
        <w:spacing w:line="360" w:lineRule="auto"/>
        <w:ind w:firstLine="480" w:firstLineChars="200"/>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HEPS通用设施作为高能同步辐射光源的重要基础设施，为加速器和光束线站等提供及其严苛的稳定运行条件和环境要求，是四代光源可靠运行的必要前提。主要包括工艺及空调冷冻水系统、工艺循环冷却水系统、工艺通风空调系统、压缩空气系统、纯水制备系统、热水系统、氮气配气系统、冷却风系统、以及相应的配电及控制系统，并负责工艺设备相关的现场配电柜和母线槽（不含变</w:t>
      </w:r>
      <w:r>
        <w:rPr>
          <w:rFonts w:hint="eastAsia" w:cs="仿宋" w:asciiTheme="minorEastAsia" w:hAnsiTheme="minorEastAsia" w:eastAsiaTheme="minorEastAsia"/>
          <w:color w:val="auto"/>
          <w:sz w:val="24"/>
          <w:highlight w:val="none"/>
        </w:rPr>
        <w:t>配电室）、工艺设备水电接口、室外暖沟管网系统、漏水报警系统、缆温报警系统等的运维工作，以及各项工艺设备的零星安装检修等。</w:t>
      </w:r>
    </w:p>
    <w:p w14:paraId="042D5B6C">
      <w:pPr>
        <w:spacing w:line="360" w:lineRule="auto"/>
        <w:ind w:firstLine="480" w:firstLineChars="200"/>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低温制冷机是HEPS低温系统核心设备，为超导腔模组和光束线站低温设备分别提供4.5K和80K低温环境。低温制冷机生产极低温的设备，包括氦气压缩机、氮气压缩机、油气分离设备、氦冷箱、低温杜瓦、低温传输分配阀葙、超导腔模组、氮低温设备和大型低温用储罐等。这些设备分布在环外低温厅、环内低温制冷机房和HEPS储存环以及实验大厅，具有设备多、单套价格昂贵、涉及极低温和稀有气体氦等特点。极低温设备的运行和维护是一项非常复杂的系统性工作。</w:t>
      </w:r>
    </w:p>
    <w:p w14:paraId="5B18EABE">
      <w:pPr>
        <w:pStyle w:val="3"/>
        <w:autoSpaceDE/>
        <w:autoSpaceDN/>
        <w:adjustRightInd/>
        <w:spacing w:before="260" w:after="260" w:line="440" w:lineRule="exact"/>
        <w:jc w:val="both"/>
        <w:rPr>
          <w:rFonts w:cs="宋体"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bCs/>
          <w:color w:val="auto"/>
          <w:kern w:val="2"/>
          <w:sz w:val="24"/>
          <w:szCs w:val="24"/>
          <w:highlight w:val="none"/>
        </w:rPr>
        <w:t>一、技术要求</w:t>
      </w:r>
    </w:p>
    <w:p w14:paraId="65F250D0">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总则</w:t>
      </w:r>
    </w:p>
    <w:p w14:paraId="1C133AF1">
      <w:pPr>
        <w:tabs>
          <w:tab w:val="left" w:pos="1365"/>
        </w:tabs>
        <w:snapToGrid w:val="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   本技术文件适用于中国科学院高能物理研究所HEPS通用设施、低温系统运行、维护及检修范围以及相关要求。</w:t>
      </w:r>
    </w:p>
    <w:p w14:paraId="28C9014D">
      <w:pPr>
        <w:snapToGrid w:val="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 xml:space="preserve">   乙方承诺提供满足行业规范和本技术文件要求的进行高质量的</w:t>
      </w:r>
      <w:r>
        <w:rPr>
          <w:rFonts w:cs="宋体" w:asciiTheme="minorEastAsia" w:hAnsiTheme="minorEastAsia" w:eastAsiaTheme="minorEastAsia"/>
          <w:color w:val="auto"/>
          <w:sz w:val="24"/>
          <w:highlight w:val="none"/>
        </w:rPr>
        <w:t>运行维护工作</w:t>
      </w:r>
      <w:r>
        <w:rPr>
          <w:rFonts w:hint="eastAsia" w:cs="宋体" w:asciiTheme="minorEastAsia" w:hAnsiTheme="minorEastAsia" w:eastAsiaTheme="minorEastAsia"/>
          <w:color w:val="auto"/>
          <w:sz w:val="24"/>
          <w:highlight w:val="none"/>
        </w:rPr>
        <w:t>。</w:t>
      </w:r>
    </w:p>
    <w:p w14:paraId="4243A0F8">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乙方在运行管理、维护及检修过程所遵循的各项规程，规范和标准均应满足中国现行国家标准或行业标准或国际标准。对国家或行业有关的设备运行管理、安全（设备及人员）、环保等强制性标准，均满足其要求。</w:t>
      </w:r>
    </w:p>
    <w:p w14:paraId="37831433">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环境及设计条件</w:t>
      </w:r>
    </w:p>
    <w:p w14:paraId="3AAAB4A8">
      <w:pPr>
        <w:numPr>
          <w:ilvl w:val="1"/>
          <w:numId w:val="11"/>
        </w:numPr>
        <w:adjustRightInd w:val="0"/>
        <w:snapToGrid w:val="0"/>
        <w:spacing w:line="360" w:lineRule="auto"/>
        <w:ind w:left="0" w:firstLine="283" w:firstLineChars="118"/>
        <w:jc w:val="left"/>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水源、</w:t>
      </w:r>
      <w:r>
        <w:rPr>
          <w:rFonts w:asciiTheme="minorEastAsia" w:hAnsiTheme="minorEastAsia" w:eastAsiaTheme="minorEastAsia"/>
          <w:bCs/>
          <w:color w:val="auto"/>
          <w:sz w:val="24"/>
          <w:highlight w:val="none"/>
        </w:rPr>
        <w:t>电源环境：</w:t>
      </w:r>
      <w:r>
        <w:rPr>
          <w:rFonts w:hint="eastAsia" w:asciiTheme="minorEastAsia" w:hAnsiTheme="minorEastAsia" w:eastAsiaTheme="minorEastAsia"/>
          <w:bCs/>
          <w:color w:val="auto"/>
          <w:sz w:val="24"/>
          <w:highlight w:val="none"/>
        </w:rPr>
        <w:t>水源自HEPS园区供应，电源自HEPS园区10kV</w:t>
      </w:r>
      <w:r>
        <w:rPr>
          <w:rFonts w:asciiTheme="minorEastAsia" w:hAnsiTheme="minorEastAsia" w:eastAsiaTheme="minorEastAsia"/>
          <w:bCs/>
          <w:color w:val="auto"/>
          <w:sz w:val="24"/>
          <w:highlight w:val="none"/>
        </w:rPr>
        <w:t>变电站接入。</w:t>
      </w:r>
    </w:p>
    <w:p w14:paraId="41E1597D">
      <w:pPr>
        <w:numPr>
          <w:ilvl w:val="1"/>
          <w:numId w:val="11"/>
        </w:numPr>
        <w:adjustRightInd w:val="0"/>
        <w:snapToGrid w:val="0"/>
        <w:spacing w:line="360" w:lineRule="auto"/>
        <w:ind w:left="0" w:firstLine="283" w:firstLineChars="118"/>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设备运行时间：每天24小时，全年不间断运行。</w:t>
      </w:r>
    </w:p>
    <w:p w14:paraId="7D32DCAF">
      <w:pPr>
        <w:numPr>
          <w:ilvl w:val="1"/>
          <w:numId w:val="11"/>
        </w:numPr>
        <w:adjustRightInd w:val="0"/>
        <w:snapToGrid w:val="0"/>
        <w:spacing w:line="360" w:lineRule="auto"/>
        <w:ind w:left="0" w:firstLine="283" w:firstLineChars="118"/>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有关图纸</w:t>
      </w: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招标人提供，附图单独装订一册</w:t>
      </w:r>
      <w:r>
        <w:rPr>
          <w:rFonts w:hint="eastAsia" w:asciiTheme="minorEastAsia" w:hAnsiTheme="minorEastAsia" w:eastAsiaTheme="minorEastAsia"/>
          <w:color w:val="auto"/>
          <w:sz w:val="24"/>
          <w:highlight w:val="none"/>
        </w:rPr>
        <w:t>。</w:t>
      </w:r>
    </w:p>
    <w:p w14:paraId="23492255">
      <w:pPr>
        <w:numPr>
          <w:ilvl w:val="1"/>
          <w:numId w:val="11"/>
        </w:numPr>
        <w:adjustRightInd w:val="0"/>
        <w:snapToGrid w:val="0"/>
        <w:spacing w:line="360" w:lineRule="auto"/>
        <w:ind w:left="0" w:firstLine="283" w:firstLineChars="118"/>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甲方提供值班室两处，冷冻站一处；储存环一处，面积约</w:t>
      </w:r>
      <w:r>
        <w:rPr>
          <w:rFonts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rPr>
        <w:t>0m</w:t>
      </w:r>
      <w:r>
        <w:rPr>
          <w:rFonts w:hint="eastAsia" w:asciiTheme="minorEastAsia" w:hAnsiTheme="minorEastAsia" w:eastAsiaTheme="minorEastAsia"/>
          <w:color w:val="auto"/>
          <w:sz w:val="24"/>
          <w:highlight w:val="none"/>
          <w:vertAlign w:val="superscript"/>
        </w:rPr>
        <w:t>2</w:t>
      </w:r>
      <w:r>
        <w:rPr>
          <w:rFonts w:hint="eastAsia" w:asciiTheme="minorEastAsia" w:hAnsiTheme="minorEastAsia" w:eastAsiaTheme="minorEastAsia"/>
          <w:color w:val="auto"/>
          <w:sz w:val="24"/>
          <w:highlight w:val="none"/>
        </w:rPr>
        <w:t>。</w:t>
      </w:r>
    </w:p>
    <w:p w14:paraId="47B6DAFD">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r>
        <w:rPr>
          <w:rFonts w:hint="eastAsia" w:asciiTheme="minorEastAsia" w:hAnsiTheme="minorEastAsia" w:eastAsiaTheme="minorEastAsia"/>
          <w:bCs/>
          <w:color w:val="auto"/>
          <w:sz w:val="24"/>
          <w:highlight w:val="none"/>
        </w:rPr>
        <w:t>设备基本参数</w:t>
      </w:r>
    </w:p>
    <w:tbl>
      <w:tblPr>
        <w:tblStyle w:val="4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245"/>
        <w:gridCol w:w="642"/>
        <w:gridCol w:w="642"/>
        <w:gridCol w:w="3459"/>
        <w:gridCol w:w="2693"/>
      </w:tblGrid>
      <w:tr w14:paraId="715A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CFBFA05">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1245" w:type="dxa"/>
            <w:noWrap/>
            <w:vAlign w:val="center"/>
          </w:tcPr>
          <w:p w14:paraId="79B3710C">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设备名称</w:t>
            </w:r>
          </w:p>
        </w:tc>
        <w:tc>
          <w:tcPr>
            <w:tcW w:w="642" w:type="dxa"/>
            <w:noWrap/>
            <w:vAlign w:val="center"/>
          </w:tcPr>
          <w:p w14:paraId="7404D464">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单位</w:t>
            </w:r>
          </w:p>
        </w:tc>
        <w:tc>
          <w:tcPr>
            <w:tcW w:w="642" w:type="dxa"/>
            <w:noWrap/>
            <w:vAlign w:val="center"/>
          </w:tcPr>
          <w:p w14:paraId="7854E40E">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数量</w:t>
            </w:r>
          </w:p>
        </w:tc>
        <w:tc>
          <w:tcPr>
            <w:tcW w:w="3459" w:type="dxa"/>
            <w:noWrap/>
            <w:vAlign w:val="center"/>
          </w:tcPr>
          <w:p w14:paraId="6BBDE44B">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主要参数</w:t>
            </w:r>
          </w:p>
        </w:tc>
        <w:tc>
          <w:tcPr>
            <w:tcW w:w="2693" w:type="dxa"/>
            <w:noWrap/>
            <w:vAlign w:val="center"/>
          </w:tcPr>
          <w:p w14:paraId="6EEC1125">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安装位置</w:t>
            </w:r>
          </w:p>
        </w:tc>
      </w:tr>
      <w:tr w14:paraId="0A4C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40C65F8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1245" w:type="dxa"/>
            <w:noWrap/>
            <w:vAlign w:val="center"/>
          </w:tcPr>
          <w:p w14:paraId="154C73E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冷冻站循环水泵</w:t>
            </w:r>
          </w:p>
        </w:tc>
        <w:tc>
          <w:tcPr>
            <w:tcW w:w="642" w:type="dxa"/>
            <w:noWrap/>
            <w:vAlign w:val="center"/>
          </w:tcPr>
          <w:p w14:paraId="31060F1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07D164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c>
          <w:tcPr>
            <w:tcW w:w="3459" w:type="dxa"/>
            <w:vAlign w:val="center"/>
          </w:tcPr>
          <w:p w14:paraId="69CD965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流量350--1300m3/h，</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扬程35--60m,电机功率90--200KW</w:t>
            </w:r>
          </w:p>
        </w:tc>
        <w:tc>
          <w:tcPr>
            <w:tcW w:w="2693" w:type="dxa"/>
            <w:noWrap/>
            <w:vAlign w:val="center"/>
          </w:tcPr>
          <w:p w14:paraId="0F0D3F9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5D9B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420242C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1245" w:type="dxa"/>
            <w:noWrap/>
            <w:vAlign w:val="center"/>
          </w:tcPr>
          <w:p w14:paraId="6BC9972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冷却塔</w:t>
            </w:r>
          </w:p>
        </w:tc>
        <w:tc>
          <w:tcPr>
            <w:tcW w:w="642" w:type="dxa"/>
            <w:noWrap/>
            <w:vAlign w:val="center"/>
          </w:tcPr>
          <w:p w14:paraId="2FB977F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642" w:type="dxa"/>
            <w:noWrap/>
            <w:vAlign w:val="center"/>
          </w:tcPr>
          <w:p w14:paraId="793CC1E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3459" w:type="dxa"/>
            <w:vAlign w:val="center"/>
          </w:tcPr>
          <w:p w14:paraId="2AE7C67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单组流量450-1296m3/h；</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标准排热量7035KW</w:t>
            </w:r>
          </w:p>
        </w:tc>
        <w:tc>
          <w:tcPr>
            <w:tcW w:w="2693" w:type="dxa"/>
            <w:noWrap/>
            <w:vAlign w:val="center"/>
          </w:tcPr>
          <w:p w14:paraId="18B4728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5853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41" w:type="dxa"/>
            <w:noWrap/>
            <w:vAlign w:val="center"/>
          </w:tcPr>
          <w:p w14:paraId="34013D9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1245" w:type="dxa"/>
            <w:noWrap/>
            <w:vAlign w:val="center"/>
          </w:tcPr>
          <w:p w14:paraId="2EA5352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不锈钢立式离心水泵</w:t>
            </w:r>
          </w:p>
        </w:tc>
        <w:tc>
          <w:tcPr>
            <w:tcW w:w="642" w:type="dxa"/>
            <w:noWrap/>
            <w:vAlign w:val="center"/>
          </w:tcPr>
          <w:p w14:paraId="12F41A5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9A25B6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75</w:t>
            </w:r>
          </w:p>
        </w:tc>
        <w:tc>
          <w:tcPr>
            <w:tcW w:w="3459" w:type="dxa"/>
            <w:vAlign w:val="center"/>
          </w:tcPr>
          <w:p w14:paraId="249997A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流量7--130m3/h，</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扬程36--80m,电机功率1.5--45KW</w:t>
            </w:r>
          </w:p>
        </w:tc>
        <w:tc>
          <w:tcPr>
            <w:tcW w:w="2693" w:type="dxa"/>
            <w:vAlign w:val="center"/>
          </w:tcPr>
          <w:p w14:paraId="335B803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4819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16B6906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1245" w:type="dxa"/>
            <w:noWrap/>
            <w:vAlign w:val="center"/>
          </w:tcPr>
          <w:p w14:paraId="74CFA4C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不锈钢卧式离心水泵</w:t>
            </w:r>
          </w:p>
        </w:tc>
        <w:tc>
          <w:tcPr>
            <w:tcW w:w="642" w:type="dxa"/>
            <w:noWrap/>
            <w:vAlign w:val="center"/>
          </w:tcPr>
          <w:p w14:paraId="5CF03CF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075F495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3459" w:type="dxa"/>
            <w:vAlign w:val="center"/>
          </w:tcPr>
          <w:p w14:paraId="6D8E3DC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流量320m3/h，</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扬程72m,电机功率90KW</w:t>
            </w:r>
          </w:p>
        </w:tc>
        <w:tc>
          <w:tcPr>
            <w:tcW w:w="2693" w:type="dxa"/>
            <w:noWrap/>
            <w:vAlign w:val="center"/>
          </w:tcPr>
          <w:p w14:paraId="04E45EE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储存环RS7泵房</w:t>
            </w:r>
          </w:p>
        </w:tc>
      </w:tr>
      <w:tr w14:paraId="6B0A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F3226F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1245" w:type="dxa"/>
            <w:noWrap/>
            <w:vAlign w:val="center"/>
          </w:tcPr>
          <w:p w14:paraId="120DFF3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卧式端吸泵</w:t>
            </w:r>
          </w:p>
        </w:tc>
        <w:tc>
          <w:tcPr>
            <w:tcW w:w="642" w:type="dxa"/>
            <w:noWrap/>
            <w:vAlign w:val="center"/>
          </w:tcPr>
          <w:p w14:paraId="3E03C16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11EAA7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007F47B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流量650m3/h，扬程32m，功率75kw，</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承压1.6Mpa</w:t>
            </w:r>
          </w:p>
        </w:tc>
        <w:tc>
          <w:tcPr>
            <w:tcW w:w="2693" w:type="dxa"/>
            <w:noWrap/>
            <w:vAlign w:val="center"/>
          </w:tcPr>
          <w:p w14:paraId="2DEFFEB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换热站</w:t>
            </w:r>
          </w:p>
        </w:tc>
      </w:tr>
      <w:tr w14:paraId="20F0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13DF216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1245" w:type="dxa"/>
            <w:noWrap/>
            <w:vAlign w:val="center"/>
          </w:tcPr>
          <w:p w14:paraId="721060D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自控柜</w:t>
            </w:r>
          </w:p>
        </w:tc>
        <w:tc>
          <w:tcPr>
            <w:tcW w:w="642" w:type="dxa"/>
            <w:noWrap/>
            <w:vAlign w:val="center"/>
          </w:tcPr>
          <w:p w14:paraId="795F6FA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D4AE37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3459" w:type="dxa"/>
            <w:noWrap/>
            <w:vAlign w:val="center"/>
          </w:tcPr>
          <w:p w14:paraId="1D05DE1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功率2.2KW</w:t>
            </w:r>
          </w:p>
        </w:tc>
        <w:tc>
          <w:tcPr>
            <w:tcW w:w="2693" w:type="dxa"/>
            <w:vAlign w:val="center"/>
          </w:tcPr>
          <w:p w14:paraId="0526149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25CCE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49FC7BF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c>
          <w:tcPr>
            <w:tcW w:w="1245" w:type="dxa"/>
            <w:noWrap/>
            <w:vAlign w:val="center"/>
          </w:tcPr>
          <w:p w14:paraId="762BD3A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电加热器</w:t>
            </w:r>
          </w:p>
        </w:tc>
        <w:tc>
          <w:tcPr>
            <w:tcW w:w="642" w:type="dxa"/>
            <w:noWrap/>
            <w:vAlign w:val="center"/>
          </w:tcPr>
          <w:p w14:paraId="0A634DE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EAFDB8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3459" w:type="dxa"/>
            <w:vAlign w:val="center"/>
          </w:tcPr>
          <w:p w14:paraId="5B8495C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电加热器功率5-150kw，法兰式，</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1.6mpa</w:t>
            </w:r>
          </w:p>
        </w:tc>
        <w:tc>
          <w:tcPr>
            <w:tcW w:w="2693" w:type="dxa"/>
            <w:vAlign w:val="center"/>
          </w:tcPr>
          <w:p w14:paraId="087258F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07AD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4172940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c>
          <w:tcPr>
            <w:tcW w:w="1245" w:type="dxa"/>
            <w:noWrap/>
            <w:vAlign w:val="center"/>
          </w:tcPr>
          <w:p w14:paraId="63A632F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调功柜</w:t>
            </w:r>
          </w:p>
        </w:tc>
        <w:tc>
          <w:tcPr>
            <w:tcW w:w="642" w:type="dxa"/>
            <w:noWrap/>
            <w:vAlign w:val="center"/>
          </w:tcPr>
          <w:p w14:paraId="79FE778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23BBC8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3459" w:type="dxa"/>
            <w:vAlign w:val="center"/>
          </w:tcPr>
          <w:p w14:paraId="38BB412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额定输出功率率5-150kw，</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晶闸管移相调节</w:t>
            </w:r>
          </w:p>
        </w:tc>
        <w:tc>
          <w:tcPr>
            <w:tcW w:w="2693" w:type="dxa"/>
            <w:vAlign w:val="center"/>
          </w:tcPr>
          <w:p w14:paraId="02BF806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2FAD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171EA56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c>
          <w:tcPr>
            <w:tcW w:w="1245" w:type="dxa"/>
            <w:noWrap/>
            <w:vAlign w:val="center"/>
          </w:tcPr>
          <w:p w14:paraId="0DBBE34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电动调节阀</w:t>
            </w:r>
          </w:p>
        </w:tc>
        <w:tc>
          <w:tcPr>
            <w:tcW w:w="642" w:type="dxa"/>
            <w:noWrap/>
            <w:vAlign w:val="center"/>
          </w:tcPr>
          <w:p w14:paraId="7C0A21D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个</w:t>
            </w:r>
          </w:p>
        </w:tc>
        <w:tc>
          <w:tcPr>
            <w:tcW w:w="642" w:type="dxa"/>
            <w:noWrap/>
            <w:vAlign w:val="center"/>
          </w:tcPr>
          <w:p w14:paraId="2BC0586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47</w:t>
            </w:r>
          </w:p>
        </w:tc>
        <w:tc>
          <w:tcPr>
            <w:tcW w:w="3459" w:type="dxa"/>
            <w:vAlign w:val="center"/>
          </w:tcPr>
          <w:p w14:paraId="0D0B76C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两通及三通调节阀，</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执行机构：罗托克</w:t>
            </w:r>
          </w:p>
        </w:tc>
        <w:tc>
          <w:tcPr>
            <w:tcW w:w="2693" w:type="dxa"/>
            <w:vAlign w:val="center"/>
          </w:tcPr>
          <w:p w14:paraId="0BD9701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4B473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3C558E0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10</w:t>
            </w:r>
          </w:p>
        </w:tc>
        <w:tc>
          <w:tcPr>
            <w:tcW w:w="1245" w:type="dxa"/>
            <w:noWrap/>
            <w:vAlign w:val="center"/>
          </w:tcPr>
          <w:p w14:paraId="3935FC8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板式换热器</w:t>
            </w:r>
          </w:p>
        </w:tc>
        <w:tc>
          <w:tcPr>
            <w:tcW w:w="642" w:type="dxa"/>
            <w:noWrap/>
            <w:vAlign w:val="center"/>
          </w:tcPr>
          <w:p w14:paraId="6726A9E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150E65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58</w:t>
            </w:r>
          </w:p>
        </w:tc>
        <w:tc>
          <w:tcPr>
            <w:tcW w:w="3459" w:type="dxa"/>
            <w:noWrap/>
            <w:vAlign w:val="center"/>
          </w:tcPr>
          <w:p w14:paraId="27A1BF9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板片316L，0.6mm厚，单边流</w:t>
            </w:r>
          </w:p>
        </w:tc>
        <w:tc>
          <w:tcPr>
            <w:tcW w:w="2693" w:type="dxa"/>
            <w:vAlign w:val="center"/>
          </w:tcPr>
          <w:p w14:paraId="03400D3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LS1/BS1/RS1-8/B2/B3/B7泵房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储存环高频厅</w:t>
            </w:r>
          </w:p>
        </w:tc>
      </w:tr>
      <w:tr w14:paraId="25D8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5D6465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1245" w:type="dxa"/>
            <w:noWrap/>
            <w:vAlign w:val="center"/>
          </w:tcPr>
          <w:p w14:paraId="085457A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机械过滤器</w:t>
            </w:r>
          </w:p>
        </w:tc>
        <w:tc>
          <w:tcPr>
            <w:tcW w:w="642" w:type="dxa"/>
            <w:noWrap/>
            <w:vAlign w:val="center"/>
          </w:tcPr>
          <w:p w14:paraId="26B2C34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2F999E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46</w:t>
            </w:r>
          </w:p>
        </w:tc>
        <w:tc>
          <w:tcPr>
            <w:tcW w:w="3459" w:type="dxa"/>
            <w:vAlign w:val="center"/>
          </w:tcPr>
          <w:p w14:paraId="2C925EC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滤袋式，设计压力1.6mpa，</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滤袋150目，304不锈钢</w:t>
            </w:r>
          </w:p>
        </w:tc>
        <w:tc>
          <w:tcPr>
            <w:tcW w:w="2693" w:type="dxa"/>
            <w:noWrap/>
            <w:vAlign w:val="center"/>
          </w:tcPr>
          <w:p w14:paraId="064BD28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LS1/BS1/RS1-8/储存环高频厅</w:t>
            </w:r>
          </w:p>
        </w:tc>
      </w:tr>
      <w:tr w14:paraId="59FF5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650196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1245" w:type="dxa"/>
            <w:noWrap/>
            <w:vAlign w:val="center"/>
          </w:tcPr>
          <w:p w14:paraId="49EBFC2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微气泡杂质分离器</w:t>
            </w:r>
          </w:p>
        </w:tc>
        <w:tc>
          <w:tcPr>
            <w:tcW w:w="642" w:type="dxa"/>
            <w:noWrap/>
            <w:vAlign w:val="center"/>
          </w:tcPr>
          <w:p w14:paraId="7D346B2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EFFD05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noWrap/>
            <w:vAlign w:val="center"/>
          </w:tcPr>
          <w:p w14:paraId="16E7BE1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设计压力1.0mpa，流量1500-2300m</w:t>
            </w:r>
            <w:r>
              <w:rPr>
                <w:rFonts w:hint="eastAsia" w:ascii="宋体" w:hAnsi="宋体" w:cs="宋体"/>
                <w:color w:val="auto"/>
                <w:kern w:val="0"/>
                <w:sz w:val="20"/>
                <w:szCs w:val="20"/>
                <w:highlight w:val="none"/>
                <w:vertAlign w:val="superscript"/>
              </w:rPr>
              <w:t>3</w:t>
            </w:r>
            <w:r>
              <w:rPr>
                <w:rFonts w:hint="eastAsia" w:ascii="宋体" w:hAnsi="宋体" w:cs="宋体"/>
                <w:color w:val="auto"/>
                <w:kern w:val="0"/>
                <w:sz w:val="20"/>
                <w:szCs w:val="20"/>
                <w:highlight w:val="none"/>
              </w:rPr>
              <w:t>/h</w:t>
            </w:r>
          </w:p>
        </w:tc>
        <w:tc>
          <w:tcPr>
            <w:tcW w:w="2693" w:type="dxa"/>
            <w:noWrap/>
            <w:vAlign w:val="center"/>
          </w:tcPr>
          <w:p w14:paraId="5375670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冷冻站内</w:t>
            </w:r>
          </w:p>
        </w:tc>
      </w:tr>
      <w:tr w14:paraId="55C77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3478622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13</w:t>
            </w:r>
          </w:p>
        </w:tc>
        <w:tc>
          <w:tcPr>
            <w:tcW w:w="1245" w:type="dxa"/>
            <w:noWrap/>
            <w:vAlign w:val="center"/>
          </w:tcPr>
          <w:p w14:paraId="095983C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空压机</w:t>
            </w:r>
          </w:p>
        </w:tc>
        <w:tc>
          <w:tcPr>
            <w:tcW w:w="642" w:type="dxa"/>
            <w:noWrap/>
            <w:vAlign w:val="center"/>
          </w:tcPr>
          <w:p w14:paraId="4A2213F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864789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vAlign w:val="center"/>
          </w:tcPr>
          <w:p w14:paraId="617329D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排气压力1.0MPa，排气量1.69~11.8m3/min，</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电机75kW，变频永磁直连驱动</w:t>
            </w:r>
          </w:p>
        </w:tc>
        <w:tc>
          <w:tcPr>
            <w:tcW w:w="2693" w:type="dxa"/>
            <w:noWrap/>
            <w:vAlign w:val="center"/>
          </w:tcPr>
          <w:p w14:paraId="1A19406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53DB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41" w:type="dxa"/>
            <w:noWrap/>
            <w:vAlign w:val="center"/>
          </w:tcPr>
          <w:p w14:paraId="5FDA77B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14</w:t>
            </w:r>
          </w:p>
        </w:tc>
        <w:tc>
          <w:tcPr>
            <w:tcW w:w="1245" w:type="dxa"/>
            <w:noWrap/>
            <w:vAlign w:val="center"/>
          </w:tcPr>
          <w:p w14:paraId="5B30250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冷冻式干燥机</w:t>
            </w:r>
          </w:p>
        </w:tc>
        <w:tc>
          <w:tcPr>
            <w:tcW w:w="642" w:type="dxa"/>
            <w:noWrap/>
            <w:vAlign w:val="center"/>
          </w:tcPr>
          <w:p w14:paraId="6109BDE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4DC66B5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50115D3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处理气量24m3/min，压力露点-40℃</w:t>
            </w:r>
          </w:p>
        </w:tc>
        <w:tc>
          <w:tcPr>
            <w:tcW w:w="2693" w:type="dxa"/>
            <w:noWrap/>
            <w:vAlign w:val="center"/>
          </w:tcPr>
          <w:p w14:paraId="453315E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2FFF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41" w:type="dxa"/>
            <w:noWrap/>
            <w:vAlign w:val="center"/>
          </w:tcPr>
          <w:p w14:paraId="383F5AB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15</w:t>
            </w:r>
          </w:p>
        </w:tc>
        <w:tc>
          <w:tcPr>
            <w:tcW w:w="1245" w:type="dxa"/>
            <w:noWrap/>
            <w:vAlign w:val="center"/>
          </w:tcPr>
          <w:p w14:paraId="7189041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吸附式干燥机</w:t>
            </w:r>
          </w:p>
        </w:tc>
        <w:tc>
          <w:tcPr>
            <w:tcW w:w="642" w:type="dxa"/>
            <w:noWrap/>
            <w:vAlign w:val="center"/>
          </w:tcPr>
          <w:p w14:paraId="306FA54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4623647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56D2D9E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处理气量13.2m3/min，压力露点3~5℃</w:t>
            </w:r>
          </w:p>
        </w:tc>
        <w:tc>
          <w:tcPr>
            <w:tcW w:w="2693" w:type="dxa"/>
            <w:noWrap/>
            <w:vAlign w:val="center"/>
          </w:tcPr>
          <w:p w14:paraId="71FDC86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4C557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41" w:type="dxa"/>
            <w:noWrap/>
            <w:vAlign w:val="center"/>
          </w:tcPr>
          <w:p w14:paraId="6A29904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1245" w:type="dxa"/>
            <w:noWrap/>
            <w:vAlign w:val="center"/>
          </w:tcPr>
          <w:p w14:paraId="5791054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空气过滤器</w:t>
            </w:r>
          </w:p>
        </w:tc>
        <w:tc>
          <w:tcPr>
            <w:tcW w:w="642" w:type="dxa"/>
            <w:noWrap/>
            <w:vAlign w:val="center"/>
          </w:tcPr>
          <w:p w14:paraId="7185516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291EFD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3459" w:type="dxa"/>
            <w:vAlign w:val="center"/>
          </w:tcPr>
          <w:p w14:paraId="53AA966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处理气量32m3/min，含油量低于</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0.01~1mg/m3除尘低于0.01~1</w:t>
            </w:r>
            <w:r>
              <w:rPr>
                <w:rFonts w:ascii="Calibri" w:hAnsi="Calibri" w:cs="Calibri"/>
                <w:color w:val="auto"/>
                <w:kern w:val="0"/>
                <w:sz w:val="20"/>
                <w:szCs w:val="20"/>
                <w:highlight w:val="none"/>
              </w:rPr>
              <w:t>μ</w:t>
            </w:r>
            <w:r>
              <w:rPr>
                <w:rFonts w:hint="eastAsia" w:ascii="宋体" w:hAnsi="宋体" w:cs="宋体"/>
                <w:color w:val="auto"/>
                <w:kern w:val="0"/>
                <w:sz w:val="20"/>
                <w:szCs w:val="20"/>
                <w:highlight w:val="none"/>
              </w:rPr>
              <w:t>m</w:t>
            </w:r>
          </w:p>
        </w:tc>
        <w:tc>
          <w:tcPr>
            <w:tcW w:w="2693" w:type="dxa"/>
            <w:noWrap/>
            <w:vAlign w:val="center"/>
          </w:tcPr>
          <w:p w14:paraId="5259711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10DF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66E6FD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c>
          <w:tcPr>
            <w:tcW w:w="1245" w:type="dxa"/>
            <w:noWrap/>
            <w:vAlign w:val="center"/>
          </w:tcPr>
          <w:p w14:paraId="55C4EB8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碳钢储气罐</w:t>
            </w:r>
          </w:p>
        </w:tc>
        <w:tc>
          <w:tcPr>
            <w:tcW w:w="642" w:type="dxa"/>
            <w:noWrap/>
            <w:vAlign w:val="center"/>
          </w:tcPr>
          <w:p w14:paraId="7E8DBB1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E4F620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666FBBE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容积5m3，承压1.0MPa</w:t>
            </w:r>
          </w:p>
        </w:tc>
        <w:tc>
          <w:tcPr>
            <w:tcW w:w="2693" w:type="dxa"/>
            <w:noWrap/>
            <w:vAlign w:val="center"/>
          </w:tcPr>
          <w:p w14:paraId="6789145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480B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BD4D9D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18</w:t>
            </w:r>
          </w:p>
        </w:tc>
        <w:tc>
          <w:tcPr>
            <w:tcW w:w="1245" w:type="dxa"/>
            <w:noWrap/>
            <w:vAlign w:val="center"/>
          </w:tcPr>
          <w:p w14:paraId="0FB6B33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压缩空气控制柜</w:t>
            </w:r>
          </w:p>
        </w:tc>
        <w:tc>
          <w:tcPr>
            <w:tcW w:w="642" w:type="dxa"/>
            <w:noWrap/>
            <w:vAlign w:val="center"/>
          </w:tcPr>
          <w:p w14:paraId="6F05830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41811CD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noWrap/>
            <w:vAlign w:val="center"/>
          </w:tcPr>
          <w:p w14:paraId="113BD72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尺寸600*400*1800</w:t>
            </w:r>
          </w:p>
        </w:tc>
        <w:tc>
          <w:tcPr>
            <w:tcW w:w="2693" w:type="dxa"/>
            <w:noWrap/>
            <w:vAlign w:val="center"/>
          </w:tcPr>
          <w:p w14:paraId="3FB9700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冷冻站空压机房</w:t>
            </w:r>
          </w:p>
        </w:tc>
      </w:tr>
      <w:tr w14:paraId="36DB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7637AB2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19</w:t>
            </w:r>
          </w:p>
        </w:tc>
        <w:tc>
          <w:tcPr>
            <w:tcW w:w="1245" w:type="dxa"/>
            <w:noWrap/>
            <w:vAlign w:val="center"/>
          </w:tcPr>
          <w:p w14:paraId="50AD010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不锈钢储气罐</w:t>
            </w:r>
          </w:p>
        </w:tc>
        <w:tc>
          <w:tcPr>
            <w:tcW w:w="642" w:type="dxa"/>
            <w:noWrap/>
            <w:vAlign w:val="center"/>
          </w:tcPr>
          <w:p w14:paraId="180C727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090C0D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15</w:t>
            </w:r>
          </w:p>
        </w:tc>
        <w:tc>
          <w:tcPr>
            <w:tcW w:w="3459" w:type="dxa"/>
            <w:vAlign w:val="center"/>
          </w:tcPr>
          <w:p w14:paraId="3C4297A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容积0.1~1.0m3，承压1.6MPa</w:t>
            </w:r>
          </w:p>
        </w:tc>
        <w:tc>
          <w:tcPr>
            <w:tcW w:w="2693" w:type="dxa"/>
            <w:vAlign w:val="center"/>
          </w:tcPr>
          <w:p w14:paraId="61C0A73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分布在冷冻站、直线、增强器</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储存环、长束线站等位置</w:t>
            </w:r>
          </w:p>
        </w:tc>
      </w:tr>
      <w:tr w14:paraId="2A51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140AA79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20</w:t>
            </w:r>
          </w:p>
        </w:tc>
        <w:tc>
          <w:tcPr>
            <w:tcW w:w="1245" w:type="dxa"/>
            <w:noWrap/>
            <w:vAlign w:val="center"/>
          </w:tcPr>
          <w:p w14:paraId="77CB8E3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不锈钢离心风机</w:t>
            </w:r>
          </w:p>
        </w:tc>
        <w:tc>
          <w:tcPr>
            <w:tcW w:w="642" w:type="dxa"/>
            <w:noWrap/>
            <w:vAlign w:val="center"/>
          </w:tcPr>
          <w:p w14:paraId="571AB4D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69830B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07918E1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风量1000m3/h，风机全压6.5kPa，</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电机15kW</w:t>
            </w:r>
          </w:p>
        </w:tc>
        <w:tc>
          <w:tcPr>
            <w:tcW w:w="2693" w:type="dxa"/>
            <w:noWrap/>
            <w:vAlign w:val="center"/>
          </w:tcPr>
          <w:p w14:paraId="76049EE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增强器冷却风机房</w:t>
            </w:r>
          </w:p>
        </w:tc>
      </w:tr>
      <w:tr w14:paraId="017B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4F79E5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1245" w:type="dxa"/>
            <w:noWrap/>
            <w:vAlign w:val="center"/>
          </w:tcPr>
          <w:p w14:paraId="2A81607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高效过滤器</w:t>
            </w:r>
          </w:p>
        </w:tc>
        <w:tc>
          <w:tcPr>
            <w:tcW w:w="642" w:type="dxa"/>
            <w:noWrap/>
            <w:vAlign w:val="center"/>
          </w:tcPr>
          <w:p w14:paraId="405F9E2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F43635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4745B46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风量1000m3/h，过滤效率（初效≥85%，</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高效≥99.97%），箱体静压6.5kPa</w:t>
            </w:r>
          </w:p>
        </w:tc>
        <w:tc>
          <w:tcPr>
            <w:tcW w:w="2693" w:type="dxa"/>
            <w:noWrap/>
            <w:vAlign w:val="center"/>
          </w:tcPr>
          <w:p w14:paraId="5827948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增强器冷却风机房</w:t>
            </w:r>
          </w:p>
        </w:tc>
      </w:tr>
      <w:tr w14:paraId="09652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641" w:type="dxa"/>
            <w:noWrap/>
            <w:vAlign w:val="center"/>
          </w:tcPr>
          <w:p w14:paraId="6B71342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22</w:t>
            </w:r>
          </w:p>
        </w:tc>
        <w:tc>
          <w:tcPr>
            <w:tcW w:w="1245" w:type="dxa"/>
            <w:noWrap/>
            <w:vAlign w:val="center"/>
          </w:tcPr>
          <w:p w14:paraId="70EB4FD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洁净空调箱体</w:t>
            </w:r>
          </w:p>
        </w:tc>
        <w:tc>
          <w:tcPr>
            <w:tcW w:w="642" w:type="dxa"/>
            <w:noWrap/>
            <w:vAlign w:val="center"/>
          </w:tcPr>
          <w:p w14:paraId="0E62674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0212B5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4387AD6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风量1000m3/h，制冷量5kW，电加热量5kW</w:t>
            </w:r>
          </w:p>
        </w:tc>
        <w:tc>
          <w:tcPr>
            <w:tcW w:w="2693" w:type="dxa"/>
            <w:noWrap/>
            <w:vAlign w:val="center"/>
          </w:tcPr>
          <w:p w14:paraId="4714F0C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增强器冷却风机房</w:t>
            </w:r>
          </w:p>
        </w:tc>
      </w:tr>
      <w:tr w14:paraId="4DAA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938275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23</w:t>
            </w:r>
          </w:p>
        </w:tc>
        <w:tc>
          <w:tcPr>
            <w:tcW w:w="1245" w:type="dxa"/>
            <w:noWrap/>
            <w:vAlign w:val="center"/>
          </w:tcPr>
          <w:p w14:paraId="4A4AE5B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空调调功柜</w:t>
            </w:r>
          </w:p>
        </w:tc>
        <w:tc>
          <w:tcPr>
            <w:tcW w:w="642" w:type="dxa"/>
            <w:noWrap/>
            <w:vAlign w:val="center"/>
          </w:tcPr>
          <w:p w14:paraId="365B698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6BEC6E4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684EAA5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尺寸600*400*1800，功率5kW</w:t>
            </w:r>
          </w:p>
        </w:tc>
        <w:tc>
          <w:tcPr>
            <w:tcW w:w="2693" w:type="dxa"/>
            <w:noWrap/>
            <w:vAlign w:val="center"/>
          </w:tcPr>
          <w:p w14:paraId="2CEAFAF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增强器冷却风机房</w:t>
            </w:r>
          </w:p>
        </w:tc>
      </w:tr>
      <w:tr w14:paraId="693C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C2BF70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24</w:t>
            </w:r>
          </w:p>
        </w:tc>
        <w:tc>
          <w:tcPr>
            <w:tcW w:w="1245" w:type="dxa"/>
            <w:noWrap/>
            <w:vAlign w:val="center"/>
          </w:tcPr>
          <w:p w14:paraId="2DB0830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冷却风控制柜</w:t>
            </w:r>
          </w:p>
        </w:tc>
        <w:tc>
          <w:tcPr>
            <w:tcW w:w="642" w:type="dxa"/>
            <w:noWrap/>
            <w:vAlign w:val="center"/>
          </w:tcPr>
          <w:p w14:paraId="679FD2A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961171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noWrap/>
            <w:vAlign w:val="center"/>
          </w:tcPr>
          <w:p w14:paraId="1CC0106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尺寸600*400*1800</w:t>
            </w:r>
          </w:p>
        </w:tc>
        <w:tc>
          <w:tcPr>
            <w:tcW w:w="2693" w:type="dxa"/>
            <w:noWrap/>
            <w:vAlign w:val="center"/>
          </w:tcPr>
          <w:p w14:paraId="0F41C55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增强器冷却风机房</w:t>
            </w:r>
          </w:p>
        </w:tc>
      </w:tr>
      <w:tr w14:paraId="7B70F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41" w:type="dxa"/>
            <w:noWrap/>
            <w:vAlign w:val="center"/>
          </w:tcPr>
          <w:p w14:paraId="4B8ED62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25</w:t>
            </w:r>
          </w:p>
        </w:tc>
        <w:tc>
          <w:tcPr>
            <w:tcW w:w="1245" w:type="dxa"/>
            <w:noWrap/>
            <w:vAlign w:val="center"/>
          </w:tcPr>
          <w:p w14:paraId="41BA66C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不锈钢离心风机</w:t>
            </w:r>
          </w:p>
        </w:tc>
        <w:tc>
          <w:tcPr>
            <w:tcW w:w="642" w:type="dxa"/>
            <w:noWrap/>
            <w:vAlign w:val="center"/>
          </w:tcPr>
          <w:p w14:paraId="27063E4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59117E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1A4E72B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风量4000m3/h，风机全压6.5kPa，电机15kW</w:t>
            </w:r>
          </w:p>
        </w:tc>
        <w:tc>
          <w:tcPr>
            <w:tcW w:w="2693" w:type="dxa"/>
            <w:noWrap/>
            <w:vAlign w:val="center"/>
          </w:tcPr>
          <w:p w14:paraId="4E9313F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储存环冷却风机房</w:t>
            </w:r>
          </w:p>
        </w:tc>
      </w:tr>
      <w:tr w14:paraId="23AA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381B457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26</w:t>
            </w:r>
          </w:p>
        </w:tc>
        <w:tc>
          <w:tcPr>
            <w:tcW w:w="1245" w:type="dxa"/>
            <w:noWrap/>
            <w:vAlign w:val="center"/>
          </w:tcPr>
          <w:p w14:paraId="0943E62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高效过滤器</w:t>
            </w:r>
          </w:p>
        </w:tc>
        <w:tc>
          <w:tcPr>
            <w:tcW w:w="642" w:type="dxa"/>
            <w:noWrap/>
            <w:vAlign w:val="center"/>
          </w:tcPr>
          <w:p w14:paraId="0CE23C4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E2FCAF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6A89FE4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风量3000m3/h，过滤效率（初效≥85%，高效≥99.97%），箱体静压6.5kPa</w:t>
            </w:r>
          </w:p>
        </w:tc>
        <w:tc>
          <w:tcPr>
            <w:tcW w:w="2693" w:type="dxa"/>
            <w:noWrap/>
            <w:vAlign w:val="center"/>
          </w:tcPr>
          <w:p w14:paraId="4AEDE65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储存环冷却风机房</w:t>
            </w:r>
          </w:p>
        </w:tc>
      </w:tr>
      <w:tr w14:paraId="0FDC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41" w:type="dxa"/>
            <w:noWrap/>
            <w:vAlign w:val="center"/>
          </w:tcPr>
          <w:p w14:paraId="713BA8D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27</w:t>
            </w:r>
          </w:p>
        </w:tc>
        <w:tc>
          <w:tcPr>
            <w:tcW w:w="1245" w:type="dxa"/>
            <w:noWrap/>
            <w:vAlign w:val="center"/>
          </w:tcPr>
          <w:p w14:paraId="18C9308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洁净空调箱体</w:t>
            </w:r>
          </w:p>
        </w:tc>
        <w:tc>
          <w:tcPr>
            <w:tcW w:w="642" w:type="dxa"/>
            <w:noWrap/>
            <w:vAlign w:val="center"/>
          </w:tcPr>
          <w:p w14:paraId="795663A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023A16F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09901A8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风量3000m3/h，制冷量10kW，</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电加热量8kW</w:t>
            </w:r>
          </w:p>
        </w:tc>
        <w:tc>
          <w:tcPr>
            <w:tcW w:w="2693" w:type="dxa"/>
            <w:noWrap/>
            <w:vAlign w:val="center"/>
          </w:tcPr>
          <w:p w14:paraId="7855D51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储存环冷却风机房</w:t>
            </w:r>
          </w:p>
        </w:tc>
      </w:tr>
      <w:tr w14:paraId="1E27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0B5DC3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28</w:t>
            </w:r>
          </w:p>
        </w:tc>
        <w:tc>
          <w:tcPr>
            <w:tcW w:w="1245" w:type="dxa"/>
            <w:noWrap/>
            <w:vAlign w:val="center"/>
          </w:tcPr>
          <w:p w14:paraId="2BCDD7D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空调调功柜</w:t>
            </w:r>
          </w:p>
        </w:tc>
        <w:tc>
          <w:tcPr>
            <w:tcW w:w="642" w:type="dxa"/>
            <w:noWrap/>
            <w:vAlign w:val="center"/>
          </w:tcPr>
          <w:p w14:paraId="12DE0CE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6BA0C8E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124977A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尺寸600*400*1800，功率8kW</w:t>
            </w:r>
          </w:p>
        </w:tc>
        <w:tc>
          <w:tcPr>
            <w:tcW w:w="2693" w:type="dxa"/>
            <w:noWrap/>
            <w:vAlign w:val="center"/>
          </w:tcPr>
          <w:p w14:paraId="2781159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储存环冷却风机房</w:t>
            </w:r>
          </w:p>
        </w:tc>
      </w:tr>
      <w:tr w14:paraId="599C6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FD7D6F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29</w:t>
            </w:r>
          </w:p>
        </w:tc>
        <w:tc>
          <w:tcPr>
            <w:tcW w:w="1245" w:type="dxa"/>
            <w:noWrap/>
            <w:vAlign w:val="center"/>
          </w:tcPr>
          <w:p w14:paraId="765F19F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冷却风控制柜</w:t>
            </w:r>
          </w:p>
        </w:tc>
        <w:tc>
          <w:tcPr>
            <w:tcW w:w="642" w:type="dxa"/>
            <w:noWrap/>
            <w:vAlign w:val="center"/>
          </w:tcPr>
          <w:p w14:paraId="3974478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CE94A2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noWrap/>
            <w:vAlign w:val="center"/>
          </w:tcPr>
          <w:p w14:paraId="5CCDBB6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尺寸600*400*1800</w:t>
            </w:r>
          </w:p>
        </w:tc>
        <w:tc>
          <w:tcPr>
            <w:tcW w:w="2693" w:type="dxa"/>
            <w:noWrap/>
            <w:vAlign w:val="center"/>
          </w:tcPr>
          <w:p w14:paraId="5B9AB84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储存环冷却风机房</w:t>
            </w:r>
          </w:p>
        </w:tc>
      </w:tr>
      <w:tr w14:paraId="5FD2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0AFF57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30</w:t>
            </w:r>
          </w:p>
        </w:tc>
        <w:tc>
          <w:tcPr>
            <w:tcW w:w="1245" w:type="dxa"/>
            <w:noWrap/>
            <w:vAlign w:val="center"/>
          </w:tcPr>
          <w:p w14:paraId="5967CA9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冷却风控制柜</w:t>
            </w:r>
          </w:p>
        </w:tc>
        <w:tc>
          <w:tcPr>
            <w:tcW w:w="642" w:type="dxa"/>
            <w:noWrap/>
            <w:vAlign w:val="center"/>
          </w:tcPr>
          <w:p w14:paraId="7DD2E05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DF51DE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noWrap/>
            <w:vAlign w:val="center"/>
          </w:tcPr>
          <w:p w14:paraId="5F891F0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尺寸600*250*800</w:t>
            </w:r>
          </w:p>
        </w:tc>
        <w:tc>
          <w:tcPr>
            <w:tcW w:w="2693" w:type="dxa"/>
            <w:noWrap/>
            <w:vAlign w:val="center"/>
          </w:tcPr>
          <w:p w14:paraId="2A782FE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储存环高频大厅</w:t>
            </w:r>
          </w:p>
        </w:tc>
      </w:tr>
      <w:tr w14:paraId="7D71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8C6614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31</w:t>
            </w:r>
          </w:p>
        </w:tc>
        <w:tc>
          <w:tcPr>
            <w:tcW w:w="1245" w:type="dxa"/>
            <w:noWrap/>
            <w:vAlign w:val="center"/>
          </w:tcPr>
          <w:p w14:paraId="5D8FDC2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空调离心冷水机组</w:t>
            </w:r>
          </w:p>
        </w:tc>
        <w:tc>
          <w:tcPr>
            <w:tcW w:w="642" w:type="dxa"/>
            <w:noWrap/>
            <w:vAlign w:val="center"/>
          </w:tcPr>
          <w:p w14:paraId="72FDB6C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0A5AF99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noWrap/>
            <w:vAlign w:val="center"/>
          </w:tcPr>
          <w:p w14:paraId="5F26005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制冷量2800kW</w:t>
            </w:r>
          </w:p>
        </w:tc>
        <w:tc>
          <w:tcPr>
            <w:tcW w:w="2693" w:type="dxa"/>
            <w:noWrap/>
            <w:vAlign w:val="center"/>
          </w:tcPr>
          <w:p w14:paraId="4FE774A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0783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911871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1245" w:type="dxa"/>
            <w:noWrap/>
            <w:vAlign w:val="center"/>
          </w:tcPr>
          <w:p w14:paraId="5078611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空调离心冷水机组</w:t>
            </w:r>
          </w:p>
        </w:tc>
        <w:tc>
          <w:tcPr>
            <w:tcW w:w="642" w:type="dxa"/>
            <w:noWrap/>
            <w:vAlign w:val="center"/>
          </w:tcPr>
          <w:p w14:paraId="353159C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414D86B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noWrap/>
            <w:vAlign w:val="center"/>
          </w:tcPr>
          <w:p w14:paraId="56355A5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制冷量5500kW</w:t>
            </w:r>
          </w:p>
        </w:tc>
        <w:tc>
          <w:tcPr>
            <w:tcW w:w="2693" w:type="dxa"/>
            <w:noWrap/>
            <w:vAlign w:val="center"/>
          </w:tcPr>
          <w:p w14:paraId="57D7A93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76E02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A19408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1245" w:type="dxa"/>
            <w:noWrap/>
            <w:vAlign w:val="center"/>
          </w:tcPr>
          <w:p w14:paraId="65CCEC5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水冷离心冷水机组</w:t>
            </w:r>
          </w:p>
        </w:tc>
        <w:tc>
          <w:tcPr>
            <w:tcW w:w="642" w:type="dxa"/>
            <w:noWrap/>
            <w:vAlign w:val="center"/>
          </w:tcPr>
          <w:p w14:paraId="0194483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0A206D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noWrap/>
            <w:vAlign w:val="center"/>
          </w:tcPr>
          <w:p w14:paraId="52ED692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制冷量2800kW</w:t>
            </w:r>
          </w:p>
        </w:tc>
        <w:tc>
          <w:tcPr>
            <w:tcW w:w="2693" w:type="dxa"/>
            <w:noWrap/>
            <w:vAlign w:val="center"/>
          </w:tcPr>
          <w:p w14:paraId="78E7FCF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1FC9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065E94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c>
          <w:tcPr>
            <w:tcW w:w="1245" w:type="dxa"/>
            <w:noWrap/>
            <w:vAlign w:val="center"/>
          </w:tcPr>
          <w:p w14:paraId="30B3383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水冷离心冷水机组</w:t>
            </w:r>
          </w:p>
        </w:tc>
        <w:tc>
          <w:tcPr>
            <w:tcW w:w="642" w:type="dxa"/>
            <w:noWrap/>
            <w:vAlign w:val="center"/>
          </w:tcPr>
          <w:p w14:paraId="66804D4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6321789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noWrap/>
            <w:vAlign w:val="center"/>
          </w:tcPr>
          <w:p w14:paraId="161BB32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制冷量5500kW</w:t>
            </w:r>
          </w:p>
        </w:tc>
        <w:tc>
          <w:tcPr>
            <w:tcW w:w="2693" w:type="dxa"/>
            <w:noWrap/>
            <w:vAlign w:val="center"/>
          </w:tcPr>
          <w:p w14:paraId="3FB50D3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025FC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6F7368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35</w:t>
            </w:r>
          </w:p>
        </w:tc>
        <w:tc>
          <w:tcPr>
            <w:tcW w:w="1245" w:type="dxa"/>
            <w:noWrap/>
            <w:vAlign w:val="center"/>
          </w:tcPr>
          <w:p w14:paraId="54F48C8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真空锅炉</w:t>
            </w:r>
          </w:p>
        </w:tc>
        <w:tc>
          <w:tcPr>
            <w:tcW w:w="642" w:type="dxa"/>
            <w:noWrap/>
            <w:vAlign w:val="center"/>
          </w:tcPr>
          <w:p w14:paraId="44C0C21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1E276B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noWrap/>
            <w:vAlign w:val="center"/>
          </w:tcPr>
          <w:p w14:paraId="57F0670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5吨锅炉</w:t>
            </w:r>
          </w:p>
        </w:tc>
        <w:tc>
          <w:tcPr>
            <w:tcW w:w="2693" w:type="dxa"/>
            <w:noWrap/>
            <w:vAlign w:val="center"/>
          </w:tcPr>
          <w:p w14:paraId="3CAE362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6D200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ED9A10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36</w:t>
            </w:r>
          </w:p>
        </w:tc>
        <w:tc>
          <w:tcPr>
            <w:tcW w:w="1245" w:type="dxa"/>
            <w:noWrap/>
            <w:vAlign w:val="center"/>
          </w:tcPr>
          <w:p w14:paraId="6E02DD8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砂滤</w:t>
            </w:r>
          </w:p>
        </w:tc>
        <w:tc>
          <w:tcPr>
            <w:tcW w:w="642" w:type="dxa"/>
            <w:noWrap/>
            <w:vAlign w:val="center"/>
          </w:tcPr>
          <w:p w14:paraId="7EFAB64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32EA67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noWrap/>
            <w:vAlign w:val="center"/>
          </w:tcPr>
          <w:p w14:paraId="5FB50EC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处理能力180m3/h</w:t>
            </w:r>
          </w:p>
        </w:tc>
        <w:tc>
          <w:tcPr>
            <w:tcW w:w="2693" w:type="dxa"/>
            <w:noWrap/>
            <w:vAlign w:val="center"/>
          </w:tcPr>
          <w:p w14:paraId="4003CEC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6FCF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0E296B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37</w:t>
            </w:r>
          </w:p>
        </w:tc>
        <w:tc>
          <w:tcPr>
            <w:tcW w:w="1245" w:type="dxa"/>
            <w:noWrap/>
            <w:vAlign w:val="center"/>
          </w:tcPr>
          <w:p w14:paraId="0FBC03C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加药装置</w:t>
            </w:r>
          </w:p>
        </w:tc>
        <w:tc>
          <w:tcPr>
            <w:tcW w:w="642" w:type="dxa"/>
            <w:noWrap/>
            <w:vAlign w:val="center"/>
          </w:tcPr>
          <w:p w14:paraId="3AE8DBD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12463BC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noWrap/>
            <w:vAlign w:val="center"/>
          </w:tcPr>
          <w:p w14:paraId="2B6F344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15L/h阻垢杀菌</w:t>
            </w:r>
          </w:p>
        </w:tc>
        <w:tc>
          <w:tcPr>
            <w:tcW w:w="2693" w:type="dxa"/>
            <w:noWrap/>
            <w:vAlign w:val="center"/>
          </w:tcPr>
          <w:p w14:paraId="6435677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4204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825128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38</w:t>
            </w:r>
          </w:p>
        </w:tc>
        <w:tc>
          <w:tcPr>
            <w:tcW w:w="1245" w:type="dxa"/>
            <w:vAlign w:val="center"/>
          </w:tcPr>
          <w:p w14:paraId="114523A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储存环隧道空调</w:t>
            </w:r>
          </w:p>
        </w:tc>
        <w:tc>
          <w:tcPr>
            <w:tcW w:w="642" w:type="dxa"/>
            <w:noWrap/>
            <w:vAlign w:val="center"/>
          </w:tcPr>
          <w:p w14:paraId="2475B09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2051C9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3459" w:type="dxa"/>
            <w:vAlign w:val="center"/>
          </w:tcPr>
          <w:p w14:paraId="29260D51">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40000m3/h,</w:t>
            </w:r>
            <w:r>
              <w:rPr>
                <w:rFonts w:hint="eastAsia" w:ascii="宋体" w:hAnsi="宋体"/>
                <w:color w:val="auto"/>
                <w:kern w:val="0"/>
                <w:sz w:val="20"/>
                <w:szCs w:val="20"/>
                <w:highlight w:val="none"/>
              </w:rPr>
              <w:t>冷量</w:t>
            </w:r>
            <w:r>
              <w:rPr>
                <w:color w:val="auto"/>
                <w:kern w:val="0"/>
                <w:sz w:val="20"/>
                <w:szCs w:val="20"/>
                <w:highlight w:val="none"/>
              </w:rPr>
              <w:t>140kW</w:t>
            </w:r>
          </w:p>
        </w:tc>
        <w:tc>
          <w:tcPr>
            <w:tcW w:w="2693" w:type="dxa"/>
            <w:noWrap/>
            <w:vAlign w:val="center"/>
          </w:tcPr>
          <w:p w14:paraId="33D9B51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2C22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33AA3E0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39</w:t>
            </w:r>
          </w:p>
        </w:tc>
        <w:tc>
          <w:tcPr>
            <w:tcW w:w="1245" w:type="dxa"/>
            <w:vAlign w:val="center"/>
          </w:tcPr>
          <w:p w14:paraId="2519E7B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实验大厅空调</w:t>
            </w:r>
          </w:p>
        </w:tc>
        <w:tc>
          <w:tcPr>
            <w:tcW w:w="642" w:type="dxa"/>
            <w:noWrap/>
            <w:vAlign w:val="center"/>
          </w:tcPr>
          <w:p w14:paraId="6DDA024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F97737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3459" w:type="dxa"/>
            <w:vAlign w:val="center"/>
          </w:tcPr>
          <w:p w14:paraId="5035129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30000m3/h,</w:t>
            </w:r>
            <w:r>
              <w:rPr>
                <w:rFonts w:hint="eastAsia" w:ascii="宋体" w:hAnsi="宋体"/>
                <w:color w:val="auto"/>
                <w:kern w:val="0"/>
                <w:sz w:val="20"/>
                <w:szCs w:val="20"/>
                <w:highlight w:val="none"/>
              </w:rPr>
              <w:t>冷量</w:t>
            </w:r>
            <w:r>
              <w:rPr>
                <w:color w:val="auto"/>
                <w:kern w:val="0"/>
                <w:sz w:val="20"/>
                <w:szCs w:val="20"/>
                <w:highlight w:val="none"/>
              </w:rPr>
              <w:t>160kW</w:t>
            </w:r>
          </w:p>
        </w:tc>
        <w:tc>
          <w:tcPr>
            <w:tcW w:w="2693" w:type="dxa"/>
            <w:noWrap/>
            <w:vAlign w:val="center"/>
          </w:tcPr>
          <w:p w14:paraId="1F160DF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外环空调机房</w:t>
            </w:r>
          </w:p>
        </w:tc>
      </w:tr>
      <w:tr w14:paraId="3464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386C8CA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40</w:t>
            </w:r>
          </w:p>
        </w:tc>
        <w:tc>
          <w:tcPr>
            <w:tcW w:w="1245" w:type="dxa"/>
            <w:vAlign w:val="center"/>
          </w:tcPr>
          <w:p w14:paraId="375DB75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隧道顶空调</w:t>
            </w:r>
          </w:p>
        </w:tc>
        <w:tc>
          <w:tcPr>
            <w:tcW w:w="642" w:type="dxa"/>
            <w:noWrap/>
            <w:vAlign w:val="center"/>
          </w:tcPr>
          <w:p w14:paraId="215067E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4AF62E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3459" w:type="dxa"/>
            <w:vAlign w:val="center"/>
          </w:tcPr>
          <w:p w14:paraId="7771610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45000m3/h,</w:t>
            </w:r>
            <w:r>
              <w:rPr>
                <w:rFonts w:hint="eastAsia" w:ascii="宋体" w:hAnsi="宋体"/>
                <w:color w:val="auto"/>
                <w:kern w:val="0"/>
                <w:sz w:val="20"/>
                <w:szCs w:val="20"/>
                <w:highlight w:val="none"/>
              </w:rPr>
              <w:t>冷量</w:t>
            </w:r>
            <w:r>
              <w:rPr>
                <w:color w:val="auto"/>
                <w:kern w:val="0"/>
                <w:sz w:val="20"/>
                <w:szCs w:val="20"/>
                <w:highlight w:val="none"/>
              </w:rPr>
              <w:t>175kW</w:t>
            </w:r>
          </w:p>
        </w:tc>
        <w:tc>
          <w:tcPr>
            <w:tcW w:w="2693" w:type="dxa"/>
            <w:noWrap/>
            <w:vAlign w:val="center"/>
          </w:tcPr>
          <w:p w14:paraId="53A3223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5ED8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FF8F5F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41</w:t>
            </w:r>
          </w:p>
        </w:tc>
        <w:tc>
          <w:tcPr>
            <w:tcW w:w="1245" w:type="dxa"/>
            <w:vAlign w:val="center"/>
          </w:tcPr>
          <w:p w14:paraId="2CFFAE8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储存环高频厅空调</w:t>
            </w:r>
          </w:p>
        </w:tc>
        <w:tc>
          <w:tcPr>
            <w:tcW w:w="642" w:type="dxa"/>
            <w:noWrap/>
            <w:vAlign w:val="center"/>
          </w:tcPr>
          <w:p w14:paraId="67D6A58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30988F32">
            <w:pPr>
              <w:widowControl/>
              <w:jc w:val="center"/>
              <w:rPr>
                <w:color w:val="auto"/>
                <w:kern w:val="0"/>
                <w:sz w:val="20"/>
                <w:szCs w:val="20"/>
                <w:highlight w:val="none"/>
              </w:rPr>
            </w:pPr>
            <w:r>
              <w:rPr>
                <w:color w:val="auto"/>
                <w:kern w:val="0"/>
                <w:sz w:val="20"/>
                <w:szCs w:val="20"/>
                <w:highlight w:val="none"/>
              </w:rPr>
              <w:t>2</w:t>
            </w:r>
          </w:p>
        </w:tc>
        <w:tc>
          <w:tcPr>
            <w:tcW w:w="3459" w:type="dxa"/>
            <w:vAlign w:val="center"/>
          </w:tcPr>
          <w:p w14:paraId="67BA4DA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50000m3/h,</w:t>
            </w:r>
            <w:r>
              <w:rPr>
                <w:rFonts w:hint="eastAsia" w:ascii="宋体" w:hAnsi="宋体"/>
                <w:color w:val="auto"/>
                <w:kern w:val="0"/>
                <w:sz w:val="20"/>
                <w:szCs w:val="20"/>
                <w:highlight w:val="none"/>
              </w:rPr>
              <w:t>冷量</w:t>
            </w:r>
            <w:r>
              <w:rPr>
                <w:color w:val="auto"/>
                <w:kern w:val="0"/>
                <w:sz w:val="20"/>
                <w:szCs w:val="20"/>
                <w:highlight w:val="none"/>
              </w:rPr>
              <w:t>220kW</w:t>
            </w:r>
          </w:p>
        </w:tc>
        <w:tc>
          <w:tcPr>
            <w:tcW w:w="2693" w:type="dxa"/>
            <w:noWrap/>
            <w:vAlign w:val="center"/>
          </w:tcPr>
          <w:p w14:paraId="7140D28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0A75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38AB71B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42</w:t>
            </w:r>
          </w:p>
        </w:tc>
        <w:tc>
          <w:tcPr>
            <w:tcW w:w="1245" w:type="dxa"/>
            <w:vAlign w:val="center"/>
          </w:tcPr>
          <w:p w14:paraId="2436636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储存环主定时站空调</w:t>
            </w:r>
          </w:p>
        </w:tc>
        <w:tc>
          <w:tcPr>
            <w:tcW w:w="642" w:type="dxa"/>
            <w:noWrap/>
            <w:vAlign w:val="center"/>
          </w:tcPr>
          <w:p w14:paraId="559146A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415070C0">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460247CC">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12000m3/h,</w:t>
            </w:r>
            <w:r>
              <w:rPr>
                <w:rFonts w:hint="eastAsia" w:ascii="宋体" w:hAnsi="宋体"/>
                <w:color w:val="auto"/>
                <w:kern w:val="0"/>
                <w:sz w:val="20"/>
                <w:szCs w:val="20"/>
                <w:highlight w:val="none"/>
              </w:rPr>
              <w:t>冷量</w:t>
            </w:r>
            <w:r>
              <w:rPr>
                <w:color w:val="auto"/>
                <w:kern w:val="0"/>
                <w:sz w:val="20"/>
                <w:szCs w:val="20"/>
                <w:highlight w:val="none"/>
              </w:rPr>
              <w:t>40kW</w:t>
            </w:r>
          </w:p>
        </w:tc>
        <w:tc>
          <w:tcPr>
            <w:tcW w:w="2693" w:type="dxa"/>
            <w:noWrap/>
            <w:vAlign w:val="center"/>
          </w:tcPr>
          <w:p w14:paraId="608932F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6D8B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8DB2C7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43</w:t>
            </w:r>
          </w:p>
        </w:tc>
        <w:tc>
          <w:tcPr>
            <w:tcW w:w="1245" w:type="dxa"/>
            <w:vAlign w:val="center"/>
          </w:tcPr>
          <w:p w14:paraId="6B458B9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储存环电源厅空调</w:t>
            </w:r>
          </w:p>
        </w:tc>
        <w:tc>
          <w:tcPr>
            <w:tcW w:w="642" w:type="dxa"/>
            <w:noWrap/>
            <w:vAlign w:val="center"/>
          </w:tcPr>
          <w:p w14:paraId="6609598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0FBC6E15">
            <w:pPr>
              <w:widowControl/>
              <w:jc w:val="center"/>
              <w:rPr>
                <w:color w:val="auto"/>
                <w:kern w:val="0"/>
                <w:sz w:val="20"/>
                <w:szCs w:val="20"/>
                <w:highlight w:val="none"/>
              </w:rPr>
            </w:pPr>
            <w:r>
              <w:rPr>
                <w:color w:val="auto"/>
                <w:kern w:val="0"/>
                <w:sz w:val="20"/>
                <w:szCs w:val="20"/>
                <w:highlight w:val="none"/>
              </w:rPr>
              <w:t>8</w:t>
            </w:r>
          </w:p>
        </w:tc>
        <w:tc>
          <w:tcPr>
            <w:tcW w:w="3459" w:type="dxa"/>
            <w:vAlign w:val="center"/>
          </w:tcPr>
          <w:p w14:paraId="4AD7CD88">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23000m3/h,</w:t>
            </w:r>
            <w:r>
              <w:rPr>
                <w:rFonts w:hint="eastAsia" w:ascii="宋体" w:hAnsi="宋体"/>
                <w:color w:val="auto"/>
                <w:kern w:val="0"/>
                <w:sz w:val="20"/>
                <w:szCs w:val="20"/>
                <w:highlight w:val="none"/>
              </w:rPr>
              <w:t>冷量</w:t>
            </w:r>
            <w:r>
              <w:rPr>
                <w:color w:val="auto"/>
                <w:kern w:val="0"/>
                <w:sz w:val="20"/>
                <w:szCs w:val="20"/>
                <w:highlight w:val="none"/>
              </w:rPr>
              <w:t>80kW</w:t>
            </w:r>
          </w:p>
        </w:tc>
        <w:tc>
          <w:tcPr>
            <w:tcW w:w="2693" w:type="dxa"/>
            <w:noWrap/>
            <w:vAlign w:val="center"/>
          </w:tcPr>
          <w:p w14:paraId="53F4B33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77D6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82FCAD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44</w:t>
            </w:r>
          </w:p>
        </w:tc>
        <w:tc>
          <w:tcPr>
            <w:tcW w:w="1245" w:type="dxa"/>
            <w:vAlign w:val="center"/>
          </w:tcPr>
          <w:p w14:paraId="7C86961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直线隧道空调</w:t>
            </w:r>
          </w:p>
        </w:tc>
        <w:tc>
          <w:tcPr>
            <w:tcW w:w="642" w:type="dxa"/>
            <w:noWrap/>
            <w:vAlign w:val="center"/>
          </w:tcPr>
          <w:p w14:paraId="5237E7D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45C5D8AE">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5216602E">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18000m3/h,</w:t>
            </w:r>
            <w:r>
              <w:rPr>
                <w:rFonts w:hint="eastAsia" w:ascii="宋体" w:hAnsi="宋体"/>
                <w:color w:val="auto"/>
                <w:kern w:val="0"/>
                <w:sz w:val="20"/>
                <w:szCs w:val="20"/>
                <w:highlight w:val="none"/>
              </w:rPr>
              <w:t>冷量</w:t>
            </w:r>
            <w:r>
              <w:rPr>
                <w:color w:val="auto"/>
                <w:kern w:val="0"/>
                <w:sz w:val="20"/>
                <w:szCs w:val="20"/>
                <w:highlight w:val="none"/>
              </w:rPr>
              <w:t>50kW</w:t>
            </w:r>
          </w:p>
        </w:tc>
        <w:tc>
          <w:tcPr>
            <w:tcW w:w="2693" w:type="dxa"/>
            <w:noWrap/>
            <w:vAlign w:val="center"/>
          </w:tcPr>
          <w:p w14:paraId="3F749DC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直线空调机房</w:t>
            </w:r>
          </w:p>
        </w:tc>
      </w:tr>
      <w:tr w14:paraId="4997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EE5FFA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45</w:t>
            </w:r>
          </w:p>
        </w:tc>
        <w:tc>
          <w:tcPr>
            <w:tcW w:w="1245" w:type="dxa"/>
            <w:vAlign w:val="center"/>
          </w:tcPr>
          <w:p w14:paraId="588E5A6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直线速调管长廊空调</w:t>
            </w:r>
          </w:p>
        </w:tc>
        <w:tc>
          <w:tcPr>
            <w:tcW w:w="642" w:type="dxa"/>
            <w:noWrap/>
            <w:vAlign w:val="center"/>
          </w:tcPr>
          <w:p w14:paraId="682EF11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6BE2F63C">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7D0D4C9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30000m3/h,</w:t>
            </w:r>
            <w:r>
              <w:rPr>
                <w:rFonts w:hint="eastAsia" w:ascii="宋体" w:hAnsi="宋体"/>
                <w:color w:val="auto"/>
                <w:kern w:val="0"/>
                <w:sz w:val="20"/>
                <w:szCs w:val="20"/>
                <w:highlight w:val="none"/>
              </w:rPr>
              <w:t>冷量</w:t>
            </w:r>
            <w:r>
              <w:rPr>
                <w:color w:val="auto"/>
                <w:kern w:val="0"/>
                <w:sz w:val="20"/>
                <w:szCs w:val="20"/>
                <w:highlight w:val="none"/>
              </w:rPr>
              <w:t>125kW</w:t>
            </w:r>
          </w:p>
        </w:tc>
        <w:tc>
          <w:tcPr>
            <w:tcW w:w="2693" w:type="dxa"/>
            <w:noWrap/>
            <w:vAlign w:val="center"/>
          </w:tcPr>
          <w:p w14:paraId="023F186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直线空调机房</w:t>
            </w:r>
          </w:p>
        </w:tc>
      </w:tr>
      <w:tr w14:paraId="7B748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230C79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46</w:t>
            </w:r>
          </w:p>
        </w:tc>
        <w:tc>
          <w:tcPr>
            <w:tcW w:w="1245" w:type="dxa"/>
            <w:vAlign w:val="center"/>
          </w:tcPr>
          <w:p w14:paraId="3465EDC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直线电源厅空调</w:t>
            </w:r>
          </w:p>
        </w:tc>
        <w:tc>
          <w:tcPr>
            <w:tcW w:w="642" w:type="dxa"/>
            <w:noWrap/>
            <w:vAlign w:val="center"/>
          </w:tcPr>
          <w:p w14:paraId="455FEA2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0BA67B24">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0CCEC48F">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18000m3/h,</w:t>
            </w:r>
            <w:r>
              <w:rPr>
                <w:rFonts w:hint="eastAsia" w:ascii="宋体" w:hAnsi="宋体"/>
                <w:color w:val="auto"/>
                <w:kern w:val="0"/>
                <w:sz w:val="20"/>
                <w:szCs w:val="20"/>
                <w:highlight w:val="none"/>
              </w:rPr>
              <w:t>冷量</w:t>
            </w:r>
            <w:r>
              <w:rPr>
                <w:color w:val="auto"/>
                <w:kern w:val="0"/>
                <w:sz w:val="20"/>
                <w:szCs w:val="20"/>
                <w:highlight w:val="none"/>
              </w:rPr>
              <w:t>60kW</w:t>
            </w:r>
          </w:p>
        </w:tc>
        <w:tc>
          <w:tcPr>
            <w:tcW w:w="2693" w:type="dxa"/>
            <w:noWrap/>
            <w:vAlign w:val="center"/>
          </w:tcPr>
          <w:p w14:paraId="7357696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直线空调机房</w:t>
            </w:r>
          </w:p>
        </w:tc>
      </w:tr>
      <w:tr w14:paraId="3A54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03B895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47</w:t>
            </w:r>
          </w:p>
        </w:tc>
        <w:tc>
          <w:tcPr>
            <w:tcW w:w="1245" w:type="dxa"/>
            <w:vAlign w:val="center"/>
          </w:tcPr>
          <w:p w14:paraId="471094D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直线隧道新风空调</w:t>
            </w:r>
          </w:p>
        </w:tc>
        <w:tc>
          <w:tcPr>
            <w:tcW w:w="642" w:type="dxa"/>
            <w:noWrap/>
            <w:vAlign w:val="center"/>
          </w:tcPr>
          <w:p w14:paraId="6229D0F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79429906">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0AF580B5">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3000m3/h,</w:t>
            </w:r>
            <w:r>
              <w:rPr>
                <w:rFonts w:hint="eastAsia" w:ascii="宋体" w:hAnsi="宋体"/>
                <w:color w:val="auto"/>
                <w:kern w:val="0"/>
                <w:sz w:val="20"/>
                <w:szCs w:val="20"/>
                <w:highlight w:val="none"/>
              </w:rPr>
              <w:t>冷量</w:t>
            </w:r>
            <w:r>
              <w:rPr>
                <w:color w:val="auto"/>
                <w:kern w:val="0"/>
                <w:sz w:val="20"/>
                <w:szCs w:val="20"/>
                <w:highlight w:val="none"/>
              </w:rPr>
              <w:t>45kW</w:t>
            </w:r>
          </w:p>
        </w:tc>
        <w:tc>
          <w:tcPr>
            <w:tcW w:w="2693" w:type="dxa"/>
            <w:noWrap/>
            <w:vAlign w:val="center"/>
          </w:tcPr>
          <w:p w14:paraId="0757473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直线空调机房</w:t>
            </w:r>
          </w:p>
        </w:tc>
      </w:tr>
      <w:tr w14:paraId="5314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5DA46B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48</w:t>
            </w:r>
          </w:p>
        </w:tc>
        <w:tc>
          <w:tcPr>
            <w:tcW w:w="1245" w:type="dxa"/>
            <w:vAlign w:val="center"/>
          </w:tcPr>
          <w:p w14:paraId="01D6D35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增强器隧道空调</w:t>
            </w:r>
          </w:p>
        </w:tc>
        <w:tc>
          <w:tcPr>
            <w:tcW w:w="642" w:type="dxa"/>
            <w:noWrap/>
            <w:vAlign w:val="center"/>
          </w:tcPr>
          <w:p w14:paraId="297563D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1783859A">
            <w:pPr>
              <w:widowControl/>
              <w:jc w:val="center"/>
              <w:rPr>
                <w:color w:val="auto"/>
                <w:kern w:val="0"/>
                <w:sz w:val="20"/>
                <w:szCs w:val="20"/>
                <w:highlight w:val="none"/>
              </w:rPr>
            </w:pPr>
            <w:r>
              <w:rPr>
                <w:color w:val="auto"/>
                <w:kern w:val="0"/>
                <w:sz w:val="20"/>
                <w:szCs w:val="20"/>
                <w:highlight w:val="none"/>
              </w:rPr>
              <w:t>5</w:t>
            </w:r>
          </w:p>
        </w:tc>
        <w:tc>
          <w:tcPr>
            <w:tcW w:w="3459" w:type="dxa"/>
            <w:vAlign w:val="center"/>
          </w:tcPr>
          <w:p w14:paraId="2BA9174C">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30000m3/h,</w:t>
            </w:r>
            <w:r>
              <w:rPr>
                <w:rFonts w:hint="eastAsia" w:ascii="宋体" w:hAnsi="宋体"/>
                <w:color w:val="auto"/>
                <w:kern w:val="0"/>
                <w:sz w:val="20"/>
                <w:szCs w:val="20"/>
                <w:highlight w:val="none"/>
              </w:rPr>
              <w:t>冷量</w:t>
            </w:r>
            <w:r>
              <w:rPr>
                <w:color w:val="auto"/>
                <w:kern w:val="0"/>
                <w:sz w:val="20"/>
                <w:szCs w:val="20"/>
                <w:highlight w:val="none"/>
              </w:rPr>
              <w:t>105kW</w:t>
            </w:r>
          </w:p>
        </w:tc>
        <w:tc>
          <w:tcPr>
            <w:tcW w:w="2693" w:type="dxa"/>
            <w:noWrap/>
            <w:vAlign w:val="center"/>
          </w:tcPr>
          <w:p w14:paraId="10EF9AD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增强器空调机房</w:t>
            </w:r>
          </w:p>
        </w:tc>
      </w:tr>
      <w:tr w14:paraId="35F2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B1A62A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49</w:t>
            </w:r>
          </w:p>
        </w:tc>
        <w:tc>
          <w:tcPr>
            <w:tcW w:w="1245" w:type="dxa"/>
            <w:vAlign w:val="center"/>
          </w:tcPr>
          <w:p w14:paraId="4E48145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增强器高频厅空调</w:t>
            </w:r>
          </w:p>
        </w:tc>
        <w:tc>
          <w:tcPr>
            <w:tcW w:w="642" w:type="dxa"/>
            <w:noWrap/>
            <w:vAlign w:val="center"/>
          </w:tcPr>
          <w:p w14:paraId="3E40F56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5D12E879">
            <w:pPr>
              <w:widowControl/>
              <w:jc w:val="center"/>
              <w:rPr>
                <w:color w:val="auto"/>
                <w:kern w:val="0"/>
                <w:sz w:val="20"/>
                <w:szCs w:val="20"/>
                <w:highlight w:val="none"/>
              </w:rPr>
            </w:pPr>
            <w:r>
              <w:rPr>
                <w:color w:val="auto"/>
                <w:kern w:val="0"/>
                <w:sz w:val="20"/>
                <w:szCs w:val="20"/>
                <w:highlight w:val="none"/>
              </w:rPr>
              <w:t>2</w:t>
            </w:r>
          </w:p>
        </w:tc>
        <w:tc>
          <w:tcPr>
            <w:tcW w:w="3459" w:type="dxa"/>
            <w:vAlign w:val="center"/>
          </w:tcPr>
          <w:p w14:paraId="396D606B">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30000m3/h,</w:t>
            </w:r>
            <w:r>
              <w:rPr>
                <w:rFonts w:hint="eastAsia" w:ascii="宋体" w:hAnsi="宋体"/>
                <w:color w:val="auto"/>
                <w:kern w:val="0"/>
                <w:sz w:val="20"/>
                <w:szCs w:val="20"/>
                <w:highlight w:val="none"/>
              </w:rPr>
              <w:t>冷量</w:t>
            </w:r>
            <w:r>
              <w:rPr>
                <w:color w:val="auto"/>
                <w:kern w:val="0"/>
                <w:sz w:val="20"/>
                <w:szCs w:val="20"/>
                <w:highlight w:val="none"/>
              </w:rPr>
              <w:t>135kW</w:t>
            </w:r>
          </w:p>
        </w:tc>
        <w:tc>
          <w:tcPr>
            <w:tcW w:w="2693" w:type="dxa"/>
            <w:noWrap/>
            <w:vAlign w:val="center"/>
          </w:tcPr>
          <w:p w14:paraId="3418C96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增强器空调机房</w:t>
            </w:r>
          </w:p>
        </w:tc>
      </w:tr>
      <w:tr w14:paraId="4978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F4A9C0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50</w:t>
            </w:r>
          </w:p>
        </w:tc>
        <w:tc>
          <w:tcPr>
            <w:tcW w:w="1245" w:type="dxa"/>
            <w:vAlign w:val="center"/>
          </w:tcPr>
          <w:p w14:paraId="5C511B3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增强器电源厅空调</w:t>
            </w:r>
          </w:p>
        </w:tc>
        <w:tc>
          <w:tcPr>
            <w:tcW w:w="642" w:type="dxa"/>
            <w:noWrap/>
            <w:vAlign w:val="center"/>
          </w:tcPr>
          <w:p w14:paraId="2E8D5F2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0087222D">
            <w:pPr>
              <w:widowControl/>
              <w:jc w:val="center"/>
              <w:rPr>
                <w:color w:val="auto"/>
                <w:kern w:val="0"/>
                <w:sz w:val="20"/>
                <w:szCs w:val="20"/>
                <w:highlight w:val="none"/>
              </w:rPr>
            </w:pPr>
            <w:r>
              <w:rPr>
                <w:color w:val="auto"/>
                <w:kern w:val="0"/>
                <w:sz w:val="20"/>
                <w:szCs w:val="20"/>
                <w:highlight w:val="none"/>
              </w:rPr>
              <w:t>2</w:t>
            </w:r>
          </w:p>
        </w:tc>
        <w:tc>
          <w:tcPr>
            <w:tcW w:w="3459" w:type="dxa"/>
            <w:vAlign w:val="center"/>
          </w:tcPr>
          <w:p w14:paraId="5B36B9C4">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36000m3/h,</w:t>
            </w:r>
            <w:r>
              <w:rPr>
                <w:rFonts w:hint="eastAsia" w:ascii="宋体" w:hAnsi="宋体"/>
                <w:color w:val="auto"/>
                <w:kern w:val="0"/>
                <w:sz w:val="20"/>
                <w:szCs w:val="20"/>
                <w:highlight w:val="none"/>
              </w:rPr>
              <w:t>冷量</w:t>
            </w:r>
            <w:r>
              <w:rPr>
                <w:color w:val="auto"/>
                <w:kern w:val="0"/>
                <w:sz w:val="20"/>
                <w:szCs w:val="20"/>
                <w:highlight w:val="none"/>
              </w:rPr>
              <w:t>110kW</w:t>
            </w:r>
          </w:p>
        </w:tc>
        <w:tc>
          <w:tcPr>
            <w:tcW w:w="2693" w:type="dxa"/>
            <w:noWrap/>
            <w:vAlign w:val="center"/>
          </w:tcPr>
          <w:p w14:paraId="5D816E7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6B880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37455A1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51</w:t>
            </w:r>
          </w:p>
        </w:tc>
        <w:tc>
          <w:tcPr>
            <w:tcW w:w="1245" w:type="dxa"/>
            <w:vAlign w:val="center"/>
          </w:tcPr>
          <w:p w14:paraId="7A9D244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高能输运线电源厅空调</w:t>
            </w:r>
          </w:p>
        </w:tc>
        <w:tc>
          <w:tcPr>
            <w:tcW w:w="642" w:type="dxa"/>
            <w:noWrap/>
            <w:vAlign w:val="center"/>
          </w:tcPr>
          <w:p w14:paraId="79868DE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39FF323C">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0E36F4C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24000m3/h,</w:t>
            </w:r>
            <w:r>
              <w:rPr>
                <w:rFonts w:hint="eastAsia" w:ascii="宋体" w:hAnsi="宋体"/>
                <w:color w:val="auto"/>
                <w:kern w:val="0"/>
                <w:sz w:val="20"/>
                <w:szCs w:val="20"/>
                <w:highlight w:val="none"/>
              </w:rPr>
              <w:t>冷量</w:t>
            </w:r>
            <w:r>
              <w:rPr>
                <w:color w:val="auto"/>
                <w:kern w:val="0"/>
                <w:sz w:val="20"/>
                <w:szCs w:val="20"/>
                <w:highlight w:val="none"/>
              </w:rPr>
              <w:t>95kW</w:t>
            </w:r>
          </w:p>
        </w:tc>
        <w:tc>
          <w:tcPr>
            <w:tcW w:w="2693" w:type="dxa"/>
            <w:noWrap/>
            <w:vAlign w:val="center"/>
          </w:tcPr>
          <w:p w14:paraId="6D58322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0B01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C9AB8F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52</w:t>
            </w:r>
          </w:p>
        </w:tc>
        <w:tc>
          <w:tcPr>
            <w:tcW w:w="1245" w:type="dxa"/>
            <w:vAlign w:val="center"/>
          </w:tcPr>
          <w:p w14:paraId="36B7664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增强器隧道新风空调</w:t>
            </w:r>
          </w:p>
        </w:tc>
        <w:tc>
          <w:tcPr>
            <w:tcW w:w="642" w:type="dxa"/>
            <w:noWrap/>
            <w:vAlign w:val="center"/>
          </w:tcPr>
          <w:p w14:paraId="34DA82C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3DD740B1">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05D99594">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18000m3/h,</w:t>
            </w:r>
            <w:r>
              <w:rPr>
                <w:rFonts w:hint="eastAsia" w:ascii="宋体" w:hAnsi="宋体"/>
                <w:color w:val="auto"/>
                <w:kern w:val="0"/>
                <w:sz w:val="20"/>
                <w:szCs w:val="20"/>
                <w:highlight w:val="none"/>
              </w:rPr>
              <w:t>冷量</w:t>
            </w:r>
            <w:r>
              <w:rPr>
                <w:color w:val="auto"/>
                <w:kern w:val="0"/>
                <w:sz w:val="20"/>
                <w:szCs w:val="20"/>
                <w:highlight w:val="none"/>
              </w:rPr>
              <w:t>265kW</w:t>
            </w:r>
          </w:p>
        </w:tc>
        <w:tc>
          <w:tcPr>
            <w:tcW w:w="2693" w:type="dxa"/>
            <w:noWrap/>
            <w:vAlign w:val="center"/>
          </w:tcPr>
          <w:p w14:paraId="074C08F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00F3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52D4FB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53</w:t>
            </w:r>
          </w:p>
        </w:tc>
        <w:tc>
          <w:tcPr>
            <w:tcW w:w="1245" w:type="dxa"/>
            <w:vAlign w:val="center"/>
          </w:tcPr>
          <w:p w14:paraId="4657E90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动力站电源测试区空调</w:t>
            </w:r>
          </w:p>
        </w:tc>
        <w:tc>
          <w:tcPr>
            <w:tcW w:w="642" w:type="dxa"/>
            <w:noWrap/>
            <w:vAlign w:val="center"/>
          </w:tcPr>
          <w:p w14:paraId="3594CC8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287715FC">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7B932E33">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10000m3/h,</w:t>
            </w:r>
            <w:r>
              <w:rPr>
                <w:rFonts w:hint="eastAsia" w:ascii="宋体" w:hAnsi="宋体"/>
                <w:color w:val="auto"/>
                <w:kern w:val="0"/>
                <w:sz w:val="20"/>
                <w:szCs w:val="20"/>
                <w:highlight w:val="none"/>
              </w:rPr>
              <w:t>冷量</w:t>
            </w:r>
            <w:r>
              <w:rPr>
                <w:color w:val="auto"/>
                <w:kern w:val="0"/>
                <w:sz w:val="20"/>
                <w:szCs w:val="20"/>
                <w:highlight w:val="none"/>
              </w:rPr>
              <w:t>45kW</w:t>
            </w:r>
          </w:p>
        </w:tc>
        <w:tc>
          <w:tcPr>
            <w:tcW w:w="2693" w:type="dxa"/>
            <w:noWrap/>
            <w:vAlign w:val="center"/>
          </w:tcPr>
          <w:p w14:paraId="5860499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动力中心空调机房</w:t>
            </w:r>
          </w:p>
        </w:tc>
      </w:tr>
      <w:tr w14:paraId="0205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005DF7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54</w:t>
            </w:r>
          </w:p>
        </w:tc>
        <w:tc>
          <w:tcPr>
            <w:tcW w:w="1245" w:type="dxa"/>
            <w:vAlign w:val="center"/>
          </w:tcPr>
          <w:p w14:paraId="4C5B2E9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动力站低温北厅空调</w:t>
            </w:r>
          </w:p>
        </w:tc>
        <w:tc>
          <w:tcPr>
            <w:tcW w:w="642" w:type="dxa"/>
            <w:noWrap/>
            <w:vAlign w:val="center"/>
          </w:tcPr>
          <w:p w14:paraId="6117A2C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62CC5966">
            <w:pPr>
              <w:widowControl/>
              <w:jc w:val="center"/>
              <w:rPr>
                <w:color w:val="auto"/>
                <w:kern w:val="0"/>
                <w:sz w:val="20"/>
                <w:szCs w:val="20"/>
                <w:highlight w:val="none"/>
              </w:rPr>
            </w:pPr>
            <w:r>
              <w:rPr>
                <w:color w:val="auto"/>
                <w:kern w:val="0"/>
                <w:sz w:val="20"/>
                <w:szCs w:val="20"/>
                <w:highlight w:val="none"/>
              </w:rPr>
              <w:t>2</w:t>
            </w:r>
          </w:p>
        </w:tc>
        <w:tc>
          <w:tcPr>
            <w:tcW w:w="3459" w:type="dxa"/>
            <w:vAlign w:val="center"/>
          </w:tcPr>
          <w:p w14:paraId="548E853B">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40000m3/h,</w:t>
            </w:r>
            <w:r>
              <w:rPr>
                <w:rFonts w:hint="eastAsia" w:ascii="宋体" w:hAnsi="宋体"/>
                <w:color w:val="auto"/>
                <w:kern w:val="0"/>
                <w:sz w:val="20"/>
                <w:szCs w:val="20"/>
                <w:highlight w:val="none"/>
              </w:rPr>
              <w:t>冷量</w:t>
            </w:r>
            <w:r>
              <w:rPr>
                <w:color w:val="auto"/>
                <w:kern w:val="0"/>
                <w:sz w:val="20"/>
                <w:szCs w:val="20"/>
                <w:highlight w:val="none"/>
              </w:rPr>
              <w:t>230kW</w:t>
            </w:r>
          </w:p>
        </w:tc>
        <w:tc>
          <w:tcPr>
            <w:tcW w:w="2693" w:type="dxa"/>
            <w:noWrap/>
            <w:vAlign w:val="center"/>
          </w:tcPr>
          <w:p w14:paraId="7A9A06D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动力中心空调机房</w:t>
            </w:r>
          </w:p>
        </w:tc>
      </w:tr>
      <w:tr w14:paraId="7B41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36F3F3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55</w:t>
            </w:r>
          </w:p>
        </w:tc>
        <w:tc>
          <w:tcPr>
            <w:tcW w:w="1245" w:type="dxa"/>
            <w:vAlign w:val="center"/>
          </w:tcPr>
          <w:p w14:paraId="7DD9F33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动力站低温南厅空调</w:t>
            </w:r>
          </w:p>
        </w:tc>
        <w:tc>
          <w:tcPr>
            <w:tcW w:w="642" w:type="dxa"/>
            <w:noWrap/>
            <w:vAlign w:val="center"/>
          </w:tcPr>
          <w:p w14:paraId="2D54264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vAlign w:val="center"/>
          </w:tcPr>
          <w:p w14:paraId="104C319B">
            <w:pPr>
              <w:widowControl/>
              <w:jc w:val="center"/>
              <w:rPr>
                <w:color w:val="auto"/>
                <w:kern w:val="0"/>
                <w:sz w:val="20"/>
                <w:szCs w:val="20"/>
                <w:highlight w:val="none"/>
              </w:rPr>
            </w:pPr>
            <w:r>
              <w:rPr>
                <w:color w:val="auto"/>
                <w:kern w:val="0"/>
                <w:sz w:val="20"/>
                <w:szCs w:val="20"/>
                <w:highlight w:val="none"/>
              </w:rPr>
              <w:t>1</w:t>
            </w:r>
          </w:p>
        </w:tc>
        <w:tc>
          <w:tcPr>
            <w:tcW w:w="3459" w:type="dxa"/>
            <w:vAlign w:val="center"/>
          </w:tcPr>
          <w:p w14:paraId="5617BE4E">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50000m3/h,</w:t>
            </w:r>
            <w:r>
              <w:rPr>
                <w:rFonts w:hint="eastAsia" w:ascii="宋体" w:hAnsi="宋体"/>
                <w:color w:val="auto"/>
                <w:kern w:val="0"/>
                <w:sz w:val="20"/>
                <w:szCs w:val="20"/>
                <w:highlight w:val="none"/>
              </w:rPr>
              <w:t>冷量</w:t>
            </w:r>
            <w:r>
              <w:rPr>
                <w:color w:val="auto"/>
                <w:kern w:val="0"/>
                <w:sz w:val="20"/>
                <w:szCs w:val="20"/>
                <w:highlight w:val="none"/>
              </w:rPr>
              <w:t>290kW</w:t>
            </w:r>
          </w:p>
        </w:tc>
        <w:tc>
          <w:tcPr>
            <w:tcW w:w="2693" w:type="dxa"/>
            <w:noWrap/>
            <w:vAlign w:val="center"/>
          </w:tcPr>
          <w:p w14:paraId="67EC9C9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动力中心空调机房</w:t>
            </w:r>
          </w:p>
        </w:tc>
      </w:tr>
      <w:tr w14:paraId="0ABF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93EA30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56</w:t>
            </w:r>
          </w:p>
        </w:tc>
        <w:tc>
          <w:tcPr>
            <w:tcW w:w="1245" w:type="dxa"/>
            <w:noWrap/>
            <w:vAlign w:val="center"/>
          </w:tcPr>
          <w:p w14:paraId="4302363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储存环隧道环评排风机组</w:t>
            </w:r>
          </w:p>
        </w:tc>
        <w:tc>
          <w:tcPr>
            <w:tcW w:w="642" w:type="dxa"/>
            <w:noWrap/>
            <w:vAlign w:val="center"/>
          </w:tcPr>
          <w:p w14:paraId="46E6A58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96A470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1D33967C">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4500m3/h</w:t>
            </w:r>
          </w:p>
        </w:tc>
        <w:tc>
          <w:tcPr>
            <w:tcW w:w="2693" w:type="dxa"/>
            <w:noWrap/>
            <w:vAlign w:val="center"/>
          </w:tcPr>
          <w:p w14:paraId="5F20DCB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5328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685C9B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57</w:t>
            </w:r>
          </w:p>
        </w:tc>
        <w:tc>
          <w:tcPr>
            <w:tcW w:w="1245" w:type="dxa"/>
            <w:noWrap/>
            <w:vAlign w:val="center"/>
          </w:tcPr>
          <w:p w14:paraId="0598883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储存环隧道停机排风机组</w:t>
            </w:r>
          </w:p>
        </w:tc>
        <w:tc>
          <w:tcPr>
            <w:tcW w:w="642" w:type="dxa"/>
            <w:noWrap/>
            <w:vAlign w:val="center"/>
          </w:tcPr>
          <w:p w14:paraId="47AF515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BCF835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12</w:t>
            </w:r>
          </w:p>
        </w:tc>
        <w:tc>
          <w:tcPr>
            <w:tcW w:w="3459" w:type="dxa"/>
            <w:vAlign w:val="center"/>
          </w:tcPr>
          <w:p w14:paraId="52EF790D">
            <w:pPr>
              <w:widowControl/>
              <w:jc w:val="left"/>
              <w:rPr>
                <w:color w:val="auto"/>
                <w:kern w:val="0"/>
                <w:sz w:val="20"/>
                <w:szCs w:val="20"/>
                <w:highlight w:val="none"/>
              </w:rPr>
            </w:pPr>
            <w:r>
              <w:rPr>
                <w:rFonts w:hint="eastAsia" w:ascii="宋体" w:hAnsi="宋体"/>
                <w:color w:val="auto"/>
                <w:kern w:val="0"/>
                <w:sz w:val="20"/>
                <w:szCs w:val="20"/>
                <w:highlight w:val="none"/>
              </w:rPr>
              <w:t>风量130</w:t>
            </w:r>
            <w:r>
              <w:rPr>
                <w:color w:val="auto"/>
                <w:kern w:val="0"/>
                <w:sz w:val="20"/>
                <w:szCs w:val="20"/>
                <w:highlight w:val="none"/>
              </w:rPr>
              <w:t>00m3/h</w:t>
            </w:r>
          </w:p>
        </w:tc>
        <w:tc>
          <w:tcPr>
            <w:tcW w:w="2693" w:type="dxa"/>
            <w:noWrap/>
            <w:vAlign w:val="center"/>
          </w:tcPr>
          <w:p w14:paraId="4803C1A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256C4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F6540D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58</w:t>
            </w:r>
          </w:p>
        </w:tc>
        <w:tc>
          <w:tcPr>
            <w:tcW w:w="1245" w:type="dxa"/>
            <w:noWrap/>
            <w:vAlign w:val="center"/>
          </w:tcPr>
          <w:p w14:paraId="7A74D39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直线隧道停机排风机组</w:t>
            </w:r>
          </w:p>
        </w:tc>
        <w:tc>
          <w:tcPr>
            <w:tcW w:w="642" w:type="dxa"/>
            <w:noWrap/>
            <w:vAlign w:val="center"/>
          </w:tcPr>
          <w:p w14:paraId="6EE71CA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33422A3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0C5AAF8A">
            <w:pPr>
              <w:widowControl/>
              <w:jc w:val="left"/>
              <w:rPr>
                <w:color w:val="auto"/>
                <w:kern w:val="0"/>
                <w:sz w:val="20"/>
                <w:szCs w:val="20"/>
                <w:highlight w:val="none"/>
              </w:rPr>
            </w:pPr>
            <w:r>
              <w:rPr>
                <w:rFonts w:hint="eastAsia" w:ascii="宋体" w:hAnsi="宋体"/>
                <w:color w:val="auto"/>
                <w:kern w:val="0"/>
                <w:sz w:val="20"/>
                <w:szCs w:val="20"/>
                <w:highlight w:val="none"/>
              </w:rPr>
              <w:t>风量3</w:t>
            </w:r>
            <w:r>
              <w:rPr>
                <w:color w:val="auto"/>
                <w:kern w:val="0"/>
                <w:sz w:val="20"/>
                <w:szCs w:val="20"/>
                <w:highlight w:val="none"/>
              </w:rPr>
              <w:t>500m3/h</w:t>
            </w:r>
          </w:p>
        </w:tc>
        <w:tc>
          <w:tcPr>
            <w:tcW w:w="2693" w:type="dxa"/>
            <w:noWrap/>
            <w:vAlign w:val="center"/>
          </w:tcPr>
          <w:p w14:paraId="0E0D0B0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直线空调机房</w:t>
            </w:r>
          </w:p>
        </w:tc>
      </w:tr>
      <w:tr w14:paraId="53C19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73974A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59</w:t>
            </w:r>
          </w:p>
        </w:tc>
        <w:tc>
          <w:tcPr>
            <w:tcW w:w="1245" w:type="dxa"/>
            <w:noWrap/>
            <w:vAlign w:val="center"/>
          </w:tcPr>
          <w:p w14:paraId="023D8F4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增强器隧道停机排风机组</w:t>
            </w:r>
          </w:p>
        </w:tc>
        <w:tc>
          <w:tcPr>
            <w:tcW w:w="642" w:type="dxa"/>
            <w:noWrap/>
            <w:vAlign w:val="center"/>
          </w:tcPr>
          <w:p w14:paraId="0EAE516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50751E7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381E30AB">
            <w:pPr>
              <w:widowControl/>
              <w:jc w:val="left"/>
              <w:rPr>
                <w:color w:val="auto"/>
                <w:kern w:val="0"/>
                <w:sz w:val="20"/>
                <w:szCs w:val="20"/>
                <w:highlight w:val="none"/>
              </w:rPr>
            </w:pPr>
            <w:r>
              <w:rPr>
                <w:rFonts w:hint="eastAsia" w:ascii="宋体" w:hAnsi="宋体"/>
                <w:color w:val="auto"/>
                <w:kern w:val="0"/>
                <w:sz w:val="20"/>
                <w:szCs w:val="20"/>
                <w:highlight w:val="none"/>
              </w:rPr>
              <w:t>风量20</w:t>
            </w:r>
            <w:r>
              <w:rPr>
                <w:color w:val="auto"/>
                <w:kern w:val="0"/>
                <w:sz w:val="20"/>
                <w:szCs w:val="20"/>
                <w:highlight w:val="none"/>
              </w:rPr>
              <w:t>000m3/h</w:t>
            </w:r>
          </w:p>
        </w:tc>
        <w:tc>
          <w:tcPr>
            <w:tcW w:w="2693" w:type="dxa"/>
            <w:noWrap/>
            <w:vAlign w:val="center"/>
          </w:tcPr>
          <w:p w14:paraId="793DD28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3D68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459E655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60</w:t>
            </w:r>
          </w:p>
        </w:tc>
        <w:tc>
          <w:tcPr>
            <w:tcW w:w="1245" w:type="dxa"/>
            <w:noWrap/>
            <w:vAlign w:val="center"/>
          </w:tcPr>
          <w:p w14:paraId="68A1CDC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25型立柜式空调</w:t>
            </w:r>
          </w:p>
        </w:tc>
        <w:tc>
          <w:tcPr>
            <w:tcW w:w="642" w:type="dxa"/>
            <w:noWrap/>
            <w:vAlign w:val="center"/>
          </w:tcPr>
          <w:p w14:paraId="226161E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0CF6B83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459" w:type="dxa"/>
            <w:vAlign w:val="center"/>
          </w:tcPr>
          <w:p w14:paraId="7006A84A">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25000m3/h,</w:t>
            </w:r>
            <w:r>
              <w:rPr>
                <w:rFonts w:hint="eastAsia" w:ascii="宋体" w:hAnsi="宋体"/>
                <w:color w:val="auto"/>
                <w:kern w:val="0"/>
                <w:sz w:val="20"/>
                <w:szCs w:val="20"/>
                <w:highlight w:val="none"/>
              </w:rPr>
              <w:t>冷量</w:t>
            </w:r>
            <w:r>
              <w:rPr>
                <w:color w:val="auto"/>
                <w:kern w:val="0"/>
                <w:sz w:val="20"/>
                <w:szCs w:val="20"/>
                <w:highlight w:val="none"/>
              </w:rPr>
              <w:t>170kW</w:t>
            </w:r>
          </w:p>
        </w:tc>
        <w:tc>
          <w:tcPr>
            <w:tcW w:w="2693" w:type="dxa"/>
            <w:noWrap/>
            <w:vAlign w:val="center"/>
          </w:tcPr>
          <w:p w14:paraId="4A731E8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动力中心空调机房</w:t>
            </w:r>
          </w:p>
        </w:tc>
      </w:tr>
      <w:tr w14:paraId="30C7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3A84DE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61</w:t>
            </w:r>
          </w:p>
        </w:tc>
        <w:tc>
          <w:tcPr>
            <w:tcW w:w="1245" w:type="dxa"/>
            <w:noWrap/>
            <w:vAlign w:val="center"/>
          </w:tcPr>
          <w:p w14:paraId="4AC1D59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20型立柜式空调</w:t>
            </w:r>
          </w:p>
        </w:tc>
        <w:tc>
          <w:tcPr>
            <w:tcW w:w="642" w:type="dxa"/>
            <w:noWrap/>
            <w:vAlign w:val="center"/>
          </w:tcPr>
          <w:p w14:paraId="092CA61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0EC100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3459" w:type="dxa"/>
            <w:vAlign w:val="center"/>
          </w:tcPr>
          <w:p w14:paraId="4B2FB050">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20000m3/h,</w:t>
            </w:r>
            <w:r>
              <w:rPr>
                <w:rFonts w:hint="eastAsia" w:ascii="宋体" w:hAnsi="宋体"/>
                <w:color w:val="auto"/>
                <w:kern w:val="0"/>
                <w:sz w:val="20"/>
                <w:szCs w:val="20"/>
                <w:highlight w:val="none"/>
              </w:rPr>
              <w:t>冷量</w:t>
            </w:r>
            <w:r>
              <w:rPr>
                <w:color w:val="auto"/>
                <w:kern w:val="0"/>
                <w:sz w:val="20"/>
                <w:szCs w:val="20"/>
                <w:highlight w:val="none"/>
              </w:rPr>
              <w:t>140kW</w:t>
            </w:r>
          </w:p>
        </w:tc>
        <w:tc>
          <w:tcPr>
            <w:tcW w:w="2693" w:type="dxa"/>
            <w:noWrap/>
            <w:vAlign w:val="center"/>
          </w:tcPr>
          <w:p w14:paraId="7F8BC9B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3BAD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438FB1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62</w:t>
            </w:r>
          </w:p>
        </w:tc>
        <w:tc>
          <w:tcPr>
            <w:tcW w:w="1245" w:type="dxa"/>
            <w:noWrap/>
            <w:vAlign w:val="center"/>
          </w:tcPr>
          <w:p w14:paraId="49057DD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15型立柜式空调</w:t>
            </w:r>
          </w:p>
        </w:tc>
        <w:tc>
          <w:tcPr>
            <w:tcW w:w="642" w:type="dxa"/>
            <w:noWrap/>
            <w:vAlign w:val="center"/>
          </w:tcPr>
          <w:p w14:paraId="72B89A7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F0A6B0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vAlign w:val="center"/>
          </w:tcPr>
          <w:p w14:paraId="3DB97E9B">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15000m3/h,</w:t>
            </w:r>
            <w:r>
              <w:rPr>
                <w:rFonts w:hint="eastAsia" w:ascii="宋体" w:hAnsi="宋体"/>
                <w:color w:val="auto"/>
                <w:kern w:val="0"/>
                <w:sz w:val="20"/>
                <w:szCs w:val="20"/>
                <w:highlight w:val="none"/>
              </w:rPr>
              <w:t>冷量</w:t>
            </w:r>
            <w:r>
              <w:rPr>
                <w:color w:val="auto"/>
                <w:kern w:val="0"/>
                <w:sz w:val="20"/>
                <w:szCs w:val="20"/>
                <w:highlight w:val="none"/>
              </w:rPr>
              <w:t>105kW</w:t>
            </w:r>
          </w:p>
        </w:tc>
        <w:tc>
          <w:tcPr>
            <w:tcW w:w="2693" w:type="dxa"/>
            <w:noWrap/>
            <w:vAlign w:val="center"/>
          </w:tcPr>
          <w:p w14:paraId="103AD29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1FAD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5AA1BC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63</w:t>
            </w:r>
          </w:p>
        </w:tc>
        <w:tc>
          <w:tcPr>
            <w:tcW w:w="1245" w:type="dxa"/>
            <w:noWrap/>
            <w:vAlign w:val="center"/>
          </w:tcPr>
          <w:p w14:paraId="69F789D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12型立柜式空调</w:t>
            </w:r>
          </w:p>
        </w:tc>
        <w:tc>
          <w:tcPr>
            <w:tcW w:w="642" w:type="dxa"/>
            <w:noWrap/>
            <w:vAlign w:val="center"/>
          </w:tcPr>
          <w:p w14:paraId="5870B97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7876CA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459" w:type="dxa"/>
            <w:vAlign w:val="center"/>
          </w:tcPr>
          <w:p w14:paraId="215F665C">
            <w:pPr>
              <w:widowControl/>
              <w:jc w:val="left"/>
              <w:rPr>
                <w:color w:val="auto"/>
                <w:kern w:val="0"/>
                <w:sz w:val="20"/>
                <w:szCs w:val="20"/>
                <w:highlight w:val="none"/>
              </w:rPr>
            </w:pPr>
            <w:r>
              <w:rPr>
                <w:rFonts w:hint="eastAsia" w:ascii="宋体" w:hAnsi="宋体"/>
                <w:color w:val="auto"/>
                <w:kern w:val="0"/>
                <w:sz w:val="20"/>
                <w:szCs w:val="20"/>
                <w:highlight w:val="none"/>
              </w:rPr>
              <w:t>风量</w:t>
            </w:r>
            <w:r>
              <w:rPr>
                <w:color w:val="auto"/>
                <w:kern w:val="0"/>
                <w:sz w:val="20"/>
                <w:szCs w:val="20"/>
                <w:highlight w:val="none"/>
              </w:rPr>
              <w:t>12000m3/h,</w:t>
            </w:r>
            <w:r>
              <w:rPr>
                <w:rFonts w:hint="eastAsia" w:ascii="宋体" w:hAnsi="宋体"/>
                <w:color w:val="auto"/>
                <w:kern w:val="0"/>
                <w:sz w:val="20"/>
                <w:szCs w:val="20"/>
                <w:highlight w:val="none"/>
              </w:rPr>
              <w:t>冷量</w:t>
            </w:r>
            <w:r>
              <w:rPr>
                <w:color w:val="auto"/>
                <w:kern w:val="0"/>
                <w:sz w:val="20"/>
                <w:szCs w:val="20"/>
                <w:highlight w:val="none"/>
              </w:rPr>
              <w:t>80kW</w:t>
            </w:r>
          </w:p>
        </w:tc>
        <w:tc>
          <w:tcPr>
            <w:tcW w:w="2693" w:type="dxa"/>
            <w:noWrap/>
            <w:vAlign w:val="center"/>
          </w:tcPr>
          <w:p w14:paraId="63E6934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内环空调机房</w:t>
            </w:r>
          </w:p>
        </w:tc>
      </w:tr>
      <w:tr w14:paraId="13D4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41" w:type="dxa"/>
            <w:noWrap/>
            <w:vAlign w:val="center"/>
          </w:tcPr>
          <w:p w14:paraId="58CBBD3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64</w:t>
            </w:r>
          </w:p>
        </w:tc>
        <w:tc>
          <w:tcPr>
            <w:tcW w:w="1245" w:type="dxa"/>
            <w:noWrap/>
            <w:vAlign w:val="center"/>
          </w:tcPr>
          <w:p w14:paraId="1B26B8C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空调控制系统机柜</w:t>
            </w:r>
          </w:p>
        </w:tc>
        <w:tc>
          <w:tcPr>
            <w:tcW w:w="642" w:type="dxa"/>
            <w:noWrap/>
            <w:vAlign w:val="center"/>
          </w:tcPr>
          <w:p w14:paraId="378C77C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2DCB97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84</w:t>
            </w:r>
          </w:p>
        </w:tc>
        <w:tc>
          <w:tcPr>
            <w:tcW w:w="3459" w:type="dxa"/>
            <w:noWrap/>
            <w:vAlign w:val="center"/>
          </w:tcPr>
          <w:p w14:paraId="08C38A0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PLC 1512</w:t>
            </w:r>
          </w:p>
        </w:tc>
        <w:tc>
          <w:tcPr>
            <w:tcW w:w="2693" w:type="dxa"/>
            <w:vAlign w:val="center"/>
          </w:tcPr>
          <w:p w14:paraId="509233A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内环/外环空调机房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增强器空调机房/</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直线空调机房</w:t>
            </w:r>
          </w:p>
        </w:tc>
      </w:tr>
      <w:tr w14:paraId="31B5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2B42C3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65</w:t>
            </w:r>
          </w:p>
        </w:tc>
        <w:tc>
          <w:tcPr>
            <w:tcW w:w="1245" w:type="dxa"/>
            <w:noWrap/>
            <w:vAlign w:val="center"/>
          </w:tcPr>
          <w:p w14:paraId="351185D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调功柜</w:t>
            </w:r>
          </w:p>
        </w:tc>
        <w:tc>
          <w:tcPr>
            <w:tcW w:w="642" w:type="dxa"/>
            <w:noWrap/>
            <w:vAlign w:val="center"/>
          </w:tcPr>
          <w:p w14:paraId="7C492C2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E2EB45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17</w:t>
            </w:r>
          </w:p>
        </w:tc>
        <w:tc>
          <w:tcPr>
            <w:tcW w:w="3459" w:type="dxa"/>
            <w:noWrap/>
            <w:vAlign w:val="center"/>
          </w:tcPr>
          <w:p w14:paraId="00C9836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30kw</w:t>
            </w:r>
          </w:p>
        </w:tc>
        <w:tc>
          <w:tcPr>
            <w:tcW w:w="2693" w:type="dxa"/>
            <w:vAlign w:val="center"/>
          </w:tcPr>
          <w:p w14:paraId="4DC24AA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隧道空调机房/增强器空调机房</w:t>
            </w:r>
          </w:p>
        </w:tc>
      </w:tr>
      <w:tr w14:paraId="3A7D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235D5E8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66</w:t>
            </w:r>
          </w:p>
        </w:tc>
        <w:tc>
          <w:tcPr>
            <w:tcW w:w="1245" w:type="dxa"/>
            <w:noWrap/>
            <w:vAlign w:val="center"/>
          </w:tcPr>
          <w:p w14:paraId="4FFF542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B2恒温间</w:t>
            </w:r>
          </w:p>
        </w:tc>
        <w:tc>
          <w:tcPr>
            <w:tcW w:w="642" w:type="dxa"/>
            <w:noWrap/>
            <w:vAlign w:val="center"/>
          </w:tcPr>
          <w:p w14:paraId="114D2FF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59360CF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099C51B3">
            <w:pPr>
              <w:widowControl/>
              <w:jc w:val="left"/>
              <w:rPr>
                <w:color w:val="auto"/>
                <w:kern w:val="0"/>
                <w:sz w:val="20"/>
                <w:szCs w:val="20"/>
                <w:highlight w:val="none"/>
              </w:rPr>
            </w:pPr>
            <w:r>
              <w:rPr>
                <w:color w:val="auto"/>
                <w:kern w:val="0"/>
                <w:sz w:val="20"/>
                <w:szCs w:val="20"/>
                <w:highlight w:val="none"/>
              </w:rPr>
              <w:t>180m2</w:t>
            </w:r>
            <w:r>
              <w:rPr>
                <w:rFonts w:hint="eastAsia" w:ascii="宋体" w:hAnsi="宋体"/>
                <w:color w:val="auto"/>
                <w:kern w:val="0"/>
                <w:sz w:val="20"/>
                <w:szCs w:val="20"/>
                <w:highlight w:val="none"/>
              </w:rPr>
              <w:t>，稳定度±</w:t>
            </w:r>
            <w:r>
              <w:rPr>
                <w:color w:val="auto"/>
                <w:kern w:val="0"/>
                <w:sz w:val="20"/>
                <w:szCs w:val="20"/>
                <w:highlight w:val="none"/>
              </w:rPr>
              <w:t>0.1</w:t>
            </w:r>
            <w:r>
              <w:rPr>
                <w:rFonts w:hint="eastAsia" w:ascii="宋体" w:hAnsi="宋体"/>
                <w:color w:val="auto"/>
                <w:kern w:val="0"/>
                <w:sz w:val="20"/>
                <w:szCs w:val="20"/>
                <w:highlight w:val="none"/>
              </w:rPr>
              <w:t>℃</w:t>
            </w:r>
          </w:p>
        </w:tc>
        <w:tc>
          <w:tcPr>
            <w:tcW w:w="2693" w:type="dxa"/>
            <w:noWrap/>
            <w:vAlign w:val="center"/>
          </w:tcPr>
          <w:p w14:paraId="4CF6FE1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b2长光束线站</w:t>
            </w:r>
          </w:p>
        </w:tc>
      </w:tr>
      <w:tr w14:paraId="64D2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4874CB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67</w:t>
            </w:r>
          </w:p>
        </w:tc>
        <w:tc>
          <w:tcPr>
            <w:tcW w:w="1245" w:type="dxa"/>
            <w:noWrap/>
            <w:vAlign w:val="center"/>
          </w:tcPr>
          <w:p w14:paraId="5597F1B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B3恒温间</w:t>
            </w:r>
          </w:p>
        </w:tc>
        <w:tc>
          <w:tcPr>
            <w:tcW w:w="642" w:type="dxa"/>
            <w:noWrap/>
            <w:vAlign w:val="center"/>
          </w:tcPr>
          <w:p w14:paraId="4120A10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1BCEF93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6E3C759F">
            <w:pPr>
              <w:widowControl/>
              <w:jc w:val="left"/>
              <w:rPr>
                <w:color w:val="auto"/>
                <w:kern w:val="0"/>
                <w:sz w:val="20"/>
                <w:szCs w:val="20"/>
                <w:highlight w:val="none"/>
              </w:rPr>
            </w:pPr>
            <w:r>
              <w:rPr>
                <w:color w:val="auto"/>
                <w:kern w:val="0"/>
                <w:sz w:val="20"/>
                <w:szCs w:val="20"/>
                <w:highlight w:val="none"/>
              </w:rPr>
              <w:t>308m2</w:t>
            </w:r>
            <w:r>
              <w:rPr>
                <w:rFonts w:hint="eastAsia" w:ascii="宋体" w:hAnsi="宋体"/>
                <w:color w:val="auto"/>
                <w:kern w:val="0"/>
                <w:sz w:val="20"/>
                <w:szCs w:val="20"/>
                <w:highlight w:val="none"/>
              </w:rPr>
              <w:t>，稳定度±</w:t>
            </w:r>
            <w:r>
              <w:rPr>
                <w:color w:val="auto"/>
                <w:kern w:val="0"/>
                <w:sz w:val="20"/>
                <w:szCs w:val="20"/>
                <w:highlight w:val="none"/>
              </w:rPr>
              <w:t>0.1</w:t>
            </w:r>
            <w:r>
              <w:rPr>
                <w:rFonts w:hint="eastAsia" w:ascii="宋体" w:hAnsi="宋体"/>
                <w:color w:val="auto"/>
                <w:kern w:val="0"/>
                <w:sz w:val="20"/>
                <w:szCs w:val="20"/>
                <w:highlight w:val="none"/>
              </w:rPr>
              <w:t>℃</w:t>
            </w:r>
          </w:p>
        </w:tc>
        <w:tc>
          <w:tcPr>
            <w:tcW w:w="2693" w:type="dxa"/>
            <w:noWrap/>
            <w:vAlign w:val="center"/>
          </w:tcPr>
          <w:p w14:paraId="2079342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b3长光束线站</w:t>
            </w:r>
          </w:p>
        </w:tc>
      </w:tr>
      <w:tr w14:paraId="4FA7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3A5519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68</w:t>
            </w:r>
          </w:p>
        </w:tc>
        <w:tc>
          <w:tcPr>
            <w:tcW w:w="1245" w:type="dxa"/>
            <w:noWrap/>
            <w:vAlign w:val="center"/>
          </w:tcPr>
          <w:p w14:paraId="28370D8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B7恒温间</w:t>
            </w:r>
          </w:p>
        </w:tc>
        <w:tc>
          <w:tcPr>
            <w:tcW w:w="642" w:type="dxa"/>
            <w:noWrap/>
            <w:vAlign w:val="center"/>
          </w:tcPr>
          <w:p w14:paraId="630DE20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26A43FE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0633ED84">
            <w:pPr>
              <w:widowControl/>
              <w:jc w:val="left"/>
              <w:rPr>
                <w:color w:val="auto"/>
                <w:kern w:val="0"/>
                <w:sz w:val="20"/>
                <w:szCs w:val="20"/>
                <w:highlight w:val="none"/>
              </w:rPr>
            </w:pPr>
            <w:r>
              <w:rPr>
                <w:color w:val="auto"/>
                <w:kern w:val="0"/>
                <w:sz w:val="20"/>
                <w:szCs w:val="20"/>
                <w:highlight w:val="none"/>
              </w:rPr>
              <w:t>175m2</w:t>
            </w:r>
            <w:r>
              <w:rPr>
                <w:rFonts w:hint="eastAsia" w:ascii="宋体" w:hAnsi="宋体"/>
                <w:color w:val="auto"/>
                <w:kern w:val="0"/>
                <w:sz w:val="20"/>
                <w:szCs w:val="20"/>
                <w:highlight w:val="none"/>
              </w:rPr>
              <w:t>，稳定度±</w:t>
            </w:r>
            <w:r>
              <w:rPr>
                <w:color w:val="auto"/>
                <w:kern w:val="0"/>
                <w:sz w:val="20"/>
                <w:szCs w:val="20"/>
                <w:highlight w:val="none"/>
              </w:rPr>
              <w:t>0.1</w:t>
            </w:r>
            <w:r>
              <w:rPr>
                <w:rFonts w:hint="eastAsia" w:ascii="宋体" w:hAnsi="宋体"/>
                <w:color w:val="auto"/>
                <w:kern w:val="0"/>
                <w:sz w:val="20"/>
                <w:szCs w:val="20"/>
                <w:highlight w:val="none"/>
              </w:rPr>
              <w:t>℃</w:t>
            </w:r>
          </w:p>
        </w:tc>
        <w:tc>
          <w:tcPr>
            <w:tcW w:w="2693" w:type="dxa"/>
            <w:noWrap/>
            <w:vAlign w:val="center"/>
          </w:tcPr>
          <w:p w14:paraId="112B92B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b7长光束线站</w:t>
            </w:r>
          </w:p>
        </w:tc>
      </w:tr>
      <w:tr w14:paraId="4582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95FC9C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69</w:t>
            </w:r>
          </w:p>
        </w:tc>
        <w:tc>
          <w:tcPr>
            <w:tcW w:w="1245" w:type="dxa"/>
            <w:noWrap/>
            <w:vAlign w:val="center"/>
          </w:tcPr>
          <w:p w14:paraId="6ACBDD1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直线洁净间</w:t>
            </w:r>
          </w:p>
        </w:tc>
        <w:tc>
          <w:tcPr>
            <w:tcW w:w="642" w:type="dxa"/>
            <w:noWrap/>
            <w:vAlign w:val="center"/>
          </w:tcPr>
          <w:p w14:paraId="29ED651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134C03F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vAlign w:val="center"/>
          </w:tcPr>
          <w:p w14:paraId="663FED32">
            <w:pPr>
              <w:widowControl/>
              <w:jc w:val="left"/>
              <w:rPr>
                <w:color w:val="auto"/>
                <w:kern w:val="0"/>
                <w:sz w:val="20"/>
                <w:szCs w:val="20"/>
                <w:highlight w:val="none"/>
              </w:rPr>
            </w:pPr>
            <w:r>
              <w:rPr>
                <w:color w:val="auto"/>
                <w:kern w:val="0"/>
                <w:sz w:val="20"/>
                <w:szCs w:val="20"/>
                <w:highlight w:val="none"/>
              </w:rPr>
              <w:t>15m2</w:t>
            </w:r>
            <w:r>
              <w:rPr>
                <w:rFonts w:hint="eastAsia" w:ascii="宋体" w:hAnsi="宋体"/>
                <w:color w:val="auto"/>
                <w:kern w:val="0"/>
                <w:sz w:val="20"/>
                <w:szCs w:val="20"/>
                <w:highlight w:val="none"/>
              </w:rPr>
              <w:t>，ISO6级</w:t>
            </w:r>
          </w:p>
        </w:tc>
        <w:tc>
          <w:tcPr>
            <w:tcW w:w="2693" w:type="dxa"/>
            <w:noWrap/>
            <w:vAlign w:val="center"/>
          </w:tcPr>
          <w:p w14:paraId="3D7B7D4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直线隧道</w:t>
            </w:r>
          </w:p>
        </w:tc>
      </w:tr>
      <w:tr w14:paraId="206E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41" w:type="dxa"/>
            <w:noWrap/>
            <w:vAlign w:val="center"/>
          </w:tcPr>
          <w:p w14:paraId="3808D9B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70</w:t>
            </w:r>
          </w:p>
        </w:tc>
        <w:tc>
          <w:tcPr>
            <w:tcW w:w="1245" w:type="dxa"/>
            <w:vAlign w:val="center"/>
          </w:tcPr>
          <w:p w14:paraId="469599E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加湿主机</w:t>
            </w:r>
          </w:p>
        </w:tc>
        <w:tc>
          <w:tcPr>
            <w:tcW w:w="642" w:type="dxa"/>
            <w:noWrap/>
            <w:vAlign w:val="center"/>
          </w:tcPr>
          <w:p w14:paraId="743CF00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60D12B9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3459" w:type="dxa"/>
            <w:vAlign w:val="center"/>
          </w:tcPr>
          <w:p w14:paraId="5381FAD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脱盐率应大于99%</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水质需小于25μs/cm</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最小出水量200L/h</w:t>
            </w:r>
          </w:p>
        </w:tc>
        <w:tc>
          <w:tcPr>
            <w:tcW w:w="2693" w:type="dxa"/>
            <w:noWrap/>
            <w:vAlign w:val="center"/>
          </w:tcPr>
          <w:p w14:paraId="3C80489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各个空调机房</w:t>
            </w:r>
          </w:p>
        </w:tc>
      </w:tr>
      <w:tr w14:paraId="004F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52AFB88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71</w:t>
            </w:r>
          </w:p>
        </w:tc>
        <w:tc>
          <w:tcPr>
            <w:tcW w:w="1245" w:type="dxa"/>
            <w:noWrap/>
            <w:vAlign w:val="center"/>
          </w:tcPr>
          <w:p w14:paraId="3A474AF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分体壁挂空调</w:t>
            </w:r>
          </w:p>
        </w:tc>
        <w:tc>
          <w:tcPr>
            <w:tcW w:w="642" w:type="dxa"/>
            <w:noWrap/>
            <w:vAlign w:val="center"/>
          </w:tcPr>
          <w:p w14:paraId="5C14C95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47CEAF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459" w:type="dxa"/>
            <w:noWrap/>
            <w:vAlign w:val="center"/>
          </w:tcPr>
          <w:p w14:paraId="674FEAB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4台2P，1台1P</w:t>
            </w:r>
          </w:p>
        </w:tc>
        <w:tc>
          <w:tcPr>
            <w:tcW w:w="2693" w:type="dxa"/>
            <w:vAlign w:val="center"/>
          </w:tcPr>
          <w:p w14:paraId="7FEB48A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储存环111轴开关站，</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动力中心开关站</w:t>
            </w:r>
          </w:p>
        </w:tc>
      </w:tr>
      <w:tr w14:paraId="5202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4708C7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72</w:t>
            </w:r>
          </w:p>
        </w:tc>
        <w:tc>
          <w:tcPr>
            <w:tcW w:w="1245" w:type="dxa"/>
            <w:noWrap/>
            <w:vAlign w:val="center"/>
          </w:tcPr>
          <w:p w14:paraId="6CC9811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温度变送器</w:t>
            </w:r>
          </w:p>
        </w:tc>
        <w:tc>
          <w:tcPr>
            <w:tcW w:w="642" w:type="dxa"/>
            <w:noWrap/>
            <w:vAlign w:val="center"/>
          </w:tcPr>
          <w:p w14:paraId="096AC2C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支</w:t>
            </w:r>
          </w:p>
        </w:tc>
        <w:tc>
          <w:tcPr>
            <w:tcW w:w="642" w:type="dxa"/>
            <w:noWrap/>
            <w:vAlign w:val="center"/>
          </w:tcPr>
          <w:p w14:paraId="5FBF61C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270</w:t>
            </w:r>
          </w:p>
        </w:tc>
        <w:tc>
          <w:tcPr>
            <w:tcW w:w="3459" w:type="dxa"/>
            <w:vAlign w:val="center"/>
          </w:tcPr>
          <w:p w14:paraId="4C16D11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型号：TA2447,Pt1000,</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-50~150℃</w:t>
            </w:r>
          </w:p>
        </w:tc>
        <w:tc>
          <w:tcPr>
            <w:tcW w:w="2693" w:type="dxa"/>
            <w:noWrap/>
            <w:vAlign w:val="center"/>
          </w:tcPr>
          <w:p w14:paraId="225FD88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空调机房</w:t>
            </w:r>
          </w:p>
        </w:tc>
      </w:tr>
      <w:tr w14:paraId="6914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5517C82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73</w:t>
            </w:r>
          </w:p>
        </w:tc>
        <w:tc>
          <w:tcPr>
            <w:tcW w:w="1245" w:type="dxa"/>
            <w:noWrap/>
            <w:vAlign w:val="center"/>
          </w:tcPr>
          <w:p w14:paraId="0C67440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风量仪</w:t>
            </w:r>
          </w:p>
        </w:tc>
        <w:tc>
          <w:tcPr>
            <w:tcW w:w="642" w:type="dxa"/>
            <w:noWrap/>
            <w:vAlign w:val="center"/>
          </w:tcPr>
          <w:p w14:paraId="70A8DC8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19207AF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42</w:t>
            </w:r>
          </w:p>
        </w:tc>
        <w:tc>
          <w:tcPr>
            <w:tcW w:w="3459" w:type="dxa"/>
            <w:noWrap/>
            <w:vAlign w:val="center"/>
          </w:tcPr>
          <w:p w14:paraId="0E1AF6E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量程：3740~53200m3/h</w:t>
            </w:r>
          </w:p>
        </w:tc>
        <w:tc>
          <w:tcPr>
            <w:tcW w:w="2693" w:type="dxa"/>
            <w:noWrap/>
            <w:vAlign w:val="center"/>
          </w:tcPr>
          <w:p w14:paraId="3B7DEDB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空调机房</w:t>
            </w:r>
          </w:p>
        </w:tc>
      </w:tr>
      <w:tr w14:paraId="765D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642194C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74</w:t>
            </w:r>
          </w:p>
        </w:tc>
        <w:tc>
          <w:tcPr>
            <w:tcW w:w="1245" w:type="dxa"/>
            <w:noWrap/>
            <w:vAlign w:val="center"/>
          </w:tcPr>
          <w:p w14:paraId="7756B46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电导传感器、PH传感器</w:t>
            </w:r>
          </w:p>
        </w:tc>
        <w:tc>
          <w:tcPr>
            <w:tcW w:w="642" w:type="dxa"/>
            <w:noWrap/>
            <w:vAlign w:val="center"/>
          </w:tcPr>
          <w:p w14:paraId="54546A4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457EE88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459" w:type="dxa"/>
            <w:noWrap/>
            <w:vAlign w:val="center"/>
          </w:tcPr>
          <w:p w14:paraId="30AAA99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电导率0--2000us</w:t>
            </w:r>
          </w:p>
        </w:tc>
        <w:tc>
          <w:tcPr>
            <w:tcW w:w="2693" w:type="dxa"/>
            <w:noWrap/>
            <w:vAlign w:val="center"/>
          </w:tcPr>
          <w:p w14:paraId="1E38714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w:t>
            </w:r>
          </w:p>
        </w:tc>
      </w:tr>
      <w:tr w14:paraId="47939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7C02E6C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75</w:t>
            </w:r>
          </w:p>
        </w:tc>
        <w:tc>
          <w:tcPr>
            <w:tcW w:w="1245" w:type="dxa"/>
            <w:noWrap/>
            <w:vAlign w:val="center"/>
          </w:tcPr>
          <w:p w14:paraId="165CDF4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风量控制阀</w:t>
            </w:r>
          </w:p>
        </w:tc>
        <w:tc>
          <w:tcPr>
            <w:tcW w:w="642" w:type="dxa"/>
            <w:noWrap/>
            <w:vAlign w:val="center"/>
          </w:tcPr>
          <w:p w14:paraId="03EE5F1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6AC1D27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55</w:t>
            </w:r>
          </w:p>
        </w:tc>
        <w:tc>
          <w:tcPr>
            <w:tcW w:w="3459" w:type="dxa"/>
            <w:vAlign w:val="center"/>
          </w:tcPr>
          <w:p w14:paraId="28B3D70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供电24VDC，输出0-10V，风量</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控制范围35-929m3/h</w:t>
            </w:r>
          </w:p>
        </w:tc>
        <w:tc>
          <w:tcPr>
            <w:tcW w:w="2693" w:type="dxa"/>
            <w:noWrap/>
            <w:vAlign w:val="center"/>
          </w:tcPr>
          <w:p w14:paraId="164DF3E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实验大厅线站排风</w:t>
            </w:r>
          </w:p>
        </w:tc>
      </w:tr>
      <w:tr w14:paraId="555B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4C6ECE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76</w:t>
            </w:r>
          </w:p>
        </w:tc>
        <w:tc>
          <w:tcPr>
            <w:tcW w:w="1245" w:type="dxa"/>
            <w:noWrap/>
            <w:vAlign w:val="center"/>
          </w:tcPr>
          <w:p w14:paraId="5E7AF2D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风速变送器</w:t>
            </w:r>
          </w:p>
        </w:tc>
        <w:tc>
          <w:tcPr>
            <w:tcW w:w="642" w:type="dxa"/>
            <w:noWrap/>
            <w:vAlign w:val="center"/>
          </w:tcPr>
          <w:p w14:paraId="2DC41B2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支</w:t>
            </w:r>
          </w:p>
        </w:tc>
        <w:tc>
          <w:tcPr>
            <w:tcW w:w="642" w:type="dxa"/>
            <w:noWrap/>
            <w:vAlign w:val="center"/>
          </w:tcPr>
          <w:p w14:paraId="575234E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3459" w:type="dxa"/>
            <w:noWrap/>
            <w:vAlign w:val="center"/>
          </w:tcPr>
          <w:p w14:paraId="07C37EC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输出4-20mA，量程0-20m/s</w:t>
            </w:r>
          </w:p>
        </w:tc>
        <w:tc>
          <w:tcPr>
            <w:tcW w:w="2693" w:type="dxa"/>
            <w:noWrap/>
            <w:vAlign w:val="center"/>
          </w:tcPr>
          <w:p w14:paraId="71E4108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实验大厅线站排风</w:t>
            </w:r>
          </w:p>
        </w:tc>
      </w:tr>
      <w:tr w14:paraId="7155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1F80B06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77</w:t>
            </w:r>
          </w:p>
        </w:tc>
        <w:tc>
          <w:tcPr>
            <w:tcW w:w="1245" w:type="dxa"/>
            <w:noWrap/>
            <w:vAlign w:val="center"/>
          </w:tcPr>
          <w:p w14:paraId="26FD52E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光束线站排风机组</w:t>
            </w:r>
          </w:p>
        </w:tc>
        <w:tc>
          <w:tcPr>
            <w:tcW w:w="642" w:type="dxa"/>
            <w:noWrap/>
            <w:vAlign w:val="center"/>
          </w:tcPr>
          <w:p w14:paraId="5F62A48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664E16B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16</w:t>
            </w:r>
          </w:p>
        </w:tc>
        <w:tc>
          <w:tcPr>
            <w:tcW w:w="3459" w:type="dxa"/>
            <w:noWrap/>
            <w:vAlign w:val="center"/>
          </w:tcPr>
          <w:p w14:paraId="5CC99416">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14台1500m3/h，2台1000m3/h</w:t>
            </w:r>
          </w:p>
        </w:tc>
        <w:tc>
          <w:tcPr>
            <w:tcW w:w="2693" w:type="dxa"/>
            <w:noWrap/>
            <w:vAlign w:val="center"/>
          </w:tcPr>
          <w:p w14:paraId="3C42FFA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实验大厅线站排风</w:t>
            </w:r>
          </w:p>
        </w:tc>
      </w:tr>
      <w:tr w14:paraId="1111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05F5C44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78</w:t>
            </w:r>
          </w:p>
        </w:tc>
        <w:tc>
          <w:tcPr>
            <w:tcW w:w="1245" w:type="dxa"/>
            <w:noWrap/>
            <w:vAlign w:val="center"/>
          </w:tcPr>
          <w:p w14:paraId="40785FC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水冷温度传感器</w:t>
            </w:r>
          </w:p>
        </w:tc>
        <w:tc>
          <w:tcPr>
            <w:tcW w:w="642" w:type="dxa"/>
            <w:noWrap/>
            <w:vAlign w:val="center"/>
          </w:tcPr>
          <w:p w14:paraId="64FEB8F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支</w:t>
            </w:r>
          </w:p>
        </w:tc>
        <w:tc>
          <w:tcPr>
            <w:tcW w:w="642" w:type="dxa"/>
            <w:noWrap/>
            <w:vAlign w:val="center"/>
          </w:tcPr>
          <w:p w14:paraId="1B0AE8F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130</w:t>
            </w:r>
          </w:p>
        </w:tc>
        <w:tc>
          <w:tcPr>
            <w:tcW w:w="3459" w:type="dxa"/>
            <w:noWrap/>
            <w:vAlign w:val="center"/>
          </w:tcPr>
          <w:p w14:paraId="0C985AF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测温范围0--60度</w:t>
            </w:r>
          </w:p>
        </w:tc>
        <w:tc>
          <w:tcPr>
            <w:tcW w:w="2693" w:type="dxa"/>
            <w:noWrap/>
            <w:vAlign w:val="center"/>
          </w:tcPr>
          <w:p w14:paraId="4BE7A78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各个泵房及大厅</w:t>
            </w:r>
          </w:p>
        </w:tc>
      </w:tr>
      <w:tr w14:paraId="5A1C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41" w:type="dxa"/>
            <w:noWrap/>
            <w:vAlign w:val="center"/>
          </w:tcPr>
          <w:p w14:paraId="7161680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79</w:t>
            </w:r>
          </w:p>
        </w:tc>
        <w:tc>
          <w:tcPr>
            <w:tcW w:w="1245" w:type="dxa"/>
            <w:noWrap/>
            <w:vAlign w:val="center"/>
          </w:tcPr>
          <w:p w14:paraId="40E08EF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压力传感器</w:t>
            </w:r>
          </w:p>
        </w:tc>
        <w:tc>
          <w:tcPr>
            <w:tcW w:w="642" w:type="dxa"/>
            <w:noWrap/>
            <w:vAlign w:val="center"/>
          </w:tcPr>
          <w:p w14:paraId="01DA4D7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支</w:t>
            </w:r>
          </w:p>
        </w:tc>
        <w:tc>
          <w:tcPr>
            <w:tcW w:w="642" w:type="dxa"/>
            <w:noWrap/>
            <w:vAlign w:val="center"/>
          </w:tcPr>
          <w:p w14:paraId="2EDA81A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411</w:t>
            </w:r>
          </w:p>
        </w:tc>
        <w:tc>
          <w:tcPr>
            <w:tcW w:w="3459" w:type="dxa"/>
            <w:noWrap/>
            <w:vAlign w:val="center"/>
          </w:tcPr>
          <w:p w14:paraId="0FABEE9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测量范围0--1.6MPa</w:t>
            </w:r>
          </w:p>
        </w:tc>
        <w:tc>
          <w:tcPr>
            <w:tcW w:w="2693" w:type="dxa"/>
            <w:noWrap/>
            <w:vAlign w:val="center"/>
          </w:tcPr>
          <w:p w14:paraId="51EBB21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各个泵房及大厅</w:t>
            </w:r>
          </w:p>
        </w:tc>
      </w:tr>
      <w:tr w14:paraId="775F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BD82B8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80</w:t>
            </w:r>
          </w:p>
        </w:tc>
        <w:tc>
          <w:tcPr>
            <w:tcW w:w="1245" w:type="dxa"/>
            <w:noWrap/>
            <w:vAlign w:val="center"/>
          </w:tcPr>
          <w:p w14:paraId="7F0AE0E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电磁流量计</w:t>
            </w:r>
          </w:p>
        </w:tc>
        <w:tc>
          <w:tcPr>
            <w:tcW w:w="642" w:type="dxa"/>
            <w:noWrap/>
            <w:vAlign w:val="center"/>
          </w:tcPr>
          <w:p w14:paraId="5F63490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EF63BA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100</w:t>
            </w:r>
          </w:p>
        </w:tc>
        <w:tc>
          <w:tcPr>
            <w:tcW w:w="3459" w:type="dxa"/>
            <w:noWrap/>
            <w:vAlign w:val="center"/>
          </w:tcPr>
          <w:p w14:paraId="475C78BF">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测量范围0--2000m3/h</w:t>
            </w:r>
          </w:p>
        </w:tc>
        <w:tc>
          <w:tcPr>
            <w:tcW w:w="2693" w:type="dxa"/>
            <w:vAlign w:val="center"/>
          </w:tcPr>
          <w:p w14:paraId="41911F0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冷冻站、直线、增强器、储存环、长光束线站泵房</w:t>
            </w:r>
          </w:p>
        </w:tc>
      </w:tr>
      <w:tr w14:paraId="4D6B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2955014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81</w:t>
            </w:r>
          </w:p>
        </w:tc>
        <w:tc>
          <w:tcPr>
            <w:tcW w:w="1245" w:type="dxa"/>
            <w:noWrap/>
            <w:vAlign w:val="center"/>
          </w:tcPr>
          <w:p w14:paraId="3D1F871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涡街流量计</w:t>
            </w:r>
          </w:p>
        </w:tc>
        <w:tc>
          <w:tcPr>
            <w:tcW w:w="642" w:type="dxa"/>
            <w:noWrap/>
            <w:vAlign w:val="center"/>
          </w:tcPr>
          <w:p w14:paraId="7D8F60D0">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0082006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109</w:t>
            </w:r>
          </w:p>
        </w:tc>
        <w:tc>
          <w:tcPr>
            <w:tcW w:w="3459" w:type="dxa"/>
            <w:noWrap/>
            <w:vAlign w:val="center"/>
          </w:tcPr>
          <w:p w14:paraId="1655439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测量范围0--1200m3/h</w:t>
            </w:r>
          </w:p>
        </w:tc>
        <w:tc>
          <w:tcPr>
            <w:tcW w:w="2693" w:type="dxa"/>
            <w:vAlign w:val="center"/>
          </w:tcPr>
          <w:p w14:paraId="600F7E4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直线、增强器、储存环、</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长光束线站</w:t>
            </w:r>
          </w:p>
        </w:tc>
      </w:tr>
      <w:tr w14:paraId="7854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2D41720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82</w:t>
            </w:r>
          </w:p>
        </w:tc>
        <w:tc>
          <w:tcPr>
            <w:tcW w:w="1245" w:type="dxa"/>
            <w:noWrap/>
            <w:vAlign w:val="center"/>
          </w:tcPr>
          <w:p w14:paraId="42BFD53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旁流过滤器</w:t>
            </w:r>
          </w:p>
        </w:tc>
        <w:tc>
          <w:tcPr>
            <w:tcW w:w="642" w:type="dxa"/>
            <w:noWrap/>
            <w:vAlign w:val="center"/>
          </w:tcPr>
          <w:p w14:paraId="5462E5E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7119FF9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66</w:t>
            </w:r>
          </w:p>
        </w:tc>
        <w:tc>
          <w:tcPr>
            <w:tcW w:w="3459" w:type="dxa"/>
            <w:noWrap/>
            <w:vAlign w:val="center"/>
          </w:tcPr>
          <w:p w14:paraId="0D6E502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过滤范围1--5us</w:t>
            </w:r>
          </w:p>
        </w:tc>
        <w:tc>
          <w:tcPr>
            <w:tcW w:w="2693" w:type="dxa"/>
            <w:vAlign w:val="center"/>
          </w:tcPr>
          <w:p w14:paraId="5C064A1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直线、增强器、储存环、</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长光束线站泵房</w:t>
            </w:r>
          </w:p>
        </w:tc>
      </w:tr>
      <w:tr w14:paraId="7571D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639283E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83</w:t>
            </w:r>
          </w:p>
        </w:tc>
        <w:tc>
          <w:tcPr>
            <w:tcW w:w="1245" w:type="dxa"/>
            <w:noWrap/>
            <w:vAlign w:val="center"/>
          </w:tcPr>
          <w:p w14:paraId="06DA85F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树脂罐</w:t>
            </w:r>
          </w:p>
        </w:tc>
        <w:tc>
          <w:tcPr>
            <w:tcW w:w="642" w:type="dxa"/>
            <w:noWrap/>
            <w:vAlign w:val="center"/>
          </w:tcPr>
          <w:p w14:paraId="0851264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C3710D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3459" w:type="dxa"/>
            <w:noWrap/>
            <w:vAlign w:val="center"/>
          </w:tcPr>
          <w:p w14:paraId="578E032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产水电导率0.1--1us</w:t>
            </w:r>
          </w:p>
        </w:tc>
        <w:tc>
          <w:tcPr>
            <w:tcW w:w="2693" w:type="dxa"/>
            <w:vAlign w:val="center"/>
          </w:tcPr>
          <w:p w14:paraId="7E1B394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直线、增强器、储存环、</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长光束线站泵房</w:t>
            </w:r>
          </w:p>
        </w:tc>
      </w:tr>
      <w:tr w14:paraId="7D7AD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641" w:type="dxa"/>
            <w:noWrap/>
            <w:vAlign w:val="center"/>
          </w:tcPr>
          <w:p w14:paraId="2BFC7F2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84</w:t>
            </w:r>
          </w:p>
        </w:tc>
        <w:tc>
          <w:tcPr>
            <w:tcW w:w="1245" w:type="dxa"/>
            <w:vAlign w:val="center"/>
          </w:tcPr>
          <w:p w14:paraId="10A6D3D0">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动力柜、配电柜、启动柜、启动按钮箱</w:t>
            </w:r>
          </w:p>
        </w:tc>
        <w:tc>
          <w:tcPr>
            <w:tcW w:w="642" w:type="dxa"/>
            <w:noWrap/>
            <w:vAlign w:val="center"/>
          </w:tcPr>
          <w:p w14:paraId="6B18817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台</w:t>
            </w:r>
          </w:p>
        </w:tc>
        <w:tc>
          <w:tcPr>
            <w:tcW w:w="642" w:type="dxa"/>
            <w:noWrap/>
            <w:vAlign w:val="center"/>
          </w:tcPr>
          <w:p w14:paraId="262BA73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590</w:t>
            </w:r>
          </w:p>
        </w:tc>
        <w:tc>
          <w:tcPr>
            <w:tcW w:w="3459" w:type="dxa"/>
            <w:noWrap/>
            <w:vAlign w:val="center"/>
          </w:tcPr>
          <w:p w14:paraId="73B9F178">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详情见柜体内接线图</w:t>
            </w:r>
          </w:p>
        </w:tc>
        <w:tc>
          <w:tcPr>
            <w:tcW w:w="2693" w:type="dxa"/>
            <w:vAlign w:val="center"/>
          </w:tcPr>
          <w:p w14:paraId="3F716D4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冷冻站、直线、增强器、</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储存环、长光束线站</w:t>
            </w:r>
          </w:p>
        </w:tc>
      </w:tr>
      <w:tr w14:paraId="0D09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6D39C32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85</w:t>
            </w:r>
          </w:p>
        </w:tc>
        <w:tc>
          <w:tcPr>
            <w:tcW w:w="1245" w:type="dxa"/>
            <w:vAlign w:val="center"/>
          </w:tcPr>
          <w:p w14:paraId="5C014D5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母线槽</w:t>
            </w:r>
          </w:p>
        </w:tc>
        <w:tc>
          <w:tcPr>
            <w:tcW w:w="642" w:type="dxa"/>
            <w:noWrap/>
            <w:vAlign w:val="center"/>
          </w:tcPr>
          <w:p w14:paraId="390010A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642" w:type="dxa"/>
            <w:noWrap/>
            <w:vAlign w:val="center"/>
          </w:tcPr>
          <w:p w14:paraId="528B32D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11</w:t>
            </w:r>
          </w:p>
        </w:tc>
        <w:tc>
          <w:tcPr>
            <w:tcW w:w="3459" w:type="dxa"/>
            <w:noWrap/>
            <w:vAlign w:val="center"/>
          </w:tcPr>
          <w:p w14:paraId="412AB5C7">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1KV   1250A</w:t>
            </w:r>
          </w:p>
        </w:tc>
        <w:tc>
          <w:tcPr>
            <w:tcW w:w="2693" w:type="dxa"/>
            <w:vAlign w:val="center"/>
          </w:tcPr>
          <w:p w14:paraId="1E8C724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冷冻站、直线、增强器、</w:t>
            </w:r>
            <w:r>
              <w:rPr>
                <w:rFonts w:hint="eastAsia" w:ascii="宋体" w:hAnsi="宋体" w:cs="宋体"/>
                <w:color w:val="auto"/>
                <w:kern w:val="0"/>
                <w:sz w:val="20"/>
                <w:szCs w:val="20"/>
                <w:highlight w:val="none"/>
              </w:rPr>
              <w:br w:type="textWrapping"/>
            </w:r>
            <w:r>
              <w:rPr>
                <w:rFonts w:hint="eastAsia" w:ascii="宋体" w:hAnsi="宋体" w:cs="宋体"/>
                <w:color w:val="auto"/>
                <w:kern w:val="0"/>
                <w:sz w:val="20"/>
                <w:szCs w:val="20"/>
                <w:highlight w:val="none"/>
              </w:rPr>
              <w:t>储存环、长光束线站</w:t>
            </w:r>
          </w:p>
        </w:tc>
      </w:tr>
      <w:tr w14:paraId="404C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4E00E10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w:t>
            </w:r>
            <w:r>
              <w:rPr>
                <w:rFonts w:ascii="宋体" w:hAnsi="宋体" w:cs="宋体"/>
                <w:color w:val="auto"/>
                <w:kern w:val="0"/>
                <w:sz w:val="20"/>
                <w:szCs w:val="20"/>
                <w:highlight w:val="none"/>
              </w:rPr>
              <w:t>6</w:t>
            </w:r>
          </w:p>
        </w:tc>
        <w:tc>
          <w:tcPr>
            <w:tcW w:w="1245" w:type="dxa"/>
            <w:vAlign w:val="center"/>
          </w:tcPr>
          <w:p w14:paraId="12C58B42">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纯水制备(含软化水</w:t>
            </w:r>
            <w:r>
              <w:rPr>
                <w:rFonts w:ascii="宋体" w:hAnsi="宋体" w:cs="宋体"/>
                <w:color w:val="auto"/>
                <w:kern w:val="0"/>
                <w:sz w:val="20"/>
                <w:szCs w:val="20"/>
                <w:highlight w:val="none"/>
              </w:rPr>
              <w:t>）</w:t>
            </w:r>
          </w:p>
        </w:tc>
        <w:tc>
          <w:tcPr>
            <w:tcW w:w="642" w:type="dxa"/>
            <w:noWrap/>
            <w:vAlign w:val="center"/>
          </w:tcPr>
          <w:p w14:paraId="3F7C21E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182DFE0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459" w:type="dxa"/>
            <w:noWrap/>
            <w:vAlign w:val="center"/>
          </w:tcPr>
          <w:p w14:paraId="37771B39">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产水量5</w:t>
            </w:r>
            <w:r>
              <w:rPr>
                <w:rFonts w:ascii="宋体" w:hAnsi="宋体" w:cs="宋体"/>
                <w:color w:val="auto"/>
                <w:kern w:val="0"/>
                <w:sz w:val="20"/>
                <w:szCs w:val="20"/>
                <w:highlight w:val="none"/>
              </w:rPr>
              <w:t>m3/h  产水电阻</w:t>
            </w:r>
            <w:r>
              <w:rPr>
                <w:rFonts w:hint="eastAsia" w:ascii="宋体" w:hAnsi="宋体" w:cs="宋体"/>
                <w:color w:val="auto"/>
                <w:kern w:val="0"/>
                <w:sz w:val="20"/>
                <w:szCs w:val="20"/>
                <w:highlight w:val="none"/>
              </w:rPr>
              <w:t>1</w:t>
            </w:r>
            <w:r>
              <w:rPr>
                <w:rFonts w:ascii="宋体" w:hAnsi="宋体" w:cs="宋体"/>
                <w:color w:val="auto"/>
                <w:kern w:val="0"/>
                <w:sz w:val="20"/>
                <w:szCs w:val="20"/>
                <w:highlight w:val="none"/>
              </w:rPr>
              <w:t>8M</w:t>
            </w:r>
            <w:r>
              <w:rPr>
                <w:rFonts w:hint="eastAsia" w:ascii="宋体" w:hAnsi="宋体" w:cs="宋体"/>
                <w:color w:val="auto"/>
                <w:kern w:val="0"/>
                <w:sz w:val="20"/>
                <w:szCs w:val="20"/>
                <w:highlight w:val="none"/>
              </w:rPr>
              <w:t>Ω；软化水产水量4</w:t>
            </w:r>
            <w:r>
              <w:rPr>
                <w:rFonts w:ascii="宋体" w:hAnsi="宋体" w:cs="宋体"/>
                <w:color w:val="auto"/>
                <w:kern w:val="0"/>
                <w:sz w:val="20"/>
                <w:szCs w:val="20"/>
                <w:highlight w:val="none"/>
              </w:rPr>
              <w:t>0m3/h</w:t>
            </w:r>
          </w:p>
        </w:tc>
        <w:tc>
          <w:tcPr>
            <w:tcW w:w="2693" w:type="dxa"/>
            <w:vAlign w:val="center"/>
          </w:tcPr>
          <w:p w14:paraId="6F5C3AE3">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冷冻站纯水机房</w:t>
            </w:r>
          </w:p>
        </w:tc>
      </w:tr>
      <w:tr w14:paraId="75C4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3FAFEB15">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w:t>
            </w:r>
            <w:r>
              <w:rPr>
                <w:rFonts w:ascii="宋体" w:hAnsi="宋体" w:cs="宋体"/>
                <w:color w:val="auto"/>
                <w:kern w:val="0"/>
                <w:sz w:val="20"/>
                <w:szCs w:val="20"/>
                <w:highlight w:val="none"/>
              </w:rPr>
              <w:t>8</w:t>
            </w:r>
          </w:p>
        </w:tc>
        <w:tc>
          <w:tcPr>
            <w:tcW w:w="1245" w:type="dxa"/>
            <w:vAlign w:val="center"/>
          </w:tcPr>
          <w:p w14:paraId="5ADA5134">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室外暖沟内管道</w:t>
            </w:r>
          </w:p>
        </w:tc>
        <w:tc>
          <w:tcPr>
            <w:tcW w:w="642" w:type="dxa"/>
            <w:noWrap/>
            <w:vAlign w:val="center"/>
          </w:tcPr>
          <w:p w14:paraId="046A2A2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组</w:t>
            </w:r>
          </w:p>
        </w:tc>
        <w:tc>
          <w:tcPr>
            <w:tcW w:w="642" w:type="dxa"/>
            <w:noWrap/>
            <w:vAlign w:val="center"/>
          </w:tcPr>
          <w:p w14:paraId="77E01A7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459" w:type="dxa"/>
            <w:noWrap/>
            <w:vAlign w:val="center"/>
          </w:tcPr>
          <w:p w14:paraId="6B63600D">
            <w:pPr>
              <w:widowControl/>
              <w:jc w:val="left"/>
              <w:rPr>
                <w:rFonts w:ascii="宋体" w:hAnsi="宋体" w:cs="宋体"/>
                <w:color w:val="auto"/>
                <w:kern w:val="0"/>
                <w:sz w:val="20"/>
                <w:szCs w:val="20"/>
                <w:highlight w:val="none"/>
              </w:rPr>
            </w:pPr>
            <w:r>
              <w:rPr>
                <w:rFonts w:ascii="宋体" w:hAnsi="宋体" w:cs="宋体"/>
                <w:color w:val="auto"/>
                <w:kern w:val="0"/>
                <w:sz w:val="20"/>
                <w:szCs w:val="20"/>
                <w:highlight w:val="none"/>
              </w:rPr>
              <w:t>工艺冷冻水、空调冷冻水、热水、纯水供回管道、</w:t>
            </w:r>
            <w:r>
              <w:rPr>
                <w:rFonts w:hint="eastAsia" w:ascii="宋体" w:hAnsi="宋体" w:cs="宋体"/>
                <w:color w:val="auto"/>
                <w:kern w:val="0"/>
                <w:sz w:val="20"/>
                <w:szCs w:val="20"/>
                <w:highlight w:val="none"/>
              </w:rPr>
              <w:t>压缩空气管道</w:t>
            </w:r>
          </w:p>
        </w:tc>
        <w:tc>
          <w:tcPr>
            <w:tcW w:w="2693" w:type="dxa"/>
            <w:vAlign w:val="center"/>
          </w:tcPr>
          <w:p w14:paraId="5E68CE6E">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冷冻站至直线、增强器、储存环、B</w:t>
            </w:r>
            <w:r>
              <w:rPr>
                <w:rFonts w:ascii="宋体" w:hAnsi="宋体" w:cs="宋体"/>
                <w:color w:val="auto"/>
                <w:kern w:val="0"/>
                <w:sz w:val="20"/>
                <w:szCs w:val="20"/>
                <w:highlight w:val="none"/>
              </w:rPr>
              <w:t>2 B3 B7长光束线站</w:t>
            </w:r>
          </w:p>
        </w:tc>
      </w:tr>
      <w:tr w14:paraId="5ED0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01303064">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8</w:t>
            </w:r>
            <w:r>
              <w:rPr>
                <w:rFonts w:ascii="宋体" w:hAnsi="宋体" w:cs="宋体"/>
                <w:color w:val="auto"/>
                <w:kern w:val="0"/>
                <w:sz w:val="20"/>
                <w:szCs w:val="20"/>
                <w:highlight w:val="none"/>
              </w:rPr>
              <w:t>9</w:t>
            </w:r>
          </w:p>
        </w:tc>
        <w:tc>
          <w:tcPr>
            <w:tcW w:w="1245" w:type="dxa"/>
            <w:vAlign w:val="center"/>
          </w:tcPr>
          <w:p w14:paraId="30BD201B">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漏水报警</w:t>
            </w:r>
          </w:p>
        </w:tc>
        <w:tc>
          <w:tcPr>
            <w:tcW w:w="642" w:type="dxa"/>
            <w:noWrap/>
            <w:vAlign w:val="center"/>
          </w:tcPr>
          <w:p w14:paraId="628572F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套</w:t>
            </w:r>
          </w:p>
        </w:tc>
        <w:tc>
          <w:tcPr>
            <w:tcW w:w="642" w:type="dxa"/>
            <w:noWrap/>
            <w:vAlign w:val="center"/>
          </w:tcPr>
          <w:p w14:paraId="34994EAE">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noWrap/>
            <w:vAlign w:val="center"/>
          </w:tcPr>
          <w:p w14:paraId="786C479E">
            <w:pPr>
              <w:widowControl/>
              <w:jc w:val="left"/>
              <w:rPr>
                <w:rFonts w:ascii="宋体" w:hAnsi="宋体" w:cs="宋体"/>
                <w:color w:val="auto"/>
                <w:kern w:val="0"/>
                <w:sz w:val="20"/>
                <w:szCs w:val="20"/>
                <w:highlight w:val="none"/>
              </w:rPr>
            </w:pPr>
          </w:p>
        </w:tc>
        <w:tc>
          <w:tcPr>
            <w:tcW w:w="2693" w:type="dxa"/>
            <w:vAlign w:val="center"/>
          </w:tcPr>
          <w:p w14:paraId="6D047381">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直线隧道和长廊、增强器隧道、储存环隧道顶和隧道内</w:t>
            </w:r>
          </w:p>
        </w:tc>
      </w:tr>
      <w:tr w14:paraId="0E6F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641" w:type="dxa"/>
            <w:noWrap/>
            <w:vAlign w:val="center"/>
          </w:tcPr>
          <w:p w14:paraId="6D95AF2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9</w:t>
            </w:r>
            <w:r>
              <w:rPr>
                <w:rFonts w:ascii="宋体" w:hAnsi="宋体" w:cs="宋体"/>
                <w:color w:val="auto"/>
                <w:kern w:val="0"/>
                <w:sz w:val="20"/>
                <w:szCs w:val="20"/>
                <w:highlight w:val="none"/>
              </w:rPr>
              <w:t>0</w:t>
            </w:r>
          </w:p>
        </w:tc>
        <w:tc>
          <w:tcPr>
            <w:tcW w:w="1245" w:type="dxa"/>
            <w:vAlign w:val="center"/>
          </w:tcPr>
          <w:p w14:paraId="226DE295">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缆温报警</w:t>
            </w:r>
          </w:p>
        </w:tc>
        <w:tc>
          <w:tcPr>
            <w:tcW w:w="642" w:type="dxa"/>
            <w:noWrap/>
            <w:vAlign w:val="center"/>
          </w:tcPr>
          <w:p w14:paraId="6C9A3F93">
            <w:pPr>
              <w:widowControl/>
              <w:jc w:val="center"/>
              <w:rPr>
                <w:rFonts w:ascii="宋体" w:hAnsi="宋体" w:cs="宋体"/>
                <w:color w:val="auto"/>
                <w:kern w:val="0"/>
                <w:sz w:val="20"/>
                <w:szCs w:val="20"/>
                <w:highlight w:val="none"/>
              </w:rPr>
            </w:pPr>
            <w:r>
              <w:rPr>
                <w:rFonts w:ascii="宋体" w:hAnsi="宋体" w:cs="宋体"/>
                <w:color w:val="auto"/>
                <w:kern w:val="0"/>
                <w:sz w:val="20"/>
                <w:szCs w:val="20"/>
                <w:highlight w:val="none"/>
              </w:rPr>
              <w:t>套</w:t>
            </w:r>
          </w:p>
        </w:tc>
        <w:tc>
          <w:tcPr>
            <w:tcW w:w="642" w:type="dxa"/>
            <w:noWrap/>
            <w:vAlign w:val="center"/>
          </w:tcPr>
          <w:p w14:paraId="7485D53F">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459" w:type="dxa"/>
            <w:noWrap/>
            <w:vAlign w:val="center"/>
          </w:tcPr>
          <w:p w14:paraId="4D52D2FD">
            <w:pPr>
              <w:widowControl/>
              <w:jc w:val="left"/>
              <w:rPr>
                <w:rFonts w:ascii="宋体" w:hAnsi="宋体" w:cs="宋体"/>
                <w:color w:val="auto"/>
                <w:kern w:val="0"/>
                <w:sz w:val="20"/>
                <w:szCs w:val="20"/>
                <w:highlight w:val="none"/>
              </w:rPr>
            </w:pPr>
          </w:p>
        </w:tc>
        <w:tc>
          <w:tcPr>
            <w:tcW w:w="2693" w:type="dxa"/>
            <w:vAlign w:val="center"/>
          </w:tcPr>
          <w:p w14:paraId="7D750C8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直线、增强器、储存环敷设动力电缆区域</w:t>
            </w:r>
          </w:p>
        </w:tc>
      </w:tr>
    </w:tbl>
    <w:p w14:paraId="5FBC7A85">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服务范围</w:t>
      </w:r>
    </w:p>
    <w:p w14:paraId="5CB53CD9">
      <w:pPr>
        <w:spacing w:line="360" w:lineRule="auto"/>
        <w:ind w:firstLine="480" w:firstLineChars="200"/>
        <w:jc w:val="left"/>
        <w:rPr>
          <w:rFonts w:cs="仿宋"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在合同履行期内，依照合同及本技术文件约定的各项技术要求，投标人向招标人提供：工艺及空调冷冻水系统、压缩空气制备系统、纯水制备系统、热水系统（含锅炉）、34套循环冷却水系统、2套冷却风系统、57套空调机组系统和立式空调（不含外环办公室末端风盘，含直线隧道洁净间,B2、B3、B7棚屋恒温间）、3套氦气压缩机、2套氮气压缩机、1套油气分离设备、1台氦冷箱、2台7000L低温杜瓦、7套低温传输分配阀葙、7套超导腔模组、34台氮低温设备、11套大型低温用储罐、动力配电及控制系统（不含11座10KV配电室，分界点为开关站低压出线电缆出站墙面）、缆温报警系统、漏水监测报警系统、母线槽、室外暖沟管网系统、室内氮气系统等上述所有系统的设备运行、维护保养及检修服务。</w:t>
      </w:r>
      <w:r>
        <w:rPr>
          <w:rFonts w:hint="eastAsia" w:cs="仿宋" w:asciiTheme="minorEastAsia" w:hAnsiTheme="minorEastAsia" w:eastAsiaTheme="minorEastAsia"/>
          <w:color w:val="auto"/>
          <w:sz w:val="24"/>
          <w:highlight w:val="none"/>
        </w:rPr>
        <w:t>运行维护期限：合同签订后1</w:t>
      </w:r>
      <w:r>
        <w:rPr>
          <w:rFonts w:cs="仿宋" w:asciiTheme="minorEastAsia" w:hAnsiTheme="minorEastAsia" w:eastAsiaTheme="minorEastAsia"/>
          <w:color w:val="auto"/>
          <w:sz w:val="24"/>
          <w:highlight w:val="none"/>
        </w:rPr>
        <w:t>8</w:t>
      </w:r>
      <w:r>
        <w:rPr>
          <w:rFonts w:hint="eastAsia" w:cs="仿宋" w:asciiTheme="minorEastAsia" w:hAnsiTheme="minorEastAsia" w:eastAsiaTheme="minorEastAsia"/>
          <w:color w:val="auto"/>
          <w:sz w:val="24"/>
          <w:highlight w:val="none"/>
        </w:rPr>
        <w:t>个月。投标人需确保对招标人指定的各设备、管线、阀门、仪表的维护、保养和检修及时、可靠，确保通用设施的安全、正常、节能、高效运行。投标人负责冷冻站、直线、增强器和储存环（不含外环办公室和实验室）区域内的所有通用设施和低温系统管线、阀门、电缆、照明、空调、安全责任（指运维所属人员出入、安全）、恶劣天气及其它紧急情况的应急响应（消防等设施的维护由招标人物业单位负责，不在此招标范围内）、压力容器和压力管道的定期报检、配套检测仪表和安全阀门的定期校验。春节期间增强器及储存环高频厅、储存环隧道顶各类机柜巡检。</w:t>
      </w:r>
    </w:p>
    <w:p w14:paraId="2FEC2654">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运行维护</w:t>
      </w:r>
      <w:r>
        <w:rPr>
          <w:rFonts w:asciiTheme="minorEastAsia" w:hAnsiTheme="minorEastAsia" w:eastAsiaTheme="minorEastAsia"/>
          <w:bCs/>
          <w:color w:val="auto"/>
          <w:sz w:val="24"/>
          <w:highlight w:val="none"/>
        </w:rPr>
        <w:t>总体要求</w:t>
      </w:r>
    </w:p>
    <w:p w14:paraId="118721A9">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严格按照操作规程对招标人所有的系统及设备进行定期巡检工作。包括设备运行状态、参数设置、现场环境等检查。及时发现并处理设备及管线、阀门仪表的安全隐患。</w:t>
      </w:r>
    </w:p>
    <w:p w14:paraId="08230C44">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依照设备保养要求，严格按时间进行设备检查和预防性保养。对于现场出现的各类故障，及时进行维修或备品备件更换。及时</w:t>
      </w:r>
      <w:r>
        <w:rPr>
          <w:rFonts w:asciiTheme="minorEastAsia" w:hAnsiTheme="minorEastAsia" w:eastAsiaTheme="minorEastAsia"/>
          <w:bCs/>
          <w:color w:val="auto"/>
          <w:sz w:val="24"/>
          <w:highlight w:val="none"/>
        </w:rPr>
        <w:t>维护设备、管线的清洁。</w:t>
      </w:r>
    </w:p>
    <w:p w14:paraId="439A4533">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投标人负责保管、维护冷冻站、环外低温厅、环内低温制冷机房、低温罐区、室外暖沟、直线、增强器、储存环和长光束线站建筑内的通用设施资产、备品备件的清册和实物台帐，维护各类标识。资产实物变更情况及时做好变更记录。每年根据甲方要求进行一次全面的清查盘点工作。确保清册、台帐、标签、实物统一。</w:t>
      </w:r>
    </w:p>
    <w:p w14:paraId="105D8DB9">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运维值班人员服务：动力中心每班2人，班长1人；装置区每班3人，班长1人；低温系统每班1人。检修及技术支持人员（需配备必要的叉车、天车等操作资质相关人员）：</w:t>
      </w:r>
      <w:r>
        <w:rPr>
          <w:rFonts w:asciiTheme="minorEastAsia" w:hAnsiTheme="minorEastAsia" w:eastAsiaTheme="minorEastAsia"/>
          <w:bCs/>
          <w:color w:val="auto"/>
          <w:sz w:val="24"/>
          <w:highlight w:val="none"/>
        </w:rPr>
        <w:t>9</w:t>
      </w:r>
      <w:r>
        <w:rPr>
          <w:rFonts w:hint="eastAsia" w:asciiTheme="minorEastAsia" w:hAnsiTheme="minorEastAsia" w:eastAsiaTheme="minorEastAsia"/>
          <w:bCs/>
          <w:color w:val="auto"/>
          <w:sz w:val="24"/>
          <w:highlight w:val="none"/>
        </w:rPr>
        <w:t>人。</w:t>
      </w:r>
    </w:p>
    <w:p w14:paraId="70129DAA">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从事锅炉、压力容器、压力管道、天车、高低压电气操作运行与</w:t>
      </w:r>
      <w:r>
        <w:rPr>
          <w:rFonts w:asciiTheme="minorEastAsia" w:hAnsiTheme="minorEastAsia" w:eastAsiaTheme="minorEastAsia"/>
          <w:bCs/>
          <w:color w:val="auto"/>
          <w:sz w:val="24"/>
          <w:highlight w:val="none"/>
        </w:rPr>
        <w:t>维修</w:t>
      </w:r>
      <w:r>
        <w:rPr>
          <w:rFonts w:hint="eastAsia" w:asciiTheme="minorEastAsia" w:hAnsiTheme="minorEastAsia" w:eastAsiaTheme="minorEastAsia"/>
          <w:bCs/>
          <w:color w:val="auto"/>
          <w:sz w:val="24"/>
          <w:highlight w:val="none"/>
        </w:rPr>
        <w:t>的工作人员，必须持证上岗，并确保合同期内资质证明始终处于有效状态。</w:t>
      </w:r>
    </w:p>
    <w:p w14:paraId="15376A16">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合同期内负责冷冻站、环外低温厅、环内低温制冷机房、低温罐区、直线、增强器、储存环和长光束线站通用设施机房内的安全管理和人员出入管理工作。除招标人和投标人直属有工作关系员工外，其余任何人员未经招标人同意，不得擅自进入。</w:t>
      </w:r>
    </w:p>
    <w:p w14:paraId="09ED940E">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合同履行期内，</w:t>
      </w:r>
      <w:r>
        <w:rPr>
          <w:rFonts w:asciiTheme="minorEastAsia" w:hAnsiTheme="minorEastAsia" w:eastAsiaTheme="minorEastAsia"/>
          <w:bCs/>
          <w:color w:val="auto"/>
          <w:sz w:val="24"/>
          <w:highlight w:val="none"/>
        </w:rPr>
        <w:t>任何</w:t>
      </w:r>
      <w:r>
        <w:rPr>
          <w:rFonts w:hint="eastAsia" w:asciiTheme="minorEastAsia" w:hAnsiTheme="minorEastAsia" w:eastAsiaTheme="minorEastAsia"/>
          <w:bCs/>
          <w:color w:val="auto"/>
          <w:sz w:val="24"/>
          <w:highlight w:val="none"/>
        </w:rPr>
        <w:t>运行巡检、</w:t>
      </w:r>
      <w:r>
        <w:rPr>
          <w:rFonts w:asciiTheme="minorEastAsia" w:hAnsiTheme="minorEastAsia" w:eastAsiaTheme="minorEastAsia"/>
          <w:bCs/>
          <w:color w:val="auto"/>
          <w:sz w:val="24"/>
          <w:highlight w:val="none"/>
        </w:rPr>
        <w:t>故障、维护保养都必须</w:t>
      </w:r>
      <w:r>
        <w:rPr>
          <w:rFonts w:hint="eastAsia" w:asciiTheme="minorEastAsia" w:hAnsiTheme="minorEastAsia" w:eastAsiaTheme="minorEastAsia"/>
          <w:bCs/>
          <w:color w:val="auto"/>
          <w:sz w:val="24"/>
          <w:highlight w:val="none"/>
        </w:rPr>
        <w:t>有</w:t>
      </w:r>
      <w:r>
        <w:rPr>
          <w:rFonts w:asciiTheme="minorEastAsia" w:hAnsiTheme="minorEastAsia" w:eastAsiaTheme="minorEastAsia"/>
          <w:bCs/>
          <w:color w:val="auto"/>
          <w:sz w:val="24"/>
          <w:highlight w:val="none"/>
        </w:rPr>
        <w:t>详实的记录内容</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包括纸质版与电子版。</w:t>
      </w:r>
    </w:p>
    <w:p w14:paraId="7A558A31">
      <w:pPr>
        <w:numPr>
          <w:ilvl w:val="1"/>
          <w:numId w:val="11"/>
        </w:numPr>
        <w:adjustRightInd w:val="0"/>
        <w:snapToGrid w:val="0"/>
        <w:spacing w:line="360" w:lineRule="auto"/>
        <w:ind w:left="0" w:firstLine="424" w:firstLineChars="177"/>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具备</w:t>
      </w:r>
      <w:r>
        <w:rPr>
          <w:rFonts w:asciiTheme="minorEastAsia" w:hAnsiTheme="minorEastAsia" w:eastAsiaTheme="minorEastAsia"/>
          <w:bCs/>
          <w:color w:val="auto"/>
          <w:sz w:val="24"/>
          <w:highlight w:val="none"/>
        </w:rPr>
        <w:t>恶劣天气</w:t>
      </w:r>
      <w:r>
        <w:rPr>
          <w:rFonts w:hint="eastAsia" w:asciiTheme="minorEastAsia" w:hAnsiTheme="minorEastAsia" w:eastAsiaTheme="minorEastAsia"/>
          <w:bCs/>
          <w:color w:val="auto"/>
          <w:sz w:val="24"/>
          <w:highlight w:val="none"/>
        </w:rPr>
        <w:t>和</w:t>
      </w:r>
      <w:r>
        <w:rPr>
          <w:rFonts w:asciiTheme="minorEastAsia" w:hAnsiTheme="minorEastAsia" w:eastAsiaTheme="minorEastAsia"/>
          <w:bCs/>
          <w:color w:val="auto"/>
          <w:sz w:val="24"/>
          <w:highlight w:val="none"/>
        </w:rPr>
        <w:t>突发事件</w:t>
      </w:r>
      <w:r>
        <w:rPr>
          <w:rFonts w:hint="eastAsia" w:asciiTheme="minorEastAsia" w:hAnsiTheme="minorEastAsia" w:eastAsiaTheme="minorEastAsia"/>
          <w:bCs/>
          <w:color w:val="auto"/>
          <w:sz w:val="24"/>
          <w:highlight w:val="none"/>
        </w:rPr>
        <w:t>等</w:t>
      </w:r>
      <w:r>
        <w:rPr>
          <w:rFonts w:asciiTheme="minorEastAsia" w:hAnsiTheme="minorEastAsia" w:eastAsiaTheme="minorEastAsia"/>
          <w:bCs/>
          <w:color w:val="auto"/>
          <w:sz w:val="24"/>
          <w:highlight w:val="none"/>
        </w:rPr>
        <w:t>应急</w:t>
      </w:r>
      <w:r>
        <w:rPr>
          <w:rFonts w:hint="eastAsia" w:asciiTheme="minorEastAsia" w:hAnsiTheme="minorEastAsia" w:eastAsiaTheme="minorEastAsia"/>
          <w:bCs/>
          <w:color w:val="auto"/>
          <w:sz w:val="24"/>
          <w:highlight w:val="none"/>
        </w:rPr>
        <w:t>响应预案和</w:t>
      </w:r>
      <w:r>
        <w:rPr>
          <w:rFonts w:asciiTheme="minorEastAsia" w:hAnsiTheme="minorEastAsia" w:eastAsiaTheme="minorEastAsia"/>
          <w:bCs/>
          <w:color w:val="auto"/>
          <w:sz w:val="24"/>
          <w:highlight w:val="none"/>
        </w:rPr>
        <w:t>配套</w:t>
      </w:r>
      <w:r>
        <w:rPr>
          <w:rFonts w:hint="eastAsia" w:asciiTheme="minorEastAsia" w:hAnsiTheme="minorEastAsia" w:eastAsiaTheme="minorEastAsia"/>
          <w:bCs/>
          <w:color w:val="auto"/>
          <w:sz w:val="24"/>
          <w:highlight w:val="none"/>
        </w:rPr>
        <w:t>工机具。</w:t>
      </w:r>
    </w:p>
    <w:p w14:paraId="3EA360FA">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运行管理技术要求</w:t>
      </w:r>
    </w:p>
    <w:p w14:paraId="1CCC354F">
      <w:pPr>
        <w:numPr>
          <w:ilvl w:val="1"/>
          <w:numId w:val="11"/>
        </w:numPr>
        <w:tabs>
          <w:tab w:val="clear" w:pos="705"/>
        </w:tabs>
        <w:adjustRightInd w:val="0"/>
        <w:snapToGrid w:val="0"/>
        <w:spacing w:line="360" w:lineRule="auto"/>
        <w:ind w:left="0" w:firstLine="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系统运行及指标调整</w:t>
      </w:r>
    </w:p>
    <w:p w14:paraId="6125CD0C">
      <w:pPr>
        <w:numPr>
          <w:ilvl w:val="2"/>
          <w:numId w:val="11"/>
        </w:numPr>
        <w:tabs>
          <w:tab w:val="left" w:pos="709"/>
          <w:tab w:val="left" w:pos="1134"/>
          <w:tab w:val="clear" w:pos="704"/>
        </w:tabs>
        <w:adjustRightInd w:val="0"/>
        <w:snapToGrid w:val="0"/>
        <w:spacing w:line="360" w:lineRule="auto"/>
        <w:ind w:left="0" w:firstLine="708" w:firstLineChars="29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根据</w:t>
      </w:r>
      <w:r>
        <w:rPr>
          <w:rFonts w:hint="eastAsia" w:asciiTheme="minorEastAsia" w:hAnsiTheme="minorEastAsia" w:eastAsiaTheme="minorEastAsia"/>
          <w:color w:val="auto"/>
          <w:sz w:val="24"/>
          <w:highlight w:val="none"/>
        </w:rPr>
        <w:t>工艺各系统提交的</w:t>
      </w:r>
      <w:r>
        <w:rPr>
          <w:rFonts w:asciiTheme="minorEastAsia" w:hAnsiTheme="minorEastAsia" w:eastAsiaTheme="minorEastAsia"/>
          <w:color w:val="auto"/>
          <w:sz w:val="24"/>
          <w:highlight w:val="none"/>
        </w:rPr>
        <w:t>用水</w:t>
      </w:r>
      <w:r>
        <w:rPr>
          <w:rFonts w:hint="eastAsia" w:asciiTheme="minorEastAsia" w:hAnsiTheme="minorEastAsia" w:eastAsiaTheme="minorEastAsia"/>
          <w:color w:val="auto"/>
          <w:sz w:val="24"/>
          <w:highlight w:val="none"/>
        </w:rPr>
        <w:t>、用电、</w:t>
      </w:r>
      <w:r>
        <w:rPr>
          <w:rFonts w:asciiTheme="minorEastAsia" w:hAnsiTheme="minorEastAsia" w:eastAsiaTheme="minorEastAsia"/>
          <w:color w:val="auto"/>
          <w:sz w:val="24"/>
          <w:highlight w:val="none"/>
        </w:rPr>
        <w:t>用气</w:t>
      </w:r>
      <w:r>
        <w:rPr>
          <w:rFonts w:hint="eastAsia" w:asciiTheme="minorEastAsia" w:hAnsiTheme="minorEastAsia" w:eastAsiaTheme="minorEastAsia"/>
          <w:color w:val="auto"/>
          <w:sz w:val="24"/>
          <w:highlight w:val="none"/>
        </w:rPr>
        <w:t>需求申请，启、停相对应的</w:t>
      </w:r>
      <w:r>
        <w:rPr>
          <w:rFonts w:asciiTheme="minorEastAsia" w:hAnsiTheme="minorEastAsia" w:eastAsiaTheme="minorEastAsia"/>
          <w:color w:val="auto"/>
          <w:sz w:val="24"/>
          <w:highlight w:val="none"/>
        </w:rPr>
        <w:t>通用设施</w:t>
      </w:r>
      <w:r>
        <w:rPr>
          <w:rFonts w:hint="eastAsia" w:asciiTheme="minorEastAsia" w:hAnsiTheme="minorEastAsia" w:eastAsiaTheme="minorEastAsia"/>
          <w:color w:val="auto"/>
          <w:sz w:val="24"/>
          <w:highlight w:val="none"/>
        </w:rPr>
        <w:t>，如涉及HEPS变配电室</w:t>
      </w:r>
      <w:r>
        <w:rPr>
          <w:rFonts w:asciiTheme="minorEastAsia" w:hAnsiTheme="minorEastAsia" w:eastAsiaTheme="minorEastAsia"/>
          <w:color w:val="auto"/>
          <w:sz w:val="24"/>
          <w:highlight w:val="none"/>
        </w:rPr>
        <w:t>相关</w:t>
      </w:r>
      <w:r>
        <w:rPr>
          <w:rFonts w:hint="eastAsia" w:asciiTheme="minorEastAsia" w:hAnsiTheme="minorEastAsia" w:eastAsiaTheme="minorEastAsia"/>
          <w:color w:val="auto"/>
          <w:sz w:val="24"/>
          <w:highlight w:val="none"/>
        </w:rPr>
        <w:t>馈电回路的</w:t>
      </w:r>
      <w:r>
        <w:rPr>
          <w:rFonts w:asciiTheme="minorEastAsia" w:hAnsiTheme="minorEastAsia" w:eastAsiaTheme="minorEastAsia"/>
          <w:color w:val="auto"/>
          <w:sz w:val="24"/>
          <w:highlight w:val="none"/>
        </w:rPr>
        <w:t>操作，应</w:t>
      </w:r>
      <w:r>
        <w:rPr>
          <w:rFonts w:hint="eastAsia" w:asciiTheme="minorEastAsia" w:hAnsiTheme="minorEastAsia" w:eastAsiaTheme="minorEastAsia"/>
          <w:color w:val="auto"/>
          <w:sz w:val="24"/>
          <w:highlight w:val="none"/>
        </w:rPr>
        <w:t>向变配电室值班室填报用</w:t>
      </w:r>
      <w:r>
        <w:rPr>
          <w:rFonts w:asciiTheme="minorEastAsia" w:hAnsiTheme="minorEastAsia" w:eastAsiaTheme="minorEastAsia"/>
          <w:color w:val="auto"/>
          <w:sz w:val="24"/>
          <w:highlight w:val="none"/>
        </w:rPr>
        <w:t>电申请单。</w:t>
      </w:r>
      <w:r>
        <w:rPr>
          <w:rFonts w:hint="eastAsia" w:asciiTheme="minorEastAsia" w:hAnsiTheme="minorEastAsia" w:eastAsiaTheme="minorEastAsia"/>
          <w:color w:val="auto"/>
          <w:sz w:val="24"/>
          <w:highlight w:val="none"/>
        </w:rPr>
        <w:t>运行期间，需根据HEPS装置的特点、季节变化、工艺设备停开机状态等进行及时调整，以配合各种工况运行。</w:t>
      </w:r>
      <w:r>
        <w:rPr>
          <w:rFonts w:asciiTheme="minorEastAsia" w:hAnsiTheme="minorEastAsia" w:eastAsiaTheme="minorEastAsia"/>
          <w:color w:val="auto"/>
          <w:sz w:val="24"/>
          <w:highlight w:val="none"/>
        </w:rPr>
        <w:t>针对招标人提出的</w:t>
      </w:r>
      <w:r>
        <w:rPr>
          <w:rFonts w:hint="eastAsia" w:asciiTheme="minorEastAsia" w:hAnsiTheme="minorEastAsia" w:eastAsiaTheme="minorEastAsia"/>
          <w:color w:val="auto"/>
          <w:sz w:val="24"/>
          <w:highlight w:val="none"/>
        </w:rPr>
        <w:t>工艺</w:t>
      </w:r>
      <w:r>
        <w:rPr>
          <w:rFonts w:asciiTheme="minorEastAsia" w:hAnsiTheme="minorEastAsia" w:eastAsiaTheme="minorEastAsia"/>
          <w:color w:val="auto"/>
          <w:sz w:val="24"/>
          <w:highlight w:val="none"/>
        </w:rPr>
        <w:t>循环冷却水、工艺</w:t>
      </w:r>
      <w:r>
        <w:rPr>
          <w:rFonts w:hint="eastAsia" w:asciiTheme="minorEastAsia" w:hAnsiTheme="minorEastAsia" w:eastAsiaTheme="minorEastAsia"/>
          <w:color w:val="auto"/>
          <w:sz w:val="24"/>
          <w:highlight w:val="none"/>
        </w:rPr>
        <w:t>和</w:t>
      </w:r>
      <w:r>
        <w:rPr>
          <w:rFonts w:asciiTheme="minorEastAsia" w:hAnsiTheme="minorEastAsia" w:eastAsiaTheme="minorEastAsia"/>
          <w:color w:val="auto"/>
          <w:sz w:val="24"/>
          <w:highlight w:val="none"/>
        </w:rPr>
        <w:t>空调冷冻水、纯水、软化水、冷却风和压缩空气系统的各项运行指标（温度、流量、压力、</w:t>
      </w:r>
      <w:r>
        <w:rPr>
          <w:rFonts w:hint="eastAsia" w:asciiTheme="minorEastAsia" w:hAnsiTheme="minorEastAsia" w:eastAsiaTheme="minorEastAsia"/>
          <w:color w:val="auto"/>
          <w:sz w:val="24"/>
          <w:highlight w:val="none"/>
        </w:rPr>
        <w:t>压差、</w:t>
      </w:r>
      <w:r>
        <w:rPr>
          <w:rFonts w:asciiTheme="minorEastAsia" w:hAnsiTheme="minorEastAsia" w:eastAsiaTheme="minorEastAsia"/>
          <w:color w:val="auto"/>
          <w:sz w:val="24"/>
          <w:highlight w:val="none"/>
        </w:rPr>
        <w:t>pH值、电导率、溶解氧浓度等），</w:t>
      </w:r>
      <w:r>
        <w:rPr>
          <w:rFonts w:hint="eastAsia" w:asciiTheme="minorEastAsia" w:hAnsiTheme="minorEastAsia" w:eastAsiaTheme="minorEastAsia"/>
          <w:color w:val="auto"/>
          <w:sz w:val="24"/>
          <w:highlight w:val="none"/>
        </w:rPr>
        <w:t>以及低温系统设备各项运行指标（</w:t>
      </w:r>
      <w:r>
        <w:rPr>
          <w:rFonts w:asciiTheme="minorEastAsia" w:hAnsiTheme="minorEastAsia" w:eastAsiaTheme="minorEastAsia"/>
          <w:color w:val="auto"/>
          <w:sz w:val="24"/>
          <w:highlight w:val="none"/>
        </w:rPr>
        <w:t>温度、流量、压力、</w:t>
      </w:r>
      <w:r>
        <w:rPr>
          <w:rFonts w:hint="eastAsia" w:asciiTheme="minorEastAsia" w:hAnsiTheme="minorEastAsia" w:eastAsiaTheme="minorEastAsia"/>
          <w:color w:val="auto"/>
          <w:sz w:val="24"/>
          <w:highlight w:val="none"/>
        </w:rPr>
        <w:t>压差、转速、气量、液位、加热器功率</w:t>
      </w:r>
      <w:r>
        <w:rPr>
          <w:rFonts w:asciiTheme="minorEastAsia" w:hAnsiTheme="minorEastAsia" w:eastAsiaTheme="minorEastAsia"/>
          <w:color w:val="auto"/>
          <w:sz w:val="24"/>
          <w:highlight w:val="none"/>
        </w:rPr>
        <w:t>等</w:t>
      </w:r>
      <w:r>
        <w:rPr>
          <w:rFonts w:hint="eastAsia"/>
          <w:color w:val="auto"/>
          <w:highlight w:val="none"/>
        </w:rPr>
        <w:t>），</w:t>
      </w:r>
      <w:r>
        <w:rPr>
          <w:rFonts w:asciiTheme="minorEastAsia" w:hAnsiTheme="minorEastAsia" w:eastAsiaTheme="minorEastAsia"/>
          <w:color w:val="auto"/>
          <w:sz w:val="24"/>
          <w:highlight w:val="none"/>
        </w:rPr>
        <w:t>对于参数有变化的</w:t>
      </w:r>
      <w:r>
        <w:rPr>
          <w:rFonts w:hint="eastAsia" w:asciiTheme="minorEastAsia" w:hAnsiTheme="minorEastAsia" w:eastAsiaTheme="minorEastAsia"/>
          <w:color w:val="auto"/>
          <w:sz w:val="24"/>
          <w:highlight w:val="none"/>
        </w:rPr>
        <w:t>需</w:t>
      </w:r>
      <w:r>
        <w:rPr>
          <w:rFonts w:asciiTheme="minorEastAsia" w:hAnsiTheme="minorEastAsia" w:eastAsiaTheme="minorEastAsia"/>
          <w:color w:val="auto"/>
          <w:sz w:val="24"/>
          <w:highlight w:val="none"/>
        </w:rPr>
        <w:t>及时进行调整且不影响工艺系统的用水</w:t>
      </w:r>
      <w:r>
        <w:rPr>
          <w:rFonts w:hint="eastAsia" w:asciiTheme="minorEastAsia" w:hAnsiTheme="minorEastAsia" w:eastAsiaTheme="minorEastAsia"/>
          <w:color w:val="auto"/>
          <w:sz w:val="24"/>
          <w:highlight w:val="none"/>
        </w:rPr>
        <w:t>、用电、</w:t>
      </w:r>
      <w:r>
        <w:rPr>
          <w:rFonts w:asciiTheme="minorEastAsia" w:hAnsiTheme="minorEastAsia" w:eastAsiaTheme="minorEastAsia"/>
          <w:color w:val="auto"/>
          <w:sz w:val="24"/>
          <w:highlight w:val="none"/>
        </w:rPr>
        <w:t>用气</w:t>
      </w:r>
      <w:r>
        <w:rPr>
          <w:rFonts w:hint="eastAsia" w:asciiTheme="minorEastAsia" w:hAnsiTheme="minorEastAsia" w:eastAsiaTheme="minorEastAsia"/>
          <w:color w:val="auto"/>
          <w:sz w:val="24"/>
          <w:highlight w:val="none"/>
        </w:rPr>
        <w:t>、用液、用冷</w:t>
      </w:r>
      <w:r>
        <w:rPr>
          <w:rFonts w:asciiTheme="minorEastAsia" w:hAnsiTheme="minorEastAsia" w:eastAsiaTheme="minorEastAsia"/>
          <w:color w:val="auto"/>
          <w:sz w:val="24"/>
          <w:highlight w:val="none"/>
        </w:rPr>
        <w:t>。</w:t>
      </w:r>
    </w:p>
    <w:p w14:paraId="02382BCA">
      <w:pPr>
        <w:numPr>
          <w:ilvl w:val="2"/>
          <w:numId w:val="11"/>
        </w:numPr>
        <w:tabs>
          <w:tab w:val="left" w:pos="709"/>
          <w:tab w:val="left" w:pos="1134"/>
          <w:tab w:val="clear" w:pos="704"/>
        </w:tabs>
        <w:adjustRightInd w:val="0"/>
        <w:snapToGrid w:val="0"/>
        <w:spacing w:line="360" w:lineRule="auto"/>
        <w:ind w:left="0" w:firstLine="708" w:firstLineChars="295"/>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工艺和空调冷冻水、</w:t>
      </w:r>
      <w:r>
        <w:rPr>
          <w:rFonts w:hint="eastAsia" w:asciiTheme="minorEastAsia" w:hAnsiTheme="minorEastAsia" w:eastAsiaTheme="minorEastAsia"/>
          <w:color w:val="auto"/>
          <w:sz w:val="24"/>
          <w:highlight w:val="none"/>
        </w:rPr>
        <w:t>工艺</w:t>
      </w:r>
      <w:r>
        <w:rPr>
          <w:rFonts w:asciiTheme="minorEastAsia" w:hAnsiTheme="minorEastAsia" w:eastAsiaTheme="minorEastAsia"/>
          <w:color w:val="auto"/>
          <w:sz w:val="24"/>
          <w:highlight w:val="none"/>
        </w:rPr>
        <w:t>循环冷却水系统，至少满足如下要求：</w:t>
      </w:r>
    </w:p>
    <w:p w14:paraId="3FF4A379">
      <w:pPr>
        <w:adjustRightInd w:val="0"/>
        <w:snapToGrid w:val="0"/>
        <w:spacing w:before="156" w:beforeLines="50"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（1）系统启动前的各项检查排查，管路灌水排气。水阀、压缩空气阀阀位确认。水泵、风机开机前盘车工作。</w:t>
      </w:r>
    </w:p>
    <w:p w14:paraId="2730308D">
      <w:pPr>
        <w:adjustRightInd w:val="0"/>
        <w:snapToGrid w:val="0"/>
        <w:spacing w:before="156" w:beforeLines="50"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（2）依照负荷情况及时调整运行设备数量，在保证供水满足要求的前提下使机组在较高COP下运行。确保冷机不因入口水温过低保护性停机。</w:t>
      </w:r>
    </w:p>
    <w:p w14:paraId="7EC368A9">
      <w:pPr>
        <w:adjustRightInd w:val="0"/>
        <w:snapToGrid w:val="0"/>
        <w:spacing w:before="156" w:beforeLines="50"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（3）水泵轮换时系统总流量变化不超过±10%。</w:t>
      </w:r>
    </w:p>
    <w:p w14:paraId="29931AA0">
      <w:pPr>
        <w:adjustRightInd w:val="0"/>
        <w:snapToGrid w:val="0"/>
        <w:spacing w:before="156" w:beforeLines="50"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）熟悉掌握循环冷却水各个系统覆盖的科研设备，随着整体调试的进行，确认各个系统最终运行流量、压力、温度等参数，并记录在册。</w:t>
      </w:r>
    </w:p>
    <w:p w14:paraId="0B713017">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低温系统，至少满足如下要求：</w:t>
      </w:r>
    </w:p>
    <w:p w14:paraId="104E8C2B">
      <w:pPr>
        <w:pStyle w:val="69"/>
        <w:numPr>
          <w:ilvl w:val="0"/>
          <w:numId w:val="12"/>
        </w:numPr>
        <w:adjustRightInd w:val="0"/>
        <w:snapToGrid w:val="0"/>
        <w:spacing w:before="156" w:beforeLines="50" w:after="156" w:afterLines="50" w:line="360" w:lineRule="atLeast"/>
        <w:ind w:left="0" w:right="0"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实时监控低温制冷机、阀箱、储罐和相分离器等各设备关键参数（如温度、压力、流量、腔压、加热器功率和低温透平膨胀机转速等）、日常记录和巡检。</w:t>
      </w:r>
    </w:p>
    <w:p w14:paraId="30640EBC">
      <w:pPr>
        <w:pStyle w:val="69"/>
        <w:numPr>
          <w:ilvl w:val="0"/>
          <w:numId w:val="12"/>
        </w:numPr>
        <w:adjustRightInd w:val="0"/>
        <w:snapToGrid w:val="0"/>
        <w:spacing w:before="156" w:beforeLines="50" w:after="156" w:afterLines="50" w:line="360" w:lineRule="atLeast"/>
        <w:ind w:left="0" w:right="0"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定期的对各设备进行检查，保障设备的正常运转。</w:t>
      </w:r>
    </w:p>
    <w:p w14:paraId="23B307A4">
      <w:pPr>
        <w:numPr>
          <w:ilvl w:val="2"/>
          <w:numId w:val="11"/>
        </w:numPr>
        <w:tabs>
          <w:tab w:val="left" w:pos="709"/>
          <w:tab w:val="left" w:pos="851"/>
          <w:tab w:val="clear" w:pos="704"/>
        </w:tabs>
        <w:adjustRightInd w:val="0"/>
        <w:snapToGrid w:val="0"/>
        <w:spacing w:line="360" w:lineRule="auto"/>
        <w:ind w:left="0" w:firstLine="708" w:firstLineChars="295"/>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轮循运行要求：</w:t>
      </w:r>
    </w:p>
    <w:p w14:paraId="09961638">
      <w:pPr>
        <w:tabs>
          <w:tab w:val="left" w:pos="709"/>
          <w:tab w:val="left" w:pos="999"/>
        </w:tabs>
        <w:adjustRightInd w:val="0"/>
        <w:snapToGrid w:val="0"/>
        <w:spacing w:before="156" w:beforeLines="50" w:after="156" w:afterLines="50" w:line="360" w:lineRule="atLeast"/>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对冷水机组、水泵、冷却塔、空压机、冷干机等，依照负荷条件和机组情况，按计划轮循运行，使同类设备累计运行时间趋于一致。</w:t>
      </w:r>
    </w:p>
    <w:p w14:paraId="5DDF269A">
      <w:pPr>
        <w:numPr>
          <w:ilvl w:val="1"/>
          <w:numId w:val="11"/>
        </w:numPr>
        <w:tabs>
          <w:tab w:val="clear" w:pos="705"/>
        </w:tabs>
        <w:adjustRightInd w:val="0"/>
        <w:snapToGrid w:val="0"/>
        <w:spacing w:line="360" w:lineRule="auto"/>
        <w:ind w:left="0" w:firstLine="0"/>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关键运行参数记录</w:t>
      </w:r>
    </w:p>
    <w:p w14:paraId="54D8CDFE">
      <w:pPr>
        <w:numPr>
          <w:ilvl w:val="2"/>
          <w:numId w:val="11"/>
        </w:numPr>
        <w:tabs>
          <w:tab w:val="left" w:pos="567"/>
        </w:tabs>
        <w:adjustRightInd w:val="0"/>
        <w:snapToGrid w:val="0"/>
        <w:spacing w:line="360" w:lineRule="auto"/>
        <w:ind w:left="0" w:firstLine="283" w:firstLineChars="11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工艺和空调冷冻水、</w:t>
      </w:r>
      <w:r>
        <w:rPr>
          <w:rFonts w:hint="eastAsia" w:asciiTheme="minorEastAsia" w:hAnsiTheme="minorEastAsia" w:eastAsiaTheme="minorEastAsia"/>
          <w:color w:val="auto"/>
          <w:sz w:val="24"/>
          <w:highlight w:val="none"/>
        </w:rPr>
        <w:t>工艺</w:t>
      </w:r>
      <w:r>
        <w:rPr>
          <w:rFonts w:asciiTheme="minorEastAsia" w:hAnsiTheme="minorEastAsia" w:eastAsiaTheme="minorEastAsia"/>
          <w:color w:val="auto"/>
          <w:sz w:val="24"/>
          <w:highlight w:val="none"/>
        </w:rPr>
        <w:t>循环冷却水系统，应至少记录：</w:t>
      </w:r>
    </w:p>
    <w:p w14:paraId="1C636045">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各系统总流量、总出口压力、供水温度、回水温度、电导率值</w:t>
      </w:r>
    </w:p>
    <w:p w14:paraId="2B70E61F">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冷水机组供回水温度流量和压力、滑阀位置或倒流叶片开度、供电电流电压</w:t>
      </w:r>
    </w:p>
    <w:p w14:paraId="25390FCD">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压力开关显示是否正常。油位、液位是否正常</w:t>
      </w:r>
    </w:p>
    <w:p w14:paraId="191FEB77">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水泵进出水压力、供电电压、电流、频率、轴端轴承和电机端轴承温度</w:t>
      </w:r>
    </w:p>
    <w:p w14:paraId="7898EC59">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冷却塔风机供电电压电流</w:t>
      </w:r>
    </w:p>
    <w:p w14:paraId="1DB01469">
      <w:pPr>
        <w:numPr>
          <w:ilvl w:val="0"/>
          <w:numId w:val="13"/>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旁流水处理器ORP值</w:t>
      </w:r>
    </w:p>
    <w:p w14:paraId="070BC036">
      <w:pPr>
        <w:numPr>
          <w:ilvl w:val="2"/>
          <w:numId w:val="11"/>
        </w:numPr>
        <w:tabs>
          <w:tab w:val="left" w:pos="567"/>
        </w:tabs>
        <w:adjustRightInd w:val="0"/>
        <w:snapToGrid w:val="0"/>
        <w:spacing w:line="360" w:lineRule="auto"/>
        <w:ind w:left="0" w:firstLine="283" w:firstLineChars="11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压缩空气制备系统，应至少记录：</w:t>
      </w:r>
    </w:p>
    <w:p w14:paraId="68D996B4">
      <w:pPr>
        <w:numPr>
          <w:ilvl w:val="0"/>
          <w:numId w:val="14"/>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空压机出口压力、供电电流电压</w:t>
      </w:r>
    </w:p>
    <w:p w14:paraId="7E777557">
      <w:pPr>
        <w:numPr>
          <w:ilvl w:val="0"/>
          <w:numId w:val="14"/>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冷干机供电电流电压</w:t>
      </w:r>
    </w:p>
    <w:p w14:paraId="47DD97C5">
      <w:pPr>
        <w:numPr>
          <w:ilvl w:val="0"/>
          <w:numId w:val="14"/>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空压站出口压力</w:t>
      </w:r>
    </w:p>
    <w:p w14:paraId="1B144280">
      <w:pPr>
        <w:numPr>
          <w:ilvl w:val="0"/>
          <w:numId w:val="14"/>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各类设备是否有报警信号</w:t>
      </w:r>
    </w:p>
    <w:p w14:paraId="7347EB7C">
      <w:pPr>
        <w:numPr>
          <w:ilvl w:val="2"/>
          <w:numId w:val="11"/>
        </w:numPr>
        <w:tabs>
          <w:tab w:val="left" w:pos="567"/>
        </w:tabs>
        <w:adjustRightInd w:val="0"/>
        <w:snapToGrid w:val="0"/>
        <w:spacing w:line="360" w:lineRule="auto"/>
        <w:ind w:left="0" w:firstLine="424" w:firstLineChars="177"/>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纯水制备</w:t>
      </w:r>
    </w:p>
    <w:p w14:paraId="2921DCB9">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预处理系统：原水温度、原水电导、原水流量、预处理出水压力</w:t>
      </w:r>
    </w:p>
    <w:p w14:paraId="131D759C">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反渗透系统：一级反渗透入水压力、一级反渗透出水压力、一级反渗透产水流量、一级反渗透浓水流量、一级反渗透电阻、二级反渗透入水PH、二级反渗透入水压力、二级反渗透出水压力、二级反渗透出水流量、二级反渗透电阻</w:t>
      </w:r>
    </w:p>
    <w:p w14:paraId="6C359153">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EDI系统：EDI浓水电阻、EDI产水电阻、EDI电流、EDI电压</w:t>
      </w:r>
    </w:p>
    <w:p w14:paraId="5E150B12">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脱气装置：N2流量、进水DO、出水DO</w:t>
      </w:r>
    </w:p>
    <w:p w14:paraId="68569D5C">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终端：进水流量、出水流量、出水压力、出水电阻</w:t>
      </w:r>
    </w:p>
    <w:p w14:paraId="5DDFBADF">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开关EDI、供水、停水、硬度测试、氮封水箱补水、软化再生、故障报警、等操作记录</w:t>
      </w:r>
    </w:p>
    <w:p w14:paraId="6B10DECA">
      <w:pPr>
        <w:numPr>
          <w:ilvl w:val="0"/>
          <w:numId w:val="15"/>
        </w:numPr>
        <w:tabs>
          <w:tab w:val="clear" w:pos="420"/>
        </w:tabs>
        <w:adjustRightInd w:val="0"/>
        <w:snapToGrid w:val="0"/>
        <w:spacing w:line="360" w:lineRule="auto"/>
        <w:ind w:left="720" w:hanging="294"/>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软化水系统：进水流量、出水流量、出水压力。</w:t>
      </w:r>
    </w:p>
    <w:p w14:paraId="013FED2A">
      <w:pPr>
        <w:numPr>
          <w:ilvl w:val="2"/>
          <w:numId w:val="11"/>
        </w:numPr>
        <w:adjustRightInd w:val="0"/>
        <w:snapToGrid w:val="0"/>
        <w:spacing w:line="360" w:lineRule="auto"/>
        <w:ind w:left="0" w:firstLine="283" w:firstLineChars="118"/>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现场</w:t>
      </w:r>
      <w:r>
        <w:rPr>
          <w:rFonts w:asciiTheme="minorEastAsia" w:hAnsiTheme="minorEastAsia" w:eastAsiaTheme="minorEastAsia"/>
          <w:color w:val="auto"/>
          <w:sz w:val="24"/>
          <w:highlight w:val="none"/>
        </w:rPr>
        <w:t>配电设备及控制设备</w:t>
      </w:r>
    </w:p>
    <w:p w14:paraId="0C7A0874">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启动柜的电压、电流</w:t>
      </w:r>
    </w:p>
    <w:p w14:paraId="40A2F35A">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进线柜的各相电压、电流</w:t>
      </w:r>
    </w:p>
    <w:p w14:paraId="465EA54A">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配电柜是否有缺相、电压不平衡等现象</w:t>
      </w:r>
    </w:p>
    <w:p w14:paraId="37F7E518">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变频器控制柜和启动</w:t>
      </w:r>
      <w:r>
        <w:rPr>
          <w:rFonts w:hint="eastAsia" w:asciiTheme="minorEastAsia" w:hAnsiTheme="minorEastAsia" w:eastAsiaTheme="minorEastAsia"/>
          <w:color w:val="auto"/>
          <w:sz w:val="24"/>
          <w:highlight w:val="none"/>
        </w:rPr>
        <w:t>控制柜的输入输出电压和电流、变频器输出频率</w:t>
      </w:r>
    </w:p>
    <w:p w14:paraId="3C1CA20F">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滤波柜</w:t>
      </w:r>
      <w:r>
        <w:rPr>
          <w:rFonts w:asciiTheme="minorEastAsia" w:hAnsiTheme="minorEastAsia" w:eastAsiaTheme="minorEastAsia"/>
          <w:color w:val="auto"/>
          <w:sz w:val="24"/>
          <w:highlight w:val="none"/>
        </w:rPr>
        <w:t>的三项谐波含量</w:t>
      </w:r>
    </w:p>
    <w:p w14:paraId="3181F935">
      <w:pPr>
        <w:numPr>
          <w:ilvl w:val="2"/>
          <w:numId w:val="11"/>
        </w:numPr>
        <w:adjustRightInd w:val="0"/>
        <w:snapToGrid w:val="0"/>
        <w:spacing w:line="360" w:lineRule="auto"/>
        <w:ind w:left="0" w:firstLine="141" w:firstLineChars="59"/>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通风空调及冷却风系统设备</w:t>
      </w:r>
    </w:p>
    <w:p w14:paraId="62424556">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通风空调回风温度；送风风量；回风风量；初中效过滤器压差</w:t>
      </w:r>
    </w:p>
    <w:p w14:paraId="236AE157">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排风风量，开始时间，停止时间</w:t>
      </w:r>
    </w:p>
    <w:p w14:paraId="58129CF9">
      <w:pPr>
        <w:numPr>
          <w:ilvl w:val="0"/>
          <w:numId w:val="15"/>
        </w:numPr>
        <w:tabs>
          <w:tab w:val="clear" w:pos="420"/>
        </w:tabs>
        <w:adjustRightInd w:val="0"/>
        <w:snapToGrid w:val="0"/>
        <w:spacing w:line="360" w:lineRule="auto"/>
        <w:ind w:left="720" w:hanging="153"/>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各个风阀开度，各个区域温度，隧道区域湿度，隧道区域负压数值</w:t>
      </w:r>
    </w:p>
    <w:p w14:paraId="362A0A2A">
      <w:pPr>
        <w:numPr>
          <w:ilvl w:val="2"/>
          <w:numId w:val="11"/>
        </w:numPr>
        <w:tabs>
          <w:tab w:val="left" w:pos="567"/>
        </w:tabs>
        <w:adjustRightInd w:val="0"/>
        <w:snapToGrid w:val="0"/>
        <w:spacing w:line="360" w:lineRule="auto"/>
        <w:ind w:left="0" w:firstLine="283" w:firstLineChars="11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低温</w:t>
      </w:r>
      <w:r>
        <w:rPr>
          <w:rFonts w:asciiTheme="minorEastAsia" w:hAnsiTheme="minorEastAsia" w:eastAsiaTheme="minorEastAsia"/>
          <w:color w:val="auto"/>
          <w:sz w:val="24"/>
          <w:highlight w:val="none"/>
        </w:rPr>
        <w:t>系统，应至少记录：</w:t>
      </w:r>
    </w:p>
    <w:p w14:paraId="518B180B">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氦气压缩机的功率、转速、进出口压力和温度；</w:t>
      </w:r>
    </w:p>
    <w:p w14:paraId="0584A52A">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氮气压缩机的功率、进出口压力和温度；</w:t>
      </w:r>
    </w:p>
    <w:p w14:paraId="717E3737">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低温透平膨胀机的转速、进出口温度和压力；</w:t>
      </w:r>
    </w:p>
    <w:p w14:paraId="2AF61762">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氦气储罐的压力；</w:t>
      </w:r>
    </w:p>
    <w:p w14:paraId="24BF6D6D">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液氮储罐的液位和压力；</w:t>
      </w:r>
    </w:p>
    <w:p w14:paraId="281B1615">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超导腔模组氦池的液位、压力、温度、加热器功率，耦合器气冷流量及温度；</w:t>
      </w:r>
    </w:p>
    <w:p w14:paraId="28097E25">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液氦杜瓦和液氮杜瓦的液位、压力；</w:t>
      </w:r>
    </w:p>
    <w:p w14:paraId="3D730F6F">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液氮相分离器的液位、压力，CPMU的温度，过冷氮机组的液位和压力；</w:t>
      </w:r>
    </w:p>
    <w:p w14:paraId="714E7706">
      <w:pPr>
        <w:pStyle w:val="69"/>
        <w:numPr>
          <w:ilvl w:val="0"/>
          <w:numId w:val="16"/>
        </w:numPr>
        <w:tabs>
          <w:tab w:val="left" w:pos="567"/>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不纯氦气囊的高度，低温阀门的位置，氧含量报警仪的工作状态和仪表气露点等。</w:t>
      </w:r>
    </w:p>
    <w:p w14:paraId="5E312A43">
      <w:pPr>
        <w:numPr>
          <w:ilvl w:val="1"/>
          <w:numId w:val="11"/>
        </w:numPr>
        <w:tabs>
          <w:tab w:val="clear" w:pos="705"/>
        </w:tabs>
        <w:adjustRightInd w:val="0"/>
        <w:snapToGrid w:val="0"/>
        <w:spacing w:line="360" w:lineRule="auto"/>
        <w:ind w:left="0" w:firstLine="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故障排查</w:t>
      </w:r>
    </w:p>
    <w:p w14:paraId="1F2F2E20">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对于冷冻水制备系统</w:t>
      </w:r>
      <w:r>
        <w:rPr>
          <w:rFonts w:asciiTheme="minorEastAsia" w:hAnsiTheme="minorEastAsia" w:eastAsiaTheme="minorEastAsia"/>
          <w:bCs/>
          <w:color w:val="auto"/>
          <w:sz w:val="24"/>
          <w:highlight w:val="none"/>
        </w:rPr>
        <w:t>，应</w:t>
      </w:r>
      <w:r>
        <w:rPr>
          <w:rFonts w:hint="eastAsia" w:asciiTheme="minorEastAsia" w:hAnsiTheme="minorEastAsia" w:eastAsiaTheme="minorEastAsia"/>
          <w:bCs/>
          <w:color w:val="auto"/>
          <w:sz w:val="24"/>
          <w:highlight w:val="none"/>
        </w:rPr>
        <w:t>在巡检中</w:t>
      </w:r>
      <w:r>
        <w:rPr>
          <w:rFonts w:asciiTheme="minorEastAsia" w:hAnsiTheme="minorEastAsia" w:eastAsiaTheme="minorEastAsia"/>
          <w:bCs/>
          <w:color w:val="auto"/>
          <w:sz w:val="24"/>
          <w:highlight w:val="none"/>
        </w:rPr>
        <w:t>至少</w:t>
      </w:r>
      <w:r>
        <w:rPr>
          <w:rFonts w:hint="eastAsia" w:asciiTheme="minorEastAsia" w:hAnsiTheme="minorEastAsia" w:eastAsiaTheme="minorEastAsia"/>
          <w:bCs/>
          <w:color w:val="auto"/>
          <w:sz w:val="24"/>
          <w:highlight w:val="none"/>
        </w:rPr>
        <w:t>核实冷水机组、水泵、冷却塔等运转情况，是否有异响、漏油。冷水机组油位、制冷剂液位、固态启动器冷却液等是否正常。检查</w:t>
      </w:r>
      <w:r>
        <w:rPr>
          <w:rFonts w:asciiTheme="minorEastAsia" w:hAnsiTheme="minorEastAsia" w:eastAsiaTheme="minorEastAsia"/>
          <w:bCs/>
          <w:color w:val="auto"/>
          <w:sz w:val="24"/>
          <w:highlight w:val="none"/>
        </w:rPr>
        <w:t>水管有无跑冒滴漏</w:t>
      </w:r>
      <w:r>
        <w:rPr>
          <w:rFonts w:hint="eastAsia" w:asciiTheme="minorEastAsia" w:hAnsiTheme="minorEastAsia" w:eastAsiaTheme="minorEastAsia"/>
          <w:bCs/>
          <w:color w:val="auto"/>
          <w:sz w:val="24"/>
          <w:highlight w:val="none"/>
        </w:rPr>
        <w:t>现象</w:t>
      </w:r>
      <w:r>
        <w:rPr>
          <w:rFonts w:asciiTheme="minorEastAsia" w:hAnsiTheme="minorEastAsia" w:eastAsiaTheme="minorEastAsia"/>
          <w:bCs/>
          <w:color w:val="auto"/>
          <w:sz w:val="24"/>
          <w:highlight w:val="none"/>
        </w:rPr>
        <w:t>。</w:t>
      </w:r>
    </w:p>
    <w:p w14:paraId="700936AC">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对于</w:t>
      </w:r>
      <w:r>
        <w:rPr>
          <w:rFonts w:asciiTheme="minorEastAsia" w:hAnsiTheme="minorEastAsia" w:eastAsiaTheme="minorEastAsia"/>
          <w:bCs/>
          <w:color w:val="auto"/>
          <w:sz w:val="24"/>
          <w:highlight w:val="none"/>
        </w:rPr>
        <w:t>压缩空气制备</w:t>
      </w:r>
      <w:r>
        <w:rPr>
          <w:rFonts w:hint="eastAsia" w:asciiTheme="minorEastAsia" w:hAnsiTheme="minorEastAsia" w:eastAsiaTheme="minorEastAsia"/>
          <w:bCs/>
          <w:color w:val="auto"/>
          <w:sz w:val="24"/>
          <w:highlight w:val="none"/>
        </w:rPr>
        <w:t>系统，</w:t>
      </w:r>
      <w:r>
        <w:rPr>
          <w:rFonts w:asciiTheme="minorEastAsia" w:hAnsiTheme="minorEastAsia" w:eastAsiaTheme="minorEastAsia"/>
          <w:bCs/>
          <w:color w:val="auto"/>
          <w:sz w:val="24"/>
          <w:highlight w:val="none"/>
        </w:rPr>
        <w:t>应在巡检中至少核实是否有管道漏气、过滤器堵塞、</w:t>
      </w:r>
      <w:r>
        <w:rPr>
          <w:rFonts w:hint="eastAsia" w:asciiTheme="minorEastAsia" w:hAnsiTheme="minorEastAsia" w:eastAsiaTheme="minorEastAsia"/>
          <w:bCs/>
          <w:color w:val="auto"/>
          <w:sz w:val="24"/>
          <w:highlight w:val="none"/>
        </w:rPr>
        <w:t>冷凝水管堵塞</w:t>
      </w:r>
      <w:r>
        <w:rPr>
          <w:rFonts w:asciiTheme="minorEastAsia" w:hAnsiTheme="minorEastAsia" w:eastAsiaTheme="minorEastAsia"/>
          <w:bCs/>
          <w:color w:val="auto"/>
          <w:sz w:val="24"/>
          <w:highlight w:val="none"/>
        </w:rPr>
        <w:t>等现象。</w:t>
      </w:r>
    </w:p>
    <w:p w14:paraId="2C835567">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对于电气设备，应在巡检中至少核实电气设备的运行情况，是否有异响、异味</w:t>
      </w:r>
      <w:r>
        <w:rPr>
          <w:rFonts w:hint="eastAsia" w:asciiTheme="minorEastAsia" w:hAnsiTheme="minorEastAsia" w:eastAsiaTheme="minorEastAsia"/>
          <w:bCs/>
          <w:color w:val="auto"/>
          <w:sz w:val="24"/>
          <w:highlight w:val="none"/>
        </w:rPr>
        <w:t>、温度升高</w:t>
      </w:r>
      <w:r>
        <w:rPr>
          <w:rFonts w:asciiTheme="minorEastAsia" w:hAnsiTheme="minorEastAsia" w:eastAsiaTheme="minorEastAsia"/>
          <w:bCs/>
          <w:color w:val="auto"/>
          <w:sz w:val="24"/>
          <w:highlight w:val="none"/>
        </w:rPr>
        <w:t>等异常情况。</w:t>
      </w:r>
    </w:p>
    <w:p w14:paraId="45702011">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对于纯水系统，应在巡检中核实各级产水是否满足要求，滤芯压差是否超标，水泵运行是否正常。</w:t>
      </w:r>
    </w:p>
    <w:p w14:paraId="798B093C">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对于循环冷却水系统，应在巡检中注意水泵是否正常运行，压力、供回水温度（恒温系统需关注温度波动）、流量是否有异常，管道有无跑冒滴漏。</w:t>
      </w:r>
    </w:p>
    <w:p w14:paraId="65EE3390">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对于通风空调系统，应在巡检中注意空调机组运行有无异常振动或声音，空调风量、温度、电加热器、补水装置是否正常运行。</w:t>
      </w:r>
    </w:p>
    <w:p w14:paraId="7E3D0362">
      <w:pPr>
        <w:numPr>
          <w:ilvl w:val="2"/>
          <w:numId w:val="11"/>
        </w:numPr>
        <w:tabs>
          <w:tab w:val="left" w:pos="851"/>
        </w:tabs>
        <w:adjustRightInd w:val="0"/>
        <w:snapToGrid w:val="0"/>
        <w:spacing w:line="360" w:lineRule="auto"/>
        <w:ind w:left="0" w:firstLine="849" w:firstLineChars="35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对于缆温报警系统，应能迅速定位温度异常电缆区域，现场排查，消除报警。</w:t>
      </w:r>
    </w:p>
    <w:p w14:paraId="05B7D246">
      <w:pPr>
        <w:numPr>
          <w:ilvl w:val="2"/>
          <w:numId w:val="11"/>
        </w:numPr>
        <w:tabs>
          <w:tab w:val="left" w:pos="851"/>
        </w:tabs>
        <w:adjustRightInd w:val="0"/>
        <w:snapToGrid w:val="0"/>
        <w:spacing w:line="360" w:lineRule="auto"/>
        <w:ind w:left="0" w:firstLine="849" w:firstLineChars="35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对于漏水报警系统，应能完成巡视、检查和常规操作，应能迅速定位漏水位置，确定漏水原因并现场解决。</w:t>
      </w:r>
    </w:p>
    <w:p w14:paraId="4E2CCC7E">
      <w:pPr>
        <w:numPr>
          <w:ilvl w:val="2"/>
          <w:numId w:val="11"/>
        </w:numPr>
        <w:tabs>
          <w:tab w:val="left" w:pos="851"/>
        </w:tabs>
        <w:adjustRightInd w:val="0"/>
        <w:snapToGrid w:val="0"/>
        <w:spacing w:line="360" w:lineRule="auto"/>
        <w:ind w:left="0" w:firstLine="849" w:firstLineChars="35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于低温系统，应在巡检中注意各设备有无结露、结霜，安全阀有无开启，压缩机功率、进口出口压力和温度有无异常，低温透平膨胀机转速和进出口压力有无异常，低温设备液位和压力有无异常波动，低温设备是否有氮气或氦气泄漏，低温控制有无声音报警，应能完成巡视、检查、常规操作和应急操作，确定故障原因并现场解决。</w:t>
      </w:r>
    </w:p>
    <w:p w14:paraId="780A6AB8">
      <w:pPr>
        <w:numPr>
          <w:ilvl w:val="1"/>
          <w:numId w:val="11"/>
        </w:numPr>
        <w:tabs>
          <w:tab w:val="clear" w:pos="705"/>
        </w:tabs>
        <w:adjustRightInd w:val="0"/>
        <w:snapToGrid w:val="0"/>
        <w:spacing w:line="360" w:lineRule="auto"/>
        <w:ind w:left="0" w:firstLine="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存档</w:t>
      </w:r>
    </w:p>
    <w:p w14:paraId="42AD03E3">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对关键运行参数记录进行纸质</w:t>
      </w:r>
      <w:r>
        <w:rPr>
          <w:rFonts w:asciiTheme="minorEastAsia" w:hAnsiTheme="minorEastAsia" w:eastAsiaTheme="minorEastAsia"/>
          <w:bCs/>
          <w:color w:val="auto"/>
          <w:sz w:val="24"/>
          <w:highlight w:val="none"/>
        </w:rPr>
        <w:t>记录和</w:t>
      </w:r>
      <w:r>
        <w:rPr>
          <w:rFonts w:hint="eastAsia" w:asciiTheme="minorEastAsia" w:hAnsiTheme="minorEastAsia" w:eastAsiaTheme="minorEastAsia"/>
          <w:bCs/>
          <w:color w:val="auto"/>
          <w:sz w:val="24"/>
          <w:highlight w:val="none"/>
        </w:rPr>
        <w:t>电子存档，并按月、季度和年度整理历史累计数据。</w:t>
      </w:r>
    </w:p>
    <w:p w14:paraId="6589DEC8">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对冷机群控系统数据及时备份；</w:t>
      </w:r>
    </w:p>
    <w:p w14:paraId="027AFCCD">
      <w:pPr>
        <w:numPr>
          <w:ilvl w:val="2"/>
          <w:numId w:val="11"/>
        </w:numPr>
        <w:tabs>
          <w:tab w:val="left" w:pos="851"/>
        </w:tabs>
        <w:adjustRightInd w:val="0"/>
        <w:snapToGrid w:val="0"/>
        <w:spacing w:line="360" w:lineRule="auto"/>
        <w:ind w:left="0" w:firstLine="708" w:firstLineChars="295"/>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对低温控制系统数据及时检查、备份</w:t>
      </w:r>
    </w:p>
    <w:p w14:paraId="4340F613">
      <w:pPr>
        <w:numPr>
          <w:ilvl w:val="1"/>
          <w:numId w:val="11"/>
        </w:numPr>
        <w:tabs>
          <w:tab w:val="clear" w:pos="705"/>
        </w:tabs>
        <w:adjustRightInd w:val="0"/>
        <w:snapToGrid w:val="0"/>
        <w:spacing w:line="360" w:lineRule="auto"/>
        <w:ind w:left="0" w:firstLine="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特种设备报检</w:t>
      </w:r>
      <w:r>
        <w:rPr>
          <w:rFonts w:asciiTheme="minorEastAsia" w:hAnsiTheme="minorEastAsia" w:eastAsiaTheme="minorEastAsia"/>
          <w:b/>
          <w:color w:val="auto"/>
          <w:sz w:val="24"/>
          <w:highlight w:val="none"/>
        </w:rPr>
        <w:t>及</w:t>
      </w:r>
      <w:r>
        <w:rPr>
          <w:rFonts w:hint="eastAsia" w:asciiTheme="minorEastAsia" w:hAnsiTheme="minorEastAsia" w:eastAsiaTheme="minorEastAsia"/>
          <w:b/>
          <w:color w:val="auto"/>
          <w:sz w:val="24"/>
          <w:highlight w:val="none"/>
        </w:rPr>
        <w:t>校验</w:t>
      </w:r>
      <w:r>
        <w:rPr>
          <w:rFonts w:asciiTheme="minorEastAsia" w:hAnsiTheme="minorEastAsia" w:eastAsiaTheme="minorEastAsia"/>
          <w:b/>
          <w:color w:val="auto"/>
          <w:sz w:val="24"/>
          <w:highlight w:val="none"/>
        </w:rPr>
        <w:t>工作</w:t>
      </w:r>
    </w:p>
    <w:p w14:paraId="2E2D1A30">
      <w:pPr>
        <w:adjustRightInd w:val="0"/>
        <w:snapToGrid w:val="0"/>
        <w:spacing w:line="360" w:lineRule="auto"/>
        <w:ind w:firstLine="480" w:firstLineChars="200"/>
        <w:rPr>
          <w:rFonts w:asciiTheme="minorEastAsia" w:hAnsiTheme="minorEastAsia" w:eastAsiaTheme="minorEastAsia"/>
          <w:bCs/>
          <w:i/>
          <w:color w:val="auto"/>
          <w:sz w:val="24"/>
          <w:highlight w:val="none"/>
        </w:rPr>
      </w:pPr>
      <w:r>
        <w:rPr>
          <w:rFonts w:hint="eastAsia" w:asciiTheme="minorEastAsia" w:hAnsiTheme="minorEastAsia" w:eastAsiaTheme="minorEastAsia"/>
          <w:bCs/>
          <w:color w:val="auto"/>
          <w:sz w:val="24"/>
          <w:highlight w:val="none"/>
        </w:rPr>
        <w:t>为冷冻站和低温罐区内的各类安全阀、锅炉、压力容器（管道）及配套压力表等按国家和地方法规要求进行报检。</w:t>
      </w:r>
    </w:p>
    <w:p w14:paraId="13526168">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设备维护保养要求</w:t>
      </w:r>
    </w:p>
    <w:p w14:paraId="5A6F8E93">
      <w:pPr>
        <w:adjustRightInd w:val="0"/>
        <w:snapToGrid w:val="0"/>
        <w:spacing w:line="360" w:lineRule="auto"/>
        <w:jc w:val="left"/>
        <w:rPr>
          <w:rFonts w:asciiTheme="minorEastAsia" w:hAnsiTheme="minorEastAsia" w:eastAsiaTheme="minorEastAsia"/>
          <w:color w:val="auto"/>
          <w:kern w:val="0"/>
          <w:sz w:val="24"/>
          <w:szCs w:val="20"/>
          <w:highlight w:val="none"/>
        </w:rPr>
      </w:pPr>
      <w:r>
        <w:rPr>
          <w:rFonts w:hint="eastAsia" w:asciiTheme="minorEastAsia" w:hAnsiTheme="minorEastAsia" w:eastAsiaTheme="minorEastAsia"/>
          <w:color w:val="auto"/>
          <w:kern w:val="0"/>
          <w:sz w:val="24"/>
          <w:szCs w:val="20"/>
          <w:highlight w:val="none"/>
        </w:rPr>
        <w:t>设备的</w:t>
      </w:r>
      <w:r>
        <w:rPr>
          <w:rFonts w:asciiTheme="minorEastAsia" w:hAnsiTheme="minorEastAsia" w:eastAsiaTheme="minorEastAsia"/>
          <w:color w:val="auto"/>
          <w:kern w:val="0"/>
          <w:sz w:val="24"/>
          <w:szCs w:val="20"/>
          <w:highlight w:val="none"/>
        </w:rPr>
        <w:t>维护保养工作，</w:t>
      </w:r>
      <w:r>
        <w:rPr>
          <w:rFonts w:hint="eastAsia" w:asciiTheme="minorEastAsia" w:hAnsiTheme="minorEastAsia" w:eastAsiaTheme="minorEastAsia"/>
          <w:color w:val="auto"/>
          <w:kern w:val="0"/>
          <w:sz w:val="24"/>
          <w:szCs w:val="20"/>
          <w:highlight w:val="none"/>
        </w:rPr>
        <w:t>应至少满足（但不限于）</w:t>
      </w:r>
      <w:r>
        <w:rPr>
          <w:rFonts w:asciiTheme="minorEastAsia" w:hAnsiTheme="minorEastAsia" w:eastAsiaTheme="minorEastAsia"/>
          <w:color w:val="auto"/>
          <w:kern w:val="0"/>
          <w:sz w:val="24"/>
          <w:szCs w:val="20"/>
          <w:highlight w:val="none"/>
        </w:rPr>
        <w:t>以下要求：</w:t>
      </w:r>
    </w:p>
    <w:tbl>
      <w:tblPr>
        <w:tblStyle w:val="40"/>
        <w:tblW w:w="5000" w:type="pct"/>
        <w:tblInd w:w="0" w:type="dxa"/>
        <w:tblLayout w:type="autofit"/>
        <w:tblCellMar>
          <w:top w:w="0" w:type="dxa"/>
          <w:left w:w="0" w:type="dxa"/>
          <w:bottom w:w="0" w:type="dxa"/>
          <w:right w:w="0" w:type="dxa"/>
        </w:tblCellMar>
      </w:tblPr>
      <w:tblGrid>
        <w:gridCol w:w="1010"/>
        <w:gridCol w:w="4070"/>
        <w:gridCol w:w="556"/>
        <w:gridCol w:w="873"/>
        <w:gridCol w:w="857"/>
        <w:gridCol w:w="857"/>
        <w:gridCol w:w="857"/>
      </w:tblGrid>
      <w:tr w14:paraId="29505EDD">
        <w:tblPrEx>
          <w:tblCellMar>
            <w:top w:w="0" w:type="dxa"/>
            <w:left w:w="0" w:type="dxa"/>
            <w:bottom w:w="0" w:type="dxa"/>
            <w:right w:w="0" w:type="dxa"/>
          </w:tblCellMar>
        </w:tblPrEx>
        <w:trPr>
          <w:trHeight w:val="270" w:hRule="atLeast"/>
          <w:tblHeader/>
        </w:trPr>
        <w:tc>
          <w:tcPr>
            <w:tcW w:w="556" w:type="pct"/>
            <w:tcBorders>
              <w:top w:val="single" w:color="auto" w:sz="4" w:space="0"/>
              <w:left w:val="single" w:color="auto" w:sz="4" w:space="0"/>
              <w:bottom w:val="single" w:color="auto" w:sz="4" w:space="0"/>
              <w:right w:val="single" w:color="auto" w:sz="4" w:space="0"/>
            </w:tcBorders>
            <w:shd w:val="clear" w:color="auto" w:fill="auto"/>
            <w:vAlign w:val="center"/>
          </w:tcPr>
          <w:p w14:paraId="04BD754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设备</w:t>
            </w:r>
          </w:p>
        </w:tc>
        <w:tc>
          <w:tcPr>
            <w:tcW w:w="2241" w:type="pct"/>
            <w:tcBorders>
              <w:top w:val="single" w:color="auto" w:sz="4" w:space="0"/>
              <w:left w:val="nil"/>
              <w:bottom w:val="single" w:color="auto" w:sz="4" w:space="0"/>
              <w:right w:val="single" w:color="auto" w:sz="4" w:space="0"/>
            </w:tcBorders>
            <w:shd w:val="clear" w:color="auto" w:fill="auto"/>
            <w:vAlign w:val="center"/>
          </w:tcPr>
          <w:p w14:paraId="73499A8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维护项目</w:t>
            </w:r>
          </w:p>
        </w:tc>
        <w:tc>
          <w:tcPr>
            <w:tcW w:w="306" w:type="pct"/>
            <w:tcBorders>
              <w:top w:val="single" w:color="auto" w:sz="4" w:space="0"/>
              <w:left w:val="nil"/>
              <w:bottom w:val="single" w:color="auto" w:sz="4" w:space="0"/>
              <w:right w:val="single" w:color="auto" w:sz="4" w:space="0"/>
            </w:tcBorders>
            <w:shd w:val="clear" w:color="auto" w:fill="auto"/>
            <w:vAlign w:val="center"/>
          </w:tcPr>
          <w:p w14:paraId="69BB316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每月</w:t>
            </w:r>
          </w:p>
        </w:tc>
        <w:tc>
          <w:tcPr>
            <w:tcW w:w="481" w:type="pct"/>
            <w:tcBorders>
              <w:top w:val="single" w:color="auto" w:sz="4" w:space="0"/>
              <w:left w:val="nil"/>
              <w:bottom w:val="single" w:color="auto" w:sz="4" w:space="0"/>
              <w:right w:val="single" w:color="auto" w:sz="4" w:space="0"/>
            </w:tcBorders>
            <w:shd w:val="clear" w:color="auto" w:fill="auto"/>
            <w:vAlign w:val="center"/>
          </w:tcPr>
          <w:p w14:paraId="4D62DA9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每季度</w:t>
            </w:r>
          </w:p>
        </w:tc>
        <w:tc>
          <w:tcPr>
            <w:tcW w:w="472" w:type="pct"/>
            <w:tcBorders>
              <w:top w:val="single" w:color="auto" w:sz="4" w:space="0"/>
              <w:left w:val="nil"/>
              <w:bottom w:val="single" w:color="auto" w:sz="4" w:space="0"/>
              <w:right w:val="single" w:color="auto" w:sz="4" w:space="0"/>
            </w:tcBorders>
            <w:shd w:val="clear" w:color="auto" w:fill="auto"/>
            <w:vAlign w:val="center"/>
          </w:tcPr>
          <w:p w14:paraId="64699A9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每年</w:t>
            </w:r>
          </w:p>
        </w:tc>
        <w:tc>
          <w:tcPr>
            <w:tcW w:w="472" w:type="pct"/>
            <w:tcBorders>
              <w:top w:val="single" w:color="auto" w:sz="4" w:space="0"/>
              <w:left w:val="nil"/>
              <w:bottom w:val="single" w:color="auto" w:sz="4" w:space="0"/>
              <w:right w:val="single" w:color="auto" w:sz="4" w:space="0"/>
            </w:tcBorders>
            <w:vAlign w:val="center"/>
          </w:tcPr>
          <w:p w14:paraId="425C7FB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是否为</w:t>
            </w:r>
            <w:r>
              <w:rPr>
                <w:rFonts w:cs="宋体" w:asciiTheme="minorEastAsia" w:hAnsiTheme="minorEastAsia" w:eastAsiaTheme="minorEastAsia"/>
                <w:color w:val="auto"/>
                <w:kern w:val="0"/>
                <w:szCs w:val="21"/>
                <w:highlight w:val="none"/>
              </w:rPr>
              <w:t>专业保养</w:t>
            </w:r>
          </w:p>
        </w:tc>
        <w:tc>
          <w:tcPr>
            <w:tcW w:w="472" w:type="pct"/>
            <w:tcBorders>
              <w:top w:val="single" w:color="auto" w:sz="4" w:space="0"/>
              <w:left w:val="nil"/>
              <w:bottom w:val="single" w:color="auto" w:sz="4" w:space="0"/>
              <w:right w:val="single" w:color="auto" w:sz="4" w:space="0"/>
            </w:tcBorders>
            <w:vAlign w:val="center"/>
          </w:tcPr>
          <w:p w14:paraId="719CD97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备注</w:t>
            </w:r>
          </w:p>
        </w:tc>
      </w:tr>
      <w:tr w14:paraId="476AD267">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bottom w:val="single" w:color="auto" w:sz="4" w:space="0"/>
              <w:right w:val="single" w:color="auto" w:sz="4" w:space="0"/>
            </w:tcBorders>
            <w:shd w:val="clear" w:color="auto" w:fill="auto"/>
            <w:vAlign w:val="center"/>
          </w:tcPr>
          <w:p w14:paraId="0B53FEA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冷水机组</w:t>
            </w:r>
          </w:p>
        </w:tc>
        <w:tc>
          <w:tcPr>
            <w:tcW w:w="2241" w:type="pct"/>
            <w:tcBorders>
              <w:top w:val="nil"/>
              <w:left w:val="nil"/>
              <w:bottom w:val="single" w:color="auto" w:sz="4" w:space="0"/>
              <w:right w:val="single" w:color="auto" w:sz="4" w:space="0"/>
            </w:tcBorders>
            <w:shd w:val="clear" w:color="auto" w:fill="auto"/>
            <w:vAlign w:val="center"/>
          </w:tcPr>
          <w:p w14:paraId="305D399D">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检查油位、制冷液位</w:t>
            </w:r>
          </w:p>
        </w:tc>
        <w:tc>
          <w:tcPr>
            <w:tcW w:w="306" w:type="pct"/>
            <w:tcBorders>
              <w:top w:val="nil"/>
              <w:left w:val="nil"/>
              <w:bottom w:val="single" w:color="auto" w:sz="4" w:space="0"/>
              <w:right w:val="single" w:color="auto" w:sz="4" w:space="0"/>
            </w:tcBorders>
            <w:shd w:val="clear" w:color="auto" w:fill="auto"/>
            <w:vAlign w:val="center"/>
          </w:tcPr>
          <w:p w14:paraId="037819E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31873D1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2C3E6FD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725593E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818B87F">
            <w:pPr>
              <w:widowControl/>
              <w:spacing w:line="360" w:lineRule="auto"/>
              <w:jc w:val="center"/>
              <w:rPr>
                <w:rFonts w:cs="宋体" w:asciiTheme="minorEastAsia" w:hAnsiTheme="minorEastAsia" w:eastAsiaTheme="minorEastAsia"/>
                <w:color w:val="auto"/>
                <w:kern w:val="0"/>
                <w:szCs w:val="21"/>
                <w:highlight w:val="none"/>
              </w:rPr>
            </w:pPr>
          </w:p>
        </w:tc>
      </w:tr>
      <w:tr w14:paraId="594E2CB0">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68169354">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51EFC85">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检查电机、压缩机润滑油系统，对于正常的损耗及时补充。</w:t>
            </w:r>
          </w:p>
        </w:tc>
        <w:tc>
          <w:tcPr>
            <w:tcW w:w="306" w:type="pct"/>
            <w:tcBorders>
              <w:top w:val="nil"/>
              <w:left w:val="nil"/>
              <w:bottom w:val="single" w:color="auto" w:sz="4" w:space="0"/>
              <w:right w:val="single" w:color="auto" w:sz="4" w:space="0"/>
            </w:tcBorders>
            <w:shd w:val="clear" w:color="auto" w:fill="auto"/>
            <w:vAlign w:val="center"/>
          </w:tcPr>
          <w:p w14:paraId="50CA4F9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7C5BFC1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FE2ECF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6FA9040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20BC9EC">
            <w:pPr>
              <w:widowControl/>
              <w:spacing w:line="360" w:lineRule="auto"/>
              <w:jc w:val="center"/>
              <w:rPr>
                <w:rFonts w:cs="宋体" w:asciiTheme="minorEastAsia" w:hAnsiTheme="minorEastAsia" w:eastAsiaTheme="minorEastAsia"/>
                <w:color w:val="auto"/>
                <w:kern w:val="0"/>
                <w:szCs w:val="21"/>
                <w:highlight w:val="none"/>
              </w:rPr>
            </w:pPr>
          </w:p>
        </w:tc>
      </w:tr>
      <w:tr w14:paraId="4A8797BC">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2715407E">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557F278">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检查回油系统</w:t>
            </w:r>
          </w:p>
        </w:tc>
        <w:tc>
          <w:tcPr>
            <w:tcW w:w="306" w:type="pct"/>
            <w:tcBorders>
              <w:top w:val="nil"/>
              <w:left w:val="nil"/>
              <w:bottom w:val="single" w:color="auto" w:sz="4" w:space="0"/>
              <w:right w:val="single" w:color="auto" w:sz="4" w:space="0"/>
            </w:tcBorders>
            <w:shd w:val="clear" w:color="auto" w:fill="auto"/>
            <w:vAlign w:val="center"/>
          </w:tcPr>
          <w:p w14:paraId="49FDD77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2A408D7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98094E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24DE41D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D914EC3">
            <w:pPr>
              <w:widowControl/>
              <w:spacing w:line="360" w:lineRule="auto"/>
              <w:jc w:val="center"/>
              <w:rPr>
                <w:rFonts w:cs="宋体" w:asciiTheme="minorEastAsia" w:hAnsiTheme="minorEastAsia" w:eastAsiaTheme="minorEastAsia"/>
                <w:color w:val="auto"/>
                <w:kern w:val="0"/>
                <w:szCs w:val="21"/>
                <w:highlight w:val="none"/>
              </w:rPr>
            </w:pPr>
          </w:p>
        </w:tc>
      </w:tr>
      <w:tr w14:paraId="013E39B5">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4ED4DBBE">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6FED6B2">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检查电机启动器运行是否正常</w:t>
            </w:r>
          </w:p>
        </w:tc>
        <w:tc>
          <w:tcPr>
            <w:tcW w:w="306" w:type="pct"/>
            <w:tcBorders>
              <w:top w:val="nil"/>
              <w:left w:val="nil"/>
              <w:bottom w:val="single" w:color="auto" w:sz="4" w:space="0"/>
              <w:right w:val="single" w:color="auto" w:sz="4" w:space="0"/>
            </w:tcBorders>
            <w:shd w:val="clear" w:color="auto" w:fill="auto"/>
            <w:vAlign w:val="center"/>
          </w:tcPr>
          <w:p w14:paraId="097F603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769B6AA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43589EB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39CD453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2E5496B">
            <w:pPr>
              <w:widowControl/>
              <w:spacing w:line="360" w:lineRule="auto"/>
              <w:jc w:val="center"/>
              <w:rPr>
                <w:rFonts w:cs="宋体" w:asciiTheme="minorEastAsia" w:hAnsiTheme="minorEastAsia" w:eastAsiaTheme="minorEastAsia"/>
                <w:color w:val="auto"/>
                <w:kern w:val="0"/>
                <w:szCs w:val="21"/>
                <w:highlight w:val="none"/>
              </w:rPr>
            </w:pPr>
          </w:p>
        </w:tc>
      </w:tr>
      <w:tr w14:paraId="4C6062B4">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4B389232">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44D5FE8">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记录运行参数并分析机组是否运行正常，必要时进行维修</w:t>
            </w:r>
          </w:p>
        </w:tc>
        <w:tc>
          <w:tcPr>
            <w:tcW w:w="306" w:type="pct"/>
            <w:tcBorders>
              <w:top w:val="nil"/>
              <w:left w:val="nil"/>
              <w:bottom w:val="single" w:color="auto" w:sz="4" w:space="0"/>
              <w:right w:val="single" w:color="auto" w:sz="4" w:space="0"/>
            </w:tcBorders>
            <w:shd w:val="clear" w:color="auto" w:fill="auto"/>
            <w:vAlign w:val="center"/>
          </w:tcPr>
          <w:p w14:paraId="3765211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3DB473E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4ED0713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2D94193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597D202">
            <w:pPr>
              <w:widowControl/>
              <w:spacing w:line="360" w:lineRule="auto"/>
              <w:jc w:val="center"/>
              <w:rPr>
                <w:rFonts w:cs="宋体" w:asciiTheme="minorEastAsia" w:hAnsiTheme="minorEastAsia" w:eastAsiaTheme="minorEastAsia"/>
                <w:color w:val="auto"/>
                <w:kern w:val="0"/>
                <w:szCs w:val="21"/>
                <w:highlight w:val="none"/>
              </w:rPr>
            </w:pPr>
          </w:p>
        </w:tc>
      </w:tr>
      <w:tr w14:paraId="5A3940E8">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28B77446">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0F475F3">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记录和报告需要的备件</w:t>
            </w:r>
          </w:p>
        </w:tc>
        <w:tc>
          <w:tcPr>
            <w:tcW w:w="306" w:type="pct"/>
            <w:tcBorders>
              <w:top w:val="nil"/>
              <w:left w:val="nil"/>
              <w:bottom w:val="single" w:color="auto" w:sz="4" w:space="0"/>
              <w:right w:val="single" w:color="auto" w:sz="4" w:space="0"/>
            </w:tcBorders>
            <w:shd w:val="clear" w:color="auto" w:fill="auto"/>
            <w:vAlign w:val="center"/>
          </w:tcPr>
          <w:p w14:paraId="5D5DC0E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70BEE8C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6F64D8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1209F9E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3C51166">
            <w:pPr>
              <w:widowControl/>
              <w:spacing w:line="360" w:lineRule="auto"/>
              <w:jc w:val="center"/>
              <w:rPr>
                <w:rFonts w:cs="宋体" w:asciiTheme="minorEastAsia" w:hAnsiTheme="minorEastAsia" w:eastAsiaTheme="minorEastAsia"/>
                <w:color w:val="auto"/>
                <w:kern w:val="0"/>
                <w:szCs w:val="21"/>
                <w:highlight w:val="none"/>
              </w:rPr>
            </w:pPr>
          </w:p>
        </w:tc>
      </w:tr>
      <w:tr w14:paraId="0088B3E2">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617BEFBA">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AA89E8A">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对于离心式冷水机组，每月根据喘振次数及供回水条件，提出运行意见。</w:t>
            </w:r>
          </w:p>
        </w:tc>
        <w:tc>
          <w:tcPr>
            <w:tcW w:w="306" w:type="pct"/>
            <w:tcBorders>
              <w:top w:val="nil"/>
              <w:left w:val="nil"/>
              <w:bottom w:val="single" w:color="auto" w:sz="4" w:space="0"/>
              <w:right w:val="single" w:color="auto" w:sz="4" w:space="0"/>
            </w:tcBorders>
            <w:shd w:val="clear" w:color="auto" w:fill="auto"/>
            <w:vAlign w:val="center"/>
          </w:tcPr>
          <w:p w14:paraId="61D70A8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11BB69D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5DD8D2B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vAlign w:val="center"/>
          </w:tcPr>
          <w:p w14:paraId="6218C6B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6B8C4D91">
            <w:pPr>
              <w:widowControl/>
              <w:spacing w:line="360" w:lineRule="auto"/>
              <w:jc w:val="center"/>
              <w:rPr>
                <w:rFonts w:cs="宋体" w:asciiTheme="minorEastAsia" w:hAnsiTheme="minorEastAsia" w:eastAsiaTheme="minorEastAsia"/>
                <w:color w:val="auto"/>
                <w:kern w:val="0"/>
                <w:szCs w:val="21"/>
                <w:highlight w:val="none"/>
              </w:rPr>
            </w:pPr>
          </w:p>
        </w:tc>
      </w:tr>
      <w:tr w14:paraId="1BB3F3AD">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1769907D">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7D8C568">
            <w:pPr>
              <w:widowControl/>
              <w:jc w:val="left"/>
              <w:rPr>
                <w:rFonts w:ascii="宋体" w:hAnsi="宋体" w:cs="宋体"/>
                <w:color w:val="auto"/>
                <w:kern w:val="0"/>
                <w:szCs w:val="21"/>
                <w:highlight w:val="none"/>
              </w:rPr>
            </w:pPr>
            <w:r>
              <w:rPr>
                <w:rFonts w:hint="eastAsia" w:ascii="宋体" w:hAnsi="宋体" w:cs="宋体"/>
                <w:b/>
                <w:bCs/>
                <w:color w:val="auto"/>
                <w:kern w:val="0"/>
                <w:szCs w:val="21"/>
                <w:highlight w:val="none"/>
              </w:rPr>
              <w:t>整机检查，包括但不限于</w:t>
            </w:r>
            <w:r>
              <w:rPr>
                <w:rFonts w:hint="eastAsia" w:ascii="宋体" w:hAnsi="宋体" w:cs="宋体"/>
                <w:color w:val="auto"/>
                <w:kern w:val="0"/>
                <w:szCs w:val="21"/>
                <w:highlight w:val="none"/>
              </w:rPr>
              <w:t>：泄露检查，找出泄露点并进行维修；补充正常使用损耗的制冷剂；核定视液镜液位是否正常；检查制冷剂循环是否正常；维修脱落的保温层；整机</w:t>
            </w:r>
            <w:r>
              <w:rPr>
                <w:rFonts w:ascii="宋体" w:hAnsi="宋体" w:cs="宋体"/>
                <w:color w:val="auto"/>
                <w:kern w:val="0"/>
                <w:szCs w:val="21"/>
                <w:highlight w:val="none"/>
              </w:rPr>
              <w:t>振动分析。</w:t>
            </w:r>
          </w:p>
        </w:tc>
        <w:tc>
          <w:tcPr>
            <w:tcW w:w="306" w:type="pct"/>
            <w:tcBorders>
              <w:top w:val="nil"/>
              <w:left w:val="nil"/>
              <w:bottom w:val="single" w:color="auto" w:sz="4" w:space="0"/>
              <w:right w:val="single" w:color="auto" w:sz="4" w:space="0"/>
            </w:tcBorders>
            <w:shd w:val="clear" w:color="auto" w:fill="auto"/>
            <w:vAlign w:val="center"/>
          </w:tcPr>
          <w:p w14:paraId="6219FC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19F43CC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49CC7D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4503F83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44556942">
            <w:pPr>
              <w:widowControl/>
              <w:jc w:val="center"/>
              <w:rPr>
                <w:rFonts w:ascii="宋体" w:hAnsi="宋体" w:cs="宋体"/>
                <w:color w:val="auto"/>
                <w:kern w:val="0"/>
                <w:szCs w:val="21"/>
                <w:highlight w:val="none"/>
              </w:rPr>
            </w:pPr>
          </w:p>
        </w:tc>
      </w:tr>
      <w:tr w14:paraId="34E17A1F">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6198007F">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F58015F">
            <w:pPr>
              <w:widowControl/>
              <w:jc w:val="left"/>
              <w:rPr>
                <w:rFonts w:cs="宋体" w:asciiTheme="minorEastAsia" w:hAnsiTheme="minorEastAsia" w:eastAsiaTheme="minorEastAsia"/>
                <w:color w:val="auto"/>
                <w:kern w:val="0"/>
                <w:szCs w:val="21"/>
                <w:highlight w:val="none"/>
              </w:rPr>
            </w:pPr>
            <w:r>
              <w:rPr>
                <w:rFonts w:hint="eastAsia" w:ascii="宋体" w:hAnsi="宋体" w:cs="宋体"/>
                <w:b/>
                <w:bCs/>
                <w:color w:val="auto"/>
                <w:kern w:val="0"/>
                <w:szCs w:val="21"/>
                <w:highlight w:val="none"/>
              </w:rPr>
              <w:t>检</w:t>
            </w:r>
            <w:r>
              <w:rPr>
                <w:rFonts w:hint="eastAsia" w:ascii="宋体" w:hAnsi="宋体" w:cs="宋体"/>
                <w:color w:val="auto"/>
                <w:kern w:val="0"/>
                <w:szCs w:val="21"/>
                <w:highlight w:val="none"/>
              </w:rPr>
              <w:t>查压缩机、电机组件，包括但不限于：记录电压；测试电机绕组绝缘电阻；润滑开式电机；检查开式电机驱动系统定位状态；检查联轴器；检查联轴器和机封状态；对于离心式冷水机组，检查入口导流叶片的操作机构和连接机构并润滑；对于螺杆机，检查滑阀的运行情况，进行必要的调整。</w:t>
            </w:r>
          </w:p>
        </w:tc>
        <w:tc>
          <w:tcPr>
            <w:tcW w:w="306" w:type="pct"/>
            <w:tcBorders>
              <w:top w:val="nil"/>
              <w:left w:val="nil"/>
              <w:bottom w:val="single" w:color="auto" w:sz="4" w:space="0"/>
              <w:right w:val="single" w:color="auto" w:sz="4" w:space="0"/>
            </w:tcBorders>
            <w:shd w:val="clear" w:color="auto" w:fill="auto"/>
            <w:vAlign w:val="center"/>
          </w:tcPr>
          <w:p w14:paraId="0E396F4F">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4C6FDC5A">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7A653A7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187FE1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7CF74365">
            <w:pPr>
              <w:widowControl/>
              <w:spacing w:line="360" w:lineRule="auto"/>
              <w:jc w:val="center"/>
              <w:rPr>
                <w:rFonts w:cs="宋体" w:asciiTheme="minorEastAsia" w:hAnsiTheme="minorEastAsia" w:eastAsiaTheme="minorEastAsia"/>
                <w:color w:val="auto"/>
                <w:kern w:val="0"/>
                <w:szCs w:val="21"/>
                <w:highlight w:val="none"/>
              </w:rPr>
            </w:pPr>
          </w:p>
        </w:tc>
      </w:tr>
      <w:tr w14:paraId="6984B0AE">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4916B7A0">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78F5017">
            <w:pPr>
              <w:widowControl/>
              <w:jc w:val="left"/>
              <w:rPr>
                <w:rFonts w:ascii="宋体" w:hAnsi="宋体" w:cs="宋体"/>
                <w:color w:val="auto"/>
                <w:kern w:val="0"/>
                <w:szCs w:val="21"/>
                <w:highlight w:val="none"/>
              </w:rPr>
            </w:pPr>
            <w:r>
              <w:rPr>
                <w:rFonts w:hint="eastAsia" w:ascii="宋体" w:hAnsi="宋体" w:cs="宋体"/>
                <w:b/>
                <w:bCs/>
                <w:color w:val="auto"/>
                <w:kern w:val="0"/>
                <w:szCs w:val="21"/>
                <w:highlight w:val="none"/>
              </w:rPr>
              <w:t>检查压缩机润滑油系统</w:t>
            </w:r>
            <w:r>
              <w:rPr>
                <w:rFonts w:hint="eastAsia" w:ascii="宋体" w:hAnsi="宋体" w:cs="宋体"/>
                <w:color w:val="auto"/>
                <w:kern w:val="0"/>
                <w:szCs w:val="21"/>
                <w:highlight w:val="none"/>
              </w:rPr>
              <w:t>，包括但不限于：根据需要更换润滑油、油过滤器和干燥过滤器；检查油泵、密封和油泵电机；检查加热器和恒温器；清洁排污管；检查加热器和恒温器；检查其他所有油冷却部件，如油冷却器、过滤器和干燥器。</w:t>
            </w:r>
          </w:p>
        </w:tc>
        <w:tc>
          <w:tcPr>
            <w:tcW w:w="306" w:type="pct"/>
            <w:tcBorders>
              <w:top w:val="nil"/>
              <w:left w:val="nil"/>
              <w:bottom w:val="single" w:color="auto" w:sz="4" w:space="0"/>
              <w:right w:val="single" w:color="auto" w:sz="4" w:space="0"/>
            </w:tcBorders>
            <w:shd w:val="clear" w:color="auto" w:fill="auto"/>
            <w:vAlign w:val="center"/>
          </w:tcPr>
          <w:p w14:paraId="200049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460F1C2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4CB871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5AE5C5E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3BE55F45">
            <w:pPr>
              <w:widowControl/>
              <w:jc w:val="center"/>
              <w:rPr>
                <w:rFonts w:ascii="宋体" w:hAnsi="宋体" w:cs="宋体"/>
                <w:color w:val="auto"/>
                <w:kern w:val="0"/>
                <w:szCs w:val="21"/>
                <w:highlight w:val="none"/>
              </w:rPr>
            </w:pPr>
          </w:p>
        </w:tc>
      </w:tr>
      <w:tr w14:paraId="4E591019">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227B0284">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41C4CBB">
            <w:pPr>
              <w:widowControl/>
              <w:jc w:val="left"/>
              <w:rPr>
                <w:rFonts w:ascii="宋体" w:hAnsi="宋体" w:cs="宋体"/>
                <w:color w:val="auto"/>
                <w:kern w:val="0"/>
                <w:szCs w:val="21"/>
                <w:highlight w:val="none"/>
              </w:rPr>
            </w:pPr>
            <w:r>
              <w:rPr>
                <w:rFonts w:hint="eastAsia" w:ascii="宋体" w:hAnsi="宋体" w:cs="宋体"/>
                <w:b/>
                <w:bCs/>
                <w:color w:val="auto"/>
                <w:kern w:val="0"/>
                <w:szCs w:val="21"/>
                <w:highlight w:val="none"/>
              </w:rPr>
              <w:t>检查机载电机启动器</w:t>
            </w:r>
            <w:r>
              <w:rPr>
                <w:rFonts w:hint="eastAsia" w:ascii="宋体" w:hAnsi="宋体" w:cs="宋体"/>
                <w:color w:val="auto"/>
                <w:kern w:val="0"/>
                <w:szCs w:val="21"/>
                <w:highlight w:val="none"/>
              </w:rPr>
              <w:t>，包括但不限于：执行诊断检查程序；清洁接触器或必要时建议更换；检查连接机构；检查所有接线端，并拧紧；检查过载装置；空载运行启动器，检查状态指示灯等。</w:t>
            </w:r>
          </w:p>
        </w:tc>
        <w:tc>
          <w:tcPr>
            <w:tcW w:w="306" w:type="pct"/>
            <w:tcBorders>
              <w:top w:val="nil"/>
              <w:left w:val="nil"/>
              <w:bottom w:val="single" w:color="auto" w:sz="4" w:space="0"/>
              <w:right w:val="single" w:color="auto" w:sz="4" w:space="0"/>
            </w:tcBorders>
            <w:shd w:val="clear" w:color="auto" w:fill="auto"/>
            <w:vAlign w:val="center"/>
          </w:tcPr>
          <w:p w14:paraId="2CB8866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3E095A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7D7A5D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7700D3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75B57BBE">
            <w:pPr>
              <w:widowControl/>
              <w:jc w:val="center"/>
              <w:rPr>
                <w:rFonts w:ascii="宋体" w:hAnsi="宋体" w:cs="宋体"/>
                <w:color w:val="auto"/>
                <w:kern w:val="0"/>
                <w:szCs w:val="21"/>
                <w:highlight w:val="none"/>
              </w:rPr>
            </w:pPr>
          </w:p>
        </w:tc>
      </w:tr>
      <w:tr w14:paraId="166EA2ED">
        <w:tblPrEx>
          <w:tblCellMar>
            <w:top w:w="0" w:type="dxa"/>
            <w:left w:w="0" w:type="dxa"/>
            <w:bottom w:w="0" w:type="dxa"/>
            <w:right w:w="0" w:type="dxa"/>
          </w:tblCellMar>
        </w:tblPrEx>
        <w:trPr>
          <w:trHeight w:val="540" w:hRule="atLeast"/>
        </w:trPr>
        <w:tc>
          <w:tcPr>
            <w:tcW w:w="556" w:type="pct"/>
            <w:vMerge w:val="continue"/>
            <w:tcBorders>
              <w:top w:val="nil"/>
              <w:left w:val="single" w:color="auto" w:sz="4" w:space="0"/>
              <w:bottom w:val="single" w:color="auto" w:sz="4" w:space="0"/>
              <w:right w:val="single" w:color="auto" w:sz="4" w:space="0"/>
            </w:tcBorders>
            <w:vAlign w:val="center"/>
          </w:tcPr>
          <w:p w14:paraId="49CB7476">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D3FA37E">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b/>
                <w:bCs/>
                <w:color w:val="auto"/>
                <w:kern w:val="0"/>
                <w:szCs w:val="21"/>
                <w:highlight w:val="none"/>
              </w:rPr>
              <w:t>检查控制面板</w:t>
            </w:r>
            <w:r>
              <w:rPr>
                <w:rFonts w:hint="eastAsia" w:cs="宋体" w:asciiTheme="minorEastAsia" w:hAnsiTheme="minorEastAsia" w:eastAsiaTheme="minorEastAsia"/>
                <w:color w:val="auto"/>
                <w:kern w:val="0"/>
                <w:szCs w:val="21"/>
                <w:highlight w:val="none"/>
              </w:rPr>
              <w:t>，包括但不限于：除尘；检查信号指示灯是否正常；检查接线端子有无松动等。</w:t>
            </w:r>
          </w:p>
        </w:tc>
        <w:tc>
          <w:tcPr>
            <w:tcW w:w="306" w:type="pct"/>
            <w:tcBorders>
              <w:top w:val="nil"/>
              <w:left w:val="nil"/>
              <w:bottom w:val="single" w:color="auto" w:sz="4" w:space="0"/>
              <w:right w:val="single" w:color="auto" w:sz="4" w:space="0"/>
            </w:tcBorders>
            <w:shd w:val="clear" w:color="auto" w:fill="auto"/>
            <w:vAlign w:val="center"/>
          </w:tcPr>
          <w:p w14:paraId="2D6FDD5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378AE77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6DD7A3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59A5A71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3079F14">
            <w:pPr>
              <w:widowControl/>
              <w:spacing w:line="360" w:lineRule="auto"/>
              <w:jc w:val="center"/>
              <w:rPr>
                <w:rFonts w:cs="宋体" w:asciiTheme="minorEastAsia" w:hAnsiTheme="minorEastAsia" w:eastAsiaTheme="minorEastAsia"/>
                <w:color w:val="auto"/>
                <w:kern w:val="0"/>
                <w:szCs w:val="21"/>
                <w:highlight w:val="none"/>
              </w:rPr>
            </w:pPr>
          </w:p>
        </w:tc>
      </w:tr>
      <w:tr w14:paraId="10BA6903">
        <w:tblPrEx>
          <w:tblCellMar>
            <w:top w:w="0" w:type="dxa"/>
            <w:left w:w="0" w:type="dxa"/>
            <w:bottom w:w="0" w:type="dxa"/>
            <w:right w:w="0" w:type="dxa"/>
          </w:tblCellMar>
        </w:tblPrEx>
        <w:trPr>
          <w:trHeight w:val="540" w:hRule="atLeast"/>
        </w:trPr>
        <w:tc>
          <w:tcPr>
            <w:tcW w:w="556" w:type="pct"/>
            <w:vMerge w:val="continue"/>
            <w:tcBorders>
              <w:top w:val="nil"/>
              <w:left w:val="single" w:color="auto" w:sz="4" w:space="0"/>
              <w:bottom w:val="single" w:color="auto" w:sz="4" w:space="0"/>
              <w:right w:val="single" w:color="auto" w:sz="4" w:space="0"/>
            </w:tcBorders>
            <w:vAlign w:val="center"/>
          </w:tcPr>
          <w:p w14:paraId="2D6D1DB7">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E19B11F">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b/>
                <w:bCs/>
                <w:color w:val="auto"/>
                <w:kern w:val="0"/>
                <w:szCs w:val="21"/>
                <w:highlight w:val="none"/>
              </w:rPr>
              <w:t>检查冷凝器、蒸发器</w:t>
            </w:r>
            <w:r>
              <w:rPr>
                <w:rFonts w:hint="eastAsia" w:cs="宋体" w:asciiTheme="minorEastAsia" w:hAnsiTheme="minorEastAsia" w:eastAsiaTheme="minorEastAsia"/>
                <w:color w:val="auto"/>
                <w:kern w:val="0"/>
                <w:szCs w:val="21"/>
                <w:highlight w:val="none"/>
              </w:rPr>
              <w:t>，包括但不限于：检查水流量、水流开关情况，根据运行记录表分析建议的水质处理方案，必要时拆安端盖，小温差</w:t>
            </w:r>
            <w:r>
              <w:rPr>
                <w:rFonts w:cs="宋体" w:asciiTheme="minorEastAsia" w:hAnsiTheme="minorEastAsia" w:eastAsiaTheme="minorEastAsia"/>
                <w:color w:val="auto"/>
                <w:kern w:val="0"/>
                <w:szCs w:val="21"/>
                <w:highlight w:val="none"/>
              </w:rPr>
              <w:t>大于</w:t>
            </w:r>
            <w:r>
              <w:rPr>
                <w:rFonts w:hint="eastAsia" w:cs="宋体" w:asciiTheme="minorEastAsia" w:hAnsiTheme="minorEastAsia" w:eastAsiaTheme="minorEastAsia"/>
                <w:color w:val="auto"/>
                <w:kern w:val="0"/>
                <w:szCs w:val="21"/>
                <w:highlight w:val="none"/>
              </w:rPr>
              <w:t>3.5℃</w:t>
            </w:r>
            <w:r>
              <w:rPr>
                <w:rFonts w:cs="宋体" w:asciiTheme="minorEastAsia" w:hAnsiTheme="minorEastAsia" w:eastAsiaTheme="minorEastAsia"/>
                <w:color w:val="auto"/>
                <w:kern w:val="0"/>
                <w:szCs w:val="21"/>
                <w:highlight w:val="none"/>
              </w:rPr>
              <w:t>或</w:t>
            </w:r>
            <w:r>
              <w:rPr>
                <w:rFonts w:hint="eastAsia" w:cs="宋体" w:asciiTheme="minorEastAsia" w:hAnsiTheme="minorEastAsia" w:eastAsiaTheme="minorEastAsia"/>
                <w:color w:val="auto"/>
                <w:kern w:val="0"/>
                <w:szCs w:val="21"/>
                <w:highlight w:val="none"/>
              </w:rPr>
              <w:t>招标人</w:t>
            </w:r>
            <w:r>
              <w:rPr>
                <w:rFonts w:cs="宋体" w:asciiTheme="minorEastAsia" w:hAnsiTheme="minorEastAsia" w:eastAsiaTheme="minorEastAsia"/>
                <w:color w:val="auto"/>
                <w:kern w:val="0"/>
                <w:szCs w:val="21"/>
                <w:highlight w:val="none"/>
              </w:rPr>
              <w:t>认为有必要时</w:t>
            </w:r>
            <w:r>
              <w:rPr>
                <w:rFonts w:hint="eastAsia" w:cs="宋体" w:asciiTheme="minorEastAsia" w:hAnsiTheme="minorEastAsia" w:eastAsiaTheme="minorEastAsia"/>
                <w:color w:val="auto"/>
                <w:kern w:val="0"/>
                <w:szCs w:val="21"/>
                <w:highlight w:val="none"/>
              </w:rPr>
              <w:t>清洗</w:t>
            </w:r>
            <w:r>
              <w:rPr>
                <w:rFonts w:cs="宋体" w:asciiTheme="minorEastAsia" w:hAnsiTheme="minorEastAsia" w:eastAsiaTheme="minorEastAsia"/>
                <w:color w:val="auto"/>
                <w:kern w:val="0"/>
                <w:szCs w:val="21"/>
                <w:highlight w:val="none"/>
              </w:rPr>
              <w:t>换热管，</w:t>
            </w:r>
            <w:r>
              <w:rPr>
                <w:rFonts w:hint="eastAsia" w:cs="宋体" w:asciiTheme="minorEastAsia" w:hAnsiTheme="minorEastAsia" w:eastAsiaTheme="minorEastAsia"/>
                <w:color w:val="auto"/>
                <w:kern w:val="0"/>
                <w:szCs w:val="21"/>
                <w:highlight w:val="none"/>
              </w:rPr>
              <w:t>更换密封。</w:t>
            </w:r>
          </w:p>
        </w:tc>
        <w:tc>
          <w:tcPr>
            <w:tcW w:w="306" w:type="pct"/>
            <w:tcBorders>
              <w:top w:val="nil"/>
              <w:left w:val="nil"/>
              <w:bottom w:val="single" w:color="auto" w:sz="4" w:space="0"/>
              <w:right w:val="single" w:color="auto" w:sz="4" w:space="0"/>
            </w:tcBorders>
            <w:shd w:val="clear" w:color="auto" w:fill="auto"/>
            <w:vAlign w:val="center"/>
          </w:tcPr>
          <w:p w14:paraId="4AACE29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657D2C5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E1A167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vAlign w:val="center"/>
          </w:tcPr>
          <w:p w14:paraId="19DD84F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6241C89F">
            <w:pPr>
              <w:widowControl/>
              <w:spacing w:line="360" w:lineRule="auto"/>
              <w:jc w:val="center"/>
              <w:rPr>
                <w:rFonts w:cs="宋体" w:asciiTheme="minorEastAsia" w:hAnsiTheme="minorEastAsia" w:eastAsiaTheme="minorEastAsia"/>
                <w:color w:val="auto"/>
                <w:kern w:val="0"/>
                <w:szCs w:val="21"/>
                <w:highlight w:val="none"/>
              </w:rPr>
            </w:pPr>
          </w:p>
        </w:tc>
      </w:tr>
      <w:tr w14:paraId="409BDF48">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5A5B451F">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A779677">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紧固所有接线端子</w:t>
            </w:r>
          </w:p>
        </w:tc>
        <w:tc>
          <w:tcPr>
            <w:tcW w:w="306" w:type="pct"/>
            <w:tcBorders>
              <w:top w:val="nil"/>
              <w:left w:val="nil"/>
              <w:bottom w:val="single" w:color="auto" w:sz="4" w:space="0"/>
              <w:right w:val="single" w:color="auto" w:sz="4" w:space="0"/>
            </w:tcBorders>
            <w:shd w:val="clear" w:color="auto" w:fill="auto"/>
            <w:vAlign w:val="center"/>
          </w:tcPr>
          <w:p w14:paraId="58D45C2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65DF0C1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38DEDD3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58D9562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4CBFC54">
            <w:pPr>
              <w:widowControl/>
              <w:spacing w:line="360" w:lineRule="auto"/>
              <w:jc w:val="center"/>
              <w:rPr>
                <w:rFonts w:cs="宋体" w:asciiTheme="minorEastAsia" w:hAnsiTheme="minorEastAsia" w:eastAsiaTheme="minorEastAsia"/>
                <w:color w:val="auto"/>
                <w:kern w:val="0"/>
                <w:szCs w:val="21"/>
                <w:highlight w:val="none"/>
              </w:rPr>
            </w:pPr>
          </w:p>
        </w:tc>
      </w:tr>
      <w:tr w14:paraId="00E7F81A">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36D1B2E9">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5C961BF">
            <w:pPr>
              <w:widowControl/>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整机清洁，补防锈漆，</w:t>
            </w:r>
            <w:r>
              <w:rPr>
                <w:rFonts w:cs="宋体" w:asciiTheme="minorEastAsia" w:hAnsiTheme="minorEastAsia" w:eastAsiaTheme="minorEastAsia"/>
                <w:b/>
                <w:bCs/>
                <w:color w:val="auto"/>
                <w:kern w:val="0"/>
                <w:szCs w:val="21"/>
                <w:highlight w:val="none"/>
              </w:rPr>
              <w:t>补保温材料</w:t>
            </w:r>
          </w:p>
        </w:tc>
        <w:tc>
          <w:tcPr>
            <w:tcW w:w="306" w:type="pct"/>
            <w:tcBorders>
              <w:top w:val="nil"/>
              <w:left w:val="nil"/>
              <w:bottom w:val="single" w:color="auto" w:sz="4" w:space="0"/>
              <w:right w:val="single" w:color="auto" w:sz="4" w:space="0"/>
            </w:tcBorders>
            <w:shd w:val="clear" w:color="auto" w:fill="auto"/>
            <w:vAlign w:val="center"/>
          </w:tcPr>
          <w:p w14:paraId="39B7B2B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574F86D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20F4018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4BEC613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659DFB5">
            <w:pPr>
              <w:widowControl/>
              <w:spacing w:line="360" w:lineRule="auto"/>
              <w:jc w:val="center"/>
              <w:rPr>
                <w:rFonts w:cs="宋体" w:asciiTheme="minorEastAsia" w:hAnsiTheme="minorEastAsia" w:eastAsiaTheme="minorEastAsia"/>
                <w:color w:val="auto"/>
                <w:kern w:val="0"/>
                <w:szCs w:val="21"/>
                <w:highlight w:val="none"/>
              </w:rPr>
            </w:pPr>
          </w:p>
        </w:tc>
      </w:tr>
      <w:tr w14:paraId="054100D6">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bottom w:val="single" w:color="000000" w:sz="4" w:space="0"/>
              <w:right w:val="single" w:color="auto" w:sz="4" w:space="0"/>
            </w:tcBorders>
            <w:shd w:val="clear" w:color="auto" w:fill="auto"/>
            <w:vAlign w:val="center"/>
          </w:tcPr>
          <w:p w14:paraId="5E25ACA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冷机群控系统</w:t>
            </w:r>
          </w:p>
        </w:tc>
        <w:tc>
          <w:tcPr>
            <w:tcW w:w="2241" w:type="pct"/>
            <w:tcBorders>
              <w:top w:val="nil"/>
              <w:left w:val="nil"/>
              <w:bottom w:val="single" w:color="auto" w:sz="4" w:space="0"/>
              <w:right w:val="single" w:color="auto" w:sz="4" w:space="0"/>
            </w:tcBorders>
            <w:shd w:val="clear" w:color="auto" w:fill="auto"/>
            <w:vAlign w:val="center"/>
          </w:tcPr>
          <w:p w14:paraId="665D46C7">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整理、备份数据库文件</w:t>
            </w:r>
          </w:p>
        </w:tc>
        <w:tc>
          <w:tcPr>
            <w:tcW w:w="306" w:type="pct"/>
            <w:tcBorders>
              <w:top w:val="nil"/>
              <w:left w:val="nil"/>
              <w:bottom w:val="single" w:color="auto" w:sz="4" w:space="0"/>
              <w:right w:val="single" w:color="auto" w:sz="4" w:space="0"/>
            </w:tcBorders>
            <w:shd w:val="clear" w:color="auto" w:fill="auto"/>
            <w:vAlign w:val="center"/>
          </w:tcPr>
          <w:p w14:paraId="237129D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476000D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490E089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3A6D18D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65EFDF3">
            <w:pPr>
              <w:widowControl/>
              <w:spacing w:line="360" w:lineRule="auto"/>
              <w:jc w:val="center"/>
              <w:rPr>
                <w:rFonts w:cs="宋体" w:asciiTheme="minorEastAsia" w:hAnsiTheme="minorEastAsia" w:eastAsiaTheme="minorEastAsia"/>
                <w:color w:val="auto"/>
                <w:kern w:val="0"/>
                <w:szCs w:val="21"/>
                <w:highlight w:val="none"/>
              </w:rPr>
            </w:pPr>
          </w:p>
        </w:tc>
      </w:tr>
      <w:tr w14:paraId="4D10F1C6">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000000" w:sz="4" w:space="0"/>
              <w:right w:val="single" w:color="auto" w:sz="4" w:space="0"/>
            </w:tcBorders>
            <w:vAlign w:val="center"/>
          </w:tcPr>
          <w:p w14:paraId="29C9D601">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F23AA0C">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检查接线端子有无松动</w:t>
            </w:r>
          </w:p>
        </w:tc>
        <w:tc>
          <w:tcPr>
            <w:tcW w:w="306" w:type="pct"/>
            <w:tcBorders>
              <w:top w:val="nil"/>
              <w:left w:val="nil"/>
              <w:bottom w:val="single" w:color="auto" w:sz="4" w:space="0"/>
              <w:right w:val="single" w:color="auto" w:sz="4" w:space="0"/>
            </w:tcBorders>
            <w:shd w:val="clear" w:color="auto" w:fill="auto"/>
            <w:vAlign w:val="center"/>
          </w:tcPr>
          <w:p w14:paraId="563F655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5920031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3C244C1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578734E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904ED4F">
            <w:pPr>
              <w:widowControl/>
              <w:spacing w:line="360" w:lineRule="auto"/>
              <w:jc w:val="center"/>
              <w:rPr>
                <w:rFonts w:cs="宋体" w:asciiTheme="minorEastAsia" w:hAnsiTheme="minorEastAsia" w:eastAsiaTheme="minorEastAsia"/>
                <w:color w:val="auto"/>
                <w:kern w:val="0"/>
                <w:szCs w:val="21"/>
                <w:highlight w:val="none"/>
              </w:rPr>
            </w:pPr>
          </w:p>
        </w:tc>
      </w:tr>
      <w:tr w14:paraId="7183BD63">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000000" w:sz="4" w:space="0"/>
              <w:right w:val="single" w:color="auto" w:sz="4" w:space="0"/>
            </w:tcBorders>
            <w:vAlign w:val="center"/>
          </w:tcPr>
          <w:p w14:paraId="1E181F5C">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E77CB84">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检查全部电动阀的开关动作，包括执行器按钮操作、现场开关箱操作及远程自控控制。</w:t>
            </w:r>
          </w:p>
        </w:tc>
        <w:tc>
          <w:tcPr>
            <w:tcW w:w="306" w:type="pct"/>
            <w:tcBorders>
              <w:top w:val="nil"/>
              <w:left w:val="nil"/>
              <w:bottom w:val="single" w:color="auto" w:sz="4" w:space="0"/>
              <w:right w:val="single" w:color="auto" w:sz="4" w:space="0"/>
            </w:tcBorders>
            <w:shd w:val="clear" w:color="auto" w:fill="auto"/>
            <w:vAlign w:val="center"/>
          </w:tcPr>
          <w:p w14:paraId="74C7382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19C3238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E363A8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316FE9A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D640795">
            <w:pPr>
              <w:widowControl/>
              <w:spacing w:line="360" w:lineRule="auto"/>
              <w:jc w:val="center"/>
              <w:rPr>
                <w:rFonts w:cs="宋体" w:asciiTheme="minorEastAsia" w:hAnsiTheme="minorEastAsia" w:eastAsiaTheme="minorEastAsia"/>
                <w:color w:val="auto"/>
                <w:kern w:val="0"/>
                <w:szCs w:val="21"/>
                <w:highlight w:val="none"/>
              </w:rPr>
            </w:pPr>
          </w:p>
        </w:tc>
      </w:tr>
      <w:tr w14:paraId="64A90E9E">
        <w:tblPrEx>
          <w:tblCellMar>
            <w:top w:w="0" w:type="dxa"/>
            <w:left w:w="0" w:type="dxa"/>
            <w:bottom w:w="0" w:type="dxa"/>
            <w:right w:w="0" w:type="dxa"/>
          </w:tblCellMar>
        </w:tblPrEx>
        <w:trPr>
          <w:trHeight w:val="540" w:hRule="atLeast"/>
        </w:trPr>
        <w:tc>
          <w:tcPr>
            <w:tcW w:w="556" w:type="pct"/>
            <w:vMerge w:val="restart"/>
            <w:tcBorders>
              <w:top w:val="nil"/>
              <w:left w:val="single" w:color="auto" w:sz="4" w:space="0"/>
              <w:bottom w:val="single" w:color="auto" w:sz="4" w:space="0"/>
              <w:right w:val="single" w:color="auto" w:sz="4" w:space="0"/>
            </w:tcBorders>
            <w:shd w:val="clear" w:color="auto" w:fill="auto"/>
            <w:vAlign w:val="center"/>
          </w:tcPr>
          <w:p w14:paraId="66056C2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冷冻水泵、冷却循环水泵</w:t>
            </w:r>
          </w:p>
        </w:tc>
        <w:tc>
          <w:tcPr>
            <w:tcW w:w="2241" w:type="pct"/>
            <w:tcBorders>
              <w:top w:val="nil"/>
              <w:left w:val="nil"/>
              <w:bottom w:val="single" w:color="auto" w:sz="4" w:space="0"/>
              <w:right w:val="single" w:color="auto" w:sz="4" w:space="0"/>
            </w:tcBorders>
            <w:shd w:val="clear" w:color="auto" w:fill="auto"/>
            <w:vAlign w:val="center"/>
          </w:tcPr>
          <w:p w14:paraId="79124737">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利用专业工具对水泵的同轴度进行检测，当超出允许范围时及时进行调整。定期检查缓冲垫和封垫，必要时进行更换。</w:t>
            </w:r>
          </w:p>
        </w:tc>
        <w:tc>
          <w:tcPr>
            <w:tcW w:w="306" w:type="pct"/>
            <w:tcBorders>
              <w:top w:val="nil"/>
              <w:left w:val="nil"/>
              <w:bottom w:val="nil"/>
              <w:right w:val="nil"/>
            </w:tcBorders>
            <w:shd w:val="clear" w:color="auto" w:fill="auto"/>
            <w:vAlign w:val="center"/>
          </w:tcPr>
          <w:p w14:paraId="4D42F447">
            <w:pPr>
              <w:widowControl/>
              <w:spacing w:line="360" w:lineRule="auto"/>
              <w:jc w:val="left"/>
              <w:rPr>
                <w:rFonts w:cs="宋体" w:asciiTheme="minorEastAsia" w:hAnsiTheme="minorEastAsia" w:eastAsiaTheme="minorEastAsia"/>
                <w:color w:val="auto"/>
                <w:kern w:val="0"/>
                <w:szCs w:val="21"/>
                <w:highlight w:val="none"/>
              </w:rPr>
            </w:pPr>
          </w:p>
        </w:tc>
        <w:tc>
          <w:tcPr>
            <w:tcW w:w="481" w:type="pct"/>
            <w:tcBorders>
              <w:top w:val="nil"/>
              <w:left w:val="single" w:color="auto" w:sz="4" w:space="0"/>
              <w:bottom w:val="single" w:color="auto" w:sz="4" w:space="0"/>
              <w:right w:val="single" w:color="auto" w:sz="4" w:space="0"/>
            </w:tcBorders>
            <w:shd w:val="clear" w:color="auto" w:fill="auto"/>
            <w:vAlign w:val="center"/>
          </w:tcPr>
          <w:p w14:paraId="1CA225D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13920E4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53AB8F2">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8D5FF1F">
            <w:pPr>
              <w:widowControl/>
              <w:spacing w:line="360" w:lineRule="auto"/>
              <w:jc w:val="center"/>
              <w:rPr>
                <w:rFonts w:cs="宋体" w:asciiTheme="minorEastAsia" w:hAnsiTheme="minorEastAsia" w:eastAsiaTheme="minorEastAsia"/>
                <w:color w:val="auto"/>
                <w:kern w:val="0"/>
                <w:szCs w:val="21"/>
                <w:highlight w:val="none"/>
              </w:rPr>
            </w:pPr>
          </w:p>
        </w:tc>
      </w:tr>
      <w:tr w14:paraId="33DFDA58">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44A2B2BE">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0AFF9B7">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检查电机端和轴端轴承的润滑情况，必要时进行保养、加油</w:t>
            </w:r>
          </w:p>
        </w:tc>
        <w:tc>
          <w:tcPr>
            <w:tcW w:w="306" w:type="pct"/>
            <w:tcBorders>
              <w:top w:val="single" w:color="auto" w:sz="4" w:space="0"/>
              <w:left w:val="nil"/>
              <w:bottom w:val="single" w:color="auto" w:sz="4" w:space="0"/>
              <w:right w:val="single" w:color="auto" w:sz="4" w:space="0"/>
            </w:tcBorders>
            <w:shd w:val="clear" w:color="auto" w:fill="auto"/>
            <w:vAlign w:val="center"/>
          </w:tcPr>
          <w:p w14:paraId="6A0BC16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6006DFF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2CBAB6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5A7B54A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86A5F89">
            <w:pPr>
              <w:widowControl/>
              <w:spacing w:line="360" w:lineRule="auto"/>
              <w:jc w:val="center"/>
              <w:rPr>
                <w:rFonts w:cs="宋体" w:asciiTheme="minorEastAsia" w:hAnsiTheme="minorEastAsia" w:eastAsiaTheme="minorEastAsia"/>
                <w:color w:val="auto"/>
                <w:kern w:val="0"/>
                <w:szCs w:val="21"/>
                <w:highlight w:val="none"/>
              </w:rPr>
            </w:pPr>
          </w:p>
        </w:tc>
      </w:tr>
      <w:tr w14:paraId="51E30799">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2DC83810">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51B8C56">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紧固所有接线端子</w:t>
            </w:r>
          </w:p>
        </w:tc>
        <w:tc>
          <w:tcPr>
            <w:tcW w:w="306" w:type="pct"/>
            <w:tcBorders>
              <w:top w:val="single" w:color="auto" w:sz="4" w:space="0"/>
              <w:left w:val="nil"/>
              <w:bottom w:val="single" w:color="auto" w:sz="4" w:space="0"/>
              <w:right w:val="nil"/>
            </w:tcBorders>
            <w:shd w:val="clear" w:color="auto" w:fill="auto"/>
            <w:vAlign w:val="center"/>
          </w:tcPr>
          <w:p w14:paraId="3CE3A6DE">
            <w:pPr>
              <w:widowControl/>
              <w:spacing w:line="360" w:lineRule="auto"/>
              <w:jc w:val="left"/>
              <w:rPr>
                <w:rFonts w:cs="宋体" w:asciiTheme="minorEastAsia" w:hAnsiTheme="minorEastAsia" w:eastAsiaTheme="minorEastAsia"/>
                <w:color w:val="auto"/>
                <w:kern w:val="0"/>
                <w:szCs w:val="21"/>
                <w:highlight w:val="none"/>
              </w:rPr>
            </w:pPr>
          </w:p>
        </w:tc>
        <w:tc>
          <w:tcPr>
            <w:tcW w:w="481" w:type="pct"/>
            <w:tcBorders>
              <w:top w:val="nil"/>
              <w:left w:val="single" w:color="auto" w:sz="4" w:space="0"/>
              <w:bottom w:val="single" w:color="auto" w:sz="4" w:space="0"/>
              <w:right w:val="single" w:color="auto" w:sz="4" w:space="0"/>
            </w:tcBorders>
            <w:shd w:val="clear" w:color="auto" w:fill="auto"/>
            <w:vAlign w:val="center"/>
          </w:tcPr>
          <w:p w14:paraId="0485749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0ED63B1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4BA6B036">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4C2D7F0">
            <w:pPr>
              <w:widowControl/>
              <w:spacing w:line="360" w:lineRule="auto"/>
              <w:jc w:val="center"/>
              <w:rPr>
                <w:rFonts w:cs="宋体" w:asciiTheme="minorEastAsia" w:hAnsiTheme="minorEastAsia" w:eastAsiaTheme="minorEastAsia"/>
                <w:color w:val="auto"/>
                <w:kern w:val="0"/>
                <w:szCs w:val="21"/>
                <w:highlight w:val="none"/>
              </w:rPr>
            </w:pPr>
          </w:p>
        </w:tc>
      </w:tr>
      <w:tr w14:paraId="2E6D4636">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0DA76AA0">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AB24122">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检查机械密封可靠性，是否有泄漏，备用泵需每月盘车一次。</w:t>
            </w:r>
          </w:p>
        </w:tc>
        <w:tc>
          <w:tcPr>
            <w:tcW w:w="306" w:type="pct"/>
            <w:tcBorders>
              <w:top w:val="single" w:color="auto" w:sz="4" w:space="0"/>
              <w:left w:val="nil"/>
              <w:bottom w:val="single" w:color="auto" w:sz="4" w:space="0"/>
              <w:right w:val="nil"/>
            </w:tcBorders>
            <w:shd w:val="clear" w:color="auto" w:fill="auto"/>
            <w:vAlign w:val="center"/>
          </w:tcPr>
          <w:p w14:paraId="53799A5B">
            <w:pPr>
              <w:widowControl/>
              <w:spacing w:line="360" w:lineRule="auto"/>
              <w:jc w:val="left"/>
              <w:rPr>
                <w:rFonts w:cs="宋体" w:asciiTheme="minorEastAsia" w:hAnsiTheme="minorEastAsia" w:eastAsiaTheme="minorEastAsia"/>
                <w:color w:val="auto"/>
                <w:kern w:val="0"/>
                <w:szCs w:val="21"/>
                <w:highlight w:val="none"/>
              </w:rPr>
            </w:pPr>
          </w:p>
        </w:tc>
        <w:tc>
          <w:tcPr>
            <w:tcW w:w="481" w:type="pct"/>
            <w:tcBorders>
              <w:top w:val="nil"/>
              <w:left w:val="single" w:color="auto" w:sz="4" w:space="0"/>
              <w:bottom w:val="single" w:color="auto" w:sz="4" w:space="0"/>
              <w:right w:val="single" w:color="auto" w:sz="4" w:space="0"/>
            </w:tcBorders>
            <w:shd w:val="clear" w:color="auto" w:fill="auto"/>
            <w:vAlign w:val="center"/>
          </w:tcPr>
          <w:p w14:paraId="7B23693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1887C90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C38FDE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172066D">
            <w:pPr>
              <w:widowControl/>
              <w:spacing w:line="360" w:lineRule="auto"/>
              <w:jc w:val="center"/>
              <w:rPr>
                <w:rFonts w:cs="宋体" w:asciiTheme="minorEastAsia" w:hAnsiTheme="minorEastAsia" w:eastAsiaTheme="minorEastAsia"/>
                <w:color w:val="auto"/>
                <w:kern w:val="0"/>
                <w:szCs w:val="21"/>
                <w:highlight w:val="none"/>
              </w:rPr>
            </w:pPr>
          </w:p>
        </w:tc>
      </w:tr>
      <w:tr w14:paraId="766712BC">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312B4B74">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4FA5FB4">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检查电机线圈绝缘性</w:t>
            </w:r>
          </w:p>
        </w:tc>
        <w:tc>
          <w:tcPr>
            <w:tcW w:w="306" w:type="pct"/>
            <w:tcBorders>
              <w:top w:val="single" w:color="auto" w:sz="4" w:space="0"/>
              <w:left w:val="nil"/>
              <w:bottom w:val="single" w:color="auto" w:sz="4" w:space="0"/>
              <w:right w:val="single" w:color="auto" w:sz="4" w:space="0"/>
            </w:tcBorders>
            <w:shd w:val="clear" w:color="auto" w:fill="auto"/>
            <w:vAlign w:val="center"/>
          </w:tcPr>
          <w:p w14:paraId="74366FE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6770DAB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6F84B0C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507E582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A096B53">
            <w:pPr>
              <w:widowControl/>
              <w:spacing w:line="360" w:lineRule="auto"/>
              <w:jc w:val="center"/>
              <w:rPr>
                <w:rFonts w:cs="宋体" w:asciiTheme="minorEastAsia" w:hAnsiTheme="minorEastAsia" w:eastAsiaTheme="minorEastAsia"/>
                <w:color w:val="auto"/>
                <w:kern w:val="0"/>
                <w:szCs w:val="21"/>
                <w:highlight w:val="none"/>
              </w:rPr>
            </w:pPr>
          </w:p>
        </w:tc>
      </w:tr>
      <w:tr w14:paraId="5FCAAF2A">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6B46B05A">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1E868DB">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当甲方认为必要时，检查水泵叶轮，清洗叶轮、泵腔</w:t>
            </w:r>
          </w:p>
        </w:tc>
        <w:tc>
          <w:tcPr>
            <w:tcW w:w="306" w:type="pct"/>
            <w:tcBorders>
              <w:top w:val="nil"/>
              <w:left w:val="nil"/>
              <w:bottom w:val="single" w:color="auto" w:sz="4" w:space="0"/>
              <w:right w:val="single" w:color="auto" w:sz="4" w:space="0"/>
            </w:tcBorders>
            <w:shd w:val="clear" w:color="auto" w:fill="auto"/>
            <w:vAlign w:val="center"/>
          </w:tcPr>
          <w:p w14:paraId="1C0B4C4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nil"/>
              <w:right w:val="nil"/>
            </w:tcBorders>
            <w:shd w:val="clear" w:color="auto" w:fill="auto"/>
            <w:vAlign w:val="center"/>
          </w:tcPr>
          <w:p w14:paraId="787A653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single" w:color="auto" w:sz="4" w:space="0"/>
              <w:bottom w:val="single" w:color="auto" w:sz="4" w:space="0"/>
              <w:right w:val="single" w:color="auto" w:sz="4" w:space="0"/>
            </w:tcBorders>
            <w:shd w:val="clear" w:color="auto" w:fill="auto"/>
            <w:vAlign w:val="center"/>
          </w:tcPr>
          <w:p w14:paraId="0A8A8B0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single" w:color="auto" w:sz="4" w:space="0"/>
              <w:bottom w:val="single" w:color="auto" w:sz="4" w:space="0"/>
              <w:right w:val="single" w:color="auto" w:sz="4" w:space="0"/>
            </w:tcBorders>
          </w:tcPr>
          <w:p w14:paraId="0004A2D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single" w:color="auto" w:sz="4" w:space="0"/>
              <w:bottom w:val="single" w:color="auto" w:sz="4" w:space="0"/>
              <w:right w:val="single" w:color="auto" w:sz="4" w:space="0"/>
            </w:tcBorders>
          </w:tcPr>
          <w:p w14:paraId="4CE7483A">
            <w:pPr>
              <w:widowControl/>
              <w:spacing w:line="360" w:lineRule="auto"/>
              <w:jc w:val="center"/>
              <w:rPr>
                <w:rFonts w:cs="宋体" w:asciiTheme="minorEastAsia" w:hAnsiTheme="minorEastAsia" w:eastAsiaTheme="minorEastAsia"/>
                <w:color w:val="auto"/>
                <w:kern w:val="0"/>
                <w:szCs w:val="21"/>
                <w:highlight w:val="none"/>
              </w:rPr>
            </w:pPr>
          </w:p>
        </w:tc>
      </w:tr>
      <w:tr w14:paraId="20429640">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7DAEBAA4">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33B245C">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整机清洁，补防锈漆</w:t>
            </w:r>
          </w:p>
        </w:tc>
        <w:tc>
          <w:tcPr>
            <w:tcW w:w="306" w:type="pct"/>
            <w:tcBorders>
              <w:top w:val="nil"/>
              <w:left w:val="nil"/>
              <w:bottom w:val="single" w:color="auto" w:sz="4" w:space="0"/>
              <w:right w:val="single" w:color="auto" w:sz="4" w:space="0"/>
            </w:tcBorders>
            <w:shd w:val="clear" w:color="auto" w:fill="auto"/>
            <w:vAlign w:val="center"/>
          </w:tcPr>
          <w:p w14:paraId="7EEE9DC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single" w:color="auto" w:sz="4" w:space="0"/>
              <w:left w:val="nil"/>
              <w:bottom w:val="single" w:color="auto" w:sz="4" w:space="0"/>
              <w:right w:val="single" w:color="auto" w:sz="4" w:space="0"/>
            </w:tcBorders>
            <w:shd w:val="clear" w:color="auto" w:fill="auto"/>
            <w:vAlign w:val="center"/>
          </w:tcPr>
          <w:p w14:paraId="232802F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510744C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EE762B6">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DC2ABB9">
            <w:pPr>
              <w:widowControl/>
              <w:spacing w:line="360" w:lineRule="auto"/>
              <w:jc w:val="center"/>
              <w:rPr>
                <w:rFonts w:cs="宋体" w:asciiTheme="minorEastAsia" w:hAnsiTheme="minorEastAsia" w:eastAsiaTheme="minorEastAsia"/>
                <w:color w:val="auto"/>
                <w:kern w:val="0"/>
                <w:szCs w:val="21"/>
                <w:highlight w:val="none"/>
              </w:rPr>
            </w:pPr>
          </w:p>
        </w:tc>
      </w:tr>
      <w:tr w14:paraId="09C1D6FB">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right w:val="single" w:color="auto" w:sz="4" w:space="0"/>
            </w:tcBorders>
            <w:shd w:val="clear" w:color="auto" w:fill="auto"/>
            <w:vAlign w:val="center"/>
          </w:tcPr>
          <w:p w14:paraId="358AD80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冷却塔</w:t>
            </w:r>
          </w:p>
        </w:tc>
        <w:tc>
          <w:tcPr>
            <w:tcW w:w="2241" w:type="pct"/>
            <w:tcBorders>
              <w:top w:val="nil"/>
              <w:left w:val="nil"/>
              <w:bottom w:val="single" w:color="auto" w:sz="4" w:space="0"/>
              <w:right w:val="single" w:color="auto" w:sz="4" w:space="0"/>
            </w:tcBorders>
            <w:shd w:val="clear" w:color="auto" w:fill="auto"/>
            <w:vAlign w:val="center"/>
          </w:tcPr>
          <w:p w14:paraId="2A8DBEDC">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检查风机皮带，调整松紧度，必要时进行更换。</w:t>
            </w:r>
          </w:p>
        </w:tc>
        <w:tc>
          <w:tcPr>
            <w:tcW w:w="306" w:type="pct"/>
            <w:tcBorders>
              <w:top w:val="nil"/>
              <w:left w:val="nil"/>
              <w:bottom w:val="single" w:color="auto" w:sz="4" w:space="0"/>
              <w:right w:val="single" w:color="auto" w:sz="4" w:space="0"/>
            </w:tcBorders>
            <w:shd w:val="clear" w:color="auto" w:fill="auto"/>
            <w:vAlign w:val="center"/>
          </w:tcPr>
          <w:p w14:paraId="1ADFDA9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18D2609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59D0A3D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3429B21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EA2E1EB">
            <w:pPr>
              <w:widowControl/>
              <w:spacing w:line="360" w:lineRule="auto"/>
              <w:jc w:val="center"/>
              <w:rPr>
                <w:rFonts w:cs="宋体" w:asciiTheme="minorEastAsia" w:hAnsiTheme="minorEastAsia" w:eastAsiaTheme="minorEastAsia"/>
                <w:color w:val="auto"/>
                <w:kern w:val="0"/>
                <w:szCs w:val="21"/>
                <w:highlight w:val="none"/>
              </w:rPr>
            </w:pPr>
          </w:p>
        </w:tc>
      </w:tr>
      <w:tr w14:paraId="0B8B30F4">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C611028">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2B5B87A">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检查轴承的润滑情况，必要时进行保养</w:t>
            </w:r>
          </w:p>
        </w:tc>
        <w:tc>
          <w:tcPr>
            <w:tcW w:w="306" w:type="pct"/>
            <w:tcBorders>
              <w:top w:val="nil"/>
              <w:left w:val="nil"/>
              <w:bottom w:val="single" w:color="auto" w:sz="4" w:space="0"/>
              <w:right w:val="single" w:color="auto" w:sz="4" w:space="0"/>
            </w:tcBorders>
            <w:shd w:val="clear" w:color="auto" w:fill="auto"/>
            <w:vAlign w:val="center"/>
          </w:tcPr>
          <w:p w14:paraId="70731A8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0ACD90B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0B34ECFC">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08743DB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E714C5B">
            <w:pPr>
              <w:widowControl/>
              <w:spacing w:line="360" w:lineRule="auto"/>
              <w:jc w:val="center"/>
              <w:rPr>
                <w:rFonts w:cs="宋体" w:asciiTheme="minorEastAsia" w:hAnsiTheme="minorEastAsia" w:eastAsiaTheme="minorEastAsia"/>
                <w:color w:val="auto"/>
                <w:kern w:val="0"/>
                <w:szCs w:val="21"/>
                <w:highlight w:val="none"/>
              </w:rPr>
            </w:pPr>
          </w:p>
        </w:tc>
      </w:tr>
      <w:tr w14:paraId="0FF3D324">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75E1B7B6">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F51AE5C">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紧固所有接线端子</w:t>
            </w:r>
          </w:p>
        </w:tc>
        <w:tc>
          <w:tcPr>
            <w:tcW w:w="306" w:type="pct"/>
            <w:tcBorders>
              <w:top w:val="nil"/>
              <w:left w:val="nil"/>
              <w:bottom w:val="single" w:color="auto" w:sz="4" w:space="0"/>
              <w:right w:val="single" w:color="auto" w:sz="4" w:space="0"/>
            </w:tcBorders>
            <w:shd w:val="clear" w:color="auto" w:fill="auto"/>
            <w:vAlign w:val="center"/>
          </w:tcPr>
          <w:p w14:paraId="2B9AF95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735BF9B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2A88828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520552B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143C546">
            <w:pPr>
              <w:widowControl/>
              <w:spacing w:line="360" w:lineRule="auto"/>
              <w:jc w:val="center"/>
              <w:rPr>
                <w:rFonts w:cs="宋体" w:asciiTheme="minorEastAsia" w:hAnsiTheme="minorEastAsia" w:eastAsiaTheme="minorEastAsia"/>
                <w:color w:val="auto"/>
                <w:kern w:val="0"/>
                <w:szCs w:val="21"/>
                <w:highlight w:val="none"/>
              </w:rPr>
            </w:pPr>
          </w:p>
        </w:tc>
      </w:tr>
      <w:tr w14:paraId="0711ECFC">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17F7D536">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9BB36E3">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检查电机线圈绝缘性</w:t>
            </w:r>
          </w:p>
        </w:tc>
        <w:tc>
          <w:tcPr>
            <w:tcW w:w="306" w:type="pct"/>
            <w:tcBorders>
              <w:top w:val="nil"/>
              <w:left w:val="nil"/>
              <w:bottom w:val="single" w:color="auto" w:sz="4" w:space="0"/>
              <w:right w:val="single" w:color="auto" w:sz="4" w:space="0"/>
            </w:tcBorders>
            <w:shd w:val="clear" w:color="auto" w:fill="auto"/>
            <w:vAlign w:val="center"/>
          </w:tcPr>
          <w:p w14:paraId="3E3553C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1EDB73F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3FCF54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7A5A1B6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DDB09C0">
            <w:pPr>
              <w:widowControl/>
              <w:spacing w:line="360" w:lineRule="auto"/>
              <w:jc w:val="center"/>
              <w:rPr>
                <w:rFonts w:cs="宋体" w:asciiTheme="minorEastAsia" w:hAnsiTheme="minorEastAsia" w:eastAsiaTheme="minorEastAsia"/>
                <w:color w:val="auto"/>
                <w:kern w:val="0"/>
                <w:szCs w:val="21"/>
                <w:highlight w:val="none"/>
              </w:rPr>
            </w:pPr>
          </w:p>
        </w:tc>
      </w:tr>
      <w:tr w14:paraId="2E63E569">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55BD381E">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71EB60E">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清洁冷却塔水池</w:t>
            </w:r>
          </w:p>
        </w:tc>
        <w:tc>
          <w:tcPr>
            <w:tcW w:w="306" w:type="pct"/>
            <w:tcBorders>
              <w:top w:val="nil"/>
              <w:left w:val="nil"/>
              <w:bottom w:val="single" w:color="auto" w:sz="4" w:space="0"/>
              <w:right w:val="single" w:color="auto" w:sz="4" w:space="0"/>
            </w:tcBorders>
            <w:shd w:val="clear" w:color="auto" w:fill="auto"/>
            <w:vAlign w:val="center"/>
          </w:tcPr>
          <w:p w14:paraId="503B2B2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08F3388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75CB95A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E3A5F3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062EE7C">
            <w:pPr>
              <w:widowControl/>
              <w:spacing w:line="360" w:lineRule="auto"/>
              <w:jc w:val="center"/>
              <w:rPr>
                <w:rFonts w:cs="宋体" w:asciiTheme="minorEastAsia" w:hAnsiTheme="minorEastAsia" w:eastAsiaTheme="minorEastAsia"/>
                <w:color w:val="auto"/>
                <w:kern w:val="0"/>
                <w:szCs w:val="21"/>
                <w:highlight w:val="none"/>
              </w:rPr>
            </w:pPr>
          </w:p>
        </w:tc>
      </w:tr>
      <w:tr w14:paraId="1E7287C6">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4964C93B">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A88BF57">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清洗冷却塔填料，</w:t>
            </w:r>
            <w:r>
              <w:rPr>
                <w:rFonts w:cs="宋体" w:asciiTheme="minorEastAsia" w:hAnsiTheme="minorEastAsia" w:eastAsiaTheme="minorEastAsia"/>
                <w:color w:val="auto"/>
                <w:kern w:val="0"/>
                <w:szCs w:val="21"/>
                <w:highlight w:val="none"/>
              </w:rPr>
              <w:t>必要时</w:t>
            </w:r>
            <w:r>
              <w:rPr>
                <w:rFonts w:hint="eastAsia" w:cs="宋体" w:asciiTheme="minorEastAsia" w:hAnsiTheme="minorEastAsia" w:eastAsiaTheme="minorEastAsia"/>
                <w:color w:val="auto"/>
                <w:kern w:val="0"/>
                <w:szCs w:val="21"/>
                <w:highlight w:val="none"/>
              </w:rPr>
              <w:t>经</w:t>
            </w:r>
            <w:r>
              <w:rPr>
                <w:rFonts w:cs="宋体" w:asciiTheme="minorEastAsia" w:hAnsiTheme="minorEastAsia" w:eastAsiaTheme="minorEastAsia"/>
                <w:color w:val="auto"/>
                <w:kern w:val="0"/>
                <w:szCs w:val="21"/>
                <w:highlight w:val="none"/>
              </w:rPr>
              <w:t>甲方同意更换填料</w:t>
            </w:r>
          </w:p>
        </w:tc>
        <w:tc>
          <w:tcPr>
            <w:tcW w:w="306" w:type="pct"/>
            <w:tcBorders>
              <w:top w:val="nil"/>
              <w:left w:val="nil"/>
              <w:bottom w:val="single" w:color="auto" w:sz="4" w:space="0"/>
              <w:right w:val="single" w:color="auto" w:sz="4" w:space="0"/>
            </w:tcBorders>
            <w:shd w:val="clear" w:color="auto" w:fill="auto"/>
            <w:vAlign w:val="center"/>
          </w:tcPr>
          <w:p w14:paraId="2B213D74">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353F649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5C03638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90D138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5B1BB7D">
            <w:pPr>
              <w:widowControl/>
              <w:spacing w:line="360" w:lineRule="auto"/>
              <w:jc w:val="center"/>
              <w:rPr>
                <w:rFonts w:cs="宋体" w:asciiTheme="minorEastAsia" w:hAnsiTheme="minorEastAsia" w:eastAsiaTheme="minorEastAsia"/>
                <w:color w:val="auto"/>
                <w:kern w:val="0"/>
                <w:szCs w:val="21"/>
                <w:highlight w:val="none"/>
              </w:rPr>
            </w:pPr>
          </w:p>
        </w:tc>
      </w:tr>
      <w:tr w14:paraId="43F0ABDA">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2ACF76D8">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40F13FB">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清洗冷却塔表面</w:t>
            </w:r>
          </w:p>
        </w:tc>
        <w:tc>
          <w:tcPr>
            <w:tcW w:w="306" w:type="pct"/>
            <w:tcBorders>
              <w:top w:val="nil"/>
              <w:left w:val="nil"/>
              <w:bottom w:val="single" w:color="auto" w:sz="4" w:space="0"/>
              <w:right w:val="single" w:color="auto" w:sz="4" w:space="0"/>
            </w:tcBorders>
            <w:shd w:val="clear" w:color="auto" w:fill="auto"/>
            <w:vAlign w:val="center"/>
          </w:tcPr>
          <w:p w14:paraId="017E8A6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6E8F915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14C88CB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6CCBAF2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D0C8254">
            <w:pPr>
              <w:widowControl/>
              <w:spacing w:line="360" w:lineRule="auto"/>
              <w:jc w:val="center"/>
              <w:rPr>
                <w:rFonts w:cs="宋体" w:asciiTheme="minorEastAsia" w:hAnsiTheme="minorEastAsia" w:eastAsiaTheme="minorEastAsia"/>
                <w:color w:val="auto"/>
                <w:kern w:val="0"/>
                <w:szCs w:val="21"/>
                <w:highlight w:val="none"/>
              </w:rPr>
            </w:pPr>
          </w:p>
        </w:tc>
      </w:tr>
      <w:tr w14:paraId="3F3053C9">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02FDB426">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9F4C32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整机防锈检查，及时除锈、补漆。（含冷却塔本体及</w:t>
            </w:r>
            <w:r>
              <w:rPr>
                <w:rFonts w:cs="宋体" w:asciiTheme="minorEastAsia" w:hAnsiTheme="minorEastAsia" w:eastAsiaTheme="minorEastAsia"/>
                <w:color w:val="auto"/>
                <w:kern w:val="0"/>
                <w:szCs w:val="21"/>
                <w:highlight w:val="none"/>
              </w:rPr>
              <w:t>零部件</w:t>
            </w:r>
            <w:r>
              <w:rPr>
                <w:rFonts w:hint="eastAsia" w:cs="宋体" w:asciiTheme="minorEastAsia" w:hAnsiTheme="minorEastAsia" w:eastAsiaTheme="minorEastAsia"/>
                <w:color w:val="auto"/>
                <w:kern w:val="0"/>
                <w:szCs w:val="21"/>
                <w:highlight w:val="none"/>
              </w:rPr>
              <w:t>）</w:t>
            </w:r>
          </w:p>
        </w:tc>
        <w:tc>
          <w:tcPr>
            <w:tcW w:w="306" w:type="pct"/>
            <w:tcBorders>
              <w:top w:val="nil"/>
              <w:left w:val="nil"/>
              <w:bottom w:val="single" w:color="auto" w:sz="4" w:space="0"/>
              <w:right w:val="single" w:color="auto" w:sz="4" w:space="0"/>
            </w:tcBorders>
            <w:shd w:val="clear" w:color="auto" w:fill="auto"/>
            <w:vAlign w:val="center"/>
          </w:tcPr>
          <w:p w14:paraId="1DEEEB70">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71CAEA5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108E31A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A149AB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380CC74">
            <w:pPr>
              <w:widowControl/>
              <w:spacing w:line="360" w:lineRule="auto"/>
              <w:jc w:val="center"/>
              <w:rPr>
                <w:rFonts w:cs="宋体" w:asciiTheme="minorEastAsia" w:hAnsiTheme="minorEastAsia" w:eastAsiaTheme="minorEastAsia"/>
                <w:color w:val="auto"/>
                <w:kern w:val="0"/>
                <w:szCs w:val="21"/>
                <w:highlight w:val="none"/>
              </w:rPr>
            </w:pPr>
          </w:p>
        </w:tc>
      </w:tr>
      <w:tr w14:paraId="1C9E9C9B">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vAlign w:val="center"/>
          </w:tcPr>
          <w:p w14:paraId="3C0B1119">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F9BC61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冷却塔底座钢梁</w:t>
            </w:r>
            <w:r>
              <w:rPr>
                <w:rFonts w:cs="宋体" w:asciiTheme="minorEastAsia" w:hAnsiTheme="minorEastAsia" w:eastAsiaTheme="minorEastAsia"/>
                <w:color w:val="auto"/>
                <w:kern w:val="0"/>
                <w:szCs w:val="21"/>
                <w:highlight w:val="none"/>
              </w:rPr>
              <w:t>及平台</w:t>
            </w:r>
            <w:r>
              <w:rPr>
                <w:rFonts w:hint="eastAsia" w:cs="宋体" w:asciiTheme="minorEastAsia" w:hAnsiTheme="minorEastAsia" w:eastAsiaTheme="minorEastAsia"/>
                <w:color w:val="auto"/>
                <w:kern w:val="0"/>
                <w:szCs w:val="21"/>
                <w:highlight w:val="none"/>
              </w:rPr>
              <w:t>钢格栅</w:t>
            </w:r>
            <w:r>
              <w:rPr>
                <w:rFonts w:cs="宋体" w:asciiTheme="minorEastAsia" w:hAnsiTheme="minorEastAsia" w:eastAsiaTheme="minorEastAsia"/>
                <w:color w:val="auto"/>
                <w:kern w:val="0"/>
                <w:szCs w:val="21"/>
                <w:highlight w:val="none"/>
              </w:rPr>
              <w:t>检查，及时</w:t>
            </w:r>
            <w:r>
              <w:rPr>
                <w:rFonts w:hint="eastAsia" w:cs="宋体" w:asciiTheme="minorEastAsia" w:hAnsiTheme="minorEastAsia" w:eastAsiaTheme="minorEastAsia"/>
                <w:color w:val="auto"/>
                <w:kern w:val="0"/>
                <w:szCs w:val="21"/>
                <w:highlight w:val="none"/>
              </w:rPr>
              <w:t>除锈、补漆</w:t>
            </w:r>
            <w:r>
              <w:rPr>
                <w:rFonts w:cs="宋体" w:asciiTheme="minorEastAsia" w:hAnsiTheme="minorEastAsia" w:eastAsiaTheme="minorEastAsia"/>
                <w:color w:val="auto"/>
                <w:kern w:val="0"/>
                <w:szCs w:val="21"/>
                <w:highlight w:val="none"/>
              </w:rPr>
              <w:t>。</w:t>
            </w:r>
          </w:p>
        </w:tc>
        <w:tc>
          <w:tcPr>
            <w:tcW w:w="306" w:type="pct"/>
            <w:tcBorders>
              <w:top w:val="nil"/>
              <w:left w:val="nil"/>
              <w:bottom w:val="single" w:color="auto" w:sz="4" w:space="0"/>
              <w:right w:val="single" w:color="auto" w:sz="4" w:space="0"/>
            </w:tcBorders>
            <w:shd w:val="clear" w:color="auto" w:fill="auto"/>
            <w:vAlign w:val="center"/>
          </w:tcPr>
          <w:p w14:paraId="660A8025">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3BE302F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EF5199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BE4871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920064D">
            <w:pPr>
              <w:widowControl/>
              <w:spacing w:line="360" w:lineRule="auto"/>
              <w:jc w:val="center"/>
              <w:rPr>
                <w:rFonts w:cs="宋体" w:asciiTheme="minorEastAsia" w:hAnsiTheme="minorEastAsia" w:eastAsiaTheme="minorEastAsia"/>
                <w:color w:val="auto"/>
                <w:kern w:val="0"/>
                <w:szCs w:val="21"/>
                <w:highlight w:val="none"/>
              </w:rPr>
            </w:pPr>
          </w:p>
        </w:tc>
      </w:tr>
      <w:tr w14:paraId="4E601AFF">
        <w:tblPrEx>
          <w:tblCellMar>
            <w:top w:w="0" w:type="dxa"/>
            <w:left w:w="0" w:type="dxa"/>
            <w:bottom w:w="0" w:type="dxa"/>
            <w:right w:w="0" w:type="dxa"/>
          </w:tblCellMar>
        </w:tblPrEx>
        <w:trPr>
          <w:trHeight w:val="270" w:hRule="atLeast"/>
        </w:trPr>
        <w:tc>
          <w:tcPr>
            <w:tcW w:w="556" w:type="pct"/>
            <w:tcBorders>
              <w:top w:val="nil"/>
              <w:left w:val="single" w:color="auto" w:sz="4" w:space="0"/>
              <w:bottom w:val="single" w:color="auto" w:sz="4" w:space="0"/>
              <w:right w:val="single" w:color="auto" w:sz="4" w:space="0"/>
            </w:tcBorders>
            <w:shd w:val="clear" w:color="auto" w:fill="auto"/>
            <w:vAlign w:val="center"/>
          </w:tcPr>
          <w:p w14:paraId="0BEA979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过滤器</w:t>
            </w:r>
          </w:p>
        </w:tc>
        <w:tc>
          <w:tcPr>
            <w:tcW w:w="2241" w:type="pct"/>
            <w:tcBorders>
              <w:top w:val="nil"/>
              <w:left w:val="nil"/>
              <w:bottom w:val="single" w:color="auto" w:sz="4" w:space="0"/>
              <w:right w:val="single" w:color="auto" w:sz="4" w:space="0"/>
            </w:tcBorders>
            <w:shd w:val="clear" w:color="auto" w:fill="auto"/>
            <w:vAlign w:val="center"/>
          </w:tcPr>
          <w:p w14:paraId="41C72971">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当甲方认为必要时，及时清洗或清洗、更换过滤器滤网、橡胶垫</w:t>
            </w:r>
          </w:p>
        </w:tc>
        <w:tc>
          <w:tcPr>
            <w:tcW w:w="306" w:type="pct"/>
            <w:tcBorders>
              <w:top w:val="nil"/>
              <w:left w:val="nil"/>
              <w:bottom w:val="single" w:color="auto" w:sz="4" w:space="0"/>
              <w:right w:val="single" w:color="auto" w:sz="4" w:space="0"/>
            </w:tcBorders>
            <w:shd w:val="clear" w:color="auto" w:fill="auto"/>
            <w:vAlign w:val="center"/>
          </w:tcPr>
          <w:p w14:paraId="108DB1D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26ED2EA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7423551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0A845BC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2C29879">
            <w:pPr>
              <w:widowControl/>
              <w:spacing w:line="360" w:lineRule="auto"/>
              <w:jc w:val="center"/>
              <w:rPr>
                <w:rFonts w:cs="宋体" w:asciiTheme="minorEastAsia" w:hAnsiTheme="minorEastAsia" w:eastAsiaTheme="minorEastAsia"/>
                <w:color w:val="auto"/>
                <w:kern w:val="0"/>
                <w:szCs w:val="21"/>
                <w:highlight w:val="none"/>
              </w:rPr>
            </w:pPr>
          </w:p>
        </w:tc>
      </w:tr>
      <w:tr w14:paraId="20B20FE2">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right w:val="single" w:color="auto" w:sz="4" w:space="0"/>
            </w:tcBorders>
            <w:shd w:val="clear" w:color="auto" w:fill="auto"/>
            <w:vAlign w:val="center"/>
          </w:tcPr>
          <w:p w14:paraId="57F8759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各类水阀</w:t>
            </w:r>
          </w:p>
        </w:tc>
        <w:tc>
          <w:tcPr>
            <w:tcW w:w="2241" w:type="pct"/>
            <w:tcBorders>
              <w:top w:val="nil"/>
              <w:left w:val="nil"/>
              <w:bottom w:val="single" w:color="auto" w:sz="4" w:space="0"/>
              <w:right w:val="single" w:color="auto" w:sz="4" w:space="0"/>
            </w:tcBorders>
            <w:shd w:val="clear" w:color="auto" w:fill="auto"/>
            <w:vAlign w:val="center"/>
          </w:tcPr>
          <w:p w14:paraId="71C3EA3C">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除锈补漆</w:t>
            </w:r>
          </w:p>
        </w:tc>
        <w:tc>
          <w:tcPr>
            <w:tcW w:w="306" w:type="pct"/>
            <w:tcBorders>
              <w:top w:val="nil"/>
              <w:left w:val="nil"/>
              <w:bottom w:val="single" w:color="auto" w:sz="4" w:space="0"/>
              <w:right w:val="single" w:color="auto" w:sz="4" w:space="0"/>
            </w:tcBorders>
            <w:shd w:val="clear" w:color="auto" w:fill="auto"/>
            <w:vAlign w:val="center"/>
          </w:tcPr>
          <w:p w14:paraId="03FDEB7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3F3F352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76E816B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40BBCDE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FD81BDE">
            <w:pPr>
              <w:widowControl/>
              <w:spacing w:line="360" w:lineRule="auto"/>
              <w:jc w:val="center"/>
              <w:rPr>
                <w:rFonts w:cs="宋体" w:asciiTheme="minorEastAsia" w:hAnsiTheme="minorEastAsia" w:eastAsiaTheme="minorEastAsia"/>
                <w:color w:val="auto"/>
                <w:kern w:val="0"/>
                <w:szCs w:val="21"/>
                <w:highlight w:val="none"/>
              </w:rPr>
            </w:pPr>
          </w:p>
        </w:tc>
      </w:tr>
      <w:tr w14:paraId="04BD60FB">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A180ADE">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765E89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动作检查，补充润滑油（脂）</w:t>
            </w:r>
          </w:p>
        </w:tc>
        <w:tc>
          <w:tcPr>
            <w:tcW w:w="306" w:type="pct"/>
            <w:tcBorders>
              <w:top w:val="nil"/>
              <w:left w:val="nil"/>
              <w:bottom w:val="single" w:color="auto" w:sz="4" w:space="0"/>
              <w:right w:val="single" w:color="auto" w:sz="4" w:space="0"/>
            </w:tcBorders>
            <w:shd w:val="clear" w:color="auto" w:fill="auto"/>
            <w:vAlign w:val="center"/>
          </w:tcPr>
          <w:p w14:paraId="5B9827E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773F438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510E428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2B1AD63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F99A78B">
            <w:pPr>
              <w:widowControl/>
              <w:spacing w:line="360" w:lineRule="auto"/>
              <w:jc w:val="center"/>
              <w:rPr>
                <w:rFonts w:cs="宋体" w:asciiTheme="minorEastAsia" w:hAnsiTheme="minorEastAsia" w:eastAsiaTheme="minorEastAsia"/>
                <w:color w:val="auto"/>
                <w:kern w:val="0"/>
                <w:szCs w:val="21"/>
                <w:highlight w:val="none"/>
              </w:rPr>
            </w:pPr>
          </w:p>
        </w:tc>
      </w:tr>
      <w:tr w14:paraId="22D055DF">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vAlign w:val="center"/>
          </w:tcPr>
          <w:p w14:paraId="703E3CB8">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EAC603F">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检查电动阀性能和防护可靠性。</w:t>
            </w:r>
          </w:p>
        </w:tc>
        <w:tc>
          <w:tcPr>
            <w:tcW w:w="306" w:type="pct"/>
            <w:tcBorders>
              <w:top w:val="nil"/>
              <w:left w:val="nil"/>
              <w:bottom w:val="single" w:color="auto" w:sz="4" w:space="0"/>
              <w:right w:val="single" w:color="auto" w:sz="4" w:space="0"/>
            </w:tcBorders>
            <w:shd w:val="clear" w:color="auto" w:fill="auto"/>
            <w:vAlign w:val="center"/>
          </w:tcPr>
          <w:p w14:paraId="55F51F09">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37B4876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23BBE3F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7A25819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BE9C8FD">
            <w:pPr>
              <w:widowControl/>
              <w:spacing w:line="360" w:lineRule="auto"/>
              <w:jc w:val="center"/>
              <w:rPr>
                <w:rFonts w:cs="宋体" w:asciiTheme="minorEastAsia" w:hAnsiTheme="minorEastAsia" w:eastAsiaTheme="minorEastAsia"/>
                <w:color w:val="auto"/>
                <w:kern w:val="0"/>
                <w:szCs w:val="21"/>
                <w:highlight w:val="none"/>
              </w:rPr>
            </w:pPr>
          </w:p>
        </w:tc>
      </w:tr>
      <w:tr w14:paraId="19D26B36">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bottom w:val="single" w:color="auto" w:sz="4" w:space="0"/>
              <w:right w:val="single" w:color="auto" w:sz="4" w:space="0"/>
            </w:tcBorders>
            <w:shd w:val="clear" w:color="auto" w:fill="auto"/>
            <w:vAlign w:val="center"/>
          </w:tcPr>
          <w:p w14:paraId="2D7B1C3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管道</w:t>
            </w:r>
          </w:p>
        </w:tc>
        <w:tc>
          <w:tcPr>
            <w:tcW w:w="2241" w:type="pct"/>
            <w:tcBorders>
              <w:top w:val="nil"/>
              <w:left w:val="nil"/>
              <w:bottom w:val="single" w:color="auto" w:sz="4" w:space="0"/>
              <w:right w:val="single" w:color="auto" w:sz="4" w:space="0"/>
            </w:tcBorders>
            <w:shd w:val="clear" w:color="auto" w:fill="auto"/>
            <w:vAlign w:val="center"/>
          </w:tcPr>
          <w:p w14:paraId="66F51E8C">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管道及连接件、管道</w:t>
            </w:r>
            <w:r>
              <w:rPr>
                <w:rFonts w:cs="宋体" w:asciiTheme="minorEastAsia" w:hAnsiTheme="minorEastAsia" w:eastAsiaTheme="minorEastAsia"/>
                <w:color w:val="auto"/>
                <w:kern w:val="0"/>
                <w:szCs w:val="21"/>
                <w:highlight w:val="none"/>
              </w:rPr>
              <w:t>支架等</w:t>
            </w:r>
            <w:r>
              <w:rPr>
                <w:rFonts w:hint="eastAsia" w:cs="宋体" w:asciiTheme="minorEastAsia" w:hAnsiTheme="minorEastAsia" w:eastAsiaTheme="minorEastAsia"/>
                <w:color w:val="auto"/>
                <w:kern w:val="0"/>
                <w:szCs w:val="21"/>
                <w:highlight w:val="none"/>
              </w:rPr>
              <w:t>除锈、补漆</w:t>
            </w:r>
          </w:p>
        </w:tc>
        <w:tc>
          <w:tcPr>
            <w:tcW w:w="306" w:type="pct"/>
            <w:tcBorders>
              <w:top w:val="nil"/>
              <w:left w:val="nil"/>
              <w:bottom w:val="single" w:color="auto" w:sz="4" w:space="0"/>
              <w:right w:val="single" w:color="auto" w:sz="4" w:space="0"/>
            </w:tcBorders>
            <w:shd w:val="clear" w:color="auto" w:fill="auto"/>
            <w:vAlign w:val="center"/>
          </w:tcPr>
          <w:p w14:paraId="64A1DB2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3060DEB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F4C651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00CE60E6">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868069D">
            <w:pPr>
              <w:widowControl/>
              <w:spacing w:line="360" w:lineRule="auto"/>
              <w:jc w:val="center"/>
              <w:rPr>
                <w:rFonts w:cs="宋体" w:asciiTheme="minorEastAsia" w:hAnsiTheme="minorEastAsia" w:eastAsiaTheme="minorEastAsia"/>
                <w:color w:val="auto"/>
                <w:kern w:val="0"/>
                <w:szCs w:val="21"/>
                <w:highlight w:val="none"/>
              </w:rPr>
            </w:pPr>
          </w:p>
        </w:tc>
      </w:tr>
      <w:tr w14:paraId="4686374A">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3867C21C">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F8E72F0">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检查管道是否有漏水，必要时应排查暖沟内管网</w:t>
            </w:r>
          </w:p>
        </w:tc>
        <w:tc>
          <w:tcPr>
            <w:tcW w:w="306" w:type="pct"/>
            <w:tcBorders>
              <w:top w:val="nil"/>
              <w:left w:val="nil"/>
              <w:bottom w:val="single" w:color="auto" w:sz="4" w:space="0"/>
              <w:right w:val="single" w:color="auto" w:sz="4" w:space="0"/>
            </w:tcBorders>
            <w:shd w:val="clear" w:color="auto" w:fill="auto"/>
            <w:vAlign w:val="center"/>
          </w:tcPr>
          <w:p w14:paraId="16DC63B7">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1FEA272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74EC6AB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CC7CC9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801C243">
            <w:pPr>
              <w:widowControl/>
              <w:spacing w:line="360" w:lineRule="auto"/>
              <w:jc w:val="center"/>
              <w:rPr>
                <w:rFonts w:cs="宋体" w:asciiTheme="minorEastAsia" w:hAnsiTheme="minorEastAsia" w:eastAsiaTheme="minorEastAsia"/>
                <w:color w:val="auto"/>
                <w:kern w:val="0"/>
                <w:szCs w:val="21"/>
                <w:highlight w:val="none"/>
              </w:rPr>
            </w:pPr>
          </w:p>
        </w:tc>
      </w:tr>
      <w:tr w14:paraId="09E6E8BF">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auto" w:sz="4" w:space="0"/>
              <w:right w:val="single" w:color="auto" w:sz="4" w:space="0"/>
            </w:tcBorders>
            <w:vAlign w:val="center"/>
          </w:tcPr>
          <w:p w14:paraId="2603FF81">
            <w:pPr>
              <w:widowControl/>
              <w:spacing w:line="360" w:lineRule="auto"/>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26DC7BE">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检查压力表、温度表、流量计、pH和电导率计的示数是否正常</w:t>
            </w:r>
          </w:p>
        </w:tc>
        <w:tc>
          <w:tcPr>
            <w:tcW w:w="306" w:type="pct"/>
            <w:tcBorders>
              <w:top w:val="nil"/>
              <w:left w:val="nil"/>
              <w:bottom w:val="single" w:color="auto" w:sz="4" w:space="0"/>
              <w:right w:val="single" w:color="auto" w:sz="4" w:space="0"/>
            </w:tcBorders>
            <w:shd w:val="clear" w:color="auto" w:fill="auto"/>
            <w:vAlign w:val="center"/>
          </w:tcPr>
          <w:p w14:paraId="4894694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009713C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3EDD602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4DBE82D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0AF8DFD">
            <w:pPr>
              <w:widowControl/>
              <w:spacing w:line="360" w:lineRule="auto"/>
              <w:jc w:val="center"/>
              <w:rPr>
                <w:rFonts w:cs="宋体" w:asciiTheme="minorEastAsia" w:hAnsiTheme="minorEastAsia" w:eastAsiaTheme="minorEastAsia"/>
                <w:color w:val="auto"/>
                <w:kern w:val="0"/>
                <w:szCs w:val="21"/>
                <w:highlight w:val="none"/>
              </w:rPr>
            </w:pPr>
          </w:p>
        </w:tc>
      </w:tr>
      <w:tr w14:paraId="5ADB6A56">
        <w:tblPrEx>
          <w:tblCellMar>
            <w:top w:w="0" w:type="dxa"/>
            <w:left w:w="0" w:type="dxa"/>
            <w:bottom w:w="0" w:type="dxa"/>
            <w:right w:w="0" w:type="dxa"/>
          </w:tblCellMar>
        </w:tblPrEx>
        <w:trPr>
          <w:trHeight w:val="270" w:hRule="atLeast"/>
        </w:trPr>
        <w:tc>
          <w:tcPr>
            <w:tcW w:w="556" w:type="pct"/>
            <w:tcBorders>
              <w:top w:val="nil"/>
              <w:left w:val="single" w:color="auto" w:sz="4" w:space="0"/>
              <w:bottom w:val="single" w:color="auto" w:sz="4" w:space="0"/>
              <w:right w:val="single" w:color="auto" w:sz="4" w:space="0"/>
            </w:tcBorders>
            <w:vAlign w:val="center"/>
          </w:tcPr>
          <w:p w14:paraId="7A7BA5F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板式换热器</w:t>
            </w:r>
          </w:p>
        </w:tc>
        <w:tc>
          <w:tcPr>
            <w:tcW w:w="2241" w:type="pct"/>
            <w:tcBorders>
              <w:top w:val="nil"/>
              <w:left w:val="nil"/>
              <w:bottom w:val="single" w:color="auto" w:sz="4" w:space="0"/>
              <w:right w:val="single" w:color="auto" w:sz="4" w:space="0"/>
            </w:tcBorders>
            <w:shd w:val="clear" w:color="auto" w:fill="auto"/>
            <w:vAlign w:val="center"/>
          </w:tcPr>
          <w:p w14:paraId="749A4ED0">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清洗板片</w:t>
            </w:r>
          </w:p>
        </w:tc>
        <w:tc>
          <w:tcPr>
            <w:tcW w:w="306" w:type="pct"/>
            <w:tcBorders>
              <w:top w:val="nil"/>
              <w:left w:val="nil"/>
              <w:bottom w:val="single" w:color="auto" w:sz="4" w:space="0"/>
              <w:right w:val="single" w:color="auto" w:sz="4" w:space="0"/>
            </w:tcBorders>
            <w:shd w:val="clear" w:color="auto" w:fill="auto"/>
            <w:vAlign w:val="center"/>
          </w:tcPr>
          <w:p w14:paraId="5ECE855C">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33DF07B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E38DE6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36B8580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916CDA0">
            <w:pPr>
              <w:widowControl/>
              <w:spacing w:line="360" w:lineRule="auto"/>
              <w:jc w:val="center"/>
              <w:rPr>
                <w:rFonts w:cs="宋体" w:asciiTheme="minorEastAsia" w:hAnsiTheme="minorEastAsia" w:eastAsiaTheme="minorEastAsia"/>
                <w:color w:val="auto"/>
                <w:kern w:val="0"/>
                <w:szCs w:val="21"/>
                <w:highlight w:val="none"/>
              </w:rPr>
            </w:pPr>
          </w:p>
        </w:tc>
      </w:tr>
      <w:tr w14:paraId="6A6127AD">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bottom w:val="single" w:color="000000" w:sz="4" w:space="0"/>
              <w:right w:val="single" w:color="auto" w:sz="4" w:space="0"/>
            </w:tcBorders>
            <w:shd w:val="clear" w:color="auto" w:fill="auto"/>
            <w:vAlign w:val="center"/>
          </w:tcPr>
          <w:p w14:paraId="2E8B3EB5">
            <w:pPr>
              <w:widowControl/>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多介质过滤器、自动加药装置</w:t>
            </w:r>
          </w:p>
        </w:tc>
        <w:tc>
          <w:tcPr>
            <w:tcW w:w="2241" w:type="pct"/>
            <w:tcBorders>
              <w:top w:val="nil"/>
              <w:left w:val="nil"/>
              <w:bottom w:val="single" w:color="auto" w:sz="4" w:space="0"/>
              <w:right w:val="single" w:color="auto" w:sz="4" w:space="0"/>
            </w:tcBorders>
            <w:shd w:val="clear" w:color="auto" w:fill="auto"/>
            <w:vAlign w:val="center"/>
          </w:tcPr>
          <w:p w14:paraId="2EF17AF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根据冷冻水、冷却水水质条件进行配药、加药</w:t>
            </w:r>
          </w:p>
        </w:tc>
        <w:tc>
          <w:tcPr>
            <w:tcW w:w="306" w:type="pct"/>
            <w:tcBorders>
              <w:top w:val="nil"/>
              <w:left w:val="nil"/>
              <w:bottom w:val="single" w:color="auto" w:sz="4" w:space="0"/>
              <w:right w:val="single" w:color="auto" w:sz="4" w:space="0"/>
            </w:tcBorders>
            <w:shd w:val="clear" w:color="auto" w:fill="auto"/>
            <w:vAlign w:val="center"/>
          </w:tcPr>
          <w:p w14:paraId="010683E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71FF4DF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A600CF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01DF847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6E92C9B">
            <w:pPr>
              <w:widowControl/>
              <w:spacing w:line="360" w:lineRule="auto"/>
              <w:jc w:val="center"/>
              <w:rPr>
                <w:rFonts w:cs="宋体" w:asciiTheme="minorEastAsia" w:hAnsiTheme="minorEastAsia" w:eastAsiaTheme="minorEastAsia"/>
                <w:color w:val="auto"/>
                <w:kern w:val="0"/>
                <w:szCs w:val="21"/>
                <w:highlight w:val="none"/>
              </w:rPr>
            </w:pPr>
          </w:p>
        </w:tc>
      </w:tr>
      <w:tr w14:paraId="57AA43B2">
        <w:tblPrEx>
          <w:tblCellMar>
            <w:top w:w="0" w:type="dxa"/>
            <w:left w:w="0" w:type="dxa"/>
            <w:bottom w:w="0" w:type="dxa"/>
            <w:right w:w="0" w:type="dxa"/>
          </w:tblCellMar>
        </w:tblPrEx>
        <w:trPr>
          <w:trHeight w:val="270" w:hRule="atLeast"/>
        </w:trPr>
        <w:tc>
          <w:tcPr>
            <w:tcW w:w="556" w:type="pct"/>
            <w:vMerge w:val="continue"/>
            <w:tcBorders>
              <w:top w:val="nil"/>
              <w:left w:val="single" w:color="auto" w:sz="4" w:space="0"/>
              <w:bottom w:val="single" w:color="000000" w:sz="4" w:space="0"/>
              <w:right w:val="single" w:color="auto" w:sz="4" w:space="0"/>
            </w:tcBorders>
            <w:vAlign w:val="center"/>
          </w:tcPr>
          <w:p w14:paraId="2C3C01DF">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520A2AE">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当甲方认为必要时，对过滤器进行反洗</w:t>
            </w:r>
          </w:p>
        </w:tc>
        <w:tc>
          <w:tcPr>
            <w:tcW w:w="306" w:type="pct"/>
            <w:tcBorders>
              <w:top w:val="nil"/>
              <w:left w:val="nil"/>
              <w:bottom w:val="single" w:color="auto" w:sz="4" w:space="0"/>
              <w:right w:val="single" w:color="auto" w:sz="4" w:space="0"/>
            </w:tcBorders>
            <w:shd w:val="clear" w:color="auto" w:fill="auto"/>
            <w:vAlign w:val="center"/>
          </w:tcPr>
          <w:p w14:paraId="200D987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449E1FD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0138271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624068B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BFEC3CC">
            <w:pPr>
              <w:widowControl/>
              <w:spacing w:line="360" w:lineRule="auto"/>
              <w:jc w:val="center"/>
              <w:rPr>
                <w:rFonts w:cs="宋体" w:asciiTheme="minorEastAsia" w:hAnsiTheme="minorEastAsia" w:eastAsiaTheme="minorEastAsia"/>
                <w:color w:val="auto"/>
                <w:kern w:val="0"/>
                <w:szCs w:val="21"/>
                <w:highlight w:val="none"/>
              </w:rPr>
            </w:pPr>
          </w:p>
        </w:tc>
      </w:tr>
      <w:tr w14:paraId="5FB7E13A">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right w:val="single" w:color="auto" w:sz="4" w:space="0"/>
            </w:tcBorders>
            <w:shd w:val="clear" w:color="auto" w:fill="auto"/>
            <w:vAlign w:val="center"/>
          </w:tcPr>
          <w:p w14:paraId="39F3F4A8">
            <w:pPr>
              <w:widowControl/>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空压机及过滤器</w:t>
            </w:r>
          </w:p>
        </w:tc>
        <w:tc>
          <w:tcPr>
            <w:tcW w:w="2241" w:type="pct"/>
            <w:tcBorders>
              <w:top w:val="nil"/>
              <w:left w:val="nil"/>
              <w:bottom w:val="single" w:color="auto" w:sz="4" w:space="0"/>
              <w:right w:val="single" w:color="auto" w:sz="4" w:space="0"/>
            </w:tcBorders>
            <w:shd w:val="clear" w:color="auto" w:fill="auto"/>
            <w:vAlign w:val="center"/>
          </w:tcPr>
          <w:p w14:paraId="5EFDA79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检查进口空气过滤器、油过滤器、油分离器滤芯、润滑油、</w:t>
            </w:r>
            <w:r>
              <w:rPr>
                <w:rFonts w:ascii="宋体" w:hAnsi="宋体" w:cs="宋体"/>
                <w:color w:val="auto"/>
                <w:kern w:val="0"/>
                <w:szCs w:val="21"/>
                <w:highlight w:val="none"/>
              </w:rPr>
              <w:t>空压站</w:t>
            </w:r>
            <w:r>
              <w:rPr>
                <w:rFonts w:hint="eastAsia" w:ascii="宋体" w:hAnsi="宋体" w:cs="宋体"/>
                <w:color w:val="auto"/>
                <w:kern w:val="0"/>
                <w:szCs w:val="21"/>
                <w:highlight w:val="none"/>
              </w:rPr>
              <w:t>3级干管</w:t>
            </w:r>
            <w:r>
              <w:rPr>
                <w:rFonts w:ascii="宋体" w:hAnsi="宋体" w:cs="宋体"/>
                <w:color w:val="auto"/>
                <w:kern w:val="0"/>
                <w:szCs w:val="21"/>
                <w:highlight w:val="none"/>
              </w:rPr>
              <w:t>的</w:t>
            </w:r>
            <w:r>
              <w:rPr>
                <w:rFonts w:hint="eastAsia" w:ascii="宋体" w:hAnsi="宋体" w:cs="宋体"/>
                <w:color w:val="auto"/>
                <w:kern w:val="0"/>
                <w:szCs w:val="21"/>
                <w:highlight w:val="none"/>
              </w:rPr>
              <w:t>压缩</w:t>
            </w:r>
            <w:r>
              <w:rPr>
                <w:rFonts w:ascii="宋体" w:hAnsi="宋体" w:cs="宋体"/>
                <w:color w:val="auto"/>
                <w:kern w:val="0"/>
                <w:szCs w:val="21"/>
                <w:highlight w:val="none"/>
              </w:rPr>
              <w:t>空气过滤器，</w:t>
            </w:r>
            <w:r>
              <w:rPr>
                <w:rFonts w:hint="eastAsia" w:ascii="宋体" w:hAnsi="宋体" w:cs="宋体"/>
                <w:color w:val="auto"/>
                <w:kern w:val="0"/>
                <w:szCs w:val="21"/>
                <w:highlight w:val="none"/>
              </w:rPr>
              <w:t>及时</w:t>
            </w:r>
            <w:r>
              <w:rPr>
                <w:rFonts w:ascii="宋体" w:hAnsi="宋体" w:cs="宋体"/>
                <w:color w:val="auto"/>
                <w:kern w:val="0"/>
                <w:szCs w:val="21"/>
                <w:highlight w:val="none"/>
              </w:rPr>
              <w:t>更换</w:t>
            </w:r>
            <w:r>
              <w:rPr>
                <w:rFonts w:hint="eastAsia" w:ascii="宋体" w:hAnsi="宋体" w:cs="宋体"/>
                <w:color w:val="auto"/>
                <w:kern w:val="0"/>
                <w:szCs w:val="21"/>
                <w:highlight w:val="none"/>
              </w:rPr>
              <w:t>备件</w:t>
            </w:r>
            <w:r>
              <w:rPr>
                <w:rFonts w:ascii="宋体" w:hAnsi="宋体" w:cs="宋体"/>
                <w:color w:val="auto"/>
                <w:kern w:val="0"/>
                <w:szCs w:val="21"/>
                <w:highlight w:val="none"/>
              </w:rPr>
              <w:t>。</w:t>
            </w:r>
            <w:r>
              <w:rPr>
                <w:rFonts w:hint="eastAsia" w:ascii="宋体" w:hAnsi="宋体" w:cs="宋体"/>
                <w:color w:val="auto"/>
                <w:kern w:val="0"/>
                <w:szCs w:val="21"/>
                <w:highlight w:val="none"/>
              </w:rPr>
              <w:t>检查</w:t>
            </w:r>
            <w:r>
              <w:rPr>
                <w:rFonts w:ascii="宋体" w:hAnsi="宋体" w:cs="宋体"/>
                <w:color w:val="auto"/>
                <w:kern w:val="0"/>
                <w:szCs w:val="21"/>
                <w:highlight w:val="none"/>
              </w:rPr>
              <w:t>机组内各类疏水阀、排水装置是否可靠。</w:t>
            </w:r>
          </w:p>
        </w:tc>
        <w:tc>
          <w:tcPr>
            <w:tcW w:w="306" w:type="pct"/>
            <w:tcBorders>
              <w:top w:val="nil"/>
              <w:left w:val="nil"/>
              <w:bottom w:val="single" w:color="auto" w:sz="4" w:space="0"/>
              <w:right w:val="single" w:color="auto" w:sz="4" w:space="0"/>
            </w:tcBorders>
            <w:shd w:val="clear" w:color="auto" w:fill="auto"/>
            <w:vAlign w:val="center"/>
          </w:tcPr>
          <w:p w14:paraId="44128460">
            <w:pPr>
              <w:widowControl/>
              <w:jc w:val="center"/>
              <w:rPr>
                <w:rFonts w:ascii="宋体" w:hAnsi="宋体" w:cs="宋体"/>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156D25C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174F010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tcPr>
          <w:p w14:paraId="4CE7838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68AD6991">
            <w:pPr>
              <w:widowControl/>
              <w:jc w:val="center"/>
              <w:rPr>
                <w:rFonts w:ascii="宋体" w:hAnsi="宋体" w:cs="宋体"/>
                <w:color w:val="auto"/>
                <w:kern w:val="0"/>
                <w:szCs w:val="21"/>
                <w:highlight w:val="none"/>
              </w:rPr>
            </w:pPr>
          </w:p>
        </w:tc>
      </w:tr>
      <w:tr w14:paraId="1D974008">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2C484A15">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6C4EE39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紧固所有接线端子</w:t>
            </w:r>
          </w:p>
        </w:tc>
        <w:tc>
          <w:tcPr>
            <w:tcW w:w="306" w:type="pct"/>
            <w:tcBorders>
              <w:top w:val="nil"/>
              <w:left w:val="nil"/>
              <w:bottom w:val="single" w:color="auto" w:sz="4" w:space="0"/>
              <w:right w:val="single" w:color="auto" w:sz="4" w:space="0"/>
            </w:tcBorders>
            <w:shd w:val="clear" w:color="auto" w:fill="auto"/>
            <w:vAlign w:val="center"/>
          </w:tcPr>
          <w:p w14:paraId="297D06A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3C74C12E">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6623E85C">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tcPr>
          <w:p w14:paraId="0A960BC9">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394EC2E3">
            <w:pPr>
              <w:widowControl/>
              <w:spacing w:line="360" w:lineRule="auto"/>
              <w:jc w:val="center"/>
              <w:rPr>
                <w:rFonts w:cs="宋体" w:asciiTheme="minorEastAsia" w:hAnsiTheme="minorEastAsia" w:eastAsiaTheme="minorEastAsia"/>
                <w:color w:val="auto"/>
                <w:kern w:val="0"/>
                <w:szCs w:val="21"/>
                <w:highlight w:val="none"/>
              </w:rPr>
            </w:pPr>
          </w:p>
        </w:tc>
      </w:tr>
      <w:tr w14:paraId="0F929730">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4E8023E9">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4EE738B">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检查电机线圈绝缘性</w:t>
            </w:r>
          </w:p>
        </w:tc>
        <w:tc>
          <w:tcPr>
            <w:tcW w:w="306" w:type="pct"/>
            <w:tcBorders>
              <w:top w:val="nil"/>
              <w:left w:val="nil"/>
              <w:bottom w:val="single" w:color="auto" w:sz="4" w:space="0"/>
              <w:right w:val="single" w:color="auto" w:sz="4" w:space="0"/>
            </w:tcBorders>
            <w:shd w:val="clear" w:color="auto" w:fill="auto"/>
            <w:vAlign w:val="center"/>
          </w:tcPr>
          <w:p w14:paraId="6AD3636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4A9A34D3">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18E94F9B">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　</w:t>
            </w:r>
          </w:p>
        </w:tc>
        <w:tc>
          <w:tcPr>
            <w:tcW w:w="472" w:type="pct"/>
            <w:tcBorders>
              <w:top w:val="nil"/>
              <w:left w:val="nil"/>
              <w:bottom w:val="single" w:color="auto" w:sz="4" w:space="0"/>
              <w:right w:val="single" w:color="auto" w:sz="4" w:space="0"/>
            </w:tcBorders>
          </w:tcPr>
          <w:p w14:paraId="499FB5B0">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0F0A0C9D">
            <w:pPr>
              <w:widowControl/>
              <w:spacing w:line="360" w:lineRule="auto"/>
              <w:jc w:val="center"/>
              <w:rPr>
                <w:rFonts w:cs="宋体" w:asciiTheme="minorEastAsia" w:hAnsiTheme="minorEastAsia" w:eastAsiaTheme="minorEastAsia"/>
                <w:color w:val="auto"/>
                <w:kern w:val="0"/>
                <w:szCs w:val="21"/>
                <w:highlight w:val="none"/>
              </w:rPr>
            </w:pPr>
          </w:p>
        </w:tc>
      </w:tr>
      <w:tr w14:paraId="740908FD">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vAlign w:val="center"/>
          </w:tcPr>
          <w:p w14:paraId="05BED01A">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44229C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整机吹扫除尘、</w:t>
            </w:r>
            <w:r>
              <w:rPr>
                <w:rFonts w:cs="宋体" w:asciiTheme="minorEastAsia" w:hAnsiTheme="minorEastAsia" w:eastAsiaTheme="minorEastAsia"/>
                <w:color w:val="auto"/>
                <w:kern w:val="0"/>
                <w:szCs w:val="21"/>
                <w:highlight w:val="none"/>
              </w:rPr>
              <w:t>清洁</w:t>
            </w:r>
          </w:p>
        </w:tc>
        <w:tc>
          <w:tcPr>
            <w:tcW w:w="306" w:type="pct"/>
            <w:tcBorders>
              <w:top w:val="nil"/>
              <w:left w:val="nil"/>
              <w:bottom w:val="single" w:color="auto" w:sz="4" w:space="0"/>
              <w:right w:val="single" w:color="auto" w:sz="4" w:space="0"/>
            </w:tcBorders>
            <w:shd w:val="clear" w:color="auto" w:fill="auto"/>
            <w:vAlign w:val="center"/>
          </w:tcPr>
          <w:p w14:paraId="794855FB">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671776F7">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A3BDA72">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3537EC6E">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3D760776">
            <w:pPr>
              <w:widowControl/>
              <w:spacing w:line="360" w:lineRule="auto"/>
              <w:jc w:val="center"/>
              <w:rPr>
                <w:rFonts w:cs="宋体" w:asciiTheme="minorEastAsia" w:hAnsiTheme="minorEastAsia" w:eastAsiaTheme="minorEastAsia"/>
                <w:color w:val="auto"/>
                <w:kern w:val="0"/>
                <w:szCs w:val="21"/>
                <w:highlight w:val="none"/>
              </w:rPr>
            </w:pPr>
          </w:p>
        </w:tc>
      </w:tr>
      <w:tr w14:paraId="347E4453">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right w:val="single" w:color="auto" w:sz="4" w:space="0"/>
            </w:tcBorders>
            <w:shd w:val="clear" w:color="auto" w:fill="auto"/>
            <w:vAlign w:val="center"/>
          </w:tcPr>
          <w:p w14:paraId="19AACAEC">
            <w:pPr>
              <w:widowControl/>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冷干机</w:t>
            </w:r>
          </w:p>
        </w:tc>
        <w:tc>
          <w:tcPr>
            <w:tcW w:w="2241" w:type="pct"/>
            <w:tcBorders>
              <w:top w:val="nil"/>
              <w:left w:val="nil"/>
              <w:bottom w:val="single" w:color="auto" w:sz="4" w:space="0"/>
              <w:right w:val="single" w:color="auto" w:sz="4" w:space="0"/>
            </w:tcBorders>
            <w:shd w:val="clear" w:color="auto" w:fill="auto"/>
            <w:vAlign w:val="center"/>
          </w:tcPr>
          <w:p w14:paraId="483780B2">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紧固所有接线端子</w:t>
            </w:r>
          </w:p>
        </w:tc>
        <w:tc>
          <w:tcPr>
            <w:tcW w:w="306" w:type="pct"/>
            <w:tcBorders>
              <w:top w:val="nil"/>
              <w:left w:val="nil"/>
              <w:bottom w:val="single" w:color="auto" w:sz="4" w:space="0"/>
              <w:right w:val="single" w:color="auto" w:sz="4" w:space="0"/>
            </w:tcBorders>
            <w:shd w:val="clear" w:color="auto" w:fill="auto"/>
            <w:vAlign w:val="center"/>
          </w:tcPr>
          <w:p w14:paraId="1451190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0639549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606F102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1FCB863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DE85128">
            <w:pPr>
              <w:widowControl/>
              <w:spacing w:line="360" w:lineRule="auto"/>
              <w:jc w:val="center"/>
              <w:rPr>
                <w:rFonts w:cs="宋体" w:asciiTheme="minorEastAsia" w:hAnsiTheme="minorEastAsia" w:eastAsiaTheme="minorEastAsia"/>
                <w:color w:val="auto"/>
                <w:kern w:val="0"/>
                <w:szCs w:val="21"/>
                <w:highlight w:val="none"/>
              </w:rPr>
            </w:pPr>
          </w:p>
        </w:tc>
      </w:tr>
      <w:tr w14:paraId="14F39F22">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B0FE0FE">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B375CFE">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检查电机线圈绝缘性</w:t>
            </w:r>
          </w:p>
        </w:tc>
        <w:tc>
          <w:tcPr>
            <w:tcW w:w="306" w:type="pct"/>
            <w:tcBorders>
              <w:top w:val="nil"/>
              <w:left w:val="nil"/>
              <w:bottom w:val="single" w:color="auto" w:sz="4" w:space="0"/>
              <w:right w:val="single" w:color="auto" w:sz="4" w:space="0"/>
            </w:tcBorders>
            <w:shd w:val="clear" w:color="auto" w:fill="auto"/>
            <w:vAlign w:val="center"/>
          </w:tcPr>
          <w:p w14:paraId="75F76BB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2FEB42F6">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6F74B34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tcPr>
          <w:p w14:paraId="6B0F8C4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4E866593">
            <w:pPr>
              <w:widowControl/>
              <w:spacing w:line="360" w:lineRule="auto"/>
              <w:jc w:val="center"/>
              <w:rPr>
                <w:rFonts w:cs="宋体" w:asciiTheme="minorEastAsia" w:hAnsiTheme="minorEastAsia" w:eastAsiaTheme="minorEastAsia"/>
                <w:color w:val="auto"/>
                <w:kern w:val="0"/>
                <w:szCs w:val="21"/>
                <w:highlight w:val="none"/>
              </w:rPr>
            </w:pPr>
          </w:p>
        </w:tc>
      </w:tr>
      <w:tr w14:paraId="56995283">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12C8FF3">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59B4AC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散热片清洗，补充正常损耗的制冷剂</w:t>
            </w:r>
          </w:p>
        </w:tc>
        <w:tc>
          <w:tcPr>
            <w:tcW w:w="306" w:type="pct"/>
            <w:tcBorders>
              <w:top w:val="nil"/>
              <w:left w:val="nil"/>
              <w:bottom w:val="single" w:color="auto" w:sz="4" w:space="0"/>
              <w:right w:val="single" w:color="auto" w:sz="4" w:space="0"/>
            </w:tcBorders>
            <w:shd w:val="clear" w:color="auto" w:fill="auto"/>
            <w:vAlign w:val="center"/>
          </w:tcPr>
          <w:p w14:paraId="318F69B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81" w:type="pct"/>
            <w:tcBorders>
              <w:top w:val="nil"/>
              <w:left w:val="nil"/>
              <w:bottom w:val="single" w:color="auto" w:sz="4" w:space="0"/>
              <w:right w:val="single" w:color="auto" w:sz="4" w:space="0"/>
            </w:tcBorders>
            <w:shd w:val="clear" w:color="auto" w:fill="auto"/>
            <w:vAlign w:val="center"/>
          </w:tcPr>
          <w:p w14:paraId="65D658C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　</w:t>
            </w:r>
          </w:p>
        </w:tc>
        <w:tc>
          <w:tcPr>
            <w:tcW w:w="472" w:type="pct"/>
            <w:tcBorders>
              <w:top w:val="nil"/>
              <w:left w:val="nil"/>
              <w:bottom w:val="single" w:color="auto" w:sz="4" w:space="0"/>
              <w:right w:val="single" w:color="auto" w:sz="4" w:space="0"/>
            </w:tcBorders>
            <w:shd w:val="clear" w:color="auto" w:fill="auto"/>
            <w:vAlign w:val="center"/>
          </w:tcPr>
          <w:p w14:paraId="6B18D44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3295CAD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7947D57">
            <w:pPr>
              <w:widowControl/>
              <w:spacing w:line="360" w:lineRule="auto"/>
              <w:jc w:val="center"/>
              <w:rPr>
                <w:rFonts w:cs="宋体" w:asciiTheme="minorEastAsia" w:hAnsiTheme="minorEastAsia" w:eastAsiaTheme="minorEastAsia"/>
                <w:color w:val="auto"/>
                <w:kern w:val="0"/>
                <w:szCs w:val="21"/>
                <w:highlight w:val="none"/>
              </w:rPr>
            </w:pPr>
          </w:p>
        </w:tc>
      </w:tr>
      <w:tr w14:paraId="54007D7C">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vAlign w:val="center"/>
          </w:tcPr>
          <w:p w14:paraId="52FF589C">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8F73D87">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整机吹扫除尘、</w:t>
            </w:r>
            <w:r>
              <w:rPr>
                <w:rFonts w:cs="宋体" w:asciiTheme="minorEastAsia" w:hAnsiTheme="minorEastAsia" w:eastAsiaTheme="minorEastAsia"/>
                <w:color w:val="auto"/>
                <w:kern w:val="0"/>
                <w:szCs w:val="21"/>
                <w:highlight w:val="none"/>
              </w:rPr>
              <w:t>清洁</w:t>
            </w:r>
          </w:p>
        </w:tc>
        <w:tc>
          <w:tcPr>
            <w:tcW w:w="306" w:type="pct"/>
            <w:tcBorders>
              <w:top w:val="nil"/>
              <w:left w:val="nil"/>
              <w:bottom w:val="single" w:color="auto" w:sz="4" w:space="0"/>
              <w:right w:val="single" w:color="auto" w:sz="4" w:space="0"/>
            </w:tcBorders>
            <w:shd w:val="clear" w:color="auto" w:fill="auto"/>
            <w:vAlign w:val="center"/>
          </w:tcPr>
          <w:p w14:paraId="30002A41">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1161BAA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6D429DF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2FB2EBE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E1057AD">
            <w:pPr>
              <w:widowControl/>
              <w:spacing w:line="360" w:lineRule="auto"/>
              <w:jc w:val="center"/>
              <w:rPr>
                <w:rFonts w:cs="宋体" w:asciiTheme="minorEastAsia" w:hAnsiTheme="minorEastAsia" w:eastAsiaTheme="minorEastAsia"/>
                <w:color w:val="auto"/>
                <w:kern w:val="0"/>
                <w:szCs w:val="21"/>
                <w:highlight w:val="none"/>
              </w:rPr>
            </w:pPr>
          </w:p>
        </w:tc>
      </w:tr>
      <w:tr w14:paraId="3FAAD4B2">
        <w:tblPrEx>
          <w:tblCellMar>
            <w:top w:w="0" w:type="dxa"/>
            <w:left w:w="0" w:type="dxa"/>
            <w:bottom w:w="0" w:type="dxa"/>
            <w:right w:w="0" w:type="dxa"/>
          </w:tblCellMar>
        </w:tblPrEx>
        <w:trPr>
          <w:trHeight w:val="270" w:hRule="atLeast"/>
        </w:trPr>
        <w:tc>
          <w:tcPr>
            <w:tcW w:w="556" w:type="pct"/>
            <w:vMerge w:val="restart"/>
            <w:tcBorders>
              <w:top w:val="nil"/>
              <w:left w:val="single" w:color="auto" w:sz="4" w:space="0"/>
              <w:right w:val="single" w:color="auto" w:sz="4" w:space="0"/>
            </w:tcBorders>
            <w:vAlign w:val="center"/>
          </w:tcPr>
          <w:p w14:paraId="31DADEC8">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纯水制备系统</w:t>
            </w:r>
          </w:p>
        </w:tc>
        <w:tc>
          <w:tcPr>
            <w:tcW w:w="2241" w:type="pct"/>
            <w:tcBorders>
              <w:top w:val="nil"/>
              <w:left w:val="nil"/>
              <w:bottom w:val="single" w:color="auto" w:sz="4" w:space="0"/>
              <w:right w:val="single" w:color="auto" w:sz="4" w:space="0"/>
            </w:tcBorders>
            <w:shd w:val="clear" w:color="auto" w:fill="auto"/>
            <w:vAlign w:val="center"/>
          </w:tcPr>
          <w:p w14:paraId="34A1653D">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更换石英砂、活性炭填料</w:t>
            </w:r>
          </w:p>
        </w:tc>
        <w:tc>
          <w:tcPr>
            <w:tcW w:w="306" w:type="pct"/>
            <w:tcBorders>
              <w:top w:val="nil"/>
              <w:left w:val="nil"/>
              <w:bottom w:val="single" w:color="auto" w:sz="4" w:space="0"/>
              <w:right w:val="single" w:color="auto" w:sz="4" w:space="0"/>
            </w:tcBorders>
            <w:shd w:val="clear" w:color="auto" w:fill="auto"/>
            <w:vAlign w:val="center"/>
          </w:tcPr>
          <w:p w14:paraId="2EB5B30C">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0BA29DB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788849F7">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1F8A918D">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21FE9BC7">
            <w:pPr>
              <w:widowControl/>
              <w:spacing w:line="360" w:lineRule="auto"/>
              <w:jc w:val="center"/>
              <w:rPr>
                <w:rFonts w:cs="宋体" w:asciiTheme="minorEastAsia" w:hAnsiTheme="minorEastAsia" w:eastAsiaTheme="minorEastAsia"/>
                <w:color w:val="auto"/>
                <w:kern w:val="0"/>
                <w:szCs w:val="21"/>
                <w:highlight w:val="none"/>
              </w:rPr>
            </w:pPr>
          </w:p>
        </w:tc>
      </w:tr>
      <w:tr w14:paraId="5720E685">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17AE7B5F">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BBFA2A9">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更换反渗透膜</w:t>
            </w:r>
          </w:p>
        </w:tc>
        <w:tc>
          <w:tcPr>
            <w:tcW w:w="306" w:type="pct"/>
            <w:tcBorders>
              <w:top w:val="nil"/>
              <w:left w:val="nil"/>
              <w:bottom w:val="single" w:color="auto" w:sz="4" w:space="0"/>
              <w:right w:val="single" w:color="auto" w:sz="4" w:space="0"/>
            </w:tcBorders>
            <w:shd w:val="clear" w:color="auto" w:fill="auto"/>
            <w:vAlign w:val="center"/>
          </w:tcPr>
          <w:p w14:paraId="21CFFB3F">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42E66F2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1D43587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BA61F54">
            <w:pPr>
              <w:widowControl/>
              <w:spacing w:line="360" w:lineRule="auto"/>
              <w:jc w:val="center"/>
              <w:rPr>
                <w:rFonts w:cs="宋体" w:asciiTheme="minorEastAsia" w:hAnsiTheme="minorEastAsia" w:eastAsiaTheme="minorEastAsia"/>
                <w:color w:val="auto"/>
                <w:kern w:val="0"/>
                <w:szCs w:val="21"/>
                <w:highlight w:val="none"/>
              </w:rPr>
            </w:pPr>
            <w:r>
              <w:rPr>
                <w:rFonts w:hint="eastAsia" w:ascii="宋体" w:hAnsi="宋体" w:cs="宋体"/>
                <w:color w:val="auto"/>
                <w:kern w:val="0"/>
                <w:szCs w:val="21"/>
                <w:highlight w:val="none"/>
              </w:rPr>
              <w:t>√</w:t>
            </w:r>
          </w:p>
        </w:tc>
        <w:tc>
          <w:tcPr>
            <w:tcW w:w="472" w:type="pct"/>
            <w:tcBorders>
              <w:top w:val="nil"/>
              <w:left w:val="nil"/>
              <w:bottom w:val="single" w:color="auto" w:sz="4" w:space="0"/>
              <w:right w:val="single" w:color="auto" w:sz="4" w:space="0"/>
            </w:tcBorders>
          </w:tcPr>
          <w:p w14:paraId="6F0CBFA4">
            <w:pPr>
              <w:widowControl/>
              <w:spacing w:line="360" w:lineRule="auto"/>
              <w:jc w:val="center"/>
              <w:rPr>
                <w:rFonts w:cs="宋体" w:asciiTheme="minorEastAsia" w:hAnsiTheme="minorEastAsia" w:eastAsiaTheme="minorEastAsia"/>
                <w:color w:val="auto"/>
                <w:kern w:val="0"/>
                <w:szCs w:val="21"/>
                <w:highlight w:val="none"/>
              </w:rPr>
            </w:pPr>
          </w:p>
        </w:tc>
      </w:tr>
      <w:tr w14:paraId="6B3091AF">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2438648B">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275F56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更换紫外线杀菌装置灯管</w:t>
            </w:r>
          </w:p>
        </w:tc>
        <w:tc>
          <w:tcPr>
            <w:tcW w:w="306" w:type="pct"/>
            <w:tcBorders>
              <w:top w:val="nil"/>
              <w:left w:val="nil"/>
              <w:bottom w:val="single" w:color="auto" w:sz="4" w:space="0"/>
              <w:right w:val="single" w:color="auto" w:sz="4" w:space="0"/>
            </w:tcBorders>
            <w:shd w:val="clear" w:color="auto" w:fill="auto"/>
            <w:vAlign w:val="center"/>
          </w:tcPr>
          <w:p w14:paraId="2253254A">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6ACA514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6E9E4433">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48AB4626">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DAEEFC0">
            <w:pPr>
              <w:widowControl/>
              <w:spacing w:line="360" w:lineRule="auto"/>
              <w:jc w:val="center"/>
              <w:rPr>
                <w:rFonts w:cs="宋体" w:asciiTheme="minorEastAsia" w:hAnsiTheme="minorEastAsia" w:eastAsiaTheme="minorEastAsia"/>
                <w:color w:val="auto"/>
                <w:kern w:val="0"/>
                <w:szCs w:val="21"/>
                <w:highlight w:val="none"/>
              </w:rPr>
            </w:pPr>
          </w:p>
        </w:tc>
      </w:tr>
      <w:tr w14:paraId="74BF8C39">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4151C702">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794C68DF">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更换树脂</w:t>
            </w:r>
          </w:p>
        </w:tc>
        <w:tc>
          <w:tcPr>
            <w:tcW w:w="306" w:type="pct"/>
            <w:tcBorders>
              <w:top w:val="nil"/>
              <w:left w:val="nil"/>
              <w:bottom w:val="single" w:color="auto" w:sz="4" w:space="0"/>
              <w:right w:val="single" w:color="auto" w:sz="4" w:space="0"/>
            </w:tcBorders>
            <w:shd w:val="clear" w:color="auto" w:fill="auto"/>
            <w:vAlign w:val="center"/>
          </w:tcPr>
          <w:p w14:paraId="0360285A">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1AF8C98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555923A7">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57B99A0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657E381">
            <w:pPr>
              <w:widowControl/>
              <w:spacing w:line="360" w:lineRule="auto"/>
              <w:jc w:val="center"/>
              <w:rPr>
                <w:rFonts w:cs="宋体" w:asciiTheme="minorEastAsia" w:hAnsiTheme="minorEastAsia" w:eastAsiaTheme="minorEastAsia"/>
                <w:color w:val="auto"/>
                <w:kern w:val="0"/>
                <w:szCs w:val="21"/>
                <w:highlight w:val="none"/>
              </w:rPr>
            </w:pPr>
          </w:p>
        </w:tc>
      </w:tr>
      <w:tr w14:paraId="5FBD0AFC">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73736808">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2D6AE887">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更换各级精滤器滤芯</w:t>
            </w:r>
          </w:p>
        </w:tc>
        <w:tc>
          <w:tcPr>
            <w:tcW w:w="306" w:type="pct"/>
            <w:tcBorders>
              <w:top w:val="nil"/>
              <w:left w:val="nil"/>
              <w:bottom w:val="single" w:color="auto" w:sz="4" w:space="0"/>
              <w:right w:val="single" w:color="auto" w:sz="4" w:space="0"/>
            </w:tcBorders>
            <w:shd w:val="clear" w:color="auto" w:fill="auto"/>
            <w:vAlign w:val="center"/>
          </w:tcPr>
          <w:p w14:paraId="796752FD">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0BE7ACD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51DEBAE7">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68B500F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2F3D849">
            <w:pPr>
              <w:widowControl/>
              <w:spacing w:line="360" w:lineRule="auto"/>
              <w:jc w:val="center"/>
              <w:rPr>
                <w:rFonts w:cs="宋体" w:asciiTheme="minorEastAsia" w:hAnsiTheme="minorEastAsia" w:eastAsiaTheme="minorEastAsia"/>
                <w:color w:val="auto"/>
                <w:kern w:val="0"/>
                <w:szCs w:val="21"/>
                <w:highlight w:val="none"/>
              </w:rPr>
            </w:pPr>
          </w:p>
        </w:tc>
      </w:tr>
      <w:tr w14:paraId="18287604">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725B54AA">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34CBFCEA">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紧固各类连接件</w:t>
            </w:r>
          </w:p>
        </w:tc>
        <w:tc>
          <w:tcPr>
            <w:tcW w:w="306" w:type="pct"/>
            <w:tcBorders>
              <w:top w:val="nil"/>
              <w:left w:val="nil"/>
              <w:bottom w:val="single" w:color="auto" w:sz="4" w:space="0"/>
              <w:right w:val="single" w:color="auto" w:sz="4" w:space="0"/>
            </w:tcBorders>
            <w:shd w:val="clear" w:color="auto" w:fill="auto"/>
            <w:vAlign w:val="center"/>
          </w:tcPr>
          <w:p w14:paraId="10B259ED">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2530A66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566D687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3E4D2792">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0F3E86D">
            <w:pPr>
              <w:widowControl/>
              <w:spacing w:line="360" w:lineRule="auto"/>
              <w:jc w:val="center"/>
              <w:rPr>
                <w:rFonts w:cs="宋体" w:asciiTheme="minorEastAsia" w:hAnsiTheme="minorEastAsia" w:eastAsiaTheme="minorEastAsia"/>
                <w:color w:val="auto"/>
                <w:kern w:val="0"/>
                <w:szCs w:val="21"/>
                <w:highlight w:val="none"/>
              </w:rPr>
            </w:pPr>
          </w:p>
        </w:tc>
      </w:tr>
      <w:tr w14:paraId="0B4F53B5">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34437D1">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B1E27E3">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检查各类阀门（气动、电动、手动、杜瓦配套阀组）是否动作正常</w:t>
            </w:r>
          </w:p>
        </w:tc>
        <w:tc>
          <w:tcPr>
            <w:tcW w:w="306" w:type="pct"/>
            <w:tcBorders>
              <w:top w:val="nil"/>
              <w:left w:val="nil"/>
              <w:bottom w:val="single" w:color="auto" w:sz="4" w:space="0"/>
              <w:right w:val="single" w:color="auto" w:sz="4" w:space="0"/>
            </w:tcBorders>
            <w:shd w:val="clear" w:color="auto" w:fill="auto"/>
            <w:vAlign w:val="center"/>
          </w:tcPr>
          <w:p w14:paraId="5EED1CEF">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497BE52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3111D07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3776F4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67F3B40D">
            <w:pPr>
              <w:widowControl/>
              <w:spacing w:line="360" w:lineRule="auto"/>
              <w:jc w:val="center"/>
              <w:rPr>
                <w:rFonts w:cs="宋体" w:asciiTheme="minorEastAsia" w:hAnsiTheme="minorEastAsia" w:eastAsiaTheme="minorEastAsia"/>
                <w:color w:val="auto"/>
                <w:kern w:val="0"/>
                <w:szCs w:val="21"/>
                <w:highlight w:val="none"/>
              </w:rPr>
            </w:pPr>
          </w:p>
        </w:tc>
      </w:tr>
      <w:tr w14:paraId="60DF53FB">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7D4AF954">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04BFCA8">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检查各类管道、水箱、水封装置是否泄漏</w:t>
            </w:r>
          </w:p>
        </w:tc>
        <w:tc>
          <w:tcPr>
            <w:tcW w:w="306" w:type="pct"/>
            <w:tcBorders>
              <w:top w:val="nil"/>
              <w:left w:val="nil"/>
              <w:bottom w:val="single" w:color="auto" w:sz="4" w:space="0"/>
              <w:right w:val="single" w:color="auto" w:sz="4" w:space="0"/>
            </w:tcBorders>
            <w:shd w:val="clear" w:color="auto" w:fill="auto"/>
            <w:vAlign w:val="center"/>
          </w:tcPr>
          <w:p w14:paraId="3E289DA9">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3735341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F1B113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C706F2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206514E5">
            <w:pPr>
              <w:widowControl/>
              <w:spacing w:line="360" w:lineRule="auto"/>
              <w:jc w:val="center"/>
              <w:rPr>
                <w:rFonts w:cs="宋体" w:asciiTheme="minorEastAsia" w:hAnsiTheme="minorEastAsia" w:eastAsiaTheme="minorEastAsia"/>
                <w:color w:val="auto"/>
                <w:kern w:val="0"/>
                <w:szCs w:val="21"/>
                <w:highlight w:val="none"/>
              </w:rPr>
            </w:pPr>
          </w:p>
        </w:tc>
      </w:tr>
      <w:tr w14:paraId="17064B71">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72A5A643">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7E84FA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紧固各类电气接线、端子</w:t>
            </w:r>
          </w:p>
        </w:tc>
        <w:tc>
          <w:tcPr>
            <w:tcW w:w="306" w:type="pct"/>
            <w:tcBorders>
              <w:top w:val="nil"/>
              <w:left w:val="nil"/>
              <w:bottom w:val="single" w:color="auto" w:sz="4" w:space="0"/>
              <w:right w:val="single" w:color="auto" w:sz="4" w:space="0"/>
            </w:tcBorders>
            <w:shd w:val="clear" w:color="auto" w:fill="auto"/>
            <w:vAlign w:val="center"/>
          </w:tcPr>
          <w:p w14:paraId="06438D90">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689A780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8FB463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2AC0684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326CE7D3">
            <w:pPr>
              <w:widowControl/>
              <w:spacing w:line="360" w:lineRule="auto"/>
              <w:jc w:val="center"/>
              <w:rPr>
                <w:rFonts w:cs="宋体" w:asciiTheme="minorEastAsia" w:hAnsiTheme="minorEastAsia" w:eastAsiaTheme="minorEastAsia"/>
                <w:color w:val="auto"/>
                <w:kern w:val="0"/>
                <w:szCs w:val="21"/>
                <w:highlight w:val="none"/>
              </w:rPr>
            </w:pPr>
          </w:p>
        </w:tc>
      </w:tr>
      <w:tr w14:paraId="19538191">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6788F3F5">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C03E9E7">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各类检测仪表、传感器校验</w:t>
            </w:r>
          </w:p>
        </w:tc>
        <w:tc>
          <w:tcPr>
            <w:tcW w:w="306" w:type="pct"/>
            <w:tcBorders>
              <w:top w:val="nil"/>
              <w:left w:val="nil"/>
              <w:bottom w:val="single" w:color="auto" w:sz="4" w:space="0"/>
              <w:right w:val="single" w:color="auto" w:sz="4" w:space="0"/>
            </w:tcBorders>
            <w:shd w:val="clear" w:color="auto" w:fill="auto"/>
            <w:vAlign w:val="center"/>
          </w:tcPr>
          <w:p w14:paraId="0D310BFA">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2DA52D1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34C0B3B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5FBA2DF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0482646E">
            <w:pPr>
              <w:widowControl/>
              <w:spacing w:line="360" w:lineRule="auto"/>
              <w:jc w:val="center"/>
              <w:rPr>
                <w:rFonts w:cs="宋体" w:asciiTheme="minorEastAsia" w:hAnsiTheme="minorEastAsia" w:eastAsiaTheme="minorEastAsia"/>
                <w:color w:val="auto"/>
                <w:kern w:val="0"/>
                <w:szCs w:val="21"/>
                <w:highlight w:val="none"/>
              </w:rPr>
            </w:pPr>
          </w:p>
        </w:tc>
      </w:tr>
      <w:tr w14:paraId="33547CEB">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339E5498">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C20188B">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纯水制备控制系统数据整理备份</w:t>
            </w:r>
          </w:p>
        </w:tc>
        <w:tc>
          <w:tcPr>
            <w:tcW w:w="306" w:type="pct"/>
            <w:tcBorders>
              <w:top w:val="nil"/>
              <w:left w:val="nil"/>
              <w:bottom w:val="single" w:color="auto" w:sz="4" w:space="0"/>
              <w:right w:val="single" w:color="auto" w:sz="4" w:space="0"/>
            </w:tcBorders>
            <w:shd w:val="clear" w:color="auto" w:fill="auto"/>
            <w:vAlign w:val="center"/>
          </w:tcPr>
          <w:p w14:paraId="565A77B8">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67AFA4E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58565B0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03EF1A5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6D1A285">
            <w:pPr>
              <w:widowControl/>
              <w:spacing w:line="360" w:lineRule="auto"/>
              <w:jc w:val="center"/>
              <w:rPr>
                <w:rFonts w:cs="宋体" w:asciiTheme="minorEastAsia" w:hAnsiTheme="minorEastAsia" w:eastAsiaTheme="minorEastAsia"/>
                <w:color w:val="auto"/>
                <w:kern w:val="0"/>
                <w:szCs w:val="21"/>
                <w:highlight w:val="none"/>
              </w:rPr>
            </w:pPr>
          </w:p>
        </w:tc>
      </w:tr>
      <w:tr w14:paraId="0AA45E10">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vAlign w:val="center"/>
          </w:tcPr>
          <w:p w14:paraId="4B490A7A">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4C23D29F">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检查水泵、计量泵等动力设备电机绝缘</w:t>
            </w:r>
          </w:p>
        </w:tc>
        <w:tc>
          <w:tcPr>
            <w:tcW w:w="306" w:type="pct"/>
            <w:tcBorders>
              <w:top w:val="nil"/>
              <w:left w:val="nil"/>
              <w:bottom w:val="single" w:color="auto" w:sz="4" w:space="0"/>
              <w:right w:val="single" w:color="auto" w:sz="4" w:space="0"/>
            </w:tcBorders>
            <w:shd w:val="clear" w:color="auto" w:fill="auto"/>
            <w:vAlign w:val="center"/>
          </w:tcPr>
          <w:p w14:paraId="1553F19C">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5068AAF6">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5A738F8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E56516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07D1BE7">
            <w:pPr>
              <w:widowControl/>
              <w:spacing w:line="360" w:lineRule="auto"/>
              <w:jc w:val="center"/>
              <w:rPr>
                <w:rFonts w:cs="宋体" w:asciiTheme="minorEastAsia" w:hAnsiTheme="minorEastAsia" w:eastAsiaTheme="minorEastAsia"/>
                <w:color w:val="auto"/>
                <w:kern w:val="0"/>
                <w:szCs w:val="21"/>
                <w:highlight w:val="none"/>
              </w:rPr>
            </w:pPr>
          </w:p>
        </w:tc>
      </w:tr>
      <w:tr w14:paraId="017B7968">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vAlign w:val="center"/>
          </w:tcPr>
          <w:p w14:paraId="5EB94A14">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055BB8F0">
            <w:pPr>
              <w:widowControl/>
              <w:spacing w:line="360" w:lineRule="auto"/>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检查水泵等动力设备轴承、机械密封情况，必要时进行更换</w:t>
            </w:r>
          </w:p>
        </w:tc>
        <w:tc>
          <w:tcPr>
            <w:tcW w:w="306" w:type="pct"/>
            <w:tcBorders>
              <w:top w:val="nil"/>
              <w:left w:val="nil"/>
              <w:bottom w:val="single" w:color="auto" w:sz="4" w:space="0"/>
              <w:right w:val="single" w:color="auto" w:sz="4" w:space="0"/>
            </w:tcBorders>
            <w:shd w:val="clear" w:color="auto" w:fill="auto"/>
            <w:vAlign w:val="center"/>
          </w:tcPr>
          <w:p w14:paraId="2AD2703C">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6628653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36C0E540">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2127870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04746CB8">
            <w:pPr>
              <w:widowControl/>
              <w:spacing w:line="360" w:lineRule="auto"/>
              <w:jc w:val="center"/>
              <w:rPr>
                <w:rFonts w:cs="宋体" w:asciiTheme="minorEastAsia" w:hAnsiTheme="minorEastAsia" w:eastAsiaTheme="minorEastAsia"/>
                <w:color w:val="auto"/>
                <w:kern w:val="0"/>
                <w:szCs w:val="21"/>
                <w:highlight w:val="none"/>
              </w:rPr>
            </w:pPr>
          </w:p>
        </w:tc>
      </w:tr>
      <w:tr w14:paraId="098457B9">
        <w:tblPrEx>
          <w:tblCellMar>
            <w:top w:w="0" w:type="dxa"/>
            <w:left w:w="0" w:type="dxa"/>
            <w:bottom w:w="0" w:type="dxa"/>
            <w:right w:w="0" w:type="dxa"/>
          </w:tblCellMar>
        </w:tblPrEx>
        <w:trPr>
          <w:trHeight w:val="270" w:hRule="atLeast"/>
        </w:trPr>
        <w:tc>
          <w:tcPr>
            <w:tcW w:w="556" w:type="pct"/>
            <w:vMerge w:val="restart"/>
            <w:tcBorders>
              <w:top w:val="single" w:color="auto" w:sz="4" w:space="0"/>
              <w:left w:val="single" w:color="auto" w:sz="4" w:space="0"/>
              <w:right w:val="single" w:color="auto" w:sz="4" w:space="0"/>
            </w:tcBorders>
            <w:shd w:val="clear" w:color="auto" w:fill="auto"/>
            <w:vAlign w:val="center"/>
          </w:tcPr>
          <w:p w14:paraId="78ED44D9">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母线槽</w:t>
            </w:r>
          </w:p>
        </w:tc>
        <w:tc>
          <w:tcPr>
            <w:tcW w:w="2241" w:type="pct"/>
            <w:tcBorders>
              <w:top w:val="nil"/>
              <w:left w:val="nil"/>
              <w:bottom w:val="single" w:color="auto" w:sz="4" w:space="0"/>
              <w:right w:val="single" w:color="auto" w:sz="4" w:space="0"/>
            </w:tcBorders>
            <w:shd w:val="clear" w:color="auto" w:fill="auto"/>
            <w:vAlign w:val="center"/>
          </w:tcPr>
          <w:p w14:paraId="41773045">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检查其是否有异响或变形，连接部位是否存在温升异常情况。</w:t>
            </w:r>
          </w:p>
        </w:tc>
        <w:tc>
          <w:tcPr>
            <w:tcW w:w="306" w:type="pct"/>
            <w:tcBorders>
              <w:top w:val="nil"/>
              <w:left w:val="nil"/>
              <w:bottom w:val="single" w:color="auto" w:sz="4" w:space="0"/>
              <w:right w:val="single" w:color="auto" w:sz="4" w:space="0"/>
            </w:tcBorders>
            <w:shd w:val="clear" w:color="auto" w:fill="auto"/>
            <w:vAlign w:val="center"/>
          </w:tcPr>
          <w:p w14:paraId="14839A9D">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nil"/>
              <w:left w:val="nil"/>
              <w:bottom w:val="single" w:color="auto" w:sz="4" w:space="0"/>
              <w:right w:val="single" w:color="auto" w:sz="4" w:space="0"/>
            </w:tcBorders>
            <w:shd w:val="clear" w:color="auto" w:fill="auto"/>
            <w:vAlign w:val="center"/>
          </w:tcPr>
          <w:p w14:paraId="17CF40D2">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4F66C3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vAlign w:val="center"/>
          </w:tcPr>
          <w:p w14:paraId="7CA24F1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nil"/>
              <w:left w:val="nil"/>
              <w:bottom w:val="single" w:color="auto" w:sz="4" w:space="0"/>
              <w:right w:val="single" w:color="auto" w:sz="4" w:space="0"/>
            </w:tcBorders>
          </w:tcPr>
          <w:p w14:paraId="79C1591B">
            <w:pPr>
              <w:widowControl/>
              <w:spacing w:line="360" w:lineRule="auto"/>
              <w:jc w:val="center"/>
              <w:rPr>
                <w:rFonts w:cs="宋体" w:asciiTheme="minorEastAsia" w:hAnsiTheme="minorEastAsia" w:eastAsiaTheme="minorEastAsia"/>
                <w:color w:val="auto"/>
                <w:kern w:val="0"/>
                <w:szCs w:val="21"/>
                <w:highlight w:val="none"/>
              </w:rPr>
            </w:pPr>
          </w:p>
        </w:tc>
      </w:tr>
      <w:tr w14:paraId="3141AD4E">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352611E0">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108884A9">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检查各连接部件的紧固性；检查各母线段的绝缘电阻。（低压柜联络部分的母线槽）</w:t>
            </w:r>
          </w:p>
        </w:tc>
        <w:tc>
          <w:tcPr>
            <w:tcW w:w="306" w:type="pct"/>
            <w:tcBorders>
              <w:top w:val="nil"/>
              <w:left w:val="nil"/>
              <w:bottom w:val="single" w:color="auto" w:sz="4" w:space="0"/>
              <w:right w:val="single" w:color="auto" w:sz="4" w:space="0"/>
            </w:tcBorders>
            <w:shd w:val="clear" w:color="auto" w:fill="auto"/>
            <w:vAlign w:val="center"/>
          </w:tcPr>
          <w:p w14:paraId="60560968">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5FB3B598">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C4A67C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1D7B214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7B90D58">
            <w:pPr>
              <w:widowControl/>
              <w:spacing w:line="360" w:lineRule="auto"/>
              <w:jc w:val="center"/>
              <w:rPr>
                <w:rFonts w:cs="宋体" w:asciiTheme="minorEastAsia" w:hAnsiTheme="minorEastAsia" w:eastAsiaTheme="minorEastAsia"/>
                <w:color w:val="auto"/>
                <w:kern w:val="0"/>
                <w:szCs w:val="21"/>
                <w:highlight w:val="none"/>
              </w:rPr>
            </w:pPr>
          </w:p>
        </w:tc>
      </w:tr>
      <w:tr w14:paraId="5F9650A1">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3FA255FD">
            <w:pPr>
              <w:widowControl/>
              <w:jc w:val="left"/>
              <w:rPr>
                <w:rFonts w:cs="宋体" w:asciiTheme="minorEastAsia" w:hAnsiTheme="minorEastAsia" w:eastAsiaTheme="minorEastAsia"/>
                <w:color w:val="auto"/>
                <w:kern w:val="0"/>
                <w:szCs w:val="21"/>
                <w:highlight w:val="none"/>
              </w:rPr>
            </w:pPr>
          </w:p>
        </w:tc>
        <w:tc>
          <w:tcPr>
            <w:tcW w:w="2241" w:type="pct"/>
            <w:tcBorders>
              <w:top w:val="nil"/>
              <w:left w:val="nil"/>
              <w:bottom w:val="single" w:color="auto" w:sz="4" w:space="0"/>
              <w:right w:val="single" w:color="auto" w:sz="4" w:space="0"/>
            </w:tcBorders>
            <w:shd w:val="clear" w:color="auto" w:fill="auto"/>
            <w:vAlign w:val="center"/>
          </w:tcPr>
          <w:p w14:paraId="51C99DC8">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检查各连接部件的紧固性；检查各母线段的绝缘电阻。</w:t>
            </w:r>
          </w:p>
        </w:tc>
        <w:tc>
          <w:tcPr>
            <w:tcW w:w="306" w:type="pct"/>
            <w:tcBorders>
              <w:top w:val="nil"/>
              <w:left w:val="nil"/>
              <w:bottom w:val="single" w:color="auto" w:sz="4" w:space="0"/>
              <w:right w:val="single" w:color="auto" w:sz="4" w:space="0"/>
            </w:tcBorders>
            <w:shd w:val="clear" w:color="auto" w:fill="auto"/>
            <w:vAlign w:val="center"/>
          </w:tcPr>
          <w:p w14:paraId="3EB6D773">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nil"/>
              <w:left w:val="nil"/>
              <w:bottom w:val="single" w:color="auto" w:sz="4" w:space="0"/>
              <w:right w:val="single" w:color="auto" w:sz="4" w:space="0"/>
            </w:tcBorders>
            <w:shd w:val="clear" w:color="auto" w:fill="auto"/>
            <w:vAlign w:val="center"/>
          </w:tcPr>
          <w:p w14:paraId="07742FCC">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nil"/>
              <w:left w:val="nil"/>
              <w:bottom w:val="single" w:color="auto" w:sz="4" w:space="0"/>
              <w:right w:val="single" w:color="auto" w:sz="4" w:space="0"/>
            </w:tcBorders>
            <w:shd w:val="clear" w:color="auto" w:fill="auto"/>
            <w:vAlign w:val="center"/>
          </w:tcPr>
          <w:p w14:paraId="0F5A507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shd w:val="clear" w:color="auto" w:fill="auto"/>
            <w:vAlign w:val="center"/>
          </w:tcPr>
          <w:p w14:paraId="16CED222">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nil"/>
              <w:left w:val="nil"/>
              <w:bottom w:val="single" w:color="auto" w:sz="4" w:space="0"/>
              <w:right w:val="single" w:color="auto" w:sz="4" w:space="0"/>
            </w:tcBorders>
          </w:tcPr>
          <w:p w14:paraId="17602C75">
            <w:pPr>
              <w:widowControl/>
              <w:spacing w:line="360" w:lineRule="auto"/>
              <w:jc w:val="center"/>
              <w:rPr>
                <w:rFonts w:cs="宋体" w:asciiTheme="minorEastAsia" w:hAnsiTheme="minorEastAsia" w:eastAsiaTheme="minorEastAsia"/>
                <w:color w:val="auto"/>
                <w:kern w:val="0"/>
                <w:szCs w:val="21"/>
                <w:highlight w:val="none"/>
              </w:rPr>
            </w:pPr>
          </w:p>
        </w:tc>
      </w:tr>
      <w:tr w14:paraId="44C44E6D">
        <w:tblPrEx>
          <w:tblCellMar>
            <w:top w:w="0" w:type="dxa"/>
            <w:left w:w="0" w:type="dxa"/>
            <w:bottom w:w="0" w:type="dxa"/>
            <w:right w:w="0" w:type="dxa"/>
          </w:tblCellMar>
        </w:tblPrEx>
        <w:trPr>
          <w:trHeight w:val="270" w:hRule="atLeast"/>
        </w:trPr>
        <w:tc>
          <w:tcPr>
            <w:tcW w:w="55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4A01F4F">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低压柜</w:t>
            </w:r>
          </w:p>
          <w:p w14:paraId="2DDDE5FA">
            <w:pPr>
              <w:widowControl/>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kern w:val="0"/>
                <w:szCs w:val="21"/>
                <w:highlight w:val="none"/>
              </w:rPr>
              <w:t>滤波柜</w:t>
            </w:r>
          </w:p>
        </w:tc>
        <w:tc>
          <w:tcPr>
            <w:tcW w:w="2241" w:type="pct"/>
            <w:tcBorders>
              <w:top w:val="single" w:color="auto" w:sz="4" w:space="0"/>
              <w:left w:val="nil"/>
              <w:bottom w:val="single" w:color="auto" w:sz="4" w:space="0"/>
              <w:right w:val="single" w:color="auto" w:sz="4" w:space="0"/>
            </w:tcBorders>
            <w:shd w:val="clear" w:color="auto" w:fill="auto"/>
            <w:vAlign w:val="center"/>
          </w:tcPr>
          <w:p w14:paraId="34CC7E37">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检查指示灯（牌</w:t>
            </w:r>
            <w:r>
              <w:rPr>
                <w:rFonts w:cs="宋体" w:asciiTheme="minorEastAsia" w:hAnsiTheme="minorEastAsia" w:eastAsiaTheme="minorEastAsia"/>
                <w:color w:val="auto"/>
                <w:kern w:val="0"/>
                <w:szCs w:val="21"/>
                <w:highlight w:val="none"/>
              </w:rPr>
              <w:t>）</w:t>
            </w:r>
            <w:r>
              <w:rPr>
                <w:rFonts w:hint="eastAsia" w:cs="宋体" w:asciiTheme="minorEastAsia" w:hAnsiTheme="minorEastAsia" w:eastAsiaTheme="minorEastAsia"/>
                <w:color w:val="auto"/>
                <w:kern w:val="0"/>
                <w:szCs w:val="21"/>
                <w:highlight w:val="none"/>
              </w:rPr>
              <w:t>、铭牌和仪表的齐全性和牢固性，指示值（状态）</w:t>
            </w:r>
            <w:r>
              <w:rPr>
                <w:rFonts w:cs="宋体" w:asciiTheme="minorEastAsia" w:hAnsiTheme="minorEastAsia" w:eastAsiaTheme="minorEastAsia"/>
                <w:color w:val="auto"/>
                <w:kern w:val="0"/>
                <w:szCs w:val="21"/>
                <w:highlight w:val="none"/>
              </w:rPr>
              <w:t>和</w:t>
            </w:r>
            <w:r>
              <w:rPr>
                <w:rFonts w:hint="eastAsia" w:cs="宋体" w:asciiTheme="minorEastAsia" w:hAnsiTheme="minorEastAsia" w:eastAsiaTheme="minorEastAsia"/>
                <w:color w:val="auto"/>
                <w:kern w:val="0"/>
                <w:szCs w:val="21"/>
                <w:highlight w:val="none"/>
              </w:rPr>
              <w:t>仪表显示的有效性，以及三相负荷的平衡性；检查设备</w:t>
            </w:r>
            <w:r>
              <w:rPr>
                <w:rFonts w:cs="宋体" w:asciiTheme="minorEastAsia" w:hAnsiTheme="minorEastAsia" w:eastAsiaTheme="minorEastAsia"/>
                <w:color w:val="auto"/>
                <w:kern w:val="0"/>
                <w:szCs w:val="21"/>
                <w:highlight w:val="none"/>
              </w:rPr>
              <w:t>是否</w:t>
            </w:r>
            <w:r>
              <w:rPr>
                <w:rFonts w:hint="eastAsia" w:cs="宋体" w:asciiTheme="minorEastAsia" w:hAnsiTheme="minorEastAsia" w:eastAsiaTheme="minorEastAsia"/>
                <w:color w:val="auto"/>
                <w:kern w:val="0"/>
                <w:szCs w:val="21"/>
                <w:highlight w:val="none"/>
              </w:rPr>
              <w:t>有异响或异常气味；</w:t>
            </w:r>
            <w:r>
              <w:rPr>
                <w:rFonts w:cs="宋体" w:asciiTheme="minorEastAsia" w:hAnsiTheme="minorEastAsia" w:eastAsiaTheme="minorEastAsia"/>
                <w:color w:val="auto"/>
                <w:kern w:val="0"/>
                <w:szCs w:val="21"/>
                <w:highlight w:val="none"/>
              </w:rPr>
              <w:t>检查</w:t>
            </w:r>
            <w:r>
              <w:rPr>
                <w:rFonts w:hint="eastAsia" w:cs="宋体" w:asciiTheme="minorEastAsia" w:hAnsiTheme="minorEastAsia" w:eastAsiaTheme="minorEastAsia"/>
                <w:color w:val="auto"/>
                <w:kern w:val="0"/>
                <w:szCs w:val="21"/>
                <w:highlight w:val="none"/>
              </w:rPr>
              <w:t>箱体封堵的完整性。</w:t>
            </w:r>
          </w:p>
        </w:tc>
        <w:tc>
          <w:tcPr>
            <w:tcW w:w="306" w:type="pct"/>
            <w:tcBorders>
              <w:top w:val="single" w:color="auto" w:sz="4" w:space="0"/>
              <w:left w:val="nil"/>
              <w:bottom w:val="single" w:color="auto" w:sz="4" w:space="0"/>
              <w:right w:val="single" w:color="auto" w:sz="4" w:space="0"/>
            </w:tcBorders>
            <w:shd w:val="clear" w:color="auto" w:fill="auto"/>
            <w:vAlign w:val="center"/>
          </w:tcPr>
          <w:p w14:paraId="2412C804">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7F901897">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560C629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42E75D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56BD481">
            <w:pPr>
              <w:widowControl/>
              <w:spacing w:line="360" w:lineRule="auto"/>
              <w:jc w:val="center"/>
              <w:rPr>
                <w:rFonts w:cs="宋体" w:asciiTheme="minorEastAsia" w:hAnsiTheme="minorEastAsia" w:eastAsiaTheme="minorEastAsia"/>
                <w:color w:val="auto"/>
                <w:kern w:val="0"/>
                <w:szCs w:val="21"/>
                <w:highlight w:val="none"/>
              </w:rPr>
            </w:pPr>
          </w:p>
        </w:tc>
      </w:tr>
      <w:tr w14:paraId="261E55C0">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3A01854A">
            <w:pPr>
              <w:jc w:val="cente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7632B9E">
            <w:pPr>
              <w:widowControl/>
              <w:jc w:val="left"/>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内外部彻底清扫、擦拭；检查所有金属部件是否氧化或变形；检查开关的触头是否有发黑或损坏现象。</w:t>
            </w:r>
          </w:p>
        </w:tc>
        <w:tc>
          <w:tcPr>
            <w:tcW w:w="306" w:type="pct"/>
            <w:tcBorders>
              <w:top w:val="single" w:color="auto" w:sz="4" w:space="0"/>
              <w:left w:val="nil"/>
              <w:bottom w:val="single" w:color="auto" w:sz="4" w:space="0"/>
              <w:right w:val="single" w:color="auto" w:sz="4" w:space="0"/>
            </w:tcBorders>
            <w:shd w:val="clear" w:color="auto" w:fill="auto"/>
            <w:vAlign w:val="center"/>
          </w:tcPr>
          <w:p w14:paraId="628D2E07">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5D2BB661">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7100A06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vAlign w:val="center"/>
          </w:tcPr>
          <w:p w14:paraId="401637E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tcPr>
          <w:p w14:paraId="2F6A8FE0">
            <w:pPr>
              <w:widowControl/>
              <w:spacing w:line="360" w:lineRule="auto"/>
              <w:jc w:val="center"/>
              <w:rPr>
                <w:rFonts w:cs="宋体" w:asciiTheme="minorEastAsia" w:hAnsiTheme="minorEastAsia" w:eastAsiaTheme="minorEastAsia"/>
                <w:color w:val="auto"/>
                <w:kern w:val="0"/>
                <w:szCs w:val="21"/>
                <w:highlight w:val="none"/>
              </w:rPr>
            </w:pPr>
          </w:p>
        </w:tc>
      </w:tr>
      <w:tr w14:paraId="2FBFFDDC">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74CC6443">
            <w:pPr>
              <w:jc w:val="cente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02F6369">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电气元件的检查：常规检查及外部清洁；</w:t>
            </w:r>
            <w:r>
              <w:rPr>
                <w:rFonts w:cs="宋体" w:asciiTheme="minorEastAsia" w:hAnsiTheme="minorEastAsia" w:eastAsiaTheme="minorEastAsia"/>
                <w:color w:val="auto"/>
                <w:kern w:val="0"/>
                <w:szCs w:val="21"/>
                <w:highlight w:val="none"/>
              </w:rPr>
              <w:t>开关</w:t>
            </w:r>
            <w:r>
              <w:rPr>
                <w:rFonts w:hint="eastAsia" w:cs="宋体" w:asciiTheme="minorEastAsia" w:hAnsiTheme="minorEastAsia" w:eastAsiaTheme="minorEastAsia"/>
                <w:color w:val="auto"/>
                <w:kern w:val="0"/>
                <w:szCs w:val="21"/>
                <w:highlight w:val="none"/>
              </w:rPr>
              <w:t>机械操作机构的检查和保养；电气和机械附件的检查；电气和机械附件功能的检查；灭弧罩、</w:t>
            </w:r>
            <w:r>
              <w:rPr>
                <w:rFonts w:cs="宋体" w:asciiTheme="minorEastAsia" w:hAnsiTheme="minorEastAsia" w:eastAsiaTheme="minorEastAsia"/>
                <w:color w:val="auto"/>
                <w:kern w:val="0"/>
                <w:szCs w:val="21"/>
                <w:highlight w:val="none"/>
              </w:rPr>
              <w:t>灭弧</w:t>
            </w:r>
            <w:r>
              <w:rPr>
                <w:rFonts w:hint="eastAsia" w:cs="宋体" w:asciiTheme="minorEastAsia" w:hAnsiTheme="minorEastAsia" w:eastAsiaTheme="minorEastAsia"/>
                <w:color w:val="auto"/>
                <w:kern w:val="0"/>
                <w:szCs w:val="21"/>
                <w:highlight w:val="none"/>
              </w:rPr>
              <w:t>触头和主触头的检查；开关固定部分的维护；一次、</w:t>
            </w:r>
            <w:r>
              <w:rPr>
                <w:rFonts w:cs="宋体" w:asciiTheme="minorEastAsia" w:hAnsiTheme="minorEastAsia" w:eastAsiaTheme="minorEastAsia"/>
                <w:color w:val="auto"/>
                <w:kern w:val="0"/>
                <w:szCs w:val="21"/>
                <w:highlight w:val="none"/>
              </w:rPr>
              <w:t>二次</w:t>
            </w:r>
            <w:r>
              <w:rPr>
                <w:rFonts w:hint="eastAsia" w:cs="宋体" w:asciiTheme="minorEastAsia" w:hAnsiTheme="minorEastAsia" w:eastAsiaTheme="minorEastAsia"/>
                <w:color w:val="auto"/>
                <w:kern w:val="0"/>
                <w:szCs w:val="21"/>
                <w:highlight w:val="none"/>
              </w:rPr>
              <w:t>端子的检查。</w:t>
            </w:r>
          </w:p>
        </w:tc>
        <w:tc>
          <w:tcPr>
            <w:tcW w:w="306" w:type="pct"/>
            <w:tcBorders>
              <w:top w:val="single" w:color="auto" w:sz="4" w:space="0"/>
              <w:left w:val="nil"/>
              <w:bottom w:val="single" w:color="auto" w:sz="4" w:space="0"/>
              <w:right w:val="single" w:color="auto" w:sz="4" w:space="0"/>
            </w:tcBorders>
            <w:shd w:val="clear" w:color="auto" w:fill="auto"/>
            <w:vAlign w:val="center"/>
          </w:tcPr>
          <w:p w14:paraId="1505A3C4">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146849E8">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7FE8097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vAlign w:val="center"/>
          </w:tcPr>
          <w:p w14:paraId="03C11A2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tcPr>
          <w:p w14:paraId="22158C9C">
            <w:pPr>
              <w:widowControl/>
              <w:spacing w:line="360" w:lineRule="auto"/>
              <w:jc w:val="center"/>
              <w:rPr>
                <w:rFonts w:cs="宋体" w:asciiTheme="minorEastAsia" w:hAnsiTheme="minorEastAsia" w:eastAsiaTheme="minorEastAsia"/>
                <w:color w:val="auto"/>
                <w:kern w:val="0"/>
                <w:szCs w:val="21"/>
                <w:highlight w:val="none"/>
              </w:rPr>
            </w:pPr>
          </w:p>
        </w:tc>
      </w:tr>
      <w:tr w14:paraId="69FF2153">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737ABBCF">
            <w:pPr>
              <w:jc w:val="cente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4683DAB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检查断路器、操作机构、按钮的性能</w:t>
            </w:r>
          </w:p>
        </w:tc>
        <w:tc>
          <w:tcPr>
            <w:tcW w:w="306" w:type="pct"/>
            <w:tcBorders>
              <w:top w:val="single" w:color="auto" w:sz="4" w:space="0"/>
              <w:left w:val="nil"/>
              <w:bottom w:val="single" w:color="auto" w:sz="4" w:space="0"/>
              <w:right w:val="single" w:color="auto" w:sz="4" w:space="0"/>
            </w:tcBorders>
            <w:shd w:val="clear" w:color="auto" w:fill="auto"/>
            <w:vAlign w:val="center"/>
          </w:tcPr>
          <w:p w14:paraId="4B69F173">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3A609C40">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2757041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vAlign w:val="center"/>
          </w:tcPr>
          <w:p w14:paraId="5043B83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tcPr>
          <w:p w14:paraId="50FF3773">
            <w:pPr>
              <w:widowControl/>
              <w:spacing w:line="360" w:lineRule="auto"/>
              <w:jc w:val="center"/>
              <w:rPr>
                <w:rFonts w:cs="宋体" w:asciiTheme="minorEastAsia" w:hAnsiTheme="minorEastAsia" w:eastAsiaTheme="minorEastAsia"/>
                <w:color w:val="auto"/>
                <w:kern w:val="0"/>
                <w:szCs w:val="21"/>
                <w:highlight w:val="none"/>
              </w:rPr>
            </w:pPr>
          </w:p>
        </w:tc>
      </w:tr>
      <w:tr w14:paraId="68919E15">
        <w:tblPrEx>
          <w:tblCellMar>
            <w:top w:w="0" w:type="dxa"/>
            <w:left w:w="0" w:type="dxa"/>
            <w:bottom w:w="0" w:type="dxa"/>
            <w:right w:w="0" w:type="dxa"/>
          </w:tblCellMar>
        </w:tblPrEx>
        <w:trPr>
          <w:trHeight w:val="270" w:hRule="atLeast"/>
        </w:trPr>
        <w:tc>
          <w:tcPr>
            <w:tcW w:w="556" w:type="pct"/>
            <w:vMerge w:val="restart"/>
            <w:tcBorders>
              <w:top w:val="single" w:color="auto" w:sz="4" w:space="0"/>
              <w:left w:val="single" w:color="auto" w:sz="4" w:space="0"/>
              <w:right w:val="single" w:color="auto" w:sz="4" w:space="0"/>
            </w:tcBorders>
            <w:shd w:val="clear" w:color="auto" w:fill="auto"/>
            <w:vAlign w:val="center"/>
          </w:tcPr>
          <w:p w14:paraId="7BAE523A">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变频器控制柜</w:t>
            </w:r>
          </w:p>
          <w:p w14:paraId="69957C8B">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软启动控制柜</w:t>
            </w:r>
          </w:p>
          <w:p w14:paraId="26D7DBE8">
            <w:pPr>
              <w:widowControl/>
              <w:jc w:val="left"/>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动力配电柜</w:t>
            </w:r>
          </w:p>
        </w:tc>
        <w:tc>
          <w:tcPr>
            <w:tcW w:w="2241" w:type="pct"/>
            <w:tcBorders>
              <w:top w:val="single" w:color="auto" w:sz="4" w:space="0"/>
              <w:left w:val="nil"/>
              <w:bottom w:val="single" w:color="auto" w:sz="4" w:space="0"/>
              <w:right w:val="single" w:color="auto" w:sz="4" w:space="0"/>
            </w:tcBorders>
            <w:shd w:val="clear" w:color="auto" w:fill="auto"/>
            <w:vAlign w:val="center"/>
          </w:tcPr>
          <w:p w14:paraId="421C0CFA">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检查指示灯（牌</w:t>
            </w:r>
            <w:r>
              <w:rPr>
                <w:rFonts w:cs="宋体" w:asciiTheme="minorEastAsia" w:hAnsiTheme="minorEastAsia" w:eastAsiaTheme="minorEastAsia"/>
                <w:color w:val="auto"/>
                <w:kern w:val="0"/>
                <w:szCs w:val="21"/>
                <w:highlight w:val="none"/>
              </w:rPr>
              <w:t>）</w:t>
            </w:r>
            <w:r>
              <w:rPr>
                <w:rFonts w:hint="eastAsia" w:cs="宋体" w:asciiTheme="minorEastAsia" w:hAnsiTheme="minorEastAsia" w:eastAsiaTheme="minorEastAsia"/>
                <w:color w:val="auto"/>
                <w:kern w:val="0"/>
                <w:szCs w:val="21"/>
                <w:highlight w:val="none"/>
              </w:rPr>
              <w:t>、铭牌和仪表的齐全性和牢固性，指示值（状态）</w:t>
            </w:r>
            <w:r>
              <w:rPr>
                <w:rFonts w:cs="宋体" w:asciiTheme="minorEastAsia" w:hAnsiTheme="minorEastAsia" w:eastAsiaTheme="minorEastAsia"/>
                <w:color w:val="auto"/>
                <w:kern w:val="0"/>
                <w:szCs w:val="21"/>
                <w:highlight w:val="none"/>
              </w:rPr>
              <w:t>和</w:t>
            </w:r>
            <w:r>
              <w:rPr>
                <w:rFonts w:hint="eastAsia" w:cs="宋体" w:asciiTheme="minorEastAsia" w:hAnsiTheme="minorEastAsia" w:eastAsiaTheme="minorEastAsia"/>
                <w:color w:val="auto"/>
                <w:kern w:val="0"/>
                <w:szCs w:val="21"/>
                <w:highlight w:val="none"/>
              </w:rPr>
              <w:t>仪表显示的有效性；检查输入电压和电流，变频器三相输出电压和输出电流的平衡性；检查柜内元器件外观、</w:t>
            </w:r>
            <w:r>
              <w:rPr>
                <w:rFonts w:cs="宋体" w:asciiTheme="minorEastAsia" w:hAnsiTheme="minorEastAsia" w:eastAsiaTheme="minorEastAsia"/>
                <w:color w:val="auto"/>
                <w:kern w:val="0"/>
                <w:szCs w:val="21"/>
                <w:highlight w:val="none"/>
              </w:rPr>
              <w:t>是否</w:t>
            </w:r>
            <w:r>
              <w:rPr>
                <w:rFonts w:hint="eastAsia" w:cs="宋体" w:asciiTheme="minorEastAsia" w:hAnsiTheme="minorEastAsia" w:eastAsiaTheme="minorEastAsia"/>
                <w:color w:val="auto"/>
                <w:kern w:val="0"/>
                <w:szCs w:val="21"/>
                <w:highlight w:val="none"/>
              </w:rPr>
              <w:t>有异响或异常气味、</w:t>
            </w:r>
            <w:r>
              <w:rPr>
                <w:rFonts w:cs="宋体" w:asciiTheme="minorEastAsia" w:hAnsiTheme="minorEastAsia" w:eastAsiaTheme="minorEastAsia"/>
                <w:color w:val="auto"/>
                <w:kern w:val="0"/>
                <w:szCs w:val="21"/>
                <w:highlight w:val="none"/>
              </w:rPr>
              <w:t>以及</w:t>
            </w:r>
            <w:r>
              <w:rPr>
                <w:rFonts w:hint="eastAsia" w:cs="宋体" w:asciiTheme="minorEastAsia" w:hAnsiTheme="minorEastAsia" w:eastAsiaTheme="minorEastAsia"/>
                <w:color w:val="auto"/>
                <w:kern w:val="0"/>
                <w:szCs w:val="21"/>
                <w:highlight w:val="none"/>
              </w:rPr>
              <w:t>变频器和软起动器的风扇是否正常工作；检查浪涌保护器状态指示；</w:t>
            </w:r>
            <w:r>
              <w:rPr>
                <w:rFonts w:cs="宋体" w:asciiTheme="minorEastAsia" w:hAnsiTheme="minorEastAsia" w:eastAsiaTheme="minorEastAsia"/>
                <w:color w:val="auto"/>
                <w:kern w:val="0"/>
                <w:szCs w:val="21"/>
                <w:highlight w:val="none"/>
              </w:rPr>
              <w:t>检查</w:t>
            </w:r>
            <w:r>
              <w:rPr>
                <w:rFonts w:hint="eastAsia" w:cs="宋体" w:asciiTheme="minorEastAsia" w:hAnsiTheme="minorEastAsia" w:eastAsiaTheme="minorEastAsia"/>
                <w:color w:val="auto"/>
                <w:kern w:val="0"/>
                <w:szCs w:val="21"/>
                <w:highlight w:val="none"/>
              </w:rPr>
              <w:t>箱体封堵的完整性</w:t>
            </w:r>
            <w:r>
              <w:rPr>
                <w:rFonts w:cs="宋体" w:asciiTheme="minorEastAsia" w:hAnsiTheme="minorEastAsia" w:eastAsiaTheme="minorEastAsia"/>
                <w:color w:val="auto"/>
                <w:kern w:val="0"/>
                <w:szCs w:val="21"/>
                <w:highlight w:val="none"/>
              </w:rPr>
              <w:t>。</w:t>
            </w:r>
          </w:p>
        </w:tc>
        <w:tc>
          <w:tcPr>
            <w:tcW w:w="306" w:type="pct"/>
            <w:tcBorders>
              <w:top w:val="single" w:color="auto" w:sz="4" w:space="0"/>
              <w:left w:val="nil"/>
              <w:bottom w:val="single" w:color="auto" w:sz="4" w:space="0"/>
              <w:right w:val="single" w:color="auto" w:sz="4" w:space="0"/>
            </w:tcBorders>
            <w:shd w:val="clear" w:color="auto" w:fill="auto"/>
            <w:vAlign w:val="center"/>
          </w:tcPr>
          <w:p w14:paraId="492AA76A">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04656A20">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41A4EE3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F53B4B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9485FD6">
            <w:pPr>
              <w:widowControl/>
              <w:spacing w:line="360" w:lineRule="auto"/>
              <w:jc w:val="center"/>
              <w:rPr>
                <w:rFonts w:cs="宋体" w:asciiTheme="minorEastAsia" w:hAnsiTheme="minorEastAsia" w:eastAsiaTheme="minorEastAsia"/>
                <w:color w:val="auto"/>
                <w:kern w:val="0"/>
                <w:szCs w:val="21"/>
                <w:highlight w:val="none"/>
              </w:rPr>
            </w:pPr>
          </w:p>
        </w:tc>
      </w:tr>
      <w:tr w14:paraId="04BCD0E2">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356A89E2">
            <w:pPr>
              <w:jc w:val="cente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53387F6A">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柜内外部、变频器和软起动器内部和风路内彻底清扫、擦拭；检查母线、</w:t>
            </w:r>
            <w:r>
              <w:rPr>
                <w:rFonts w:cs="宋体" w:asciiTheme="minorEastAsia" w:hAnsiTheme="minorEastAsia" w:eastAsiaTheme="minorEastAsia"/>
                <w:color w:val="auto"/>
                <w:kern w:val="0"/>
                <w:szCs w:val="21"/>
                <w:highlight w:val="none"/>
              </w:rPr>
              <w:t>一二次</w:t>
            </w:r>
            <w:r>
              <w:rPr>
                <w:rFonts w:hint="eastAsia" w:cs="宋体" w:asciiTheme="minorEastAsia" w:hAnsiTheme="minorEastAsia" w:eastAsiaTheme="minorEastAsia"/>
                <w:color w:val="auto"/>
                <w:kern w:val="0"/>
                <w:szCs w:val="21"/>
                <w:highlight w:val="none"/>
              </w:rPr>
              <w:t>线缆及接地等连接部位的紧固性，以及紧固部分是否发黑或生锈；检查所有金属部件是否氧化以及母线是否变形；检查开关的触头是否有发黑或损坏现象。</w:t>
            </w:r>
          </w:p>
        </w:tc>
        <w:tc>
          <w:tcPr>
            <w:tcW w:w="306" w:type="pct"/>
            <w:tcBorders>
              <w:top w:val="single" w:color="auto" w:sz="4" w:space="0"/>
              <w:left w:val="nil"/>
              <w:bottom w:val="single" w:color="auto" w:sz="4" w:space="0"/>
              <w:right w:val="single" w:color="auto" w:sz="4" w:space="0"/>
            </w:tcBorders>
            <w:shd w:val="clear" w:color="auto" w:fill="auto"/>
            <w:vAlign w:val="center"/>
          </w:tcPr>
          <w:p w14:paraId="397CD6F5">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054F397E">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shd w:val="clear" w:color="auto" w:fill="auto"/>
          </w:tcPr>
          <w:p w14:paraId="4B5D4B0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51309A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6653C08">
            <w:pPr>
              <w:widowControl/>
              <w:spacing w:line="360" w:lineRule="auto"/>
              <w:jc w:val="center"/>
              <w:rPr>
                <w:rFonts w:cs="宋体" w:asciiTheme="minorEastAsia" w:hAnsiTheme="minorEastAsia" w:eastAsiaTheme="minorEastAsia"/>
                <w:color w:val="auto"/>
                <w:kern w:val="0"/>
                <w:szCs w:val="21"/>
                <w:highlight w:val="none"/>
              </w:rPr>
            </w:pPr>
          </w:p>
        </w:tc>
      </w:tr>
      <w:tr w14:paraId="3CFCFBC6">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5AA616A3">
            <w:pPr>
              <w:jc w:val="cente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30BF4F52">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检查开关、</w:t>
            </w:r>
            <w:r>
              <w:rPr>
                <w:rFonts w:cs="宋体" w:asciiTheme="minorEastAsia" w:hAnsiTheme="minorEastAsia" w:eastAsiaTheme="minorEastAsia"/>
                <w:color w:val="auto"/>
                <w:kern w:val="0"/>
                <w:szCs w:val="21"/>
                <w:highlight w:val="none"/>
              </w:rPr>
              <w:t>变频器</w:t>
            </w:r>
            <w:r>
              <w:rPr>
                <w:rFonts w:hint="eastAsia" w:cs="宋体" w:asciiTheme="minorEastAsia" w:hAnsiTheme="minorEastAsia" w:eastAsiaTheme="minorEastAsia"/>
                <w:color w:val="auto"/>
                <w:kern w:val="0"/>
                <w:szCs w:val="21"/>
                <w:highlight w:val="none"/>
              </w:rPr>
              <w:t>、</w:t>
            </w:r>
            <w:r>
              <w:rPr>
                <w:rFonts w:cs="宋体" w:asciiTheme="minorEastAsia" w:hAnsiTheme="minorEastAsia" w:eastAsiaTheme="minorEastAsia"/>
                <w:color w:val="auto"/>
                <w:kern w:val="0"/>
                <w:szCs w:val="21"/>
                <w:highlight w:val="none"/>
              </w:rPr>
              <w:t>软</w:t>
            </w:r>
            <w:r>
              <w:rPr>
                <w:rFonts w:hint="eastAsia" w:cs="宋体" w:asciiTheme="minorEastAsia" w:hAnsiTheme="minorEastAsia" w:eastAsiaTheme="minorEastAsia"/>
                <w:color w:val="auto"/>
                <w:kern w:val="0"/>
                <w:szCs w:val="21"/>
                <w:highlight w:val="none"/>
              </w:rPr>
              <w:t>启动</w:t>
            </w:r>
            <w:r>
              <w:rPr>
                <w:rFonts w:cs="宋体" w:asciiTheme="minorEastAsia" w:hAnsiTheme="minorEastAsia" w:eastAsiaTheme="minorEastAsia"/>
                <w:color w:val="auto"/>
                <w:kern w:val="0"/>
                <w:szCs w:val="21"/>
                <w:highlight w:val="none"/>
              </w:rPr>
              <w:t>器</w:t>
            </w:r>
            <w:r>
              <w:rPr>
                <w:rFonts w:hint="eastAsia" w:cs="宋体" w:asciiTheme="minorEastAsia" w:hAnsiTheme="minorEastAsia" w:eastAsiaTheme="minorEastAsia"/>
                <w:color w:val="auto"/>
                <w:kern w:val="0"/>
                <w:szCs w:val="21"/>
                <w:highlight w:val="none"/>
              </w:rPr>
              <w:t>、接触器、继电器、按钮、二次回路等的性能</w:t>
            </w:r>
          </w:p>
        </w:tc>
        <w:tc>
          <w:tcPr>
            <w:tcW w:w="306" w:type="pct"/>
            <w:tcBorders>
              <w:top w:val="single" w:color="auto" w:sz="4" w:space="0"/>
              <w:left w:val="nil"/>
              <w:bottom w:val="single" w:color="auto" w:sz="4" w:space="0"/>
              <w:right w:val="single" w:color="auto" w:sz="4" w:space="0"/>
            </w:tcBorders>
            <w:shd w:val="clear" w:color="auto" w:fill="auto"/>
            <w:vAlign w:val="center"/>
          </w:tcPr>
          <w:p w14:paraId="3652CA0B">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211DC5E4">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0E3D70A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tcPr>
          <w:p w14:paraId="661792A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162F926">
            <w:pPr>
              <w:widowControl/>
              <w:spacing w:line="360" w:lineRule="auto"/>
              <w:jc w:val="center"/>
              <w:rPr>
                <w:rFonts w:cs="宋体" w:asciiTheme="minorEastAsia" w:hAnsiTheme="minorEastAsia" w:eastAsiaTheme="minorEastAsia"/>
                <w:color w:val="auto"/>
                <w:kern w:val="0"/>
                <w:szCs w:val="21"/>
                <w:highlight w:val="none"/>
              </w:rPr>
            </w:pPr>
          </w:p>
        </w:tc>
      </w:tr>
      <w:tr w14:paraId="467A0B56">
        <w:tblPrEx>
          <w:tblCellMar>
            <w:top w:w="0" w:type="dxa"/>
            <w:left w:w="0" w:type="dxa"/>
            <w:bottom w:w="0" w:type="dxa"/>
            <w:right w:w="0" w:type="dxa"/>
          </w:tblCellMar>
        </w:tblPrEx>
        <w:trPr>
          <w:trHeight w:val="270" w:hRule="atLeast"/>
        </w:trPr>
        <w:tc>
          <w:tcPr>
            <w:tcW w:w="556" w:type="pct"/>
            <w:vMerge w:val="restart"/>
            <w:tcBorders>
              <w:top w:val="single" w:color="auto" w:sz="4" w:space="0"/>
              <w:left w:val="single" w:color="auto" w:sz="4" w:space="0"/>
              <w:right w:val="single" w:color="auto" w:sz="4" w:space="0"/>
            </w:tcBorders>
            <w:shd w:val="clear" w:color="auto" w:fill="auto"/>
            <w:vAlign w:val="center"/>
          </w:tcPr>
          <w:p w14:paraId="5053B405">
            <w:pPr>
              <w:widowControl/>
              <w:jc w:val="left"/>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其他电气箱体</w:t>
            </w:r>
          </w:p>
        </w:tc>
        <w:tc>
          <w:tcPr>
            <w:tcW w:w="2241" w:type="pct"/>
            <w:tcBorders>
              <w:top w:val="single" w:color="auto" w:sz="4" w:space="0"/>
              <w:left w:val="nil"/>
              <w:bottom w:val="single" w:color="auto" w:sz="4" w:space="0"/>
              <w:right w:val="single" w:color="auto" w:sz="4" w:space="0"/>
            </w:tcBorders>
            <w:shd w:val="clear" w:color="auto" w:fill="auto"/>
            <w:vAlign w:val="center"/>
          </w:tcPr>
          <w:p w14:paraId="362DFC88">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检查指示灯（牌</w:t>
            </w:r>
            <w:r>
              <w:rPr>
                <w:rFonts w:cs="宋体" w:asciiTheme="minorEastAsia" w:hAnsiTheme="minorEastAsia" w:eastAsiaTheme="minorEastAsia"/>
                <w:color w:val="auto"/>
                <w:kern w:val="0"/>
                <w:szCs w:val="21"/>
                <w:highlight w:val="none"/>
              </w:rPr>
              <w:t>）</w:t>
            </w:r>
            <w:r>
              <w:rPr>
                <w:rFonts w:hint="eastAsia" w:cs="宋体" w:asciiTheme="minorEastAsia" w:hAnsiTheme="minorEastAsia" w:eastAsiaTheme="minorEastAsia"/>
                <w:color w:val="auto"/>
                <w:kern w:val="0"/>
                <w:szCs w:val="21"/>
                <w:highlight w:val="none"/>
              </w:rPr>
              <w:t>、铭牌和仪表的齐全性和牢固性，指示值（状态）</w:t>
            </w:r>
            <w:r>
              <w:rPr>
                <w:rFonts w:cs="宋体" w:asciiTheme="minorEastAsia" w:hAnsiTheme="minorEastAsia" w:eastAsiaTheme="minorEastAsia"/>
                <w:color w:val="auto"/>
                <w:kern w:val="0"/>
                <w:szCs w:val="21"/>
                <w:highlight w:val="none"/>
              </w:rPr>
              <w:t>和</w:t>
            </w:r>
            <w:r>
              <w:rPr>
                <w:rFonts w:hint="eastAsia" w:cs="宋体" w:asciiTheme="minorEastAsia" w:hAnsiTheme="minorEastAsia" w:eastAsiaTheme="minorEastAsia"/>
                <w:color w:val="auto"/>
                <w:kern w:val="0"/>
                <w:szCs w:val="21"/>
                <w:highlight w:val="none"/>
              </w:rPr>
              <w:t>仪表显示的有效性；检查输入电压和电流；检查柜内元器件外观、</w:t>
            </w:r>
            <w:r>
              <w:rPr>
                <w:rFonts w:cs="宋体" w:asciiTheme="minorEastAsia" w:hAnsiTheme="minorEastAsia" w:eastAsiaTheme="minorEastAsia"/>
                <w:color w:val="auto"/>
                <w:kern w:val="0"/>
                <w:szCs w:val="21"/>
                <w:highlight w:val="none"/>
              </w:rPr>
              <w:t>是否</w:t>
            </w:r>
            <w:r>
              <w:rPr>
                <w:rFonts w:hint="eastAsia" w:cs="宋体" w:asciiTheme="minorEastAsia" w:hAnsiTheme="minorEastAsia" w:eastAsiaTheme="minorEastAsia"/>
                <w:color w:val="auto"/>
                <w:kern w:val="0"/>
                <w:szCs w:val="21"/>
                <w:highlight w:val="none"/>
              </w:rPr>
              <w:t>有异响或异常气味；</w:t>
            </w:r>
            <w:r>
              <w:rPr>
                <w:rFonts w:cs="宋体" w:asciiTheme="minorEastAsia" w:hAnsiTheme="minorEastAsia" w:eastAsiaTheme="minorEastAsia"/>
                <w:color w:val="auto"/>
                <w:kern w:val="0"/>
                <w:szCs w:val="21"/>
                <w:highlight w:val="none"/>
              </w:rPr>
              <w:t>检查</w:t>
            </w:r>
            <w:r>
              <w:rPr>
                <w:rFonts w:hint="eastAsia" w:cs="宋体" w:asciiTheme="minorEastAsia" w:hAnsiTheme="minorEastAsia" w:eastAsiaTheme="minorEastAsia"/>
                <w:color w:val="auto"/>
                <w:kern w:val="0"/>
                <w:szCs w:val="21"/>
                <w:highlight w:val="none"/>
              </w:rPr>
              <w:t>箱体封堵的完整性。</w:t>
            </w:r>
          </w:p>
        </w:tc>
        <w:tc>
          <w:tcPr>
            <w:tcW w:w="306" w:type="pct"/>
            <w:tcBorders>
              <w:top w:val="single" w:color="auto" w:sz="4" w:space="0"/>
              <w:left w:val="nil"/>
              <w:bottom w:val="single" w:color="auto" w:sz="4" w:space="0"/>
              <w:right w:val="single" w:color="auto" w:sz="4" w:space="0"/>
            </w:tcBorders>
            <w:shd w:val="clear" w:color="auto" w:fill="auto"/>
            <w:vAlign w:val="center"/>
          </w:tcPr>
          <w:p w14:paraId="1D3DC9A5">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666D896B">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tcPr>
          <w:p w14:paraId="133DBCD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42825E52">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1E693DF1">
            <w:pPr>
              <w:widowControl/>
              <w:spacing w:line="360" w:lineRule="auto"/>
              <w:jc w:val="center"/>
              <w:rPr>
                <w:rFonts w:cs="宋体" w:asciiTheme="minorEastAsia" w:hAnsiTheme="minorEastAsia" w:eastAsiaTheme="minorEastAsia"/>
                <w:color w:val="auto"/>
                <w:kern w:val="0"/>
                <w:szCs w:val="21"/>
                <w:highlight w:val="none"/>
              </w:rPr>
            </w:pPr>
          </w:p>
        </w:tc>
      </w:tr>
      <w:tr w14:paraId="6CF9461F">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5311B257">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8F3941C">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柜内外部彻底清扫、擦拭；检查母线、</w:t>
            </w:r>
            <w:r>
              <w:rPr>
                <w:rFonts w:cs="宋体" w:asciiTheme="minorEastAsia" w:hAnsiTheme="minorEastAsia" w:eastAsiaTheme="minorEastAsia"/>
                <w:color w:val="auto"/>
                <w:kern w:val="0"/>
                <w:szCs w:val="21"/>
                <w:highlight w:val="none"/>
              </w:rPr>
              <w:t>一二次</w:t>
            </w:r>
            <w:r>
              <w:rPr>
                <w:rFonts w:hint="eastAsia" w:cs="宋体" w:asciiTheme="minorEastAsia" w:hAnsiTheme="minorEastAsia" w:eastAsiaTheme="minorEastAsia"/>
                <w:color w:val="auto"/>
                <w:kern w:val="0"/>
                <w:szCs w:val="21"/>
                <w:highlight w:val="none"/>
              </w:rPr>
              <w:t>线缆及接地等连接部位的紧固性，以及紧固部分是否发黑或生锈；检查所有金属部件是否氧化以及母线是否变形；检查开关的触头是否有发黑或损坏现象。</w:t>
            </w:r>
          </w:p>
        </w:tc>
        <w:tc>
          <w:tcPr>
            <w:tcW w:w="306" w:type="pct"/>
            <w:tcBorders>
              <w:top w:val="single" w:color="auto" w:sz="4" w:space="0"/>
              <w:left w:val="nil"/>
              <w:bottom w:val="single" w:color="auto" w:sz="4" w:space="0"/>
              <w:right w:val="single" w:color="auto" w:sz="4" w:space="0"/>
            </w:tcBorders>
            <w:shd w:val="clear" w:color="auto" w:fill="auto"/>
            <w:vAlign w:val="center"/>
          </w:tcPr>
          <w:p w14:paraId="6385F493">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250495A7">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shd w:val="clear" w:color="auto" w:fill="auto"/>
          </w:tcPr>
          <w:p w14:paraId="3BEDF0E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23E869C">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23BEE238">
            <w:pPr>
              <w:widowControl/>
              <w:spacing w:line="360" w:lineRule="auto"/>
              <w:jc w:val="center"/>
              <w:rPr>
                <w:rFonts w:cs="宋体" w:asciiTheme="minorEastAsia" w:hAnsiTheme="minorEastAsia" w:eastAsiaTheme="minorEastAsia"/>
                <w:color w:val="auto"/>
                <w:kern w:val="0"/>
                <w:szCs w:val="21"/>
                <w:highlight w:val="none"/>
              </w:rPr>
            </w:pPr>
          </w:p>
        </w:tc>
      </w:tr>
      <w:tr w14:paraId="3E3A4CDC">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320413EA">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17CCD3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检查开关、接触器、继电器、按钮、二次回路等的性能</w:t>
            </w:r>
          </w:p>
        </w:tc>
        <w:tc>
          <w:tcPr>
            <w:tcW w:w="306" w:type="pct"/>
            <w:tcBorders>
              <w:top w:val="single" w:color="auto" w:sz="4" w:space="0"/>
              <w:left w:val="nil"/>
              <w:bottom w:val="single" w:color="auto" w:sz="4" w:space="0"/>
              <w:right w:val="single" w:color="auto" w:sz="4" w:space="0"/>
            </w:tcBorders>
            <w:shd w:val="clear" w:color="auto" w:fill="auto"/>
            <w:vAlign w:val="center"/>
          </w:tcPr>
          <w:p w14:paraId="0BD90B87">
            <w:pPr>
              <w:widowControl/>
              <w:spacing w:line="360" w:lineRule="auto"/>
              <w:jc w:val="center"/>
              <w:rPr>
                <w:rFonts w:cs="宋体" w:asciiTheme="minorEastAsia" w:hAnsiTheme="minorEastAsia" w:eastAsiaTheme="minorEastAsia"/>
                <w:i/>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209BE009">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16EE7045">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tcPr>
          <w:p w14:paraId="5455C6F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9BF62B2">
            <w:pPr>
              <w:widowControl/>
              <w:spacing w:line="360" w:lineRule="auto"/>
              <w:jc w:val="center"/>
              <w:rPr>
                <w:rFonts w:cs="宋体" w:asciiTheme="minorEastAsia" w:hAnsiTheme="minorEastAsia" w:eastAsiaTheme="minorEastAsia"/>
                <w:color w:val="auto"/>
                <w:kern w:val="0"/>
                <w:szCs w:val="21"/>
                <w:highlight w:val="none"/>
              </w:rPr>
            </w:pPr>
          </w:p>
        </w:tc>
      </w:tr>
      <w:tr w14:paraId="29C7E289">
        <w:tblPrEx>
          <w:tblCellMar>
            <w:top w:w="0" w:type="dxa"/>
            <w:left w:w="0" w:type="dxa"/>
            <w:bottom w:w="0" w:type="dxa"/>
            <w:right w:w="0" w:type="dxa"/>
          </w:tblCellMar>
        </w:tblPrEx>
        <w:trPr>
          <w:trHeight w:val="270" w:hRule="atLeast"/>
        </w:trPr>
        <w:tc>
          <w:tcPr>
            <w:tcW w:w="556" w:type="pct"/>
            <w:vMerge w:val="restart"/>
            <w:tcBorders>
              <w:top w:val="single" w:color="auto" w:sz="4" w:space="0"/>
              <w:left w:val="single" w:color="auto" w:sz="4" w:space="0"/>
              <w:right w:val="single" w:color="auto" w:sz="4" w:space="0"/>
            </w:tcBorders>
            <w:shd w:val="clear" w:color="auto" w:fill="auto"/>
            <w:vAlign w:val="center"/>
          </w:tcPr>
          <w:p w14:paraId="5DA37A0C">
            <w:pP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通风空调系统</w:t>
            </w:r>
          </w:p>
        </w:tc>
        <w:tc>
          <w:tcPr>
            <w:tcW w:w="2241" w:type="pct"/>
            <w:tcBorders>
              <w:top w:val="single" w:color="auto" w:sz="4" w:space="0"/>
              <w:left w:val="nil"/>
              <w:bottom w:val="single" w:color="auto" w:sz="4" w:space="0"/>
              <w:right w:val="single" w:color="auto" w:sz="4" w:space="0"/>
            </w:tcBorders>
            <w:shd w:val="clear" w:color="auto" w:fill="auto"/>
            <w:vAlign w:val="center"/>
          </w:tcPr>
          <w:p w14:paraId="638E0E4D">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检查初中效过滤器压差，判断是否需要更换，根管过滤器</w:t>
            </w:r>
          </w:p>
        </w:tc>
        <w:tc>
          <w:tcPr>
            <w:tcW w:w="306" w:type="pct"/>
            <w:tcBorders>
              <w:top w:val="single" w:color="auto" w:sz="4" w:space="0"/>
              <w:left w:val="nil"/>
              <w:bottom w:val="single" w:color="auto" w:sz="4" w:space="0"/>
              <w:right w:val="single" w:color="auto" w:sz="4" w:space="0"/>
            </w:tcBorders>
            <w:shd w:val="clear" w:color="auto" w:fill="auto"/>
            <w:vAlign w:val="center"/>
          </w:tcPr>
          <w:p w14:paraId="5BC7880C">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10BB19AA">
            <w:pPr>
              <w:widowControl/>
              <w:spacing w:line="360" w:lineRule="auto"/>
              <w:jc w:val="cente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72" w:type="pct"/>
            <w:tcBorders>
              <w:top w:val="single" w:color="auto" w:sz="4" w:space="0"/>
              <w:left w:val="nil"/>
              <w:bottom w:val="single" w:color="auto" w:sz="4" w:space="0"/>
              <w:right w:val="single" w:color="auto" w:sz="4" w:space="0"/>
            </w:tcBorders>
            <w:shd w:val="clear" w:color="auto" w:fill="auto"/>
            <w:vAlign w:val="center"/>
          </w:tcPr>
          <w:p w14:paraId="74D4586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1150A33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D9149C5">
            <w:pPr>
              <w:widowControl/>
              <w:spacing w:line="360" w:lineRule="auto"/>
              <w:jc w:val="center"/>
              <w:rPr>
                <w:rFonts w:cs="宋体" w:asciiTheme="minorEastAsia" w:hAnsiTheme="minorEastAsia" w:eastAsiaTheme="minorEastAsia"/>
                <w:color w:val="auto"/>
                <w:kern w:val="0"/>
                <w:szCs w:val="21"/>
                <w:highlight w:val="none"/>
              </w:rPr>
            </w:pPr>
          </w:p>
        </w:tc>
      </w:tr>
      <w:tr w14:paraId="7C8EB8E2">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744A5EAF">
            <w:pPr>
              <w:rPr>
                <w:rFonts w:cs="宋体" w:asciiTheme="minorEastAsia" w:hAnsiTheme="minorEastAsia" w:eastAsiaTheme="minorEastAsia"/>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41F534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检查空调电加热器、补水装置、加湿装置、电气设备、控制系统工作是否正常</w:t>
            </w:r>
          </w:p>
        </w:tc>
        <w:tc>
          <w:tcPr>
            <w:tcW w:w="306" w:type="pct"/>
            <w:tcBorders>
              <w:top w:val="single" w:color="auto" w:sz="4" w:space="0"/>
              <w:left w:val="nil"/>
              <w:bottom w:val="single" w:color="auto" w:sz="4" w:space="0"/>
              <w:right w:val="single" w:color="auto" w:sz="4" w:space="0"/>
            </w:tcBorders>
            <w:shd w:val="clear" w:color="auto" w:fill="auto"/>
            <w:vAlign w:val="center"/>
          </w:tcPr>
          <w:p w14:paraId="20CA1C9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04B69762">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6BDA409F">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2EEE128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E4A1EDB">
            <w:pPr>
              <w:widowControl/>
              <w:spacing w:line="360" w:lineRule="auto"/>
              <w:jc w:val="center"/>
              <w:rPr>
                <w:rFonts w:cs="宋体" w:asciiTheme="minorEastAsia" w:hAnsiTheme="minorEastAsia" w:eastAsiaTheme="minorEastAsia"/>
                <w:color w:val="auto"/>
                <w:kern w:val="0"/>
                <w:szCs w:val="21"/>
                <w:highlight w:val="none"/>
              </w:rPr>
            </w:pPr>
          </w:p>
        </w:tc>
      </w:tr>
      <w:tr w14:paraId="3095BF4F">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0A57A3BA">
            <w:pPr>
              <w:rPr>
                <w:rFonts w:cs="宋体" w:asciiTheme="minorEastAsia" w:hAnsiTheme="minorEastAsia" w:eastAsiaTheme="minorEastAsia"/>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5F30C027">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检查空调送回风温度是否正常、设</w:t>
            </w:r>
            <w:r>
              <w:rPr>
                <w:rFonts w:cs="宋体" w:asciiTheme="minorEastAsia" w:hAnsiTheme="minorEastAsia" w:eastAsiaTheme="minorEastAsia"/>
                <w:color w:val="auto"/>
                <w:kern w:val="0"/>
                <w:szCs w:val="21"/>
                <w:highlight w:val="none"/>
              </w:rPr>
              <w:t>楼书</w:t>
            </w:r>
            <w:r>
              <w:rPr>
                <w:rFonts w:hint="eastAsia" w:cs="宋体" w:asciiTheme="minorEastAsia" w:hAnsiTheme="minorEastAsia" w:eastAsiaTheme="minorEastAsia"/>
                <w:color w:val="auto"/>
                <w:kern w:val="0"/>
                <w:szCs w:val="21"/>
                <w:highlight w:val="none"/>
              </w:rPr>
              <w:t>和各类阀门是否有异常振动、滴漏、堵塞</w:t>
            </w:r>
          </w:p>
        </w:tc>
        <w:tc>
          <w:tcPr>
            <w:tcW w:w="306" w:type="pct"/>
            <w:tcBorders>
              <w:top w:val="single" w:color="auto" w:sz="4" w:space="0"/>
              <w:left w:val="nil"/>
              <w:bottom w:val="single" w:color="auto" w:sz="4" w:space="0"/>
              <w:right w:val="single" w:color="auto" w:sz="4" w:space="0"/>
            </w:tcBorders>
            <w:shd w:val="clear" w:color="auto" w:fill="auto"/>
            <w:vAlign w:val="center"/>
          </w:tcPr>
          <w:p w14:paraId="6C48911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36F372BB">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3485332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507E9A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4B9BBC5B">
            <w:pPr>
              <w:widowControl/>
              <w:spacing w:line="360" w:lineRule="auto"/>
              <w:jc w:val="center"/>
              <w:rPr>
                <w:rFonts w:cs="宋体" w:asciiTheme="minorEastAsia" w:hAnsiTheme="minorEastAsia" w:eastAsiaTheme="minorEastAsia"/>
                <w:color w:val="auto"/>
                <w:kern w:val="0"/>
                <w:szCs w:val="21"/>
                <w:highlight w:val="none"/>
              </w:rPr>
            </w:pPr>
          </w:p>
        </w:tc>
      </w:tr>
      <w:tr w14:paraId="29A989DC">
        <w:tblPrEx>
          <w:tblCellMar>
            <w:top w:w="0" w:type="dxa"/>
            <w:left w:w="0" w:type="dxa"/>
            <w:bottom w:w="0" w:type="dxa"/>
            <w:right w:w="0" w:type="dxa"/>
          </w:tblCellMar>
        </w:tblPrEx>
        <w:trPr>
          <w:trHeight w:val="270" w:hRule="atLeast"/>
        </w:trPr>
        <w:tc>
          <w:tcPr>
            <w:tcW w:w="556" w:type="pct"/>
            <w:tcBorders>
              <w:left w:val="single" w:color="auto" w:sz="4" w:space="0"/>
              <w:right w:val="single" w:color="auto" w:sz="4" w:space="0"/>
            </w:tcBorders>
            <w:shd w:val="clear" w:color="auto" w:fill="auto"/>
            <w:vAlign w:val="center"/>
          </w:tcPr>
          <w:p w14:paraId="7BD901C7">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4F262574">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检查风机是否正常工作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0577BE3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5DC90D1C">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0508CFC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E18C32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703037C">
            <w:pPr>
              <w:widowControl/>
              <w:spacing w:line="360" w:lineRule="auto"/>
              <w:jc w:val="center"/>
              <w:rPr>
                <w:rFonts w:cs="宋体" w:asciiTheme="minorEastAsia" w:hAnsiTheme="minorEastAsia" w:eastAsiaTheme="minorEastAsia"/>
                <w:color w:val="auto"/>
                <w:kern w:val="0"/>
                <w:szCs w:val="21"/>
                <w:highlight w:val="none"/>
              </w:rPr>
            </w:pPr>
          </w:p>
        </w:tc>
      </w:tr>
      <w:tr w14:paraId="3EC61379">
        <w:tblPrEx>
          <w:tblCellMar>
            <w:top w:w="0" w:type="dxa"/>
            <w:left w:w="0" w:type="dxa"/>
            <w:bottom w:w="0" w:type="dxa"/>
            <w:right w:w="0" w:type="dxa"/>
          </w:tblCellMar>
        </w:tblPrEx>
        <w:trPr>
          <w:trHeight w:val="270" w:hRule="atLeast"/>
        </w:trPr>
        <w:tc>
          <w:tcPr>
            <w:tcW w:w="556" w:type="pct"/>
            <w:tcBorders>
              <w:left w:val="single" w:color="auto" w:sz="4" w:space="0"/>
              <w:right w:val="single" w:color="auto" w:sz="4" w:space="0"/>
            </w:tcBorders>
            <w:shd w:val="clear" w:color="auto" w:fill="auto"/>
            <w:vAlign w:val="center"/>
          </w:tcPr>
          <w:p w14:paraId="681A8048">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5BB82F4F">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检查立式空调皮带是否需要更换</w:t>
            </w:r>
          </w:p>
        </w:tc>
        <w:tc>
          <w:tcPr>
            <w:tcW w:w="306" w:type="pct"/>
            <w:tcBorders>
              <w:top w:val="single" w:color="auto" w:sz="4" w:space="0"/>
              <w:left w:val="nil"/>
              <w:bottom w:val="single" w:color="auto" w:sz="4" w:space="0"/>
              <w:right w:val="single" w:color="auto" w:sz="4" w:space="0"/>
            </w:tcBorders>
            <w:shd w:val="clear" w:color="auto" w:fill="auto"/>
            <w:vAlign w:val="center"/>
          </w:tcPr>
          <w:p w14:paraId="43FBCBC8">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2DC58895">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0E157634">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864539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BE802F3">
            <w:pPr>
              <w:widowControl/>
              <w:spacing w:line="360" w:lineRule="auto"/>
              <w:jc w:val="center"/>
              <w:rPr>
                <w:rFonts w:cs="宋体" w:asciiTheme="minorEastAsia" w:hAnsiTheme="minorEastAsia" w:eastAsiaTheme="minorEastAsia"/>
                <w:color w:val="auto"/>
                <w:kern w:val="0"/>
                <w:szCs w:val="21"/>
                <w:highlight w:val="none"/>
              </w:rPr>
            </w:pPr>
          </w:p>
        </w:tc>
      </w:tr>
      <w:tr w14:paraId="52EBD805">
        <w:tblPrEx>
          <w:tblCellMar>
            <w:top w:w="0" w:type="dxa"/>
            <w:left w:w="0" w:type="dxa"/>
            <w:bottom w:w="0" w:type="dxa"/>
            <w:right w:w="0" w:type="dxa"/>
          </w:tblCellMar>
        </w:tblPrEx>
        <w:trPr>
          <w:trHeight w:val="270" w:hRule="atLeast"/>
        </w:trPr>
        <w:tc>
          <w:tcPr>
            <w:tcW w:w="556" w:type="pct"/>
            <w:vMerge w:val="restart"/>
            <w:tcBorders>
              <w:left w:val="single" w:color="auto" w:sz="4" w:space="0"/>
              <w:right w:val="single" w:color="auto" w:sz="4" w:space="0"/>
            </w:tcBorders>
            <w:shd w:val="clear" w:color="auto" w:fill="auto"/>
            <w:vAlign w:val="center"/>
          </w:tcPr>
          <w:p w14:paraId="20F5BA35">
            <w:pPr>
              <w:rPr>
                <w:rFonts w:cs="宋体" w:asciiTheme="minorEastAsia" w:hAnsiTheme="minorEastAsia" w:eastAsiaTheme="minorEastAsia"/>
                <w:i/>
                <w:color w:val="auto"/>
                <w:kern w:val="0"/>
                <w:szCs w:val="21"/>
                <w:highlight w:val="none"/>
              </w:rPr>
            </w:pPr>
            <w:r>
              <w:rPr>
                <w:rFonts w:hint="eastAsia" w:cs="宋体" w:asciiTheme="minorEastAsia" w:hAnsiTheme="minorEastAsia" w:eastAsiaTheme="minorEastAsia"/>
                <w:i/>
                <w:color w:val="auto"/>
                <w:kern w:val="0"/>
                <w:szCs w:val="21"/>
                <w:highlight w:val="none"/>
              </w:rPr>
              <w:t>低温系统设备</w:t>
            </w:r>
          </w:p>
        </w:tc>
        <w:tc>
          <w:tcPr>
            <w:tcW w:w="2241" w:type="pct"/>
            <w:tcBorders>
              <w:top w:val="single" w:color="auto" w:sz="4" w:space="0"/>
              <w:left w:val="nil"/>
              <w:bottom w:val="single" w:color="auto" w:sz="4" w:space="0"/>
              <w:right w:val="single" w:color="auto" w:sz="4" w:space="0"/>
            </w:tcBorders>
            <w:shd w:val="clear" w:color="auto" w:fill="auto"/>
            <w:vAlign w:val="center"/>
          </w:tcPr>
          <w:p w14:paraId="0DF5596D">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检查氦气压缩机、氮气压缩机是否有漏油、漏气</w:t>
            </w:r>
          </w:p>
        </w:tc>
        <w:tc>
          <w:tcPr>
            <w:tcW w:w="306" w:type="pct"/>
            <w:tcBorders>
              <w:top w:val="single" w:color="auto" w:sz="4" w:space="0"/>
              <w:left w:val="nil"/>
              <w:bottom w:val="single" w:color="auto" w:sz="4" w:space="0"/>
              <w:right w:val="single" w:color="auto" w:sz="4" w:space="0"/>
            </w:tcBorders>
            <w:shd w:val="clear" w:color="auto" w:fill="auto"/>
            <w:vAlign w:val="center"/>
          </w:tcPr>
          <w:p w14:paraId="187459BB">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42A31813">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05DF732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850BE35">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C9DF5CE">
            <w:pPr>
              <w:widowControl/>
              <w:spacing w:line="360" w:lineRule="auto"/>
              <w:jc w:val="center"/>
              <w:rPr>
                <w:rFonts w:cs="宋体" w:asciiTheme="minorEastAsia" w:hAnsiTheme="minorEastAsia" w:eastAsiaTheme="minorEastAsia"/>
                <w:color w:val="auto"/>
                <w:kern w:val="0"/>
                <w:szCs w:val="21"/>
                <w:highlight w:val="none"/>
              </w:rPr>
            </w:pPr>
          </w:p>
        </w:tc>
      </w:tr>
      <w:tr w14:paraId="0912D84F">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2CB99FB8">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68312BC9">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检查控制室、机房是否有超温，主机和显示器是否工作正常</w:t>
            </w:r>
          </w:p>
        </w:tc>
        <w:tc>
          <w:tcPr>
            <w:tcW w:w="306" w:type="pct"/>
            <w:tcBorders>
              <w:top w:val="single" w:color="auto" w:sz="4" w:space="0"/>
              <w:left w:val="nil"/>
              <w:bottom w:val="single" w:color="auto" w:sz="4" w:space="0"/>
              <w:right w:val="single" w:color="auto" w:sz="4" w:space="0"/>
            </w:tcBorders>
            <w:shd w:val="clear" w:color="auto" w:fill="auto"/>
            <w:vAlign w:val="center"/>
          </w:tcPr>
          <w:p w14:paraId="4169A4F9">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0CEAADF7">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2220977A">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75FE66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151606E2">
            <w:pPr>
              <w:widowControl/>
              <w:spacing w:line="360" w:lineRule="auto"/>
              <w:jc w:val="center"/>
              <w:rPr>
                <w:rFonts w:cs="宋体" w:asciiTheme="minorEastAsia" w:hAnsiTheme="minorEastAsia" w:eastAsiaTheme="minorEastAsia"/>
                <w:color w:val="auto"/>
                <w:kern w:val="0"/>
                <w:szCs w:val="21"/>
                <w:highlight w:val="none"/>
              </w:rPr>
            </w:pPr>
          </w:p>
        </w:tc>
      </w:tr>
      <w:tr w14:paraId="179BFA05">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667DBA00">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005574FC">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检查厅内行车是否工作正常</w:t>
            </w:r>
          </w:p>
        </w:tc>
        <w:tc>
          <w:tcPr>
            <w:tcW w:w="306" w:type="pct"/>
            <w:tcBorders>
              <w:top w:val="single" w:color="auto" w:sz="4" w:space="0"/>
              <w:left w:val="nil"/>
              <w:bottom w:val="single" w:color="auto" w:sz="4" w:space="0"/>
              <w:right w:val="single" w:color="auto" w:sz="4" w:space="0"/>
            </w:tcBorders>
            <w:shd w:val="clear" w:color="auto" w:fill="auto"/>
            <w:vAlign w:val="center"/>
          </w:tcPr>
          <w:p w14:paraId="697598FF">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5F7B6A58">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1CAB95E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DA3646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004FFCA5">
            <w:pPr>
              <w:widowControl/>
              <w:spacing w:line="360" w:lineRule="auto"/>
              <w:jc w:val="center"/>
              <w:rPr>
                <w:rFonts w:cs="宋体" w:asciiTheme="minorEastAsia" w:hAnsiTheme="minorEastAsia" w:eastAsiaTheme="minorEastAsia"/>
                <w:color w:val="auto"/>
                <w:kern w:val="0"/>
                <w:szCs w:val="21"/>
                <w:highlight w:val="none"/>
              </w:rPr>
            </w:pPr>
          </w:p>
        </w:tc>
      </w:tr>
      <w:tr w14:paraId="023B56CD">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26A92E75">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4367FB32">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检查低温冷箱是否正常工作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071C8BF4">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6D31BA7F">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27CC9672">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EB45413">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170A53BE">
            <w:pPr>
              <w:widowControl/>
              <w:spacing w:line="360" w:lineRule="auto"/>
              <w:jc w:val="center"/>
              <w:rPr>
                <w:rFonts w:cs="宋体" w:asciiTheme="minorEastAsia" w:hAnsiTheme="minorEastAsia" w:eastAsiaTheme="minorEastAsia"/>
                <w:color w:val="auto"/>
                <w:kern w:val="0"/>
                <w:szCs w:val="21"/>
                <w:highlight w:val="none"/>
              </w:rPr>
            </w:pPr>
          </w:p>
        </w:tc>
      </w:tr>
      <w:tr w14:paraId="4E897C91">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7ED454E7">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32CA1276">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检查低温储罐是否正常工作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0D330C1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7A6486CE">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7D94779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43BD6F5E">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5663EF1">
            <w:pPr>
              <w:widowControl/>
              <w:spacing w:line="360" w:lineRule="auto"/>
              <w:jc w:val="center"/>
              <w:rPr>
                <w:rFonts w:cs="宋体" w:asciiTheme="minorEastAsia" w:hAnsiTheme="minorEastAsia" w:eastAsiaTheme="minorEastAsia"/>
                <w:color w:val="auto"/>
                <w:kern w:val="0"/>
                <w:szCs w:val="21"/>
                <w:highlight w:val="none"/>
              </w:rPr>
            </w:pPr>
          </w:p>
        </w:tc>
      </w:tr>
      <w:tr w14:paraId="2349546B">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46E0926F">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305E8EDB">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检查园区、储存环和实验大厅低温管线及设备是否正常工作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369B3BEE">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7C56E12A">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2C0901F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09C53CA">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8475309">
            <w:pPr>
              <w:widowControl/>
              <w:spacing w:line="360" w:lineRule="auto"/>
              <w:jc w:val="center"/>
              <w:rPr>
                <w:rFonts w:cs="宋体" w:asciiTheme="minorEastAsia" w:hAnsiTheme="minorEastAsia" w:eastAsiaTheme="minorEastAsia"/>
                <w:color w:val="auto"/>
                <w:kern w:val="0"/>
                <w:szCs w:val="21"/>
                <w:highlight w:val="none"/>
              </w:rPr>
            </w:pPr>
          </w:p>
        </w:tc>
      </w:tr>
      <w:tr w14:paraId="7546AAE4">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3C257BF1">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0510983B">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检查低温阀门是否正常工作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68ACD471">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495ED80E">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5693653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6F9F6198">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0700A44">
            <w:pPr>
              <w:widowControl/>
              <w:spacing w:line="360" w:lineRule="auto"/>
              <w:jc w:val="center"/>
              <w:rPr>
                <w:rFonts w:cs="宋体" w:asciiTheme="minorEastAsia" w:hAnsiTheme="minorEastAsia" w:eastAsiaTheme="minorEastAsia"/>
                <w:color w:val="auto"/>
                <w:kern w:val="0"/>
                <w:szCs w:val="21"/>
                <w:highlight w:val="none"/>
              </w:rPr>
            </w:pPr>
          </w:p>
        </w:tc>
      </w:tr>
      <w:tr w14:paraId="44CA1A41">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04FAD200">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2556F636">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检查低温低温是否正常工作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14302F8A">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179C8445">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6A8B1B50">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5A3BA81">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2536DD07">
            <w:pPr>
              <w:widowControl/>
              <w:spacing w:line="360" w:lineRule="auto"/>
              <w:jc w:val="center"/>
              <w:rPr>
                <w:rFonts w:cs="宋体" w:asciiTheme="minorEastAsia" w:hAnsiTheme="minorEastAsia" w:eastAsiaTheme="minorEastAsia"/>
                <w:color w:val="auto"/>
                <w:kern w:val="0"/>
                <w:szCs w:val="21"/>
                <w:highlight w:val="none"/>
              </w:rPr>
            </w:pPr>
          </w:p>
        </w:tc>
      </w:tr>
      <w:tr w14:paraId="502F8249">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59614614">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03CA52F3">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检查低温设备用冷却水温、仪表空气露点和压力是否正常</w:t>
            </w:r>
          </w:p>
        </w:tc>
        <w:tc>
          <w:tcPr>
            <w:tcW w:w="306" w:type="pct"/>
            <w:tcBorders>
              <w:top w:val="single" w:color="auto" w:sz="4" w:space="0"/>
              <w:left w:val="nil"/>
              <w:bottom w:val="single" w:color="auto" w:sz="4" w:space="0"/>
              <w:right w:val="single" w:color="auto" w:sz="4" w:space="0"/>
            </w:tcBorders>
            <w:shd w:val="clear" w:color="auto" w:fill="auto"/>
            <w:vAlign w:val="center"/>
          </w:tcPr>
          <w:p w14:paraId="03DCD40D">
            <w:pPr>
              <w:widowControl/>
              <w:spacing w:line="360" w:lineRule="auto"/>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c>
          <w:tcPr>
            <w:tcW w:w="481" w:type="pct"/>
            <w:tcBorders>
              <w:top w:val="single" w:color="auto" w:sz="4" w:space="0"/>
              <w:left w:val="nil"/>
              <w:bottom w:val="single" w:color="auto" w:sz="4" w:space="0"/>
              <w:right w:val="single" w:color="auto" w:sz="4" w:space="0"/>
            </w:tcBorders>
            <w:shd w:val="clear" w:color="auto" w:fill="auto"/>
            <w:vAlign w:val="center"/>
          </w:tcPr>
          <w:p w14:paraId="49BFAACC">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5908372A">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2B39250B">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4A4EE838">
            <w:pPr>
              <w:widowControl/>
              <w:spacing w:line="360" w:lineRule="auto"/>
              <w:jc w:val="center"/>
              <w:rPr>
                <w:rFonts w:cs="宋体" w:asciiTheme="minorEastAsia" w:hAnsiTheme="minorEastAsia" w:eastAsiaTheme="minorEastAsia"/>
                <w:color w:val="auto"/>
                <w:kern w:val="0"/>
                <w:szCs w:val="21"/>
                <w:highlight w:val="none"/>
              </w:rPr>
            </w:pPr>
          </w:p>
        </w:tc>
      </w:tr>
      <w:tr w14:paraId="479C2E3F">
        <w:tblPrEx>
          <w:tblCellMar>
            <w:top w:w="0" w:type="dxa"/>
            <w:left w:w="0" w:type="dxa"/>
            <w:bottom w:w="0" w:type="dxa"/>
            <w:right w:w="0" w:type="dxa"/>
          </w:tblCellMar>
        </w:tblPrEx>
        <w:trPr>
          <w:trHeight w:val="270" w:hRule="atLeast"/>
        </w:trPr>
        <w:tc>
          <w:tcPr>
            <w:tcW w:w="556" w:type="pct"/>
            <w:vMerge w:val="continue"/>
            <w:tcBorders>
              <w:left w:val="single" w:color="auto" w:sz="4" w:space="0"/>
              <w:right w:val="single" w:color="auto" w:sz="4" w:space="0"/>
            </w:tcBorders>
            <w:shd w:val="clear" w:color="auto" w:fill="auto"/>
            <w:vAlign w:val="center"/>
          </w:tcPr>
          <w:p w14:paraId="152403A5">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21AC8039">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检查超导腔模组是否正常工作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71BFD5C8">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67795A02">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357EDE6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5F273A42">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7EF2E731">
            <w:pPr>
              <w:widowControl/>
              <w:spacing w:line="360" w:lineRule="auto"/>
              <w:jc w:val="center"/>
              <w:rPr>
                <w:rFonts w:cs="宋体" w:asciiTheme="minorEastAsia" w:hAnsiTheme="minorEastAsia" w:eastAsiaTheme="minorEastAsia"/>
                <w:color w:val="auto"/>
                <w:kern w:val="0"/>
                <w:szCs w:val="21"/>
                <w:highlight w:val="none"/>
              </w:rPr>
            </w:pPr>
          </w:p>
        </w:tc>
      </w:tr>
      <w:tr w14:paraId="71FD6BA2">
        <w:tblPrEx>
          <w:tblCellMar>
            <w:top w:w="0" w:type="dxa"/>
            <w:left w:w="0" w:type="dxa"/>
            <w:bottom w:w="0" w:type="dxa"/>
            <w:right w:w="0" w:type="dxa"/>
          </w:tblCellMar>
        </w:tblPrEx>
        <w:trPr>
          <w:trHeight w:val="270" w:hRule="atLeast"/>
        </w:trPr>
        <w:tc>
          <w:tcPr>
            <w:tcW w:w="556" w:type="pct"/>
            <w:vMerge w:val="continue"/>
            <w:tcBorders>
              <w:left w:val="single" w:color="auto" w:sz="4" w:space="0"/>
              <w:bottom w:val="single" w:color="auto" w:sz="4" w:space="0"/>
              <w:right w:val="single" w:color="auto" w:sz="4" w:space="0"/>
            </w:tcBorders>
            <w:shd w:val="clear" w:color="auto" w:fill="auto"/>
            <w:vAlign w:val="center"/>
          </w:tcPr>
          <w:p w14:paraId="7F45B511">
            <w:pPr>
              <w:rPr>
                <w:rFonts w:cs="宋体" w:asciiTheme="minorEastAsia" w:hAnsiTheme="minorEastAsia" w:eastAsiaTheme="minorEastAsia"/>
                <w:i/>
                <w:color w:val="auto"/>
                <w:kern w:val="0"/>
                <w:szCs w:val="21"/>
                <w:highlight w:val="none"/>
              </w:rPr>
            </w:pPr>
          </w:p>
        </w:tc>
        <w:tc>
          <w:tcPr>
            <w:tcW w:w="2241" w:type="pct"/>
            <w:tcBorders>
              <w:top w:val="single" w:color="auto" w:sz="4" w:space="0"/>
              <w:left w:val="nil"/>
              <w:bottom w:val="single" w:color="auto" w:sz="4" w:space="0"/>
              <w:right w:val="single" w:color="auto" w:sz="4" w:space="0"/>
            </w:tcBorders>
            <w:shd w:val="clear" w:color="auto" w:fill="auto"/>
            <w:vAlign w:val="center"/>
          </w:tcPr>
          <w:p w14:paraId="304038A0">
            <w:pPr>
              <w:widowControl/>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检查过冷氮机组和液氮相分离器是否正常工作</w:t>
            </w:r>
          </w:p>
        </w:tc>
        <w:tc>
          <w:tcPr>
            <w:tcW w:w="306" w:type="pct"/>
            <w:tcBorders>
              <w:top w:val="single" w:color="auto" w:sz="4" w:space="0"/>
              <w:left w:val="nil"/>
              <w:bottom w:val="single" w:color="auto" w:sz="4" w:space="0"/>
              <w:right w:val="single" w:color="auto" w:sz="4" w:space="0"/>
            </w:tcBorders>
            <w:shd w:val="clear" w:color="auto" w:fill="auto"/>
            <w:vAlign w:val="center"/>
          </w:tcPr>
          <w:p w14:paraId="2AC917E3">
            <w:pPr>
              <w:widowControl/>
              <w:spacing w:line="360" w:lineRule="auto"/>
              <w:jc w:val="center"/>
              <w:rPr>
                <w:rFonts w:cs="宋体" w:asciiTheme="minorEastAsia" w:hAnsiTheme="minorEastAsia" w:eastAsiaTheme="minorEastAsia"/>
                <w:color w:val="auto"/>
                <w:kern w:val="0"/>
                <w:szCs w:val="21"/>
                <w:highlight w:val="none"/>
              </w:rPr>
            </w:pPr>
          </w:p>
        </w:tc>
        <w:tc>
          <w:tcPr>
            <w:tcW w:w="481" w:type="pct"/>
            <w:tcBorders>
              <w:top w:val="single" w:color="auto" w:sz="4" w:space="0"/>
              <w:left w:val="nil"/>
              <w:bottom w:val="single" w:color="auto" w:sz="4" w:space="0"/>
              <w:right w:val="single" w:color="auto" w:sz="4" w:space="0"/>
            </w:tcBorders>
            <w:shd w:val="clear" w:color="auto" w:fill="auto"/>
            <w:vAlign w:val="center"/>
          </w:tcPr>
          <w:p w14:paraId="7FA6170F">
            <w:pPr>
              <w:widowControl/>
              <w:spacing w:line="360" w:lineRule="auto"/>
              <w:jc w:val="center"/>
              <w:rPr>
                <w:rFonts w:cs="宋体" w:asciiTheme="minorEastAsia" w:hAnsiTheme="minorEastAsia" w:eastAsiaTheme="minorEastAsia"/>
                <w:i/>
                <w:color w:val="auto"/>
                <w:kern w:val="0"/>
                <w:szCs w:val="21"/>
                <w:highlight w:val="none"/>
              </w:rPr>
            </w:pPr>
          </w:p>
        </w:tc>
        <w:tc>
          <w:tcPr>
            <w:tcW w:w="472" w:type="pct"/>
            <w:tcBorders>
              <w:top w:val="single" w:color="auto" w:sz="4" w:space="0"/>
              <w:left w:val="nil"/>
              <w:bottom w:val="single" w:color="auto" w:sz="4" w:space="0"/>
              <w:right w:val="single" w:color="auto" w:sz="4" w:space="0"/>
            </w:tcBorders>
            <w:shd w:val="clear" w:color="auto" w:fill="auto"/>
            <w:vAlign w:val="center"/>
          </w:tcPr>
          <w:p w14:paraId="21CF921D">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3251929">
            <w:pPr>
              <w:widowControl/>
              <w:spacing w:line="360" w:lineRule="auto"/>
              <w:jc w:val="center"/>
              <w:rPr>
                <w:rFonts w:cs="宋体" w:asciiTheme="minorEastAsia" w:hAnsiTheme="minorEastAsia" w:eastAsiaTheme="minorEastAsia"/>
                <w:color w:val="auto"/>
                <w:kern w:val="0"/>
                <w:szCs w:val="21"/>
                <w:highlight w:val="none"/>
              </w:rPr>
            </w:pPr>
          </w:p>
        </w:tc>
        <w:tc>
          <w:tcPr>
            <w:tcW w:w="472" w:type="pct"/>
            <w:tcBorders>
              <w:top w:val="single" w:color="auto" w:sz="4" w:space="0"/>
              <w:left w:val="nil"/>
              <w:bottom w:val="single" w:color="auto" w:sz="4" w:space="0"/>
              <w:right w:val="single" w:color="auto" w:sz="4" w:space="0"/>
            </w:tcBorders>
          </w:tcPr>
          <w:p w14:paraId="3142FD55">
            <w:pPr>
              <w:widowControl/>
              <w:spacing w:line="360" w:lineRule="auto"/>
              <w:jc w:val="center"/>
              <w:rPr>
                <w:rFonts w:cs="宋体" w:asciiTheme="minorEastAsia" w:hAnsiTheme="minorEastAsia" w:eastAsiaTheme="minorEastAsia"/>
                <w:color w:val="auto"/>
                <w:kern w:val="0"/>
                <w:szCs w:val="21"/>
                <w:highlight w:val="none"/>
              </w:rPr>
            </w:pPr>
          </w:p>
        </w:tc>
      </w:tr>
    </w:tbl>
    <w:p w14:paraId="4FE5D1B6">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运行维护、值班人员要求</w:t>
      </w:r>
    </w:p>
    <w:p w14:paraId="3EAB1B45">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应为本项目组建日常运行管理团队。投标人应根据国家和现行北京市地方标准，结合本单位实际情况，配备管理、维修和值班人员，并根据相关规定需持证上岗。运行值班人员应具备通用设备操作、异常事故处理、设备日常监视维护等运行值班的能力，并承担所有设备、设施、系统的运行管理。</w:t>
      </w:r>
    </w:p>
    <w:p w14:paraId="4541EBF9">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（1）负</w:t>
      </w:r>
      <w:r>
        <w:rPr>
          <w:rFonts w:hint="eastAsia" w:asciiTheme="minorEastAsia" w:hAnsiTheme="minorEastAsia" w:eastAsiaTheme="minorEastAsia"/>
          <w:color w:val="auto"/>
          <w:sz w:val="24"/>
          <w:highlight w:val="none"/>
        </w:rPr>
        <w:t>责人：项目负责人应具有高级工程师职称；需为与投标方建立劳动关系的人员；运行管理同类型通用设施项目工作经验2年及以上；须为本项目专职在岗管理。</w:t>
      </w:r>
    </w:p>
    <w:p w14:paraId="0D069B5B">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（2）班长2人：需持有高低压电工操作证或高级钳工证书；需为与投标人建立劳动关系的人员。其中装置区的，参照辐射工作人员管理（射线装置）。</w:t>
      </w:r>
    </w:p>
    <w:p w14:paraId="5182BB1D">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（3）动力中心运行值班人员8人：运行值班人员须持有有效期内相关的特种作业操作证（压力容器、锅炉等），运行值班5年及以上工作经验。</w:t>
      </w:r>
    </w:p>
    <w:p w14:paraId="1F512533">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（4）装置区运行值班人员12人：运行值班人员须持有有效期内相关的特种作业操作证，运行值班5年及以上工作经验。参照辐射工作人员管理（射线装置）。</w:t>
      </w:r>
    </w:p>
    <w:p w14:paraId="31BA9D44">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（5）低温厅运行值班人员4人：运行值班人员须持有有效期内相关的特种作业操作证，低温与超导设备运行值班</w:t>
      </w:r>
      <w:r>
        <w:rPr>
          <w:rFonts w:asciiTheme="minorEastAsia" w:hAnsiTheme="minorEastAsia" w:eastAsiaTheme="minorEastAsia"/>
          <w:color w:val="auto"/>
          <w:sz w:val="24"/>
          <w:highlight w:val="none"/>
        </w:rPr>
        <w:t>1</w:t>
      </w:r>
      <w:r>
        <w:rPr>
          <w:rFonts w:hint="eastAsia" w:asciiTheme="minorEastAsia" w:hAnsiTheme="minorEastAsia" w:eastAsiaTheme="minorEastAsia"/>
          <w:color w:val="auto"/>
          <w:sz w:val="24"/>
          <w:highlight w:val="none"/>
        </w:rPr>
        <w:t>年及以上工作经验。参照辐射工作人员管理（射线装置）。</w:t>
      </w:r>
    </w:p>
    <w:p w14:paraId="070CCAF4">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6</w:t>
      </w:r>
      <w:r>
        <w:rPr>
          <w:rFonts w:hint="eastAsia" w:asciiTheme="minorEastAsia" w:hAnsiTheme="minorEastAsia" w:eastAsiaTheme="minorEastAsia"/>
          <w:color w:val="auto"/>
          <w:sz w:val="24"/>
          <w:highlight w:val="none"/>
        </w:rPr>
        <w:t>）装置区维修、支持人员9人：维修人员须持有有效期内的相对应的上岗证书，5年及以上工作经验，参照辐射工作人员管理；部分人员需兼职叉车、天车等工种，应有相关的上岗证书。</w:t>
      </w:r>
    </w:p>
    <w:p w14:paraId="10D2B9AD">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w:t>
      </w:r>
      <w:r>
        <w:rPr>
          <w:rFonts w:asciiTheme="minorEastAsia" w:hAnsiTheme="minorEastAsia" w:eastAsiaTheme="minorEastAsia"/>
          <w:color w:val="auto"/>
          <w:sz w:val="24"/>
          <w:highlight w:val="none"/>
        </w:rPr>
        <w:t>7</w:t>
      </w:r>
      <w:r>
        <w:rPr>
          <w:rFonts w:hint="eastAsia" w:asciiTheme="minorEastAsia" w:hAnsiTheme="minorEastAsia" w:eastAsiaTheme="minorEastAsia"/>
          <w:color w:val="auto"/>
          <w:sz w:val="24"/>
          <w:highlight w:val="none"/>
        </w:rPr>
        <w:t>）前述参照辐射工作人员管理的岗位应满足国家及行业相关标准及规范对人员的相关要求。上述</w:t>
      </w:r>
      <w:r>
        <w:rPr>
          <w:rFonts w:hint="eastAsia" w:asciiTheme="minorEastAsia" w:hAnsiTheme="minorEastAsia" w:eastAsiaTheme="minorEastAsia"/>
          <w:color w:val="auto"/>
          <w:sz w:val="24"/>
          <w:highlight w:val="none"/>
        </w:rPr>
        <w:t>从事特种作业（高低压电工、压力容器、锅炉、天车、叉车）的人员应持有国家及行业规定的特种作业相关证书。</w:t>
      </w:r>
    </w:p>
    <w:p w14:paraId="7F29DCD0">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投标人应按投标文件格式8-1表格下说明要求提供拟投入本项目的人员情况及评审标准中要求相关证明材料。如合同履行期间有人员变更，则需得到甲方的同意，并以书面方式双方签字确认。投标人必须向用户方提供人员审查表。甲方有权要求更换服务人员。</w:t>
      </w:r>
    </w:p>
    <w:p w14:paraId="040915E5">
      <w:pPr>
        <w:numPr>
          <w:ilvl w:val="0"/>
          <w:numId w:val="11"/>
        </w:numPr>
        <w:tabs>
          <w:tab w:val="left" w:pos="426"/>
          <w:tab w:val="clear" w:pos="999"/>
        </w:tabs>
        <w:adjustRightInd w:val="0"/>
        <w:snapToGrid w:val="0"/>
        <w:spacing w:before="312" w:beforeLines="100"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设备运行维护质量评价</w:t>
      </w:r>
    </w:p>
    <w:p w14:paraId="6B99AF41">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在合同履行期内，招标人随时可以对投标人提供的运行维护质量进行评价，采取扣分制，扣分内容以下表为准。自运行之日起每年（注：自服务开始之日起连续的12个月为一年）汇总扣分总数。如扣分总数超过12分（含），投标人将依照合同条款向招标人进行违约金支付。</w:t>
      </w:r>
    </w:p>
    <w:p w14:paraId="01E5523E">
      <w:pPr>
        <w:tabs>
          <w:tab w:val="left" w:pos="999"/>
        </w:tabs>
        <w:adjustRightInd w:val="0"/>
        <w:snapToGrid w:val="0"/>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设备运行维护质量评价表</w:t>
      </w:r>
    </w:p>
    <w:tbl>
      <w:tblPr>
        <w:tblStyle w:val="40"/>
        <w:tblW w:w="8793" w:type="dxa"/>
        <w:jc w:val="center"/>
        <w:tblLayout w:type="autofit"/>
        <w:tblCellMar>
          <w:top w:w="0" w:type="dxa"/>
          <w:left w:w="108" w:type="dxa"/>
          <w:bottom w:w="0" w:type="dxa"/>
          <w:right w:w="108" w:type="dxa"/>
        </w:tblCellMar>
      </w:tblPr>
      <w:tblGrid>
        <w:gridCol w:w="1138"/>
        <w:gridCol w:w="5155"/>
        <w:gridCol w:w="2500"/>
      </w:tblGrid>
      <w:tr w14:paraId="12AA750B">
        <w:tblPrEx>
          <w:tblCellMar>
            <w:top w:w="0" w:type="dxa"/>
            <w:left w:w="108" w:type="dxa"/>
            <w:bottom w:w="0" w:type="dxa"/>
            <w:right w:w="108" w:type="dxa"/>
          </w:tblCellMar>
        </w:tblPrEx>
        <w:trPr>
          <w:trHeight w:val="270" w:hRule="atLeast"/>
          <w:tblHeader/>
          <w:jc w:val="center"/>
        </w:trPr>
        <w:tc>
          <w:tcPr>
            <w:tcW w:w="1138" w:type="dxa"/>
            <w:tcBorders>
              <w:top w:val="single" w:color="auto" w:sz="4" w:space="0"/>
              <w:left w:val="single" w:color="auto" w:sz="4" w:space="0"/>
              <w:bottom w:val="single" w:color="auto" w:sz="4" w:space="0"/>
              <w:right w:val="single" w:color="auto" w:sz="4" w:space="0"/>
            </w:tcBorders>
            <w:shd w:val="clear" w:color="auto" w:fill="auto"/>
            <w:vAlign w:val="center"/>
          </w:tcPr>
          <w:p w14:paraId="5590D14A">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扣分量</w:t>
            </w:r>
          </w:p>
        </w:tc>
        <w:tc>
          <w:tcPr>
            <w:tcW w:w="5155" w:type="dxa"/>
            <w:tcBorders>
              <w:top w:val="single" w:color="auto" w:sz="4" w:space="0"/>
              <w:left w:val="nil"/>
              <w:bottom w:val="single" w:color="auto" w:sz="4" w:space="0"/>
              <w:right w:val="single" w:color="auto" w:sz="4" w:space="0"/>
            </w:tcBorders>
            <w:shd w:val="clear" w:color="auto" w:fill="auto"/>
            <w:vAlign w:val="center"/>
          </w:tcPr>
          <w:p w14:paraId="2FB9E9A4">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扣分项</w:t>
            </w:r>
          </w:p>
        </w:tc>
        <w:tc>
          <w:tcPr>
            <w:tcW w:w="2500" w:type="dxa"/>
            <w:tcBorders>
              <w:top w:val="single" w:color="auto" w:sz="4" w:space="0"/>
              <w:left w:val="nil"/>
              <w:bottom w:val="single" w:color="auto" w:sz="4" w:space="0"/>
              <w:right w:val="single" w:color="auto" w:sz="4" w:space="0"/>
            </w:tcBorders>
            <w:shd w:val="clear" w:color="auto" w:fill="auto"/>
            <w:vAlign w:val="center"/>
          </w:tcPr>
          <w:p w14:paraId="0A44F65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说明</w:t>
            </w:r>
          </w:p>
        </w:tc>
      </w:tr>
      <w:tr w14:paraId="3AC29426">
        <w:tblPrEx>
          <w:tblCellMar>
            <w:top w:w="0" w:type="dxa"/>
            <w:left w:w="108" w:type="dxa"/>
            <w:bottom w:w="0" w:type="dxa"/>
            <w:right w:w="108" w:type="dxa"/>
          </w:tblCellMar>
        </w:tblPrEx>
        <w:trPr>
          <w:trHeight w:val="300" w:hRule="atLeast"/>
          <w:jc w:val="center"/>
        </w:trPr>
        <w:tc>
          <w:tcPr>
            <w:tcW w:w="1138" w:type="dxa"/>
            <w:vMerge w:val="restart"/>
            <w:tcBorders>
              <w:top w:val="nil"/>
              <w:left w:val="single" w:color="auto" w:sz="4" w:space="0"/>
              <w:right w:val="single" w:color="auto" w:sz="4" w:space="0"/>
            </w:tcBorders>
            <w:shd w:val="clear" w:color="auto" w:fill="auto"/>
            <w:vAlign w:val="center"/>
          </w:tcPr>
          <w:p w14:paraId="3058E4E3">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每项每次扣0.5分</w:t>
            </w:r>
          </w:p>
        </w:tc>
        <w:tc>
          <w:tcPr>
            <w:tcW w:w="5155" w:type="dxa"/>
            <w:tcBorders>
              <w:top w:val="nil"/>
              <w:left w:val="nil"/>
              <w:bottom w:val="single" w:color="auto" w:sz="4" w:space="0"/>
              <w:right w:val="single" w:color="auto" w:sz="4" w:space="0"/>
            </w:tcBorders>
            <w:shd w:val="clear" w:color="auto" w:fill="auto"/>
            <w:vAlign w:val="center"/>
          </w:tcPr>
          <w:p w14:paraId="5D51B3A7">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值班室卫生不达标，物品散乱</w:t>
            </w:r>
          </w:p>
        </w:tc>
        <w:tc>
          <w:tcPr>
            <w:tcW w:w="2500" w:type="dxa"/>
            <w:tcBorders>
              <w:top w:val="nil"/>
              <w:left w:val="nil"/>
              <w:bottom w:val="single" w:color="auto" w:sz="4" w:space="0"/>
              <w:right w:val="single" w:color="auto" w:sz="4" w:space="0"/>
            </w:tcBorders>
            <w:shd w:val="clear" w:color="auto" w:fill="auto"/>
            <w:vAlign w:val="center"/>
          </w:tcPr>
          <w:p w14:paraId="2265E9AF">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BA854A5">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55BA4AC6">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66D3670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巡检、检修工具不齐全或放置混乱</w:t>
            </w:r>
          </w:p>
        </w:tc>
        <w:tc>
          <w:tcPr>
            <w:tcW w:w="2500" w:type="dxa"/>
            <w:tcBorders>
              <w:top w:val="nil"/>
              <w:left w:val="nil"/>
              <w:bottom w:val="single" w:color="auto" w:sz="4" w:space="0"/>
              <w:right w:val="single" w:color="auto" w:sz="4" w:space="0"/>
            </w:tcBorders>
            <w:shd w:val="clear" w:color="auto" w:fill="auto"/>
            <w:vAlign w:val="center"/>
          </w:tcPr>
          <w:p w14:paraId="5724038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151B8F1">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23C4086C">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3283DFD7">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超过24小时没有及时记录设备运行、故障、检修、保养参数和历史数据汇总备份</w:t>
            </w:r>
          </w:p>
        </w:tc>
        <w:tc>
          <w:tcPr>
            <w:tcW w:w="2500" w:type="dxa"/>
            <w:tcBorders>
              <w:top w:val="nil"/>
              <w:left w:val="nil"/>
              <w:bottom w:val="single" w:color="auto" w:sz="4" w:space="0"/>
              <w:right w:val="single" w:color="auto" w:sz="4" w:space="0"/>
            </w:tcBorders>
            <w:shd w:val="clear" w:color="auto" w:fill="auto"/>
            <w:vAlign w:val="center"/>
          </w:tcPr>
          <w:p w14:paraId="082F155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含纸质版与电子版</w:t>
            </w:r>
          </w:p>
        </w:tc>
      </w:tr>
      <w:tr w14:paraId="1CCF5F94">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bottom w:val="nil"/>
              <w:right w:val="single" w:color="auto" w:sz="4" w:space="0"/>
            </w:tcBorders>
            <w:vAlign w:val="center"/>
          </w:tcPr>
          <w:p w14:paraId="0730BA57">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7369455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设备轮循交替</w:t>
            </w:r>
            <w:r>
              <w:rPr>
                <w:rFonts w:ascii="宋体" w:hAnsi="宋体" w:cs="宋体"/>
                <w:color w:val="auto"/>
                <w:kern w:val="0"/>
                <w:sz w:val="22"/>
                <w:szCs w:val="22"/>
                <w:highlight w:val="none"/>
              </w:rPr>
              <w:t>时，</w:t>
            </w:r>
            <w:r>
              <w:rPr>
                <w:rFonts w:hint="eastAsia" w:ascii="宋体" w:hAnsi="宋体" w:cs="宋体"/>
                <w:color w:val="auto"/>
                <w:kern w:val="0"/>
                <w:sz w:val="22"/>
                <w:szCs w:val="22"/>
                <w:highlight w:val="none"/>
              </w:rPr>
              <w:t>总流量</w:t>
            </w:r>
            <w:r>
              <w:rPr>
                <w:rFonts w:ascii="宋体" w:hAnsi="宋体" w:cs="宋体"/>
                <w:color w:val="auto"/>
                <w:kern w:val="0"/>
                <w:sz w:val="22"/>
                <w:szCs w:val="22"/>
                <w:highlight w:val="none"/>
              </w:rPr>
              <w:t>变化超过</w:t>
            </w:r>
            <w:r>
              <w:rPr>
                <w:rFonts w:hint="eastAsia" w:ascii="宋体" w:hAnsi="宋体" w:cs="宋体"/>
                <w:color w:val="auto"/>
                <w:kern w:val="0"/>
                <w:sz w:val="22"/>
                <w:szCs w:val="22"/>
                <w:highlight w:val="none"/>
              </w:rPr>
              <w:t>10</w:t>
            </w:r>
            <w:r>
              <w:rPr>
                <w:rFonts w:ascii="宋体" w:hAnsi="宋体" w:cs="宋体"/>
                <w:color w:val="auto"/>
                <w:kern w:val="0"/>
                <w:sz w:val="22"/>
                <w:szCs w:val="22"/>
                <w:highlight w:val="none"/>
              </w:rPr>
              <w:t>%</w:t>
            </w:r>
          </w:p>
        </w:tc>
        <w:tc>
          <w:tcPr>
            <w:tcW w:w="2500" w:type="dxa"/>
            <w:tcBorders>
              <w:top w:val="nil"/>
              <w:left w:val="nil"/>
              <w:bottom w:val="single" w:color="auto" w:sz="4" w:space="0"/>
              <w:right w:val="single" w:color="auto" w:sz="4" w:space="0"/>
            </w:tcBorders>
            <w:shd w:val="clear" w:color="auto" w:fill="auto"/>
            <w:vAlign w:val="center"/>
          </w:tcPr>
          <w:p w14:paraId="2895FB1D">
            <w:pPr>
              <w:widowControl/>
              <w:jc w:val="left"/>
              <w:rPr>
                <w:rFonts w:ascii="宋体" w:hAnsi="宋体" w:cs="宋体"/>
                <w:color w:val="auto"/>
                <w:kern w:val="0"/>
                <w:sz w:val="22"/>
                <w:szCs w:val="22"/>
                <w:highlight w:val="none"/>
              </w:rPr>
            </w:pPr>
          </w:p>
        </w:tc>
      </w:tr>
      <w:tr w14:paraId="52BC3D37">
        <w:tblPrEx>
          <w:tblCellMar>
            <w:top w:w="0" w:type="dxa"/>
            <w:left w:w="108" w:type="dxa"/>
            <w:bottom w:w="0" w:type="dxa"/>
            <w:right w:w="108" w:type="dxa"/>
          </w:tblCellMar>
        </w:tblPrEx>
        <w:trPr>
          <w:trHeight w:val="540" w:hRule="atLeast"/>
          <w:jc w:val="center"/>
        </w:trPr>
        <w:tc>
          <w:tcPr>
            <w:tcW w:w="1138" w:type="dxa"/>
            <w:vMerge w:val="restart"/>
            <w:tcBorders>
              <w:top w:val="single" w:color="auto" w:sz="4" w:space="0"/>
              <w:left w:val="single" w:color="auto" w:sz="4" w:space="0"/>
              <w:right w:val="single" w:color="auto" w:sz="4" w:space="0"/>
            </w:tcBorders>
            <w:shd w:val="clear" w:color="auto" w:fill="auto"/>
            <w:vAlign w:val="center"/>
          </w:tcPr>
          <w:p w14:paraId="5A9274A6">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每项每次扣1分</w:t>
            </w:r>
          </w:p>
        </w:tc>
        <w:tc>
          <w:tcPr>
            <w:tcW w:w="5155" w:type="dxa"/>
            <w:tcBorders>
              <w:top w:val="nil"/>
              <w:left w:val="nil"/>
              <w:bottom w:val="single" w:color="auto" w:sz="4" w:space="0"/>
              <w:right w:val="single" w:color="auto" w:sz="4" w:space="0"/>
            </w:tcBorders>
            <w:shd w:val="clear" w:color="auto" w:fill="auto"/>
            <w:vAlign w:val="center"/>
          </w:tcPr>
          <w:p w14:paraId="3F91F3E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空岗、睡岗、交接漏岗</w:t>
            </w:r>
          </w:p>
        </w:tc>
        <w:tc>
          <w:tcPr>
            <w:tcW w:w="2500" w:type="dxa"/>
            <w:tcBorders>
              <w:top w:val="nil"/>
              <w:left w:val="nil"/>
              <w:bottom w:val="single" w:color="auto" w:sz="4" w:space="0"/>
              <w:right w:val="single" w:color="auto" w:sz="4" w:space="0"/>
            </w:tcBorders>
            <w:shd w:val="clear" w:color="auto" w:fill="auto"/>
            <w:vAlign w:val="center"/>
          </w:tcPr>
          <w:p w14:paraId="5D459D9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384A76A7">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1A855521">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081F86EB">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在岗期间吸烟、饮酒</w:t>
            </w:r>
          </w:p>
        </w:tc>
        <w:tc>
          <w:tcPr>
            <w:tcW w:w="2500" w:type="dxa"/>
            <w:tcBorders>
              <w:top w:val="nil"/>
              <w:left w:val="nil"/>
              <w:bottom w:val="single" w:color="auto" w:sz="4" w:space="0"/>
              <w:right w:val="single" w:color="auto" w:sz="4" w:space="0"/>
            </w:tcBorders>
            <w:shd w:val="clear" w:color="auto" w:fill="auto"/>
            <w:vAlign w:val="center"/>
          </w:tcPr>
          <w:p w14:paraId="3C87942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发现烟头、酒瓶即判定</w:t>
            </w:r>
          </w:p>
        </w:tc>
      </w:tr>
      <w:tr w14:paraId="26775ACC">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1BB6B525">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4B50031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没有按时进行巡检记录</w:t>
            </w:r>
          </w:p>
        </w:tc>
        <w:tc>
          <w:tcPr>
            <w:tcW w:w="2500" w:type="dxa"/>
            <w:tcBorders>
              <w:top w:val="nil"/>
              <w:left w:val="nil"/>
              <w:bottom w:val="single" w:color="auto" w:sz="4" w:space="0"/>
              <w:right w:val="single" w:color="auto" w:sz="4" w:space="0"/>
            </w:tcBorders>
            <w:shd w:val="clear" w:color="auto" w:fill="auto"/>
            <w:vAlign w:val="center"/>
          </w:tcPr>
          <w:p w14:paraId="5792669C">
            <w:pPr>
              <w:widowControl/>
              <w:jc w:val="left"/>
              <w:rPr>
                <w:rFonts w:ascii="宋体" w:hAnsi="宋体" w:cs="宋体"/>
                <w:color w:val="auto"/>
                <w:kern w:val="0"/>
                <w:sz w:val="22"/>
                <w:szCs w:val="22"/>
                <w:highlight w:val="none"/>
              </w:rPr>
            </w:pPr>
          </w:p>
        </w:tc>
      </w:tr>
      <w:tr w14:paraId="71107CAE">
        <w:tblPrEx>
          <w:tblCellMar>
            <w:top w:w="0" w:type="dxa"/>
            <w:left w:w="108" w:type="dxa"/>
            <w:bottom w:w="0" w:type="dxa"/>
            <w:right w:w="108" w:type="dxa"/>
          </w:tblCellMar>
        </w:tblPrEx>
        <w:trPr>
          <w:trHeight w:val="540" w:hRule="atLeast"/>
          <w:jc w:val="center"/>
        </w:trPr>
        <w:tc>
          <w:tcPr>
            <w:tcW w:w="1138" w:type="dxa"/>
            <w:vMerge w:val="restart"/>
            <w:tcBorders>
              <w:top w:val="single" w:color="auto" w:sz="4" w:space="0"/>
              <w:left w:val="single" w:color="auto" w:sz="4" w:space="0"/>
              <w:right w:val="single" w:color="auto" w:sz="4" w:space="0"/>
            </w:tcBorders>
            <w:shd w:val="clear" w:color="auto" w:fill="auto"/>
            <w:vAlign w:val="center"/>
          </w:tcPr>
          <w:p w14:paraId="4BE2FBB5">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每项每次扣3分</w:t>
            </w:r>
          </w:p>
        </w:tc>
        <w:tc>
          <w:tcPr>
            <w:tcW w:w="5155" w:type="dxa"/>
            <w:tcBorders>
              <w:top w:val="nil"/>
              <w:left w:val="nil"/>
              <w:bottom w:val="single" w:color="auto" w:sz="4" w:space="0"/>
              <w:right w:val="single" w:color="auto" w:sz="4" w:space="0"/>
            </w:tcBorders>
            <w:shd w:val="clear" w:color="auto" w:fill="auto"/>
            <w:vAlign w:val="center"/>
          </w:tcPr>
          <w:p w14:paraId="5DDF200D">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应</w:t>
            </w:r>
            <w:r>
              <w:rPr>
                <w:rFonts w:ascii="宋体" w:hAnsi="宋体" w:cs="宋体"/>
                <w:color w:val="auto"/>
                <w:kern w:val="0"/>
                <w:sz w:val="22"/>
                <w:szCs w:val="22"/>
                <w:highlight w:val="none"/>
              </w:rPr>
              <w:t>持证上岗</w:t>
            </w:r>
            <w:r>
              <w:rPr>
                <w:rFonts w:hint="eastAsia" w:ascii="宋体" w:hAnsi="宋体" w:cs="宋体"/>
                <w:color w:val="auto"/>
                <w:kern w:val="0"/>
                <w:sz w:val="22"/>
                <w:szCs w:val="22"/>
                <w:highlight w:val="none"/>
              </w:rPr>
              <w:t>的</w:t>
            </w:r>
            <w:r>
              <w:rPr>
                <w:rFonts w:ascii="宋体" w:hAnsi="宋体" w:cs="宋体"/>
                <w:color w:val="auto"/>
                <w:kern w:val="0"/>
                <w:sz w:val="22"/>
                <w:szCs w:val="22"/>
                <w:highlight w:val="none"/>
              </w:rPr>
              <w:t>证件在合同期内过期</w:t>
            </w:r>
            <w:r>
              <w:rPr>
                <w:rFonts w:hint="eastAsia" w:ascii="宋体" w:hAnsi="宋体" w:cs="宋体"/>
                <w:color w:val="auto"/>
                <w:kern w:val="0"/>
                <w:sz w:val="22"/>
                <w:szCs w:val="22"/>
                <w:highlight w:val="none"/>
              </w:rPr>
              <w:t>且未继续</w:t>
            </w:r>
            <w:r>
              <w:rPr>
                <w:rFonts w:ascii="宋体" w:hAnsi="宋体" w:cs="宋体"/>
                <w:color w:val="auto"/>
                <w:kern w:val="0"/>
                <w:sz w:val="22"/>
                <w:szCs w:val="22"/>
                <w:highlight w:val="none"/>
              </w:rPr>
              <w:t>办理证件</w:t>
            </w:r>
          </w:p>
        </w:tc>
        <w:tc>
          <w:tcPr>
            <w:tcW w:w="2500" w:type="dxa"/>
            <w:tcBorders>
              <w:top w:val="nil"/>
              <w:left w:val="nil"/>
              <w:bottom w:val="single" w:color="auto" w:sz="4" w:space="0"/>
              <w:right w:val="single" w:color="auto" w:sz="4" w:space="0"/>
            </w:tcBorders>
            <w:shd w:val="clear" w:color="auto" w:fill="auto"/>
            <w:vAlign w:val="center"/>
          </w:tcPr>
          <w:p w14:paraId="53DD6FA2">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6BE0C143">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208C0F75">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3839B2E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违反操作规程作业</w:t>
            </w:r>
          </w:p>
        </w:tc>
        <w:tc>
          <w:tcPr>
            <w:tcW w:w="2500" w:type="dxa"/>
            <w:tcBorders>
              <w:top w:val="nil"/>
              <w:left w:val="nil"/>
              <w:bottom w:val="single" w:color="auto" w:sz="4" w:space="0"/>
              <w:right w:val="single" w:color="auto" w:sz="4" w:space="0"/>
            </w:tcBorders>
            <w:shd w:val="clear" w:color="auto" w:fill="auto"/>
            <w:vAlign w:val="center"/>
          </w:tcPr>
          <w:p w14:paraId="18901E22">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743F16F0">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2863090C">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7A5EE5CD">
            <w:pPr>
              <w:widowControl/>
              <w:jc w:val="left"/>
              <w:rPr>
                <w:rFonts w:ascii="宋体" w:hAnsi="宋体" w:cs="宋体"/>
                <w:color w:val="auto"/>
                <w:kern w:val="0"/>
                <w:sz w:val="22"/>
                <w:szCs w:val="22"/>
                <w:highlight w:val="none"/>
              </w:rPr>
            </w:pPr>
            <w:r>
              <w:rPr>
                <w:rFonts w:ascii="宋体" w:hAnsi="宋体" w:cs="宋体"/>
                <w:color w:val="auto"/>
                <w:kern w:val="0"/>
                <w:sz w:val="22"/>
                <w:szCs w:val="22"/>
                <w:highlight w:val="none"/>
              </w:rPr>
              <w:t>造成</w:t>
            </w:r>
            <w:r>
              <w:rPr>
                <w:rFonts w:hint="eastAsia" w:ascii="宋体" w:hAnsi="宋体" w:cs="宋体"/>
                <w:color w:val="auto"/>
                <w:kern w:val="0"/>
                <w:sz w:val="22"/>
                <w:szCs w:val="22"/>
                <w:highlight w:val="none"/>
              </w:rPr>
              <w:t>冷水机组</w:t>
            </w:r>
            <w:r>
              <w:rPr>
                <w:rFonts w:ascii="宋体" w:hAnsi="宋体" w:cs="宋体"/>
                <w:color w:val="auto"/>
                <w:kern w:val="0"/>
                <w:sz w:val="22"/>
                <w:szCs w:val="22"/>
                <w:highlight w:val="none"/>
              </w:rPr>
              <w:t>保护性停机</w:t>
            </w:r>
          </w:p>
        </w:tc>
        <w:tc>
          <w:tcPr>
            <w:tcW w:w="2500" w:type="dxa"/>
            <w:tcBorders>
              <w:top w:val="nil"/>
              <w:left w:val="nil"/>
              <w:bottom w:val="single" w:color="auto" w:sz="4" w:space="0"/>
              <w:right w:val="single" w:color="auto" w:sz="4" w:space="0"/>
            </w:tcBorders>
            <w:shd w:val="clear" w:color="auto" w:fill="auto"/>
            <w:vAlign w:val="center"/>
          </w:tcPr>
          <w:p w14:paraId="25A2DE83">
            <w:pPr>
              <w:widowControl/>
              <w:jc w:val="left"/>
              <w:rPr>
                <w:rFonts w:ascii="宋体" w:hAnsi="宋体" w:cs="宋体"/>
                <w:color w:val="auto"/>
                <w:kern w:val="0"/>
                <w:sz w:val="22"/>
                <w:szCs w:val="22"/>
                <w:highlight w:val="none"/>
              </w:rPr>
            </w:pPr>
          </w:p>
        </w:tc>
      </w:tr>
      <w:tr w14:paraId="5FA8E7C6">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335FDCBD">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7FA419B2">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防火和安全用电违反国家和地方法规，以及</w:t>
            </w:r>
            <w:r>
              <w:rPr>
                <w:rFonts w:ascii="宋体" w:hAnsi="宋体" w:cs="宋体"/>
                <w:color w:val="auto"/>
                <w:kern w:val="0"/>
                <w:sz w:val="22"/>
                <w:szCs w:val="22"/>
                <w:highlight w:val="none"/>
              </w:rPr>
              <w:t>招标人</w:t>
            </w:r>
            <w:r>
              <w:rPr>
                <w:rFonts w:hint="eastAsia" w:ascii="宋体" w:hAnsi="宋体" w:cs="宋体"/>
                <w:color w:val="auto"/>
                <w:kern w:val="0"/>
                <w:sz w:val="22"/>
                <w:szCs w:val="22"/>
                <w:highlight w:val="none"/>
              </w:rPr>
              <w:t>的各项管理规定</w:t>
            </w:r>
          </w:p>
        </w:tc>
        <w:tc>
          <w:tcPr>
            <w:tcW w:w="2500" w:type="dxa"/>
            <w:tcBorders>
              <w:top w:val="nil"/>
              <w:left w:val="nil"/>
              <w:bottom w:val="single" w:color="auto" w:sz="4" w:space="0"/>
              <w:right w:val="single" w:color="auto" w:sz="4" w:space="0"/>
            </w:tcBorders>
            <w:shd w:val="clear" w:color="auto" w:fill="auto"/>
            <w:vAlign w:val="center"/>
          </w:tcPr>
          <w:p w14:paraId="557AB61A">
            <w:pPr>
              <w:widowControl/>
              <w:jc w:val="left"/>
              <w:rPr>
                <w:rFonts w:ascii="宋体" w:hAnsi="宋体" w:cs="宋体"/>
                <w:color w:val="auto"/>
                <w:kern w:val="0"/>
                <w:sz w:val="22"/>
                <w:szCs w:val="22"/>
                <w:highlight w:val="none"/>
              </w:rPr>
            </w:pPr>
          </w:p>
        </w:tc>
      </w:tr>
      <w:tr w14:paraId="6FD1FDE6">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right w:val="single" w:color="auto" w:sz="4" w:space="0"/>
            </w:tcBorders>
            <w:vAlign w:val="center"/>
          </w:tcPr>
          <w:p w14:paraId="6DD07915">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71C218E1">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关键设备（冷水机组、冷却塔、水泵、补水定压泵、空调机组、风机、空压机、冷干机等以及控制系统、低温制冷机、超导腔模组、低温杜瓦、过冷氮机组、液氮相分离器、液氮储罐以及低温仪控系统）故障</w:t>
            </w:r>
            <w:r>
              <w:rPr>
                <w:rFonts w:ascii="宋体" w:hAnsi="宋体" w:cs="宋体"/>
                <w:color w:val="auto"/>
                <w:kern w:val="0"/>
                <w:sz w:val="22"/>
                <w:szCs w:val="22"/>
                <w:highlight w:val="none"/>
              </w:rPr>
              <w:t>2</w:t>
            </w:r>
            <w:r>
              <w:rPr>
                <w:rFonts w:hint="eastAsia" w:ascii="宋体" w:hAnsi="宋体" w:cs="宋体"/>
                <w:color w:val="auto"/>
                <w:kern w:val="0"/>
                <w:sz w:val="22"/>
                <w:szCs w:val="22"/>
                <w:highlight w:val="none"/>
              </w:rPr>
              <w:t>小时内没有及时解决、没有提出解决方案，也没有向招标人反馈。</w:t>
            </w:r>
          </w:p>
        </w:tc>
        <w:tc>
          <w:tcPr>
            <w:tcW w:w="2500" w:type="dxa"/>
            <w:tcBorders>
              <w:top w:val="nil"/>
              <w:left w:val="nil"/>
              <w:bottom w:val="single" w:color="auto" w:sz="4" w:space="0"/>
              <w:right w:val="single" w:color="auto" w:sz="4" w:space="0"/>
            </w:tcBorders>
            <w:shd w:val="clear" w:color="auto" w:fill="auto"/>
            <w:vAlign w:val="center"/>
          </w:tcPr>
          <w:p w14:paraId="3E41727D">
            <w:pPr>
              <w:widowControl/>
              <w:jc w:val="left"/>
              <w:rPr>
                <w:rFonts w:ascii="宋体" w:hAnsi="宋体" w:cs="宋体"/>
                <w:color w:val="auto"/>
                <w:kern w:val="0"/>
                <w:sz w:val="22"/>
                <w:szCs w:val="22"/>
                <w:highlight w:val="none"/>
              </w:rPr>
            </w:pPr>
          </w:p>
        </w:tc>
      </w:tr>
      <w:tr w14:paraId="79294D4D">
        <w:tblPrEx>
          <w:tblCellMar>
            <w:top w:w="0" w:type="dxa"/>
            <w:left w:w="108" w:type="dxa"/>
            <w:bottom w:w="0" w:type="dxa"/>
            <w:right w:w="108" w:type="dxa"/>
          </w:tblCellMar>
        </w:tblPrEx>
        <w:trPr>
          <w:trHeight w:val="270" w:hRule="atLeast"/>
          <w:jc w:val="center"/>
        </w:trPr>
        <w:tc>
          <w:tcPr>
            <w:tcW w:w="1138" w:type="dxa"/>
            <w:vMerge w:val="continue"/>
            <w:tcBorders>
              <w:left w:val="single" w:color="auto" w:sz="4" w:space="0"/>
              <w:bottom w:val="nil"/>
              <w:right w:val="single" w:color="auto" w:sz="4" w:space="0"/>
            </w:tcBorders>
            <w:vAlign w:val="center"/>
          </w:tcPr>
          <w:p w14:paraId="66064E3F">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1AF4C41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应记录的各类运行、故障、检修保养数据丢失、损坏无法辨识、记录数据不是实时真实数据</w:t>
            </w:r>
          </w:p>
        </w:tc>
        <w:tc>
          <w:tcPr>
            <w:tcW w:w="2500" w:type="dxa"/>
            <w:tcBorders>
              <w:top w:val="nil"/>
              <w:left w:val="nil"/>
              <w:bottom w:val="single" w:color="auto" w:sz="4" w:space="0"/>
              <w:right w:val="single" w:color="auto" w:sz="4" w:space="0"/>
            </w:tcBorders>
            <w:shd w:val="clear" w:color="auto" w:fill="auto"/>
            <w:vAlign w:val="center"/>
          </w:tcPr>
          <w:p w14:paraId="3B139433">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含纸质版与电子版</w:t>
            </w:r>
          </w:p>
        </w:tc>
      </w:tr>
      <w:tr w14:paraId="37322350">
        <w:tblPrEx>
          <w:tblCellMar>
            <w:top w:w="0" w:type="dxa"/>
            <w:left w:w="108" w:type="dxa"/>
            <w:bottom w:w="0" w:type="dxa"/>
            <w:right w:w="108" w:type="dxa"/>
          </w:tblCellMar>
        </w:tblPrEx>
        <w:trPr>
          <w:trHeight w:val="810" w:hRule="atLeast"/>
          <w:jc w:val="center"/>
        </w:trPr>
        <w:tc>
          <w:tcPr>
            <w:tcW w:w="1138" w:type="dxa"/>
            <w:vMerge w:val="restart"/>
            <w:tcBorders>
              <w:top w:val="single" w:color="auto" w:sz="4" w:space="0"/>
              <w:left w:val="single" w:color="auto" w:sz="4" w:space="0"/>
              <w:bottom w:val="single" w:color="auto" w:sz="4" w:space="0"/>
              <w:right w:val="single" w:color="auto" w:sz="4" w:space="0"/>
            </w:tcBorders>
            <w:vAlign w:val="center"/>
          </w:tcPr>
          <w:p w14:paraId="40878EF0">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每项每次扣</w:t>
            </w:r>
            <w:r>
              <w:rPr>
                <w:rFonts w:ascii="宋体" w:hAnsi="宋体" w:cs="宋体"/>
                <w:color w:val="auto"/>
                <w:kern w:val="0"/>
                <w:sz w:val="22"/>
                <w:szCs w:val="22"/>
                <w:highlight w:val="none"/>
              </w:rPr>
              <w:t>6</w:t>
            </w:r>
            <w:r>
              <w:rPr>
                <w:rFonts w:hint="eastAsia" w:ascii="宋体" w:hAnsi="宋体" w:cs="宋体"/>
                <w:color w:val="auto"/>
                <w:kern w:val="0"/>
                <w:sz w:val="22"/>
                <w:szCs w:val="22"/>
                <w:highlight w:val="none"/>
              </w:rPr>
              <w:t>分</w:t>
            </w:r>
          </w:p>
        </w:tc>
        <w:tc>
          <w:tcPr>
            <w:tcW w:w="5155" w:type="dxa"/>
            <w:tcBorders>
              <w:top w:val="nil"/>
              <w:left w:val="nil"/>
              <w:bottom w:val="single" w:color="auto" w:sz="4" w:space="0"/>
              <w:right w:val="single" w:color="auto" w:sz="4" w:space="0"/>
            </w:tcBorders>
            <w:shd w:val="clear" w:color="auto" w:fill="auto"/>
            <w:vAlign w:val="center"/>
          </w:tcPr>
          <w:p w14:paraId="2B8372B8">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发生设备非正常运行而损坏。</w:t>
            </w:r>
          </w:p>
        </w:tc>
        <w:tc>
          <w:tcPr>
            <w:tcW w:w="2500" w:type="dxa"/>
            <w:tcBorders>
              <w:top w:val="nil"/>
              <w:left w:val="nil"/>
              <w:bottom w:val="single" w:color="auto" w:sz="4" w:space="0"/>
              <w:right w:val="single" w:color="auto" w:sz="4" w:space="0"/>
            </w:tcBorders>
            <w:shd w:val="clear" w:color="auto" w:fill="auto"/>
            <w:vAlign w:val="center"/>
          </w:tcPr>
          <w:p w14:paraId="6CD4B50A">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4DF2303A">
        <w:tblPrEx>
          <w:tblCellMar>
            <w:top w:w="0" w:type="dxa"/>
            <w:left w:w="108" w:type="dxa"/>
            <w:bottom w:w="0" w:type="dxa"/>
            <w:right w:w="108" w:type="dxa"/>
          </w:tblCellMar>
        </w:tblPrEx>
        <w:trPr>
          <w:trHeight w:val="810" w:hRule="atLeast"/>
          <w:jc w:val="center"/>
        </w:trPr>
        <w:tc>
          <w:tcPr>
            <w:tcW w:w="1138" w:type="dxa"/>
            <w:vMerge w:val="continue"/>
            <w:tcBorders>
              <w:top w:val="single" w:color="auto" w:sz="4" w:space="0"/>
              <w:left w:val="single" w:color="auto" w:sz="4" w:space="0"/>
              <w:bottom w:val="single" w:color="auto" w:sz="4" w:space="0"/>
              <w:right w:val="single" w:color="auto" w:sz="4" w:space="0"/>
            </w:tcBorders>
            <w:vAlign w:val="center"/>
          </w:tcPr>
          <w:p w14:paraId="19819672">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1B7559D9">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由于关键设备（冷水机组、冷却塔、水泵、空压机、冷干机、空调机组、冷却</w:t>
            </w:r>
            <w:r>
              <w:rPr>
                <w:rFonts w:ascii="宋体" w:hAnsi="宋体" w:cs="宋体"/>
                <w:color w:val="auto"/>
                <w:kern w:val="0"/>
                <w:sz w:val="22"/>
                <w:szCs w:val="22"/>
                <w:highlight w:val="none"/>
              </w:rPr>
              <w:t>风</w:t>
            </w:r>
            <w:r>
              <w:rPr>
                <w:rFonts w:hint="eastAsia" w:ascii="宋体" w:hAnsi="宋体" w:cs="宋体"/>
                <w:color w:val="auto"/>
                <w:kern w:val="0"/>
                <w:sz w:val="22"/>
                <w:szCs w:val="22"/>
                <w:highlight w:val="none"/>
              </w:rPr>
              <w:t>机、低温制冷机、低温杜瓦、液氮储罐、液氮相分离器、过冷氮机组等）没有及时切换或增开造成末端科研设备保护停机</w:t>
            </w:r>
          </w:p>
        </w:tc>
        <w:tc>
          <w:tcPr>
            <w:tcW w:w="2500" w:type="dxa"/>
            <w:tcBorders>
              <w:top w:val="nil"/>
              <w:left w:val="nil"/>
              <w:bottom w:val="single" w:color="auto" w:sz="4" w:space="0"/>
              <w:right w:val="single" w:color="auto" w:sz="4" w:space="0"/>
            </w:tcBorders>
            <w:shd w:val="clear" w:color="auto" w:fill="auto"/>
            <w:vAlign w:val="center"/>
          </w:tcPr>
          <w:p w14:paraId="0004A9C9">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7CB8A15C">
        <w:tblPrEx>
          <w:tblCellMar>
            <w:top w:w="0" w:type="dxa"/>
            <w:left w:w="108" w:type="dxa"/>
            <w:bottom w:w="0" w:type="dxa"/>
            <w:right w:w="108" w:type="dxa"/>
          </w:tblCellMar>
        </w:tblPrEx>
        <w:trPr>
          <w:trHeight w:val="270" w:hRule="atLeast"/>
          <w:jc w:val="center"/>
        </w:trPr>
        <w:tc>
          <w:tcPr>
            <w:tcW w:w="1138" w:type="dxa"/>
            <w:vMerge w:val="continue"/>
            <w:tcBorders>
              <w:top w:val="single" w:color="auto" w:sz="4" w:space="0"/>
              <w:left w:val="single" w:color="auto" w:sz="4" w:space="0"/>
              <w:bottom w:val="single" w:color="auto" w:sz="4" w:space="0"/>
              <w:right w:val="single" w:color="auto" w:sz="4" w:space="0"/>
            </w:tcBorders>
            <w:vAlign w:val="center"/>
          </w:tcPr>
          <w:p w14:paraId="5F31015A">
            <w:pPr>
              <w:widowControl/>
              <w:jc w:val="left"/>
              <w:rPr>
                <w:rFonts w:ascii="宋体" w:hAnsi="宋体" w:cs="宋体"/>
                <w:color w:val="auto"/>
                <w:kern w:val="0"/>
                <w:sz w:val="22"/>
                <w:szCs w:val="22"/>
                <w:highlight w:val="none"/>
              </w:rPr>
            </w:pPr>
          </w:p>
        </w:tc>
        <w:tc>
          <w:tcPr>
            <w:tcW w:w="5155" w:type="dxa"/>
            <w:tcBorders>
              <w:top w:val="nil"/>
              <w:left w:val="nil"/>
              <w:bottom w:val="single" w:color="auto" w:sz="4" w:space="0"/>
              <w:right w:val="single" w:color="auto" w:sz="4" w:space="0"/>
            </w:tcBorders>
            <w:shd w:val="clear" w:color="auto" w:fill="auto"/>
            <w:vAlign w:val="center"/>
          </w:tcPr>
          <w:p w14:paraId="760DD10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发成安全事故，造成招标人经济损失</w:t>
            </w:r>
          </w:p>
        </w:tc>
        <w:tc>
          <w:tcPr>
            <w:tcW w:w="2500" w:type="dxa"/>
            <w:tcBorders>
              <w:top w:val="nil"/>
              <w:left w:val="nil"/>
              <w:bottom w:val="single" w:color="auto" w:sz="4" w:space="0"/>
              <w:right w:val="single" w:color="auto" w:sz="4" w:space="0"/>
            </w:tcBorders>
            <w:shd w:val="clear" w:color="auto" w:fill="auto"/>
            <w:vAlign w:val="center"/>
          </w:tcPr>
          <w:p w14:paraId="0B19ED7E">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　</w:t>
            </w:r>
          </w:p>
        </w:tc>
      </w:tr>
      <w:tr w14:paraId="11B27144">
        <w:tblPrEx>
          <w:tblCellMar>
            <w:top w:w="0" w:type="dxa"/>
            <w:left w:w="108" w:type="dxa"/>
            <w:bottom w:w="0" w:type="dxa"/>
            <w:right w:w="108" w:type="dxa"/>
          </w:tblCellMar>
        </w:tblPrEx>
        <w:trPr>
          <w:trHeight w:val="540" w:hRule="atLeast"/>
          <w:jc w:val="center"/>
        </w:trPr>
        <w:tc>
          <w:tcPr>
            <w:tcW w:w="1138" w:type="dxa"/>
            <w:tcBorders>
              <w:top w:val="nil"/>
              <w:left w:val="single" w:color="auto" w:sz="4" w:space="0"/>
              <w:bottom w:val="single" w:color="auto" w:sz="4" w:space="0"/>
              <w:right w:val="single" w:color="auto" w:sz="4" w:space="0"/>
            </w:tcBorders>
            <w:shd w:val="clear" w:color="auto" w:fill="auto"/>
            <w:vAlign w:val="center"/>
          </w:tcPr>
          <w:p w14:paraId="5213352A">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每项每次扣</w:t>
            </w:r>
            <w:r>
              <w:rPr>
                <w:rFonts w:ascii="宋体" w:hAnsi="宋体" w:cs="宋体"/>
                <w:color w:val="auto"/>
                <w:kern w:val="0"/>
                <w:sz w:val="22"/>
                <w:szCs w:val="22"/>
                <w:highlight w:val="none"/>
              </w:rPr>
              <w:t>12</w:t>
            </w:r>
            <w:r>
              <w:rPr>
                <w:rFonts w:hint="eastAsia" w:ascii="宋体" w:hAnsi="宋体" w:cs="宋体"/>
                <w:color w:val="auto"/>
                <w:kern w:val="0"/>
                <w:sz w:val="22"/>
                <w:szCs w:val="22"/>
                <w:highlight w:val="none"/>
              </w:rPr>
              <w:t>分</w:t>
            </w:r>
          </w:p>
        </w:tc>
        <w:tc>
          <w:tcPr>
            <w:tcW w:w="5155" w:type="dxa"/>
            <w:tcBorders>
              <w:top w:val="nil"/>
              <w:left w:val="nil"/>
              <w:bottom w:val="single" w:color="auto" w:sz="4" w:space="0"/>
              <w:right w:val="single" w:color="auto" w:sz="4" w:space="0"/>
            </w:tcBorders>
            <w:shd w:val="clear" w:color="auto" w:fill="auto"/>
            <w:vAlign w:val="center"/>
          </w:tcPr>
          <w:p w14:paraId="45EB7814">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发生重大安全事故造成人员伤亡和重大财产损失</w:t>
            </w:r>
          </w:p>
        </w:tc>
        <w:tc>
          <w:tcPr>
            <w:tcW w:w="2500" w:type="dxa"/>
            <w:tcBorders>
              <w:top w:val="nil"/>
              <w:left w:val="nil"/>
              <w:bottom w:val="single" w:color="auto" w:sz="4" w:space="0"/>
              <w:right w:val="single" w:color="auto" w:sz="4" w:space="0"/>
            </w:tcBorders>
            <w:shd w:val="clear" w:color="auto" w:fill="auto"/>
            <w:vAlign w:val="center"/>
          </w:tcPr>
          <w:p w14:paraId="756A7FB6">
            <w:pPr>
              <w:widowControl/>
              <w:jc w:val="left"/>
              <w:rPr>
                <w:rFonts w:ascii="宋体" w:hAnsi="宋体" w:cs="宋体"/>
                <w:color w:val="auto"/>
                <w:kern w:val="0"/>
                <w:sz w:val="22"/>
                <w:szCs w:val="22"/>
                <w:highlight w:val="none"/>
              </w:rPr>
            </w:pPr>
            <w:r>
              <w:rPr>
                <w:rFonts w:hint="eastAsia" w:ascii="宋体" w:hAnsi="宋体" w:cs="宋体"/>
                <w:color w:val="auto"/>
                <w:kern w:val="0"/>
                <w:sz w:val="22"/>
                <w:szCs w:val="22"/>
                <w:highlight w:val="none"/>
              </w:rPr>
              <w:t>同时依照情况继续追究刑事和民事责任</w:t>
            </w:r>
          </w:p>
        </w:tc>
      </w:tr>
    </w:tbl>
    <w:p w14:paraId="05AFF2D5">
      <w:pPr>
        <w:tabs>
          <w:tab w:val="left" w:pos="999"/>
        </w:tabs>
        <w:adjustRightInd w:val="0"/>
        <w:snapToGrid w:val="0"/>
        <w:spacing w:line="360" w:lineRule="auto"/>
        <w:rPr>
          <w:rFonts w:asciiTheme="minorEastAsia" w:hAnsiTheme="minorEastAsia" w:eastAsiaTheme="minorEastAsia"/>
          <w:color w:val="auto"/>
          <w:sz w:val="24"/>
          <w:highlight w:val="none"/>
        </w:rPr>
      </w:pPr>
    </w:p>
    <w:p w14:paraId="4A03808A">
      <w:pPr>
        <w:tabs>
          <w:tab w:val="left" w:pos="999"/>
        </w:tabs>
        <w:adjustRightInd w:val="0"/>
        <w:snapToGrid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10</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rPr>
        <w:t>维保说明：冷水机组、空压机、冷干机、反渗透膜、E</w:t>
      </w:r>
      <w:r>
        <w:rPr>
          <w:rFonts w:asciiTheme="minorEastAsia" w:hAnsiTheme="minorEastAsia" w:eastAsiaTheme="minorEastAsia"/>
          <w:color w:val="auto"/>
          <w:sz w:val="24"/>
          <w:highlight w:val="none"/>
        </w:rPr>
        <w:t>DI等</w:t>
      </w:r>
      <w:r>
        <w:rPr>
          <w:rFonts w:hint="eastAsia" w:asciiTheme="minorEastAsia" w:hAnsiTheme="minorEastAsia" w:eastAsiaTheme="minorEastAsia"/>
          <w:color w:val="auto"/>
          <w:sz w:val="24"/>
          <w:highlight w:val="none"/>
        </w:rPr>
        <w:t>设备的专业维保和组合式空调机组过滤器更换、缆温系统和漏水系统的维保由甲方请厂家负责。水泵机封更换、电机轴承加油、树脂更换、各类水冷滤芯及滤网更换清洗、冷却塔风机皮带及轴承更换</w:t>
      </w:r>
      <w:r>
        <w:rPr>
          <w:rFonts w:hint="eastAsia" w:asciiTheme="minorEastAsia" w:hAnsiTheme="minorEastAsia" w:eastAsiaTheme="minorEastAsia"/>
          <w:color w:val="auto"/>
          <w:sz w:val="24"/>
          <w:highlight w:val="none"/>
        </w:rPr>
        <w:t>和滤网清洗、立式空调皮带更换、树脂更换、卧式水泵定期盘车、卧式水泵电机轴承更换、空调进回风口滤网清洗，由乙方负责。</w:t>
      </w:r>
    </w:p>
    <w:p w14:paraId="0366F997">
      <w:pPr>
        <w:tabs>
          <w:tab w:val="left" w:pos="999"/>
        </w:tabs>
        <w:adjustRightInd w:val="0"/>
        <w:snapToGrid w:val="0"/>
        <w:spacing w:before="312" w:beforeLines="100"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11）运维管理工作报告</w:t>
      </w:r>
    </w:p>
    <w:p w14:paraId="2081C5F6">
      <w:pPr>
        <w:tabs>
          <w:tab w:val="left" w:pos="999"/>
        </w:tabs>
        <w:adjustRightInd w:val="0"/>
        <w:snapToGrid w:val="0"/>
        <w:spacing w:line="360" w:lineRule="auto"/>
        <w:ind w:firstLine="566" w:firstLineChars="236"/>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运维管理工作报告至少包括：月运行报告、设备缺陷报告、故障维修报告等。投标人必须在每次故障处理过程中详细记录故障发生时间、报告人员、故障现象、故障影响、故障处理时间、故障处理人员、故障处理过程、故障处理结果和预防措施等。投标人必须按照上述内容编写故障处理报告，并最迟于故障处理完毕第二个工作日内提交用户方运维管理部门。故障处理报告必须经双方项目负责人签字确认，并作为季度工作报告的一部分。</w:t>
      </w:r>
    </w:p>
    <w:p w14:paraId="2D94395F">
      <w:pPr>
        <w:tabs>
          <w:tab w:val="left" w:pos="999"/>
        </w:tabs>
        <w:adjustRightInd w:val="0"/>
        <w:snapToGrid w:val="0"/>
        <w:spacing w:before="312" w:beforeLines="100" w:line="360" w:lineRule="auto"/>
        <w:jc w:val="lef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12）其他</w:t>
      </w:r>
    </w:p>
    <w:p w14:paraId="2A69C489">
      <w:pPr>
        <w:numPr>
          <w:ilvl w:val="1"/>
          <w:numId w:val="11"/>
        </w:numPr>
        <w:adjustRightInd w:val="0"/>
        <w:snapToGrid w:val="0"/>
        <w:spacing w:line="360" w:lineRule="auto"/>
        <w:ind w:left="0" w:firstLine="0"/>
        <w:jc w:val="left"/>
        <w:rPr>
          <w:rFonts w:asciiTheme="minorEastAsia" w:hAnsiTheme="minorEastAsia" w:eastAsiaTheme="minorEastAsia"/>
          <w:bCs/>
          <w:color w:val="auto"/>
          <w:sz w:val="24"/>
          <w:highlight w:val="none"/>
        </w:rPr>
      </w:pPr>
      <w:r>
        <w:rPr>
          <w:rFonts w:asciiTheme="minorEastAsia" w:hAnsiTheme="minorEastAsia" w:eastAsiaTheme="minorEastAsia"/>
          <w:color w:val="auto"/>
          <w:sz w:val="24"/>
          <w:highlight w:val="none"/>
        </w:rPr>
        <w:t>本技术要求是基于本项目提出的最低限度技术要求，并未对一切细节作出规定，也未充分引述全部有关标准和规范的条文，投标人提供的所有</w:t>
      </w:r>
      <w:r>
        <w:rPr>
          <w:rFonts w:hint="eastAsia" w:asciiTheme="minorEastAsia" w:hAnsiTheme="minorEastAsia" w:eastAsiaTheme="minorEastAsia"/>
          <w:color w:val="auto"/>
          <w:sz w:val="24"/>
          <w:highlight w:val="none"/>
        </w:rPr>
        <w:t>运行维护内容</w:t>
      </w:r>
      <w:r>
        <w:rPr>
          <w:rFonts w:asciiTheme="minorEastAsia" w:hAnsiTheme="minorEastAsia" w:eastAsiaTheme="minorEastAsia"/>
          <w:color w:val="auto"/>
          <w:sz w:val="24"/>
          <w:highlight w:val="none"/>
        </w:rPr>
        <w:t>都应符合招标时已颁布的现行国家或其他公认的部颁、行业标准和国际标准化组织以及等效或更优的其他国家的权威性标准和规范的有关条文。</w:t>
      </w:r>
    </w:p>
    <w:p w14:paraId="36A57923">
      <w:pPr>
        <w:numPr>
          <w:ilvl w:val="1"/>
          <w:numId w:val="11"/>
        </w:numPr>
        <w:adjustRightInd w:val="0"/>
        <w:snapToGrid w:val="0"/>
        <w:spacing w:line="360" w:lineRule="auto"/>
        <w:ind w:left="0" w:firstLine="0"/>
        <w:jc w:val="lef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本项目实施阶段中标人应当采取</w:t>
      </w:r>
      <w:r>
        <w:rPr>
          <w:rFonts w:asciiTheme="minorEastAsia" w:hAnsiTheme="minorEastAsia" w:eastAsiaTheme="minorEastAsia"/>
          <w:color w:val="auto"/>
          <w:sz w:val="24"/>
          <w:highlight w:val="none"/>
        </w:rPr>
        <w:t>切实</w:t>
      </w:r>
      <w:r>
        <w:rPr>
          <w:rFonts w:hint="eastAsia" w:asciiTheme="minorEastAsia" w:hAnsiTheme="minorEastAsia" w:eastAsiaTheme="minorEastAsia"/>
          <w:color w:val="auto"/>
          <w:sz w:val="24"/>
          <w:highlight w:val="none"/>
        </w:rPr>
        <w:t>有效措施</w:t>
      </w:r>
      <w:r>
        <w:rPr>
          <w:rFonts w:asciiTheme="minorEastAsia" w:hAnsiTheme="minorEastAsia" w:eastAsiaTheme="minorEastAsia"/>
          <w:color w:val="auto"/>
          <w:sz w:val="24"/>
          <w:highlight w:val="none"/>
        </w:rPr>
        <w:t>确保运行</w:t>
      </w:r>
      <w:r>
        <w:rPr>
          <w:rFonts w:hint="eastAsia" w:asciiTheme="minorEastAsia" w:hAnsiTheme="minorEastAsia" w:eastAsiaTheme="minorEastAsia"/>
          <w:color w:val="auto"/>
          <w:sz w:val="24"/>
          <w:highlight w:val="none"/>
        </w:rPr>
        <w:t>人员的</w:t>
      </w:r>
      <w:r>
        <w:rPr>
          <w:rFonts w:asciiTheme="minorEastAsia" w:hAnsiTheme="minorEastAsia" w:eastAsiaTheme="minorEastAsia"/>
          <w:color w:val="auto"/>
          <w:sz w:val="24"/>
          <w:highlight w:val="none"/>
        </w:rPr>
        <w:t>稳定性，特别是在</w:t>
      </w:r>
      <w:r>
        <w:rPr>
          <w:rFonts w:hint="eastAsia" w:asciiTheme="minorEastAsia" w:hAnsiTheme="minorEastAsia" w:eastAsiaTheme="minorEastAsia"/>
          <w:color w:val="auto"/>
          <w:sz w:val="24"/>
          <w:highlight w:val="none"/>
        </w:rPr>
        <w:t>重大节假日</w:t>
      </w:r>
      <w:r>
        <w:rPr>
          <w:rFonts w:asciiTheme="minorEastAsia" w:hAnsiTheme="minorEastAsia" w:eastAsiaTheme="minorEastAsia"/>
          <w:color w:val="auto"/>
          <w:sz w:val="24"/>
          <w:highlight w:val="none"/>
        </w:rPr>
        <w:t>期间的运行人员稳定性</w:t>
      </w:r>
      <w:r>
        <w:rPr>
          <w:rFonts w:hint="eastAsia" w:asciiTheme="minorEastAsia" w:hAnsiTheme="minorEastAsia" w:eastAsiaTheme="minorEastAsia"/>
          <w:color w:val="auto"/>
          <w:sz w:val="24"/>
          <w:highlight w:val="none"/>
        </w:rPr>
        <w:t>。</w:t>
      </w:r>
    </w:p>
    <w:p w14:paraId="0525047E">
      <w:pPr>
        <w:numPr>
          <w:ilvl w:val="1"/>
          <w:numId w:val="11"/>
        </w:numPr>
        <w:adjustRightInd w:val="0"/>
        <w:snapToGrid w:val="0"/>
        <w:spacing w:line="360" w:lineRule="auto"/>
        <w:ind w:left="0" w:firstLine="0"/>
        <w:jc w:val="left"/>
        <w:rPr>
          <w:rFonts w:asciiTheme="minorEastAsia" w:hAnsiTheme="minorEastAsia" w:eastAsiaTheme="minorEastAsia"/>
          <w:bCs/>
          <w:color w:val="auto"/>
          <w:sz w:val="24"/>
          <w:highlight w:val="none"/>
        </w:rPr>
      </w:pPr>
      <w:r>
        <w:rPr>
          <w:rFonts w:asciiTheme="minorEastAsia" w:hAnsiTheme="minorEastAsia" w:eastAsiaTheme="minorEastAsia"/>
          <w:color w:val="auto"/>
          <w:sz w:val="24"/>
          <w:highlight w:val="none"/>
        </w:rPr>
        <w:t>因</w:t>
      </w:r>
      <w:r>
        <w:rPr>
          <w:rFonts w:hint="eastAsia" w:asciiTheme="minorEastAsia" w:hAnsiTheme="minorEastAsia" w:eastAsiaTheme="minorEastAsia"/>
          <w:color w:val="auto"/>
          <w:sz w:val="24"/>
          <w:highlight w:val="none"/>
        </w:rPr>
        <w:t>系统</w:t>
      </w:r>
      <w:r>
        <w:rPr>
          <w:rFonts w:asciiTheme="minorEastAsia" w:hAnsiTheme="minorEastAsia" w:eastAsiaTheme="minorEastAsia"/>
          <w:color w:val="auto"/>
          <w:sz w:val="24"/>
          <w:highlight w:val="none"/>
        </w:rPr>
        <w:t>调整导致本次招标</w:t>
      </w:r>
      <w:r>
        <w:rPr>
          <w:rFonts w:hint="eastAsia" w:asciiTheme="minorEastAsia" w:hAnsiTheme="minorEastAsia" w:eastAsiaTheme="minorEastAsia"/>
          <w:color w:val="auto"/>
          <w:sz w:val="24"/>
          <w:highlight w:val="none"/>
        </w:rPr>
        <w:t>的运行维护</w:t>
      </w:r>
      <w:r>
        <w:rPr>
          <w:rFonts w:asciiTheme="minorEastAsia" w:hAnsiTheme="minorEastAsia" w:eastAsiaTheme="minorEastAsia"/>
          <w:color w:val="auto"/>
          <w:sz w:val="24"/>
          <w:highlight w:val="none"/>
        </w:rPr>
        <w:t>项目参数有所调整的，如未影响成本，投标人应予以充分配合，并不</w:t>
      </w:r>
      <w:r>
        <w:rPr>
          <w:rFonts w:hint="eastAsia" w:asciiTheme="minorEastAsia" w:hAnsiTheme="minorEastAsia" w:eastAsiaTheme="minorEastAsia"/>
          <w:color w:val="auto"/>
          <w:sz w:val="24"/>
          <w:highlight w:val="none"/>
        </w:rPr>
        <w:t>得</w:t>
      </w:r>
      <w:r>
        <w:rPr>
          <w:rFonts w:asciiTheme="minorEastAsia" w:hAnsiTheme="minorEastAsia" w:eastAsiaTheme="minorEastAsia"/>
          <w:color w:val="auto"/>
          <w:sz w:val="24"/>
          <w:highlight w:val="none"/>
        </w:rPr>
        <w:t>因调整而</w:t>
      </w:r>
      <w:r>
        <w:rPr>
          <w:rFonts w:hint="eastAsia" w:asciiTheme="minorEastAsia" w:hAnsiTheme="minorEastAsia" w:eastAsiaTheme="minorEastAsia"/>
          <w:color w:val="auto"/>
          <w:sz w:val="24"/>
          <w:highlight w:val="none"/>
        </w:rPr>
        <w:t>要求</w:t>
      </w:r>
      <w:r>
        <w:rPr>
          <w:rFonts w:asciiTheme="minorEastAsia" w:hAnsiTheme="minorEastAsia" w:eastAsiaTheme="minorEastAsia"/>
          <w:color w:val="auto"/>
          <w:sz w:val="24"/>
          <w:highlight w:val="none"/>
        </w:rPr>
        <w:t>增加任何费用。</w:t>
      </w:r>
    </w:p>
    <w:p w14:paraId="782A01E7">
      <w:pPr>
        <w:widowControl/>
        <w:spacing w:line="360" w:lineRule="atLeast"/>
        <w:rPr>
          <w:rFonts w:ascii="宋体" w:hAnsi="宋体"/>
          <w:b/>
          <w:color w:val="auto"/>
          <w:sz w:val="30"/>
          <w:szCs w:val="30"/>
          <w:highlight w:val="none"/>
        </w:rPr>
      </w:pPr>
    </w:p>
    <w:sectPr>
      <w:headerReference r:id="rId11" w:type="first"/>
      <w:footerReference r:id="rId13" w:type="first"/>
      <w:footerReference r:id="rId12"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52E4E">
    <w:pPr>
      <w:snapToGrid w:val="0"/>
      <w:jc w:val="center"/>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52</w:t>
    </w:r>
    <w:r>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0FCD5">
    <w:pPr>
      <w:snapToGrid w:val="0"/>
      <w:jc w:val="center"/>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41</w:t>
    </w:r>
    <w:r>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26D0D">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54</w:t>
    </w:r>
    <w:r>
      <w:rPr>
        <w:rStyle w:val="4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95541">
    <w:pPr>
      <w:pStyle w:val="26"/>
      <w:framePr w:wrap="around" w:vAnchor="text" w:hAnchor="margin" w:xAlign="right" w:y="1"/>
      <w:rPr>
        <w:rStyle w:val="44"/>
      </w:rPr>
    </w:pPr>
  </w:p>
  <w:p w14:paraId="72388484">
    <w:pPr>
      <w:pStyle w:val="26"/>
      <w:ind w:right="360"/>
      <w:jc w:val="center"/>
    </w:pPr>
    <w:r>
      <w:rPr>
        <w:rStyle w:val="44"/>
      </w:rPr>
      <w:fldChar w:fldCharType="begin"/>
    </w:r>
    <w:r>
      <w:rPr>
        <w:rStyle w:val="44"/>
      </w:rPr>
      <w:instrText xml:space="preserve"> PAGE </w:instrText>
    </w:r>
    <w:r>
      <w:rPr>
        <w:rStyle w:val="44"/>
      </w:rPr>
      <w:fldChar w:fldCharType="separate"/>
    </w:r>
    <w:r>
      <w:rPr>
        <w:rStyle w:val="44"/>
      </w:rPr>
      <w:t>53</w:t>
    </w:r>
    <w:r>
      <w:rPr>
        <w:rStyle w:val="4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92B4">
    <w:pPr>
      <w:pStyle w:val="26"/>
      <w:jc w:val="center"/>
      <w:rPr>
        <w:rFonts w:ascii="仿宋_GB2312" w:eastAsia="仿宋_GB2312"/>
      </w:rPr>
    </w:pPr>
    <w:r>
      <w:rPr>
        <w:rStyle w:val="44"/>
      </w:rPr>
      <w:fldChar w:fldCharType="begin"/>
    </w:r>
    <w:r>
      <w:rPr>
        <w:rStyle w:val="44"/>
      </w:rPr>
      <w:instrText xml:space="preserve"> PAGE </w:instrText>
    </w:r>
    <w:r>
      <w:rPr>
        <w:rStyle w:val="44"/>
      </w:rPr>
      <w:fldChar w:fldCharType="separate"/>
    </w:r>
    <w:r>
      <w:rPr>
        <w:rStyle w:val="44"/>
      </w:rPr>
      <w:t>72</w:t>
    </w:r>
    <w:r>
      <w:rPr>
        <w:rStyle w:val="4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03154">
    <w:pPr>
      <w:pStyle w:val="26"/>
      <w:jc w:val="center"/>
    </w:pPr>
    <w:r>
      <w:fldChar w:fldCharType="begin"/>
    </w:r>
    <w:r>
      <w:instrText xml:space="preserve">PAGE   \* MERGEFORMAT</w:instrText>
    </w:r>
    <w:r>
      <w:fldChar w:fldCharType="separate"/>
    </w:r>
    <w:r>
      <w:rPr>
        <w:lang w:val="zh-CN"/>
      </w:rPr>
      <w:t>80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AAA11">
    <w:pPr>
      <w:pStyle w:val="26"/>
      <w:jc w:val="center"/>
    </w:pPr>
    <w:r>
      <w:fldChar w:fldCharType="begin"/>
    </w:r>
    <w:r>
      <w:instrText xml:space="preserve">PAGE   \* MERGEFORMAT</w:instrText>
    </w:r>
    <w:r>
      <w:fldChar w:fldCharType="separate"/>
    </w:r>
    <w:r>
      <w:rPr>
        <w:lang w:val="zh-CN"/>
      </w:rPr>
      <w:t>73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CD64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8BFC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52890">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586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24EFD"/>
    <w:multiLevelType w:val="singleLevel"/>
    <w:tmpl w:val="9A124EFD"/>
    <w:lvl w:ilvl="0" w:tentative="0">
      <w:start w:val="1"/>
      <w:numFmt w:val="bullet"/>
      <w:lvlText w:val=""/>
      <w:lvlJc w:val="left"/>
      <w:pPr>
        <w:tabs>
          <w:tab w:val="left" w:pos="420"/>
        </w:tabs>
        <w:ind w:left="840" w:hanging="420"/>
      </w:pPr>
      <w:rPr>
        <w:rFonts w:hint="default" w:ascii="Wingdings" w:hAnsi="Wingdings"/>
      </w:rPr>
    </w:lvl>
  </w:abstractNum>
  <w:abstractNum w:abstractNumId="1">
    <w:nsid w:val="9EEC5B24"/>
    <w:multiLevelType w:val="singleLevel"/>
    <w:tmpl w:val="9EEC5B24"/>
    <w:lvl w:ilvl="0" w:tentative="0">
      <w:start w:val="1"/>
      <w:numFmt w:val="decimal"/>
      <w:suff w:val="nothing"/>
      <w:lvlText w:val="%1、"/>
      <w:lvlJc w:val="left"/>
    </w:lvl>
  </w:abstractNum>
  <w:abstractNum w:abstractNumId="2">
    <w:nsid w:val="C99B199D"/>
    <w:multiLevelType w:val="singleLevel"/>
    <w:tmpl w:val="C99B199D"/>
    <w:lvl w:ilvl="0" w:tentative="0">
      <w:start w:val="1"/>
      <w:numFmt w:val="bullet"/>
      <w:lvlText w:val=""/>
      <w:lvlJc w:val="left"/>
      <w:pPr>
        <w:tabs>
          <w:tab w:val="left" w:pos="420"/>
        </w:tabs>
        <w:ind w:left="840" w:hanging="420"/>
      </w:pPr>
      <w:rPr>
        <w:rFonts w:hint="default" w:ascii="Wingdings" w:hAnsi="Wingdings"/>
      </w:rPr>
    </w:lvl>
  </w:abstractNum>
  <w:abstractNum w:abstractNumId="3">
    <w:nsid w:val="00000016"/>
    <w:multiLevelType w:val="multilevel"/>
    <w:tmpl w:val="00000016"/>
    <w:lvl w:ilvl="0" w:tentative="0">
      <w:start w:val="1"/>
      <w:numFmt w:val="decimal"/>
      <w:lvlText w:val="%1、"/>
      <w:lvlJc w:val="left"/>
      <w:pPr>
        <w:tabs>
          <w:tab w:val="left" w:pos="893"/>
        </w:tabs>
        <w:ind w:left="893" w:hanging="360"/>
      </w:pPr>
      <w:rPr>
        <w:rFonts w:hint="default"/>
      </w:rPr>
    </w:lvl>
    <w:lvl w:ilvl="1" w:tentative="0">
      <w:start w:val="1"/>
      <w:numFmt w:val="lowerLetter"/>
      <w:lvlText w:val="%2)"/>
      <w:lvlJc w:val="left"/>
      <w:pPr>
        <w:tabs>
          <w:tab w:val="left" w:pos="1373"/>
        </w:tabs>
        <w:ind w:left="1373" w:hanging="420"/>
      </w:pPr>
    </w:lvl>
    <w:lvl w:ilvl="2" w:tentative="0">
      <w:start w:val="1"/>
      <w:numFmt w:val="lowerRoman"/>
      <w:lvlText w:val="%3."/>
      <w:lvlJc w:val="right"/>
      <w:pPr>
        <w:tabs>
          <w:tab w:val="left" w:pos="1793"/>
        </w:tabs>
        <w:ind w:left="1793" w:hanging="420"/>
      </w:pPr>
    </w:lvl>
    <w:lvl w:ilvl="3" w:tentative="0">
      <w:start w:val="1"/>
      <w:numFmt w:val="decimal"/>
      <w:lvlText w:val="%4."/>
      <w:lvlJc w:val="left"/>
      <w:pPr>
        <w:tabs>
          <w:tab w:val="left" w:pos="2213"/>
        </w:tabs>
        <w:ind w:left="2213" w:hanging="420"/>
      </w:pPr>
    </w:lvl>
    <w:lvl w:ilvl="4" w:tentative="0">
      <w:start w:val="1"/>
      <w:numFmt w:val="lowerLetter"/>
      <w:lvlText w:val="%5)"/>
      <w:lvlJc w:val="left"/>
      <w:pPr>
        <w:tabs>
          <w:tab w:val="left" w:pos="2633"/>
        </w:tabs>
        <w:ind w:left="2633" w:hanging="420"/>
      </w:pPr>
    </w:lvl>
    <w:lvl w:ilvl="5" w:tentative="0">
      <w:start w:val="1"/>
      <w:numFmt w:val="lowerRoman"/>
      <w:lvlText w:val="%6."/>
      <w:lvlJc w:val="right"/>
      <w:pPr>
        <w:tabs>
          <w:tab w:val="left" w:pos="3053"/>
        </w:tabs>
        <w:ind w:left="3053" w:hanging="420"/>
      </w:pPr>
    </w:lvl>
    <w:lvl w:ilvl="6" w:tentative="0">
      <w:start w:val="1"/>
      <w:numFmt w:val="decimal"/>
      <w:lvlText w:val="%7."/>
      <w:lvlJc w:val="left"/>
      <w:pPr>
        <w:tabs>
          <w:tab w:val="left" w:pos="3473"/>
        </w:tabs>
        <w:ind w:left="3473" w:hanging="420"/>
      </w:pPr>
    </w:lvl>
    <w:lvl w:ilvl="7" w:tentative="0">
      <w:start w:val="1"/>
      <w:numFmt w:val="lowerLetter"/>
      <w:lvlText w:val="%8)"/>
      <w:lvlJc w:val="left"/>
      <w:pPr>
        <w:tabs>
          <w:tab w:val="left" w:pos="3893"/>
        </w:tabs>
        <w:ind w:left="3893" w:hanging="420"/>
      </w:pPr>
    </w:lvl>
    <w:lvl w:ilvl="8" w:tentative="0">
      <w:start w:val="1"/>
      <w:numFmt w:val="lowerRoman"/>
      <w:lvlText w:val="%9."/>
      <w:lvlJc w:val="right"/>
      <w:pPr>
        <w:tabs>
          <w:tab w:val="left" w:pos="4313"/>
        </w:tabs>
        <w:ind w:left="4313" w:hanging="420"/>
      </w:pPr>
    </w:lvl>
  </w:abstractNum>
  <w:abstractNum w:abstractNumId="4">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1A1F3DC8"/>
    <w:multiLevelType w:val="multilevel"/>
    <w:tmpl w:val="1A1F3DC8"/>
    <w:lvl w:ilvl="0" w:tentative="0">
      <w:start w:val="1"/>
      <w:numFmt w:val="decimal"/>
      <w:lvlText w:val="%1）"/>
      <w:lvlJc w:val="left"/>
      <w:pPr>
        <w:tabs>
          <w:tab w:val="left" w:pos="999"/>
        </w:tabs>
        <w:ind w:left="999" w:hanging="574"/>
      </w:pPr>
      <w:rPr>
        <w:rFonts w:hint="eastAsia" w:ascii="Times New Roman" w:hAnsi="Times New Roman" w:eastAsia="宋体" w:cs="Times New Roman"/>
        <w:color w:val="auto"/>
      </w:rPr>
    </w:lvl>
    <w:lvl w:ilvl="1" w:tentative="0">
      <w:start w:val="1"/>
      <w:numFmt w:val="lowerLetter"/>
      <w:lvlText w:val="%2)"/>
      <w:lvlJc w:val="left"/>
      <w:pPr>
        <w:tabs>
          <w:tab w:val="left" w:pos="705"/>
        </w:tabs>
        <w:ind w:left="705" w:hanging="420"/>
      </w:pPr>
    </w:lvl>
    <w:lvl w:ilvl="2" w:tentative="0">
      <w:start w:val="1"/>
      <w:numFmt w:val="lowerRoman"/>
      <w:lvlText w:val="%3."/>
      <w:lvlJc w:val="right"/>
      <w:pPr>
        <w:tabs>
          <w:tab w:val="left" w:pos="704"/>
        </w:tabs>
        <w:ind w:left="704" w:hanging="420"/>
      </w:pPr>
      <w:rPr>
        <w:color w:val="auto"/>
      </w:rPr>
    </w:lvl>
    <w:lvl w:ilvl="3" w:tentative="0">
      <w:start w:val="1"/>
      <w:numFmt w:val="decimal"/>
      <w:lvlText w:val="%4."/>
      <w:lvlJc w:val="left"/>
      <w:pPr>
        <w:tabs>
          <w:tab w:val="left" w:pos="1545"/>
        </w:tabs>
        <w:ind w:left="1545" w:hanging="420"/>
      </w:pPr>
    </w:lvl>
    <w:lvl w:ilvl="4" w:tentative="0">
      <w:start w:val="1"/>
      <w:numFmt w:val="lowerLetter"/>
      <w:lvlText w:val="%5)"/>
      <w:lvlJc w:val="left"/>
      <w:pPr>
        <w:tabs>
          <w:tab w:val="left" w:pos="1965"/>
        </w:tabs>
        <w:ind w:left="1965" w:hanging="420"/>
      </w:pPr>
    </w:lvl>
    <w:lvl w:ilvl="5" w:tentative="0">
      <w:start w:val="1"/>
      <w:numFmt w:val="lowerRoman"/>
      <w:lvlText w:val="%6."/>
      <w:lvlJc w:val="right"/>
      <w:pPr>
        <w:tabs>
          <w:tab w:val="left" w:pos="2385"/>
        </w:tabs>
        <w:ind w:left="2385" w:hanging="420"/>
      </w:pPr>
    </w:lvl>
    <w:lvl w:ilvl="6" w:tentative="0">
      <w:start w:val="1"/>
      <w:numFmt w:val="decimal"/>
      <w:lvlText w:val="%7."/>
      <w:lvlJc w:val="left"/>
      <w:pPr>
        <w:tabs>
          <w:tab w:val="left" w:pos="2805"/>
        </w:tabs>
        <w:ind w:left="2805" w:hanging="420"/>
      </w:pPr>
    </w:lvl>
    <w:lvl w:ilvl="7" w:tentative="0">
      <w:start w:val="1"/>
      <w:numFmt w:val="lowerLetter"/>
      <w:lvlText w:val="%8)"/>
      <w:lvlJc w:val="left"/>
      <w:pPr>
        <w:tabs>
          <w:tab w:val="left" w:pos="3225"/>
        </w:tabs>
        <w:ind w:left="3225" w:hanging="420"/>
      </w:pPr>
    </w:lvl>
    <w:lvl w:ilvl="8" w:tentative="0">
      <w:start w:val="1"/>
      <w:numFmt w:val="lowerRoman"/>
      <w:lvlText w:val="%9."/>
      <w:lvlJc w:val="right"/>
      <w:pPr>
        <w:tabs>
          <w:tab w:val="left" w:pos="3645"/>
        </w:tabs>
        <w:ind w:left="3645" w:hanging="420"/>
      </w:pPr>
    </w:lvl>
  </w:abstractNum>
  <w:abstractNum w:abstractNumId="8">
    <w:nsid w:val="2049C301"/>
    <w:multiLevelType w:val="singleLevel"/>
    <w:tmpl w:val="2049C301"/>
    <w:lvl w:ilvl="0" w:tentative="0">
      <w:start w:val="1"/>
      <w:numFmt w:val="decimal"/>
      <w:suff w:val="nothing"/>
      <w:lvlText w:val="%1、"/>
      <w:lvlJc w:val="left"/>
    </w:lvl>
  </w:abstractNum>
  <w:abstractNum w:abstractNumId="9">
    <w:nsid w:val="22C17EE4"/>
    <w:multiLevelType w:val="multilevel"/>
    <w:tmpl w:val="22C17EE4"/>
    <w:lvl w:ilvl="0" w:tentative="0">
      <w:start w:val="1"/>
      <w:numFmt w:val="decimal"/>
      <w:lvlText w:val="(%1)"/>
      <w:lvlJc w:val="left"/>
      <w:pPr>
        <w:tabs>
          <w:tab w:val="left" w:pos="720"/>
        </w:tabs>
        <w:ind w:left="720" w:hanging="360"/>
      </w:pPr>
      <w:rPr>
        <w:rFonts w:hint="eastAsia"/>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decimal"/>
      <w:lvlText w:val="%3)"/>
      <w:lvlJc w:val="left"/>
      <w:pPr>
        <w:tabs>
          <w:tab w:val="left" w:pos="1560"/>
        </w:tabs>
        <w:ind w:left="1560" w:hanging="360"/>
      </w:pPr>
      <w:rPr>
        <w:rFonts w:hint="eastAsia"/>
        <w:sz w:val="21"/>
      </w:r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0">
    <w:nsid w:val="24767043"/>
    <w:multiLevelType w:val="multilevel"/>
    <w:tmpl w:val="24767043"/>
    <w:lvl w:ilvl="0" w:tentative="0">
      <w:start w:val="1"/>
      <w:numFmt w:val="bullet"/>
      <w:lvlText w:val=""/>
      <w:lvlJc w:val="left"/>
      <w:pPr>
        <w:ind w:left="703" w:hanging="420"/>
      </w:pPr>
      <w:rPr>
        <w:rFonts w:hint="default" w:ascii="Wingdings" w:hAnsi="Wingdings"/>
      </w:rPr>
    </w:lvl>
    <w:lvl w:ilvl="1" w:tentative="0">
      <w:start w:val="1"/>
      <w:numFmt w:val="bullet"/>
      <w:lvlText w:val=""/>
      <w:lvlJc w:val="left"/>
      <w:pPr>
        <w:ind w:left="1123" w:hanging="420"/>
      </w:pPr>
      <w:rPr>
        <w:rFonts w:hint="default" w:ascii="Wingdings" w:hAnsi="Wingdings"/>
      </w:rPr>
    </w:lvl>
    <w:lvl w:ilvl="2" w:tentative="0">
      <w:start w:val="1"/>
      <w:numFmt w:val="bullet"/>
      <w:lvlText w:val=""/>
      <w:lvlJc w:val="left"/>
      <w:pPr>
        <w:ind w:left="1543" w:hanging="420"/>
      </w:pPr>
      <w:rPr>
        <w:rFonts w:hint="default" w:ascii="Wingdings" w:hAnsi="Wingdings"/>
      </w:rPr>
    </w:lvl>
    <w:lvl w:ilvl="3" w:tentative="0">
      <w:start w:val="1"/>
      <w:numFmt w:val="bullet"/>
      <w:lvlText w:val=""/>
      <w:lvlJc w:val="left"/>
      <w:pPr>
        <w:ind w:left="1963" w:hanging="420"/>
      </w:pPr>
      <w:rPr>
        <w:rFonts w:hint="default" w:ascii="Wingdings" w:hAnsi="Wingdings"/>
      </w:rPr>
    </w:lvl>
    <w:lvl w:ilvl="4" w:tentative="0">
      <w:start w:val="1"/>
      <w:numFmt w:val="bullet"/>
      <w:lvlText w:val=""/>
      <w:lvlJc w:val="left"/>
      <w:pPr>
        <w:ind w:left="2383" w:hanging="420"/>
      </w:pPr>
      <w:rPr>
        <w:rFonts w:hint="default" w:ascii="Wingdings" w:hAnsi="Wingdings"/>
      </w:rPr>
    </w:lvl>
    <w:lvl w:ilvl="5" w:tentative="0">
      <w:start w:val="1"/>
      <w:numFmt w:val="bullet"/>
      <w:lvlText w:val=""/>
      <w:lvlJc w:val="left"/>
      <w:pPr>
        <w:ind w:left="2803" w:hanging="420"/>
      </w:pPr>
      <w:rPr>
        <w:rFonts w:hint="default" w:ascii="Wingdings" w:hAnsi="Wingdings"/>
      </w:rPr>
    </w:lvl>
    <w:lvl w:ilvl="6" w:tentative="0">
      <w:start w:val="1"/>
      <w:numFmt w:val="bullet"/>
      <w:lvlText w:val=""/>
      <w:lvlJc w:val="left"/>
      <w:pPr>
        <w:ind w:left="3223" w:hanging="420"/>
      </w:pPr>
      <w:rPr>
        <w:rFonts w:hint="default" w:ascii="Wingdings" w:hAnsi="Wingdings"/>
      </w:rPr>
    </w:lvl>
    <w:lvl w:ilvl="7" w:tentative="0">
      <w:start w:val="1"/>
      <w:numFmt w:val="bullet"/>
      <w:lvlText w:val=""/>
      <w:lvlJc w:val="left"/>
      <w:pPr>
        <w:ind w:left="3643" w:hanging="420"/>
      </w:pPr>
      <w:rPr>
        <w:rFonts w:hint="default" w:ascii="Wingdings" w:hAnsi="Wingdings"/>
      </w:rPr>
    </w:lvl>
    <w:lvl w:ilvl="8" w:tentative="0">
      <w:start w:val="1"/>
      <w:numFmt w:val="bullet"/>
      <w:lvlText w:val=""/>
      <w:lvlJc w:val="left"/>
      <w:pPr>
        <w:ind w:left="4063" w:hanging="420"/>
      </w:pPr>
      <w:rPr>
        <w:rFonts w:hint="default" w:ascii="Wingdings" w:hAnsi="Wingdings"/>
      </w:rPr>
    </w:lvl>
  </w:abstractNum>
  <w:abstractNum w:abstractNumId="11">
    <w:nsid w:val="311584A6"/>
    <w:multiLevelType w:val="singleLevel"/>
    <w:tmpl w:val="311584A6"/>
    <w:lvl w:ilvl="0" w:tentative="0">
      <w:start w:val="1"/>
      <w:numFmt w:val="bullet"/>
      <w:lvlText w:val=""/>
      <w:lvlJc w:val="left"/>
      <w:pPr>
        <w:tabs>
          <w:tab w:val="left" w:pos="420"/>
        </w:tabs>
        <w:ind w:left="840" w:hanging="420"/>
      </w:pPr>
      <w:rPr>
        <w:rFonts w:hint="default" w:ascii="Wingdings" w:hAnsi="Wingdings"/>
      </w:rPr>
    </w:lvl>
  </w:abstractNum>
  <w:abstractNum w:abstractNumId="12">
    <w:nsid w:val="46451229"/>
    <w:multiLevelType w:val="multilevel"/>
    <w:tmpl w:val="46451229"/>
    <w:lvl w:ilvl="0" w:tentative="0">
      <w:start w:val="1"/>
      <w:numFmt w:val="decimal"/>
      <w:lvlText w:val="（%1）"/>
      <w:lvlJc w:val="left"/>
      <w:pPr>
        <w:tabs>
          <w:tab w:val="left" w:pos="1620"/>
        </w:tabs>
        <w:ind w:left="1620" w:hanging="720"/>
      </w:pPr>
      <w:rPr>
        <w:rFonts w:hint="eastAsia"/>
      </w:rPr>
    </w:lvl>
    <w:lvl w:ilvl="1" w:tentative="0">
      <w:start w:val="1"/>
      <w:numFmt w:val="lowerLetter"/>
      <w:lvlText w:val="%2)"/>
      <w:lvlJc w:val="left"/>
      <w:pPr>
        <w:tabs>
          <w:tab w:val="left" w:pos="1740"/>
        </w:tabs>
        <w:ind w:left="1740" w:hanging="420"/>
      </w:pPr>
    </w:lvl>
    <w:lvl w:ilvl="2" w:tentative="0">
      <w:start w:val="1"/>
      <w:numFmt w:val="lowerRoman"/>
      <w:lvlText w:val="%3."/>
      <w:lvlJc w:val="right"/>
      <w:pPr>
        <w:tabs>
          <w:tab w:val="left" w:pos="2160"/>
        </w:tabs>
        <w:ind w:left="2160" w:hanging="420"/>
      </w:pPr>
    </w:lvl>
    <w:lvl w:ilvl="3" w:tentative="0">
      <w:start w:val="1"/>
      <w:numFmt w:val="decimal"/>
      <w:lvlText w:val="%4."/>
      <w:lvlJc w:val="left"/>
      <w:pPr>
        <w:tabs>
          <w:tab w:val="left" w:pos="2580"/>
        </w:tabs>
        <w:ind w:left="2580" w:hanging="420"/>
      </w:pPr>
    </w:lvl>
    <w:lvl w:ilvl="4" w:tentative="0">
      <w:start w:val="1"/>
      <w:numFmt w:val="lowerLetter"/>
      <w:lvlText w:val="%5)"/>
      <w:lvlJc w:val="left"/>
      <w:pPr>
        <w:tabs>
          <w:tab w:val="left" w:pos="3000"/>
        </w:tabs>
        <w:ind w:left="3000" w:hanging="420"/>
      </w:pPr>
    </w:lvl>
    <w:lvl w:ilvl="5" w:tentative="0">
      <w:start w:val="1"/>
      <w:numFmt w:val="lowerRoman"/>
      <w:lvlText w:val="%6."/>
      <w:lvlJc w:val="right"/>
      <w:pPr>
        <w:tabs>
          <w:tab w:val="left" w:pos="3420"/>
        </w:tabs>
        <w:ind w:left="3420" w:hanging="420"/>
      </w:pPr>
    </w:lvl>
    <w:lvl w:ilvl="6" w:tentative="0">
      <w:start w:val="1"/>
      <w:numFmt w:val="decimal"/>
      <w:lvlText w:val="%7."/>
      <w:lvlJc w:val="left"/>
      <w:pPr>
        <w:tabs>
          <w:tab w:val="left" w:pos="3840"/>
        </w:tabs>
        <w:ind w:left="3840" w:hanging="420"/>
      </w:pPr>
    </w:lvl>
    <w:lvl w:ilvl="7" w:tentative="0">
      <w:start w:val="1"/>
      <w:numFmt w:val="lowerLetter"/>
      <w:lvlText w:val="%8)"/>
      <w:lvlJc w:val="left"/>
      <w:pPr>
        <w:tabs>
          <w:tab w:val="left" w:pos="4260"/>
        </w:tabs>
        <w:ind w:left="4260" w:hanging="420"/>
      </w:pPr>
    </w:lvl>
    <w:lvl w:ilvl="8" w:tentative="0">
      <w:start w:val="1"/>
      <w:numFmt w:val="lowerRoman"/>
      <w:lvlText w:val="%9."/>
      <w:lvlJc w:val="right"/>
      <w:pPr>
        <w:tabs>
          <w:tab w:val="left" w:pos="4680"/>
        </w:tabs>
        <w:ind w:left="4680" w:hanging="420"/>
      </w:pPr>
    </w:lvl>
  </w:abstractNum>
  <w:abstractNum w:abstractNumId="13">
    <w:nsid w:val="5AF82141"/>
    <w:multiLevelType w:val="multilevel"/>
    <w:tmpl w:val="5AF82141"/>
    <w:lvl w:ilvl="0" w:tentative="0">
      <w:start w:val="1"/>
      <w:numFmt w:val="decimal"/>
      <w:lvlText w:val="（%1）"/>
      <w:lvlJc w:val="left"/>
      <w:pPr>
        <w:ind w:left="1003"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68B357D6"/>
    <w:multiLevelType w:val="multilevel"/>
    <w:tmpl w:val="68B357D6"/>
    <w:lvl w:ilvl="0" w:tentative="0">
      <w:start w:val="1"/>
      <w:numFmt w:val="decimalEnclosedCircle"/>
      <w:lvlText w:val="（%1"/>
      <w:lvlJc w:val="left"/>
      <w:pPr>
        <w:ind w:left="429" w:hanging="429"/>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0F2560F"/>
    <w:multiLevelType w:val="multilevel"/>
    <w:tmpl w:val="70F2560F"/>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5"/>
  </w:num>
  <w:num w:numId="2">
    <w:abstractNumId w:val="12"/>
  </w:num>
  <w:num w:numId="3">
    <w:abstractNumId w:val="3"/>
  </w:num>
  <w:num w:numId="4">
    <w:abstractNumId w:val="6"/>
  </w:num>
  <w:num w:numId="5">
    <w:abstractNumId w:val="4"/>
  </w:num>
  <w:num w:numId="6">
    <w:abstractNumId w:val="14"/>
  </w:num>
  <w:num w:numId="7">
    <w:abstractNumId w:val="8"/>
  </w:num>
  <w:num w:numId="8">
    <w:abstractNumId w:val="15"/>
  </w:num>
  <w:num w:numId="9">
    <w:abstractNumId w:val="9"/>
  </w:num>
  <w:num w:numId="10">
    <w:abstractNumId w:val="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0"/>
  </w:num>
  <w:num w:numId="14">
    <w:abstractNumId w:val="1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1645B"/>
    <w:rsid w:val="00017CDA"/>
    <w:rsid w:val="00027C8D"/>
    <w:rsid w:val="00040005"/>
    <w:rsid w:val="00053738"/>
    <w:rsid w:val="000543E7"/>
    <w:rsid w:val="00057761"/>
    <w:rsid w:val="0006010D"/>
    <w:rsid w:val="000668DC"/>
    <w:rsid w:val="00066A6D"/>
    <w:rsid w:val="000705FB"/>
    <w:rsid w:val="00081ADD"/>
    <w:rsid w:val="0009161E"/>
    <w:rsid w:val="000969BB"/>
    <w:rsid w:val="000973D2"/>
    <w:rsid w:val="000B12EC"/>
    <w:rsid w:val="000B636A"/>
    <w:rsid w:val="000C1F98"/>
    <w:rsid w:val="000C325D"/>
    <w:rsid w:val="000C505C"/>
    <w:rsid w:val="000D1A3C"/>
    <w:rsid w:val="000E0B0C"/>
    <w:rsid w:val="000E17D4"/>
    <w:rsid w:val="000E2A36"/>
    <w:rsid w:val="000E4DA9"/>
    <w:rsid w:val="000F0512"/>
    <w:rsid w:val="000F4571"/>
    <w:rsid w:val="00103352"/>
    <w:rsid w:val="00105333"/>
    <w:rsid w:val="00107AF4"/>
    <w:rsid w:val="001140D0"/>
    <w:rsid w:val="00122963"/>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756CA"/>
    <w:rsid w:val="001774F4"/>
    <w:rsid w:val="0018672D"/>
    <w:rsid w:val="001921CA"/>
    <w:rsid w:val="00194900"/>
    <w:rsid w:val="001A0E56"/>
    <w:rsid w:val="001A6E63"/>
    <w:rsid w:val="001B195C"/>
    <w:rsid w:val="001B62CC"/>
    <w:rsid w:val="001B66E1"/>
    <w:rsid w:val="001B6E57"/>
    <w:rsid w:val="001C22AC"/>
    <w:rsid w:val="001D24A0"/>
    <w:rsid w:val="001D7301"/>
    <w:rsid w:val="001E1467"/>
    <w:rsid w:val="001E152C"/>
    <w:rsid w:val="001E20DC"/>
    <w:rsid w:val="001E3480"/>
    <w:rsid w:val="001F18B7"/>
    <w:rsid w:val="001F1D2B"/>
    <w:rsid w:val="001F5FAD"/>
    <w:rsid w:val="001F79B6"/>
    <w:rsid w:val="002024C7"/>
    <w:rsid w:val="00206639"/>
    <w:rsid w:val="00206D30"/>
    <w:rsid w:val="0021259E"/>
    <w:rsid w:val="00213C28"/>
    <w:rsid w:val="00217D22"/>
    <w:rsid w:val="00224FE7"/>
    <w:rsid w:val="0023232E"/>
    <w:rsid w:val="00233C8A"/>
    <w:rsid w:val="00240E7B"/>
    <w:rsid w:val="00247ED0"/>
    <w:rsid w:val="00251DB7"/>
    <w:rsid w:val="002630C9"/>
    <w:rsid w:val="002672D1"/>
    <w:rsid w:val="00275598"/>
    <w:rsid w:val="002761A3"/>
    <w:rsid w:val="0028124D"/>
    <w:rsid w:val="00282A80"/>
    <w:rsid w:val="00282F14"/>
    <w:rsid w:val="00286FF0"/>
    <w:rsid w:val="002872A9"/>
    <w:rsid w:val="00292E0B"/>
    <w:rsid w:val="002A0194"/>
    <w:rsid w:val="002A76C6"/>
    <w:rsid w:val="002B44BD"/>
    <w:rsid w:val="002B6E7A"/>
    <w:rsid w:val="002B7380"/>
    <w:rsid w:val="002C47B5"/>
    <w:rsid w:val="002D5C47"/>
    <w:rsid w:val="002D6107"/>
    <w:rsid w:val="002E03AA"/>
    <w:rsid w:val="002E34AD"/>
    <w:rsid w:val="002E5D18"/>
    <w:rsid w:val="002E6A76"/>
    <w:rsid w:val="002E7CE0"/>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AD9"/>
    <w:rsid w:val="00353E66"/>
    <w:rsid w:val="00357C16"/>
    <w:rsid w:val="003600CB"/>
    <w:rsid w:val="003637C6"/>
    <w:rsid w:val="00364D46"/>
    <w:rsid w:val="00370988"/>
    <w:rsid w:val="003732CC"/>
    <w:rsid w:val="0037367E"/>
    <w:rsid w:val="00373B63"/>
    <w:rsid w:val="00374F9A"/>
    <w:rsid w:val="00382C0C"/>
    <w:rsid w:val="003944C7"/>
    <w:rsid w:val="00397F24"/>
    <w:rsid w:val="003A298A"/>
    <w:rsid w:val="003B4F45"/>
    <w:rsid w:val="003B6193"/>
    <w:rsid w:val="003C172D"/>
    <w:rsid w:val="003C5297"/>
    <w:rsid w:val="003C7092"/>
    <w:rsid w:val="003C785A"/>
    <w:rsid w:val="003D2B81"/>
    <w:rsid w:val="003E1220"/>
    <w:rsid w:val="003F5F7A"/>
    <w:rsid w:val="004043A2"/>
    <w:rsid w:val="00404EA5"/>
    <w:rsid w:val="00410FBA"/>
    <w:rsid w:val="00415144"/>
    <w:rsid w:val="00420D92"/>
    <w:rsid w:val="00421F2C"/>
    <w:rsid w:val="0042297A"/>
    <w:rsid w:val="00433C0B"/>
    <w:rsid w:val="004362C7"/>
    <w:rsid w:val="00437028"/>
    <w:rsid w:val="0044106E"/>
    <w:rsid w:val="004437CE"/>
    <w:rsid w:val="00446E68"/>
    <w:rsid w:val="00447503"/>
    <w:rsid w:val="004535C1"/>
    <w:rsid w:val="00457522"/>
    <w:rsid w:val="0046038A"/>
    <w:rsid w:val="00465FD9"/>
    <w:rsid w:val="004670DC"/>
    <w:rsid w:val="00471176"/>
    <w:rsid w:val="00484FF8"/>
    <w:rsid w:val="004A0EB1"/>
    <w:rsid w:val="004A3B49"/>
    <w:rsid w:val="004A5C14"/>
    <w:rsid w:val="004B3476"/>
    <w:rsid w:val="004B36B8"/>
    <w:rsid w:val="004C387C"/>
    <w:rsid w:val="004D0AB9"/>
    <w:rsid w:val="004D1B04"/>
    <w:rsid w:val="004E042A"/>
    <w:rsid w:val="004E31BC"/>
    <w:rsid w:val="004E4504"/>
    <w:rsid w:val="004F0FDE"/>
    <w:rsid w:val="004F191B"/>
    <w:rsid w:val="004F3E07"/>
    <w:rsid w:val="005023D6"/>
    <w:rsid w:val="00504FD3"/>
    <w:rsid w:val="0051228D"/>
    <w:rsid w:val="00512882"/>
    <w:rsid w:val="005143FF"/>
    <w:rsid w:val="00516D9B"/>
    <w:rsid w:val="00516FEB"/>
    <w:rsid w:val="005244F5"/>
    <w:rsid w:val="00524665"/>
    <w:rsid w:val="00543C0A"/>
    <w:rsid w:val="00544DF3"/>
    <w:rsid w:val="00546632"/>
    <w:rsid w:val="0054699B"/>
    <w:rsid w:val="00546BA1"/>
    <w:rsid w:val="005515EB"/>
    <w:rsid w:val="0055226E"/>
    <w:rsid w:val="00552E7C"/>
    <w:rsid w:val="005601D0"/>
    <w:rsid w:val="00560FEA"/>
    <w:rsid w:val="005613B2"/>
    <w:rsid w:val="0056304A"/>
    <w:rsid w:val="0057066D"/>
    <w:rsid w:val="00572671"/>
    <w:rsid w:val="005754A6"/>
    <w:rsid w:val="005818DC"/>
    <w:rsid w:val="00591688"/>
    <w:rsid w:val="005916DF"/>
    <w:rsid w:val="00595627"/>
    <w:rsid w:val="00595D3F"/>
    <w:rsid w:val="00595EAC"/>
    <w:rsid w:val="005A2F5B"/>
    <w:rsid w:val="005A52D6"/>
    <w:rsid w:val="005B031E"/>
    <w:rsid w:val="005B5E4F"/>
    <w:rsid w:val="005C270B"/>
    <w:rsid w:val="005C574A"/>
    <w:rsid w:val="005D09A0"/>
    <w:rsid w:val="005D479D"/>
    <w:rsid w:val="005E416B"/>
    <w:rsid w:val="005E436F"/>
    <w:rsid w:val="005E7A21"/>
    <w:rsid w:val="005F24B2"/>
    <w:rsid w:val="0060103A"/>
    <w:rsid w:val="00602911"/>
    <w:rsid w:val="00602A7A"/>
    <w:rsid w:val="0060509A"/>
    <w:rsid w:val="0061223D"/>
    <w:rsid w:val="006125F5"/>
    <w:rsid w:val="00612A9B"/>
    <w:rsid w:val="00614D00"/>
    <w:rsid w:val="00615F5B"/>
    <w:rsid w:val="00616055"/>
    <w:rsid w:val="0061681D"/>
    <w:rsid w:val="00621D10"/>
    <w:rsid w:val="006225E2"/>
    <w:rsid w:val="0062676A"/>
    <w:rsid w:val="00640DB1"/>
    <w:rsid w:val="00640F1A"/>
    <w:rsid w:val="006416E9"/>
    <w:rsid w:val="0064545D"/>
    <w:rsid w:val="00646C82"/>
    <w:rsid w:val="00647CD5"/>
    <w:rsid w:val="006548A6"/>
    <w:rsid w:val="00655478"/>
    <w:rsid w:val="00664D7F"/>
    <w:rsid w:val="006717E4"/>
    <w:rsid w:val="00673641"/>
    <w:rsid w:val="00677C47"/>
    <w:rsid w:val="006858B6"/>
    <w:rsid w:val="00694765"/>
    <w:rsid w:val="0069730F"/>
    <w:rsid w:val="006A377B"/>
    <w:rsid w:val="006B0930"/>
    <w:rsid w:val="006B6B18"/>
    <w:rsid w:val="006C4384"/>
    <w:rsid w:val="006C5135"/>
    <w:rsid w:val="006C546E"/>
    <w:rsid w:val="006D29F2"/>
    <w:rsid w:val="006E2DE0"/>
    <w:rsid w:val="006E5A8E"/>
    <w:rsid w:val="006E5E97"/>
    <w:rsid w:val="0070081C"/>
    <w:rsid w:val="0071653B"/>
    <w:rsid w:val="00721985"/>
    <w:rsid w:val="00724C84"/>
    <w:rsid w:val="007252A8"/>
    <w:rsid w:val="00725C0A"/>
    <w:rsid w:val="0073119D"/>
    <w:rsid w:val="0073199C"/>
    <w:rsid w:val="007376B0"/>
    <w:rsid w:val="00740508"/>
    <w:rsid w:val="00743776"/>
    <w:rsid w:val="00751428"/>
    <w:rsid w:val="00751486"/>
    <w:rsid w:val="00751716"/>
    <w:rsid w:val="00752FEF"/>
    <w:rsid w:val="00753EAB"/>
    <w:rsid w:val="0075674B"/>
    <w:rsid w:val="00761F2B"/>
    <w:rsid w:val="00763B74"/>
    <w:rsid w:val="007731D0"/>
    <w:rsid w:val="00775018"/>
    <w:rsid w:val="00775B16"/>
    <w:rsid w:val="00785A0A"/>
    <w:rsid w:val="00787CED"/>
    <w:rsid w:val="007967F8"/>
    <w:rsid w:val="007A3772"/>
    <w:rsid w:val="007A6C68"/>
    <w:rsid w:val="007B6DFC"/>
    <w:rsid w:val="007C2696"/>
    <w:rsid w:val="007C4C31"/>
    <w:rsid w:val="007C5EA5"/>
    <w:rsid w:val="007D381E"/>
    <w:rsid w:val="007D3EE2"/>
    <w:rsid w:val="007E03CA"/>
    <w:rsid w:val="007E6193"/>
    <w:rsid w:val="007F2F97"/>
    <w:rsid w:val="007F30CC"/>
    <w:rsid w:val="007F387D"/>
    <w:rsid w:val="007F7152"/>
    <w:rsid w:val="008063DB"/>
    <w:rsid w:val="0080706E"/>
    <w:rsid w:val="008156CB"/>
    <w:rsid w:val="008203E6"/>
    <w:rsid w:val="00822633"/>
    <w:rsid w:val="00830107"/>
    <w:rsid w:val="00831B02"/>
    <w:rsid w:val="00833174"/>
    <w:rsid w:val="00835158"/>
    <w:rsid w:val="00846609"/>
    <w:rsid w:val="00852958"/>
    <w:rsid w:val="0085467F"/>
    <w:rsid w:val="00864F77"/>
    <w:rsid w:val="008661F8"/>
    <w:rsid w:val="008712FA"/>
    <w:rsid w:val="00872B3B"/>
    <w:rsid w:val="00874EAE"/>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3D62"/>
    <w:rsid w:val="008E5EB5"/>
    <w:rsid w:val="008F04C7"/>
    <w:rsid w:val="008F21A5"/>
    <w:rsid w:val="008F2440"/>
    <w:rsid w:val="00914619"/>
    <w:rsid w:val="009202C8"/>
    <w:rsid w:val="009246BA"/>
    <w:rsid w:val="00930CDE"/>
    <w:rsid w:val="0093212B"/>
    <w:rsid w:val="00934F40"/>
    <w:rsid w:val="00935AA1"/>
    <w:rsid w:val="009451DC"/>
    <w:rsid w:val="009467F2"/>
    <w:rsid w:val="00946865"/>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D78F8"/>
    <w:rsid w:val="009E1C84"/>
    <w:rsid w:val="009E2DC7"/>
    <w:rsid w:val="009E32D4"/>
    <w:rsid w:val="009E4080"/>
    <w:rsid w:val="009E4DCB"/>
    <w:rsid w:val="009E580F"/>
    <w:rsid w:val="009F52FB"/>
    <w:rsid w:val="009F5A6A"/>
    <w:rsid w:val="00A01B3A"/>
    <w:rsid w:val="00A0205F"/>
    <w:rsid w:val="00A02D10"/>
    <w:rsid w:val="00A04E9D"/>
    <w:rsid w:val="00A06893"/>
    <w:rsid w:val="00A14987"/>
    <w:rsid w:val="00A21886"/>
    <w:rsid w:val="00A25682"/>
    <w:rsid w:val="00A2638C"/>
    <w:rsid w:val="00A27417"/>
    <w:rsid w:val="00A27AFD"/>
    <w:rsid w:val="00A354A8"/>
    <w:rsid w:val="00A4031E"/>
    <w:rsid w:val="00A44A2B"/>
    <w:rsid w:val="00A46F60"/>
    <w:rsid w:val="00A53234"/>
    <w:rsid w:val="00A53E27"/>
    <w:rsid w:val="00A56F9C"/>
    <w:rsid w:val="00A57852"/>
    <w:rsid w:val="00A57F47"/>
    <w:rsid w:val="00A63D97"/>
    <w:rsid w:val="00A7173E"/>
    <w:rsid w:val="00A8225A"/>
    <w:rsid w:val="00AA029F"/>
    <w:rsid w:val="00AA7A0D"/>
    <w:rsid w:val="00AB113B"/>
    <w:rsid w:val="00AD268F"/>
    <w:rsid w:val="00AD2FD2"/>
    <w:rsid w:val="00AD41E6"/>
    <w:rsid w:val="00AD4ECF"/>
    <w:rsid w:val="00AD70C8"/>
    <w:rsid w:val="00AE094D"/>
    <w:rsid w:val="00AF6067"/>
    <w:rsid w:val="00B01F70"/>
    <w:rsid w:val="00B04039"/>
    <w:rsid w:val="00B07AAD"/>
    <w:rsid w:val="00B15273"/>
    <w:rsid w:val="00B16887"/>
    <w:rsid w:val="00B1746F"/>
    <w:rsid w:val="00B20F15"/>
    <w:rsid w:val="00B253E3"/>
    <w:rsid w:val="00B27A2B"/>
    <w:rsid w:val="00B30D5F"/>
    <w:rsid w:val="00B31F00"/>
    <w:rsid w:val="00B351A2"/>
    <w:rsid w:val="00B41959"/>
    <w:rsid w:val="00B42C18"/>
    <w:rsid w:val="00B43CF7"/>
    <w:rsid w:val="00B44327"/>
    <w:rsid w:val="00B53944"/>
    <w:rsid w:val="00B61FDD"/>
    <w:rsid w:val="00B758E7"/>
    <w:rsid w:val="00B75B80"/>
    <w:rsid w:val="00B81149"/>
    <w:rsid w:val="00B8672D"/>
    <w:rsid w:val="00B94FB1"/>
    <w:rsid w:val="00BB07DA"/>
    <w:rsid w:val="00BB5328"/>
    <w:rsid w:val="00BC418D"/>
    <w:rsid w:val="00BC7FBC"/>
    <w:rsid w:val="00BD11D6"/>
    <w:rsid w:val="00BD2A3B"/>
    <w:rsid w:val="00BD646D"/>
    <w:rsid w:val="00BD6A33"/>
    <w:rsid w:val="00BD7ED0"/>
    <w:rsid w:val="00BE395A"/>
    <w:rsid w:val="00BE5E06"/>
    <w:rsid w:val="00BE643E"/>
    <w:rsid w:val="00BE7C14"/>
    <w:rsid w:val="00BE7CED"/>
    <w:rsid w:val="00BF0EBE"/>
    <w:rsid w:val="00BF59BF"/>
    <w:rsid w:val="00C056B5"/>
    <w:rsid w:val="00C10630"/>
    <w:rsid w:val="00C12939"/>
    <w:rsid w:val="00C13760"/>
    <w:rsid w:val="00C14E3B"/>
    <w:rsid w:val="00C23BA4"/>
    <w:rsid w:val="00C241B2"/>
    <w:rsid w:val="00C24609"/>
    <w:rsid w:val="00C27A10"/>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6539"/>
    <w:rsid w:val="00CC76B6"/>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148D4"/>
    <w:rsid w:val="00D22D44"/>
    <w:rsid w:val="00D26CC2"/>
    <w:rsid w:val="00D378BA"/>
    <w:rsid w:val="00D40668"/>
    <w:rsid w:val="00D60794"/>
    <w:rsid w:val="00D6263A"/>
    <w:rsid w:val="00D6312E"/>
    <w:rsid w:val="00D75701"/>
    <w:rsid w:val="00D778D7"/>
    <w:rsid w:val="00D80BB4"/>
    <w:rsid w:val="00D83934"/>
    <w:rsid w:val="00D85148"/>
    <w:rsid w:val="00D861C3"/>
    <w:rsid w:val="00D862C1"/>
    <w:rsid w:val="00D91A0C"/>
    <w:rsid w:val="00D9239C"/>
    <w:rsid w:val="00D95955"/>
    <w:rsid w:val="00D979AB"/>
    <w:rsid w:val="00DA590C"/>
    <w:rsid w:val="00DA703D"/>
    <w:rsid w:val="00DB4B4E"/>
    <w:rsid w:val="00DB54CF"/>
    <w:rsid w:val="00DC1546"/>
    <w:rsid w:val="00DC1655"/>
    <w:rsid w:val="00DC33C1"/>
    <w:rsid w:val="00DD2172"/>
    <w:rsid w:val="00DD34FD"/>
    <w:rsid w:val="00DD4A09"/>
    <w:rsid w:val="00DD4C25"/>
    <w:rsid w:val="00DD6A1F"/>
    <w:rsid w:val="00DE2E56"/>
    <w:rsid w:val="00DE4C00"/>
    <w:rsid w:val="00DE5C67"/>
    <w:rsid w:val="00DF2449"/>
    <w:rsid w:val="00DF7ACF"/>
    <w:rsid w:val="00E004CA"/>
    <w:rsid w:val="00E00826"/>
    <w:rsid w:val="00E03391"/>
    <w:rsid w:val="00E0373B"/>
    <w:rsid w:val="00E07308"/>
    <w:rsid w:val="00E13E8C"/>
    <w:rsid w:val="00E14474"/>
    <w:rsid w:val="00E179B5"/>
    <w:rsid w:val="00E25E28"/>
    <w:rsid w:val="00E26286"/>
    <w:rsid w:val="00E30AC2"/>
    <w:rsid w:val="00E320F3"/>
    <w:rsid w:val="00E33D84"/>
    <w:rsid w:val="00E34813"/>
    <w:rsid w:val="00E356D2"/>
    <w:rsid w:val="00E401B3"/>
    <w:rsid w:val="00E417DD"/>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1D4"/>
    <w:rsid w:val="00EE4BD8"/>
    <w:rsid w:val="00EF3685"/>
    <w:rsid w:val="00EF5BA0"/>
    <w:rsid w:val="00F13600"/>
    <w:rsid w:val="00F15FC0"/>
    <w:rsid w:val="00F17042"/>
    <w:rsid w:val="00F175D1"/>
    <w:rsid w:val="00F216E7"/>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6678B"/>
    <w:rsid w:val="00F73FE2"/>
    <w:rsid w:val="00F74944"/>
    <w:rsid w:val="00F77537"/>
    <w:rsid w:val="00F8497C"/>
    <w:rsid w:val="00F91E41"/>
    <w:rsid w:val="00FA238D"/>
    <w:rsid w:val="00FA3835"/>
    <w:rsid w:val="00FA5C54"/>
    <w:rsid w:val="00FA6816"/>
    <w:rsid w:val="00FB5D79"/>
    <w:rsid w:val="00FD10B8"/>
    <w:rsid w:val="00FD4AC3"/>
    <w:rsid w:val="00FE2A78"/>
    <w:rsid w:val="00FE3D91"/>
    <w:rsid w:val="00FE55D2"/>
    <w:rsid w:val="00FE7B75"/>
    <w:rsid w:val="00FF5179"/>
    <w:rsid w:val="00FF728E"/>
    <w:rsid w:val="01565F5E"/>
    <w:rsid w:val="018D0F17"/>
    <w:rsid w:val="020B291A"/>
    <w:rsid w:val="02CC3DCA"/>
    <w:rsid w:val="03033035"/>
    <w:rsid w:val="03A74512"/>
    <w:rsid w:val="041D2A27"/>
    <w:rsid w:val="043F474B"/>
    <w:rsid w:val="047563BF"/>
    <w:rsid w:val="049A7F93"/>
    <w:rsid w:val="053E2C54"/>
    <w:rsid w:val="05B21CE7"/>
    <w:rsid w:val="05B46ADA"/>
    <w:rsid w:val="05BB6053"/>
    <w:rsid w:val="06826B71"/>
    <w:rsid w:val="06C158EB"/>
    <w:rsid w:val="06F02823"/>
    <w:rsid w:val="070F4351"/>
    <w:rsid w:val="0762073E"/>
    <w:rsid w:val="07990616"/>
    <w:rsid w:val="07EA52AF"/>
    <w:rsid w:val="082E5202"/>
    <w:rsid w:val="08760957"/>
    <w:rsid w:val="09075A53"/>
    <w:rsid w:val="09120680"/>
    <w:rsid w:val="09886B94"/>
    <w:rsid w:val="09A45050"/>
    <w:rsid w:val="09FA1199"/>
    <w:rsid w:val="0A0C1573"/>
    <w:rsid w:val="0A5B05D9"/>
    <w:rsid w:val="0A9D041D"/>
    <w:rsid w:val="0AAC58BE"/>
    <w:rsid w:val="0ABC6589"/>
    <w:rsid w:val="0ADF594B"/>
    <w:rsid w:val="0AE0030A"/>
    <w:rsid w:val="0B6C18AB"/>
    <w:rsid w:val="0C0973C9"/>
    <w:rsid w:val="0CF504F3"/>
    <w:rsid w:val="0D1349C7"/>
    <w:rsid w:val="0D6945E7"/>
    <w:rsid w:val="0D6B0DE4"/>
    <w:rsid w:val="0D8A6F81"/>
    <w:rsid w:val="0E39045D"/>
    <w:rsid w:val="0E3E791A"/>
    <w:rsid w:val="0E54415D"/>
    <w:rsid w:val="0E680D42"/>
    <w:rsid w:val="0E936CC2"/>
    <w:rsid w:val="0E9E29B6"/>
    <w:rsid w:val="0EE2662E"/>
    <w:rsid w:val="0EE967FA"/>
    <w:rsid w:val="0F291536"/>
    <w:rsid w:val="0F3D3F7D"/>
    <w:rsid w:val="0F4075C9"/>
    <w:rsid w:val="0F4672D5"/>
    <w:rsid w:val="0F4E40DD"/>
    <w:rsid w:val="0F6F4465"/>
    <w:rsid w:val="0F7B0D6D"/>
    <w:rsid w:val="100B7BD7"/>
    <w:rsid w:val="10540C60"/>
    <w:rsid w:val="10BE733F"/>
    <w:rsid w:val="10C954D8"/>
    <w:rsid w:val="10E279BE"/>
    <w:rsid w:val="10E329F6"/>
    <w:rsid w:val="117D4B05"/>
    <w:rsid w:val="122E6778"/>
    <w:rsid w:val="124949E7"/>
    <w:rsid w:val="128B5428"/>
    <w:rsid w:val="130C6140"/>
    <w:rsid w:val="13285904"/>
    <w:rsid w:val="13465DF0"/>
    <w:rsid w:val="13983E78"/>
    <w:rsid w:val="13D322AC"/>
    <w:rsid w:val="14537D9F"/>
    <w:rsid w:val="14860174"/>
    <w:rsid w:val="15161EBA"/>
    <w:rsid w:val="159F14ED"/>
    <w:rsid w:val="15BB3E4D"/>
    <w:rsid w:val="15D708BB"/>
    <w:rsid w:val="15F52619"/>
    <w:rsid w:val="16136167"/>
    <w:rsid w:val="1615355E"/>
    <w:rsid w:val="162C2A81"/>
    <w:rsid w:val="16FB6BF7"/>
    <w:rsid w:val="17051824"/>
    <w:rsid w:val="1752258F"/>
    <w:rsid w:val="17CB6513"/>
    <w:rsid w:val="17E30CEE"/>
    <w:rsid w:val="185D6BC0"/>
    <w:rsid w:val="187622AE"/>
    <w:rsid w:val="18980476"/>
    <w:rsid w:val="18B012B6"/>
    <w:rsid w:val="18DE057F"/>
    <w:rsid w:val="18F7512B"/>
    <w:rsid w:val="18F97167"/>
    <w:rsid w:val="18FE477D"/>
    <w:rsid w:val="191044B0"/>
    <w:rsid w:val="192561AE"/>
    <w:rsid w:val="19793E03"/>
    <w:rsid w:val="199030D2"/>
    <w:rsid w:val="19AE7309"/>
    <w:rsid w:val="19B337B9"/>
    <w:rsid w:val="19EC2B93"/>
    <w:rsid w:val="1A121F48"/>
    <w:rsid w:val="1A18361C"/>
    <w:rsid w:val="1A2B77F4"/>
    <w:rsid w:val="1A7B3BAB"/>
    <w:rsid w:val="1A7C004F"/>
    <w:rsid w:val="1A902BB0"/>
    <w:rsid w:val="1AD52AE7"/>
    <w:rsid w:val="1AEE25CF"/>
    <w:rsid w:val="1B773521"/>
    <w:rsid w:val="1B9E3D36"/>
    <w:rsid w:val="1BBA3A2F"/>
    <w:rsid w:val="1C686EB5"/>
    <w:rsid w:val="1C8F2A04"/>
    <w:rsid w:val="1CF10155"/>
    <w:rsid w:val="1D3E15EC"/>
    <w:rsid w:val="1D8B6157"/>
    <w:rsid w:val="1DC108B9"/>
    <w:rsid w:val="1E6E3802"/>
    <w:rsid w:val="1EC93DFC"/>
    <w:rsid w:val="1F1F369F"/>
    <w:rsid w:val="1F457E33"/>
    <w:rsid w:val="1F82310C"/>
    <w:rsid w:val="202A40A9"/>
    <w:rsid w:val="20365C75"/>
    <w:rsid w:val="2061511E"/>
    <w:rsid w:val="206C021E"/>
    <w:rsid w:val="20863AF3"/>
    <w:rsid w:val="209D6559"/>
    <w:rsid w:val="20AE2068"/>
    <w:rsid w:val="20FD3BD3"/>
    <w:rsid w:val="21156B08"/>
    <w:rsid w:val="21704109"/>
    <w:rsid w:val="218B2C39"/>
    <w:rsid w:val="22066450"/>
    <w:rsid w:val="222C235B"/>
    <w:rsid w:val="22597BF6"/>
    <w:rsid w:val="227819CB"/>
    <w:rsid w:val="22835CF3"/>
    <w:rsid w:val="22C32E27"/>
    <w:rsid w:val="23256975"/>
    <w:rsid w:val="23423424"/>
    <w:rsid w:val="237F470C"/>
    <w:rsid w:val="23863CED"/>
    <w:rsid w:val="23A91789"/>
    <w:rsid w:val="240C4724"/>
    <w:rsid w:val="243B7149"/>
    <w:rsid w:val="243F7370"/>
    <w:rsid w:val="248F097F"/>
    <w:rsid w:val="24E25225"/>
    <w:rsid w:val="25162E4E"/>
    <w:rsid w:val="254A2AF8"/>
    <w:rsid w:val="256E2C8A"/>
    <w:rsid w:val="25824FC1"/>
    <w:rsid w:val="26053E04"/>
    <w:rsid w:val="26606A77"/>
    <w:rsid w:val="26B0201E"/>
    <w:rsid w:val="26DD3CEE"/>
    <w:rsid w:val="26DE5B9C"/>
    <w:rsid w:val="26FE1DEC"/>
    <w:rsid w:val="27B626C7"/>
    <w:rsid w:val="27F05BD9"/>
    <w:rsid w:val="285745BD"/>
    <w:rsid w:val="285A12A4"/>
    <w:rsid w:val="28795BCE"/>
    <w:rsid w:val="28AC3B7B"/>
    <w:rsid w:val="292D1081"/>
    <w:rsid w:val="29C25353"/>
    <w:rsid w:val="2A7D127A"/>
    <w:rsid w:val="2A8E004C"/>
    <w:rsid w:val="2B276CE5"/>
    <w:rsid w:val="2B4F2C16"/>
    <w:rsid w:val="2B653E78"/>
    <w:rsid w:val="2B6A1BE2"/>
    <w:rsid w:val="2BC8395D"/>
    <w:rsid w:val="2CB90995"/>
    <w:rsid w:val="2CEC6922"/>
    <w:rsid w:val="2D0B5263"/>
    <w:rsid w:val="2D20215E"/>
    <w:rsid w:val="2D5179CF"/>
    <w:rsid w:val="2D564730"/>
    <w:rsid w:val="2D71509A"/>
    <w:rsid w:val="2DE2455B"/>
    <w:rsid w:val="2E1D524D"/>
    <w:rsid w:val="2EA126FE"/>
    <w:rsid w:val="2ED5581D"/>
    <w:rsid w:val="2EF064BE"/>
    <w:rsid w:val="2F0B154A"/>
    <w:rsid w:val="2F25260C"/>
    <w:rsid w:val="2F5C6564"/>
    <w:rsid w:val="2F7E1D1C"/>
    <w:rsid w:val="2FCD4C8F"/>
    <w:rsid w:val="2FEE1165"/>
    <w:rsid w:val="30562C99"/>
    <w:rsid w:val="308A097E"/>
    <w:rsid w:val="30CC52EF"/>
    <w:rsid w:val="319039E6"/>
    <w:rsid w:val="31DB3455"/>
    <w:rsid w:val="32085AE3"/>
    <w:rsid w:val="32093965"/>
    <w:rsid w:val="322E0B42"/>
    <w:rsid w:val="327F0D3B"/>
    <w:rsid w:val="32D517C2"/>
    <w:rsid w:val="32FF13C6"/>
    <w:rsid w:val="331A4758"/>
    <w:rsid w:val="334A2505"/>
    <w:rsid w:val="3369385E"/>
    <w:rsid w:val="337C29D9"/>
    <w:rsid w:val="33CA23C6"/>
    <w:rsid w:val="33D77C4D"/>
    <w:rsid w:val="340C3D9A"/>
    <w:rsid w:val="34B86344"/>
    <w:rsid w:val="34D523DE"/>
    <w:rsid w:val="350E3B42"/>
    <w:rsid w:val="35891DD3"/>
    <w:rsid w:val="35A41DB0"/>
    <w:rsid w:val="35C0542C"/>
    <w:rsid w:val="35CF1523"/>
    <w:rsid w:val="36ED04AD"/>
    <w:rsid w:val="372B2789"/>
    <w:rsid w:val="37CA7F80"/>
    <w:rsid w:val="384F06F9"/>
    <w:rsid w:val="38D534B1"/>
    <w:rsid w:val="395026E3"/>
    <w:rsid w:val="39812B34"/>
    <w:rsid w:val="39A43A9C"/>
    <w:rsid w:val="39F4460C"/>
    <w:rsid w:val="3AAC1E33"/>
    <w:rsid w:val="3ABB2076"/>
    <w:rsid w:val="3AC0768C"/>
    <w:rsid w:val="3ACA22B9"/>
    <w:rsid w:val="3AE72E6B"/>
    <w:rsid w:val="3AEC66D3"/>
    <w:rsid w:val="3AFF33E8"/>
    <w:rsid w:val="3B1874C8"/>
    <w:rsid w:val="3B1F36A3"/>
    <w:rsid w:val="3B317667"/>
    <w:rsid w:val="3B395601"/>
    <w:rsid w:val="3B7C7A57"/>
    <w:rsid w:val="3C0435A9"/>
    <w:rsid w:val="3C2D3B80"/>
    <w:rsid w:val="3C6109FB"/>
    <w:rsid w:val="3CB46D7D"/>
    <w:rsid w:val="3CBB635D"/>
    <w:rsid w:val="3D3D4FC4"/>
    <w:rsid w:val="3D476359"/>
    <w:rsid w:val="3D762284"/>
    <w:rsid w:val="3D9A658C"/>
    <w:rsid w:val="3DE10046"/>
    <w:rsid w:val="3DEE1D80"/>
    <w:rsid w:val="3DF338D5"/>
    <w:rsid w:val="3EA378DA"/>
    <w:rsid w:val="3EF73899"/>
    <w:rsid w:val="3F2A3A53"/>
    <w:rsid w:val="3F651E10"/>
    <w:rsid w:val="3F6F78D3"/>
    <w:rsid w:val="3FAE00B2"/>
    <w:rsid w:val="3FEE4E21"/>
    <w:rsid w:val="40842F0A"/>
    <w:rsid w:val="409F7D44"/>
    <w:rsid w:val="40C559FD"/>
    <w:rsid w:val="41993D57"/>
    <w:rsid w:val="426C16E4"/>
    <w:rsid w:val="434F65CA"/>
    <w:rsid w:val="435E5C94"/>
    <w:rsid w:val="43851473"/>
    <w:rsid w:val="43D85920"/>
    <w:rsid w:val="44191BBB"/>
    <w:rsid w:val="442F62DC"/>
    <w:rsid w:val="443B5FD6"/>
    <w:rsid w:val="44C22253"/>
    <w:rsid w:val="459220B9"/>
    <w:rsid w:val="45FA2938"/>
    <w:rsid w:val="46DB7A17"/>
    <w:rsid w:val="471E03DE"/>
    <w:rsid w:val="47863A0C"/>
    <w:rsid w:val="48333FF5"/>
    <w:rsid w:val="484E0717"/>
    <w:rsid w:val="485E6BC5"/>
    <w:rsid w:val="489708B4"/>
    <w:rsid w:val="48E62910"/>
    <w:rsid w:val="49BB5BEF"/>
    <w:rsid w:val="49C209BD"/>
    <w:rsid w:val="49FA5FEB"/>
    <w:rsid w:val="4A3E0C6F"/>
    <w:rsid w:val="4A510301"/>
    <w:rsid w:val="4A99106D"/>
    <w:rsid w:val="4AA36C7C"/>
    <w:rsid w:val="4ABD152C"/>
    <w:rsid w:val="4B5C0884"/>
    <w:rsid w:val="4B5C51AF"/>
    <w:rsid w:val="4B773D97"/>
    <w:rsid w:val="4B7750CC"/>
    <w:rsid w:val="4B91324C"/>
    <w:rsid w:val="4B914BF5"/>
    <w:rsid w:val="4BA32DDE"/>
    <w:rsid w:val="4C235CCD"/>
    <w:rsid w:val="4C545A2D"/>
    <w:rsid w:val="4C7D3400"/>
    <w:rsid w:val="4CB230FF"/>
    <w:rsid w:val="4CC528E0"/>
    <w:rsid w:val="4CF475EA"/>
    <w:rsid w:val="4CF60CEC"/>
    <w:rsid w:val="4D413CB4"/>
    <w:rsid w:val="4D602609"/>
    <w:rsid w:val="4D6B792C"/>
    <w:rsid w:val="4E0458D0"/>
    <w:rsid w:val="4E3A4FCB"/>
    <w:rsid w:val="4E7A114D"/>
    <w:rsid w:val="4EAA6347"/>
    <w:rsid w:val="4EE564B0"/>
    <w:rsid w:val="4F3512E0"/>
    <w:rsid w:val="4F553150"/>
    <w:rsid w:val="4F8D414D"/>
    <w:rsid w:val="4FFC159D"/>
    <w:rsid w:val="50137E07"/>
    <w:rsid w:val="504A7CCC"/>
    <w:rsid w:val="504C354E"/>
    <w:rsid w:val="508378A2"/>
    <w:rsid w:val="51332793"/>
    <w:rsid w:val="51B03B5F"/>
    <w:rsid w:val="51CD3614"/>
    <w:rsid w:val="520914C1"/>
    <w:rsid w:val="522400A9"/>
    <w:rsid w:val="5268443A"/>
    <w:rsid w:val="52A42F98"/>
    <w:rsid w:val="52B7716F"/>
    <w:rsid w:val="52D675F5"/>
    <w:rsid w:val="531539E5"/>
    <w:rsid w:val="532A5B93"/>
    <w:rsid w:val="538B5440"/>
    <w:rsid w:val="53D55AFF"/>
    <w:rsid w:val="53E144A4"/>
    <w:rsid w:val="53FC6986"/>
    <w:rsid w:val="54071A30"/>
    <w:rsid w:val="54501629"/>
    <w:rsid w:val="546E1AAF"/>
    <w:rsid w:val="54A60BE9"/>
    <w:rsid w:val="54CD2C7A"/>
    <w:rsid w:val="551408A9"/>
    <w:rsid w:val="554D7917"/>
    <w:rsid w:val="559A7000"/>
    <w:rsid w:val="55A70A7F"/>
    <w:rsid w:val="55C73B6D"/>
    <w:rsid w:val="5628185A"/>
    <w:rsid w:val="56770AFB"/>
    <w:rsid w:val="569E1568"/>
    <w:rsid w:val="56D06A51"/>
    <w:rsid w:val="56F269C8"/>
    <w:rsid w:val="573C6F55"/>
    <w:rsid w:val="579B705F"/>
    <w:rsid w:val="57D63A28"/>
    <w:rsid w:val="57E8410D"/>
    <w:rsid w:val="57F95C42"/>
    <w:rsid w:val="581B6CF3"/>
    <w:rsid w:val="584D6EAE"/>
    <w:rsid w:val="58527420"/>
    <w:rsid w:val="585F0652"/>
    <w:rsid w:val="591A5625"/>
    <w:rsid w:val="5980136F"/>
    <w:rsid w:val="598853C1"/>
    <w:rsid w:val="59DD58A1"/>
    <w:rsid w:val="5A1A070F"/>
    <w:rsid w:val="5A6000EC"/>
    <w:rsid w:val="5AA955EF"/>
    <w:rsid w:val="5AC60F10"/>
    <w:rsid w:val="5AE900E2"/>
    <w:rsid w:val="5B765E19"/>
    <w:rsid w:val="5C1178F0"/>
    <w:rsid w:val="5C4943A0"/>
    <w:rsid w:val="5C7F1F93"/>
    <w:rsid w:val="5D6879E4"/>
    <w:rsid w:val="5D89084C"/>
    <w:rsid w:val="5D9A56C3"/>
    <w:rsid w:val="5E2C3853"/>
    <w:rsid w:val="5E3F7B04"/>
    <w:rsid w:val="5E72647F"/>
    <w:rsid w:val="5E834DD9"/>
    <w:rsid w:val="5EAE58CA"/>
    <w:rsid w:val="5ECE1AC8"/>
    <w:rsid w:val="5F236DE7"/>
    <w:rsid w:val="5FC47C57"/>
    <w:rsid w:val="5FEE7E35"/>
    <w:rsid w:val="608E3660"/>
    <w:rsid w:val="60CC028A"/>
    <w:rsid w:val="61191AA8"/>
    <w:rsid w:val="61446072"/>
    <w:rsid w:val="614C50B2"/>
    <w:rsid w:val="617B7B59"/>
    <w:rsid w:val="618B1EF3"/>
    <w:rsid w:val="61BE4076"/>
    <w:rsid w:val="61C75E9E"/>
    <w:rsid w:val="620B4DE2"/>
    <w:rsid w:val="621505DC"/>
    <w:rsid w:val="624D71A8"/>
    <w:rsid w:val="625C563D"/>
    <w:rsid w:val="625D22A8"/>
    <w:rsid w:val="62914838"/>
    <w:rsid w:val="62F15D85"/>
    <w:rsid w:val="62F615EE"/>
    <w:rsid w:val="63025693"/>
    <w:rsid w:val="635307EE"/>
    <w:rsid w:val="635A7DCF"/>
    <w:rsid w:val="636724EC"/>
    <w:rsid w:val="639A01CB"/>
    <w:rsid w:val="640D3093"/>
    <w:rsid w:val="64187FBF"/>
    <w:rsid w:val="646060BC"/>
    <w:rsid w:val="648D7D30"/>
    <w:rsid w:val="64F419CC"/>
    <w:rsid w:val="654C3747"/>
    <w:rsid w:val="657340D8"/>
    <w:rsid w:val="657B5DDA"/>
    <w:rsid w:val="65AD2209"/>
    <w:rsid w:val="65C0401D"/>
    <w:rsid w:val="65CB5C95"/>
    <w:rsid w:val="66185B70"/>
    <w:rsid w:val="662648F8"/>
    <w:rsid w:val="665F1537"/>
    <w:rsid w:val="67387A63"/>
    <w:rsid w:val="67423054"/>
    <w:rsid w:val="67535201"/>
    <w:rsid w:val="67D85B6C"/>
    <w:rsid w:val="680A1B61"/>
    <w:rsid w:val="68277EB4"/>
    <w:rsid w:val="68ED6A71"/>
    <w:rsid w:val="690C3919"/>
    <w:rsid w:val="692269A1"/>
    <w:rsid w:val="69317B0A"/>
    <w:rsid w:val="693675AE"/>
    <w:rsid w:val="69401815"/>
    <w:rsid w:val="69A27F1E"/>
    <w:rsid w:val="69F67FAD"/>
    <w:rsid w:val="6A984540"/>
    <w:rsid w:val="6B7B2FD8"/>
    <w:rsid w:val="6BF94844"/>
    <w:rsid w:val="6BFA67BA"/>
    <w:rsid w:val="6C1A00FB"/>
    <w:rsid w:val="6C67192F"/>
    <w:rsid w:val="6CC25C5E"/>
    <w:rsid w:val="6CE60189"/>
    <w:rsid w:val="6D7777CF"/>
    <w:rsid w:val="6E04301E"/>
    <w:rsid w:val="6E625D89"/>
    <w:rsid w:val="6E7F693B"/>
    <w:rsid w:val="6EA14A8D"/>
    <w:rsid w:val="6ED924EF"/>
    <w:rsid w:val="6F135C55"/>
    <w:rsid w:val="6F215C44"/>
    <w:rsid w:val="6F5A2F04"/>
    <w:rsid w:val="6FDA0E9E"/>
    <w:rsid w:val="6FF745F2"/>
    <w:rsid w:val="70372C25"/>
    <w:rsid w:val="70C40F7D"/>
    <w:rsid w:val="71D074AE"/>
    <w:rsid w:val="7295497F"/>
    <w:rsid w:val="72BD6ACB"/>
    <w:rsid w:val="732820F7"/>
    <w:rsid w:val="73397A01"/>
    <w:rsid w:val="734D446A"/>
    <w:rsid w:val="737F118B"/>
    <w:rsid w:val="73F0360B"/>
    <w:rsid w:val="740972B4"/>
    <w:rsid w:val="74387CB8"/>
    <w:rsid w:val="74501DEE"/>
    <w:rsid w:val="7467234B"/>
    <w:rsid w:val="746B0D64"/>
    <w:rsid w:val="74C80B12"/>
    <w:rsid w:val="759B0467"/>
    <w:rsid w:val="76D0242A"/>
    <w:rsid w:val="76F93003"/>
    <w:rsid w:val="774A1FD3"/>
    <w:rsid w:val="7771703D"/>
    <w:rsid w:val="777728A5"/>
    <w:rsid w:val="77905715"/>
    <w:rsid w:val="77FE4FE3"/>
    <w:rsid w:val="780A1873"/>
    <w:rsid w:val="78244A5D"/>
    <w:rsid w:val="788A485A"/>
    <w:rsid w:val="78A771BA"/>
    <w:rsid w:val="78C830A0"/>
    <w:rsid w:val="78D36201"/>
    <w:rsid w:val="78F921D5"/>
    <w:rsid w:val="792F1A3C"/>
    <w:rsid w:val="79490272"/>
    <w:rsid w:val="797D10DD"/>
    <w:rsid w:val="79951709"/>
    <w:rsid w:val="79B5177D"/>
    <w:rsid w:val="79CD520C"/>
    <w:rsid w:val="7A463EB9"/>
    <w:rsid w:val="7A4F5C73"/>
    <w:rsid w:val="7A8377B3"/>
    <w:rsid w:val="7ACA7190"/>
    <w:rsid w:val="7AE709F8"/>
    <w:rsid w:val="7AF20495"/>
    <w:rsid w:val="7B83730E"/>
    <w:rsid w:val="7C8F68E3"/>
    <w:rsid w:val="7CB669DC"/>
    <w:rsid w:val="7CD608CD"/>
    <w:rsid w:val="7CE81B50"/>
    <w:rsid w:val="7D4C0330"/>
    <w:rsid w:val="7D5B4A17"/>
    <w:rsid w:val="7D6E64F9"/>
    <w:rsid w:val="7D807FDA"/>
    <w:rsid w:val="7D8C639D"/>
    <w:rsid w:val="7D9D4043"/>
    <w:rsid w:val="7DC600E3"/>
    <w:rsid w:val="7DDA3B8E"/>
    <w:rsid w:val="7E2A10C7"/>
    <w:rsid w:val="7E9D0BC6"/>
    <w:rsid w:val="7F647934"/>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99"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2">
    <w:name w:val="Default Paragraph Font"/>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9"/>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next w:val="18"/>
    <w:qFormat/>
    <w:uiPriority w:val="0"/>
    <w:pPr>
      <w:spacing w:after="120"/>
      <w:ind w:left="420" w:leftChars="200"/>
    </w:pPr>
  </w:style>
  <w:style w:type="paragraph" w:styleId="18">
    <w:name w:val="envelope return"/>
    <w:basedOn w:val="1"/>
    <w:qFormat/>
    <w:uiPriority w:val="99"/>
    <w:pPr>
      <w:snapToGrid w:val="0"/>
    </w:pPr>
    <w:rPr>
      <w:rFonts w:ascii="Arial" w:hAnsi="Arial"/>
    </w:rPr>
  </w:style>
  <w:style w:type="paragraph" w:styleId="19">
    <w:name w:val="toc 5"/>
    <w:basedOn w:val="1"/>
    <w:next w:val="1"/>
    <w:qFormat/>
    <w:uiPriority w:val="0"/>
    <w:pPr>
      <w:ind w:left="1680" w:leftChars="800"/>
    </w:pPr>
    <w:rPr>
      <w:rFonts w:ascii="Cambria" w:hAnsi="Cambria"/>
      <w:szCs w:val="21"/>
    </w:rPr>
  </w:style>
  <w:style w:type="paragraph" w:styleId="20">
    <w:name w:val="toc 3"/>
    <w:basedOn w:val="1"/>
    <w:next w:val="1"/>
    <w:qFormat/>
    <w:uiPriority w:val="0"/>
    <w:pPr>
      <w:ind w:left="840" w:leftChars="400"/>
    </w:pPr>
    <w:rPr>
      <w:rFonts w:ascii="Cambria" w:hAnsi="Cambria"/>
      <w:szCs w:val="21"/>
    </w:rPr>
  </w:style>
  <w:style w:type="paragraph" w:styleId="21">
    <w:name w:val="Plain Text"/>
    <w:basedOn w:val="1"/>
    <w:link w:val="50"/>
    <w:qFormat/>
    <w:uiPriority w:val="99"/>
    <w:rPr>
      <w:rFonts w:ascii="宋体" w:hAnsi="Courier New"/>
      <w:szCs w:val="20"/>
    </w:rPr>
  </w:style>
  <w:style w:type="paragraph" w:styleId="22">
    <w:name w:val="toc 8"/>
    <w:basedOn w:val="1"/>
    <w:next w:val="1"/>
    <w:qFormat/>
    <w:uiPriority w:val="0"/>
    <w:pPr>
      <w:ind w:left="2940" w:leftChars="1400"/>
    </w:pPr>
    <w:rPr>
      <w:rFonts w:ascii="Cambria" w:hAnsi="Cambria"/>
      <w:szCs w:val="21"/>
    </w:rPr>
  </w:style>
  <w:style w:type="paragraph" w:styleId="23">
    <w:name w:val="Date"/>
    <w:basedOn w:val="1"/>
    <w:next w:val="1"/>
    <w:link w:val="51"/>
    <w:qFormat/>
    <w:uiPriority w:val="0"/>
    <w:rPr>
      <w:szCs w:val="20"/>
    </w:rPr>
  </w:style>
  <w:style w:type="paragraph" w:styleId="24">
    <w:name w:val="Body Text Indent 2"/>
    <w:basedOn w:val="1"/>
    <w:qFormat/>
    <w:uiPriority w:val="0"/>
    <w:pPr>
      <w:ind w:firstLine="480" w:firstLineChars="200"/>
    </w:pPr>
    <w:rPr>
      <w:rFonts w:ascii="仿宋_GB2312" w:eastAsia="仿宋_GB2312"/>
      <w:sz w:val="24"/>
    </w:rPr>
  </w:style>
  <w:style w:type="paragraph" w:styleId="25">
    <w:name w:val="Balloon Text"/>
    <w:basedOn w:val="1"/>
    <w:semiHidden/>
    <w:qFormat/>
    <w:uiPriority w:val="0"/>
    <w:rPr>
      <w:sz w:val="18"/>
      <w:szCs w:val="18"/>
    </w:rPr>
  </w:style>
  <w:style w:type="paragraph" w:styleId="26">
    <w:name w:val="footer"/>
    <w:basedOn w:val="1"/>
    <w:link w:val="52"/>
    <w:qFormat/>
    <w:uiPriority w:val="99"/>
    <w:pPr>
      <w:tabs>
        <w:tab w:val="center" w:pos="4153"/>
        <w:tab w:val="right" w:pos="8306"/>
      </w:tabs>
      <w:snapToGrid w:val="0"/>
      <w:jc w:val="left"/>
    </w:pPr>
    <w:rPr>
      <w:sz w:val="18"/>
      <w:szCs w:val="18"/>
    </w:rPr>
  </w:style>
  <w:style w:type="paragraph" w:styleId="27">
    <w:name w:val="header"/>
    <w:basedOn w:val="1"/>
    <w:link w:val="53"/>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9">
    <w:name w:val="toc 4"/>
    <w:basedOn w:val="1"/>
    <w:next w:val="1"/>
    <w:qFormat/>
    <w:uiPriority w:val="0"/>
    <w:pPr>
      <w:ind w:left="1260" w:leftChars="600"/>
    </w:pPr>
    <w:rPr>
      <w:rFonts w:ascii="Cambria" w:hAnsi="Cambria"/>
      <w:szCs w:val="21"/>
    </w:rPr>
  </w:style>
  <w:style w:type="paragraph" w:styleId="30">
    <w:name w:val="toc 6"/>
    <w:basedOn w:val="1"/>
    <w:next w:val="1"/>
    <w:qFormat/>
    <w:uiPriority w:val="0"/>
    <w:pPr>
      <w:ind w:left="2100" w:leftChars="1000"/>
    </w:pPr>
    <w:rPr>
      <w:rFonts w:ascii="Cambria" w:hAnsi="Cambria"/>
      <w:szCs w:val="21"/>
    </w:rPr>
  </w:style>
  <w:style w:type="paragraph" w:styleId="31">
    <w:name w:val="Body Text Indent 3"/>
    <w:basedOn w:val="1"/>
    <w:link w:val="54"/>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2">
    <w:name w:val="toc 2"/>
    <w:basedOn w:val="1"/>
    <w:next w:val="1"/>
    <w:qFormat/>
    <w:uiPriority w:val="0"/>
    <w:pPr>
      <w:spacing w:before="120" w:line="360" w:lineRule="auto"/>
    </w:pPr>
    <w:rPr>
      <w:rFonts w:ascii="仿宋_GB2312" w:hAnsi="宋体" w:eastAsia="仿宋_GB2312" w:cs="仿宋_GB2312"/>
      <w:b/>
      <w:bCs/>
      <w:sz w:val="24"/>
    </w:rPr>
  </w:style>
  <w:style w:type="paragraph" w:styleId="33">
    <w:name w:val="toc 9"/>
    <w:basedOn w:val="1"/>
    <w:next w:val="1"/>
    <w:qFormat/>
    <w:uiPriority w:val="0"/>
    <w:pPr>
      <w:ind w:left="3360" w:leftChars="1600"/>
    </w:pPr>
    <w:rPr>
      <w:rFonts w:ascii="Cambria" w:hAnsi="Cambria"/>
      <w:szCs w:val="21"/>
    </w:rPr>
  </w:style>
  <w:style w:type="paragraph" w:styleId="34">
    <w:name w:val="Body Text 2"/>
    <w:basedOn w:val="1"/>
    <w:qFormat/>
    <w:uiPriority w:val="0"/>
    <w:pPr>
      <w:widowControl/>
    </w:pPr>
    <w:rPr>
      <w:kern w:val="0"/>
      <w:sz w:val="20"/>
      <w:szCs w:val="20"/>
      <w:lang w:eastAsia="en-US"/>
    </w:rPr>
  </w:style>
  <w:style w:type="paragraph" w:styleId="3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6">
    <w:name w:val="index 1"/>
    <w:basedOn w:val="1"/>
    <w:next w:val="1"/>
    <w:qFormat/>
    <w:uiPriority w:val="0"/>
    <w:rPr>
      <w:rFonts w:ascii="Cambria" w:hAnsi="Cambria"/>
      <w:szCs w:val="21"/>
    </w:rPr>
  </w:style>
  <w:style w:type="paragraph" w:styleId="37">
    <w:name w:val="Title"/>
    <w:basedOn w:val="1"/>
    <w:qFormat/>
    <w:uiPriority w:val="0"/>
    <w:pPr>
      <w:jc w:val="center"/>
    </w:pPr>
    <w:rPr>
      <w:sz w:val="30"/>
    </w:rPr>
  </w:style>
  <w:style w:type="paragraph" w:styleId="38">
    <w:name w:val="annotation subject"/>
    <w:basedOn w:val="14"/>
    <w:next w:val="14"/>
    <w:link w:val="55"/>
    <w:qFormat/>
    <w:uiPriority w:val="0"/>
    <w:rPr>
      <w:rFonts w:ascii="Times New Roman" w:hAnsi="Times New Roman"/>
      <w:b/>
      <w:bCs/>
      <w:szCs w:val="24"/>
    </w:rPr>
  </w:style>
  <w:style w:type="paragraph" w:styleId="39">
    <w:name w:val="Body Text First Indent 2"/>
    <w:basedOn w:val="17"/>
    <w:qFormat/>
    <w:uiPriority w:val="0"/>
    <w:pPr>
      <w:spacing w:before="100" w:beforeAutospacing="1" w:after="100" w:afterAutospacing="1"/>
      <w:ind w:left="0" w:leftChars="0" w:firstLine="420" w:firstLineChars="200"/>
    </w:pPr>
    <w:rPr>
      <w:rFonts w:ascii="楷体_GB2312" w:hAnsi="宋体" w:eastAsia="楷体_GB2312"/>
      <w:sz w:val="28"/>
      <w:szCs w:val="28"/>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Emphasis"/>
    <w:qFormat/>
    <w:uiPriority w:val="20"/>
    <w:rPr>
      <w:i/>
      <w:iCs/>
    </w:rPr>
  </w:style>
  <w:style w:type="character" w:styleId="47">
    <w:name w:val="Hyperlink"/>
    <w:qFormat/>
    <w:uiPriority w:val="99"/>
    <w:rPr>
      <w:color w:val="0000FF"/>
      <w:u w:val="single"/>
    </w:rPr>
  </w:style>
  <w:style w:type="character" w:styleId="48">
    <w:name w:val="annotation reference"/>
    <w:qFormat/>
    <w:uiPriority w:val="99"/>
    <w:rPr>
      <w:sz w:val="21"/>
      <w:szCs w:val="21"/>
    </w:rPr>
  </w:style>
  <w:style w:type="character" w:customStyle="1" w:styleId="49">
    <w:name w:val="批注文字 Char"/>
    <w:link w:val="14"/>
    <w:qFormat/>
    <w:uiPriority w:val="99"/>
    <w:rPr>
      <w:rFonts w:ascii="Cambria" w:hAnsi="Cambria"/>
      <w:kern w:val="2"/>
      <w:sz w:val="21"/>
      <w:szCs w:val="21"/>
    </w:rPr>
  </w:style>
  <w:style w:type="character" w:customStyle="1" w:styleId="50">
    <w:name w:val="纯文本 Char"/>
    <w:link w:val="21"/>
    <w:qFormat/>
    <w:uiPriority w:val="99"/>
    <w:rPr>
      <w:rFonts w:ascii="宋体" w:hAnsi="Courier New"/>
      <w:kern w:val="2"/>
      <w:sz w:val="21"/>
    </w:rPr>
  </w:style>
  <w:style w:type="character" w:customStyle="1" w:styleId="51">
    <w:name w:val="日期 Char"/>
    <w:link w:val="23"/>
    <w:qFormat/>
    <w:uiPriority w:val="0"/>
    <w:rPr>
      <w:rFonts w:eastAsia="宋体"/>
      <w:kern w:val="2"/>
      <w:sz w:val="21"/>
      <w:lang w:val="en-US" w:eastAsia="zh-CN" w:bidi="ar-SA"/>
    </w:rPr>
  </w:style>
  <w:style w:type="character" w:customStyle="1" w:styleId="52">
    <w:name w:val="页脚 Char"/>
    <w:link w:val="26"/>
    <w:qFormat/>
    <w:uiPriority w:val="99"/>
    <w:rPr>
      <w:kern w:val="2"/>
      <w:sz w:val="18"/>
      <w:szCs w:val="18"/>
    </w:rPr>
  </w:style>
  <w:style w:type="character" w:customStyle="1" w:styleId="53">
    <w:name w:val="页眉 Char"/>
    <w:link w:val="27"/>
    <w:qFormat/>
    <w:uiPriority w:val="0"/>
    <w:rPr>
      <w:kern w:val="2"/>
      <w:sz w:val="18"/>
      <w:szCs w:val="18"/>
    </w:rPr>
  </w:style>
  <w:style w:type="character" w:customStyle="1" w:styleId="54">
    <w:name w:val="正文文本缩进 3 Char"/>
    <w:link w:val="31"/>
    <w:qFormat/>
    <w:uiPriority w:val="0"/>
    <w:rPr>
      <w:rFonts w:ascii="宋体" w:hAnsi="Cambria" w:cs="宋体"/>
      <w:sz w:val="24"/>
      <w:szCs w:val="24"/>
    </w:rPr>
  </w:style>
  <w:style w:type="character" w:customStyle="1" w:styleId="55">
    <w:name w:val="批注主题 Char"/>
    <w:link w:val="38"/>
    <w:qFormat/>
    <w:uiPriority w:val="0"/>
    <w:rPr>
      <w:rFonts w:ascii="Cambria" w:hAnsi="Cambria"/>
      <w:b/>
      <w:bCs/>
      <w:kern w:val="2"/>
      <w:sz w:val="21"/>
      <w:szCs w:val="24"/>
    </w:rPr>
  </w:style>
  <w:style w:type="character" w:customStyle="1" w:styleId="56">
    <w:name w:val="Char"/>
    <w:qFormat/>
    <w:uiPriority w:val="0"/>
    <w:rPr>
      <w:rFonts w:ascii="宋体" w:hAnsi="Courier New" w:eastAsia="宋体"/>
      <w:kern w:val="2"/>
      <w:sz w:val="21"/>
      <w:lang w:val="en-US" w:eastAsia="zh-CN" w:bidi="ar-SA"/>
    </w:rPr>
  </w:style>
  <w:style w:type="paragraph" w:customStyle="1" w:styleId="57">
    <w:name w:val="Char1"/>
    <w:basedOn w:val="1"/>
    <w:qFormat/>
    <w:uiPriority w:val="0"/>
    <w:rPr>
      <w:rFonts w:ascii="Tahoma" w:hAnsi="Tahoma"/>
      <w:sz w:val="24"/>
      <w:szCs w:val="20"/>
    </w:rPr>
  </w:style>
  <w:style w:type="paragraph" w:customStyle="1" w:styleId="58">
    <w:name w:val="彩色列表 - 强调文字颜色 11"/>
    <w:basedOn w:val="1"/>
    <w:qFormat/>
    <w:uiPriority w:val="34"/>
    <w:pPr>
      <w:ind w:firstLine="420" w:firstLineChars="200"/>
    </w:pPr>
    <w:rPr>
      <w:rFonts w:ascii="Calibri" w:hAnsi="Calibri"/>
      <w:szCs w:val="22"/>
    </w:rPr>
  </w:style>
  <w:style w:type="paragraph" w:customStyle="1" w:styleId="59">
    <w:name w:val="正文文本 21"/>
    <w:basedOn w:val="1"/>
    <w:qFormat/>
    <w:uiPriority w:val="0"/>
    <w:pPr>
      <w:adjustRightInd w:val="0"/>
      <w:spacing w:before="120" w:line="360" w:lineRule="auto"/>
      <w:ind w:firstLine="480"/>
      <w:textAlignment w:val="baseline"/>
    </w:pPr>
    <w:rPr>
      <w:sz w:val="24"/>
      <w:szCs w:val="20"/>
    </w:rPr>
  </w:style>
  <w:style w:type="paragraph" w:customStyle="1" w:styleId="60">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61">
    <w:name w:val="正文文本缩进 21"/>
    <w:basedOn w:val="1"/>
    <w:qFormat/>
    <w:uiPriority w:val="0"/>
    <w:pPr>
      <w:adjustRightInd w:val="0"/>
      <w:spacing w:before="120"/>
      <w:ind w:firstLine="420"/>
      <w:textAlignment w:val="baseline"/>
    </w:pPr>
    <w:rPr>
      <w:sz w:val="24"/>
      <w:szCs w:val="20"/>
    </w:rPr>
  </w:style>
  <w:style w:type="character" w:customStyle="1" w:styleId="62">
    <w:name w:val="Char2"/>
    <w:qFormat/>
    <w:uiPriority w:val="0"/>
    <w:rPr>
      <w:rFonts w:ascii="宋体" w:hAnsi="Courier New" w:eastAsia="宋体" w:cs="宋体"/>
      <w:kern w:val="2"/>
      <w:sz w:val="21"/>
      <w:szCs w:val="21"/>
      <w:lang w:val="en-US" w:eastAsia="zh-CN"/>
    </w:rPr>
  </w:style>
  <w:style w:type="paragraph" w:customStyle="1" w:styleId="63">
    <w:name w:val="标题1"/>
    <w:basedOn w:val="37"/>
    <w:qFormat/>
    <w:uiPriority w:val="0"/>
    <w:pPr>
      <w:spacing w:before="240" w:after="240"/>
      <w:outlineLvl w:val="0"/>
    </w:pPr>
    <w:rPr>
      <w:rFonts w:ascii="Arial" w:hAnsi="Arial" w:cs="Arial"/>
      <w:b/>
      <w:bCs/>
      <w:spacing w:val="2"/>
      <w:sz w:val="44"/>
      <w:szCs w:val="44"/>
    </w:rPr>
  </w:style>
  <w:style w:type="paragraph" w:customStyle="1" w:styleId="64">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5">
    <w:name w:val="样式"/>
    <w:basedOn w:val="1"/>
    <w:next w:val="21"/>
    <w:qFormat/>
    <w:uiPriority w:val="0"/>
    <w:rPr>
      <w:rFonts w:ascii="宋体" w:hAnsi="Courier New" w:cs="宋体"/>
      <w:szCs w:val="21"/>
    </w:rPr>
  </w:style>
  <w:style w:type="paragraph" w:customStyle="1" w:styleId="66">
    <w:name w:val="Char11"/>
    <w:basedOn w:val="1"/>
    <w:qFormat/>
    <w:uiPriority w:val="0"/>
    <w:rPr>
      <w:rFonts w:ascii="Tahoma" w:hAnsi="Tahoma"/>
      <w:sz w:val="24"/>
      <w:szCs w:val="20"/>
    </w:rPr>
  </w:style>
  <w:style w:type="paragraph" w:customStyle="1" w:styleId="67">
    <w:name w:val="Char Char Char Char"/>
    <w:basedOn w:val="1"/>
    <w:qFormat/>
    <w:uiPriority w:val="0"/>
    <w:pPr>
      <w:spacing w:after="160" w:line="240" w:lineRule="exact"/>
    </w:pPr>
    <w:rPr>
      <w:rFonts w:ascii="Cambria" w:hAnsi="Cambria"/>
      <w:szCs w:val="21"/>
    </w:rPr>
  </w:style>
  <w:style w:type="paragraph" w:customStyle="1" w:styleId="68">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9">
    <w:name w:val="List Paragraph"/>
    <w:basedOn w:val="1"/>
    <w:qFormat/>
    <w:uiPriority w:val="34"/>
    <w:pPr>
      <w:ind w:left="205" w:right="169" w:firstLine="655"/>
    </w:pPr>
    <w:rPr>
      <w:rFonts w:ascii="Cambria" w:hAnsi="Cambria"/>
      <w:szCs w:val="21"/>
    </w:rPr>
  </w:style>
  <w:style w:type="table" w:customStyle="1" w:styleId="70">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7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3">
    <w:name w:val="null3"/>
    <w:qFormat/>
    <w:uiPriority w:val="0"/>
    <w:rPr>
      <w:rFonts w:hint="eastAsia" w:ascii="Calibri" w:hAnsi="Calibri" w:eastAsia="宋体" w:cs="Times New Roman"/>
      <w:lang w:val="en-US" w:eastAsia="zh-Hans" w:bidi="ar-SA"/>
    </w:rPr>
  </w:style>
  <w:style w:type="paragraph" w:customStyle="1" w:styleId="74">
    <w:name w:val="_Style 71"/>
    <w:unhideWhenUsed/>
    <w:qFormat/>
    <w:uiPriority w:val="99"/>
    <w:rPr>
      <w:rFonts w:ascii="Times New Roman" w:hAnsi="Times New Roman" w:eastAsia="宋体" w:cs="Times New Roman"/>
      <w:kern w:val="2"/>
      <w:sz w:val="21"/>
      <w:szCs w:val="24"/>
      <w:lang w:val="en-US" w:eastAsia="zh-CN" w:bidi="ar-SA"/>
    </w:rPr>
  </w:style>
  <w:style w:type="paragraph" w:customStyle="1" w:styleId="75">
    <w:name w:val="CM11"/>
    <w:next w:val="76"/>
    <w:qFormat/>
    <w:uiPriority w:val="99"/>
    <w:pPr>
      <w:widowControl w:val="0"/>
      <w:autoSpaceDE w:val="0"/>
      <w:autoSpaceDN w:val="0"/>
      <w:adjustRightInd w:val="0"/>
      <w:spacing w:line="520" w:lineRule="atLeast"/>
    </w:pPr>
    <w:rPr>
      <w:rFonts w:ascii="仿宋" w:hAnsi="Calibri" w:eastAsia="仿宋" w:cs="Times New Roman"/>
      <w:sz w:val="24"/>
      <w:szCs w:val="24"/>
      <w:lang w:val="en-US" w:eastAsia="zh-CN" w:bidi="ar-SA"/>
    </w:rPr>
  </w:style>
  <w:style w:type="paragraph" w:customStyle="1" w:styleId="7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77">
    <w:name w:val="CM17"/>
    <w:next w:val="76"/>
    <w:qFormat/>
    <w:uiPriority w:val="99"/>
    <w:pPr>
      <w:widowControl w:val="0"/>
      <w:autoSpaceDE w:val="0"/>
      <w:autoSpaceDN w:val="0"/>
      <w:adjustRightInd w:val="0"/>
      <w:spacing w:after="160"/>
    </w:pPr>
    <w:rPr>
      <w:rFonts w:ascii="仿宋" w:hAnsi="Calibri" w:eastAsia="仿宋" w:cs="Times New Roman"/>
      <w:sz w:val="24"/>
      <w:szCs w:val="24"/>
      <w:lang w:val="en-US" w:eastAsia="zh-CN" w:bidi="ar-SA"/>
    </w:rPr>
  </w:style>
  <w:style w:type="paragraph" w:customStyle="1" w:styleId="78">
    <w:name w:val="CM13"/>
    <w:next w:val="76"/>
    <w:qFormat/>
    <w:uiPriority w:val="99"/>
    <w:pPr>
      <w:widowControl w:val="0"/>
      <w:autoSpaceDE w:val="0"/>
      <w:autoSpaceDN w:val="0"/>
      <w:adjustRightInd w:val="0"/>
      <w:spacing w:line="520" w:lineRule="atLeast"/>
    </w:pPr>
    <w:rPr>
      <w:rFonts w:ascii="仿宋" w:hAnsi="Calibri" w:eastAsia="仿宋" w:cs="Times New Roman"/>
      <w:sz w:val="24"/>
      <w:szCs w:val="24"/>
      <w:lang w:val="en-US" w:eastAsia="zh-CN" w:bidi="ar-SA"/>
    </w:rPr>
  </w:style>
  <w:style w:type="paragraph" w:customStyle="1" w:styleId="79">
    <w:name w:val="xl23"/>
    <w:qFormat/>
    <w:uiPriority w:val="0"/>
    <w:pPr>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character" w:customStyle="1" w:styleId="80">
    <w:name w:val="标题 1 Char"/>
    <w:link w:val="2"/>
    <w:qFormat/>
    <w:uiPriority w:val="0"/>
    <w:rPr>
      <w:rFonts w:ascii="宋体"/>
      <w:b/>
      <w:kern w:val="44"/>
      <w:sz w:val="32"/>
      <w:szCs w:val="20"/>
    </w:rPr>
  </w:style>
  <w:style w:type="paragraph" w:customStyle="1" w:styleId="81">
    <w:name w:val="样式1 Char Char Char Char Char Char Char"/>
    <w:basedOn w:val="1"/>
    <w:qFormat/>
    <w:uiPriority w:val="0"/>
    <w:pPr>
      <w:adjustRightInd w:val="0"/>
      <w:snapToGrid w:val="0"/>
      <w:ind w:left="220" w:leftChars="12" w:hanging="195"/>
      <w:jc w:val="left"/>
    </w:pPr>
    <w:rPr>
      <w:rFonts w:asciiTheme="minorHAnsi" w:hAnsiTheme="minorHAnsi" w:eastAsiaTheme="minorEastAsia" w:cstheme="minorBidi"/>
      <w:bCs/>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803DB-A0A9-4863-9512-415C51DAC73C}">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101</Pages>
  <Words>4401</Words>
  <Characters>5005</Characters>
  <Lines>399</Lines>
  <Paragraphs>112</Paragraphs>
  <TotalTime>110</TotalTime>
  <ScaleCrop>false</ScaleCrop>
  <LinksUpToDate>false</LinksUpToDate>
  <CharactersWithSpaces>5412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2026-06-03T10:11:00Z</dcterms:created>
  <dc:creator>caowuning</dc:creator>
  <cp:lastModifiedBy>Weiyu Duan</cp:lastModifiedBy>
  <cp:lastPrinted>2009-04-21T09:03:00Z</cp:lastPrinted>
  <dcterms:modified xsi:type="dcterms:W3CDTF">2026-06-04T04:48:47Z</dcterms:modified>
  <dc:title>北 京 市 政 府 采 购</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F0C2A50103964BEF9D35C34FA90FDE78_13</vt:lpwstr>
  </property>
  <property fmtid="{D5CDD505-2E9C-101B-9397-08002B2CF9AE}" pid="4" name="KSOTemplateDocerSaveRecord">
    <vt:lpwstr>eyJoZGlkIjoiMjgyZmJlNmZmZjVmOTk1ZDgwOWQ1ZWQ5ZmZmMWFiOTYiLCJ1c2VySWQiOiIyMTUzODc5NTAifQ==</vt:lpwstr>
  </property>
</Properties>
</file>