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BC12E6">
      <w:pPr>
        <w:spacing w:before="254" w:line="360" w:lineRule="auto"/>
        <w:ind w:left="20"/>
        <w:jc w:val="center"/>
        <w:rPr>
          <w:rFonts w:hint="eastAsia" w:ascii="仿宋" w:hAnsi="仿宋" w:eastAsia="仿宋" w:cs="仿宋"/>
          <w:b/>
          <w:bCs/>
          <w:color w:val="auto"/>
          <w:spacing w:val="-5"/>
          <w:sz w:val="32"/>
          <w:szCs w:val="32"/>
          <w:highlight w:val="none"/>
          <w:lang w:eastAsia="zh-CN"/>
        </w:rPr>
      </w:pPr>
      <w:bookmarkStart w:id="0" w:name="_GoBack"/>
      <w:r>
        <w:rPr>
          <w:rFonts w:hint="eastAsia" w:ascii="仿宋" w:hAnsi="仿宋" w:eastAsia="仿宋" w:cs="仿宋"/>
          <w:b/>
          <w:bCs/>
          <w:color w:val="auto"/>
          <w:spacing w:val="-5"/>
          <w:sz w:val="32"/>
          <w:szCs w:val="32"/>
          <w:highlight w:val="none"/>
          <w:lang w:eastAsia="zh-CN"/>
        </w:rPr>
        <w:t>中国食品药品检定研究院生物安全二级实验室和洁净实验室维保服务采购项目公开招标公告</w:t>
      </w:r>
      <w:bookmarkEnd w:id="0"/>
    </w:p>
    <w:p w14:paraId="492DAD8A">
      <w:pPr>
        <w:spacing w:before="254" w:line="360" w:lineRule="auto"/>
        <w:ind w:left="20"/>
        <w:rPr>
          <w:rFonts w:hint="eastAsia" w:ascii="仿宋" w:hAnsi="仿宋" w:eastAsia="仿宋" w:cs="仿宋"/>
          <w:color w:val="auto"/>
          <w:sz w:val="24"/>
          <w:szCs w:val="24"/>
          <w:highlight w:val="none"/>
          <w:lang w:eastAsia="zh-CN"/>
        </w:rPr>
      </w:pPr>
      <w:r>
        <w:rPr>
          <w:rFonts w:hint="eastAsia" w:ascii="仿宋" w:hAnsi="仿宋" w:eastAsia="仿宋" w:cs="仿宋"/>
          <w:b/>
          <w:bCs/>
          <w:color w:val="auto"/>
          <w:spacing w:val="-5"/>
          <w:sz w:val="24"/>
          <w:szCs w:val="24"/>
          <w:highlight w:val="none"/>
          <w:lang w:eastAsia="zh-CN"/>
        </w:rPr>
        <w:t>项目概况</w:t>
      </w:r>
    </w:p>
    <w:p w14:paraId="78675282">
      <w:pPr>
        <w:wordWrap w:val="0"/>
        <w:spacing w:before="235" w:line="360" w:lineRule="auto"/>
        <w:ind w:left="17" w:right="11" w:firstLine="471"/>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中国食品药品检定研究院生物安全二级实验室和洁净实验室维保服务采购项目招标项目的潜在投标人应在北京市丰台区西营街1号院通用时代中心C座16层（中国通用招标网http://www.china-tender.com.cn线上）获取招标文件，并于2026年0</w:t>
      </w:r>
      <w:r>
        <w:rPr>
          <w:rFonts w:hint="eastAsia" w:ascii="仿宋" w:hAnsi="仿宋" w:eastAsia="仿宋" w:cs="仿宋"/>
          <w:color w:val="auto"/>
          <w:spacing w:val="-6"/>
          <w:sz w:val="24"/>
          <w:szCs w:val="24"/>
          <w:highlight w:val="none"/>
          <w:lang w:val="en-US" w:eastAsia="zh-CN"/>
        </w:rPr>
        <w:t>8</w:t>
      </w:r>
      <w:r>
        <w:rPr>
          <w:rFonts w:hint="eastAsia" w:ascii="仿宋" w:hAnsi="仿宋" w:eastAsia="仿宋" w:cs="仿宋"/>
          <w:color w:val="auto"/>
          <w:spacing w:val="-6"/>
          <w:sz w:val="24"/>
          <w:szCs w:val="24"/>
          <w:highlight w:val="none"/>
          <w:lang w:eastAsia="zh-CN"/>
        </w:rPr>
        <w:t>月</w:t>
      </w:r>
      <w:r>
        <w:rPr>
          <w:rFonts w:hint="eastAsia" w:ascii="仿宋" w:hAnsi="仿宋" w:eastAsia="仿宋" w:cs="仿宋"/>
          <w:color w:val="auto"/>
          <w:spacing w:val="-6"/>
          <w:sz w:val="24"/>
          <w:szCs w:val="24"/>
          <w:highlight w:val="none"/>
          <w:lang w:val="en-US" w:eastAsia="zh-CN"/>
        </w:rPr>
        <w:t>06</w:t>
      </w:r>
      <w:r>
        <w:rPr>
          <w:rFonts w:hint="eastAsia" w:ascii="仿宋" w:hAnsi="仿宋" w:eastAsia="仿宋" w:cs="仿宋"/>
          <w:color w:val="auto"/>
          <w:spacing w:val="-6"/>
          <w:sz w:val="24"/>
          <w:szCs w:val="24"/>
          <w:highlight w:val="none"/>
          <w:lang w:eastAsia="zh-CN"/>
        </w:rPr>
        <w:t>日09:30（北京时间）前递交投标文件。</w:t>
      </w:r>
    </w:p>
    <w:p w14:paraId="2ED53B17">
      <w:pPr>
        <w:spacing w:line="360" w:lineRule="auto"/>
        <w:ind w:left="22"/>
        <w:rPr>
          <w:rFonts w:hint="eastAsia" w:ascii="仿宋" w:hAnsi="仿宋" w:eastAsia="仿宋" w:cs="仿宋"/>
          <w:color w:val="auto"/>
          <w:sz w:val="28"/>
          <w:szCs w:val="28"/>
          <w:highlight w:val="none"/>
          <w:lang w:eastAsia="zh-CN"/>
        </w:rPr>
      </w:pPr>
      <w:r>
        <w:rPr>
          <w:rFonts w:hint="eastAsia" w:ascii="仿宋" w:hAnsi="仿宋" w:eastAsia="仿宋" w:cs="仿宋"/>
          <w:b/>
          <w:bCs/>
          <w:color w:val="auto"/>
          <w:spacing w:val="-11"/>
          <w:sz w:val="28"/>
          <w:szCs w:val="28"/>
          <w:highlight w:val="none"/>
          <w:lang w:eastAsia="zh-CN"/>
        </w:rPr>
        <w:t>一、项目基本情况：</w:t>
      </w:r>
    </w:p>
    <w:p w14:paraId="4548B08E">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项目编号：2948-2643CGCIH0620</w:t>
      </w:r>
    </w:p>
    <w:p w14:paraId="10AA1134">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项目名称：中国食品药品检定研究院生物安全二级实验室和洁净实验室维保服务采购项目</w:t>
      </w:r>
    </w:p>
    <w:p w14:paraId="6762B4A8">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预算金额：780万元（人民币）</w:t>
      </w:r>
    </w:p>
    <w:p w14:paraId="50B976C8">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最高限价：780万元（人民币）</w:t>
      </w:r>
    </w:p>
    <w:p w14:paraId="760ECA1E">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采购需求：</w:t>
      </w:r>
    </w:p>
    <w:p w14:paraId="306CDD95">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（1）采购需求一览表：</w:t>
      </w:r>
    </w:p>
    <w:tbl>
      <w:tblPr>
        <w:tblStyle w:val="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4"/>
        <w:gridCol w:w="1048"/>
        <w:gridCol w:w="922"/>
        <w:gridCol w:w="525"/>
        <w:gridCol w:w="1065"/>
        <w:gridCol w:w="1130"/>
        <w:gridCol w:w="1287"/>
        <w:gridCol w:w="1916"/>
      </w:tblGrid>
      <w:tr w14:paraId="6174F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366" w:type="pct"/>
            <w:vAlign w:val="center"/>
          </w:tcPr>
          <w:p w14:paraId="5B7D5A32">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eastAsia="zh-CN"/>
              </w:rPr>
              <w:t>件</w:t>
            </w:r>
            <w:r>
              <w:rPr>
                <w:rFonts w:hint="eastAsia" w:ascii="仿宋" w:hAnsi="仿宋" w:eastAsia="仿宋" w:cs="仿宋"/>
                <w:color w:val="auto"/>
                <w:sz w:val="24"/>
                <w:szCs w:val="24"/>
                <w:highlight w:val="none"/>
              </w:rPr>
              <w:t>号</w:t>
            </w:r>
          </w:p>
        </w:tc>
        <w:tc>
          <w:tcPr>
            <w:tcW w:w="615" w:type="pct"/>
            <w:vAlign w:val="center"/>
          </w:tcPr>
          <w:p w14:paraId="72FA0B6D">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包件名称</w:t>
            </w:r>
          </w:p>
        </w:tc>
        <w:tc>
          <w:tcPr>
            <w:tcW w:w="541" w:type="pct"/>
            <w:vAlign w:val="center"/>
          </w:tcPr>
          <w:p w14:paraId="7D953793">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标的名称</w:t>
            </w:r>
          </w:p>
        </w:tc>
        <w:tc>
          <w:tcPr>
            <w:tcW w:w="308" w:type="pct"/>
            <w:vAlign w:val="center"/>
          </w:tcPr>
          <w:p w14:paraId="608200A8">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625" w:type="pct"/>
            <w:vAlign w:val="center"/>
          </w:tcPr>
          <w:p w14:paraId="7660096A">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预算</w:t>
            </w:r>
          </w:p>
          <w:p w14:paraId="5D56264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（万元）</w:t>
            </w:r>
          </w:p>
        </w:tc>
        <w:tc>
          <w:tcPr>
            <w:tcW w:w="663" w:type="pct"/>
            <w:vAlign w:val="center"/>
          </w:tcPr>
          <w:p w14:paraId="4D07A53F">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服务期限</w:t>
            </w:r>
          </w:p>
        </w:tc>
        <w:tc>
          <w:tcPr>
            <w:tcW w:w="755" w:type="pct"/>
            <w:vAlign w:val="center"/>
          </w:tcPr>
          <w:p w14:paraId="395B3CDA">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服务地点</w:t>
            </w:r>
          </w:p>
        </w:tc>
        <w:tc>
          <w:tcPr>
            <w:tcW w:w="1124" w:type="pct"/>
            <w:vAlign w:val="center"/>
          </w:tcPr>
          <w:p w14:paraId="7C3A3E4D">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用途</w:t>
            </w:r>
          </w:p>
        </w:tc>
      </w:tr>
      <w:tr w14:paraId="6FAD2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66" w:type="pct"/>
            <w:vAlign w:val="center"/>
          </w:tcPr>
          <w:p w14:paraId="5F656946">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615" w:type="pct"/>
            <w:vAlign w:val="center"/>
          </w:tcPr>
          <w:p w14:paraId="50848615">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中国食品药品检定研究院生物安全二级实验室和洁净实验室维保服务采购项目</w:t>
            </w:r>
          </w:p>
        </w:tc>
        <w:tc>
          <w:tcPr>
            <w:tcW w:w="541" w:type="pct"/>
            <w:vAlign w:val="center"/>
          </w:tcPr>
          <w:p w14:paraId="0718C3CD">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生物安全二级实验室和洁净实验室维保服务</w:t>
            </w:r>
          </w:p>
        </w:tc>
        <w:tc>
          <w:tcPr>
            <w:tcW w:w="308" w:type="pct"/>
            <w:vAlign w:val="center"/>
          </w:tcPr>
          <w:p w14:paraId="5C1C3FBA">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项</w:t>
            </w:r>
          </w:p>
        </w:tc>
        <w:tc>
          <w:tcPr>
            <w:tcW w:w="625" w:type="pct"/>
            <w:vAlign w:val="center"/>
          </w:tcPr>
          <w:p w14:paraId="42C59B83">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780</w:t>
            </w:r>
          </w:p>
        </w:tc>
        <w:tc>
          <w:tcPr>
            <w:tcW w:w="663" w:type="pct"/>
            <w:vAlign w:val="center"/>
          </w:tcPr>
          <w:p w14:paraId="31EBBB5F">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三年，合同一年一签（每年根据考核结果签订合同）</w:t>
            </w:r>
          </w:p>
        </w:tc>
        <w:tc>
          <w:tcPr>
            <w:tcW w:w="755" w:type="pct"/>
            <w:vAlign w:val="center"/>
          </w:tcPr>
          <w:p w14:paraId="3B7FE9A1">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北京市大兴区华佗路31号、北京市东城区天坛西里2号</w:t>
            </w:r>
          </w:p>
        </w:tc>
        <w:tc>
          <w:tcPr>
            <w:tcW w:w="1124" w:type="pct"/>
            <w:vAlign w:val="center"/>
          </w:tcPr>
          <w:p w14:paraId="35328F38">
            <w:pPr>
              <w:spacing w:line="360" w:lineRule="auto"/>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①实验室内技术参数维护②实验室围护结构及实验室内技术参数维护③通风、空调及排风系统维护④给、排水和供气系统的维护⑤电力供应系统维护⑥自控、监控与报警系统维护</w:t>
            </w:r>
          </w:p>
        </w:tc>
      </w:tr>
    </w:tbl>
    <w:p w14:paraId="60BDBB55">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（2）是否专门面向中小企业或小型、微型企业采购：非专门面向中小企业。</w:t>
      </w:r>
    </w:p>
    <w:p w14:paraId="69C89CCB">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注：投标必须以采购包（也称为“包件”或“包”）为单位，对所投包件号中的所有内容进行投标，不允许将包件拆开投标，也不允许将几个包件合并报一个价格投标，评标、授标以包件为单位。</w:t>
      </w:r>
    </w:p>
    <w:p w14:paraId="50340DAF">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合同履行期限：三年，合同一年一签（每年根据考核结果签订合同）。</w:t>
      </w:r>
    </w:p>
    <w:p w14:paraId="77FDC8AA">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本项目（不接受）联合体投标。</w:t>
      </w:r>
    </w:p>
    <w:p w14:paraId="5E0816A5">
      <w:pPr>
        <w:spacing w:before="110" w:line="360" w:lineRule="auto"/>
        <w:ind w:left="22"/>
        <w:rPr>
          <w:rFonts w:hint="eastAsia" w:ascii="仿宋" w:hAnsi="仿宋" w:eastAsia="仿宋" w:cs="仿宋"/>
          <w:color w:val="auto"/>
          <w:sz w:val="28"/>
          <w:szCs w:val="28"/>
          <w:highlight w:val="none"/>
          <w:lang w:eastAsia="zh-CN"/>
        </w:rPr>
      </w:pPr>
      <w:r>
        <w:rPr>
          <w:rFonts w:hint="eastAsia" w:ascii="仿宋" w:hAnsi="仿宋" w:eastAsia="仿宋" w:cs="仿宋"/>
          <w:b/>
          <w:bCs/>
          <w:color w:val="auto"/>
          <w:spacing w:val="-9"/>
          <w:sz w:val="28"/>
          <w:szCs w:val="28"/>
          <w:highlight w:val="none"/>
          <w:lang w:eastAsia="zh-CN"/>
        </w:rPr>
        <w:t>二、申请人的资格要求：</w:t>
      </w:r>
    </w:p>
    <w:p w14:paraId="77599F90">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1. 满足《中华人民共和国政府采购法》第二十二条规定；</w:t>
      </w:r>
    </w:p>
    <w:p w14:paraId="444B5F88">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2. 落实政府采购政策需满足的资格要求：无。</w:t>
      </w:r>
    </w:p>
    <w:p w14:paraId="1A9CC6F1">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3. 本项目的特定资格要求：</w:t>
      </w:r>
    </w:p>
    <w:p w14:paraId="0B88B98F">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（1）本项目开标日前被列入失信被执行人、重大税收违法案件当事人名单、政府采购严重违法失信行为记录名单（处罚期限尚未届满的），不得参与本项目的投标，[以“信用中国”网站（</w:t>
      </w:r>
      <w:r>
        <w:rPr>
          <w:rFonts w:hint="eastAsia" w:ascii="仿宋" w:hAnsi="仿宋" w:eastAsia="仿宋" w:cs="仿宋"/>
          <w:color w:val="auto"/>
          <w:spacing w:val="-6"/>
          <w:sz w:val="24"/>
          <w:szCs w:val="24"/>
          <w:highlight w:val="none"/>
          <w:lang w:eastAsia="zh-CN"/>
        </w:rPr>
        <w:fldChar w:fldCharType="begin"/>
      </w:r>
      <w:r>
        <w:rPr>
          <w:rFonts w:hint="eastAsia" w:ascii="仿宋" w:hAnsi="仿宋" w:eastAsia="仿宋" w:cs="仿宋"/>
          <w:color w:val="auto"/>
          <w:spacing w:val="-6"/>
          <w:sz w:val="24"/>
          <w:szCs w:val="24"/>
          <w:highlight w:val="none"/>
          <w:lang w:eastAsia="zh-CN"/>
        </w:rPr>
        <w:instrText xml:space="preserve"> HYPERLINK "https://www.creditchina.gov.cn" </w:instrText>
      </w:r>
      <w:r>
        <w:rPr>
          <w:rFonts w:hint="eastAsia" w:ascii="仿宋" w:hAnsi="仿宋" w:eastAsia="仿宋" w:cs="仿宋"/>
          <w:color w:val="auto"/>
          <w:spacing w:val="-6"/>
          <w:sz w:val="24"/>
          <w:szCs w:val="24"/>
          <w:highlight w:val="none"/>
          <w:lang w:eastAsia="zh-CN"/>
        </w:rPr>
        <w:fldChar w:fldCharType="separate"/>
      </w:r>
      <w:r>
        <w:rPr>
          <w:rFonts w:hint="eastAsia" w:ascii="仿宋" w:hAnsi="仿宋" w:eastAsia="仿宋" w:cs="仿宋"/>
          <w:color w:val="auto"/>
          <w:spacing w:val="-6"/>
          <w:sz w:val="24"/>
          <w:szCs w:val="24"/>
          <w:highlight w:val="none"/>
          <w:lang w:eastAsia="zh-CN"/>
        </w:rPr>
        <w:t>www.creditchina.gov.cn</w:t>
      </w:r>
      <w:r>
        <w:rPr>
          <w:rFonts w:hint="eastAsia" w:ascii="仿宋" w:hAnsi="仿宋" w:eastAsia="仿宋" w:cs="仿宋"/>
          <w:color w:val="auto"/>
          <w:spacing w:val="-6"/>
          <w:sz w:val="24"/>
          <w:szCs w:val="24"/>
          <w:highlight w:val="none"/>
          <w:lang w:eastAsia="zh-CN"/>
        </w:rPr>
        <w:fldChar w:fldCharType="end"/>
      </w:r>
      <w:r>
        <w:rPr>
          <w:rFonts w:hint="eastAsia" w:ascii="仿宋" w:hAnsi="仿宋" w:eastAsia="仿宋" w:cs="仿宋"/>
          <w:color w:val="auto"/>
          <w:spacing w:val="-6"/>
          <w:sz w:val="24"/>
          <w:szCs w:val="24"/>
          <w:highlight w:val="none"/>
          <w:lang w:eastAsia="zh-CN"/>
        </w:rPr>
        <w:t>）和“中国政府采购网”（</w:t>
      </w:r>
      <w:r>
        <w:rPr>
          <w:rFonts w:hint="eastAsia" w:ascii="仿宋" w:hAnsi="仿宋" w:eastAsia="仿宋" w:cs="仿宋"/>
          <w:color w:val="auto"/>
          <w:spacing w:val="-6"/>
          <w:sz w:val="24"/>
          <w:szCs w:val="24"/>
          <w:highlight w:val="none"/>
          <w:lang w:eastAsia="zh-CN"/>
        </w:rPr>
        <w:fldChar w:fldCharType="begin"/>
      </w:r>
      <w:r>
        <w:rPr>
          <w:rFonts w:hint="eastAsia" w:ascii="仿宋" w:hAnsi="仿宋" w:eastAsia="仿宋" w:cs="仿宋"/>
          <w:color w:val="auto"/>
          <w:spacing w:val="-6"/>
          <w:sz w:val="24"/>
          <w:szCs w:val="24"/>
          <w:highlight w:val="none"/>
          <w:lang w:eastAsia="zh-CN"/>
        </w:rPr>
        <w:instrText xml:space="preserve"> HYPERLINK "https://www.ccgp.gov.cn" </w:instrText>
      </w:r>
      <w:r>
        <w:rPr>
          <w:rFonts w:hint="eastAsia" w:ascii="仿宋" w:hAnsi="仿宋" w:eastAsia="仿宋" w:cs="仿宋"/>
          <w:color w:val="auto"/>
          <w:spacing w:val="-6"/>
          <w:sz w:val="24"/>
          <w:szCs w:val="24"/>
          <w:highlight w:val="none"/>
          <w:lang w:eastAsia="zh-CN"/>
        </w:rPr>
        <w:fldChar w:fldCharType="separate"/>
      </w:r>
      <w:r>
        <w:rPr>
          <w:rFonts w:hint="eastAsia" w:ascii="仿宋" w:hAnsi="仿宋" w:eastAsia="仿宋" w:cs="仿宋"/>
          <w:color w:val="auto"/>
          <w:spacing w:val="-6"/>
          <w:sz w:val="24"/>
          <w:szCs w:val="24"/>
          <w:highlight w:val="none"/>
          <w:lang w:eastAsia="zh-CN"/>
        </w:rPr>
        <w:t>www.ccgp.gov.cn</w:t>
      </w:r>
      <w:r>
        <w:rPr>
          <w:rFonts w:hint="eastAsia" w:ascii="仿宋" w:hAnsi="仿宋" w:eastAsia="仿宋" w:cs="仿宋"/>
          <w:color w:val="auto"/>
          <w:spacing w:val="-6"/>
          <w:sz w:val="24"/>
          <w:szCs w:val="24"/>
          <w:highlight w:val="none"/>
          <w:lang w:eastAsia="zh-CN"/>
        </w:rPr>
        <w:fldChar w:fldCharType="end"/>
      </w:r>
      <w:r>
        <w:rPr>
          <w:rFonts w:hint="eastAsia" w:ascii="仿宋" w:hAnsi="仿宋" w:eastAsia="仿宋" w:cs="仿宋"/>
          <w:color w:val="auto"/>
          <w:spacing w:val="-6"/>
          <w:sz w:val="24"/>
          <w:szCs w:val="24"/>
          <w:highlight w:val="none"/>
          <w:lang w:eastAsia="zh-CN"/>
        </w:rPr>
        <w:t>）采购代理机构评标当日的查询记录为准]；</w:t>
      </w:r>
    </w:p>
    <w:p w14:paraId="17436AA9">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2）单位负责人为同一人或者存在直接控股、管理关系的不同投标人，不得参加同一合同项下的政府采购活动；为本项目提供整体设计、规范编制或者项目管理、监理、检测等服务的供应商，不得参加本项目的投标；</w:t>
      </w:r>
    </w:p>
    <w:p w14:paraId="105F825B">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（3）投标人必须通过下述第三条“获取招标文件”中规定的渠道获取了招标文件；</w:t>
      </w:r>
    </w:p>
    <w:p w14:paraId="3B188FEF">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（4）本项目（不接受）联合体投标。</w:t>
      </w:r>
    </w:p>
    <w:p w14:paraId="3856AA7A">
      <w:pPr>
        <w:spacing w:before="110" w:line="360" w:lineRule="auto"/>
        <w:ind w:left="2"/>
        <w:rPr>
          <w:rFonts w:hint="eastAsia" w:ascii="仿宋" w:hAnsi="仿宋" w:eastAsia="仿宋" w:cs="仿宋"/>
          <w:color w:val="auto"/>
          <w:sz w:val="28"/>
          <w:szCs w:val="28"/>
          <w:highlight w:val="none"/>
          <w:lang w:eastAsia="zh-CN"/>
        </w:rPr>
      </w:pPr>
      <w:r>
        <w:rPr>
          <w:rFonts w:hint="eastAsia" w:ascii="仿宋" w:hAnsi="仿宋" w:eastAsia="仿宋" w:cs="仿宋"/>
          <w:b/>
          <w:bCs/>
          <w:color w:val="auto"/>
          <w:spacing w:val="-4"/>
          <w:sz w:val="28"/>
          <w:szCs w:val="28"/>
          <w:highlight w:val="none"/>
          <w:lang w:eastAsia="zh-CN"/>
        </w:rPr>
        <w:t>三、获取招标文件</w:t>
      </w:r>
    </w:p>
    <w:p w14:paraId="6FD6DE50">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（1）本项目招标文件采用网上下载电子版本方式和纸质招标文件同时发放方式。</w:t>
      </w:r>
    </w:p>
    <w:p w14:paraId="211B94A8">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（2）招标文件发售时间：从2026年07月</w:t>
      </w:r>
      <w:r>
        <w:rPr>
          <w:rFonts w:hint="eastAsia" w:ascii="仿宋" w:hAnsi="仿宋" w:eastAsia="仿宋" w:cs="仿宋"/>
          <w:color w:val="auto"/>
          <w:spacing w:val="-6"/>
          <w:sz w:val="24"/>
          <w:szCs w:val="24"/>
          <w:highlight w:val="none"/>
          <w:lang w:val="en-US" w:eastAsia="zh-CN"/>
        </w:rPr>
        <w:t>14</w:t>
      </w:r>
      <w:r>
        <w:rPr>
          <w:rFonts w:hint="eastAsia" w:ascii="仿宋" w:hAnsi="仿宋" w:eastAsia="仿宋" w:cs="仿宋"/>
          <w:color w:val="auto"/>
          <w:spacing w:val="-6"/>
          <w:sz w:val="24"/>
          <w:szCs w:val="24"/>
          <w:highlight w:val="none"/>
          <w:lang w:eastAsia="zh-CN"/>
        </w:rPr>
        <w:t>日起到2026年07月</w:t>
      </w:r>
      <w:r>
        <w:rPr>
          <w:rFonts w:hint="eastAsia" w:ascii="仿宋" w:hAnsi="仿宋" w:eastAsia="仿宋" w:cs="仿宋"/>
          <w:color w:val="auto"/>
          <w:spacing w:val="-6"/>
          <w:sz w:val="24"/>
          <w:szCs w:val="24"/>
          <w:highlight w:val="none"/>
          <w:lang w:val="en-US" w:eastAsia="zh-CN"/>
        </w:rPr>
        <w:t>21</w:t>
      </w:r>
      <w:r>
        <w:rPr>
          <w:rFonts w:hint="eastAsia" w:ascii="仿宋" w:hAnsi="仿宋" w:eastAsia="仿宋" w:cs="仿宋"/>
          <w:color w:val="auto"/>
          <w:spacing w:val="-6"/>
          <w:sz w:val="24"/>
          <w:szCs w:val="24"/>
          <w:highlight w:val="none"/>
          <w:lang w:eastAsia="zh-CN"/>
        </w:rPr>
        <w:t>日下午17:00时止。</w:t>
      </w:r>
    </w:p>
    <w:p w14:paraId="3A22B298">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（3）有意向的投标人应先在中国通用招标网（http://www.china-tender.com.cn）进行免费注册，注册完成后请按照网上操作流程进行购买。中国通用招标网技术支持电话：400-680-8126。</w:t>
      </w:r>
    </w:p>
    <w:p w14:paraId="602A4895">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4）购买标书流程：投标人先在通用招标网招标文件获取一栏中对应的项目（标）下填写招标文件购买申请，填写招标文件购买申请后，具体购买方式包括：选择网上支付方式购买招标文件的投标人在标书款支付成功后，即可网上下载招标文件，纸质文件可采用快递或联系采购代理机构联系人进行领取。纸质招标文件和电子版本招标文件具有同等法律效力。招标文件发票领取方式：网上支付时申请领取电子发票（本项目不提供纸质发票）。</w:t>
      </w:r>
    </w:p>
    <w:p w14:paraId="512F7463">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特别提示：</w:t>
      </w:r>
    </w:p>
    <w:p w14:paraId="2490E843">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提示1：每次购买标书申请系统生成的账号不同，请按照系统生成的账号进行付款，不要重复支付；</w:t>
      </w:r>
    </w:p>
    <w:p w14:paraId="662B1433">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提示2：汇款金额必须与系统提示金额相同，否则将会被退回。</w:t>
      </w:r>
    </w:p>
    <w:p w14:paraId="1DB2DBC5">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（5）招标文件售价：500元人民币/包，售后不退。</w:t>
      </w:r>
    </w:p>
    <w:p w14:paraId="71A5D5FA">
      <w:pPr>
        <w:spacing w:before="114" w:line="360" w:lineRule="auto"/>
        <w:ind w:left="28"/>
        <w:rPr>
          <w:rFonts w:hint="eastAsia" w:ascii="仿宋" w:hAnsi="仿宋" w:eastAsia="仿宋" w:cs="仿宋"/>
          <w:color w:val="auto"/>
          <w:sz w:val="28"/>
          <w:szCs w:val="28"/>
          <w:highlight w:val="none"/>
          <w:lang w:eastAsia="zh-CN"/>
        </w:rPr>
      </w:pPr>
      <w:r>
        <w:rPr>
          <w:rFonts w:hint="eastAsia" w:ascii="仿宋" w:hAnsi="仿宋" w:eastAsia="仿宋" w:cs="仿宋"/>
          <w:b/>
          <w:bCs/>
          <w:color w:val="auto"/>
          <w:spacing w:val="-4"/>
          <w:sz w:val="28"/>
          <w:szCs w:val="28"/>
          <w:highlight w:val="none"/>
          <w:lang w:eastAsia="zh-CN"/>
        </w:rPr>
        <w:t>四、提交投标文件截止时间、开标时间和地点</w:t>
      </w:r>
    </w:p>
    <w:p w14:paraId="020EC79E">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2026年0</w:t>
      </w:r>
      <w:r>
        <w:rPr>
          <w:rFonts w:hint="eastAsia" w:ascii="仿宋" w:hAnsi="仿宋" w:eastAsia="仿宋" w:cs="仿宋"/>
          <w:color w:val="auto"/>
          <w:spacing w:val="-6"/>
          <w:sz w:val="24"/>
          <w:szCs w:val="24"/>
          <w:highlight w:val="none"/>
          <w:lang w:val="en-US" w:eastAsia="zh-CN"/>
        </w:rPr>
        <w:t>8</w:t>
      </w:r>
      <w:r>
        <w:rPr>
          <w:rFonts w:hint="eastAsia" w:ascii="仿宋" w:hAnsi="仿宋" w:eastAsia="仿宋" w:cs="仿宋"/>
          <w:color w:val="auto"/>
          <w:spacing w:val="-6"/>
          <w:sz w:val="24"/>
          <w:szCs w:val="24"/>
          <w:highlight w:val="none"/>
          <w:lang w:eastAsia="zh-CN"/>
        </w:rPr>
        <w:t>月</w:t>
      </w:r>
      <w:r>
        <w:rPr>
          <w:rFonts w:hint="eastAsia" w:ascii="仿宋" w:hAnsi="仿宋" w:eastAsia="仿宋" w:cs="仿宋"/>
          <w:color w:val="auto"/>
          <w:spacing w:val="-6"/>
          <w:sz w:val="24"/>
          <w:szCs w:val="24"/>
          <w:highlight w:val="none"/>
          <w:lang w:val="en-US" w:eastAsia="zh-CN"/>
        </w:rPr>
        <w:t>06</w:t>
      </w:r>
      <w:r>
        <w:rPr>
          <w:rFonts w:hint="eastAsia" w:ascii="仿宋" w:hAnsi="仿宋" w:eastAsia="仿宋" w:cs="仿宋"/>
          <w:color w:val="auto"/>
          <w:spacing w:val="-6"/>
          <w:sz w:val="24"/>
          <w:szCs w:val="24"/>
          <w:highlight w:val="none"/>
          <w:lang w:eastAsia="zh-CN"/>
        </w:rPr>
        <w:t>日 09:30（北京时间）</w:t>
      </w:r>
    </w:p>
    <w:p w14:paraId="0C0CAC2D">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地点：北京市丰台区西营街1号通用时代中心C座5</w:t>
      </w:r>
      <w:r>
        <w:rPr>
          <w:rFonts w:hint="eastAsia" w:ascii="仿宋" w:hAnsi="仿宋" w:eastAsia="仿宋" w:cs="仿宋"/>
          <w:color w:val="auto"/>
          <w:spacing w:val="-6"/>
          <w:sz w:val="24"/>
          <w:szCs w:val="24"/>
          <w:highlight w:val="none"/>
          <w:lang w:val="en-US" w:eastAsia="zh-CN"/>
        </w:rPr>
        <w:t>0</w:t>
      </w:r>
      <w:r>
        <w:rPr>
          <w:rFonts w:hint="eastAsia" w:ascii="仿宋" w:hAnsi="仿宋" w:eastAsia="仿宋" w:cs="仿宋"/>
          <w:color w:val="auto"/>
          <w:spacing w:val="-6"/>
          <w:sz w:val="24"/>
          <w:szCs w:val="24"/>
          <w:highlight w:val="none"/>
          <w:lang w:eastAsia="zh-CN"/>
        </w:rPr>
        <w:t>2会议室</w:t>
      </w:r>
    </w:p>
    <w:p w14:paraId="5D360188">
      <w:pPr>
        <w:spacing w:before="109" w:line="360" w:lineRule="auto"/>
        <w:ind w:left="7"/>
        <w:rPr>
          <w:rFonts w:hint="eastAsia" w:ascii="仿宋" w:hAnsi="仿宋" w:eastAsia="仿宋" w:cs="仿宋"/>
          <w:color w:val="auto"/>
          <w:sz w:val="28"/>
          <w:szCs w:val="28"/>
          <w:highlight w:val="none"/>
          <w:lang w:eastAsia="zh-CN"/>
        </w:rPr>
      </w:pPr>
      <w:r>
        <w:rPr>
          <w:rFonts w:hint="eastAsia" w:ascii="仿宋" w:hAnsi="仿宋" w:eastAsia="仿宋" w:cs="仿宋"/>
          <w:b/>
          <w:bCs/>
          <w:color w:val="auto"/>
          <w:spacing w:val="-5"/>
          <w:sz w:val="28"/>
          <w:szCs w:val="28"/>
          <w:highlight w:val="none"/>
          <w:lang w:eastAsia="zh-CN"/>
        </w:rPr>
        <w:t>五、公告期限</w:t>
      </w:r>
    </w:p>
    <w:p w14:paraId="7BE59E4D">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自本公告发布之日起5个工作日。</w:t>
      </w:r>
    </w:p>
    <w:p w14:paraId="32F6F413">
      <w:pPr>
        <w:spacing w:before="111" w:line="360" w:lineRule="auto"/>
        <w:ind w:left="4"/>
        <w:rPr>
          <w:rFonts w:hint="eastAsia" w:ascii="仿宋" w:hAnsi="仿宋" w:eastAsia="仿宋" w:cs="仿宋"/>
          <w:color w:val="auto"/>
          <w:sz w:val="28"/>
          <w:szCs w:val="28"/>
          <w:highlight w:val="none"/>
          <w:lang w:eastAsia="zh-CN"/>
        </w:rPr>
      </w:pPr>
      <w:r>
        <w:rPr>
          <w:rFonts w:hint="eastAsia" w:ascii="仿宋" w:hAnsi="仿宋" w:eastAsia="仿宋" w:cs="仿宋"/>
          <w:b/>
          <w:bCs/>
          <w:color w:val="auto"/>
          <w:spacing w:val="-10"/>
          <w:sz w:val="28"/>
          <w:szCs w:val="28"/>
          <w:highlight w:val="none"/>
          <w:lang w:eastAsia="zh-CN"/>
        </w:rPr>
        <w:t>六、其他补充事宜：</w:t>
      </w:r>
    </w:p>
    <w:p w14:paraId="46FE395F">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1.投标文件的递交：所有投标文件应于开标当日、提交投标文件截止时间之前递交至开标地点。迟到的投标文件以及不符合招标文件密封要求的投标文件将被拒绝接收。</w:t>
      </w:r>
    </w:p>
    <w:p w14:paraId="21EBBB65">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2.本项目公开开标，届时邀请投标人的代表出席开标仪式。</w:t>
      </w:r>
    </w:p>
    <w:p w14:paraId="6B80C8E9">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3.评标方法和标准：综合评分法。</w:t>
      </w:r>
    </w:p>
    <w:p w14:paraId="46A88DD4">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4.本项目招标公告内容以省级以上财政部门指定媒体发布的公告为准。</w:t>
      </w:r>
    </w:p>
    <w:p w14:paraId="4B55C92B">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5.本项目需落实的政府采购政策：</w:t>
      </w:r>
    </w:p>
    <w:p w14:paraId="35135794">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（1） 执行节能产品政府优先采购和强制采购制度；</w:t>
      </w:r>
    </w:p>
    <w:p w14:paraId="4213A441">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（2） 执行环境标志产品政府优先采购制度；</w:t>
      </w:r>
    </w:p>
    <w:p w14:paraId="06912324">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（3） 执行《政府采购促进中小企业发展管理办法》；</w:t>
      </w:r>
    </w:p>
    <w:p w14:paraId="08FDC12C">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（4） 执行《关于政府采购支持监狱企业发展有关问题的通知》；</w:t>
      </w:r>
    </w:p>
    <w:p w14:paraId="09E86518">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（5） 执行《关于促进残疾人就业政府采购政策的通知》；</w:t>
      </w:r>
    </w:p>
    <w:p w14:paraId="337AEE5C">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（6） 执行《国务院办公厅关于在政府采购中实施本国产品标准及相关政策的通知》。</w:t>
      </w:r>
    </w:p>
    <w:p w14:paraId="0E171272">
      <w:pPr>
        <w:spacing w:before="91" w:line="360" w:lineRule="auto"/>
        <w:rPr>
          <w:rFonts w:hint="eastAsia" w:ascii="仿宋" w:hAnsi="仿宋" w:eastAsia="仿宋" w:cs="仿宋"/>
          <w:color w:val="auto"/>
          <w:sz w:val="28"/>
          <w:szCs w:val="28"/>
          <w:highlight w:val="none"/>
          <w:lang w:eastAsia="zh-CN"/>
        </w:rPr>
      </w:pPr>
      <w:r>
        <w:rPr>
          <w:rFonts w:hint="eastAsia" w:ascii="仿宋" w:hAnsi="仿宋" w:eastAsia="仿宋" w:cs="仿宋"/>
          <w:b/>
          <w:bCs/>
          <w:color w:val="auto"/>
          <w:spacing w:val="-4"/>
          <w:sz w:val="28"/>
          <w:szCs w:val="28"/>
          <w:highlight w:val="none"/>
          <w:lang w:eastAsia="zh-CN"/>
        </w:rPr>
        <w:t>七、对本次招标提出询问，请按以下方式联系。</w:t>
      </w:r>
    </w:p>
    <w:p w14:paraId="262B5CC8">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1.采购人信息</w:t>
      </w:r>
    </w:p>
    <w:p w14:paraId="6893356D">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名    称：中国食品药品检定研究院</w:t>
      </w:r>
    </w:p>
    <w:p w14:paraId="72758F74">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地    址：北京市大兴区华佗路31号</w:t>
      </w:r>
    </w:p>
    <w:p w14:paraId="230D54D2">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联系方式：卢老师 010-53852856</w:t>
      </w:r>
    </w:p>
    <w:p w14:paraId="517BC38C">
      <w:pPr>
        <w:spacing w:before="235" w:line="360" w:lineRule="auto"/>
        <w:ind w:left="15" w:right="13" w:firstLine="472"/>
        <w:rPr>
          <w:rFonts w:hint="eastAsia" w:ascii="仿宋" w:hAnsi="仿宋" w:eastAsia="仿宋" w:cs="仿宋"/>
          <w:color w:val="auto"/>
          <w:spacing w:val="-6"/>
          <w:sz w:val="24"/>
          <w:szCs w:val="24"/>
          <w:highlight w:val="none"/>
          <w:lang w:eastAsia="zh-CN"/>
        </w:rPr>
      </w:pPr>
    </w:p>
    <w:p w14:paraId="1409A1BC">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2.采购代理机构信息</w:t>
      </w:r>
    </w:p>
    <w:p w14:paraId="508E74E6">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名    称：中国通用咨询投资有限公司</w:t>
      </w:r>
    </w:p>
    <w:p w14:paraId="04277FF6">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地  址：北京市丰台区西营街1号院通用时代中心C座</w:t>
      </w:r>
    </w:p>
    <w:p w14:paraId="7A64C320">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联系方式：郝晨、谢乔旭、杨睿铭、吴笛010-81168179</w:t>
      </w:r>
    </w:p>
    <w:p w14:paraId="069E9CC3">
      <w:pPr>
        <w:spacing w:before="235" w:line="360" w:lineRule="auto"/>
        <w:ind w:left="15" w:right="13" w:firstLine="472"/>
        <w:rPr>
          <w:rFonts w:hint="eastAsia" w:ascii="仿宋" w:hAnsi="仿宋" w:eastAsia="仿宋" w:cs="仿宋"/>
          <w:color w:val="auto"/>
          <w:spacing w:val="-6"/>
          <w:sz w:val="24"/>
          <w:szCs w:val="24"/>
          <w:highlight w:val="none"/>
          <w:lang w:eastAsia="zh-CN"/>
        </w:rPr>
      </w:pPr>
    </w:p>
    <w:p w14:paraId="0DF09B51">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3.项目联系方式</w:t>
      </w:r>
    </w:p>
    <w:p w14:paraId="628327EC">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项目联系人：郝晨、谢乔旭、杨睿铭、吴笛</w:t>
      </w:r>
    </w:p>
    <w:p w14:paraId="5C9F7D19">
      <w:pPr>
        <w:spacing w:before="235" w:line="360" w:lineRule="auto"/>
        <w:ind w:left="15" w:right="13" w:firstLine="472"/>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pacing w:val="-6"/>
          <w:sz w:val="24"/>
          <w:szCs w:val="24"/>
          <w:highlight w:val="none"/>
          <w:lang w:eastAsia="zh-CN"/>
        </w:rPr>
        <w:t>电    话：010-81168179</w:t>
      </w:r>
    </w:p>
    <w:p w14:paraId="0CF37A8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56496E"/>
    <w:rsid w:val="405649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2026-07-14T07:01:00Z</dcterms:created>
  <dc:creator>Gdmorning </dc:creator>
  <cp:lastModifiedBy>Gdmorning </cp:lastModifiedBy>
  <dcterms:modified xsi:type="dcterms:W3CDTF">2026-07-14T07:02:03Z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0FE555A8C17F43088A3901C0FF0C7753_11</vt:lpwstr>
  </property>
  <property fmtid="{D5CDD505-2E9C-101B-9397-08002B2CF9AE}" pid="4" name="KSOTemplateDocerSaveRecord">
    <vt:lpwstr>eyJoZGlkIjoiZjEyNzk4OTFkZGMwNDIxYjMyZTZkMjRiMGY4Y2JkMDgiLCJ1c2VySWQiOiI3Njc0MjU0NjAifQ==</vt:lpwstr>
  </property>
</Properties>
</file>