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E4F90">
      <w:pPr>
        <w:pStyle w:val="3"/>
        <w:numPr>
          <w:numId w:val="0"/>
        </w:numPr>
        <w:bidi w:val="0"/>
        <w:jc w:val="center"/>
        <w:rPr>
          <w:rFonts w:hint="eastAsia"/>
          <w:color w:val="auto"/>
        </w:rPr>
      </w:pPr>
      <w:bookmarkStart w:id="0" w:name="_Toc17038_WPSOffice_Level1"/>
      <w:bookmarkStart w:id="1" w:name="_Toc6127"/>
      <w:bookmarkStart w:id="2" w:name="_Toc28225"/>
      <w:bookmarkStart w:id="3" w:name="_Toc25355"/>
      <w:r>
        <w:rPr>
          <w:rFonts w:hint="eastAsia"/>
          <w:color w:val="auto"/>
        </w:rPr>
        <w:t>磋商邀请</w:t>
      </w:r>
      <w:bookmarkEnd w:id="0"/>
      <w:bookmarkEnd w:id="1"/>
      <w:bookmarkEnd w:id="2"/>
      <w:bookmarkEnd w:id="3"/>
    </w:p>
    <w:p w14:paraId="130F3679">
      <w:pPr>
        <w:widowControl/>
        <w:snapToGrid w:val="0"/>
        <w:spacing w:line="360" w:lineRule="auto"/>
        <w:ind w:firstLine="480" w:firstLineChars="200"/>
        <w:jc w:val="left"/>
        <w:rPr>
          <w:rFonts w:hint="eastAsia" w:ascii="宋体" w:hAnsi="宋体" w:cs="宋体"/>
          <w:color w:val="auto"/>
          <w:kern w:val="0"/>
          <w:sz w:val="24"/>
          <w:szCs w:val="24"/>
        </w:rPr>
      </w:pPr>
      <w:r>
        <w:rPr>
          <w:rFonts w:hint="eastAsia" w:ascii="宋体" w:hAnsi="宋体" w:cs="宋体"/>
          <w:color w:val="auto"/>
          <w:kern w:val="0"/>
          <w:sz w:val="24"/>
          <w:szCs w:val="24"/>
          <w:lang w:eastAsia="zh-CN"/>
        </w:rPr>
        <w:t>岳阳市第十八中学</w:t>
      </w:r>
      <w:r>
        <w:rPr>
          <w:rFonts w:ascii="宋体" w:hAnsi="宋体" w:cs="宋体"/>
          <w:color w:val="auto"/>
          <w:kern w:val="0"/>
          <w:sz w:val="24"/>
          <w:szCs w:val="24"/>
        </w:rPr>
        <w:t>的</w:t>
      </w:r>
      <w:r>
        <w:rPr>
          <w:rFonts w:hint="eastAsia" w:ascii="宋体" w:hAnsi="宋体" w:cs="宋体"/>
          <w:color w:val="auto"/>
          <w:kern w:val="0"/>
          <w:sz w:val="24"/>
          <w:szCs w:val="24"/>
          <w:lang w:eastAsia="zh-CN"/>
        </w:rPr>
        <w:t>岳阳市第十八中学大宗食材采购项目</w:t>
      </w:r>
      <w:r>
        <w:rPr>
          <w:rFonts w:ascii="宋体" w:hAnsi="宋体" w:cs="宋体"/>
          <w:color w:val="auto"/>
          <w:kern w:val="0"/>
          <w:sz w:val="24"/>
          <w:szCs w:val="24"/>
        </w:rPr>
        <w:t xml:space="preserve">进行采购，现邀请合格投标人参加投标。 </w:t>
      </w:r>
    </w:p>
    <w:p w14:paraId="49A97215">
      <w:pPr>
        <w:widowControl/>
        <w:snapToGrid w:val="0"/>
        <w:spacing w:line="360" w:lineRule="auto"/>
        <w:jc w:val="left"/>
        <w:outlineLvl w:val="1"/>
        <w:rPr>
          <w:rFonts w:hint="eastAsia" w:ascii="宋体" w:hAnsi="宋体" w:cs="宋体"/>
          <w:b/>
          <w:bCs/>
          <w:color w:val="auto"/>
          <w:kern w:val="0"/>
          <w:sz w:val="24"/>
          <w:szCs w:val="24"/>
        </w:rPr>
      </w:pPr>
      <w:bookmarkStart w:id="4" w:name="_Toc21436"/>
      <w:r>
        <w:rPr>
          <w:rFonts w:ascii="宋体" w:hAnsi="宋体" w:cs="宋体"/>
          <w:b/>
          <w:bCs/>
          <w:color w:val="auto"/>
          <w:kern w:val="0"/>
          <w:sz w:val="24"/>
          <w:szCs w:val="24"/>
        </w:rPr>
        <w:t>一、采购项目基本信息</w:t>
      </w:r>
      <w:bookmarkEnd w:id="4"/>
    </w:p>
    <w:p w14:paraId="048A7D54">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1、采购项目名称：</w:t>
      </w:r>
      <w:r>
        <w:rPr>
          <w:rFonts w:hint="eastAsia" w:ascii="宋体" w:hAnsi="宋体" w:cs="宋体"/>
          <w:color w:val="auto"/>
          <w:kern w:val="0"/>
          <w:sz w:val="24"/>
          <w:szCs w:val="24"/>
          <w:lang w:eastAsia="zh-CN"/>
        </w:rPr>
        <w:t>岳阳市第十八中学大宗食材采购项目</w:t>
      </w:r>
      <w:r>
        <w:rPr>
          <w:rFonts w:ascii="宋体" w:hAnsi="宋体" w:cs="宋体"/>
          <w:color w:val="auto"/>
          <w:kern w:val="0"/>
          <w:sz w:val="24"/>
          <w:szCs w:val="24"/>
        </w:rPr>
        <w:t xml:space="preserve"> </w:t>
      </w:r>
    </w:p>
    <w:p w14:paraId="4FF6AFFE">
      <w:pPr>
        <w:widowControl/>
        <w:snapToGrid w:val="0"/>
        <w:spacing w:line="360" w:lineRule="auto"/>
        <w:ind w:firstLine="480"/>
        <w:jc w:val="left"/>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2</w:t>
      </w:r>
      <w:r>
        <w:rPr>
          <w:rFonts w:ascii="宋体" w:hAnsi="宋体" w:cs="宋体"/>
          <w:color w:val="auto"/>
          <w:kern w:val="0"/>
          <w:sz w:val="24"/>
          <w:szCs w:val="24"/>
        </w:rPr>
        <w:t>、委托代理编号：</w:t>
      </w:r>
      <w:r>
        <w:rPr>
          <w:rFonts w:hint="eastAsia" w:ascii="宋体" w:hAnsi="宋体" w:cs="宋体"/>
          <w:color w:val="auto"/>
          <w:kern w:val="0"/>
          <w:sz w:val="24"/>
          <w:szCs w:val="24"/>
          <w:lang w:eastAsia="zh-CN"/>
        </w:rPr>
        <w:t>XYYYZFCG2024018</w:t>
      </w:r>
    </w:p>
    <w:p w14:paraId="45CA911E">
      <w:pPr>
        <w:widowControl/>
        <w:snapToGrid w:val="0"/>
        <w:spacing w:line="360" w:lineRule="auto"/>
        <w:ind w:firstLine="480"/>
        <w:jc w:val="left"/>
        <w:rPr>
          <w:rFonts w:hint="eastAsia" w:ascii="宋体" w:hAnsi="宋体" w:cs="宋体"/>
          <w:color w:val="auto"/>
          <w:kern w:val="0"/>
          <w:sz w:val="24"/>
          <w:szCs w:val="24"/>
          <w:lang w:bidi="ar"/>
        </w:rPr>
      </w:pPr>
      <w:r>
        <w:rPr>
          <w:rFonts w:hint="eastAsia" w:ascii="宋体" w:hAnsi="宋体" w:cs="宋体"/>
          <w:color w:val="auto"/>
          <w:kern w:val="0"/>
          <w:sz w:val="24"/>
          <w:szCs w:val="24"/>
        </w:rPr>
        <w:t>3</w:t>
      </w:r>
      <w:r>
        <w:rPr>
          <w:rFonts w:ascii="宋体" w:hAnsi="宋体" w:cs="宋体"/>
          <w:color w:val="auto"/>
          <w:kern w:val="0"/>
          <w:sz w:val="24"/>
          <w:szCs w:val="24"/>
        </w:rPr>
        <w:t>、评标方法：</w:t>
      </w:r>
    </w:p>
    <w:p w14:paraId="072E10AE">
      <w:pPr>
        <w:widowControl/>
        <w:snapToGrid w:val="0"/>
        <w:spacing w:line="360" w:lineRule="auto"/>
        <w:ind w:firstLine="480"/>
        <w:jc w:val="left"/>
        <w:rPr>
          <w:rFonts w:hint="eastAsia" w:ascii="宋体" w:hAnsi="宋体"/>
          <w:color w:val="auto"/>
          <w:sz w:val="24"/>
          <w:szCs w:val="24"/>
        </w:rPr>
      </w:pPr>
      <w:r>
        <w:rPr>
          <w:rFonts w:hint="eastAsia" w:ascii="宋体" w:hAnsi="宋体" w:cs="宋体"/>
          <w:color w:val="auto"/>
          <w:kern w:val="0"/>
          <w:sz w:val="24"/>
          <w:szCs w:val="24"/>
        </w:rPr>
        <w:t>1、</w:t>
      </w:r>
      <w:r>
        <w:rPr>
          <w:rFonts w:hint="eastAsia" w:ascii="宋体" w:hAnsi="宋体"/>
          <w:color w:val="auto"/>
          <w:sz w:val="24"/>
          <w:szCs w:val="24"/>
        </w:rPr>
        <w:t>本次采购项目的评标方法为综合评分法；</w:t>
      </w:r>
    </w:p>
    <w:p w14:paraId="0D42A274">
      <w:pPr>
        <w:widowControl/>
        <w:snapToGrid w:val="0"/>
        <w:spacing w:line="360" w:lineRule="auto"/>
        <w:ind w:firstLine="480"/>
        <w:jc w:val="left"/>
        <w:rPr>
          <w:rFonts w:hint="eastAsia" w:ascii="宋体" w:hAnsi="宋体"/>
          <w:color w:val="auto"/>
          <w:sz w:val="24"/>
          <w:szCs w:val="24"/>
        </w:rPr>
      </w:pPr>
      <w:r>
        <w:rPr>
          <w:rFonts w:hint="eastAsia" w:ascii="宋体" w:hAnsi="宋体"/>
          <w:color w:val="auto"/>
          <w:sz w:val="24"/>
          <w:szCs w:val="24"/>
        </w:rPr>
        <w:t>2、评标委员会依据《政府采购法》及其它相关法规进行综合评审，按得分高低排序择优确定入围候选人；</w:t>
      </w:r>
    </w:p>
    <w:p w14:paraId="505EFB4E">
      <w:pPr>
        <w:widowControl/>
        <w:snapToGrid w:val="0"/>
        <w:spacing w:line="360" w:lineRule="auto"/>
        <w:ind w:firstLine="480"/>
        <w:jc w:val="left"/>
        <w:rPr>
          <w:rFonts w:hint="eastAsia" w:ascii="宋体" w:hAnsi="宋体" w:cs="宋体"/>
          <w:color w:val="auto"/>
          <w:kern w:val="0"/>
          <w:sz w:val="24"/>
          <w:szCs w:val="24"/>
          <w:lang w:bidi="ar"/>
        </w:rPr>
      </w:pPr>
      <w:r>
        <w:rPr>
          <w:rFonts w:hint="eastAsia" w:ascii="宋体" w:hAnsi="宋体" w:cs="宋体"/>
          <w:color w:val="auto"/>
          <w:kern w:val="0"/>
          <w:sz w:val="24"/>
          <w:szCs w:val="24"/>
        </w:rPr>
        <w:t>2、推荐中标候选人：本次评标采取综合评分法，在资格性与符合性审查合格基础上，本着“公开、公正、择优”原则，从高分到低分择优录取，</w:t>
      </w:r>
      <w:r>
        <w:rPr>
          <w:rFonts w:hint="eastAsia" w:ascii="宋体" w:hAnsi="宋体" w:cs="宋体"/>
          <w:color w:val="auto"/>
          <w:kern w:val="0"/>
          <w:sz w:val="24"/>
          <w:szCs w:val="24"/>
          <w:lang w:val="en-US" w:eastAsia="zh-CN"/>
        </w:rPr>
        <w:t>综合得分最高的</w:t>
      </w:r>
      <w:r>
        <w:rPr>
          <w:rFonts w:hint="eastAsia" w:ascii="宋体" w:hAnsi="宋体" w:cs="宋体"/>
          <w:color w:val="auto"/>
          <w:kern w:val="0"/>
          <w:sz w:val="24"/>
          <w:szCs w:val="24"/>
        </w:rPr>
        <w:t>为中标单位（</w:t>
      </w:r>
      <w:r>
        <w:rPr>
          <w:rFonts w:hint="eastAsia" w:ascii="宋体" w:hAnsi="宋体" w:cs="宋体"/>
          <w:color w:val="auto"/>
          <w:kern w:val="0"/>
          <w:sz w:val="24"/>
          <w:szCs w:val="24"/>
          <w:lang w:val="en-US" w:eastAsia="zh-CN"/>
        </w:rPr>
        <w:t>综合得分相同的按最后报价由低至高选取，最后报价也相同的则</w:t>
      </w:r>
      <w:r>
        <w:rPr>
          <w:rFonts w:hint="eastAsia" w:ascii="宋体" w:hAnsi="宋体" w:cs="宋体"/>
          <w:color w:val="auto"/>
          <w:kern w:val="0"/>
          <w:sz w:val="24"/>
          <w:szCs w:val="24"/>
        </w:rPr>
        <w:t>随机抽取确定）。</w:t>
      </w:r>
    </w:p>
    <w:p w14:paraId="5898A9CF">
      <w:pPr>
        <w:widowControl/>
        <w:snapToGrid w:val="0"/>
        <w:spacing w:line="360" w:lineRule="auto"/>
        <w:ind w:firstLine="480"/>
        <w:jc w:val="left"/>
        <w:rPr>
          <w:rFonts w:hint="eastAsia" w:ascii="宋体" w:hAnsi="宋体" w:eastAsia="宋体" w:cs="宋体"/>
          <w:color w:val="auto"/>
          <w:kern w:val="0"/>
          <w:sz w:val="24"/>
          <w:szCs w:val="24"/>
          <w:lang w:eastAsia="zh-CN"/>
        </w:rPr>
      </w:pPr>
      <w:bookmarkStart w:id="5" w:name="_Toc22422"/>
      <w:r>
        <w:rPr>
          <w:rFonts w:hint="eastAsia" w:ascii="宋体" w:hAnsi="宋体" w:cs="宋体"/>
          <w:color w:val="auto"/>
          <w:kern w:val="0"/>
          <w:sz w:val="24"/>
          <w:szCs w:val="24"/>
        </w:rPr>
        <w:t>4、本项目对应的中小企业划分标准所属行业：</w:t>
      </w:r>
      <w:r>
        <w:rPr>
          <w:rFonts w:hint="eastAsia" w:ascii="宋体" w:hAnsi="宋体" w:cs="宋体"/>
          <w:color w:val="auto"/>
          <w:kern w:val="0"/>
          <w:sz w:val="24"/>
          <w:szCs w:val="24"/>
          <w:lang w:eastAsia="zh-CN"/>
        </w:rPr>
        <w:t>工业</w:t>
      </w:r>
    </w:p>
    <w:p w14:paraId="73B75C89">
      <w:pPr>
        <w:widowControl/>
        <w:snapToGrid w:val="0"/>
        <w:spacing w:line="360" w:lineRule="auto"/>
        <w:ind w:firstLine="480"/>
        <w:jc w:val="left"/>
        <w:rPr>
          <w:rFonts w:hint="eastAsia" w:ascii="宋体" w:hAnsi="宋体" w:cs="宋体"/>
          <w:b/>
          <w:bCs/>
          <w:color w:val="auto"/>
          <w:kern w:val="0"/>
          <w:sz w:val="24"/>
          <w:szCs w:val="24"/>
        </w:rPr>
      </w:pPr>
      <w:r>
        <w:rPr>
          <w:rFonts w:hint="eastAsia" w:ascii="宋体" w:hAnsi="宋体" w:cs="宋体"/>
          <w:color w:val="auto"/>
          <w:kern w:val="0"/>
          <w:sz w:val="24"/>
          <w:szCs w:val="24"/>
        </w:rPr>
        <w:t>5</w:t>
      </w:r>
      <w:r>
        <w:rPr>
          <w:rFonts w:ascii="宋体" w:hAnsi="宋体" w:cs="宋体"/>
          <w:color w:val="auto"/>
          <w:kern w:val="0"/>
          <w:sz w:val="24"/>
          <w:szCs w:val="24"/>
        </w:rPr>
        <w:t>、合同履行期限：</w:t>
      </w:r>
      <w:r>
        <w:rPr>
          <w:rFonts w:hint="eastAsia" w:ascii="宋体" w:hAnsi="宋体" w:cs="宋体"/>
          <w:color w:val="auto"/>
          <w:kern w:val="0"/>
          <w:sz w:val="24"/>
          <w:szCs w:val="24"/>
          <w:lang w:eastAsia="zh-CN"/>
        </w:rPr>
        <w:t>以签订合同为准</w:t>
      </w:r>
      <w:r>
        <w:rPr>
          <w:rFonts w:hint="eastAsia" w:ascii="宋体" w:hAnsi="宋体" w:cs="宋体"/>
          <w:b/>
          <w:bCs/>
          <w:color w:val="auto"/>
          <w:kern w:val="0"/>
          <w:sz w:val="24"/>
          <w:szCs w:val="24"/>
        </w:rPr>
        <w:t>。</w:t>
      </w:r>
      <w:r>
        <w:rPr>
          <w:rFonts w:ascii="宋体" w:hAnsi="宋体" w:cs="宋体"/>
          <w:color w:val="auto"/>
          <w:kern w:val="0"/>
          <w:sz w:val="24"/>
          <w:szCs w:val="24"/>
        </w:rPr>
        <w:t xml:space="preserve"> </w:t>
      </w:r>
    </w:p>
    <w:p w14:paraId="1710DCE0">
      <w:pPr>
        <w:widowControl/>
        <w:snapToGrid w:val="0"/>
        <w:spacing w:line="360" w:lineRule="auto"/>
        <w:jc w:val="left"/>
        <w:outlineLvl w:val="1"/>
        <w:rPr>
          <w:rFonts w:ascii="宋体" w:hAnsi="宋体" w:cs="宋体"/>
          <w:b/>
          <w:bCs/>
          <w:color w:val="auto"/>
          <w:kern w:val="0"/>
          <w:sz w:val="24"/>
          <w:szCs w:val="24"/>
        </w:rPr>
      </w:pPr>
      <w:r>
        <w:rPr>
          <w:rFonts w:hint="eastAsia" w:ascii="宋体" w:hAnsi="宋体" w:cs="宋体"/>
          <w:b/>
          <w:bCs/>
          <w:color w:val="auto"/>
          <w:kern w:val="0"/>
          <w:sz w:val="24"/>
          <w:szCs w:val="24"/>
        </w:rPr>
        <w:t>二</w:t>
      </w:r>
      <w:r>
        <w:rPr>
          <w:rFonts w:ascii="宋体" w:hAnsi="宋体" w:cs="宋体"/>
          <w:b/>
          <w:bCs/>
          <w:color w:val="auto"/>
          <w:kern w:val="0"/>
          <w:sz w:val="24"/>
          <w:szCs w:val="24"/>
        </w:rPr>
        <w:t>、采购人的采购需求</w:t>
      </w:r>
      <w:bookmarkEnd w:id="5"/>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2"/>
        <w:gridCol w:w="1410"/>
        <w:gridCol w:w="2179"/>
        <w:gridCol w:w="2523"/>
        <w:gridCol w:w="2018"/>
      </w:tblGrid>
      <w:tr w14:paraId="01E75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872" w:type="dxa"/>
            <w:tcBorders>
              <w:top w:val="single" w:color="000000" w:sz="4" w:space="0"/>
              <w:left w:val="single" w:color="000000" w:sz="4" w:space="0"/>
              <w:bottom w:val="single" w:color="000000" w:sz="4" w:space="0"/>
              <w:right w:val="single" w:color="000000" w:sz="4" w:space="0"/>
            </w:tcBorders>
            <w:noWrap w:val="0"/>
            <w:vAlign w:val="center"/>
          </w:tcPr>
          <w:p w14:paraId="41749C06">
            <w:pPr>
              <w:keepNext w:val="0"/>
              <w:keepLines w:val="0"/>
              <w:pageBreakBefore w:val="0"/>
              <w:kinsoku/>
              <w:wordWrap/>
              <w:overflowPunct/>
              <w:topLinePunct w:val="0"/>
              <w:autoSpaceDN/>
              <w:bidi w:val="0"/>
              <w:spacing w:line="500" w:lineRule="exact"/>
              <w:jc w:val="center"/>
              <w:textAlignment w:val="auto"/>
              <w:rPr>
                <w:rFonts w:ascii="宋体" w:hAnsi="宋体"/>
                <w:b/>
                <w:color w:val="auto"/>
                <w:sz w:val="24"/>
                <w:szCs w:val="24"/>
                <w:highlight w:val="none"/>
              </w:rPr>
            </w:pPr>
            <w:r>
              <w:rPr>
                <w:rFonts w:hint="eastAsia" w:ascii="宋体" w:hAnsi="宋体"/>
                <w:b/>
                <w:color w:val="auto"/>
                <w:sz w:val="24"/>
                <w:szCs w:val="24"/>
                <w:highlight w:val="none"/>
              </w:rPr>
              <w:t>序号</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064CDD57">
            <w:pPr>
              <w:keepNext w:val="0"/>
              <w:keepLines w:val="0"/>
              <w:pageBreakBefore w:val="0"/>
              <w:kinsoku/>
              <w:wordWrap/>
              <w:overflowPunct/>
              <w:topLinePunct w:val="0"/>
              <w:autoSpaceDN/>
              <w:bidi w:val="0"/>
              <w:spacing w:line="500" w:lineRule="exact"/>
              <w:jc w:val="center"/>
              <w:textAlignment w:val="auto"/>
              <w:rPr>
                <w:rFonts w:ascii="宋体" w:hAnsi="宋体"/>
                <w:b/>
                <w:color w:val="auto"/>
                <w:sz w:val="24"/>
                <w:szCs w:val="24"/>
                <w:highlight w:val="none"/>
              </w:rPr>
            </w:pPr>
            <w:r>
              <w:rPr>
                <w:rFonts w:hint="eastAsia" w:ascii="宋体" w:hAnsi="宋体"/>
                <w:b/>
                <w:color w:val="auto"/>
                <w:sz w:val="24"/>
                <w:szCs w:val="24"/>
                <w:highlight w:val="none"/>
              </w:rPr>
              <w:t>标的名称</w:t>
            </w:r>
          </w:p>
        </w:tc>
        <w:tc>
          <w:tcPr>
            <w:tcW w:w="2179" w:type="dxa"/>
            <w:tcBorders>
              <w:top w:val="single" w:color="000000" w:sz="4" w:space="0"/>
              <w:left w:val="single" w:color="000000" w:sz="4" w:space="0"/>
              <w:bottom w:val="single" w:color="000000" w:sz="4" w:space="0"/>
              <w:right w:val="single" w:color="000000" w:sz="4" w:space="0"/>
            </w:tcBorders>
            <w:noWrap w:val="0"/>
            <w:vAlign w:val="center"/>
          </w:tcPr>
          <w:p w14:paraId="4FE89900">
            <w:pPr>
              <w:keepNext w:val="0"/>
              <w:keepLines w:val="0"/>
              <w:pageBreakBefore w:val="0"/>
              <w:kinsoku/>
              <w:wordWrap/>
              <w:overflowPunct/>
              <w:topLinePunct w:val="0"/>
              <w:autoSpaceDN/>
              <w:bidi w:val="0"/>
              <w:spacing w:line="500" w:lineRule="exact"/>
              <w:jc w:val="center"/>
              <w:textAlignment w:val="auto"/>
              <w:rPr>
                <w:rFonts w:ascii="宋体" w:hAnsi="宋体"/>
                <w:b/>
                <w:color w:val="auto"/>
                <w:sz w:val="24"/>
                <w:szCs w:val="24"/>
                <w:highlight w:val="none"/>
              </w:rPr>
            </w:pPr>
            <w:r>
              <w:rPr>
                <w:rFonts w:hint="eastAsia" w:ascii="宋体" w:hAnsi="宋体"/>
                <w:b/>
                <w:color w:val="auto"/>
                <w:sz w:val="24"/>
                <w:szCs w:val="24"/>
                <w:highlight w:val="none"/>
              </w:rPr>
              <w:t>分类</w:t>
            </w: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3A962119">
            <w:pPr>
              <w:keepNext w:val="0"/>
              <w:keepLines w:val="0"/>
              <w:pageBreakBefore w:val="0"/>
              <w:kinsoku/>
              <w:wordWrap/>
              <w:overflowPunct/>
              <w:topLinePunct w:val="0"/>
              <w:autoSpaceDN/>
              <w:bidi w:val="0"/>
              <w:spacing w:line="500" w:lineRule="exact"/>
              <w:jc w:val="center"/>
              <w:textAlignment w:val="auto"/>
              <w:rPr>
                <w:rFonts w:ascii="宋体" w:hAnsi="宋体"/>
                <w:b/>
                <w:color w:val="auto"/>
                <w:sz w:val="24"/>
                <w:szCs w:val="24"/>
                <w:highlight w:val="none"/>
              </w:rPr>
            </w:pPr>
            <w:r>
              <w:rPr>
                <w:rFonts w:hint="eastAsia" w:ascii="宋体" w:hAnsi="宋体"/>
                <w:b/>
                <w:color w:val="auto"/>
                <w:sz w:val="24"/>
                <w:szCs w:val="24"/>
                <w:highlight w:val="none"/>
              </w:rPr>
              <w:t>数量</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13A79522">
            <w:pPr>
              <w:keepNext w:val="0"/>
              <w:keepLines w:val="0"/>
              <w:pageBreakBefore w:val="0"/>
              <w:kinsoku/>
              <w:wordWrap/>
              <w:overflowPunct/>
              <w:topLinePunct w:val="0"/>
              <w:autoSpaceDN/>
              <w:bidi w:val="0"/>
              <w:spacing w:line="500" w:lineRule="exact"/>
              <w:jc w:val="center"/>
              <w:textAlignment w:val="auto"/>
              <w:rPr>
                <w:rFonts w:ascii="宋体" w:hAnsi="宋体"/>
                <w:b/>
                <w:color w:val="auto"/>
                <w:sz w:val="24"/>
                <w:szCs w:val="24"/>
                <w:highlight w:val="none"/>
              </w:rPr>
            </w:pPr>
            <w:r>
              <w:rPr>
                <w:rFonts w:hint="eastAsia" w:ascii="宋体" w:hAnsi="宋体"/>
                <w:b/>
                <w:color w:val="auto"/>
                <w:sz w:val="24"/>
                <w:szCs w:val="24"/>
                <w:highlight w:val="none"/>
              </w:rPr>
              <w:t>备注</w:t>
            </w:r>
          </w:p>
        </w:tc>
      </w:tr>
      <w:tr w14:paraId="6FF25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872" w:type="dxa"/>
            <w:vMerge w:val="restart"/>
            <w:tcBorders>
              <w:top w:val="nil"/>
              <w:left w:val="single" w:color="000000" w:sz="4" w:space="0"/>
              <w:bottom w:val="single" w:color="000000" w:sz="4" w:space="0"/>
              <w:right w:val="single" w:color="000000" w:sz="4" w:space="0"/>
            </w:tcBorders>
            <w:noWrap w:val="0"/>
            <w:vAlign w:val="center"/>
          </w:tcPr>
          <w:p w14:paraId="57B9FC7B">
            <w:pPr>
              <w:keepNext w:val="0"/>
              <w:keepLines w:val="0"/>
              <w:pageBreakBefore w:val="0"/>
              <w:kinsoku/>
              <w:wordWrap/>
              <w:overflowPunct/>
              <w:topLinePunct w:val="0"/>
              <w:autoSpaceDN/>
              <w:bidi w:val="0"/>
              <w:spacing w:line="50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1</w:t>
            </w:r>
          </w:p>
        </w:tc>
        <w:tc>
          <w:tcPr>
            <w:tcW w:w="1410" w:type="dxa"/>
            <w:vMerge w:val="restart"/>
            <w:tcBorders>
              <w:top w:val="nil"/>
              <w:left w:val="single" w:color="000000" w:sz="4" w:space="0"/>
              <w:bottom w:val="single" w:color="000000" w:sz="4" w:space="0"/>
              <w:right w:val="single" w:color="000000" w:sz="4" w:space="0"/>
            </w:tcBorders>
            <w:noWrap w:val="0"/>
            <w:vAlign w:val="center"/>
          </w:tcPr>
          <w:p w14:paraId="32F035AD">
            <w:pPr>
              <w:keepNext w:val="0"/>
              <w:keepLines w:val="0"/>
              <w:pageBreakBefore w:val="0"/>
              <w:kinsoku/>
              <w:wordWrap/>
              <w:overflowPunct/>
              <w:topLinePunct w:val="0"/>
              <w:autoSpaceDN/>
              <w:bidi w:val="0"/>
              <w:spacing w:line="50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校服</w:t>
            </w:r>
          </w:p>
        </w:tc>
        <w:tc>
          <w:tcPr>
            <w:tcW w:w="2179" w:type="dxa"/>
            <w:tcBorders>
              <w:top w:val="single" w:color="000000" w:sz="4" w:space="0"/>
              <w:left w:val="single" w:color="000000" w:sz="4" w:space="0"/>
              <w:bottom w:val="single" w:color="000000" w:sz="4" w:space="0"/>
              <w:right w:val="single" w:color="000000" w:sz="4" w:space="0"/>
            </w:tcBorders>
            <w:noWrap w:val="0"/>
            <w:vAlign w:val="center"/>
          </w:tcPr>
          <w:p w14:paraId="5B0605AE">
            <w:pPr>
              <w:pStyle w:val="11"/>
              <w:keepNext w:val="0"/>
              <w:keepLines w:val="0"/>
              <w:pageBreakBefore w:val="0"/>
              <w:kinsoku/>
              <w:wordWrap/>
              <w:overflowPunct/>
              <w:topLinePunct w:val="0"/>
              <w:autoSpaceDN/>
              <w:bidi w:val="0"/>
              <w:spacing w:after="0" w:line="500" w:lineRule="exact"/>
              <w:ind w:left="0" w:leftChars="0" w:firstLine="0" w:firstLineChars="0"/>
              <w:jc w:val="center"/>
              <w:textAlignment w:val="auto"/>
              <w:rPr>
                <w:rFonts w:ascii="宋体" w:hAnsi="宋体"/>
                <w:color w:val="auto"/>
                <w:sz w:val="24"/>
                <w:szCs w:val="24"/>
                <w:highlight w:val="none"/>
              </w:rPr>
            </w:pPr>
            <w:r>
              <w:rPr>
                <w:rFonts w:hint="eastAsia" w:ascii="宋体" w:hAnsi="宋体"/>
                <w:b/>
                <w:bCs/>
                <w:color w:val="auto"/>
                <w:sz w:val="24"/>
                <w:szCs w:val="24"/>
                <w:highlight w:val="none"/>
              </w:rPr>
              <w:t>春秋款</w:t>
            </w: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647D3BF9">
            <w:pPr>
              <w:pStyle w:val="11"/>
              <w:keepNext w:val="0"/>
              <w:keepLines w:val="0"/>
              <w:pageBreakBefore w:val="0"/>
              <w:kinsoku/>
              <w:wordWrap/>
              <w:overflowPunct/>
              <w:topLinePunct w:val="0"/>
              <w:autoSpaceDN/>
              <w:bidi w:val="0"/>
              <w:spacing w:after="0" w:line="500" w:lineRule="exact"/>
              <w:ind w:left="0" w:leftChars="0" w:firstLine="0" w:firstLineChars="0"/>
              <w:jc w:val="center"/>
              <w:textAlignment w:val="auto"/>
              <w:rPr>
                <w:rFonts w:ascii="宋体" w:hAnsi="宋体"/>
                <w:b/>
                <w:bCs/>
                <w:color w:val="auto"/>
                <w:sz w:val="24"/>
                <w:szCs w:val="24"/>
                <w:highlight w:val="none"/>
              </w:rPr>
            </w:pPr>
            <w:r>
              <w:rPr>
                <w:rFonts w:hint="eastAsia" w:ascii="宋体" w:hAnsi="宋体"/>
                <w:color w:val="auto"/>
                <w:sz w:val="24"/>
                <w:szCs w:val="24"/>
                <w:highlight w:val="none"/>
              </w:rPr>
              <w:t>以采购合同为准</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AC03CF4">
            <w:pPr>
              <w:keepNext w:val="0"/>
              <w:keepLines w:val="0"/>
              <w:pageBreakBefore w:val="0"/>
              <w:widowControl/>
              <w:kinsoku/>
              <w:wordWrap/>
              <w:overflowPunct/>
              <w:topLinePunct w:val="0"/>
              <w:autoSpaceDN/>
              <w:bidi w:val="0"/>
              <w:spacing w:line="500" w:lineRule="exact"/>
              <w:jc w:val="left"/>
              <w:textAlignment w:val="auto"/>
              <w:rPr>
                <w:rFonts w:ascii="宋体" w:hAnsi="宋体"/>
                <w:color w:val="auto"/>
                <w:sz w:val="24"/>
                <w:szCs w:val="24"/>
                <w:highlight w:val="none"/>
              </w:rPr>
            </w:pPr>
          </w:p>
        </w:tc>
      </w:tr>
      <w:tr w14:paraId="31497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872" w:type="dxa"/>
            <w:vMerge w:val="continue"/>
            <w:tcBorders>
              <w:top w:val="nil"/>
              <w:left w:val="single" w:color="000000" w:sz="4" w:space="0"/>
              <w:bottom w:val="single" w:color="000000" w:sz="4" w:space="0"/>
              <w:right w:val="single" w:color="000000" w:sz="4" w:space="0"/>
            </w:tcBorders>
            <w:noWrap w:val="0"/>
            <w:vAlign w:val="center"/>
          </w:tcPr>
          <w:p w14:paraId="475F81AF">
            <w:pPr>
              <w:keepNext w:val="0"/>
              <w:keepLines w:val="0"/>
              <w:pageBreakBefore w:val="0"/>
              <w:widowControl/>
              <w:kinsoku/>
              <w:wordWrap/>
              <w:overflowPunct/>
              <w:topLinePunct w:val="0"/>
              <w:autoSpaceDN/>
              <w:bidi w:val="0"/>
              <w:spacing w:line="500" w:lineRule="exact"/>
              <w:jc w:val="left"/>
              <w:textAlignment w:val="auto"/>
              <w:rPr>
                <w:rFonts w:ascii="宋体" w:hAnsi="宋体"/>
                <w:color w:val="auto"/>
                <w:sz w:val="24"/>
                <w:szCs w:val="24"/>
                <w:highlight w:val="none"/>
              </w:rPr>
            </w:pPr>
          </w:p>
        </w:tc>
        <w:tc>
          <w:tcPr>
            <w:tcW w:w="1410" w:type="dxa"/>
            <w:vMerge w:val="continue"/>
            <w:tcBorders>
              <w:top w:val="nil"/>
              <w:left w:val="single" w:color="000000" w:sz="4" w:space="0"/>
              <w:bottom w:val="single" w:color="000000" w:sz="4" w:space="0"/>
              <w:right w:val="single" w:color="000000" w:sz="4" w:space="0"/>
            </w:tcBorders>
            <w:noWrap w:val="0"/>
            <w:vAlign w:val="center"/>
          </w:tcPr>
          <w:p w14:paraId="4863638F">
            <w:pPr>
              <w:keepNext w:val="0"/>
              <w:keepLines w:val="0"/>
              <w:pageBreakBefore w:val="0"/>
              <w:widowControl/>
              <w:kinsoku/>
              <w:wordWrap/>
              <w:overflowPunct/>
              <w:topLinePunct w:val="0"/>
              <w:autoSpaceDN/>
              <w:bidi w:val="0"/>
              <w:spacing w:line="500" w:lineRule="exact"/>
              <w:jc w:val="left"/>
              <w:textAlignment w:val="auto"/>
              <w:rPr>
                <w:rFonts w:ascii="宋体" w:hAnsi="宋体"/>
                <w:color w:val="auto"/>
                <w:sz w:val="24"/>
                <w:szCs w:val="24"/>
                <w:highlight w:val="none"/>
              </w:rPr>
            </w:pPr>
          </w:p>
        </w:tc>
        <w:tc>
          <w:tcPr>
            <w:tcW w:w="2179" w:type="dxa"/>
            <w:tcBorders>
              <w:top w:val="single" w:color="000000" w:sz="4" w:space="0"/>
              <w:left w:val="single" w:color="000000" w:sz="4" w:space="0"/>
              <w:bottom w:val="single" w:color="000000" w:sz="4" w:space="0"/>
              <w:right w:val="single" w:color="000000" w:sz="4" w:space="0"/>
            </w:tcBorders>
            <w:noWrap w:val="0"/>
            <w:vAlign w:val="center"/>
          </w:tcPr>
          <w:p w14:paraId="32627EAF">
            <w:pPr>
              <w:pStyle w:val="11"/>
              <w:keepNext w:val="0"/>
              <w:keepLines w:val="0"/>
              <w:pageBreakBefore w:val="0"/>
              <w:kinsoku/>
              <w:wordWrap/>
              <w:overflowPunct/>
              <w:topLinePunct w:val="0"/>
              <w:autoSpaceDN/>
              <w:bidi w:val="0"/>
              <w:spacing w:after="0" w:line="500" w:lineRule="exact"/>
              <w:ind w:left="0" w:leftChars="0" w:firstLine="0" w:firstLineChars="0"/>
              <w:jc w:val="center"/>
              <w:textAlignment w:val="auto"/>
              <w:rPr>
                <w:rFonts w:ascii="宋体" w:hAnsi="宋体"/>
                <w:color w:val="auto"/>
                <w:sz w:val="24"/>
                <w:szCs w:val="24"/>
                <w:highlight w:val="none"/>
              </w:rPr>
            </w:pPr>
            <w:r>
              <w:rPr>
                <w:rFonts w:hint="eastAsia" w:ascii="宋体" w:hAnsi="宋体"/>
                <w:b/>
                <w:bCs/>
                <w:color w:val="auto"/>
                <w:sz w:val="24"/>
                <w:szCs w:val="24"/>
                <w:highlight w:val="none"/>
              </w:rPr>
              <w:t>夏款</w:t>
            </w: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1432EACA">
            <w:pPr>
              <w:pStyle w:val="11"/>
              <w:keepNext w:val="0"/>
              <w:keepLines w:val="0"/>
              <w:pageBreakBefore w:val="0"/>
              <w:kinsoku/>
              <w:wordWrap/>
              <w:overflowPunct/>
              <w:topLinePunct w:val="0"/>
              <w:autoSpaceDN/>
              <w:bidi w:val="0"/>
              <w:spacing w:after="0" w:line="500" w:lineRule="exact"/>
              <w:ind w:left="0" w:leftChars="0" w:firstLine="0" w:firstLineChars="0"/>
              <w:jc w:val="center"/>
              <w:textAlignment w:val="auto"/>
              <w:rPr>
                <w:rFonts w:ascii="宋体" w:hAnsi="宋体"/>
                <w:b/>
                <w:bCs/>
                <w:color w:val="auto"/>
                <w:sz w:val="24"/>
                <w:szCs w:val="24"/>
                <w:highlight w:val="none"/>
              </w:rPr>
            </w:pPr>
            <w:r>
              <w:rPr>
                <w:rFonts w:hint="eastAsia" w:ascii="宋体" w:hAnsi="宋体"/>
                <w:color w:val="auto"/>
                <w:sz w:val="24"/>
                <w:szCs w:val="24"/>
                <w:highlight w:val="none"/>
              </w:rPr>
              <w:t>以采购合同为准</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11D3394F">
            <w:pPr>
              <w:keepNext w:val="0"/>
              <w:keepLines w:val="0"/>
              <w:pageBreakBefore w:val="0"/>
              <w:widowControl/>
              <w:kinsoku/>
              <w:wordWrap/>
              <w:overflowPunct/>
              <w:topLinePunct w:val="0"/>
              <w:autoSpaceDN/>
              <w:bidi w:val="0"/>
              <w:spacing w:line="500" w:lineRule="exact"/>
              <w:jc w:val="left"/>
              <w:textAlignment w:val="auto"/>
              <w:rPr>
                <w:rFonts w:ascii="宋体" w:hAnsi="宋体"/>
                <w:color w:val="auto"/>
                <w:sz w:val="24"/>
                <w:szCs w:val="24"/>
                <w:highlight w:val="none"/>
              </w:rPr>
            </w:pPr>
          </w:p>
        </w:tc>
      </w:tr>
      <w:tr w14:paraId="67AAC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872" w:type="dxa"/>
            <w:vMerge w:val="continue"/>
            <w:tcBorders>
              <w:top w:val="nil"/>
              <w:left w:val="single" w:color="000000" w:sz="4" w:space="0"/>
              <w:bottom w:val="single" w:color="000000" w:sz="4" w:space="0"/>
              <w:right w:val="single" w:color="000000" w:sz="4" w:space="0"/>
            </w:tcBorders>
            <w:noWrap w:val="0"/>
            <w:vAlign w:val="center"/>
          </w:tcPr>
          <w:p w14:paraId="2E0745FB">
            <w:pPr>
              <w:keepNext w:val="0"/>
              <w:keepLines w:val="0"/>
              <w:pageBreakBefore w:val="0"/>
              <w:widowControl/>
              <w:kinsoku/>
              <w:wordWrap/>
              <w:overflowPunct/>
              <w:topLinePunct w:val="0"/>
              <w:autoSpaceDN/>
              <w:bidi w:val="0"/>
              <w:spacing w:line="500" w:lineRule="exact"/>
              <w:jc w:val="left"/>
              <w:textAlignment w:val="auto"/>
              <w:rPr>
                <w:rFonts w:ascii="宋体" w:hAnsi="宋体"/>
                <w:color w:val="auto"/>
                <w:sz w:val="24"/>
                <w:szCs w:val="24"/>
                <w:highlight w:val="none"/>
              </w:rPr>
            </w:pPr>
          </w:p>
        </w:tc>
        <w:tc>
          <w:tcPr>
            <w:tcW w:w="1410" w:type="dxa"/>
            <w:vMerge w:val="continue"/>
            <w:tcBorders>
              <w:top w:val="nil"/>
              <w:left w:val="single" w:color="000000" w:sz="4" w:space="0"/>
              <w:bottom w:val="single" w:color="000000" w:sz="4" w:space="0"/>
              <w:right w:val="single" w:color="000000" w:sz="4" w:space="0"/>
            </w:tcBorders>
            <w:noWrap w:val="0"/>
            <w:vAlign w:val="center"/>
          </w:tcPr>
          <w:p w14:paraId="7FB8B913">
            <w:pPr>
              <w:keepNext w:val="0"/>
              <w:keepLines w:val="0"/>
              <w:pageBreakBefore w:val="0"/>
              <w:widowControl/>
              <w:kinsoku/>
              <w:wordWrap/>
              <w:overflowPunct/>
              <w:topLinePunct w:val="0"/>
              <w:autoSpaceDN/>
              <w:bidi w:val="0"/>
              <w:spacing w:line="500" w:lineRule="exact"/>
              <w:jc w:val="left"/>
              <w:textAlignment w:val="auto"/>
              <w:rPr>
                <w:rFonts w:ascii="宋体" w:hAnsi="宋体"/>
                <w:color w:val="auto"/>
                <w:sz w:val="24"/>
                <w:szCs w:val="24"/>
                <w:highlight w:val="none"/>
              </w:rPr>
            </w:pPr>
          </w:p>
        </w:tc>
        <w:tc>
          <w:tcPr>
            <w:tcW w:w="2179" w:type="dxa"/>
            <w:tcBorders>
              <w:top w:val="single" w:color="000000" w:sz="4" w:space="0"/>
              <w:left w:val="single" w:color="000000" w:sz="4" w:space="0"/>
              <w:bottom w:val="single" w:color="000000" w:sz="4" w:space="0"/>
              <w:right w:val="single" w:color="000000" w:sz="4" w:space="0"/>
            </w:tcBorders>
            <w:noWrap w:val="0"/>
            <w:vAlign w:val="center"/>
          </w:tcPr>
          <w:p w14:paraId="6C07D101">
            <w:pPr>
              <w:pStyle w:val="11"/>
              <w:keepNext w:val="0"/>
              <w:keepLines w:val="0"/>
              <w:pageBreakBefore w:val="0"/>
              <w:kinsoku/>
              <w:wordWrap/>
              <w:overflowPunct/>
              <w:topLinePunct w:val="0"/>
              <w:autoSpaceDN/>
              <w:bidi w:val="0"/>
              <w:spacing w:after="0" w:line="500" w:lineRule="exact"/>
              <w:ind w:left="0" w:leftChars="0" w:firstLine="0" w:firstLineChars="0"/>
              <w:jc w:val="center"/>
              <w:textAlignment w:val="auto"/>
              <w:rPr>
                <w:rFonts w:ascii="宋体" w:hAnsi="宋体"/>
                <w:color w:val="auto"/>
                <w:sz w:val="24"/>
                <w:szCs w:val="24"/>
                <w:highlight w:val="none"/>
              </w:rPr>
            </w:pPr>
            <w:r>
              <w:rPr>
                <w:rFonts w:hint="eastAsia" w:ascii="宋体" w:hAnsi="宋体"/>
                <w:b/>
                <w:bCs/>
                <w:color w:val="auto"/>
                <w:sz w:val="24"/>
                <w:szCs w:val="24"/>
                <w:highlight w:val="none"/>
              </w:rPr>
              <w:t>冬装</w:t>
            </w: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30EFA117">
            <w:pPr>
              <w:pStyle w:val="11"/>
              <w:keepNext w:val="0"/>
              <w:keepLines w:val="0"/>
              <w:pageBreakBefore w:val="0"/>
              <w:kinsoku/>
              <w:wordWrap/>
              <w:overflowPunct/>
              <w:topLinePunct w:val="0"/>
              <w:autoSpaceDN/>
              <w:bidi w:val="0"/>
              <w:spacing w:after="0" w:line="500" w:lineRule="exact"/>
              <w:ind w:left="0" w:leftChars="0" w:firstLine="0" w:firstLineChars="0"/>
              <w:jc w:val="center"/>
              <w:textAlignment w:val="auto"/>
              <w:rPr>
                <w:rFonts w:ascii="宋体" w:hAnsi="宋体"/>
                <w:b/>
                <w:bCs/>
                <w:color w:val="auto"/>
                <w:sz w:val="24"/>
                <w:szCs w:val="24"/>
                <w:highlight w:val="none"/>
              </w:rPr>
            </w:pPr>
            <w:r>
              <w:rPr>
                <w:rFonts w:hint="eastAsia" w:ascii="宋体" w:hAnsi="宋体"/>
                <w:color w:val="auto"/>
                <w:sz w:val="24"/>
                <w:szCs w:val="24"/>
                <w:highlight w:val="none"/>
              </w:rPr>
              <w:t>以采购合同为准</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F96F8F9">
            <w:pPr>
              <w:pStyle w:val="11"/>
              <w:keepNext w:val="0"/>
              <w:keepLines w:val="0"/>
              <w:pageBreakBefore w:val="0"/>
              <w:kinsoku/>
              <w:wordWrap/>
              <w:overflowPunct/>
              <w:topLinePunct w:val="0"/>
              <w:autoSpaceDN/>
              <w:bidi w:val="0"/>
              <w:spacing w:after="0" w:line="500" w:lineRule="exact"/>
              <w:ind w:left="0" w:leftChars="0" w:firstLine="0" w:firstLineChars="0"/>
              <w:jc w:val="left"/>
              <w:textAlignment w:val="auto"/>
              <w:rPr>
                <w:rFonts w:ascii="宋体" w:hAnsi="宋体"/>
                <w:color w:val="auto"/>
                <w:sz w:val="24"/>
                <w:szCs w:val="24"/>
                <w:highlight w:val="none"/>
              </w:rPr>
            </w:pPr>
          </w:p>
        </w:tc>
      </w:tr>
    </w:tbl>
    <w:p w14:paraId="179F351D">
      <w:pPr>
        <w:widowControl/>
        <w:snapToGrid w:val="0"/>
        <w:spacing w:before="240" w:line="360" w:lineRule="auto"/>
        <w:jc w:val="left"/>
        <w:outlineLvl w:val="1"/>
        <w:rPr>
          <w:rFonts w:hint="eastAsia" w:ascii="宋体" w:hAnsi="宋体" w:cs="宋体"/>
          <w:b/>
          <w:bCs/>
          <w:color w:val="auto"/>
          <w:kern w:val="0"/>
          <w:sz w:val="24"/>
          <w:szCs w:val="24"/>
        </w:rPr>
      </w:pPr>
      <w:bookmarkStart w:id="6" w:name="_Toc23643"/>
      <w:r>
        <w:rPr>
          <w:rFonts w:hint="eastAsia" w:ascii="宋体" w:hAnsi="宋体" w:cs="宋体"/>
          <w:b/>
          <w:bCs/>
          <w:color w:val="auto"/>
          <w:kern w:val="0"/>
          <w:sz w:val="24"/>
          <w:szCs w:val="24"/>
        </w:rPr>
        <w:t>三、</w:t>
      </w:r>
      <w:r>
        <w:rPr>
          <w:rFonts w:ascii="宋体" w:hAnsi="宋体" w:cs="宋体"/>
          <w:b/>
          <w:bCs/>
          <w:color w:val="auto"/>
          <w:kern w:val="0"/>
          <w:sz w:val="24"/>
          <w:szCs w:val="24"/>
        </w:rPr>
        <w:t>投标人的资格要求：</w:t>
      </w:r>
      <w:bookmarkEnd w:id="6"/>
    </w:p>
    <w:p w14:paraId="2068E4D9">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 xml:space="preserve">1、投标人的基本资格条件：投标人必须是在中华人民共和国境内注册登记的法人、其他组织或者自然人，且应当符合《政府采购法》第二十二条第一款的规定。 </w:t>
      </w:r>
    </w:p>
    <w:p w14:paraId="0B4BF3DF">
      <w:pPr>
        <w:widowControl/>
        <w:snapToGrid w:val="0"/>
        <w:spacing w:line="360" w:lineRule="auto"/>
        <w:ind w:firstLine="480"/>
        <w:jc w:val="left"/>
        <w:rPr>
          <w:rFonts w:hint="eastAsia" w:ascii="宋体" w:hAnsi="宋体" w:cs="宋体"/>
          <w:color w:val="auto"/>
          <w:kern w:val="0"/>
          <w:sz w:val="24"/>
          <w:szCs w:val="24"/>
        </w:rPr>
      </w:pPr>
      <w:r>
        <w:rPr>
          <w:rFonts w:hint="eastAsia" w:ascii="宋体" w:hAnsi="宋体" w:cs="宋体"/>
          <w:color w:val="auto"/>
          <w:kern w:val="0"/>
          <w:sz w:val="24"/>
          <w:szCs w:val="24"/>
        </w:rPr>
        <w:t>2</w:t>
      </w:r>
      <w:r>
        <w:rPr>
          <w:rFonts w:ascii="宋体" w:hAnsi="宋体" w:cs="宋体"/>
          <w:color w:val="auto"/>
          <w:kern w:val="0"/>
          <w:sz w:val="24"/>
          <w:szCs w:val="24"/>
        </w:rPr>
        <w:t>、</w:t>
      </w:r>
      <w:r>
        <w:rPr>
          <w:rFonts w:hint="eastAsia" w:ascii="宋体" w:hAnsi="宋体" w:cs="宋体"/>
          <w:color w:val="auto"/>
          <w:kern w:val="0"/>
          <w:sz w:val="24"/>
          <w:szCs w:val="24"/>
        </w:rPr>
        <w:t>落实政府采购政策需满足的资格要求：</w:t>
      </w:r>
    </w:p>
    <w:p w14:paraId="3375F154">
      <w:pPr>
        <w:widowControl/>
        <w:snapToGrid w:val="0"/>
        <w:spacing w:line="360" w:lineRule="auto"/>
        <w:ind w:firstLine="480"/>
        <w:jc w:val="left"/>
        <w:rPr>
          <w:rFonts w:hint="eastAsia" w:ascii="宋体" w:hAnsi="宋体" w:cs="宋体"/>
          <w:color w:val="auto"/>
          <w:kern w:val="0"/>
          <w:sz w:val="24"/>
          <w:szCs w:val="24"/>
        </w:rPr>
      </w:pPr>
      <w:r>
        <w:rPr>
          <w:rFonts w:ascii="Segoe UI Symbol" w:hAnsi="Segoe UI Symbol" w:cs="Segoe UI Symbol"/>
          <w:color w:val="auto"/>
          <w:sz w:val="24"/>
          <w:szCs w:val="24"/>
        </w:rPr>
        <w:t>☑</w:t>
      </w:r>
      <w:r>
        <w:rPr>
          <w:rFonts w:hint="eastAsia" w:ascii="宋体" w:hAnsi="宋体" w:cs="宋体"/>
          <w:color w:val="auto"/>
          <w:kern w:val="0"/>
          <w:sz w:val="24"/>
          <w:szCs w:val="24"/>
        </w:rPr>
        <w:t xml:space="preserve">专门面向： </w:t>
      </w:r>
      <w:r>
        <w:rPr>
          <w:rFonts w:ascii="Segoe UI Symbol" w:hAnsi="Segoe UI Symbol" w:cs="Segoe UI Symbol"/>
          <w:color w:val="auto"/>
          <w:sz w:val="24"/>
          <w:szCs w:val="24"/>
        </w:rPr>
        <w:t>☑</w:t>
      </w:r>
      <w:r>
        <w:rPr>
          <w:rFonts w:hint="eastAsia" w:ascii="宋体" w:hAnsi="宋体" w:cs="宋体"/>
          <w:color w:val="auto"/>
          <w:kern w:val="0"/>
          <w:sz w:val="24"/>
          <w:szCs w:val="24"/>
        </w:rPr>
        <w:t xml:space="preserve">中小企业 </w:t>
      </w:r>
      <w:r>
        <w:rPr>
          <w:rFonts w:hint="eastAsia" w:ascii="宋体" w:hAnsi="宋体" w:cs="宋体"/>
          <w:color w:val="auto"/>
          <w:sz w:val="24"/>
          <w:szCs w:val="24"/>
          <w:lang w:eastAsia="zh-CN"/>
        </w:rPr>
        <w:t>□</w:t>
      </w:r>
      <w:r>
        <w:rPr>
          <w:rFonts w:hint="eastAsia" w:ascii="宋体" w:hAnsi="宋体" w:cs="宋体"/>
          <w:color w:val="auto"/>
          <w:kern w:val="0"/>
          <w:sz w:val="24"/>
          <w:szCs w:val="24"/>
        </w:rPr>
        <w:t xml:space="preserve">小微企业 </w:t>
      </w:r>
      <w:r>
        <w:rPr>
          <w:rFonts w:hint="eastAsia" w:ascii="宋体" w:hAnsi="宋体" w:cs="宋体"/>
          <w:color w:val="auto"/>
          <w:sz w:val="24"/>
          <w:szCs w:val="24"/>
        </w:rPr>
        <w:t>□</w:t>
      </w:r>
      <w:r>
        <w:rPr>
          <w:rFonts w:hint="eastAsia" w:ascii="宋体" w:hAnsi="宋体" w:cs="宋体"/>
          <w:color w:val="auto"/>
          <w:kern w:val="0"/>
          <w:sz w:val="24"/>
          <w:szCs w:val="24"/>
        </w:rPr>
        <w:t xml:space="preserve">监狱企业 </w:t>
      </w:r>
      <w:r>
        <w:rPr>
          <w:rFonts w:hint="eastAsia" w:ascii="宋体" w:hAnsi="宋体" w:cs="宋体"/>
          <w:color w:val="auto"/>
          <w:sz w:val="24"/>
          <w:szCs w:val="24"/>
        </w:rPr>
        <w:t>□</w:t>
      </w:r>
      <w:r>
        <w:rPr>
          <w:rFonts w:hint="eastAsia" w:ascii="宋体" w:hAnsi="宋体" w:cs="宋体"/>
          <w:color w:val="auto"/>
          <w:kern w:val="0"/>
          <w:sz w:val="24"/>
          <w:szCs w:val="24"/>
        </w:rPr>
        <w:t xml:space="preserve">福利性单位 </w:t>
      </w:r>
    </w:p>
    <w:p w14:paraId="0E6F82D2">
      <w:pPr>
        <w:widowControl/>
        <w:snapToGrid w:val="0"/>
        <w:spacing w:line="360" w:lineRule="auto"/>
        <w:ind w:firstLine="480"/>
        <w:jc w:val="left"/>
        <w:rPr>
          <w:rFonts w:hint="eastAsia" w:ascii="宋体" w:hAnsi="宋体" w:cs="宋体"/>
          <w:color w:val="auto"/>
          <w:kern w:val="0"/>
          <w:sz w:val="24"/>
          <w:szCs w:val="24"/>
        </w:rPr>
      </w:pPr>
      <w:r>
        <w:rPr>
          <w:rFonts w:hint="eastAsia" w:ascii="宋体" w:hAnsi="宋体" w:cs="宋体"/>
          <w:color w:val="auto"/>
          <w:sz w:val="24"/>
          <w:szCs w:val="24"/>
        </w:rPr>
        <w:t>□</w:t>
      </w:r>
      <w:r>
        <w:rPr>
          <w:rFonts w:hint="eastAsia" w:ascii="宋体" w:hAnsi="宋体" w:cs="宋体"/>
          <w:color w:val="auto"/>
          <w:kern w:val="0"/>
          <w:sz w:val="24"/>
          <w:szCs w:val="24"/>
        </w:rPr>
        <w:t>强制分包：大型企业应将采购份额的</w:t>
      </w:r>
      <w:r>
        <w:rPr>
          <w:rFonts w:hint="eastAsia" w:ascii="宋体" w:hAnsi="宋体" w:cs="宋体"/>
          <w:color w:val="auto"/>
          <w:kern w:val="0"/>
          <w:sz w:val="24"/>
          <w:szCs w:val="24"/>
          <w:u w:val="single"/>
        </w:rPr>
        <w:t>/</w:t>
      </w:r>
      <w:r>
        <w:rPr>
          <w:rFonts w:hint="eastAsia" w:ascii="宋体" w:hAnsi="宋体" w:cs="宋体"/>
          <w:color w:val="auto"/>
          <w:kern w:val="0"/>
          <w:sz w:val="24"/>
          <w:szCs w:val="24"/>
        </w:rPr>
        <w:t>%分包给中小企业。</w:t>
      </w:r>
    </w:p>
    <w:p w14:paraId="66FA5AAC">
      <w:pPr>
        <w:widowControl/>
        <w:snapToGrid w:val="0"/>
        <w:spacing w:line="360" w:lineRule="auto"/>
        <w:ind w:firstLine="480"/>
        <w:jc w:val="left"/>
        <w:rPr>
          <w:rFonts w:hint="eastAsia"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、供应商特定资格条件：</w:t>
      </w:r>
      <w:bookmarkStart w:id="7" w:name="OLE_LINK1"/>
    </w:p>
    <w:p w14:paraId="1736BD1B">
      <w:pPr>
        <w:widowControl/>
        <w:snapToGrid w:val="0"/>
        <w:spacing w:line="360" w:lineRule="auto"/>
        <w:ind w:firstLine="480" w:firstLineChars="200"/>
        <w:jc w:val="left"/>
        <w:rPr>
          <w:rFonts w:hint="eastAsia" w:ascii="宋体" w:hAnsi="宋体" w:cs="宋体"/>
          <w:color w:val="auto"/>
          <w:kern w:val="0"/>
          <w:sz w:val="24"/>
          <w:szCs w:val="24"/>
          <w:lang w:bidi="ar"/>
        </w:rPr>
      </w:pPr>
      <w:r>
        <w:rPr>
          <w:rFonts w:hint="eastAsia" w:ascii="宋体" w:hAnsi="宋体" w:cs="宋体"/>
          <w:color w:val="auto"/>
          <w:kern w:val="0"/>
          <w:sz w:val="24"/>
          <w:szCs w:val="24"/>
          <w:lang w:bidi="ar"/>
        </w:rPr>
        <w:t>（1）本项目专门面向中小企业采购，采购标的对应的中小企业划分标准所属行业为：</w:t>
      </w:r>
      <w:r>
        <w:rPr>
          <w:rFonts w:hint="eastAsia" w:ascii="宋体" w:hAnsi="宋体" w:cs="宋体"/>
          <w:color w:val="auto"/>
          <w:kern w:val="0"/>
          <w:sz w:val="24"/>
          <w:szCs w:val="24"/>
          <w:lang w:eastAsia="zh-CN" w:bidi="ar"/>
        </w:rPr>
        <w:t>工业</w:t>
      </w:r>
      <w:r>
        <w:rPr>
          <w:rFonts w:hint="eastAsia" w:ascii="宋体" w:hAnsi="宋体" w:cs="宋体"/>
          <w:color w:val="auto"/>
          <w:kern w:val="0"/>
          <w:sz w:val="24"/>
          <w:szCs w:val="24"/>
          <w:lang w:bidi="ar"/>
        </w:rPr>
        <w:t>。中小企业参加投标必须提供《中小企业声明函》，否则视为无效投标。（如供应商提供的《中小企业声明函》内容不实的，属于提供虚假材料谋取成交，依照《中华人民共和国政府采购法》等国家有关规定追究相应责任。）</w:t>
      </w:r>
    </w:p>
    <w:p w14:paraId="132004DF">
      <w:pPr>
        <w:widowControl/>
        <w:snapToGrid w:val="0"/>
        <w:spacing w:line="360" w:lineRule="auto"/>
        <w:ind w:firstLine="480" w:firstLineChars="200"/>
        <w:jc w:val="left"/>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eastAsia="zh-CN" w:bidi="ar"/>
        </w:rPr>
        <w:t>（</w:t>
      </w:r>
      <w:r>
        <w:rPr>
          <w:rFonts w:hint="eastAsia" w:ascii="宋体" w:hAnsi="宋体" w:cs="宋体"/>
          <w:color w:val="auto"/>
          <w:kern w:val="0"/>
          <w:sz w:val="24"/>
          <w:szCs w:val="24"/>
          <w:lang w:val="en-US" w:eastAsia="zh-CN" w:bidi="ar"/>
        </w:rPr>
        <w:t>2</w:t>
      </w:r>
      <w:r>
        <w:rPr>
          <w:rFonts w:hint="eastAsia" w:ascii="宋体" w:hAnsi="宋体" w:cs="宋体"/>
          <w:color w:val="auto"/>
          <w:kern w:val="0"/>
          <w:sz w:val="24"/>
          <w:szCs w:val="24"/>
          <w:lang w:eastAsia="zh-CN" w:bidi="ar"/>
        </w:rPr>
        <w:t>）</w:t>
      </w:r>
      <w:r>
        <w:rPr>
          <w:rFonts w:hint="eastAsia" w:ascii="宋体" w:hAnsi="宋体" w:cs="宋体"/>
          <w:color w:val="auto"/>
          <w:kern w:val="0"/>
          <w:sz w:val="24"/>
          <w:szCs w:val="24"/>
          <w:lang w:val="en-US" w:eastAsia="zh-CN" w:bidi="ar"/>
        </w:rPr>
        <w:t>提供《湖南省政府采购供应商资格承诺函》（根据《湖南省财政厅湖南省工业和信息化厅关于运用政府采购促进中小企业发展有关事项的通知》（湘财购【2021】16号文）和《湖南省财政厅关于政府采购促进中小企业发展有关措施的通知》（湘财购【2022】17号文），符合法定条件的供应商凭《湖南省政府采购供应商资格承诺函》（格式详见（湘财购【2022】17号文））参与政府采购活动，也可通过在金融机构办理电子增信取得对应信用星级参与政府采购活动和电子卖场交易，无需提供财政状况、缴纳税收和社会保障资金等资格证明材料。经采购人或监管部门查实，提供虚假承诺的供应商将以虚假资料谋取中标（成交）的违法行为，被列入不良记录名单，采购人有权取消其中标资格）。</w:t>
      </w:r>
      <w:bookmarkEnd w:id="7"/>
    </w:p>
    <w:p w14:paraId="7ED14A9C">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 xml:space="preserve">4、单位负责人为同一人或者存在直接控股、管理关系的不同投标人，不得参加同一合同项下的政府采购活动。 </w:t>
      </w:r>
    </w:p>
    <w:p w14:paraId="3E282F18">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 xml:space="preserve">5、为本采购项目提供整体设计、规范编制或者项目管理、监理、检测等服务的，不得再参加此项目的其他采购活动。 </w:t>
      </w:r>
    </w:p>
    <w:p w14:paraId="26A37F44">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 xml:space="preserve">6、列入失信被执行人、重大税收违法失信主体名单、政府采购严重违法失信行为记录名单的，拒绝其参与政府采购活动。 </w:t>
      </w:r>
    </w:p>
    <w:p w14:paraId="69561B7B">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7、联合体投标。本次招标</w:t>
      </w:r>
      <w:r>
        <w:rPr>
          <w:rFonts w:ascii="宋体" w:hAnsi="宋体" w:cs="宋体"/>
          <w:color w:val="auto"/>
          <w:kern w:val="0"/>
          <w:sz w:val="24"/>
          <w:szCs w:val="24"/>
          <w:u w:val="single"/>
        </w:rPr>
        <w:t>不接受</w:t>
      </w:r>
      <w:r>
        <w:rPr>
          <w:rFonts w:ascii="宋体" w:hAnsi="宋体" w:cs="宋体"/>
          <w:color w:val="auto"/>
          <w:kern w:val="0"/>
          <w:sz w:val="24"/>
          <w:szCs w:val="24"/>
        </w:rPr>
        <w:t xml:space="preserve">联合体投标。 </w:t>
      </w:r>
    </w:p>
    <w:p w14:paraId="0B893E5D">
      <w:pPr>
        <w:widowControl/>
        <w:snapToGrid w:val="0"/>
        <w:spacing w:line="360" w:lineRule="auto"/>
        <w:jc w:val="left"/>
        <w:outlineLvl w:val="1"/>
        <w:rPr>
          <w:rFonts w:hint="eastAsia" w:ascii="宋体" w:hAnsi="宋体" w:cs="宋体"/>
          <w:b/>
          <w:bCs/>
          <w:color w:val="auto"/>
          <w:kern w:val="0"/>
          <w:sz w:val="24"/>
          <w:szCs w:val="24"/>
        </w:rPr>
      </w:pPr>
      <w:bookmarkStart w:id="8" w:name="_Toc21888"/>
      <w:r>
        <w:rPr>
          <w:rFonts w:hint="eastAsia" w:ascii="宋体" w:hAnsi="宋体" w:cs="宋体"/>
          <w:b/>
          <w:bCs/>
          <w:color w:val="auto"/>
          <w:kern w:val="0"/>
          <w:sz w:val="24"/>
          <w:szCs w:val="24"/>
        </w:rPr>
        <w:t>四</w:t>
      </w:r>
      <w:r>
        <w:rPr>
          <w:rFonts w:ascii="宋体" w:hAnsi="宋体" w:cs="宋体"/>
          <w:b/>
          <w:bCs/>
          <w:color w:val="auto"/>
          <w:kern w:val="0"/>
          <w:sz w:val="24"/>
          <w:szCs w:val="24"/>
        </w:rPr>
        <w:t>、获取</w:t>
      </w:r>
      <w:r>
        <w:rPr>
          <w:rFonts w:hint="eastAsia" w:ascii="宋体" w:hAnsi="宋体" w:cs="宋体"/>
          <w:b/>
          <w:bCs/>
          <w:color w:val="auto"/>
          <w:kern w:val="0"/>
          <w:sz w:val="24"/>
          <w:szCs w:val="24"/>
          <w:lang w:eastAsia="zh-CN"/>
        </w:rPr>
        <w:t>磋商文件</w:t>
      </w:r>
      <w:r>
        <w:rPr>
          <w:rFonts w:ascii="宋体" w:hAnsi="宋体" w:cs="宋体"/>
          <w:b/>
          <w:bCs/>
          <w:color w:val="auto"/>
          <w:kern w:val="0"/>
          <w:sz w:val="24"/>
          <w:szCs w:val="24"/>
        </w:rPr>
        <w:t>的时间、期限、地点及方式</w:t>
      </w:r>
      <w:bookmarkEnd w:id="8"/>
    </w:p>
    <w:p w14:paraId="2B2A3673">
      <w:pPr>
        <w:widowControl/>
        <w:snapToGrid w:val="0"/>
        <w:spacing w:line="360" w:lineRule="auto"/>
        <w:ind w:firstLine="480"/>
        <w:jc w:val="left"/>
        <w:rPr>
          <w:rFonts w:hint="eastAsia" w:ascii="宋体" w:hAnsi="宋体" w:cs="宋体"/>
          <w:color w:val="auto"/>
          <w:kern w:val="0"/>
          <w:sz w:val="24"/>
          <w:szCs w:val="24"/>
          <w:highlight w:val="none"/>
        </w:rPr>
      </w:pPr>
      <w:r>
        <w:rPr>
          <w:rFonts w:ascii="宋体" w:hAnsi="宋体" w:cs="宋体"/>
          <w:color w:val="auto"/>
          <w:kern w:val="0"/>
          <w:sz w:val="24"/>
          <w:szCs w:val="24"/>
        </w:rPr>
        <w:t>有意参加投标者，于202</w:t>
      </w:r>
      <w:r>
        <w:rPr>
          <w:rFonts w:hint="eastAsia" w:ascii="宋体" w:hAnsi="宋体" w:cs="宋体"/>
          <w:color w:val="auto"/>
          <w:kern w:val="0"/>
          <w:sz w:val="24"/>
          <w:szCs w:val="24"/>
        </w:rPr>
        <w:t>4</w:t>
      </w:r>
      <w:r>
        <w:rPr>
          <w:rFonts w:ascii="宋体" w:hAnsi="宋体" w:cs="宋体"/>
          <w:color w:val="auto"/>
          <w:kern w:val="0"/>
          <w:sz w:val="24"/>
          <w:szCs w:val="24"/>
        </w:rPr>
        <w:t>年</w:t>
      </w:r>
      <w:r>
        <w:rPr>
          <w:rFonts w:hint="eastAsia" w:ascii="宋体" w:hAnsi="宋体" w:cs="宋体"/>
          <w:color w:val="auto"/>
          <w:kern w:val="0"/>
          <w:sz w:val="24"/>
          <w:szCs w:val="24"/>
          <w:lang w:val="en-US" w:eastAsia="zh-CN"/>
        </w:rPr>
        <w:t>11</w:t>
      </w:r>
      <w:r>
        <w:rPr>
          <w:rFonts w:ascii="宋体" w:hAnsi="宋体" w:cs="宋体"/>
          <w:color w:val="auto"/>
          <w:kern w:val="0"/>
          <w:sz w:val="24"/>
          <w:szCs w:val="24"/>
        </w:rPr>
        <w:t>月</w:t>
      </w:r>
      <w:r>
        <w:rPr>
          <w:rFonts w:hint="eastAsia" w:ascii="宋体" w:hAnsi="宋体" w:cs="宋体"/>
          <w:color w:val="auto"/>
          <w:kern w:val="0"/>
          <w:sz w:val="24"/>
          <w:szCs w:val="24"/>
          <w:lang w:val="en-US" w:eastAsia="zh-CN"/>
        </w:rPr>
        <w:t>29</w:t>
      </w:r>
      <w:r>
        <w:rPr>
          <w:rFonts w:ascii="宋体" w:hAnsi="宋体" w:cs="宋体"/>
          <w:color w:val="auto"/>
          <w:kern w:val="0"/>
          <w:sz w:val="24"/>
          <w:szCs w:val="24"/>
        </w:rPr>
        <w:t>日至202</w:t>
      </w:r>
      <w:r>
        <w:rPr>
          <w:rFonts w:hint="eastAsia" w:ascii="宋体" w:hAnsi="宋体" w:cs="宋体"/>
          <w:color w:val="auto"/>
          <w:kern w:val="0"/>
          <w:sz w:val="24"/>
          <w:szCs w:val="24"/>
        </w:rPr>
        <w:t>4</w:t>
      </w:r>
      <w:r>
        <w:rPr>
          <w:rFonts w:ascii="宋体" w:hAnsi="宋体" w:cs="宋体"/>
          <w:color w:val="auto"/>
          <w:kern w:val="0"/>
          <w:sz w:val="24"/>
          <w:szCs w:val="24"/>
        </w:rPr>
        <w:t>年</w:t>
      </w:r>
      <w:r>
        <w:rPr>
          <w:rFonts w:hint="eastAsia" w:ascii="宋体" w:hAnsi="宋体" w:cs="宋体"/>
          <w:color w:val="auto"/>
          <w:kern w:val="0"/>
          <w:sz w:val="24"/>
          <w:szCs w:val="24"/>
          <w:lang w:val="en-US" w:eastAsia="zh-CN"/>
        </w:rPr>
        <w:t>12</w:t>
      </w:r>
      <w:r>
        <w:rPr>
          <w:rFonts w:ascii="宋体" w:hAnsi="宋体" w:cs="宋体"/>
          <w:color w:val="auto"/>
          <w:kern w:val="0"/>
          <w:sz w:val="24"/>
          <w:szCs w:val="24"/>
        </w:rPr>
        <w:t>月</w:t>
      </w:r>
      <w:r>
        <w:rPr>
          <w:rFonts w:hint="eastAsia" w:ascii="宋体" w:hAnsi="宋体" w:cs="宋体"/>
          <w:color w:val="auto"/>
          <w:kern w:val="0"/>
          <w:sz w:val="24"/>
          <w:szCs w:val="24"/>
          <w:lang w:val="en-US" w:eastAsia="zh-CN"/>
        </w:rPr>
        <w:t>6</w:t>
      </w:r>
      <w:r>
        <w:rPr>
          <w:rFonts w:ascii="宋体" w:hAnsi="宋体" w:cs="宋体"/>
          <w:color w:val="auto"/>
          <w:kern w:val="0"/>
          <w:sz w:val="24"/>
          <w:szCs w:val="24"/>
        </w:rPr>
        <w:t>日，上午</w:t>
      </w:r>
      <w:r>
        <w:rPr>
          <w:rFonts w:hint="eastAsia" w:ascii="宋体" w:hAnsi="宋体" w:cs="宋体"/>
          <w:color w:val="auto"/>
          <w:kern w:val="0"/>
          <w:sz w:val="24"/>
          <w:szCs w:val="24"/>
          <w:lang w:val="en-US" w:eastAsia="zh-CN"/>
        </w:rPr>
        <w:t>9:00</w:t>
      </w:r>
      <w:r>
        <w:rPr>
          <w:rFonts w:ascii="宋体" w:hAnsi="宋体" w:cs="宋体"/>
          <w:color w:val="auto"/>
          <w:kern w:val="0"/>
          <w:sz w:val="24"/>
          <w:szCs w:val="24"/>
        </w:rPr>
        <w:t>时到12:00时，下午2:30时到5:</w:t>
      </w:r>
      <w:r>
        <w:rPr>
          <w:rFonts w:hint="eastAsia" w:ascii="宋体" w:hAnsi="宋体" w:cs="宋体"/>
          <w:color w:val="auto"/>
          <w:kern w:val="0"/>
          <w:sz w:val="24"/>
          <w:szCs w:val="24"/>
          <w:lang w:val="en-US" w:eastAsia="zh-CN"/>
        </w:rPr>
        <w:t>0</w:t>
      </w:r>
      <w:r>
        <w:rPr>
          <w:rFonts w:ascii="宋体" w:hAnsi="宋体" w:cs="宋体"/>
          <w:color w:val="auto"/>
          <w:kern w:val="0"/>
          <w:sz w:val="24"/>
          <w:szCs w:val="24"/>
        </w:rPr>
        <w:t>0时</w:t>
      </w:r>
      <w:r>
        <w:rPr>
          <w:rFonts w:hint="eastAsia" w:ascii="宋体" w:hAnsi="宋体" w:cs="宋体"/>
          <w:color w:val="auto"/>
          <w:kern w:val="0"/>
          <w:sz w:val="24"/>
          <w:szCs w:val="24"/>
        </w:rPr>
        <w:t>（北京时间）</w:t>
      </w:r>
      <w:r>
        <w:rPr>
          <w:rFonts w:ascii="宋体" w:hAnsi="宋体" w:cs="宋体"/>
          <w:color w:val="auto"/>
          <w:kern w:val="0"/>
          <w:sz w:val="24"/>
          <w:szCs w:val="24"/>
        </w:rPr>
        <w:t>，在</w:t>
      </w:r>
      <w:r>
        <w:rPr>
          <w:rFonts w:hint="eastAsia" w:ascii="宋体" w:hAnsi="宋体" w:cs="宋体"/>
          <w:color w:val="auto"/>
          <w:kern w:val="0"/>
          <w:sz w:val="24"/>
          <w:szCs w:val="24"/>
          <w:lang w:eastAsia="zh-CN"/>
        </w:rPr>
        <w:t>湖南兴业工程项目管理有限公司</w:t>
      </w:r>
      <w:r>
        <w:rPr>
          <w:rFonts w:ascii="宋体" w:hAnsi="宋体" w:cs="宋体"/>
          <w:color w:val="auto"/>
          <w:kern w:val="0"/>
          <w:sz w:val="24"/>
          <w:szCs w:val="24"/>
        </w:rPr>
        <w:t>（</w:t>
      </w:r>
      <w:r>
        <w:rPr>
          <w:rFonts w:hint="eastAsia" w:ascii="宋体" w:hAnsi="宋体" w:cs="宋体"/>
          <w:color w:val="auto"/>
          <w:kern w:val="0"/>
          <w:sz w:val="24"/>
          <w:szCs w:val="24"/>
          <w:lang w:eastAsia="zh-CN"/>
        </w:rPr>
        <w:t>岳阳市岳阳楼区屈原路1号中富航集团5号楼二楼5202</w:t>
      </w:r>
      <w:r>
        <w:rPr>
          <w:rFonts w:ascii="宋体" w:hAnsi="宋体" w:cs="宋体"/>
          <w:color w:val="auto"/>
          <w:kern w:val="0"/>
          <w:sz w:val="24"/>
          <w:szCs w:val="24"/>
        </w:rPr>
        <w:t>）持本人身份证原件、法定代表人身份证明(或者授权委托书并附法定代表人身份证明)、投标人营业执照副本</w:t>
      </w:r>
      <w:r>
        <w:rPr>
          <w:rFonts w:hint="eastAsia" w:ascii="宋体" w:hAnsi="宋体" w:cs="宋体"/>
          <w:color w:val="auto"/>
          <w:kern w:val="0"/>
          <w:sz w:val="24"/>
          <w:szCs w:val="24"/>
          <w:highlight w:val="none"/>
          <w:lang w:val="en-US" w:eastAsia="zh-CN"/>
        </w:rPr>
        <w:t>及</w:t>
      </w:r>
      <w:r>
        <w:rPr>
          <w:rFonts w:hint="eastAsia" w:ascii="宋体" w:hAnsi="宋体" w:cs="宋体"/>
          <w:color w:val="auto"/>
          <w:kern w:val="0"/>
          <w:sz w:val="24"/>
          <w:szCs w:val="24"/>
          <w:highlight w:val="none"/>
          <w:lang w:val="en-US" w:eastAsia="zh-CN" w:bidi="ar"/>
        </w:rPr>
        <w:t>提供《湖南省政府采购供应商资格承诺函》获取磋商文件。</w:t>
      </w:r>
    </w:p>
    <w:p w14:paraId="0D77AA41">
      <w:pPr>
        <w:widowControl/>
        <w:snapToGrid w:val="0"/>
        <w:spacing w:line="360" w:lineRule="auto"/>
        <w:jc w:val="left"/>
        <w:outlineLvl w:val="1"/>
        <w:rPr>
          <w:rFonts w:hint="eastAsia" w:ascii="宋体" w:hAnsi="宋体" w:cs="宋体"/>
          <w:b/>
          <w:bCs/>
          <w:color w:val="auto"/>
          <w:kern w:val="0"/>
          <w:sz w:val="24"/>
          <w:szCs w:val="24"/>
        </w:rPr>
      </w:pPr>
      <w:bookmarkStart w:id="9" w:name="_Toc27232"/>
      <w:r>
        <w:rPr>
          <w:rFonts w:hint="eastAsia" w:ascii="宋体" w:hAnsi="宋体" w:cs="宋体"/>
          <w:b/>
          <w:bCs/>
          <w:color w:val="auto"/>
          <w:kern w:val="0"/>
          <w:sz w:val="24"/>
          <w:szCs w:val="24"/>
        </w:rPr>
        <w:t>五</w:t>
      </w:r>
      <w:r>
        <w:rPr>
          <w:rFonts w:ascii="宋体" w:hAnsi="宋体" w:cs="宋体"/>
          <w:b/>
          <w:bCs/>
          <w:color w:val="auto"/>
          <w:kern w:val="0"/>
          <w:sz w:val="24"/>
          <w:szCs w:val="24"/>
        </w:rPr>
        <w:t>、投标截止时间、开标时间及地点</w:t>
      </w:r>
      <w:bookmarkEnd w:id="9"/>
    </w:p>
    <w:p w14:paraId="42CB363C">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1、提交投标文件的截止时间：202</w:t>
      </w:r>
      <w:r>
        <w:rPr>
          <w:rFonts w:hint="eastAsia" w:ascii="宋体" w:hAnsi="宋体" w:cs="宋体"/>
          <w:color w:val="auto"/>
          <w:kern w:val="0"/>
          <w:sz w:val="24"/>
          <w:szCs w:val="24"/>
        </w:rPr>
        <w:t>4</w:t>
      </w:r>
      <w:r>
        <w:rPr>
          <w:rFonts w:ascii="宋体" w:hAnsi="宋体" w:cs="宋体"/>
          <w:color w:val="auto"/>
          <w:kern w:val="0"/>
          <w:sz w:val="24"/>
          <w:szCs w:val="24"/>
        </w:rPr>
        <w:t>年</w:t>
      </w:r>
      <w:r>
        <w:rPr>
          <w:rFonts w:hint="eastAsia" w:ascii="宋体" w:hAnsi="宋体" w:cs="宋体"/>
          <w:color w:val="auto"/>
          <w:kern w:val="0"/>
          <w:sz w:val="24"/>
          <w:szCs w:val="24"/>
          <w:lang w:val="en-US" w:eastAsia="zh-CN"/>
        </w:rPr>
        <w:t>12</w:t>
      </w:r>
      <w:r>
        <w:rPr>
          <w:rFonts w:ascii="宋体" w:hAnsi="宋体" w:cs="宋体"/>
          <w:color w:val="auto"/>
          <w:kern w:val="0"/>
          <w:sz w:val="24"/>
          <w:szCs w:val="24"/>
        </w:rPr>
        <w:t>月</w:t>
      </w:r>
      <w:r>
        <w:rPr>
          <w:rFonts w:hint="eastAsia" w:ascii="宋体" w:hAnsi="宋体" w:cs="宋体"/>
          <w:color w:val="auto"/>
          <w:kern w:val="0"/>
          <w:sz w:val="24"/>
          <w:szCs w:val="24"/>
          <w:lang w:val="en-US" w:eastAsia="zh-CN"/>
        </w:rPr>
        <w:t>10</w:t>
      </w:r>
      <w:r>
        <w:rPr>
          <w:rFonts w:ascii="宋体" w:hAnsi="宋体" w:cs="宋体"/>
          <w:color w:val="auto"/>
          <w:kern w:val="0"/>
          <w:sz w:val="24"/>
          <w:szCs w:val="24"/>
        </w:rPr>
        <w:t>日</w:t>
      </w:r>
      <w:r>
        <w:rPr>
          <w:rFonts w:hint="eastAsia" w:ascii="宋体" w:hAnsi="宋体" w:cs="宋体"/>
          <w:color w:val="auto"/>
          <w:kern w:val="0"/>
          <w:sz w:val="24"/>
          <w:szCs w:val="24"/>
          <w:lang w:val="en-US" w:eastAsia="zh-CN"/>
        </w:rPr>
        <w:t>14：30分</w:t>
      </w:r>
      <w:r>
        <w:rPr>
          <w:rFonts w:ascii="宋体" w:hAnsi="宋体" w:cs="宋体"/>
          <w:color w:val="auto"/>
          <w:kern w:val="0"/>
          <w:sz w:val="24"/>
          <w:szCs w:val="24"/>
        </w:rPr>
        <w:t xml:space="preserve">（北京时间） </w:t>
      </w:r>
    </w:p>
    <w:p w14:paraId="08EC8599">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2、提交投标文件地点：</w:t>
      </w:r>
      <w:r>
        <w:rPr>
          <w:rFonts w:hint="eastAsia" w:ascii="宋体" w:hAnsi="宋体" w:cs="宋体"/>
          <w:color w:val="auto"/>
          <w:kern w:val="0"/>
          <w:sz w:val="24"/>
          <w:szCs w:val="24"/>
          <w:lang w:eastAsia="zh-CN"/>
        </w:rPr>
        <w:t>湖南兴业工程项目管理有限公司</w:t>
      </w:r>
      <w:r>
        <w:rPr>
          <w:rFonts w:ascii="宋体" w:hAnsi="宋体" w:cs="宋体"/>
          <w:color w:val="auto"/>
          <w:kern w:val="0"/>
          <w:sz w:val="24"/>
          <w:szCs w:val="24"/>
        </w:rPr>
        <w:t>（</w:t>
      </w:r>
      <w:r>
        <w:rPr>
          <w:rFonts w:hint="eastAsia" w:ascii="宋体" w:hAnsi="宋体" w:cs="宋体"/>
          <w:color w:val="auto"/>
          <w:kern w:val="0"/>
          <w:sz w:val="24"/>
          <w:szCs w:val="24"/>
          <w:lang w:eastAsia="zh-CN"/>
        </w:rPr>
        <w:t>岳阳市岳阳楼区屈原路1号中富航集团5号楼二楼5202</w:t>
      </w:r>
      <w:r>
        <w:rPr>
          <w:rFonts w:ascii="宋体" w:hAnsi="宋体" w:cs="宋体"/>
          <w:color w:val="auto"/>
          <w:kern w:val="0"/>
          <w:sz w:val="24"/>
          <w:szCs w:val="24"/>
        </w:rPr>
        <w:t xml:space="preserve">） </w:t>
      </w:r>
    </w:p>
    <w:p w14:paraId="74CE0456">
      <w:pPr>
        <w:widowControl/>
        <w:snapToGrid w:val="0"/>
        <w:spacing w:line="360" w:lineRule="auto"/>
        <w:ind w:firstLine="480"/>
        <w:jc w:val="left"/>
        <w:rPr>
          <w:rFonts w:hint="eastAsia" w:ascii="宋体" w:hAnsi="宋体" w:eastAsia="宋体" w:cs="宋体"/>
          <w:color w:val="auto"/>
          <w:kern w:val="0"/>
          <w:sz w:val="24"/>
          <w:szCs w:val="24"/>
          <w:lang w:eastAsia="zh-CN"/>
        </w:rPr>
      </w:pPr>
      <w:r>
        <w:rPr>
          <w:rFonts w:ascii="宋体" w:hAnsi="宋体" w:cs="宋体"/>
          <w:color w:val="auto"/>
          <w:kern w:val="0"/>
          <w:sz w:val="24"/>
          <w:szCs w:val="24"/>
        </w:rPr>
        <w:t>3、开标时间：202</w:t>
      </w:r>
      <w:r>
        <w:rPr>
          <w:rFonts w:hint="eastAsia" w:ascii="宋体" w:hAnsi="宋体" w:cs="宋体"/>
          <w:color w:val="auto"/>
          <w:kern w:val="0"/>
          <w:sz w:val="24"/>
          <w:szCs w:val="24"/>
        </w:rPr>
        <w:t>4</w:t>
      </w:r>
      <w:r>
        <w:rPr>
          <w:rFonts w:ascii="宋体" w:hAnsi="宋体" w:cs="宋体"/>
          <w:color w:val="auto"/>
          <w:kern w:val="0"/>
          <w:sz w:val="24"/>
          <w:szCs w:val="24"/>
        </w:rPr>
        <w:t>年</w:t>
      </w:r>
      <w:r>
        <w:rPr>
          <w:rFonts w:hint="eastAsia" w:ascii="宋体" w:hAnsi="宋体" w:cs="宋体"/>
          <w:color w:val="auto"/>
          <w:kern w:val="0"/>
          <w:sz w:val="24"/>
          <w:szCs w:val="24"/>
          <w:lang w:val="en-US" w:eastAsia="zh-CN"/>
        </w:rPr>
        <w:t>12</w:t>
      </w:r>
      <w:r>
        <w:rPr>
          <w:rFonts w:ascii="宋体" w:hAnsi="宋体" w:cs="宋体"/>
          <w:color w:val="auto"/>
          <w:kern w:val="0"/>
          <w:sz w:val="24"/>
          <w:szCs w:val="24"/>
        </w:rPr>
        <w:t>月</w:t>
      </w:r>
      <w:r>
        <w:rPr>
          <w:rFonts w:hint="eastAsia" w:ascii="宋体" w:hAnsi="宋体" w:cs="宋体"/>
          <w:color w:val="auto"/>
          <w:kern w:val="0"/>
          <w:sz w:val="24"/>
          <w:szCs w:val="24"/>
          <w:lang w:val="en-US" w:eastAsia="zh-CN"/>
        </w:rPr>
        <w:t>10</w:t>
      </w:r>
      <w:r>
        <w:rPr>
          <w:rFonts w:ascii="宋体" w:hAnsi="宋体" w:cs="宋体"/>
          <w:color w:val="auto"/>
          <w:kern w:val="0"/>
          <w:sz w:val="24"/>
          <w:szCs w:val="24"/>
        </w:rPr>
        <w:t>日</w:t>
      </w:r>
      <w:r>
        <w:rPr>
          <w:rFonts w:hint="eastAsia" w:ascii="宋体" w:hAnsi="宋体" w:cs="宋体"/>
          <w:color w:val="auto"/>
          <w:kern w:val="0"/>
          <w:sz w:val="24"/>
          <w:szCs w:val="24"/>
          <w:lang w:val="en-US" w:eastAsia="zh-CN"/>
        </w:rPr>
        <w:t>14：30分</w:t>
      </w:r>
      <w:r>
        <w:rPr>
          <w:rFonts w:ascii="宋体" w:hAnsi="宋体" w:cs="宋体"/>
          <w:color w:val="auto"/>
          <w:kern w:val="0"/>
          <w:sz w:val="24"/>
          <w:szCs w:val="24"/>
        </w:rPr>
        <w:t>（北京时间）</w:t>
      </w:r>
    </w:p>
    <w:p w14:paraId="1E895B91">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4、开标地点：</w:t>
      </w:r>
      <w:r>
        <w:rPr>
          <w:rFonts w:hint="eastAsia" w:ascii="宋体" w:hAnsi="宋体" w:cs="宋体"/>
          <w:color w:val="auto"/>
          <w:kern w:val="0"/>
          <w:sz w:val="24"/>
          <w:szCs w:val="24"/>
          <w:lang w:eastAsia="zh-CN"/>
        </w:rPr>
        <w:t>湖南兴业工程项目管理有限公司</w:t>
      </w:r>
      <w:r>
        <w:rPr>
          <w:rFonts w:ascii="宋体" w:hAnsi="宋体" w:cs="宋体"/>
          <w:color w:val="auto"/>
          <w:kern w:val="0"/>
          <w:sz w:val="24"/>
          <w:szCs w:val="24"/>
        </w:rPr>
        <w:t>（</w:t>
      </w:r>
      <w:r>
        <w:rPr>
          <w:rFonts w:hint="eastAsia" w:ascii="宋体" w:hAnsi="宋体" w:cs="宋体"/>
          <w:color w:val="auto"/>
          <w:kern w:val="0"/>
          <w:sz w:val="24"/>
          <w:szCs w:val="24"/>
          <w:lang w:eastAsia="zh-CN"/>
        </w:rPr>
        <w:t>岳阳市岳阳楼区屈原路1号中富航集团5号楼二楼5202</w:t>
      </w:r>
      <w:r>
        <w:rPr>
          <w:rFonts w:ascii="宋体" w:hAnsi="宋体" w:cs="宋体"/>
          <w:color w:val="auto"/>
          <w:kern w:val="0"/>
          <w:sz w:val="24"/>
          <w:szCs w:val="24"/>
        </w:rPr>
        <w:t xml:space="preserve">） </w:t>
      </w:r>
    </w:p>
    <w:p w14:paraId="168A9B20">
      <w:pPr>
        <w:widowControl/>
        <w:snapToGrid w:val="0"/>
        <w:spacing w:line="360" w:lineRule="auto"/>
        <w:jc w:val="left"/>
        <w:outlineLvl w:val="1"/>
        <w:rPr>
          <w:rFonts w:hint="eastAsia" w:ascii="宋体" w:hAnsi="宋体" w:cs="宋体"/>
          <w:b/>
          <w:bCs/>
          <w:color w:val="auto"/>
          <w:kern w:val="0"/>
          <w:sz w:val="24"/>
          <w:szCs w:val="24"/>
        </w:rPr>
      </w:pPr>
      <w:bookmarkStart w:id="10" w:name="_Toc9926"/>
      <w:r>
        <w:rPr>
          <w:rFonts w:hint="eastAsia" w:ascii="宋体" w:hAnsi="宋体" w:cs="宋体"/>
          <w:b/>
          <w:bCs/>
          <w:color w:val="auto"/>
          <w:kern w:val="0"/>
          <w:sz w:val="24"/>
          <w:szCs w:val="24"/>
        </w:rPr>
        <w:t>六</w:t>
      </w:r>
      <w:r>
        <w:rPr>
          <w:rFonts w:ascii="宋体" w:hAnsi="宋体" w:cs="宋体"/>
          <w:b/>
          <w:bCs/>
          <w:color w:val="auto"/>
          <w:kern w:val="0"/>
          <w:sz w:val="24"/>
          <w:szCs w:val="24"/>
        </w:rPr>
        <w:t>、公告期限</w:t>
      </w:r>
      <w:bookmarkEnd w:id="10"/>
    </w:p>
    <w:p w14:paraId="5E6DDF1C">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1、本招标公告在</w:t>
      </w:r>
      <w:r>
        <w:rPr>
          <w:rFonts w:hint="eastAsia" w:ascii="宋体" w:hAnsi="宋体" w:cs="宋体"/>
          <w:color w:val="auto"/>
          <w:kern w:val="0"/>
          <w:sz w:val="24"/>
          <w:szCs w:val="24"/>
          <w:lang w:eastAsia="zh-CN"/>
        </w:rPr>
        <w:t>中国政府采购网（http://www.ccgp.gov.cn/）</w:t>
      </w:r>
      <w:r>
        <w:rPr>
          <w:rFonts w:hint="eastAsia" w:ascii="宋体" w:hAnsi="宋体" w:cs="宋体"/>
          <w:color w:val="auto"/>
          <w:kern w:val="0"/>
          <w:sz w:val="24"/>
          <w:szCs w:val="24"/>
          <w:lang w:val="en-US" w:eastAsia="zh-CN"/>
        </w:rPr>
        <w:t>上</w:t>
      </w:r>
      <w:r>
        <w:rPr>
          <w:rFonts w:ascii="宋体" w:hAnsi="宋体" w:cs="宋体"/>
          <w:color w:val="auto"/>
          <w:kern w:val="0"/>
          <w:sz w:val="24"/>
          <w:szCs w:val="24"/>
        </w:rPr>
        <w:t>发布。公告期限从本招标公告发布之日起5个工作日。</w:t>
      </w:r>
    </w:p>
    <w:p w14:paraId="38150FC3">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2、在其他媒体发布的招标公告，公告内容以本招标公告指定媒体发布的公告为准；公告期限自本招标公告指定媒体最先发布公告之日起算。</w:t>
      </w:r>
    </w:p>
    <w:p w14:paraId="1B0A7679">
      <w:pPr>
        <w:widowControl/>
        <w:snapToGrid w:val="0"/>
        <w:spacing w:line="360" w:lineRule="auto"/>
        <w:jc w:val="left"/>
        <w:outlineLvl w:val="1"/>
        <w:rPr>
          <w:rFonts w:hint="eastAsia" w:ascii="宋体" w:hAnsi="宋体" w:cs="宋体"/>
          <w:b/>
          <w:bCs/>
          <w:color w:val="auto"/>
          <w:kern w:val="0"/>
          <w:sz w:val="24"/>
          <w:szCs w:val="24"/>
        </w:rPr>
      </w:pPr>
      <w:bookmarkStart w:id="11" w:name="_Toc19634"/>
      <w:r>
        <w:rPr>
          <w:rFonts w:hint="eastAsia" w:ascii="宋体" w:hAnsi="宋体" w:cs="宋体"/>
          <w:b/>
          <w:bCs/>
          <w:color w:val="auto"/>
          <w:kern w:val="0"/>
          <w:sz w:val="24"/>
          <w:szCs w:val="24"/>
        </w:rPr>
        <w:t>七</w:t>
      </w:r>
      <w:r>
        <w:rPr>
          <w:rFonts w:ascii="宋体" w:hAnsi="宋体" w:cs="宋体"/>
          <w:b/>
          <w:bCs/>
          <w:color w:val="auto"/>
          <w:kern w:val="0"/>
          <w:sz w:val="24"/>
          <w:szCs w:val="24"/>
        </w:rPr>
        <w:t>、询问及质疑</w:t>
      </w:r>
      <w:bookmarkEnd w:id="11"/>
    </w:p>
    <w:p w14:paraId="7B6FB022">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1、投标人对政府采购活动事项如有疑问的，可以向采购人、采购代理机构提出询问。采购人、采购代理机构将在3个工作日内作出答复。</w:t>
      </w:r>
    </w:p>
    <w:p w14:paraId="06C500B1">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2、潜在投标人认为</w:t>
      </w:r>
      <w:r>
        <w:rPr>
          <w:rFonts w:hint="eastAsia" w:ascii="宋体" w:hAnsi="宋体" w:cs="宋体"/>
          <w:color w:val="auto"/>
          <w:kern w:val="0"/>
          <w:sz w:val="24"/>
          <w:szCs w:val="24"/>
          <w:lang w:eastAsia="zh-CN"/>
        </w:rPr>
        <w:t>磋商文件</w:t>
      </w:r>
      <w:r>
        <w:rPr>
          <w:rFonts w:ascii="宋体" w:hAnsi="宋体" w:cs="宋体"/>
          <w:color w:val="auto"/>
          <w:kern w:val="0"/>
          <w:sz w:val="24"/>
          <w:szCs w:val="24"/>
        </w:rPr>
        <w:t>或招标公告使自己的合法权益受到损害的，可以在收到</w:t>
      </w:r>
      <w:r>
        <w:rPr>
          <w:rFonts w:hint="eastAsia" w:ascii="宋体" w:hAnsi="宋体" w:cs="宋体"/>
          <w:color w:val="auto"/>
          <w:kern w:val="0"/>
          <w:sz w:val="24"/>
          <w:szCs w:val="24"/>
          <w:lang w:eastAsia="zh-CN"/>
        </w:rPr>
        <w:t>磋商文件</w:t>
      </w:r>
      <w:r>
        <w:rPr>
          <w:rFonts w:ascii="宋体" w:hAnsi="宋体" w:cs="宋体"/>
          <w:color w:val="auto"/>
          <w:kern w:val="0"/>
          <w:sz w:val="24"/>
          <w:szCs w:val="24"/>
        </w:rPr>
        <w:t xml:space="preserve">之日或招标公告期限届满之日起7个工作日内，以纸质书面形式向采购人、采购代理机构提出质疑。 </w:t>
      </w:r>
    </w:p>
    <w:p w14:paraId="4EB82EFC">
      <w:pPr>
        <w:widowControl/>
        <w:snapToGrid w:val="0"/>
        <w:spacing w:line="360" w:lineRule="auto"/>
        <w:jc w:val="left"/>
        <w:outlineLvl w:val="1"/>
        <w:rPr>
          <w:rFonts w:hint="eastAsia" w:ascii="宋体" w:hAnsi="宋体" w:cs="宋体"/>
          <w:b/>
          <w:bCs/>
          <w:color w:val="auto"/>
          <w:kern w:val="0"/>
          <w:sz w:val="24"/>
          <w:szCs w:val="24"/>
        </w:rPr>
      </w:pPr>
      <w:bookmarkStart w:id="12" w:name="_Toc9470"/>
      <w:r>
        <w:rPr>
          <w:rFonts w:hint="eastAsia" w:ascii="宋体" w:hAnsi="宋体" w:cs="宋体"/>
          <w:b/>
          <w:bCs/>
          <w:color w:val="auto"/>
          <w:kern w:val="0"/>
          <w:sz w:val="24"/>
          <w:szCs w:val="24"/>
        </w:rPr>
        <w:t>八</w:t>
      </w:r>
      <w:r>
        <w:rPr>
          <w:rFonts w:ascii="宋体" w:hAnsi="宋体" w:cs="宋体"/>
          <w:b/>
          <w:bCs/>
          <w:color w:val="auto"/>
          <w:kern w:val="0"/>
          <w:sz w:val="24"/>
          <w:szCs w:val="24"/>
        </w:rPr>
        <w:t>、采购人、采购代理机构的名称、地址和联系方法</w:t>
      </w:r>
      <w:bookmarkEnd w:id="12"/>
    </w:p>
    <w:p w14:paraId="0AEF6B97">
      <w:pPr>
        <w:widowControl/>
        <w:snapToGrid w:val="0"/>
        <w:spacing w:line="360" w:lineRule="auto"/>
        <w:ind w:firstLine="480"/>
        <w:jc w:val="left"/>
        <w:outlineLvl w:val="2"/>
        <w:rPr>
          <w:rFonts w:hint="eastAsia" w:ascii="宋体" w:hAnsi="宋体" w:cs="宋体"/>
          <w:b/>
          <w:bCs/>
          <w:color w:val="auto"/>
          <w:kern w:val="0"/>
          <w:sz w:val="24"/>
          <w:szCs w:val="24"/>
        </w:rPr>
      </w:pPr>
      <w:r>
        <w:rPr>
          <w:rFonts w:ascii="宋体" w:hAnsi="宋体" w:cs="宋体"/>
          <w:b/>
          <w:bCs/>
          <w:color w:val="auto"/>
          <w:kern w:val="0"/>
          <w:sz w:val="24"/>
          <w:szCs w:val="24"/>
        </w:rPr>
        <w:t>1、采购人信息</w:t>
      </w:r>
    </w:p>
    <w:p w14:paraId="1DFF44DE">
      <w:pPr>
        <w:widowControl/>
        <w:snapToGrid w:val="0"/>
        <w:spacing w:line="360" w:lineRule="auto"/>
        <w:ind w:firstLine="480"/>
        <w:jc w:val="left"/>
        <w:rPr>
          <w:rFonts w:hint="eastAsia" w:ascii="宋体" w:hAnsi="宋体" w:eastAsia="宋体" w:cs="宋体"/>
          <w:color w:val="auto"/>
          <w:kern w:val="0"/>
          <w:sz w:val="24"/>
          <w:szCs w:val="24"/>
          <w:lang w:eastAsia="zh-CN"/>
        </w:rPr>
      </w:pPr>
      <w:r>
        <w:rPr>
          <w:rFonts w:ascii="宋体" w:hAnsi="宋体" w:cs="宋体"/>
          <w:color w:val="auto"/>
          <w:kern w:val="0"/>
          <w:sz w:val="24"/>
          <w:szCs w:val="24"/>
        </w:rPr>
        <w:t>名 称：</w:t>
      </w:r>
      <w:r>
        <w:rPr>
          <w:rFonts w:hint="eastAsia" w:ascii="宋体" w:hAnsi="宋体" w:cs="宋体"/>
          <w:color w:val="auto"/>
          <w:kern w:val="0"/>
          <w:sz w:val="24"/>
          <w:szCs w:val="24"/>
          <w:lang w:eastAsia="zh-CN"/>
        </w:rPr>
        <w:t>岳阳市第十八中学</w:t>
      </w:r>
    </w:p>
    <w:p w14:paraId="6501B749">
      <w:pPr>
        <w:widowControl/>
        <w:snapToGrid w:val="0"/>
        <w:spacing w:line="360" w:lineRule="auto"/>
        <w:ind w:firstLine="480"/>
        <w:jc w:val="left"/>
        <w:rPr>
          <w:rFonts w:hint="eastAsia" w:ascii="宋体" w:hAnsi="宋体" w:eastAsia="宋体" w:cs="宋体"/>
          <w:color w:val="auto"/>
          <w:kern w:val="0"/>
          <w:sz w:val="24"/>
          <w:szCs w:val="24"/>
          <w:lang w:eastAsia="zh-CN"/>
        </w:rPr>
      </w:pPr>
      <w:r>
        <w:rPr>
          <w:rFonts w:ascii="宋体" w:hAnsi="宋体" w:cs="宋体"/>
          <w:color w:val="auto"/>
          <w:kern w:val="0"/>
          <w:sz w:val="24"/>
          <w:szCs w:val="24"/>
        </w:rPr>
        <w:t>地 址：</w:t>
      </w:r>
      <w:r>
        <w:rPr>
          <w:rFonts w:hint="eastAsia" w:ascii="宋体" w:hAnsi="宋体" w:cs="宋体"/>
          <w:color w:val="auto"/>
          <w:kern w:val="0"/>
          <w:sz w:val="24"/>
          <w:szCs w:val="24"/>
          <w:lang w:eastAsia="zh-CN"/>
        </w:rPr>
        <w:t>岳阳市望岳路</w:t>
      </w:r>
    </w:p>
    <w:p w14:paraId="0DE16608">
      <w:pPr>
        <w:widowControl/>
        <w:snapToGrid w:val="0"/>
        <w:spacing w:line="360" w:lineRule="auto"/>
        <w:ind w:firstLine="480"/>
        <w:jc w:val="left"/>
        <w:rPr>
          <w:rFonts w:hint="eastAsia" w:ascii="宋体" w:hAnsi="宋体" w:eastAsia="宋体" w:cs="宋体"/>
          <w:color w:val="auto"/>
          <w:kern w:val="0"/>
          <w:sz w:val="24"/>
          <w:szCs w:val="24"/>
          <w:lang w:eastAsia="zh-CN"/>
        </w:rPr>
      </w:pPr>
      <w:r>
        <w:rPr>
          <w:rFonts w:ascii="宋体" w:hAnsi="宋体" w:cs="宋体"/>
          <w:color w:val="auto"/>
          <w:kern w:val="0"/>
          <w:sz w:val="24"/>
          <w:szCs w:val="24"/>
        </w:rPr>
        <w:t>联系人：</w:t>
      </w:r>
      <w:r>
        <w:rPr>
          <w:rFonts w:hint="eastAsia" w:ascii="宋体" w:hAnsi="宋体" w:cs="宋体"/>
          <w:color w:val="auto"/>
          <w:kern w:val="0"/>
          <w:sz w:val="24"/>
          <w:szCs w:val="24"/>
          <w:lang w:eastAsia="zh-CN"/>
        </w:rPr>
        <w:t>郭先生</w:t>
      </w:r>
    </w:p>
    <w:p w14:paraId="1B13F3B6">
      <w:pPr>
        <w:widowControl/>
        <w:snapToGrid w:val="0"/>
        <w:spacing w:line="360" w:lineRule="auto"/>
        <w:ind w:firstLine="480"/>
        <w:jc w:val="left"/>
        <w:rPr>
          <w:rFonts w:hint="eastAsia" w:ascii="宋体" w:hAnsi="宋体" w:eastAsia="宋体" w:cs="宋体"/>
          <w:color w:val="auto"/>
          <w:kern w:val="0"/>
          <w:sz w:val="24"/>
          <w:szCs w:val="24"/>
          <w:lang w:eastAsia="zh-CN"/>
        </w:rPr>
      </w:pPr>
      <w:r>
        <w:rPr>
          <w:rFonts w:ascii="宋体" w:hAnsi="宋体" w:cs="宋体"/>
          <w:color w:val="auto"/>
          <w:kern w:val="0"/>
          <w:sz w:val="24"/>
          <w:szCs w:val="24"/>
        </w:rPr>
        <w:t>电 话：</w:t>
      </w:r>
      <w:r>
        <w:rPr>
          <w:rFonts w:hint="eastAsia" w:ascii="宋体" w:hAnsi="宋体" w:cs="宋体"/>
          <w:color w:val="auto"/>
          <w:kern w:val="0"/>
          <w:sz w:val="24"/>
          <w:szCs w:val="24"/>
          <w:lang w:eastAsia="zh-CN"/>
        </w:rPr>
        <w:t>15974369881</w:t>
      </w:r>
    </w:p>
    <w:p w14:paraId="6779466F">
      <w:pPr>
        <w:widowControl/>
        <w:snapToGrid w:val="0"/>
        <w:spacing w:line="360" w:lineRule="auto"/>
        <w:ind w:firstLine="480"/>
        <w:jc w:val="left"/>
        <w:outlineLvl w:val="2"/>
        <w:rPr>
          <w:rFonts w:hint="eastAsia" w:ascii="宋体" w:hAnsi="宋体" w:cs="宋体"/>
          <w:b/>
          <w:bCs/>
          <w:color w:val="auto"/>
          <w:kern w:val="0"/>
          <w:sz w:val="24"/>
          <w:szCs w:val="24"/>
        </w:rPr>
      </w:pPr>
      <w:r>
        <w:rPr>
          <w:rFonts w:ascii="宋体" w:hAnsi="宋体" w:cs="宋体"/>
          <w:b/>
          <w:bCs/>
          <w:color w:val="auto"/>
          <w:kern w:val="0"/>
          <w:sz w:val="24"/>
          <w:szCs w:val="24"/>
        </w:rPr>
        <w:t>2、采购代理机构信息</w:t>
      </w:r>
    </w:p>
    <w:p w14:paraId="32900ECE">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名 称：</w:t>
      </w:r>
      <w:r>
        <w:rPr>
          <w:rFonts w:hint="eastAsia" w:ascii="宋体" w:hAnsi="宋体" w:cs="宋体"/>
          <w:color w:val="auto"/>
          <w:kern w:val="0"/>
          <w:sz w:val="24"/>
          <w:szCs w:val="24"/>
          <w:lang w:eastAsia="zh-CN"/>
        </w:rPr>
        <w:t>湖南兴业工程项目管理有限公司</w:t>
      </w:r>
      <w:r>
        <w:rPr>
          <w:rFonts w:ascii="宋体" w:hAnsi="宋体" w:cs="宋体"/>
          <w:color w:val="auto"/>
          <w:kern w:val="0"/>
          <w:sz w:val="24"/>
          <w:szCs w:val="24"/>
        </w:rPr>
        <w:t xml:space="preserve"> </w:t>
      </w:r>
    </w:p>
    <w:p w14:paraId="5B94BFB0">
      <w:pPr>
        <w:widowControl/>
        <w:snapToGrid w:val="0"/>
        <w:spacing w:line="360" w:lineRule="auto"/>
        <w:ind w:firstLine="480"/>
        <w:jc w:val="left"/>
        <w:rPr>
          <w:rFonts w:hint="eastAsia" w:ascii="宋体" w:hAnsi="宋体" w:eastAsia="宋体" w:cs="宋体"/>
          <w:color w:val="auto"/>
          <w:kern w:val="0"/>
          <w:sz w:val="24"/>
          <w:szCs w:val="24"/>
          <w:lang w:eastAsia="zh-CN"/>
        </w:rPr>
      </w:pPr>
      <w:r>
        <w:rPr>
          <w:rFonts w:ascii="宋体" w:hAnsi="宋体" w:cs="宋体"/>
          <w:color w:val="auto"/>
          <w:kern w:val="0"/>
          <w:sz w:val="24"/>
          <w:szCs w:val="24"/>
        </w:rPr>
        <w:t>地 址：湖南省</w:t>
      </w:r>
      <w:r>
        <w:rPr>
          <w:rFonts w:hint="eastAsia" w:ascii="宋体" w:hAnsi="宋体" w:cs="宋体"/>
          <w:color w:val="auto"/>
          <w:kern w:val="0"/>
          <w:sz w:val="24"/>
          <w:szCs w:val="24"/>
          <w:lang w:eastAsia="zh-CN"/>
        </w:rPr>
        <w:t>岳阳市岳阳楼区屈原路1号中富航集团5号楼二楼5202</w:t>
      </w:r>
    </w:p>
    <w:p w14:paraId="748AAE62">
      <w:pPr>
        <w:widowControl/>
        <w:snapToGrid w:val="0"/>
        <w:spacing w:line="360" w:lineRule="auto"/>
        <w:ind w:firstLine="480"/>
        <w:jc w:val="left"/>
        <w:rPr>
          <w:rFonts w:hint="eastAsia" w:ascii="宋体" w:hAnsi="宋体" w:cs="宋体"/>
          <w:color w:val="auto"/>
          <w:kern w:val="0"/>
          <w:sz w:val="24"/>
          <w:szCs w:val="24"/>
        </w:rPr>
      </w:pPr>
      <w:r>
        <w:rPr>
          <w:rFonts w:ascii="宋体" w:hAnsi="宋体" w:cs="宋体"/>
          <w:color w:val="auto"/>
          <w:kern w:val="0"/>
          <w:sz w:val="24"/>
          <w:szCs w:val="24"/>
        </w:rPr>
        <w:t>联系人：</w:t>
      </w:r>
      <w:r>
        <w:rPr>
          <w:rFonts w:hint="eastAsia" w:ascii="宋体" w:hAnsi="宋体" w:cs="宋体"/>
          <w:color w:val="auto"/>
          <w:kern w:val="0"/>
          <w:sz w:val="24"/>
          <w:szCs w:val="24"/>
          <w:lang w:eastAsia="zh-CN"/>
        </w:rPr>
        <w:t>冯先生</w:t>
      </w:r>
      <w:r>
        <w:rPr>
          <w:rFonts w:ascii="宋体" w:hAnsi="宋体" w:cs="宋体"/>
          <w:color w:val="auto"/>
          <w:kern w:val="0"/>
          <w:sz w:val="24"/>
          <w:szCs w:val="24"/>
        </w:rPr>
        <w:t xml:space="preserve"> </w:t>
      </w:r>
    </w:p>
    <w:p w14:paraId="0750D194">
      <w:pPr>
        <w:widowControl/>
        <w:snapToGrid w:val="0"/>
        <w:spacing w:line="360" w:lineRule="auto"/>
        <w:ind w:firstLine="480"/>
        <w:jc w:val="left"/>
        <w:rPr>
          <w:rFonts w:hint="default" w:ascii="宋体" w:hAnsi="宋体" w:eastAsia="宋体" w:cs="宋体"/>
          <w:color w:val="auto"/>
          <w:kern w:val="0"/>
          <w:sz w:val="24"/>
          <w:szCs w:val="24"/>
          <w:lang w:val="en-US" w:eastAsia="zh-CN"/>
        </w:rPr>
      </w:pPr>
      <w:r>
        <w:rPr>
          <w:rFonts w:ascii="宋体" w:hAnsi="宋体" w:cs="宋体"/>
          <w:color w:val="auto"/>
          <w:kern w:val="0"/>
          <w:sz w:val="24"/>
          <w:szCs w:val="24"/>
        </w:rPr>
        <w:t>电 话：</w:t>
      </w:r>
      <w:r>
        <w:rPr>
          <w:rFonts w:hint="eastAsia" w:ascii="宋体" w:hAnsi="宋体" w:cs="宋体"/>
          <w:color w:val="auto"/>
          <w:kern w:val="0"/>
          <w:sz w:val="24"/>
          <w:szCs w:val="24"/>
          <w:lang w:val="en-US" w:eastAsia="zh-CN"/>
        </w:rPr>
        <w:t>0730-8709582</w:t>
      </w:r>
    </w:p>
    <w:p w14:paraId="1558A951">
      <w:pPr>
        <w:widowControl/>
        <w:spacing w:line="360" w:lineRule="auto"/>
        <w:ind w:firstLine="300"/>
        <w:jc w:val="left"/>
        <w:rPr>
          <w:rFonts w:hint="eastAsia" w:ascii="宋体" w:hAnsi="宋体"/>
          <w:b/>
          <w:color w:val="auto"/>
          <w:sz w:val="24"/>
          <w:szCs w:val="24"/>
        </w:rPr>
        <w:sectPr>
          <w:headerReference r:id="rId3" w:type="default"/>
          <w:footerReference r:id="rId4" w:type="default"/>
          <w:pgSz w:w="11906" w:h="16838"/>
          <w:pgMar w:top="1440" w:right="1531" w:bottom="1440" w:left="1531" w:header="851" w:footer="992" w:gutter="0"/>
          <w:cols w:space="720" w:num="1"/>
          <w:docGrid w:type="lines" w:linePitch="312" w:charSpace="0"/>
        </w:sectPr>
      </w:pPr>
    </w:p>
    <w:p w14:paraId="58497AF0">
      <w:pPr>
        <w:adjustRightInd w:val="0"/>
        <w:snapToGrid w:val="0"/>
        <w:spacing w:line="360" w:lineRule="auto"/>
        <w:jc w:val="left"/>
        <w:rPr>
          <w:rFonts w:hint="default" w:ascii="黑体" w:hAnsi="黑体" w:eastAsia="黑体"/>
          <w:b/>
          <w:color w:val="auto"/>
          <w:sz w:val="24"/>
          <w:szCs w:val="24"/>
          <w:highlight w:val="none"/>
          <w:lang w:val="en-US" w:eastAsia="zh-CN"/>
        </w:rPr>
      </w:pPr>
      <w:r>
        <w:rPr>
          <w:rFonts w:hint="eastAsia" w:ascii="黑体" w:hAnsi="黑体" w:eastAsia="黑体"/>
          <w:b/>
          <w:color w:val="auto"/>
          <w:sz w:val="24"/>
          <w:szCs w:val="24"/>
          <w:highlight w:val="none"/>
          <w:lang w:val="en-US" w:eastAsia="zh-CN"/>
        </w:rPr>
        <w:t>附件1</w:t>
      </w:r>
    </w:p>
    <w:p w14:paraId="792C756A">
      <w:pPr>
        <w:adjustRightInd w:val="0"/>
        <w:snapToGrid w:val="0"/>
        <w:spacing w:line="360" w:lineRule="auto"/>
        <w:jc w:val="center"/>
        <w:rPr>
          <w:rFonts w:ascii="黑体" w:hAnsi="黑体" w:eastAsia="黑体"/>
          <w:b/>
          <w:color w:val="auto"/>
          <w:sz w:val="24"/>
          <w:szCs w:val="24"/>
          <w:highlight w:val="none"/>
        </w:rPr>
      </w:pPr>
      <w:r>
        <w:rPr>
          <w:rFonts w:hint="eastAsia" w:ascii="黑体" w:hAnsi="黑体" w:eastAsia="黑体"/>
          <w:b/>
          <w:color w:val="auto"/>
          <w:sz w:val="24"/>
          <w:szCs w:val="24"/>
          <w:highlight w:val="none"/>
        </w:rPr>
        <w:t>湖南省政府采购供应商资格承诺函</w:t>
      </w:r>
    </w:p>
    <w:p w14:paraId="55DCB168">
      <w:pPr>
        <w:pStyle w:val="10"/>
        <w:widowControl/>
        <w:spacing w:line="560" w:lineRule="atLeast"/>
        <w:ind w:firstLine="645"/>
        <w:rPr>
          <w:rFonts w:ascii="Calibri" w:hAnsi="Calibri" w:cs="Calibri"/>
          <w:color w:val="auto"/>
          <w:sz w:val="24"/>
          <w:szCs w:val="24"/>
          <w:highlight w:val="none"/>
        </w:rPr>
      </w:pPr>
      <w:r>
        <w:rPr>
          <w:rFonts w:ascii="Calibri" w:hAnsi="Calibri" w:cs="Calibri"/>
          <w:color w:val="auto"/>
          <w:sz w:val="24"/>
          <w:szCs w:val="24"/>
          <w:highlight w:val="none"/>
        </w:rPr>
        <w:t> </w:t>
      </w:r>
    </w:p>
    <w:p w14:paraId="5F10C9ED">
      <w:pPr>
        <w:pStyle w:val="10"/>
        <w:widowControl/>
        <w:spacing w:line="560" w:lineRule="atLeas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6498A9AA">
      <w:pPr>
        <w:pStyle w:val="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按照《政府采购促进中小企业发展管理办法》（财库〔</w:t>
      </w:r>
      <w:r>
        <w:rPr>
          <w:rFonts w:hint="eastAsia" w:ascii="宋体" w:hAnsi="宋体" w:eastAsia="宋体" w:cs="宋体"/>
          <w:color w:val="auto"/>
          <w:spacing w:val="-6"/>
          <w:sz w:val="24"/>
          <w:szCs w:val="24"/>
          <w:highlight w:val="none"/>
        </w:rPr>
        <w:t>2020</w:t>
      </w:r>
      <w:r>
        <w:rPr>
          <w:rFonts w:hint="eastAsia" w:ascii="宋体" w:hAnsi="宋体" w:eastAsia="宋体" w:cs="宋体"/>
          <w:color w:val="auto"/>
          <w:sz w:val="24"/>
          <w:szCs w:val="24"/>
          <w:highlight w:val="none"/>
        </w:rPr>
        <w:t>〕46号），本公司企业规模为：大型</w:t>
      </w:r>
      <w:r>
        <w:rPr>
          <w:rFonts w:ascii="Webdings" w:hAnsi="Webdings" w:eastAsia="Webdings" w:cs="Webdings"/>
          <w:color w:val="auto"/>
          <w:sz w:val="24"/>
          <w:szCs w:val="24"/>
          <w:highlight w:val="none"/>
        </w:rPr>
        <w:t></w:t>
      </w:r>
      <w:r>
        <w:rPr>
          <w:rFonts w:hint="eastAsia" w:ascii="Webdings" w:hAnsi="Webdings" w:eastAsia="宋体" w:cs="Webdings"/>
          <w:color w:val="auto"/>
          <w:sz w:val="24"/>
          <w:szCs w:val="24"/>
          <w:highlight w:val="none"/>
          <w:lang w:val="en-US" w:eastAsia="zh-CN"/>
        </w:rPr>
        <w:t xml:space="preserve">   </w:t>
      </w:r>
      <w:r>
        <w:rPr>
          <w:rFonts w:hint="eastAsia" w:ascii="宋体" w:hAnsi="宋体" w:eastAsia="宋体" w:cs="宋体"/>
          <w:color w:val="auto"/>
          <w:sz w:val="24"/>
          <w:szCs w:val="24"/>
          <w:highlight w:val="none"/>
        </w:rPr>
        <w:t>中型</w:t>
      </w:r>
      <w:r>
        <w:rPr>
          <w:rFonts w:ascii="Webdings" w:hAnsi="Webdings" w:eastAsia="Webdings" w:cs="Webdings"/>
          <w:color w:val="auto"/>
          <w:sz w:val="24"/>
          <w:szCs w:val="24"/>
          <w:highlight w:val="none"/>
        </w:rPr>
        <w:t></w:t>
      </w:r>
      <w:r>
        <w:rPr>
          <w:rFonts w:hint="eastAsia" w:ascii="Webdings" w:hAnsi="Webdings" w:eastAsia="宋体" w:cs="Webdings"/>
          <w:color w:val="auto"/>
          <w:sz w:val="24"/>
          <w:szCs w:val="24"/>
          <w:highlight w:val="none"/>
          <w:lang w:val="en-US" w:eastAsia="zh-CN"/>
        </w:rPr>
        <w:t xml:space="preserve">   </w:t>
      </w:r>
      <w:r>
        <w:rPr>
          <w:rFonts w:hint="eastAsia" w:ascii="宋体" w:hAnsi="宋体" w:eastAsia="宋体" w:cs="宋体"/>
          <w:color w:val="auto"/>
          <w:sz w:val="24"/>
          <w:szCs w:val="24"/>
          <w:highlight w:val="none"/>
        </w:rPr>
        <w:t>小型</w:t>
      </w:r>
      <w:r>
        <w:rPr>
          <w:rFonts w:ascii="Webdings" w:hAnsi="Webdings" w:eastAsia="Webdings" w:cs="Webdings"/>
          <w:color w:val="auto"/>
          <w:sz w:val="24"/>
          <w:szCs w:val="24"/>
          <w:highlight w:val="none"/>
        </w:rPr>
        <w:t></w:t>
      </w:r>
      <w:r>
        <w:rPr>
          <w:rFonts w:hint="eastAsia" w:ascii="Webdings" w:hAnsi="Webdings" w:eastAsia="宋体" w:cs="Webdings"/>
          <w:color w:val="auto"/>
          <w:sz w:val="24"/>
          <w:szCs w:val="24"/>
          <w:highlight w:val="none"/>
          <w:lang w:val="en-US" w:eastAsia="zh-CN"/>
        </w:rPr>
        <w:t xml:space="preserve">   </w:t>
      </w:r>
      <w:r>
        <w:rPr>
          <w:rFonts w:hint="eastAsia" w:ascii="宋体" w:hAnsi="宋体" w:eastAsia="宋体" w:cs="宋体"/>
          <w:color w:val="auto"/>
          <w:sz w:val="24"/>
          <w:szCs w:val="24"/>
          <w:highlight w:val="none"/>
        </w:rPr>
        <w:t>微型</w:t>
      </w:r>
      <w:r>
        <w:rPr>
          <w:rFonts w:ascii="Webdings" w:hAnsi="Webdings" w:eastAsia="Webdings" w:cs="Webdings"/>
          <w:color w:val="auto"/>
          <w:sz w:val="24"/>
          <w:szCs w:val="24"/>
          <w:highlight w:val="none"/>
        </w:rPr>
        <w:t></w:t>
      </w:r>
    </w:p>
    <w:p w14:paraId="0FE51AFC">
      <w:pPr>
        <w:pStyle w:val="10"/>
        <w:widowControl/>
        <w:spacing w:line="560"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本公司自愿入驻湖南省政府采购电子卖场，遵守《湖南省政府采购电子卖场管理办法》（湘财购〔</w:t>
      </w:r>
      <w:r>
        <w:rPr>
          <w:rFonts w:hint="eastAsia" w:ascii="宋体" w:hAnsi="宋体" w:eastAsia="宋体" w:cs="宋体"/>
          <w:color w:val="auto"/>
          <w:spacing w:val="-6"/>
          <w:sz w:val="24"/>
          <w:szCs w:val="24"/>
          <w:highlight w:val="none"/>
        </w:rPr>
        <w:t>2019</w:t>
      </w:r>
      <w:r>
        <w:rPr>
          <w:rFonts w:hint="eastAsia" w:ascii="宋体" w:hAnsi="宋体" w:eastAsia="宋体" w:cs="宋体"/>
          <w:color w:val="auto"/>
          <w:sz w:val="24"/>
          <w:szCs w:val="24"/>
          <w:highlight w:val="none"/>
        </w:rPr>
        <w:t>〕27号），如违反承诺，同意金融机构将增信保证划缴国库（非电子卖场采购活动项目不需勾选）。</w:t>
      </w:r>
    </w:p>
    <w:p w14:paraId="6FA13DF6">
      <w:pPr>
        <w:pStyle w:val="10"/>
        <w:widowControl/>
        <w:spacing w:line="560" w:lineRule="atLeast"/>
        <w:ind w:firstLine="4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公司（单位）名称（盖章）</w:t>
      </w:r>
    </w:p>
    <w:p w14:paraId="2CB02DC1">
      <w:pPr>
        <w:pStyle w:val="10"/>
        <w:widowControl/>
        <w:spacing w:line="560" w:lineRule="atLeast"/>
        <w:ind w:firstLine="4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74E16FB">
      <w:pPr>
        <w:pStyle w:val="10"/>
        <w:widowControl/>
        <w:spacing w:line="560" w:lineRule="atLeast"/>
        <w:ind w:firstLine="4800"/>
        <w:jc w:val="right"/>
        <w:rPr>
          <w:rFonts w:ascii="Calibri" w:hAnsi="Calibri" w:cs="Calibri"/>
          <w:color w:val="auto"/>
          <w:sz w:val="24"/>
          <w:szCs w:val="24"/>
          <w:highlight w:val="none"/>
        </w:rPr>
      </w:pP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日</w:t>
      </w:r>
      <w:r>
        <w:rPr>
          <w:color w:val="auto"/>
          <w:sz w:val="24"/>
          <w:szCs w:val="24"/>
          <w:highlight w:val="none"/>
        </w:rPr>
        <w:t>                 </w:t>
      </w:r>
    </w:p>
    <w:p w14:paraId="5850C112">
      <w:pPr>
        <w:pStyle w:val="10"/>
        <w:widowControl/>
        <w:spacing w:line="560" w:lineRule="atLeast"/>
        <w:jc w:val="both"/>
        <w:rPr>
          <w:rFonts w:hint="eastAsia" w:ascii="宋体" w:hAnsi="宋体" w:eastAsia="宋体" w:cs="宋体"/>
          <w:color w:val="auto"/>
          <w:sz w:val="24"/>
          <w:szCs w:val="24"/>
          <w:highlight w:val="none"/>
        </w:rPr>
      </w:pPr>
      <w:r>
        <w:rPr>
          <w:rFonts w:ascii="Calibri" w:hAnsi="Calibri" w:cs="Calibri"/>
          <w:color w:val="auto"/>
          <w:sz w:val="24"/>
          <w:szCs w:val="24"/>
          <w:highlight w:val="none"/>
        </w:rPr>
        <w:t> </w:t>
      </w:r>
      <w:r>
        <w:rPr>
          <w:rFonts w:hint="eastAsia" w:ascii="宋体" w:hAnsi="宋体" w:eastAsia="宋体" w:cs="宋体"/>
          <w:color w:val="auto"/>
          <w:sz w:val="24"/>
          <w:szCs w:val="24"/>
          <w:highlight w:val="none"/>
        </w:rPr>
        <w:t>机构代码、注册登记机构、日期、有效期、注册资本、地址、经济行业、经济性质</w:t>
      </w:r>
    </w:p>
    <w:p w14:paraId="34E30972">
      <w:pPr>
        <w:pStyle w:val="10"/>
        <w:widowControl/>
        <w:spacing w:line="560" w:lineRule="atLeas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法定代表人（负责人）姓名（签字）、身份证号、手机号：</w:t>
      </w:r>
    </w:p>
    <w:p w14:paraId="5E385D96">
      <w:pPr>
        <w:pStyle w:val="10"/>
        <w:widowControl/>
        <w:spacing w:line="560" w:lineRule="atLeas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授权代表人姓名（签字）、身份证号、手机号：</w:t>
      </w:r>
    </w:p>
    <w:p w14:paraId="4B3928BE">
      <w:pPr>
        <w:widowControl/>
        <w:jc w:val="left"/>
        <w:rPr>
          <w:rFonts w:ascii="宋体"/>
          <w:color w:val="auto"/>
          <w:sz w:val="24"/>
          <w:szCs w:val="24"/>
          <w:highlight w:val="none"/>
        </w:rPr>
        <w:sectPr>
          <w:pgSz w:w="11906" w:h="16838"/>
          <w:pgMar w:top="1474" w:right="1474" w:bottom="1474" w:left="1588" w:header="851" w:footer="992" w:gutter="0"/>
          <w:pgNumType w:fmt="decimal"/>
          <w:cols w:space="720" w:num="1"/>
          <w:docGrid w:type="lines" w:linePitch="312" w:charSpace="0"/>
        </w:sectPr>
      </w:pPr>
    </w:p>
    <w:p w14:paraId="7028558F">
      <w:pPr>
        <w:tabs>
          <w:tab w:val="left" w:pos="3600"/>
        </w:tabs>
        <w:adjustRightInd w:val="0"/>
        <w:snapToGrid w:val="0"/>
        <w:jc w:val="left"/>
        <w:rPr>
          <w:rFonts w:hint="default" w:ascii="宋体" w:hAnsi="宋体" w:eastAsia="宋体" w:cs="宋体"/>
          <w:b/>
          <w:color w:val="auto"/>
          <w:spacing w:val="6"/>
          <w:kern w:val="0"/>
          <w:sz w:val="24"/>
          <w:szCs w:val="24"/>
          <w:lang w:val="en-US" w:eastAsia="zh-CN"/>
        </w:rPr>
      </w:pPr>
      <w:r>
        <w:rPr>
          <w:rFonts w:hint="eastAsia" w:ascii="宋体" w:hAnsi="宋体" w:cs="宋体"/>
          <w:b/>
          <w:color w:val="auto"/>
          <w:spacing w:val="6"/>
          <w:kern w:val="0"/>
          <w:sz w:val="24"/>
          <w:szCs w:val="24"/>
          <w:lang w:val="en-US" w:eastAsia="zh-CN"/>
        </w:rPr>
        <w:t>附件2</w:t>
      </w:r>
    </w:p>
    <w:p w14:paraId="42E115DA">
      <w:pPr>
        <w:tabs>
          <w:tab w:val="left" w:pos="3600"/>
        </w:tabs>
        <w:adjustRightInd w:val="0"/>
        <w:snapToGrid w:val="0"/>
        <w:jc w:val="center"/>
        <w:rPr>
          <w:rFonts w:hint="eastAsia" w:ascii="黑体" w:hAnsi="华文中宋" w:eastAsia="黑体" w:cs="宋体"/>
          <w:bCs/>
          <w:color w:val="auto"/>
          <w:spacing w:val="6"/>
          <w:kern w:val="0"/>
          <w:sz w:val="24"/>
          <w:szCs w:val="24"/>
        </w:rPr>
      </w:pPr>
    </w:p>
    <w:p w14:paraId="0E1C83AA">
      <w:pPr>
        <w:tabs>
          <w:tab w:val="left" w:pos="3600"/>
        </w:tabs>
        <w:adjustRightInd w:val="0"/>
        <w:snapToGrid w:val="0"/>
        <w:jc w:val="center"/>
        <w:rPr>
          <w:rFonts w:hint="eastAsia" w:ascii="黑体" w:hAnsi="华文中宋" w:eastAsia="黑体" w:cs="宋体"/>
          <w:color w:val="auto"/>
          <w:kern w:val="0"/>
          <w:sz w:val="24"/>
          <w:szCs w:val="24"/>
        </w:rPr>
      </w:pPr>
      <w:r>
        <w:rPr>
          <w:rFonts w:hint="eastAsia" w:ascii="黑体" w:hAnsi="华文中宋" w:eastAsia="黑体" w:cs="宋体"/>
          <w:bCs/>
          <w:color w:val="auto"/>
          <w:spacing w:val="6"/>
          <w:kern w:val="0"/>
          <w:sz w:val="24"/>
          <w:szCs w:val="24"/>
        </w:rPr>
        <w:t>中小企业声明函（货物）</w:t>
      </w:r>
    </w:p>
    <w:p w14:paraId="2D49B7E4">
      <w:pPr>
        <w:widowControl/>
        <w:adjustRightInd w:val="0"/>
        <w:snapToGrid w:val="0"/>
        <w:spacing w:before="156" w:beforeLines="50" w:line="360" w:lineRule="auto"/>
        <w:ind w:firstLine="504" w:firstLineChars="200"/>
        <w:jc w:val="left"/>
        <w:rPr>
          <w:rFonts w:hint="eastAsia" w:ascii="宋体" w:hAnsi="宋体" w:cs="宋体"/>
          <w:color w:val="auto"/>
          <w:spacing w:val="6"/>
          <w:kern w:val="0"/>
          <w:sz w:val="24"/>
          <w:szCs w:val="24"/>
        </w:rPr>
      </w:pPr>
      <w:r>
        <w:rPr>
          <w:rFonts w:hint="eastAsia" w:ascii="宋体" w:hAnsi="宋体" w:cs="宋体"/>
          <w:color w:val="auto"/>
          <w:spacing w:val="6"/>
          <w:kern w:val="0"/>
          <w:sz w:val="24"/>
          <w:szCs w:val="24"/>
        </w:rPr>
        <w:t>本公司(联合体）郑重声明，根据《政府采购促进中小企业发展管理办法》(财库〔 2020 ) 46号）的规定，本公司(联合体）参加 (单位名称）的 (项目名称） 采购活动，提供的货物全部由符合政策要求的中小企业制造。相关企业(含联合体中的中小企业、签订分包意向协议的中小企业)的具体情况如下:</w:t>
      </w:r>
    </w:p>
    <w:p w14:paraId="6D8A3DE0">
      <w:pPr>
        <w:widowControl/>
        <w:adjustRightInd w:val="0"/>
        <w:snapToGrid w:val="0"/>
        <w:spacing w:before="156" w:beforeLines="50" w:line="360" w:lineRule="auto"/>
        <w:ind w:firstLine="504" w:firstLineChars="200"/>
        <w:jc w:val="left"/>
        <w:rPr>
          <w:rFonts w:hint="eastAsia" w:ascii="宋体" w:hAnsi="宋体" w:cs="宋体"/>
          <w:color w:val="auto"/>
          <w:spacing w:val="6"/>
          <w:kern w:val="0"/>
          <w:sz w:val="24"/>
          <w:szCs w:val="24"/>
        </w:rPr>
      </w:pPr>
      <w:r>
        <w:rPr>
          <w:rFonts w:hint="eastAsia" w:ascii="宋体" w:hAnsi="宋体" w:cs="宋体"/>
          <w:color w:val="auto"/>
          <w:spacing w:val="6"/>
          <w:kern w:val="0"/>
          <w:sz w:val="24"/>
          <w:szCs w:val="24"/>
        </w:rPr>
        <w:t>1.</w:t>
      </w:r>
      <w:r>
        <w:rPr>
          <w:rFonts w:hint="eastAsia" w:ascii="宋体" w:hAnsi="宋体" w:cs="宋体"/>
          <w:color w:val="auto"/>
          <w:spacing w:val="6"/>
          <w:kern w:val="0"/>
          <w:sz w:val="24"/>
          <w:szCs w:val="24"/>
          <w:u w:val="single"/>
        </w:rPr>
        <w:t xml:space="preserve"> (标的名称） </w:t>
      </w:r>
      <w:r>
        <w:rPr>
          <w:rFonts w:hint="eastAsia" w:ascii="宋体" w:hAnsi="宋体" w:cs="宋体"/>
          <w:color w:val="auto"/>
          <w:spacing w:val="6"/>
          <w:kern w:val="0"/>
          <w:sz w:val="24"/>
          <w:szCs w:val="24"/>
        </w:rPr>
        <w:t>，属于</w:t>
      </w:r>
      <w:r>
        <w:rPr>
          <w:rFonts w:hint="eastAsia" w:ascii="宋体" w:hAnsi="宋体" w:cs="宋体"/>
          <w:color w:val="auto"/>
          <w:spacing w:val="6"/>
          <w:kern w:val="0"/>
          <w:sz w:val="24"/>
          <w:szCs w:val="24"/>
          <w:u w:val="single"/>
        </w:rPr>
        <w:t xml:space="preserve">   </w:t>
      </w:r>
      <w:r>
        <w:rPr>
          <w:rFonts w:hint="eastAsia" w:ascii="宋体" w:hAnsi="宋体" w:cs="宋体"/>
          <w:color w:val="auto"/>
          <w:spacing w:val="6"/>
          <w:kern w:val="0"/>
          <w:sz w:val="24"/>
          <w:szCs w:val="24"/>
        </w:rPr>
        <w:t>行业;制造商为</w:t>
      </w:r>
      <w:r>
        <w:rPr>
          <w:rFonts w:hint="eastAsia" w:ascii="宋体" w:hAnsi="宋体" w:cs="宋体"/>
          <w:color w:val="auto"/>
          <w:spacing w:val="6"/>
          <w:kern w:val="0"/>
          <w:sz w:val="24"/>
          <w:szCs w:val="24"/>
          <w:u w:val="single"/>
        </w:rPr>
        <w:t>_(企业名称)</w:t>
      </w:r>
      <w:r>
        <w:rPr>
          <w:rFonts w:hint="eastAsia" w:ascii="宋体" w:hAnsi="宋体" w:cs="宋体"/>
          <w:color w:val="auto"/>
          <w:spacing w:val="6"/>
          <w:kern w:val="0"/>
          <w:sz w:val="24"/>
          <w:szCs w:val="24"/>
        </w:rPr>
        <w:t>，从业人员</w:t>
      </w:r>
      <w:r>
        <w:rPr>
          <w:rFonts w:hint="eastAsia" w:ascii="宋体" w:hAnsi="宋体" w:cs="宋体"/>
          <w:color w:val="auto"/>
          <w:spacing w:val="6"/>
          <w:kern w:val="0"/>
          <w:sz w:val="24"/>
          <w:szCs w:val="24"/>
          <w:u w:val="single"/>
        </w:rPr>
        <w:t>__</w:t>
      </w:r>
      <w:r>
        <w:rPr>
          <w:rFonts w:hint="eastAsia" w:ascii="宋体" w:hAnsi="宋体" w:cs="宋体"/>
          <w:color w:val="auto"/>
          <w:spacing w:val="6"/>
          <w:kern w:val="0"/>
          <w:sz w:val="24"/>
          <w:szCs w:val="24"/>
        </w:rPr>
        <w:t>人，营业收入为</w:t>
      </w:r>
      <w:r>
        <w:rPr>
          <w:rFonts w:hint="eastAsia" w:ascii="宋体" w:hAnsi="宋体" w:cs="宋体"/>
          <w:color w:val="auto"/>
          <w:spacing w:val="6"/>
          <w:kern w:val="0"/>
          <w:sz w:val="24"/>
          <w:szCs w:val="24"/>
          <w:u w:val="single"/>
        </w:rPr>
        <w:t>__</w:t>
      </w:r>
      <w:r>
        <w:rPr>
          <w:rFonts w:hint="eastAsia" w:ascii="宋体" w:hAnsi="宋体" w:cs="宋体"/>
          <w:color w:val="auto"/>
          <w:spacing w:val="6"/>
          <w:kern w:val="0"/>
          <w:sz w:val="24"/>
          <w:szCs w:val="24"/>
        </w:rPr>
        <w:t>万元，资产总额为</w:t>
      </w:r>
      <w:r>
        <w:rPr>
          <w:rFonts w:hint="eastAsia" w:ascii="宋体" w:hAnsi="宋体" w:cs="宋体"/>
          <w:color w:val="auto"/>
          <w:spacing w:val="6"/>
          <w:kern w:val="0"/>
          <w:sz w:val="24"/>
          <w:szCs w:val="24"/>
          <w:u w:val="single"/>
        </w:rPr>
        <w:t>___</w:t>
      </w:r>
      <w:r>
        <w:rPr>
          <w:rFonts w:hint="eastAsia" w:ascii="宋体" w:hAnsi="宋体" w:cs="宋体"/>
          <w:color w:val="auto"/>
          <w:spacing w:val="6"/>
          <w:kern w:val="0"/>
          <w:sz w:val="24"/>
          <w:szCs w:val="24"/>
        </w:rPr>
        <w:t>万元，属于</w:t>
      </w:r>
      <w:r>
        <w:rPr>
          <w:rFonts w:hint="eastAsia" w:ascii="宋体" w:hAnsi="宋体" w:cs="宋体"/>
          <w:color w:val="auto"/>
          <w:spacing w:val="6"/>
          <w:kern w:val="0"/>
          <w:sz w:val="24"/>
          <w:szCs w:val="24"/>
          <w:u w:val="single"/>
        </w:rPr>
        <w:t>（中型企业、小型企业、微型企业)</w:t>
      </w:r>
      <w:r>
        <w:rPr>
          <w:rFonts w:hint="eastAsia" w:ascii="宋体" w:hAnsi="宋体" w:cs="宋体"/>
          <w:color w:val="auto"/>
          <w:spacing w:val="6"/>
          <w:kern w:val="0"/>
          <w:sz w:val="24"/>
          <w:szCs w:val="24"/>
        </w:rPr>
        <w:t>;</w:t>
      </w:r>
    </w:p>
    <w:p w14:paraId="1EAEB50A">
      <w:pPr>
        <w:widowControl/>
        <w:adjustRightInd w:val="0"/>
        <w:snapToGrid w:val="0"/>
        <w:spacing w:before="156" w:beforeLines="50" w:line="360" w:lineRule="auto"/>
        <w:ind w:firstLine="504" w:firstLineChars="200"/>
        <w:jc w:val="left"/>
        <w:rPr>
          <w:rFonts w:hint="eastAsia" w:ascii="宋体" w:hAnsi="宋体" w:cs="宋体"/>
          <w:color w:val="auto"/>
          <w:spacing w:val="6"/>
          <w:kern w:val="0"/>
          <w:sz w:val="24"/>
          <w:szCs w:val="24"/>
        </w:rPr>
      </w:pPr>
      <w:r>
        <w:rPr>
          <w:rFonts w:hint="eastAsia" w:ascii="宋体" w:hAnsi="宋体" w:cs="宋体"/>
          <w:color w:val="auto"/>
          <w:spacing w:val="6"/>
          <w:kern w:val="0"/>
          <w:sz w:val="24"/>
          <w:szCs w:val="24"/>
        </w:rPr>
        <w:t>2.</w:t>
      </w:r>
      <w:r>
        <w:rPr>
          <w:rFonts w:hint="eastAsia" w:ascii="宋体" w:hAnsi="宋体" w:cs="宋体"/>
          <w:color w:val="auto"/>
          <w:spacing w:val="6"/>
          <w:kern w:val="0"/>
          <w:sz w:val="24"/>
          <w:szCs w:val="24"/>
          <w:u w:val="single"/>
        </w:rPr>
        <w:t xml:space="preserve"> (标的名称)</w:t>
      </w:r>
      <w:r>
        <w:rPr>
          <w:rFonts w:hint="eastAsia" w:ascii="宋体" w:hAnsi="宋体" w:cs="宋体"/>
          <w:color w:val="auto"/>
          <w:spacing w:val="6"/>
          <w:kern w:val="0"/>
          <w:sz w:val="24"/>
          <w:szCs w:val="24"/>
        </w:rPr>
        <w:t>，属于</w:t>
      </w:r>
      <w:r>
        <w:rPr>
          <w:rFonts w:hint="eastAsia" w:ascii="宋体" w:hAnsi="宋体" w:cs="宋体"/>
          <w:color w:val="auto"/>
          <w:spacing w:val="6"/>
          <w:kern w:val="0"/>
          <w:sz w:val="24"/>
          <w:szCs w:val="24"/>
          <w:u w:val="single"/>
        </w:rPr>
        <w:t xml:space="preserve">   </w:t>
      </w:r>
      <w:r>
        <w:rPr>
          <w:rFonts w:hint="eastAsia" w:ascii="宋体" w:hAnsi="宋体" w:cs="宋体"/>
          <w:color w:val="auto"/>
          <w:spacing w:val="6"/>
          <w:kern w:val="0"/>
          <w:sz w:val="24"/>
          <w:szCs w:val="24"/>
        </w:rPr>
        <w:t>行业;制造商为</w:t>
      </w:r>
      <w:r>
        <w:rPr>
          <w:rFonts w:hint="eastAsia" w:ascii="宋体" w:hAnsi="宋体" w:cs="宋体"/>
          <w:color w:val="auto"/>
          <w:spacing w:val="6"/>
          <w:kern w:val="0"/>
          <w:sz w:val="24"/>
          <w:szCs w:val="24"/>
          <w:u w:val="single"/>
        </w:rPr>
        <w:t xml:space="preserve"> (企业名称)</w:t>
      </w:r>
      <w:r>
        <w:rPr>
          <w:rFonts w:hint="eastAsia" w:ascii="宋体" w:hAnsi="宋体" w:cs="宋体"/>
          <w:color w:val="auto"/>
          <w:spacing w:val="6"/>
          <w:kern w:val="0"/>
          <w:sz w:val="24"/>
          <w:szCs w:val="24"/>
        </w:rPr>
        <w:t>，从业人员</w:t>
      </w:r>
      <w:r>
        <w:rPr>
          <w:rFonts w:hint="eastAsia" w:ascii="宋体" w:hAnsi="宋体" w:cs="宋体"/>
          <w:color w:val="auto"/>
          <w:spacing w:val="6"/>
          <w:kern w:val="0"/>
          <w:sz w:val="24"/>
          <w:szCs w:val="24"/>
          <w:u w:val="single"/>
        </w:rPr>
        <w:t>___</w:t>
      </w:r>
      <w:r>
        <w:rPr>
          <w:rFonts w:hint="eastAsia" w:ascii="宋体" w:hAnsi="宋体" w:cs="宋体"/>
          <w:color w:val="auto"/>
          <w:spacing w:val="6"/>
          <w:kern w:val="0"/>
          <w:sz w:val="24"/>
          <w:szCs w:val="24"/>
        </w:rPr>
        <w:t>人，营业收入为</w:t>
      </w:r>
      <w:r>
        <w:rPr>
          <w:rFonts w:hint="eastAsia" w:ascii="宋体" w:hAnsi="宋体" w:cs="宋体"/>
          <w:color w:val="auto"/>
          <w:spacing w:val="6"/>
          <w:kern w:val="0"/>
          <w:sz w:val="24"/>
          <w:szCs w:val="24"/>
          <w:u w:val="single"/>
        </w:rPr>
        <w:t>__</w:t>
      </w:r>
      <w:r>
        <w:rPr>
          <w:rFonts w:hint="eastAsia" w:ascii="宋体" w:hAnsi="宋体" w:cs="宋体"/>
          <w:color w:val="auto"/>
          <w:spacing w:val="6"/>
          <w:kern w:val="0"/>
          <w:sz w:val="24"/>
          <w:szCs w:val="24"/>
        </w:rPr>
        <w:t>万元，资产总额为</w:t>
      </w:r>
      <w:r>
        <w:rPr>
          <w:rFonts w:hint="eastAsia" w:ascii="宋体" w:hAnsi="宋体" w:cs="宋体"/>
          <w:color w:val="auto"/>
          <w:spacing w:val="6"/>
          <w:kern w:val="0"/>
          <w:sz w:val="24"/>
          <w:szCs w:val="24"/>
          <w:u w:val="single"/>
        </w:rPr>
        <w:t>__</w:t>
      </w:r>
      <w:r>
        <w:rPr>
          <w:rFonts w:hint="eastAsia" w:ascii="宋体" w:hAnsi="宋体" w:cs="宋体"/>
          <w:color w:val="auto"/>
          <w:spacing w:val="6"/>
          <w:kern w:val="0"/>
          <w:sz w:val="24"/>
          <w:szCs w:val="24"/>
        </w:rPr>
        <w:t>万元，属于</w:t>
      </w:r>
      <w:r>
        <w:rPr>
          <w:rFonts w:hint="eastAsia" w:ascii="宋体" w:hAnsi="宋体" w:cs="宋体"/>
          <w:color w:val="auto"/>
          <w:spacing w:val="6"/>
          <w:kern w:val="0"/>
          <w:sz w:val="24"/>
          <w:szCs w:val="24"/>
          <w:u w:val="single"/>
        </w:rPr>
        <w:t>（中型企业、小型企业、微型企业)</w:t>
      </w:r>
      <w:r>
        <w:rPr>
          <w:rFonts w:hint="eastAsia" w:ascii="宋体" w:hAnsi="宋体" w:cs="宋体"/>
          <w:color w:val="auto"/>
          <w:spacing w:val="6"/>
          <w:kern w:val="0"/>
          <w:sz w:val="24"/>
          <w:szCs w:val="24"/>
        </w:rPr>
        <w:t>;</w:t>
      </w:r>
    </w:p>
    <w:p w14:paraId="011196D8">
      <w:pPr>
        <w:widowControl/>
        <w:adjustRightInd w:val="0"/>
        <w:snapToGrid w:val="0"/>
        <w:spacing w:before="156" w:beforeLines="50" w:line="360" w:lineRule="auto"/>
        <w:ind w:firstLine="504" w:firstLineChars="200"/>
        <w:jc w:val="left"/>
        <w:rPr>
          <w:rFonts w:ascii="宋体" w:hAnsi="宋体" w:cs="宋体"/>
          <w:color w:val="auto"/>
          <w:spacing w:val="6"/>
          <w:kern w:val="0"/>
          <w:sz w:val="24"/>
          <w:szCs w:val="24"/>
        </w:rPr>
      </w:pPr>
      <w:r>
        <w:rPr>
          <w:rFonts w:hint="eastAsia" w:ascii="宋体" w:hAnsi="宋体" w:cs="宋体"/>
          <w:color w:val="auto"/>
          <w:spacing w:val="6"/>
          <w:kern w:val="0"/>
          <w:sz w:val="24"/>
          <w:szCs w:val="24"/>
        </w:rPr>
        <w:t>………</w:t>
      </w:r>
    </w:p>
    <w:p w14:paraId="70249D67">
      <w:pPr>
        <w:widowControl/>
        <w:adjustRightInd w:val="0"/>
        <w:snapToGrid w:val="0"/>
        <w:spacing w:before="156" w:beforeLines="50" w:line="360" w:lineRule="auto"/>
        <w:ind w:firstLine="504" w:firstLineChars="200"/>
        <w:jc w:val="left"/>
        <w:rPr>
          <w:rFonts w:hint="eastAsia" w:ascii="宋体" w:hAnsi="宋体" w:cs="宋体"/>
          <w:color w:val="auto"/>
          <w:spacing w:val="6"/>
          <w:kern w:val="0"/>
          <w:sz w:val="24"/>
          <w:szCs w:val="24"/>
        </w:rPr>
      </w:pPr>
      <w:r>
        <w:rPr>
          <w:rFonts w:hint="eastAsia" w:ascii="宋体" w:hAnsi="宋体" w:cs="宋体"/>
          <w:color w:val="auto"/>
          <w:spacing w:val="6"/>
          <w:kern w:val="0"/>
          <w:sz w:val="24"/>
          <w:szCs w:val="24"/>
        </w:rPr>
        <w:t>以上企业，不属于大企业的分支机构，不存在控股股东为大企业的情形，也不存在与大企业的负责人为同一人的情形。</w:t>
      </w:r>
    </w:p>
    <w:p w14:paraId="73F8CA37">
      <w:pPr>
        <w:widowControl/>
        <w:adjustRightInd w:val="0"/>
        <w:snapToGrid w:val="0"/>
        <w:spacing w:before="156" w:beforeLines="50" w:line="360" w:lineRule="auto"/>
        <w:ind w:firstLine="504" w:firstLineChars="200"/>
        <w:jc w:val="left"/>
        <w:rPr>
          <w:rFonts w:ascii="宋体" w:hAnsi="宋体" w:cs="宋体"/>
          <w:color w:val="auto"/>
          <w:spacing w:val="6"/>
          <w:kern w:val="0"/>
          <w:sz w:val="24"/>
          <w:szCs w:val="24"/>
        </w:rPr>
      </w:pPr>
      <w:r>
        <w:rPr>
          <w:rFonts w:hint="eastAsia" w:ascii="宋体" w:hAnsi="宋体" w:cs="宋体"/>
          <w:color w:val="auto"/>
          <w:spacing w:val="6"/>
          <w:kern w:val="0"/>
          <w:sz w:val="24"/>
          <w:szCs w:val="24"/>
        </w:rPr>
        <w:t>本企业对上述声明内容的真实性负责。如有虚假，将依法承担相应责任。</w:t>
      </w:r>
    </w:p>
    <w:p w14:paraId="5D548C4F">
      <w:pPr>
        <w:widowControl/>
        <w:adjustRightInd w:val="0"/>
        <w:snapToGrid w:val="0"/>
        <w:spacing w:before="156" w:beforeLines="50" w:line="360" w:lineRule="auto"/>
        <w:ind w:firstLine="504" w:firstLineChars="200"/>
        <w:jc w:val="left"/>
        <w:rPr>
          <w:rFonts w:ascii="宋体" w:hAnsi="宋体" w:cs="宋体"/>
          <w:color w:val="auto"/>
          <w:spacing w:val="6"/>
          <w:kern w:val="0"/>
          <w:sz w:val="24"/>
          <w:szCs w:val="24"/>
        </w:rPr>
      </w:pPr>
    </w:p>
    <w:p w14:paraId="1CAD968F">
      <w:pPr>
        <w:widowControl/>
        <w:adjustRightInd w:val="0"/>
        <w:snapToGrid w:val="0"/>
        <w:spacing w:before="156" w:beforeLines="50" w:line="360" w:lineRule="auto"/>
        <w:ind w:firstLine="504" w:firstLineChars="200"/>
        <w:jc w:val="left"/>
        <w:rPr>
          <w:rFonts w:hint="eastAsia" w:ascii="宋体" w:hAnsi="宋体" w:cs="宋体"/>
          <w:color w:val="auto"/>
          <w:spacing w:val="6"/>
          <w:kern w:val="0"/>
          <w:sz w:val="24"/>
          <w:szCs w:val="24"/>
        </w:rPr>
      </w:pPr>
    </w:p>
    <w:p w14:paraId="67F299A2">
      <w:pPr>
        <w:widowControl/>
        <w:wordWrap w:val="0"/>
        <w:adjustRightInd w:val="0"/>
        <w:snapToGrid w:val="0"/>
        <w:spacing w:before="156" w:beforeLines="50" w:line="360" w:lineRule="auto"/>
        <w:ind w:firstLine="504" w:firstLineChars="200"/>
        <w:jc w:val="right"/>
        <w:rPr>
          <w:rFonts w:hint="eastAsia" w:ascii="宋体" w:hAnsi="宋体" w:cs="宋体"/>
          <w:color w:val="auto"/>
          <w:spacing w:val="6"/>
          <w:kern w:val="0"/>
          <w:sz w:val="24"/>
          <w:szCs w:val="24"/>
        </w:rPr>
      </w:pPr>
      <w:r>
        <w:rPr>
          <w:rFonts w:hint="eastAsia" w:ascii="宋体" w:hAnsi="宋体" w:cs="宋体"/>
          <w:color w:val="auto"/>
          <w:spacing w:val="6"/>
          <w:kern w:val="0"/>
          <w:sz w:val="24"/>
          <w:szCs w:val="24"/>
        </w:rPr>
        <w:t>企业名称（盖章):</w:t>
      </w:r>
      <w:r>
        <w:rPr>
          <w:rFonts w:ascii="宋体" w:hAnsi="宋体" w:cs="宋体"/>
          <w:color w:val="auto"/>
          <w:spacing w:val="6"/>
          <w:kern w:val="0"/>
          <w:sz w:val="24"/>
          <w:szCs w:val="24"/>
          <w:u w:val="single"/>
        </w:rPr>
        <w:t xml:space="preserve">              </w:t>
      </w:r>
    </w:p>
    <w:p w14:paraId="3FEF6D03">
      <w:pPr>
        <w:widowControl/>
        <w:adjustRightInd w:val="0"/>
        <w:snapToGrid w:val="0"/>
        <w:spacing w:before="156" w:beforeLines="50" w:line="360" w:lineRule="auto"/>
        <w:ind w:firstLine="504" w:firstLineChars="200"/>
        <w:jc w:val="right"/>
        <w:rPr>
          <w:rFonts w:ascii="宋体" w:hAnsi="宋体" w:cs="宋体"/>
          <w:color w:val="auto"/>
          <w:spacing w:val="6"/>
          <w:kern w:val="0"/>
          <w:sz w:val="24"/>
          <w:szCs w:val="24"/>
        </w:rPr>
      </w:pPr>
      <w:r>
        <w:rPr>
          <w:rFonts w:hint="eastAsia" w:ascii="宋体" w:hAnsi="宋体" w:cs="宋体"/>
          <w:color w:val="auto"/>
          <w:spacing w:val="6"/>
          <w:kern w:val="0"/>
          <w:sz w:val="24"/>
          <w:szCs w:val="24"/>
        </w:rPr>
        <w:t>日期:</w:t>
      </w:r>
      <w:r>
        <w:rPr>
          <w:rFonts w:ascii="宋体" w:hAnsi="宋体" w:cs="宋体"/>
          <w:color w:val="auto"/>
          <w:spacing w:val="6"/>
          <w:kern w:val="0"/>
          <w:sz w:val="24"/>
          <w:szCs w:val="24"/>
        </w:rPr>
        <w:t xml:space="preserve">            </w:t>
      </w:r>
      <w:r>
        <w:rPr>
          <w:rFonts w:ascii="宋体" w:hAnsi="宋体" w:cs="宋体"/>
          <w:color w:val="auto"/>
          <w:spacing w:val="6"/>
          <w:kern w:val="0"/>
          <w:sz w:val="24"/>
          <w:szCs w:val="24"/>
        </w:rPr>
        <w:tab/>
      </w:r>
    </w:p>
    <w:p w14:paraId="6F8004CD">
      <w:pPr>
        <w:widowControl/>
        <w:adjustRightInd w:val="0"/>
        <w:snapToGrid w:val="0"/>
        <w:spacing w:before="156" w:beforeLines="50" w:line="360" w:lineRule="auto"/>
        <w:ind w:firstLine="504" w:firstLineChars="200"/>
        <w:jc w:val="left"/>
        <w:rPr>
          <w:rFonts w:hint="eastAsia" w:ascii="宋体" w:hAnsi="宋体" w:cs="宋体"/>
          <w:color w:val="auto"/>
          <w:spacing w:val="6"/>
          <w:kern w:val="0"/>
          <w:sz w:val="24"/>
          <w:szCs w:val="24"/>
        </w:rPr>
      </w:pPr>
      <w:r>
        <w:rPr>
          <w:rFonts w:hint="eastAsia" w:ascii="宋体" w:hAnsi="宋体" w:cs="宋体"/>
          <w:color w:val="auto"/>
          <w:spacing w:val="6"/>
          <w:kern w:val="0"/>
          <w:sz w:val="24"/>
          <w:szCs w:val="24"/>
        </w:rPr>
        <w:t>说明：</w:t>
      </w:r>
    </w:p>
    <w:p w14:paraId="28C78F1D">
      <w:pPr>
        <w:widowControl/>
        <w:adjustRightInd w:val="0"/>
        <w:snapToGrid w:val="0"/>
        <w:spacing w:before="156" w:beforeLines="50" w:line="360" w:lineRule="auto"/>
        <w:ind w:firstLine="504" w:firstLineChars="200"/>
        <w:jc w:val="left"/>
        <w:rPr>
          <w:rFonts w:hint="eastAsia" w:ascii="宋体" w:hAnsi="宋体" w:cs="宋体"/>
          <w:color w:val="auto"/>
          <w:spacing w:val="6"/>
          <w:kern w:val="0"/>
          <w:sz w:val="24"/>
          <w:szCs w:val="24"/>
        </w:rPr>
      </w:pPr>
      <w:r>
        <w:rPr>
          <w:rFonts w:hint="eastAsia" w:ascii="宋体" w:hAnsi="宋体" w:cs="宋体"/>
          <w:color w:val="auto"/>
          <w:spacing w:val="6"/>
          <w:kern w:val="0"/>
          <w:sz w:val="24"/>
          <w:szCs w:val="24"/>
        </w:rPr>
        <w:t>1、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对应的中小企业划分标准所属行业：工业。</w:t>
      </w:r>
    </w:p>
    <w:p w14:paraId="67A17907">
      <w:pPr>
        <w:widowControl/>
        <w:adjustRightInd w:val="0"/>
        <w:snapToGrid w:val="0"/>
        <w:spacing w:before="156" w:beforeLines="50" w:line="360" w:lineRule="auto"/>
        <w:ind w:firstLine="504" w:firstLineChars="200"/>
        <w:jc w:val="left"/>
        <w:rPr>
          <w:rFonts w:hint="eastAsia" w:ascii="宋体" w:hAnsi="宋体" w:cs="宋体"/>
          <w:color w:val="auto"/>
          <w:spacing w:val="6"/>
          <w:kern w:val="0"/>
          <w:sz w:val="24"/>
          <w:szCs w:val="24"/>
        </w:rPr>
      </w:pPr>
      <w:r>
        <w:rPr>
          <w:rFonts w:hint="eastAsia" w:ascii="宋体" w:hAnsi="宋体" w:cs="宋体"/>
          <w:color w:val="auto"/>
          <w:spacing w:val="6"/>
          <w:kern w:val="0"/>
          <w:sz w:val="24"/>
          <w:szCs w:val="24"/>
        </w:rPr>
        <w:t>2、从业人员、营业收入、资产总额填报上一年度数据，无上一年度数据的新成立企业可不填报资产总额。</w:t>
      </w:r>
    </w:p>
    <w:p w14:paraId="1DBBB4FC">
      <w:pPr>
        <w:widowControl/>
        <w:adjustRightInd w:val="0"/>
        <w:snapToGrid w:val="0"/>
        <w:spacing w:line="360" w:lineRule="auto"/>
        <w:ind w:firstLine="480" w:firstLineChars="200"/>
        <w:jc w:val="left"/>
      </w:pPr>
      <w:r>
        <w:rPr>
          <w:rFonts w:hint="eastAsia" w:ascii="宋体" w:hAnsi="宋体"/>
          <w:color w:val="auto"/>
          <w:sz w:val="24"/>
          <w:szCs w:val="24"/>
        </w:rPr>
        <w:t>3</w:t>
      </w:r>
      <w:r>
        <w:rPr>
          <w:rFonts w:hint="eastAsia" w:ascii="宋体" w:hAnsi="宋体" w:cs="宋体"/>
          <w:color w:val="auto"/>
          <w:kern w:val="0"/>
          <w:sz w:val="24"/>
          <w:szCs w:val="24"/>
        </w:rPr>
        <w:t>、</w:t>
      </w:r>
      <w:r>
        <w:rPr>
          <w:rFonts w:hint="eastAsia" w:ascii="宋体" w:hAnsi="宋体"/>
          <w:color w:val="auto"/>
          <w:sz w:val="24"/>
          <w:szCs w:val="24"/>
        </w:rPr>
        <w:t>未按上述要求提供、填写的，评审时不予以考虑。</w:t>
      </w:r>
      <w:bookmarkStart w:id="13" w:name="_GoBack"/>
      <w:bookmarkEnd w:id="13"/>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Webdings">
    <w:panose1 w:val="05030102010509060703"/>
    <w:charset w:val="02"/>
    <w:family w:val="roman"/>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040454"/>
      <w:docPartObj>
        <w:docPartGallery w:val="autotext"/>
      </w:docPartObj>
    </w:sdtPr>
    <w:sdtContent>
      <w:p w14:paraId="72B65A7D">
        <w:pPr>
          <w:pStyle w:val="7"/>
          <w:jc w:val="center"/>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91DD3">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1027"/>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6801252E">
                          <w:pPr>
                            <w:pStyle w:val="7"/>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AQQ80HfAQAAsQMAAA4AAAAA&#10;AAAAAQAgAAAAHwEAAGRycy9lMm9Eb2MueG1sUEsFBgAAAAAGAAYAWQEAAHAFAAAAAA==&#10;">
              <v:fill on="f" focussize="0,0"/>
              <v:stroke on="f"/>
              <v:imagedata o:title=""/>
              <o:lock v:ext="edit" aspectratio="f"/>
              <v:textbox inset="0mm,0mm,0mm,0mm" style="mso-fit-shape-to-text:t;">
                <w:txbxContent>
                  <w:p w14:paraId="6801252E">
                    <w:pPr>
                      <w:pStyle w:val="7"/>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02ED8">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B43BF">
    <w:pPr>
      <w:pStyle w:val="6"/>
      <w:rPr>
        <w:rFonts w:ascii="仿宋_GB2312" w:eastAsia="仿宋_GB2312"/>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86248D"/>
    <w:rsid w:val="58862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b/>
      <w:bCs/>
      <w:sz w:val="32"/>
      <w:szCs w:val="20"/>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4">
    <w:name w:val="Body Text Indent"/>
    <w:basedOn w:val="1"/>
    <w:next w:val="5"/>
    <w:qFormat/>
    <w:uiPriority w:val="0"/>
    <w:pPr>
      <w:spacing w:after="120"/>
      <w:ind w:left="420" w:leftChars="200"/>
    </w:pPr>
  </w:style>
  <w:style w:type="paragraph" w:styleId="5">
    <w:name w:val="envelope return"/>
    <w:basedOn w:val="1"/>
    <w:qFormat/>
    <w:uiPriority w:val="0"/>
    <w:pPr>
      <w:snapToGrid w:val="0"/>
    </w:pPr>
    <w:rPr>
      <w:rFonts w:ascii="Arial" w:hAnsi="Arial"/>
    </w:rPr>
  </w:style>
  <w:style w:type="paragraph" w:styleId="6">
    <w:name w:val="Plain Text"/>
    <w:basedOn w:val="1"/>
    <w:qFormat/>
    <w:uiPriority w:val="0"/>
    <w:rPr>
      <w:rFonts w:ascii="宋体" w:hAnsi="Courier New" w:cs="Courier New"/>
      <w:szCs w:val="21"/>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next w:val="9"/>
    <w:qFormat/>
    <w:uiPriority w:val="0"/>
    <w:pPr>
      <w:pBdr>
        <w:bottom w:val="single" w:color="auto" w:sz="6" w:space="1"/>
      </w:pBdr>
      <w:tabs>
        <w:tab w:val="center" w:pos="4153"/>
        <w:tab w:val="right" w:pos="8306"/>
      </w:tabs>
      <w:snapToGrid w:val="0"/>
      <w:jc w:val="center"/>
    </w:pPr>
    <w:rPr>
      <w:sz w:val="18"/>
      <w:szCs w:val="18"/>
    </w:rPr>
  </w:style>
  <w:style w:type="paragraph" w:styleId="9">
    <w:name w:val="Quote"/>
    <w:basedOn w:val="1"/>
    <w:next w:val="1"/>
    <w:qFormat/>
    <w:uiPriority w:val="99"/>
    <w:pPr>
      <w:ind w:left="864" w:right="864"/>
      <w:jc w:val="center"/>
    </w:pPr>
    <w:rPr>
      <w:i/>
      <w:iCs/>
      <w:color w:val="000000"/>
    </w:rPr>
  </w:style>
  <w:style w:type="paragraph" w:styleId="1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1">
    <w:name w:val="Body Text First Indent 2"/>
    <w:basedOn w:val="4"/>
    <w:next w:val="1"/>
    <w:qFormat/>
    <w:uiPriority w:val="99"/>
    <w:pPr>
      <w:ind w:firstLine="420" w:firstLineChars="200"/>
    </w:pPr>
  </w:style>
  <w:style w:type="paragraph" w:customStyle="1" w:styleId="14">
    <w:name w:val="列出段落1"/>
    <w:basedOn w:val="1"/>
    <w:qFormat/>
    <w:uiPriority w:val="34"/>
    <w:pPr>
      <w:ind w:firstLine="420" w:firstLineChars="200"/>
    </w:pPr>
  </w:style>
  <w:style w:type="character" w:customStyle="1" w:styleId="15">
    <w:name w:val="Heading 2 Hidden Char"/>
    <w:qFormat/>
    <w:uiPriority w:val="0"/>
    <w:rPr>
      <w:rFonts w:ascii="Arial" w:hAnsi="Arial" w:eastAsia="宋体"/>
      <w:b/>
      <w:bCs/>
      <w:kern w:val="2"/>
      <w:sz w:val="28"/>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2024-11-29T01:22:00Z</dcterms:created>
  <dc:creator>极致星辰</dc:creator>
  <cp:lastModifiedBy>极致星辰</cp:lastModifiedBy>
  <dcterms:modified xsi:type="dcterms:W3CDTF">2024-11-29T01:22:46Z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0035BD29735948F8BF9DAF8EFC30B0EE_11</vt:lpwstr>
  </property>
</Properties>
</file>