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73A0EC">
      <w:pPr>
        <w:pStyle w:val="3"/>
        <w:adjustRightInd w:val="0"/>
        <w:snapToGrid w:val="0"/>
        <w:spacing w:before="156" w:beforeLines="50" w:line="360" w:lineRule="auto"/>
        <w:jc w:val="center"/>
        <w:outlineLvl w:val="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投标邀请</w:t>
      </w:r>
    </w:p>
    <w:p w14:paraId="6D341528">
      <w:pPr>
        <w:rPr>
          <w:rFonts w:hint="eastAsia" w:ascii="仿宋" w:hAnsi="仿宋" w:eastAsia="仿宋" w:cs="仿宋"/>
        </w:rPr>
      </w:pPr>
      <w:bookmarkStart w:id="0" w:name="EB591d2d602ada4709b0cbd98f9052456a"/>
      <w:r>
        <w:rPr>
          <w:rFonts w:hint="eastAsia" w:ascii="仿宋" w:hAnsi="仿宋" w:eastAsia="仿宋" w:cs="仿宋"/>
          <w:sz w:val="20"/>
        </w:rPr>
        <w:t xml:space="preserve"> </w:t>
      </w:r>
      <w:bookmarkEnd w:id="0"/>
      <w:bookmarkStart w:id="1" w:name="EBc9191a5ece724ac0901e84f28054959d"/>
      <w:r>
        <w:rPr>
          <w:rFonts w:hint="eastAsia" w:ascii="仿宋" w:hAnsi="仿宋" w:eastAsia="仿宋" w:cs="仿宋"/>
          <w:sz w:val="20"/>
        </w:rPr>
        <w:t xml:space="preserve"> </w:t>
      </w:r>
      <w:bookmarkEnd w:id="1"/>
    </w:p>
    <w:p w14:paraId="7AB1196A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长沙市口腔医院对</w:t>
      </w:r>
      <w:r>
        <w:rPr>
          <w:rFonts w:hint="eastAsia" w:ascii="仿宋" w:hAnsi="仿宋" w:eastAsia="仿宋" w:cs="仿宋"/>
          <w:szCs w:val="21"/>
        </w:rPr>
        <w:softHyphen/>
      </w:r>
      <w:r>
        <w:rPr>
          <w:rFonts w:hint="eastAsia" w:ascii="仿宋" w:hAnsi="仿宋" w:eastAsia="仿宋" w:cs="仿宋"/>
          <w:szCs w:val="21"/>
        </w:rPr>
        <w:softHyphen/>
      </w:r>
      <w:r>
        <w:rPr>
          <w:rFonts w:hint="eastAsia" w:ascii="仿宋" w:hAnsi="仿宋" w:eastAsia="仿宋" w:cs="仿宋"/>
          <w:szCs w:val="21"/>
        </w:rPr>
        <w:softHyphen/>
      </w:r>
      <w:r>
        <w:rPr>
          <w:rFonts w:hint="eastAsia" w:ascii="仿宋" w:hAnsi="仿宋" w:eastAsia="仿宋" w:cs="仿宋"/>
          <w:szCs w:val="21"/>
        </w:rPr>
        <w:softHyphen/>
      </w:r>
      <w:r>
        <w:rPr>
          <w:rFonts w:hint="eastAsia" w:ascii="仿宋" w:hAnsi="仿宋" w:eastAsia="仿宋" w:cs="仿宋"/>
          <w:szCs w:val="21"/>
        </w:rPr>
        <w:t>根管长度测量仪进行公开招标采购，现将采购事项公告如下：</w:t>
      </w:r>
    </w:p>
    <w:p w14:paraId="3FB2E451">
      <w:pPr>
        <w:adjustRightInd w:val="0"/>
        <w:snapToGrid w:val="0"/>
        <w:spacing w:line="360" w:lineRule="auto"/>
        <w:ind w:firstLine="422" w:firstLineChars="200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一、采购标段名称、编号及预算金额</w:t>
      </w:r>
    </w:p>
    <w:p w14:paraId="4554BF54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采购标段名称：长沙市口腔医院根管长度测量仪采购项目</w:t>
      </w:r>
    </w:p>
    <w:p w14:paraId="10235D6A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采购编号：</w:t>
      </w:r>
      <w:r>
        <w:rPr>
          <w:rFonts w:ascii="仿宋" w:hAnsi="仿宋" w:eastAsia="仿宋" w:cs="仿宋"/>
          <w:szCs w:val="21"/>
        </w:rPr>
        <w:t xml:space="preserve"> cjcg24-026</w:t>
      </w:r>
      <w:r>
        <w:rPr>
          <w:rFonts w:hint="eastAsia" w:ascii="仿宋" w:hAnsi="仿宋" w:eastAsia="仿宋" w:cs="仿宋"/>
          <w:szCs w:val="21"/>
        </w:rPr>
        <w:t xml:space="preserve"> </w:t>
      </w:r>
    </w:p>
    <w:p w14:paraId="7C233AE1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采购标段预算：17.95万元，最高投标限价10.8万元</w:t>
      </w:r>
    </w:p>
    <w:p w14:paraId="46D25782">
      <w:pPr>
        <w:numPr>
          <w:ilvl w:val="0"/>
          <w:numId w:val="1"/>
        </w:numPr>
        <w:adjustRightInd w:val="0"/>
        <w:snapToGrid w:val="0"/>
        <w:spacing w:line="360" w:lineRule="auto"/>
        <w:ind w:firstLine="422" w:firstLineChars="200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采购人的采购需求：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401"/>
        <w:gridCol w:w="1291"/>
        <w:gridCol w:w="808"/>
        <w:gridCol w:w="1144"/>
        <w:gridCol w:w="3109"/>
      </w:tblGrid>
      <w:tr w14:paraId="59A1B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noWrap w:val="0"/>
            <w:vAlign w:val="center"/>
          </w:tcPr>
          <w:p w14:paraId="4C56C942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softHyphen/>
            </w:r>
            <w:r>
              <w:rPr>
                <w:rFonts w:hint="eastAsia" w:ascii="仿宋" w:hAnsi="仿宋" w:eastAsia="仿宋" w:cs="仿宋"/>
                <w:szCs w:val="21"/>
              </w:rPr>
              <w:softHyphen/>
            </w:r>
            <w:r>
              <w:rPr>
                <w:rFonts w:hint="eastAsia" w:ascii="仿宋" w:hAnsi="仿宋" w:eastAsia="仿宋" w:cs="仿宋"/>
                <w:szCs w:val="21"/>
              </w:rPr>
              <w:softHyphen/>
            </w:r>
            <w:r>
              <w:rPr>
                <w:rFonts w:hint="eastAsia" w:ascii="仿宋" w:hAnsi="仿宋" w:eastAsia="仿宋" w:cs="仿宋"/>
                <w:szCs w:val="21"/>
              </w:rPr>
              <w:softHyphen/>
            </w:r>
            <w:r>
              <w:rPr>
                <w:rFonts w:hint="eastAsia" w:ascii="仿宋" w:hAnsi="仿宋" w:eastAsia="仿宋" w:cs="仿宋"/>
                <w:b/>
                <w:szCs w:val="21"/>
              </w:rPr>
              <w:t>包名称</w:t>
            </w:r>
          </w:p>
        </w:tc>
        <w:tc>
          <w:tcPr>
            <w:tcW w:w="1591" w:type="dxa"/>
            <w:noWrap w:val="0"/>
            <w:vAlign w:val="center"/>
          </w:tcPr>
          <w:p w14:paraId="48F5B562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最高投标限价</w:t>
            </w:r>
          </w:p>
        </w:tc>
        <w:tc>
          <w:tcPr>
            <w:tcW w:w="1539" w:type="dxa"/>
            <w:noWrap w:val="0"/>
            <w:vAlign w:val="center"/>
          </w:tcPr>
          <w:p w14:paraId="6BF38BBD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标的名称</w:t>
            </w:r>
          </w:p>
        </w:tc>
        <w:tc>
          <w:tcPr>
            <w:tcW w:w="918" w:type="dxa"/>
            <w:noWrap w:val="0"/>
            <w:vAlign w:val="center"/>
          </w:tcPr>
          <w:p w14:paraId="6A5CAB47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数量</w:t>
            </w:r>
          </w:p>
        </w:tc>
        <w:tc>
          <w:tcPr>
            <w:tcW w:w="1289" w:type="dxa"/>
            <w:noWrap w:val="0"/>
            <w:vAlign w:val="top"/>
          </w:tcPr>
          <w:p w14:paraId="258FCB32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单价     （元/台）</w:t>
            </w:r>
          </w:p>
        </w:tc>
        <w:tc>
          <w:tcPr>
            <w:tcW w:w="3758" w:type="dxa"/>
            <w:noWrap w:val="0"/>
            <w:vAlign w:val="center"/>
          </w:tcPr>
          <w:p w14:paraId="1CD77E60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标的预算</w:t>
            </w:r>
          </w:p>
        </w:tc>
      </w:tr>
      <w:tr w14:paraId="7C810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restart"/>
            <w:noWrap w:val="0"/>
            <w:vAlign w:val="center"/>
          </w:tcPr>
          <w:p w14:paraId="42141C6F">
            <w:pPr>
              <w:adjustRightInd w:val="0"/>
              <w:snapToGrid w:val="0"/>
              <w:spacing w:line="360" w:lineRule="auto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包一</w:t>
            </w:r>
          </w:p>
          <w:p w14:paraId="3D5D81CD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0DDB79B0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48000元</w:t>
            </w:r>
          </w:p>
        </w:tc>
        <w:tc>
          <w:tcPr>
            <w:tcW w:w="1539" w:type="dxa"/>
            <w:noWrap w:val="0"/>
            <w:vAlign w:val="center"/>
          </w:tcPr>
          <w:p w14:paraId="5E303E87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根管长度测量仪1</w:t>
            </w:r>
          </w:p>
        </w:tc>
        <w:tc>
          <w:tcPr>
            <w:tcW w:w="918" w:type="dxa"/>
            <w:noWrap w:val="0"/>
            <w:vAlign w:val="center"/>
          </w:tcPr>
          <w:p w14:paraId="10F93E34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24</w:t>
            </w:r>
          </w:p>
        </w:tc>
        <w:tc>
          <w:tcPr>
            <w:tcW w:w="1289" w:type="dxa"/>
            <w:noWrap w:val="0"/>
            <w:vAlign w:val="center"/>
          </w:tcPr>
          <w:p w14:paraId="31E3C66A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2000</w:t>
            </w:r>
          </w:p>
        </w:tc>
        <w:tc>
          <w:tcPr>
            <w:tcW w:w="3758" w:type="dxa"/>
            <w:noWrap w:val="0"/>
            <w:vAlign w:val="center"/>
          </w:tcPr>
          <w:p w14:paraId="4B96B752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102000元</w:t>
            </w:r>
          </w:p>
        </w:tc>
      </w:tr>
      <w:tr w14:paraId="6BF22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noWrap w:val="0"/>
            <w:vAlign w:val="center"/>
          </w:tcPr>
          <w:p w14:paraId="47E2BF4B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625A2F57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60000元</w:t>
            </w:r>
          </w:p>
        </w:tc>
        <w:tc>
          <w:tcPr>
            <w:tcW w:w="1539" w:type="dxa"/>
            <w:noWrap w:val="0"/>
            <w:vAlign w:val="center"/>
          </w:tcPr>
          <w:p w14:paraId="387F182D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根管长度测量仪2</w:t>
            </w:r>
          </w:p>
        </w:tc>
        <w:tc>
          <w:tcPr>
            <w:tcW w:w="918" w:type="dxa"/>
            <w:noWrap w:val="0"/>
            <w:vAlign w:val="center"/>
          </w:tcPr>
          <w:p w14:paraId="1916C2C7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12</w:t>
            </w:r>
          </w:p>
        </w:tc>
        <w:tc>
          <w:tcPr>
            <w:tcW w:w="1289" w:type="dxa"/>
            <w:noWrap w:val="0"/>
            <w:vAlign w:val="center"/>
          </w:tcPr>
          <w:p w14:paraId="40FCAD4F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5000</w:t>
            </w:r>
          </w:p>
        </w:tc>
        <w:tc>
          <w:tcPr>
            <w:tcW w:w="3758" w:type="dxa"/>
            <w:noWrap w:val="0"/>
            <w:vAlign w:val="center"/>
          </w:tcPr>
          <w:p w14:paraId="42056DCF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77500元</w:t>
            </w:r>
          </w:p>
        </w:tc>
      </w:tr>
    </w:tbl>
    <w:p w14:paraId="57889BCC">
      <w:pPr>
        <w:adjustRightInd w:val="0"/>
        <w:snapToGrid w:val="0"/>
        <w:spacing w:line="360" w:lineRule="auto"/>
        <w:rPr>
          <w:rFonts w:hint="eastAsia" w:ascii="仿宋" w:hAnsi="仿宋" w:eastAsia="仿宋" w:cs="仿宋"/>
          <w:b/>
          <w:szCs w:val="21"/>
        </w:rPr>
      </w:pPr>
      <w:bookmarkStart w:id="2" w:name="EBc21bce3c38f749aa993c337eba260c5f"/>
      <w:r>
        <w:rPr>
          <w:rFonts w:hint="eastAsia" w:ascii="仿宋" w:hAnsi="仿宋" w:eastAsia="仿宋" w:cs="仿宋"/>
          <w:szCs w:val="21"/>
        </w:rPr>
        <w:t>详见“第四章、技术规格、参数与要求”</w:t>
      </w:r>
      <w:bookmarkEnd w:id="2"/>
    </w:p>
    <w:p w14:paraId="4F2CE764">
      <w:pPr>
        <w:adjustRightInd w:val="0"/>
        <w:snapToGrid w:val="0"/>
        <w:spacing w:line="360" w:lineRule="auto"/>
        <w:ind w:firstLine="422" w:firstLineChars="200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是否为定点项目：</w:t>
      </w:r>
      <w:bookmarkStart w:id="3" w:name="EBd14d363400e54675967b8d09d28880d9"/>
      <w:r>
        <w:rPr>
          <w:rFonts w:hint="eastAsia" w:ascii="仿宋" w:hAnsi="仿宋" w:eastAsia="仿宋" w:cs="仿宋"/>
          <w:b/>
          <w:szCs w:val="21"/>
        </w:rPr>
        <w:t>否</w:t>
      </w:r>
      <w:bookmarkEnd w:id="3"/>
    </w:p>
    <w:p w14:paraId="0FC67AD8">
      <w:pPr>
        <w:adjustRightInd w:val="0"/>
        <w:snapToGrid w:val="0"/>
        <w:spacing w:line="360" w:lineRule="auto"/>
        <w:ind w:firstLine="422" w:firstLineChars="200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定点家数和定点方式：</w:t>
      </w:r>
      <w:bookmarkStart w:id="4" w:name="EB5d19d76b61104883a73e27dc07dc46ad"/>
      <w:r>
        <w:rPr>
          <w:rFonts w:hint="eastAsia" w:ascii="仿宋" w:hAnsi="仿宋" w:eastAsia="仿宋" w:cs="仿宋"/>
          <w:b/>
          <w:szCs w:val="21"/>
        </w:rPr>
        <w:t>/</w:t>
      </w:r>
      <w:bookmarkEnd w:id="4"/>
    </w:p>
    <w:p w14:paraId="4D3F60F1">
      <w:pPr>
        <w:adjustRightInd w:val="0"/>
        <w:snapToGrid w:val="0"/>
        <w:spacing w:line="360" w:lineRule="auto"/>
        <w:ind w:firstLine="422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1、采购项目需要落实的政府采购政策</w:t>
      </w:r>
      <w:r>
        <w:rPr>
          <w:rFonts w:hint="eastAsia" w:ascii="仿宋" w:hAnsi="仿宋" w:eastAsia="仿宋" w:cs="仿宋"/>
          <w:szCs w:val="21"/>
        </w:rPr>
        <w:t>：（□根据采购项目特点选择）</w:t>
      </w:r>
    </w:p>
    <w:p w14:paraId="151A4146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 xml:space="preserve">（1）强制采购：列入财政部、国家发展改革委发布的《节能产品政府采购品目清单》且属于应当强制采购的节能产品品目 </w:t>
      </w:r>
      <w:bookmarkStart w:id="5" w:name="EBf25ef72d8e504af497d84f11681f24e1"/>
      <w:r>
        <w:rPr>
          <w:rFonts w:hint="eastAsia" w:ascii="仿宋" w:hAnsi="仿宋" w:eastAsia="仿宋" w:cs="仿宋"/>
          <w:szCs w:val="21"/>
        </w:rPr>
        <w:t>□</w:t>
      </w:r>
      <w:bookmarkEnd w:id="5"/>
    </w:p>
    <w:p w14:paraId="372DB274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（2）优先采购：政府采购鼓励采购节能环保产品□</w:t>
      </w:r>
    </w:p>
    <w:p w14:paraId="499AE135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 xml:space="preserve">（3）价格评审优惠：政府采购促进中小企业发展（包括政府采购支持监狱企业发展、政府采购促进残疾人就业） </w:t>
      </w:r>
      <w:bookmarkStart w:id="6" w:name="EB4a83f25c148049a6bfddceba272b56e1"/>
      <w:r>
        <w:rPr>
          <w:rFonts w:hint="eastAsia" w:ascii="仿宋" w:hAnsi="仿宋" w:eastAsia="仿宋" w:cs="仿宋"/>
          <w:szCs w:val="21"/>
        </w:rPr>
        <w:t>☑</w:t>
      </w:r>
      <w:bookmarkEnd w:id="6"/>
    </w:p>
    <w:p w14:paraId="49AE7114">
      <w:pPr>
        <w:adjustRightInd w:val="0"/>
        <w:snapToGrid w:val="0"/>
        <w:spacing w:line="360" w:lineRule="auto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b/>
          <w:szCs w:val="21"/>
        </w:rPr>
        <w:t xml:space="preserve">   2、采购进口产品</w:t>
      </w:r>
      <w:r>
        <w:rPr>
          <w:rFonts w:hint="eastAsia" w:ascii="仿宋" w:hAnsi="仿宋" w:eastAsia="仿宋" w:cs="仿宋"/>
          <w:szCs w:val="21"/>
        </w:rPr>
        <w:t>：本项目接受进口产品投标。</w:t>
      </w:r>
    </w:p>
    <w:p w14:paraId="14649065">
      <w:pPr>
        <w:adjustRightInd w:val="0"/>
        <w:snapToGrid w:val="0"/>
        <w:spacing w:line="360" w:lineRule="auto"/>
        <w:ind w:firstLine="422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三、投标人的资格要求</w:t>
      </w:r>
      <w:r>
        <w:rPr>
          <w:rFonts w:hint="eastAsia" w:ascii="仿宋" w:hAnsi="仿宋" w:eastAsia="仿宋" w:cs="仿宋"/>
          <w:szCs w:val="21"/>
        </w:rPr>
        <w:t>：</w:t>
      </w:r>
    </w:p>
    <w:p w14:paraId="627D2C6F">
      <w:pPr>
        <w:adjustRightInd w:val="0"/>
        <w:snapToGrid w:val="0"/>
        <w:spacing w:line="360" w:lineRule="auto"/>
        <w:ind w:firstLine="525" w:firstLineChars="25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1、投标人基本资格条件：投标人应当符合《政府采购法》第二十二条第一款的规定，即：</w:t>
      </w:r>
    </w:p>
    <w:p w14:paraId="7A1C84B8">
      <w:pPr>
        <w:adjustRightInd w:val="0"/>
        <w:snapToGrid w:val="0"/>
        <w:spacing w:line="440" w:lineRule="exact"/>
        <w:ind w:firstLine="42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（1）具有独立承担民事责任的能力；</w:t>
      </w:r>
    </w:p>
    <w:p w14:paraId="0C02C98C">
      <w:pPr>
        <w:adjustRightInd w:val="0"/>
        <w:snapToGrid w:val="0"/>
        <w:spacing w:line="440" w:lineRule="exact"/>
        <w:ind w:firstLine="42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（2）具有良好的商业信誉和健全的财务会计制度；</w:t>
      </w:r>
    </w:p>
    <w:p w14:paraId="551CAE78">
      <w:pPr>
        <w:adjustRightInd w:val="0"/>
        <w:snapToGrid w:val="0"/>
        <w:spacing w:line="440" w:lineRule="exact"/>
        <w:ind w:firstLine="42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（3）具有履行合同所必需的设备和专业技术能力；</w:t>
      </w:r>
    </w:p>
    <w:p w14:paraId="29BD88E3">
      <w:pPr>
        <w:adjustRightInd w:val="0"/>
        <w:snapToGrid w:val="0"/>
        <w:spacing w:line="440" w:lineRule="exact"/>
        <w:ind w:firstLine="42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（4）有依法缴纳税收和社会保障资金的良好记录；</w:t>
      </w:r>
    </w:p>
    <w:p w14:paraId="5899EC91">
      <w:pPr>
        <w:adjustRightInd w:val="0"/>
        <w:snapToGrid w:val="0"/>
        <w:spacing w:line="440" w:lineRule="exact"/>
        <w:ind w:firstLine="42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（5）参加政府采购活动前三年内，在经营活动中没有重大违法记录；</w:t>
      </w:r>
    </w:p>
    <w:p w14:paraId="38A4DE7A">
      <w:pPr>
        <w:adjustRightInd w:val="0"/>
        <w:snapToGrid w:val="0"/>
        <w:spacing w:line="440" w:lineRule="exact"/>
        <w:ind w:firstLine="42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（6）法律、行政法规规定的其他条件。</w:t>
      </w:r>
    </w:p>
    <w:p w14:paraId="60914E2E">
      <w:pPr>
        <w:adjustRightInd w:val="0"/>
        <w:snapToGrid w:val="0"/>
        <w:spacing w:line="360" w:lineRule="auto"/>
        <w:ind w:left="420" w:leftChars="200" w:firstLine="422" w:firstLineChars="200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根据《关于政府采购促进中小企业发展若干措施的通知》长财采购〔2024〕10号文件，供应商提供了有效的《湖南省政府采购供应商资格承诺函》（格式详见第二册 资格证明文件）的，无需再提供财务状况、缴纳税收和社会保障资金资格证明材料。</w:t>
      </w:r>
    </w:p>
    <w:p w14:paraId="2309CF73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3、投标人特定资格条件：</w:t>
      </w:r>
    </w:p>
    <w:p w14:paraId="1121B278">
      <w:pPr>
        <w:adjustRightInd w:val="0"/>
        <w:snapToGrid w:val="0"/>
        <w:spacing w:line="360" w:lineRule="auto"/>
        <w:ind w:left="420" w:leftChars="200"/>
        <w:rPr>
          <w:rFonts w:hint="eastAsia" w:ascii="仿宋" w:hAnsi="仿宋" w:eastAsia="仿宋" w:cs="仿宋"/>
          <w:szCs w:val="21"/>
        </w:rPr>
      </w:pPr>
      <w:bookmarkStart w:id="7" w:name="EB336247034f604278b9125aef485fa9d0"/>
      <w:r>
        <w:rPr>
          <w:rFonts w:hint="eastAsia" w:ascii="仿宋" w:hAnsi="仿宋" w:eastAsia="仿宋" w:cs="仿宋"/>
          <w:szCs w:val="21"/>
        </w:rPr>
        <w:t>（1）所投货物如纳入医疗器械管理，须提供产品的医疗器械注册证或备案凭证；（2）供应商如为制造商，须提供医疗器械生产许可证及经营许可证；如为代理商，则须提供医疗器械经营备案或许可证明材料。。</w:t>
      </w:r>
      <w:bookmarkEnd w:id="7"/>
    </w:p>
    <w:p w14:paraId="6356A110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4、联合体投标。本次招标</w:t>
      </w:r>
      <w:bookmarkStart w:id="8" w:name="EBd9c03f03fb0342c2b74513c10b6485f3"/>
      <w:r>
        <w:rPr>
          <w:rFonts w:hint="eastAsia" w:ascii="仿宋" w:hAnsi="仿宋" w:eastAsia="仿宋" w:cs="仿宋"/>
          <w:szCs w:val="21"/>
        </w:rPr>
        <w:t>不允许</w:t>
      </w:r>
      <w:bookmarkEnd w:id="8"/>
      <w:r>
        <w:rPr>
          <w:rFonts w:hint="eastAsia" w:ascii="仿宋" w:hAnsi="仿宋" w:eastAsia="仿宋" w:cs="仿宋"/>
          <w:szCs w:val="21"/>
        </w:rPr>
        <w:t>联合体投标。接受联合体投标的，联合体应当具备下列条件：</w:t>
      </w:r>
    </w:p>
    <w:p w14:paraId="7C191238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bookmarkStart w:id="9" w:name="EBab8316fd472d4f1d9053ccd79c2d62cf"/>
      <w:r>
        <w:rPr>
          <w:rFonts w:hint="eastAsia" w:ascii="仿宋" w:hAnsi="仿宋" w:eastAsia="仿宋" w:cs="仿宋"/>
          <w:szCs w:val="21"/>
        </w:rPr>
        <w:t>/</w:t>
      </w:r>
      <w:bookmarkEnd w:id="9"/>
      <w:r>
        <w:rPr>
          <w:rFonts w:hint="eastAsia" w:ascii="仿宋" w:hAnsi="仿宋" w:eastAsia="仿宋" w:cs="仿宋"/>
          <w:szCs w:val="21"/>
        </w:rPr>
        <w:t>。</w:t>
      </w:r>
    </w:p>
    <w:p w14:paraId="3FA24FED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5、单位负责人为同一人或者存在直接控股、管理关系的不同投标人，不得参加同一合同项下的政府采购活动。</w:t>
      </w:r>
    </w:p>
    <w:p w14:paraId="003FB571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6、为本采购项目提供整体设计、规范编制或者项目管理、监理、检测等服务的，不得再参加此项目的其他招标采购活动。</w:t>
      </w:r>
    </w:p>
    <w:p w14:paraId="03A5742B">
      <w:pPr>
        <w:adjustRightInd w:val="0"/>
        <w:snapToGrid w:val="0"/>
        <w:spacing w:line="360" w:lineRule="auto"/>
        <w:ind w:firstLine="422" w:firstLineChars="200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四、招标文件的获取</w:t>
      </w:r>
    </w:p>
    <w:p w14:paraId="5D3F1A73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1、凡符合投标资格要求并有意参加投标者，请于 2024 年 11 月 27 日起至 2024年 12 月 4 日(节假日除外)，每日上午09:00 ～ 12:00，下午 14:00 ～ 17:00 (北京时间)，持法定代表人身份证明或授权委托书(附法定代表人身份证明)、个人身份证及到长沙工程建设项目管理有限责任公司（长沙市芙蓉中路二段200号华侨国际1010房）购买招标文件。</w:t>
      </w:r>
    </w:p>
    <w:p w14:paraId="30357D74">
      <w:pPr>
        <w:adjustRightInd w:val="0"/>
        <w:snapToGrid w:val="0"/>
        <w:spacing w:line="360" w:lineRule="auto"/>
        <w:ind w:firstLine="422" w:firstLineChars="200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五、投标截止时间、开标时间及地点</w:t>
      </w:r>
    </w:p>
    <w:p w14:paraId="5F35A8CB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 xml:space="preserve">1、投标截止：2024 - 12 - </w:t>
      </w:r>
      <w:r>
        <w:rPr>
          <w:rFonts w:hint="eastAsia" w:ascii="仿宋" w:hAnsi="仿宋" w:eastAsia="仿宋" w:cs="仿宋"/>
          <w:szCs w:val="21"/>
          <w:lang w:val="en-US" w:eastAsia="zh-CN"/>
        </w:rPr>
        <w:t>20</w:t>
      </w:r>
      <w:r>
        <w:rPr>
          <w:rFonts w:hint="eastAsia" w:ascii="仿宋" w:hAnsi="仿宋" w:eastAsia="仿宋" w:cs="仿宋"/>
          <w:szCs w:val="21"/>
        </w:rPr>
        <w:t xml:space="preserve"> 9:00 分止，超过截止时间的投标将被拒绝（☆）。</w:t>
      </w:r>
      <w:r>
        <w:rPr>
          <w:rFonts w:hint="eastAsia" w:ascii="仿宋" w:hAnsi="仿宋" w:eastAsia="仿宋" w:cs="仿宋"/>
          <w:szCs w:val="21"/>
        </w:rPr>
        <w:br w:type="textWrapping"/>
      </w:r>
      <w:r>
        <w:rPr>
          <w:rFonts w:hint="eastAsia" w:ascii="仿宋" w:hAnsi="仿宋" w:eastAsia="仿宋" w:cs="仿宋"/>
          <w:szCs w:val="21"/>
        </w:rPr>
        <w:t xml:space="preserve">　　2、开标时间：2024 - 12 - </w:t>
      </w:r>
      <w:r>
        <w:rPr>
          <w:rFonts w:hint="eastAsia" w:ascii="仿宋" w:hAnsi="仿宋" w:eastAsia="仿宋" w:cs="仿宋"/>
          <w:szCs w:val="21"/>
          <w:lang w:val="en-US" w:eastAsia="zh-CN"/>
        </w:rPr>
        <w:t>20</w:t>
      </w:r>
      <w:bookmarkStart w:id="17" w:name="_GoBack"/>
      <w:bookmarkEnd w:id="17"/>
      <w:r>
        <w:rPr>
          <w:rFonts w:hint="eastAsia" w:ascii="仿宋" w:hAnsi="仿宋" w:eastAsia="仿宋" w:cs="仿宋"/>
          <w:szCs w:val="21"/>
        </w:rPr>
        <w:t xml:space="preserve"> 9:00 分。</w:t>
      </w:r>
      <w:r>
        <w:rPr>
          <w:rFonts w:hint="eastAsia" w:ascii="仿宋" w:hAnsi="仿宋" w:eastAsia="仿宋" w:cs="仿宋"/>
          <w:szCs w:val="21"/>
        </w:rPr>
        <w:br w:type="textWrapping"/>
      </w:r>
      <w:r>
        <w:rPr>
          <w:rFonts w:hint="eastAsia" w:ascii="仿宋" w:hAnsi="仿宋" w:eastAsia="仿宋" w:cs="仿宋"/>
          <w:szCs w:val="21"/>
        </w:rPr>
        <w:t>　　3、开标地点：长沙工程建设项目管理有限责任公司（长沙市芙蓉中路二段200号华侨国际1010房）。</w:t>
      </w:r>
    </w:p>
    <w:p w14:paraId="16CFAD42">
      <w:pPr>
        <w:adjustRightInd w:val="0"/>
        <w:snapToGrid w:val="0"/>
        <w:spacing w:line="360" w:lineRule="auto"/>
        <w:ind w:firstLine="422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六、招标文件公告期限</w:t>
      </w:r>
      <w:r>
        <w:rPr>
          <w:rFonts w:hint="eastAsia" w:ascii="仿宋" w:hAnsi="仿宋" w:eastAsia="仿宋" w:cs="仿宋"/>
          <w:szCs w:val="21"/>
        </w:rPr>
        <w:t>：</w:t>
      </w:r>
    </w:p>
    <w:p w14:paraId="03E9DC2B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招标文件公告期限：</w:t>
      </w:r>
      <w:bookmarkStart w:id="10" w:name="EB11866015e2c74b21a660722e465b40c4"/>
      <w:r>
        <w:rPr>
          <w:rFonts w:hint="eastAsia" w:ascii="仿宋" w:hAnsi="仿宋" w:eastAsia="仿宋" w:cs="仿宋"/>
          <w:szCs w:val="21"/>
        </w:rPr>
        <w:t>2024 - 11 - 27  17:00</w:t>
      </w:r>
      <w:bookmarkEnd w:id="10"/>
      <w:r>
        <w:rPr>
          <w:rFonts w:hint="eastAsia" w:ascii="仿宋" w:hAnsi="仿宋" w:eastAsia="仿宋" w:cs="仿宋"/>
          <w:szCs w:val="21"/>
        </w:rPr>
        <w:t>至</w:t>
      </w:r>
      <w:bookmarkStart w:id="11" w:name="EB255ddae7d6264c3780c0123b1c26689e"/>
      <w:r>
        <w:rPr>
          <w:rFonts w:hint="eastAsia" w:ascii="仿宋" w:hAnsi="仿宋" w:eastAsia="仿宋" w:cs="仿宋"/>
          <w:szCs w:val="21"/>
        </w:rPr>
        <w:t>2024 - 12 - 4  17:00</w:t>
      </w:r>
      <w:bookmarkEnd w:id="11"/>
      <w:r>
        <w:rPr>
          <w:rFonts w:hint="eastAsia" w:ascii="仿宋" w:hAnsi="仿宋" w:eastAsia="仿宋" w:cs="仿宋"/>
          <w:szCs w:val="21"/>
        </w:rPr>
        <w:t>止（5个工作日）。</w:t>
      </w:r>
    </w:p>
    <w:p w14:paraId="755DBFBF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</w:rPr>
        <w:t>供应商认为采购文件使自己的权益受到损害的，可以自获取采购文件之日或者采购文件公告期限届满之日（公告期限届满后获取采购文件的，以公告期限届满之日为准）起7个工作日内，以书面形式（能够有形地表现所载内容，并可以随时调取查用的数据电文，视为符合法律、法规要求的书面形式。）向采购人和采购代理机构提出质疑。质疑供应商对采购人、采购代理机构的答复不满意或者采购人、采购代理机构未在规定的时间内作出答复的，可以在答复期满后十五个工作日内向同级财政部门投诉。</w:t>
      </w:r>
    </w:p>
    <w:p w14:paraId="5978B498">
      <w:pPr>
        <w:adjustRightInd w:val="0"/>
        <w:snapToGrid w:val="0"/>
        <w:spacing w:line="360" w:lineRule="auto"/>
        <w:ind w:firstLine="422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七、疑问及质疑</w:t>
      </w:r>
      <w:r>
        <w:rPr>
          <w:rFonts w:hint="eastAsia" w:ascii="仿宋" w:hAnsi="仿宋" w:eastAsia="仿宋" w:cs="仿宋"/>
          <w:szCs w:val="21"/>
        </w:rPr>
        <w:t>：</w:t>
      </w:r>
    </w:p>
    <w:p w14:paraId="3E5C70E4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投标人对政府采购活动事项如有疑问的，可以向采购人或采购代理机构提出询问。采购人或采购代理机构将在3个工作日内作出答复。</w:t>
      </w:r>
    </w:p>
    <w:p w14:paraId="06B405CB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投标人认为招标文件或招标公告使自己的合法权益受到损害的，可以在获取招标文件之日或招标公告期限届满之日起7个工作日内，以书面形式向采购人、采购代理机构提出质疑。</w:t>
      </w:r>
    </w:p>
    <w:p w14:paraId="43424EB8">
      <w:pPr>
        <w:adjustRightInd w:val="0"/>
        <w:snapToGrid w:val="0"/>
        <w:spacing w:before="156" w:beforeLines="50" w:line="360" w:lineRule="auto"/>
        <w:ind w:firstLine="413" w:firstLineChars="196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八、</w:t>
      </w:r>
      <w:r>
        <w:rPr>
          <w:rFonts w:hint="eastAsia" w:ascii="仿宋" w:hAnsi="仿宋" w:eastAsia="仿宋" w:cs="仿宋"/>
          <w:b/>
          <w:szCs w:val="21"/>
        </w:rPr>
        <w:t>投标保证金：详见招标文件前附表</w:t>
      </w:r>
    </w:p>
    <w:p w14:paraId="611F83D6">
      <w:pPr>
        <w:adjustRightInd w:val="0"/>
        <w:snapToGrid w:val="0"/>
        <w:spacing w:line="360" w:lineRule="auto"/>
        <w:ind w:firstLine="413" w:firstLineChars="196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九、</w:t>
      </w:r>
      <w:r>
        <w:rPr>
          <w:rFonts w:hint="eastAsia" w:ascii="仿宋" w:hAnsi="仿宋" w:eastAsia="仿宋" w:cs="仿宋"/>
          <w:b/>
          <w:bCs/>
          <w:szCs w:val="21"/>
        </w:rPr>
        <w:t>采购人及其委托的采购代理机构的名称、地址和联系方法</w:t>
      </w:r>
    </w:p>
    <w:p w14:paraId="096283E0">
      <w:pPr>
        <w:adjustRightInd w:val="0"/>
        <w:snapToGrid w:val="0"/>
        <w:spacing w:line="360" w:lineRule="auto"/>
        <w:ind w:firstLine="413" w:firstLineChars="196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采购人：长沙市口腔医院</w:t>
      </w:r>
    </w:p>
    <w:p w14:paraId="487E1180">
      <w:pPr>
        <w:adjustRightInd w:val="0"/>
        <w:snapToGrid w:val="0"/>
        <w:spacing w:line="360" w:lineRule="auto"/>
        <w:ind w:firstLine="411" w:firstLineChars="196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地  址：长沙市天心区友谊路389号</w:t>
      </w:r>
    </w:p>
    <w:p w14:paraId="5860FE77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bCs/>
          <w:szCs w:val="21"/>
        </w:rPr>
      </w:pPr>
      <w:r>
        <w:rPr>
          <w:rFonts w:hint="eastAsia" w:ascii="仿宋" w:hAnsi="仿宋" w:eastAsia="仿宋" w:cs="仿宋"/>
          <w:bCs/>
          <w:szCs w:val="21"/>
        </w:rPr>
        <w:t>联系人：颜肃</w:t>
      </w:r>
    </w:p>
    <w:p w14:paraId="5C739A6F">
      <w:pPr>
        <w:adjustRightInd w:val="0"/>
        <w:snapToGrid w:val="0"/>
        <w:spacing w:line="360" w:lineRule="auto"/>
        <w:ind w:firstLine="411" w:firstLineChars="196"/>
        <w:rPr>
          <w:rFonts w:hint="eastAsia" w:ascii="仿宋" w:hAnsi="仿宋" w:eastAsia="仿宋" w:cs="仿宋"/>
          <w:bCs/>
          <w:szCs w:val="21"/>
        </w:rPr>
      </w:pPr>
      <w:r>
        <w:rPr>
          <w:rFonts w:hint="eastAsia" w:ascii="仿宋" w:hAnsi="仿宋" w:eastAsia="仿宋" w:cs="仿宋"/>
          <w:bCs/>
          <w:szCs w:val="21"/>
        </w:rPr>
        <w:t>电  话：0731-83878483</w:t>
      </w:r>
    </w:p>
    <w:p w14:paraId="63FAA9FB">
      <w:pPr>
        <w:adjustRightInd w:val="0"/>
        <w:snapToGrid w:val="0"/>
        <w:spacing w:line="360" w:lineRule="auto"/>
        <w:ind w:firstLine="413" w:firstLineChars="196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采购代理机构：长沙工程建设项目管理有限责任公司</w:t>
      </w:r>
    </w:p>
    <w:p w14:paraId="4093E261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地  址：长沙市芙蓉中路二段200号新世纪花苑4号栋1010房</w:t>
      </w:r>
    </w:p>
    <w:p w14:paraId="0AD26C4D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联系人：</w:t>
      </w:r>
      <w:bookmarkStart w:id="12" w:name="EB52044fdeacd544f280bb593d63475a85"/>
      <w:r>
        <w:rPr>
          <w:rFonts w:hint="eastAsia" w:ascii="仿宋" w:hAnsi="仿宋" w:eastAsia="仿宋" w:cs="仿宋"/>
          <w:szCs w:val="21"/>
        </w:rPr>
        <w:t>陈</w:t>
      </w:r>
      <w:bookmarkEnd w:id="12"/>
      <w:r>
        <w:rPr>
          <w:rFonts w:hint="eastAsia" w:ascii="仿宋" w:hAnsi="仿宋" w:eastAsia="仿宋" w:cs="仿宋"/>
          <w:szCs w:val="21"/>
        </w:rPr>
        <w:t>先生、谢女士</w:t>
      </w:r>
    </w:p>
    <w:p w14:paraId="1EC95C8A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邮  编：</w:t>
      </w:r>
      <w:bookmarkStart w:id="13" w:name="EBec83dcdeff604d8997a75d58bf29342b"/>
      <w:r>
        <w:rPr>
          <w:rFonts w:hint="eastAsia" w:ascii="仿宋" w:hAnsi="仿宋" w:eastAsia="仿宋" w:cs="仿宋"/>
          <w:szCs w:val="21"/>
        </w:rPr>
        <w:t>410000</w:t>
      </w:r>
      <w:bookmarkEnd w:id="13"/>
    </w:p>
    <w:p w14:paraId="3AF14195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电  话：</w:t>
      </w:r>
      <w:bookmarkStart w:id="14" w:name="EBd19c180086c4460a943a153ea3987ff4"/>
      <w:r>
        <w:rPr>
          <w:rFonts w:hint="eastAsia" w:ascii="仿宋" w:hAnsi="仿宋" w:eastAsia="仿宋" w:cs="仿宋"/>
          <w:szCs w:val="21"/>
        </w:rPr>
        <w:t>0731-8</w:t>
      </w:r>
      <w:bookmarkEnd w:id="14"/>
      <w:r>
        <w:rPr>
          <w:rFonts w:hint="eastAsia" w:ascii="仿宋" w:hAnsi="仿宋" w:eastAsia="仿宋" w:cs="仿宋"/>
          <w:szCs w:val="21"/>
        </w:rPr>
        <w:t>5126633</w:t>
      </w:r>
    </w:p>
    <w:p w14:paraId="1A162356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传  真：</w:t>
      </w:r>
      <w:bookmarkStart w:id="15" w:name="EB35196be2e198442d9d05385d2b5ac758"/>
      <w:r>
        <w:rPr>
          <w:rFonts w:hint="eastAsia" w:ascii="仿宋" w:hAnsi="仿宋" w:eastAsia="仿宋" w:cs="仿宋"/>
          <w:szCs w:val="21"/>
        </w:rPr>
        <w:t>0731-8</w:t>
      </w:r>
      <w:bookmarkEnd w:id="15"/>
      <w:r>
        <w:rPr>
          <w:rFonts w:hint="eastAsia" w:ascii="仿宋" w:hAnsi="仿宋" w:eastAsia="仿宋" w:cs="仿宋"/>
          <w:szCs w:val="21"/>
        </w:rPr>
        <w:t>5126633</w:t>
      </w:r>
    </w:p>
    <w:p w14:paraId="63777106"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E-MAIL：</w:t>
      </w:r>
      <w:bookmarkStart w:id="16" w:name="EBf346139b0e7a4626b4a5b220c5548ff0"/>
      <w:r>
        <w:rPr>
          <w:rFonts w:hint="eastAsia" w:ascii="仿宋" w:hAnsi="仿宋" w:eastAsia="仿宋" w:cs="仿宋"/>
          <w:szCs w:val="21"/>
        </w:rPr>
        <w:t>/</w:t>
      </w:r>
      <w:bookmarkEnd w:id="16"/>
    </w:p>
    <w:p w14:paraId="64444D05">
      <w:pPr>
        <w:rPr>
          <w:rFonts w:hint="eastAsia" w:ascii="仿宋" w:hAnsi="仿宋" w:eastAsia="仿宋" w:cs="仿宋"/>
        </w:rPr>
      </w:pPr>
    </w:p>
    <w:p w14:paraId="24E4A831"/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3E3217"/>
    <w:multiLevelType w:val="singleLevel"/>
    <w:tmpl w:val="A03E321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E22D7"/>
    <w:rsid w:val="25E52FB7"/>
    <w:rsid w:val="3C6E22D7"/>
    <w:rsid w:val="4BA9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5"/>
    <w:next w:val="1"/>
    <w:qFormat/>
    <w:uiPriority w:val="9"/>
    <w:pPr>
      <w:keepNext/>
      <w:keepLines/>
      <w:widowControl w:val="0"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qFormat/>
    <w:uiPriority w:val="99"/>
    <w:pPr>
      <w:widowControl w:val="0"/>
      <w:jc w:val="both"/>
    </w:pPr>
    <w:rPr>
      <w:rFonts w:ascii="宋体" w:hAnsi="Courier New" w:eastAsia="宋体" w:cs="Times New Roman"/>
      <w:kern w:val="0"/>
      <w:sz w:val="20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珠海国家高新技术开发区</Company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2024-11-27T09:14:00Z</dcterms:created>
  <dc:creator>ting</dc:creator>
  <cp:lastModifiedBy>ting</cp:lastModifiedBy>
  <dcterms:modified xsi:type="dcterms:W3CDTF">2024-11-27T09:15:45Z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E2F19D73B83D41A7B28463ED5F601A35_11</vt:lpwstr>
  </property>
</Properties>
</file>