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6979CC">
      <w:pPr>
        <w:adjustRightInd w:val="0"/>
        <w:snapToGrid w:val="0"/>
        <w:spacing w:after="156" w:afterLines="50" w:line="360" w:lineRule="auto"/>
        <w:jc w:val="center"/>
        <w:outlineLvl w:val="0"/>
        <w:rPr>
          <w:rFonts w:ascii="黑体" w:eastAsia="黑体"/>
          <w:b/>
          <w:kern w:val="44"/>
          <w:sz w:val="48"/>
          <w:szCs w:val="20"/>
          <w:highlight w:val="none"/>
        </w:rPr>
      </w:pPr>
      <w:bookmarkStart w:id="3" w:name="_GoBack"/>
      <w:bookmarkEnd w:id="3"/>
      <w:bookmarkStart w:id="0" w:name="_Toc129880039"/>
      <w:bookmarkStart w:id="1" w:name="_Toc512937852"/>
      <w:r>
        <w:rPr>
          <w:rFonts w:hint="eastAsia" w:ascii="宋体" w:hAnsi="宋体"/>
          <w:b/>
          <w:sz w:val="30"/>
          <w:szCs w:val="30"/>
          <w:highlight w:val="none"/>
        </w:rPr>
        <w:t>第八部分 采购需求</w:t>
      </w:r>
      <w:bookmarkEnd w:id="0"/>
    </w:p>
    <w:bookmarkEnd w:id="1"/>
    <w:p w14:paraId="7F3F2E48"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货物需求一览表</w:t>
      </w:r>
    </w:p>
    <w:p w14:paraId="5968DE2E">
      <w:pPr>
        <w:adjustRightInd w:val="0"/>
        <w:snapToGrid w:val="0"/>
        <w:jc w:val="center"/>
        <w:rPr>
          <w:rFonts w:ascii="宋体" w:hAnsi="宋体"/>
          <w:b/>
          <w:sz w:val="30"/>
          <w:szCs w:val="30"/>
          <w:highlight w:val="none"/>
        </w:rPr>
      </w:pPr>
    </w:p>
    <w:tbl>
      <w:tblPr>
        <w:tblStyle w:val="38"/>
        <w:tblW w:w="4999" w:type="pct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748"/>
        <w:gridCol w:w="5537"/>
        <w:gridCol w:w="748"/>
        <w:gridCol w:w="2091"/>
      </w:tblGrid>
      <w:tr w14:paraId="053B800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410" w:type="pct"/>
            <w:vAlign w:val="center"/>
          </w:tcPr>
          <w:p w14:paraId="4F02BC81">
            <w:pPr>
              <w:jc w:val="center"/>
              <w:rPr>
                <w:rFonts w:ascii="宋体" w:hAnsi="Bookman Old Style"/>
                <w:sz w:val="24"/>
                <w:highlight w:val="none"/>
              </w:rPr>
            </w:pPr>
            <w:r>
              <w:rPr>
                <w:rFonts w:hint="eastAsia" w:ascii="宋体" w:hAnsi="Bookman Old Style"/>
                <w:sz w:val="24"/>
                <w:highlight w:val="none"/>
              </w:rPr>
              <w:t>包号</w:t>
            </w:r>
          </w:p>
        </w:tc>
        <w:tc>
          <w:tcPr>
            <w:tcW w:w="3033" w:type="pct"/>
            <w:vAlign w:val="center"/>
          </w:tcPr>
          <w:p w14:paraId="18D1446E">
            <w:pPr>
              <w:jc w:val="center"/>
              <w:rPr>
                <w:rFonts w:ascii="宋体" w:hAnsi="Bookman Old Style"/>
                <w:sz w:val="24"/>
                <w:highlight w:val="none"/>
              </w:rPr>
            </w:pPr>
            <w:r>
              <w:rPr>
                <w:rFonts w:hint="eastAsia" w:ascii="宋体" w:hAnsi="Bookman Old Style"/>
                <w:sz w:val="24"/>
                <w:highlight w:val="none"/>
              </w:rPr>
              <w:t>货物名称</w:t>
            </w:r>
          </w:p>
        </w:tc>
        <w:tc>
          <w:tcPr>
            <w:tcW w:w="410" w:type="pct"/>
            <w:vAlign w:val="center"/>
          </w:tcPr>
          <w:p w14:paraId="61451FF5">
            <w:pPr>
              <w:jc w:val="center"/>
              <w:rPr>
                <w:rFonts w:ascii="宋体" w:hAnsi="Bookman Old Style"/>
                <w:sz w:val="24"/>
                <w:highlight w:val="none"/>
              </w:rPr>
            </w:pPr>
            <w:r>
              <w:rPr>
                <w:rFonts w:hint="eastAsia" w:ascii="宋体" w:hAnsi="Bookman Old Style"/>
                <w:sz w:val="24"/>
                <w:highlight w:val="none"/>
              </w:rPr>
              <w:t>数量</w:t>
            </w:r>
          </w:p>
        </w:tc>
        <w:tc>
          <w:tcPr>
            <w:tcW w:w="1145" w:type="pct"/>
            <w:vAlign w:val="center"/>
          </w:tcPr>
          <w:p w14:paraId="68EEBEEF">
            <w:pPr>
              <w:jc w:val="center"/>
              <w:rPr>
                <w:rFonts w:ascii="宋体" w:hAnsi="Bookman Old Style"/>
                <w:sz w:val="24"/>
                <w:highlight w:val="none"/>
              </w:rPr>
            </w:pPr>
            <w:r>
              <w:rPr>
                <w:rFonts w:hint="eastAsia" w:ascii="宋体" w:hAnsi="Bookman Old Style"/>
                <w:sz w:val="24"/>
                <w:highlight w:val="none"/>
              </w:rPr>
              <w:t>是否接受进口</w:t>
            </w:r>
          </w:p>
        </w:tc>
      </w:tr>
      <w:tr w14:paraId="2A7948D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410" w:type="pct"/>
            <w:vAlign w:val="center"/>
          </w:tcPr>
          <w:p w14:paraId="277009B5">
            <w:pPr>
              <w:jc w:val="center"/>
              <w:rPr>
                <w:rFonts w:ascii="宋体"/>
                <w:sz w:val="24"/>
                <w:highlight w:val="none"/>
              </w:rPr>
            </w:pPr>
            <w:r>
              <w:rPr>
                <w:rFonts w:hint="eastAsia" w:ascii="宋体"/>
                <w:sz w:val="24"/>
                <w:highlight w:val="none"/>
              </w:rPr>
              <w:t>1</w:t>
            </w:r>
          </w:p>
        </w:tc>
        <w:tc>
          <w:tcPr>
            <w:tcW w:w="3033" w:type="pct"/>
            <w:vAlign w:val="center"/>
          </w:tcPr>
          <w:p w14:paraId="4C50E639">
            <w:pPr>
              <w:jc w:val="center"/>
              <w:rPr>
                <w:rFonts w:ascii="Bookman Old Style" w:hAnsi="Bookman Old Style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highlight w:val="none"/>
              </w:rPr>
              <w:t>AI大模型</w:t>
            </w:r>
            <w:r>
              <w:rPr>
                <w:rFonts w:hint="eastAsia" w:ascii="Bookman Old Style" w:hAnsi="Bookman Old Style"/>
                <w:sz w:val="24"/>
                <w:highlight w:val="none"/>
              </w:rPr>
              <w:t>轻量化计算与适配验证平台</w:t>
            </w:r>
          </w:p>
        </w:tc>
        <w:tc>
          <w:tcPr>
            <w:tcW w:w="410" w:type="pct"/>
            <w:vAlign w:val="center"/>
          </w:tcPr>
          <w:p w14:paraId="4B38A771">
            <w:pPr>
              <w:jc w:val="center"/>
              <w:rPr>
                <w:rFonts w:ascii="宋体" w:hAnsi="Bookman Old Style"/>
                <w:sz w:val="24"/>
                <w:highlight w:val="none"/>
              </w:rPr>
            </w:pPr>
            <w:r>
              <w:rPr>
                <w:rFonts w:hint="eastAsia" w:ascii="宋体" w:hAnsi="Bookman Old Style"/>
                <w:sz w:val="24"/>
                <w:highlight w:val="none"/>
              </w:rPr>
              <w:t>1</w:t>
            </w:r>
          </w:p>
        </w:tc>
        <w:tc>
          <w:tcPr>
            <w:tcW w:w="1145" w:type="pct"/>
            <w:vAlign w:val="center"/>
          </w:tcPr>
          <w:p w14:paraId="4B1F301F">
            <w:pPr>
              <w:jc w:val="center"/>
              <w:rPr>
                <w:rFonts w:ascii="宋体" w:hAnsi="Bookman Old Style"/>
                <w:sz w:val="24"/>
                <w:highlight w:val="none"/>
              </w:rPr>
            </w:pPr>
            <w:r>
              <w:rPr>
                <w:rFonts w:hint="eastAsia" w:ascii="宋体" w:hAnsi="Bookman Old Style"/>
                <w:sz w:val="24"/>
                <w:highlight w:val="none"/>
              </w:rPr>
              <w:t>否</w:t>
            </w:r>
          </w:p>
        </w:tc>
      </w:tr>
    </w:tbl>
    <w:p w14:paraId="32985C5B">
      <w:pPr>
        <w:adjustRightInd w:val="0"/>
        <w:snapToGrid w:val="0"/>
        <w:jc w:val="center"/>
        <w:rPr>
          <w:rFonts w:ascii="宋体" w:hAnsi="宋体"/>
          <w:b/>
          <w:sz w:val="30"/>
          <w:szCs w:val="30"/>
          <w:highlight w:val="none"/>
        </w:rPr>
      </w:pPr>
    </w:p>
    <w:p w14:paraId="681A5BFE">
      <w:pPr>
        <w:adjustRightInd w:val="0"/>
        <w:snapToGrid w:val="0"/>
        <w:jc w:val="center"/>
        <w:rPr>
          <w:rFonts w:ascii="宋体" w:hAnsi="宋体"/>
          <w:b/>
          <w:sz w:val="30"/>
          <w:szCs w:val="30"/>
          <w:highlight w:val="none"/>
        </w:rPr>
      </w:pPr>
    </w:p>
    <w:p w14:paraId="3A8A43D3">
      <w:pPr>
        <w:rPr>
          <w:rFonts w:ascii="Bookman Old Style" w:hAnsi="Bookman Old Style"/>
          <w:sz w:val="24"/>
          <w:highlight w:val="none"/>
        </w:rPr>
      </w:pPr>
      <w:r>
        <w:rPr>
          <w:rFonts w:hint="eastAsia"/>
          <w:sz w:val="24"/>
          <w:highlight w:val="none"/>
        </w:rPr>
        <w:t>注：投标人须对上述投标内容中完整的一包进行投标，</w:t>
      </w:r>
      <w:r>
        <w:rPr>
          <w:rFonts w:hint="eastAsia" w:ascii="Bookman Old Style" w:hAnsi="Bookman Old Style"/>
          <w:sz w:val="24"/>
          <w:highlight w:val="none"/>
        </w:rPr>
        <w:t>不完整的投标将视为非响应性投标予以拒绝。</w:t>
      </w:r>
    </w:p>
    <w:p w14:paraId="0057F437">
      <w:pPr>
        <w:adjustRightInd w:val="0"/>
        <w:snapToGrid w:val="0"/>
        <w:rPr>
          <w:rFonts w:ascii="宋体" w:hAnsi="宋体"/>
          <w:szCs w:val="21"/>
          <w:highlight w:val="none"/>
        </w:rPr>
      </w:pPr>
    </w:p>
    <w:p w14:paraId="6613E7DF">
      <w:pPr>
        <w:adjustRightInd w:val="0"/>
        <w:snapToGrid w:val="0"/>
        <w:rPr>
          <w:rFonts w:ascii="宋体" w:hAnsi="宋体"/>
          <w:szCs w:val="21"/>
          <w:highlight w:val="none"/>
        </w:rPr>
      </w:pPr>
    </w:p>
    <w:p w14:paraId="2AA9ADB7">
      <w:pPr>
        <w:adjustRightInd w:val="0"/>
        <w:snapToGrid w:val="0"/>
        <w:rPr>
          <w:rFonts w:ascii="宋体" w:hAnsi="宋体"/>
          <w:szCs w:val="21"/>
          <w:highlight w:val="none"/>
        </w:rPr>
      </w:pPr>
    </w:p>
    <w:p w14:paraId="774A0964">
      <w:pPr>
        <w:adjustRightInd w:val="0"/>
        <w:snapToGrid w:val="0"/>
        <w:spacing w:line="360" w:lineRule="auto"/>
        <w:rPr>
          <w:rFonts w:ascii="宋体" w:hAnsi="宋体"/>
          <w:b/>
          <w:sz w:val="28"/>
          <w:szCs w:val="28"/>
          <w:highlight w:val="none"/>
        </w:rPr>
      </w:pPr>
      <w:r>
        <w:rPr>
          <w:rFonts w:ascii="宋体" w:hAnsi="宋体"/>
          <w:b/>
          <w:sz w:val="30"/>
          <w:szCs w:val="30"/>
          <w:highlight w:val="none"/>
        </w:rPr>
        <w:br w:type="page"/>
      </w:r>
      <w:r>
        <w:rPr>
          <w:rFonts w:hint="eastAsia" w:ascii="宋体" w:hAnsi="宋体"/>
          <w:b/>
          <w:sz w:val="28"/>
          <w:szCs w:val="28"/>
          <w:highlight w:val="none"/>
        </w:rPr>
        <w:t>一、总则</w:t>
      </w:r>
    </w:p>
    <w:p w14:paraId="7F48F626">
      <w:pPr>
        <w:adjustRightInd w:val="0"/>
        <w:snapToGrid w:val="0"/>
        <w:spacing w:line="360" w:lineRule="auto"/>
        <w:rPr>
          <w:rFonts w:ascii="宋体" w:hAnsi="宋体"/>
          <w:b/>
          <w:sz w:val="28"/>
          <w:szCs w:val="28"/>
          <w:highlight w:val="none"/>
        </w:rPr>
      </w:pPr>
      <w:r>
        <w:rPr>
          <w:rFonts w:ascii="宋体" w:hAnsi="宋体"/>
          <w:b/>
          <w:sz w:val="28"/>
          <w:szCs w:val="28"/>
          <w:highlight w:val="none"/>
        </w:rPr>
        <w:t>1</w:t>
      </w:r>
      <w:r>
        <w:rPr>
          <w:rFonts w:hint="eastAsia" w:ascii="宋体" w:hAnsi="宋体"/>
          <w:b/>
          <w:sz w:val="28"/>
          <w:szCs w:val="28"/>
          <w:highlight w:val="none"/>
        </w:rPr>
        <w:t>、投标要求</w:t>
      </w:r>
    </w:p>
    <w:p w14:paraId="7631D7C0">
      <w:pPr>
        <w:spacing w:line="360" w:lineRule="auto"/>
        <w:ind w:left="554" w:hanging="554" w:hangingChars="231"/>
        <w:rPr>
          <w:rFonts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 xml:space="preserve">1.1 </w:t>
      </w:r>
      <w:r>
        <w:rPr>
          <w:rFonts w:hint="eastAsia" w:ascii="宋体" w:hAnsi="宋体"/>
          <w:sz w:val="24"/>
          <w:highlight w:val="none"/>
        </w:rPr>
        <w:t xml:space="preserve"> 投标人在准备投标书时，务必在所提供的商品的技术规格文件中，标明型号、商标名称、目录号。</w:t>
      </w:r>
    </w:p>
    <w:p w14:paraId="0FF7F94A">
      <w:pPr>
        <w:spacing w:line="360" w:lineRule="auto"/>
        <w:ind w:left="554" w:hanging="554" w:hangingChars="231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26881F42">
      <w:pPr>
        <w:spacing w:line="360" w:lineRule="auto"/>
        <w:ind w:left="554" w:hanging="554" w:hangingChars="231"/>
        <w:rPr>
          <w:rFonts w:asci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 xml:space="preserve">1.3  </w:t>
      </w:r>
      <w:r>
        <w:rPr>
          <w:rFonts w:hint="eastAsia"/>
          <w:sz w:val="24"/>
          <w:highlight w:val="none"/>
        </w:rPr>
        <w:t>投标人提供的</w:t>
      </w:r>
      <w:r>
        <w:rPr>
          <w:rFonts w:hint="eastAsia" w:ascii="宋体"/>
          <w:sz w:val="24"/>
          <w:highlight w:val="none"/>
        </w:rPr>
        <w:t>产品</w:t>
      </w:r>
      <w:r>
        <w:rPr>
          <w:rFonts w:hint="eastAsia"/>
          <w:sz w:val="24"/>
          <w:highlight w:val="none"/>
        </w:rPr>
        <w:t>样本，必须是“原件”而非复印件，</w:t>
      </w:r>
      <w:r>
        <w:rPr>
          <w:rFonts w:hint="eastAsia" w:ascii="宋体"/>
          <w:sz w:val="24"/>
          <w:highlight w:val="none"/>
        </w:rPr>
        <w:t>图表、简图、电路图以及印刷电路板图等都应</w:t>
      </w:r>
      <w:r>
        <w:rPr>
          <w:rFonts w:hint="eastAsia"/>
          <w:sz w:val="24"/>
          <w:highlight w:val="none"/>
        </w:rPr>
        <w:t>清晰易读。</w:t>
      </w:r>
    </w:p>
    <w:p w14:paraId="0717CEE1">
      <w:pPr>
        <w:spacing w:line="360" w:lineRule="auto"/>
        <w:ind w:left="554" w:hanging="554" w:hangingChars="231"/>
        <w:rPr>
          <w:rFonts w:ascii="宋体"/>
          <w:sz w:val="24"/>
          <w:highlight w:val="none"/>
        </w:rPr>
      </w:pPr>
      <w:r>
        <w:rPr>
          <w:rFonts w:hint="eastAsia" w:ascii="宋体"/>
          <w:sz w:val="24"/>
          <w:highlight w:val="none"/>
        </w:rPr>
        <w:t>1.4  投标人的投标产品应符合国家有关部门规定的相应技术、计量、节能、安全和环保法规及标准；如国家有关部门对投标人的投标产品有强制性规定或要求的，则投标人的投标产品必须符合相应规定或要求，投标人须提供相关证明文件的复印件。</w:t>
      </w:r>
    </w:p>
    <w:p w14:paraId="073E4DC8">
      <w:pPr>
        <w:adjustRightInd w:val="0"/>
        <w:snapToGrid w:val="0"/>
        <w:spacing w:line="360" w:lineRule="auto"/>
        <w:rPr>
          <w:rFonts w:ascii="宋体" w:hAnsi="宋体"/>
          <w:b/>
          <w:sz w:val="28"/>
          <w:szCs w:val="28"/>
          <w:highlight w:val="none"/>
        </w:rPr>
      </w:pPr>
      <w:r>
        <w:rPr>
          <w:rFonts w:hint="eastAsia" w:ascii="宋体" w:hAnsi="宋体"/>
          <w:b/>
          <w:sz w:val="28"/>
          <w:szCs w:val="28"/>
          <w:highlight w:val="none"/>
        </w:rPr>
        <w:t>2、评标标准</w:t>
      </w:r>
    </w:p>
    <w:p w14:paraId="31DA1DE8">
      <w:pPr>
        <w:spacing w:line="360" w:lineRule="auto"/>
        <w:ind w:left="554" w:hanging="554" w:hangingChars="231"/>
        <w:rPr>
          <w:rFonts w:asci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2.</w:t>
      </w:r>
      <w:r>
        <w:rPr>
          <w:rFonts w:hint="eastAsia" w:ascii="宋体" w:hAnsi="宋体"/>
          <w:sz w:val="24"/>
          <w:highlight w:val="none"/>
        </w:rPr>
        <w:t xml:space="preserve">1  </w:t>
      </w:r>
      <w:r>
        <w:rPr>
          <w:rFonts w:hint="eastAsia"/>
          <w:sz w:val="24"/>
          <w:highlight w:val="none"/>
        </w:rPr>
        <w:t>除招标文件中指定的附件和专用工具外，</w:t>
      </w:r>
      <w:r>
        <w:rPr>
          <w:rFonts w:hint="eastAsia" w:ascii="宋体"/>
          <w:sz w:val="24"/>
          <w:highlight w:val="none"/>
        </w:rPr>
        <w:t>投标人应提供仪器设备的正常运行和常规保养所需的全套标准附件、专用工具</w:t>
      </w:r>
      <w:r>
        <w:rPr>
          <w:rFonts w:hint="eastAsia"/>
          <w:sz w:val="24"/>
          <w:highlight w:val="none"/>
        </w:rPr>
        <w:t>和消耗品</w:t>
      </w:r>
      <w:r>
        <w:rPr>
          <w:rFonts w:hint="eastAsia" w:ascii="宋体"/>
          <w:sz w:val="24"/>
          <w:highlight w:val="none"/>
        </w:rPr>
        <w:t>。投标人在投标书中需列出这些附件和工具的数量和单价的清单，这些附件和工具的报价的总值需计入投标价中。</w:t>
      </w:r>
    </w:p>
    <w:p w14:paraId="28321861">
      <w:pPr>
        <w:spacing w:line="360" w:lineRule="auto"/>
        <w:ind w:left="554" w:hanging="554" w:hangingChars="231"/>
        <w:rPr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 xml:space="preserve">2.2  </w:t>
      </w:r>
      <w:r>
        <w:rPr>
          <w:rFonts w:hint="eastAsia"/>
          <w:sz w:val="24"/>
          <w:highlight w:val="none"/>
        </w:rPr>
        <w:t>对于标书</w:t>
      </w:r>
      <w:r>
        <w:rPr>
          <w:rFonts w:hint="eastAsia" w:ascii="宋体"/>
          <w:sz w:val="24"/>
          <w:highlight w:val="none"/>
        </w:rPr>
        <w:t>技术规范中已列</w:t>
      </w:r>
      <w:r>
        <w:rPr>
          <w:rFonts w:hint="eastAsia"/>
          <w:sz w:val="24"/>
          <w:highlight w:val="none"/>
        </w:rPr>
        <w:t>出的作为查询选件的附件、零配件、专用工具和消耗品，投标书中</w:t>
      </w:r>
      <w:r>
        <w:rPr>
          <w:rFonts w:hint="eastAsia" w:ascii="宋体"/>
          <w:sz w:val="24"/>
          <w:highlight w:val="none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</w:p>
    <w:p w14:paraId="1BED5729">
      <w:pPr>
        <w:spacing w:line="360" w:lineRule="auto"/>
        <w:ind w:left="554" w:hanging="554" w:hangingChars="231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2.3  为便于用户进行接收仪器的准备工作，卖方应在合同生效后</w:t>
      </w:r>
      <w:r>
        <w:rPr>
          <w:rFonts w:hint="eastAsia" w:ascii="宋体" w:hAnsi="宋体"/>
          <w:b/>
          <w:sz w:val="24"/>
          <w:highlight w:val="none"/>
        </w:rPr>
        <w:t>60</w:t>
      </w:r>
      <w:r>
        <w:rPr>
          <w:rFonts w:hint="eastAsia" w:ascii="宋体" w:hAnsi="宋体"/>
          <w:sz w:val="24"/>
          <w:highlight w:val="none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38111E72">
      <w:pPr>
        <w:spacing w:line="360" w:lineRule="auto"/>
        <w:ind w:left="554" w:hanging="554" w:hangingChars="231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2</w:t>
      </w:r>
      <w:r>
        <w:rPr>
          <w:rFonts w:ascii="宋体" w:hAnsi="宋体"/>
          <w:sz w:val="24"/>
          <w:highlight w:val="none"/>
        </w:rPr>
        <w:t>.</w:t>
      </w:r>
      <w:r>
        <w:rPr>
          <w:rFonts w:hint="eastAsia" w:ascii="宋体" w:hAnsi="宋体"/>
          <w:sz w:val="24"/>
          <w:highlight w:val="none"/>
        </w:rPr>
        <w:t>4</w:t>
      </w:r>
      <w:r>
        <w:rPr>
          <w:rFonts w:ascii="宋体" w:hAnsi="宋体"/>
          <w:sz w:val="24"/>
          <w:highlight w:val="none"/>
        </w:rPr>
        <w:t xml:space="preserve"> </w:t>
      </w:r>
      <w:r>
        <w:rPr>
          <w:rFonts w:hint="eastAsia" w:ascii="宋体" w:hAnsi="宋体"/>
          <w:sz w:val="24"/>
          <w:highlight w:val="none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3E8BBF64">
      <w:pPr>
        <w:spacing w:line="360" w:lineRule="auto"/>
        <w:ind w:left="554" w:hanging="554" w:hangingChars="231"/>
        <w:rPr>
          <w:rFonts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2.</w:t>
      </w:r>
      <w:r>
        <w:rPr>
          <w:rFonts w:hint="eastAsia" w:ascii="宋体" w:hAnsi="宋体"/>
          <w:sz w:val="24"/>
          <w:highlight w:val="none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06F92609">
      <w:pPr>
        <w:adjustRightInd w:val="0"/>
        <w:snapToGrid w:val="0"/>
        <w:spacing w:line="360" w:lineRule="auto"/>
        <w:rPr>
          <w:rFonts w:ascii="宋体" w:hAnsi="宋体"/>
          <w:b/>
          <w:sz w:val="28"/>
          <w:szCs w:val="28"/>
          <w:highlight w:val="none"/>
        </w:rPr>
      </w:pPr>
      <w:r>
        <w:rPr>
          <w:rFonts w:hint="eastAsia" w:ascii="宋体" w:hAnsi="宋体"/>
          <w:b/>
          <w:sz w:val="28"/>
          <w:szCs w:val="28"/>
          <w:highlight w:val="none"/>
        </w:rPr>
        <w:t>3、工作条件</w:t>
      </w:r>
    </w:p>
    <w:p w14:paraId="495E2778">
      <w:pPr>
        <w:spacing w:after="312" w:afterLines="100" w:line="360" w:lineRule="auto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除非在技术规格中另有说明，所有仪器、设备和系统都应符合下列要求：</w:t>
      </w:r>
      <w:r>
        <w:rPr>
          <w:rFonts w:ascii="宋体" w:hAnsi="宋体"/>
          <w:sz w:val="24"/>
          <w:highlight w:val="none"/>
        </w:rPr>
        <w:t xml:space="preserve"> </w:t>
      </w:r>
    </w:p>
    <w:p w14:paraId="1606ABCD">
      <w:pPr>
        <w:spacing w:line="360" w:lineRule="auto"/>
        <w:ind w:left="554" w:hanging="554" w:hangingChars="231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3.1  适于在气温为摄氏</w:t>
      </w:r>
      <w:r>
        <w:rPr>
          <w:rFonts w:ascii="宋体" w:hAnsi="宋体"/>
          <w:b/>
          <w:sz w:val="24"/>
          <w:highlight w:val="none"/>
        </w:rPr>
        <w:t>-40</w:t>
      </w:r>
      <w:r>
        <w:rPr>
          <w:rFonts w:hint="eastAsia" w:ascii="宋体" w:hAnsi="宋体"/>
          <w:b/>
          <w:sz w:val="24"/>
          <w:highlight w:val="none"/>
        </w:rPr>
        <w:t>℃～＋</w:t>
      </w:r>
      <w:r>
        <w:rPr>
          <w:rFonts w:ascii="宋体" w:hAnsi="宋体"/>
          <w:b/>
          <w:sz w:val="24"/>
          <w:highlight w:val="none"/>
        </w:rPr>
        <w:t>50</w:t>
      </w:r>
      <w:r>
        <w:rPr>
          <w:rFonts w:hint="eastAsia" w:ascii="宋体" w:hAnsi="宋体"/>
          <w:b/>
          <w:sz w:val="24"/>
          <w:highlight w:val="none"/>
        </w:rPr>
        <w:t>℃</w:t>
      </w:r>
      <w:r>
        <w:rPr>
          <w:rFonts w:hint="eastAsia" w:ascii="宋体" w:hAnsi="宋体"/>
          <w:sz w:val="24"/>
          <w:highlight w:val="none"/>
        </w:rPr>
        <w:t>和相对湿度为</w:t>
      </w:r>
      <w:r>
        <w:rPr>
          <w:rFonts w:ascii="宋体" w:hAnsi="宋体"/>
          <w:b/>
          <w:sz w:val="24"/>
          <w:highlight w:val="none"/>
        </w:rPr>
        <w:t>90</w:t>
      </w:r>
      <w:r>
        <w:rPr>
          <w:rFonts w:hint="eastAsia" w:ascii="宋体" w:hAnsi="宋体"/>
          <w:b/>
          <w:sz w:val="24"/>
          <w:highlight w:val="none"/>
        </w:rPr>
        <w:t>％</w:t>
      </w:r>
      <w:r>
        <w:rPr>
          <w:rFonts w:hint="eastAsia" w:ascii="宋体" w:hAnsi="宋体"/>
          <w:sz w:val="24"/>
          <w:highlight w:val="none"/>
        </w:rPr>
        <w:t>的环境条件下运输和贮存。</w:t>
      </w:r>
    </w:p>
    <w:p w14:paraId="6C7F1627">
      <w:pPr>
        <w:spacing w:line="360" w:lineRule="auto"/>
        <w:ind w:left="554" w:hanging="554" w:hangingChars="231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3.2  适于在电源</w:t>
      </w:r>
      <w:r>
        <w:rPr>
          <w:rFonts w:ascii="宋体" w:hAnsi="宋体"/>
          <w:b/>
          <w:sz w:val="24"/>
          <w:highlight w:val="none"/>
        </w:rPr>
        <w:t>220V</w:t>
      </w:r>
      <w:r>
        <w:rPr>
          <w:rFonts w:hint="eastAsia" w:ascii="宋体" w:hAnsi="宋体"/>
          <w:b/>
          <w:sz w:val="24"/>
          <w:highlight w:val="none"/>
        </w:rPr>
        <w:t>（</w:t>
      </w:r>
      <w:r>
        <w:rPr>
          <w:rFonts w:ascii="宋体" w:hAnsi="宋体"/>
          <w:b/>
          <w:sz w:val="24"/>
          <w:highlight w:val="none"/>
        </w:rPr>
        <w:sym w:font="Symbol" w:char="F0B1"/>
      </w:r>
      <w:r>
        <w:rPr>
          <w:rFonts w:ascii="宋体" w:hAnsi="宋体"/>
          <w:b/>
          <w:sz w:val="24"/>
          <w:highlight w:val="none"/>
        </w:rPr>
        <w:t>10</w:t>
      </w:r>
      <w:r>
        <w:rPr>
          <w:rFonts w:hint="eastAsia" w:ascii="宋体" w:hAnsi="宋体"/>
          <w:b/>
          <w:sz w:val="24"/>
          <w:highlight w:val="none"/>
        </w:rPr>
        <w:t>％）</w:t>
      </w:r>
      <w:r>
        <w:rPr>
          <w:rFonts w:ascii="宋体" w:hAnsi="宋体"/>
          <w:b/>
          <w:sz w:val="24"/>
          <w:highlight w:val="none"/>
        </w:rPr>
        <w:t>/50Hz</w:t>
      </w:r>
      <w:r>
        <w:rPr>
          <w:rFonts w:hint="eastAsia" w:ascii="宋体" w:hAnsi="宋体"/>
          <w:sz w:val="24"/>
          <w:highlight w:val="none"/>
        </w:rPr>
        <w:t>、气温摄氏</w:t>
      </w:r>
      <w:r>
        <w:rPr>
          <w:rFonts w:hint="eastAsia" w:ascii="宋体" w:hAnsi="宋体"/>
          <w:b/>
          <w:sz w:val="24"/>
          <w:highlight w:val="none"/>
        </w:rPr>
        <w:t>+1</w:t>
      </w:r>
      <w:r>
        <w:rPr>
          <w:rFonts w:ascii="宋体" w:hAnsi="宋体"/>
          <w:b/>
          <w:sz w:val="24"/>
          <w:highlight w:val="none"/>
        </w:rPr>
        <w:t>5</w:t>
      </w:r>
      <w:r>
        <w:rPr>
          <w:rFonts w:hint="eastAsia" w:ascii="宋体" w:hAnsi="宋体"/>
          <w:b/>
          <w:sz w:val="24"/>
          <w:highlight w:val="none"/>
        </w:rPr>
        <w:t>℃～＋3</w:t>
      </w:r>
      <w:r>
        <w:rPr>
          <w:rFonts w:ascii="宋体" w:hAnsi="宋体"/>
          <w:b/>
          <w:sz w:val="24"/>
          <w:highlight w:val="none"/>
        </w:rPr>
        <w:t>0</w:t>
      </w:r>
      <w:r>
        <w:rPr>
          <w:rFonts w:hint="eastAsia" w:ascii="宋体" w:hAnsi="宋体"/>
          <w:b/>
          <w:sz w:val="24"/>
          <w:highlight w:val="none"/>
        </w:rPr>
        <w:t>℃</w:t>
      </w:r>
      <w:r>
        <w:rPr>
          <w:rFonts w:hint="eastAsia" w:ascii="宋体" w:hAnsi="宋体"/>
          <w:sz w:val="24"/>
          <w:highlight w:val="none"/>
        </w:rPr>
        <w:t>和相对湿度小于</w:t>
      </w:r>
      <w:r>
        <w:rPr>
          <w:rFonts w:ascii="宋体" w:hAnsi="宋体"/>
          <w:b/>
          <w:sz w:val="24"/>
          <w:highlight w:val="none"/>
        </w:rPr>
        <w:t>8</w:t>
      </w:r>
      <w:r>
        <w:rPr>
          <w:rFonts w:hint="eastAsia" w:ascii="宋体" w:hAnsi="宋体"/>
          <w:b/>
          <w:sz w:val="24"/>
          <w:highlight w:val="none"/>
        </w:rPr>
        <w:t>0％</w:t>
      </w:r>
      <w:r>
        <w:rPr>
          <w:rFonts w:hint="eastAsia" w:ascii="宋体" w:hAnsi="宋体"/>
          <w:sz w:val="24"/>
          <w:highlight w:val="none"/>
        </w:rPr>
        <w:t>的环境条件下运行。</w:t>
      </w:r>
      <w:r>
        <w:rPr>
          <w:rFonts w:hint="eastAsia" w:ascii="宋体" w:hAnsi="宋体"/>
          <w:b/>
          <w:sz w:val="24"/>
          <w:highlight w:val="none"/>
        </w:rPr>
        <w:t>能够连续正常工作。</w:t>
      </w:r>
    </w:p>
    <w:p w14:paraId="620D72FB">
      <w:pPr>
        <w:spacing w:line="360" w:lineRule="auto"/>
        <w:ind w:left="554" w:hanging="554" w:hangingChars="231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3.3  配置符合中国有关标准要求的插头，如果没有这样的插头，则需</w:t>
      </w:r>
      <w:r>
        <w:rPr>
          <w:rFonts w:hint="eastAsia" w:ascii="宋体"/>
          <w:sz w:val="24"/>
          <w:highlight w:val="none"/>
        </w:rPr>
        <w:t>提供适当的转</w:t>
      </w:r>
      <w:r>
        <w:rPr>
          <w:rFonts w:hint="eastAsia" w:ascii="宋体" w:hAnsi="宋体"/>
          <w:sz w:val="24"/>
          <w:highlight w:val="none"/>
        </w:rPr>
        <w:t>换插座。</w:t>
      </w:r>
    </w:p>
    <w:p w14:paraId="1327EC34">
      <w:pPr>
        <w:spacing w:line="360" w:lineRule="auto"/>
        <w:ind w:left="554" w:hanging="554" w:hangingChars="231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0692685B">
      <w:pPr>
        <w:rPr>
          <w:rFonts w:eastAsia="黑体"/>
          <w:b/>
          <w:bCs/>
          <w:kern w:val="44"/>
          <w:sz w:val="24"/>
          <w:highlight w:val="none"/>
        </w:rPr>
      </w:pPr>
    </w:p>
    <w:p w14:paraId="21C9EBB8">
      <w:pPr>
        <w:adjustRightInd w:val="0"/>
        <w:snapToGrid w:val="0"/>
        <w:spacing w:line="360" w:lineRule="auto"/>
        <w:rPr>
          <w:rFonts w:ascii="宋体" w:hAnsi="宋体"/>
          <w:b/>
          <w:sz w:val="28"/>
          <w:szCs w:val="28"/>
          <w:highlight w:val="none"/>
        </w:rPr>
      </w:pPr>
      <w:r>
        <w:rPr>
          <w:rFonts w:hint="eastAsia" w:ascii="宋体" w:hAnsi="宋体"/>
          <w:b/>
          <w:sz w:val="28"/>
          <w:szCs w:val="28"/>
          <w:highlight w:val="none"/>
        </w:rPr>
        <w:t>4、验收标准</w:t>
      </w:r>
    </w:p>
    <w:p w14:paraId="72F88279">
      <w:pPr>
        <w:spacing w:after="312" w:afterLines="100" w:line="360" w:lineRule="auto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除非在技术规格中另有说明，所有仪器、设备和系统按下列要求进行验收：</w:t>
      </w:r>
      <w:r>
        <w:rPr>
          <w:rFonts w:ascii="宋体" w:hAnsi="宋体"/>
          <w:sz w:val="24"/>
          <w:highlight w:val="none"/>
        </w:rPr>
        <w:t xml:space="preserve"> </w:t>
      </w:r>
    </w:p>
    <w:p w14:paraId="28D85655">
      <w:pPr>
        <w:spacing w:line="360" w:lineRule="auto"/>
        <w:ind w:left="554" w:hanging="554" w:hangingChars="231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4.1  仪器设备运抵安装现场后，买方将与卖方共同开箱验收</w:t>
      </w:r>
      <w:r>
        <w:rPr>
          <w:rFonts w:ascii="宋体" w:hAnsi="宋体"/>
          <w:sz w:val="24"/>
          <w:highlight w:val="none"/>
        </w:rPr>
        <w:t xml:space="preserve">, </w:t>
      </w:r>
      <w:r>
        <w:rPr>
          <w:rFonts w:hint="eastAsia" w:ascii="宋体" w:hAnsi="宋体"/>
          <w:sz w:val="24"/>
          <w:highlight w:val="none"/>
        </w:rPr>
        <w:t>如卖方届时不派人来</w:t>
      </w:r>
      <w:r>
        <w:rPr>
          <w:rFonts w:ascii="宋体" w:hAnsi="宋体"/>
          <w:sz w:val="24"/>
          <w:highlight w:val="none"/>
        </w:rPr>
        <w:t xml:space="preserve">, </w:t>
      </w:r>
      <w:r>
        <w:rPr>
          <w:rFonts w:hint="eastAsia" w:ascii="宋体" w:hAnsi="宋体"/>
          <w:sz w:val="24"/>
          <w:highlight w:val="none"/>
        </w:rPr>
        <w:t>则验收结果应以买方的验收报告为最终验收结果。验收时发现短缺、破损</w:t>
      </w:r>
      <w:r>
        <w:rPr>
          <w:rFonts w:ascii="宋体" w:hAnsi="宋体"/>
          <w:sz w:val="24"/>
          <w:highlight w:val="none"/>
        </w:rPr>
        <w:t xml:space="preserve">, </w:t>
      </w:r>
      <w:r>
        <w:rPr>
          <w:rFonts w:hint="eastAsia" w:ascii="宋体" w:hAnsi="宋体"/>
          <w:sz w:val="24"/>
          <w:highlight w:val="none"/>
        </w:rPr>
        <w:t>买方有权要求卖方负责更换。</w:t>
      </w:r>
    </w:p>
    <w:p w14:paraId="2DFE097C">
      <w:pPr>
        <w:spacing w:line="360" w:lineRule="auto"/>
        <w:ind w:left="554" w:hanging="554" w:hangingChars="231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 xml:space="preserve">4.2  </w:t>
      </w:r>
      <w:r>
        <w:rPr>
          <w:rFonts w:hint="eastAsia"/>
          <w:sz w:val="24"/>
          <w:highlight w:val="none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65E1D3D7">
      <w:pPr>
        <w:spacing w:line="360" w:lineRule="auto"/>
        <w:ind w:left="554" w:hanging="554" w:hangingChars="231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 xml:space="preserve">4.3  </w:t>
      </w:r>
      <w:r>
        <w:rPr>
          <w:rFonts w:ascii="宋体" w:hAnsi="宋体"/>
          <w:sz w:val="24"/>
          <w:highlight w:val="none"/>
        </w:rPr>
        <w:t>验收由采购人、中标人及相关人员依国家有关标准、合同及有关附件要求进行，验收完毕由采购人及中标人在验收报告上签名。</w:t>
      </w:r>
    </w:p>
    <w:p w14:paraId="215ED324">
      <w:pPr>
        <w:pStyle w:val="20"/>
        <w:spacing w:line="360" w:lineRule="auto"/>
        <w:ind w:left="410" w:hanging="410" w:hangingChars="170"/>
        <w:rPr>
          <w:rFonts w:hAnsi="宋体"/>
          <w:b/>
          <w:sz w:val="24"/>
          <w:szCs w:val="24"/>
          <w:highlight w:val="none"/>
        </w:rPr>
      </w:pPr>
    </w:p>
    <w:p w14:paraId="02757E76">
      <w:pPr>
        <w:adjustRightInd w:val="0"/>
        <w:snapToGrid w:val="0"/>
        <w:spacing w:line="360" w:lineRule="auto"/>
        <w:rPr>
          <w:rFonts w:hAnsi="宋体"/>
          <w:b/>
          <w:sz w:val="24"/>
          <w:highlight w:val="none"/>
        </w:rPr>
      </w:pPr>
      <w:r>
        <w:rPr>
          <w:rFonts w:hint="eastAsia"/>
          <w:b/>
          <w:bCs/>
          <w:sz w:val="24"/>
          <w:highlight w:val="none"/>
        </w:rPr>
        <w:t>5、本采购需求书中标注“★”号技术条款的为实质性要求，不满足其投标将视为无效投标被拒绝。</w:t>
      </w:r>
    </w:p>
    <w:p w14:paraId="742EEBED">
      <w:pPr>
        <w:adjustRightInd w:val="0"/>
        <w:snapToGrid w:val="0"/>
        <w:spacing w:line="360" w:lineRule="auto"/>
        <w:rPr>
          <w:rFonts w:ascii="宋体" w:hAnsi="宋体"/>
          <w:b/>
          <w:sz w:val="24"/>
          <w:highlight w:val="none"/>
        </w:rPr>
      </w:pPr>
    </w:p>
    <w:p w14:paraId="713D8A43">
      <w:pPr>
        <w:adjustRightInd w:val="0"/>
        <w:snapToGrid w:val="0"/>
        <w:spacing w:line="360" w:lineRule="auto"/>
        <w:rPr>
          <w:rFonts w:ascii="宋体" w:hAnsi="宋体"/>
          <w:b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6、如在具体技术规格中有本总则不一致之处，以具体技术规格中的要求为准。</w:t>
      </w:r>
    </w:p>
    <w:p w14:paraId="4B92B2DB">
      <w:pPr>
        <w:adjustRightInd w:val="0"/>
        <w:snapToGrid w:val="0"/>
        <w:spacing w:line="360" w:lineRule="auto"/>
        <w:rPr>
          <w:rFonts w:ascii="宋体" w:hAnsi="宋体"/>
          <w:b/>
          <w:sz w:val="28"/>
          <w:szCs w:val="28"/>
          <w:highlight w:val="none"/>
        </w:rPr>
      </w:pPr>
      <w:r>
        <w:rPr>
          <w:rFonts w:ascii="宋体" w:hAnsi="宋体"/>
          <w:b/>
          <w:sz w:val="28"/>
          <w:highlight w:val="none"/>
        </w:rPr>
        <w:br w:type="page"/>
      </w:r>
      <w:r>
        <w:rPr>
          <w:rFonts w:hint="eastAsia" w:ascii="宋体" w:hAnsi="宋体"/>
          <w:b/>
          <w:sz w:val="28"/>
          <w:szCs w:val="28"/>
          <w:highlight w:val="none"/>
        </w:rPr>
        <w:t>二、具体技术规格</w:t>
      </w:r>
    </w:p>
    <w:p w14:paraId="4FD5A087">
      <w:pPr>
        <w:jc w:val="center"/>
        <w:rPr>
          <w:b/>
          <w:sz w:val="24"/>
          <w:highlight w:val="none"/>
        </w:rPr>
      </w:pPr>
      <w:r>
        <w:rPr>
          <w:rFonts w:hint="eastAsia"/>
          <w:b/>
          <w:sz w:val="24"/>
          <w:highlight w:val="none"/>
        </w:rPr>
        <w:t>AI大模型轻量化计算与适配验证平台</w:t>
      </w:r>
    </w:p>
    <w:p w14:paraId="43FC7B4D">
      <w:pPr>
        <w:rPr>
          <w:b/>
          <w:sz w:val="24"/>
          <w:highlight w:val="none"/>
        </w:rPr>
      </w:pPr>
    </w:p>
    <w:p w14:paraId="58E2F5CD">
      <w:pPr>
        <w:adjustRightInd w:val="0"/>
        <w:snapToGrid w:val="0"/>
        <w:spacing w:line="360" w:lineRule="auto"/>
        <w:rPr>
          <w:b/>
          <w:sz w:val="24"/>
          <w:highlight w:val="none"/>
        </w:rPr>
      </w:pPr>
      <w:r>
        <w:rPr>
          <w:rFonts w:hint="eastAsia"/>
          <w:b/>
          <w:sz w:val="24"/>
          <w:highlight w:val="none"/>
        </w:rPr>
        <w:t>（一）技术要求：</w:t>
      </w:r>
    </w:p>
    <w:p w14:paraId="0D999BD2">
      <w:pPr>
        <w:adjustRightInd w:val="0"/>
        <w:snapToGrid w:val="0"/>
        <w:spacing w:line="360" w:lineRule="auto"/>
        <w:rPr>
          <w:b/>
          <w:sz w:val="24"/>
          <w:highlight w:val="none"/>
        </w:rPr>
      </w:pPr>
      <w:r>
        <w:rPr>
          <w:rFonts w:hint="eastAsia"/>
          <w:b/>
          <w:sz w:val="24"/>
          <w:highlight w:val="none"/>
        </w:rPr>
        <w:t>1. 工作条件：</w:t>
      </w:r>
    </w:p>
    <w:p w14:paraId="6E691780">
      <w:pPr>
        <w:numPr>
          <w:ilvl w:val="1"/>
          <w:numId w:val="0"/>
        </w:num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sz w:val="24"/>
          <w:highlight w:val="none"/>
        </w:rPr>
        <w:t>1.1</w:t>
      </w:r>
      <w:r>
        <w:rPr>
          <w:rFonts w:hint="eastAsia"/>
          <w:sz w:val="24"/>
          <w:highlight w:val="none"/>
        </w:rPr>
        <w:t>系统稳定，满足机房7*24小时正常运转</w:t>
      </w:r>
    </w:p>
    <w:p w14:paraId="1D84DA3C">
      <w:pPr>
        <w:adjustRightInd w:val="0"/>
        <w:snapToGrid w:val="0"/>
        <w:spacing w:line="360" w:lineRule="auto"/>
        <w:rPr>
          <w:sz w:val="24"/>
          <w:highlight w:val="none"/>
        </w:rPr>
      </w:pPr>
    </w:p>
    <w:p w14:paraId="60636F3B">
      <w:pPr>
        <w:adjustRightInd w:val="0"/>
        <w:snapToGrid w:val="0"/>
        <w:spacing w:line="360" w:lineRule="auto"/>
        <w:rPr>
          <w:b/>
          <w:sz w:val="24"/>
          <w:highlight w:val="none"/>
        </w:rPr>
      </w:pPr>
      <w:r>
        <w:rPr>
          <w:rFonts w:hint="eastAsia"/>
          <w:b/>
          <w:sz w:val="24"/>
          <w:highlight w:val="none"/>
        </w:rPr>
        <w:t>2. 设备用途：</w:t>
      </w:r>
    </w:p>
    <w:p w14:paraId="67E8E67A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AI大模型训练算力系统开展面向多语种跨模态的智能信息处理研究；AI大模型推理算力系统提供实验、适配算力平台；适配验证服务器系统用于适配验证、适配迁移等技术研究。</w:t>
      </w:r>
    </w:p>
    <w:p w14:paraId="78EDA0DB">
      <w:pPr>
        <w:adjustRightInd w:val="0"/>
        <w:snapToGrid w:val="0"/>
        <w:spacing w:line="360" w:lineRule="auto"/>
        <w:rPr>
          <w:sz w:val="24"/>
          <w:highlight w:val="none"/>
        </w:rPr>
      </w:pPr>
    </w:p>
    <w:p w14:paraId="4D394C35">
      <w:pPr>
        <w:adjustRightInd w:val="0"/>
        <w:snapToGrid w:val="0"/>
        <w:spacing w:line="360" w:lineRule="auto"/>
        <w:rPr>
          <w:b/>
          <w:sz w:val="24"/>
          <w:highlight w:val="none"/>
        </w:rPr>
      </w:pPr>
      <w:r>
        <w:rPr>
          <w:rFonts w:hint="eastAsia"/>
          <w:b/>
          <w:sz w:val="24"/>
          <w:highlight w:val="none"/>
        </w:rPr>
        <w:t>3. 技术规格：</w:t>
      </w:r>
    </w:p>
    <w:p w14:paraId="72D63D25">
      <w:pPr>
        <w:adjustRightInd w:val="0"/>
        <w:snapToGrid w:val="0"/>
        <w:spacing w:line="360" w:lineRule="auto"/>
        <w:rPr>
          <w:b/>
          <w:bCs/>
          <w:sz w:val="24"/>
          <w:highlight w:val="none"/>
        </w:rPr>
      </w:pPr>
      <w:r>
        <w:rPr>
          <w:rFonts w:hint="eastAsia"/>
          <w:b/>
          <w:bCs/>
          <w:sz w:val="24"/>
          <w:highlight w:val="none"/>
        </w:rPr>
        <w:t>3.1</w:t>
      </w:r>
      <w:r>
        <w:rPr>
          <w:rFonts w:hint="eastAsia" w:ascii="宋体" w:hAnsi="宋体" w:cs="宋体"/>
          <w:b/>
          <w:bCs/>
          <w:sz w:val="24"/>
          <w:highlight w:val="none"/>
        </w:rPr>
        <w:t xml:space="preserve"> </w:t>
      </w:r>
      <w:r>
        <w:rPr>
          <w:rFonts w:hint="eastAsia"/>
          <w:b/>
          <w:bCs/>
          <w:sz w:val="24"/>
          <w:highlight w:val="none"/>
        </w:rPr>
        <w:t>AI大模型训练算力系统</w:t>
      </w:r>
    </w:p>
    <w:p w14:paraId="21363F6A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sz w:val="24"/>
          <w:highlight w:val="none"/>
        </w:rPr>
        <w:t>3.1.1</w:t>
      </w:r>
      <w:r>
        <w:rPr>
          <w:rFonts w:hint="eastAsia"/>
          <w:sz w:val="24"/>
          <w:highlight w:val="none"/>
        </w:rPr>
        <w:t xml:space="preserve"> CPU：配置2颗INTEL Xeon Platinum 8352V 主频2.1G 睿频3.5G 36核心72线程 54MB 195W；</w:t>
      </w:r>
    </w:p>
    <w:p w14:paraId="1C50CDF0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sz w:val="24"/>
          <w:highlight w:val="none"/>
        </w:rPr>
        <w:t>3.1.2</w:t>
      </w:r>
      <w:r>
        <w:rPr>
          <w:rFonts w:hint="eastAsia"/>
          <w:sz w:val="24"/>
          <w:highlight w:val="none"/>
        </w:rPr>
        <w:t xml:space="preserve"> MEM：配置≥512GB 32G DDR4-3200MHz*16；</w:t>
      </w:r>
    </w:p>
    <w:p w14:paraId="5BDC9BD4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  <w:lang w:val="en-US" w:eastAsia="zh-CN"/>
        </w:rPr>
        <w:t>#</w:t>
      </w:r>
      <w:r>
        <w:rPr>
          <w:sz w:val="24"/>
          <w:highlight w:val="none"/>
        </w:rPr>
        <w:t>3.1.3</w:t>
      </w:r>
      <w:r>
        <w:rPr>
          <w:rFonts w:hint="eastAsia"/>
          <w:sz w:val="24"/>
          <w:highlight w:val="none"/>
        </w:rPr>
        <w:t xml:space="preserve"> DISK：配置1块480GB SATA 2.5寸 企业级 SSD；配置3块3.84T NVME 4.0 U.2 企业级SSD；支持12块2.5或3.5寸热插拔硬盘位（其中支持4块 NVME）</w:t>
      </w:r>
    </w:p>
    <w:p w14:paraId="0D0E076D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★3.1.4 GPU：配备≥6×NVIDIA A100 80G，PCIE接口，最多支持8块标准尺寸双宽GPU；</w:t>
      </w:r>
    </w:p>
    <w:p w14:paraId="3FED558A">
      <w:pPr>
        <w:adjustRightInd w:val="0"/>
        <w:snapToGrid w:val="0"/>
        <w:spacing w:line="360" w:lineRule="auto"/>
        <w:ind w:firstLine="480" w:firstLineChars="200"/>
        <w:jc w:val="left"/>
        <w:rPr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#</w:t>
      </w:r>
      <w:r>
        <w:rPr>
          <w:rFonts w:hint="eastAsia"/>
          <w:sz w:val="24"/>
          <w:highlight w:val="none"/>
        </w:rPr>
        <w:t xml:space="preserve">3.1.5 </w:t>
      </w:r>
      <w:r>
        <w:rPr>
          <w:rFonts w:hint="eastAsia"/>
          <w:sz w:val="24"/>
          <w:szCs w:val="32"/>
          <w:highlight w:val="none"/>
        </w:rPr>
        <w:t>投标人本次投标中所采用的GPU卡和服务器主板必须能够适配，须出具针对本次投标所采用的GPU卡型号与服务器主板型号适配的相应承诺函，承诺函内容必须包含其本次投标所采用的GPU卡XXX型号与服务器主板XXX型号相适配的内容字样，具体格式自拟并加盖服务器厂家公章和投标人公章。</w:t>
      </w:r>
    </w:p>
    <w:p w14:paraId="286242A7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sz w:val="24"/>
          <w:highlight w:val="none"/>
        </w:rPr>
        <w:t>3.1.</w:t>
      </w:r>
      <w:r>
        <w:rPr>
          <w:rFonts w:hint="eastAsia"/>
          <w:sz w:val="24"/>
          <w:highlight w:val="none"/>
        </w:rPr>
        <w:t>6 1个 VGA，1个COM， ≥3 个 USB 3.0，2个万兆网卡和1个IPMI管理接口；2400W+（2+2）冗余电源，含上架导轨；</w:t>
      </w:r>
    </w:p>
    <w:p w14:paraId="13F6611A">
      <w:pPr>
        <w:adjustRightInd w:val="0"/>
        <w:snapToGrid w:val="0"/>
        <w:spacing w:line="360" w:lineRule="auto"/>
        <w:rPr>
          <w:b/>
          <w:bCs/>
          <w:sz w:val="24"/>
          <w:highlight w:val="none"/>
        </w:rPr>
      </w:pPr>
      <w:r>
        <w:rPr>
          <w:rFonts w:hint="eastAsia"/>
          <w:b/>
          <w:bCs/>
          <w:sz w:val="24"/>
          <w:highlight w:val="none"/>
        </w:rPr>
        <w:t>3.2</w:t>
      </w:r>
      <w:r>
        <w:rPr>
          <w:rFonts w:hint="eastAsia" w:ascii="宋体" w:hAnsi="宋体" w:cs="宋体"/>
          <w:b/>
          <w:bCs/>
          <w:sz w:val="24"/>
          <w:highlight w:val="none"/>
        </w:rPr>
        <w:t xml:space="preserve"> </w:t>
      </w:r>
      <w:r>
        <w:rPr>
          <w:rFonts w:hint="eastAsia"/>
          <w:b/>
          <w:bCs/>
          <w:sz w:val="24"/>
          <w:highlight w:val="none"/>
        </w:rPr>
        <w:t>AI大模型推理算力系统</w:t>
      </w:r>
    </w:p>
    <w:p w14:paraId="3AF92661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sz w:val="24"/>
          <w:highlight w:val="none"/>
        </w:rPr>
        <w:t>3.2.1</w:t>
      </w:r>
      <w:r>
        <w:rPr>
          <w:rFonts w:hint="eastAsia"/>
          <w:sz w:val="24"/>
          <w:highlight w:val="none"/>
        </w:rPr>
        <w:t xml:space="preserve"> CPU：配置≥2颗国产ARM处理器Kunpeng920  (主频：2.6GHz，核数：48核)；</w:t>
      </w:r>
    </w:p>
    <w:p w14:paraId="48505D61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sz w:val="24"/>
          <w:highlight w:val="none"/>
        </w:rPr>
        <w:t>3.2.2</w:t>
      </w:r>
      <w:r>
        <w:rPr>
          <w:rFonts w:hint="eastAsia"/>
          <w:sz w:val="24"/>
          <w:highlight w:val="none"/>
        </w:rPr>
        <w:t xml:space="preserve"> MEM：配置≥256GB 32G DDR4-3200MHz*8；</w:t>
      </w:r>
    </w:p>
    <w:p w14:paraId="7BD689D7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sz w:val="24"/>
          <w:highlight w:val="none"/>
        </w:rPr>
        <w:t>3.2.3</w:t>
      </w:r>
      <w:r>
        <w:rPr>
          <w:rFonts w:hint="eastAsia"/>
          <w:sz w:val="24"/>
          <w:highlight w:val="none"/>
        </w:rPr>
        <w:t xml:space="preserve"> DISK：≥3块1.8TB SAS 机械硬盘，≥2块 960GB SATA 固态硬盘；</w:t>
      </w:r>
    </w:p>
    <w:p w14:paraId="41404114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sz w:val="24"/>
          <w:highlight w:val="none"/>
        </w:rPr>
        <w:t>3.2.4</w:t>
      </w:r>
      <w:r>
        <w:rPr>
          <w:rFonts w:hint="eastAsia"/>
          <w:sz w:val="24"/>
          <w:highlight w:val="none"/>
        </w:rPr>
        <w:t xml:space="preserve"> Raid：支持RAID 0/1/5/6/10/50/60（4G缓存）</w:t>
      </w:r>
    </w:p>
    <w:p w14:paraId="151CADD9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sz w:val="24"/>
          <w:highlight w:val="none"/>
        </w:rPr>
        <w:t>3.2.5</w:t>
      </w:r>
      <w:r>
        <w:rPr>
          <w:rFonts w:hint="eastAsia"/>
          <w:sz w:val="24"/>
          <w:highlight w:val="none"/>
        </w:rPr>
        <w:t xml:space="preserve"> 网络：配备≥2*10GE，4*GE</w:t>
      </w:r>
    </w:p>
    <w:p w14:paraId="635B8AE1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#</w:t>
      </w:r>
      <w:r>
        <w:rPr>
          <w:sz w:val="24"/>
          <w:highlight w:val="none"/>
        </w:rPr>
        <w:t>3.2.6</w:t>
      </w:r>
      <w:r>
        <w:rPr>
          <w:rFonts w:hint="eastAsia"/>
          <w:sz w:val="24"/>
          <w:highlight w:val="none"/>
        </w:rPr>
        <w:t xml:space="preserve"> GPU：配备≥4块 Atlas 300I DUO NPU卡，单卡提供140TFLOPS，算力16Core*1.9GHz，显存96G；</w:t>
      </w:r>
    </w:p>
    <w:p w14:paraId="58FC7B73">
      <w:pPr>
        <w:keepNext/>
        <w:keepLines/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1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#</w:t>
      </w:r>
      <w:r>
        <w:rPr>
          <w:rFonts w:hint="eastAsia"/>
          <w:sz w:val="24"/>
          <w:highlight w:val="none"/>
        </w:rPr>
        <w:t>3.2.7</w:t>
      </w:r>
      <w:r>
        <w:rPr>
          <w:rFonts w:hint="eastAsia" w:ascii="宋体" w:hAnsi="宋体"/>
          <w:sz w:val="24"/>
          <w:highlight w:val="none"/>
        </w:rPr>
        <w:t xml:space="preserve"> </w:t>
      </w:r>
      <w:r>
        <w:rPr>
          <w:rFonts w:hint="eastAsia"/>
          <w:sz w:val="24"/>
          <w:szCs w:val="32"/>
          <w:highlight w:val="none"/>
        </w:rPr>
        <w:t>投标人本次投标中所采用的GPU卡和服务器主板必须能够适配，须出具针对本次投标所采用的GPU卡型号与服务器主板型号适配的相应承诺函，承诺函内容必须包含其本次投标所采用的GPU卡XXX型号与服务器主板XXX型号相适配的内容字样，具体格式自拟并加盖服务器厂家公章和投标人公章。</w:t>
      </w:r>
    </w:p>
    <w:p w14:paraId="06CA173B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sz w:val="24"/>
          <w:highlight w:val="none"/>
        </w:rPr>
        <w:t>3.2.</w:t>
      </w:r>
      <w:r>
        <w:rPr>
          <w:rFonts w:hint="eastAsia"/>
          <w:sz w:val="24"/>
          <w:highlight w:val="none"/>
        </w:rPr>
        <w:t>8 电源： ≥2*2000W电源，1+1冗余配置；</w:t>
      </w:r>
    </w:p>
    <w:p w14:paraId="0801D13A">
      <w:pPr>
        <w:adjustRightInd w:val="0"/>
        <w:snapToGrid w:val="0"/>
        <w:spacing w:line="360" w:lineRule="auto"/>
        <w:rPr>
          <w:b/>
          <w:bCs/>
          <w:sz w:val="24"/>
          <w:highlight w:val="none"/>
        </w:rPr>
      </w:pPr>
      <w:r>
        <w:rPr>
          <w:rFonts w:hint="eastAsia"/>
          <w:b/>
          <w:bCs/>
          <w:sz w:val="24"/>
          <w:highlight w:val="none"/>
        </w:rPr>
        <w:t>3.3 适配验证服务器系统（1）</w:t>
      </w:r>
    </w:p>
    <w:p w14:paraId="25670892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3.3.1 CPU：配置≥2颗128核国产处理器，主频≥2.0GHz；</w:t>
      </w:r>
    </w:p>
    <w:p w14:paraId="3D2FCC54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3.3.2 MEM：配置≥512GB内存；</w:t>
      </w:r>
    </w:p>
    <w:p w14:paraId="757CEDBB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3.3.3 DISK：配置≥6块≥960GB  SATA SSD 要求dwpd≥3；</w:t>
      </w:r>
    </w:p>
    <w:p w14:paraId="43D0393C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3.3.4 RAID功能：支持Raid 0/1/5/6/10/50/60；</w:t>
      </w:r>
    </w:p>
    <w:p w14:paraId="5137FD3D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#3.3.5 CPU品牌与3.4.1、3.5.1、3.6.1、3.7.1不同；</w:t>
      </w:r>
    </w:p>
    <w:p w14:paraId="07C1C2DC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3.3.6 操作系统：国产服务器操作系统。</w:t>
      </w:r>
    </w:p>
    <w:p w14:paraId="79E0DF34">
      <w:pPr>
        <w:adjustRightInd w:val="0"/>
        <w:snapToGrid w:val="0"/>
        <w:spacing w:line="360" w:lineRule="auto"/>
        <w:rPr>
          <w:b/>
          <w:bCs/>
          <w:sz w:val="24"/>
          <w:highlight w:val="none"/>
        </w:rPr>
      </w:pPr>
      <w:r>
        <w:rPr>
          <w:rFonts w:hint="eastAsia"/>
          <w:b/>
          <w:bCs/>
          <w:sz w:val="24"/>
          <w:highlight w:val="none"/>
        </w:rPr>
        <w:t>3.4 适配验证服务器系统（2）</w:t>
      </w:r>
    </w:p>
    <w:p w14:paraId="32769351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3.4.1 CPU：配置2颗64核国产处理器，主频≥3.0GHz；</w:t>
      </w:r>
    </w:p>
    <w:p w14:paraId="57B9EA5F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3.4.2 MEM：配置≥512GB内存；</w:t>
      </w:r>
    </w:p>
    <w:p w14:paraId="7A3F5F2C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3.4.3 DISK：配置≥6块≥960GB  SATA SSD硬盘 要求dwpd≥3；</w:t>
      </w:r>
    </w:p>
    <w:p w14:paraId="7D5D38AE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3.4.4 RAID功能：支持Raid 0/1/5/6/10/50/60；</w:t>
      </w:r>
    </w:p>
    <w:p w14:paraId="5CB6C066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#3.4.5 CPU品牌与3.3.1、3.5.1、3.6.1、3.7.1不同；</w:t>
      </w:r>
    </w:p>
    <w:p w14:paraId="746A3C46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3.4.6 操作系统：国产服务器操作系统。</w:t>
      </w:r>
    </w:p>
    <w:p w14:paraId="3B102D2F">
      <w:pPr>
        <w:adjustRightInd w:val="0"/>
        <w:snapToGrid w:val="0"/>
        <w:spacing w:line="360" w:lineRule="auto"/>
        <w:rPr>
          <w:b/>
          <w:bCs/>
          <w:sz w:val="24"/>
          <w:highlight w:val="none"/>
        </w:rPr>
      </w:pPr>
      <w:r>
        <w:rPr>
          <w:rFonts w:hint="eastAsia"/>
          <w:b/>
          <w:bCs/>
          <w:sz w:val="24"/>
          <w:highlight w:val="none"/>
        </w:rPr>
        <w:t>3.5 适配验证服务器系统（3）</w:t>
      </w:r>
    </w:p>
    <w:p w14:paraId="514632D5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3.5.1 CPU：配置2颗64核国产处理器，主频≥2.1GHz；</w:t>
      </w:r>
    </w:p>
    <w:p w14:paraId="36325FCE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3.5.2 MEM：配置≥512GB内存 DDR4；</w:t>
      </w:r>
    </w:p>
    <w:p w14:paraId="373F79B6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3.5.3 DISK：配置≥6块≥960GB  SATA SSD硬盘 要求dwpd≥3；</w:t>
      </w:r>
    </w:p>
    <w:p w14:paraId="6C1CF824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3.5.4 RAID功能：支持Raid 0/1/5/6/10/50/60；</w:t>
      </w:r>
    </w:p>
    <w:p w14:paraId="2CCB0DF6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#3.5.5 CPU品牌与3.3.1、3.4.1、3.6.1、3.7.1不同；</w:t>
      </w:r>
    </w:p>
    <w:p w14:paraId="3B180E65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3.5.6 操作系统：国产服务器操作系统；</w:t>
      </w:r>
    </w:p>
    <w:p w14:paraId="5023AEE2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3.5.7 中间件：国产中间件。</w:t>
      </w:r>
    </w:p>
    <w:p w14:paraId="2E7544DC">
      <w:pPr>
        <w:adjustRightInd w:val="0"/>
        <w:snapToGrid w:val="0"/>
        <w:spacing w:line="360" w:lineRule="auto"/>
        <w:rPr>
          <w:b/>
          <w:bCs/>
          <w:sz w:val="24"/>
          <w:highlight w:val="none"/>
        </w:rPr>
      </w:pPr>
      <w:r>
        <w:rPr>
          <w:rFonts w:hint="eastAsia"/>
          <w:b/>
          <w:bCs/>
          <w:sz w:val="24"/>
          <w:highlight w:val="none"/>
        </w:rPr>
        <w:t>3.6 适配验证服务器系统（4）</w:t>
      </w:r>
    </w:p>
    <w:p w14:paraId="3899A3E6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3.6.1 CPU：配置2颗32核国产处理器，主频≥2.5GHz；</w:t>
      </w:r>
    </w:p>
    <w:p w14:paraId="73EEC9DD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3.6.2 MEM：配置≥512GB内存 DDR4；</w:t>
      </w:r>
    </w:p>
    <w:p w14:paraId="28F8EF90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3.6.3 DISK：配置≥6块≥960GB  SATA SSD硬盘 要求dwpd≥3；</w:t>
      </w:r>
    </w:p>
    <w:p w14:paraId="72571FF4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3.6.4 RAID功能：支持Raid 0/1/5/6/10/50/60；</w:t>
      </w:r>
    </w:p>
    <w:p w14:paraId="4F339C45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#3.6.5 CPU品牌与3.3.1、3.4.1、3.5.1、3.7.1不同；</w:t>
      </w:r>
    </w:p>
    <w:p w14:paraId="57ABB16C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3.6.6 操作系统：国产服务器操作系统；</w:t>
      </w:r>
    </w:p>
    <w:p w14:paraId="5ED326B8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3.6.7 数据库：国产数据库。</w:t>
      </w:r>
    </w:p>
    <w:p w14:paraId="0FB0F744">
      <w:pPr>
        <w:adjustRightInd w:val="0"/>
        <w:snapToGrid w:val="0"/>
        <w:spacing w:line="360" w:lineRule="auto"/>
        <w:rPr>
          <w:b/>
          <w:bCs/>
          <w:sz w:val="24"/>
          <w:highlight w:val="none"/>
        </w:rPr>
      </w:pPr>
      <w:r>
        <w:rPr>
          <w:rFonts w:hint="eastAsia"/>
          <w:b/>
          <w:bCs/>
          <w:sz w:val="24"/>
          <w:highlight w:val="none"/>
        </w:rPr>
        <w:t>3.7 适配验证服务器系统（5）</w:t>
      </w:r>
    </w:p>
    <w:p w14:paraId="3D7573B2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3.7.1 CPU：配置2颗64核国产处理器，主频≥2.4GHz；</w:t>
      </w:r>
    </w:p>
    <w:p w14:paraId="6AE09DF4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3.7.2 MEM：配置≥512GB内存 DDR4；</w:t>
      </w:r>
    </w:p>
    <w:p w14:paraId="273DF3BB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3.7.3 DISK：配置≥6块≥960GB SATA SSD硬盘 要求dwpd≥3；</w:t>
      </w:r>
    </w:p>
    <w:p w14:paraId="39A543FC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3.7.4 RAID功能：支持Raid 0/1/5/6/10/50/60；</w:t>
      </w:r>
    </w:p>
    <w:p w14:paraId="2D6806DF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#3.7.5 CPU品牌与3.3.1、3.4.1、3.5.1、3.6.1不同；</w:t>
      </w:r>
    </w:p>
    <w:p w14:paraId="23AB5A74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3.7.6 操作系统：国产服务器操作系统；</w:t>
      </w:r>
    </w:p>
    <w:p w14:paraId="0C8EF1B1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3.7.7 数据库：国产数据库；</w:t>
      </w:r>
    </w:p>
    <w:p w14:paraId="4756D397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3.7.8 中间件：国产中间件。</w:t>
      </w:r>
    </w:p>
    <w:p w14:paraId="1624EC84">
      <w:pPr>
        <w:adjustRightInd w:val="0"/>
        <w:snapToGrid w:val="0"/>
        <w:spacing w:line="360" w:lineRule="auto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#3.8处理器芯片供货承诺函：适配验证服务器系统（1）-（5）：提供处理器芯片制造商针对本次项目出具的供货承诺函(加盖CPU厂商公章)</w:t>
      </w:r>
    </w:p>
    <w:p w14:paraId="42003E8B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  <w:lang w:val="en-US" w:eastAsia="zh-CN"/>
        </w:rPr>
        <w:t>3.9</w:t>
      </w:r>
      <w:r>
        <w:rPr>
          <w:rFonts w:hint="eastAsia"/>
          <w:sz w:val="24"/>
          <w:highlight w:val="none"/>
        </w:rPr>
        <w:t xml:space="preserve"> 服务器需标配原厂滑动导轨。</w:t>
      </w:r>
    </w:p>
    <w:p w14:paraId="5AA1EDAC">
      <w:pPr>
        <w:adjustRightInd w:val="0"/>
        <w:snapToGrid w:val="0"/>
        <w:spacing w:line="360" w:lineRule="auto"/>
        <w:rPr>
          <w:sz w:val="24"/>
          <w:highlight w:val="none"/>
        </w:rPr>
      </w:pPr>
    </w:p>
    <w:p w14:paraId="0CDA3CE8">
      <w:pPr>
        <w:adjustRightInd w:val="0"/>
        <w:snapToGrid w:val="0"/>
        <w:spacing w:line="360" w:lineRule="auto"/>
        <w:rPr>
          <w:b/>
          <w:sz w:val="24"/>
          <w:highlight w:val="none"/>
        </w:rPr>
      </w:pPr>
      <w:r>
        <w:rPr>
          <w:rFonts w:hint="eastAsia"/>
          <w:b/>
          <w:sz w:val="24"/>
          <w:highlight w:val="none"/>
        </w:rPr>
        <w:t>（二）质保及售后服务：</w:t>
      </w:r>
    </w:p>
    <w:p w14:paraId="7C7E377B">
      <w:pPr>
        <w:adjustRightInd w:val="0"/>
        <w:snapToGrid w:val="0"/>
        <w:spacing w:line="360" w:lineRule="auto"/>
        <w:rPr>
          <w:b/>
          <w:bCs/>
          <w:sz w:val="24"/>
          <w:highlight w:val="none"/>
        </w:rPr>
      </w:pPr>
      <w:r>
        <w:rPr>
          <w:rFonts w:hint="eastAsia"/>
          <w:b/>
          <w:bCs/>
          <w:sz w:val="24"/>
          <w:highlight w:val="none"/>
        </w:rPr>
        <w:t>1. 设备安装调试：</w:t>
      </w:r>
    </w:p>
    <w:p w14:paraId="5D0E5665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所有采购设备均需在设备交付地点：中国科学院新疆理化技术研究所4号楼3楼计算机机房进行安装、调试、检测，要满足设备技术指标的所有要求。</w:t>
      </w:r>
    </w:p>
    <w:p w14:paraId="3B9DEECE">
      <w:pPr>
        <w:adjustRightInd w:val="0"/>
        <w:snapToGrid w:val="0"/>
        <w:spacing w:line="360" w:lineRule="auto"/>
        <w:rPr>
          <w:b/>
          <w:bCs/>
          <w:sz w:val="24"/>
          <w:highlight w:val="none"/>
        </w:rPr>
      </w:pPr>
      <w:r>
        <w:rPr>
          <w:rFonts w:hint="eastAsia"/>
          <w:b/>
          <w:bCs/>
          <w:sz w:val="24"/>
          <w:highlight w:val="none"/>
        </w:rPr>
        <w:t>2. 质保期：</w:t>
      </w:r>
    </w:p>
    <w:p w14:paraId="4F8F07A2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整机设备质保不得少于3年，须提供产品的原厂售后服务承诺函，质保期内需要提供免费上门维修服务。超过质保期，需提供上门维修服务。</w:t>
      </w:r>
    </w:p>
    <w:p w14:paraId="39F98DF0">
      <w:pPr>
        <w:adjustRightInd w:val="0"/>
        <w:snapToGrid w:val="0"/>
        <w:spacing w:line="360" w:lineRule="auto"/>
        <w:rPr>
          <w:b/>
          <w:bCs/>
          <w:sz w:val="24"/>
          <w:highlight w:val="none"/>
        </w:rPr>
      </w:pPr>
      <w:r>
        <w:rPr>
          <w:rFonts w:hint="eastAsia"/>
          <w:b/>
          <w:bCs/>
          <w:sz w:val="24"/>
          <w:highlight w:val="none"/>
        </w:rPr>
        <w:t>3. 维修响应时间：</w:t>
      </w:r>
    </w:p>
    <w:p w14:paraId="167423E7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设备出现问题，供应商需要在24小时提供技术支持，如果远程服务不能解决问题，需要在48小时内提供上门维修服务。</w:t>
      </w:r>
    </w:p>
    <w:p w14:paraId="2CCEDB71">
      <w:pPr>
        <w:adjustRightInd w:val="0"/>
        <w:snapToGrid w:val="0"/>
        <w:spacing w:line="360" w:lineRule="auto"/>
        <w:rPr>
          <w:b/>
          <w:sz w:val="24"/>
          <w:highlight w:val="none"/>
        </w:rPr>
      </w:pPr>
    </w:p>
    <w:p w14:paraId="7ADAB99D">
      <w:pPr>
        <w:adjustRightInd w:val="0"/>
        <w:snapToGrid w:val="0"/>
        <w:spacing w:line="360" w:lineRule="auto"/>
        <w:rPr>
          <w:b/>
          <w:sz w:val="24"/>
          <w:highlight w:val="none"/>
        </w:rPr>
      </w:pPr>
      <w:r>
        <w:rPr>
          <w:rFonts w:hint="eastAsia"/>
          <w:b/>
          <w:sz w:val="24"/>
          <w:highlight w:val="none"/>
        </w:rPr>
        <w:t>（三） 订货数量：</w:t>
      </w:r>
    </w:p>
    <w:p w14:paraId="0247666B">
      <w:pPr>
        <w:adjustRightInd w:val="0"/>
        <w:snapToGrid w:val="0"/>
        <w:spacing w:line="360" w:lineRule="auto"/>
        <w:ind w:firstLine="480" w:firstLineChars="200"/>
        <w:rPr>
          <w:bCs/>
          <w:sz w:val="24"/>
          <w:highlight w:val="none"/>
        </w:rPr>
      </w:pPr>
      <w:r>
        <w:rPr>
          <w:rFonts w:hint="eastAsia"/>
          <w:bCs/>
          <w:sz w:val="24"/>
          <w:highlight w:val="none"/>
        </w:rPr>
        <w:t xml:space="preserve">AI大模型训练算力系统 </w:t>
      </w:r>
      <w:r>
        <w:rPr>
          <w:rFonts w:hint="eastAsia"/>
          <w:bCs/>
          <w:sz w:val="24"/>
          <w:highlight w:val="none"/>
        </w:rPr>
        <w:tab/>
      </w:r>
      <w:r>
        <w:rPr>
          <w:rFonts w:hint="eastAsia"/>
          <w:bCs/>
          <w:sz w:val="24"/>
          <w:highlight w:val="none"/>
        </w:rPr>
        <w:t>6台</w:t>
      </w:r>
    </w:p>
    <w:p w14:paraId="141555E1">
      <w:pPr>
        <w:adjustRightInd w:val="0"/>
        <w:snapToGrid w:val="0"/>
        <w:spacing w:line="360" w:lineRule="auto"/>
        <w:ind w:firstLine="480" w:firstLineChars="200"/>
        <w:rPr>
          <w:bCs/>
          <w:sz w:val="24"/>
          <w:highlight w:val="none"/>
        </w:rPr>
      </w:pPr>
      <w:r>
        <w:rPr>
          <w:rFonts w:hint="eastAsia"/>
          <w:bCs/>
          <w:sz w:val="24"/>
          <w:highlight w:val="none"/>
        </w:rPr>
        <w:t>AI大模型推理算力系统</w:t>
      </w:r>
      <w:r>
        <w:rPr>
          <w:rFonts w:hint="eastAsia"/>
          <w:bCs/>
          <w:sz w:val="24"/>
          <w:highlight w:val="none"/>
        </w:rPr>
        <w:tab/>
      </w:r>
      <w:r>
        <w:rPr>
          <w:rFonts w:hint="eastAsia"/>
          <w:bCs/>
          <w:sz w:val="24"/>
          <w:highlight w:val="none"/>
        </w:rPr>
        <w:t>2台</w:t>
      </w:r>
    </w:p>
    <w:p w14:paraId="58176DA0">
      <w:pPr>
        <w:adjustRightInd w:val="0"/>
        <w:snapToGrid w:val="0"/>
        <w:spacing w:line="360" w:lineRule="auto"/>
        <w:ind w:firstLine="480" w:firstLineChars="200"/>
        <w:rPr>
          <w:bCs/>
          <w:sz w:val="24"/>
          <w:highlight w:val="none"/>
        </w:rPr>
      </w:pPr>
      <w:r>
        <w:rPr>
          <w:rFonts w:hint="eastAsia"/>
          <w:bCs/>
          <w:sz w:val="24"/>
          <w:highlight w:val="none"/>
        </w:rPr>
        <w:t>适配验证服务器系统（1） 3台</w:t>
      </w:r>
    </w:p>
    <w:p w14:paraId="45B80332">
      <w:pPr>
        <w:adjustRightInd w:val="0"/>
        <w:snapToGrid w:val="0"/>
        <w:spacing w:line="360" w:lineRule="auto"/>
        <w:ind w:firstLine="480" w:firstLineChars="200"/>
        <w:rPr>
          <w:bCs/>
          <w:sz w:val="24"/>
          <w:highlight w:val="none"/>
        </w:rPr>
      </w:pPr>
      <w:r>
        <w:rPr>
          <w:rFonts w:hint="eastAsia"/>
          <w:bCs/>
          <w:sz w:val="24"/>
          <w:highlight w:val="none"/>
        </w:rPr>
        <w:t>适配验证服务器系统（2） 1台</w:t>
      </w:r>
    </w:p>
    <w:p w14:paraId="0255BC31">
      <w:pPr>
        <w:adjustRightInd w:val="0"/>
        <w:snapToGrid w:val="0"/>
        <w:spacing w:line="360" w:lineRule="auto"/>
        <w:ind w:firstLine="480" w:firstLineChars="200"/>
        <w:rPr>
          <w:bCs/>
          <w:sz w:val="24"/>
          <w:highlight w:val="none"/>
        </w:rPr>
      </w:pPr>
      <w:r>
        <w:rPr>
          <w:rFonts w:hint="eastAsia"/>
          <w:bCs/>
          <w:sz w:val="24"/>
          <w:highlight w:val="none"/>
        </w:rPr>
        <w:t>适配验证服务器系统（3） 2台</w:t>
      </w:r>
    </w:p>
    <w:p w14:paraId="265A4CEE">
      <w:pPr>
        <w:adjustRightInd w:val="0"/>
        <w:snapToGrid w:val="0"/>
        <w:spacing w:line="360" w:lineRule="auto"/>
        <w:ind w:firstLine="480" w:firstLineChars="200"/>
        <w:rPr>
          <w:bCs/>
          <w:sz w:val="24"/>
          <w:highlight w:val="none"/>
        </w:rPr>
      </w:pPr>
      <w:r>
        <w:rPr>
          <w:rFonts w:hint="eastAsia"/>
          <w:bCs/>
          <w:sz w:val="24"/>
          <w:highlight w:val="none"/>
        </w:rPr>
        <w:t>适配验证服务器系统（4） 1台</w:t>
      </w:r>
    </w:p>
    <w:p w14:paraId="1640A83B">
      <w:pPr>
        <w:adjustRightInd w:val="0"/>
        <w:snapToGrid w:val="0"/>
        <w:spacing w:line="360" w:lineRule="auto"/>
        <w:ind w:firstLine="480" w:firstLineChars="200"/>
        <w:rPr>
          <w:highlight w:val="none"/>
        </w:rPr>
      </w:pPr>
      <w:r>
        <w:rPr>
          <w:rFonts w:hint="eastAsia"/>
          <w:bCs/>
          <w:sz w:val="24"/>
          <w:highlight w:val="none"/>
        </w:rPr>
        <w:t>适配验证服务器系统（5） 1台</w:t>
      </w:r>
    </w:p>
    <w:p w14:paraId="612A63DE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</w:p>
    <w:p w14:paraId="46F28FA2">
      <w:pPr>
        <w:adjustRightInd w:val="0"/>
        <w:snapToGrid w:val="0"/>
        <w:spacing w:line="360" w:lineRule="auto"/>
        <w:rPr>
          <w:b/>
          <w:sz w:val="24"/>
          <w:highlight w:val="none"/>
        </w:rPr>
      </w:pPr>
      <w:r>
        <w:rPr>
          <w:rFonts w:hint="eastAsia"/>
          <w:b/>
          <w:sz w:val="24"/>
          <w:highlight w:val="none"/>
        </w:rPr>
        <w:t>（四）交货日期：</w:t>
      </w:r>
    </w:p>
    <w:p w14:paraId="6F41B12B">
      <w:pPr>
        <w:adjustRightInd w:val="0"/>
        <w:snapToGrid w:val="0"/>
        <w:spacing w:line="360" w:lineRule="auto"/>
        <w:ind w:firstLine="480" w:firstLineChars="200"/>
        <w:rPr>
          <w:rFonts w:ascii="宋体" w:hAnsi="宋体"/>
          <w:bCs/>
          <w:sz w:val="30"/>
          <w:szCs w:val="30"/>
          <w:highlight w:val="none"/>
        </w:rPr>
      </w:pPr>
      <w:r>
        <w:rPr>
          <w:rFonts w:hint="eastAsia"/>
          <w:bCs/>
          <w:sz w:val="24"/>
          <w:highlight w:val="none"/>
        </w:rPr>
        <w:t>签订合同后30个工作日内。</w:t>
      </w:r>
    </w:p>
    <w:p w14:paraId="707072D7">
      <w:pPr>
        <w:adjustRightInd w:val="0"/>
        <w:snapToGrid w:val="0"/>
        <w:spacing w:line="360" w:lineRule="auto"/>
        <w:ind w:firstLine="482" w:firstLineChars="200"/>
        <w:rPr>
          <w:b/>
          <w:sz w:val="24"/>
          <w:highlight w:val="none"/>
        </w:rPr>
      </w:pPr>
    </w:p>
    <w:p w14:paraId="6F7C7A6D">
      <w:pPr>
        <w:adjustRightInd w:val="0"/>
        <w:snapToGrid w:val="0"/>
        <w:spacing w:line="360" w:lineRule="auto"/>
        <w:rPr>
          <w:b/>
          <w:sz w:val="24"/>
          <w:highlight w:val="none"/>
        </w:rPr>
      </w:pPr>
      <w:r>
        <w:rPr>
          <w:rFonts w:hint="eastAsia"/>
          <w:b/>
          <w:sz w:val="24"/>
          <w:highlight w:val="none"/>
        </w:rPr>
        <w:t>（五）交货地点：</w:t>
      </w:r>
    </w:p>
    <w:p w14:paraId="04DFCEA9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新疆乌鲁木齐市高新区科学二街181号，中国科学院新疆理化技术研究所4号楼3楼计算机机房。</w:t>
      </w:r>
    </w:p>
    <w:p w14:paraId="6870D7F7">
      <w:pPr>
        <w:adjustRightInd w:val="0"/>
        <w:snapToGrid w:val="0"/>
        <w:spacing w:line="360" w:lineRule="auto"/>
        <w:ind w:firstLine="482" w:firstLineChars="200"/>
        <w:rPr>
          <w:b/>
          <w:bCs/>
          <w:sz w:val="24"/>
          <w:highlight w:val="none"/>
        </w:rPr>
      </w:pPr>
    </w:p>
    <w:p w14:paraId="19659797">
      <w:pPr>
        <w:adjustRightInd w:val="0"/>
        <w:snapToGrid w:val="0"/>
        <w:spacing w:line="360" w:lineRule="auto"/>
        <w:rPr>
          <w:sz w:val="24"/>
          <w:highlight w:val="none"/>
        </w:rPr>
      </w:pPr>
      <w:r>
        <w:rPr>
          <w:rFonts w:hint="eastAsia"/>
          <w:b/>
          <w:bCs/>
          <w:sz w:val="24"/>
          <w:highlight w:val="none"/>
        </w:rPr>
        <w:t>（六）付款方式：</w:t>
      </w:r>
      <w:r>
        <w:rPr>
          <w:rFonts w:hint="eastAsia"/>
          <w:sz w:val="24"/>
          <w:highlight w:val="none"/>
        </w:rPr>
        <w:t xml:space="preserve">                                         </w:t>
      </w:r>
    </w:p>
    <w:p w14:paraId="735A9F0A">
      <w:pPr>
        <w:adjustRightInd w:val="0"/>
        <w:snapToGrid w:val="0"/>
        <w:spacing w:line="360" w:lineRule="auto"/>
        <w:ind w:firstLine="480" w:firstLineChars="200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100%凭用户代表签字并加盖单位公章后的验收报告支付。</w:t>
      </w:r>
    </w:p>
    <w:p w14:paraId="13A91573">
      <w:pPr>
        <w:adjustRightInd w:val="0"/>
        <w:snapToGrid w:val="0"/>
        <w:spacing w:line="360" w:lineRule="auto"/>
        <w:ind w:firstLine="480" w:firstLineChars="200"/>
        <w:rPr>
          <w:sz w:val="24"/>
          <w:highlight w:val="none"/>
        </w:rPr>
      </w:pPr>
    </w:p>
    <w:p w14:paraId="1D20188D">
      <w:pPr>
        <w:adjustRightInd w:val="0"/>
        <w:snapToGrid w:val="0"/>
        <w:spacing w:line="360" w:lineRule="auto"/>
        <w:rPr>
          <w:b/>
          <w:sz w:val="24"/>
          <w:highlight w:val="none"/>
        </w:rPr>
      </w:pPr>
      <w:r>
        <w:rPr>
          <w:rFonts w:hint="eastAsia"/>
          <w:b/>
          <w:sz w:val="24"/>
          <w:highlight w:val="none"/>
        </w:rPr>
        <w:t>（七）执行的相关标准</w:t>
      </w:r>
    </w:p>
    <w:p w14:paraId="17AF9654">
      <w:pPr>
        <w:adjustRightInd w:val="0"/>
        <w:snapToGrid w:val="0"/>
        <w:spacing w:line="360" w:lineRule="auto"/>
        <w:ind w:firstLine="480" w:firstLineChars="200"/>
        <w:rPr>
          <w:rFonts w:ascii="宋体" w:hAnsi="宋体"/>
          <w:sz w:val="24"/>
          <w:highlight w:val="none"/>
        </w:rPr>
      </w:pPr>
      <w:r>
        <w:rPr>
          <w:rFonts w:hint="eastAsia"/>
          <w:bCs/>
          <w:sz w:val="24"/>
          <w:highlight w:val="none"/>
        </w:rPr>
        <w:t>适配验证服务器系统（1）、（2）、（3）、（4）、（5）需要满足以下标准：</w:t>
      </w:r>
    </w:p>
    <w:p w14:paraId="1AD953AC">
      <w:pPr>
        <w:adjustRightInd w:val="0"/>
        <w:snapToGrid w:val="0"/>
        <w:spacing w:line="360" w:lineRule="auto"/>
        <w:ind w:firstLine="480" w:firstLineChars="200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购置的服务器满足财政部及工业和信息化部发布的《</w:t>
      </w:r>
      <w:bookmarkStart w:id="2" w:name="OLE_LINK12"/>
      <w:r>
        <w:rPr>
          <w:rFonts w:hint="eastAsia" w:ascii="宋体" w:hAnsi="宋体"/>
          <w:sz w:val="24"/>
          <w:highlight w:val="none"/>
        </w:rPr>
        <w:t>通用服务器政府采购需求标准</w:t>
      </w:r>
      <w:bookmarkEnd w:id="2"/>
      <w:r>
        <w:rPr>
          <w:rFonts w:hint="eastAsia" w:ascii="宋体" w:hAnsi="宋体"/>
          <w:sz w:val="24"/>
          <w:highlight w:val="none"/>
        </w:rPr>
        <w:t>（2023年版）》一级指标、二级指标中的加“*”项要求。</w:t>
      </w:r>
    </w:p>
    <w:p w14:paraId="7A4EBD7F">
      <w:pPr>
        <w:adjustRightInd w:val="0"/>
        <w:snapToGrid w:val="0"/>
        <w:spacing w:line="360" w:lineRule="auto"/>
        <w:ind w:firstLine="480" w:firstLineChars="200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购置的操作系统满足财政部及工业和信息化部发布的《操作系统政府采购需求标准（2023年版）》一级指标、二级指标中的加“*”项要求。</w:t>
      </w:r>
    </w:p>
    <w:p w14:paraId="417B872C">
      <w:pPr>
        <w:adjustRightInd w:val="0"/>
        <w:snapToGrid w:val="0"/>
        <w:spacing w:line="360" w:lineRule="auto"/>
        <w:ind w:firstLine="480" w:firstLineChars="200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购置的数据库满足财政部及工业和信息化部发布的《数据库政府采购需求标准（2023年版）》一级指标、二级指标中的加“*”项要求。</w:t>
      </w:r>
    </w:p>
    <w:p w14:paraId="18422342">
      <w:pPr>
        <w:adjustRightInd w:val="0"/>
        <w:snapToGrid w:val="0"/>
        <w:spacing w:line="360" w:lineRule="auto"/>
        <w:ind w:firstLine="480" w:firstLineChars="200"/>
        <w:rPr>
          <w:rFonts w:ascii="宋体" w:hAnsi="宋体"/>
          <w:b/>
          <w:sz w:val="30"/>
          <w:szCs w:val="30"/>
          <w:highlight w:val="none"/>
        </w:rPr>
      </w:pPr>
      <w:r>
        <w:rPr>
          <w:rFonts w:hint="eastAsia" w:ascii="宋体" w:hAnsi="宋体"/>
          <w:sz w:val="24"/>
          <w:highlight w:val="none"/>
        </w:rPr>
        <w:t>CPU优先选取《安全可靠测评结果公告》公告的产品，包括龙芯、鲲鹏、飞腾、海光、申威等。</w:t>
      </w:r>
    </w:p>
    <w:sectPr>
      <w:headerReference r:id="rId3" w:type="first"/>
      <w:footerReference r:id="rId5" w:type="first"/>
      <w:footerReference r:id="rId4" w:type="default"/>
      <w:pgSz w:w="11906" w:h="16838"/>
      <w:pgMar w:top="1418" w:right="1418" w:bottom="1418" w:left="1418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长城仿宋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FZShuSong-Z01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DejaVuSans-Bold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TimesNewRomanPSMT">
    <w:altName w:val="Times New Roman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FZSONGS--GB1-5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time of new roman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2CD86D">
    <w:pPr>
      <w:pStyle w:val="2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79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4F313B">
    <w:pPr>
      <w:pStyle w:val="2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57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2214C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Q2ODBlYzc0NjRkMTZiZDAzOTQwZmVlNGQ5MmQwMDMifQ=="/>
  </w:docVars>
  <w:rsids>
    <w:rsidRoot w:val="00FA3835"/>
    <w:rsid w:val="000050A2"/>
    <w:rsid w:val="00017CDA"/>
    <w:rsid w:val="00027C8D"/>
    <w:rsid w:val="00040005"/>
    <w:rsid w:val="000543E7"/>
    <w:rsid w:val="0006010D"/>
    <w:rsid w:val="000668DC"/>
    <w:rsid w:val="00081ADD"/>
    <w:rsid w:val="000969BB"/>
    <w:rsid w:val="000973D2"/>
    <w:rsid w:val="000A63C4"/>
    <w:rsid w:val="000B12EC"/>
    <w:rsid w:val="000B636A"/>
    <w:rsid w:val="000C1F98"/>
    <w:rsid w:val="000C325D"/>
    <w:rsid w:val="000C505C"/>
    <w:rsid w:val="000D1A3C"/>
    <w:rsid w:val="000E0B0C"/>
    <w:rsid w:val="000E17D4"/>
    <w:rsid w:val="000E4DA9"/>
    <w:rsid w:val="000F0512"/>
    <w:rsid w:val="000F4571"/>
    <w:rsid w:val="00103352"/>
    <w:rsid w:val="00105333"/>
    <w:rsid w:val="00107AF4"/>
    <w:rsid w:val="001140D0"/>
    <w:rsid w:val="001235CA"/>
    <w:rsid w:val="00130EDF"/>
    <w:rsid w:val="00136F3B"/>
    <w:rsid w:val="00137D93"/>
    <w:rsid w:val="00141D35"/>
    <w:rsid w:val="001437EA"/>
    <w:rsid w:val="001444BD"/>
    <w:rsid w:val="00144505"/>
    <w:rsid w:val="00144DDA"/>
    <w:rsid w:val="0014761F"/>
    <w:rsid w:val="00153F11"/>
    <w:rsid w:val="00154444"/>
    <w:rsid w:val="00154F47"/>
    <w:rsid w:val="00155A34"/>
    <w:rsid w:val="00164E27"/>
    <w:rsid w:val="0018672D"/>
    <w:rsid w:val="001921CA"/>
    <w:rsid w:val="00194900"/>
    <w:rsid w:val="001A0E56"/>
    <w:rsid w:val="001A6E63"/>
    <w:rsid w:val="001B195C"/>
    <w:rsid w:val="001B62CC"/>
    <w:rsid w:val="001B66E1"/>
    <w:rsid w:val="001B6E57"/>
    <w:rsid w:val="001C22AC"/>
    <w:rsid w:val="001D7301"/>
    <w:rsid w:val="001E1467"/>
    <w:rsid w:val="001E152C"/>
    <w:rsid w:val="001E3480"/>
    <w:rsid w:val="001F18B7"/>
    <w:rsid w:val="001F1D2B"/>
    <w:rsid w:val="001F5FAD"/>
    <w:rsid w:val="001F79B6"/>
    <w:rsid w:val="002024C7"/>
    <w:rsid w:val="00206639"/>
    <w:rsid w:val="00206D30"/>
    <w:rsid w:val="0021259E"/>
    <w:rsid w:val="00213C28"/>
    <w:rsid w:val="00224FE7"/>
    <w:rsid w:val="0023232E"/>
    <w:rsid w:val="00233C8A"/>
    <w:rsid w:val="00240E7B"/>
    <w:rsid w:val="00247ED0"/>
    <w:rsid w:val="00251DB7"/>
    <w:rsid w:val="002630C9"/>
    <w:rsid w:val="002672D1"/>
    <w:rsid w:val="00275598"/>
    <w:rsid w:val="002761A3"/>
    <w:rsid w:val="0028124D"/>
    <w:rsid w:val="00282A80"/>
    <w:rsid w:val="00282F14"/>
    <w:rsid w:val="002872A9"/>
    <w:rsid w:val="00292E0B"/>
    <w:rsid w:val="002B44BD"/>
    <w:rsid w:val="002B6E7A"/>
    <w:rsid w:val="002B7380"/>
    <w:rsid w:val="002C47B5"/>
    <w:rsid w:val="002D5C47"/>
    <w:rsid w:val="002D6107"/>
    <w:rsid w:val="002E03AA"/>
    <w:rsid w:val="002E34AD"/>
    <w:rsid w:val="002E6A76"/>
    <w:rsid w:val="002F1704"/>
    <w:rsid w:val="002F6DE0"/>
    <w:rsid w:val="002F6FCA"/>
    <w:rsid w:val="002F7EF8"/>
    <w:rsid w:val="002F7F80"/>
    <w:rsid w:val="00301191"/>
    <w:rsid w:val="00322611"/>
    <w:rsid w:val="003248D5"/>
    <w:rsid w:val="00326D72"/>
    <w:rsid w:val="0033189B"/>
    <w:rsid w:val="00334AA9"/>
    <w:rsid w:val="003442AE"/>
    <w:rsid w:val="0034443A"/>
    <w:rsid w:val="003474B8"/>
    <w:rsid w:val="00351CB8"/>
    <w:rsid w:val="00353E66"/>
    <w:rsid w:val="00357C16"/>
    <w:rsid w:val="003637C6"/>
    <w:rsid w:val="003732CC"/>
    <w:rsid w:val="00373B63"/>
    <w:rsid w:val="00374F9A"/>
    <w:rsid w:val="00382C0C"/>
    <w:rsid w:val="003944C7"/>
    <w:rsid w:val="00397F24"/>
    <w:rsid w:val="003A298A"/>
    <w:rsid w:val="003B4F45"/>
    <w:rsid w:val="003B6193"/>
    <w:rsid w:val="003C172D"/>
    <w:rsid w:val="003C7092"/>
    <w:rsid w:val="003C785A"/>
    <w:rsid w:val="003D2B81"/>
    <w:rsid w:val="003F5F7A"/>
    <w:rsid w:val="004043A2"/>
    <w:rsid w:val="00404EA5"/>
    <w:rsid w:val="00415144"/>
    <w:rsid w:val="00420D92"/>
    <w:rsid w:val="00421F2C"/>
    <w:rsid w:val="0042297A"/>
    <w:rsid w:val="00433C0B"/>
    <w:rsid w:val="004362C7"/>
    <w:rsid w:val="0044106E"/>
    <w:rsid w:val="00446E68"/>
    <w:rsid w:val="00447503"/>
    <w:rsid w:val="00457522"/>
    <w:rsid w:val="0046038A"/>
    <w:rsid w:val="00471176"/>
    <w:rsid w:val="00484FF8"/>
    <w:rsid w:val="004A0EB1"/>
    <w:rsid w:val="004A3B49"/>
    <w:rsid w:val="004A5C14"/>
    <w:rsid w:val="004B3476"/>
    <w:rsid w:val="004B36B8"/>
    <w:rsid w:val="004C387C"/>
    <w:rsid w:val="004D0AB9"/>
    <w:rsid w:val="004E042A"/>
    <w:rsid w:val="004E4504"/>
    <w:rsid w:val="004F0FDE"/>
    <w:rsid w:val="004F191B"/>
    <w:rsid w:val="004F3E07"/>
    <w:rsid w:val="005023D6"/>
    <w:rsid w:val="00504FD3"/>
    <w:rsid w:val="00512882"/>
    <w:rsid w:val="005143FF"/>
    <w:rsid w:val="00516FEB"/>
    <w:rsid w:val="005244F5"/>
    <w:rsid w:val="00524665"/>
    <w:rsid w:val="00543C0A"/>
    <w:rsid w:val="0054699B"/>
    <w:rsid w:val="00546BA1"/>
    <w:rsid w:val="005515EB"/>
    <w:rsid w:val="0055226E"/>
    <w:rsid w:val="00552E7C"/>
    <w:rsid w:val="005601D0"/>
    <w:rsid w:val="00560FEA"/>
    <w:rsid w:val="005613B2"/>
    <w:rsid w:val="0056304A"/>
    <w:rsid w:val="0057066D"/>
    <w:rsid w:val="00572671"/>
    <w:rsid w:val="00591688"/>
    <w:rsid w:val="005916DF"/>
    <w:rsid w:val="00595627"/>
    <w:rsid w:val="00595D3F"/>
    <w:rsid w:val="00595EAC"/>
    <w:rsid w:val="005A2F5B"/>
    <w:rsid w:val="005A52D6"/>
    <w:rsid w:val="005C574A"/>
    <w:rsid w:val="005D09A0"/>
    <w:rsid w:val="005D479D"/>
    <w:rsid w:val="005E416B"/>
    <w:rsid w:val="005E7A21"/>
    <w:rsid w:val="005F24B2"/>
    <w:rsid w:val="0060103A"/>
    <w:rsid w:val="00602911"/>
    <w:rsid w:val="00602A7A"/>
    <w:rsid w:val="0060509A"/>
    <w:rsid w:val="006125F5"/>
    <w:rsid w:val="00612A9B"/>
    <w:rsid w:val="00614D00"/>
    <w:rsid w:val="0061681D"/>
    <w:rsid w:val="006225E2"/>
    <w:rsid w:val="0062676A"/>
    <w:rsid w:val="00640DB1"/>
    <w:rsid w:val="006416E9"/>
    <w:rsid w:val="0064545D"/>
    <w:rsid w:val="00646C82"/>
    <w:rsid w:val="00647CD5"/>
    <w:rsid w:val="006548A6"/>
    <w:rsid w:val="00655478"/>
    <w:rsid w:val="00664D7F"/>
    <w:rsid w:val="00673641"/>
    <w:rsid w:val="006858B6"/>
    <w:rsid w:val="0069730F"/>
    <w:rsid w:val="006A377B"/>
    <w:rsid w:val="006B0930"/>
    <w:rsid w:val="006C4384"/>
    <w:rsid w:val="006C5135"/>
    <w:rsid w:val="006C546E"/>
    <w:rsid w:val="006D29F2"/>
    <w:rsid w:val="006E2DE0"/>
    <w:rsid w:val="006E5A8E"/>
    <w:rsid w:val="0070081C"/>
    <w:rsid w:val="0071653B"/>
    <w:rsid w:val="00721985"/>
    <w:rsid w:val="00724C84"/>
    <w:rsid w:val="007252A8"/>
    <w:rsid w:val="00725C0A"/>
    <w:rsid w:val="0073119D"/>
    <w:rsid w:val="0073199C"/>
    <w:rsid w:val="007376B0"/>
    <w:rsid w:val="00740508"/>
    <w:rsid w:val="00743776"/>
    <w:rsid w:val="00751428"/>
    <w:rsid w:val="00752FEF"/>
    <w:rsid w:val="0075674B"/>
    <w:rsid w:val="00761F2B"/>
    <w:rsid w:val="00763B74"/>
    <w:rsid w:val="007731D0"/>
    <w:rsid w:val="00775B16"/>
    <w:rsid w:val="00785A0A"/>
    <w:rsid w:val="00787CED"/>
    <w:rsid w:val="007967F8"/>
    <w:rsid w:val="007A3772"/>
    <w:rsid w:val="007B6DFC"/>
    <w:rsid w:val="007C2696"/>
    <w:rsid w:val="007C4C31"/>
    <w:rsid w:val="007C5EA5"/>
    <w:rsid w:val="007D381E"/>
    <w:rsid w:val="007D3EE2"/>
    <w:rsid w:val="007E03CA"/>
    <w:rsid w:val="007E6193"/>
    <w:rsid w:val="007F2F97"/>
    <w:rsid w:val="007F30CC"/>
    <w:rsid w:val="007F387D"/>
    <w:rsid w:val="007F7152"/>
    <w:rsid w:val="008156CB"/>
    <w:rsid w:val="008203E6"/>
    <w:rsid w:val="00822633"/>
    <w:rsid w:val="00830107"/>
    <w:rsid w:val="00831B02"/>
    <w:rsid w:val="00833174"/>
    <w:rsid w:val="00835158"/>
    <w:rsid w:val="00846609"/>
    <w:rsid w:val="00852958"/>
    <w:rsid w:val="0085467F"/>
    <w:rsid w:val="00864F77"/>
    <w:rsid w:val="008661F8"/>
    <w:rsid w:val="008712FA"/>
    <w:rsid w:val="00876AA9"/>
    <w:rsid w:val="00876EFF"/>
    <w:rsid w:val="00882892"/>
    <w:rsid w:val="00883AB2"/>
    <w:rsid w:val="008861B2"/>
    <w:rsid w:val="00887A5A"/>
    <w:rsid w:val="00896377"/>
    <w:rsid w:val="008A09F5"/>
    <w:rsid w:val="008A4B18"/>
    <w:rsid w:val="008A738C"/>
    <w:rsid w:val="008B2645"/>
    <w:rsid w:val="008C20FE"/>
    <w:rsid w:val="008C36D3"/>
    <w:rsid w:val="008D0675"/>
    <w:rsid w:val="008D1425"/>
    <w:rsid w:val="008D2736"/>
    <w:rsid w:val="008D3BC8"/>
    <w:rsid w:val="008D6F23"/>
    <w:rsid w:val="008E5EB5"/>
    <w:rsid w:val="008F04C7"/>
    <w:rsid w:val="008F21A5"/>
    <w:rsid w:val="008F2440"/>
    <w:rsid w:val="00914619"/>
    <w:rsid w:val="009202C8"/>
    <w:rsid w:val="009246BA"/>
    <w:rsid w:val="00930CDE"/>
    <w:rsid w:val="00935AA1"/>
    <w:rsid w:val="009451DC"/>
    <w:rsid w:val="009467F2"/>
    <w:rsid w:val="0095655E"/>
    <w:rsid w:val="00956752"/>
    <w:rsid w:val="00966DE4"/>
    <w:rsid w:val="009718ED"/>
    <w:rsid w:val="0097297B"/>
    <w:rsid w:val="0098154C"/>
    <w:rsid w:val="0098549E"/>
    <w:rsid w:val="009857EF"/>
    <w:rsid w:val="009941D8"/>
    <w:rsid w:val="009A2C18"/>
    <w:rsid w:val="009B36A1"/>
    <w:rsid w:val="009C0A0B"/>
    <w:rsid w:val="009C14BD"/>
    <w:rsid w:val="009D1AF8"/>
    <w:rsid w:val="009D32B1"/>
    <w:rsid w:val="009E1C84"/>
    <w:rsid w:val="009E32D4"/>
    <w:rsid w:val="009E4080"/>
    <w:rsid w:val="009E4DCB"/>
    <w:rsid w:val="009E580F"/>
    <w:rsid w:val="009F5A6A"/>
    <w:rsid w:val="00A01B3A"/>
    <w:rsid w:val="00A0205F"/>
    <w:rsid w:val="00A04E9D"/>
    <w:rsid w:val="00A06893"/>
    <w:rsid w:val="00A14987"/>
    <w:rsid w:val="00A21886"/>
    <w:rsid w:val="00A25682"/>
    <w:rsid w:val="00A2638C"/>
    <w:rsid w:val="00A27417"/>
    <w:rsid w:val="00A27AFD"/>
    <w:rsid w:val="00A354A8"/>
    <w:rsid w:val="00A4031E"/>
    <w:rsid w:val="00A44A2B"/>
    <w:rsid w:val="00A46F60"/>
    <w:rsid w:val="00A53234"/>
    <w:rsid w:val="00A56F9C"/>
    <w:rsid w:val="00A57F47"/>
    <w:rsid w:val="00A8225A"/>
    <w:rsid w:val="00AA029F"/>
    <w:rsid w:val="00AA7A0D"/>
    <w:rsid w:val="00AB113B"/>
    <w:rsid w:val="00AD2FD2"/>
    <w:rsid w:val="00AD41E6"/>
    <w:rsid w:val="00AD4ECF"/>
    <w:rsid w:val="00AD70C8"/>
    <w:rsid w:val="00AE094D"/>
    <w:rsid w:val="00AF6067"/>
    <w:rsid w:val="00B04039"/>
    <w:rsid w:val="00B07AAD"/>
    <w:rsid w:val="00B15273"/>
    <w:rsid w:val="00B16887"/>
    <w:rsid w:val="00B1746F"/>
    <w:rsid w:val="00B27A2B"/>
    <w:rsid w:val="00B31F00"/>
    <w:rsid w:val="00B351A2"/>
    <w:rsid w:val="00B41959"/>
    <w:rsid w:val="00B42C18"/>
    <w:rsid w:val="00B43CF7"/>
    <w:rsid w:val="00B44327"/>
    <w:rsid w:val="00B53944"/>
    <w:rsid w:val="00B61FDD"/>
    <w:rsid w:val="00B758E7"/>
    <w:rsid w:val="00B75B80"/>
    <w:rsid w:val="00B81149"/>
    <w:rsid w:val="00B8672D"/>
    <w:rsid w:val="00B94FB1"/>
    <w:rsid w:val="00BC7FBC"/>
    <w:rsid w:val="00BD11D6"/>
    <w:rsid w:val="00BD2A3B"/>
    <w:rsid w:val="00BD646D"/>
    <w:rsid w:val="00BD6A33"/>
    <w:rsid w:val="00BD7ED0"/>
    <w:rsid w:val="00BE5E06"/>
    <w:rsid w:val="00BE643E"/>
    <w:rsid w:val="00BE7CED"/>
    <w:rsid w:val="00BF59BF"/>
    <w:rsid w:val="00C056B5"/>
    <w:rsid w:val="00C10630"/>
    <w:rsid w:val="00C12939"/>
    <w:rsid w:val="00C14E3B"/>
    <w:rsid w:val="00C23BA4"/>
    <w:rsid w:val="00C241B2"/>
    <w:rsid w:val="00C24609"/>
    <w:rsid w:val="00C27A10"/>
    <w:rsid w:val="00C34485"/>
    <w:rsid w:val="00C40AB3"/>
    <w:rsid w:val="00C43805"/>
    <w:rsid w:val="00C43E24"/>
    <w:rsid w:val="00C45235"/>
    <w:rsid w:val="00C54174"/>
    <w:rsid w:val="00C60EF2"/>
    <w:rsid w:val="00C615B2"/>
    <w:rsid w:val="00C702F0"/>
    <w:rsid w:val="00C74553"/>
    <w:rsid w:val="00C8112C"/>
    <w:rsid w:val="00C84C38"/>
    <w:rsid w:val="00C87EF4"/>
    <w:rsid w:val="00CA0EA5"/>
    <w:rsid w:val="00CA623E"/>
    <w:rsid w:val="00CA630F"/>
    <w:rsid w:val="00CB4EB2"/>
    <w:rsid w:val="00CB7A41"/>
    <w:rsid w:val="00CC50EC"/>
    <w:rsid w:val="00CC7A0B"/>
    <w:rsid w:val="00CD0A52"/>
    <w:rsid w:val="00CD0EEF"/>
    <w:rsid w:val="00CD64CD"/>
    <w:rsid w:val="00CE2041"/>
    <w:rsid w:val="00CE3059"/>
    <w:rsid w:val="00CE4960"/>
    <w:rsid w:val="00CE56FA"/>
    <w:rsid w:val="00CE5B6F"/>
    <w:rsid w:val="00CF0912"/>
    <w:rsid w:val="00D0060C"/>
    <w:rsid w:val="00D027B8"/>
    <w:rsid w:val="00D04134"/>
    <w:rsid w:val="00D0571C"/>
    <w:rsid w:val="00D0679B"/>
    <w:rsid w:val="00D11879"/>
    <w:rsid w:val="00D12547"/>
    <w:rsid w:val="00D22D44"/>
    <w:rsid w:val="00D378BA"/>
    <w:rsid w:val="00D40668"/>
    <w:rsid w:val="00D60794"/>
    <w:rsid w:val="00D6263A"/>
    <w:rsid w:val="00D6312E"/>
    <w:rsid w:val="00D75701"/>
    <w:rsid w:val="00D778D7"/>
    <w:rsid w:val="00D80BB4"/>
    <w:rsid w:val="00D83934"/>
    <w:rsid w:val="00D861C3"/>
    <w:rsid w:val="00D862C1"/>
    <w:rsid w:val="00D91A0C"/>
    <w:rsid w:val="00D9239C"/>
    <w:rsid w:val="00D95955"/>
    <w:rsid w:val="00D979AB"/>
    <w:rsid w:val="00DA590C"/>
    <w:rsid w:val="00DA703D"/>
    <w:rsid w:val="00DB54CF"/>
    <w:rsid w:val="00DC1546"/>
    <w:rsid w:val="00DD2172"/>
    <w:rsid w:val="00DD4A09"/>
    <w:rsid w:val="00DD4C25"/>
    <w:rsid w:val="00DD6A1F"/>
    <w:rsid w:val="00DE4C00"/>
    <w:rsid w:val="00DE5C67"/>
    <w:rsid w:val="00DF2449"/>
    <w:rsid w:val="00DF7ACF"/>
    <w:rsid w:val="00E004CA"/>
    <w:rsid w:val="00E03391"/>
    <w:rsid w:val="00E0373B"/>
    <w:rsid w:val="00E07308"/>
    <w:rsid w:val="00E14474"/>
    <w:rsid w:val="00E179B5"/>
    <w:rsid w:val="00E26286"/>
    <w:rsid w:val="00E30AC2"/>
    <w:rsid w:val="00E33D84"/>
    <w:rsid w:val="00E34813"/>
    <w:rsid w:val="00E356D2"/>
    <w:rsid w:val="00E401B3"/>
    <w:rsid w:val="00E458DA"/>
    <w:rsid w:val="00E5687E"/>
    <w:rsid w:val="00E639CC"/>
    <w:rsid w:val="00E63D5B"/>
    <w:rsid w:val="00E671AD"/>
    <w:rsid w:val="00E83E40"/>
    <w:rsid w:val="00E857B8"/>
    <w:rsid w:val="00E907E5"/>
    <w:rsid w:val="00E943B8"/>
    <w:rsid w:val="00EA11F7"/>
    <w:rsid w:val="00EA20B9"/>
    <w:rsid w:val="00EA4549"/>
    <w:rsid w:val="00ED0B37"/>
    <w:rsid w:val="00ED22DF"/>
    <w:rsid w:val="00ED4C66"/>
    <w:rsid w:val="00ED6781"/>
    <w:rsid w:val="00EE4BD8"/>
    <w:rsid w:val="00EF3685"/>
    <w:rsid w:val="00EF5BA0"/>
    <w:rsid w:val="00F13600"/>
    <w:rsid w:val="00F15FC0"/>
    <w:rsid w:val="00F17042"/>
    <w:rsid w:val="00F175D1"/>
    <w:rsid w:val="00F21DA9"/>
    <w:rsid w:val="00F22A75"/>
    <w:rsid w:val="00F3059E"/>
    <w:rsid w:val="00F30C1E"/>
    <w:rsid w:val="00F311A5"/>
    <w:rsid w:val="00F3185D"/>
    <w:rsid w:val="00F35217"/>
    <w:rsid w:val="00F35C50"/>
    <w:rsid w:val="00F37B8F"/>
    <w:rsid w:val="00F42D68"/>
    <w:rsid w:val="00F436FE"/>
    <w:rsid w:val="00F500D2"/>
    <w:rsid w:val="00F51A9D"/>
    <w:rsid w:val="00F56311"/>
    <w:rsid w:val="00F57792"/>
    <w:rsid w:val="00F60048"/>
    <w:rsid w:val="00F6185A"/>
    <w:rsid w:val="00F73FE2"/>
    <w:rsid w:val="00F74944"/>
    <w:rsid w:val="00F8497C"/>
    <w:rsid w:val="00F91E41"/>
    <w:rsid w:val="00FA238D"/>
    <w:rsid w:val="00FA3835"/>
    <w:rsid w:val="00FA6816"/>
    <w:rsid w:val="00FB5D79"/>
    <w:rsid w:val="00FE3D91"/>
    <w:rsid w:val="00FE55D2"/>
    <w:rsid w:val="00FF5179"/>
    <w:rsid w:val="00FF728E"/>
    <w:rsid w:val="019F1D7A"/>
    <w:rsid w:val="020B291A"/>
    <w:rsid w:val="051B3A05"/>
    <w:rsid w:val="053E2C54"/>
    <w:rsid w:val="06F02823"/>
    <w:rsid w:val="0762073E"/>
    <w:rsid w:val="082D7025"/>
    <w:rsid w:val="09120680"/>
    <w:rsid w:val="09A45050"/>
    <w:rsid w:val="09FA1199"/>
    <w:rsid w:val="0A5B05D9"/>
    <w:rsid w:val="0ADF594B"/>
    <w:rsid w:val="0AE0030A"/>
    <w:rsid w:val="0BA90827"/>
    <w:rsid w:val="0C721436"/>
    <w:rsid w:val="0D3F756A"/>
    <w:rsid w:val="0D515D8F"/>
    <w:rsid w:val="0D6B0DE4"/>
    <w:rsid w:val="0D8A6F81"/>
    <w:rsid w:val="0E39045D"/>
    <w:rsid w:val="0E936CC2"/>
    <w:rsid w:val="0EE967FA"/>
    <w:rsid w:val="0F4075C9"/>
    <w:rsid w:val="0F4672D5"/>
    <w:rsid w:val="0F4E40DD"/>
    <w:rsid w:val="0F6F4465"/>
    <w:rsid w:val="10D40911"/>
    <w:rsid w:val="10E279BE"/>
    <w:rsid w:val="119729BB"/>
    <w:rsid w:val="122264FF"/>
    <w:rsid w:val="122E6778"/>
    <w:rsid w:val="124949E7"/>
    <w:rsid w:val="12525056"/>
    <w:rsid w:val="128B5428"/>
    <w:rsid w:val="13285904"/>
    <w:rsid w:val="13465DF0"/>
    <w:rsid w:val="139D57EB"/>
    <w:rsid w:val="15D708BB"/>
    <w:rsid w:val="15F52619"/>
    <w:rsid w:val="17CB6513"/>
    <w:rsid w:val="17E30CEE"/>
    <w:rsid w:val="185D6BC0"/>
    <w:rsid w:val="199030D2"/>
    <w:rsid w:val="19AE7309"/>
    <w:rsid w:val="1A18361C"/>
    <w:rsid w:val="1A902BB0"/>
    <w:rsid w:val="1B9E3D36"/>
    <w:rsid w:val="1BBA3A2F"/>
    <w:rsid w:val="1C686EB5"/>
    <w:rsid w:val="1C746B04"/>
    <w:rsid w:val="1C8F2A04"/>
    <w:rsid w:val="1D475415"/>
    <w:rsid w:val="1D8B6157"/>
    <w:rsid w:val="1DD47A5B"/>
    <w:rsid w:val="20365C75"/>
    <w:rsid w:val="20863AF3"/>
    <w:rsid w:val="20FD3BD3"/>
    <w:rsid w:val="218B2C39"/>
    <w:rsid w:val="22597BF6"/>
    <w:rsid w:val="227819CB"/>
    <w:rsid w:val="23256975"/>
    <w:rsid w:val="23423424"/>
    <w:rsid w:val="23EA6B2E"/>
    <w:rsid w:val="240C4724"/>
    <w:rsid w:val="243F7370"/>
    <w:rsid w:val="24E93CA3"/>
    <w:rsid w:val="26053E04"/>
    <w:rsid w:val="26DD3CEE"/>
    <w:rsid w:val="2747447F"/>
    <w:rsid w:val="27F05BD9"/>
    <w:rsid w:val="285745BD"/>
    <w:rsid w:val="2A8E004C"/>
    <w:rsid w:val="2B6A1BE2"/>
    <w:rsid w:val="2C083F8D"/>
    <w:rsid w:val="2C2A6E2C"/>
    <w:rsid w:val="2CB90995"/>
    <w:rsid w:val="2D5179CF"/>
    <w:rsid w:val="2ED5581D"/>
    <w:rsid w:val="2F25260C"/>
    <w:rsid w:val="2F316EB2"/>
    <w:rsid w:val="308A097E"/>
    <w:rsid w:val="319039E6"/>
    <w:rsid w:val="32085AE3"/>
    <w:rsid w:val="327F0D3B"/>
    <w:rsid w:val="331A4758"/>
    <w:rsid w:val="334B0167"/>
    <w:rsid w:val="3369385E"/>
    <w:rsid w:val="33CA23C6"/>
    <w:rsid w:val="351101A8"/>
    <w:rsid w:val="35C0542C"/>
    <w:rsid w:val="372B2789"/>
    <w:rsid w:val="372F7327"/>
    <w:rsid w:val="37CE32A7"/>
    <w:rsid w:val="384F06F9"/>
    <w:rsid w:val="395026E3"/>
    <w:rsid w:val="39A43A9C"/>
    <w:rsid w:val="3A1D4824"/>
    <w:rsid w:val="3AC54CA3"/>
    <w:rsid w:val="3AE72E6B"/>
    <w:rsid w:val="3AFF33E8"/>
    <w:rsid w:val="3C2D3B80"/>
    <w:rsid w:val="3D476359"/>
    <w:rsid w:val="3D9A658C"/>
    <w:rsid w:val="3DE10046"/>
    <w:rsid w:val="3DEE1D80"/>
    <w:rsid w:val="3DF338D5"/>
    <w:rsid w:val="3EA378DA"/>
    <w:rsid w:val="3EF73899"/>
    <w:rsid w:val="3F651E10"/>
    <w:rsid w:val="3F6F78D3"/>
    <w:rsid w:val="426C16E4"/>
    <w:rsid w:val="43D85920"/>
    <w:rsid w:val="442F62DC"/>
    <w:rsid w:val="443B5FD6"/>
    <w:rsid w:val="459220B9"/>
    <w:rsid w:val="46DB7A17"/>
    <w:rsid w:val="48333FF5"/>
    <w:rsid w:val="485E6BC5"/>
    <w:rsid w:val="48E62910"/>
    <w:rsid w:val="49FA5FEB"/>
    <w:rsid w:val="4A3E0C6F"/>
    <w:rsid w:val="4B914BF5"/>
    <w:rsid w:val="4C7D3400"/>
    <w:rsid w:val="4CB230FF"/>
    <w:rsid w:val="4D413CB4"/>
    <w:rsid w:val="4EE564B0"/>
    <w:rsid w:val="4F3512E0"/>
    <w:rsid w:val="4F8D414D"/>
    <w:rsid w:val="4FFC159D"/>
    <w:rsid w:val="51CD3614"/>
    <w:rsid w:val="522400A9"/>
    <w:rsid w:val="531539E5"/>
    <w:rsid w:val="53327604"/>
    <w:rsid w:val="53D55AFF"/>
    <w:rsid w:val="53FC6986"/>
    <w:rsid w:val="54A60BE9"/>
    <w:rsid w:val="559A7000"/>
    <w:rsid w:val="5628185A"/>
    <w:rsid w:val="56770AFB"/>
    <w:rsid w:val="573C6F55"/>
    <w:rsid w:val="57D63A28"/>
    <w:rsid w:val="57F95C42"/>
    <w:rsid w:val="581B6CF3"/>
    <w:rsid w:val="58527420"/>
    <w:rsid w:val="585F0652"/>
    <w:rsid w:val="591A5625"/>
    <w:rsid w:val="5980136F"/>
    <w:rsid w:val="59DD58A1"/>
    <w:rsid w:val="5AE900E2"/>
    <w:rsid w:val="5B3E5667"/>
    <w:rsid w:val="5C7F1F93"/>
    <w:rsid w:val="5D6130FD"/>
    <w:rsid w:val="5D89084C"/>
    <w:rsid w:val="5E72647F"/>
    <w:rsid w:val="5E834DD9"/>
    <w:rsid w:val="5F236DE7"/>
    <w:rsid w:val="5FEE7E35"/>
    <w:rsid w:val="608E3660"/>
    <w:rsid w:val="614C50B2"/>
    <w:rsid w:val="617B7B59"/>
    <w:rsid w:val="61C57AE5"/>
    <w:rsid w:val="620B4DE2"/>
    <w:rsid w:val="621505DC"/>
    <w:rsid w:val="625D22A8"/>
    <w:rsid w:val="62914838"/>
    <w:rsid w:val="63025693"/>
    <w:rsid w:val="64187FBF"/>
    <w:rsid w:val="648D7D30"/>
    <w:rsid w:val="657340D8"/>
    <w:rsid w:val="65C0401D"/>
    <w:rsid w:val="662648F8"/>
    <w:rsid w:val="665F1537"/>
    <w:rsid w:val="67D85B6C"/>
    <w:rsid w:val="68ED6A71"/>
    <w:rsid w:val="69317B0A"/>
    <w:rsid w:val="69F67FAD"/>
    <w:rsid w:val="6A9734A6"/>
    <w:rsid w:val="6BFA67BA"/>
    <w:rsid w:val="6C67192F"/>
    <w:rsid w:val="6CE60189"/>
    <w:rsid w:val="6E04301E"/>
    <w:rsid w:val="6F135C55"/>
    <w:rsid w:val="6F215C44"/>
    <w:rsid w:val="6F5A2F04"/>
    <w:rsid w:val="6FDA0E9E"/>
    <w:rsid w:val="707E6907"/>
    <w:rsid w:val="7236547B"/>
    <w:rsid w:val="732820F7"/>
    <w:rsid w:val="734D446A"/>
    <w:rsid w:val="740972B4"/>
    <w:rsid w:val="745E1C5B"/>
    <w:rsid w:val="746B0D64"/>
    <w:rsid w:val="74C80B12"/>
    <w:rsid w:val="74FF02FF"/>
    <w:rsid w:val="759B0467"/>
    <w:rsid w:val="774A1FD3"/>
    <w:rsid w:val="77FE4FE3"/>
    <w:rsid w:val="78C830A0"/>
    <w:rsid w:val="78D36201"/>
    <w:rsid w:val="792F1A3C"/>
    <w:rsid w:val="793270FF"/>
    <w:rsid w:val="79A8143C"/>
    <w:rsid w:val="79B5177D"/>
    <w:rsid w:val="79CD520C"/>
    <w:rsid w:val="7A463EB9"/>
    <w:rsid w:val="7A8377B3"/>
    <w:rsid w:val="7AB91175"/>
    <w:rsid w:val="7CA8270B"/>
    <w:rsid w:val="7CD608CD"/>
    <w:rsid w:val="7D9D4043"/>
    <w:rsid w:val="7E9D0BC6"/>
    <w:rsid w:val="7F8942DD"/>
    <w:rsid w:val="7FD20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99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paragraph" w:styleId="3">
    <w:name w:val="heading 2"/>
    <w:basedOn w:val="1"/>
    <w:next w:val="4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paragraph" w:styleId="5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qFormat/>
    <w:uiPriority w:val="0"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8">
    <w:name w:val="heading 6"/>
    <w:basedOn w:val="1"/>
    <w:next w:val="4"/>
    <w:qFormat/>
    <w:uiPriority w:val="0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sz w:val="24"/>
      <w:szCs w:val="20"/>
    </w:rPr>
  </w:style>
  <w:style w:type="paragraph" w:styleId="9">
    <w:name w:val="heading 7"/>
    <w:basedOn w:val="1"/>
    <w:next w:val="4"/>
    <w:qFormat/>
    <w:uiPriority w:val="0"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10">
    <w:name w:val="heading 8"/>
    <w:basedOn w:val="1"/>
    <w:next w:val="4"/>
    <w:qFormat/>
    <w:uiPriority w:val="0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  <w:szCs w:val="20"/>
    </w:rPr>
  </w:style>
  <w:style w:type="paragraph" w:styleId="11">
    <w:name w:val="heading 9"/>
    <w:basedOn w:val="1"/>
    <w:next w:val="4"/>
    <w:qFormat/>
    <w:uiPriority w:val="0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0"/>
    </w:rPr>
  </w:style>
  <w:style w:type="character" w:default="1" w:styleId="40">
    <w:name w:val="Default Paragraph Font"/>
    <w:semiHidden/>
    <w:unhideWhenUsed/>
    <w:qFormat/>
    <w:uiPriority w:val="1"/>
  </w:style>
  <w:style w:type="table" w:default="1" w:styleId="3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12">
    <w:name w:val="toc 7"/>
    <w:basedOn w:val="1"/>
    <w:next w:val="1"/>
    <w:qFormat/>
    <w:uiPriority w:val="0"/>
    <w:pPr>
      <w:ind w:left="2520" w:leftChars="1200"/>
    </w:pPr>
    <w:rPr>
      <w:rFonts w:ascii="Cambria" w:hAnsi="Cambria"/>
      <w:szCs w:val="21"/>
    </w:rPr>
  </w:style>
  <w:style w:type="paragraph" w:styleId="13">
    <w:name w:val="Document Map"/>
    <w:basedOn w:val="1"/>
    <w:semiHidden/>
    <w:qFormat/>
    <w:uiPriority w:val="0"/>
    <w:pPr>
      <w:shd w:val="clear" w:color="auto" w:fill="000080"/>
    </w:pPr>
  </w:style>
  <w:style w:type="paragraph" w:styleId="14">
    <w:name w:val="annotation text"/>
    <w:basedOn w:val="1"/>
    <w:link w:val="47"/>
    <w:qFormat/>
    <w:uiPriority w:val="99"/>
    <w:pPr>
      <w:jc w:val="left"/>
    </w:pPr>
    <w:rPr>
      <w:rFonts w:ascii="Cambria" w:hAnsi="Cambria"/>
      <w:szCs w:val="21"/>
    </w:rPr>
  </w:style>
  <w:style w:type="paragraph" w:styleId="15">
    <w:name w:val="Body Text 3"/>
    <w:basedOn w:val="1"/>
    <w:qFormat/>
    <w:uiPriority w:val="0"/>
    <w:pPr>
      <w:widowControl/>
      <w:ind w:right="720"/>
      <w:jc w:val="left"/>
    </w:pPr>
    <w:rPr>
      <w:kern w:val="0"/>
      <w:sz w:val="20"/>
      <w:szCs w:val="20"/>
      <w:lang w:eastAsia="en-US"/>
    </w:rPr>
  </w:style>
  <w:style w:type="paragraph" w:styleId="16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17">
    <w:name w:val="Body Text Indent"/>
    <w:basedOn w:val="1"/>
    <w:qFormat/>
    <w:uiPriority w:val="0"/>
    <w:pPr>
      <w:spacing w:after="120"/>
      <w:ind w:left="420" w:leftChars="200"/>
    </w:pPr>
  </w:style>
  <w:style w:type="paragraph" w:styleId="18">
    <w:name w:val="toc 5"/>
    <w:basedOn w:val="1"/>
    <w:next w:val="1"/>
    <w:qFormat/>
    <w:uiPriority w:val="0"/>
    <w:pPr>
      <w:ind w:left="1680" w:leftChars="800"/>
    </w:pPr>
    <w:rPr>
      <w:rFonts w:ascii="Cambria" w:hAnsi="Cambria"/>
      <w:szCs w:val="21"/>
    </w:rPr>
  </w:style>
  <w:style w:type="paragraph" w:styleId="19">
    <w:name w:val="toc 3"/>
    <w:basedOn w:val="1"/>
    <w:next w:val="1"/>
    <w:qFormat/>
    <w:uiPriority w:val="0"/>
    <w:pPr>
      <w:ind w:left="840" w:leftChars="400"/>
    </w:pPr>
    <w:rPr>
      <w:rFonts w:ascii="Cambria" w:hAnsi="Cambria"/>
      <w:szCs w:val="21"/>
    </w:rPr>
  </w:style>
  <w:style w:type="paragraph" w:styleId="20">
    <w:name w:val="Plain Text"/>
    <w:basedOn w:val="1"/>
    <w:link w:val="48"/>
    <w:qFormat/>
    <w:uiPriority w:val="99"/>
    <w:rPr>
      <w:rFonts w:ascii="宋体" w:hAnsi="Courier New"/>
      <w:szCs w:val="20"/>
    </w:rPr>
  </w:style>
  <w:style w:type="paragraph" w:styleId="21">
    <w:name w:val="toc 8"/>
    <w:basedOn w:val="1"/>
    <w:next w:val="1"/>
    <w:qFormat/>
    <w:uiPriority w:val="0"/>
    <w:pPr>
      <w:ind w:left="2940" w:leftChars="1400"/>
    </w:pPr>
    <w:rPr>
      <w:rFonts w:ascii="Cambria" w:hAnsi="Cambria"/>
      <w:szCs w:val="21"/>
    </w:rPr>
  </w:style>
  <w:style w:type="paragraph" w:styleId="22">
    <w:name w:val="Date"/>
    <w:basedOn w:val="1"/>
    <w:next w:val="1"/>
    <w:link w:val="49"/>
    <w:qFormat/>
    <w:uiPriority w:val="0"/>
    <w:rPr>
      <w:szCs w:val="20"/>
    </w:rPr>
  </w:style>
  <w:style w:type="paragraph" w:styleId="23">
    <w:name w:val="Body Text Indent 2"/>
    <w:basedOn w:val="1"/>
    <w:qFormat/>
    <w:uiPriority w:val="0"/>
    <w:pPr>
      <w:ind w:firstLine="480" w:firstLineChars="200"/>
    </w:pPr>
    <w:rPr>
      <w:rFonts w:ascii="仿宋_GB2312" w:eastAsia="仿宋_GB2312"/>
      <w:sz w:val="24"/>
    </w:rPr>
  </w:style>
  <w:style w:type="paragraph" w:styleId="24">
    <w:name w:val="Balloon Text"/>
    <w:basedOn w:val="1"/>
    <w:semiHidden/>
    <w:qFormat/>
    <w:uiPriority w:val="0"/>
    <w:rPr>
      <w:sz w:val="18"/>
      <w:szCs w:val="18"/>
    </w:rPr>
  </w:style>
  <w:style w:type="paragraph" w:styleId="25">
    <w:name w:val="footer"/>
    <w:basedOn w:val="1"/>
    <w:link w:val="5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6">
    <w:name w:val="header"/>
    <w:basedOn w:val="1"/>
    <w:link w:val="5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7">
    <w:name w:val="toc 1"/>
    <w:basedOn w:val="1"/>
    <w:next w:val="1"/>
    <w:qFormat/>
    <w:uiPriority w:val="39"/>
    <w:pPr>
      <w:tabs>
        <w:tab w:val="right" w:leader="dot" w:pos="9061"/>
      </w:tabs>
    </w:pPr>
    <w:rPr>
      <w:rFonts w:ascii="仿宋_GB2312" w:hAnsi="宋体" w:eastAsia="仿宋_GB2312" w:cs="仿宋_GB2312"/>
      <w:color w:val="000000"/>
      <w:szCs w:val="21"/>
    </w:rPr>
  </w:style>
  <w:style w:type="paragraph" w:styleId="28">
    <w:name w:val="toc 4"/>
    <w:basedOn w:val="1"/>
    <w:next w:val="1"/>
    <w:qFormat/>
    <w:uiPriority w:val="0"/>
    <w:pPr>
      <w:ind w:left="1260" w:leftChars="600"/>
    </w:pPr>
    <w:rPr>
      <w:rFonts w:ascii="Cambria" w:hAnsi="Cambria"/>
      <w:szCs w:val="21"/>
    </w:rPr>
  </w:style>
  <w:style w:type="paragraph" w:styleId="29">
    <w:name w:val="toc 6"/>
    <w:basedOn w:val="1"/>
    <w:next w:val="1"/>
    <w:qFormat/>
    <w:uiPriority w:val="0"/>
    <w:pPr>
      <w:ind w:left="2100" w:leftChars="1000"/>
    </w:pPr>
    <w:rPr>
      <w:rFonts w:ascii="Cambria" w:hAnsi="Cambria"/>
      <w:szCs w:val="21"/>
    </w:rPr>
  </w:style>
  <w:style w:type="paragraph" w:styleId="30">
    <w:name w:val="Body Text Indent 3"/>
    <w:basedOn w:val="1"/>
    <w:link w:val="52"/>
    <w:qFormat/>
    <w:uiPriority w:val="0"/>
    <w:pPr>
      <w:autoSpaceDE w:val="0"/>
      <w:autoSpaceDN w:val="0"/>
      <w:adjustRightInd w:val="0"/>
      <w:spacing w:before="120" w:line="22" w:lineRule="atLeast"/>
      <w:ind w:left="720" w:firstLine="480"/>
      <w:jc w:val="left"/>
    </w:pPr>
    <w:rPr>
      <w:rFonts w:ascii="宋体" w:hAnsi="Cambria" w:cs="宋体"/>
      <w:kern w:val="0"/>
      <w:sz w:val="24"/>
    </w:rPr>
  </w:style>
  <w:style w:type="paragraph" w:styleId="31">
    <w:name w:val="toc 2"/>
    <w:basedOn w:val="1"/>
    <w:next w:val="1"/>
    <w:qFormat/>
    <w:uiPriority w:val="0"/>
    <w:pPr>
      <w:spacing w:before="120" w:line="360" w:lineRule="auto"/>
    </w:pPr>
    <w:rPr>
      <w:rFonts w:ascii="仿宋_GB2312" w:hAnsi="宋体" w:eastAsia="仿宋_GB2312" w:cs="仿宋_GB2312"/>
      <w:b/>
      <w:bCs/>
      <w:sz w:val="24"/>
    </w:rPr>
  </w:style>
  <w:style w:type="paragraph" w:styleId="32">
    <w:name w:val="toc 9"/>
    <w:basedOn w:val="1"/>
    <w:next w:val="1"/>
    <w:qFormat/>
    <w:uiPriority w:val="0"/>
    <w:pPr>
      <w:ind w:left="3360" w:leftChars="1600"/>
    </w:pPr>
    <w:rPr>
      <w:rFonts w:ascii="Cambria" w:hAnsi="Cambria"/>
      <w:szCs w:val="21"/>
    </w:rPr>
  </w:style>
  <w:style w:type="paragraph" w:styleId="33">
    <w:name w:val="Body Text 2"/>
    <w:basedOn w:val="1"/>
    <w:qFormat/>
    <w:uiPriority w:val="0"/>
    <w:pPr>
      <w:widowControl/>
    </w:pPr>
    <w:rPr>
      <w:kern w:val="0"/>
      <w:sz w:val="20"/>
      <w:szCs w:val="20"/>
      <w:lang w:eastAsia="en-US"/>
    </w:rPr>
  </w:style>
  <w:style w:type="paragraph" w:styleId="34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paragraph" w:styleId="35">
    <w:name w:val="index 1"/>
    <w:basedOn w:val="1"/>
    <w:next w:val="1"/>
    <w:qFormat/>
    <w:uiPriority w:val="0"/>
    <w:rPr>
      <w:rFonts w:ascii="Cambria" w:hAnsi="Cambria"/>
      <w:szCs w:val="21"/>
    </w:rPr>
  </w:style>
  <w:style w:type="paragraph" w:styleId="36">
    <w:name w:val="Title"/>
    <w:basedOn w:val="1"/>
    <w:qFormat/>
    <w:uiPriority w:val="0"/>
    <w:pPr>
      <w:jc w:val="center"/>
    </w:pPr>
    <w:rPr>
      <w:sz w:val="30"/>
    </w:rPr>
  </w:style>
  <w:style w:type="paragraph" w:styleId="37">
    <w:name w:val="annotation subject"/>
    <w:basedOn w:val="14"/>
    <w:next w:val="14"/>
    <w:link w:val="53"/>
    <w:qFormat/>
    <w:uiPriority w:val="0"/>
    <w:rPr>
      <w:rFonts w:ascii="Times New Roman" w:hAnsi="Times New Roman"/>
      <w:b/>
      <w:bCs/>
      <w:szCs w:val="24"/>
    </w:rPr>
  </w:style>
  <w:style w:type="table" w:styleId="39">
    <w:name w:val="Table Grid"/>
    <w:basedOn w:val="3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41">
    <w:name w:val="Strong"/>
    <w:qFormat/>
    <w:uiPriority w:val="22"/>
    <w:rPr>
      <w:b/>
      <w:bCs/>
    </w:rPr>
  </w:style>
  <w:style w:type="character" w:styleId="42">
    <w:name w:val="page number"/>
    <w:qFormat/>
    <w:uiPriority w:val="0"/>
  </w:style>
  <w:style w:type="character" w:styleId="43">
    <w:name w:val="FollowedHyperlink"/>
    <w:qFormat/>
    <w:uiPriority w:val="0"/>
    <w:rPr>
      <w:color w:val="800080"/>
      <w:u w:val="single"/>
    </w:rPr>
  </w:style>
  <w:style w:type="character" w:styleId="44">
    <w:name w:val="Emphasis"/>
    <w:qFormat/>
    <w:uiPriority w:val="20"/>
    <w:rPr>
      <w:i/>
      <w:iCs/>
    </w:rPr>
  </w:style>
  <w:style w:type="character" w:styleId="45">
    <w:name w:val="Hyperlink"/>
    <w:qFormat/>
    <w:uiPriority w:val="99"/>
    <w:rPr>
      <w:color w:val="0000FF"/>
      <w:u w:val="single"/>
    </w:rPr>
  </w:style>
  <w:style w:type="character" w:styleId="46">
    <w:name w:val="annotation reference"/>
    <w:qFormat/>
    <w:uiPriority w:val="99"/>
    <w:rPr>
      <w:sz w:val="21"/>
      <w:szCs w:val="21"/>
    </w:rPr>
  </w:style>
  <w:style w:type="character" w:customStyle="1" w:styleId="47">
    <w:name w:val="批注文字 Char"/>
    <w:link w:val="14"/>
    <w:qFormat/>
    <w:uiPriority w:val="99"/>
    <w:rPr>
      <w:rFonts w:ascii="Cambria" w:hAnsi="Cambria"/>
      <w:kern w:val="2"/>
      <w:sz w:val="21"/>
      <w:szCs w:val="21"/>
    </w:rPr>
  </w:style>
  <w:style w:type="character" w:customStyle="1" w:styleId="48">
    <w:name w:val="纯文本 Char"/>
    <w:link w:val="20"/>
    <w:qFormat/>
    <w:uiPriority w:val="99"/>
    <w:rPr>
      <w:rFonts w:ascii="宋体" w:hAnsi="Courier New"/>
      <w:kern w:val="2"/>
      <w:sz w:val="21"/>
    </w:rPr>
  </w:style>
  <w:style w:type="character" w:customStyle="1" w:styleId="49">
    <w:name w:val="日期 Char"/>
    <w:link w:val="22"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50">
    <w:name w:val="页脚 Char"/>
    <w:link w:val="25"/>
    <w:qFormat/>
    <w:uiPriority w:val="99"/>
    <w:rPr>
      <w:kern w:val="2"/>
      <w:sz w:val="18"/>
      <w:szCs w:val="18"/>
    </w:rPr>
  </w:style>
  <w:style w:type="character" w:customStyle="1" w:styleId="51">
    <w:name w:val="页眉 Char"/>
    <w:link w:val="26"/>
    <w:qFormat/>
    <w:uiPriority w:val="0"/>
    <w:rPr>
      <w:kern w:val="2"/>
      <w:sz w:val="18"/>
      <w:szCs w:val="18"/>
    </w:rPr>
  </w:style>
  <w:style w:type="character" w:customStyle="1" w:styleId="52">
    <w:name w:val="正文文本缩进 3 Char"/>
    <w:link w:val="30"/>
    <w:qFormat/>
    <w:uiPriority w:val="0"/>
    <w:rPr>
      <w:rFonts w:ascii="宋体" w:hAnsi="Cambria" w:cs="宋体"/>
      <w:sz w:val="24"/>
      <w:szCs w:val="24"/>
    </w:rPr>
  </w:style>
  <w:style w:type="character" w:customStyle="1" w:styleId="53">
    <w:name w:val="批注主题 Char"/>
    <w:link w:val="37"/>
    <w:qFormat/>
    <w:uiPriority w:val="0"/>
    <w:rPr>
      <w:rFonts w:ascii="Cambria" w:hAnsi="Cambria"/>
      <w:b/>
      <w:bCs/>
      <w:kern w:val="2"/>
      <w:sz w:val="21"/>
      <w:szCs w:val="24"/>
    </w:rPr>
  </w:style>
  <w:style w:type="character" w:customStyle="1" w:styleId="54">
    <w:name w:val="Char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paragraph" w:customStyle="1" w:styleId="55">
    <w:name w:val="Char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56">
    <w:name w:val="彩色列表 - 强调文字颜色 1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57">
    <w:name w:val="正文文本 21"/>
    <w:basedOn w:val="1"/>
    <w:qFormat/>
    <w:uiPriority w:val="0"/>
    <w:pPr>
      <w:adjustRightInd w:val="0"/>
      <w:spacing w:before="120" w:line="360" w:lineRule="auto"/>
      <w:ind w:firstLine="480"/>
      <w:textAlignment w:val="baseline"/>
    </w:pPr>
    <w:rPr>
      <w:sz w:val="24"/>
      <w:szCs w:val="20"/>
    </w:rPr>
  </w:style>
  <w:style w:type="paragraph" w:customStyle="1" w:styleId="58">
    <w:name w:val="文档正文"/>
    <w:basedOn w:val="1"/>
    <w:qFormat/>
    <w:uiPriority w:val="0"/>
    <w:pPr>
      <w:adjustRightInd w:val="0"/>
      <w:spacing w:line="480" w:lineRule="atLeast"/>
      <w:ind w:firstLine="567"/>
      <w:textAlignment w:val="baseline"/>
    </w:pPr>
    <w:rPr>
      <w:rFonts w:ascii="长城仿宋"/>
      <w:kern w:val="0"/>
      <w:sz w:val="24"/>
      <w:szCs w:val="20"/>
    </w:rPr>
  </w:style>
  <w:style w:type="paragraph" w:customStyle="1" w:styleId="59">
    <w:name w:val="正文文本缩进 21"/>
    <w:basedOn w:val="1"/>
    <w:qFormat/>
    <w:uiPriority w:val="0"/>
    <w:pPr>
      <w:adjustRightInd w:val="0"/>
      <w:spacing w:before="120"/>
      <w:ind w:firstLine="420"/>
      <w:textAlignment w:val="baseline"/>
    </w:pPr>
    <w:rPr>
      <w:sz w:val="24"/>
      <w:szCs w:val="20"/>
    </w:rPr>
  </w:style>
  <w:style w:type="character" w:customStyle="1" w:styleId="60">
    <w:name w:val="Char2"/>
    <w:qFormat/>
    <w:uiPriority w:val="0"/>
    <w:rPr>
      <w:rFonts w:ascii="宋体" w:hAnsi="Courier New" w:eastAsia="宋体" w:cs="宋体"/>
      <w:kern w:val="2"/>
      <w:sz w:val="21"/>
      <w:szCs w:val="21"/>
      <w:lang w:val="en-US" w:eastAsia="zh-CN"/>
    </w:rPr>
  </w:style>
  <w:style w:type="paragraph" w:customStyle="1" w:styleId="61">
    <w:name w:val="标题1"/>
    <w:basedOn w:val="36"/>
    <w:qFormat/>
    <w:uiPriority w:val="0"/>
    <w:pPr>
      <w:spacing w:before="240" w:after="240"/>
      <w:outlineLvl w:val="0"/>
    </w:pPr>
    <w:rPr>
      <w:rFonts w:ascii="Arial" w:hAnsi="Arial" w:cs="Arial"/>
      <w:b/>
      <w:bCs/>
      <w:spacing w:val="2"/>
      <w:sz w:val="44"/>
      <w:szCs w:val="44"/>
    </w:rPr>
  </w:style>
  <w:style w:type="paragraph" w:customStyle="1" w:styleId="62">
    <w:name w:val="附录标题3"/>
    <w:basedOn w:val="1"/>
    <w:next w:val="4"/>
    <w:qFormat/>
    <w:uiPriority w:val="0"/>
    <w:pPr>
      <w:tabs>
        <w:tab w:val="left" w:pos="1080"/>
        <w:tab w:val="left" w:pos="2880"/>
      </w:tabs>
      <w:ind w:left="2880" w:hanging="720"/>
      <w:outlineLvl w:val="0"/>
    </w:pPr>
    <w:rPr>
      <w:rFonts w:ascii="Arial" w:hAnsi="Arial" w:cs="Arial"/>
      <w:sz w:val="24"/>
    </w:rPr>
  </w:style>
  <w:style w:type="paragraph" w:customStyle="1" w:styleId="63">
    <w:name w:val="样式"/>
    <w:basedOn w:val="1"/>
    <w:next w:val="20"/>
    <w:qFormat/>
    <w:uiPriority w:val="0"/>
    <w:rPr>
      <w:rFonts w:ascii="宋体" w:hAnsi="Courier New" w:cs="宋体"/>
      <w:szCs w:val="21"/>
    </w:rPr>
  </w:style>
  <w:style w:type="paragraph" w:customStyle="1" w:styleId="64">
    <w:name w:val="Char1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65">
    <w:name w:val="Char Char Char Char"/>
    <w:basedOn w:val="1"/>
    <w:qFormat/>
    <w:uiPriority w:val="0"/>
    <w:pPr>
      <w:spacing w:after="160" w:line="240" w:lineRule="exact"/>
    </w:pPr>
    <w:rPr>
      <w:rFonts w:ascii="Cambria" w:hAnsi="Cambria"/>
      <w:szCs w:val="21"/>
    </w:rPr>
  </w:style>
  <w:style w:type="paragraph" w:customStyle="1" w:styleId="66">
    <w:name w:val="trs_edito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67">
    <w:name w:val="List Paragraph"/>
    <w:basedOn w:val="1"/>
    <w:qFormat/>
    <w:uiPriority w:val="34"/>
    <w:pPr>
      <w:ind w:left="205" w:right="169" w:firstLine="655"/>
    </w:pPr>
    <w:rPr>
      <w:rFonts w:ascii="Cambria" w:hAnsi="Cambria"/>
      <w:szCs w:val="21"/>
    </w:rPr>
  </w:style>
  <w:style w:type="table" w:customStyle="1" w:styleId="68">
    <w:name w:val="Table Normal"/>
    <w:unhideWhenUsed/>
    <w:qFormat/>
    <w:uiPriority w:val="2"/>
    <w:pPr>
      <w:widowControl w:val="0"/>
      <w:autoSpaceDE w:val="0"/>
      <w:autoSpaceDN w:val="0"/>
    </w:pPr>
    <w:rPr>
      <w:rFonts w:ascii="Cambria" w:hAnsi="Cambria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9">
    <w:name w:val="Table Paragraph"/>
    <w:basedOn w:val="1"/>
    <w:qFormat/>
    <w:uiPriority w:val="1"/>
    <w:pPr>
      <w:autoSpaceDE w:val="0"/>
      <w:autoSpaceDN w:val="0"/>
      <w:jc w:val="left"/>
    </w:pPr>
    <w:rPr>
      <w:rFonts w:ascii="宋体" w:hAnsi="宋体" w:cs="宋体"/>
      <w:kern w:val="0"/>
      <w:sz w:val="22"/>
      <w:szCs w:val="22"/>
      <w:lang w:eastAsia="en-US"/>
    </w:rPr>
  </w:style>
  <w:style w:type="paragraph" w:customStyle="1" w:styleId="70">
    <w:name w:val="xl25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/>
      <w:kern w:val="0"/>
      <w:szCs w:val="21"/>
    </w:rPr>
  </w:style>
  <w:style w:type="paragraph" w:customStyle="1" w:styleId="71">
    <w:name w:val="null3"/>
    <w:qFormat/>
    <w:uiPriority w:val="0"/>
    <w:rPr>
      <w:rFonts w:hint="eastAsia" w:ascii="Calibri" w:hAnsi="Calibri" w:eastAsia="宋体" w:cs="Times New Roman"/>
      <w:lang w:val="en-US" w:eastAsia="zh-Hans" w:bidi="ar-SA"/>
    </w:rPr>
  </w:style>
  <w:style w:type="paragraph" w:customStyle="1" w:styleId="72">
    <w:name w:val="_Style 71"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8</Pages>
  <Words>21478</Words>
  <Characters>22914</Characters>
  <Lines>347</Lines>
  <Paragraphs>97</Paragraphs>
  <TotalTime>6</TotalTime>
  <ScaleCrop>false</ScaleCrop>
  <LinksUpToDate>false</LinksUpToDate>
  <CharactersWithSpaces>23261</CharactersWithSpaces>
  <Application>WPS Office_12.1.0.23542_F1E327BC-269C-435d-A152-05C5408002CA</Application>
  <DocSecurity>4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2026-06-01T09:21:00Z</dcterms:created>
  <dc:creator>caowuning</dc:creator>
  <cp:lastModifiedBy>C.X.F</cp:lastModifiedBy>
  <cp:lastPrinted>2009-04-21T09:03:00Z</cp:lastPrinted>
  <dcterms:modified xsi:type="dcterms:W3CDTF">2026-07-20T09:28:04Z</dcterms:modified>
  <dc:title>北 京 市 政 府 采 购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2743B51B29194CCF99B69AEA85A6C748_13</vt:lpwstr>
  </property>
  <property fmtid="{D5CDD505-2E9C-101B-9397-08002B2CF9AE}" pid="4" name="KSOTemplateDocerSaveRecord">
    <vt:lpwstr>eyJoZGlkIjoiYjVlMTM4ZTEwY2ZiOTNhZmQ1NzFhMDYxMGI5ZTc0MTQiLCJ1c2VySWQiOiI3MTgzNDAyNjIifQ==</vt:lpwstr>
  </property>
</Properties>
</file>