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5231F">
      <w:pPr>
        <w:pStyle w:val="4"/>
        <w:spacing w:line="360" w:lineRule="auto"/>
        <w:jc w:val="center"/>
        <w:rPr>
          <w:rFonts w:hint="eastAsia" w:ascii="宋体" w:hAnsi="宋体"/>
          <w:highlight w:val="none"/>
        </w:rPr>
      </w:pPr>
      <w:r>
        <w:rPr>
          <w:rFonts w:hint="eastAsia"/>
          <w:b w:val="0"/>
          <w:highlight w:val="none"/>
        </w:rPr>
        <w:t>采购需求</w:t>
      </w:r>
    </w:p>
    <w:p w14:paraId="1BCCE388">
      <w:pPr>
        <w:spacing w:line="360" w:lineRule="auto"/>
        <w:rPr>
          <w:rFonts w:hint="eastAsia" w:ascii="宋体" w:hAnsi="宋体"/>
          <w:sz w:val="24"/>
          <w:szCs w:val="28"/>
          <w:highlight w:val="none"/>
        </w:rPr>
      </w:pPr>
      <w:bookmarkStart w:id="0" w:name="_Hlt509716920"/>
      <w:bookmarkEnd w:id="0"/>
      <w:r>
        <w:rPr>
          <w:rFonts w:hint="eastAsia" w:ascii="宋体" w:hAnsi="宋体"/>
          <w:sz w:val="24"/>
          <w:szCs w:val="28"/>
          <w:highlight w:val="none"/>
        </w:rPr>
        <w:t>前注：</w:t>
      </w:r>
    </w:p>
    <w:p w14:paraId="248AA3DA">
      <w:pPr>
        <w:numPr>
          <w:ilvl w:val="0"/>
          <w:numId w:val="1"/>
        </w:numPr>
        <w:spacing w:line="360" w:lineRule="auto"/>
        <w:rPr>
          <w:rFonts w:hint="eastAsia" w:ascii="宋体" w:hAnsi="宋体"/>
          <w:sz w:val="24"/>
          <w:highlight w:val="none"/>
        </w:rPr>
      </w:pPr>
      <w:r>
        <w:rPr>
          <w:rFonts w:hint="eastAsia" w:ascii="宋体" w:hAnsi="宋体"/>
          <w:sz w:val="24"/>
          <w:szCs w:val="28"/>
          <w:highlight w:val="none"/>
        </w:rPr>
        <w:t>本需求中提出的技术方案仅为参考，如无明确限制，供应商可以进行优化，提供满足用户实际需要的更优（或者性能实质上不低于的）</w:t>
      </w:r>
      <w:r>
        <w:rPr>
          <w:rFonts w:hint="eastAsia" w:ascii="宋体" w:hAnsi="宋体"/>
          <w:sz w:val="24"/>
          <w:highlight w:val="none"/>
        </w:rPr>
        <w:t>技术方案或者设备配置，且此方案或配置须经评审委员会评审认可；</w:t>
      </w:r>
      <w:r>
        <w:rPr>
          <w:rFonts w:hint="eastAsia" w:ascii="宋体" w:hAnsi="宋体"/>
          <w:sz w:val="24"/>
          <w:highlight w:val="none"/>
        </w:rPr>
        <w:cr/>
      </w:r>
      <w:r>
        <w:rPr>
          <w:rFonts w:hint="eastAsia" w:ascii="宋体" w:hAnsi="宋体"/>
          <w:sz w:val="24"/>
          <w:highlight w:val="none"/>
        </w:rPr>
        <w:t>2、为鼓励不同品牌的充分竞争，如某设备的某技术参数或要求属于个别品牌专有，则该技术参数及要求不具有限制性，供应商可对该参数或要求进行适当调整，并应当说明调整的理由，且此调整须经评审委员会评审认可；</w:t>
      </w:r>
    </w:p>
    <w:p w14:paraId="50949072">
      <w:pPr>
        <w:spacing w:line="360" w:lineRule="auto"/>
        <w:rPr>
          <w:rFonts w:hint="eastAsia" w:ascii="宋体" w:hAnsi="宋体"/>
          <w:sz w:val="24"/>
          <w:highlight w:val="none"/>
        </w:rPr>
      </w:pPr>
      <w:r>
        <w:rPr>
          <w:rFonts w:hint="eastAsia" w:ascii="宋体" w:hAnsi="宋体"/>
          <w:sz w:val="24"/>
          <w:highlight w:val="none"/>
        </w:rPr>
        <w:t>3、为有助于供应商选择投标产品，若项目需求中提供了推荐品牌（或型号）、参考品牌（或型号）等，这些品牌（或型号）仅供参考，并无限制性。供应商可以选择性能不低于推荐（或参考）的品牌（或型号）的其他品牌产品，但投标时应当提供有关技术证明材料，未提供的可能导致投标无效。</w:t>
      </w:r>
    </w:p>
    <w:p w14:paraId="57EAFF38">
      <w:pPr>
        <w:spacing w:line="360" w:lineRule="auto"/>
        <w:rPr>
          <w:rFonts w:hint="eastAsia" w:ascii="宋体" w:hAnsi="宋体"/>
          <w:sz w:val="24"/>
          <w:szCs w:val="28"/>
          <w:highlight w:val="none"/>
        </w:rPr>
      </w:pPr>
      <w:r>
        <w:rPr>
          <w:rFonts w:hint="eastAsia" w:ascii="宋体" w:hAnsi="宋体"/>
          <w:sz w:val="24"/>
          <w:szCs w:val="28"/>
          <w:highlight w:val="none"/>
        </w:rPr>
        <w:t>4、供应商应当在响应文件中列出完成本项目并通过验收所需的所有各项服务等明细表及全部费用。成交供应商必须确保整体通过用户方及有关主管部门验收,所发生的验收费用由成交供应商承担；供应商应自行踏勘施工建设现场，如供应商因未及时踏勘现场而导致的报价缺项漏项被否决投标、或中标/成交后无法完工，供应商自行承担一切后果；</w:t>
      </w:r>
    </w:p>
    <w:p w14:paraId="6A424B2F">
      <w:pPr>
        <w:spacing w:line="360" w:lineRule="auto"/>
        <w:rPr>
          <w:rFonts w:ascii="宋体" w:hAnsi="宋体"/>
          <w:sz w:val="24"/>
          <w:szCs w:val="28"/>
          <w:highlight w:val="none"/>
        </w:rPr>
      </w:pPr>
      <w:r>
        <w:rPr>
          <w:rFonts w:hint="eastAsia" w:ascii="宋体" w:hAnsi="宋体"/>
          <w:sz w:val="24"/>
          <w:szCs w:val="28"/>
          <w:highlight w:val="none"/>
        </w:rPr>
        <w:t>5、根据《关于规范政府采购进口产品有关工作的通知》及政府采购管理部门的相关规定，下列采购需求中如涉及进口产品则</w:t>
      </w:r>
      <w:r>
        <w:rPr>
          <w:rFonts w:ascii="宋体" w:hAnsi="宋体"/>
          <w:sz w:val="24"/>
          <w:szCs w:val="28"/>
          <w:highlight w:val="none"/>
        </w:rPr>
        <w:t>已履行相关手续</w:t>
      </w:r>
      <w:r>
        <w:rPr>
          <w:rFonts w:hint="eastAsia" w:ascii="宋体" w:hAnsi="宋体"/>
          <w:sz w:val="24"/>
          <w:szCs w:val="28"/>
          <w:highlight w:val="none"/>
        </w:rPr>
        <w:t>，</w:t>
      </w:r>
      <w:r>
        <w:rPr>
          <w:rFonts w:ascii="宋体" w:hAnsi="宋体"/>
          <w:sz w:val="24"/>
          <w:szCs w:val="28"/>
          <w:highlight w:val="none"/>
        </w:rPr>
        <w:t>经核准采购进口设备，但不限制满足比选文件要求的国内产品参与投标竞争；</w:t>
      </w:r>
    </w:p>
    <w:p w14:paraId="05685E71">
      <w:pPr>
        <w:spacing w:line="360" w:lineRule="auto"/>
        <w:rPr>
          <w:rFonts w:ascii="宋体" w:hAnsi="宋体"/>
          <w:sz w:val="24"/>
          <w:szCs w:val="28"/>
          <w:highlight w:val="none"/>
        </w:rPr>
      </w:pPr>
      <w:r>
        <w:rPr>
          <w:rFonts w:hint="eastAsia" w:ascii="宋体" w:hAnsi="宋体"/>
          <w:sz w:val="24"/>
          <w:szCs w:val="28"/>
          <w:highlight w:val="none"/>
        </w:rPr>
        <w:t>6、在采购活动开始前没有获准采购进口产品而开展采购活动的，视同为拒绝采购进口产品；</w:t>
      </w:r>
    </w:p>
    <w:p w14:paraId="1E8DF312">
      <w:pPr>
        <w:spacing w:line="360" w:lineRule="auto"/>
        <w:rPr>
          <w:rFonts w:hint="eastAsia" w:ascii="宋体" w:hAnsi="宋体"/>
          <w:sz w:val="24"/>
          <w:szCs w:val="28"/>
          <w:highlight w:val="none"/>
        </w:rPr>
      </w:pPr>
      <w:r>
        <w:rPr>
          <w:rFonts w:hint="eastAsia" w:ascii="宋体" w:hAnsi="宋体"/>
          <w:sz w:val="24"/>
          <w:szCs w:val="28"/>
          <w:highlight w:val="none"/>
        </w:rPr>
        <w:t>7、下列采购需求中：如属于最新一期《节能产品政府采购清单》中政府强制采购的节能产品，则供应商所投产品须为最新一期《节能产品政府采购清单》内所列产品；</w:t>
      </w:r>
    </w:p>
    <w:p w14:paraId="47CEC172">
      <w:pPr>
        <w:spacing w:line="360" w:lineRule="auto"/>
        <w:rPr>
          <w:rFonts w:hint="eastAsia" w:ascii="宋体" w:hAnsi="宋体"/>
          <w:sz w:val="24"/>
          <w:highlight w:val="none"/>
        </w:rPr>
      </w:pPr>
      <w:r>
        <w:rPr>
          <w:rFonts w:hint="eastAsia" w:ascii="宋体" w:hAnsi="宋体"/>
          <w:sz w:val="24"/>
          <w:highlight w:val="none"/>
        </w:rPr>
        <w:t>8、下列采购需求中：标注▲的产品，供应商在响应文件《主要成交标的承诺函》中填写名称、规格、型号、数量、单价等信息，承诺函随评审结果一并公告；</w:t>
      </w:r>
    </w:p>
    <w:p w14:paraId="37469E54">
      <w:pPr>
        <w:spacing w:line="360" w:lineRule="auto"/>
        <w:rPr>
          <w:rFonts w:hint="eastAsia" w:ascii="宋体" w:hAnsi="宋体"/>
          <w:sz w:val="24"/>
          <w:highlight w:val="none"/>
        </w:rPr>
      </w:pPr>
      <w:r>
        <w:rPr>
          <w:rFonts w:hint="eastAsia" w:ascii="宋体" w:hAnsi="宋体"/>
          <w:sz w:val="24"/>
          <w:highlight w:val="none"/>
        </w:rPr>
        <w:t>9、单一产品采购项目中，提供同一品牌产品的不同供应商参加同一合同项下投标的，以一家供应商计算有效供应商数量。非单一产品采购项目中，提供标注▲的产品均为同一品牌的不同供应商参加同一合同项下投标的，以一家供应商计算有效供应商数量。</w:t>
      </w:r>
    </w:p>
    <w:p w14:paraId="73B5A039">
      <w:pPr>
        <w:autoSpaceDE w:val="0"/>
        <w:autoSpaceDN w:val="0"/>
        <w:adjustRightInd w:val="0"/>
        <w:spacing w:line="360" w:lineRule="auto"/>
        <w:rPr>
          <w:rFonts w:hint="eastAsia" w:ascii="宋体" w:hAnsi="宋体"/>
          <w:sz w:val="24"/>
          <w:szCs w:val="28"/>
          <w:highlight w:val="none"/>
        </w:rPr>
      </w:pPr>
      <w:r>
        <w:rPr>
          <w:rFonts w:hint="eastAsia" w:ascii="宋体" w:hAnsi="宋体"/>
          <w:sz w:val="24"/>
          <w:szCs w:val="28"/>
          <w:highlight w:val="none"/>
        </w:rPr>
        <w:t>10、如对本比选文件有任何疑问或澄清要求，请按本比选文件“供应商须知前附表”中的约定方式招标采购代理机构，或接受答疑截止时间前联系采购人。否则视同理解和接受。开标后采购人或采购代理机构不再受理对比选文件条款提出的质疑。</w:t>
      </w:r>
    </w:p>
    <w:p w14:paraId="78F62A78">
      <w:pPr>
        <w:autoSpaceDE w:val="0"/>
        <w:autoSpaceDN w:val="0"/>
        <w:adjustRightInd w:val="0"/>
        <w:spacing w:line="360" w:lineRule="auto"/>
        <w:rPr>
          <w:rFonts w:hint="eastAsia" w:ascii="宋体" w:hAnsi="宋体"/>
          <w:sz w:val="24"/>
          <w:szCs w:val="28"/>
          <w:highlight w:val="none"/>
        </w:rPr>
      </w:pPr>
      <w:r>
        <w:rPr>
          <w:rFonts w:hint="eastAsia" w:ascii="宋体" w:hAnsi="宋体"/>
          <w:sz w:val="24"/>
          <w:szCs w:val="28"/>
          <w:highlight w:val="none"/>
        </w:rPr>
        <w:t>11、采购需求前附表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1"/>
        <w:gridCol w:w="2250"/>
        <w:gridCol w:w="5787"/>
      </w:tblGrid>
      <w:tr w14:paraId="0334B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41" w:type="dxa"/>
            <w:noWrap w:val="0"/>
            <w:vAlign w:val="center"/>
          </w:tcPr>
          <w:p w14:paraId="734C02BB">
            <w:pPr>
              <w:pStyle w:val="2"/>
              <w:jc w:val="center"/>
              <w:rPr>
                <w:rFonts w:hint="eastAsia"/>
                <w:b/>
                <w:bCs/>
                <w:sz w:val="24"/>
                <w:highlight w:val="none"/>
              </w:rPr>
            </w:pPr>
            <w:r>
              <w:rPr>
                <w:rFonts w:hint="eastAsia"/>
                <w:b/>
                <w:bCs/>
                <w:sz w:val="24"/>
                <w:highlight w:val="none"/>
              </w:rPr>
              <w:t>序号</w:t>
            </w:r>
          </w:p>
        </w:tc>
        <w:tc>
          <w:tcPr>
            <w:tcW w:w="2250" w:type="dxa"/>
            <w:noWrap w:val="0"/>
            <w:vAlign w:val="center"/>
          </w:tcPr>
          <w:p w14:paraId="70008FC9">
            <w:pPr>
              <w:pStyle w:val="2"/>
              <w:jc w:val="center"/>
              <w:rPr>
                <w:rFonts w:hint="eastAsia"/>
                <w:b/>
                <w:bCs/>
                <w:sz w:val="24"/>
                <w:highlight w:val="none"/>
              </w:rPr>
            </w:pPr>
            <w:r>
              <w:rPr>
                <w:rFonts w:hint="eastAsia"/>
                <w:b/>
                <w:bCs/>
                <w:sz w:val="24"/>
                <w:highlight w:val="none"/>
              </w:rPr>
              <w:t>条款名称</w:t>
            </w:r>
          </w:p>
        </w:tc>
        <w:tc>
          <w:tcPr>
            <w:tcW w:w="5787" w:type="dxa"/>
            <w:noWrap w:val="0"/>
            <w:vAlign w:val="center"/>
          </w:tcPr>
          <w:p w14:paraId="6817D883">
            <w:pPr>
              <w:pStyle w:val="2"/>
              <w:jc w:val="center"/>
              <w:rPr>
                <w:rFonts w:hint="eastAsia"/>
                <w:b/>
                <w:bCs/>
                <w:sz w:val="24"/>
                <w:highlight w:val="none"/>
              </w:rPr>
            </w:pPr>
            <w:r>
              <w:rPr>
                <w:rFonts w:hint="eastAsia"/>
                <w:b/>
                <w:bCs/>
                <w:sz w:val="24"/>
                <w:highlight w:val="none"/>
              </w:rPr>
              <w:t>内容、说明与要求</w:t>
            </w:r>
          </w:p>
        </w:tc>
      </w:tr>
      <w:tr w14:paraId="148C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041" w:type="dxa"/>
            <w:noWrap w:val="0"/>
            <w:vAlign w:val="center"/>
          </w:tcPr>
          <w:p w14:paraId="64F17888">
            <w:pPr>
              <w:pStyle w:val="2"/>
              <w:jc w:val="center"/>
              <w:rPr>
                <w:rFonts w:hint="eastAsia"/>
                <w:sz w:val="24"/>
                <w:highlight w:val="none"/>
              </w:rPr>
            </w:pPr>
            <w:r>
              <w:rPr>
                <w:rFonts w:hint="eastAsia"/>
                <w:sz w:val="24"/>
                <w:highlight w:val="none"/>
              </w:rPr>
              <w:t>1</w:t>
            </w:r>
          </w:p>
        </w:tc>
        <w:tc>
          <w:tcPr>
            <w:tcW w:w="2250" w:type="dxa"/>
            <w:noWrap w:val="0"/>
            <w:vAlign w:val="center"/>
          </w:tcPr>
          <w:p w14:paraId="27659722">
            <w:pPr>
              <w:pStyle w:val="2"/>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付款方式</w:t>
            </w:r>
          </w:p>
        </w:tc>
        <w:tc>
          <w:tcPr>
            <w:tcW w:w="5787" w:type="dxa"/>
            <w:noWrap w:val="0"/>
            <w:vAlign w:val="center"/>
          </w:tcPr>
          <w:p w14:paraId="2E989E9D">
            <w:pPr>
              <w:spacing w:line="400" w:lineRule="exact"/>
              <w:jc w:val="left"/>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验收合格后，采购人一次性支付全额货款</w:t>
            </w:r>
          </w:p>
        </w:tc>
      </w:tr>
      <w:tr w14:paraId="6553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041" w:type="dxa"/>
            <w:noWrap w:val="0"/>
            <w:vAlign w:val="center"/>
          </w:tcPr>
          <w:p w14:paraId="13EBD428">
            <w:pPr>
              <w:pStyle w:val="2"/>
              <w:jc w:val="center"/>
              <w:rPr>
                <w:rFonts w:hint="eastAsia"/>
                <w:sz w:val="24"/>
                <w:highlight w:val="none"/>
              </w:rPr>
            </w:pPr>
            <w:r>
              <w:rPr>
                <w:rFonts w:hint="eastAsia"/>
                <w:sz w:val="24"/>
                <w:highlight w:val="none"/>
              </w:rPr>
              <w:t>2</w:t>
            </w:r>
          </w:p>
        </w:tc>
        <w:tc>
          <w:tcPr>
            <w:tcW w:w="2250" w:type="dxa"/>
            <w:noWrap w:val="0"/>
            <w:vAlign w:val="center"/>
          </w:tcPr>
          <w:p w14:paraId="426CB878">
            <w:pPr>
              <w:pStyle w:val="2"/>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供货及服务地点</w:t>
            </w:r>
          </w:p>
        </w:tc>
        <w:tc>
          <w:tcPr>
            <w:tcW w:w="5787" w:type="dxa"/>
            <w:noWrap w:val="0"/>
            <w:vAlign w:val="center"/>
          </w:tcPr>
          <w:p w14:paraId="75AD6EF6">
            <w:pPr>
              <w:pStyle w:val="2"/>
              <w:jc w:val="left"/>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合肥工业大学</w:t>
            </w:r>
            <w:r>
              <w:rPr>
                <w:rFonts w:hint="eastAsia" w:ascii="宋体" w:hAnsi="宋体" w:eastAsia="宋体" w:cs="宋体"/>
                <w:bCs/>
                <w:color w:val="auto"/>
                <w:sz w:val="24"/>
                <w:highlight w:val="none"/>
                <w:lang w:val="en-US" w:eastAsia="zh-CN"/>
              </w:rPr>
              <w:t>宣城校区</w:t>
            </w:r>
          </w:p>
        </w:tc>
      </w:tr>
      <w:tr w14:paraId="70E0B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41" w:type="dxa"/>
            <w:noWrap w:val="0"/>
            <w:vAlign w:val="center"/>
          </w:tcPr>
          <w:p w14:paraId="17D24953">
            <w:pPr>
              <w:pStyle w:val="2"/>
              <w:jc w:val="center"/>
              <w:rPr>
                <w:rFonts w:hint="eastAsia"/>
                <w:sz w:val="24"/>
                <w:highlight w:val="none"/>
              </w:rPr>
            </w:pPr>
            <w:r>
              <w:rPr>
                <w:rFonts w:hint="eastAsia"/>
                <w:sz w:val="24"/>
                <w:highlight w:val="none"/>
              </w:rPr>
              <w:t>3</w:t>
            </w:r>
          </w:p>
        </w:tc>
        <w:tc>
          <w:tcPr>
            <w:tcW w:w="2250" w:type="dxa"/>
            <w:noWrap w:val="0"/>
            <w:vAlign w:val="center"/>
          </w:tcPr>
          <w:p w14:paraId="76073F48">
            <w:pPr>
              <w:spacing w:line="500" w:lineRule="exact"/>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供货及安装期限</w:t>
            </w:r>
          </w:p>
        </w:tc>
        <w:tc>
          <w:tcPr>
            <w:tcW w:w="5787" w:type="dxa"/>
            <w:noWrap w:val="0"/>
            <w:vAlign w:val="center"/>
          </w:tcPr>
          <w:p w14:paraId="57E817D0">
            <w:pPr>
              <w:spacing w:line="500" w:lineRule="exact"/>
              <w:jc w:val="left"/>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合同签订后1个月内完成供货安装调试</w:t>
            </w:r>
          </w:p>
        </w:tc>
      </w:tr>
      <w:tr w14:paraId="789F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41" w:type="dxa"/>
            <w:noWrap w:val="0"/>
            <w:vAlign w:val="center"/>
          </w:tcPr>
          <w:p w14:paraId="633905C0">
            <w:pPr>
              <w:pStyle w:val="2"/>
              <w:jc w:val="center"/>
              <w:rPr>
                <w:sz w:val="24"/>
                <w:highlight w:val="none"/>
              </w:rPr>
            </w:pPr>
            <w:r>
              <w:rPr>
                <w:rFonts w:hint="eastAsia"/>
                <w:sz w:val="24"/>
                <w:highlight w:val="none"/>
              </w:rPr>
              <w:t>4</w:t>
            </w:r>
          </w:p>
        </w:tc>
        <w:tc>
          <w:tcPr>
            <w:tcW w:w="2250" w:type="dxa"/>
            <w:noWrap w:val="0"/>
            <w:vAlign w:val="center"/>
          </w:tcPr>
          <w:p w14:paraId="07F0347C">
            <w:pPr>
              <w:spacing w:line="500" w:lineRule="exact"/>
              <w:jc w:val="center"/>
              <w:rPr>
                <w:rFonts w:hint="eastAsia"/>
                <w:sz w:val="24"/>
                <w:highlight w:val="none"/>
              </w:rPr>
            </w:pPr>
            <w:r>
              <w:rPr>
                <w:rFonts w:hint="eastAsia" w:ascii="宋体" w:hAnsi="宋体"/>
                <w:sz w:val="24"/>
                <w:highlight w:val="none"/>
                <w:lang w:val="zh-CN"/>
              </w:rPr>
              <w:t>免费质保期</w:t>
            </w:r>
          </w:p>
        </w:tc>
        <w:tc>
          <w:tcPr>
            <w:tcW w:w="5787" w:type="dxa"/>
            <w:noWrap w:val="0"/>
            <w:vAlign w:val="center"/>
          </w:tcPr>
          <w:p w14:paraId="70DCCE1A">
            <w:pPr>
              <w:spacing w:line="500" w:lineRule="exact"/>
              <w:jc w:val="left"/>
              <w:rPr>
                <w:rFonts w:hint="eastAsia"/>
                <w:sz w:val="24"/>
                <w:highlight w:val="none"/>
              </w:rPr>
            </w:pPr>
            <w:r>
              <w:rPr>
                <w:rFonts w:hint="eastAsia" w:ascii="宋体" w:hAnsi="宋体"/>
                <w:sz w:val="24"/>
                <w:highlight w:val="none"/>
              </w:rPr>
              <w:t>本项目免费质量保证期要求不低于</w:t>
            </w:r>
            <w:r>
              <w:rPr>
                <w:rFonts w:hint="eastAsia" w:ascii="宋体" w:hAnsi="宋体"/>
                <w:sz w:val="24"/>
                <w:highlight w:val="none"/>
                <w:lang w:val="en-US" w:eastAsia="zh-CN"/>
              </w:rPr>
              <w:t>1</w:t>
            </w:r>
            <w:r>
              <w:rPr>
                <w:rFonts w:hint="eastAsia" w:ascii="宋体" w:hAnsi="宋体"/>
                <w:sz w:val="24"/>
                <w:highlight w:val="none"/>
              </w:rPr>
              <w:t>年。免费质量保证期从货物供货、安装、调试正常且经采购人综合运行验收合格后开始计算。</w:t>
            </w:r>
          </w:p>
        </w:tc>
      </w:tr>
      <w:tr w14:paraId="061E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41" w:type="dxa"/>
            <w:noWrap w:val="0"/>
            <w:vAlign w:val="center"/>
          </w:tcPr>
          <w:p w14:paraId="373A3FE9">
            <w:pPr>
              <w:pStyle w:val="2"/>
              <w:jc w:val="center"/>
              <w:rPr>
                <w:sz w:val="24"/>
                <w:highlight w:val="none"/>
              </w:rPr>
            </w:pPr>
            <w:r>
              <w:rPr>
                <w:rFonts w:hint="eastAsia"/>
                <w:sz w:val="24"/>
                <w:highlight w:val="none"/>
              </w:rPr>
              <w:t>5</w:t>
            </w:r>
          </w:p>
        </w:tc>
        <w:tc>
          <w:tcPr>
            <w:tcW w:w="2250" w:type="dxa"/>
            <w:noWrap w:val="0"/>
            <w:vAlign w:val="center"/>
          </w:tcPr>
          <w:p w14:paraId="3FA21563">
            <w:pPr>
              <w:pStyle w:val="2"/>
              <w:jc w:val="center"/>
              <w:rPr>
                <w:rFonts w:hint="eastAsia"/>
                <w:kern w:val="2"/>
                <w:sz w:val="24"/>
                <w:szCs w:val="24"/>
                <w:highlight w:val="none"/>
                <w:lang w:val="en-US" w:eastAsia="zh-CN" w:bidi="ar-SA"/>
              </w:rPr>
            </w:pPr>
            <w:r>
              <w:rPr>
                <w:rFonts w:hint="eastAsia" w:ascii="Times New Roman" w:hAnsi="Times New Roman" w:eastAsia="宋体" w:cs="Times New Roman"/>
                <w:sz w:val="24"/>
              </w:rPr>
              <w:t>指标类型</w:t>
            </w:r>
          </w:p>
        </w:tc>
        <w:tc>
          <w:tcPr>
            <w:tcW w:w="5787" w:type="dxa"/>
            <w:noWrap w:val="0"/>
            <w:vAlign w:val="center"/>
          </w:tcPr>
          <w:p w14:paraId="4A762402">
            <w:pPr>
              <w:pStyle w:val="2"/>
              <w:jc w:val="both"/>
              <w:rPr>
                <w:rFonts w:hint="eastAsia"/>
                <w:kern w:val="2"/>
                <w:sz w:val="24"/>
                <w:szCs w:val="24"/>
                <w:highlight w:val="none"/>
                <w:lang w:val="en-US" w:eastAsia="zh-CN" w:bidi="ar-SA"/>
              </w:rPr>
            </w:pPr>
            <w:r>
              <w:rPr>
                <w:rFonts w:hint="eastAsia" w:ascii="Times New Roman" w:hAnsi="Times New Roman" w:eastAsia="宋体" w:cs="Times New Roman"/>
                <w:sz w:val="24"/>
              </w:rPr>
              <w:t>指标类型“▲”为核心产品，★为重要指标，其它均为一般指标。</w:t>
            </w:r>
          </w:p>
        </w:tc>
      </w:tr>
      <w:tr w14:paraId="3A7C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41" w:type="dxa"/>
            <w:noWrap w:val="0"/>
            <w:vAlign w:val="center"/>
          </w:tcPr>
          <w:p w14:paraId="5B610B73">
            <w:pPr>
              <w:pStyle w:val="2"/>
              <w:jc w:val="center"/>
              <w:rPr>
                <w:rFonts w:hint="eastAsia" w:eastAsia="宋体"/>
                <w:sz w:val="24"/>
                <w:highlight w:val="none"/>
                <w:lang w:val="en-US" w:eastAsia="zh-CN"/>
              </w:rPr>
            </w:pPr>
            <w:r>
              <w:rPr>
                <w:rFonts w:hint="eastAsia"/>
                <w:sz w:val="24"/>
                <w:highlight w:val="none"/>
                <w:lang w:val="en-US" w:eastAsia="zh-CN"/>
              </w:rPr>
              <w:t>6</w:t>
            </w:r>
          </w:p>
        </w:tc>
        <w:tc>
          <w:tcPr>
            <w:tcW w:w="2250" w:type="dxa"/>
            <w:noWrap w:val="0"/>
            <w:vAlign w:val="center"/>
          </w:tcPr>
          <w:p w14:paraId="14AF833B">
            <w:pPr>
              <w:pStyle w:val="2"/>
              <w:jc w:val="center"/>
              <w:rPr>
                <w:rFonts w:hint="eastAsia"/>
                <w:kern w:val="2"/>
                <w:sz w:val="24"/>
                <w:szCs w:val="24"/>
                <w:highlight w:val="none"/>
                <w:lang w:val="en-US" w:eastAsia="zh-CN" w:bidi="ar-SA"/>
              </w:rPr>
            </w:pPr>
            <w:r>
              <w:rPr>
                <w:rFonts w:hint="eastAsia"/>
                <w:sz w:val="24"/>
                <w:highlight w:val="none"/>
              </w:rPr>
              <w:t>所属行业</w:t>
            </w:r>
          </w:p>
        </w:tc>
        <w:tc>
          <w:tcPr>
            <w:tcW w:w="5787" w:type="dxa"/>
            <w:noWrap w:val="0"/>
            <w:vAlign w:val="center"/>
          </w:tcPr>
          <w:p w14:paraId="0A767347">
            <w:pPr>
              <w:pStyle w:val="8"/>
              <w:rPr>
                <w:rFonts w:hint="eastAsia" w:eastAsia="宋体"/>
                <w:lang w:val="en-US" w:eastAsia="zh-CN"/>
              </w:rPr>
            </w:pPr>
            <w:r>
              <w:rPr>
                <w:rFonts w:hint="eastAsia"/>
                <w:sz w:val="24"/>
                <w:highlight w:val="none"/>
              </w:rPr>
              <w:t>工业</w:t>
            </w:r>
          </w:p>
        </w:tc>
      </w:tr>
    </w:tbl>
    <w:p w14:paraId="3FD38693">
      <w:pPr>
        <w:pStyle w:val="2"/>
        <w:rPr>
          <w:rFonts w:hint="eastAsia"/>
          <w:highlight w:val="none"/>
        </w:rPr>
      </w:pPr>
    </w:p>
    <w:p w14:paraId="6C687AFE">
      <w:pPr>
        <w:autoSpaceDE w:val="0"/>
        <w:autoSpaceDN w:val="0"/>
        <w:adjustRightInd w:val="0"/>
        <w:spacing w:line="360" w:lineRule="auto"/>
        <w:rPr>
          <w:rFonts w:hint="eastAsia" w:ascii="宋体" w:hAnsi="宋体"/>
          <w:sz w:val="24"/>
          <w:szCs w:val="28"/>
          <w:highlight w:val="none"/>
        </w:rPr>
      </w:pPr>
      <w:r>
        <w:rPr>
          <w:rFonts w:hint="eastAsia" w:ascii="宋体" w:hAnsi="宋体" w:cs="宋体"/>
          <w:b w:val="0"/>
          <w:bCs w:val="0"/>
          <w:sz w:val="24"/>
          <w:highlight w:val="none"/>
          <w:lang w:val="en-US" w:eastAsia="zh-CN"/>
        </w:rPr>
        <w:t>12、</w:t>
      </w:r>
      <w:r>
        <w:rPr>
          <w:rFonts w:hint="eastAsia" w:ascii="宋体" w:hAnsi="宋体"/>
          <w:sz w:val="24"/>
          <w:szCs w:val="28"/>
          <w:highlight w:val="none"/>
        </w:rPr>
        <w:t>具体需求如下：</w:t>
      </w:r>
    </w:p>
    <w:tbl>
      <w:tblPr>
        <w:tblStyle w:val="6"/>
        <w:tblW w:w="5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009"/>
        <w:gridCol w:w="5443"/>
        <w:gridCol w:w="774"/>
        <w:gridCol w:w="1020"/>
        <w:gridCol w:w="1020"/>
        <w:gridCol w:w="1185"/>
      </w:tblGrid>
      <w:tr w14:paraId="7C9D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 w:type="pct"/>
            <w:noWrap w:val="0"/>
            <w:vAlign w:val="center"/>
          </w:tcPr>
          <w:p w14:paraId="3399099C">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459" w:type="pct"/>
            <w:noWrap w:val="0"/>
            <w:vAlign w:val="center"/>
          </w:tcPr>
          <w:p w14:paraId="0391B81E">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产品名称</w:t>
            </w:r>
          </w:p>
        </w:tc>
        <w:tc>
          <w:tcPr>
            <w:tcW w:w="2477" w:type="pct"/>
            <w:noWrap w:val="0"/>
            <w:vAlign w:val="center"/>
          </w:tcPr>
          <w:p w14:paraId="66D5D4D0">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技术参数、性能要求</w:t>
            </w:r>
          </w:p>
        </w:tc>
        <w:tc>
          <w:tcPr>
            <w:tcW w:w="352" w:type="pct"/>
            <w:noWrap w:val="0"/>
            <w:vAlign w:val="center"/>
          </w:tcPr>
          <w:p w14:paraId="6D381F74">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数量</w:t>
            </w:r>
          </w:p>
          <w:p w14:paraId="335C847B">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（单位）</w:t>
            </w:r>
          </w:p>
        </w:tc>
        <w:tc>
          <w:tcPr>
            <w:tcW w:w="464" w:type="pct"/>
            <w:noWrap w:val="0"/>
            <w:vAlign w:val="center"/>
          </w:tcPr>
          <w:p w14:paraId="1561FB79">
            <w:pPr>
              <w:keepNext w:val="0"/>
              <w:keepLines w:val="0"/>
              <w:pageBreakBefore w:val="0"/>
              <w:kinsoku/>
              <w:wordWrap/>
              <w:overflowPunct/>
              <w:topLinePunct w:val="0"/>
              <w:autoSpaceDE/>
              <w:autoSpaceDN/>
              <w:bidi w:val="0"/>
              <w:spacing w:line="360" w:lineRule="auto"/>
              <w:jc w:val="center"/>
              <w:rPr>
                <w:rFonts w:hint="default" w:ascii="宋体" w:hAnsi="宋体" w:eastAsia="宋体" w:cs="宋体"/>
                <w:b/>
                <w:iCs/>
                <w:color w:val="auto"/>
                <w:sz w:val="24"/>
                <w:highlight w:val="none"/>
                <w:lang w:val="en-US" w:eastAsia="zh-CN"/>
              </w:rPr>
            </w:pPr>
            <w:r>
              <w:rPr>
                <w:rFonts w:hint="eastAsia" w:ascii="宋体" w:hAnsi="宋体" w:cs="宋体"/>
                <w:b/>
                <w:iCs/>
                <w:color w:val="auto"/>
                <w:sz w:val="24"/>
                <w:highlight w:val="none"/>
                <w:lang w:val="en-US" w:eastAsia="zh-CN"/>
              </w:rPr>
              <w:t>单项控制价（万元）</w:t>
            </w:r>
          </w:p>
        </w:tc>
        <w:tc>
          <w:tcPr>
            <w:tcW w:w="464" w:type="pct"/>
            <w:noWrap w:val="0"/>
            <w:vAlign w:val="center"/>
          </w:tcPr>
          <w:p w14:paraId="43B8F55E">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eastAsia="宋体" w:cs="宋体"/>
                <w:b/>
                <w:iCs/>
                <w:color w:val="auto"/>
                <w:sz w:val="24"/>
                <w:highlight w:val="none"/>
                <w:lang w:val="en-US" w:eastAsia="zh-CN"/>
              </w:rPr>
              <w:t>安装地点</w:t>
            </w:r>
          </w:p>
        </w:tc>
        <w:tc>
          <w:tcPr>
            <w:tcW w:w="539" w:type="pct"/>
            <w:noWrap w:val="0"/>
            <w:vAlign w:val="center"/>
          </w:tcPr>
          <w:p w14:paraId="09E92EFA">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sz w:val="24"/>
                <w:highlight w:val="none"/>
              </w:rPr>
              <w:t>备注（进口或强制节能）</w:t>
            </w:r>
          </w:p>
        </w:tc>
      </w:tr>
      <w:tr w14:paraId="3FF0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65BE63B3">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w:t>
            </w:r>
          </w:p>
        </w:tc>
        <w:tc>
          <w:tcPr>
            <w:tcW w:w="459" w:type="pct"/>
            <w:noWrap w:val="0"/>
            <w:vAlign w:val="center"/>
          </w:tcPr>
          <w:p w14:paraId="0D5E7699">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rPr>
            </w:pPr>
            <w:r>
              <w:rPr>
                <w:rFonts w:hint="eastAsia" w:ascii="Times New Roman" w:hAnsi="Times New Roman" w:eastAsia="宋体" w:cs="Times New Roman"/>
                <w:color w:val="auto"/>
                <w:sz w:val="24"/>
                <w:highlight w:val="none"/>
              </w:rPr>
              <w:t>▲</w:t>
            </w:r>
            <w:r>
              <w:rPr>
                <w:rFonts w:hint="eastAsia" w:ascii="宋体" w:hAnsi="宋体" w:eastAsia="宋体" w:cs="宋体"/>
                <w:color w:val="auto"/>
                <w:sz w:val="24"/>
                <w:szCs w:val="24"/>
                <w:highlight w:val="none"/>
              </w:rPr>
              <w:t>筛板精馏实验装置</w:t>
            </w:r>
          </w:p>
        </w:tc>
        <w:tc>
          <w:tcPr>
            <w:tcW w:w="2477" w:type="pct"/>
            <w:noWrap w:val="0"/>
            <w:vAlign w:val="top"/>
          </w:tcPr>
          <w:p w14:paraId="3D12394F">
            <w:pPr>
              <w:keepNext w:val="0"/>
              <w:keepLines w:val="0"/>
              <w:pageBreakBefore w:val="0"/>
              <w:kinsoku/>
              <w:wordWrap/>
              <w:overflowPunct/>
              <w:topLinePunct w:val="0"/>
              <w:autoSpaceDE/>
              <w:autoSpaceDN/>
              <w:bidi w:val="0"/>
              <w:spacing w:before="156" w:beforeLines="50" w:after="156" w:afterLines="50" w:line="36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筛板精馏实验装置</w:t>
            </w:r>
            <w:r>
              <w:rPr>
                <w:rFonts w:hint="eastAsia" w:ascii="宋体" w:hAnsi="宋体" w:eastAsia="宋体" w:cs="宋体"/>
                <w:b/>
                <w:bCs/>
                <w:color w:val="auto"/>
                <w:sz w:val="24"/>
                <w:szCs w:val="24"/>
                <w:highlight w:val="none"/>
                <w:lang w:val="en-US" w:eastAsia="zh-CN"/>
              </w:rPr>
              <w:t>包含以下3项配置内容：</w:t>
            </w:r>
          </w:p>
          <w:p w14:paraId="6110C74F">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1、装置主体硬件部分</w:t>
            </w:r>
          </w:p>
          <w:p w14:paraId="43936B49">
            <w:pPr>
              <w:keepNext w:val="0"/>
              <w:keepLines w:val="0"/>
              <w:pageBreakBefore w:val="0"/>
              <w:kinsoku/>
              <w:wordWrap/>
              <w:overflowPunct/>
              <w:topLinePunct w:val="0"/>
              <w:autoSpaceDE/>
              <w:autoSpaceDN/>
              <w:bidi w:val="0"/>
              <w:spacing w:line="360" w:lineRule="auto"/>
              <w:ind w:firstLine="240" w:firstLineChars="1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塔体、塔釜、塔顶冷凝器、原料管、馏分器、产品罐、塔釜溢流管 各1个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转子流量计 4个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进料泵、回流泵 各1台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倒料泵 1台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耐高温压力传感器 1个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温度传感器 14个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低温冷却液循环泵 1台</w:t>
            </w:r>
            <w:r>
              <w:rPr>
                <w:rFonts w:hint="eastAsia" w:ascii="宋体" w:hAnsi="宋体" w:eastAsia="宋体" w:cs="宋体"/>
                <w:color w:val="auto"/>
                <w:sz w:val="24"/>
                <w:szCs w:val="24"/>
                <w:highlight w:val="none"/>
                <w:lang w:eastAsia="zh-CN"/>
              </w:rPr>
              <w:t>。</w:t>
            </w:r>
          </w:p>
          <w:p w14:paraId="03082438">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2、控制系统</w:t>
            </w:r>
          </w:p>
          <w:p w14:paraId="12E1A50B">
            <w:pPr>
              <w:keepNext w:val="0"/>
              <w:keepLines w:val="0"/>
              <w:pageBreakBefore w:val="0"/>
              <w:kinsoku/>
              <w:wordWrap/>
              <w:overflowPunct/>
              <w:topLinePunct w:val="0"/>
              <w:autoSpaceDE/>
              <w:autoSpaceDN/>
              <w:bidi w:val="0"/>
              <w:spacing w:line="360" w:lineRule="auto"/>
              <w:ind w:firstLine="240" w:firstLineChars="1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总控制柜 1个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工业一体化操控终端 1台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装置监测与控制软件 1套</w:t>
            </w:r>
            <w:r>
              <w:rPr>
                <w:rFonts w:hint="eastAsia" w:ascii="宋体" w:hAnsi="宋体" w:eastAsia="宋体" w:cs="宋体"/>
                <w:color w:val="auto"/>
                <w:sz w:val="24"/>
                <w:szCs w:val="24"/>
                <w:highlight w:val="none"/>
                <w:lang w:eastAsia="zh-CN"/>
              </w:rPr>
              <w:t>。</w:t>
            </w:r>
          </w:p>
          <w:p w14:paraId="0880FFA1">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3、配套资源</w:t>
            </w:r>
          </w:p>
          <w:p w14:paraId="372C3BA4">
            <w:pPr>
              <w:keepNext w:val="0"/>
              <w:keepLines w:val="0"/>
              <w:pageBreakBefore w:val="0"/>
              <w:kinsoku/>
              <w:wordWrap/>
              <w:overflowPunct/>
              <w:topLinePunct w:val="0"/>
              <w:autoSpaceDE/>
              <w:autoSpaceDN/>
              <w:bidi w:val="0"/>
              <w:spacing w:before="156" w:beforeLines="50" w:after="156" w:afterLines="50"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在线学习系统（账号满足实际学生数量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约100人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MES实验信息管理系统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实验辅助系统（账号满足实际学生数量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约100人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实验微课视频（网络链接）</w:t>
            </w:r>
            <w:r>
              <w:rPr>
                <w:rFonts w:hint="eastAsia" w:ascii="宋体" w:hAnsi="宋体" w:eastAsia="宋体" w:cs="宋体"/>
                <w:color w:val="auto"/>
                <w:sz w:val="24"/>
                <w:szCs w:val="24"/>
                <w:highlight w:val="none"/>
                <w:lang w:eastAsia="zh-CN"/>
              </w:rPr>
              <w:t>。</w:t>
            </w:r>
          </w:p>
          <w:p w14:paraId="76B21BD9">
            <w:pPr>
              <w:keepNext w:val="0"/>
              <w:keepLines w:val="0"/>
              <w:pageBreakBefore w:val="0"/>
              <w:kinsoku/>
              <w:wordWrap/>
              <w:overflowPunct/>
              <w:topLinePunct w:val="0"/>
              <w:autoSpaceDE/>
              <w:autoSpaceDN/>
              <w:bidi w:val="0"/>
              <w:spacing w:before="156" w:beforeLines="50" w:after="156" w:afterLines="50"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、装置功能要求</w:t>
            </w:r>
          </w:p>
          <w:p w14:paraId="79CD0AD2">
            <w:pPr>
              <w:keepNext w:val="0"/>
              <w:keepLines w:val="0"/>
              <w:pageBreakBefore w:val="0"/>
              <w:kinsoku/>
              <w:wordWrap/>
              <w:overflowPunct/>
              <w:topLinePunct w:val="0"/>
              <w:autoSpaceDE/>
              <w:autoSpaceDN/>
              <w:bidi w:val="0"/>
              <w:adjustRightInd w:val="0"/>
              <w:snapToGrid w:val="0"/>
              <w:spacing w:line="360" w:lineRule="auto"/>
              <w:ind w:left="210" w:left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1、可测定全回流时板式精馏塔全塔效率和单板效率。</w:t>
            </w:r>
          </w:p>
          <w:p w14:paraId="0FCC625D">
            <w:pPr>
              <w:keepNext w:val="0"/>
              <w:keepLines w:val="0"/>
              <w:pageBreakBefore w:val="0"/>
              <w:kinsoku/>
              <w:wordWrap/>
              <w:overflowPunct/>
              <w:topLinePunct w:val="0"/>
              <w:autoSpaceDE/>
              <w:autoSpaceDN/>
              <w:bidi w:val="0"/>
              <w:adjustRightInd w:val="0"/>
              <w:snapToGrid w:val="0"/>
              <w:spacing w:line="360" w:lineRule="auto"/>
              <w:ind w:left="210" w:left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2、装置为筛板单溢流降液管塔，塔身局部设置观察视盅，能观察塔体内部结构及气液交换状态。</w:t>
            </w:r>
          </w:p>
          <w:p w14:paraId="699BFC3A">
            <w:pPr>
              <w:keepNext w:val="0"/>
              <w:keepLines w:val="0"/>
              <w:pageBreakBefore w:val="0"/>
              <w:kinsoku/>
              <w:wordWrap/>
              <w:overflowPunct/>
              <w:topLinePunct w:val="0"/>
              <w:autoSpaceDE/>
              <w:autoSpaceDN/>
              <w:bidi w:val="0"/>
              <w:adjustRightInd w:val="0"/>
              <w:snapToGrid w:val="0"/>
              <w:spacing w:line="360" w:lineRule="auto"/>
              <w:ind w:left="210" w:left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3、能实现回流比手动控制，研究回流比对精馏塔分离效率的影响。</w:t>
            </w:r>
          </w:p>
          <w:p w14:paraId="0ADAA484">
            <w:pPr>
              <w:keepNext w:val="0"/>
              <w:keepLines w:val="0"/>
              <w:pageBreakBefore w:val="0"/>
              <w:kinsoku/>
              <w:wordWrap/>
              <w:overflowPunct/>
              <w:topLinePunct w:val="0"/>
              <w:autoSpaceDE/>
              <w:autoSpaceDN/>
              <w:bidi w:val="0"/>
              <w:adjustRightInd w:val="0"/>
              <w:snapToGrid w:val="0"/>
              <w:spacing w:line="360" w:lineRule="auto"/>
              <w:ind w:left="210" w:leftChars="100"/>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b/>
                <w:bCs/>
                <w:color w:val="auto"/>
                <w:sz w:val="24"/>
                <w:szCs w:val="24"/>
                <w:highlight w:val="none"/>
              </w:rPr>
              <w:t>装置</w:t>
            </w:r>
            <w:r>
              <w:rPr>
                <w:rFonts w:hint="eastAsia" w:ascii="宋体" w:hAnsi="宋体" w:eastAsia="宋体" w:cs="宋体"/>
                <w:b/>
                <w:bCs/>
                <w:color w:val="auto"/>
                <w:sz w:val="24"/>
                <w:szCs w:val="24"/>
                <w:highlight w:val="none"/>
                <w:lang w:val="en-US" w:eastAsia="zh-CN"/>
              </w:rPr>
              <w:t>能够实现超重力精馏功能；</w:t>
            </w:r>
          </w:p>
          <w:p w14:paraId="3C4F556A">
            <w:pPr>
              <w:keepNext w:val="0"/>
              <w:keepLines w:val="0"/>
              <w:pageBreakBefore w:val="0"/>
              <w:kinsoku/>
              <w:wordWrap/>
              <w:overflowPunct/>
              <w:topLinePunct w:val="0"/>
              <w:autoSpaceDE/>
              <w:autoSpaceDN/>
              <w:bidi w:val="0"/>
              <w:adjustRightInd w:val="0"/>
              <w:snapToGrid w:val="0"/>
              <w:spacing w:line="360" w:lineRule="auto"/>
              <w:ind w:left="210" w:left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5、装置无需外接自来水即可正常实验。</w:t>
            </w:r>
          </w:p>
          <w:p w14:paraId="61CC8560">
            <w:pPr>
              <w:keepNext w:val="0"/>
              <w:keepLines w:val="0"/>
              <w:pageBreakBefore w:val="0"/>
              <w:kinsoku/>
              <w:wordWrap/>
              <w:overflowPunct/>
              <w:topLinePunct w:val="0"/>
              <w:autoSpaceDE/>
              <w:autoSpaceDN/>
              <w:bidi w:val="0"/>
              <w:spacing w:before="156" w:beforeLines="50" w:after="156" w:afterLines="50"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、主要技术参数要求</w:t>
            </w:r>
          </w:p>
          <w:p w14:paraId="13F12C71">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1、设计要求</w:t>
            </w:r>
          </w:p>
          <w:p w14:paraId="35DA98A7">
            <w:pPr>
              <w:keepNext w:val="0"/>
              <w:keepLines w:val="0"/>
              <w:pageBreakBefore w:val="0"/>
              <w:kinsoku/>
              <w:wordWrap/>
              <w:overflowPunct/>
              <w:topLinePunct w:val="0"/>
              <w:autoSpaceDE/>
              <w:autoSpaceDN/>
              <w:bidi w:val="0"/>
              <w:adjustRightInd w:val="0"/>
              <w:snapToGrid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体系：水—乙醇。</w:t>
            </w:r>
          </w:p>
          <w:p w14:paraId="3280F2F8">
            <w:pPr>
              <w:keepNext w:val="0"/>
              <w:keepLines w:val="0"/>
              <w:pageBreakBefore w:val="0"/>
              <w:kinsoku/>
              <w:wordWrap/>
              <w:overflowPunct/>
              <w:topLinePunct w:val="0"/>
              <w:autoSpaceDE/>
              <w:autoSpaceDN/>
              <w:bidi w:val="0"/>
              <w:adjustRightInd w:val="0"/>
              <w:snapToGrid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操作压力：常压。</w:t>
            </w:r>
          </w:p>
          <w:p w14:paraId="72E2EC0F">
            <w:pPr>
              <w:keepNext w:val="0"/>
              <w:keepLines w:val="0"/>
              <w:pageBreakBefore w:val="0"/>
              <w:kinsoku/>
              <w:wordWrap/>
              <w:overflowPunct/>
              <w:topLinePunct w:val="0"/>
              <w:autoSpaceDE/>
              <w:autoSpaceDN/>
              <w:bidi w:val="0"/>
              <w:adjustRightInd w:val="0"/>
              <w:snapToGrid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原料处理量：10~100mL/min。</w:t>
            </w:r>
          </w:p>
          <w:p w14:paraId="6309040F">
            <w:pPr>
              <w:keepNext w:val="0"/>
              <w:keepLines w:val="0"/>
              <w:pageBreakBefore w:val="0"/>
              <w:kinsoku/>
              <w:wordWrap/>
              <w:overflowPunct/>
              <w:topLinePunct w:val="0"/>
              <w:autoSpaceDE/>
              <w:autoSpaceDN/>
              <w:bidi w:val="0"/>
              <w:adjustRightInd w:val="0"/>
              <w:snapToGrid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1.4回流比：0~+∞。</w:t>
            </w:r>
          </w:p>
          <w:p w14:paraId="6FBFF64B">
            <w:pPr>
              <w:keepNext w:val="0"/>
              <w:keepLines w:val="0"/>
              <w:pageBreakBefore w:val="0"/>
              <w:kinsoku/>
              <w:wordWrap/>
              <w:overflowPunct/>
              <w:topLinePunct w:val="0"/>
              <w:autoSpaceDE/>
              <w:autoSpaceDN/>
              <w:bidi w:val="0"/>
              <w:adjustRightInd w:val="0"/>
              <w:snapToGrid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不锈钢筛板塔，筛板开孔率≥9.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p>
          <w:p w14:paraId="16E9BCEC">
            <w:pPr>
              <w:keepNext w:val="0"/>
              <w:keepLines w:val="0"/>
              <w:pageBreakBefore w:val="0"/>
              <w:kinsoku/>
              <w:wordWrap/>
              <w:overflowPunct/>
              <w:topLinePunct w:val="0"/>
              <w:autoSpaceDE/>
              <w:autoSpaceDN/>
              <w:bidi w:val="0"/>
              <w:spacing w:after="120"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1.6塔顶产品浓度V</w:t>
            </w:r>
            <w:r>
              <w:rPr>
                <w:rFonts w:hint="eastAsia" w:ascii="宋体" w:hAnsi="宋体" w:eastAsia="宋体" w:cs="宋体"/>
                <w:color w:val="auto"/>
                <w:sz w:val="24"/>
                <w:szCs w:val="24"/>
                <w:highlight w:val="none"/>
                <w:vertAlign w:val="subscript"/>
              </w:rPr>
              <w:t>20</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p w14:paraId="27B04661">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2、装置主体参数要求</w:t>
            </w:r>
          </w:p>
          <w:p w14:paraId="6962B6D0">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 装置主体由塔体、塔釜、塔顶全冷器、原料管、馏分器、产品罐、塔釜溢流组成，均采用304不锈钢</w:t>
            </w:r>
            <w:r>
              <w:rPr>
                <w:rFonts w:hint="eastAsia" w:ascii="宋体" w:hAnsi="宋体" w:eastAsia="宋体" w:cs="宋体"/>
                <w:color w:val="auto"/>
                <w:kern w:val="0"/>
                <w:sz w:val="24"/>
                <w:szCs w:val="24"/>
                <w:highlight w:val="none"/>
              </w:rPr>
              <w:t>材质。</w:t>
            </w:r>
          </w:p>
          <w:p w14:paraId="1DD11FEA">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2.1.1塔体隔热壳体为镂空工艺，其它罐体采取喷砂工艺。</w:t>
            </w:r>
            <w:r>
              <w:rPr>
                <w:rFonts w:hint="eastAsia" w:ascii="宋体" w:hAnsi="宋体" w:eastAsia="宋体" w:cs="宋体"/>
                <w:b/>
                <w:bCs/>
                <w:color w:val="auto"/>
                <w:kern w:val="0"/>
                <w:sz w:val="24"/>
                <w:szCs w:val="24"/>
                <w:highlight w:val="none"/>
              </w:rPr>
              <w:t>需提供塔体镂空隔热壳体图片1张，罐体喷砂后的罐体效果图1张予以证明。</w:t>
            </w:r>
          </w:p>
          <w:p w14:paraId="460B66F3">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2.1.2塔体：</w:t>
            </w:r>
            <w:r>
              <w:rPr>
                <w:rFonts w:hint="eastAsia" w:ascii="宋体" w:hAnsi="宋体" w:eastAsia="宋体" w:cs="宋体"/>
                <w:color w:val="auto"/>
                <w:kern w:val="0"/>
                <w:sz w:val="24"/>
                <w:szCs w:val="24"/>
                <w:highlight w:val="none"/>
                <w:lang w:val="en-US" w:eastAsia="zh-CN"/>
              </w:rPr>
              <w:t>65</w:t>
            </w:r>
            <w:r>
              <w:rPr>
                <w:rFonts w:hint="eastAsia" w:ascii="宋体" w:hAnsi="宋体" w:eastAsia="宋体" w:cs="宋体"/>
                <w:color w:val="auto"/>
                <w:sz w:val="24"/>
                <w:szCs w:val="24"/>
                <w:highlight w:val="none"/>
              </w:rPr>
              <w:t>mm≤内径≤</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mm，内置不少于12块弓形降液管塔板，设有观察视盅。</w:t>
            </w:r>
          </w:p>
          <w:p w14:paraId="76C7848D">
            <w:pPr>
              <w:keepNext w:val="0"/>
              <w:keepLines w:val="0"/>
              <w:pageBreakBefore w:val="0"/>
              <w:kinsoku/>
              <w:wordWrap/>
              <w:overflowPunct/>
              <w:topLinePunct w:val="0"/>
              <w:autoSpaceDE/>
              <w:autoSpaceDN/>
              <w:bidi w:val="0"/>
              <w:spacing w:line="360" w:lineRule="auto"/>
              <w:ind w:left="183" w:leftChars="87"/>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2.1.3 塔釜：容积≥5L，加热功率≤3kW，功率连续可调，要求塔釜设有液位保护，当液位低于一定高度自动停止加热。</w:t>
            </w:r>
          </w:p>
          <w:p w14:paraId="5747B52D">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2.1.4</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塔顶全凝器：横置列管式，换热面积≥0.3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p w14:paraId="28CEE308">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2.1.5</w:t>
            </w:r>
            <w:r>
              <w:rPr>
                <w:rFonts w:hint="eastAsia" w:ascii="宋体" w:hAnsi="宋体" w:eastAsia="宋体" w:cs="宋体"/>
                <w:color w:val="auto"/>
                <w:kern w:val="0"/>
                <w:sz w:val="24"/>
                <w:szCs w:val="24"/>
                <w:highlight w:val="none"/>
              </w:rPr>
              <w:t xml:space="preserve"> 原料罐：直径≥270mm，容积≥20L。</w:t>
            </w:r>
          </w:p>
          <w:p w14:paraId="461CA152">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2.1.6 </w:t>
            </w:r>
            <w:r>
              <w:rPr>
                <w:rFonts w:hint="eastAsia" w:ascii="宋体" w:hAnsi="宋体" w:eastAsia="宋体" w:cs="宋体"/>
                <w:color w:val="auto"/>
                <w:kern w:val="0"/>
                <w:sz w:val="24"/>
                <w:szCs w:val="24"/>
                <w:highlight w:val="none"/>
              </w:rPr>
              <w:t>馏分器：直径≥60mm，容积≥300ml。</w:t>
            </w:r>
          </w:p>
          <w:p w14:paraId="68DFC18F">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2.1.7 </w:t>
            </w:r>
            <w:r>
              <w:rPr>
                <w:rFonts w:hint="eastAsia" w:ascii="宋体" w:hAnsi="宋体" w:eastAsia="宋体" w:cs="宋体"/>
                <w:color w:val="auto"/>
                <w:kern w:val="0"/>
                <w:sz w:val="24"/>
                <w:szCs w:val="24"/>
                <w:highlight w:val="none"/>
              </w:rPr>
              <w:t>产品罐：直径≥100mm，容积≥1000ml。</w:t>
            </w:r>
          </w:p>
          <w:p w14:paraId="38EC2DF4">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2.1.8</w:t>
            </w:r>
            <w:r>
              <w:rPr>
                <w:rFonts w:hint="eastAsia" w:ascii="宋体" w:hAnsi="宋体" w:eastAsia="宋体" w:cs="宋体"/>
                <w:color w:val="auto"/>
                <w:kern w:val="0"/>
                <w:sz w:val="24"/>
                <w:szCs w:val="24"/>
                <w:highlight w:val="none"/>
              </w:rPr>
              <w:t xml:space="preserve"> 塔釜溢流罐：直径≥150mm，容积≥5000ml。</w:t>
            </w:r>
          </w:p>
          <w:p w14:paraId="40676DDF">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2.2 转子流量计：</w:t>
            </w:r>
            <w:r>
              <w:rPr>
                <w:rFonts w:hint="eastAsia" w:ascii="宋体" w:hAnsi="宋体" w:eastAsia="宋体" w:cs="宋体"/>
                <w:color w:val="auto"/>
                <w:sz w:val="24"/>
                <w:szCs w:val="24"/>
                <w:highlight w:val="none"/>
              </w:rPr>
              <w:t>量程</w:t>
            </w: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11</w:t>
            </w:r>
            <w:r>
              <w:rPr>
                <w:rFonts w:hint="eastAsia" w:ascii="宋体" w:hAnsi="宋体" w:eastAsia="宋体" w:cs="宋体"/>
                <w:color w:val="auto"/>
                <w:sz w:val="24"/>
                <w:szCs w:val="24"/>
                <w:highlight w:val="none"/>
              </w:rPr>
              <w:t>L/min、</w:t>
            </w:r>
            <w:r>
              <w:rPr>
                <w:rFonts w:hint="eastAsia" w:ascii="宋体" w:hAnsi="宋体" w:eastAsia="宋体" w:cs="宋体"/>
                <w:color w:val="auto"/>
                <w:kern w:val="0"/>
                <w:sz w:val="24"/>
                <w:szCs w:val="24"/>
                <w:highlight w:val="none"/>
              </w:rPr>
              <w:t>15</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60ml</w:t>
            </w:r>
            <w:r>
              <w:rPr>
                <w:rFonts w:hint="eastAsia" w:ascii="宋体" w:hAnsi="宋体" w:eastAsia="宋体" w:cs="宋体"/>
                <w:color w:val="auto"/>
                <w:sz w:val="24"/>
                <w:szCs w:val="24"/>
                <w:highlight w:val="none"/>
              </w:rPr>
              <w:t>/min、</w:t>
            </w:r>
            <w:r>
              <w:rPr>
                <w:rFonts w:hint="eastAsia" w:ascii="宋体" w:hAnsi="宋体" w:eastAsia="宋体" w:cs="宋体"/>
                <w:color w:val="auto"/>
                <w:kern w:val="0"/>
                <w:sz w:val="24"/>
                <w:szCs w:val="24"/>
                <w:highlight w:val="none"/>
              </w:rPr>
              <w:t>2.5</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25ml</w:t>
            </w:r>
            <w:r>
              <w:rPr>
                <w:rFonts w:hint="eastAsia" w:ascii="宋体" w:hAnsi="宋体" w:eastAsia="宋体" w:cs="宋体"/>
                <w:color w:val="auto"/>
                <w:sz w:val="24"/>
                <w:szCs w:val="24"/>
                <w:highlight w:val="none"/>
              </w:rPr>
              <w:t>/min、</w:t>
            </w:r>
            <w:r>
              <w:rPr>
                <w:rFonts w:hint="eastAsia" w:ascii="宋体" w:hAnsi="宋体" w:eastAsia="宋体" w:cs="宋体"/>
                <w:color w:val="auto"/>
                <w:kern w:val="0"/>
                <w:sz w:val="24"/>
                <w:szCs w:val="24"/>
                <w:highlight w:val="none"/>
              </w:rPr>
              <w:t>25</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250ml</w:t>
            </w:r>
            <w:r>
              <w:rPr>
                <w:rFonts w:hint="eastAsia" w:ascii="宋体" w:hAnsi="宋体" w:eastAsia="宋体" w:cs="宋体"/>
                <w:color w:val="auto"/>
                <w:sz w:val="24"/>
                <w:szCs w:val="24"/>
                <w:highlight w:val="none"/>
              </w:rPr>
              <w:t>/min，透明可视。</w:t>
            </w:r>
          </w:p>
          <w:p w14:paraId="01AD9458">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进料泵、回流泵 均采用蠕动泵，转速范围0.1～200rpm，实现液体输送计量精准、稳定性高、安全无污染。</w:t>
            </w:r>
          </w:p>
          <w:p w14:paraId="0D99EAAC">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倒料泵：磁力泵，功率≥15W，流量≥7L/min，扬程≥4m。</w:t>
            </w:r>
          </w:p>
          <w:p w14:paraId="0642E340">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压力测量采用耐高温压力传感器，量程0～5kPa，用于塔釜测温，4～20mA远程信号输出</w:t>
            </w:r>
            <w:r>
              <w:rPr>
                <w:rFonts w:hint="eastAsia" w:ascii="宋体" w:hAnsi="宋体" w:eastAsia="宋体" w:cs="宋体"/>
                <w:color w:val="auto"/>
                <w:kern w:val="0"/>
                <w:sz w:val="24"/>
                <w:szCs w:val="24"/>
                <w:highlight w:val="none"/>
              </w:rPr>
              <w:t>。</w:t>
            </w:r>
          </w:p>
          <w:p w14:paraId="78209DC6">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温度测量采用温度传感器，Pt100，量程0～150℃，显示分度≤0.1℃。</w:t>
            </w:r>
          </w:p>
          <w:p w14:paraId="11524E1A">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低温冷却液循环泵：容积≥10L，电压220V。</w:t>
            </w:r>
          </w:p>
          <w:p w14:paraId="4C8E6F40">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 塔釜产品罐可通过倒料泵使液体返回原料罐，</w:t>
            </w:r>
            <w:r>
              <w:rPr>
                <w:rFonts w:hint="eastAsia" w:ascii="宋体" w:hAnsi="宋体" w:eastAsia="宋体" w:cs="宋体"/>
                <w:color w:val="auto"/>
                <w:sz w:val="24"/>
                <w:szCs w:val="24"/>
                <w:highlight w:val="none"/>
              </w:rPr>
              <w:t>塔顶产品罐可通过放料阀使液体通过自重力返回原料罐，实现料液循环使用。</w:t>
            </w:r>
          </w:p>
          <w:p w14:paraId="33D14771">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2.9通过低温冷却液循环泵向塔顶冷凝器供给制冷循环水，同时通过转子流量计显示和调节冷却水流量，无需外接自来水。</w:t>
            </w:r>
          </w:p>
          <w:p w14:paraId="5EBC7787">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管路采用冷弯加工工艺，减少焊接点，防锈蚀滴漏，</w:t>
            </w:r>
            <w:r>
              <w:rPr>
                <w:rFonts w:hint="eastAsia" w:ascii="宋体" w:hAnsi="宋体" w:eastAsia="宋体" w:cs="宋体"/>
                <w:b/>
                <w:bCs/>
                <w:color w:val="auto"/>
                <w:sz w:val="24"/>
                <w:szCs w:val="24"/>
                <w:highlight w:val="none"/>
              </w:rPr>
              <w:t>要求提供不少于2张局部管路照片</w:t>
            </w:r>
            <w:r>
              <w:rPr>
                <w:rFonts w:hint="eastAsia" w:ascii="宋体" w:hAnsi="宋体" w:eastAsia="宋体" w:cs="宋体"/>
                <w:color w:val="auto"/>
                <w:sz w:val="24"/>
                <w:szCs w:val="24"/>
                <w:highlight w:val="none"/>
              </w:rPr>
              <w:t>。</w:t>
            </w:r>
          </w:p>
          <w:p w14:paraId="44D92632">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塔身至少预留三个不同进料位置。</w:t>
            </w:r>
          </w:p>
          <w:p w14:paraId="62D8C5B2">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装置尺寸：不大于2200mm*</w:t>
            </w:r>
            <w:r>
              <w:rPr>
                <w:rFonts w:hint="eastAsia" w:ascii="宋体" w:hAnsi="宋体" w:eastAsia="宋体" w:cs="宋体"/>
                <w:color w:val="auto"/>
                <w:sz w:val="24"/>
                <w:szCs w:val="24"/>
                <w:highlight w:val="none"/>
                <w:lang w:val="en-US" w:eastAsia="zh-CN"/>
              </w:rPr>
              <w:t>600</w:t>
            </w:r>
            <w:r>
              <w:rPr>
                <w:rFonts w:hint="eastAsia" w:ascii="宋体" w:hAnsi="宋体" w:eastAsia="宋体" w:cs="宋体"/>
                <w:color w:val="auto"/>
                <w:sz w:val="24"/>
                <w:szCs w:val="24"/>
                <w:highlight w:val="none"/>
              </w:rPr>
              <w:t>mm*2</w:t>
            </w: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mm（长*宽*高）。</w:t>
            </w:r>
          </w:p>
          <w:p w14:paraId="2ADD3A0C">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装置外观：要求装置采用高品质铝合金框架，装置配有可升降万向脚轮，脚轮带有ABS调节手把，可分别调节高度。配有支撑底座用于固定装置。</w:t>
            </w:r>
          </w:p>
          <w:p w14:paraId="31AB7F05">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2.14安全要求：精馏塔配有保温层、隔热壳，塔釜具备液位过低联锁保护、过压保护，电控系统具备超压提示和联锁保护停机，装置具备综合放空口，所有罐体放空口并联至综合放空口，便于集中排气。</w:t>
            </w:r>
          </w:p>
          <w:p w14:paraId="38BC616F">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3、控制系统参数要求</w:t>
            </w:r>
          </w:p>
          <w:p w14:paraId="1BF1367E">
            <w:pPr>
              <w:keepNext w:val="0"/>
              <w:keepLines w:val="0"/>
              <w:pageBreakBefore w:val="0"/>
              <w:kinsoku/>
              <w:wordWrap/>
              <w:overflowPunct/>
              <w:topLinePunct w:val="0"/>
              <w:autoSpaceDE/>
              <w:autoSpaceDN/>
              <w:bidi w:val="0"/>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 硬件控制部分：</w:t>
            </w:r>
          </w:p>
          <w:p w14:paraId="3B2AB53C">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w:t>
            </w:r>
            <w:r>
              <w:rPr>
                <w:rFonts w:hint="eastAsia" w:ascii="宋体" w:hAnsi="宋体" w:eastAsia="宋体" w:cs="宋体"/>
                <w:color w:val="auto"/>
                <w:sz w:val="24"/>
                <w:szCs w:val="24"/>
                <w:highlight w:val="none"/>
              </w:rPr>
              <w:t>3.1.1 集成模组：包含主模组、扩展模块、信号模块。主模组内部集成不低于12路插槽口，不低于24路信号的监控。在主模组内部，每个插槽口兼容安装PT、TC、DO、DI、AD、DA等信号模块。</w:t>
            </w:r>
            <w:r>
              <w:rPr>
                <w:rFonts w:hint="eastAsia" w:ascii="宋体" w:hAnsi="宋体" w:eastAsia="宋体" w:cs="宋体"/>
                <w:b/>
                <w:bCs/>
                <w:color w:val="auto"/>
                <w:sz w:val="24"/>
                <w:szCs w:val="24"/>
                <w:highlight w:val="none"/>
              </w:rPr>
              <w:t>要求提供实物图片不少于1张，并体现12路插槽口位置；</w:t>
            </w:r>
          </w:p>
          <w:p w14:paraId="019665E7">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★3.1.2 主模组MCU芯片：时钟频率范围：4MHz~16MHz。GPIO端口数量：80。16位Timer数量：6。外设/功能/协议栈：DMA。CCP捕获/比较。LIN总线协议。LCD/LED驱动。片载温度传感器。</w:t>
            </w:r>
            <w:r>
              <w:rPr>
                <w:rFonts w:hint="eastAsia" w:ascii="宋体" w:hAnsi="宋体" w:eastAsia="宋体" w:cs="宋体"/>
                <w:b/>
                <w:bCs/>
                <w:color w:val="auto"/>
                <w:sz w:val="24"/>
                <w:szCs w:val="24"/>
                <w:highlight w:val="none"/>
              </w:rPr>
              <w:t>提供主模组MCU芯片实物照片不少于1张。</w:t>
            </w:r>
          </w:p>
          <w:p w14:paraId="489DF293">
            <w:pPr>
              <w:keepNext w:val="0"/>
              <w:keepLines w:val="0"/>
              <w:pageBreakBefore w:val="0"/>
              <w:kinsoku/>
              <w:wordWrap/>
              <w:overflowPunct/>
              <w:topLinePunct w:val="0"/>
              <w:autoSpaceDE/>
              <w:autoSpaceDN/>
              <w:bidi w:val="0"/>
              <w:spacing w:line="360" w:lineRule="auto"/>
              <w:ind w:left="211" w:hanging="241" w:hangingChars="10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w:t>
            </w:r>
            <w:r>
              <w:rPr>
                <w:rFonts w:hint="eastAsia" w:ascii="宋体" w:hAnsi="宋体" w:eastAsia="宋体" w:cs="宋体"/>
                <w:color w:val="auto"/>
                <w:sz w:val="24"/>
                <w:szCs w:val="24"/>
                <w:highlight w:val="none"/>
              </w:rPr>
              <w:t>3.1.3</w:t>
            </w:r>
            <w:r>
              <w:rPr>
                <w:rFonts w:hint="eastAsia" w:ascii="宋体" w:hAnsi="宋体" w:eastAsia="宋体" w:cs="宋体"/>
                <w:color w:val="auto"/>
                <w:kern w:val="0"/>
                <w:sz w:val="24"/>
                <w:szCs w:val="24"/>
                <w:highlight w:val="none"/>
              </w:rPr>
              <w:t>工业一体化操控终端，数量：1个。主要参数：电容触摸式操作，15寸，控制屏分辨率为：1920*1080，前置200万像素摄像头，内存：DDR4 8G，硬盘：SSD硬盘，128G；内置：5G双频WIFI、4G模块、加密狗接口；内置麦克风及扩音器各1个；网口2个，USB3.0接口4个，独立RS232串口2个，独立RS485接口1个；DB9免焊母头1个；HDMI接口1个；可控安全盘接口1个；UPS不间断电源适配器1个。兼容Windows操作系统，可安装监测与控制软件、实验数据处理、存储等。可显示蠕动泵转速、塔釜压力、14个温度等数值，可控制蠕动泵转速、塔釜加热功率。4G模块可支持安装物联网卡。用于实现无线传输实验数据功能。</w:t>
            </w:r>
            <w:r>
              <w:rPr>
                <w:rFonts w:hint="eastAsia" w:ascii="宋体" w:hAnsi="宋体" w:eastAsia="宋体" w:cs="宋体"/>
                <w:b/>
                <w:bCs/>
                <w:color w:val="auto"/>
                <w:kern w:val="0"/>
                <w:sz w:val="24"/>
                <w:szCs w:val="24"/>
                <w:highlight w:val="none"/>
              </w:rPr>
              <w:t>要求</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文件中提供可控安全盘接口的使用说明书，可控安全盘接口照片1张。</w:t>
            </w:r>
          </w:p>
          <w:p w14:paraId="6824216E">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★3.1.4采用彩色摄像技术在线观测精馏塔塔板处实验现象，并将实验画面实时传输到本设备的工业一体机显示终端。</w:t>
            </w:r>
            <w:r>
              <w:rPr>
                <w:rFonts w:hint="eastAsia" w:ascii="宋体" w:hAnsi="宋体" w:eastAsia="宋体" w:cs="宋体"/>
                <w:b/>
                <w:bCs/>
                <w:color w:val="auto"/>
                <w:sz w:val="24"/>
                <w:szCs w:val="24"/>
                <w:highlight w:val="none"/>
              </w:rPr>
              <w:t>提供在线观测精馏塔塔板处的摄像头照片1张，在线观测精馏塔塔板处实验现象截图1张</w:t>
            </w:r>
            <w:r>
              <w:rPr>
                <w:rFonts w:hint="eastAsia" w:ascii="宋体" w:hAnsi="宋体" w:eastAsia="宋体" w:cs="宋体"/>
                <w:b/>
                <w:bCs/>
                <w:color w:val="auto"/>
                <w:sz w:val="24"/>
                <w:szCs w:val="24"/>
                <w:highlight w:val="none"/>
                <w:lang w:eastAsia="zh-CN"/>
              </w:rPr>
              <w:t>。</w:t>
            </w:r>
          </w:p>
          <w:p w14:paraId="560BE67F">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3.1.5装置可实现分步式语音操作反馈功能：根据实验操作步骤进行语音播报。</w:t>
            </w:r>
          </w:p>
          <w:p w14:paraId="668F83FF">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软件控制部分：装置监测与控制软件，具备自检测功能，</w:t>
            </w:r>
            <w:r>
              <w:rPr>
                <w:rFonts w:hint="eastAsia" w:ascii="宋体" w:hAnsi="宋体" w:eastAsia="宋体" w:cs="宋体"/>
                <w:b/>
                <w:bCs/>
                <w:color w:val="auto"/>
                <w:sz w:val="24"/>
                <w:szCs w:val="24"/>
                <w:highlight w:val="none"/>
              </w:rPr>
              <w:t>提供软件运行界面截图不少于2张。</w:t>
            </w:r>
          </w:p>
          <w:p w14:paraId="74DA6A9D">
            <w:pPr>
              <w:keepNext w:val="0"/>
              <w:keepLines w:val="0"/>
              <w:pageBreakBefore w:val="0"/>
              <w:kinsoku/>
              <w:wordWrap/>
              <w:overflowPunct/>
              <w:topLinePunct w:val="0"/>
              <w:autoSpaceDE/>
              <w:autoSpaceDN/>
              <w:bidi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3.3提供该装置的工艺流程图，用于评定所投产品的工艺流程及配置是否满足技术要求。</w:t>
            </w:r>
          </w:p>
          <w:p w14:paraId="5460E9BA">
            <w:pPr>
              <w:keepNext w:val="0"/>
              <w:keepLines w:val="0"/>
              <w:pageBreakBefore w:val="0"/>
              <w:kinsoku/>
              <w:wordWrap/>
              <w:overflowPunct/>
              <w:topLinePunct w:val="0"/>
              <w:autoSpaceDE/>
              <w:autoSpaceDN/>
              <w:bidi w:val="0"/>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4、 配套资源要求</w:t>
            </w:r>
          </w:p>
          <w:p w14:paraId="07A1059F">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配套在线学习系统，实现虚实结合的教学模式。包含课程学习板块、题库板块、音视频资源板块等。</w:t>
            </w:r>
            <w:r>
              <w:rPr>
                <w:rFonts w:hint="eastAsia" w:ascii="宋体" w:hAnsi="宋体" w:eastAsia="宋体" w:cs="宋体"/>
                <w:b/>
                <w:bCs/>
                <w:color w:val="auto"/>
                <w:sz w:val="24"/>
                <w:szCs w:val="24"/>
                <w:highlight w:val="none"/>
              </w:rPr>
              <w:t>提供该系统功能截图2张以上。</w:t>
            </w:r>
          </w:p>
          <w:p w14:paraId="1FA5C300">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具备虚拟实验室场景和实验装置，实现模拟操作、测试，模拟操作成绩可同步至在线教学系统账号，并具备在无网络环境进行模拟练习。</w:t>
            </w:r>
            <w:r>
              <w:rPr>
                <w:rFonts w:hint="eastAsia" w:ascii="宋体" w:hAnsi="宋体" w:eastAsia="宋体" w:cs="宋体"/>
                <w:b/>
                <w:bCs/>
                <w:color w:val="auto"/>
                <w:sz w:val="24"/>
                <w:szCs w:val="24"/>
                <w:highlight w:val="none"/>
              </w:rPr>
              <w:t>提供与所投产品一致的、不同角度的全景虚拟截图2张以上。</w:t>
            </w:r>
          </w:p>
          <w:p w14:paraId="69A65715">
            <w:pPr>
              <w:keepNext w:val="0"/>
              <w:keepLines w:val="0"/>
              <w:pageBreakBefore w:val="0"/>
              <w:kinsoku/>
              <w:wordWrap/>
              <w:overflowPunct/>
              <w:topLinePunct w:val="0"/>
              <w:autoSpaceDE/>
              <w:autoSpaceDN/>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本装置配套在线仿真软件主要技术要求：</w:t>
            </w:r>
          </w:p>
          <w:p w14:paraId="34E71015">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4.3.1仿真软件以筛板精馏实验装置为仿真对象，基于真实实验数据，模拟实验流程、实验现象和实验规律，具有操作说明、认知、实验操作、数据记录、实验报告和评分等不少于6个功能模块，支持桌面端、网页端等至少2种运行方式。</w:t>
            </w:r>
          </w:p>
          <w:p w14:paraId="3AD9557B">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4.3.2仿真实验应基于乙醇-水二元体系t—x（y）相平衡曲线、精馏段操作线方程、提馏段操作线方程、理论板数以及回流流量-馏分器液位高度等实验原理和规律进行设计，至少包含全回流操作和部分回流操作两部分实验内容。</w:t>
            </w:r>
          </w:p>
          <w:p w14:paraId="3A663436">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★4.3.3实验参数调节：支持用户在一定区间内设置制冷温度等实验变量；能够模拟通过调节回流流量使馏分器液位稳定至中部这一实验操作过程。</w:t>
            </w:r>
            <w:r>
              <w:rPr>
                <w:rFonts w:hint="eastAsia" w:ascii="宋体" w:hAnsi="宋体" w:eastAsia="宋体" w:cs="宋体"/>
                <w:b/>
                <w:bCs/>
                <w:color w:val="auto"/>
                <w:sz w:val="24"/>
                <w:szCs w:val="24"/>
                <w:highlight w:val="none"/>
              </w:rPr>
              <w:t>（要求提供该功能截图证明）</w:t>
            </w:r>
            <w:r>
              <w:rPr>
                <w:rFonts w:hint="eastAsia" w:ascii="宋体" w:hAnsi="宋体" w:eastAsia="宋体" w:cs="宋体"/>
                <w:b/>
                <w:bCs/>
                <w:color w:val="auto"/>
                <w:sz w:val="24"/>
                <w:szCs w:val="24"/>
                <w:highlight w:val="none"/>
                <w:lang w:eastAsia="zh-CN"/>
              </w:rPr>
              <w:t>。</w:t>
            </w:r>
          </w:p>
          <w:p w14:paraId="1F63BFFB">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★4.3.4 过程模拟：支持用户调节加热功率比例，可模拟升温过程中的压力变化、温度变化以及塔板温度分布曲线。</w:t>
            </w:r>
            <w:r>
              <w:rPr>
                <w:rFonts w:hint="eastAsia" w:ascii="宋体" w:hAnsi="宋体" w:eastAsia="宋体" w:cs="宋体"/>
                <w:b/>
                <w:bCs/>
                <w:color w:val="auto"/>
                <w:sz w:val="24"/>
                <w:szCs w:val="24"/>
                <w:highlight w:val="none"/>
              </w:rPr>
              <w:t>（要求提供该功能塔板温度分布曲线截图）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 </w:t>
            </w:r>
          </w:p>
          <w:p w14:paraId="2EF95A21">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4.3.5设备认知学习：仿真实验可播放不少于50个认知设备的相机路径动画，以便于用户熟悉设备组成、了解设备结构。</w:t>
            </w:r>
          </w:p>
          <w:p w14:paraId="405D192C">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★4.3.6实验操作引导：仿真实验具有实验操作步骤说明和操作引导视频，以便于用户快速掌握实验操作。</w:t>
            </w:r>
            <w:r>
              <w:rPr>
                <w:rFonts w:hint="eastAsia" w:ascii="宋体" w:hAnsi="宋体" w:eastAsia="宋体" w:cs="宋体"/>
                <w:b/>
                <w:bCs/>
                <w:color w:val="auto"/>
                <w:sz w:val="24"/>
                <w:szCs w:val="24"/>
                <w:highlight w:val="none"/>
              </w:rPr>
              <w:t>（要求提供仿真实验操作引导视频查看二维码）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 </w:t>
            </w:r>
          </w:p>
          <w:p w14:paraId="245A8667">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4.3.7操作评分：仿真实验应采用百分制评分，支持查看每一个交互操作步骤的得分情况，支持将评分成绩上传至云端保存。</w:t>
            </w:r>
          </w:p>
          <w:p w14:paraId="34E85D03">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4.3.8辅助操作功能：仿真软件具有阀门位号的显示与隐藏功能，支持一键视角复位，方便用户交互操作。</w:t>
            </w:r>
          </w:p>
          <w:p w14:paraId="47C23493">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 xml:space="preserve">4.4 </w:t>
            </w:r>
            <w:r>
              <w:rPr>
                <w:rFonts w:hint="eastAsia" w:ascii="宋体" w:hAnsi="宋体" w:eastAsia="宋体" w:cs="宋体"/>
                <w:color w:val="auto"/>
                <w:sz w:val="24"/>
                <w:szCs w:val="24"/>
                <w:highlight w:val="none"/>
              </w:rPr>
              <w:t>MES实验信息管理系统能同时连接多种实验装置，根据需要自由切换当前监测装置，与装置现场的工业组态软件操作界面实时同步数据显示和报警同步提示。</w:t>
            </w:r>
            <w:r>
              <w:rPr>
                <w:rFonts w:hint="eastAsia" w:ascii="宋体" w:hAnsi="宋体" w:eastAsia="宋体" w:cs="宋体"/>
                <w:b/>
                <w:bCs/>
                <w:color w:val="auto"/>
                <w:sz w:val="24"/>
                <w:szCs w:val="24"/>
                <w:highlight w:val="none"/>
              </w:rPr>
              <w:t>需提供MES显示界面截图不少于2张、移动终端与装置现场同步数据显示界面截图；</w:t>
            </w:r>
          </w:p>
          <w:p w14:paraId="32178F38">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 实验辅助系统，学生可通过手机端APP学习实验分步式操作视频。</w:t>
            </w:r>
            <w:r>
              <w:rPr>
                <w:rFonts w:hint="eastAsia" w:ascii="宋体" w:hAnsi="宋体" w:eastAsia="宋体" w:cs="宋体"/>
                <w:b/>
                <w:bCs/>
                <w:color w:val="auto"/>
                <w:sz w:val="24"/>
                <w:szCs w:val="24"/>
                <w:highlight w:val="none"/>
              </w:rPr>
              <w:t>提供该手机端APP操作截图及装置操作讲解视频截图2张以上；</w:t>
            </w:r>
          </w:p>
          <w:p w14:paraId="03915377">
            <w:pPr>
              <w:keepNext w:val="0"/>
              <w:keepLines w:val="0"/>
              <w:pageBreakBefore w:val="0"/>
              <w:kinsoku/>
              <w:wordWrap/>
              <w:overflowPunct/>
              <w:topLinePunct w:val="0"/>
              <w:autoSpaceDE/>
              <w:autoSpaceDN/>
              <w:bidi w:val="0"/>
              <w:spacing w:line="360" w:lineRule="auto"/>
              <w:ind w:left="210" w:hanging="240" w:hangingChars="1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★4.6 实验微课视频，含真实实验人员进行的流程、局部功能、逐步操作过程讲解，视频时长≥20分钟。</w:t>
            </w:r>
            <w:r>
              <w:rPr>
                <w:rFonts w:hint="eastAsia" w:ascii="宋体" w:hAnsi="宋体" w:eastAsia="宋体" w:cs="宋体"/>
                <w:b/>
                <w:bCs/>
                <w:color w:val="auto"/>
                <w:sz w:val="24"/>
                <w:szCs w:val="24"/>
                <w:highlight w:val="none"/>
              </w:rPr>
              <w:t>提供视频截图2张以上，并提供网络链接或二维码证明。</w:t>
            </w:r>
          </w:p>
          <w:p w14:paraId="1B4626F2">
            <w:pPr>
              <w:keepNext w:val="0"/>
              <w:keepLines w:val="0"/>
              <w:pageBreakBefore w:val="0"/>
              <w:widowControl/>
              <w:kinsoku/>
              <w:wordWrap/>
              <w:overflowPunct/>
              <w:topLinePunct w:val="0"/>
              <w:autoSpaceDE/>
              <w:autoSpaceDN/>
              <w:bidi w:val="0"/>
              <w:spacing w:line="360" w:lineRule="auto"/>
              <w:ind w:left="210" w:hanging="240" w:hangingChars="1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★4.7实验装置动画二维码，可通过扫描二维码观看实验动画，预习实验内容。动画时长不小于2min，视频配有全流程语音讲解，</w:t>
            </w:r>
            <w:r>
              <w:rPr>
                <w:rFonts w:hint="eastAsia" w:ascii="宋体" w:hAnsi="宋体" w:eastAsia="宋体" w:cs="宋体"/>
                <w:b/>
                <w:bCs/>
                <w:color w:val="auto"/>
                <w:sz w:val="24"/>
                <w:szCs w:val="24"/>
                <w:highlight w:val="none"/>
              </w:rPr>
              <w:t>提供2张以上所投设备不同角度含播放进度条的</w:t>
            </w:r>
            <w:r>
              <w:rPr>
                <w:rFonts w:hint="eastAsia" w:ascii="宋体" w:hAnsi="宋体" w:eastAsia="宋体" w:cs="宋体"/>
                <w:b/>
                <w:bCs/>
                <w:color w:val="auto"/>
                <w:sz w:val="24"/>
                <w:szCs w:val="24"/>
                <w:highlight w:val="none"/>
                <w:lang w:val="en-US" w:eastAsia="zh-CN"/>
              </w:rPr>
              <w:t>视频</w:t>
            </w:r>
            <w:r>
              <w:rPr>
                <w:rFonts w:hint="eastAsia" w:ascii="宋体" w:hAnsi="宋体" w:eastAsia="宋体" w:cs="宋体"/>
                <w:b/>
                <w:bCs/>
                <w:color w:val="auto"/>
                <w:sz w:val="24"/>
                <w:szCs w:val="24"/>
                <w:highlight w:val="none"/>
              </w:rPr>
              <w:t>截图</w:t>
            </w:r>
            <w:r>
              <w:rPr>
                <w:rFonts w:hint="eastAsia" w:ascii="宋体" w:hAnsi="宋体" w:eastAsia="宋体" w:cs="宋体"/>
                <w:b/>
                <w:bCs/>
                <w:color w:val="auto"/>
                <w:sz w:val="24"/>
                <w:szCs w:val="24"/>
                <w:highlight w:val="none"/>
                <w:lang w:eastAsia="zh-CN"/>
              </w:rPr>
              <w:t>。</w:t>
            </w:r>
          </w:p>
        </w:tc>
        <w:tc>
          <w:tcPr>
            <w:tcW w:w="352" w:type="pct"/>
            <w:noWrap w:val="0"/>
            <w:vAlign w:val="center"/>
          </w:tcPr>
          <w:p w14:paraId="72BDCA4C">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4套</w:t>
            </w:r>
          </w:p>
        </w:tc>
        <w:tc>
          <w:tcPr>
            <w:tcW w:w="464" w:type="pct"/>
            <w:noWrap w:val="0"/>
            <w:vAlign w:val="center"/>
          </w:tcPr>
          <w:p w14:paraId="71E23B05">
            <w:pPr>
              <w:keepNext w:val="0"/>
              <w:keepLines w:val="0"/>
              <w:pageBreakBefore w:val="0"/>
              <w:kinsoku/>
              <w:wordWrap/>
              <w:overflowPunct/>
              <w:topLinePunct w:val="0"/>
              <w:autoSpaceDE/>
              <w:autoSpaceDN/>
              <w:bidi w:val="0"/>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464" w:type="pct"/>
            <w:noWrap w:val="0"/>
            <w:vAlign w:val="center"/>
          </w:tcPr>
          <w:p w14:paraId="773D7B53">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rPr>
            </w:pPr>
            <w:r>
              <w:rPr>
                <w:rFonts w:hint="eastAsia" w:ascii="宋体" w:hAnsi="宋体" w:eastAsia="宋体" w:cs="宋体"/>
                <w:bCs/>
                <w:color w:val="auto"/>
                <w:sz w:val="24"/>
                <w:highlight w:val="none"/>
                <w:lang w:val="en-US" w:eastAsia="zh-CN"/>
              </w:rPr>
              <w:t>合肥工业大学宣城校区</w:t>
            </w:r>
          </w:p>
        </w:tc>
        <w:tc>
          <w:tcPr>
            <w:tcW w:w="539" w:type="pct"/>
            <w:noWrap w:val="0"/>
            <w:vAlign w:val="center"/>
          </w:tcPr>
          <w:p w14:paraId="6A687FD2">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7F14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6F53D096">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2</w:t>
            </w:r>
          </w:p>
        </w:tc>
        <w:tc>
          <w:tcPr>
            <w:tcW w:w="459" w:type="pct"/>
            <w:noWrap w:val="0"/>
            <w:vAlign w:val="center"/>
          </w:tcPr>
          <w:p w14:paraId="1B4AD985">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真空干燥箱（带真空泵）</w:t>
            </w:r>
          </w:p>
        </w:tc>
        <w:tc>
          <w:tcPr>
            <w:tcW w:w="2477" w:type="pct"/>
            <w:noWrap w:val="0"/>
            <w:vAlign w:val="top"/>
          </w:tcPr>
          <w:p w14:paraId="6B59841A">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1、消耗功率：300 W</w:t>
            </w:r>
          </w:p>
          <w:p w14:paraId="3164A40F">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2、控温范围：50℃～200℃</w:t>
            </w:r>
          </w:p>
          <w:p w14:paraId="1066014C">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3、波动度： ± 1 ℃</w:t>
            </w:r>
          </w:p>
          <w:p w14:paraId="16778B55">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4、达到真空度：133Pa</w:t>
            </w:r>
          </w:p>
          <w:p w14:paraId="67FAA96E">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5、工作环境温度：＋ 5 ～ 40 ℃</w:t>
            </w:r>
          </w:p>
          <w:p w14:paraId="33518040">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6、工作室尺寸：</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300×300×</w:t>
            </w:r>
            <w:r>
              <w:rPr>
                <w:rFonts w:hint="eastAsia" w:ascii="宋体" w:hAnsi="宋体" w:eastAsia="宋体" w:cs="宋体"/>
                <w:bCs/>
                <w:color w:val="auto"/>
                <w:sz w:val="24"/>
                <w:szCs w:val="24"/>
                <w:highlight w:val="none"/>
                <w:lang w:val="en-US" w:eastAsia="zh-CN"/>
              </w:rPr>
              <w:t>300</w:t>
            </w:r>
            <w:r>
              <w:rPr>
                <w:rFonts w:hint="eastAsia" w:ascii="宋体" w:hAnsi="宋体" w:eastAsia="宋体" w:cs="宋体"/>
                <w:bCs/>
                <w:color w:val="auto"/>
                <w:sz w:val="24"/>
                <w:szCs w:val="24"/>
                <w:highlight w:val="none"/>
              </w:rPr>
              <w:t>mm</w:t>
            </w:r>
          </w:p>
          <w:p w14:paraId="3C949FDD">
            <w:pPr>
              <w:keepNext w:val="0"/>
              <w:keepLines w:val="0"/>
              <w:pageBreakBefore w:val="0"/>
              <w:kinsoku/>
              <w:wordWrap/>
              <w:overflowPunct/>
              <w:topLinePunct w:val="0"/>
              <w:autoSpaceDE/>
              <w:autoSpaceDN/>
              <w:bidi w:val="0"/>
              <w:spacing w:line="360" w:lineRule="auto"/>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7、工作室材料：1Grl8Ni9Ti</w:t>
            </w:r>
            <w:r>
              <w:rPr>
                <w:rFonts w:hint="eastAsia" w:ascii="宋体" w:hAnsi="宋体" w:eastAsia="宋体" w:cs="宋体"/>
                <w:bCs/>
                <w:color w:val="auto"/>
                <w:sz w:val="24"/>
                <w:szCs w:val="24"/>
                <w:highlight w:val="none"/>
                <w:lang w:val="en-US" w:eastAsia="zh-CN"/>
              </w:rPr>
              <w:t>或同质</w:t>
            </w:r>
          </w:p>
          <w:p w14:paraId="74FD64E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szCs w:val="24"/>
                <w:highlight w:val="none"/>
              </w:rPr>
              <w:t>8、含真空泵</w:t>
            </w:r>
          </w:p>
        </w:tc>
        <w:tc>
          <w:tcPr>
            <w:tcW w:w="352" w:type="pct"/>
            <w:noWrap w:val="0"/>
            <w:vAlign w:val="center"/>
          </w:tcPr>
          <w:p w14:paraId="4C0214B4">
            <w:pPr>
              <w:keepNext w:val="0"/>
              <w:keepLines w:val="0"/>
              <w:pageBreakBefore w:val="0"/>
              <w:widowControl/>
              <w:kinsoku/>
              <w:wordWrap/>
              <w:overflowPunct/>
              <w:topLinePunct w:val="0"/>
              <w:autoSpaceDE/>
              <w:autoSpaceDN/>
              <w:bidi w:val="0"/>
              <w:spacing w:line="360" w:lineRule="auto"/>
              <w:jc w:val="center"/>
              <w:textAlignment w:val="bottom"/>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3</w:t>
            </w:r>
          </w:p>
        </w:tc>
        <w:tc>
          <w:tcPr>
            <w:tcW w:w="464" w:type="pct"/>
            <w:noWrap w:val="0"/>
            <w:vAlign w:val="center"/>
          </w:tcPr>
          <w:p w14:paraId="6C3916FB">
            <w:pPr>
              <w:keepNext w:val="0"/>
              <w:keepLines w:val="0"/>
              <w:pageBreakBefore w:val="0"/>
              <w:kinsoku/>
              <w:wordWrap/>
              <w:overflowPunct/>
              <w:topLinePunct w:val="0"/>
              <w:autoSpaceDE/>
              <w:autoSpaceDN/>
              <w:bidi w:val="0"/>
              <w:spacing w:line="360" w:lineRule="auto"/>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0.5</w:t>
            </w:r>
          </w:p>
        </w:tc>
        <w:tc>
          <w:tcPr>
            <w:tcW w:w="464" w:type="pct"/>
            <w:noWrap w:val="0"/>
            <w:vAlign w:val="center"/>
          </w:tcPr>
          <w:p w14:paraId="1F4930C4">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7B216DBD">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2B21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597970F5">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3</w:t>
            </w:r>
          </w:p>
        </w:tc>
        <w:tc>
          <w:tcPr>
            <w:tcW w:w="459" w:type="pct"/>
            <w:noWrap w:val="0"/>
            <w:vAlign w:val="center"/>
          </w:tcPr>
          <w:p w14:paraId="42921E07">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鼓风烘箱</w:t>
            </w:r>
          </w:p>
        </w:tc>
        <w:tc>
          <w:tcPr>
            <w:tcW w:w="2477" w:type="pct"/>
            <w:noWrap w:val="0"/>
            <w:vAlign w:val="top"/>
          </w:tcPr>
          <w:p w14:paraId="346513D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微电脑智慧控温仪，具有设定，测定温度双数字显、定时、功率抑制和自整定功能，控温精确可靠；</w:t>
            </w:r>
          </w:p>
          <w:p w14:paraId="6BC4F94C">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1、消耗功率：</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570 W</w:t>
            </w:r>
          </w:p>
          <w:p w14:paraId="3876637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2、控温范围：RT+15~300 ℃</w:t>
            </w:r>
          </w:p>
          <w:p w14:paraId="55B33E4D">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3、波动度： ± 1 ℃，控温精度 0.1 ℃ </w:t>
            </w:r>
          </w:p>
          <w:p w14:paraId="1BE6F0FC">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4、工作环境温度：＋ 5 ～ 40 ℃</w:t>
            </w:r>
          </w:p>
          <w:p w14:paraId="7E4B0A3E">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5、工作室尺寸：</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300×300×350mm</w:t>
            </w:r>
          </w:p>
          <w:p w14:paraId="27E7CD7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rPr>
              <w:t xml:space="preserve">6、定时范围： 0~9999min </w:t>
            </w:r>
          </w:p>
        </w:tc>
        <w:tc>
          <w:tcPr>
            <w:tcW w:w="352" w:type="pct"/>
            <w:noWrap w:val="0"/>
            <w:vAlign w:val="center"/>
          </w:tcPr>
          <w:p w14:paraId="782D07A7">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12</w:t>
            </w:r>
          </w:p>
        </w:tc>
        <w:tc>
          <w:tcPr>
            <w:tcW w:w="464" w:type="pct"/>
            <w:noWrap w:val="0"/>
            <w:vAlign w:val="center"/>
          </w:tcPr>
          <w:p w14:paraId="2766FE50">
            <w:pPr>
              <w:keepNext w:val="0"/>
              <w:keepLines w:val="0"/>
              <w:pageBreakBefore w:val="0"/>
              <w:kinsoku/>
              <w:wordWrap/>
              <w:overflowPunct/>
              <w:topLinePunct w:val="0"/>
              <w:autoSpaceDE/>
              <w:autoSpaceDN/>
              <w:bidi w:val="0"/>
              <w:spacing w:line="360" w:lineRule="auto"/>
              <w:jc w:val="center"/>
              <w:rPr>
                <w:rFonts w:hint="default" w:ascii="仿宋" w:hAnsi="仿宋" w:eastAsia="仿宋"/>
                <w:iCs/>
                <w:color w:val="auto"/>
                <w:sz w:val="24"/>
                <w:szCs w:val="24"/>
                <w:highlight w:val="none"/>
                <w:lang w:val="en-US" w:eastAsia="zh-CN"/>
              </w:rPr>
            </w:pPr>
            <w:r>
              <w:rPr>
                <w:rFonts w:hint="eastAsia" w:ascii="宋体" w:hAnsi="宋体" w:eastAsia="宋体" w:cs="宋体"/>
                <w:bCs/>
                <w:color w:val="auto"/>
                <w:sz w:val="24"/>
                <w:highlight w:val="none"/>
                <w:lang w:val="en-US" w:eastAsia="zh-CN"/>
              </w:rPr>
              <w:t>0.25</w:t>
            </w:r>
          </w:p>
        </w:tc>
        <w:tc>
          <w:tcPr>
            <w:tcW w:w="464" w:type="pct"/>
            <w:noWrap w:val="0"/>
            <w:vAlign w:val="center"/>
          </w:tcPr>
          <w:p w14:paraId="5C2825BA">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65C4D1E4">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520F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50B75D09">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4</w:t>
            </w:r>
          </w:p>
        </w:tc>
        <w:tc>
          <w:tcPr>
            <w:tcW w:w="459" w:type="pct"/>
            <w:noWrap w:val="0"/>
            <w:vAlign w:val="center"/>
          </w:tcPr>
          <w:p w14:paraId="3B6DA405">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磁力搅拌水浴锅</w:t>
            </w:r>
          </w:p>
        </w:tc>
        <w:tc>
          <w:tcPr>
            <w:tcW w:w="2477" w:type="pct"/>
            <w:noWrap w:val="0"/>
            <w:vAlign w:val="top"/>
          </w:tcPr>
          <w:p w14:paraId="250B52C5">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rPr>
              <w:t>1、电源：220V 50HZ</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2、搅拌容量：2×500ml</w:t>
            </w:r>
            <w:r>
              <w:rPr>
                <w:rFonts w:hint="eastAsia" w:ascii="宋体" w:hAnsi="宋体" w:eastAsia="宋体" w:cs="宋体"/>
                <w:bCs/>
                <w:color w:val="auto"/>
                <w:sz w:val="24"/>
                <w:szCs w:val="24"/>
                <w:highlight w:val="none"/>
                <w:lang w:val="en-US" w:eastAsia="zh-CN"/>
              </w:rPr>
              <w:t xml:space="preserve">  最</w:t>
            </w:r>
            <w:r>
              <w:rPr>
                <w:rFonts w:hint="eastAsia" w:ascii="宋体" w:hAnsi="宋体" w:eastAsia="宋体" w:cs="宋体"/>
                <w:bCs/>
                <w:color w:val="auto"/>
                <w:sz w:val="24"/>
                <w:szCs w:val="24"/>
                <w:highlight w:val="none"/>
              </w:rPr>
              <w:t>大2×1000ml（水溶液）</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3、加热功率：600W</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4、恒温范围：室温-99.9℃</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5、温度精度：≤±0.5℃</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6、转速：</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500</w:t>
            </w:r>
            <w:r>
              <w:rPr>
                <w:rFonts w:hint="eastAsia" w:ascii="宋体" w:hAnsi="宋体" w:eastAsia="宋体" w:cs="宋体"/>
                <w:bCs/>
                <w:color w:val="auto"/>
                <w:sz w:val="24"/>
                <w:szCs w:val="24"/>
                <w:highlight w:val="none"/>
              </w:rPr>
              <w:t>转/分（可调，并可单独控制每个样品的搅拌速度）</w:t>
            </w:r>
            <w:r>
              <w:rPr>
                <w:rFonts w:hint="eastAsia" w:ascii="宋体" w:hAnsi="宋体" w:eastAsia="宋体" w:cs="宋体"/>
                <w:bCs/>
                <w:color w:val="auto"/>
                <w:sz w:val="24"/>
                <w:szCs w:val="24"/>
                <w:highlight w:val="none"/>
              </w:rPr>
              <w:br w:type="textWrapping"/>
            </w:r>
            <w:r>
              <w:rPr>
                <w:rFonts w:hint="eastAsia" w:ascii="宋体" w:hAnsi="宋体" w:eastAsia="宋体" w:cs="宋体"/>
                <w:bCs/>
                <w:color w:val="auto"/>
                <w:sz w:val="24"/>
                <w:szCs w:val="24"/>
                <w:highlight w:val="none"/>
              </w:rPr>
              <w:t>7、锅尺寸：</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300×160×120mm</w:t>
            </w:r>
          </w:p>
        </w:tc>
        <w:tc>
          <w:tcPr>
            <w:tcW w:w="352" w:type="pct"/>
            <w:noWrap w:val="0"/>
            <w:vAlign w:val="center"/>
          </w:tcPr>
          <w:p w14:paraId="0E1A7AAC">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2</w:t>
            </w:r>
          </w:p>
        </w:tc>
        <w:tc>
          <w:tcPr>
            <w:tcW w:w="464" w:type="pct"/>
            <w:noWrap w:val="0"/>
            <w:vAlign w:val="center"/>
          </w:tcPr>
          <w:p w14:paraId="214B9B48">
            <w:pPr>
              <w:keepNext w:val="0"/>
              <w:keepLines w:val="0"/>
              <w:pageBreakBefore w:val="0"/>
              <w:kinsoku/>
              <w:wordWrap/>
              <w:overflowPunct/>
              <w:topLinePunct w:val="0"/>
              <w:autoSpaceDE/>
              <w:autoSpaceDN/>
              <w:bidi w:val="0"/>
              <w:spacing w:line="360" w:lineRule="auto"/>
              <w:jc w:val="center"/>
              <w:rPr>
                <w:rFonts w:hint="default" w:ascii="仿宋" w:hAnsi="仿宋" w:eastAsia="仿宋"/>
                <w:iCs/>
                <w:color w:val="auto"/>
                <w:sz w:val="24"/>
                <w:szCs w:val="24"/>
                <w:highlight w:val="none"/>
                <w:lang w:val="en-US" w:eastAsia="zh-CN"/>
              </w:rPr>
            </w:pPr>
            <w:r>
              <w:rPr>
                <w:rFonts w:hint="eastAsia" w:ascii="宋体" w:hAnsi="宋体" w:eastAsia="宋体" w:cs="宋体"/>
                <w:bCs/>
                <w:color w:val="auto"/>
                <w:sz w:val="24"/>
                <w:highlight w:val="none"/>
                <w:lang w:val="en-US" w:eastAsia="zh-CN"/>
              </w:rPr>
              <w:t>0.05</w:t>
            </w:r>
          </w:p>
        </w:tc>
        <w:tc>
          <w:tcPr>
            <w:tcW w:w="464" w:type="pct"/>
            <w:noWrap w:val="0"/>
            <w:vAlign w:val="center"/>
          </w:tcPr>
          <w:p w14:paraId="72DC9BDC">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65514B5A">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61E1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2A9AD936">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5</w:t>
            </w:r>
          </w:p>
        </w:tc>
        <w:tc>
          <w:tcPr>
            <w:tcW w:w="459" w:type="pct"/>
            <w:noWrap w:val="0"/>
            <w:vAlign w:val="center"/>
          </w:tcPr>
          <w:p w14:paraId="46BE2476">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真空抽滤机</w:t>
            </w:r>
          </w:p>
        </w:tc>
        <w:tc>
          <w:tcPr>
            <w:tcW w:w="2477" w:type="pct"/>
            <w:noWrap w:val="0"/>
            <w:vAlign w:val="top"/>
          </w:tcPr>
          <w:p w14:paraId="2316F09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1、功率（W）： 180</w:t>
            </w:r>
          </w:p>
          <w:p w14:paraId="154863E0">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2、电源（V/HZ） ： 220/50</w:t>
            </w:r>
          </w:p>
          <w:p w14:paraId="735B089F">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3、流量（L/min）： 60 </w:t>
            </w:r>
          </w:p>
          <w:p w14:paraId="601B300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4、扬程（m）：8</w:t>
            </w:r>
          </w:p>
          <w:p w14:paraId="32656E3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5、最大真空度（Mpa）：0.09</w:t>
            </w:r>
          </w:p>
          <w:p w14:paraId="717B07D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6、单头抽气量（L/min）： 10</w:t>
            </w:r>
          </w:p>
          <w:p w14:paraId="183FBE2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7、抽气头数（个）: 2</w:t>
            </w:r>
          </w:p>
          <w:p w14:paraId="299BF67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8、安全功能：逆流防止阀</w:t>
            </w:r>
          </w:p>
          <w:p w14:paraId="1849DBC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9、水箱容积（L）：15</w:t>
            </w:r>
          </w:p>
          <w:p w14:paraId="54C63E4A">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10、水箱材质：PP   </w:t>
            </w:r>
          </w:p>
          <w:p w14:paraId="1E67836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rPr>
              <w:t>11、外型尺寸（长×宽×高）：≤400×280×420mm</w:t>
            </w:r>
          </w:p>
        </w:tc>
        <w:tc>
          <w:tcPr>
            <w:tcW w:w="352" w:type="pct"/>
            <w:noWrap w:val="0"/>
            <w:vAlign w:val="center"/>
          </w:tcPr>
          <w:p w14:paraId="3FDE8B31">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2</w:t>
            </w:r>
          </w:p>
        </w:tc>
        <w:tc>
          <w:tcPr>
            <w:tcW w:w="464" w:type="pct"/>
            <w:noWrap w:val="0"/>
            <w:vAlign w:val="center"/>
          </w:tcPr>
          <w:p w14:paraId="071A224E">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0.1</w:t>
            </w:r>
          </w:p>
        </w:tc>
        <w:tc>
          <w:tcPr>
            <w:tcW w:w="464" w:type="pct"/>
            <w:noWrap w:val="0"/>
            <w:vAlign w:val="center"/>
          </w:tcPr>
          <w:p w14:paraId="3361B458">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01557B7B">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48EA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601A3417">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6</w:t>
            </w:r>
          </w:p>
        </w:tc>
        <w:tc>
          <w:tcPr>
            <w:tcW w:w="459" w:type="pct"/>
            <w:noWrap w:val="0"/>
            <w:vAlign w:val="center"/>
          </w:tcPr>
          <w:p w14:paraId="6D0A9DBF">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电子天平</w:t>
            </w:r>
            <w:r>
              <w:rPr>
                <w:rFonts w:hint="eastAsia" w:ascii="宋体" w:hAnsi="宋体" w:eastAsia="宋体" w:cs="宋体"/>
                <w:color w:val="auto"/>
                <w:sz w:val="24"/>
                <w:szCs w:val="24"/>
                <w:highlight w:val="none"/>
                <w:lang w:val="en-US" w:eastAsia="zh-CN"/>
              </w:rPr>
              <w:t>1</w:t>
            </w:r>
          </w:p>
        </w:tc>
        <w:tc>
          <w:tcPr>
            <w:tcW w:w="2477" w:type="pct"/>
            <w:noWrap w:val="0"/>
            <w:vAlign w:val="top"/>
          </w:tcPr>
          <w:p w14:paraId="7F277FDF">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1、量程：120g </w:t>
            </w:r>
          </w:p>
          <w:p w14:paraId="0F4E51F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2、精度：0.1mg</w:t>
            </w:r>
          </w:p>
          <w:p w14:paraId="5D84CAA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3、重复性：≤0.1mg</w:t>
            </w:r>
          </w:p>
          <w:p w14:paraId="67E65D4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4、性线：≤0.06mg</w:t>
            </w:r>
          </w:p>
          <w:p w14:paraId="5BCEE6F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5、秤盘尺寸：90mm</w:t>
            </w:r>
          </w:p>
          <w:p w14:paraId="0879EC0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6、典型稳定时间：1.5S </w:t>
            </w:r>
          </w:p>
          <w:p w14:paraId="79C262F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7、校准方式：外部砝码手动校正；  </w:t>
            </w:r>
          </w:p>
          <w:p w14:paraId="05F70B7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8、屏幕：LED触摸屏，操作容易，读数方便；提供额外的防尘和防划伤防护；</w:t>
            </w:r>
          </w:p>
          <w:p w14:paraId="27FF020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9、防震：四级防震以防止震动干扰称重结果；</w:t>
            </w:r>
          </w:p>
          <w:p w14:paraId="1D9DC2E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10、核心部件：称重传感器采用高级部件和材料打造出新的单体传感器，安装在结实的特殊铝合金底板上，不受外界环境影响（例如温度波动和振动）；</w:t>
            </w:r>
          </w:p>
          <w:p w14:paraId="2682747F">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11、通信接口：USB及RS232接口，可连接打印机、PC、第二显示器、扫描枪等外设；</w:t>
            </w:r>
          </w:p>
          <w:p w14:paraId="026BADFD">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12、下部吊钩，满足大体积称量；</w:t>
            </w:r>
          </w:p>
          <w:p w14:paraId="4612437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13、应用程序：内置12种应用程序：称量|填料、计数、称量百分比、混合|净重总重、组分|总重、动物称量、计算|自由因子、密度测定、统计、峰值保持、检重、质量单位转换等; </w:t>
            </w:r>
          </w:p>
          <w:p w14:paraId="2328F300">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14、自动检测并通知校准结果是否超出正常范围；</w:t>
            </w:r>
          </w:p>
          <w:p w14:paraId="19779C55">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15、密码保护，防止意外更改天平设置。ID设置，可以为设备、样品和批次分配ID号；</w:t>
            </w:r>
          </w:p>
          <w:p w14:paraId="5A5AF54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16、配备自测试“@start” 重复性测试功能，可靠性有保证；</w:t>
            </w:r>
          </w:p>
        </w:tc>
        <w:tc>
          <w:tcPr>
            <w:tcW w:w="352" w:type="pct"/>
            <w:noWrap w:val="0"/>
            <w:vAlign w:val="center"/>
          </w:tcPr>
          <w:p w14:paraId="7C209FF1">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1</w:t>
            </w:r>
          </w:p>
        </w:tc>
        <w:tc>
          <w:tcPr>
            <w:tcW w:w="464" w:type="pct"/>
            <w:noWrap w:val="0"/>
            <w:vAlign w:val="center"/>
          </w:tcPr>
          <w:p w14:paraId="533A24B2">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0.8</w:t>
            </w:r>
          </w:p>
        </w:tc>
        <w:tc>
          <w:tcPr>
            <w:tcW w:w="464" w:type="pct"/>
            <w:noWrap w:val="0"/>
            <w:vAlign w:val="center"/>
          </w:tcPr>
          <w:p w14:paraId="48D6AFCC">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5E8D5450">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2DD7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2668ADF0">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7</w:t>
            </w:r>
          </w:p>
        </w:tc>
        <w:tc>
          <w:tcPr>
            <w:tcW w:w="459" w:type="pct"/>
            <w:noWrap w:val="0"/>
            <w:vAlign w:val="center"/>
          </w:tcPr>
          <w:p w14:paraId="36A7008B">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电子天平</w:t>
            </w:r>
            <w:r>
              <w:rPr>
                <w:rFonts w:hint="eastAsia" w:ascii="宋体" w:hAnsi="宋体" w:eastAsia="宋体" w:cs="宋体"/>
                <w:color w:val="auto"/>
                <w:sz w:val="24"/>
                <w:szCs w:val="24"/>
                <w:highlight w:val="none"/>
                <w:lang w:val="en-US" w:eastAsia="zh-CN"/>
              </w:rPr>
              <w:t>2</w:t>
            </w:r>
          </w:p>
        </w:tc>
        <w:tc>
          <w:tcPr>
            <w:tcW w:w="2477" w:type="pct"/>
            <w:noWrap w:val="0"/>
            <w:vAlign w:val="top"/>
          </w:tcPr>
          <w:p w14:paraId="40E1101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1、量程：60g /120g</w:t>
            </w:r>
          </w:p>
          <w:p w14:paraId="3FA9199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2、精度：0.01mg /0.1mg</w:t>
            </w:r>
          </w:p>
          <w:p w14:paraId="2552E710">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3、重复性：0-60g/重复性0.04mg，60-120g/重复性0.07mg</w:t>
            </w:r>
          </w:p>
          <w:p w14:paraId="370D1ED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4、性线：≤0.1mg</w:t>
            </w:r>
          </w:p>
          <w:p w14:paraId="0A037D95">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5、秤盘尺寸：Φ80mm</w:t>
            </w:r>
          </w:p>
          <w:p w14:paraId="361903D4">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6、典型稳定时间：≤6S ，</w:t>
            </w:r>
          </w:p>
          <w:p w14:paraId="27732A8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7、灵敏度漂移：± 1ppm / K</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（+10 °C...+30 °C ）</w:t>
            </w:r>
          </w:p>
          <w:p w14:paraId="1CBFDA0C">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8、iso CAL校准：温度变化:1.5K ，时间间隔:4h</w:t>
            </w:r>
          </w:p>
          <w:p w14:paraId="3B14EA7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9、用户操作界面：中文触摸屏操作界面</w:t>
            </w:r>
          </w:p>
          <w:p w14:paraId="43F44930">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10、校准审计追踪(CAL Audit Trail)功能，自动存储30天内所有校准结果数据，数据可溯源。</w:t>
            </w:r>
            <w:r>
              <w:rPr>
                <w:rFonts w:hint="eastAsia" w:ascii="宋体" w:hAnsi="宋体" w:eastAsia="宋体" w:cs="宋体"/>
                <w:color w:val="auto"/>
                <w:sz w:val="24"/>
                <w:szCs w:val="24"/>
                <w:highlight w:val="none"/>
              </w:rPr>
              <w:tab/>
            </w:r>
          </w:p>
          <w:p w14:paraId="430522EE">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11、isoCAL全自动内校温度和时间触发的自动内部校准和调整功能，保证称量结果的可靠性。</w:t>
            </w:r>
          </w:p>
          <w:p w14:paraId="7CC9FBB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12、一体化托盘，称量室底盘边缘及凹槽设计，方便拆卸及清洁；表面涂有惰性涂层，高耐腐蚀性</w:t>
            </w:r>
          </w:p>
          <w:p w14:paraId="1B81E6E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13、通信接口自动识别天平打印机和电脑等设备，直接传输数据</w:t>
            </w:r>
          </w:p>
          <w:p w14:paraId="1392AD3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14、采用高级部件和材料打造出新的超极单体传感器，安装在结实的特殊铝合金底板上，不受外界环境影响（例如温度波动和振动）</w:t>
            </w:r>
          </w:p>
          <w:p w14:paraId="3BA03CC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15、四级防震以防止震动干扰称重结果,可以通过显示器一键式调整震动的级别，简单方便</w:t>
            </w:r>
          </w:p>
          <w:p w14:paraId="2BBD0947">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16、菜单锁定功能，防止误操作。</w:t>
            </w:r>
          </w:p>
          <w:p w14:paraId="36494568">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17、应用程序：触摸屏技术显示支持特别的实验室应用程序，如混合、组分、统计和转换等；以及标准的实验室应用程序，如称重、密度、百分比、检重、峰值保持、计数和不稳定状态等.</w:t>
            </w:r>
          </w:p>
        </w:tc>
        <w:tc>
          <w:tcPr>
            <w:tcW w:w="352" w:type="pct"/>
            <w:noWrap w:val="0"/>
            <w:vAlign w:val="center"/>
          </w:tcPr>
          <w:p w14:paraId="5CB68DCD">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1</w:t>
            </w:r>
          </w:p>
        </w:tc>
        <w:tc>
          <w:tcPr>
            <w:tcW w:w="464" w:type="pct"/>
            <w:noWrap w:val="0"/>
            <w:vAlign w:val="center"/>
          </w:tcPr>
          <w:p w14:paraId="33D2114B">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2.5</w:t>
            </w:r>
          </w:p>
        </w:tc>
        <w:tc>
          <w:tcPr>
            <w:tcW w:w="464" w:type="pct"/>
            <w:noWrap w:val="0"/>
            <w:vAlign w:val="center"/>
          </w:tcPr>
          <w:p w14:paraId="40DCEDE3">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3454B43A">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r w14:paraId="6C89F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43" w:type="pct"/>
            <w:noWrap w:val="0"/>
            <w:vAlign w:val="center"/>
          </w:tcPr>
          <w:p w14:paraId="2044B5CE">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8</w:t>
            </w:r>
          </w:p>
        </w:tc>
        <w:tc>
          <w:tcPr>
            <w:tcW w:w="459" w:type="pct"/>
            <w:noWrap w:val="0"/>
            <w:vAlign w:val="center"/>
          </w:tcPr>
          <w:p w14:paraId="29CA0390">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退火加热板</w:t>
            </w:r>
          </w:p>
        </w:tc>
        <w:tc>
          <w:tcPr>
            <w:tcW w:w="2477" w:type="pct"/>
            <w:noWrap w:val="0"/>
            <w:vAlign w:val="top"/>
          </w:tcPr>
          <w:p w14:paraId="24BC3E3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由精密型数显温控表控制加热，以及高温报警功能</w:t>
            </w:r>
          </w:p>
          <w:p w14:paraId="398D9662">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温度准确度±1℃</w:t>
            </w:r>
          </w:p>
          <w:p w14:paraId="2B58F80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保温设定以1℃计算</w:t>
            </w:r>
          </w:p>
          <w:p w14:paraId="00EA6589">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温度探测和显示0.1℃</w:t>
            </w:r>
          </w:p>
          <w:p w14:paraId="361216FD">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加热模块和控制系统体整设计</w:t>
            </w:r>
          </w:p>
          <w:p w14:paraId="063B0DAA">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无机械组件，无电磁干扰和危害</w:t>
            </w:r>
          </w:p>
          <w:p w14:paraId="4B3640C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面板采用铝合金材质</w:t>
            </w:r>
          </w:p>
          <w:p w14:paraId="6E66D374">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适用任何材料加热（如、陶瓷、金属、玻璃等）</w:t>
            </w:r>
          </w:p>
          <w:p w14:paraId="03B84CD9">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智能控制系统，分30个程序段控温</w:t>
            </w:r>
          </w:p>
        </w:tc>
        <w:tc>
          <w:tcPr>
            <w:tcW w:w="352" w:type="pct"/>
            <w:noWrap w:val="0"/>
            <w:vAlign w:val="center"/>
          </w:tcPr>
          <w:p w14:paraId="04BDFDC8">
            <w:pPr>
              <w:keepNext w:val="0"/>
              <w:keepLines w:val="0"/>
              <w:pageBreakBefore w:val="0"/>
              <w:widowControl/>
              <w:kinsoku/>
              <w:wordWrap/>
              <w:overflowPunct/>
              <w:topLinePunct w:val="0"/>
              <w:autoSpaceDE/>
              <w:autoSpaceDN/>
              <w:bidi w:val="0"/>
              <w:spacing w:line="360" w:lineRule="auto"/>
              <w:jc w:val="center"/>
              <w:textAlignment w:val="bottom"/>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bidi="ar"/>
              </w:rPr>
              <w:t>2</w:t>
            </w:r>
          </w:p>
        </w:tc>
        <w:tc>
          <w:tcPr>
            <w:tcW w:w="464" w:type="pct"/>
            <w:noWrap w:val="0"/>
            <w:vAlign w:val="center"/>
          </w:tcPr>
          <w:p w14:paraId="3B4B9B33">
            <w:pPr>
              <w:keepNext w:val="0"/>
              <w:keepLines w:val="0"/>
              <w:pageBreakBefore w:val="0"/>
              <w:kinsoku/>
              <w:wordWrap/>
              <w:overflowPunct/>
              <w:topLinePunct w:val="0"/>
              <w:autoSpaceDE/>
              <w:autoSpaceDN/>
              <w:bidi w:val="0"/>
              <w:spacing w:line="360" w:lineRule="auto"/>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0.5</w:t>
            </w:r>
          </w:p>
        </w:tc>
        <w:tc>
          <w:tcPr>
            <w:tcW w:w="464" w:type="pct"/>
            <w:noWrap w:val="0"/>
            <w:vAlign w:val="center"/>
          </w:tcPr>
          <w:p w14:paraId="23A4B9CA">
            <w:pPr>
              <w:keepNext w:val="0"/>
              <w:keepLines w:val="0"/>
              <w:pageBreakBefore w:val="0"/>
              <w:kinsoku/>
              <w:wordWrap/>
              <w:overflowPunct/>
              <w:topLinePunct w:val="0"/>
              <w:autoSpaceDE/>
              <w:autoSpaceDN/>
              <w:bidi w:val="0"/>
              <w:spacing w:line="360" w:lineRule="auto"/>
              <w:jc w:val="center"/>
              <w:rPr>
                <w:rFonts w:hint="eastAsia" w:ascii="仿宋" w:hAnsi="仿宋" w:eastAsia="仿宋"/>
                <w:iCs/>
                <w:color w:val="auto"/>
                <w:sz w:val="24"/>
                <w:szCs w:val="24"/>
                <w:highlight w:val="none"/>
              </w:rPr>
            </w:pPr>
            <w:r>
              <w:rPr>
                <w:rFonts w:hint="eastAsia" w:ascii="宋体" w:hAnsi="宋体" w:eastAsia="宋体" w:cs="宋体"/>
                <w:iCs/>
                <w:color w:val="auto"/>
                <w:sz w:val="24"/>
                <w:szCs w:val="24"/>
                <w:highlight w:val="none"/>
              </w:rPr>
              <w:t>合肥工业大学宣城校区</w:t>
            </w:r>
          </w:p>
        </w:tc>
        <w:tc>
          <w:tcPr>
            <w:tcW w:w="539" w:type="pct"/>
            <w:noWrap w:val="0"/>
            <w:vAlign w:val="center"/>
          </w:tcPr>
          <w:p w14:paraId="7BCBAEE1">
            <w:pPr>
              <w:keepNext w:val="0"/>
              <w:keepLines w:val="0"/>
              <w:pageBreakBefore w:val="0"/>
              <w:kinsoku/>
              <w:wordWrap/>
              <w:overflowPunct/>
              <w:topLinePunct w:val="0"/>
              <w:autoSpaceDE/>
              <w:autoSpaceDN/>
              <w:bidi w:val="0"/>
              <w:spacing w:line="360" w:lineRule="auto"/>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国产</w:t>
            </w:r>
          </w:p>
        </w:tc>
      </w:tr>
    </w:tbl>
    <w:p w14:paraId="1C1CD81E">
      <w:pPr>
        <w:rPr>
          <w:rFonts w:hint="eastAsia" w:ascii="宋体" w:hAnsi="宋体" w:cs="宋体"/>
          <w:b/>
          <w:sz w:val="24"/>
          <w:highlight w:val="none"/>
        </w:rPr>
      </w:pPr>
    </w:p>
    <w:p w14:paraId="13C43E08">
      <w:pPr>
        <w:numPr>
          <w:ilvl w:val="0"/>
          <w:numId w:val="0"/>
        </w:numPr>
        <w:spacing w:before="78" w:beforeLines="25" w:after="78" w:afterLines="25" w:line="440" w:lineRule="exact"/>
        <w:rPr>
          <w:rFonts w:hint="eastAsia" w:ascii="宋体" w:hAnsi="宋体" w:cs="宋体"/>
          <w:b/>
          <w:sz w:val="24"/>
          <w:highlight w:val="none"/>
          <w:lang w:val="en-US" w:eastAsia="zh-CN"/>
        </w:rPr>
      </w:pPr>
      <w:r>
        <w:rPr>
          <w:rFonts w:hint="eastAsia" w:ascii="宋体" w:hAnsi="宋体" w:cs="宋体"/>
          <w:b/>
          <w:kern w:val="2"/>
          <w:sz w:val="24"/>
          <w:szCs w:val="24"/>
          <w:highlight w:val="none"/>
          <w:lang w:val="en-US" w:eastAsia="zh-CN" w:bidi="ar-SA"/>
        </w:rPr>
        <w:t>13、</w:t>
      </w:r>
      <w:r>
        <w:rPr>
          <w:rFonts w:hint="eastAsia" w:ascii="宋体" w:hAnsi="宋体" w:cs="宋体"/>
          <w:b/>
          <w:sz w:val="24"/>
          <w:highlight w:val="none"/>
          <w:lang w:val="en-US" w:eastAsia="zh-CN"/>
        </w:rPr>
        <w:t>报价要求：</w:t>
      </w:r>
    </w:p>
    <w:p w14:paraId="60203CAD">
      <w:pPr>
        <w:pStyle w:val="9"/>
        <w:numPr>
          <w:ilvl w:val="0"/>
          <w:numId w:val="0"/>
        </w:numPr>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b w:val="0"/>
          <w:bCs w:val="0"/>
          <w:sz w:val="24"/>
          <w:highlight w:val="none"/>
          <w:lang w:val="en-US" w:eastAsia="zh-CN"/>
        </w:rPr>
        <w:t>本项目最高限价</w:t>
      </w:r>
      <w:r>
        <w:rPr>
          <w:rFonts w:hint="eastAsia" w:ascii="宋体" w:hAnsi="宋体" w:eastAsia="宋体" w:cs="宋体"/>
          <w:b w:val="0"/>
          <w:bCs w:val="0"/>
          <w:sz w:val="24"/>
          <w:highlight w:val="none"/>
        </w:rPr>
        <w:t>人民币</w:t>
      </w:r>
      <w:r>
        <w:rPr>
          <w:rFonts w:hint="eastAsia" w:ascii="宋体" w:hAnsi="宋体" w:eastAsia="宋体" w:cs="宋体"/>
          <w:b w:val="0"/>
          <w:bCs w:val="0"/>
          <w:sz w:val="24"/>
          <w:highlight w:val="none"/>
          <w:lang w:eastAsia="zh-CN"/>
        </w:rPr>
        <w:t>61.10万元</w:t>
      </w:r>
      <w:r>
        <w:rPr>
          <w:rFonts w:hint="eastAsia" w:ascii="宋体" w:hAnsi="宋体" w:eastAsia="宋体" w:cs="宋体"/>
          <w:b w:val="0"/>
          <w:bCs w:val="0"/>
          <w:sz w:val="24"/>
          <w:highlight w:val="none"/>
        </w:rPr>
        <w:t>。供应商响应报价不得超过本项目的最高限价</w:t>
      </w:r>
      <w:r>
        <w:rPr>
          <w:rFonts w:hint="eastAsia" w:ascii="宋体" w:hAnsi="宋体" w:eastAsia="宋体" w:cs="宋体"/>
          <w:b w:val="0"/>
          <w:bCs w:val="0"/>
          <w:sz w:val="24"/>
          <w:highlight w:val="none"/>
          <w:lang w:val="en-US" w:eastAsia="zh-CN"/>
        </w:rPr>
        <w:t>，</w:t>
      </w:r>
      <w:r>
        <w:rPr>
          <w:rFonts w:hint="eastAsia" w:ascii="宋体" w:hAnsi="宋体" w:eastAsia="宋体" w:cs="宋体"/>
          <w:b w:val="0"/>
          <w:bCs w:val="0"/>
          <w:sz w:val="24"/>
          <w:highlight w:val="none"/>
        </w:rPr>
        <w:t>否则按无效响应文件处理。</w:t>
      </w:r>
    </w:p>
    <w:p w14:paraId="42147062">
      <w:pPr>
        <w:spacing w:before="78" w:beforeLines="25" w:after="78" w:afterLines="25" w:line="440" w:lineRule="exact"/>
        <w:rPr>
          <w:rFonts w:hint="eastAsia" w:ascii="宋体" w:hAnsi="宋体" w:eastAsia="宋体" w:cs="宋体"/>
          <w:b w:val="0"/>
          <w:color w:val="0000FF"/>
          <w:sz w:val="24"/>
          <w:highlight w:val="none"/>
        </w:rPr>
      </w:pPr>
      <w:r>
        <w:rPr>
          <w:rFonts w:hint="eastAsia" w:ascii="宋体" w:hAnsi="宋体" w:eastAsia="宋体" w:cs="宋体"/>
          <w:b/>
          <w:bCs/>
          <w:sz w:val="24"/>
          <w:highlight w:val="none"/>
          <w:lang w:val="en-US" w:eastAsia="zh-CN"/>
        </w:rPr>
        <w:t>14、</w:t>
      </w:r>
      <w:r>
        <w:rPr>
          <w:rFonts w:hint="eastAsia" w:ascii="宋体" w:hAnsi="宋体" w:eastAsia="宋体" w:cs="宋体"/>
          <w:b/>
          <w:bCs/>
          <w:sz w:val="24"/>
          <w:highlight w:val="none"/>
        </w:rPr>
        <w:t xml:space="preserve">其它要求  </w:t>
      </w:r>
      <w:r>
        <w:rPr>
          <w:rFonts w:hint="eastAsia" w:ascii="宋体" w:hAnsi="宋体" w:eastAsia="宋体" w:cs="宋体"/>
          <w:sz w:val="24"/>
          <w:highlight w:val="none"/>
        </w:rPr>
        <w:t xml:space="preserve">  </w:t>
      </w:r>
      <w:r>
        <w:rPr>
          <w:rFonts w:hint="eastAsia" w:ascii="宋体" w:hAnsi="宋体" w:eastAsia="宋体" w:cs="宋体"/>
          <w:color w:val="0000FF"/>
          <w:sz w:val="24"/>
          <w:highlight w:val="none"/>
        </w:rPr>
        <w:t xml:space="preserve"> </w:t>
      </w:r>
    </w:p>
    <w:p w14:paraId="609AEC02">
      <w:pPr>
        <w:spacing w:before="78" w:beforeLines="25" w:after="78" w:afterLines="25" w:line="440" w:lineRule="exact"/>
        <w:rPr>
          <w:rFonts w:hint="eastAsia" w:ascii="宋体" w:hAnsi="宋体" w:cs="宋体"/>
          <w:b/>
          <w:sz w:val="24"/>
          <w:highlight w:val="none"/>
        </w:rPr>
      </w:pPr>
      <w:r>
        <w:rPr>
          <w:rFonts w:hint="eastAsia" w:ascii="宋体" w:hAnsi="宋体" w:cs="宋体"/>
          <w:b/>
          <w:sz w:val="24"/>
          <w:highlight w:val="none"/>
          <w:lang w:val="en-US" w:eastAsia="zh-CN"/>
        </w:rPr>
        <w:t>14.1</w:t>
      </w:r>
      <w:r>
        <w:rPr>
          <w:rFonts w:hint="eastAsia" w:ascii="宋体" w:hAnsi="宋体" w:cs="宋体"/>
          <w:b/>
          <w:sz w:val="24"/>
          <w:highlight w:val="none"/>
        </w:rPr>
        <w:t>包装和运输要求：</w:t>
      </w:r>
    </w:p>
    <w:p w14:paraId="2B427C7E">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1</w:t>
      </w:r>
      <w:r>
        <w:rPr>
          <w:rFonts w:hint="eastAsia" w:ascii="宋体" w:hAnsi="宋体" w:cs="宋体"/>
          <w:sz w:val="24"/>
          <w:highlight w:val="none"/>
          <w:lang w:eastAsia="zh-CN"/>
        </w:rPr>
        <w:t>）</w:t>
      </w:r>
      <w:r>
        <w:rPr>
          <w:rFonts w:hint="eastAsia" w:ascii="宋体" w:hAnsi="宋体" w:cs="宋体"/>
          <w:sz w:val="24"/>
          <w:highlight w:val="none"/>
        </w:rPr>
        <w:t>包装：货物交货时应按国家有关标准要求进行包装。</w:t>
      </w:r>
    </w:p>
    <w:p w14:paraId="76E0E662">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方式：包装必须与运输方式相适应，包装方式的确定及包装费用均由中标供应商负责；由于不适当的包装而造成货物在运输过程中有任何损坏由中标供应商负责。包装应足以承受整个过程中的运输、转运、装卸、储存等，充分考虑到运输途中的各种情况(如暴露于恶劣气候等)和项目所在地的气候特点，以及露天存放的需要。</w:t>
      </w:r>
    </w:p>
    <w:p w14:paraId="2E065027">
      <w:pPr>
        <w:spacing w:before="78" w:beforeLines="25" w:after="78" w:afterLines="25" w:line="440" w:lineRule="exact"/>
        <w:rPr>
          <w:rFonts w:hint="eastAsia" w:ascii="宋体" w:hAnsi="宋体" w:cs="宋体"/>
          <w:b/>
          <w:sz w:val="24"/>
          <w:highlight w:val="none"/>
        </w:rPr>
      </w:pPr>
      <w:r>
        <w:rPr>
          <w:rFonts w:hint="eastAsia" w:ascii="宋体" w:hAnsi="宋体" w:cs="宋体"/>
          <w:b/>
          <w:sz w:val="24"/>
          <w:highlight w:val="none"/>
          <w:lang w:val="en-US" w:eastAsia="zh-CN"/>
        </w:rPr>
        <w:t>14.</w:t>
      </w:r>
      <w:r>
        <w:rPr>
          <w:rFonts w:hint="eastAsia" w:ascii="宋体" w:hAnsi="宋体" w:cs="宋体"/>
          <w:b/>
          <w:sz w:val="24"/>
          <w:highlight w:val="none"/>
        </w:rPr>
        <w:t>2履约验收标准：</w:t>
      </w:r>
    </w:p>
    <w:p w14:paraId="1221059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（1）所供产品规格、数量符合招标文件和供应商投标承诺及采购合同约定的要求。 </w:t>
      </w:r>
    </w:p>
    <w:p w14:paraId="7AB3F3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（2）所供产品材质、颜色符合招标文件和供应商投标承诺及采购合同约定的要求。 </w:t>
      </w:r>
    </w:p>
    <w:p w14:paraId="518E5F7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（3）所供产品外观完好，无严重碰撞、表皮脱落、五金件生锈等明显瑕疵。 </w:t>
      </w:r>
    </w:p>
    <w:p w14:paraId="7C78FA0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（4）所供产品结构牢固，无安全隐患。 </w:t>
      </w:r>
    </w:p>
    <w:p w14:paraId="004362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（5）如有抽检要求的，检测结果符合招标文件和供应商投标承诺及采购合同约定的要求。 </w:t>
      </w:r>
    </w:p>
    <w:p w14:paraId="4E6C9F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（6）所有产品均已运输至指定地点，并安装调试完毕。 </w:t>
      </w:r>
    </w:p>
    <w:p w14:paraId="527FE07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（7）招标文件供应商投标承诺及采购合同约定的附件、工具、技术资料等齐全；提供产品使用说明书、合格证。</w:t>
      </w:r>
    </w:p>
    <w:p w14:paraId="321045F4">
      <w:pPr>
        <w:spacing w:before="78" w:beforeLines="25" w:after="78" w:afterLines="25" w:line="440" w:lineRule="exact"/>
        <w:rPr>
          <w:rFonts w:hint="eastAsia" w:ascii="宋体" w:hAnsi="宋体" w:cs="宋体"/>
          <w:b/>
          <w:sz w:val="24"/>
          <w:highlight w:val="none"/>
        </w:rPr>
      </w:pPr>
      <w:r>
        <w:rPr>
          <w:rFonts w:hint="eastAsia" w:ascii="宋体" w:hAnsi="宋体" w:cs="宋体"/>
          <w:b/>
          <w:sz w:val="24"/>
          <w:highlight w:val="none"/>
          <w:lang w:val="en-US" w:eastAsia="zh-CN"/>
        </w:rPr>
        <w:t>14.</w:t>
      </w:r>
      <w:r>
        <w:rPr>
          <w:rFonts w:hint="eastAsia" w:ascii="宋体" w:hAnsi="宋体" w:cs="宋体"/>
          <w:b/>
          <w:sz w:val="24"/>
          <w:highlight w:val="none"/>
        </w:rPr>
        <w:t>3安装调试及售后服务要求</w:t>
      </w:r>
    </w:p>
    <w:p w14:paraId="3FDE0DCC">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本项目</w:t>
      </w:r>
      <w:r>
        <w:rPr>
          <w:rFonts w:hint="eastAsia" w:ascii="宋体" w:hAnsi="宋体" w:eastAsia="宋体" w:cs="宋体"/>
          <w:sz w:val="24"/>
          <w:szCs w:val="24"/>
          <w:lang w:val="en-US" w:eastAsia="zh-CN"/>
        </w:rPr>
        <w:t>整体</w:t>
      </w:r>
      <w:r>
        <w:rPr>
          <w:rFonts w:hint="eastAsia" w:ascii="宋体" w:hAnsi="宋体" w:eastAsia="宋体" w:cs="宋体"/>
          <w:sz w:val="24"/>
          <w:szCs w:val="24"/>
        </w:rPr>
        <w:t>免费质量保证期要求不低于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 xml:space="preserve">  </w:t>
      </w:r>
      <w:r>
        <w:rPr>
          <w:rFonts w:hint="eastAsia" w:ascii="宋体" w:hAnsi="宋体" w:eastAsia="宋体" w:cs="宋体"/>
          <w:sz w:val="24"/>
          <w:szCs w:val="24"/>
        </w:rPr>
        <w:t>年。免费质量保证期从货物供货、安装、调试正常且经采购人综合运行验收合格后开始计算。</w:t>
      </w:r>
    </w:p>
    <w:p w14:paraId="63741F04">
      <w:pPr>
        <w:spacing w:line="4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b/>
          <w:bCs/>
          <w:sz w:val="24"/>
          <w:szCs w:val="24"/>
        </w:rPr>
        <w:t>筛板精馏实验装置</w:t>
      </w:r>
      <w:r>
        <w:rPr>
          <w:rFonts w:hint="eastAsia" w:ascii="宋体" w:hAnsi="宋体" w:eastAsia="宋体" w:cs="宋体"/>
          <w:sz w:val="24"/>
          <w:szCs w:val="24"/>
          <w:lang w:eastAsia="zh-CN"/>
        </w:rPr>
        <w:t>，</w:t>
      </w:r>
      <w:r>
        <w:rPr>
          <w:rFonts w:hint="eastAsia" w:ascii="宋体" w:hAnsi="宋体" w:eastAsia="宋体" w:cs="宋体"/>
          <w:sz w:val="24"/>
          <w:szCs w:val="24"/>
        </w:rPr>
        <w:t>售后服务要求</w:t>
      </w:r>
      <w:r>
        <w:rPr>
          <w:rFonts w:hint="eastAsia" w:ascii="宋体" w:hAnsi="宋体" w:eastAsia="宋体" w:cs="宋体"/>
          <w:sz w:val="24"/>
          <w:szCs w:val="24"/>
          <w:lang w:eastAsia="zh-CN"/>
        </w:rPr>
        <w:t>：</w:t>
      </w:r>
    </w:p>
    <w:p w14:paraId="0630B3E8">
      <w:pPr>
        <w:spacing w:line="400" w:lineRule="exact"/>
        <w:ind w:firstLine="720" w:firstLineChars="3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所投设备要求提供原厂不低于</w:t>
      </w:r>
      <w:r>
        <w:rPr>
          <w:rFonts w:hint="eastAsia" w:ascii="宋体" w:hAnsi="宋体" w:eastAsia="宋体" w:cs="宋体"/>
          <w:sz w:val="24"/>
          <w:szCs w:val="24"/>
          <w:lang w:val="en-US" w:eastAsia="zh-CN"/>
        </w:rPr>
        <w:t>1</w:t>
      </w:r>
      <w:r>
        <w:rPr>
          <w:rFonts w:hint="eastAsia" w:ascii="宋体" w:hAnsi="宋体" w:eastAsia="宋体" w:cs="宋体"/>
          <w:sz w:val="24"/>
          <w:szCs w:val="24"/>
        </w:rPr>
        <w:t>年的质保服务，提供原厂售后服务承诺书、5A级售后服务证书和授权书。</w:t>
      </w:r>
    </w:p>
    <w:p w14:paraId="11398F22">
      <w:pPr>
        <w:spacing w:line="400" w:lineRule="exact"/>
        <w:ind w:firstLine="720" w:firstLineChars="300"/>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提供此装置生产全过程检验记录表，确保产品质量及数据调试结果的准确和稳定性。</w:t>
      </w:r>
    </w:p>
    <w:p w14:paraId="6A1DBD1A">
      <w:pPr>
        <w:pStyle w:val="2"/>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供应商应在接到报修通知后</w:t>
      </w:r>
      <w:r>
        <w:rPr>
          <w:rFonts w:hint="eastAsia" w:ascii="宋体" w:hAnsi="宋体" w:eastAsia="宋体" w:cs="宋体"/>
          <w:sz w:val="24"/>
          <w:szCs w:val="24"/>
          <w:u w:val="single"/>
        </w:rPr>
        <w:t xml:space="preserve">  24</w:t>
      </w:r>
      <w:r>
        <w:rPr>
          <w:rFonts w:hint="eastAsia" w:ascii="宋体" w:hAnsi="宋体" w:eastAsia="宋体" w:cs="宋体"/>
          <w:sz w:val="24"/>
          <w:szCs w:val="24"/>
        </w:rPr>
        <w:t>小时内响应，</w:t>
      </w:r>
      <w:r>
        <w:rPr>
          <w:rFonts w:hint="eastAsia" w:ascii="宋体" w:hAnsi="宋体" w:eastAsia="宋体" w:cs="宋体"/>
          <w:sz w:val="24"/>
          <w:szCs w:val="24"/>
          <w:u w:val="single"/>
        </w:rPr>
        <w:t xml:space="preserve"> 48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小时内派技术人员到达现场，</w:t>
      </w:r>
      <w:r>
        <w:rPr>
          <w:rFonts w:hint="eastAsia" w:ascii="宋体" w:hAnsi="宋体" w:eastAsia="宋体" w:cs="宋体"/>
          <w:sz w:val="24"/>
          <w:szCs w:val="24"/>
          <w:u w:val="single"/>
        </w:rPr>
        <w:t xml:space="preserve">  72 </w:t>
      </w:r>
      <w:r>
        <w:rPr>
          <w:rFonts w:hint="eastAsia" w:ascii="宋体" w:hAnsi="宋体" w:eastAsia="宋体" w:cs="宋体"/>
          <w:sz w:val="24"/>
          <w:szCs w:val="24"/>
        </w:rPr>
        <w:t>小时之内排除故障；需要更换设备或配件的应在</w:t>
      </w:r>
      <w:r>
        <w:rPr>
          <w:rFonts w:hint="eastAsia" w:ascii="宋体" w:hAnsi="宋体" w:eastAsia="宋体" w:cs="宋体"/>
          <w:sz w:val="24"/>
          <w:szCs w:val="24"/>
          <w:u w:val="single"/>
        </w:rPr>
        <w:t xml:space="preserve">  15 </w:t>
      </w:r>
      <w:r>
        <w:rPr>
          <w:rFonts w:hint="eastAsia" w:ascii="宋体" w:hAnsi="宋体" w:eastAsia="宋体" w:cs="宋体"/>
          <w:sz w:val="24"/>
          <w:szCs w:val="24"/>
        </w:rPr>
        <w:t>日内修复（从甲方提出现场服务要求之日开始算起），</w:t>
      </w:r>
      <w:r>
        <w:rPr>
          <w:rFonts w:hint="eastAsia" w:ascii="宋体" w:hAnsi="宋体" w:eastAsia="宋体" w:cs="宋体"/>
          <w:sz w:val="24"/>
          <w:szCs w:val="24"/>
          <w:u w:val="single"/>
        </w:rPr>
        <w:t xml:space="preserve"> 15 </w:t>
      </w:r>
      <w:r>
        <w:rPr>
          <w:rFonts w:hint="eastAsia" w:ascii="宋体" w:hAnsi="宋体" w:eastAsia="宋体" w:cs="宋体"/>
          <w:sz w:val="24"/>
          <w:szCs w:val="24"/>
        </w:rPr>
        <w:t>日内不能修复的须及时免费提供备用设备。保修期内的零部件、配件和人工等均为免费</w:t>
      </w:r>
      <w:r>
        <w:rPr>
          <w:rFonts w:hint="eastAsia" w:ascii="宋体" w:hAnsi="宋体" w:eastAsia="宋体" w:cs="宋体"/>
          <w:sz w:val="24"/>
          <w:szCs w:val="24"/>
          <w:lang w:eastAsia="zh-CN"/>
        </w:rPr>
        <w:t>。</w:t>
      </w:r>
    </w:p>
    <w:p w14:paraId="43B40498">
      <w:bookmarkStart w:id="1" w:name="_GoBack"/>
      <w:bookmarkEnd w:id="1"/>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E8071C"/>
    <w:multiLevelType w:val="singleLevel"/>
    <w:tmpl w:val="59E8071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C6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outlineLvl w:val="0"/>
    </w:pPr>
    <w:rPr>
      <w:rFonts w:ascii="Times New Roman" w:hAnsi="Times New Roman" w:eastAsia="宋体"/>
      <w:b/>
      <w:sz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uiPriority w:val="0"/>
    <w:pPr>
      <w:spacing w:after="120"/>
    </w:pPr>
  </w:style>
  <w:style w:type="paragraph" w:styleId="3">
    <w:name w:val="Date"/>
    <w:basedOn w:val="1"/>
    <w:next w:val="1"/>
    <w:uiPriority w:val="0"/>
    <w:rPr>
      <w:b/>
      <w:sz w:val="28"/>
      <w:szCs w:val="20"/>
    </w:rPr>
  </w:style>
  <w:style w:type="paragraph" w:styleId="5">
    <w:name w:val="Document Map"/>
    <w:basedOn w:val="1"/>
    <w:next w:val="1"/>
    <w:semiHidden/>
    <w:qFormat/>
    <w:uiPriority w:val="0"/>
    <w:pPr>
      <w:shd w:val="clear" w:color="auto" w:fill="000080"/>
    </w:pPr>
  </w:style>
  <w:style w:type="paragraph" w:customStyle="1" w:styleId="8">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
    <w:name w:val="正文 New"/>
    <w:next w:val="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正文缩进1"/>
    <w:basedOn w:val="1"/>
    <w:next w:val="5"/>
    <w:qFormat/>
    <w:uiPriority w:val="0"/>
    <w:pPr>
      <w:widowControl w:val="0"/>
      <w:autoSpaceDE/>
      <w:autoSpaceDN/>
      <w:spacing w:before="0" w:after="0" w:line="360" w:lineRule="atLeast"/>
      <w:ind w:left="0" w:firstLine="482"/>
      <w:jc w:val="both"/>
    </w:pPr>
    <w:rPr>
      <w:rFonts w:ascii="Times New Roman" w:eastAsia="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2024-11-29T00:56:51Z</dcterms:created>
  <dc:creator>admin</dc:creator>
  <cp:lastModifiedBy>王婧</cp:lastModifiedBy>
  <dcterms:modified xsi:type="dcterms:W3CDTF">2024-11-29T00:57:20Z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E22A5CBD3B234B829E59A8CA3071150B_12</vt:lpwstr>
  </property>
</Properties>
</file>