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5455E2">
      <w:pPr>
        <w:pageBreakBefore w:val="0"/>
        <w:kinsoku/>
        <w:wordWrap/>
        <w:overflowPunct/>
        <w:topLinePunct w:val="0"/>
        <w:bidi w:val="0"/>
        <w:spacing w:before="156" w:beforeLines="50" w:line="360" w:lineRule="auto"/>
        <w:jc w:val="center"/>
        <w:rPr>
          <w:rFonts w:hint="eastAsia" w:ascii="仿宋" w:hAnsi="仿宋" w:eastAsia="仿宋" w:cs="仿宋"/>
          <w:b/>
          <w:bCs/>
          <w:color w:val="auto"/>
          <w:sz w:val="32"/>
          <w:szCs w:val="22"/>
          <w:highlight w:val="none"/>
        </w:rPr>
      </w:pPr>
      <w:r>
        <w:rPr>
          <w:rFonts w:hint="eastAsia" w:ascii="仿宋" w:hAnsi="仿宋" w:eastAsia="仿宋" w:cs="仿宋"/>
          <w:b/>
          <w:bCs/>
          <w:color w:val="auto"/>
          <w:sz w:val="32"/>
          <w:szCs w:val="22"/>
          <w:highlight w:val="none"/>
          <w:lang w:eastAsia="zh-CN"/>
        </w:rPr>
        <w:t>昆明铁路公安局“AI+”警务实战教、学、练、战一体化平台建设项目</w:t>
      </w:r>
      <w:r>
        <w:rPr>
          <w:rFonts w:hint="eastAsia" w:ascii="仿宋" w:hAnsi="仿宋" w:eastAsia="仿宋" w:cs="仿宋"/>
          <w:b/>
          <w:bCs/>
          <w:color w:val="auto"/>
          <w:sz w:val="32"/>
          <w:szCs w:val="22"/>
          <w:highlight w:val="none"/>
        </w:rPr>
        <w:t>公开招标公告</w:t>
      </w:r>
    </w:p>
    <w:tbl>
      <w:tblPr>
        <w:tblStyle w:val="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0ED1A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5" w:hRule="atLeast"/>
        </w:trPr>
        <w:tc>
          <w:tcPr>
            <w:tcW w:w="5000" w:type="pct"/>
            <w:noWrap w:val="0"/>
            <w:vAlign w:val="top"/>
          </w:tcPr>
          <w:p w14:paraId="6FBD3A3B">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rPr>
                <w:rFonts w:hint="eastAsia" w:ascii="仿宋" w:hAnsi="仿宋" w:eastAsia="仿宋" w:cs="仿宋"/>
                <w:color w:val="auto"/>
                <w:sz w:val="24"/>
                <w:szCs w:val="24"/>
                <w:highlight w:val="none"/>
              </w:rPr>
            </w:pPr>
            <w:bookmarkStart w:id="0" w:name="_Hlk20135437"/>
            <w:r>
              <w:rPr>
                <w:rFonts w:hint="eastAsia" w:ascii="仿宋" w:hAnsi="仿宋" w:eastAsia="仿宋" w:cs="仿宋"/>
                <w:color w:val="auto"/>
                <w:sz w:val="24"/>
                <w:szCs w:val="24"/>
                <w:highlight w:val="none"/>
              </w:rPr>
              <w:t>项目概况</w:t>
            </w:r>
          </w:p>
          <w:p w14:paraId="5B05A2CC">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昆明铁路公安局“AI+”警务实战教、学、练、战一体化平台建设项目</w:t>
            </w:r>
            <w:r>
              <w:rPr>
                <w:rFonts w:hint="eastAsia" w:ascii="仿宋" w:hAnsi="仿宋" w:eastAsia="仿宋" w:cs="仿宋"/>
                <w:color w:val="auto"/>
                <w:sz w:val="24"/>
                <w:szCs w:val="24"/>
                <w:highlight w:val="none"/>
              </w:rPr>
              <w:t>招标项目的潜在投标人在</w:t>
            </w:r>
            <w:r>
              <w:rPr>
                <w:rFonts w:hint="eastAsia" w:ascii="仿宋" w:hAnsi="仿宋" w:eastAsia="仿宋" w:cs="仿宋"/>
                <w:color w:val="auto"/>
                <w:sz w:val="24"/>
                <w:szCs w:val="24"/>
                <w:highlight w:val="none"/>
                <w:u w:val="single"/>
              </w:rPr>
              <w:t>昆明市五华区王筇路176号绿地创海大厦21层云南中招招标有限公司</w:t>
            </w:r>
            <w:r>
              <w:rPr>
                <w:rFonts w:hint="eastAsia" w:ascii="仿宋" w:hAnsi="仿宋" w:eastAsia="仿宋" w:cs="仿宋"/>
                <w:color w:val="auto"/>
                <w:sz w:val="24"/>
                <w:szCs w:val="24"/>
                <w:highlight w:val="none"/>
              </w:rPr>
              <w:t>获取招标文件，并于</w:t>
            </w:r>
            <w:r>
              <w:rPr>
                <w:rFonts w:hint="eastAsia" w:ascii="仿宋" w:hAnsi="仿宋" w:eastAsia="仿宋" w:cs="仿宋"/>
                <w:color w:val="auto"/>
                <w:sz w:val="24"/>
                <w:szCs w:val="24"/>
                <w:highlight w:val="none"/>
                <w:u w:val="single"/>
                <w:lang w:eastAsia="zh-CN"/>
              </w:rPr>
              <w:t>2024</w:t>
            </w:r>
            <w:r>
              <w:rPr>
                <w:rFonts w:hint="eastAsia" w:ascii="仿宋" w:hAnsi="仿宋" w:eastAsia="仿宋" w:cs="仿宋"/>
                <w:bCs/>
                <w:color w:val="auto"/>
                <w:sz w:val="24"/>
                <w:szCs w:val="24"/>
                <w:highlight w:val="none"/>
                <w:u w:val="single"/>
              </w:rPr>
              <w:t>年</w:t>
            </w:r>
            <w:r>
              <w:rPr>
                <w:rFonts w:hint="eastAsia" w:ascii="仿宋" w:hAnsi="仿宋" w:eastAsia="仿宋" w:cs="仿宋"/>
                <w:bCs/>
                <w:color w:val="auto"/>
                <w:sz w:val="24"/>
                <w:szCs w:val="24"/>
                <w:highlight w:val="none"/>
                <w:u w:val="single"/>
                <w:lang w:val="en-US" w:eastAsia="zh-CN"/>
              </w:rPr>
              <w:t>12</w:t>
            </w:r>
            <w:r>
              <w:rPr>
                <w:rFonts w:hint="eastAsia" w:ascii="仿宋" w:hAnsi="仿宋" w:eastAsia="仿宋" w:cs="仿宋"/>
                <w:bCs/>
                <w:color w:val="auto"/>
                <w:sz w:val="24"/>
                <w:szCs w:val="24"/>
                <w:highlight w:val="none"/>
                <w:u w:val="single"/>
              </w:rPr>
              <w:t>月</w:t>
            </w:r>
            <w:r>
              <w:rPr>
                <w:rFonts w:hint="eastAsia" w:ascii="仿宋" w:hAnsi="仿宋" w:eastAsia="仿宋" w:cs="仿宋"/>
                <w:bCs/>
                <w:color w:val="auto"/>
                <w:sz w:val="24"/>
                <w:szCs w:val="24"/>
                <w:highlight w:val="none"/>
                <w:u w:val="single"/>
                <w:lang w:val="en-US" w:eastAsia="zh-CN"/>
              </w:rPr>
              <w:t>27</w:t>
            </w:r>
            <w:r>
              <w:rPr>
                <w:rFonts w:hint="eastAsia" w:ascii="仿宋" w:hAnsi="仿宋" w:eastAsia="仿宋" w:cs="仿宋"/>
                <w:bCs/>
                <w:color w:val="auto"/>
                <w:sz w:val="24"/>
                <w:szCs w:val="24"/>
                <w:highlight w:val="none"/>
                <w:u w:val="single"/>
              </w:rPr>
              <w:t>日</w:t>
            </w:r>
            <w:r>
              <w:rPr>
                <w:rFonts w:hint="eastAsia" w:ascii="仿宋" w:hAnsi="仿宋" w:eastAsia="仿宋" w:cs="仿宋"/>
                <w:bCs/>
                <w:color w:val="auto"/>
                <w:sz w:val="24"/>
                <w:szCs w:val="24"/>
                <w:highlight w:val="none"/>
                <w:u w:val="single"/>
                <w:lang w:val="en-US" w:eastAsia="zh-CN"/>
              </w:rPr>
              <w:t>09</w:t>
            </w:r>
            <w:r>
              <w:rPr>
                <w:rFonts w:hint="eastAsia" w:ascii="仿宋" w:hAnsi="仿宋" w:eastAsia="仿宋" w:cs="仿宋"/>
                <w:bCs/>
                <w:color w:val="auto"/>
                <w:sz w:val="24"/>
                <w:szCs w:val="24"/>
                <w:highlight w:val="none"/>
                <w:u w:val="single"/>
              </w:rPr>
              <w:t>时</w:t>
            </w:r>
            <w:r>
              <w:rPr>
                <w:rFonts w:hint="eastAsia" w:ascii="仿宋" w:hAnsi="仿宋" w:eastAsia="仿宋" w:cs="仿宋"/>
                <w:bCs/>
                <w:color w:val="auto"/>
                <w:sz w:val="24"/>
                <w:szCs w:val="24"/>
                <w:highlight w:val="none"/>
                <w:u w:val="single"/>
                <w:lang w:val="en-US" w:eastAsia="zh-CN"/>
              </w:rPr>
              <w:t>30</w:t>
            </w:r>
            <w:r>
              <w:rPr>
                <w:rFonts w:hint="eastAsia" w:ascii="仿宋" w:hAnsi="仿宋" w:eastAsia="仿宋" w:cs="仿宋"/>
                <w:bCs/>
                <w:color w:val="auto"/>
                <w:sz w:val="24"/>
                <w:szCs w:val="24"/>
                <w:highlight w:val="none"/>
                <w:u w:val="single"/>
              </w:rPr>
              <w:t>分（</w:t>
            </w:r>
            <w:r>
              <w:rPr>
                <w:rFonts w:hint="eastAsia" w:ascii="仿宋" w:hAnsi="仿宋" w:eastAsia="仿宋" w:cs="仿宋"/>
                <w:bCs/>
                <w:color w:val="auto"/>
                <w:sz w:val="24"/>
                <w:szCs w:val="24"/>
                <w:highlight w:val="none"/>
              </w:rPr>
              <w:t>北京时间）前递交投标文件</w:t>
            </w:r>
            <w:r>
              <w:rPr>
                <w:rFonts w:hint="eastAsia" w:ascii="仿宋" w:hAnsi="仿宋" w:eastAsia="仿宋" w:cs="仿宋"/>
                <w:color w:val="auto"/>
                <w:sz w:val="24"/>
                <w:szCs w:val="24"/>
                <w:highlight w:val="none"/>
              </w:rPr>
              <w:t>。</w:t>
            </w:r>
          </w:p>
        </w:tc>
      </w:tr>
      <w:bookmarkEnd w:id="0"/>
    </w:tbl>
    <w:p w14:paraId="623058F1">
      <w:pPr>
        <w:pStyle w:val="2"/>
        <w:pageBreakBefore w:val="0"/>
        <w:kinsoku/>
        <w:wordWrap/>
        <w:overflowPunct/>
        <w:topLinePunct w:val="0"/>
        <w:bidi w:val="0"/>
        <w:spacing w:before="0" w:after="0" w:line="360" w:lineRule="auto"/>
        <w:rPr>
          <w:rFonts w:hint="eastAsia" w:ascii="仿宋" w:hAnsi="仿宋" w:eastAsia="仿宋" w:cs="仿宋"/>
          <w:color w:val="auto"/>
          <w:sz w:val="28"/>
          <w:szCs w:val="28"/>
          <w:highlight w:val="none"/>
        </w:rPr>
      </w:pPr>
      <w:bookmarkStart w:id="1" w:name="_Toc7664"/>
      <w:bookmarkStart w:id="2" w:name="_Toc140564989"/>
      <w:bookmarkStart w:id="3" w:name="_Toc140565211"/>
      <w:bookmarkStart w:id="4" w:name="_Toc749"/>
      <w:bookmarkStart w:id="5" w:name="_Toc15808"/>
      <w:r>
        <w:rPr>
          <w:rFonts w:hint="eastAsia" w:ascii="仿宋" w:hAnsi="仿宋" w:eastAsia="仿宋" w:cs="仿宋"/>
          <w:color w:val="auto"/>
          <w:sz w:val="28"/>
          <w:szCs w:val="28"/>
          <w:highlight w:val="none"/>
        </w:rPr>
        <w:t>一、项目基本情况</w:t>
      </w:r>
      <w:bookmarkEnd w:id="1"/>
      <w:bookmarkEnd w:id="2"/>
      <w:bookmarkEnd w:id="3"/>
      <w:bookmarkEnd w:id="4"/>
      <w:bookmarkEnd w:id="5"/>
    </w:p>
    <w:p w14:paraId="0D3754DD">
      <w:pPr>
        <w:pageBreakBefore w:val="0"/>
        <w:kinsoku/>
        <w:wordWrap/>
        <w:overflowPunct/>
        <w:topLinePunct w:val="0"/>
        <w:bidi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1.项目编号</w:t>
      </w:r>
      <w:r>
        <w:rPr>
          <w:rFonts w:hint="eastAsia" w:ascii="仿宋" w:hAnsi="仿宋" w:eastAsia="仿宋" w:cs="仿宋"/>
          <w:color w:val="auto"/>
          <w:sz w:val="24"/>
          <w:szCs w:val="24"/>
          <w:highlight w:val="none"/>
          <w:lang w:eastAsia="zh-CN"/>
        </w:rPr>
        <w:t xml:space="preserve"> ：YNZZ202411-425</w:t>
      </w:r>
    </w:p>
    <w:p w14:paraId="59E71D07">
      <w:pPr>
        <w:pageBreakBefore w:val="0"/>
        <w:kinsoku/>
        <w:wordWrap/>
        <w:overflowPunct/>
        <w:topLinePunct w:val="0"/>
        <w:bidi w:val="0"/>
        <w:spacing w:line="360" w:lineRule="auto"/>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2.项目名称：</w:t>
      </w:r>
      <w:r>
        <w:rPr>
          <w:rFonts w:hint="eastAsia" w:ascii="仿宋" w:hAnsi="仿宋" w:eastAsia="仿宋" w:cs="仿宋"/>
          <w:color w:val="auto"/>
          <w:sz w:val="24"/>
          <w:szCs w:val="24"/>
          <w:highlight w:val="none"/>
          <w:lang w:eastAsia="zh-CN"/>
        </w:rPr>
        <w:t>昆明铁路公安局“AI+”警务实战教、学、练、战一体化平台建设项目</w:t>
      </w:r>
    </w:p>
    <w:p w14:paraId="3D385863">
      <w:pPr>
        <w:pageBreakBefore w:val="0"/>
        <w:kinsoku/>
        <w:wordWrap/>
        <w:overflowPunct/>
        <w:topLinePunct w:val="0"/>
        <w:bidi w:val="0"/>
        <w:spacing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3.预算金额：3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950</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000</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00</w:t>
      </w:r>
      <w:r>
        <w:rPr>
          <w:rFonts w:hint="eastAsia" w:ascii="仿宋" w:hAnsi="仿宋" w:eastAsia="仿宋" w:cs="仿宋"/>
          <w:color w:val="auto"/>
          <w:sz w:val="24"/>
          <w:szCs w:val="24"/>
          <w:highlight w:val="none"/>
          <w:lang w:val="en-US" w:eastAsia="zh-CN"/>
        </w:rPr>
        <w:t>元（大写：叁佰玖拾伍万元整）</w:t>
      </w:r>
    </w:p>
    <w:p w14:paraId="7E424560">
      <w:pPr>
        <w:pageBreakBefore w:val="0"/>
        <w:kinsoku/>
        <w:wordWrap/>
        <w:overflowPunct/>
        <w:topLinePunct w:val="0"/>
        <w:bidi w:val="0"/>
        <w:spacing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.最高限价：3,750,300.00</w:t>
      </w:r>
      <w:r>
        <w:rPr>
          <w:rFonts w:hint="eastAsia" w:ascii="仿宋" w:hAnsi="仿宋" w:eastAsia="仿宋" w:cs="仿宋"/>
          <w:color w:val="auto"/>
          <w:sz w:val="24"/>
          <w:szCs w:val="24"/>
          <w:highlight w:val="none"/>
          <w:lang w:val="en-US" w:eastAsia="zh-CN"/>
        </w:rPr>
        <w:t>元（大写：叁佰柒拾伍万零叁佰元整）</w:t>
      </w:r>
    </w:p>
    <w:p w14:paraId="669C035E">
      <w:pPr>
        <w:pageBreakBefore w:val="0"/>
        <w:kinsoku/>
        <w:wordWrap/>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.采购需求：</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
        <w:gridCol w:w="1011"/>
        <w:gridCol w:w="6534"/>
        <w:gridCol w:w="326"/>
        <w:gridCol w:w="326"/>
      </w:tblGrid>
      <w:tr w14:paraId="03111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5" w:type="pct"/>
            <w:noWrap/>
            <w:vAlign w:val="center"/>
          </w:tcPr>
          <w:p w14:paraId="1716E952">
            <w:pPr>
              <w:pageBreakBefore w:val="0"/>
              <w:widowControl/>
              <w:wordWrap/>
              <w:overflowPunct/>
              <w:topLinePunct w:val="0"/>
              <w:bidi w:val="0"/>
              <w:spacing w:line="360" w:lineRule="auto"/>
              <w:jc w:val="center"/>
              <w:textAlignment w:val="top"/>
              <w:rPr>
                <w:rFonts w:hint="eastAsia" w:ascii="仿宋" w:hAnsi="仿宋" w:eastAsia="仿宋" w:cs="仿宋"/>
                <w:kern w:val="0"/>
                <w:sz w:val="24"/>
                <w:szCs w:val="24"/>
              </w:rPr>
            </w:pPr>
            <w:r>
              <w:rPr>
                <w:rFonts w:hint="eastAsia" w:ascii="仿宋" w:hAnsi="仿宋" w:eastAsia="仿宋" w:cs="仿宋"/>
                <w:kern w:val="0"/>
                <w:sz w:val="24"/>
                <w:szCs w:val="24"/>
              </w:rPr>
              <w:t>序号</w:t>
            </w:r>
          </w:p>
        </w:tc>
        <w:tc>
          <w:tcPr>
            <w:tcW w:w="588" w:type="pct"/>
            <w:noWrap/>
            <w:vAlign w:val="center"/>
          </w:tcPr>
          <w:p w14:paraId="7FE0345E">
            <w:pPr>
              <w:pageBreakBefore w:val="0"/>
              <w:widowControl/>
              <w:wordWrap/>
              <w:overflowPunct/>
              <w:topLinePunct w:val="0"/>
              <w:bidi w:val="0"/>
              <w:spacing w:line="360" w:lineRule="auto"/>
              <w:jc w:val="center"/>
              <w:textAlignment w:val="top"/>
              <w:rPr>
                <w:rFonts w:hint="eastAsia" w:ascii="仿宋" w:hAnsi="仿宋" w:eastAsia="仿宋" w:cs="仿宋"/>
                <w:kern w:val="0"/>
                <w:sz w:val="24"/>
                <w:szCs w:val="24"/>
              </w:rPr>
            </w:pPr>
            <w:r>
              <w:rPr>
                <w:rFonts w:hint="eastAsia" w:ascii="仿宋" w:hAnsi="仿宋" w:eastAsia="仿宋" w:cs="仿宋"/>
                <w:kern w:val="0"/>
                <w:sz w:val="24"/>
                <w:szCs w:val="24"/>
              </w:rPr>
              <w:t>项目名称</w:t>
            </w:r>
          </w:p>
        </w:tc>
        <w:tc>
          <w:tcPr>
            <w:tcW w:w="3295" w:type="pct"/>
            <w:noWrap/>
            <w:vAlign w:val="center"/>
          </w:tcPr>
          <w:p w14:paraId="2551DF6A">
            <w:pPr>
              <w:pageBreakBefore w:val="0"/>
              <w:widowControl/>
              <w:wordWrap/>
              <w:overflowPunct/>
              <w:topLinePunct w:val="0"/>
              <w:bidi w:val="0"/>
              <w:spacing w:line="360" w:lineRule="auto"/>
              <w:jc w:val="center"/>
              <w:textAlignment w:val="top"/>
              <w:rPr>
                <w:rFonts w:hint="eastAsia" w:ascii="仿宋" w:hAnsi="仿宋" w:eastAsia="仿宋" w:cs="仿宋"/>
                <w:kern w:val="0"/>
                <w:sz w:val="24"/>
                <w:szCs w:val="24"/>
              </w:rPr>
            </w:pPr>
            <w:r>
              <w:rPr>
                <w:rFonts w:hint="eastAsia" w:ascii="仿宋" w:hAnsi="仿宋" w:eastAsia="仿宋" w:cs="仿宋"/>
                <w:kern w:val="0"/>
                <w:sz w:val="24"/>
                <w:szCs w:val="24"/>
              </w:rPr>
              <w:t>指标参数</w:t>
            </w:r>
          </w:p>
        </w:tc>
        <w:tc>
          <w:tcPr>
            <w:tcW w:w="374" w:type="pct"/>
            <w:noWrap/>
            <w:vAlign w:val="center"/>
          </w:tcPr>
          <w:p w14:paraId="489BC831">
            <w:pPr>
              <w:pageBreakBefore w:val="0"/>
              <w:widowControl/>
              <w:wordWrap/>
              <w:overflowPunct/>
              <w:topLinePunct w:val="0"/>
              <w:bidi w:val="0"/>
              <w:spacing w:line="360" w:lineRule="auto"/>
              <w:jc w:val="center"/>
              <w:textAlignment w:val="top"/>
              <w:rPr>
                <w:rFonts w:hint="eastAsia" w:ascii="仿宋" w:hAnsi="仿宋" w:eastAsia="仿宋" w:cs="仿宋"/>
                <w:kern w:val="0"/>
                <w:sz w:val="24"/>
                <w:szCs w:val="24"/>
              </w:rPr>
            </w:pPr>
            <w:r>
              <w:rPr>
                <w:rFonts w:hint="eastAsia" w:ascii="仿宋" w:hAnsi="仿宋" w:eastAsia="仿宋" w:cs="仿宋"/>
                <w:kern w:val="0"/>
                <w:sz w:val="24"/>
                <w:szCs w:val="24"/>
              </w:rPr>
              <w:t>单位</w:t>
            </w:r>
          </w:p>
        </w:tc>
        <w:tc>
          <w:tcPr>
            <w:tcW w:w="366" w:type="pct"/>
            <w:noWrap/>
            <w:vAlign w:val="center"/>
          </w:tcPr>
          <w:p w14:paraId="2BC117F2">
            <w:pPr>
              <w:pageBreakBefore w:val="0"/>
              <w:widowControl/>
              <w:wordWrap/>
              <w:overflowPunct/>
              <w:topLinePunct w:val="0"/>
              <w:bidi w:val="0"/>
              <w:spacing w:line="360" w:lineRule="auto"/>
              <w:jc w:val="center"/>
              <w:textAlignment w:val="top"/>
              <w:rPr>
                <w:rFonts w:hint="eastAsia" w:ascii="仿宋" w:hAnsi="仿宋" w:eastAsia="仿宋" w:cs="仿宋"/>
                <w:kern w:val="0"/>
                <w:sz w:val="24"/>
                <w:szCs w:val="24"/>
              </w:rPr>
            </w:pPr>
            <w:r>
              <w:rPr>
                <w:rFonts w:hint="eastAsia" w:ascii="仿宋" w:hAnsi="仿宋" w:eastAsia="仿宋" w:cs="仿宋"/>
                <w:kern w:val="0"/>
                <w:sz w:val="24"/>
                <w:szCs w:val="24"/>
              </w:rPr>
              <w:t>数量</w:t>
            </w:r>
          </w:p>
        </w:tc>
      </w:tr>
      <w:tr w14:paraId="139F3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5" w:type="pct"/>
            <w:noWrap/>
            <w:vAlign w:val="center"/>
          </w:tcPr>
          <w:p w14:paraId="545FB241">
            <w:pPr>
              <w:pageBreakBefore w:val="0"/>
              <w:widowControl/>
              <w:wordWrap/>
              <w:overflowPunct/>
              <w:topLinePunct w:val="0"/>
              <w:bidi w:val="0"/>
              <w:spacing w:line="360" w:lineRule="auto"/>
              <w:jc w:val="center"/>
              <w:textAlignment w:val="top"/>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588" w:type="pct"/>
            <w:noWrap/>
            <w:vAlign w:val="center"/>
          </w:tcPr>
          <w:p w14:paraId="69BD5E5E">
            <w:pPr>
              <w:pageBreakBefore w:val="0"/>
              <w:widowControl/>
              <w:wordWrap/>
              <w:overflowPunct/>
              <w:topLinePunct w:val="0"/>
              <w:bidi w:val="0"/>
              <w:spacing w:line="360" w:lineRule="auto"/>
              <w:jc w:val="center"/>
              <w:textAlignment w:val="top"/>
              <w:rPr>
                <w:rFonts w:hint="eastAsia" w:ascii="仿宋" w:hAnsi="仿宋" w:eastAsia="仿宋" w:cs="仿宋"/>
                <w:kern w:val="0"/>
                <w:sz w:val="24"/>
                <w:szCs w:val="24"/>
              </w:rPr>
            </w:pPr>
            <w:r>
              <w:rPr>
                <w:rFonts w:hint="eastAsia" w:ascii="仿宋" w:hAnsi="仿宋" w:eastAsia="仿宋" w:cs="仿宋"/>
                <w:kern w:val="0"/>
                <w:sz w:val="24"/>
                <w:szCs w:val="24"/>
              </w:rPr>
              <w:t>AI+警务教学练战考评一体化平台</w:t>
            </w:r>
          </w:p>
        </w:tc>
        <w:tc>
          <w:tcPr>
            <w:tcW w:w="3295" w:type="pct"/>
            <w:noWrap/>
            <w:vAlign w:val="center"/>
          </w:tcPr>
          <w:p w14:paraId="40E5DC9D">
            <w:pPr>
              <w:pageBreakBefore w:val="0"/>
              <w:widowControl/>
              <w:numPr>
                <w:ilvl w:val="0"/>
                <w:numId w:val="0"/>
              </w:numPr>
              <w:wordWrap/>
              <w:overflowPunct/>
              <w:topLinePunct w:val="0"/>
              <w:bidi w:val="0"/>
              <w:spacing w:line="360" w:lineRule="auto"/>
              <w:jc w:val="left"/>
              <w:textAlignment w:val="top"/>
              <w:rPr>
                <w:rFonts w:hint="eastAsia" w:ascii="仿宋" w:hAnsi="仿宋" w:eastAsia="仿宋" w:cs="仿宋"/>
                <w:kern w:val="0"/>
                <w:sz w:val="24"/>
                <w:szCs w:val="24"/>
                <w:lang w:val="en-US"/>
              </w:rPr>
            </w:pPr>
            <w:r>
              <w:rPr>
                <w:rFonts w:hint="eastAsia" w:ascii="仿宋" w:hAnsi="仿宋" w:eastAsia="仿宋" w:cs="仿宋"/>
                <w:kern w:val="0"/>
                <w:sz w:val="24"/>
                <w:szCs w:val="24"/>
                <w:lang w:val="en-US" w:eastAsia="zh-CN"/>
              </w:rPr>
              <w:t>该系统收集</w:t>
            </w:r>
            <w:r>
              <w:rPr>
                <w:rFonts w:hint="eastAsia" w:ascii="仿宋" w:hAnsi="仿宋" w:eastAsia="仿宋" w:cs="仿宋"/>
                <w:kern w:val="0"/>
                <w:sz w:val="24"/>
                <w:szCs w:val="24"/>
              </w:rPr>
              <w:t>学员的学习表现和训练数据，</w:t>
            </w:r>
            <w:r>
              <w:rPr>
                <w:rFonts w:hint="eastAsia" w:ascii="仿宋" w:hAnsi="仿宋" w:eastAsia="仿宋" w:cs="仿宋"/>
                <w:kern w:val="0"/>
                <w:sz w:val="24"/>
                <w:szCs w:val="24"/>
                <w:lang w:val="en-US" w:eastAsia="zh-CN"/>
              </w:rPr>
              <w:t>并生成多维能力画像，为学员的训练和学习提供支撑，帮助提升警务人员的能力和水平。</w:t>
            </w:r>
          </w:p>
          <w:p w14:paraId="2868D970">
            <w:pPr>
              <w:pageBreakBefore w:val="0"/>
              <w:widowControl/>
              <w:numPr>
                <w:ilvl w:val="0"/>
                <w:numId w:val="1"/>
              </w:numPr>
              <w:wordWrap/>
              <w:overflowPunct/>
              <w:topLinePunct w:val="0"/>
              <w:bidi w:val="0"/>
              <w:spacing w:line="360" w:lineRule="auto"/>
              <w:jc w:val="left"/>
              <w:textAlignment w:val="top"/>
              <w:rPr>
                <w:rFonts w:hint="eastAsia" w:ascii="仿宋" w:hAnsi="仿宋" w:eastAsia="仿宋" w:cs="仿宋"/>
                <w:kern w:val="0"/>
                <w:sz w:val="24"/>
                <w:szCs w:val="24"/>
              </w:rPr>
            </w:pPr>
            <w:r>
              <w:rPr>
                <w:rFonts w:hint="eastAsia" w:ascii="仿宋" w:hAnsi="仿宋" w:eastAsia="仿宋" w:cs="仿宋"/>
                <w:kern w:val="0"/>
                <w:sz w:val="24"/>
                <w:szCs w:val="24"/>
              </w:rPr>
              <w:t>能够通过数据评估学员的能力水平，生成能力画像。</w:t>
            </w:r>
          </w:p>
          <w:p w14:paraId="1A063148">
            <w:pPr>
              <w:pageBreakBefore w:val="0"/>
              <w:widowControl/>
              <w:numPr>
                <w:ilvl w:val="0"/>
                <w:numId w:val="1"/>
              </w:numPr>
              <w:wordWrap/>
              <w:overflowPunct/>
              <w:topLinePunct w:val="0"/>
              <w:bidi w:val="0"/>
              <w:spacing w:line="360" w:lineRule="auto"/>
              <w:jc w:val="left"/>
              <w:textAlignment w:val="top"/>
              <w:rPr>
                <w:rFonts w:hint="eastAsia" w:ascii="仿宋" w:hAnsi="仿宋" w:eastAsia="仿宋" w:cs="仿宋"/>
                <w:kern w:val="0"/>
                <w:sz w:val="24"/>
                <w:szCs w:val="24"/>
              </w:rPr>
            </w:pPr>
            <w:r>
              <w:rPr>
                <w:rFonts w:hint="eastAsia" w:ascii="仿宋" w:hAnsi="仿宋" w:eastAsia="仿宋" w:cs="仿宋"/>
                <w:kern w:val="0"/>
                <w:sz w:val="24"/>
                <w:szCs w:val="24"/>
              </w:rPr>
              <w:t>智能考评：可量化一级维度不少于6项，二三级可量化维度合计不少于80项，且维度内容符合警务实战训练标准和要求。</w:t>
            </w:r>
          </w:p>
          <w:p w14:paraId="1CFAC602">
            <w:pPr>
              <w:pageBreakBefore w:val="0"/>
              <w:widowControl/>
              <w:wordWrap/>
              <w:overflowPunct/>
              <w:topLinePunct w:val="0"/>
              <w:bidi w:val="0"/>
              <w:spacing w:line="360" w:lineRule="auto"/>
              <w:jc w:val="left"/>
              <w:textAlignment w:val="top"/>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3</w:t>
            </w:r>
            <w:r>
              <w:rPr>
                <w:rFonts w:hint="eastAsia" w:ascii="仿宋" w:hAnsi="仿宋" w:eastAsia="仿宋" w:cs="仿宋"/>
                <w:kern w:val="0"/>
                <w:sz w:val="24"/>
                <w:szCs w:val="24"/>
              </w:rPr>
              <w:t>.网络课堂：支持在线直播课程和在线考试、点播课程至少三种方式。</w:t>
            </w:r>
          </w:p>
          <w:p w14:paraId="659DD83B">
            <w:pPr>
              <w:pageBreakBefore w:val="0"/>
              <w:widowControl/>
              <w:wordWrap/>
              <w:overflowPunct/>
              <w:topLinePunct w:val="0"/>
              <w:bidi w:val="0"/>
              <w:spacing w:line="360" w:lineRule="auto"/>
              <w:jc w:val="left"/>
              <w:textAlignment w:val="top"/>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4</w:t>
            </w:r>
            <w:r>
              <w:rPr>
                <w:rFonts w:hint="eastAsia" w:ascii="仿宋" w:hAnsi="仿宋" w:eastAsia="仿宋" w:cs="仿宋"/>
                <w:kern w:val="0"/>
                <w:sz w:val="24"/>
                <w:szCs w:val="24"/>
              </w:rPr>
              <w:t>.智慧教学：支持信息化处理教学内容。</w:t>
            </w:r>
          </w:p>
          <w:p w14:paraId="086EB178">
            <w:pPr>
              <w:pageBreakBefore w:val="0"/>
              <w:widowControl/>
              <w:wordWrap/>
              <w:overflowPunct/>
              <w:topLinePunct w:val="0"/>
              <w:bidi w:val="0"/>
              <w:spacing w:line="360" w:lineRule="auto"/>
              <w:jc w:val="left"/>
              <w:textAlignment w:val="top"/>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5</w:t>
            </w:r>
            <w:r>
              <w:rPr>
                <w:rFonts w:hint="eastAsia" w:ascii="仿宋" w:hAnsi="仿宋" w:eastAsia="仿宋" w:cs="仿宋"/>
                <w:kern w:val="0"/>
                <w:sz w:val="24"/>
                <w:szCs w:val="24"/>
              </w:rPr>
              <w:t>.系统管理：提供权限管理，日志管理等系统管理功能。</w:t>
            </w:r>
          </w:p>
        </w:tc>
        <w:tc>
          <w:tcPr>
            <w:tcW w:w="374" w:type="pct"/>
            <w:noWrap/>
            <w:vAlign w:val="center"/>
          </w:tcPr>
          <w:p w14:paraId="7A2F604A">
            <w:pPr>
              <w:pageBreakBefore w:val="0"/>
              <w:widowControl/>
              <w:wordWrap/>
              <w:overflowPunct/>
              <w:topLinePunct w:val="0"/>
              <w:bidi w:val="0"/>
              <w:spacing w:line="360" w:lineRule="auto"/>
              <w:jc w:val="center"/>
              <w:textAlignment w:val="top"/>
              <w:rPr>
                <w:rFonts w:hint="eastAsia" w:ascii="仿宋" w:hAnsi="仿宋" w:eastAsia="仿宋" w:cs="仿宋"/>
                <w:kern w:val="0"/>
                <w:sz w:val="24"/>
                <w:szCs w:val="24"/>
              </w:rPr>
            </w:pPr>
            <w:r>
              <w:rPr>
                <w:rFonts w:hint="eastAsia" w:ascii="仿宋" w:hAnsi="仿宋" w:eastAsia="仿宋" w:cs="仿宋"/>
                <w:kern w:val="0"/>
                <w:sz w:val="24"/>
                <w:szCs w:val="24"/>
              </w:rPr>
              <w:t>套</w:t>
            </w:r>
          </w:p>
        </w:tc>
        <w:tc>
          <w:tcPr>
            <w:tcW w:w="366" w:type="pct"/>
            <w:noWrap/>
            <w:vAlign w:val="center"/>
          </w:tcPr>
          <w:p w14:paraId="1BC53F82">
            <w:pPr>
              <w:pageBreakBefore w:val="0"/>
              <w:widowControl/>
              <w:wordWrap/>
              <w:overflowPunct/>
              <w:topLinePunct w:val="0"/>
              <w:bidi w:val="0"/>
              <w:spacing w:line="360" w:lineRule="auto"/>
              <w:jc w:val="center"/>
              <w:textAlignment w:val="top"/>
              <w:rPr>
                <w:rFonts w:hint="eastAsia" w:ascii="仿宋" w:hAnsi="仿宋" w:eastAsia="仿宋" w:cs="仿宋"/>
                <w:kern w:val="0"/>
                <w:sz w:val="24"/>
                <w:szCs w:val="24"/>
              </w:rPr>
            </w:pPr>
            <w:r>
              <w:rPr>
                <w:rFonts w:hint="eastAsia" w:ascii="仿宋" w:hAnsi="仿宋" w:eastAsia="仿宋" w:cs="仿宋"/>
                <w:kern w:val="0"/>
                <w:sz w:val="24"/>
                <w:szCs w:val="24"/>
              </w:rPr>
              <w:t>1</w:t>
            </w:r>
          </w:p>
        </w:tc>
      </w:tr>
      <w:tr w14:paraId="4B6D0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5" w:type="pct"/>
            <w:noWrap/>
            <w:vAlign w:val="center"/>
          </w:tcPr>
          <w:p w14:paraId="0A1AD5A5">
            <w:pPr>
              <w:pageBreakBefore w:val="0"/>
              <w:widowControl/>
              <w:wordWrap/>
              <w:overflowPunct/>
              <w:topLinePunct w:val="0"/>
              <w:bidi w:val="0"/>
              <w:spacing w:line="360" w:lineRule="auto"/>
              <w:jc w:val="center"/>
              <w:textAlignment w:val="top"/>
              <w:rPr>
                <w:rFonts w:hint="eastAsia" w:ascii="仿宋" w:hAnsi="仿宋" w:eastAsia="仿宋" w:cs="仿宋"/>
                <w:kern w:val="0"/>
                <w:sz w:val="24"/>
                <w:szCs w:val="24"/>
              </w:rPr>
            </w:pPr>
            <w:r>
              <w:rPr>
                <w:rFonts w:hint="eastAsia" w:ascii="仿宋" w:hAnsi="仿宋" w:eastAsia="仿宋" w:cs="仿宋"/>
                <w:kern w:val="0"/>
                <w:sz w:val="24"/>
                <w:szCs w:val="24"/>
              </w:rPr>
              <w:t>2</w:t>
            </w:r>
          </w:p>
        </w:tc>
        <w:tc>
          <w:tcPr>
            <w:tcW w:w="588" w:type="pct"/>
            <w:noWrap/>
            <w:vAlign w:val="center"/>
          </w:tcPr>
          <w:p w14:paraId="05E37BBF">
            <w:pPr>
              <w:pageBreakBefore w:val="0"/>
              <w:widowControl/>
              <w:wordWrap/>
              <w:overflowPunct/>
              <w:topLinePunct w:val="0"/>
              <w:bidi w:val="0"/>
              <w:spacing w:line="360" w:lineRule="auto"/>
              <w:jc w:val="center"/>
              <w:textAlignment w:val="top"/>
              <w:rPr>
                <w:rFonts w:hint="eastAsia" w:ascii="仿宋" w:hAnsi="仿宋" w:eastAsia="仿宋" w:cs="仿宋"/>
                <w:kern w:val="0"/>
                <w:sz w:val="24"/>
                <w:szCs w:val="24"/>
              </w:rPr>
            </w:pPr>
            <w:r>
              <w:rPr>
                <w:rFonts w:hint="eastAsia" w:ascii="仿宋" w:hAnsi="仿宋" w:eastAsia="仿宋" w:cs="仿宋"/>
                <w:kern w:val="0"/>
                <w:sz w:val="24"/>
                <w:szCs w:val="24"/>
              </w:rPr>
              <w:t>沉浸式全景教学训练系统</w:t>
            </w:r>
          </w:p>
        </w:tc>
        <w:tc>
          <w:tcPr>
            <w:tcW w:w="3295" w:type="pct"/>
            <w:noWrap/>
            <w:vAlign w:val="center"/>
          </w:tcPr>
          <w:p w14:paraId="5F40131B">
            <w:pPr>
              <w:pageBreakBefore w:val="0"/>
              <w:widowControl/>
              <w:wordWrap/>
              <w:overflowPunct/>
              <w:topLinePunct w:val="0"/>
              <w:bidi w:val="0"/>
              <w:spacing w:line="360" w:lineRule="auto"/>
              <w:jc w:val="left"/>
              <w:textAlignment w:val="top"/>
              <w:rPr>
                <w:rFonts w:hint="eastAsia" w:ascii="仿宋" w:hAnsi="仿宋" w:eastAsia="仿宋" w:cs="仿宋"/>
                <w:kern w:val="0"/>
                <w:sz w:val="24"/>
                <w:szCs w:val="24"/>
              </w:rPr>
            </w:pPr>
            <w:r>
              <w:rPr>
                <w:rFonts w:hint="eastAsia" w:ascii="仿宋" w:hAnsi="仿宋" w:eastAsia="仿宋" w:cs="仿宋"/>
                <w:kern w:val="0"/>
                <w:sz w:val="24"/>
                <w:szCs w:val="24"/>
              </w:rPr>
              <w:t>通过模拟真实场景和提供身临其境的体验，帮助警务人员提高应对能力和技能水平。</w:t>
            </w:r>
          </w:p>
          <w:p w14:paraId="7E0B0D2C">
            <w:pPr>
              <w:pageBreakBefore w:val="0"/>
              <w:widowControl/>
              <w:wordWrap/>
              <w:overflowPunct/>
              <w:topLinePunct w:val="0"/>
              <w:bidi w:val="0"/>
              <w:spacing w:line="360" w:lineRule="auto"/>
              <w:jc w:val="left"/>
              <w:textAlignment w:val="top"/>
              <w:rPr>
                <w:rFonts w:hint="eastAsia" w:ascii="仿宋" w:hAnsi="仿宋" w:eastAsia="仿宋" w:cs="仿宋"/>
                <w:kern w:val="0"/>
                <w:sz w:val="24"/>
                <w:szCs w:val="24"/>
              </w:rPr>
            </w:pPr>
            <w:r>
              <w:rPr>
                <w:rFonts w:hint="eastAsia" w:ascii="仿宋" w:hAnsi="仿宋" w:eastAsia="仿宋" w:cs="仿宋"/>
                <w:kern w:val="0"/>
                <w:sz w:val="24"/>
                <w:szCs w:val="24"/>
              </w:rPr>
              <w:t>1.沉浸式全景教学环境，能够模拟铁路公安日常业务的真实场景并提供身临其境的体验。</w:t>
            </w:r>
          </w:p>
          <w:p w14:paraId="74499570">
            <w:pPr>
              <w:pageBreakBefore w:val="0"/>
              <w:widowControl/>
              <w:wordWrap/>
              <w:overflowPunct/>
              <w:topLinePunct w:val="0"/>
              <w:bidi w:val="0"/>
              <w:spacing w:line="360" w:lineRule="auto"/>
              <w:jc w:val="left"/>
              <w:textAlignment w:val="top"/>
              <w:rPr>
                <w:rFonts w:hint="eastAsia" w:ascii="仿宋" w:hAnsi="仿宋" w:eastAsia="仿宋" w:cs="仿宋"/>
                <w:kern w:val="0"/>
                <w:sz w:val="24"/>
                <w:szCs w:val="24"/>
              </w:rPr>
            </w:pPr>
            <w:r>
              <w:rPr>
                <w:rFonts w:hint="eastAsia" w:ascii="仿宋" w:hAnsi="仿宋" w:eastAsia="仿宋" w:cs="仿宋"/>
                <w:kern w:val="0"/>
                <w:sz w:val="24"/>
                <w:szCs w:val="24"/>
              </w:rPr>
              <w:t>2.支持语音识别，多屏联动交互功能。</w:t>
            </w:r>
          </w:p>
          <w:p w14:paraId="5BB3FA0C">
            <w:pPr>
              <w:pageBreakBefore w:val="0"/>
              <w:widowControl/>
              <w:wordWrap/>
              <w:overflowPunct/>
              <w:topLinePunct w:val="0"/>
              <w:bidi w:val="0"/>
              <w:spacing w:line="360" w:lineRule="auto"/>
              <w:jc w:val="left"/>
              <w:textAlignment w:val="top"/>
              <w:rPr>
                <w:rFonts w:hint="eastAsia" w:ascii="仿宋" w:hAnsi="仿宋" w:eastAsia="仿宋" w:cs="仿宋"/>
                <w:kern w:val="0"/>
                <w:sz w:val="24"/>
                <w:szCs w:val="24"/>
              </w:rPr>
            </w:pPr>
            <w:r>
              <w:rPr>
                <w:rFonts w:hint="eastAsia" w:ascii="仿宋" w:hAnsi="仿宋" w:eastAsia="仿宋" w:cs="仿宋"/>
                <w:kern w:val="0"/>
                <w:sz w:val="24"/>
                <w:szCs w:val="24"/>
              </w:rPr>
              <w:t>3.支持场景内容交互；警务用语规范引导；多种警情场景化教学；多种警械装备使用及教学；基于教学练战一体化平台的学员信息数据获取；基于学员信息的训练成绩自动生成；基于学员信息的训练分析评估功能。</w:t>
            </w:r>
          </w:p>
          <w:p w14:paraId="5E20AE2A">
            <w:pPr>
              <w:pageBreakBefore w:val="0"/>
              <w:widowControl/>
              <w:wordWrap/>
              <w:overflowPunct/>
              <w:topLinePunct w:val="0"/>
              <w:bidi w:val="0"/>
              <w:spacing w:line="360" w:lineRule="auto"/>
              <w:jc w:val="left"/>
              <w:textAlignment w:val="top"/>
              <w:rPr>
                <w:rFonts w:hint="eastAsia" w:ascii="仿宋" w:hAnsi="仿宋" w:eastAsia="仿宋" w:cs="仿宋"/>
                <w:kern w:val="0"/>
                <w:sz w:val="24"/>
                <w:szCs w:val="24"/>
              </w:rPr>
            </w:pPr>
            <w:r>
              <w:rPr>
                <w:rFonts w:hint="eastAsia" w:ascii="仿宋" w:hAnsi="仿宋" w:eastAsia="仿宋" w:cs="仿宋"/>
                <w:kern w:val="0"/>
                <w:sz w:val="24"/>
                <w:szCs w:val="24"/>
              </w:rPr>
              <w:t>4.支持多种模式，包括但不限于：教学模式、考评模式。</w:t>
            </w:r>
          </w:p>
          <w:p w14:paraId="1C382DF6">
            <w:pPr>
              <w:pageBreakBefore w:val="0"/>
              <w:widowControl/>
              <w:wordWrap/>
              <w:overflowPunct/>
              <w:topLinePunct w:val="0"/>
              <w:bidi w:val="0"/>
              <w:spacing w:line="360" w:lineRule="auto"/>
              <w:jc w:val="left"/>
              <w:textAlignment w:val="top"/>
              <w:rPr>
                <w:rFonts w:hint="eastAsia" w:ascii="仿宋" w:hAnsi="仿宋" w:eastAsia="仿宋" w:cs="仿宋"/>
                <w:sz w:val="24"/>
                <w:szCs w:val="24"/>
              </w:rPr>
            </w:pPr>
            <w:r>
              <w:rPr>
                <w:rFonts w:hint="eastAsia" w:ascii="仿宋" w:hAnsi="仿宋" w:eastAsia="仿宋" w:cs="仿宋"/>
                <w:sz w:val="24"/>
                <w:szCs w:val="24"/>
              </w:rPr>
              <w:t>5.内容应包含：铁路公安特点的“站车线”警情摹拟，提供不少于3个完整的警情处置流程，包括但不限于：霸座等警情，处理过程符合铁路公安工作条例。</w:t>
            </w:r>
          </w:p>
          <w:p w14:paraId="456C2F61">
            <w:pPr>
              <w:pageBreakBefore w:val="0"/>
              <w:widowControl/>
              <w:wordWrap/>
              <w:overflowPunct/>
              <w:topLinePunct w:val="0"/>
              <w:bidi w:val="0"/>
              <w:spacing w:line="360" w:lineRule="auto"/>
              <w:jc w:val="left"/>
              <w:textAlignment w:val="top"/>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.民警执法实务系列教学片内容不少于5个，包括但不限于：接处警规范流程、人/物盘查流程等，教学内容符合执法流程规范。</w:t>
            </w:r>
          </w:p>
          <w:p w14:paraId="7CF472D7">
            <w:pPr>
              <w:pageBreakBefore w:val="0"/>
              <w:widowControl/>
              <w:wordWrap/>
              <w:overflowPunct/>
              <w:topLinePunct w:val="0"/>
              <w:bidi w:val="0"/>
              <w:spacing w:line="360" w:lineRule="auto"/>
              <w:jc w:val="left"/>
              <w:textAlignment w:val="top"/>
              <w:rPr>
                <w:rFonts w:hint="eastAsia" w:ascii="仿宋" w:hAnsi="仿宋" w:eastAsia="仿宋" w:cs="仿宋"/>
                <w:sz w:val="24"/>
                <w:szCs w:val="24"/>
              </w:rPr>
            </w:pPr>
            <w:r>
              <w:rPr>
                <w:rFonts w:hint="eastAsia" w:ascii="仿宋" w:hAnsi="仿宋" w:eastAsia="仿宋" w:cs="仿宋"/>
                <w:sz w:val="24"/>
                <w:szCs w:val="24"/>
              </w:rPr>
              <w:t>6.支持硬件交互，硬件与程序内容互动。</w:t>
            </w:r>
          </w:p>
          <w:p w14:paraId="53B275F4">
            <w:pPr>
              <w:pStyle w:val="3"/>
              <w:pageBreakBefore w:val="0"/>
              <w:wordWrap/>
              <w:overflowPunct/>
              <w:topLinePunct w:val="0"/>
              <w:bidi w:val="0"/>
              <w:spacing w:line="360" w:lineRule="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7.硬件设备应支持打造沉浸式全景教学环境，构建三折幕、环模或球幕等至少一种展示环境，影像面积不小于20平米，画面整体分辨率大于3840x1080。</w:t>
            </w:r>
          </w:p>
        </w:tc>
        <w:tc>
          <w:tcPr>
            <w:tcW w:w="374" w:type="pct"/>
            <w:noWrap/>
            <w:vAlign w:val="center"/>
          </w:tcPr>
          <w:p w14:paraId="4D85B659">
            <w:pPr>
              <w:pageBreakBefore w:val="0"/>
              <w:widowControl/>
              <w:wordWrap/>
              <w:overflowPunct/>
              <w:topLinePunct w:val="0"/>
              <w:bidi w:val="0"/>
              <w:spacing w:line="360" w:lineRule="auto"/>
              <w:jc w:val="center"/>
              <w:textAlignment w:val="top"/>
              <w:rPr>
                <w:rFonts w:hint="eastAsia" w:ascii="仿宋" w:hAnsi="仿宋" w:eastAsia="仿宋" w:cs="仿宋"/>
                <w:kern w:val="0"/>
                <w:sz w:val="24"/>
                <w:szCs w:val="24"/>
              </w:rPr>
            </w:pPr>
            <w:r>
              <w:rPr>
                <w:rFonts w:hint="eastAsia" w:ascii="仿宋" w:hAnsi="仿宋" w:eastAsia="仿宋" w:cs="仿宋"/>
                <w:kern w:val="0"/>
                <w:sz w:val="24"/>
                <w:szCs w:val="24"/>
              </w:rPr>
              <w:t>套</w:t>
            </w:r>
          </w:p>
        </w:tc>
        <w:tc>
          <w:tcPr>
            <w:tcW w:w="366" w:type="pct"/>
            <w:noWrap/>
            <w:vAlign w:val="center"/>
          </w:tcPr>
          <w:p w14:paraId="1500ADEF">
            <w:pPr>
              <w:pageBreakBefore w:val="0"/>
              <w:widowControl/>
              <w:wordWrap/>
              <w:overflowPunct/>
              <w:topLinePunct w:val="0"/>
              <w:bidi w:val="0"/>
              <w:spacing w:line="360" w:lineRule="auto"/>
              <w:jc w:val="center"/>
              <w:textAlignment w:val="top"/>
              <w:rPr>
                <w:rFonts w:hint="eastAsia" w:ascii="仿宋" w:hAnsi="仿宋" w:eastAsia="仿宋" w:cs="仿宋"/>
                <w:kern w:val="0"/>
                <w:sz w:val="24"/>
                <w:szCs w:val="24"/>
              </w:rPr>
            </w:pPr>
            <w:r>
              <w:rPr>
                <w:rFonts w:hint="eastAsia" w:ascii="仿宋" w:hAnsi="仿宋" w:eastAsia="仿宋" w:cs="仿宋"/>
                <w:kern w:val="0"/>
                <w:sz w:val="24"/>
                <w:szCs w:val="24"/>
              </w:rPr>
              <w:t>1</w:t>
            </w:r>
          </w:p>
        </w:tc>
      </w:tr>
      <w:tr w14:paraId="4863E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5" w:type="pct"/>
            <w:noWrap/>
            <w:vAlign w:val="center"/>
          </w:tcPr>
          <w:p w14:paraId="5B8871C4">
            <w:pPr>
              <w:pageBreakBefore w:val="0"/>
              <w:widowControl/>
              <w:wordWrap/>
              <w:overflowPunct/>
              <w:topLinePunct w:val="0"/>
              <w:bidi w:val="0"/>
              <w:spacing w:line="360" w:lineRule="auto"/>
              <w:jc w:val="center"/>
              <w:textAlignment w:val="top"/>
              <w:rPr>
                <w:rFonts w:hint="eastAsia" w:ascii="仿宋" w:hAnsi="仿宋" w:eastAsia="仿宋" w:cs="仿宋"/>
                <w:kern w:val="0"/>
                <w:sz w:val="24"/>
                <w:szCs w:val="24"/>
              </w:rPr>
            </w:pPr>
            <w:r>
              <w:rPr>
                <w:rFonts w:hint="eastAsia" w:ascii="仿宋" w:hAnsi="仿宋" w:eastAsia="仿宋" w:cs="仿宋"/>
                <w:kern w:val="0"/>
                <w:sz w:val="24"/>
                <w:szCs w:val="24"/>
              </w:rPr>
              <w:t>3</w:t>
            </w:r>
          </w:p>
        </w:tc>
        <w:tc>
          <w:tcPr>
            <w:tcW w:w="588" w:type="pct"/>
            <w:noWrap/>
            <w:vAlign w:val="center"/>
          </w:tcPr>
          <w:p w14:paraId="5401565B">
            <w:pPr>
              <w:pageBreakBefore w:val="0"/>
              <w:widowControl/>
              <w:wordWrap/>
              <w:overflowPunct/>
              <w:topLinePunct w:val="0"/>
              <w:bidi w:val="0"/>
              <w:spacing w:line="360" w:lineRule="auto"/>
              <w:jc w:val="center"/>
              <w:textAlignment w:val="top"/>
              <w:rPr>
                <w:rFonts w:hint="eastAsia" w:ascii="仿宋" w:hAnsi="仿宋" w:eastAsia="仿宋" w:cs="仿宋"/>
                <w:kern w:val="0"/>
                <w:sz w:val="24"/>
                <w:szCs w:val="24"/>
              </w:rPr>
            </w:pPr>
            <w:r>
              <w:rPr>
                <w:rFonts w:hint="eastAsia" w:ascii="仿宋" w:hAnsi="仿宋" w:eastAsia="仿宋" w:cs="仿宋"/>
                <w:kern w:val="0"/>
                <w:sz w:val="24"/>
                <w:szCs w:val="24"/>
              </w:rPr>
              <w:t>MR智能化全息实战考核评估系统</w:t>
            </w:r>
          </w:p>
        </w:tc>
        <w:tc>
          <w:tcPr>
            <w:tcW w:w="3295" w:type="pct"/>
            <w:noWrap/>
            <w:vAlign w:val="center"/>
          </w:tcPr>
          <w:p w14:paraId="6CAEADF3">
            <w:pPr>
              <w:pStyle w:val="3"/>
              <w:pageBreakBefore w:val="0"/>
              <w:wordWrap/>
              <w:overflowPunct/>
              <w:topLinePunct w:val="0"/>
              <w:bidi w:val="0"/>
              <w:spacing w:line="360" w:lineRule="auto"/>
              <w:rPr>
                <w:rFonts w:hint="eastAsia" w:ascii="仿宋" w:hAnsi="仿宋" w:eastAsia="仿宋" w:cs="仿宋"/>
                <w:sz w:val="24"/>
                <w:szCs w:val="24"/>
              </w:rPr>
            </w:pPr>
            <w:r>
              <w:rPr>
                <w:rFonts w:hint="eastAsia" w:ascii="仿宋" w:hAnsi="仿宋" w:eastAsia="仿宋" w:cs="仿宋"/>
                <w:sz w:val="24"/>
                <w:szCs w:val="24"/>
              </w:rPr>
              <w:t>该系统</w:t>
            </w:r>
            <w:r>
              <w:rPr>
                <w:rFonts w:hint="eastAsia" w:ascii="仿宋" w:hAnsi="仿宋" w:eastAsia="仿宋" w:cs="仿宋"/>
                <w:sz w:val="24"/>
                <w:szCs w:val="24"/>
                <w:lang w:val="en-US" w:eastAsia="zh-CN"/>
              </w:rPr>
              <w:t>旨在</w:t>
            </w:r>
            <w:r>
              <w:rPr>
                <w:rFonts w:hint="eastAsia" w:ascii="仿宋" w:hAnsi="仿宋" w:eastAsia="仿宋" w:cs="仿宋"/>
                <w:sz w:val="24"/>
                <w:szCs w:val="24"/>
              </w:rPr>
              <w:t>利用</w:t>
            </w:r>
            <w:r>
              <w:rPr>
                <w:rFonts w:hint="eastAsia" w:ascii="仿宋" w:hAnsi="仿宋" w:eastAsia="仿宋" w:cs="仿宋"/>
                <w:sz w:val="24"/>
                <w:szCs w:val="24"/>
                <w:lang w:val="en-US" w:eastAsia="zh-CN"/>
              </w:rPr>
              <w:t>虚拟</w:t>
            </w:r>
            <w:r>
              <w:rPr>
                <w:rFonts w:hint="eastAsia" w:ascii="仿宋" w:hAnsi="仿宋" w:eastAsia="仿宋" w:cs="仿宋"/>
                <w:sz w:val="24"/>
                <w:szCs w:val="24"/>
              </w:rPr>
              <w:t>技术，模拟各种警情。支持受训警员在虚拟环境中进行实操演练，并根据实际问题做出应对决策。系统</w:t>
            </w:r>
            <w:r>
              <w:rPr>
                <w:rFonts w:hint="eastAsia" w:ascii="仿宋" w:hAnsi="仿宋" w:eastAsia="仿宋" w:cs="仿宋"/>
                <w:sz w:val="24"/>
                <w:szCs w:val="24"/>
                <w:lang w:val="en-US" w:eastAsia="zh-CN"/>
              </w:rPr>
              <w:t>应</w:t>
            </w:r>
            <w:r>
              <w:rPr>
                <w:rFonts w:hint="eastAsia" w:ascii="仿宋" w:hAnsi="仿宋" w:eastAsia="仿宋" w:cs="仿宋"/>
                <w:sz w:val="24"/>
                <w:szCs w:val="24"/>
              </w:rPr>
              <w:t>支持语音识别、传感器等方式实现与虚拟角色交互，并根据指定的评估标准给予实时评估和反馈。</w:t>
            </w:r>
          </w:p>
          <w:p w14:paraId="410404BD">
            <w:pPr>
              <w:pStyle w:val="3"/>
              <w:pageBreakBefore w:val="0"/>
              <w:wordWrap/>
              <w:overflowPunct/>
              <w:topLinePunct w:val="0"/>
              <w:bidi w:val="0"/>
              <w:spacing w:line="360" w:lineRule="auto"/>
              <w:rPr>
                <w:rFonts w:hint="eastAsia" w:ascii="仿宋" w:hAnsi="仿宋" w:eastAsia="仿宋" w:cs="仿宋"/>
                <w:sz w:val="24"/>
                <w:szCs w:val="24"/>
              </w:rPr>
            </w:pPr>
            <w:r>
              <w:rPr>
                <w:rFonts w:hint="eastAsia" w:ascii="仿宋" w:hAnsi="仿宋" w:eastAsia="仿宋" w:cs="仿宋"/>
                <w:sz w:val="24"/>
                <w:szCs w:val="24"/>
              </w:rPr>
              <w:t>1.MR头显设备：视场角：VFOV</w:t>
            </w:r>
            <w:r>
              <w:rPr>
                <w:rFonts w:hint="eastAsia" w:ascii="仿宋" w:hAnsi="仿宋" w:eastAsia="仿宋" w:cs="仿宋"/>
                <w:sz w:val="24"/>
                <w:szCs w:val="24"/>
                <w:lang w:val="en-US" w:eastAsia="zh-CN"/>
              </w:rPr>
              <w:t>≥</w:t>
            </w:r>
            <w:r>
              <w:rPr>
                <w:rFonts w:hint="eastAsia" w:ascii="仿宋" w:hAnsi="仿宋" w:eastAsia="仿宋" w:cs="仿宋"/>
                <w:sz w:val="24"/>
                <w:szCs w:val="24"/>
              </w:rPr>
              <w:t>5</w:t>
            </w:r>
            <w:r>
              <w:rPr>
                <w:rFonts w:hint="eastAsia" w:ascii="仿宋" w:hAnsi="仿宋" w:eastAsia="仿宋" w:cs="仿宋"/>
                <w:sz w:val="24"/>
                <w:szCs w:val="24"/>
                <w:lang w:val="en-US" w:eastAsia="zh-CN"/>
              </w:rPr>
              <w:t>0</w:t>
            </w:r>
            <w:r>
              <w:rPr>
                <w:rFonts w:hint="eastAsia" w:ascii="仿宋" w:hAnsi="仿宋" w:eastAsia="仿宋" w:cs="仿宋"/>
                <w:sz w:val="24"/>
                <w:szCs w:val="24"/>
              </w:rPr>
              <w:t>度，HFOV</w:t>
            </w:r>
            <w:r>
              <w:rPr>
                <w:rFonts w:hint="eastAsia" w:ascii="仿宋" w:hAnsi="仿宋" w:eastAsia="仿宋" w:cs="仿宋"/>
                <w:sz w:val="24"/>
                <w:szCs w:val="24"/>
                <w:lang w:val="en-US" w:eastAsia="zh-CN"/>
              </w:rPr>
              <w:t>≥</w:t>
            </w:r>
            <w:r>
              <w:rPr>
                <w:rFonts w:hint="eastAsia" w:ascii="仿宋" w:hAnsi="仿宋" w:eastAsia="仿宋" w:cs="仿宋"/>
                <w:sz w:val="24"/>
                <w:szCs w:val="24"/>
              </w:rPr>
              <w:t>70度;支持6自由度空间定位。</w:t>
            </w:r>
          </w:p>
          <w:p w14:paraId="5B73B45A">
            <w:pPr>
              <w:pStyle w:val="3"/>
              <w:pageBreakBefore w:val="0"/>
              <w:wordWrap/>
              <w:overflowPunct/>
              <w:topLinePunct w:val="0"/>
              <w:bidi w:val="0"/>
              <w:spacing w:line="360" w:lineRule="auto"/>
              <w:rPr>
                <w:rFonts w:hint="eastAsia" w:ascii="仿宋" w:hAnsi="仿宋" w:eastAsia="仿宋" w:cs="仿宋"/>
                <w:sz w:val="24"/>
                <w:szCs w:val="24"/>
              </w:rPr>
            </w:pPr>
            <w:r>
              <w:rPr>
                <w:rFonts w:hint="eastAsia" w:ascii="仿宋" w:hAnsi="仿宋" w:eastAsia="仿宋" w:cs="仿宋"/>
                <w:sz w:val="24"/>
                <w:szCs w:val="24"/>
              </w:rPr>
              <w:t>2.92G模拟器：外形仿国产92G半自动手枪；瞄准方式与使用真实枪支一致；可模拟卸弹夹、装弹夹、上膛、射击等枪械基本使用程序；可对虚拟弹夹内与枪膛内的弹药进行计数及可更换弹夹数量及每弹夹内弹药数量；模拟器外观尺寸：≤221.75*139.3*48.4mm。</w:t>
            </w:r>
          </w:p>
          <w:p w14:paraId="030C8D8B">
            <w:pPr>
              <w:pStyle w:val="3"/>
              <w:pageBreakBefore w:val="0"/>
              <w:wordWrap/>
              <w:overflowPunct/>
              <w:topLinePunct w:val="0"/>
              <w:bidi w:val="0"/>
              <w:spacing w:line="360" w:lineRule="auto"/>
              <w:rPr>
                <w:rFonts w:hint="eastAsia" w:ascii="仿宋" w:hAnsi="仿宋" w:eastAsia="仿宋" w:cs="仿宋"/>
                <w:sz w:val="24"/>
                <w:szCs w:val="24"/>
              </w:rPr>
            </w:pPr>
            <w:r>
              <w:rPr>
                <w:rFonts w:hint="eastAsia" w:ascii="仿宋" w:hAnsi="仿宋" w:eastAsia="仿宋" w:cs="仿宋"/>
                <w:sz w:val="24"/>
                <w:szCs w:val="24"/>
              </w:rPr>
              <w:t>3.95-1步枪模拟器：外形仿国产95-1自动步枪；支持位置跟踪；瞄准方式与使用真实枪支一致；可模拟卸弹夹、装弹夹、上膛、射击等枪械基本使用程序；可对虚拟弹夹内与枪膛内的弹药进行计数及可更换弹夹数量及每弹夹内弹药数量。</w:t>
            </w:r>
          </w:p>
          <w:p w14:paraId="13731FC3">
            <w:pPr>
              <w:pStyle w:val="3"/>
              <w:pageBreakBefore w:val="0"/>
              <w:wordWrap/>
              <w:overflowPunct/>
              <w:topLinePunct w:val="0"/>
              <w:bidi w:val="0"/>
              <w:spacing w:line="360" w:lineRule="auto"/>
              <w:rPr>
                <w:rFonts w:hint="eastAsia" w:ascii="仿宋" w:hAnsi="仿宋" w:eastAsia="仿宋" w:cs="仿宋"/>
                <w:sz w:val="24"/>
                <w:szCs w:val="24"/>
              </w:rPr>
            </w:pPr>
            <w:r>
              <w:rPr>
                <w:rFonts w:hint="eastAsia" w:ascii="仿宋" w:hAnsi="仿宋" w:eastAsia="仿宋" w:cs="仿宋"/>
                <w:sz w:val="24"/>
                <w:szCs w:val="24"/>
              </w:rPr>
              <w:t>4.执法记录仪模拟器：仿执法记录仪外观尺寸及佩戴方式，尺寸：≤93*66*49mm。</w:t>
            </w:r>
          </w:p>
          <w:p w14:paraId="751D967A">
            <w:pPr>
              <w:pStyle w:val="3"/>
              <w:pageBreakBefore w:val="0"/>
              <w:wordWrap/>
              <w:overflowPunct/>
              <w:topLinePunct w:val="0"/>
              <w:bidi w:val="0"/>
              <w:spacing w:line="360" w:lineRule="auto"/>
              <w:rPr>
                <w:rFonts w:hint="eastAsia" w:ascii="仿宋" w:hAnsi="仿宋" w:eastAsia="仿宋" w:cs="仿宋"/>
                <w:sz w:val="24"/>
                <w:szCs w:val="24"/>
              </w:rPr>
            </w:pPr>
            <w:r>
              <w:rPr>
                <w:rFonts w:hint="eastAsia" w:ascii="仿宋" w:hAnsi="仿宋" w:eastAsia="仿宋" w:cs="仿宋"/>
                <w:sz w:val="24"/>
                <w:szCs w:val="24"/>
              </w:rPr>
              <w:t>5.催泪喷射器：仿警用标准催泪器尺寸外观，尺寸：≤234*52*50mm；支持蓝牙技术；支持跟踪技术。手铐：外形半仿警用手铐，尺寸：≤159*90*14；支持跟踪技术。</w:t>
            </w:r>
          </w:p>
          <w:p w14:paraId="60FB12B0">
            <w:pPr>
              <w:pStyle w:val="3"/>
              <w:pageBreakBefore w:val="0"/>
              <w:wordWrap/>
              <w:overflowPunct/>
              <w:topLinePunct w:val="0"/>
              <w:bidi w:val="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6</w:t>
            </w:r>
            <w:r>
              <w:rPr>
                <w:rFonts w:hint="eastAsia" w:ascii="仿宋" w:hAnsi="仿宋" w:eastAsia="仿宋" w:cs="仿宋"/>
                <w:sz w:val="24"/>
                <w:szCs w:val="24"/>
              </w:rPr>
              <w:t>.支持实战射击训练；支持快反射击训练；支持战术冲房训练；支持训练信息管理；基于教学练战一体化平台的学员信息数据获取；基于学员信息的训练成绩自动生成</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并配套数据终端设备。</w:t>
            </w:r>
          </w:p>
          <w:p w14:paraId="6B903FDD">
            <w:pPr>
              <w:pStyle w:val="3"/>
              <w:pageBreakBefore w:val="0"/>
              <w:wordWrap/>
              <w:overflowPunct/>
              <w:topLinePunct w:val="0"/>
              <w:bidi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w:t>
            </w:r>
            <w:r>
              <w:rPr>
                <w:rFonts w:hint="eastAsia" w:ascii="仿宋" w:hAnsi="仿宋" w:eastAsia="仿宋" w:cs="仿宋"/>
                <w:sz w:val="24"/>
                <w:szCs w:val="24"/>
              </w:rPr>
              <w:t>.支持基于学员信息的训练分析评估，分析评估结果不少于2个维度，不少于10个分项；分析成绩数据上传至一体化平台；历史训练数据查询；训练场景回放。</w:t>
            </w:r>
          </w:p>
        </w:tc>
        <w:tc>
          <w:tcPr>
            <w:tcW w:w="374" w:type="pct"/>
            <w:noWrap/>
            <w:vAlign w:val="center"/>
          </w:tcPr>
          <w:p w14:paraId="2B6CCFF0">
            <w:pPr>
              <w:pageBreakBefore w:val="0"/>
              <w:widowControl/>
              <w:wordWrap/>
              <w:overflowPunct/>
              <w:topLinePunct w:val="0"/>
              <w:bidi w:val="0"/>
              <w:spacing w:line="360" w:lineRule="auto"/>
              <w:jc w:val="center"/>
              <w:textAlignment w:val="top"/>
              <w:rPr>
                <w:rFonts w:hint="eastAsia" w:ascii="仿宋" w:hAnsi="仿宋" w:eastAsia="仿宋" w:cs="仿宋"/>
                <w:kern w:val="0"/>
                <w:sz w:val="24"/>
                <w:szCs w:val="24"/>
              </w:rPr>
            </w:pPr>
            <w:r>
              <w:rPr>
                <w:rFonts w:hint="eastAsia" w:ascii="仿宋" w:hAnsi="仿宋" w:eastAsia="仿宋" w:cs="仿宋"/>
                <w:kern w:val="0"/>
                <w:sz w:val="24"/>
                <w:szCs w:val="24"/>
              </w:rPr>
              <w:t>套</w:t>
            </w:r>
          </w:p>
        </w:tc>
        <w:tc>
          <w:tcPr>
            <w:tcW w:w="366" w:type="pct"/>
            <w:noWrap/>
            <w:vAlign w:val="center"/>
          </w:tcPr>
          <w:p w14:paraId="14295B8B">
            <w:pPr>
              <w:pageBreakBefore w:val="0"/>
              <w:widowControl/>
              <w:wordWrap/>
              <w:overflowPunct/>
              <w:topLinePunct w:val="0"/>
              <w:bidi w:val="0"/>
              <w:spacing w:line="360" w:lineRule="auto"/>
              <w:jc w:val="center"/>
              <w:textAlignment w:val="top"/>
              <w:rPr>
                <w:rFonts w:hint="eastAsia" w:ascii="仿宋" w:hAnsi="仿宋" w:eastAsia="仿宋" w:cs="仿宋"/>
                <w:kern w:val="0"/>
                <w:sz w:val="24"/>
                <w:szCs w:val="24"/>
              </w:rPr>
            </w:pPr>
            <w:r>
              <w:rPr>
                <w:rFonts w:hint="eastAsia" w:ascii="仿宋" w:hAnsi="仿宋" w:eastAsia="仿宋" w:cs="仿宋"/>
                <w:kern w:val="0"/>
                <w:sz w:val="24"/>
                <w:szCs w:val="24"/>
              </w:rPr>
              <w:t>1</w:t>
            </w:r>
          </w:p>
        </w:tc>
      </w:tr>
      <w:tr w14:paraId="19B03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5" w:type="pct"/>
            <w:noWrap/>
            <w:vAlign w:val="center"/>
          </w:tcPr>
          <w:p w14:paraId="58798690">
            <w:pPr>
              <w:pageBreakBefore w:val="0"/>
              <w:widowControl/>
              <w:wordWrap/>
              <w:overflowPunct/>
              <w:topLinePunct w:val="0"/>
              <w:bidi w:val="0"/>
              <w:spacing w:line="360" w:lineRule="auto"/>
              <w:jc w:val="center"/>
              <w:textAlignment w:val="top"/>
              <w:rPr>
                <w:rFonts w:hint="eastAsia" w:ascii="仿宋" w:hAnsi="仿宋" w:eastAsia="仿宋" w:cs="仿宋"/>
                <w:kern w:val="0"/>
                <w:sz w:val="24"/>
                <w:szCs w:val="24"/>
              </w:rPr>
            </w:pPr>
            <w:r>
              <w:rPr>
                <w:rFonts w:hint="eastAsia" w:ascii="仿宋" w:hAnsi="仿宋" w:eastAsia="仿宋" w:cs="仿宋"/>
                <w:kern w:val="0"/>
                <w:sz w:val="24"/>
                <w:szCs w:val="24"/>
              </w:rPr>
              <w:t>4</w:t>
            </w:r>
          </w:p>
        </w:tc>
        <w:tc>
          <w:tcPr>
            <w:tcW w:w="588" w:type="pct"/>
            <w:noWrap/>
            <w:vAlign w:val="center"/>
          </w:tcPr>
          <w:p w14:paraId="133178E6">
            <w:pPr>
              <w:pageBreakBefore w:val="0"/>
              <w:widowControl/>
              <w:wordWrap/>
              <w:overflowPunct/>
              <w:topLinePunct w:val="0"/>
              <w:bidi w:val="0"/>
              <w:spacing w:line="360" w:lineRule="auto"/>
              <w:jc w:val="center"/>
              <w:textAlignment w:val="top"/>
              <w:rPr>
                <w:rFonts w:hint="eastAsia" w:ascii="仿宋" w:hAnsi="仿宋" w:eastAsia="仿宋" w:cs="仿宋"/>
                <w:kern w:val="0"/>
                <w:sz w:val="24"/>
                <w:szCs w:val="24"/>
              </w:rPr>
            </w:pPr>
            <w:r>
              <w:rPr>
                <w:rFonts w:hint="eastAsia" w:ascii="仿宋" w:hAnsi="仿宋" w:eastAsia="仿宋" w:cs="仿宋"/>
                <w:kern w:val="0"/>
                <w:sz w:val="24"/>
                <w:szCs w:val="24"/>
              </w:rPr>
              <w:t>智能心理评测和管理系统</w:t>
            </w:r>
          </w:p>
        </w:tc>
        <w:tc>
          <w:tcPr>
            <w:tcW w:w="3295" w:type="pct"/>
            <w:noWrap/>
            <w:vAlign w:val="center"/>
          </w:tcPr>
          <w:p w14:paraId="34B1F43B">
            <w:pPr>
              <w:pageBreakBefore w:val="0"/>
              <w:widowControl/>
              <w:wordWrap/>
              <w:overflowPunct/>
              <w:topLinePunct w:val="0"/>
              <w:bidi w:val="0"/>
              <w:spacing w:line="360" w:lineRule="auto"/>
              <w:jc w:val="left"/>
              <w:textAlignment w:val="top"/>
              <w:rPr>
                <w:rFonts w:hint="eastAsia" w:ascii="仿宋" w:hAnsi="仿宋" w:eastAsia="仿宋" w:cs="仿宋"/>
                <w:sz w:val="24"/>
                <w:szCs w:val="24"/>
                <w:lang w:val="en-US" w:eastAsia="zh-CN"/>
              </w:rPr>
            </w:pPr>
            <w:r>
              <w:rPr>
                <w:rFonts w:hint="eastAsia" w:ascii="仿宋" w:hAnsi="仿宋" w:eastAsia="仿宋" w:cs="仿宋"/>
                <w:kern w:val="0"/>
                <w:sz w:val="24"/>
                <w:szCs w:val="24"/>
                <w:lang w:val="en-US" w:eastAsia="zh-CN"/>
              </w:rPr>
              <w:t>基于人工智能算法和情感计算实现警务人员的心理状态记录、分析和评估，为警务人员的心理健康提供支撑。</w:t>
            </w:r>
          </w:p>
          <w:p w14:paraId="138905F1">
            <w:pPr>
              <w:pageBreakBefore w:val="0"/>
              <w:widowControl/>
              <w:wordWrap/>
              <w:overflowPunct/>
              <w:topLinePunct w:val="0"/>
              <w:bidi w:val="0"/>
              <w:spacing w:line="360" w:lineRule="auto"/>
              <w:jc w:val="left"/>
              <w:textAlignment w:val="top"/>
              <w:rPr>
                <w:rFonts w:hint="eastAsia" w:ascii="仿宋" w:hAnsi="仿宋" w:eastAsia="仿宋" w:cs="仿宋"/>
                <w:kern w:val="0"/>
                <w:sz w:val="24"/>
                <w:szCs w:val="24"/>
              </w:rPr>
            </w:pPr>
            <w:r>
              <w:rPr>
                <w:rFonts w:hint="eastAsia" w:ascii="仿宋" w:hAnsi="仿宋" w:eastAsia="仿宋" w:cs="仿宋"/>
                <w:kern w:val="0"/>
                <w:sz w:val="24"/>
                <w:szCs w:val="24"/>
              </w:rPr>
              <w:t>1.支持通过实时分析使用者的情感状态，了解使用者的情绪和需求，提供个性化的辅导和指导，记录和分析使用者的行为数据，为治疗过程提供量化的评估和指导。</w:t>
            </w:r>
          </w:p>
          <w:p w14:paraId="05EF43DE">
            <w:pPr>
              <w:pageBreakBefore w:val="0"/>
              <w:widowControl/>
              <w:wordWrap/>
              <w:overflowPunct/>
              <w:topLinePunct w:val="0"/>
              <w:bidi w:val="0"/>
              <w:spacing w:line="360" w:lineRule="auto"/>
              <w:jc w:val="left"/>
              <w:textAlignment w:val="top"/>
              <w:rPr>
                <w:rFonts w:hint="eastAsia" w:ascii="仿宋" w:hAnsi="仿宋" w:eastAsia="仿宋" w:cs="仿宋"/>
                <w:kern w:val="0"/>
                <w:sz w:val="24"/>
                <w:szCs w:val="24"/>
              </w:rPr>
            </w:pPr>
            <w:r>
              <w:rPr>
                <w:rFonts w:hint="eastAsia" w:ascii="仿宋" w:hAnsi="仿宋" w:eastAsia="仿宋" w:cs="仿宋"/>
                <w:kern w:val="0"/>
                <w:sz w:val="24"/>
                <w:szCs w:val="24"/>
              </w:rPr>
              <w:t>2.支持结果自动生成，自动生成相应的心理测评结果反馈，不少于6种心理维度；支持面向警务人员的个性化心理维度。</w:t>
            </w:r>
          </w:p>
          <w:p w14:paraId="4537A7F2">
            <w:pPr>
              <w:pageBreakBefore w:val="0"/>
              <w:widowControl/>
              <w:wordWrap/>
              <w:overflowPunct/>
              <w:topLinePunct w:val="0"/>
              <w:bidi w:val="0"/>
              <w:spacing w:line="360" w:lineRule="auto"/>
              <w:jc w:val="left"/>
              <w:textAlignment w:val="top"/>
              <w:rPr>
                <w:rFonts w:hint="eastAsia" w:ascii="仿宋" w:hAnsi="仿宋" w:eastAsia="仿宋" w:cs="仿宋"/>
                <w:kern w:val="0"/>
                <w:sz w:val="24"/>
                <w:szCs w:val="24"/>
              </w:rPr>
            </w:pPr>
            <w:r>
              <w:rPr>
                <w:rFonts w:hint="eastAsia" w:ascii="仿宋" w:hAnsi="仿宋" w:eastAsia="仿宋" w:cs="仿宋"/>
                <w:kern w:val="0"/>
                <w:sz w:val="24"/>
                <w:szCs w:val="24"/>
              </w:rPr>
              <w:t>3.支持心理数据收集与上传AI+警务教学练战考评一体化平台数据库。</w:t>
            </w:r>
          </w:p>
          <w:p w14:paraId="29AD98BD">
            <w:pPr>
              <w:pageBreakBefore w:val="0"/>
              <w:widowControl/>
              <w:wordWrap/>
              <w:overflowPunct/>
              <w:topLinePunct w:val="0"/>
              <w:bidi w:val="0"/>
              <w:spacing w:line="360" w:lineRule="auto"/>
              <w:jc w:val="left"/>
              <w:textAlignment w:val="top"/>
              <w:rPr>
                <w:rFonts w:hint="eastAsia" w:ascii="仿宋" w:hAnsi="仿宋" w:eastAsia="仿宋" w:cs="仿宋"/>
                <w:kern w:val="0"/>
                <w:sz w:val="24"/>
                <w:szCs w:val="24"/>
              </w:rPr>
            </w:pPr>
            <w:r>
              <w:rPr>
                <w:rFonts w:hint="eastAsia" w:ascii="仿宋" w:hAnsi="仿宋" w:eastAsia="仿宋" w:cs="仿宋"/>
                <w:kern w:val="0"/>
                <w:sz w:val="24"/>
                <w:szCs w:val="24"/>
              </w:rPr>
              <w:t>4.应具备不少于</w:t>
            </w:r>
            <w:r>
              <w:rPr>
                <w:rFonts w:hint="eastAsia" w:ascii="仿宋" w:hAnsi="仿宋" w:eastAsia="仿宋" w:cs="仿宋"/>
                <w:kern w:val="0"/>
                <w:sz w:val="24"/>
                <w:szCs w:val="24"/>
                <w:lang w:val="en-US" w:eastAsia="zh-CN"/>
              </w:rPr>
              <w:t>2</w:t>
            </w:r>
            <w:r>
              <w:rPr>
                <w:rFonts w:hint="eastAsia" w:ascii="仿宋" w:hAnsi="仿宋" w:eastAsia="仿宋" w:cs="仿宋"/>
                <w:kern w:val="0"/>
                <w:sz w:val="24"/>
                <w:szCs w:val="24"/>
              </w:rPr>
              <w:t>项由国家心理专业权威评测机构颁发的评定证书或检测报告。</w:t>
            </w:r>
          </w:p>
        </w:tc>
        <w:tc>
          <w:tcPr>
            <w:tcW w:w="374" w:type="pct"/>
            <w:noWrap/>
            <w:vAlign w:val="center"/>
          </w:tcPr>
          <w:p w14:paraId="40CC9456">
            <w:pPr>
              <w:pageBreakBefore w:val="0"/>
              <w:widowControl/>
              <w:wordWrap/>
              <w:overflowPunct/>
              <w:topLinePunct w:val="0"/>
              <w:bidi w:val="0"/>
              <w:spacing w:line="360" w:lineRule="auto"/>
              <w:jc w:val="center"/>
              <w:textAlignment w:val="top"/>
              <w:rPr>
                <w:rFonts w:hint="eastAsia" w:ascii="仿宋" w:hAnsi="仿宋" w:eastAsia="仿宋" w:cs="仿宋"/>
                <w:kern w:val="0"/>
                <w:sz w:val="24"/>
                <w:szCs w:val="24"/>
              </w:rPr>
            </w:pPr>
            <w:r>
              <w:rPr>
                <w:rFonts w:hint="eastAsia" w:ascii="仿宋" w:hAnsi="仿宋" w:eastAsia="仿宋" w:cs="仿宋"/>
                <w:kern w:val="0"/>
                <w:sz w:val="24"/>
                <w:szCs w:val="24"/>
              </w:rPr>
              <w:t>套</w:t>
            </w:r>
          </w:p>
        </w:tc>
        <w:tc>
          <w:tcPr>
            <w:tcW w:w="366" w:type="pct"/>
            <w:noWrap/>
            <w:vAlign w:val="center"/>
          </w:tcPr>
          <w:p w14:paraId="0429BA45">
            <w:pPr>
              <w:pageBreakBefore w:val="0"/>
              <w:widowControl/>
              <w:wordWrap/>
              <w:overflowPunct/>
              <w:topLinePunct w:val="0"/>
              <w:bidi w:val="0"/>
              <w:spacing w:line="360" w:lineRule="auto"/>
              <w:jc w:val="center"/>
              <w:textAlignment w:val="top"/>
              <w:rPr>
                <w:rFonts w:hint="eastAsia" w:ascii="仿宋" w:hAnsi="仿宋" w:eastAsia="仿宋" w:cs="仿宋"/>
                <w:kern w:val="0"/>
                <w:sz w:val="24"/>
                <w:szCs w:val="24"/>
              </w:rPr>
            </w:pPr>
            <w:r>
              <w:rPr>
                <w:rFonts w:hint="eastAsia" w:ascii="仿宋" w:hAnsi="仿宋" w:eastAsia="仿宋" w:cs="仿宋"/>
                <w:kern w:val="0"/>
                <w:sz w:val="24"/>
                <w:szCs w:val="24"/>
              </w:rPr>
              <w:t>1</w:t>
            </w:r>
          </w:p>
        </w:tc>
      </w:tr>
      <w:tr w14:paraId="4A5B4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5" w:type="pct"/>
            <w:noWrap/>
            <w:vAlign w:val="center"/>
          </w:tcPr>
          <w:p w14:paraId="7370173B">
            <w:pPr>
              <w:pageBreakBefore w:val="0"/>
              <w:widowControl/>
              <w:wordWrap/>
              <w:overflowPunct/>
              <w:topLinePunct w:val="0"/>
              <w:bidi w:val="0"/>
              <w:spacing w:line="360" w:lineRule="auto"/>
              <w:jc w:val="center"/>
              <w:textAlignment w:val="top"/>
              <w:rPr>
                <w:rFonts w:hint="eastAsia" w:ascii="仿宋" w:hAnsi="仿宋" w:eastAsia="仿宋" w:cs="仿宋"/>
                <w:kern w:val="0"/>
                <w:sz w:val="24"/>
                <w:szCs w:val="24"/>
              </w:rPr>
            </w:pPr>
            <w:r>
              <w:rPr>
                <w:rFonts w:hint="eastAsia" w:ascii="仿宋" w:hAnsi="仿宋" w:eastAsia="仿宋" w:cs="仿宋"/>
                <w:kern w:val="0"/>
                <w:sz w:val="24"/>
                <w:szCs w:val="24"/>
              </w:rPr>
              <w:t>5</w:t>
            </w:r>
          </w:p>
        </w:tc>
        <w:tc>
          <w:tcPr>
            <w:tcW w:w="588" w:type="pct"/>
            <w:noWrap/>
            <w:vAlign w:val="center"/>
          </w:tcPr>
          <w:p w14:paraId="41362D77">
            <w:pPr>
              <w:pageBreakBefore w:val="0"/>
              <w:widowControl/>
              <w:wordWrap/>
              <w:overflowPunct/>
              <w:topLinePunct w:val="0"/>
              <w:bidi w:val="0"/>
              <w:spacing w:line="360" w:lineRule="auto"/>
              <w:jc w:val="center"/>
              <w:textAlignment w:val="top"/>
              <w:rPr>
                <w:rFonts w:hint="eastAsia" w:ascii="仿宋" w:hAnsi="仿宋" w:eastAsia="仿宋" w:cs="仿宋"/>
                <w:kern w:val="0"/>
                <w:sz w:val="24"/>
                <w:szCs w:val="24"/>
              </w:rPr>
            </w:pPr>
            <w:r>
              <w:rPr>
                <w:rFonts w:hint="eastAsia" w:ascii="仿宋" w:hAnsi="仿宋" w:eastAsia="仿宋" w:cs="仿宋"/>
                <w:kern w:val="0"/>
                <w:sz w:val="24"/>
                <w:szCs w:val="24"/>
              </w:rPr>
              <w:t>基层所队战训服务系统</w:t>
            </w:r>
          </w:p>
        </w:tc>
        <w:tc>
          <w:tcPr>
            <w:tcW w:w="3295" w:type="pct"/>
            <w:noWrap/>
            <w:vAlign w:val="center"/>
          </w:tcPr>
          <w:p w14:paraId="1A255FCF">
            <w:pPr>
              <w:pageBreakBefore w:val="0"/>
              <w:widowControl/>
              <w:numPr>
                <w:ilvl w:val="0"/>
                <w:numId w:val="2"/>
              </w:numPr>
              <w:wordWrap/>
              <w:overflowPunct/>
              <w:topLinePunct w:val="0"/>
              <w:bidi w:val="0"/>
              <w:spacing w:line="360" w:lineRule="auto"/>
              <w:textAlignment w:val="top"/>
              <w:rPr>
                <w:rFonts w:hint="eastAsia" w:ascii="仿宋" w:hAnsi="仿宋" w:eastAsia="仿宋" w:cs="仿宋"/>
                <w:kern w:val="0"/>
                <w:sz w:val="24"/>
                <w:szCs w:val="24"/>
              </w:rPr>
            </w:pPr>
            <w:r>
              <w:rPr>
                <w:rFonts w:hint="eastAsia" w:ascii="仿宋" w:hAnsi="仿宋" w:eastAsia="仿宋" w:cs="仿宋"/>
                <w:kern w:val="0"/>
                <w:sz w:val="24"/>
                <w:szCs w:val="24"/>
              </w:rPr>
              <w:t>支持警务人员日常训练的理论评测，课程直播，课程点播，在线/离线考试等功能。</w:t>
            </w:r>
          </w:p>
          <w:p w14:paraId="5D1CA388">
            <w:pPr>
              <w:pageBreakBefore w:val="0"/>
              <w:widowControl/>
              <w:numPr>
                <w:ilvl w:val="0"/>
                <w:numId w:val="2"/>
              </w:numPr>
              <w:wordWrap/>
              <w:overflowPunct/>
              <w:topLinePunct w:val="0"/>
              <w:bidi w:val="0"/>
              <w:spacing w:line="360" w:lineRule="auto"/>
              <w:textAlignment w:val="top"/>
              <w:rPr>
                <w:rFonts w:hint="eastAsia" w:ascii="仿宋" w:hAnsi="仿宋" w:eastAsia="仿宋" w:cs="仿宋"/>
                <w:sz w:val="24"/>
                <w:szCs w:val="24"/>
                <w:lang w:val="en-US" w:eastAsia="zh-CN"/>
              </w:rPr>
            </w:pPr>
            <w:r>
              <w:rPr>
                <w:rFonts w:hint="eastAsia" w:ascii="仿宋" w:hAnsi="仿宋" w:eastAsia="仿宋" w:cs="仿宋"/>
                <w:kern w:val="0"/>
                <w:sz w:val="24"/>
                <w:szCs w:val="24"/>
                <w:lang w:val="en-US" w:eastAsia="zh-CN"/>
              </w:rPr>
              <w:t>智能</w:t>
            </w:r>
            <w:r>
              <w:rPr>
                <w:rFonts w:hint="eastAsia" w:ascii="仿宋" w:hAnsi="仿宋" w:eastAsia="仿宋" w:cs="仿宋"/>
                <w:kern w:val="0"/>
                <w:sz w:val="24"/>
                <w:szCs w:val="24"/>
              </w:rPr>
              <w:t>终端设备应满足便携性、稳定性等特点</w:t>
            </w:r>
            <w:r>
              <w:rPr>
                <w:rFonts w:hint="eastAsia" w:ascii="仿宋" w:hAnsi="仿宋" w:eastAsia="仿宋" w:cs="仿宋"/>
                <w:kern w:val="0"/>
                <w:sz w:val="24"/>
                <w:szCs w:val="24"/>
                <w:lang w:eastAsia="zh-CN"/>
              </w:rPr>
              <w:t>，</w:t>
            </w:r>
            <w:r>
              <w:rPr>
                <w:rFonts w:hint="eastAsia" w:ascii="仿宋" w:hAnsi="仿宋" w:eastAsia="仿宋" w:cs="仿宋"/>
                <w:kern w:val="0"/>
                <w:sz w:val="24"/>
                <w:szCs w:val="24"/>
                <w:lang w:val="en-US" w:eastAsia="zh-CN"/>
              </w:rPr>
              <w:t>处理器CPU：不低于四核64位；内存：不低于8GB；存储器：不低于64GB。</w:t>
            </w:r>
          </w:p>
          <w:p w14:paraId="46E290BF">
            <w:pPr>
              <w:pStyle w:val="3"/>
              <w:pageBreakBefore w:val="0"/>
              <w:numPr>
                <w:ilvl w:val="0"/>
                <w:numId w:val="2"/>
              </w:numPr>
              <w:wordWrap/>
              <w:overflowPunct/>
              <w:topLinePunct w:val="0"/>
              <w:bidi w:val="0"/>
              <w:spacing w:line="360" w:lineRule="auto"/>
              <w:ind w:left="0" w:leftChars="0"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系统设备应满足构建14套智能训练系统空间，训练空间设备要求支持影像面积不低于3平米，支持触控等便捷的交互方式，支持采集训练人员影像，并部署智能训练终端。</w:t>
            </w:r>
          </w:p>
          <w:p w14:paraId="628B1896">
            <w:pPr>
              <w:pStyle w:val="3"/>
              <w:pageBreakBefore w:val="0"/>
              <w:numPr>
                <w:ilvl w:val="0"/>
                <w:numId w:val="2"/>
              </w:numPr>
              <w:wordWrap/>
              <w:overflowPunct/>
              <w:topLinePunct w:val="0"/>
              <w:bidi w:val="0"/>
              <w:spacing w:line="360" w:lineRule="auto"/>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eastAsia="zh-CN"/>
              </w:rPr>
              <w:t>系统设备还应满足构建41套简易版智能训练系统，简易版训练系统硬件设备应支持采集训练人员影像，并部署智能训练终端。</w:t>
            </w:r>
          </w:p>
        </w:tc>
        <w:tc>
          <w:tcPr>
            <w:tcW w:w="374" w:type="pct"/>
            <w:noWrap/>
            <w:vAlign w:val="center"/>
          </w:tcPr>
          <w:p w14:paraId="02AF9005">
            <w:pPr>
              <w:pageBreakBefore w:val="0"/>
              <w:widowControl/>
              <w:wordWrap/>
              <w:overflowPunct/>
              <w:topLinePunct w:val="0"/>
              <w:bidi w:val="0"/>
              <w:spacing w:line="360" w:lineRule="auto"/>
              <w:jc w:val="center"/>
              <w:textAlignment w:val="top"/>
              <w:rPr>
                <w:rFonts w:hint="eastAsia" w:ascii="仿宋" w:hAnsi="仿宋" w:eastAsia="仿宋" w:cs="仿宋"/>
                <w:kern w:val="0"/>
                <w:sz w:val="24"/>
                <w:szCs w:val="24"/>
              </w:rPr>
            </w:pPr>
            <w:r>
              <w:rPr>
                <w:rFonts w:hint="eastAsia" w:ascii="仿宋" w:hAnsi="仿宋" w:eastAsia="仿宋" w:cs="仿宋"/>
                <w:kern w:val="0"/>
                <w:sz w:val="24"/>
                <w:szCs w:val="24"/>
              </w:rPr>
              <w:t>套</w:t>
            </w:r>
          </w:p>
        </w:tc>
        <w:tc>
          <w:tcPr>
            <w:tcW w:w="366" w:type="pct"/>
            <w:noWrap/>
            <w:vAlign w:val="center"/>
          </w:tcPr>
          <w:p w14:paraId="15D46998">
            <w:pPr>
              <w:pageBreakBefore w:val="0"/>
              <w:widowControl/>
              <w:wordWrap/>
              <w:overflowPunct/>
              <w:topLinePunct w:val="0"/>
              <w:bidi w:val="0"/>
              <w:spacing w:line="360" w:lineRule="auto"/>
              <w:jc w:val="center"/>
              <w:textAlignment w:val="top"/>
              <w:rPr>
                <w:rFonts w:hint="eastAsia" w:ascii="仿宋" w:hAnsi="仿宋" w:eastAsia="仿宋" w:cs="仿宋"/>
                <w:kern w:val="0"/>
                <w:sz w:val="24"/>
                <w:szCs w:val="24"/>
              </w:rPr>
            </w:pPr>
            <w:r>
              <w:rPr>
                <w:rFonts w:hint="eastAsia" w:ascii="仿宋" w:hAnsi="仿宋" w:eastAsia="仿宋" w:cs="仿宋"/>
                <w:kern w:val="0"/>
                <w:sz w:val="24"/>
                <w:szCs w:val="24"/>
              </w:rPr>
              <w:t>1</w:t>
            </w:r>
          </w:p>
        </w:tc>
      </w:tr>
    </w:tbl>
    <w:p w14:paraId="532E386F">
      <w:pPr>
        <w:pageBreakBefore w:val="0"/>
        <w:kinsoku/>
        <w:wordWrap/>
        <w:overflowPunct/>
        <w:topLinePunct w:val="0"/>
        <w:bidi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项目实施</w:t>
      </w: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lang w:val="en-US" w:eastAsia="zh-CN"/>
        </w:rPr>
        <w:t>采购人指定地点</w:t>
      </w:r>
      <w:r>
        <w:rPr>
          <w:rFonts w:hint="eastAsia" w:ascii="仿宋" w:hAnsi="仿宋" w:eastAsia="仿宋" w:cs="仿宋"/>
          <w:color w:val="auto"/>
          <w:sz w:val="24"/>
          <w:szCs w:val="24"/>
          <w:highlight w:val="none"/>
        </w:rPr>
        <w:t>。</w:t>
      </w:r>
    </w:p>
    <w:p w14:paraId="780A88B8">
      <w:pPr>
        <w:pageBreakBefore w:val="0"/>
        <w:kinsoku/>
        <w:wordWrap/>
        <w:overflowPunct/>
        <w:topLinePunct w:val="0"/>
        <w:bidi w:val="0"/>
        <w:spacing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.合同履行期限：</w:t>
      </w:r>
      <w:r>
        <w:rPr>
          <w:rFonts w:hint="eastAsia" w:ascii="仿宋" w:hAnsi="仿宋" w:eastAsia="仿宋" w:cs="仿宋"/>
          <w:color w:val="auto"/>
          <w:sz w:val="24"/>
          <w:szCs w:val="24"/>
          <w:highlight w:val="none"/>
          <w:lang w:val="en-US" w:eastAsia="zh-CN"/>
        </w:rPr>
        <w:t>自合同签订后45日历日完成全部工作任务，且运维服务期限在项目完成验收之日起1年。</w:t>
      </w:r>
    </w:p>
    <w:p w14:paraId="69F8AEFA">
      <w:pPr>
        <w:pageBreakBefore w:val="0"/>
        <w:kinsoku/>
        <w:wordWrap/>
        <w:overflowPunct/>
        <w:topLinePunct w:val="0"/>
        <w:bidi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.本项目</w:t>
      </w:r>
      <w:r>
        <w:rPr>
          <w:rFonts w:hint="eastAsia" w:ascii="仿宋" w:hAnsi="仿宋" w:eastAsia="仿宋" w:cs="仿宋"/>
          <w:color w:val="auto"/>
          <w:sz w:val="24"/>
          <w:szCs w:val="24"/>
          <w:highlight w:val="none"/>
          <w:lang w:val="en-US" w:eastAsia="zh-CN"/>
        </w:rPr>
        <w:t>不接收</w:t>
      </w:r>
      <w:r>
        <w:rPr>
          <w:rFonts w:hint="eastAsia" w:ascii="仿宋" w:hAnsi="仿宋" w:eastAsia="仿宋" w:cs="仿宋"/>
          <w:color w:val="auto"/>
          <w:sz w:val="24"/>
          <w:szCs w:val="24"/>
          <w:highlight w:val="none"/>
        </w:rPr>
        <w:t>联合体投标。</w:t>
      </w:r>
    </w:p>
    <w:p w14:paraId="5FEECD1F">
      <w:pPr>
        <w:pStyle w:val="2"/>
        <w:pageBreakBefore w:val="0"/>
        <w:kinsoku/>
        <w:wordWrap/>
        <w:overflowPunct/>
        <w:topLinePunct w:val="0"/>
        <w:bidi w:val="0"/>
        <w:spacing w:before="0" w:after="0" w:line="360" w:lineRule="auto"/>
        <w:rPr>
          <w:rFonts w:hint="eastAsia" w:ascii="仿宋" w:hAnsi="仿宋" w:eastAsia="仿宋" w:cs="仿宋"/>
          <w:color w:val="auto"/>
          <w:sz w:val="24"/>
          <w:szCs w:val="24"/>
          <w:highlight w:val="none"/>
        </w:rPr>
      </w:pPr>
      <w:bookmarkStart w:id="6" w:name="_Toc140565212"/>
      <w:bookmarkStart w:id="7" w:name="_Toc140564990"/>
      <w:bookmarkStart w:id="8" w:name="_Toc17182"/>
      <w:bookmarkStart w:id="9" w:name="_Toc25277"/>
      <w:r>
        <w:rPr>
          <w:rFonts w:hint="eastAsia" w:ascii="仿宋" w:hAnsi="仿宋" w:eastAsia="仿宋" w:cs="仿宋"/>
          <w:color w:val="auto"/>
          <w:sz w:val="28"/>
          <w:szCs w:val="28"/>
          <w:highlight w:val="none"/>
        </w:rPr>
        <w:t>二、申请人的资格要求</w:t>
      </w:r>
      <w:bookmarkEnd w:id="6"/>
      <w:bookmarkEnd w:id="7"/>
      <w:bookmarkEnd w:id="8"/>
      <w:bookmarkEnd w:id="9"/>
    </w:p>
    <w:p w14:paraId="77F21757">
      <w:pPr>
        <w:pageBreakBefore w:val="0"/>
        <w:kinsoku/>
        <w:wordWrap/>
        <w:overflowPunct/>
        <w:topLinePunct w:val="0"/>
        <w:bidi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1.满足《中华人民共和国政府采购法》第二十二条规定；</w:t>
      </w:r>
    </w:p>
    <w:p w14:paraId="21E42063">
      <w:pPr>
        <w:pageBreakBefore w:val="0"/>
        <w:kinsoku/>
        <w:wordWrap/>
        <w:overflowPunct/>
        <w:topLinePunct w:val="0"/>
        <w:bidi w:val="0"/>
        <w:spacing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2.落实政府采购政策需满足的资格要求：</w:t>
      </w:r>
      <w:r>
        <w:rPr>
          <w:rFonts w:hint="eastAsia" w:ascii="仿宋" w:hAnsi="仿宋" w:eastAsia="仿宋" w:cs="仿宋"/>
          <w:color w:val="auto"/>
          <w:sz w:val="24"/>
          <w:szCs w:val="24"/>
          <w:highlight w:val="none"/>
          <w:lang w:val="en-US" w:eastAsia="zh-CN"/>
        </w:rPr>
        <w:t>无。</w:t>
      </w:r>
    </w:p>
    <w:p w14:paraId="25A7A377">
      <w:pPr>
        <w:pageBreakBefore w:val="0"/>
        <w:kinsoku/>
        <w:wordWrap/>
        <w:overflowPunct/>
        <w:topLinePunct w:val="0"/>
        <w:bidi w:val="0"/>
        <w:spacing w:line="360" w:lineRule="auto"/>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3.本项目的特定资格要求：</w:t>
      </w:r>
      <w:bookmarkStart w:id="10" w:name="_Toc6101"/>
      <w:r>
        <w:rPr>
          <w:rFonts w:hint="eastAsia" w:ascii="仿宋" w:hAnsi="仿宋" w:eastAsia="仿宋" w:cs="仿宋"/>
          <w:color w:val="auto"/>
          <w:sz w:val="24"/>
          <w:szCs w:val="24"/>
          <w:highlight w:val="none"/>
          <w:lang w:val="en-US" w:eastAsia="zh-CN"/>
        </w:rPr>
        <w:t>无</w:t>
      </w:r>
      <w:r>
        <w:rPr>
          <w:rFonts w:hint="eastAsia" w:ascii="仿宋" w:hAnsi="仿宋" w:eastAsia="仿宋" w:cs="仿宋"/>
          <w:color w:val="auto"/>
          <w:sz w:val="24"/>
          <w:szCs w:val="24"/>
          <w:highlight w:val="none"/>
          <w:lang w:eastAsia="zh-CN"/>
        </w:rPr>
        <w:t>。</w:t>
      </w:r>
    </w:p>
    <w:p w14:paraId="09E5F615">
      <w:pPr>
        <w:pStyle w:val="2"/>
        <w:pageBreakBefore w:val="0"/>
        <w:kinsoku/>
        <w:wordWrap/>
        <w:overflowPunct/>
        <w:topLinePunct w:val="0"/>
        <w:bidi w:val="0"/>
        <w:spacing w:before="0" w:after="0" w:line="360" w:lineRule="auto"/>
        <w:rPr>
          <w:rFonts w:hint="eastAsia" w:ascii="仿宋" w:hAnsi="仿宋" w:eastAsia="仿宋" w:cs="仿宋"/>
          <w:color w:val="auto"/>
          <w:sz w:val="28"/>
          <w:szCs w:val="28"/>
          <w:highlight w:val="none"/>
        </w:rPr>
      </w:pPr>
      <w:bookmarkStart w:id="11" w:name="_Toc23825"/>
      <w:bookmarkStart w:id="12" w:name="_Toc140564991"/>
      <w:bookmarkStart w:id="13" w:name="_Toc140565213"/>
      <w:r>
        <w:rPr>
          <w:rFonts w:hint="eastAsia" w:ascii="仿宋" w:hAnsi="仿宋" w:eastAsia="仿宋" w:cs="仿宋"/>
          <w:color w:val="auto"/>
          <w:sz w:val="28"/>
          <w:szCs w:val="28"/>
          <w:highlight w:val="none"/>
        </w:rPr>
        <w:t>三、获取招标文件</w:t>
      </w:r>
      <w:bookmarkEnd w:id="10"/>
      <w:bookmarkEnd w:id="11"/>
      <w:bookmarkEnd w:id="12"/>
      <w:bookmarkEnd w:id="13"/>
    </w:p>
    <w:p w14:paraId="2807ABBD">
      <w:pPr>
        <w:pageBreakBefore w:val="0"/>
        <w:kinsoku/>
        <w:wordWrap/>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u w:val="none"/>
          <w:lang w:eastAsia="zh-CN"/>
        </w:rPr>
        <w:t>2024</w:t>
      </w:r>
      <w:r>
        <w:rPr>
          <w:rFonts w:hint="eastAsia" w:ascii="仿宋" w:hAnsi="仿宋" w:eastAsia="仿宋" w:cs="仿宋"/>
          <w:color w:val="auto"/>
          <w:sz w:val="24"/>
          <w:szCs w:val="24"/>
          <w:highlight w:val="none"/>
          <w:u w:val="none"/>
        </w:rPr>
        <w:t>年</w:t>
      </w:r>
      <w:r>
        <w:rPr>
          <w:rFonts w:hint="eastAsia" w:ascii="仿宋" w:hAnsi="仿宋" w:eastAsia="仿宋" w:cs="仿宋"/>
          <w:color w:val="auto"/>
          <w:sz w:val="24"/>
          <w:szCs w:val="24"/>
          <w:highlight w:val="none"/>
          <w:u w:val="none"/>
          <w:lang w:val="en-US" w:eastAsia="zh-CN"/>
        </w:rPr>
        <w:t>12</w:t>
      </w:r>
      <w:r>
        <w:rPr>
          <w:rFonts w:hint="eastAsia" w:ascii="仿宋" w:hAnsi="仿宋" w:eastAsia="仿宋" w:cs="仿宋"/>
          <w:color w:val="auto"/>
          <w:sz w:val="24"/>
          <w:szCs w:val="24"/>
          <w:highlight w:val="none"/>
          <w:u w:val="none"/>
        </w:rPr>
        <w:t>月</w:t>
      </w:r>
      <w:r>
        <w:rPr>
          <w:rFonts w:hint="eastAsia" w:ascii="仿宋" w:hAnsi="仿宋" w:eastAsia="仿宋" w:cs="仿宋"/>
          <w:color w:val="auto"/>
          <w:sz w:val="24"/>
          <w:szCs w:val="24"/>
          <w:highlight w:val="none"/>
          <w:u w:val="none"/>
          <w:lang w:val="en-US" w:eastAsia="zh-CN"/>
        </w:rPr>
        <w:t>07</w:t>
      </w:r>
      <w:r>
        <w:rPr>
          <w:rFonts w:hint="eastAsia" w:ascii="仿宋" w:hAnsi="仿宋" w:eastAsia="仿宋" w:cs="仿宋"/>
          <w:color w:val="auto"/>
          <w:sz w:val="24"/>
          <w:szCs w:val="24"/>
          <w:highlight w:val="none"/>
          <w:u w:val="none"/>
        </w:rPr>
        <w:t>日至</w:t>
      </w:r>
      <w:r>
        <w:rPr>
          <w:rFonts w:hint="eastAsia" w:ascii="仿宋" w:hAnsi="仿宋" w:eastAsia="仿宋" w:cs="仿宋"/>
          <w:color w:val="auto"/>
          <w:sz w:val="24"/>
          <w:szCs w:val="24"/>
          <w:highlight w:val="none"/>
          <w:u w:val="none"/>
          <w:lang w:eastAsia="zh-CN"/>
        </w:rPr>
        <w:t>2024</w:t>
      </w:r>
      <w:r>
        <w:rPr>
          <w:rFonts w:hint="eastAsia" w:ascii="仿宋" w:hAnsi="仿宋" w:eastAsia="仿宋" w:cs="仿宋"/>
          <w:color w:val="auto"/>
          <w:sz w:val="24"/>
          <w:szCs w:val="24"/>
          <w:highlight w:val="none"/>
          <w:u w:val="none"/>
        </w:rPr>
        <w:t>年</w:t>
      </w:r>
      <w:r>
        <w:rPr>
          <w:rFonts w:hint="eastAsia" w:ascii="仿宋" w:hAnsi="仿宋" w:eastAsia="仿宋" w:cs="仿宋"/>
          <w:color w:val="auto"/>
          <w:sz w:val="24"/>
          <w:szCs w:val="24"/>
          <w:highlight w:val="none"/>
          <w:u w:val="none"/>
          <w:lang w:val="en-US" w:eastAsia="zh-CN"/>
        </w:rPr>
        <w:t>12</w:t>
      </w:r>
      <w:r>
        <w:rPr>
          <w:rFonts w:hint="eastAsia" w:ascii="仿宋" w:hAnsi="仿宋" w:eastAsia="仿宋" w:cs="仿宋"/>
          <w:color w:val="auto"/>
          <w:sz w:val="24"/>
          <w:szCs w:val="24"/>
          <w:highlight w:val="none"/>
          <w:u w:val="none"/>
        </w:rPr>
        <w:t>月</w:t>
      </w:r>
      <w:r>
        <w:rPr>
          <w:rFonts w:hint="eastAsia" w:ascii="仿宋" w:hAnsi="仿宋" w:eastAsia="仿宋" w:cs="仿宋"/>
          <w:color w:val="auto"/>
          <w:sz w:val="24"/>
          <w:szCs w:val="24"/>
          <w:highlight w:val="none"/>
          <w:u w:val="none"/>
          <w:lang w:val="en-US" w:eastAsia="zh-CN"/>
        </w:rPr>
        <w:t>16</w:t>
      </w:r>
      <w:r>
        <w:rPr>
          <w:rFonts w:hint="eastAsia" w:ascii="仿宋" w:hAnsi="仿宋" w:eastAsia="仿宋" w:cs="仿宋"/>
          <w:color w:val="auto"/>
          <w:sz w:val="24"/>
          <w:szCs w:val="24"/>
          <w:highlight w:val="none"/>
          <w:u w:val="none"/>
        </w:rPr>
        <w:t>日</w:t>
      </w:r>
      <w:r>
        <w:rPr>
          <w:rFonts w:hint="eastAsia" w:ascii="仿宋" w:hAnsi="仿宋" w:eastAsia="仿宋" w:cs="仿宋"/>
          <w:color w:val="auto"/>
          <w:sz w:val="24"/>
          <w:szCs w:val="24"/>
          <w:highlight w:val="none"/>
        </w:rPr>
        <w:t>，每天上午09:00至12:00，下午13:30至17:30（北京时间，法定节假日除外）。</w:t>
      </w:r>
    </w:p>
    <w:p w14:paraId="4F959D0E">
      <w:pPr>
        <w:pageBreakBefore w:val="0"/>
        <w:kinsoku/>
        <w:wordWrap/>
        <w:overflowPunct/>
        <w:topLinePunct w:val="0"/>
        <w:bidi w:val="0"/>
        <w:spacing w:line="360" w:lineRule="auto"/>
        <w:ind w:firstLine="480" w:firstLineChars="200"/>
        <w:rPr>
          <w:rFonts w:hint="eastAsia" w:ascii="仿宋" w:hAnsi="仿宋" w:eastAsia="仿宋" w:cs="仿宋"/>
          <w:color w:val="auto"/>
          <w:szCs w:val="21"/>
          <w:highlight w:val="none"/>
        </w:rPr>
      </w:pPr>
      <w:r>
        <w:rPr>
          <w:rFonts w:hint="eastAsia" w:ascii="仿宋" w:hAnsi="仿宋" w:eastAsia="仿宋" w:cs="仿宋"/>
          <w:color w:val="auto"/>
          <w:sz w:val="24"/>
          <w:szCs w:val="24"/>
          <w:highlight w:val="none"/>
        </w:rPr>
        <w:t>地点：云南中招招标有限公司业务部（昆明市五华区王筇路176号绿地创海大厦21层）</w:t>
      </w:r>
    </w:p>
    <w:p w14:paraId="455AB110">
      <w:pPr>
        <w:pageBreakBefore w:val="0"/>
        <w:kinsoku/>
        <w:wordWrap/>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方式：①携带单位介绍信到云南中招招标有限公司（昆明市五华区王筇路176号绿地创海大厦21楼）获取本项目相关资料；②网上获取：请将单位介绍信扫描为一个PDF文件发送至1576685519@qq.com邮箱办理公开招标文件获取事宜，邮件发送时应注明项目名称、供应商名称、联系人、</w:t>
      </w:r>
      <w:r>
        <w:rPr>
          <w:rFonts w:hint="eastAsia" w:ascii="仿宋" w:hAnsi="仿宋" w:eastAsia="仿宋" w:cs="仿宋"/>
          <w:color w:val="auto"/>
          <w:sz w:val="24"/>
          <w:szCs w:val="24"/>
          <w:highlight w:val="none"/>
          <w:lang w:val="en-US" w:eastAsia="zh-CN"/>
        </w:rPr>
        <w:t>邮寄地址、</w:t>
      </w:r>
      <w:r>
        <w:rPr>
          <w:rFonts w:hint="eastAsia" w:ascii="仿宋" w:hAnsi="仿宋" w:eastAsia="仿宋" w:cs="仿宋"/>
          <w:color w:val="auto"/>
          <w:sz w:val="24"/>
          <w:szCs w:val="24"/>
          <w:highlight w:val="none"/>
        </w:rPr>
        <w:t>联系电话、邮箱、开票信息（备注：专票或普票）。</w:t>
      </w:r>
    </w:p>
    <w:p w14:paraId="01B98591">
      <w:pPr>
        <w:pageBreakBefore w:val="0"/>
        <w:kinsoku/>
        <w:wordWrap/>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售价：纸质文件售价</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00元，售后不退。（形式：现金或公对公转账，不支持微信和刷卡，售后不退，免费提供电子采购文件。）</w:t>
      </w:r>
    </w:p>
    <w:p w14:paraId="7D9A5460">
      <w:pPr>
        <w:pageBreakBefore w:val="0"/>
        <w:kinsoku/>
        <w:wordWrap/>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开户名称：云南中招招标有限公司</w:t>
      </w:r>
    </w:p>
    <w:p w14:paraId="78056180">
      <w:pPr>
        <w:pageBreakBefore w:val="0"/>
        <w:kinsoku/>
        <w:wordWrap/>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 户 行：招商银行股份有限公司昆明科创园支行</w:t>
      </w:r>
    </w:p>
    <w:p w14:paraId="37F34C48">
      <w:pPr>
        <w:pageBreakBefore w:val="0"/>
        <w:kinsoku/>
        <w:wordWrap/>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开户账号：8719 0804 3810 101</w:t>
      </w:r>
    </w:p>
    <w:p w14:paraId="0125CFF9">
      <w:pPr>
        <w:pageBreakBefore w:val="0"/>
        <w:kinsoku/>
        <w:wordWrap/>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财务电话：0871-68308282/68308030/68308050-626/625</w:t>
      </w:r>
    </w:p>
    <w:p w14:paraId="69430631">
      <w:pPr>
        <w:pStyle w:val="2"/>
        <w:pageBreakBefore w:val="0"/>
        <w:kinsoku/>
        <w:wordWrap/>
        <w:overflowPunct/>
        <w:topLinePunct w:val="0"/>
        <w:bidi w:val="0"/>
        <w:spacing w:before="0" w:after="0" w:line="360" w:lineRule="auto"/>
        <w:rPr>
          <w:rFonts w:hint="eastAsia" w:ascii="仿宋" w:hAnsi="仿宋" w:eastAsia="仿宋" w:cs="仿宋"/>
          <w:color w:val="auto"/>
          <w:sz w:val="28"/>
          <w:szCs w:val="28"/>
          <w:highlight w:val="none"/>
        </w:rPr>
      </w:pPr>
      <w:bookmarkStart w:id="14" w:name="_Toc140564992"/>
      <w:bookmarkStart w:id="15" w:name="_Toc8846"/>
      <w:bookmarkStart w:id="16" w:name="_Toc140565214"/>
      <w:bookmarkStart w:id="17" w:name="_Toc32147"/>
      <w:r>
        <w:rPr>
          <w:rFonts w:hint="eastAsia" w:ascii="仿宋" w:hAnsi="仿宋" w:eastAsia="仿宋" w:cs="仿宋"/>
          <w:color w:val="auto"/>
          <w:sz w:val="28"/>
          <w:szCs w:val="28"/>
          <w:highlight w:val="none"/>
        </w:rPr>
        <w:t>四、提交投标文件截止时间、开标时间和地点</w:t>
      </w:r>
      <w:bookmarkEnd w:id="14"/>
      <w:bookmarkEnd w:id="15"/>
      <w:bookmarkEnd w:id="16"/>
      <w:bookmarkEnd w:id="17"/>
    </w:p>
    <w:p w14:paraId="02DDD63E">
      <w:pPr>
        <w:pageBreakBefore w:val="0"/>
        <w:kinsoku/>
        <w:wordWrap/>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u w:val="none"/>
        </w:rPr>
        <w:t>：</w:t>
      </w:r>
      <w:r>
        <w:rPr>
          <w:rFonts w:hint="eastAsia" w:ascii="仿宋" w:hAnsi="仿宋" w:eastAsia="仿宋" w:cs="仿宋"/>
          <w:color w:val="auto"/>
          <w:sz w:val="24"/>
          <w:szCs w:val="24"/>
          <w:highlight w:val="none"/>
          <w:u w:val="none"/>
          <w:lang w:eastAsia="zh-CN"/>
        </w:rPr>
        <w:t>2024</w:t>
      </w:r>
      <w:r>
        <w:rPr>
          <w:rFonts w:hint="eastAsia" w:ascii="仿宋" w:hAnsi="仿宋" w:eastAsia="仿宋" w:cs="仿宋"/>
          <w:bCs/>
          <w:color w:val="auto"/>
          <w:sz w:val="24"/>
          <w:szCs w:val="24"/>
          <w:highlight w:val="none"/>
          <w:u w:val="none"/>
        </w:rPr>
        <w:t>年</w:t>
      </w:r>
      <w:r>
        <w:rPr>
          <w:rFonts w:hint="eastAsia" w:ascii="仿宋" w:hAnsi="仿宋" w:eastAsia="仿宋" w:cs="仿宋"/>
          <w:bCs/>
          <w:color w:val="auto"/>
          <w:sz w:val="24"/>
          <w:szCs w:val="24"/>
          <w:highlight w:val="none"/>
          <w:u w:val="none"/>
          <w:lang w:val="en-US" w:eastAsia="zh-CN"/>
        </w:rPr>
        <w:t>12</w:t>
      </w:r>
      <w:r>
        <w:rPr>
          <w:rFonts w:hint="eastAsia" w:ascii="仿宋" w:hAnsi="仿宋" w:eastAsia="仿宋" w:cs="仿宋"/>
          <w:bCs/>
          <w:color w:val="auto"/>
          <w:sz w:val="24"/>
          <w:szCs w:val="24"/>
          <w:highlight w:val="none"/>
          <w:u w:val="none"/>
        </w:rPr>
        <w:t>月</w:t>
      </w:r>
      <w:r>
        <w:rPr>
          <w:rFonts w:hint="eastAsia" w:ascii="仿宋" w:hAnsi="仿宋" w:eastAsia="仿宋" w:cs="仿宋"/>
          <w:bCs/>
          <w:color w:val="auto"/>
          <w:sz w:val="24"/>
          <w:szCs w:val="24"/>
          <w:highlight w:val="none"/>
          <w:u w:val="none"/>
          <w:lang w:val="en-US" w:eastAsia="zh-CN"/>
        </w:rPr>
        <w:t>27</w:t>
      </w:r>
      <w:r>
        <w:rPr>
          <w:rFonts w:hint="eastAsia" w:ascii="仿宋" w:hAnsi="仿宋" w:eastAsia="仿宋" w:cs="仿宋"/>
          <w:bCs/>
          <w:color w:val="auto"/>
          <w:sz w:val="24"/>
          <w:szCs w:val="24"/>
          <w:highlight w:val="none"/>
          <w:u w:val="none"/>
        </w:rPr>
        <w:t>日09时30分</w:t>
      </w:r>
      <w:r>
        <w:rPr>
          <w:rFonts w:hint="eastAsia" w:ascii="仿宋" w:hAnsi="仿宋" w:eastAsia="仿宋" w:cs="仿宋"/>
          <w:color w:val="auto"/>
          <w:sz w:val="24"/>
          <w:szCs w:val="24"/>
          <w:highlight w:val="none"/>
        </w:rPr>
        <w:t>（北京时间）</w:t>
      </w:r>
    </w:p>
    <w:p w14:paraId="50B919C1">
      <w:pPr>
        <w:pageBreakBefore w:val="0"/>
        <w:kinsoku/>
        <w:wordWrap/>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地点：昆明市五华区王筇路176号绿地创海大厦21层会议室。</w:t>
      </w:r>
    </w:p>
    <w:p w14:paraId="5CE5DDB8">
      <w:pPr>
        <w:pStyle w:val="2"/>
        <w:pageBreakBefore w:val="0"/>
        <w:kinsoku/>
        <w:wordWrap/>
        <w:overflowPunct/>
        <w:topLinePunct w:val="0"/>
        <w:bidi w:val="0"/>
        <w:spacing w:before="0" w:after="0" w:line="360" w:lineRule="auto"/>
        <w:rPr>
          <w:rFonts w:hint="eastAsia" w:ascii="仿宋" w:hAnsi="仿宋" w:eastAsia="仿宋" w:cs="仿宋"/>
          <w:color w:val="auto"/>
          <w:sz w:val="28"/>
          <w:szCs w:val="28"/>
          <w:highlight w:val="none"/>
        </w:rPr>
      </w:pPr>
      <w:bookmarkStart w:id="18" w:name="_Toc140564993"/>
      <w:bookmarkStart w:id="19" w:name="_Toc5931"/>
      <w:bookmarkStart w:id="20" w:name="_Toc466"/>
      <w:bookmarkStart w:id="21" w:name="_Toc140565215"/>
      <w:r>
        <w:rPr>
          <w:rFonts w:hint="eastAsia" w:ascii="仿宋" w:hAnsi="仿宋" w:eastAsia="仿宋" w:cs="仿宋"/>
          <w:color w:val="auto"/>
          <w:sz w:val="28"/>
          <w:szCs w:val="28"/>
          <w:highlight w:val="none"/>
        </w:rPr>
        <w:t>五、公告期限</w:t>
      </w:r>
      <w:bookmarkEnd w:id="18"/>
      <w:bookmarkEnd w:id="19"/>
      <w:bookmarkEnd w:id="20"/>
      <w:bookmarkEnd w:id="21"/>
    </w:p>
    <w:p w14:paraId="3CC0C8B9">
      <w:pPr>
        <w:pageBreakBefore w:val="0"/>
        <w:kinsoku/>
        <w:wordWrap/>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自本公告发布之日起5个工作日。</w:t>
      </w:r>
    </w:p>
    <w:p w14:paraId="74841E88">
      <w:pPr>
        <w:pStyle w:val="2"/>
        <w:pageBreakBefore w:val="0"/>
        <w:kinsoku/>
        <w:wordWrap/>
        <w:overflowPunct/>
        <w:topLinePunct w:val="0"/>
        <w:bidi w:val="0"/>
        <w:spacing w:before="0" w:after="0" w:line="360" w:lineRule="auto"/>
        <w:rPr>
          <w:rFonts w:hint="eastAsia" w:ascii="仿宋" w:hAnsi="仿宋" w:eastAsia="仿宋" w:cs="仿宋"/>
          <w:color w:val="auto"/>
          <w:sz w:val="28"/>
          <w:szCs w:val="28"/>
          <w:highlight w:val="none"/>
        </w:rPr>
      </w:pPr>
      <w:bookmarkStart w:id="22" w:name="_Toc140565216"/>
      <w:bookmarkStart w:id="23" w:name="_Toc18045"/>
      <w:bookmarkStart w:id="24" w:name="_Toc11628"/>
      <w:bookmarkStart w:id="25" w:name="_Toc140564994"/>
      <w:r>
        <w:rPr>
          <w:rFonts w:hint="eastAsia" w:ascii="仿宋" w:hAnsi="仿宋" w:eastAsia="仿宋" w:cs="仿宋"/>
          <w:color w:val="auto"/>
          <w:sz w:val="28"/>
          <w:szCs w:val="28"/>
          <w:highlight w:val="none"/>
        </w:rPr>
        <w:t>六、其他补充事宜</w:t>
      </w:r>
      <w:bookmarkEnd w:id="22"/>
      <w:bookmarkEnd w:id="23"/>
      <w:bookmarkEnd w:id="24"/>
      <w:bookmarkEnd w:id="25"/>
    </w:p>
    <w:p w14:paraId="4AC2EAD9">
      <w:pPr>
        <w:pageBreakBefore w:val="0"/>
        <w:tabs>
          <w:tab w:val="left" w:pos="840"/>
        </w:tabs>
        <w:kinsoku/>
        <w:wordWrap/>
        <w:overflowPunct/>
        <w:topLinePunct w:val="0"/>
        <w:bidi w:val="0"/>
        <w:spacing w:line="360" w:lineRule="auto"/>
        <w:ind w:firstLine="520" w:firstLineChars="200"/>
        <w:rPr>
          <w:rFonts w:hint="eastAsia" w:ascii="仿宋" w:hAnsi="仿宋" w:eastAsia="仿宋" w:cs="仿宋"/>
          <w:color w:val="auto"/>
          <w:spacing w:val="10"/>
          <w:sz w:val="24"/>
          <w:szCs w:val="24"/>
          <w:highlight w:val="none"/>
        </w:rPr>
      </w:pPr>
      <w:r>
        <w:rPr>
          <w:rFonts w:hint="eastAsia" w:ascii="仿宋" w:hAnsi="仿宋" w:eastAsia="仿宋" w:cs="仿宋"/>
          <w:color w:val="auto"/>
          <w:spacing w:val="10"/>
          <w:sz w:val="24"/>
          <w:szCs w:val="24"/>
          <w:highlight w:val="none"/>
          <w:lang w:val="en-US" w:eastAsia="zh-CN"/>
        </w:rPr>
        <w:t>1</w:t>
      </w:r>
      <w:r>
        <w:rPr>
          <w:rFonts w:hint="eastAsia" w:ascii="仿宋" w:hAnsi="仿宋" w:eastAsia="仿宋" w:cs="仿宋"/>
          <w:color w:val="auto"/>
          <w:spacing w:val="10"/>
          <w:sz w:val="24"/>
          <w:szCs w:val="24"/>
          <w:highlight w:val="none"/>
        </w:rPr>
        <w:t>.发布公告的媒介：本次招标公告同时在《中国政府采购网》、《云南中招招标有限公司》网站上发布，采购代理机构对其它网站或媒体转载的公告及公告内容不承担任何责任。</w:t>
      </w:r>
    </w:p>
    <w:p w14:paraId="42135435">
      <w:pPr>
        <w:pageBreakBefore w:val="0"/>
        <w:tabs>
          <w:tab w:val="left" w:pos="840"/>
        </w:tabs>
        <w:kinsoku/>
        <w:wordWrap/>
        <w:overflowPunct/>
        <w:topLinePunct w:val="0"/>
        <w:bidi w:val="0"/>
        <w:spacing w:line="360" w:lineRule="auto"/>
        <w:ind w:firstLine="520" w:firstLineChars="200"/>
        <w:rPr>
          <w:rFonts w:hint="eastAsia" w:ascii="仿宋" w:hAnsi="仿宋" w:eastAsia="仿宋" w:cs="仿宋"/>
          <w:color w:val="auto"/>
          <w:spacing w:val="10"/>
          <w:sz w:val="24"/>
          <w:szCs w:val="24"/>
          <w:highlight w:val="none"/>
        </w:rPr>
      </w:pPr>
      <w:r>
        <w:rPr>
          <w:rFonts w:hint="eastAsia" w:ascii="仿宋" w:hAnsi="仿宋" w:eastAsia="仿宋" w:cs="仿宋"/>
          <w:color w:val="auto"/>
          <w:spacing w:val="10"/>
          <w:sz w:val="24"/>
          <w:szCs w:val="24"/>
          <w:highlight w:val="none"/>
          <w:lang w:val="en-US" w:eastAsia="zh-CN"/>
        </w:rPr>
        <w:t>2</w:t>
      </w:r>
      <w:r>
        <w:rPr>
          <w:rFonts w:hint="eastAsia" w:ascii="仿宋" w:hAnsi="仿宋" w:eastAsia="仿宋" w:cs="仿宋"/>
          <w:color w:val="auto"/>
          <w:spacing w:val="10"/>
          <w:sz w:val="24"/>
          <w:szCs w:val="24"/>
          <w:highlight w:val="none"/>
        </w:rPr>
        <w:t>.供应商在投标前务必认真阅读本招标文件全部内容，招标文件如有变更、补充等，将主要以书面形式发布。</w:t>
      </w:r>
    </w:p>
    <w:p w14:paraId="08F2DCED">
      <w:pPr>
        <w:pageBreakBefore w:val="0"/>
        <w:tabs>
          <w:tab w:val="left" w:pos="840"/>
        </w:tabs>
        <w:kinsoku/>
        <w:wordWrap/>
        <w:overflowPunct/>
        <w:topLinePunct w:val="0"/>
        <w:bidi w:val="0"/>
        <w:spacing w:line="360" w:lineRule="auto"/>
        <w:ind w:firstLine="520" w:firstLineChars="200"/>
        <w:rPr>
          <w:rFonts w:hint="eastAsia" w:ascii="仿宋" w:hAnsi="仿宋" w:eastAsia="仿宋" w:cs="仿宋"/>
          <w:color w:val="auto"/>
          <w:spacing w:val="10"/>
          <w:sz w:val="24"/>
          <w:szCs w:val="24"/>
          <w:highlight w:val="none"/>
        </w:rPr>
      </w:pPr>
      <w:r>
        <w:rPr>
          <w:rFonts w:hint="eastAsia" w:ascii="仿宋" w:hAnsi="仿宋" w:eastAsia="仿宋" w:cs="仿宋"/>
          <w:color w:val="auto"/>
          <w:spacing w:val="10"/>
          <w:sz w:val="24"/>
          <w:szCs w:val="24"/>
          <w:highlight w:val="none"/>
          <w:lang w:val="en-US" w:eastAsia="zh-CN"/>
        </w:rPr>
        <w:t>3</w:t>
      </w:r>
      <w:r>
        <w:rPr>
          <w:rFonts w:hint="eastAsia" w:ascii="仿宋" w:hAnsi="仿宋" w:eastAsia="仿宋" w:cs="仿宋"/>
          <w:color w:val="auto"/>
          <w:spacing w:val="10"/>
          <w:sz w:val="24"/>
          <w:szCs w:val="24"/>
          <w:highlight w:val="none"/>
        </w:rPr>
        <w:t>.其他未尽事宜，详见本项目招标文件。</w:t>
      </w:r>
    </w:p>
    <w:p w14:paraId="29AF1BDF">
      <w:pPr>
        <w:pStyle w:val="2"/>
        <w:pageBreakBefore w:val="0"/>
        <w:kinsoku/>
        <w:wordWrap/>
        <w:overflowPunct/>
        <w:topLinePunct w:val="0"/>
        <w:bidi w:val="0"/>
        <w:spacing w:before="0" w:after="0" w:line="360" w:lineRule="auto"/>
        <w:rPr>
          <w:rFonts w:hint="eastAsia" w:ascii="仿宋" w:hAnsi="仿宋" w:eastAsia="仿宋" w:cs="仿宋"/>
          <w:color w:val="auto"/>
          <w:sz w:val="28"/>
          <w:szCs w:val="28"/>
          <w:highlight w:val="none"/>
        </w:rPr>
      </w:pPr>
      <w:bookmarkStart w:id="26" w:name="_Toc140565217"/>
      <w:bookmarkStart w:id="27" w:name="_Toc15336"/>
      <w:bookmarkStart w:id="28" w:name="_Toc14173"/>
      <w:bookmarkStart w:id="29" w:name="_Toc140564995"/>
      <w:bookmarkStart w:id="30" w:name="_Hlk20137286"/>
      <w:r>
        <w:rPr>
          <w:rFonts w:hint="eastAsia" w:ascii="仿宋" w:hAnsi="仿宋" w:eastAsia="仿宋" w:cs="仿宋"/>
          <w:color w:val="auto"/>
          <w:sz w:val="28"/>
          <w:szCs w:val="28"/>
          <w:highlight w:val="none"/>
        </w:rPr>
        <w:t>七、对本次招标提出询问，请按以下方式联系</w:t>
      </w:r>
      <w:bookmarkEnd w:id="26"/>
      <w:bookmarkEnd w:id="27"/>
      <w:bookmarkEnd w:id="28"/>
      <w:bookmarkEnd w:id="29"/>
    </w:p>
    <w:p w14:paraId="60C77520">
      <w:pPr>
        <w:pageBreakBefore w:val="0"/>
        <w:kinsoku/>
        <w:wordWrap/>
        <w:overflowPunct/>
        <w:topLinePunct w:val="0"/>
        <w:bidi w:val="0"/>
        <w:spacing w:line="360" w:lineRule="auto"/>
        <w:ind w:firstLine="260" w:firstLineChars="100"/>
        <w:rPr>
          <w:rFonts w:hint="eastAsia" w:ascii="仿宋" w:hAnsi="仿宋" w:eastAsia="仿宋" w:cs="仿宋"/>
          <w:bCs/>
          <w:color w:val="auto"/>
          <w:spacing w:val="10"/>
          <w:sz w:val="24"/>
          <w:szCs w:val="20"/>
          <w:highlight w:val="none"/>
        </w:rPr>
      </w:pPr>
      <w:r>
        <w:rPr>
          <w:rFonts w:hint="eastAsia" w:ascii="仿宋" w:hAnsi="仿宋" w:eastAsia="仿宋" w:cs="仿宋"/>
          <w:bCs/>
          <w:color w:val="auto"/>
          <w:spacing w:val="10"/>
          <w:sz w:val="24"/>
          <w:szCs w:val="20"/>
          <w:highlight w:val="none"/>
        </w:rPr>
        <w:t>1.采购人信息</w:t>
      </w:r>
    </w:p>
    <w:p w14:paraId="1B91CA70">
      <w:pPr>
        <w:pageBreakBefore w:val="0"/>
        <w:kinsoku/>
        <w:wordWrap/>
        <w:overflowPunct/>
        <w:topLinePunct w:val="0"/>
        <w:bidi w:val="0"/>
        <w:spacing w:line="360" w:lineRule="auto"/>
        <w:ind w:firstLine="509" w:firstLineChars="196"/>
        <w:rPr>
          <w:rFonts w:hint="eastAsia" w:ascii="仿宋" w:hAnsi="仿宋" w:eastAsia="仿宋" w:cs="仿宋"/>
          <w:bCs/>
          <w:color w:val="auto"/>
          <w:spacing w:val="10"/>
          <w:sz w:val="24"/>
          <w:szCs w:val="20"/>
          <w:highlight w:val="none"/>
          <w:lang w:eastAsia="zh-CN"/>
        </w:rPr>
      </w:pPr>
      <w:r>
        <w:rPr>
          <w:rFonts w:hint="eastAsia" w:ascii="仿宋" w:hAnsi="仿宋" w:eastAsia="仿宋" w:cs="仿宋"/>
          <w:bCs/>
          <w:color w:val="auto"/>
          <w:spacing w:val="10"/>
          <w:sz w:val="24"/>
          <w:szCs w:val="20"/>
          <w:highlight w:val="none"/>
        </w:rPr>
        <w:t>采 购 人：</w:t>
      </w:r>
      <w:r>
        <w:rPr>
          <w:rFonts w:hint="eastAsia" w:ascii="仿宋" w:hAnsi="仿宋" w:eastAsia="仿宋" w:cs="仿宋"/>
          <w:bCs/>
          <w:color w:val="auto"/>
          <w:spacing w:val="10"/>
          <w:sz w:val="24"/>
          <w:szCs w:val="20"/>
          <w:highlight w:val="none"/>
          <w:lang w:eastAsia="zh-CN"/>
        </w:rPr>
        <w:t>昆明铁路公安局</w:t>
      </w:r>
    </w:p>
    <w:p w14:paraId="36477A2F">
      <w:pPr>
        <w:pageBreakBefore w:val="0"/>
        <w:kinsoku/>
        <w:wordWrap/>
        <w:overflowPunct/>
        <w:topLinePunct w:val="0"/>
        <w:bidi w:val="0"/>
        <w:spacing w:line="360" w:lineRule="auto"/>
        <w:ind w:firstLine="509" w:firstLineChars="196"/>
        <w:rPr>
          <w:rFonts w:hint="eastAsia" w:ascii="仿宋" w:hAnsi="仿宋" w:eastAsia="仿宋" w:cs="仿宋"/>
          <w:bCs/>
          <w:color w:val="auto"/>
          <w:spacing w:val="10"/>
          <w:sz w:val="24"/>
          <w:szCs w:val="20"/>
          <w:highlight w:val="none"/>
          <w:lang w:eastAsia="zh-CN"/>
        </w:rPr>
      </w:pPr>
      <w:r>
        <w:rPr>
          <w:rFonts w:hint="eastAsia" w:ascii="仿宋" w:hAnsi="仿宋" w:eastAsia="仿宋" w:cs="仿宋"/>
          <w:bCs/>
          <w:color w:val="auto"/>
          <w:spacing w:val="10"/>
          <w:sz w:val="24"/>
          <w:szCs w:val="20"/>
          <w:highlight w:val="none"/>
        </w:rPr>
        <w:t>地    址：</w:t>
      </w:r>
      <w:r>
        <w:rPr>
          <w:rFonts w:hint="eastAsia" w:ascii="仿宋" w:hAnsi="仿宋" w:eastAsia="仿宋" w:cs="仿宋"/>
          <w:bCs/>
          <w:color w:val="auto"/>
          <w:spacing w:val="10"/>
          <w:sz w:val="24"/>
          <w:szCs w:val="20"/>
          <w:highlight w:val="none"/>
          <w:lang w:eastAsia="zh-CN"/>
        </w:rPr>
        <w:t>云南省昆明市官渡区永安路41号</w:t>
      </w:r>
    </w:p>
    <w:p w14:paraId="254D892C">
      <w:pPr>
        <w:pageBreakBefore w:val="0"/>
        <w:kinsoku/>
        <w:wordWrap/>
        <w:overflowPunct/>
        <w:topLinePunct w:val="0"/>
        <w:bidi w:val="0"/>
        <w:spacing w:line="360" w:lineRule="auto"/>
        <w:ind w:firstLine="509" w:firstLineChars="196"/>
        <w:rPr>
          <w:rFonts w:hint="eastAsia" w:ascii="仿宋" w:hAnsi="仿宋" w:eastAsia="仿宋" w:cs="仿宋"/>
          <w:bCs/>
          <w:color w:val="auto"/>
          <w:spacing w:val="10"/>
          <w:sz w:val="24"/>
          <w:szCs w:val="20"/>
          <w:highlight w:val="none"/>
          <w:lang w:eastAsia="zh-CN"/>
        </w:rPr>
      </w:pPr>
      <w:r>
        <w:rPr>
          <w:rFonts w:hint="eastAsia" w:ascii="仿宋" w:hAnsi="仿宋" w:eastAsia="仿宋" w:cs="仿宋"/>
          <w:bCs/>
          <w:color w:val="auto"/>
          <w:spacing w:val="10"/>
          <w:sz w:val="24"/>
          <w:szCs w:val="20"/>
          <w:highlight w:val="none"/>
        </w:rPr>
        <w:t>联系电话：</w:t>
      </w:r>
      <w:r>
        <w:rPr>
          <w:rFonts w:hint="eastAsia" w:ascii="仿宋" w:hAnsi="仿宋" w:eastAsia="仿宋" w:cs="仿宋"/>
          <w:bCs/>
          <w:color w:val="auto"/>
          <w:spacing w:val="10"/>
          <w:sz w:val="24"/>
          <w:szCs w:val="20"/>
          <w:highlight w:val="none"/>
          <w:lang w:eastAsia="zh-CN"/>
        </w:rPr>
        <w:t>0871-66159458</w:t>
      </w:r>
    </w:p>
    <w:p w14:paraId="37584980">
      <w:pPr>
        <w:pageBreakBefore w:val="0"/>
        <w:kinsoku/>
        <w:wordWrap/>
        <w:overflowPunct/>
        <w:topLinePunct w:val="0"/>
        <w:bidi w:val="0"/>
        <w:spacing w:line="360" w:lineRule="auto"/>
        <w:ind w:firstLine="470" w:firstLineChars="196"/>
        <w:rPr>
          <w:rFonts w:hint="eastAsia" w:ascii="仿宋" w:hAnsi="仿宋" w:eastAsia="仿宋" w:cs="仿宋"/>
          <w:color w:val="auto"/>
          <w:sz w:val="24"/>
          <w:szCs w:val="24"/>
          <w:highlight w:val="none"/>
        </w:rPr>
      </w:pPr>
    </w:p>
    <w:bookmarkEnd w:id="30"/>
    <w:p w14:paraId="4522498F">
      <w:pPr>
        <w:pageBreakBefore w:val="0"/>
        <w:kinsoku/>
        <w:wordWrap/>
        <w:overflowPunct/>
        <w:topLinePunct w:val="0"/>
        <w:bidi w:val="0"/>
        <w:spacing w:line="360" w:lineRule="auto"/>
        <w:ind w:firstLine="240" w:firstLineChars="1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2.采购代理机构信息</w:t>
      </w:r>
    </w:p>
    <w:p w14:paraId="3F77FF2E">
      <w:pPr>
        <w:pageBreakBefore w:val="0"/>
        <w:kinsoku/>
        <w:wordWrap/>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称：云南中招招标有限公司 </w:t>
      </w:r>
    </w:p>
    <w:p w14:paraId="1EDB28B1">
      <w:pPr>
        <w:pageBreakBefore w:val="0"/>
        <w:kinsoku/>
        <w:wordWrap/>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址：昆明市五华区王筇路176号绿地创海大厦21层</w:t>
      </w:r>
    </w:p>
    <w:p w14:paraId="71965A3B">
      <w:pPr>
        <w:pageBreakBefore w:val="0"/>
        <w:kinsoku/>
        <w:wordWrap/>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联系方式：0871-68308282、68308030-633</w:t>
      </w:r>
    </w:p>
    <w:p w14:paraId="55BAABAF">
      <w:pPr>
        <w:pageBreakBefore w:val="0"/>
        <w:kinsoku/>
        <w:wordWrap/>
        <w:overflowPunct/>
        <w:topLinePunct w:val="0"/>
        <w:bidi w:val="0"/>
        <w:spacing w:line="360" w:lineRule="auto"/>
        <w:ind w:firstLine="260" w:firstLineChars="100"/>
        <w:rPr>
          <w:rFonts w:hint="eastAsia" w:ascii="仿宋" w:hAnsi="仿宋" w:eastAsia="仿宋" w:cs="仿宋"/>
          <w:bCs/>
          <w:color w:val="auto"/>
          <w:spacing w:val="10"/>
          <w:sz w:val="24"/>
          <w:szCs w:val="20"/>
          <w:highlight w:val="none"/>
        </w:rPr>
      </w:pPr>
    </w:p>
    <w:p w14:paraId="0CBA9A01">
      <w:pPr>
        <w:pageBreakBefore w:val="0"/>
        <w:kinsoku/>
        <w:wordWrap/>
        <w:overflowPunct/>
        <w:topLinePunct w:val="0"/>
        <w:bidi w:val="0"/>
        <w:spacing w:line="360" w:lineRule="auto"/>
        <w:ind w:firstLine="260" w:firstLineChars="100"/>
        <w:rPr>
          <w:rFonts w:hint="eastAsia" w:ascii="仿宋" w:hAnsi="仿宋" w:eastAsia="仿宋" w:cs="仿宋"/>
          <w:bCs/>
          <w:color w:val="auto"/>
          <w:spacing w:val="10"/>
          <w:sz w:val="24"/>
          <w:szCs w:val="20"/>
          <w:highlight w:val="none"/>
        </w:rPr>
      </w:pPr>
      <w:r>
        <w:rPr>
          <w:rFonts w:hint="eastAsia" w:ascii="仿宋" w:hAnsi="仿宋" w:eastAsia="仿宋" w:cs="仿宋"/>
          <w:bCs/>
          <w:color w:val="auto"/>
          <w:spacing w:val="10"/>
          <w:sz w:val="24"/>
          <w:szCs w:val="20"/>
          <w:highlight w:val="none"/>
        </w:rPr>
        <w:t>3.项目联系方式</w:t>
      </w:r>
    </w:p>
    <w:p w14:paraId="4B132187">
      <w:pPr>
        <w:pageBreakBefore w:val="0"/>
        <w:kinsoku/>
        <w:wordWrap/>
        <w:overflowPunct/>
        <w:topLinePunct w:val="0"/>
        <w:bidi w:val="0"/>
        <w:spacing w:line="360" w:lineRule="auto"/>
        <w:ind w:firstLine="509" w:firstLineChars="196"/>
        <w:rPr>
          <w:rFonts w:hint="eastAsia" w:ascii="仿宋" w:hAnsi="仿宋" w:eastAsia="仿宋" w:cs="仿宋"/>
          <w:bCs/>
          <w:color w:val="auto"/>
          <w:spacing w:val="10"/>
          <w:sz w:val="24"/>
          <w:szCs w:val="20"/>
          <w:highlight w:val="none"/>
        </w:rPr>
      </w:pPr>
      <w:r>
        <w:rPr>
          <w:rFonts w:hint="eastAsia" w:ascii="仿宋" w:hAnsi="仿宋" w:eastAsia="仿宋" w:cs="仿宋"/>
          <w:bCs/>
          <w:color w:val="auto"/>
          <w:spacing w:val="10"/>
          <w:sz w:val="24"/>
          <w:szCs w:val="20"/>
          <w:highlight w:val="none"/>
        </w:rPr>
        <w:t>项目联系人：</w:t>
      </w:r>
      <w:r>
        <w:rPr>
          <w:rFonts w:hint="eastAsia" w:ascii="仿宋" w:hAnsi="仿宋" w:eastAsia="仿宋" w:cs="仿宋"/>
          <w:bCs/>
          <w:color w:val="auto"/>
          <w:spacing w:val="10"/>
          <w:sz w:val="24"/>
          <w:szCs w:val="20"/>
          <w:highlight w:val="none"/>
          <w:lang w:val="en-US" w:eastAsia="zh-CN"/>
        </w:rPr>
        <w:t>周金辉、温岚馨、张俊、张广闻、李庆梅、侯树西、果磊、张雪丽</w:t>
      </w:r>
    </w:p>
    <w:p w14:paraId="7B949FD8">
      <w:pPr>
        <w:pageBreakBefore w:val="0"/>
        <w:kinsoku/>
        <w:wordWrap/>
        <w:overflowPunct/>
        <w:topLinePunct w:val="0"/>
        <w:bidi w:val="0"/>
        <w:spacing w:line="360" w:lineRule="auto"/>
        <w:ind w:firstLine="537" w:firstLineChars="196"/>
        <w:rPr>
          <w:rFonts w:hint="eastAsia" w:ascii="仿宋" w:hAnsi="仿宋" w:eastAsia="仿宋" w:cs="仿宋"/>
          <w:bCs/>
          <w:color w:val="auto"/>
          <w:spacing w:val="10"/>
          <w:sz w:val="24"/>
          <w:szCs w:val="20"/>
          <w:highlight w:val="none"/>
        </w:rPr>
      </w:pPr>
      <w:r>
        <w:rPr>
          <w:rFonts w:hint="eastAsia" w:ascii="仿宋" w:hAnsi="仿宋" w:eastAsia="仿宋" w:cs="仿宋"/>
          <w:bCs/>
          <w:color w:val="auto"/>
          <w:spacing w:val="17"/>
          <w:sz w:val="24"/>
          <w:szCs w:val="20"/>
          <w:highlight w:val="none"/>
        </w:rPr>
        <w:t>联</w:t>
      </w:r>
      <w:r>
        <w:rPr>
          <w:rFonts w:hint="eastAsia" w:ascii="仿宋" w:hAnsi="仿宋" w:eastAsia="仿宋" w:cs="仿宋"/>
          <w:bCs/>
          <w:color w:val="auto"/>
          <w:spacing w:val="34"/>
          <w:sz w:val="24"/>
          <w:szCs w:val="20"/>
          <w:highlight w:val="none"/>
        </w:rPr>
        <w:t>系电话</w:t>
      </w:r>
      <w:r>
        <w:rPr>
          <w:rFonts w:hint="eastAsia" w:ascii="仿宋" w:hAnsi="仿宋" w:eastAsia="仿宋" w:cs="仿宋"/>
          <w:bCs/>
          <w:color w:val="auto"/>
          <w:spacing w:val="10"/>
          <w:sz w:val="24"/>
          <w:szCs w:val="20"/>
          <w:highlight w:val="none"/>
        </w:rPr>
        <w:t>：0871-68308282、68308030-633</w:t>
      </w:r>
    </w:p>
    <w:p w14:paraId="548C2E19">
      <w:bookmarkStart w:id="31" w:name="_GoBack"/>
      <w:bookmarkEnd w:id="3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08EBE3"/>
    <w:multiLevelType w:val="singleLevel"/>
    <w:tmpl w:val="C408EBE3"/>
    <w:lvl w:ilvl="0" w:tentative="0">
      <w:start w:val="1"/>
      <w:numFmt w:val="decimal"/>
      <w:lvlText w:val="%1."/>
      <w:lvlJc w:val="left"/>
      <w:pPr>
        <w:tabs>
          <w:tab w:val="left" w:pos="312"/>
        </w:tabs>
      </w:pPr>
    </w:lvl>
  </w:abstractNum>
  <w:abstractNum w:abstractNumId="1">
    <w:nsid w:val="47003FBE"/>
    <w:multiLevelType w:val="singleLevel"/>
    <w:tmpl w:val="47003FBE"/>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4C63E6"/>
    <w:rsid w:val="09671C1B"/>
    <w:rsid w:val="0FB777B4"/>
    <w:rsid w:val="101C1D18"/>
    <w:rsid w:val="11445824"/>
    <w:rsid w:val="139A2F06"/>
    <w:rsid w:val="14146B33"/>
    <w:rsid w:val="186A0C66"/>
    <w:rsid w:val="18E65EFF"/>
    <w:rsid w:val="1A2416EA"/>
    <w:rsid w:val="1E3A2A6D"/>
    <w:rsid w:val="2427730E"/>
    <w:rsid w:val="24686674"/>
    <w:rsid w:val="250A1D65"/>
    <w:rsid w:val="266C298A"/>
    <w:rsid w:val="2C703B8B"/>
    <w:rsid w:val="2CF1766F"/>
    <w:rsid w:val="2D2D229B"/>
    <w:rsid w:val="38FC337F"/>
    <w:rsid w:val="3B1B61B1"/>
    <w:rsid w:val="3D636F8C"/>
    <w:rsid w:val="455E5862"/>
    <w:rsid w:val="4A906AC9"/>
    <w:rsid w:val="4E9527A0"/>
    <w:rsid w:val="51302BFD"/>
    <w:rsid w:val="541147BA"/>
    <w:rsid w:val="55E63AE3"/>
    <w:rsid w:val="57C22985"/>
    <w:rsid w:val="59A5619D"/>
    <w:rsid w:val="5C684CAF"/>
    <w:rsid w:val="5C8B7B06"/>
    <w:rsid w:val="5FAC538C"/>
    <w:rsid w:val="61B82AA6"/>
    <w:rsid w:val="62E008A0"/>
    <w:rsid w:val="642C36EE"/>
    <w:rsid w:val="689F3624"/>
    <w:rsid w:val="6A7D186C"/>
    <w:rsid w:val="6AD40E0D"/>
    <w:rsid w:val="71AD139D"/>
    <w:rsid w:val="733F5D6B"/>
    <w:rsid w:val="77520C95"/>
    <w:rsid w:val="777E2D55"/>
    <w:rsid w:val="77C9518B"/>
    <w:rsid w:val="79BF11A4"/>
    <w:rsid w:val="7A572B9F"/>
    <w:rsid w:val="7B8875F5"/>
    <w:rsid w:val="7BBD3C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qFormat/>
    <w:uiPriority w:val="0"/>
    <w:pPr>
      <w:keepNext/>
      <w:keepLines/>
      <w:spacing w:before="260" w:beforeLines="0" w:after="260" w:afterLines="0" w:line="416" w:lineRule="auto"/>
      <w:outlineLvl w:val="1"/>
    </w:pPr>
    <w:rPr>
      <w:rFonts w:ascii="新宋体" w:hAnsi="新宋体" w:eastAsia="新宋体" w:cs="新宋体"/>
      <w:b/>
      <w:bCs/>
      <w:kern w:val="2"/>
      <w:sz w:val="32"/>
      <w:szCs w:val="32"/>
    </w:rPr>
  </w:style>
  <w:style w:type="character" w:default="1" w:styleId="5">
    <w:name w:val="Default Paragraph Font"/>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3">
    <w:name w:val="Body Text"/>
    <w:basedOn w:val="1"/>
    <w:qFormat/>
    <w:uiPriority w:val="1"/>
    <w:rPr>
      <w:rFonts w:ascii="新宋体" w:hAnsi="新宋体" w:eastAsia="新宋体" w:cs="新宋体"/>
      <w:sz w:val="24"/>
      <w:szCs w:val="24"/>
      <w:lang w:val="zh-CN" w:bidi="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2024-02-21T09:40:00Z</dcterms:created>
  <dc:creator>admin</dc:creator>
  <cp:lastModifiedBy>云南中招 周金辉</cp:lastModifiedBy>
  <dcterms:modified xsi:type="dcterms:W3CDTF">2024-12-06T14:06:37Z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B8BACDB42D954F0D8A8E21D283D78EBF_12</vt:lpwstr>
  </property>
</Properties>
</file>