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276" w:lineRule="auto"/>
        <w:ind w:right="-187" w:rightChars="-89"/>
        <w:rPr>
          <w:rFonts w:asciiTheme="majorEastAsia" w:hAnsiTheme="majorEastAsia" w:eastAsiaTheme="majorEastAsia"/>
          <w:w w:val="90"/>
        </w:rPr>
      </w:pPr>
      <w:r>
        <w:rPr>
          <w:rFonts w:hint="eastAsia" w:asciiTheme="majorEastAsia" w:hAnsiTheme="majorEastAsia" w:eastAsiaTheme="majorEastAsia"/>
          <w:w w:val="90"/>
        </w:rPr>
        <w:t>中国进出口银行河南省分行2024年下半年郑州东站灯箱广告租赁采购项目单一来源采购公示</w:t>
      </w:r>
    </w:p>
    <w:p>
      <w:pPr>
        <w:pStyle w:val="18"/>
        <w:numPr>
          <w:ilvl w:val="0"/>
          <w:numId w:val="0"/>
        </w:numPr>
        <w:tabs>
          <w:tab w:val="clear" w:pos="482"/>
        </w:tabs>
        <w:snapToGrid w:val="0"/>
        <w:spacing w:before="312" w:beforeLines="100" w:line="360" w:lineRule="auto"/>
        <w:rPr>
          <w:rFonts w:asciiTheme="majorEastAsia" w:hAnsiTheme="majorEastAsia" w:eastAsiaTheme="majorEastAsia"/>
        </w:rPr>
      </w:pPr>
      <w:r>
        <w:rPr>
          <w:rFonts w:hint="eastAsia" w:cs="Arial" w:asciiTheme="majorEastAsia" w:hAnsiTheme="majorEastAsia" w:eastAsiaTheme="majorEastAsia"/>
          <w:color w:val="000000"/>
          <w:lang w:val="en-US" w:eastAsia="zh-CN"/>
        </w:rPr>
        <w:t>1.</w:t>
      </w:r>
      <w:r>
        <w:rPr>
          <w:rFonts w:cs="Arial" w:asciiTheme="majorEastAsia" w:hAnsiTheme="majorEastAsia" w:eastAsiaTheme="majorEastAsia"/>
          <w:color w:val="000000"/>
        </w:rPr>
        <w:t>项目名称：</w:t>
      </w:r>
      <w:r>
        <w:rPr>
          <w:rFonts w:hint="eastAsia" w:cs="Arial" w:asciiTheme="majorEastAsia" w:hAnsiTheme="majorEastAsia" w:eastAsiaTheme="majorEastAsia"/>
          <w:color w:val="000000"/>
          <w:kern w:val="2"/>
          <w:szCs w:val="21"/>
        </w:rPr>
        <w:t>中国进出口银行河南省分行2024年下半年郑州东站灯箱广告租赁采购项目</w:t>
      </w:r>
    </w:p>
    <w:p>
      <w:pPr>
        <w:pStyle w:val="9"/>
        <w:adjustRightInd w:val="0"/>
        <w:snapToGrid w:val="0"/>
        <w:spacing w:line="360" w:lineRule="auto"/>
        <w:rPr>
          <w:rFonts w:asciiTheme="majorEastAsia" w:hAnsiTheme="majorEastAsia" w:eastAsiaTheme="majorEastAsia"/>
        </w:rPr>
      </w:pPr>
      <w:r>
        <w:rPr>
          <w:rFonts w:hint="eastAsia" w:cs="Arial" w:asciiTheme="majorEastAsia" w:hAnsiTheme="majorEastAsia" w:eastAsiaTheme="majorEastAsia"/>
          <w:color w:val="000000"/>
          <w:sz w:val="24"/>
          <w:lang w:val="en-US" w:eastAsia="zh-CN"/>
        </w:rPr>
        <w:t>2.</w:t>
      </w:r>
      <w:r>
        <w:rPr>
          <w:rFonts w:hint="eastAsia" w:cs="Arial" w:asciiTheme="majorEastAsia" w:hAnsiTheme="majorEastAsia" w:eastAsiaTheme="majorEastAsia"/>
          <w:color w:val="000000"/>
          <w:sz w:val="24"/>
        </w:rPr>
        <w:t>采购</w:t>
      </w:r>
      <w:r>
        <w:rPr>
          <w:rFonts w:cs="Arial" w:asciiTheme="majorEastAsia" w:hAnsiTheme="majorEastAsia" w:eastAsiaTheme="majorEastAsia"/>
          <w:color w:val="000000"/>
          <w:sz w:val="24"/>
        </w:rPr>
        <w:t>人名称：</w:t>
      </w:r>
      <w:r>
        <w:rPr>
          <w:rFonts w:hint="eastAsia" w:cs="Arial" w:asciiTheme="majorEastAsia" w:hAnsiTheme="majorEastAsia" w:eastAsiaTheme="majorEastAsia"/>
          <w:color w:val="000000"/>
          <w:sz w:val="24"/>
        </w:rPr>
        <w:t>中国进出口银行河南省分行</w:t>
      </w:r>
    </w:p>
    <w:p>
      <w:pPr>
        <w:pStyle w:val="9"/>
        <w:adjustRightInd w:val="0"/>
        <w:snapToGrid w:val="0"/>
        <w:spacing w:line="360" w:lineRule="auto"/>
        <w:rPr>
          <w:rFonts w:cs="Arial" w:asciiTheme="majorEastAsia" w:hAnsiTheme="majorEastAsia" w:eastAsiaTheme="majorEastAsia"/>
          <w:color w:val="000000"/>
          <w:sz w:val="24"/>
        </w:rPr>
      </w:pPr>
      <w:r>
        <w:rPr>
          <w:rFonts w:hint="eastAsia" w:cs="Arial" w:asciiTheme="majorEastAsia" w:hAnsiTheme="majorEastAsia" w:eastAsiaTheme="majorEastAsia"/>
          <w:color w:val="000000"/>
          <w:sz w:val="24"/>
          <w:lang w:val="en-US" w:eastAsia="zh-CN"/>
        </w:rPr>
        <w:t>3.</w:t>
      </w:r>
      <w:r>
        <w:rPr>
          <w:rFonts w:hint="eastAsia" w:cs="Arial" w:asciiTheme="majorEastAsia" w:hAnsiTheme="majorEastAsia" w:eastAsiaTheme="majorEastAsia"/>
          <w:color w:val="000000"/>
          <w:sz w:val="24"/>
        </w:rPr>
        <w:t>采购</w:t>
      </w:r>
      <w:r>
        <w:rPr>
          <w:rFonts w:cs="Arial" w:asciiTheme="majorEastAsia" w:hAnsiTheme="majorEastAsia" w:eastAsiaTheme="majorEastAsia"/>
          <w:color w:val="000000"/>
          <w:sz w:val="24"/>
        </w:rPr>
        <w:t>人地址：</w:t>
      </w:r>
      <w:r>
        <w:rPr>
          <w:rFonts w:hint="eastAsia" w:cs="Arial" w:asciiTheme="majorEastAsia" w:hAnsiTheme="majorEastAsia" w:eastAsiaTheme="majorEastAsia"/>
          <w:color w:val="000000"/>
          <w:sz w:val="24"/>
        </w:rPr>
        <w:t>郑州市郑东新区金水东路51号楷林商务中心北区</w:t>
      </w:r>
    </w:p>
    <w:p>
      <w:pPr>
        <w:pStyle w:val="9"/>
        <w:adjustRightInd w:val="0"/>
        <w:snapToGrid w:val="0"/>
        <w:spacing w:line="360" w:lineRule="auto"/>
        <w:rPr>
          <w:rFonts w:cs="Arial" w:asciiTheme="majorEastAsia" w:hAnsiTheme="majorEastAsia" w:eastAsiaTheme="majorEastAsia"/>
          <w:color w:val="000000"/>
          <w:sz w:val="24"/>
        </w:rPr>
      </w:pPr>
      <w:r>
        <w:rPr>
          <w:rFonts w:hint="eastAsia" w:cs="Arial" w:asciiTheme="majorEastAsia" w:hAnsiTheme="majorEastAsia" w:eastAsiaTheme="majorEastAsia"/>
          <w:color w:val="000000"/>
          <w:sz w:val="24"/>
          <w:lang w:val="en-US" w:eastAsia="zh-CN"/>
        </w:rPr>
        <w:t>4.</w:t>
      </w:r>
      <w:r>
        <w:rPr>
          <w:rFonts w:cs="Arial" w:asciiTheme="majorEastAsia" w:hAnsiTheme="majorEastAsia" w:eastAsiaTheme="majorEastAsia"/>
          <w:color w:val="000000"/>
          <w:sz w:val="24"/>
        </w:rPr>
        <w:t>项目资金来源：</w:t>
      </w:r>
      <w:r>
        <w:rPr>
          <w:rFonts w:hint="eastAsia" w:cs="Arial" w:asciiTheme="majorEastAsia" w:hAnsiTheme="majorEastAsia" w:eastAsiaTheme="majorEastAsia"/>
          <w:color w:val="000000"/>
          <w:sz w:val="24"/>
        </w:rPr>
        <w:t>自筹资金</w:t>
      </w:r>
    </w:p>
    <w:p>
      <w:pPr>
        <w:pStyle w:val="9"/>
        <w:adjustRightInd w:val="0"/>
        <w:snapToGrid w:val="0"/>
        <w:spacing w:line="360" w:lineRule="auto"/>
        <w:rPr>
          <w:rFonts w:cs="Arial" w:asciiTheme="majorEastAsia" w:hAnsiTheme="majorEastAsia" w:eastAsiaTheme="majorEastAsia"/>
          <w:color w:val="000000"/>
          <w:sz w:val="24"/>
        </w:rPr>
      </w:pPr>
      <w:r>
        <w:rPr>
          <w:rFonts w:hint="eastAsia" w:cs="Arial" w:asciiTheme="majorEastAsia" w:hAnsiTheme="majorEastAsia" w:eastAsiaTheme="majorEastAsia"/>
          <w:color w:val="000000"/>
          <w:sz w:val="24"/>
          <w:lang w:val="en-US" w:eastAsia="zh-CN"/>
        </w:rPr>
        <w:t>5.</w:t>
      </w:r>
      <w:r>
        <w:rPr>
          <w:rFonts w:cs="Arial" w:asciiTheme="majorEastAsia" w:hAnsiTheme="majorEastAsia" w:eastAsiaTheme="majorEastAsia"/>
          <w:color w:val="000000"/>
          <w:sz w:val="24"/>
        </w:rPr>
        <w:t>项目预算：</w:t>
      </w:r>
      <w:r>
        <w:rPr>
          <w:rFonts w:hint="eastAsia" w:cs="Arial" w:asciiTheme="majorEastAsia" w:hAnsiTheme="majorEastAsia" w:eastAsiaTheme="majorEastAsia"/>
          <w:color w:val="000000"/>
          <w:sz w:val="24"/>
        </w:rPr>
        <w:t>人民币</w:t>
      </w:r>
      <w:r>
        <w:rPr>
          <w:rFonts w:hint="eastAsia" w:asciiTheme="minorEastAsia" w:hAnsiTheme="minorEastAsia" w:cstheme="minorEastAsia"/>
          <w:sz w:val="24"/>
          <w:szCs w:val="24"/>
        </w:rPr>
        <w:t>75</w:t>
      </w:r>
      <w:r>
        <w:rPr>
          <w:rFonts w:hint="eastAsia" w:cs="Arial" w:asciiTheme="majorEastAsia" w:hAnsiTheme="majorEastAsia" w:eastAsiaTheme="majorEastAsia"/>
          <w:color w:val="000000"/>
          <w:sz w:val="24"/>
        </w:rPr>
        <w:t>万元</w:t>
      </w:r>
    </w:p>
    <w:p>
      <w:pPr>
        <w:pStyle w:val="18"/>
        <w:numPr>
          <w:ilvl w:val="0"/>
          <w:numId w:val="0"/>
        </w:numPr>
        <w:tabs>
          <w:tab w:val="clear" w:pos="482"/>
        </w:tabs>
        <w:spacing w:after="156" w:afterLines="50"/>
        <w:rPr>
          <w:rFonts w:cs="Arial" w:asciiTheme="majorEastAsia" w:hAnsiTheme="majorEastAsia" w:eastAsiaTheme="majorEastAsia"/>
          <w:color w:val="000000"/>
        </w:rPr>
      </w:pPr>
      <w:r>
        <w:rPr>
          <w:rFonts w:hint="eastAsia" w:asciiTheme="majorEastAsia" w:hAnsiTheme="majorEastAsia" w:eastAsiaTheme="majorEastAsia"/>
          <w:lang w:val="en-US" w:eastAsia="zh-CN"/>
        </w:rPr>
        <w:t>6.</w:t>
      </w:r>
      <w:r>
        <w:rPr>
          <w:rFonts w:asciiTheme="majorEastAsia" w:hAnsiTheme="majorEastAsia" w:eastAsiaTheme="majorEastAsia"/>
        </w:rPr>
        <w:t>本次</w:t>
      </w:r>
      <w:r>
        <w:rPr>
          <w:rFonts w:hint="eastAsia" w:asciiTheme="majorEastAsia" w:hAnsiTheme="majorEastAsia" w:eastAsiaTheme="majorEastAsia"/>
        </w:rPr>
        <w:t>采购</w:t>
      </w:r>
      <w:r>
        <w:rPr>
          <w:rFonts w:asciiTheme="majorEastAsia" w:hAnsiTheme="majorEastAsia" w:eastAsiaTheme="majorEastAsia"/>
        </w:rPr>
        <w:t>内容为：</w:t>
      </w:r>
      <w:r>
        <w:rPr>
          <w:rFonts w:hint="eastAsia" w:cs="Arial" w:asciiTheme="majorEastAsia" w:hAnsiTheme="majorEastAsia" w:eastAsiaTheme="majorEastAsia"/>
          <w:color w:val="000000"/>
          <w:kern w:val="2"/>
          <w:szCs w:val="21"/>
        </w:rPr>
        <w:t>中国进出口银行河南省分行2024年下半年郑州东站灯箱广告租赁采购项目，主要内容包括：媒体位置：郑州高铁东站三楼候车厅北进站口墙面灯箱；媒体形式：灯箱；媒体数量：1块；媒体编号：ZZD-NQ-124；媒体尺寸：5.945m*2.345m*1面</w:t>
      </w:r>
    </w:p>
    <w:p>
      <w:pPr>
        <w:pStyle w:val="9"/>
        <w:adjustRightInd w:val="0"/>
        <w:snapToGrid w:val="0"/>
        <w:spacing w:line="360" w:lineRule="auto"/>
        <w:rPr>
          <w:rFonts w:cs="Arial" w:asciiTheme="majorEastAsia" w:hAnsiTheme="majorEastAsia" w:eastAsiaTheme="majorEastAsia"/>
          <w:color w:val="000000"/>
          <w:sz w:val="24"/>
        </w:rPr>
      </w:pPr>
      <w:r>
        <w:rPr>
          <w:rFonts w:hint="eastAsia" w:cs="Arial" w:asciiTheme="majorEastAsia" w:hAnsiTheme="majorEastAsia" w:eastAsiaTheme="majorEastAsia"/>
          <w:color w:val="000000"/>
          <w:sz w:val="24"/>
          <w:lang w:val="en-US" w:eastAsia="zh-CN"/>
        </w:rPr>
        <w:t>7.</w:t>
      </w:r>
      <w:r>
        <w:rPr>
          <w:rFonts w:hint="eastAsia" w:cs="Arial" w:asciiTheme="majorEastAsia" w:hAnsiTheme="majorEastAsia" w:eastAsiaTheme="majorEastAsia"/>
          <w:color w:val="000000"/>
          <w:sz w:val="24"/>
        </w:rPr>
        <w:t>拟采购方式：单一来源采购</w:t>
      </w:r>
    </w:p>
    <w:p>
      <w:pPr>
        <w:pStyle w:val="18"/>
        <w:numPr>
          <w:ilvl w:val="0"/>
          <w:numId w:val="0"/>
        </w:numPr>
        <w:tabs>
          <w:tab w:val="clear" w:pos="482"/>
        </w:tabs>
        <w:snapToGrid w:val="0"/>
        <w:spacing w:line="360" w:lineRule="auto"/>
        <w:rPr>
          <w:rFonts w:cs="Arial" w:asciiTheme="majorEastAsia" w:hAnsiTheme="majorEastAsia" w:eastAsiaTheme="majorEastAsia"/>
          <w:color w:val="000000"/>
        </w:rPr>
      </w:pPr>
      <w:r>
        <w:rPr>
          <w:rFonts w:hint="eastAsia" w:cs="Arial" w:asciiTheme="majorEastAsia" w:hAnsiTheme="majorEastAsia" w:eastAsiaTheme="majorEastAsia"/>
          <w:color w:val="000000"/>
          <w:lang w:val="en-US" w:eastAsia="zh-CN"/>
        </w:rPr>
        <w:t>8.</w:t>
      </w:r>
      <w:r>
        <w:rPr>
          <w:rFonts w:hint="eastAsia" w:cs="Arial" w:asciiTheme="majorEastAsia" w:hAnsiTheme="majorEastAsia" w:eastAsiaTheme="majorEastAsia"/>
          <w:color w:val="000000"/>
        </w:rPr>
        <w:t>拟采购供应商名称：</w:t>
      </w:r>
      <w:r>
        <w:rPr>
          <w:rFonts w:hint="eastAsia" w:ascii="宋体" w:hAnsi="宋体" w:cs="宋体"/>
          <w:szCs w:val="24"/>
          <w:lang w:bidi="ar"/>
        </w:rPr>
        <w:t>江苏路铁文化传媒有限公司</w:t>
      </w:r>
    </w:p>
    <w:p>
      <w:pPr>
        <w:pStyle w:val="18"/>
        <w:numPr>
          <w:ilvl w:val="0"/>
          <w:numId w:val="0"/>
        </w:numPr>
        <w:tabs>
          <w:tab w:val="clear" w:pos="482"/>
        </w:tabs>
        <w:snapToGrid w:val="0"/>
        <w:spacing w:line="360" w:lineRule="auto"/>
        <w:rPr>
          <w:rFonts w:cs="Arial" w:asciiTheme="majorEastAsia" w:hAnsiTheme="majorEastAsia" w:eastAsiaTheme="majorEastAsia"/>
          <w:color w:val="000000"/>
          <w:highlight w:val="green"/>
        </w:rPr>
      </w:pPr>
      <w:r>
        <w:rPr>
          <w:rFonts w:hint="eastAsia" w:cs="Arial" w:asciiTheme="majorEastAsia" w:hAnsiTheme="majorEastAsia" w:eastAsiaTheme="majorEastAsia"/>
          <w:color w:val="000000"/>
          <w:lang w:val="en-US" w:eastAsia="zh-CN"/>
        </w:rPr>
        <w:t>9.</w:t>
      </w:r>
      <w:r>
        <w:rPr>
          <w:rFonts w:hint="eastAsia" w:cs="Arial" w:asciiTheme="majorEastAsia" w:hAnsiTheme="majorEastAsia" w:eastAsiaTheme="majorEastAsia"/>
          <w:color w:val="000000"/>
        </w:rPr>
        <w:t>拟采购供应商地址</w:t>
      </w:r>
      <w:r>
        <w:rPr>
          <w:rFonts w:hint="eastAsia" w:cs="Arial" w:asciiTheme="majorEastAsia" w:hAnsiTheme="majorEastAsia" w:eastAsiaTheme="majorEastAsia"/>
          <w:color w:val="000000"/>
          <w:kern w:val="2"/>
          <w:szCs w:val="21"/>
        </w:rPr>
        <w:t>：</w:t>
      </w:r>
      <w:r>
        <w:rPr>
          <w:rFonts w:hint="eastAsia" w:asciiTheme="minorEastAsia" w:hAnsiTheme="minorEastAsia" w:eastAsiaTheme="minorEastAsia" w:cstheme="minorEastAsia"/>
          <w:szCs w:val="24"/>
        </w:rPr>
        <w:t>南京市建邺区白龙江东街8号科技创新综合体A3幢第18层</w:t>
      </w:r>
    </w:p>
    <w:p>
      <w:pPr>
        <w:pStyle w:val="9"/>
        <w:adjustRightInd w:val="0"/>
        <w:snapToGrid w:val="0"/>
        <w:spacing w:line="360" w:lineRule="auto"/>
        <w:rPr>
          <w:rFonts w:cs="Arial" w:asciiTheme="majorEastAsia" w:hAnsiTheme="majorEastAsia" w:eastAsiaTheme="majorEastAsia"/>
          <w:color w:val="000000"/>
          <w:sz w:val="24"/>
        </w:rPr>
      </w:pPr>
      <w:r>
        <w:rPr>
          <w:rFonts w:hint="eastAsia" w:cs="Arial" w:asciiTheme="majorEastAsia" w:hAnsiTheme="majorEastAsia" w:eastAsiaTheme="majorEastAsia"/>
          <w:color w:val="000000"/>
          <w:sz w:val="24"/>
          <w:lang w:val="en-US" w:eastAsia="zh-CN"/>
        </w:rPr>
        <w:t>10.</w:t>
      </w:r>
      <w:r>
        <w:rPr>
          <w:rFonts w:hint="eastAsia" w:cs="Arial" w:asciiTheme="majorEastAsia" w:hAnsiTheme="majorEastAsia" w:eastAsiaTheme="majorEastAsia"/>
          <w:color w:val="000000"/>
          <w:sz w:val="24"/>
        </w:rPr>
        <w:t>项目情况：</w:t>
      </w:r>
    </w:p>
    <w:p>
      <w:pPr>
        <w:pStyle w:val="18"/>
        <w:numPr>
          <w:ilvl w:val="0"/>
          <w:numId w:val="0"/>
        </w:numPr>
        <w:tabs>
          <w:tab w:val="clear" w:pos="482"/>
        </w:tabs>
        <w:snapToGrid w:val="0"/>
        <w:spacing w:line="360" w:lineRule="auto"/>
        <w:ind w:firstLine="480" w:firstLineChars="200"/>
        <w:rPr>
          <w:rFonts w:cs="Arial" w:asciiTheme="majorEastAsia" w:hAnsiTheme="majorEastAsia" w:eastAsiaTheme="majorEastAsia"/>
          <w:color w:val="000000"/>
        </w:rPr>
      </w:pPr>
      <w:r>
        <w:rPr>
          <w:rFonts w:hint="eastAsia" w:cs="Arial" w:asciiTheme="majorEastAsia" w:hAnsiTheme="majorEastAsia" w:eastAsiaTheme="majorEastAsia"/>
          <w:color w:val="000000"/>
        </w:rPr>
        <w:t>根据《中国进出口银行集中采购管理办法（2022年修订）》（进出银办发〔2022〕249号）规定“以前年度已进行单一来源论证的同一采购项目，如采购需求、采购预算及市场环境未发生实质性变化，经审核通过后，可参考以前年度的论证意见及公示情况，”本项目与以前年度相比各方面未发生实质性变化，不再进行单一来源论证。</w:t>
      </w:r>
    </w:p>
    <w:p>
      <w:pPr>
        <w:pStyle w:val="18"/>
        <w:numPr>
          <w:ilvl w:val="0"/>
          <w:numId w:val="0"/>
        </w:numPr>
        <w:tabs>
          <w:tab w:val="clear" w:pos="482"/>
        </w:tabs>
        <w:snapToGrid w:val="0"/>
        <w:spacing w:line="360" w:lineRule="auto"/>
        <w:rPr>
          <w:rFonts w:cs="Arial" w:asciiTheme="majorEastAsia" w:hAnsiTheme="majorEastAsia" w:eastAsiaTheme="majorEastAsia"/>
          <w:color w:val="000000"/>
        </w:rPr>
      </w:pPr>
      <w:r>
        <w:rPr>
          <w:rFonts w:hint="eastAsia" w:cs="Arial" w:asciiTheme="majorEastAsia" w:hAnsiTheme="majorEastAsia" w:eastAsiaTheme="majorEastAsia"/>
          <w:color w:val="000000"/>
          <w:lang w:val="en-US" w:eastAsia="zh-CN"/>
        </w:rPr>
        <w:t>11.</w:t>
      </w:r>
      <w:r>
        <w:rPr>
          <w:rFonts w:hint="eastAsia" w:cs="Arial" w:asciiTheme="majorEastAsia" w:hAnsiTheme="majorEastAsia" w:eastAsiaTheme="majorEastAsia"/>
          <w:color w:val="000000"/>
        </w:rPr>
        <w:t>采用单一来源采购方式的原因及说明：</w:t>
      </w:r>
    </w:p>
    <w:p>
      <w:pPr>
        <w:snapToGrid w:val="0"/>
        <w:spacing w:line="360" w:lineRule="auto"/>
        <w:ind w:firstLine="480" w:firstLineChars="200"/>
        <w:rPr>
          <w:rFonts w:cs="Arial" w:asciiTheme="majorEastAsia" w:hAnsiTheme="majorEastAsia" w:eastAsiaTheme="majorEastAsia"/>
          <w:color w:val="000000"/>
          <w:sz w:val="24"/>
        </w:rPr>
      </w:pPr>
      <w:bookmarkStart w:id="0" w:name="_Hlk29382351"/>
      <w:r>
        <w:rPr>
          <w:rFonts w:hint="eastAsia" w:cs="Arial" w:asciiTheme="majorEastAsia" w:hAnsiTheme="majorEastAsia" w:eastAsiaTheme="majorEastAsia"/>
          <w:color w:val="000000"/>
          <w:sz w:val="24"/>
        </w:rPr>
        <w:t>针对以前年度“2021年郑州东站灯箱广告租赁采购项目”的单一来源采购方式，专家已进行了论证。</w:t>
      </w:r>
    </w:p>
    <w:p>
      <w:pPr>
        <w:snapToGrid w:val="0"/>
        <w:spacing w:line="360" w:lineRule="auto"/>
        <w:ind w:firstLine="480" w:firstLineChars="200"/>
        <w:rPr>
          <w:rFonts w:cs="Arial" w:asciiTheme="majorEastAsia" w:hAnsiTheme="majorEastAsia" w:eastAsiaTheme="majorEastAsia"/>
          <w:color w:val="000000"/>
          <w:sz w:val="24"/>
        </w:rPr>
      </w:pPr>
      <w:r>
        <w:rPr>
          <w:rFonts w:hint="eastAsia" w:cs="Arial" w:asciiTheme="majorEastAsia" w:hAnsiTheme="majorEastAsia" w:eastAsiaTheme="majorEastAsia"/>
          <w:color w:val="000000"/>
          <w:sz w:val="24"/>
        </w:rPr>
        <w:t>经论证，专家组成员一致认为该项目具备单一来源采购条件,且单一来源理由充分。具体理由如下：</w:t>
      </w:r>
    </w:p>
    <w:p>
      <w:pPr>
        <w:snapToGrid w:val="0"/>
        <w:spacing w:line="360" w:lineRule="auto"/>
        <w:ind w:firstLine="480" w:firstLineChars="200"/>
      </w:pPr>
      <w:r>
        <w:rPr>
          <w:rFonts w:hint="eastAsia" w:cs="Arial" w:asciiTheme="majorEastAsia" w:hAnsiTheme="majorEastAsia" w:eastAsiaTheme="majorEastAsia"/>
          <w:color w:val="000000"/>
          <w:sz w:val="24"/>
        </w:rPr>
        <w:t>由于江苏路铁文化传媒有限公司拥有郑州东站候车厅内南北进站口中心处服务台LED大屏和郑州东站北进站口内嵌灯箱（媒体编号：ZZD-NQ-124）的广告独家代理发布权，本项目只能从唯一供应商处采购，具有唯一性，根据中华人民共和国政府采购法第三十一条的相关规定，建议采用单一</w:t>
      </w:r>
      <w:bookmarkStart w:id="1" w:name="_GoBack"/>
      <w:bookmarkEnd w:id="1"/>
      <w:r>
        <w:rPr>
          <w:rFonts w:hint="eastAsia" w:cs="Arial" w:asciiTheme="majorEastAsia" w:hAnsiTheme="majorEastAsia" w:eastAsiaTheme="majorEastAsia"/>
          <w:color w:val="000000"/>
          <w:sz w:val="24"/>
        </w:rPr>
        <w:t>来源方式采购。根据《中国进出口银行集中采购管理办法（2022年修订）》（进出银办发〔2022〕249号）相关规定，本次采购沿用以前专家论证的结论，不再组织专家论证。</w:t>
      </w:r>
    </w:p>
    <w:bookmarkEnd w:id="0"/>
    <w:p>
      <w:pPr>
        <w:pStyle w:val="18"/>
        <w:numPr>
          <w:ilvl w:val="0"/>
          <w:numId w:val="0"/>
        </w:numPr>
        <w:ind w:firstLine="480" w:firstLineChars="200"/>
        <w:rPr>
          <w:rFonts w:cs="Arial" w:asciiTheme="majorEastAsia" w:hAnsiTheme="majorEastAsia" w:eastAsiaTheme="majorEastAsia"/>
          <w:color w:val="000000"/>
        </w:rPr>
      </w:pPr>
      <w:r>
        <w:rPr>
          <w:rFonts w:hint="eastAsia" w:cs="Arial" w:asciiTheme="majorEastAsia" w:hAnsiTheme="majorEastAsia" w:eastAsiaTheme="majorEastAsia"/>
          <w:color w:val="000000"/>
          <w:kern w:val="2"/>
          <w:szCs w:val="24"/>
        </w:rPr>
        <w:t>2021年度专家论证意见表见附件1。</w:t>
      </w:r>
    </w:p>
    <w:p>
      <w:pPr>
        <w:pStyle w:val="18"/>
        <w:numPr>
          <w:ilvl w:val="0"/>
          <w:numId w:val="0"/>
        </w:numPr>
        <w:tabs>
          <w:tab w:val="clear" w:pos="482"/>
        </w:tabs>
        <w:spacing w:line="360" w:lineRule="auto"/>
        <w:ind w:left="720" w:hanging="720" w:hangingChars="300"/>
        <w:rPr>
          <w:rFonts w:cs="Arial" w:asciiTheme="majorEastAsia" w:hAnsiTheme="majorEastAsia" w:eastAsiaTheme="majorEastAsia"/>
          <w:color w:val="000000"/>
          <w:highlight w:val="none"/>
        </w:rPr>
      </w:pPr>
      <w:r>
        <w:rPr>
          <w:rFonts w:hint="eastAsia" w:cs="Arial" w:asciiTheme="majorEastAsia" w:hAnsiTheme="majorEastAsia" w:eastAsiaTheme="majorEastAsia"/>
          <w:color w:val="000000"/>
          <w:kern w:val="0"/>
          <w:sz w:val="24"/>
          <w:szCs w:val="20"/>
          <w:lang w:val="en-US" w:eastAsia="zh-CN" w:bidi="ar-SA"/>
        </w:rPr>
        <w:t>12.</w:t>
      </w:r>
      <w:r>
        <w:rPr>
          <w:rFonts w:hint="eastAsia" w:cs="Arial" w:asciiTheme="majorEastAsia" w:hAnsiTheme="majorEastAsia" w:eastAsiaTheme="majorEastAsia"/>
          <w:color w:val="000000"/>
          <w:highlight w:val="none"/>
        </w:rPr>
        <w:t>公示期：2024年5月</w:t>
      </w:r>
      <w:r>
        <w:rPr>
          <w:rFonts w:hint="eastAsia" w:cs="Arial" w:asciiTheme="majorEastAsia" w:hAnsiTheme="majorEastAsia" w:eastAsiaTheme="majorEastAsia"/>
          <w:color w:val="000000"/>
          <w:highlight w:val="none"/>
          <w:lang w:val="en-US" w:eastAsia="zh-CN"/>
        </w:rPr>
        <w:t>6</w:t>
      </w:r>
      <w:r>
        <w:rPr>
          <w:rFonts w:hint="eastAsia" w:cs="Arial" w:asciiTheme="majorEastAsia" w:hAnsiTheme="majorEastAsia" w:eastAsiaTheme="majorEastAsia"/>
          <w:color w:val="000000"/>
          <w:highlight w:val="none"/>
        </w:rPr>
        <w:t>日-2024年5月</w:t>
      </w:r>
      <w:r>
        <w:rPr>
          <w:rFonts w:hint="eastAsia" w:cs="Arial" w:asciiTheme="majorEastAsia" w:hAnsiTheme="majorEastAsia" w:eastAsiaTheme="majorEastAsia"/>
          <w:color w:val="000000"/>
          <w:highlight w:val="none"/>
          <w:lang w:val="en-US" w:eastAsia="zh-CN"/>
        </w:rPr>
        <w:t>11</w:t>
      </w:r>
      <w:r>
        <w:rPr>
          <w:rFonts w:hint="eastAsia" w:cs="Arial" w:asciiTheme="majorEastAsia" w:hAnsiTheme="majorEastAsia" w:eastAsiaTheme="majorEastAsia"/>
          <w:color w:val="000000"/>
          <w:highlight w:val="none"/>
        </w:rPr>
        <w:t>日，共计5个工作日。</w:t>
      </w:r>
    </w:p>
    <w:p>
      <w:pPr>
        <w:pStyle w:val="18"/>
        <w:numPr>
          <w:ilvl w:val="0"/>
          <w:numId w:val="0"/>
        </w:numPr>
        <w:tabs>
          <w:tab w:val="clear" w:pos="482"/>
        </w:tabs>
        <w:spacing w:line="360" w:lineRule="auto"/>
        <w:ind w:left="92" w:leftChars="44" w:firstLine="480" w:firstLineChars="200"/>
        <w:rPr>
          <w:rFonts w:cs="Arial" w:asciiTheme="majorEastAsia" w:hAnsiTheme="majorEastAsia" w:eastAsiaTheme="majorEastAsia"/>
          <w:color w:val="000000"/>
        </w:rPr>
      </w:pPr>
      <w:r>
        <w:rPr>
          <w:rFonts w:hint="eastAsia" w:cs="Arial" w:asciiTheme="majorEastAsia" w:hAnsiTheme="majorEastAsia" w:eastAsiaTheme="majorEastAsia"/>
          <w:color w:val="000000"/>
        </w:rPr>
        <w:t>潜在供应商对公示内容有异议的，请于公示期内将书面意见反馈至采购人和代理机构，过期递交不予受理，书面文件包括：</w:t>
      </w:r>
    </w:p>
    <w:p>
      <w:pPr>
        <w:pStyle w:val="9"/>
        <w:adjustRightInd w:val="0"/>
        <w:spacing w:line="360" w:lineRule="auto"/>
        <w:ind w:firstLine="480" w:firstLineChars="200"/>
        <w:rPr>
          <w:rFonts w:cs="Arial" w:asciiTheme="majorEastAsia" w:hAnsiTheme="majorEastAsia" w:eastAsiaTheme="majorEastAsia"/>
          <w:color w:val="000000"/>
          <w:sz w:val="24"/>
        </w:rPr>
      </w:pPr>
      <w:r>
        <w:rPr>
          <w:rFonts w:hint="eastAsia" w:cs="Arial" w:asciiTheme="majorEastAsia" w:hAnsiTheme="majorEastAsia" w:eastAsiaTheme="majorEastAsia"/>
          <w:color w:val="000000"/>
          <w:sz w:val="24"/>
        </w:rPr>
        <w:t>有效的营业执照或事业单位法人证明复印件；</w:t>
      </w:r>
    </w:p>
    <w:p>
      <w:pPr>
        <w:pStyle w:val="9"/>
        <w:adjustRightInd w:val="0"/>
        <w:spacing w:line="360" w:lineRule="auto"/>
        <w:ind w:firstLine="480" w:firstLineChars="200"/>
        <w:rPr>
          <w:rFonts w:cs="Arial" w:asciiTheme="majorEastAsia" w:hAnsiTheme="majorEastAsia" w:eastAsiaTheme="majorEastAsia"/>
          <w:color w:val="000000"/>
          <w:sz w:val="24"/>
        </w:rPr>
      </w:pPr>
      <w:r>
        <w:rPr>
          <w:rFonts w:hint="eastAsia" w:cs="Arial" w:asciiTheme="majorEastAsia" w:hAnsiTheme="majorEastAsia" w:eastAsiaTheme="majorEastAsia"/>
          <w:color w:val="000000"/>
          <w:sz w:val="24"/>
        </w:rPr>
        <w:t>法定代表人授权书（如由授权代理人提出异议的）；</w:t>
      </w:r>
    </w:p>
    <w:p>
      <w:pPr>
        <w:pStyle w:val="9"/>
        <w:adjustRightInd w:val="0"/>
        <w:spacing w:line="360" w:lineRule="auto"/>
        <w:ind w:firstLine="480" w:firstLineChars="200"/>
        <w:rPr>
          <w:rFonts w:cs="Arial" w:asciiTheme="majorEastAsia" w:hAnsiTheme="majorEastAsia" w:eastAsiaTheme="majorEastAsia"/>
          <w:color w:val="000000"/>
          <w:sz w:val="24"/>
        </w:rPr>
      </w:pPr>
      <w:r>
        <w:rPr>
          <w:rFonts w:hint="eastAsia" w:cs="Arial" w:asciiTheme="majorEastAsia" w:hAnsiTheme="majorEastAsia" w:eastAsiaTheme="majorEastAsia"/>
          <w:color w:val="000000"/>
          <w:sz w:val="24"/>
        </w:rPr>
        <w:t>异议单位情况介绍（包括但不限于供应商名称、联系人、联系电话、联系邮箱等）；能够完成本项目的声明及证明材料；</w:t>
      </w:r>
    </w:p>
    <w:p>
      <w:pPr>
        <w:pStyle w:val="9"/>
        <w:adjustRightInd w:val="0"/>
        <w:spacing w:line="360" w:lineRule="auto"/>
        <w:ind w:firstLine="480" w:firstLineChars="200"/>
        <w:rPr>
          <w:rFonts w:cs="Arial" w:asciiTheme="majorEastAsia" w:hAnsiTheme="majorEastAsia" w:eastAsiaTheme="majorEastAsia"/>
          <w:color w:val="000000"/>
          <w:sz w:val="24"/>
        </w:rPr>
      </w:pPr>
      <w:r>
        <w:rPr>
          <w:rFonts w:hint="eastAsia" w:cs="Arial" w:asciiTheme="majorEastAsia" w:hAnsiTheme="majorEastAsia" w:eastAsiaTheme="majorEastAsia"/>
          <w:color w:val="000000"/>
          <w:sz w:val="24"/>
        </w:rPr>
        <w:t>采购需求技术指标的不合理性意见（如有）；</w:t>
      </w:r>
    </w:p>
    <w:p>
      <w:pPr>
        <w:pStyle w:val="9"/>
        <w:adjustRightInd w:val="0"/>
        <w:spacing w:line="360" w:lineRule="auto"/>
        <w:ind w:firstLine="480" w:firstLineChars="200"/>
        <w:rPr>
          <w:rFonts w:cs="Arial" w:asciiTheme="majorEastAsia" w:hAnsiTheme="majorEastAsia" w:eastAsiaTheme="majorEastAsia"/>
          <w:color w:val="000000"/>
          <w:sz w:val="24"/>
        </w:rPr>
      </w:pPr>
      <w:r>
        <w:rPr>
          <w:rFonts w:hint="eastAsia" w:cs="Arial" w:asciiTheme="majorEastAsia" w:hAnsiTheme="majorEastAsia" w:eastAsiaTheme="majorEastAsia"/>
          <w:color w:val="000000"/>
          <w:sz w:val="24"/>
        </w:rPr>
        <w:t>若异议材料通过审核，能够准时参加后续采购活动的承诺函（非不可抗力不得放弃参加后续采购活动，否则将被列入中国进出口银行不良供应商名录）；</w:t>
      </w:r>
    </w:p>
    <w:p>
      <w:pPr>
        <w:pStyle w:val="9"/>
        <w:adjustRightInd w:val="0"/>
        <w:spacing w:line="360" w:lineRule="auto"/>
        <w:ind w:firstLine="480" w:firstLineChars="200"/>
        <w:rPr>
          <w:rFonts w:cs="Arial" w:asciiTheme="majorEastAsia" w:hAnsiTheme="majorEastAsia" w:eastAsiaTheme="majorEastAsia"/>
          <w:color w:val="000000"/>
          <w:sz w:val="24"/>
        </w:rPr>
      </w:pPr>
      <w:r>
        <w:rPr>
          <w:rFonts w:hint="eastAsia" w:cs="Arial" w:asciiTheme="majorEastAsia" w:hAnsiTheme="majorEastAsia" w:eastAsiaTheme="majorEastAsia"/>
          <w:color w:val="000000"/>
          <w:sz w:val="24"/>
        </w:rPr>
        <w:t>以上内容均需加盖企业公章。</w:t>
      </w:r>
    </w:p>
    <w:p>
      <w:pPr>
        <w:spacing w:line="360" w:lineRule="auto"/>
        <w:rPr>
          <w:rFonts w:cs="Arial" w:asciiTheme="majorEastAsia" w:hAnsiTheme="majorEastAsia" w:eastAsiaTheme="majorEastAsia"/>
          <w:color w:val="000000"/>
          <w:sz w:val="24"/>
        </w:rPr>
      </w:pPr>
      <w:r>
        <w:rPr>
          <w:rFonts w:hint="eastAsia" w:cs="Arial" w:asciiTheme="majorEastAsia" w:hAnsiTheme="majorEastAsia" w:eastAsiaTheme="majorEastAsia"/>
          <w:color w:val="000000"/>
          <w:sz w:val="24"/>
          <w:lang w:val="en-US" w:eastAsia="zh-CN"/>
        </w:rPr>
        <w:t>13.</w:t>
      </w:r>
      <w:r>
        <w:rPr>
          <w:rFonts w:hint="eastAsia" w:cs="Arial" w:asciiTheme="majorEastAsia" w:hAnsiTheme="majorEastAsia" w:eastAsiaTheme="majorEastAsia"/>
          <w:color w:val="000000"/>
          <w:sz w:val="24"/>
        </w:rPr>
        <w:t>采购需求见附件2</w:t>
      </w:r>
    </w:p>
    <w:p>
      <w:pPr>
        <w:spacing w:line="360" w:lineRule="auto"/>
        <w:ind w:firstLine="480" w:firstLineChars="200"/>
        <w:rPr>
          <w:rFonts w:cs="Arial" w:asciiTheme="majorEastAsia" w:hAnsiTheme="majorEastAsia" w:eastAsiaTheme="majorEastAsia"/>
          <w:color w:val="000000"/>
          <w:sz w:val="24"/>
        </w:rPr>
      </w:pPr>
    </w:p>
    <w:p>
      <w:pPr>
        <w:spacing w:line="360" w:lineRule="auto"/>
        <w:ind w:firstLine="480" w:firstLineChars="200"/>
        <w:rPr>
          <w:rFonts w:cs="Arial" w:asciiTheme="majorEastAsia" w:hAnsiTheme="majorEastAsia" w:eastAsiaTheme="majorEastAsia"/>
          <w:color w:val="000000"/>
          <w:sz w:val="24"/>
        </w:rPr>
      </w:pPr>
      <w:r>
        <w:rPr>
          <w:rFonts w:hint="eastAsia" w:cs="Arial" w:asciiTheme="majorEastAsia" w:hAnsiTheme="majorEastAsia" w:eastAsiaTheme="majorEastAsia"/>
          <w:color w:val="000000"/>
          <w:sz w:val="24"/>
        </w:rPr>
        <w:t>采购人</w:t>
      </w:r>
    </w:p>
    <w:p>
      <w:pPr>
        <w:spacing w:line="360" w:lineRule="auto"/>
        <w:ind w:firstLine="480" w:firstLineChars="200"/>
        <w:rPr>
          <w:rFonts w:cs="Arial" w:asciiTheme="majorEastAsia" w:hAnsiTheme="majorEastAsia" w:eastAsiaTheme="majorEastAsia"/>
          <w:color w:val="000000"/>
          <w:sz w:val="24"/>
          <w:highlight w:val="none"/>
        </w:rPr>
      </w:pPr>
      <w:r>
        <w:rPr>
          <w:rFonts w:hint="eastAsia" w:cs="Arial" w:asciiTheme="majorEastAsia" w:hAnsiTheme="majorEastAsia" w:eastAsiaTheme="majorEastAsia"/>
          <w:color w:val="000000"/>
          <w:sz w:val="24"/>
        </w:rPr>
        <w:t>联系人：中国进</w:t>
      </w:r>
      <w:r>
        <w:rPr>
          <w:rFonts w:hint="eastAsia" w:cs="Arial" w:asciiTheme="majorEastAsia" w:hAnsiTheme="majorEastAsia" w:eastAsiaTheme="majorEastAsia"/>
          <w:color w:val="000000"/>
          <w:sz w:val="24"/>
          <w:highlight w:val="none"/>
        </w:rPr>
        <w:t>出口银行河南省分行</w:t>
      </w:r>
    </w:p>
    <w:p>
      <w:pPr>
        <w:spacing w:line="360" w:lineRule="auto"/>
        <w:ind w:firstLine="480" w:firstLineChars="200"/>
        <w:rPr>
          <w:rFonts w:cs="Arial" w:asciiTheme="majorEastAsia" w:hAnsiTheme="majorEastAsia" w:eastAsiaTheme="majorEastAsia"/>
          <w:color w:val="000000"/>
          <w:sz w:val="24"/>
          <w:highlight w:val="none"/>
        </w:rPr>
      </w:pPr>
      <w:r>
        <w:rPr>
          <w:rFonts w:hint="eastAsia" w:cs="Arial" w:asciiTheme="majorEastAsia" w:hAnsiTheme="majorEastAsia" w:eastAsiaTheme="majorEastAsia"/>
          <w:color w:val="000000"/>
          <w:sz w:val="24"/>
          <w:highlight w:val="none"/>
        </w:rPr>
        <w:t>地址：郑州市郑东新区金水东路51号楷林商务中心北区</w:t>
      </w:r>
    </w:p>
    <w:p>
      <w:pPr>
        <w:spacing w:line="360" w:lineRule="auto"/>
        <w:ind w:firstLine="480" w:firstLineChars="200"/>
        <w:rPr>
          <w:rFonts w:cs="Arial" w:asciiTheme="majorEastAsia" w:hAnsiTheme="majorEastAsia" w:eastAsiaTheme="majorEastAsia"/>
          <w:color w:val="000000"/>
          <w:sz w:val="24"/>
          <w:highlight w:val="none"/>
        </w:rPr>
      </w:pPr>
      <w:r>
        <w:rPr>
          <w:rFonts w:hint="eastAsia" w:cs="Arial" w:asciiTheme="majorEastAsia" w:hAnsiTheme="majorEastAsia" w:eastAsiaTheme="majorEastAsia"/>
          <w:color w:val="000000"/>
          <w:sz w:val="24"/>
          <w:highlight w:val="none"/>
        </w:rPr>
        <w:t>联系方式：李女士  0371-6627</w:t>
      </w:r>
      <w:r>
        <w:rPr>
          <w:rFonts w:cs="Arial" w:asciiTheme="majorEastAsia" w:hAnsiTheme="majorEastAsia" w:eastAsiaTheme="majorEastAsia"/>
          <w:color w:val="000000"/>
          <w:sz w:val="24"/>
          <w:highlight w:val="none"/>
        </w:rPr>
        <w:t xml:space="preserve"> </w:t>
      </w:r>
      <w:r>
        <w:rPr>
          <w:rFonts w:hint="eastAsia" w:cs="Arial" w:asciiTheme="majorEastAsia" w:hAnsiTheme="majorEastAsia" w:eastAsiaTheme="majorEastAsia"/>
          <w:color w:val="000000"/>
          <w:sz w:val="24"/>
          <w:highlight w:val="none"/>
        </w:rPr>
        <w:t>0579</w:t>
      </w:r>
    </w:p>
    <w:p>
      <w:pPr>
        <w:spacing w:line="360" w:lineRule="auto"/>
        <w:ind w:firstLine="480" w:firstLineChars="200"/>
        <w:rPr>
          <w:rFonts w:cs="Arial" w:asciiTheme="majorEastAsia" w:hAnsiTheme="majorEastAsia" w:eastAsiaTheme="majorEastAsia"/>
          <w:color w:val="000000"/>
          <w:sz w:val="24"/>
          <w:highlight w:val="none"/>
        </w:rPr>
      </w:pPr>
      <w:r>
        <w:rPr>
          <w:rFonts w:hint="eastAsia" w:cs="Arial" w:asciiTheme="majorEastAsia" w:hAnsiTheme="majorEastAsia" w:eastAsiaTheme="majorEastAsia"/>
          <w:color w:val="000000"/>
          <w:sz w:val="24"/>
          <w:highlight w:val="none"/>
        </w:rPr>
        <w:t>采购代理机构信息</w:t>
      </w:r>
    </w:p>
    <w:p>
      <w:pPr>
        <w:spacing w:line="360" w:lineRule="auto"/>
        <w:ind w:firstLine="480" w:firstLineChars="200"/>
        <w:rPr>
          <w:rFonts w:cs="Arial" w:asciiTheme="majorEastAsia" w:hAnsiTheme="majorEastAsia" w:eastAsiaTheme="majorEastAsia"/>
          <w:color w:val="000000"/>
          <w:sz w:val="24"/>
          <w:highlight w:val="none"/>
        </w:rPr>
      </w:pPr>
      <w:r>
        <w:rPr>
          <w:rFonts w:hint="eastAsia" w:cs="Arial" w:asciiTheme="majorEastAsia" w:hAnsiTheme="majorEastAsia" w:eastAsiaTheme="majorEastAsia"/>
          <w:color w:val="000000"/>
          <w:sz w:val="24"/>
          <w:highlight w:val="none"/>
        </w:rPr>
        <w:t>名称：中化商务有限公司</w:t>
      </w:r>
    </w:p>
    <w:p>
      <w:pPr>
        <w:spacing w:line="360" w:lineRule="auto"/>
        <w:ind w:firstLine="480" w:firstLineChars="200"/>
        <w:rPr>
          <w:rFonts w:cs="Arial" w:asciiTheme="majorEastAsia" w:hAnsiTheme="majorEastAsia" w:eastAsiaTheme="majorEastAsia"/>
          <w:color w:val="000000"/>
          <w:sz w:val="24"/>
          <w:highlight w:val="none"/>
        </w:rPr>
      </w:pPr>
      <w:r>
        <w:rPr>
          <w:rFonts w:hint="eastAsia" w:cs="Arial" w:asciiTheme="majorEastAsia" w:hAnsiTheme="majorEastAsia" w:eastAsiaTheme="majorEastAsia"/>
          <w:color w:val="000000"/>
          <w:sz w:val="24"/>
          <w:highlight w:val="none"/>
        </w:rPr>
        <w:t>地址：北京市丰台区丽泽路平安幸福中心B座23层</w:t>
      </w:r>
    </w:p>
    <w:p>
      <w:pPr>
        <w:spacing w:line="360" w:lineRule="auto"/>
        <w:ind w:firstLine="480" w:firstLineChars="200"/>
        <w:rPr>
          <w:rFonts w:cs="Arial" w:asciiTheme="majorEastAsia" w:hAnsiTheme="majorEastAsia" w:eastAsiaTheme="majorEastAsia"/>
          <w:color w:val="000000"/>
          <w:sz w:val="24"/>
          <w:highlight w:val="none"/>
        </w:rPr>
      </w:pPr>
      <w:r>
        <w:rPr>
          <w:rFonts w:hint="eastAsia" w:cs="Arial" w:asciiTheme="majorEastAsia" w:hAnsiTheme="majorEastAsia" w:eastAsiaTheme="majorEastAsia"/>
          <w:color w:val="000000"/>
          <w:sz w:val="24"/>
          <w:highlight w:val="none"/>
        </w:rPr>
        <w:t>联系方式：王琛之/于广洋  010-8392 3369</w:t>
      </w:r>
    </w:p>
    <w:p>
      <w:pPr>
        <w:rPr>
          <w:rFonts w:asciiTheme="majorEastAsia" w:hAnsiTheme="majorEastAsia" w:eastAsiaTheme="majorEastAsia"/>
          <w:highlight w:val="none"/>
        </w:rPr>
      </w:pPr>
    </w:p>
    <w:p>
      <w:pPr>
        <w:snapToGrid w:val="0"/>
        <w:spacing w:before="312" w:beforeLines="100" w:line="360" w:lineRule="auto"/>
        <w:jc w:val="right"/>
        <w:rPr>
          <w:rFonts w:cs="Arial" w:asciiTheme="majorEastAsia" w:hAnsiTheme="majorEastAsia" w:eastAsiaTheme="majorEastAsia"/>
          <w:color w:val="000000"/>
          <w:sz w:val="24"/>
          <w:highlight w:val="none"/>
        </w:rPr>
      </w:pPr>
      <w:r>
        <w:rPr>
          <w:rFonts w:hint="eastAsia" w:cs="Arial" w:asciiTheme="majorEastAsia" w:hAnsiTheme="majorEastAsia" w:eastAsiaTheme="majorEastAsia"/>
          <w:color w:val="000000"/>
          <w:sz w:val="24"/>
          <w:highlight w:val="none"/>
        </w:rPr>
        <w:t>中化商务有限公司</w:t>
      </w:r>
    </w:p>
    <w:p>
      <w:pPr>
        <w:snapToGrid w:val="0"/>
        <w:spacing w:before="312" w:beforeLines="100" w:line="360" w:lineRule="auto"/>
        <w:jc w:val="right"/>
        <w:rPr>
          <w:rFonts w:asciiTheme="majorEastAsia" w:hAnsiTheme="majorEastAsia" w:eastAsiaTheme="majorEastAsia"/>
          <w:sz w:val="24"/>
        </w:rPr>
      </w:pPr>
      <w:r>
        <w:rPr>
          <w:rFonts w:hint="eastAsia" w:cs="Arial" w:asciiTheme="majorEastAsia" w:hAnsiTheme="majorEastAsia" w:eastAsiaTheme="majorEastAsia"/>
          <w:color w:val="000000"/>
          <w:sz w:val="24"/>
          <w:highlight w:val="none"/>
        </w:rPr>
        <w:t>2024年5月</w:t>
      </w:r>
      <w:r>
        <w:rPr>
          <w:rFonts w:hint="eastAsia" w:cs="Arial" w:asciiTheme="majorEastAsia" w:hAnsiTheme="majorEastAsia" w:eastAsiaTheme="majorEastAsia"/>
          <w:color w:val="000000"/>
          <w:sz w:val="24"/>
          <w:highlight w:val="none"/>
          <w:lang w:val="en-US" w:eastAsia="zh-CN"/>
        </w:rPr>
        <w:t>6</w:t>
      </w:r>
      <w:r>
        <w:rPr>
          <w:rFonts w:hint="eastAsia" w:cs="Arial" w:asciiTheme="majorEastAsia" w:hAnsiTheme="majorEastAsia" w:eastAsiaTheme="majorEastAsia"/>
          <w:color w:val="000000"/>
          <w:sz w:val="24"/>
          <w:highlight w:val="none"/>
        </w:rPr>
        <w:t>日</w:t>
      </w:r>
      <w:r>
        <w:rPr>
          <w:rFonts w:asciiTheme="majorEastAsia" w:hAnsiTheme="majorEastAsia" w:eastAsiaTheme="majorEastAsia"/>
          <w:sz w:val="24"/>
        </w:rPr>
        <w:br w:type="page"/>
      </w:r>
    </w:p>
    <w:p>
      <w:pPr>
        <w:spacing w:line="360" w:lineRule="auto"/>
        <w:jc w:val="center"/>
        <w:rPr>
          <w:rFonts w:eastAsia="黑体" w:asciiTheme="majorEastAsia" w:hAnsiTheme="majorEastAsia"/>
          <w:sz w:val="24"/>
        </w:rPr>
      </w:pPr>
      <w:r>
        <w:rPr>
          <w:rFonts w:hint="eastAsia" w:ascii="黑体" w:hAnsi="黑体" w:eastAsia="黑体" w:cs="黑体"/>
          <w:sz w:val="44"/>
          <w:szCs w:val="44"/>
        </w:rPr>
        <w:t>附件1：2021年度专家论证意见表</w:t>
      </w:r>
    </w:p>
    <w:p>
      <w:pPr>
        <w:spacing w:line="336" w:lineRule="auto"/>
        <w:jc w:val="left"/>
        <w:rPr>
          <w:rFonts w:eastAsiaTheme="majorEastAsia"/>
          <w:sz w:val="24"/>
        </w:rPr>
      </w:pPr>
      <w:r>
        <w:rPr>
          <w:rFonts w:asciiTheme="majorEastAsia" w:hAnsiTheme="majorEastAsia" w:eastAsiaTheme="majorEastAsia"/>
        </w:rPr>
        <w:t xml:space="preserve">        </w:t>
      </w:r>
      <w:r>
        <w:rPr>
          <w:rFonts w:hint="eastAsia" w:eastAsiaTheme="majorEastAsia"/>
          <w:sz w:val="24"/>
        </w:rPr>
        <w:drawing>
          <wp:inline distT="0" distB="0" distL="114300" distR="114300">
            <wp:extent cx="5727065" cy="8110220"/>
            <wp:effectExtent l="0" t="0" r="3175" b="12700"/>
            <wp:docPr id="1" name="图片 1" descr="附件专家论证意见_页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附件专家论证意见_页面_1"/>
                    <pic:cNvPicPr>
                      <a:picLocks noChangeAspect="1"/>
                    </pic:cNvPicPr>
                  </pic:nvPicPr>
                  <pic:blipFill>
                    <a:blip r:embed="rId6"/>
                    <a:stretch>
                      <a:fillRect/>
                    </a:stretch>
                  </pic:blipFill>
                  <pic:spPr>
                    <a:xfrm>
                      <a:off x="0" y="0"/>
                      <a:ext cx="5727065" cy="8110220"/>
                    </a:xfrm>
                    <a:prstGeom prst="rect">
                      <a:avLst/>
                    </a:prstGeom>
                  </pic:spPr>
                </pic:pic>
              </a:graphicData>
            </a:graphic>
          </wp:inline>
        </w:drawing>
      </w:r>
    </w:p>
    <w:p>
      <w:pPr>
        <w:jc w:val="center"/>
        <w:rPr>
          <w:rFonts w:ascii="黑体" w:hAnsi="黑体" w:eastAsia="黑体" w:cs="黑体"/>
          <w:sz w:val="44"/>
          <w:szCs w:val="44"/>
        </w:rPr>
      </w:pPr>
      <w:r>
        <w:rPr>
          <w:rFonts w:hint="eastAsia" w:ascii="黑体" w:hAnsi="黑体" w:eastAsia="黑体" w:cs="黑体"/>
          <w:sz w:val="44"/>
          <w:szCs w:val="44"/>
        </w:rPr>
        <w:drawing>
          <wp:inline distT="0" distB="0" distL="114300" distR="114300">
            <wp:extent cx="5727065" cy="8110220"/>
            <wp:effectExtent l="0" t="0" r="3175" b="12700"/>
            <wp:docPr id="2" name="图片 2" descr="附件专家论证意见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附件专家论证意见_页面_2"/>
                    <pic:cNvPicPr>
                      <a:picLocks noChangeAspect="1"/>
                    </pic:cNvPicPr>
                  </pic:nvPicPr>
                  <pic:blipFill>
                    <a:blip r:embed="rId7"/>
                    <a:stretch>
                      <a:fillRect/>
                    </a:stretch>
                  </pic:blipFill>
                  <pic:spPr>
                    <a:xfrm>
                      <a:off x="0" y="0"/>
                      <a:ext cx="5727065" cy="8110220"/>
                    </a:xfrm>
                    <a:prstGeom prst="rect">
                      <a:avLst/>
                    </a:prstGeom>
                  </pic:spPr>
                </pic:pic>
              </a:graphicData>
            </a:graphic>
          </wp:inline>
        </w:drawing>
      </w:r>
    </w:p>
    <w:p>
      <w:pPr>
        <w:jc w:val="center"/>
        <w:rPr>
          <w:rFonts w:ascii="黑体" w:hAnsi="黑体" w:eastAsia="黑体" w:cs="黑体"/>
          <w:sz w:val="44"/>
          <w:szCs w:val="44"/>
        </w:rPr>
      </w:pPr>
    </w:p>
    <w:p>
      <w:pPr>
        <w:jc w:val="center"/>
        <w:rPr>
          <w:rFonts w:ascii="黑体" w:hAnsi="黑体" w:eastAsia="黑体" w:cs="黑体"/>
          <w:sz w:val="44"/>
          <w:szCs w:val="44"/>
        </w:rPr>
      </w:pPr>
      <w:r>
        <w:rPr>
          <w:rFonts w:hint="eastAsia" w:ascii="黑体" w:hAnsi="黑体" w:eastAsia="黑体" w:cs="黑体"/>
          <w:sz w:val="44"/>
          <w:szCs w:val="44"/>
        </w:rPr>
        <w:drawing>
          <wp:inline distT="0" distB="0" distL="114300" distR="114300">
            <wp:extent cx="5727065" cy="8110220"/>
            <wp:effectExtent l="0" t="0" r="3175" b="12700"/>
            <wp:docPr id="3" name="图片 3" descr="附件专家论证意见_页面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附件专家论证意见_页面_3"/>
                    <pic:cNvPicPr>
                      <a:picLocks noChangeAspect="1"/>
                    </pic:cNvPicPr>
                  </pic:nvPicPr>
                  <pic:blipFill>
                    <a:blip r:embed="rId8"/>
                    <a:stretch>
                      <a:fillRect/>
                    </a:stretch>
                  </pic:blipFill>
                  <pic:spPr>
                    <a:xfrm>
                      <a:off x="0" y="0"/>
                      <a:ext cx="5727065" cy="8110220"/>
                    </a:xfrm>
                    <a:prstGeom prst="rect">
                      <a:avLst/>
                    </a:prstGeom>
                  </pic:spPr>
                </pic:pic>
              </a:graphicData>
            </a:graphic>
          </wp:inline>
        </w:drawing>
      </w:r>
    </w:p>
    <w:p>
      <w:pPr>
        <w:jc w:val="center"/>
        <w:rPr>
          <w:rFonts w:ascii="黑体" w:hAnsi="黑体" w:eastAsia="黑体" w:cs="黑体"/>
          <w:sz w:val="44"/>
          <w:szCs w:val="44"/>
        </w:rPr>
      </w:pPr>
    </w:p>
    <w:p>
      <w:pPr>
        <w:jc w:val="center"/>
        <w:rPr>
          <w:rFonts w:ascii="黑体" w:hAnsi="黑体" w:eastAsia="黑体" w:cs="黑体"/>
          <w:sz w:val="44"/>
          <w:szCs w:val="44"/>
        </w:rPr>
      </w:pPr>
    </w:p>
    <w:p>
      <w:pPr>
        <w:jc w:val="center"/>
        <w:rPr>
          <w:rFonts w:ascii="仿宋_GB2312" w:hAnsi="仿宋_GB2312" w:eastAsia="仿宋_GB2312" w:cs="仿宋_GB2312"/>
          <w:b/>
          <w:bCs/>
          <w:sz w:val="28"/>
          <w:szCs w:val="28"/>
        </w:rPr>
      </w:pPr>
      <w:r>
        <w:rPr>
          <w:rFonts w:hint="eastAsia" w:ascii="宋体" w:hAnsi="宋体" w:cs="宋体"/>
          <w:b/>
          <w:bCs/>
          <w:sz w:val="24"/>
        </w:rPr>
        <w:t>2021年专家论证意见汇总</w:t>
      </w:r>
    </w:p>
    <w:p>
      <w:pPr>
        <w:widowControl/>
        <w:spacing w:line="360" w:lineRule="auto"/>
        <w:ind w:firstLine="361" w:firstLineChars="150"/>
        <w:jc w:val="left"/>
        <w:rPr>
          <w:rFonts w:ascii="宋体" w:hAnsi="宋体" w:cs="宋体"/>
          <w:b/>
          <w:bCs/>
          <w:sz w:val="24"/>
        </w:rPr>
      </w:pPr>
    </w:p>
    <w:p>
      <w:pPr>
        <w:widowControl/>
        <w:spacing w:line="360" w:lineRule="auto"/>
        <w:ind w:firstLine="361" w:firstLineChars="150"/>
        <w:jc w:val="left"/>
        <w:rPr>
          <w:rFonts w:ascii="宋体" w:hAnsi="宋体" w:cs="宋体"/>
          <w:sz w:val="24"/>
        </w:rPr>
      </w:pPr>
      <w:r>
        <w:rPr>
          <w:rFonts w:hint="eastAsia" w:ascii="宋体" w:hAnsi="宋体" w:cs="宋体"/>
          <w:b/>
          <w:bCs/>
          <w:sz w:val="24"/>
        </w:rPr>
        <w:t>专家一：</w:t>
      </w:r>
      <w:r>
        <w:rPr>
          <w:rFonts w:hint="eastAsia" w:ascii="宋体" w:hAnsi="宋体" w:cs="宋体"/>
          <w:sz w:val="24"/>
        </w:rPr>
        <w:t>经审阅相关资料，江苏路铁文化传媒有限公司拥有郑州东站候车厅内南北进站口中心处服务台LED大屏和郑州东站北进站口内嵌灯箱的广告独家代理发布权，因此本项目具有唯一性，建议根据中华人民共和国政府采购法第三十一条的相关规定，采用单一来源方式进行采购。</w:t>
      </w:r>
    </w:p>
    <w:p>
      <w:pPr>
        <w:spacing w:line="360" w:lineRule="auto"/>
        <w:ind w:firstLine="482" w:firstLineChars="200"/>
        <w:rPr>
          <w:rFonts w:ascii="宋体" w:hAnsi="宋体" w:cs="宋体"/>
          <w:sz w:val="24"/>
        </w:rPr>
      </w:pPr>
      <w:r>
        <w:rPr>
          <w:rFonts w:hint="eastAsia" w:ascii="宋体" w:hAnsi="宋体" w:cs="宋体"/>
          <w:b/>
          <w:bCs/>
          <w:sz w:val="24"/>
        </w:rPr>
        <w:t>专家二：</w:t>
      </w:r>
      <w:r>
        <w:rPr>
          <w:rFonts w:hint="eastAsia" w:ascii="宋体" w:hAnsi="宋体" w:cs="宋体"/>
          <w:sz w:val="24"/>
        </w:rPr>
        <w:t>经审阅相关资料，因为江苏路铁文化传媒有限公司拥有郑州东站候车厅内南北进站口中心处服务台LED大屏和郑州东站北进站口内嵌灯箱的广告独家代理发布权，是唯一供应商，符合中华人民共和国政府采购法第三十一条相关规定，建议采用单一来源方式采购。</w:t>
      </w:r>
    </w:p>
    <w:p>
      <w:pPr>
        <w:spacing w:line="360" w:lineRule="auto"/>
        <w:ind w:firstLine="482" w:firstLineChars="200"/>
        <w:jc w:val="left"/>
        <w:rPr>
          <w:rFonts w:ascii="宋体" w:hAnsi="宋体" w:cs="宋体"/>
          <w:sz w:val="24"/>
        </w:rPr>
      </w:pPr>
      <w:r>
        <w:rPr>
          <w:rFonts w:hint="eastAsia" w:ascii="宋体" w:hAnsi="宋体" w:cs="宋体"/>
          <w:b/>
          <w:bCs/>
          <w:sz w:val="24"/>
        </w:rPr>
        <w:t>专家三：</w:t>
      </w:r>
      <w:r>
        <w:rPr>
          <w:rFonts w:hint="eastAsia" w:ascii="宋体" w:hAnsi="宋体" w:cs="宋体"/>
          <w:sz w:val="24"/>
        </w:rPr>
        <w:t>经审阅相关资料，该项目实施位置在郑州东站内的灯箱、动态屏。江苏路铁文化传媒有限公司取得了郑州东站内嵌灯箱、候车厅内LED大屏的独家代理发布权，是唯一供应商，符合“政府采购法”的相关规定，建议采用单一来源方式采购。</w:t>
      </w:r>
    </w:p>
    <w:p>
      <w:pPr>
        <w:rPr>
          <w:rFonts w:ascii="宋体" w:hAnsi="宋体" w:cs="宋体"/>
          <w:sz w:val="24"/>
        </w:rPr>
      </w:pPr>
      <w:r>
        <w:rPr>
          <w:rFonts w:hint="eastAsia" w:ascii="宋体" w:hAnsi="宋体" w:cs="宋体"/>
          <w:sz w:val="24"/>
        </w:rPr>
        <w:br w:type="page"/>
      </w:r>
    </w:p>
    <w:p>
      <w:pPr>
        <w:spacing w:line="360" w:lineRule="auto"/>
        <w:jc w:val="center"/>
        <w:rPr>
          <w:rFonts w:ascii="黑体" w:hAnsi="黑体" w:eastAsia="黑体" w:cs="黑体"/>
          <w:sz w:val="44"/>
          <w:szCs w:val="44"/>
        </w:rPr>
      </w:pPr>
      <w:r>
        <w:rPr>
          <w:rFonts w:hint="eastAsia" w:ascii="黑体" w:hAnsi="黑体" w:eastAsia="黑体" w:cs="黑体"/>
          <w:sz w:val="44"/>
          <w:szCs w:val="44"/>
        </w:rPr>
        <w:t>附件2：采购需求</w:t>
      </w:r>
    </w:p>
    <w:p>
      <w:pPr>
        <w:numPr>
          <w:ilvl w:val="0"/>
          <w:numId w:val="2"/>
        </w:numPr>
        <w:spacing w:line="360" w:lineRule="auto"/>
        <w:ind w:left="0" w:firstLine="480" w:firstLineChars="200"/>
        <w:rPr>
          <w:rFonts w:ascii="宋体" w:hAnsi="宋体" w:cs="仿宋_GB2312"/>
          <w:sz w:val="24"/>
        </w:rPr>
      </w:pPr>
      <w:r>
        <w:rPr>
          <w:rFonts w:hint="eastAsia" w:ascii="宋体" w:hAnsi="宋体" w:cs="仿宋_GB2312"/>
          <w:sz w:val="24"/>
        </w:rPr>
        <w:t>项目需求</w:t>
      </w:r>
    </w:p>
    <w:p>
      <w:pPr>
        <w:autoSpaceDE w:val="0"/>
        <w:autoSpaceDN w:val="0"/>
        <w:spacing w:line="360" w:lineRule="auto"/>
        <w:ind w:firstLine="480" w:firstLineChars="200"/>
        <w:rPr>
          <w:rFonts w:ascii="宋体" w:hAnsi="宋体" w:cs="仿宋_GB2312"/>
          <w:sz w:val="24"/>
        </w:rPr>
      </w:pPr>
      <w:r>
        <w:rPr>
          <w:rFonts w:ascii="宋体" w:hAnsi="宋体" w:cs="仿宋_GB2312"/>
          <w:sz w:val="24"/>
        </w:rPr>
        <w:t>本次广告要求发布在</w:t>
      </w:r>
      <w:r>
        <w:rPr>
          <w:rFonts w:hint="eastAsia" w:ascii="宋体" w:hAnsi="宋体" w:cs="宋体"/>
          <w:kern w:val="0"/>
          <w:sz w:val="24"/>
          <w:lang w:bidi="ar"/>
        </w:rPr>
        <w:t>郑州高铁东站三楼候车厅北进站口墙面灯箱（媒体编号：ZZD-NQ-124）</w:t>
      </w:r>
      <w:r>
        <w:rPr>
          <w:rFonts w:ascii="宋体" w:hAnsi="宋体" w:cs="仿宋_GB2312"/>
          <w:sz w:val="24"/>
        </w:rPr>
        <w:t>，能够有效覆盖国内高端商务客流资源。</w:t>
      </w:r>
    </w:p>
    <w:p>
      <w:pPr>
        <w:numPr>
          <w:ilvl w:val="0"/>
          <w:numId w:val="2"/>
        </w:numPr>
        <w:spacing w:line="360" w:lineRule="auto"/>
        <w:ind w:left="0" w:firstLine="480" w:firstLineChars="200"/>
        <w:rPr>
          <w:rFonts w:ascii="宋体" w:hAnsi="宋体" w:cs="仿宋_GB2312"/>
          <w:sz w:val="24"/>
        </w:rPr>
      </w:pPr>
      <w:r>
        <w:rPr>
          <w:rFonts w:hint="eastAsia" w:ascii="宋体" w:hAnsi="宋体" w:cs="仿宋_GB2312"/>
          <w:sz w:val="24"/>
        </w:rPr>
        <w:t>技术标准</w:t>
      </w:r>
    </w:p>
    <w:p>
      <w:pPr>
        <w:autoSpaceDE w:val="0"/>
        <w:autoSpaceDN w:val="0"/>
        <w:spacing w:line="360" w:lineRule="auto"/>
        <w:ind w:firstLine="480" w:firstLineChars="200"/>
        <w:rPr>
          <w:rFonts w:ascii="宋体" w:hAnsi="宋体" w:cs="宋体"/>
          <w:kern w:val="0"/>
          <w:sz w:val="24"/>
          <w:lang w:bidi="ar"/>
        </w:rPr>
      </w:pPr>
      <w:r>
        <w:rPr>
          <w:rFonts w:hint="eastAsia" w:ascii="宋体" w:hAnsi="宋体" w:cs="宋体"/>
          <w:kern w:val="0"/>
          <w:sz w:val="24"/>
          <w:lang w:bidi="ar"/>
        </w:rPr>
        <w:t>1.媒体位置：郑州高铁东站三楼候车厅北进站口墙面灯箱；</w:t>
      </w:r>
    </w:p>
    <w:p>
      <w:pPr>
        <w:autoSpaceDE w:val="0"/>
        <w:autoSpaceDN w:val="0"/>
        <w:spacing w:line="360" w:lineRule="auto"/>
        <w:ind w:firstLine="480" w:firstLineChars="200"/>
        <w:rPr>
          <w:rFonts w:ascii="宋体" w:hAnsi="宋体" w:cs="宋体"/>
          <w:kern w:val="0"/>
          <w:sz w:val="24"/>
          <w:lang w:bidi="ar"/>
        </w:rPr>
      </w:pPr>
      <w:r>
        <w:rPr>
          <w:rFonts w:hint="eastAsia" w:ascii="宋体" w:hAnsi="宋体" w:cs="宋体"/>
          <w:kern w:val="0"/>
          <w:sz w:val="24"/>
          <w:lang w:bidi="ar"/>
        </w:rPr>
        <w:t>媒体形式：灯箱；</w:t>
      </w:r>
    </w:p>
    <w:p>
      <w:pPr>
        <w:autoSpaceDE w:val="0"/>
        <w:autoSpaceDN w:val="0"/>
        <w:spacing w:line="360" w:lineRule="auto"/>
        <w:ind w:firstLine="480" w:firstLineChars="200"/>
        <w:rPr>
          <w:rFonts w:ascii="宋体" w:hAnsi="宋体" w:cs="宋体"/>
          <w:kern w:val="0"/>
          <w:sz w:val="24"/>
          <w:lang w:bidi="ar"/>
        </w:rPr>
      </w:pPr>
      <w:r>
        <w:rPr>
          <w:rFonts w:hint="eastAsia" w:ascii="宋体" w:hAnsi="宋体" w:cs="宋体"/>
          <w:kern w:val="0"/>
          <w:sz w:val="24"/>
          <w:lang w:bidi="ar"/>
        </w:rPr>
        <w:t>媒体数量：1块；</w:t>
      </w:r>
    </w:p>
    <w:p>
      <w:pPr>
        <w:autoSpaceDE w:val="0"/>
        <w:autoSpaceDN w:val="0"/>
        <w:spacing w:line="360" w:lineRule="auto"/>
        <w:ind w:firstLine="480" w:firstLineChars="200"/>
        <w:rPr>
          <w:rFonts w:ascii="宋体" w:hAnsi="宋体" w:cs="宋体"/>
          <w:kern w:val="0"/>
          <w:sz w:val="24"/>
          <w:lang w:bidi="ar"/>
        </w:rPr>
      </w:pPr>
      <w:r>
        <w:rPr>
          <w:rFonts w:hint="eastAsia" w:ascii="宋体" w:hAnsi="宋体" w:cs="宋体"/>
          <w:kern w:val="0"/>
          <w:sz w:val="24"/>
          <w:lang w:bidi="ar"/>
        </w:rPr>
        <w:t>媒体编号：ZZD-NQ-124。</w:t>
      </w:r>
    </w:p>
    <w:p>
      <w:pPr>
        <w:autoSpaceDE w:val="0"/>
        <w:autoSpaceDN w:val="0"/>
        <w:spacing w:line="360" w:lineRule="auto"/>
        <w:ind w:firstLine="480" w:firstLineChars="200"/>
      </w:pPr>
      <w:r>
        <w:rPr>
          <w:rFonts w:hint="eastAsia" w:ascii="宋体" w:hAnsi="宋体" w:cs="宋体"/>
          <w:kern w:val="0"/>
          <w:sz w:val="24"/>
          <w:lang w:bidi="ar"/>
        </w:rPr>
        <w:t>媒体尺寸：5.945m*2.345m*1面</w:t>
      </w:r>
    </w:p>
    <w:p>
      <w:pPr>
        <w:spacing w:line="360" w:lineRule="auto"/>
        <w:ind w:left="420" w:leftChars="200"/>
        <w:rPr>
          <w:rFonts w:ascii="宋体" w:hAnsi="宋体"/>
          <w:sz w:val="24"/>
        </w:rPr>
      </w:pPr>
      <w:r>
        <w:rPr>
          <w:rFonts w:hint="eastAsia" w:ascii="宋体" w:hAnsi="宋体"/>
          <w:sz w:val="24"/>
        </w:rPr>
        <w:t>广告位置设置在</w:t>
      </w:r>
      <w:r>
        <w:rPr>
          <w:rFonts w:hint="eastAsia" w:ascii="宋体" w:hAnsi="宋体" w:cs="宋体"/>
          <w:kern w:val="0"/>
          <w:sz w:val="24"/>
          <w:lang w:bidi="ar"/>
        </w:rPr>
        <w:t>北进站口</w:t>
      </w:r>
      <w:r>
        <w:rPr>
          <w:rFonts w:hint="eastAsia" w:ascii="宋体" w:hAnsi="宋体"/>
          <w:sz w:val="24"/>
        </w:rPr>
        <w:t>，旅客覆盖度高、关注度高。</w:t>
      </w:r>
    </w:p>
    <w:p>
      <w:pPr>
        <w:adjustRightInd w:val="0"/>
        <w:snapToGrid w:val="0"/>
        <w:spacing w:line="360" w:lineRule="auto"/>
        <w:ind w:firstLine="480" w:firstLineChars="200"/>
        <w:rPr>
          <w:rFonts w:ascii="宋体" w:hAnsi="宋体"/>
          <w:sz w:val="24"/>
        </w:rPr>
      </w:pPr>
      <w:r>
        <w:rPr>
          <w:rFonts w:hint="eastAsia" w:ascii="宋体" w:hAnsi="宋体"/>
          <w:sz w:val="24"/>
        </w:rPr>
        <w:t>2.至少配置1名项目经理。团队成员须具有相关广告策划、设计、推广的从业经验，并能提供相关服务。</w:t>
      </w:r>
    </w:p>
    <w:p>
      <w:pPr>
        <w:adjustRightInd w:val="0"/>
        <w:snapToGrid w:val="0"/>
        <w:spacing w:line="360" w:lineRule="auto"/>
        <w:ind w:firstLine="480" w:firstLineChars="200"/>
        <w:rPr>
          <w:rFonts w:ascii="宋体" w:hAnsi="宋体"/>
          <w:sz w:val="24"/>
        </w:rPr>
      </w:pPr>
      <w:r>
        <w:rPr>
          <w:rFonts w:hint="eastAsia" w:ascii="宋体" w:hAnsi="宋体"/>
          <w:sz w:val="24"/>
        </w:rPr>
        <w:t>3.广告画面的保质期6个月以上，保质期内应及时提供广告画面的保修、维护等服务。</w:t>
      </w:r>
    </w:p>
    <w:p>
      <w:pPr>
        <w:spacing w:line="360" w:lineRule="auto"/>
        <w:ind w:firstLine="480" w:firstLineChars="200"/>
        <w:rPr>
          <w:rFonts w:ascii="宋体" w:hAnsi="宋体" w:cs="仿宋_GB2312"/>
          <w:sz w:val="24"/>
        </w:rPr>
      </w:pPr>
      <w:r>
        <w:rPr>
          <w:rFonts w:hint="eastAsia" w:ascii="宋体" w:hAnsi="宋体"/>
          <w:sz w:val="24"/>
        </w:rPr>
        <w:t>4.广告发布期限不少于6个月。</w:t>
      </w:r>
    </w:p>
    <w:p>
      <w:pPr>
        <w:numPr>
          <w:ilvl w:val="0"/>
          <w:numId w:val="2"/>
        </w:numPr>
        <w:spacing w:line="360" w:lineRule="auto"/>
        <w:ind w:left="0" w:firstLine="480" w:firstLineChars="200"/>
        <w:rPr>
          <w:rFonts w:ascii="宋体" w:hAnsi="宋体" w:cs="仿宋_GB2312"/>
          <w:sz w:val="24"/>
        </w:rPr>
      </w:pPr>
      <w:r>
        <w:rPr>
          <w:rFonts w:hint="eastAsia" w:ascii="宋体" w:hAnsi="宋体" w:cs="仿宋_GB2312"/>
          <w:sz w:val="24"/>
        </w:rPr>
        <w:t>时限要求</w:t>
      </w:r>
    </w:p>
    <w:p>
      <w:pPr>
        <w:spacing w:line="360" w:lineRule="auto"/>
        <w:ind w:firstLine="480" w:firstLineChars="200"/>
        <w:rPr>
          <w:rFonts w:ascii="宋体" w:hAnsi="宋体"/>
          <w:sz w:val="24"/>
        </w:rPr>
      </w:pPr>
      <w:r>
        <w:rPr>
          <w:rFonts w:hint="eastAsia" w:ascii="宋体" w:hAnsi="宋体"/>
          <w:sz w:val="24"/>
        </w:rPr>
        <w:t>采购期限：自合同签订之日起不超过6个月（自2024年6月至2024年12月）</w:t>
      </w:r>
      <w:r>
        <w:rPr>
          <w:rFonts w:ascii="宋体" w:hAnsi="宋体"/>
          <w:sz w:val="24"/>
        </w:rPr>
        <w:t>。</w:t>
      </w:r>
    </w:p>
    <w:p>
      <w:pPr>
        <w:spacing w:line="360" w:lineRule="auto"/>
        <w:ind w:firstLine="480" w:firstLineChars="200"/>
        <w:rPr>
          <w:rFonts w:ascii="宋体" w:hAnsi="宋体" w:cs="宋体"/>
          <w:sz w:val="24"/>
        </w:rPr>
      </w:pPr>
      <w:r>
        <w:rPr>
          <w:rFonts w:hint="eastAsia" w:ascii="宋体" w:hAnsi="宋体"/>
          <w:sz w:val="24"/>
        </w:rPr>
        <w:t>（四）如合同到期前，供应商取得的广告独家代理发布权到期后无法继续获取上述媒体位置的广告独家代理发布权，</w:t>
      </w:r>
      <w:r>
        <w:rPr>
          <w:rFonts w:hint="eastAsia" w:ascii="宋体" w:hAnsi="宋体" w:cs="宋体"/>
          <w:sz w:val="24"/>
        </w:rPr>
        <w:t>则根据采购人要求解除合同，并根据实际发布时间据实结算。</w:t>
      </w:r>
    </w:p>
    <w:p>
      <w:pPr>
        <w:pStyle w:val="2"/>
        <w:ind w:left="0" w:leftChars="0" w:firstLine="0"/>
      </w:pPr>
    </w:p>
    <w:sectPr>
      <w:footerReference r:id="rId3" w:type="default"/>
      <w:footerReference r:id="rId4" w:type="even"/>
      <w:pgSz w:w="11906" w:h="16838"/>
      <w:pgMar w:top="1304" w:right="1440" w:bottom="1304"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1"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pPr>
                            <w:pStyle w:val="12"/>
                            <w:rPr>
                              <w:rStyle w:val="16"/>
                            </w:rPr>
                          </w:pPr>
                          <w:r>
                            <w:fldChar w:fldCharType="begin"/>
                          </w:r>
                          <w:r>
                            <w:rPr>
                              <w:rStyle w:val="16"/>
                            </w:rPr>
                            <w:instrText xml:space="preserve">PAGE  </w:instrText>
                          </w:r>
                          <w:r>
                            <w:fldChar w:fldCharType="separate"/>
                          </w:r>
                          <w:r>
                            <w:rPr>
                              <w:rStyle w:val="16"/>
                            </w:rPr>
                            <w:t>1</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z4vdRNAAAAACAQAADwAAAAAAAAABACAAAAAiAAAAZHJzL2Rv&#10;d25yZXYueG1sUEsBAhQAFAAAAAgAh07iQEfhPoYJAgAAAwQAAA4AAAAAAAAAAQAgAAAAHwEAAGRy&#10;cy9lMm9Eb2MueG1sUEsFBgAAAAAGAAYAWQEAAJoFAAAAAA==&#10;">
              <v:fill on="f" focussize="0,0"/>
              <v:stroke on="f"/>
              <v:imagedata o:title=""/>
              <o:lock v:ext="edit" aspectratio="f"/>
              <v:textbox inset="0mm,0mm,0mm,0mm" style="mso-fit-shape-to-text:t;">
                <w:txbxContent>
                  <w:p>
                    <w:pPr>
                      <w:pStyle w:val="12"/>
                      <w:rPr>
                        <w:rStyle w:val="16"/>
                      </w:rPr>
                    </w:pPr>
                    <w:r>
                      <w:fldChar w:fldCharType="begin"/>
                    </w:r>
                    <w:r>
                      <w:rPr>
                        <w:rStyle w:val="16"/>
                      </w:rPr>
                      <w:instrText xml:space="preserve">PAGE  </w:instrText>
                    </w:r>
                    <w:r>
                      <w:fldChar w:fldCharType="separate"/>
                    </w:r>
                    <w:r>
                      <w:rPr>
                        <w:rStyle w:val="16"/>
                      </w:rP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right" w:y="1"/>
      <w:rPr>
        <w:rStyle w:val="16"/>
      </w:rPr>
    </w:pPr>
    <w:r>
      <w:fldChar w:fldCharType="begin"/>
    </w:r>
    <w:r>
      <w:rPr>
        <w:rStyle w:val="16"/>
      </w:rPr>
      <w:instrText xml:space="preserve">PAGE  </w:instrText>
    </w:r>
    <w:r>
      <w:fldChar w:fldCharType="end"/>
    </w:r>
  </w:p>
  <w:p>
    <w:pPr>
      <w:pStyle w:val="12"/>
      <w:ind w:right="360"/>
    </w:pPr>
  </w:p>
  <w:p/>
  <w:p/>
  <w:p/>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1"/>
      <w:numFmt w:val="decimal"/>
      <w:pStyle w:val="18"/>
      <w:lvlText w:val="%1."/>
      <w:lvlJc w:val="left"/>
      <w:pPr>
        <w:tabs>
          <w:tab w:val="left" w:pos="482"/>
        </w:tabs>
        <w:ind w:left="510" w:hanging="510"/>
      </w:pPr>
      <w:rPr>
        <w:rFonts w:hint="default" w:ascii="Arial" w:hAnsi="Arial"/>
        <w:b w:val="0"/>
        <w:i w:val="0"/>
        <w:sz w:val="24"/>
        <w:szCs w:val="24"/>
      </w:rPr>
    </w:lvl>
  </w:abstractNum>
  <w:abstractNum w:abstractNumId="1">
    <w:nsid w:val="6C315127"/>
    <w:multiLevelType w:val="multilevel"/>
    <w:tmpl w:val="6C315127"/>
    <w:lvl w:ilvl="0" w:tentative="0">
      <w:start w:val="1"/>
      <w:numFmt w:val="japaneseCounting"/>
      <w:lvlText w:val="（%1）"/>
      <w:lvlJc w:val="left"/>
      <w:pPr>
        <w:ind w:left="1740" w:hanging="108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UyOTdlNDkyODJjOWQ3YjVkMWRmN2ZiMWIwYjViNjcifQ=="/>
  </w:docVars>
  <w:rsids>
    <w:rsidRoot w:val="00172A27"/>
    <w:rsid w:val="00051025"/>
    <w:rsid w:val="00172A27"/>
    <w:rsid w:val="00951B0D"/>
    <w:rsid w:val="00A23964"/>
    <w:rsid w:val="00C01B0A"/>
    <w:rsid w:val="00FD4D60"/>
    <w:rsid w:val="03186873"/>
    <w:rsid w:val="03413F56"/>
    <w:rsid w:val="04001A0C"/>
    <w:rsid w:val="07CC09EB"/>
    <w:rsid w:val="08524D9A"/>
    <w:rsid w:val="0B043FF8"/>
    <w:rsid w:val="0B1D7867"/>
    <w:rsid w:val="0B697562"/>
    <w:rsid w:val="0BF553CB"/>
    <w:rsid w:val="0DF1293D"/>
    <w:rsid w:val="13184279"/>
    <w:rsid w:val="16D340A6"/>
    <w:rsid w:val="183422B5"/>
    <w:rsid w:val="1DA051B4"/>
    <w:rsid w:val="2022235D"/>
    <w:rsid w:val="21A55944"/>
    <w:rsid w:val="22D74196"/>
    <w:rsid w:val="2ACB09FB"/>
    <w:rsid w:val="2B193C07"/>
    <w:rsid w:val="2B9D0708"/>
    <w:rsid w:val="2E105A7A"/>
    <w:rsid w:val="31103440"/>
    <w:rsid w:val="31454835"/>
    <w:rsid w:val="31BC575A"/>
    <w:rsid w:val="35330675"/>
    <w:rsid w:val="38064C58"/>
    <w:rsid w:val="3B8E1224"/>
    <w:rsid w:val="3E310C10"/>
    <w:rsid w:val="43DC18B8"/>
    <w:rsid w:val="443748E9"/>
    <w:rsid w:val="4628189F"/>
    <w:rsid w:val="471C7593"/>
    <w:rsid w:val="479A1DAC"/>
    <w:rsid w:val="47A22A7F"/>
    <w:rsid w:val="4C921F44"/>
    <w:rsid w:val="51AB1325"/>
    <w:rsid w:val="54490C63"/>
    <w:rsid w:val="54C73613"/>
    <w:rsid w:val="54DB720D"/>
    <w:rsid w:val="55BC0655"/>
    <w:rsid w:val="55C95050"/>
    <w:rsid w:val="55FD3202"/>
    <w:rsid w:val="56B52076"/>
    <w:rsid w:val="57DA57BE"/>
    <w:rsid w:val="5A7E2D2D"/>
    <w:rsid w:val="5C2D16D8"/>
    <w:rsid w:val="5DE14FA2"/>
    <w:rsid w:val="626E6380"/>
    <w:rsid w:val="63563FDD"/>
    <w:rsid w:val="651C1BF1"/>
    <w:rsid w:val="667D6792"/>
    <w:rsid w:val="69BF3715"/>
    <w:rsid w:val="6A62351F"/>
    <w:rsid w:val="6D3B409D"/>
    <w:rsid w:val="6F0234BD"/>
    <w:rsid w:val="6FC615E9"/>
    <w:rsid w:val="715E6BF8"/>
    <w:rsid w:val="72E6427F"/>
    <w:rsid w:val="747043AB"/>
    <w:rsid w:val="74BF50DE"/>
    <w:rsid w:val="759F1288"/>
    <w:rsid w:val="766324EF"/>
    <w:rsid w:val="7B6A678F"/>
    <w:rsid w:val="7D6F74C8"/>
    <w:rsid w:val="7DA64424"/>
    <w:rsid w:val="7F6E6B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
    <w:pPr>
      <w:adjustRightInd w:val="0"/>
      <w:snapToGrid w:val="0"/>
      <w:spacing w:line="360" w:lineRule="auto"/>
      <w:jc w:val="center"/>
      <w:outlineLvl w:val="0"/>
    </w:pPr>
    <w:rPr>
      <w:rFonts w:ascii="黑体" w:hAnsi="宋体" w:eastAsia="黑体" w:cs="Arial"/>
      <w:bCs/>
      <w:color w:val="000000"/>
      <w:w w:val="80"/>
      <w:sz w:val="36"/>
      <w:szCs w:val="36"/>
    </w:rPr>
  </w:style>
  <w:style w:type="paragraph" w:styleId="5">
    <w:name w:val="heading 2"/>
    <w:basedOn w:val="1"/>
    <w:next w:val="1"/>
    <w:autoRedefine/>
    <w:qFormat/>
    <w:uiPriority w:val="0"/>
    <w:pPr>
      <w:keepNext/>
      <w:adjustRightInd w:val="0"/>
      <w:spacing w:beforeLines="200" w:afterLines="100"/>
      <w:outlineLvl w:val="1"/>
    </w:pPr>
    <w:rPr>
      <w:b/>
      <w:sz w:val="32"/>
    </w:rPr>
  </w:style>
  <w:style w:type="paragraph" w:styleId="6">
    <w:name w:val="heading 3"/>
    <w:basedOn w:val="1"/>
    <w:next w:val="1"/>
    <w:autoRedefine/>
    <w:qFormat/>
    <w:uiPriority w:val="0"/>
    <w:pPr>
      <w:keepNext/>
      <w:keepLines/>
      <w:spacing w:before="260" w:after="260" w:line="416" w:lineRule="auto"/>
      <w:outlineLvl w:val="2"/>
    </w:pPr>
    <w:rPr>
      <w:b/>
      <w:bCs/>
      <w:sz w:val="32"/>
      <w:szCs w:val="32"/>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autoRedefine/>
    <w:qFormat/>
    <w:uiPriority w:val="0"/>
    <w:pPr>
      <w:spacing w:line="480" w:lineRule="exact"/>
      <w:ind w:firstLine="420"/>
    </w:pPr>
  </w:style>
  <w:style w:type="paragraph" w:styleId="3">
    <w:name w:val="Body Text Indent"/>
    <w:basedOn w:val="1"/>
    <w:autoRedefine/>
    <w:qFormat/>
    <w:uiPriority w:val="0"/>
    <w:pPr>
      <w:spacing w:after="120"/>
      <w:ind w:left="420" w:leftChars="200"/>
    </w:pPr>
  </w:style>
  <w:style w:type="paragraph" w:styleId="7">
    <w:name w:val="Normal Indent"/>
    <w:basedOn w:val="1"/>
    <w:autoRedefine/>
    <w:qFormat/>
    <w:uiPriority w:val="0"/>
    <w:pPr>
      <w:autoSpaceDE w:val="0"/>
      <w:autoSpaceDN w:val="0"/>
      <w:adjustRightInd w:val="0"/>
      <w:ind w:firstLine="420"/>
      <w:jc w:val="left"/>
    </w:pPr>
    <w:rPr>
      <w:rFonts w:ascii="宋体"/>
      <w:kern w:val="0"/>
      <w:sz w:val="24"/>
      <w:szCs w:val="20"/>
    </w:rPr>
  </w:style>
  <w:style w:type="paragraph" w:styleId="8">
    <w:name w:val="annotation text"/>
    <w:basedOn w:val="1"/>
    <w:autoRedefine/>
    <w:qFormat/>
    <w:uiPriority w:val="0"/>
    <w:pPr>
      <w:jc w:val="left"/>
    </w:pPr>
  </w:style>
  <w:style w:type="paragraph" w:styleId="9">
    <w:name w:val="Plain Text"/>
    <w:basedOn w:val="1"/>
    <w:autoRedefine/>
    <w:qFormat/>
    <w:uiPriority w:val="99"/>
    <w:rPr>
      <w:rFonts w:ascii="宋体" w:hAnsi="Courier New"/>
      <w:szCs w:val="21"/>
    </w:rPr>
  </w:style>
  <w:style w:type="paragraph" w:styleId="10">
    <w:name w:val="Date"/>
    <w:basedOn w:val="1"/>
    <w:next w:val="1"/>
    <w:autoRedefine/>
    <w:qFormat/>
    <w:uiPriority w:val="0"/>
    <w:rPr>
      <w:rFonts w:ascii="仿宋_GB2312" w:eastAsia="仿宋_GB2312"/>
      <w:kern w:val="0"/>
      <w:sz w:val="32"/>
      <w:szCs w:val="20"/>
    </w:rPr>
  </w:style>
  <w:style w:type="paragraph" w:styleId="11">
    <w:name w:val="Balloon Text"/>
    <w:basedOn w:val="1"/>
    <w:link w:val="34"/>
    <w:autoRedefine/>
    <w:qFormat/>
    <w:uiPriority w:val="0"/>
    <w:rPr>
      <w:sz w:val="18"/>
      <w:szCs w:val="18"/>
    </w:rPr>
  </w:style>
  <w:style w:type="paragraph" w:styleId="12">
    <w:name w:val="footer"/>
    <w:basedOn w:val="1"/>
    <w:autoRedefine/>
    <w:unhideWhenUsed/>
    <w:qFormat/>
    <w:uiPriority w:val="99"/>
    <w:pPr>
      <w:tabs>
        <w:tab w:val="center" w:pos="4153"/>
        <w:tab w:val="right" w:pos="8306"/>
      </w:tabs>
      <w:snapToGrid w:val="0"/>
      <w:jc w:val="left"/>
    </w:pPr>
    <w:rPr>
      <w:sz w:val="18"/>
      <w:szCs w:val="18"/>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autoRedefine/>
    <w:unhideWhenUsed/>
    <w:qFormat/>
    <w:uiPriority w:val="0"/>
  </w:style>
  <w:style w:type="character" w:styleId="17">
    <w:name w:val="annotation reference"/>
    <w:basedOn w:val="15"/>
    <w:autoRedefine/>
    <w:qFormat/>
    <w:uiPriority w:val="0"/>
    <w:rPr>
      <w:sz w:val="21"/>
      <w:szCs w:val="21"/>
    </w:rPr>
  </w:style>
  <w:style w:type="paragraph" w:customStyle="1" w:styleId="18">
    <w:name w:val="黑列表"/>
    <w:basedOn w:val="1"/>
    <w:autoRedefine/>
    <w:qFormat/>
    <w:uiPriority w:val="0"/>
    <w:pPr>
      <w:widowControl/>
      <w:numPr>
        <w:ilvl w:val="0"/>
        <w:numId w:val="1"/>
      </w:numPr>
      <w:tabs>
        <w:tab w:val="left" w:pos="960"/>
      </w:tabs>
      <w:adjustRightInd w:val="0"/>
      <w:spacing w:line="300" w:lineRule="auto"/>
      <w:jc w:val="left"/>
    </w:pPr>
    <w:rPr>
      <w:kern w:val="0"/>
      <w:sz w:val="24"/>
      <w:szCs w:val="20"/>
    </w:rPr>
  </w:style>
  <w:style w:type="paragraph" w:styleId="19">
    <w:name w:val="List Paragraph"/>
    <w:basedOn w:val="1"/>
    <w:autoRedefine/>
    <w:qFormat/>
    <w:uiPriority w:val="34"/>
    <w:pPr>
      <w:ind w:firstLine="420" w:firstLineChars="200"/>
    </w:pPr>
  </w:style>
  <w:style w:type="paragraph" w:customStyle="1" w:styleId="20">
    <w:name w:val="标题1"/>
    <w:next w:val="21"/>
    <w:autoRedefine/>
    <w:qFormat/>
    <w:uiPriority w:val="0"/>
    <w:pPr>
      <w:framePr w:wrap="around" w:vAnchor="margin" w:hAnchor="text" w:y="1"/>
      <w:widowControl w:val="0"/>
      <w:spacing w:line="360" w:lineRule="exact"/>
      <w:jc w:val="center"/>
      <w:outlineLvl w:val="1"/>
    </w:pPr>
    <w:rPr>
      <w:rFonts w:ascii="Cambria" w:hAnsi="Cambria" w:eastAsia="Cambria" w:cs="Cambria"/>
      <w:b/>
      <w:bCs/>
      <w:color w:val="000000"/>
      <w:kern w:val="2"/>
      <w:sz w:val="24"/>
      <w:szCs w:val="24"/>
      <w:lang w:val="en-US" w:eastAsia="zh-CN" w:bidi="ar-SA"/>
    </w:rPr>
  </w:style>
  <w:style w:type="paragraph" w:customStyle="1" w:styleId="21">
    <w:name w:val="正文 A"/>
    <w:autoRedefine/>
    <w:qFormat/>
    <w:uiPriority w:val="0"/>
    <w:pPr>
      <w:framePr w:wrap="around" w:vAnchor="margin" w:hAnchor="text" w:y="1"/>
      <w:widowControl w:val="0"/>
      <w:jc w:val="both"/>
    </w:pPr>
    <w:rPr>
      <w:rFonts w:ascii="Times New Roman" w:hAnsi="Times New Roman" w:eastAsia="Arial Unicode MS" w:cs="Arial Unicode MS"/>
      <w:color w:val="000000"/>
      <w:kern w:val="2"/>
      <w:sz w:val="21"/>
      <w:szCs w:val="21"/>
      <w:lang w:val="en-US" w:eastAsia="zh-CN" w:bidi="ar-SA"/>
    </w:rPr>
  </w:style>
  <w:style w:type="paragraph" w:customStyle="1" w:styleId="22">
    <w:name w:val="标题 11"/>
    <w:next w:val="21"/>
    <w:autoRedefine/>
    <w:qFormat/>
    <w:uiPriority w:val="0"/>
    <w:pPr>
      <w:keepNext/>
      <w:keepLines/>
      <w:framePr w:wrap="around" w:vAnchor="margin" w:hAnchor="text" w:y="1"/>
      <w:widowControl w:val="0"/>
      <w:spacing w:before="340" w:after="330" w:line="578" w:lineRule="auto"/>
      <w:jc w:val="both"/>
      <w:outlineLvl w:val="0"/>
    </w:pPr>
    <w:rPr>
      <w:rFonts w:ascii="Times New Roman" w:hAnsi="Times New Roman" w:eastAsia="Times New Roman" w:cs="Times New Roman"/>
      <w:b/>
      <w:bCs/>
      <w:color w:val="000000"/>
      <w:kern w:val="44"/>
      <w:sz w:val="44"/>
      <w:szCs w:val="44"/>
      <w:lang w:val="en-US" w:eastAsia="zh-CN" w:bidi="ar-SA"/>
    </w:rPr>
  </w:style>
  <w:style w:type="paragraph" w:customStyle="1" w:styleId="23">
    <w:name w:val="标题 21"/>
    <w:next w:val="21"/>
    <w:autoRedefine/>
    <w:qFormat/>
    <w:uiPriority w:val="0"/>
    <w:pPr>
      <w:keepNext/>
      <w:keepLines/>
      <w:framePr w:wrap="around" w:vAnchor="margin" w:hAnchor="text" w:y="1"/>
      <w:widowControl w:val="0"/>
      <w:spacing w:before="260" w:after="260" w:line="416" w:lineRule="auto"/>
      <w:jc w:val="both"/>
      <w:outlineLvl w:val="2"/>
    </w:pPr>
    <w:rPr>
      <w:rFonts w:ascii="Cambria" w:hAnsi="Cambria" w:eastAsia="Cambria" w:cs="Cambria"/>
      <w:b/>
      <w:bCs/>
      <w:color w:val="000000"/>
      <w:kern w:val="2"/>
      <w:sz w:val="32"/>
      <w:szCs w:val="32"/>
      <w:lang w:val="en-US" w:eastAsia="zh-CN" w:bidi="ar-SA"/>
    </w:rPr>
  </w:style>
  <w:style w:type="paragraph" w:customStyle="1" w:styleId="24">
    <w:name w:val="表标题"/>
    <w:basedOn w:val="1"/>
    <w:autoRedefine/>
    <w:qFormat/>
    <w:uiPriority w:val="0"/>
    <w:pPr>
      <w:keepNext/>
      <w:spacing w:before="360" w:after="240"/>
      <w:jc w:val="center"/>
    </w:pPr>
    <w:rPr>
      <w:b/>
      <w:bCs/>
      <w:sz w:val="24"/>
    </w:rPr>
  </w:style>
  <w:style w:type="paragraph" w:customStyle="1" w:styleId="25">
    <w:name w:val="标书表标题行"/>
    <w:basedOn w:val="1"/>
    <w:autoRedefine/>
    <w:qFormat/>
    <w:uiPriority w:val="99"/>
    <w:pPr>
      <w:jc w:val="center"/>
    </w:pPr>
    <w:rPr>
      <w:rFonts w:ascii="仿宋_GB2312" w:hAnsi="宋体" w:eastAsia="仿宋_GB2312" w:cs="宋体"/>
      <w:b/>
      <w:bCs/>
      <w:color w:val="000000"/>
      <w:szCs w:val="20"/>
    </w:rPr>
  </w:style>
  <w:style w:type="paragraph" w:customStyle="1" w:styleId="26">
    <w:name w:val="标书表标题列"/>
    <w:basedOn w:val="1"/>
    <w:autoRedefine/>
    <w:qFormat/>
    <w:uiPriority w:val="99"/>
    <w:pPr>
      <w:topLinePunct/>
      <w:adjustRightInd w:val="0"/>
      <w:snapToGrid w:val="0"/>
      <w:jc w:val="center"/>
      <w:textAlignment w:val="center"/>
    </w:pPr>
    <w:rPr>
      <w:rFonts w:ascii="仿宋_GB2312" w:hAnsi="仿宋_GB2312" w:eastAsia="仿宋_GB2312"/>
      <w:b/>
      <w:bCs/>
      <w:color w:val="000000"/>
      <w:szCs w:val="18"/>
    </w:rPr>
  </w:style>
  <w:style w:type="paragraph" w:customStyle="1" w:styleId="27">
    <w:name w:val="标书表内容"/>
    <w:basedOn w:val="1"/>
    <w:autoRedefine/>
    <w:qFormat/>
    <w:uiPriority w:val="99"/>
    <w:pPr>
      <w:jc w:val="center"/>
    </w:pPr>
    <w:rPr>
      <w:rFonts w:ascii="仿宋_GB2312" w:hAnsi="宋体" w:eastAsia="仿宋_GB2312" w:cs="宋体"/>
      <w:color w:val="000000"/>
      <w:szCs w:val="20"/>
    </w:rPr>
  </w:style>
  <w:style w:type="character" w:customStyle="1" w:styleId="28">
    <w:name w:val="font11"/>
    <w:basedOn w:val="15"/>
    <w:autoRedefine/>
    <w:qFormat/>
    <w:uiPriority w:val="0"/>
    <w:rPr>
      <w:rFonts w:hint="eastAsia" w:ascii="宋体" w:hAnsi="宋体" w:eastAsia="宋体" w:cs="宋体"/>
      <w:b/>
      <w:color w:val="000000"/>
      <w:sz w:val="22"/>
      <w:szCs w:val="22"/>
      <w:u w:val="none"/>
    </w:rPr>
  </w:style>
  <w:style w:type="paragraph" w:customStyle="1" w:styleId="29">
    <w:name w:val="_Style 72"/>
    <w:basedOn w:val="1"/>
    <w:next w:val="19"/>
    <w:autoRedefine/>
    <w:qFormat/>
    <w:uiPriority w:val="34"/>
    <w:pPr>
      <w:ind w:firstLine="420" w:firstLineChars="200"/>
    </w:pPr>
  </w:style>
  <w:style w:type="paragraph" w:customStyle="1" w:styleId="30">
    <w:name w:val="表格标题行"/>
    <w:basedOn w:val="31"/>
    <w:autoRedefine/>
    <w:qFormat/>
    <w:uiPriority w:val="0"/>
    <w:pPr>
      <w:jc w:val="center"/>
    </w:pPr>
    <w:rPr>
      <w:b/>
    </w:rPr>
  </w:style>
  <w:style w:type="paragraph" w:customStyle="1" w:styleId="31">
    <w:name w:val="表内容"/>
    <w:basedOn w:val="1"/>
    <w:autoRedefine/>
    <w:qFormat/>
    <w:uiPriority w:val="0"/>
    <w:pPr>
      <w:widowControl/>
      <w:jc w:val="left"/>
    </w:pPr>
    <w:rPr>
      <w:rFonts w:ascii="宋体" w:hAnsi="宋体"/>
      <w:kern w:val="0"/>
    </w:rPr>
  </w:style>
  <w:style w:type="paragraph" w:customStyle="1" w:styleId="32">
    <w:name w:val="正文格式"/>
    <w:basedOn w:val="1"/>
    <w:autoRedefine/>
    <w:qFormat/>
    <w:uiPriority w:val="0"/>
    <w:pPr>
      <w:spacing w:beforeLines="50" w:afterLines="50" w:line="360" w:lineRule="auto"/>
    </w:pPr>
  </w:style>
  <w:style w:type="paragraph" w:customStyle="1" w:styleId="33">
    <w:name w:val="列出段落1"/>
    <w:basedOn w:val="1"/>
    <w:autoRedefine/>
    <w:qFormat/>
    <w:uiPriority w:val="34"/>
    <w:pPr>
      <w:ind w:firstLine="420" w:firstLineChars="200"/>
    </w:pPr>
    <w:rPr>
      <w:lang w:val="zh-CN"/>
    </w:rPr>
  </w:style>
  <w:style w:type="character" w:customStyle="1" w:styleId="34">
    <w:name w:val="批注框文本 字符"/>
    <w:basedOn w:val="15"/>
    <w:link w:val="11"/>
    <w:autoRedefine/>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328</Words>
  <Characters>1870</Characters>
  <Lines>15</Lines>
  <Paragraphs>4</Paragraphs>
  <TotalTime>59</TotalTime>
  <ScaleCrop>false</ScaleCrop>
  <LinksUpToDate>false</LinksUpToDate>
  <CharactersWithSpaces>2194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2024-04-30T02:57:00Z</dcterms:created>
  <dc:creator>李雪莹</dc:creator>
  <cp:lastModifiedBy>王琛之</cp:lastModifiedBy>
  <dcterms:modified xsi:type="dcterms:W3CDTF">2024-05-06T01:53:50Z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8AB962B75268417BBCCB185C299DEDBF</vt:lpwstr>
  </property>
</Properties>
</file>