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outlineLvl w:val="0"/>
        <w:rPr>
          <w:b/>
          <w:sz w:val="36"/>
          <w:szCs w:val="36"/>
          <w:highlight w:val="none"/>
        </w:rPr>
      </w:pPr>
      <w:bookmarkStart w:id="0" w:name="_Toc99301424"/>
      <w:bookmarkStart w:id="1" w:name="_Toc265228393"/>
      <w:bookmarkStart w:id="2" w:name="_Toc353873665"/>
      <w:bookmarkStart w:id="3" w:name="_Toc353873935"/>
      <w:bookmarkStart w:id="4" w:name="_Toc305158823"/>
      <w:bookmarkStart w:id="5" w:name="_Toc150480793"/>
      <w:bookmarkStart w:id="6" w:name="_Toc264969245"/>
      <w:bookmarkStart w:id="7" w:name="_Toc226337251"/>
      <w:bookmarkStart w:id="8" w:name="_Toc195842920"/>
      <w:bookmarkStart w:id="9" w:name="_Toc226965828"/>
      <w:bookmarkStart w:id="10" w:name="_Toc353825545"/>
      <w:bookmarkStart w:id="11" w:name="_Toc305158897"/>
      <w:bookmarkStart w:id="12" w:name="_Toc142311057"/>
      <w:bookmarkStart w:id="13" w:name="_Toc150774760"/>
      <w:bookmarkStart w:id="14" w:name="_Toc127151555"/>
      <w:bookmarkStart w:id="20" w:name="_GoBack"/>
      <w:r>
        <w:rPr>
          <w:b/>
          <w:sz w:val="36"/>
          <w:szCs w:val="36"/>
          <w:highlight w:val="none"/>
        </w:rPr>
        <w:t>第五章   采购需求</w:t>
      </w:r>
      <w:bookmarkEnd w:id="0"/>
    </w:p>
    <w:p>
      <w:pPr>
        <w:spacing w:line="360" w:lineRule="auto"/>
        <w:contextualSpacing/>
        <w:rPr>
          <w:sz w:val="24"/>
          <w:highlight w:val="none"/>
        </w:rPr>
      </w:pPr>
    </w:p>
    <w:p>
      <w:pPr>
        <w:pStyle w:val="60"/>
        <w:spacing w:line="360" w:lineRule="auto"/>
        <w:ind w:firstLine="0" w:firstLineChars="0"/>
        <w:contextualSpacing/>
        <w:outlineLvl w:val="0"/>
        <w:rPr>
          <w:rFonts w:ascii="Times New Roman" w:hAnsi="Times New Roman"/>
          <w:b/>
          <w:sz w:val="24"/>
          <w:szCs w:val="24"/>
          <w:highlight w:val="none"/>
        </w:rPr>
      </w:pPr>
      <w:bookmarkStart w:id="15" w:name="_Hlk168431603"/>
      <w:bookmarkStart w:id="16" w:name="_Hlk167284587"/>
      <w:r>
        <w:rPr>
          <w:rFonts w:hint="eastAsia" w:ascii="Times New Roman" w:hAnsi="Times New Roman"/>
          <w:b/>
          <w:sz w:val="24"/>
          <w:szCs w:val="24"/>
          <w:highlight w:val="none"/>
        </w:rPr>
        <w:t>一、</w:t>
      </w:r>
      <w:r>
        <w:rPr>
          <w:rFonts w:ascii="Times New Roman" w:hAnsi="Times New Roman"/>
          <w:b/>
          <w:sz w:val="24"/>
          <w:szCs w:val="24"/>
          <w:highlight w:val="none"/>
        </w:rPr>
        <w:t>采购标的</w:t>
      </w:r>
    </w:p>
    <w:p>
      <w:pPr>
        <w:pStyle w:val="261"/>
        <w:spacing w:line="360" w:lineRule="auto"/>
        <w:ind w:firstLine="640"/>
        <w:rPr>
          <w:rFonts w:hint="eastAsia" w:ascii="宋体" w:hAnsi="宋体" w:cs="宋体"/>
          <w:sz w:val="24"/>
          <w:highlight w:val="none"/>
        </w:rPr>
      </w:pPr>
      <w:r>
        <w:rPr>
          <w:rFonts w:hint="eastAsia" w:ascii="宋体" w:hAnsi="宋体" w:cs="宋体"/>
          <w:sz w:val="24"/>
          <w:highlight w:val="none"/>
        </w:rPr>
        <w:t>本项目预算金额145.32万元，采购一套精密空调室外机及配套设备、一套冷却水加压系统及配套设备、一套机组群控、阀门与管路。具体内容如下：</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精密空调室外机包含风冷螺杆冷水机组、螺杆式压缩机、自然冷却系统、风冷表冷器；</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冷却水加压系统包含变频离心循环泵、电源控制柜、过滤器及不锈钢编织软管；</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机组群控包含上位机及PLC控制箱；</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阀门与管路包含本项目水路改造所涉及的阀门、管路及管道防锈保温处理；</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含以上设备安装所涉及旧设备拆除、新设备安装及期间废弃物处理等。</w:t>
      </w:r>
    </w:p>
    <w:p>
      <w:pPr>
        <w:pStyle w:val="259"/>
        <w:spacing w:line="360" w:lineRule="auto"/>
        <w:ind w:firstLine="560"/>
        <w:rPr>
          <w:rFonts w:hint="default" w:ascii="宋体" w:hAnsi="宋体" w:eastAsia="宋体" w:cs="宋体"/>
          <w:sz w:val="24"/>
          <w:highlight w:val="none"/>
          <w:lang w:val="en-US" w:eastAsia="zh-CN"/>
        </w:rPr>
      </w:pPr>
      <w:r>
        <w:rPr>
          <w:rFonts w:hint="eastAsia" w:ascii="宋体" w:hAnsi="宋体" w:cs="宋体"/>
          <w:sz w:val="24"/>
          <w:highlight w:val="none"/>
        </w:rPr>
        <w:t>★</w:t>
      </w:r>
      <w:r>
        <w:rPr>
          <w:rFonts w:hint="eastAsia" w:ascii="宋体" w:hAnsi="宋体" w:cs="宋体"/>
          <w:sz w:val="24"/>
          <w:highlight w:val="none"/>
          <w:lang w:val="en"/>
        </w:rPr>
        <w:t>本项目核心产品为</w:t>
      </w:r>
      <w:r>
        <w:rPr>
          <w:rFonts w:hint="eastAsia" w:ascii="宋体" w:hAnsi="宋体" w:eastAsia="宋体" w:cs="宋体"/>
          <w:color w:val="000000"/>
          <w:szCs w:val="24"/>
          <w:highlight w:val="none"/>
        </w:rPr>
        <w:t>风冷螺杆冷水机组</w:t>
      </w:r>
      <w:r>
        <w:rPr>
          <w:rFonts w:hint="eastAsia" w:ascii="宋体" w:hAnsi="宋体" w:cs="宋体"/>
          <w:sz w:val="24"/>
          <w:highlight w:val="none"/>
          <w:lang w:eastAsia="zh-CN"/>
        </w:rPr>
        <w:t>；</w:t>
      </w:r>
      <w:r>
        <w:rPr>
          <w:rFonts w:hint="eastAsia" w:ascii="宋体" w:hAnsi="宋体" w:cs="宋体"/>
          <w:sz w:val="24"/>
          <w:highlight w:val="none"/>
          <w:lang w:val="en-US" w:eastAsia="zh-CN"/>
        </w:rPr>
        <w:t>投标人提供的精密空调室外机各组件（</w:t>
      </w:r>
      <w:r>
        <w:rPr>
          <w:rFonts w:hint="eastAsia" w:ascii="宋体" w:hAnsi="宋体" w:eastAsia="宋体" w:cs="宋体"/>
          <w:color w:val="000000"/>
          <w:szCs w:val="24"/>
          <w:highlight w:val="none"/>
        </w:rPr>
        <w:t>风冷螺杆冷水机组</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螺杆式压缩机</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自然冷却系统</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rPr>
        <w:t>风冷表冷器</w:t>
      </w:r>
      <w:r>
        <w:rPr>
          <w:rFonts w:hint="eastAsia" w:ascii="宋体" w:hAnsi="宋体" w:eastAsia="宋体" w:cs="宋体"/>
          <w:color w:val="000000"/>
          <w:szCs w:val="24"/>
          <w:highlight w:val="none"/>
          <w:lang w:eastAsia="zh-CN"/>
        </w:rPr>
        <w:t>）</w:t>
      </w:r>
      <w:r>
        <w:rPr>
          <w:rFonts w:hint="eastAsia" w:ascii="宋体" w:hAnsi="宋体" w:eastAsia="宋体" w:cs="宋体"/>
          <w:color w:val="000000"/>
          <w:szCs w:val="24"/>
          <w:highlight w:val="none"/>
          <w:lang w:val="en-US" w:eastAsia="zh-CN"/>
        </w:rPr>
        <w:t>须为同一品牌</w:t>
      </w:r>
      <w:r>
        <w:rPr>
          <w:rFonts w:hint="eastAsia" w:ascii="宋体" w:hAnsi="宋体" w:cs="宋体"/>
          <w:sz w:val="24"/>
          <w:highlight w:val="none"/>
        </w:rPr>
        <w:t>。</w:t>
      </w:r>
      <w:r>
        <w:rPr>
          <w:rFonts w:hint="eastAsia" w:ascii="宋体" w:hAnsi="宋体" w:cs="宋体"/>
          <w:sz w:val="24"/>
          <w:highlight w:val="none"/>
          <w:lang w:eastAsia="zh-CN"/>
        </w:rPr>
        <w:t>（</w:t>
      </w:r>
      <w:r>
        <w:rPr>
          <w:rFonts w:hint="eastAsia" w:ascii="宋体" w:hAnsi="宋体" w:cs="宋体"/>
          <w:sz w:val="24"/>
          <w:highlight w:val="none"/>
          <w:lang w:val="en-US" w:eastAsia="zh-CN"/>
        </w:rPr>
        <w:t>响应时应提供承诺函并加盖投标人公章，格式自拟）</w:t>
      </w:r>
    </w:p>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1.1 货物需求一览表</w:t>
      </w:r>
    </w:p>
    <w:tbl>
      <w:tblPr>
        <w:tblStyle w:val="44"/>
        <w:tblW w:w="8190" w:type="dxa"/>
        <w:tblInd w:w="0" w:type="dxa"/>
        <w:tblLayout w:type="fixed"/>
        <w:tblCellMar>
          <w:top w:w="15" w:type="dxa"/>
          <w:left w:w="15" w:type="dxa"/>
          <w:bottom w:w="15" w:type="dxa"/>
          <w:right w:w="15" w:type="dxa"/>
        </w:tblCellMar>
      </w:tblPr>
      <w:tblGrid>
        <w:gridCol w:w="757"/>
        <w:gridCol w:w="1793"/>
        <w:gridCol w:w="2956"/>
        <w:gridCol w:w="1290"/>
        <w:gridCol w:w="1394"/>
      </w:tblGrid>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序号</w:t>
            </w:r>
          </w:p>
        </w:tc>
        <w:tc>
          <w:tcPr>
            <w:tcW w:w="1793"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lang w:eastAsia="zh-CN"/>
              </w:rPr>
              <w:t>标的</w:t>
            </w:r>
            <w:r>
              <w:rPr>
                <w:rFonts w:ascii="仿宋_GB2312" w:hAnsi="仿宋_GB2312" w:eastAsia="仿宋_GB2312" w:cs="仿宋_GB2312"/>
                <w:b/>
                <w:bCs/>
                <w:color w:val="000000"/>
                <w:szCs w:val="21"/>
                <w:highlight w:val="none"/>
              </w:rPr>
              <w:t>类别</w:t>
            </w:r>
          </w:p>
        </w:tc>
        <w:tc>
          <w:tcPr>
            <w:tcW w:w="2956"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lang w:eastAsia="zh-CN"/>
              </w:rPr>
              <w:t>标的</w:t>
            </w:r>
            <w:r>
              <w:rPr>
                <w:rFonts w:ascii="仿宋_GB2312" w:hAnsi="仿宋_GB2312" w:eastAsia="仿宋_GB2312" w:cs="仿宋_GB2312"/>
                <w:b/>
                <w:bCs/>
                <w:color w:val="000000"/>
                <w:szCs w:val="21"/>
                <w:highlight w:val="none"/>
              </w:rPr>
              <w:t>名称</w:t>
            </w:r>
          </w:p>
        </w:tc>
        <w:tc>
          <w:tcPr>
            <w:tcW w:w="1290"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数量</w:t>
            </w:r>
          </w:p>
        </w:tc>
        <w:tc>
          <w:tcPr>
            <w:tcW w:w="1394"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单位</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793" w:type="dxa"/>
            <w:vMerge w:val="restart"/>
            <w:tcBorders>
              <w:top w:val="single" w:color="000000" w:sz="6" w:space="0"/>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lang w:val="en"/>
              </w:rPr>
              <w:t>精</w:t>
            </w:r>
            <w:r>
              <w:rPr>
                <w:rFonts w:ascii="仿宋_GB2312" w:hAnsi="仿宋_GB2312" w:eastAsia="仿宋_GB2312" w:cs="仿宋_GB2312"/>
                <w:color w:val="000000"/>
                <w:szCs w:val="21"/>
                <w:highlight w:val="none"/>
              </w:rPr>
              <w:t>密空调室外机</w:t>
            </w: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风冷螺杆冷水机组</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台</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螺杆式压缩机</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套</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3</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自然冷却系统</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台</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4</w:t>
            </w:r>
          </w:p>
        </w:tc>
        <w:tc>
          <w:tcPr>
            <w:tcW w:w="1793" w:type="dxa"/>
            <w:vMerge w:val="continue"/>
            <w:tcBorders>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风冷表冷器</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台</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5</w:t>
            </w:r>
          </w:p>
        </w:tc>
        <w:tc>
          <w:tcPr>
            <w:tcW w:w="1793" w:type="dxa"/>
            <w:vMerge w:val="restart"/>
            <w:tcBorders>
              <w:top w:val="single" w:color="000000" w:sz="6" w:space="0"/>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冷却水加压系统</w:t>
            </w: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变频离心循环泵</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台</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6</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电源控制柜</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套</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7</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过滤器</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套</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8</w:t>
            </w:r>
          </w:p>
        </w:tc>
        <w:tc>
          <w:tcPr>
            <w:tcW w:w="1793" w:type="dxa"/>
            <w:vMerge w:val="continue"/>
            <w:tcBorders>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不锈钢编</w:t>
            </w:r>
            <w:r>
              <w:rPr>
                <w:rFonts w:hint="eastAsia" w:ascii="仿宋_GB2312" w:hAnsi="仿宋_GB2312" w:eastAsia="仿宋_GB2312" w:cs="仿宋_GB2312"/>
                <w:color w:val="000000"/>
                <w:szCs w:val="21"/>
                <w:highlight w:val="none"/>
              </w:rPr>
              <w:t>织</w:t>
            </w:r>
            <w:r>
              <w:rPr>
                <w:rFonts w:ascii="仿宋_GB2312" w:hAnsi="仿宋_GB2312" w:eastAsia="仿宋_GB2312" w:cs="仿宋_GB2312"/>
                <w:color w:val="000000"/>
                <w:szCs w:val="21"/>
                <w:highlight w:val="none"/>
              </w:rPr>
              <w:t>软管</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套</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9</w:t>
            </w:r>
          </w:p>
        </w:tc>
        <w:tc>
          <w:tcPr>
            <w:tcW w:w="1793" w:type="dxa"/>
            <w:vMerge w:val="restart"/>
            <w:tcBorders>
              <w:top w:val="single" w:color="000000" w:sz="6" w:space="0"/>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机组群控</w:t>
            </w: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上位机</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10</w:t>
            </w:r>
          </w:p>
        </w:tc>
        <w:tc>
          <w:tcPr>
            <w:tcW w:w="1793" w:type="dxa"/>
            <w:vMerge w:val="continue"/>
            <w:tcBorders>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PLC控制箱</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11</w:t>
            </w:r>
          </w:p>
        </w:tc>
        <w:tc>
          <w:tcPr>
            <w:tcW w:w="1793" w:type="dxa"/>
            <w:vMerge w:val="restart"/>
            <w:tcBorders>
              <w:top w:val="single" w:color="000000" w:sz="6" w:space="0"/>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阀门与管路</w:t>
            </w: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电动平衡阀</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12</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电动蝶阀</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13</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手动阀门DN125</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6</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14</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手动阀门DN200</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6</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个</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15</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镀锌钢管</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20</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米</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16</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管道防锈</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20</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米</w:t>
            </w:r>
          </w:p>
        </w:tc>
      </w:tr>
      <w:tr>
        <w:tblPrEx>
          <w:tblLayout w:type="fixed"/>
          <w:tblCellMar>
            <w:top w:w="15" w:type="dxa"/>
            <w:left w:w="15" w:type="dxa"/>
            <w:bottom w:w="15" w:type="dxa"/>
            <w:right w:w="15" w:type="dxa"/>
          </w:tblCellMar>
        </w:tblPrEx>
        <w:tc>
          <w:tcPr>
            <w:tcW w:w="75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17</w:t>
            </w:r>
          </w:p>
        </w:tc>
        <w:tc>
          <w:tcPr>
            <w:tcW w:w="1793" w:type="dxa"/>
            <w:vMerge w:val="continue"/>
            <w:tcBorders>
              <w:left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p>
        </w:tc>
        <w:tc>
          <w:tcPr>
            <w:tcW w:w="295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管道保温处理</w:t>
            </w:r>
          </w:p>
        </w:tc>
        <w:tc>
          <w:tcPr>
            <w:tcW w:w="129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20</w:t>
            </w:r>
          </w:p>
        </w:tc>
        <w:tc>
          <w:tcPr>
            <w:tcW w:w="139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米</w:t>
            </w:r>
          </w:p>
        </w:tc>
      </w:tr>
    </w:tbl>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1.2 服务需求</w:t>
      </w:r>
    </w:p>
    <w:p>
      <w:pPr>
        <w:pStyle w:val="259"/>
        <w:spacing w:line="360" w:lineRule="auto"/>
        <w:ind w:firstLine="560"/>
        <w:rPr>
          <w:sz w:val="24"/>
          <w:highlight w:val="none"/>
        </w:rPr>
      </w:pPr>
      <w:r>
        <w:rPr>
          <w:rFonts w:hint="eastAsia" w:ascii="宋体" w:hAnsi="宋体" w:cs="宋体"/>
          <w:sz w:val="24"/>
          <w:highlight w:val="none"/>
        </w:rPr>
        <w:t>本项目服务内容包括：</w:t>
      </w:r>
    </w:p>
    <w:p>
      <w:pPr>
        <w:pStyle w:val="259"/>
        <w:spacing w:line="360" w:lineRule="auto"/>
        <w:ind w:firstLine="560"/>
        <w:rPr>
          <w:sz w:val="24"/>
          <w:highlight w:val="none"/>
        </w:rPr>
      </w:pPr>
      <w:r>
        <w:rPr>
          <w:rFonts w:hint="eastAsia"/>
          <w:sz w:val="24"/>
          <w:highlight w:val="none"/>
        </w:rPr>
        <w:t>投标人须更换一</w:t>
      </w:r>
      <w:r>
        <w:rPr>
          <w:rFonts w:hint="eastAsia" w:ascii="宋体" w:hAnsi="宋体" w:cs="宋体"/>
          <w:sz w:val="24"/>
          <w:highlight w:val="none"/>
        </w:rPr>
        <w:t>套精密空调</w:t>
      </w:r>
      <w:r>
        <w:rPr>
          <w:rFonts w:hint="eastAsia"/>
          <w:sz w:val="24"/>
          <w:highlight w:val="none"/>
        </w:rPr>
        <w:t>室外机，拆除旧设备，安装调试新设备；对现有空调系统进行测量，针对现有一台因冷却水回水量不足而无法正常运行的室外机进行改造方案设计，并通过安装额外冷却水加压系统的方式满足该室外机运行需求；更换现有空调系统机组群控，将新旧空调设备及新风设备接入机组群控，使机组群控可根据实际热负荷动态调整空调设备运行状态、自动负责均衡，各设备在高效区间运行、实现设备N+1冗余控制策略、自动通过设备轮换运行机制均衡各设备运行时间，防止个别设备长期高负荷运转、实现局域网内远程控制。</w:t>
      </w:r>
    </w:p>
    <w:p>
      <w:pPr>
        <w:pStyle w:val="259"/>
        <w:spacing w:line="360" w:lineRule="auto"/>
        <w:ind w:firstLine="560"/>
        <w:rPr>
          <w:sz w:val="24"/>
          <w:highlight w:val="none"/>
        </w:rPr>
      </w:pPr>
      <w:r>
        <w:rPr>
          <w:rFonts w:hint="eastAsia"/>
          <w:sz w:val="24"/>
          <w:highlight w:val="none"/>
        </w:rPr>
        <w:t>投标人须在实施安装前根据现场情况，对空调系统进行测算并制定安装改造方案，提供安装图纸和货物安装实施方案。</w:t>
      </w:r>
    </w:p>
    <w:p>
      <w:pPr>
        <w:pStyle w:val="259"/>
        <w:spacing w:line="360" w:lineRule="auto"/>
        <w:ind w:firstLine="560"/>
        <w:rPr>
          <w:sz w:val="24"/>
          <w:highlight w:val="none"/>
        </w:rPr>
      </w:pPr>
      <w:r>
        <w:rPr>
          <w:rFonts w:hint="eastAsia"/>
          <w:sz w:val="24"/>
          <w:highlight w:val="none"/>
        </w:rPr>
        <w:t>投标人须配合采购人将新采购设备接入现有的动环监控平台。</w:t>
      </w:r>
    </w:p>
    <w:p>
      <w:pPr>
        <w:pStyle w:val="259"/>
        <w:spacing w:line="360" w:lineRule="auto"/>
        <w:ind w:firstLine="560"/>
        <w:rPr>
          <w:sz w:val="24"/>
          <w:highlight w:val="none"/>
        </w:rPr>
      </w:pPr>
      <w:r>
        <w:rPr>
          <w:rFonts w:hint="eastAsia"/>
          <w:sz w:val="24"/>
          <w:highlight w:val="none"/>
        </w:rPr>
        <w:t>投标人须确保实施期间不影响数据中心正常运行。</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2. 项目背景</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采购人拟对国家税务总局北京市税务局门头沟数据中心现有空调系统进行更新改造，使空调系统制冷能力满足数据中心散热需求，并增强空调系统可靠性与冗余能力。该项目严格遵循功能性、实用性与合理性相统一的设计理念，通过模块化布局与智能化管理系统，全面贯彻"安全运行有保障、能源消耗可控制、运维操作易实施、建设成本可优化"四位一体的实施方针。</w:t>
      </w:r>
    </w:p>
    <w:p>
      <w:pPr>
        <w:pStyle w:val="60"/>
        <w:spacing w:line="360" w:lineRule="auto"/>
        <w:ind w:firstLine="0" w:firstLineChars="0"/>
        <w:contextualSpacing/>
        <w:outlineLvl w:val="0"/>
        <w:rPr>
          <w:rFonts w:ascii="Times New Roman" w:hAnsi="Times New Roman"/>
          <w:b/>
          <w:sz w:val="24"/>
          <w:szCs w:val="24"/>
          <w:highlight w:val="none"/>
        </w:rPr>
      </w:pPr>
      <w:r>
        <w:rPr>
          <w:rFonts w:hint="eastAsia" w:ascii="Times New Roman" w:hAnsi="Times New Roman"/>
          <w:b/>
          <w:sz w:val="24"/>
          <w:szCs w:val="24"/>
          <w:highlight w:val="none"/>
        </w:rPr>
        <w:t>二、</w:t>
      </w:r>
      <w:r>
        <w:rPr>
          <w:rFonts w:ascii="Times New Roman" w:hAnsi="Times New Roman"/>
          <w:b/>
          <w:sz w:val="24"/>
          <w:szCs w:val="24"/>
          <w:highlight w:val="none"/>
        </w:rPr>
        <w:t>商务要求</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1. 交付（实施）的时间（期限）和地点（范围）</w:t>
      </w:r>
    </w:p>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1.1 实施时间</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自签订合同日起65日内完成本项目。自签订合同之日起45日内到货；到货验收合格之日起20日内完成安装及调试</w:t>
      </w:r>
      <w:r>
        <w:rPr>
          <w:rFonts w:hint="eastAsia"/>
          <w:highlight w:val="none"/>
          <w:lang w:eastAsia="zh-CN"/>
        </w:rPr>
        <w:t>。</w:t>
      </w:r>
      <w:r>
        <w:rPr>
          <w:rFonts w:hint="eastAsia" w:ascii="宋体" w:hAnsi="宋体" w:cs="宋体"/>
          <w:sz w:val="24"/>
          <w:highlight w:val="none"/>
        </w:rPr>
        <w:t xml:space="preserve"> </w:t>
      </w:r>
    </w:p>
    <w:p>
      <w:pPr>
        <w:pStyle w:val="60"/>
        <w:spacing w:line="360" w:lineRule="auto"/>
        <w:ind w:firstLine="482"/>
        <w:rPr>
          <w:rFonts w:hint="eastAsia" w:ascii="Times New Roman" w:hAnsi="Times New Roman"/>
          <w:b/>
          <w:sz w:val="24"/>
          <w:szCs w:val="24"/>
          <w:highlight w:val="none"/>
        </w:rPr>
      </w:pPr>
      <w:r>
        <w:rPr>
          <w:rFonts w:hint="eastAsia" w:ascii="Times New Roman" w:hAnsi="Times New Roman"/>
          <w:b/>
          <w:sz w:val="24"/>
          <w:szCs w:val="24"/>
          <w:highlight w:val="none"/>
        </w:rPr>
        <w:t>1.2 实施地点</w:t>
      </w:r>
    </w:p>
    <w:p>
      <w:pPr>
        <w:pStyle w:val="259"/>
        <w:ind w:firstLine="560"/>
        <w:rPr>
          <w:rFonts w:hint="eastAsia" w:ascii="宋体" w:hAnsi="宋体" w:cs="宋体"/>
          <w:sz w:val="24"/>
          <w:highlight w:val="none"/>
        </w:rPr>
      </w:pPr>
      <w:r>
        <w:rPr>
          <w:rFonts w:hint="eastAsia" w:ascii="宋体" w:hAnsi="宋体" w:cs="宋体"/>
          <w:sz w:val="24"/>
          <w:highlight w:val="none"/>
        </w:rPr>
        <w:t>门头沟数据中心</w:t>
      </w:r>
    </w:p>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1.3 实施范围</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更换一套严重老化、故障频发的室外机（3号室外机）；改造空调系统，通过增加额外冷却水加压系统使一套因冷却水流量不足而无法启动的室外机（1号室外机）正常运行；更换老化的机组群控，满足对空调系统运行的监控需求。</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2. 付款条件（进度和方式）</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除合同条款另有约定外，采购人应通过以下方式和比例向中标人支付合同价款：</w:t>
      </w:r>
    </w:p>
    <w:tbl>
      <w:tblPr>
        <w:tblStyle w:val="44"/>
        <w:tblW w:w="8350" w:type="dxa"/>
        <w:tblInd w:w="30" w:type="dxa"/>
        <w:tblLayout w:type="fixed"/>
        <w:tblCellMar>
          <w:top w:w="15" w:type="dxa"/>
          <w:left w:w="15" w:type="dxa"/>
          <w:bottom w:w="15" w:type="dxa"/>
          <w:right w:w="15" w:type="dxa"/>
        </w:tblCellMar>
      </w:tblPr>
      <w:tblGrid>
        <w:gridCol w:w="1670"/>
        <w:gridCol w:w="5010"/>
        <w:gridCol w:w="1670"/>
      </w:tblGrid>
      <w:tr>
        <w:tblPrEx>
          <w:tblLayout w:type="fixed"/>
          <w:tblCellMar>
            <w:top w:w="15" w:type="dxa"/>
            <w:left w:w="15" w:type="dxa"/>
            <w:bottom w:w="15" w:type="dxa"/>
            <w:right w:w="15" w:type="dxa"/>
          </w:tblCellMar>
        </w:tblPrEx>
        <w:tc>
          <w:tcPr>
            <w:tcW w:w="1670"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付款名称</w:t>
            </w:r>
          </w:p>
        </w:tc>
        <w:tc>
          <w:tcPr>
            <w:tcW w:w="5010"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付款要求</w:t>
            </w:r>
          </w:p>
        </w:tc>
        <w:tc>
          <w:tcPr>
            <w:tcW w:w="1670"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付款比例(%)</w:t>
            </w:r>
          </w:p>
        </w:tc>
      </w:tr>
      <w:tr>
        <w:tblPrEx>
          <w:tblLayout w:type="fixed"/>
          <w:tblCellMar>
            <w:top w:w="15" w:type="dxa"/>
            <w:left w:w="15" w:type="dxa"/>
            <w:bottom w:w="15" w:type="dxa"/>
            <w:right w:w="15" w:type="dxa"/>
          </w:tblCellMar>
        </w:tblPrEx>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第1次付款</w:t>
            </w:r>
          </w:p>
        </w:tc>
        <w:tc>
          <w:tcPr>
            <w:tcW w:w="501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合同签订30日内，</w:t>
            </w:r>
            <w:r>
              <w:rPr>
                <w:rFonts w:hint="eastAsia" w:ascii="仿宋_GB2312" w:hAnsi="仿宋_GB2312" w:eastAsia="仿宋_GB2312" w:cs="仿宋_GB2312"/>
                <w:color w:val="000000"/>
                <w:szCs w:val="21"/>
                <w:highlight w:val="none"/>
                <w:lang w:val="en-US" w:eastAsia="zh-CN"/>
              </w:rPr>
              <w:t>采购人向中标人</w:t>
            </w:r>
            <w:r>
              <w:rPr>
                <w:rFonts w:hint="eastAsia" w:ascii="仿宋_GB2312" w:hAnsi="仿宋_GB2312" w:eastAsia="仿宋_GB2312" w:cs="仿宋_GB2312"/>
                <w:color w:val="000000"/>
                <w:szCs w:val="21"/>
                <w:highlight w:val="none"/>
              </w:rPr>
              <w:t>支付合同金额的40%，即人民币       元整（</w:t>
            </w:r>
            <w:r>
              <w:rPr>
                <w:rFonts w:hint="eastAsia" w:ascii="宋体" w:hAnsi="宋体" w:cs="宋体"/>
                <w:color w:val="000000"/>
                <w:szCs w:val="21"/>
                <w:highlight w:val="none"/>
              </w:rPr>
              <w:t>¥</w:t>
            </w:r>
            <w:r>
              <w:rPr>
                <w:rFonts w:hint="eastAsia" w:ascii="仿宋_GB2312" w:hAnsi="仿宋_GB2312" w:eastAsia="仿宋_GB2312" w:cs="仿宋_GB2312"/>
                <w:color w:val="000000"/>
                <w:szCs w:val="21"/>
                <w:highlight w:val="none"/>
              </w:rPr>
              <w:t xml:space="preserve">         ）</w:t>
            </w:r>
            <w:r>
              <w:rPr>
                <w:rFonts w:ascii="仿宋_GB2312" w:hAnsi="仿宋_GB2312" w:eastAsia="仿宋_GB2312" w:cs="仿宋_GB2312"/>
                <w:color w:val="000000"/>
                <w:szCs w:val="21"/>
                <w:highlight w:val="none"/>
              </w:rPr>
              <w:t>。</w:t>
            </w:r>
          </w:p>
        </w:tc>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r>
              <w:rPr>
                <w:rFonts w:ascii="仿宋_GB2312" w:hAnsi="仿宋_GB2312" w:eastAsia="仿宋_GB2312" w:cs="仿宋_GB2312"/>
                <w:color w:val="000000"/>
                <w:szCs w:val="21"/>
                <w:highlight w:val="none"/>
              </w:rPr>
              <w:t>0.0</w:t>
            </w:r>
          </w:p>
        </w:tc>
      </w:tr>
      <w:tr>
        <w:tblPrEx>
          <w:tblLayout w:type="fixed"/>
          <w:tblCellMar>
            <w:top w:w="15" w:type="dxa"/>
            <w:left w:w="15" w:type="dxa"/>
            <w:bottom w:w="15" w:type="dxa"/>
            <w:right w:w="15" w:type="dxa"/>
          </w:tblCellMar>
        </w:tblPrEx>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第2次付款</w:t>
            </w:r>
          </w:p>
        </w:tc>
        <w:tc>
          <w:tcPr>
            <w:tcW w:w="501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到货验收通过后，</w:t>
            </w:r>
            <w:r>
              <w:rPr>
                <w:rFonts w:hint="eastAsia" w:ascii="仿宋_GB2312" w:hAnsi="仿宋_GB2312" w:eastAsia="仿宋_GB2312" w:cs="仿宋_GB2312"/>
                <w:color w:val="000000"/>
                <w:szCs w:val="21"/>
                <w:highlight w:val="none"/>
                <w:lang w:val="en-US" w:eastAsia="zh-CN"/>
              </w:rPr>
              <w:t>采购人向中标人</w:t>
            </w:r>
            <w:r>
              <w:rPr>
                <w:rFonts w:hint="eastAsia" w:ascii="仿宋_GB2312" w:hAnsi="仿宋_GB2312" w:eastAsia="仿宋_GB2312" w:cs="仿宋_GB2312"/>
                <w:color w:val="000000"/>
                <w:szCs w:val="21"/>
                <w:highlight w:val="none"/>
              </w:rPr>
              <w:t>支付合同金额的35%，即人民币       元整（¥         ）</w:t>
            </w:r>
            <w:r>
              <w:rPr>
                <w:rFonts w:ascii="仿宋_GB2312" w:hAnsi="仿宋_GB2312" w:eastAsia="仿宋_GB2312" w:cs="仿宋_GB2312"/>
                <w:color w:val="000000"/>
                <w:szCs w:val="21"/>
                <w:highlight w:val="none"/>
              </w:rPr>
              <w:t>。</w:t>
            </w:r>
          </w:p>
        </w:tc>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3</w:t>
            </w:r>
            <w:r>
              <w:rPr>
                <w:rFonts w:hint="eastAsia" w:ascii="仿宋_GB2312" w:hAnsi="仿宋_GB2312" w:eastAsia="仿宋_GB2312" w:cs="仿宋_GB2312"/>
                <w:color w:val="000000"/>
                <w:szCs w:val="21"/>
                <w:highlight w:val="none"/>
              </w:rPr>
              <w:t>5</w:t>
            </w:r>
            <w:r>
              <w:rPr>
                <w:rFonts w:ascii="仿宋_GB2312" w:hAnsi="仿宋_GB2312" w:eastAsia="仿宋_GB2312" w:cs="仿宋_GB2312"/>
                <w:color w:val="000000"/>
                <w:szCs w:val="21"/>
                <w:highlight w:val="none"/>
              </w:rPr>
              <w:t>.0</w:t>
            </w:r>
          </w:p>
        </w:tc>
      </w:tr>
      <w:tr>
        <w:tblPrEx>
          <w:tblLayout w:type="fixed"/>
          <w:tblCellMar>
            <w:top w:w="15" w:type="dxa"/>
            <w:left w:w="15" w:type="dxa"/>
            <w:bottom w:w="15" w:type="dxa"/>
            <w:right w:w="15" w:type="dxa"/>
          </w:tblCellMar>
        </w:tblPrEx>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第</w:t>
            </w:r>
            <w:r>
              <w:rPr>
                <w:rFonts w:hint="eastAsia" w:ascii="仿宋_GB2312" w:hAnsi="仿宋_GB2312" w:eastAsia="仿宋_GB2312" w:cs="仿宋_GB2312"/>
                <w:color w:val="000000"/>
                <w:szCs w:val="21"/>
                <w:highlight w:val="none"/>
              </w:rPr>
              <w:t>3</w:t>
            </w:r>
            <w:r>
              <w:rPr>
                <w:rFonts w:ascii="仿宋_GB2312" w:hAnsi="仿宋_GB2312" w:eastAsia="仿宋_GB2312" w:cs="仿宋_GB2312"/>
                <w:color w:val="000000"/>
                <w:szCs w:val="21"/>
                <w:highlight w:val="none"/>
              </w:rPr>
              <w:t>次付款</w:t>
            </w:r>
          </w:p>
        </w:tc>
        <w:tc>
          <w:tcPr>
            <w:tcW w:w="501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终期验收</w:t>
            </w:r>
            <w:r>
              <w:rPr>
                <w:rFonts w:hint="eastAsia" w:ascii="仿宋_GB2312" w:hAnsi="仿宋_GB2312" w:eastAsia="仿宋_GB2312" w:cs="仿宋_GB2312"/>
                <w:color w:val="000000"/>
                <w:szCs w:val="21"/>
                <w:highlight w:val="none"/>
              </w:rPr>
              <w:t>通过后，以合同金额的25%为基准，扣除因考核不合格而因扣除的部分后支付</w:t>
            </w:r>
            <w:r>
              <w:rPr>
                <w:rFonts w:ascii="仿宋_GB2312" w:hAnsi="仿宋_GB2312" w:eastAsia="仿宋_GB2312" w:cs="仿宋_GB2312"/>
                <w:color w:val="000000"/>
                <w:szCs w:val="21"/>
                <w:highlight w:val="none"/>
              </w:rPr>
              <w:t>。</w:t>
            </w:r>
          </w:p>
        </w:tc>
        <w:tc>
          <w:tcPr>
            <w:tcW w:w="1670"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25</w:t>
            </w:r>
            <w:r>
              <w:rPr>
                <w:rFonts w:ascii="仿宋_GB2312" w:hAnsi="仿宋_GB2312" w:eastAsia="仿宋_GB2312" w:cs="仿宋_GB2312"/>
                <w:color w:val="000000"/>
                <w:szCs w:val="21"/>
                <w:highlight w:val="none"/>
              </w:rPr>
              <w:t>.0</w:t>
            </w:r>
          </w:p>
        </w:tc>
      </w:tr>
    </w:tbl>
    <w:p>
      <w:pPr>
        <w:spacing w:line="360" w:lineRule="auto"/>
        <w:contextualSpacing/>
        <w:rPr>
          <w:bCs/>
          <w:sz w:val="24"/>
          <w:highlight w:val="none"/>
        </w:rPr>
      </w:pP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3. 包装和运输</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投标人应提供能保持标的物完好的包装方式，适应运输以及气候变化，并承担相关费用。投标人对因包装或保护措施不当造成产品的任何损害和损失负赔偿责任，并承担因此给采购人造成的全部损失。双方对包装另有要求的，可另行约定。</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(2)投标人负责运输标的物到采购人指定地点，运费由投标人负责。</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(3)投标人应对产品的灭失、损坏、迟延造成的损失承担责任。</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(4)相关货物包装应当满足《关于印发〈商品包装政府采购需求标准（试行）〉、〈快递包装政府采购需求标准（试行）〉的通知》（财办库﹝2020﹞123号）。</w:t>
      </w:r>
    </w:p>
    <w:p>
      <w:pPr>
        <w:pStyle w:val="259"/>
        <w:spacing w:line="360" w:lineRule="auto"/>
        <w:ind w:firstLine="560"/>
        <w:rPr>
          <w:sz w:val="24"/>
          <w:highlight w:val="none"/>
        </w:rPr>
      </w:pPr>
      <w:r>
        <w:rPr>
          <w:rFonts w:hint="eastAsia" w:ascii="宋体" w:hAnsi="宋体" w:cs="宋体"/>
          <w:sz w:val="24"/>
          <w:highlight w:val="none"/>
        </w:rPr>
        <w:t>（5）投标人负责设备的卸货、搬运、上楼、就位、成品保护等相关工作。</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4. 售后服务（质保期）</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(1)投标人应保证系统设备正常运行，并积极响应采购人的技术服务需求，并对本项目所提供的所有设备自终验合格之日起提供3年质保。</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(2)在质保期内，若设备因非人为原因出现质量问题、故障或存在不合格部分，投标人应负责检测、维修（包括更换配件或产品）及系统调试，直至正常运行。</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(3)故障处置要求：在质保期内，投标人接到采购人售后通知后，应优先安排技术人员提供远程支持；若2小时内无法解决，则应在4小时内到达现场，修复缺陷或损坏。若因投标人或生产厂商原因导致产品出现缺陷或损坏，投标人须在24小时内修复完毕；如遇重大缺陷、损坏或因天气等不可抗力暂时无法修复的情况，具体修复时限由双方协商确定。</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(4)提供每周7*24小时电话、Email支持，随时为采购人提供产品技术咨询、日常维护知识及安装指导等服务。</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(5)在质保期内，每季度对本项目涉及的产品进行定期巡检、保养，以预防故障发生，保证系统的正常运行，并出具巡检报告。</w:t>
      </w:r>
    </w:p>
    <w:p>
      <w:pPr>
        <w:pStyle w:val="259"/>
        <w:spacing w:line="360" w:lineRule="auto"/>
        <w:ind w:firstLine="560"/>
        <w:rPr>
          <w:sz w:val="24"/>
          <w:highlight w:val="none"/>
        </w:rPr>
      </w:pPr>
      <w:r>
        <w:rPr>
          <w:rFonts w:hint="eastAsia" w:ascii="宋体" w:hAnsi="宋体" w:cs="宋体"/>
          <w:sz w:val="24"/>
          <w:highlight w:val="none"/>
        </w:rPr>
        <w:t>(6)维修完成后，所有维修记录应移交采购人一份，并详细说明问题所在、解决办法及注意事项。</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5. 保险</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如政府或者当地法律法规有要求的应当予以投保的事项,由中标人负责承担费用。</w:t>
      </w:r>
    </w:p>
    <w:p>
      <w:pPr>
        <w:pStyle w:val="60"/>
        <w:spacing w:line="360" w:lineRule="auto"/>
        <w:ind w:firstLine="482"/>
        <w:contextualSpacing/>
        <w:outlineLvl w:val="0"/>
        <w:rPr>
          <w:rFonts w:ascii="Times New Roman" w:hAnsi="Times New Roman"/>
          <w:b/>
          <w:sz w:val="24"/>
          <w:szCs w:val="24"/>
          <w:highlight w:val="none"/>
        </w:rPr>
      </w:pPr>
      <w:r>
        <w:rPr>
          <w:rFonts w:hint="eastAsia" w:ascii="Times New Roman" w:hAnsi="Times New Roman"/>
          <w:b/>
          <w:sz w:val="24"/>
          <w:szCs w:val="24"/>
          <w:highlight w:val="none"/>
        </w:rPr>
        <w:t>三、</w:t>
      </w:r>
      <w:r>
        <w:rPr>
          <w:rFonts w:ascii="Times New Roman" w:hAnsi="Times New Roman"/>
          <w:b/>
          <w:sz w:val="24"/>
          <w:szCs w:val="24"/>
          <w:highlight w:val="none"/>
        </w:rPr>
        <w:t>技术要求</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1. 基本要求</w:t>
      </w:r>
    </w:p>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1.1 采购标的需实现的功能或者目标</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国家税务总局北京市税务局对门头沟数据中心局部空调基础设施进行更新改造，以满足数据中心正常运行的需要。</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项目内容包括设备采购、实施安装及运行调试。</w:t>
      </w:r>
    </w:p>
    <w:p>
      <w:pPr>
        <w:pStyle w:val="60"/>
        <w:spacing w:line="360" w:lineRule="auto"/>
        <w:ind w:firstLine="0" w:firstLineChars="0"/>
        <w:contextualSpacing/>
        <w:outlineLvl w:val="2"/>
        <w:rPr>
          <w:rFonts w:ascii="Times New Roman" w:hAnsi="Times New Roman"/>
          <w:b/>
          <w:sz w:val="24"/>
          <w:szCs w:val="24"/>
          <w:highlight w:val="none"/>
        </w:rPr>
      </w:pPr>
      <w:r>
        <w:rPr>
          <w:rFonts w:hint="eastAsia" w:ascii="Times New Roman" w:hAnsi="Times New Roman"/>
          <w:b/>
          <w:sz w:val="24"/>
          <w:szCs w:val="24"/>
          <w:highlight w:val="none"/>
        </w:rPr>
        <w:t>1.2 需执行的国家相关标准、行业标准、地方标准或者其他标准、规范</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投标人应保证所提供的产品或设备及安装实施完全符合国家质量标准与技术规范：</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《信息安全技术网络安全等级保护基本要求》（GB/T 22239-2019）</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《数据中心设计规范》（GB 50174-2017）</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《数据中心基础设施施工及验收标准》（GB 50462-2024）</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《建筑电气工程施工质量验收规范》（GB 50303-2015）</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《电气装置安装工程接地装置施工及验收规范》（GB 50169-2016）</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《智能建筑工程质量验收规范》（GB/T 50339－2013）</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《通风与空调工程施工质量验收规范》 （GB 50243-2016）</w:t>
      </w:r>
    </w:p>
    <w:p>
      <w:pPr>
        <w:pStyle w:val="259"/>
        <w:spacing w:line="360" w:lineRule="auto"/>
        <w:ind w:firstLine="560"/>
        <w:rPr>
          <w:highlight w:val="none"/>
        </w:rPr>
      </w:pPr>
      <w:r>
        <w:rPr>
          <w:rFonts w:hint="eastAsia" w:ascii="宋体" w:hAnsi="宋体" w:cs="宋体"/>
          <w:sz w:val="24"/>
          <w:highlight w:val="none"/>
        </w:rPr>
        <w:t>《热泵和冷水机组能效限定值及能效等级》（GB 19577-2024）</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 xml:space="preserve">《数据中心和通信机房用空气调节机组》（GB/T 19413-2024） </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《建筑物电子信息系统防雷技术规范》（GB 50343-2012）</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《电动机能效限定值及能效等级》（</w:t>
      </w:r>
      <w:r>
        <w:rPr>
          <w:rFonts w:hint="eastAsia" w:ascii="宋体" w:hAnsi="宋体" w:cs="宋体"/>
          <w:color w:val="000000"/>
          <w:kern w:val="0"/>
          <w:sz w:val="22"/>
          <w:szCs w:val="22"/>
          <w:highlight w:val="none"/>
        </w:rPr>
        <w:t>GB 18613-2020</w:t>
      </w:r>
      <w:r>
        <w:rPr>
          <w:rFonts w:hint="eastAsia" w:ascii="宋体" w:hAnsi="宋体" w:cs="宋体"/>
          <w:sz w:val="24"/>
          <w:highlight w:val="none"/>
        </w:rPr>
        <w:t>）</w:t>
      </w: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2. 服务内容及要求/货物技术要求</w:t>
      </w:r>
    </w:p>
    <w:p>
      <w:pPr>
        <w:pStyle w:val="4"/>
        <w:rPr>
          <w:szCs w:val="24"/>
          <w:highlight w:val="none"/>
        </w:rPr>
      </w:pPr>
      <w:bookmarkStart w:id="17" w:name="_Toc256000022"/>
      <w:r>
        <w:rPr>
          <w:rFonts w:hint="eastAsia"/>
          <w:szCs w:val="24"/>
          <w:highlight w:val="none"/>
        </w:rPr>
        <w:t>2.1 采购产品详细清单及技术指标</w:t>
      </w:r>
      <w:bookmarkEnd w:id="17"/>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采购文件（技术部分）中有标注★号的，为必备指标要求，必须满足，如未作出响应或负偏离，将导致投标无效；#为重要指标内容、△为一般指标内容。“是否需要证明材料”项，填“是”的，投标人需提供包含相关指标项的证明材料，证明材料可使用生产厂家官方网站截图或产品白皮书或第三方检测机构检测报告或承诺函或其他相关证明材料，未提供有效证明材料或与证明材料中内容与所填报指标不一致的，该指标按不满足处理。填“否”的，需在技术偏离表中逐项响应。</w:t>
      </w:r>
    </w:p>
    <w:tbl>
      <w:tblPr>
        <w:tblStyle w:val="44"/>
        <w:tblW w:w="8562" w:type="dxa"/>
        <w:tblInd w:w="-24" w:type="dxa"/>
        <w:tblLayout w:type="fixed"/>
        <w:tblCellMar>
          <w:top w:w="0" w:type="dxa"/>
          <w:left w:w="108" w:type="dxa"/>
          <w:bottom w:w="0" w:type="dxa"/>
          <w:right w:w="108" w:type="dxa"/>
        </w:tblCellMar>
      </w:tblPr>
      <w:tblGrid>
        <w:gridCol w:w="550"/>
        <w:gridCol w:w="441"/>
        <w:gridCol w:w="1096"/>
        <w:gridCol w:w="4400"/>
        <w:gridCol w:w="563"/>
        <w:gridCol w:w="487"/>
        <w:gridCol w:w="1025"/>
      </w:tblGrid>
      <w:tr>
        <w:tblPrEx>
          <w:tblLayout w:type="fixed"/>
          <w:tblCellMar>
            <w:top w:w="0" w:type="dxa"/>
            <w:left w:w="108" w:type="dxa"/>
            <w:bottom w:w="0" w:type="dxa"/>
            <w:right w:w="108" w:type="dxa"/>
          </w:tblCellMar>
        </w:tblPrEx>
        <w:trPr>
          <w:trHeight w:val="2160" w:hRule="atLeast"/>
        </w:trPr>
        <w:tc>
          <w:tcPr>
            <w:tcW w:w="5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序号</w:t>
            </w:r>
          </w:p>
        </w:tc>
        <w:tc>
          <w:tcPr>
            <w:tcW w:w="44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指标种类</w:t>
            </w:r>
          </w:p>
        </w:tc>
        <w:tc>
          <w:tcPr>
            <w:tcW w:w="109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指标名称</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指标内容</w:t>
            </w:r>
          </w:p>
        </w:tc>
        <w:tc>
          <w:tcPr>
            <w:tcW w:w="56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数量</w:t>
            </w:r>
          </w:p>
        </w:tc>
        <w:tc>
          <w:tcPr>
            <w:tcW w:w="48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单位</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是否需要证明材料</w:t>
            </w:r>
          </w:p>
        </w:tc>
      </w:tr>
      <w:tr>
        <w:tblPrEx>
          <w:tblLayout w:type="fixed"/>
          <w:tblCellMar>
            <w:top w:w="0" w:type="dxa"/>
            <w:left w:w="108" w:type="dxa"/>
            <w:bottom w:w="0" w:type="dxa"/>
            <w:right w:w="108" w:type="dxa"/>
          </w:tblCellMar>
        </w:tblPrEx>
        <w:trPr>
          <w:trHeight w:val="270" w:hRule="atLeast"/>
        </w:trPr>
        <w:tc>
          <w:tcPr>
            <w:tcW w:w="8562" w:type="dxa"/>
            <w:gridSpan w:val="7"/>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精密空调室外机</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cs="宋体"/>
                <w:color w:val="000000"/>
                <w:kern w:val="0"/>
                <w:sz w:val="22"/>
                <w:szCs w:val="22"/>
                <w:highlight w:val="none"/>
                <w:lang w:val="en-US" w:eastAsia="zh-CN"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kern w:val="0"/>
                <w:sz w:val="22"/>
                <w:szCs w:val="22"/>
                <w:highlight w:val="none"/>
                <w:lang w:bidi="ar"/>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kern w:val="0"/>
                <w:sz w:val="22"/>
                <w:szCs w:val="22"/>
                <w:highlight w:val="none"/>
                <w:lang w:bidi="ar"/>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auto"/>
              <w:rPr>
                <w:rFonts w:hint="default" w:ascii="宋体" w:hAnsi="宋体" w:eastAsia="宋体" w:cs="宋体"/>
                <w:color w:val="000000"/>
                <w:kern w:val="0"/>
                <w:sz w:val="22"/>
                <w:szCs w:val="22"/>
                <w:highlight w:val="none"/>
                <w:lang w:val="en-US" w:eastAsia="zh-CN" w:bidi="ar"/>
              </w:rPr>
            </w:pPr>
            <w:r>
              <w:rPr>
                <w:rFonts w:hint="eastAsia" w:ascii="宋体" w:hAnsi="宋体" w:cs="宋体"/>
                <w:color w:val="000000"/>
                <w:kern w:val="0"/>
                <w:sz w:val="22"/>
                <w:szCs w:val="22"/>
                <w:highlight w:val="none"/>
                <w:lang w:val="en-US" w:eastAsia="zh-CN" w:bidi="ar"/>
              </w:rPr>
              <w:t>本产品属于《关于印发节能产品政府采购品目清单的通知》（财库</w:t>
            </w:r>
            <w:r>
              <w:rPr>
                <w:rFonts w:hint="eastAsia" w:ascii="宋体" w:hAnsi="宋体" w:eastAsia="宋体" w:cs="宋体"/>
                <w:i w:val="0"/>
                <w:iCs w:val="0"/>
                <w:caps w:val="0"/>
                <w:color w:val="000000"/>
                <w:spacing w:val="0"/>
                <w:kern w:val="0"/>
                <w:sz w:val="22"/>
                <w:szCs w:val="22"/>
                <w:highlight w:val="none"/>
                <w:u w:val="none"/>
                <w:shd w:val="clear"/>
                <w:lang w:val="en-US" w:eastAsia="zh-CN" w:bidi="ar"/>
              </w:rPr>
              <w:t>〔</w:t>
            </w:r>
            <w:r>
              <w:rPr>
                <w:rFonts w:hint="eastAsia" w:ascii="宋体" w:hAnsi="宋体" w:cs="宋体"/>
                <w:i w:val="0"/>
                <w:iCs w:val="0"/>
                <w:caps w:val="0"/>
                <w:color w:val="000000"/>
                <w:spacing w:val="0"/>
                <w:kern w:val="0"/>
                <w:sz w:val="22"/>
                <w:szCs w:val="22"/>
                <w:highlight w:val="none"/>
                <w:u w:val="none"/>
                <w:shd w:val="clear"/>
                <w:lang w:val="en-US" w:eastAsia="zh-CN" w:bidi="ar"/>
              </w:rPr>
              <w:t>2019</w:t>
            </w:r>
            <w:r>
              <w:rPr>
                <w:rFonts w:hint="eastAsia" w:ascii="宋体" w:hAnsi="宋体" w:eastAsia="宋体" w:cs="宋体"/>
                <w:i w:val="0"/>
                <w:iCs w:val="0"/>
                <w:caps w:val="0"/>
                <w:color w:val="000000"/>
                <w:spacing w:val="0"/>
                <w:kern w:val="0"/>
                <w:sz w:val="22"/>
                <w:szCs w:val="22"/>
                <w:highlight w:val="none"/>
                <w:u w:val="none"/>
                <w:shd w:val="clear"/>
                <w:lang w:val="en-US" w:eastAsia="zh-CN" w:bidi="ar"/>
              </w:rPr>
              <w:t>〕</w:t>
            </w:r>
            <w:r>
              <w:rPr>
                <w:rFonts w:hint="eastAsia" w:ascii="宋体" w:hAnsi="宋体" w:cs="宋体"/>
                <w:i w:val="0"/>
                <w:iCs w:val="0"/>
                <w:caps w:val="0"/>
                <w:color w:val="000000"/>
                <w:spacing w:val="0"/>
                <w:kern w:val="0"/>
                <w:sz w:val="22"/>
                <w:szCs w:val="22"/>
                <w:highlight w:val="none"/>
                <w:u w:val="none"/>
                <w:shd w:val="clear"/>
                <w:lang w:val="en-US" w:eastAsia="zh-CN" w:bidi="ar"/>
              </w:rPr>
              <w:t>19号）规定的实施政府强制采购目录清单范围内的节能产品，投标人所投产品必须获得国家确定的认证机构出具的、处于有效期内的节能产品认证证书，否则投标无效。</w:t>
            </w:r>
          </w:p>
        </w:tc>
        <w:tc>
          <w:tcPr>
            <w:tcW w:w="563" w:type="dxa"/>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87" w:type="dxa"/>
            <w:vMerge w:val="restart"/>
            <w:tcBorders>
              <w:top w:val="single" w:color="000000" w:sz="4" w:space="0"/>
              <w:left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套</w:t>
            </w: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kern w:val="0"/>
                <w:sz w:val="22"/>
                <w:szCs w:val="22"/>
                <w:highlight w:val="none"/>
                <w:lang w:bidi="ar"/>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制冷量：≥580kW；（设计工况：供回水温度12/18℃，室外温度35℃）</w:t>
            </w:r>
          </w:p>
        </w:tc>
        <w:tc>
          <w:tcPr>
            <w:tcW w:w="563" w:type="dxa"/>
            <w:vMerge w:val="continue"/>
            <w:tcBorders>
              <w:left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符合GB 19577-2024《</w:t>
            </w:r>
            <w:r>
              <w:rPr>
                <w:rFonts w:hint="eastAsia" w:ascii="宋体" w:hAnsi="宋体" w:cs="宋体"/>
                <w:sz w:val="24"/>
                <w:highlight w:val="none"/>
              </w:rPr>
              <w:t>热泵和</w:t>
            </w:r>
            <w:r>
              <w:rPr>
                <w:rFonts w:hint="eastAsia" w:ascii="宋体" w:hAnsi="宋体" w:cs="宋体"/>
                <w:color w:val="000000"/>
                <w:kern w:val="0"/>
                <w:sz w:val="22"/>
                <w:szCs w:val="22"/>
                <w:highlight w:val="none"/>
                <w:lang w:bidi="ar"/>
              </w:rPr>
              <w:t>冷水机组能效限定值及能效等级》中的一级能效标准，设计工况COP不小于3.4；</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风机：EC直流无刷风机或轴流变频风机；</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温控精度：小于±1℃</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提供与控制系统之间的标准通讯接口；</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55"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7</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具备</w:t>
            </w:r>
            <w:r>
              <w:rPr>
                <w:rStyle w:val="262"/>
                <w:rFonts w:hint="default"/>
                <w:highlight w:val="none"/>
                <w:lang w:bidi="ar"/>
              </w:rPr>
              <w:t>不小于</w:t>
            </w:r>
            <w:r>
              <w:rPr>
                <w:rStyle w:val="263"/>
                <w:highlight w:val="none"/>
                <w:lang w:bidi="ar"/>
              </w:rPr>
              <w:t>5</w:t>
            </w:r>
            <w:r>
              <w:rPr>
                <w:rStyle w:val="262"/>
                <w:rFonts w:hint="default"/>
                <w:highlight w:val="none"/>
                <w:lang w:bidi="ar"/>
              </w:rPr>
              <w:t>寸</w:t>
            </w:r>
            <w:r>
              <w:rPr>
                <w:rStyle w:val="264"/>
                <w:rFonts w:hint="default"/>
                <w:highlight w:val="none"/>
                <w:lang w:bidi="ar"/>
              </w:rPr>
              <w:t>人机界面、三级密码保护功能、来电快速自启、常规故障保护及自诊断；</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8</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具备智能控制功能，全自动微电脑控制，可实现远程或集中管理；</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val="en-US" w:eastAsia="zh-CN" w:bidi="ar"/>
              </w:rPr>
              <w:t>9</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机组需要配置快启功能，设备在正常运行时，突然断电停机，1分钟内供电恢复后机组重新启动到恢复停电前的运行状态的时间不得超过300秒。</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宋体" w:hAnsi="宋体" w:cs="宋体"/>
                <w:color w:val="000000"/>
                <w:sz w:val="22"/>
                <w:szCs w:val="22"/>
                <w:highlight w:val="none"/>
                <w:lang w:val="en-US"/>
              </w:rPr>
            </w:pPr>
            <w:r>
              <w:rPr>
                <w:rFonts w:hint="eastAsia" w:ascii="宋体" w:hAnsi="宋体" w:cs="宋体"/>
                <w:color w:val="000000"/>
                <w:kern w:val="0"/>
                <w:sz w:val="22"/>
                <w:szCs w:val="22"/>
                <w:highlight w:val="none"/>
                <w:lang w:val="en-US" w:eastAsia="zh-CN" w:bidi="ar"/>
              </w:rPr>
              <w:t>10</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螺杆式压缩机整体容调范围20%-100%；</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采用半封闭双螺杆式压缩机，制冷量匹配机组需求；</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制冷剂：采用R134A；</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螺杆式压缩机采用无油泵设计，压差式供油；</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螺杆式压缩机具备高压、低压、油压差、排气高温、电机过热、相序错误等多重保护功能，并提供干接点信号输出。</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108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双压缩机设计，每台压缩机有独立的制冷系统回路，每个回路包括有：压缩机、</w:t>
            </w:r>
            <w:r>
              <w:rPr>
                <w:rStyle w:val="262"/>
                <w:rFonts w:hint="default"/>
                <w:highlight w:val="none"/>
                <w:lang w:bidi="ar"/>
              </w:rPr>
              <w:t>吸气截止阀、排气截止阀</w:t>
            </w:r>
            <w:r>
              <w:rPr>
                <w:rStyle w:val="264"/>
                <w:rFonts w:hint="default"/>
                <w:highlight w:val="none"/>
                <w:lang w:bidi="ar"/>
              </w:rPr>
              <w:t>、干燥过滤器、水路电动三通阀、储液罐、截止阀、经济器、视液镜、电子膨胀阀、高低压力传感器、吸排气温度传感器、液位传感器等。</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108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当室外环境温度 ≤16℃时，系统应能自动进入自然冷却模式；当室外温度 ≤0℃时，应能实现压缩机完全停机，仅靠自然冷却系统满足100%冷负荷需求；</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7</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具备“机械制冷”、“混合制冷”、“纯自然冷却”三种全自动运行模式；</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8</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自然冷却系统采用高品质三通调节阀进行水路切换，具备位置反馈功能，确保切换过程出水温度波动 ≤±1℃；</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1</w:t>
            </w:r>
            <w:r>
              <w:rPr>
                <w:rFonts w:hint="eastAsia" w:ascii="宋体" w:hAnsi="宋体" w:cs="宋体"/>
                <w:color w:val="000000"/>
                <w:kern w:val="0"/>
                <w:sz w:val="22"/>
                <w:szCs w:val="22"/>
                <w:highlight w:val="none"/>
                <w:lang w:val="en-US" w:eastAsia="zh-CN" w:bidi="ar"/>
              </w:rPr>
              <w:t>9</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风冷表冷器在室外干球温度35℃时，有效散热量需≥700KW；</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default" w:ascii="宋体" w:hAnsi="宋体" w:eastAsia="宋体" w:cs="宋体"/>
                <w:color w:val="000000"/>
                <w:sz w:val="22"/>
                <w:szCs w:val="22"/>
                <w:highlight w:val="none"/>
                <w:lang w:val="en-US" w:eastAsia="zh-CN"/>
              </w:rPr>
            </w:pPr>
            <w:r>
              <w:rPr>
                <w:rFonts w:hint="eastAsia" w:ascii="宋体" w:hAnsi="宋体" w:cs="宋体"/>
                <w:color w:val="000000"/>
                <w:kern w:val="0"/>
                <w:sz w:val="22"/>
                <w:szCs w:val="22"/>
                <w:highlight w:val="none"/>
                <w:lang w:val="en-US" w:eastAsia="zh-CN" w:bidi="ar"/>
              </w:rPr>
              <w:t>20</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风冷表冷器具备防冻能力,通过重力自排空设计或电伴热,防止冬季低温条件下冻裂损坏；</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2</w:t>
            </w:r>
            <w:r>
              <w:rPr>
                <w:rFonts w:hint="eastAsia" w:ascii="宋体" w:hAnsi="宋体" w:cs="宋体"/>
                <w:color w:val="000000"/>
                <w:kern w:val="0"/>
                <w:sz w:val="22"/>
                <w:szCs w:val="22"/>
                <w:highlight w:val="none"/>
                <w:lang w:val="en-US" w:eastAsia="zh-CN"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风冷表冷器标配或者接受外部配套的绝热喷淋组件，且通过双涂层或环氧涂层等方式保障本设备不因喷淋影响正常寿命；</w:t>
            </w:r>
          </w:p>
        </w:tc>
        <w:tc>
          <w:tcPr>
            <w:tcW w:w="563"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color w:val="000000"/>
                <w:sz w:val="22"/>
                <w:szCs w:val="22"/>
                <w:highlight w:val="none"/>
                <w:lang w:eastAsia="zh-CN"/>
              </w:rPr>
            </w:pPr>
            <w:r>
              <w:rPr>
                <w:rFonts w:hint="eastAsia" w:ascii="宋体" w:hAnsi="宋体" w:cs="宋体"/>
                <w:color w:val="000000"/>
                <w:kern w:val="0"/>
                <w:sz w:val="22"/>
                <w:szCs w:val="22"/>
                <w:highlight w:val="none"/>
                <w:lang w:bidi="ar"/>
              </w:rPr>
              <w:t>2</w:t>
            </w:r>
            <w:r>
              <w:rPr>
                <w:rFonts w:hint="eastAsia" w:ascii="宋体" w:hAnsi="宋体" w:cs="宋体"/>
                <w:color w:val="000000"/>
                <w:kern w:val="0"/>
                <w:sz w:val="22"/>
                <w:szCs w:val="22"/>
                <w:highlight w:val="none"/>
                <w:lang w:val="en-US" w:eastAsia="zh-CN"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风冷表冷器具备防静电、不沾灰特性，减少柳絮、沙尘附着，降低清洗频率；</w:t>
            </w:r>
          </w:p>
        </w:tc>
        <w:tc>
          <w:tcPr>
            <w:tcW w:w="563" w:type="dxa"/>
            <w:vMerge w:val="continue"/>
            <w:tcBorders>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8562" w:type="dxa"/>
            <w:gridSpan w:val="7"/>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冷却水加压系统</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变频式离心泵，流量不小于130m³/h，扬程不小于30m；</w:t>
            </w:r>
          </w:p>
        </w:tc>
        <w:tc>
          <w:tcPr>
            <w:tcW w:w="56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87"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套</w:t>
            </w: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变频式离心泵液体温度-25℃到60℃；</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变频式离心泵电机符合GB 18613-2020《电动机能效限定值及能效等级》 一级能效；</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变频式离心泵电机满负荷运行时,设备外表面1米处噪声≤65dB；</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电源控制柜柜落地安装，防护等级不低于IP54，不锈钢箱体；</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电源控制柜变频器采用</w:t>
            </w:r>
            <w:r>
              <w:rPr>
                <w:rStyle w:val="262"/>
                <w:rFonts w:hint="default"/>
                <w:highlight w:val="none"/>
                <w:lang w:bidi="ar"/>
              </w:rPr>
              <w:t>国内工业级风机水泵专用变频器，</w:t>
            </w:r>
            <w:r>
              <w:rPr>
                <w:rStyle w:val="264"/>
                <w:rFonts w:hint="default"/>
                <w:highlight w:val="none"/>
                <w:lang w:bidi="ar"/>
              </w:rPr>
              <w:t>配备中文面板；</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7</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电源控制柜具备防雷、浪涌保护、EMC 滤波功能</w:t>
            </w:r>
            <w:r>
              <w:rPr>
                <w:rStyle w:val="262"/>
                <w:rFonts w:hint="default"/>
                <w:highlight w:val="none"/>
                <w:lang w:bidi="ar"/>
              </w:rPr>
              <w:t>，符合</w:t>
            </w:r>
            <w:r>
              <w:rPr>
                <w:rStyle w:val="263"/>
                <w:highlight w:val="none"/>
                <w:lang w:bidi="ar"/>
              </w:rPr>
              <w:t>GB50343-2012</w:t>
            </w:r>
            <w:r>
              <w:rPr>
                <w:rStyle w:val="262"/>
                <w:rFonts w:hint="default"/>
                <w:highlight w:val="none"/>
                <w:lang w:bidi="ar"/>
              </w:rPr>
              <w:t>《建筑物电子信息系统防雷技术规范》</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8</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电源控制柜支持按时间（可调）自动切换主备泵，均衡运行时间；</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9</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电源控制柜应在运行泵故障时，10秒内自动启动备用泵，并上传报警信号；</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10</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备用泵须在变频器内置PID功能，可根据压力/温度传感器信号自动调节水泵转速，实现恒压/恒温供水；</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备用泵须在具备短路、过载、缺相、错相、过/欠压、变频器故障等全方位保护；</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备用泵须具有RS485接口,支持Modbus RTU协议,开放全部监控点位(启停、状态、故障、频率、电流、累时等),能够接入群控、环控系统；</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水泵管路采用不锈钢编制软管。</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过滤器不低于60目。</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8562" w:type="dxa"/>
            <w:gridSpan w:val="7"/>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机组群控</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上位机应使用国产芯片及国产操作系统；</w:t>
            </w:r>
          </w:p>
        </w:tc>
        <w:tc>
          <w:tcPr>
            <w:tcW w:w="56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87"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套</w:t>
            </w: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上位机提供全中文图形化组态软件，支持工艺流程图动态显示，刷新率≤2秒；</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上位机支持多级报警，保存期≥2年，报警记录可供后续迁移保存，随时备查。</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上位机支持所有测点历史数据存储（≥2年），可生成任意时间段趋势曲线并导出报表；</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上位机包含针对自然冷却系统的专用控制算法（基于干湿球温度的模式自动切换、防冻保护、无扰切换）；</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上位机原生支持 Modbus RTU/TCP、BACnet IP、OPC UA 等常规协议；</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7</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上位机支持双机热备，主设备故障时备用设备在30秒内自动接管，数据不丢失；</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8</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上位机能够直接读取冷水机组、变频器、智能电表的内部详细参数（非仅干接点状态）；</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9</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上位机提供标准API接口；</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10</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PLC控制箱采用 32 位高性能嵌入式处理器，主频 ≥ 400MHz，内存 ≥ 256MB，程序存储 ≥ 4MB，数据存储 ≥ 16MB；</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PLC控制箱具备断电保护：内置超级电容或电池，数据保存 ≥ 5 年；</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PLC控制箱具备软硬件双重看门狗，故障自复位；</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PLC控制箱支持 AI (0-10V/4-20mA/热电阻)、AO (0-10V/4-20mA)、DI、DO 混合配置；</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PLC控制箱模拟量分辨率 ≥ 12 位，具备光电隔离功能；</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是</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PLC控制箱点位数量：应满足现有设备（3台室外机、3台冷却水水泵、配套管路阀门、新排风系统及电梯）接入后，预留20%备用点位；</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PLC控制箱以太网：≥ 2 个 10/100/1000M 自适应端口，原生支持 Modbus TCP、HTTP/Web Server；</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17</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PLC控制箱串口：≥ 2 个 RS485 端口，原生支持 Modbus RTU (Master/Slave) ；</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18</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PLC控制箱支持标准开放协议，严禁使用无法转换的私有封闭协议；</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19</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PLC控制箱工作温度：-20℃ ~ +60℃；</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20</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PLC控制箱电路板涂覆三防漆，符合工业级 EMC 抗干扰标准；</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PLC控制箱兼容标准 35mm DIN 导轨安装；</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PLC控制箱支持 IEC 61131-3 标准编程语言，提供全中文组态编程软件，源码完全开放；</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PLC控制箱内置 ≥ 8 路高精度 PID 控制回路，支持自整定；</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54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承诺在上位机断网或故障时，PLC 仍能独立执行自然冷却切换、防冻保护、设备联锁等所有核心逻辑；</w:t>
            </w:r>
          </w:p>
        </w:tc>
        <w:tc>
          <w:tcPr>
            <w:tcW w:w="563"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487"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8562" w:type="dxa"/>
            <w:gridSpan w:val="7"/>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阀门与管路</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电动平衡阀工作压力：0-10kg/m³；</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电动蝶阀控制电压：AC/DC可定制；</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镀锌钢管壁厚：≥4.5mm；</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管道防锈不少于2遍底漆+2遍面漆。</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管道保温处理采用壁厚≥30mm的阻燃B级橡塑。</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r>
        <w:tblPrEx>
          <w:tblLayout w:type="fixed"/>
          <w:tblCellMar>
            <w:top w:w="0" w:type="dxa"/>
            <w:left w:w="108" w:type="dxa"/>
            <w:bottom w:w="0" w:type="dxa"/>
            <w:right w:w="108" w:type="dxa"/>
          </w:tblCellMar>
        </w:tblPrEx>
        <w:trPr>
          <w:trHeight w:val="270" w:hRule="atLeast"/>
        </w:trPr>
        <w:tc>
          <w:tcPr>
            <w:tcW w:w="55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44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技术指标</w:t>
            </w:r>
          </w:p>
        </w:tc>
        <w:tc>
          <w:tcPr>
            <w:tcW w:w="440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管道保温处理需使用不锈钢保护壳</w:t>
            </w:r>
          </w:p>
        </w:tc>
        <w:tc>
          <w:tcPr>
            <w:tcW w:w="563"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cs="宋体"/>
                <w:color w:val="000000"/>
                <w:sz w:val="22"/>
                <w:szCs w:val="22"/>
                <w:highlight w:val="none"/>
              </w:rPr>
            </w:pPr>
          </w:p>
        </w:tc>
        <w:tc>
          <w:tcPr>
            <w:tcW w:w="487"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cs="宋体"/>
                <w:color w:val="000000"/>
                <w:sz w:val="22"/>
                <w:szCs w:val="22"/>
                <w:highlight w:val="none"/>
              </w:rPr>
            </w:pPr>
          </w:p>
        </w:tc>
        <w:tc>
          <w:tcPr>
            <w:tcW w:w="10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否</w:t>
            </w:r>
          </w:p>
        </w:tc>
      </w:tr>
    </w:tbl>
    <w:p>
      <w:pPr>
        <w:pStyle w:val="259"/>
        <w:spacing w:line="360" w:lineRule="auto"/>
        <w:rPr>
          <w:rFonts w:hint="eastAsia" w:ascii="宋体" w:hAnsi="宋体" w:cs="宋体"/>
          <w:sz w:val="24"/>
          <w:highlight w:val="none"/>
        </w:rPr>
      </w:pPr>
    </w:p>
    <w:p>
      <w:pPr>
        <w:widowControl/>
        <w:spacing w:line="360" w:lineRule="auto"/>
        <w:contextualSpacing/>
        <w:rPr>
          <w:sz w:val="24"/>
          <w:highlight w:val="none"/>
        </w:rPr>
      </w:pPr>
    </w:p>
    <w:p>
      <w:pPr>
        <w:pStyle w:val="4"/>
        <w:rPr>
          <w:rFonts w:ascii="Arial" w:hAnsi="Arial" w:cs="Arial"/>
          <w:szCs w:val="24"/>
          <w:highlight w:val="none"/>
        </w:rPr>
      </w:pPr>
      <w:r>
        <w:rPr>
          <w:rFonts w:hint="eastAsia" w:ascii="Arial" w:hAnsi="Arial" w:cs="Arial"/>
          <w:szCs w:val="24"/>
          <w:highlight w:val="none"/>
        </w:rPr>
        <w:t>2.2 采购标的需满足的服务标准、期限、效率等要求</w:t>
      </w:r>
    </w:p>
    <w:p>
      <w:pPr>
        <w:pStyle w:val="5"/>
        <w:rPr>
          <w:szCs w:val="24"/>
          <w:highlight w:val="none"/>
        </w:rPr>
      </w:pPr>
      <w:r>
        <w:rPr>
          <w:rFonts w:hint="eastAsia"/>
          <w:szCs w:val="24"/>
          <w:highlight w:val="none"/>
        </w:rPr>
        <w:t>2.2.1 团队要求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2.2.1.1基本要求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★(1)投标人需在进场前对服务团队人员组织健康检查，确保用工年龄符合《劳动法》要求，身体情况符合项目要求。如因瞒报、漏报导致人员在项目实施过程中出现意外的，相应损失由投标人承担（</w:t>
      </w:r>
      <w:r>
        <w:rPr>
          <w:rFonts w:hint="eastAsia" w:ascii="宋体" w:hAnsi="宋体" w:cs="宋体"/>
          <w:sz w:val="24"/>
          <w:highlight w:val="none"/>
          <w:lang w:val="en-US" w:eastAsia="zh-CN"/>
        </w:rPr>
        <w:t>投标时应</w:t>
      </w:r>
      <w:r>
        <w:rPr>
          <w:rFonts w:hint="eastAsia" w:ascii="宋体" w:hAnsi="宋体" w:cs="宋体"/>
          <w:sz w:val="24"/>
          <w:highlight w:val="none"/>
        </w:rPr>
        <w:t>提供加盖投标人公章的承诺函，格式自拟）。</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实施人员：实施工程师至少包含一名电气工程师，电气工程师需持有有效的低压电工作业特种作业操作证；涉及登高作业的实施人员需持有高处作业操作证。涉及焊接作业的实施人员需持有焊接与热切割作业证。（响应时提供人员身份证和证书复印件并加盖投标人公章。）</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2.2.1.2配置要求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项目经理岗，本项目设立 1 名项目经理，需熟悉相关行业标准和规范，全面负责项目的日常管理和组织实施工作，确保项目按照既定计划稳步推进。</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项目负责人，投标人应指定一名公司高级管理人员担任非驻场项目负责人，主要负责整个项目统筹管理，有跨部门协调资源的权力，确保项目按照既定计划稳步推进。</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注：根据《中华人民共和国公司法》第十五章　第二百六十五条，高级管理人员，是指公司的总经理、副总经理、财务负责人，上市公司董事会秘书和公司章程规定的其他人员。</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技术负责人，本项目设立1名技术负责人，需有丰富的同类型项目实施经验，负责把控项目实施过程中安装工艺、管道焊接规范、电气安全标准，确保项目安全顺利推进。</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2.2.1.3优选资质/优选指标</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（1）项目经理岗，具备3年及以上同类型项目工作经验，具有作为项目经理成功实施过3个及以上同类型项目的管理经验。</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（2）技术负责人：具备3年及以上同类型项目工作经验，</w:t>
      </w:r>
      <w:r>
        <w:rPr>
          <w:rFonts w:hint="eastAsia"/>
          <w:highlight w:val="none"/>
        </w:rPr>
        <w:t>具备空调相关专业（电气设备、电气自动化、制冷空调、制冷与空调维护、暖通、暖通空调、暖通与空调施工、暖通空调安装、机电、机电工程、机电一体化、暖通工程、暖通工程技术）高级职称</w:t>
      </w:r>
      <w:r>
        <w:rPr>
          <w:rFonts w:hint="eastAsia" w:ascii="宋体" w:hAnsi="宋体" w:cs="宋体"/>
          <w:sz w:val="24"/>
          <w:highlight w:val="none"/>
        </w:rPr>
        <w:t>。</w:t>
      </w:r>
    </w:p>
    <w:p>
      <w:pPr>
        <w:pStyle w:val="259"/>
        <w:spacing w:line="360" w:lineRule="auto"/>
        <w:ind w:firstLine="560"/>
        <w:rPr>
          <w:rFonts w:hint="eastAsia" w:ascii="宋体" w:hAnsi="宋体" w:cs="宋体"/>
          <w:sz w:val="24"/>
          <w:highlight w:val="none"/>
        </w:rPr>
      </w:pPr>
    </w:p>
    <w:p>
      <w:pPr>
        <w:pStyle w:val="5"/>
        <w:rPr>
          <w:szCs w:val="24"/>
          <w:highlight w:val="none"/>
        </w:rPr>
      </w:pPr>
      <w:r>
        <w:rPr>
          <w:rFonts w:hint="eastAsia"/>
          <w:szCs w:val="24"/>
          <w:highlight w:val="none"/>
        </w:rPr>
        <w:t>2.2.2 管理实施要求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(1)管理实施需围绕设备的“准备-部署-调试-交付”全周期，确保技术可行性与执行可控性，需在投标文件中提交分阶段执行计划、流程拆解、具体的交货进度和</w:t>
      </w:r>
      <w:r>
        <w:rPr>
          <w:rFonts w:hint="eastAsia" w:ascii="宋体" w:hAnsi="宋体" w:cs="宋体"/>
          <w:sz w:val="24"/>
          <w:highlight w:val="none"/>
          <w:lang w:eastAsia="zh-CN"/>
        </w:rPr>
        <w:t>安装</w:t>
      </w:r>
      <w:r>
        <w:rPr>
          <w:rFonts w:hint="eastAsia" w:ascii="宋体" w:hAnsi="宋体" w:cs="宋体"/>
          <w:sz w:val="24"/>
          <w:highlight w:val="none"/>
        </w:rPr>
        <w:t>进度计划。安装调试期内的进度计划、进度保障措施、人员配置计划。</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(2)需在准备阶段，对技术方案与图纸深化设计，并做好备货工作，以便在满足入场条件后及时开始部署工作。</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(3)投标人应对合同产品进行妥善包装，以满足合同产品运至交付地及在交付地保管的需要。包装应采取防潮、防晒、防锈、防腐蚀、防震动及防止其它损坏的必要保护措施。</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(4)因采购人项目功能变更等原因导致项目出现变更时，投标人在收到采购人通知后应立即停止项目产品生产和供货。双方商议进行项目变更手续，但投标人继续承担已供设备质量责任。投标人尚未供货或供货不足的，应在接到通知后7天内退还采购人已支付的全部款项（包括预付款），逾期退还的，每天按全部款项的0.05%向采购人支付违约金。</w:t>
      </w:r>
    </w:p>
    <w:p>
      <w:pPr>
        <w:pStyle w:val="5"/>
        <w:rPr>
          <w:szCs w:val="24"/>
          <w:highlight w:val="none"/>
        </w:rPr>
      </w:pPr>
      <w:r>
        <w:rPr>
          <w:rFonts w:hint="eastAsia"/>
          <w:szCs w:val="24"/>
          <w:highlight w:val="none"/>
        </w:rPr>
        <w:t>2.2.3 安装调试要求</w:t>
      </w:r>
    </w:p>
    <w:p>
      <w:pPr>
        <w:pStyle w:val="5"/>
        <w:spacing w:before="0" w:after="0" w:line="360" w:lineRule="auto"/>
        <w:ind w:firstLine="560"/>
        <w:rPr>
          <w:rFonts w:hint="eastAsia" w:ascii="宋体" w:hAnsi="宋体" w:cs="宋体"/>
          <w:szCs w:val="24"/>
          <w:highlight w:val="none"/>
        </w:rPr>
      </w:pPr>
      <w:r>
        <w:rPr>
          <w:rFonts w:hint="eastAsia"/>
          <w:szCs w:val="24"/>
          <w:highlight w:val="none"/>
        </w:rPr>
        <w:t>2.2.3.1硬件安装要求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投标人负责设备的全程无损安装。包括但不限于精密空调外机、冷却水加压水泵及配件、机组群控及阀门管路等。安装过程须严格执行安全操作规程，落实各项安全防护措施，安装完成后及时清理现场废弃物。</w:t>
      </w:r>
    </w:p>
    <w:p>
      <w:pPr>
        <w:pStyle w:val="5"/>
        <w:spacing w:before="0" w:after="0" w:line="360" w:lineRule="auto"/>
        <w:ind w:firstLine="560"/>
        <w:rPr>
          <w:rFonts w:hint="eastAsia" w:ascii="宋体" w:hAnsi="宋体" w:cs="宋体"/>
          <w:szCs w:val="24"/>
          <w:highlight w:val="none"/>
        </w:rPr>
      </w:pPr>
      <w:r>
        <w:rPr>
          <w:rFonts w:hint="eastAsia"/>
          <w:szCs w:val="24"/>
          <w:highlight w:val="none"/>
        </w:rPr>
        <w:t>2.2.3.2数据中心空调系统新旧设备联调联试要求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 xml:space="preserve">安排专属对接技术人员全程配合联调，直至整体系统满足使用要求。包括但不限于新旧空调外机配合运行、自动及手动控制室外机与水泵启停切换、动环监控平台对室外机及水泵参数监控等调试， </w:t>
      </w:r>
    </w:p>
    <w:p>
      <w:pPr>
        <w:pStyle w:val="5"/>
        <w:spacing w:before="0" w:after="0" w:line="360" w:lineRule="auto"/>
        <w:rPr>
          <w:szCs w:val="24"/>
          <w:highlight w:val="none"/>
        </w:rPr>
      </w:pPr>
      <w:r>
        <w:rPr>
          <w:rFonts w:hint="eastAsia"/>
          <w:szCs w:val="24"/>
          <w:highlight w:val="none"/>
        </w:rPr>
        <w:t>2.2.4技术培训要求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为了更好地做好项目建设的技术培训工作，投标人应选派具有丰富技术培训和实施经验的技术人员组成培训小组，并且制定切实有效的培训方案，对采购人指定人员进行技术培训。</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培训内容：</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①</w:t>
      </w:r>
      <w:r>
        <w:rPr>
          <w:rFonts w:hint="eastAsia" w:ascii="宋体" w:hAnsi="宋体" w:cs="宋体"/>
          <w:sz w:val="24"/>
          <w:highlight w:val="none"/>
        </w:rPr>
        <w:t xml:space="preserve"> 相关设备基本知识培训</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②</w:t>
      </w:r>
      <w:r>
        <w:rPr>
          <w:rFonts w:hint="eastAsia" w:ascii="宋体" w:hAnsi="宋体" w:cs="宋体"/>
          <w:sz w:val="24"/>
          <w:highlight w:val="none"/>
        </w:rPr>
        <w:t xml:space="preserve"> 系统日常操作培训</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③</w:t>
      </w:r>
      <w:r>
        <w:rPr>
          <w:rFonts w:hint="eastAsia" w:ascii="宋体" w:hAnsi="宋体" w:cs="宋体"/>
          <w:sz w:val="24"/>
          <w:highlight w:val="none"/>
        </w:rPr>
        <w:t xml:space="preserve"> 设备日常检查与维护</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④</w:t>
      </w:r>
      <w:r>
        <w:rPr>
          <w:rFonts w:hint="eastAsia" w:ascii="宋体" w:hAnsi="宋体" w:cs="宋体"/>
          <w:sz w:val="24"/>
          <w:highlight w:val="none"/>
        </w:rPr>
        <w:t xml:space="preserve"> 故障分析与器件更换培训</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⑤</w:t>
      </w:r>
      <w:r>
        <w:rPr>
          <w:rFonts w:hint="eastAsia" w:ascii="宋体" w:hAnsi="宋体" w:cs="宋体"/>
          <w:sz w:val="24"/>
          <w:highlight w:val="none"/>
        </w:rPr>
        <w:t xml:space="preserve"> 现场注意事项</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技术培训最终目的：达到能够熟练的操作本系统，并能处理一些基本故障，保证系统安全、正常地运行。</w:t>
      </w:r>
    </w:p>
    <w:p>
      <w:pPr>
        <w:pStyle w:val="5"/>
        <w:rPr>
          <w:rFonts w:hint="eastAsia"/>
          <w:szCs w:val="24"/>
          <w:highlight w:val="none"/>
        </w:rPr>
      </w:pPr>
      <w:r>
        <w:rPr>
          <w:rFonts w:hint="eastAsia"/>
          <w:szCs w:val="24"/>
          <w:highlight w:val="none"/>
        </w:rPr>
        <w:t>2.2.5 旧设备处置</w:t>
      </w:r>
    </w:p>
    <w:p>
      <w:pPr>
        <w:pStyle w:val="259"/>
        <w:spacing w:line="360" w:lineRule="auto"/>
        <w:ind w:firstLine="560"/>
        <w:rPr>
          <w:rFonts w:hint="eastAsia" w:ascii="宋体" w:hAnsi="宋体" w:eastAsia="宋体" w:cs="宋体"/>
          <w:sz w:val="24"/>
          <w:highlight w:val="none"/>
        </w:rPr>
      </w:pPr>
      <w:r>
        <w:rPr>
          <w:rFonts w:hint="eastAsia" w:ascii="宋体" w:hAnsi="宋体" w:eastAsia="宋体" w:cs="宋体"/>
          <w:sz w:val="24"/>
          <w:highlight w:val="none"/>
        </w:rPr>
        <w:t>实施过程中所有拆除的旧设备（不包含建筑垃圾），投标人应妥善安置于</w:t>
      </w:r>
    </w:p>
    <w:p>
      <w:pPr>
        <w:pStyle w:val="259"/>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采购人指定位置。</w:t>
      </w:r>
    </w:p>
    <w:p>
      <w:pPr>
        <w:pStyle w:val="4"/>
        <w:rPr>
          <w:rFonts w:ascii="Arial" w:hAnsi="Arial" w:cs="Arial"/>
          <w:szCs w:val="24"/>
          <w:highlight w:val="none"/>
        </w:rPr>
      </w:pPr>
      <w:r>
        <w:rPr>
          <w:rFonts w:hint="eastAsia" w:ascii="Arial" w:hAnsi="Arial" w:cs="Arial"/>
          <w:szCs w:val="24"/>
          <w:highlight w:val="none"/>
        </w:rPr>
        <w:t>2.3为落实政府采购政策需满足的要求</w:t>
      </w:r>
    </w:p>
    <w:p>
      <w:pPr>
        <w:pStyle w:val="5"/>
        <w:rPr>
          <w:szCs w:val="24"/>
          <w:highlight w:val="none"/>
        </w:rPr>
      </w:pPr>
      <w:bookmarkStart w:id="18" w:name="_Toc28789"/>
      <w:bookmarkStart w:id="19" w:name="_Toc28975"/>
      <w:r>
        <w:rPr>
          <w:rFonts w:hint="eastAsia"/>
          <w:szCs w:val="24"/>
          <w:highlight w:val="none"/>
        </w:rPr>
        <w:t>2.3.</w:t>
      </w:r>
      <w:r>
        <w:rPr>
          <w:rFonts w:hint="eastAsia"/>
          <w:szCs w:val="24"/>
          <w:highlight w:val="none"/>
          <w:lang w:val="en-US" w:eastAsia="zh-CN"/>
        </w:rPr>
        <w:t>1</w:t>
      </w:r>
      <w:r>
        <w:rPr>
          <w:rFonts w:hint="eastAsia"/>
          <w:szCs w:val="24"/>
          <w:highlight w:val="none"/>
        </w:rPr>
        <w:t>优选资质/优选指标</w:t>
      </w:r>
      <w:bookmarkEnd w:id="18"/>
      <w:bookmarkEnd w:id="19"/>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2.3.</w:t>
      </w:r>
      <w:r>
        <w:rPr>
          <w:rFonts w:hint="eastAsia" w:ascii="宋体" w:hAnsi="宋体" w:cs="宋体"/>
          <w:sz w:val="24"/>
          <w:highlight w:val="none"/>
          <w:lang w:val="en-US" w:eastAsia="zh-CN"/>
        </w:rPr>
        <w:t>1</w:t>
      </w:r>
      <w:r>
        <w:rPr>
          <w:rFonts w:hint="eastAsia" w:ascii="宋体" w:hAnsi="宋体" w:cs="宋体"/>
          <w:sz w:val="24"/>
          <w:highlight w:val="none"/>
        </w:rPr>
        <w:t>.1相关证书</w:t>
      </w:r>
    </w:p>
    <w:tbl>
      <w:tblPr>
        <w:tblStyle w:val="44"/>
        <w:tblW w:w="8416" w:type="dxa"/>
        <w:tblInd w:w="30" w:type="dxa"/>
        <w:tblLayout w:type="fixed"/>
        <w:tblCellMar>
          <w:top w:w="15" w:type="dxa"/>
          <w:left w:w="15" w:type="dxa"/>
          <w:bottom w:w="15" w:type="dxa"/>
          <w:right w:w="15" w:type="dxa"/>
        </w:tblCellMar>
      </w:tblPr>
      <w:tblGrid>
        <w:gridCol w:w="399"/>
        <w:gridCol w:w="2008"/>
        <w:gridCol w:w="1927"/>
        <w:gridCol w:w="4082"/>
      </w:tblGrid>
      <w:tr>
        <w:tblPrEx>
          <w:tblLayout w:type="fixed"/>
          <w:tblCellMar>
            <w:top w:w="15" w:type="dxa"/>
            <w:left w:w="15" w:type="dxa"/>
            <w:bottom w:w="15" w:type="dxa"/>
            <w:right w:w="15" w:type="dxa"/>
          </w:tblCellMar>
        </w:tblPrEx>
        <w:tc>
          <w:tcPr>
            <w:tcW w:w="399"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pPr>
              <w:pStyle w:val="265"/>
              <w:keepNext/>
              <w:widowControl/>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序号</w:t>
            </w:r>
          </w:p>
        </w:tc>
        <w:tc>
          <w:tcPr>
            <w:tcW w:w="2008"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pPr>
              <w:pStyle w:val="265"/>
              <w:keepNext/>
              <w:widowControl/>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证书名称</w:t>
            </w:r>
          </w:p>
        </w:tc>
        <w:tc>
          <w:tcPr>
            <w:tcW w:w="1927"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pPr>
              <w:pStyle w:val="265"/>
              <w:keepNext/>
              <w:widowControl/>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颁发部门</w:t>
            </w:r>
          </w:p>
        </w:tc>
        <w:tc>
          <w:tcPr>
            <w:tcW w:w="4082" w:type="dxa"/>
            <w:tcBorders>
              <w:top w:val="single" w:color="000000" w:sz="6" w:space="0"/>
              <w:left w:val="single" w:color="000000" w:sz="6" w:space="0"/>
              <w:bottom w:val="single" w:color="000000" w:sz="6" w:space="0"/>
              <w:right w:val="single" w:color="000000" w:sz="6" w:space="0"/>
            </w:tcBorders>
            <w:shd w:val="clear" w:color="auto" w:fill="D3D3D3"/>
            <w:noWrap/>
            <w:tcMar>
              <w:top w:w="22" w:type="dxa"/>
              <w:left w:w="22" w:type="dxa"/>
              <w:bottom w:w="22" w:type="dxa"/>
              <w:right w:w="22" w:type="dxa"/>
            </w:tcMar>
            <w:vAlign w:val="center"/>
          </w:tcPr>
          <w:p>
            <w:pPr>
              <w:pStyle w:val="265"/>
              <w:keepNext/>
              <w:widowControl/>
              <w:jc w:val="center"/>
              <w:rPr>
                <w:rFonts w:hint="eastAsia" w:ascii="仿宋_GB2312" w:hAnsi="仿宋_GB2312" w:eastAsia="仿宋_GB2312" w:cs="仿宋_GB2312"/>
                <w:b/>
                <w:bCs/>
                <w:color w:val="000000"/>
                <w:szCs w:val="21"/>
                <w:highlight w:val="none"/>
              </w:rPr>
            </w:pPr>
            <w:r>
              <w:rPr>
                <w:rFonts w:ascii="仿宋_GB2312" w:hAnsi="仿宋_GB2312" w:eastAsia="仿宋_GB2312" w:cs="仿宋_GB2312"/>
                <w:b/>
                <w:bCs/>
                <w:color w:val="000000"/>
                <w:szCs w:val="21"/>
                <w:highlight w:val="none"/>
              </w:rPr>
              <w:t>相关要求</w:t>
            </w:r>
          </w:p>
        </w:tc>
      </w:tr>
      <w:tr>
        <w:tblPrEx>
          <w:tblLayout w:type="fixed"/>
          <w:tblCellMar>
            <w:top w:w="15" w:type="dxa"/>
            <w:left w:w="15" w:type="dxa"/>
            <w:bottom w:w="15" w:type="dxa"/>
            <w:right w:w="15" w:type="dxa"/>
          </w:tblCellMar>
        </w:tblPrEx>
        <w:tc>
          <w:tcPr>
            <w:tcW w:w="399"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pPr>
              <w:pStyle w:val="265"/>
              <w:keepNext/>
              <w:widowControl/>
              <w:jc w:val="center"/>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1</w:t>
            </w:r>
          </w:p>
        </w:tc>
        <w:tc>
          <w:tcPr>
            <w:tcW w:w="2008"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pPr>
              <w:pStyle w:val="265"/>
              <w:keepNext/>
              <w:widowControl/>
              <w:rPr>
                <w:rFonts w:hint="eastAsia" w:ascii="仿宋_GB2312" w:hAnsi="仿宋_GB2312" w:eastAsia="仿宋_GB2312" w:cs="仿宋_GB2312"/>
                <w:color w:val="000000"/>
                <w:szCs w:val="21"/>
                <w:highlight w:val="none"/>
              </w:rPr>
            </w:pPr>
            <w:r>
              <w:rPr>
                <w:rFonts w:ascii="仿宋_GB2312" w:hAnsi="仿宋_GB2312" w:eastAsia="仿宋_GB2312" w:cs="仿宋_GB2312"/>
                <w:color w:val="000000"/>
                <w:kern w:val="0"/>
                <w:szCs w:val="21"/>
                <w:highlight w:val="none"/>
              </w:rPr>
              <w:t>质量管理体系认证证书</w:t>
            </w:r>
          </w:p>
        </w:tc>
        <w:tc>
          <w:tcPr>
            <w:tcW w:w="1927"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pPr>
              <w:keepNext/>
              <w:widowControl/>
              <w:spacing w:after="160" w:line="278" w:lineRule="auto"/>
              <w:jc w:val="left"/>
              <w:rPr>
                <w:rFonts w:hint="eastAsia" w:ascii="仿宋_GB2312" w:hAnsi="仿宋_GB2312" w:eastAsia="仿宋_GB2312" w:cs="仿宋_GB2312"/>
                <w:color w:val="000000"/>
                <w:kern w:val="0"/>
                <w:szCs w:val="21"/>
                <w:highlight w:val="none"/>
              </w:rPr>
            </w:pPr>
            <w:r>
              <w:rPr>
                <w:rFonts w:ascii="仿宋_GB2312" w:hAnsi="仿宋_GB2312" w:eastAsia="仿宋_GB2312" w:cs="仿宋_GB2312"/>
                <w:color w:val="000000"/>
                <w:kern w:val="0"/>
                <w:szCs w:val="21"/>
                <w:highlight w:val="none"/>
              </w:rPr>
              <w:t>经国家认监委批准设立的的第三方认证机构</w:t>
            </w:r>
          </w:p>
        </w:tc>
        <w:tc>
          <w:tcPr>
            <w:tcW w:w="4082" w:type="dxa"/>
            <w:tcBorders>
              <w:top w:val="single" w:color="000000" w:sz="6" w:space="0"/>
              <w:left w:val="single" w:color="000000" w:sz="6" w:space="0"/>
              <w:bottom w:val="single" w:color="000000" w:sz="6" w:space="0"/>
              <w:right w:val="single" w:color="000000" w:sz="6" w:space="0"/>
            </w:tcBorders>
            <w:noWrap/>
            <w:tcMar>
              <w:top w:w="22" w:type="dxa"/>
              <w:left w:w="22" w:type="dxa"/>
              <w:bottom w:w="22" w:type="dxa"/>
              <w:right w:w="22" w:type="dxa"/>
            </w:tcMar>
            <w:vAlign w:val="center"/>
          </w:tcPr>
          <w:p>
            <w:pPr>
              <w:keepNext/>
              <w:widowControl/>
              <w:spacing w:after="160" w:line="278" w:lineRule="auto"/>
              <w:jc w:val="left"/>
              <w:rPr>
                <w:rFonts w:hint="eastAsia" w:ascii="仿宋_GB2312" w:hAnsi="仿宋_GB2312" w:eastAsia="仿宋_GB2312" w:cs="仿宋_GB2312"/>
                <w:color w:val="000000"/>
                <w:kern w:val="0"/>
                <w:szCs w:val="21"/>
                <w:highlight w:val="none"/>
                <w:lang w:eastAsia="en-US"/>
              </w:rPr>
            </w:pPr>
            <w:r>
              <w:rPr>
                <w:rFonts w:hint="eastAsia" w:ascii="仿宋_GB2312" w:hAnsi="仿宋_GB2312" w:eastAsia="仿宋_GB2312" w:cs="仿宋_GB2312"/>
                <w:color w:val="000000"/>
                <w:kern w:val="0"/>
                <w:szCs w:val="21"/>
                <w:highlight w:val="none"/>
                <w:lang w:val="en-US" w:eastAsia="zh-CN"/>
              </w:rPr>
              <w:t>需</w:t>
            </w:r>
            <w:r>
              <w:rPr>
                <w:rFonts w:hint="eastAsia" w:ascii="仿宋_GB2312" w:hAnsi="仿宋_GB2312" w:eastAsia="仿宋_GB2312" w:cs="仿宋_GB2312"/>
                <w:color w:val="000000"/>
                <w:kern w:val="0"/>
                <w:szCs w:val="21"/>
                <w:highlight w:val="none"/>
                <w:lang w:eastAsia="en-US"/>
              </w:rPr>
              <w:t>提供有效期内的证书复印件和证书年度监督审核通过的相关证明材料(新办证书不用提供年度监督审核证明)，并加盖投标人单位公章。</w:t>
            </w:r>
          </w:p>
        </w:tc>
      </w:tr>
    </w:tbl>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2.3.</w:t>
      </w:r>
      <w:r>
        <w:rPr>
          <w:rFonts w:hint="eastAsia" w:ascii="宋体" w:hAnsi="宋体" w:cs="宋体"/>
          <w:sz w:val="24"/>
          <w:highlight w:val="none"/>
          <w:lang w:val="en-US" w:eastAsia="zh-CN"/>
        </w:rPr>
        <w:t>1.</w:t>
      </w:r>
      <w:r>
        <w:rPr>
          <w:rFonts w:hint="eastAsia" w:ascii="宋体" w:hAnsi="宋体" w:cs="宋体"/>
          <w:sz w:val="24"/>
          <w:highlight w:val="none"/>
        </w:rPr>
        <w:t>2成功案例</w:t>
      </w:r>
    </w:p>
    <w:p>
      <w:pPr>
        <w:pStyle w:val="259"/>
        <w:spacing w:line="360" w:lineRule="auto"/>
        <w:ind w:firstLine="560"/>
        <w:rPr>
          <w:sz w:val="24"/>
          <w:highlight w:val="none"/>
        </w:rPr>
      </w:pPr>
      <w:r>
        <w:rPr>
          <w:rFonts w:hint="eastAsia" w:ascii="宋体" w:hAnsi="宋体" w:cs="宋体"/>
          <w:sz w:val="24"/>
          <w:highlight w:val="none"/>
        </w:rPr>
        <w:t>投标人2023年1月1日起至投标截止之日止（以合同签订日期为准），供应商独立承担的同类型项目的业绩证明文件，予以加分。提供合同关键页复印件加盖投标人公章；关键页包括但不限于：合同首页、标的内容以及双方签字盖章页；遮盖上述主要内容或无法识别合同类型的的合同将不予认定。</w:t>
      </w:r>
    </w:p>
    <w:p>
      <w:pPr>
        <w:pStyle w:val="4"/>
        <w:rPr>
          <w:rFonts w:ascii="Arial" w:hAnsi="Arial" w:cs="Arial"/>
          <w:szCs w:val="24"/>
          <w:highlight w:val="none"/>
        </w:rPr>
      </w:pPr>
      <w:r>
        <w:rPr>
          <w:rFonts w:hint="eastAsia" w:ascii="Arial" w:hAnsi="Arial" w:cs="Arial"/>
          <w:szCs w:val="24"/>
          <w:highlight w:val="none"/>
        </w:rPr>
        <w:t>2.4采购标的的其他技术、服务等要求</w:t>
      </w:r>
    </w:p>
    <w:p>
      <w:pPr>
        <w:pStyle w:val="5"/>
        <w:spacing w:line="360" w:lineRule="auto"/>
        <w:ind w:firstLine="560"/>
        <w:rPr>
          <w:rFonts w:hint="eastAsia" w:ascii="宋体" w:hAnsi="宋体" w:cs="宋体"/>
          <w:highlight w:val="none"/>
        </w:rPr>
      </w:pPr>
      <w:r>
        <w:rPr>
          <w:rFonts w:hint="eastAsia" w:ascii="宋体" w:hAnsi="宋体" w:cs="宋体"/>
          <w:szCs w:val="24"/>
          <w:highlight w:val="none"/>
        </w:rPr>
        <w:t>2.4.1 其他服务要求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(1)投标人应选取具备从原材料、生产过程、到成品的全流程质量控制能力的生产厂商，以确保产品出厂性能符合要求。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(2)投标人应具备优秀的售后服务能力，设有独立的售后专线，负责接听和处理售后问题。</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（3）投标人应提供软件免费升级支持及最先进的技术解决方案。</w:t>
      </w:r>
    </w:p>
    <w:p>
      <w:pPr>
        <w:pStyle w:val="5"/>
        <w:rPr>
          <w:rFonts w:hint="eastAsia" w:ascii="宋体" w:hAnsi="宋体" w:cs="宋体"/>
          <w:szCs w:val="24"/>
          <w:highlight w:val="none"/>
        </w:rPr>
      </w:pPr>
      <w:r>
        <w:rPr>
          <w:rFonts w:hint="eastAsia" w:ascii="宋体" w:hAnsi="宋体" w:cs="宋体"/>
          <w:szCs w:val="24"/>
          <w:highlight w:val="none"/>
        </w:rPr>
        <w:t>2.4.2 保密要求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lang w:eastAsia="zh-CN"/>
        </w:rPr>
        <w:t>投标人应根据项目特点制定保密方案，方案内容应包括但不限于保密内容、制定并遵守的保密制度、保密管理形式等。</w:t>
      </w:r>
      <w:r>
        <w:rPr>
          <w:rFonts w:hint="eastAsia" w:ascii="宋体" w:hAnsi="宋体" w:cs="宋体"/>
          <w:sz w:val="24"/>
          <w:highlight w:val="none"/>
        </w:rPr>
        <w:t>参与招标投标活动的各方应对招标文件和投标文件中的商业和技术等秘密保密，否则应承担相应的法律责任。</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投标人应对过程中所涉及到的所有资料、图纸、报表、文档、数据保密。按采购人保密管理程序，与采购人签订保密协议。所承担的保密义务不以项目的结束而失效。按采购人要求完成工作任务,并严格遵守现场管理。严格执行《保密协议书》的规定，作好保密工作。遵守国家及采购人有关安全、消防、环保、防护、保密等管理规定防止各类事故的发生。</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(2)合同双方应对因履行合同而取得的另一方当事人的信息、资料等予以保密。未经另一方当事人书面同意，任何一方均不得为与履行合同无关的目的使用或向第三方披露另一方当事人提供的信息、资料。</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合同当事人的保密义务不适用于下列信息：</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①</w:t>
      </w:r>
      <w:r>
        <w:rPr>
          <w:rFonts w:hint="eastAsia" w:ascii="宋体" w:hAnsi="宋体" w:cs="宋体"/>
          <w:sz w:val="24"/>
          <w:highlight w:val="none"/>
        </w:rPr>
        <w:t xml:space="preserve"> 非因接受信息一方的过失现在或以后进入公共领域的信息；</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②</w:t>
      </w:r>
      <w:r>
        <w:rPr>
          <w:rFonts w:hint="eastAsia" w:ascii="宋体" w:hAnsi="宋体" w:cs="宋体"/>
          <w:sz w:val="24"/>
          <w:highlight w:val="none"/>
        </w:rPr>
        <w:t xml:space="preserve"> 接受信息一方当事人合法地从第三方获得并且据其善意了解第三方也不对此承担保密义务的信息；</w:t>
      </w:r>
    </w:p>
    <w:p>
      <w:pPr>
        <w:pStyle w:val="259"/>
        <w:spacing w:line="360" w:lineRule="auto"/>
        <w:ind w:firstLine="560"/>
        <w:rPr>
          <w:rFonts w:hint="eastAsia" w:ascii="宋体" w:hAnsi="宋体" w:cs="宋体"/>
          <w:sz w:val="24"/>
          <w:highlight w:val="none"/>
        </w:rPr>
      </w:pPr>
      <w:r>
        <w:rPr>
          <w:rFonts w:hint="eastAsia" w:ascii="汉仪书宋二S" w:hAnsi="汉仪书宋二S" w:eastAsia="汉仪书宋二S" w:cs="汉仪书宋二S"/>
          <w:sz w:val="24"/>
          <w:highlight w:val="none"/>
        </w:rPr>
        <w:t>③</w:t>
      </w:r>
      <w:r>
        <w:rPr>
          <w:rFonts w:hint="eastAsia" w:ascii="宋体" w:hAnsi="宋体" w:cs="宋体"/>
          <w:sz w:val="24"/>
          <w:highlight w:val="none"/>
        </w:rPr>
        <w:t xml:space="preserve"> 法律或法律的执行要求披露的信息。</w:t>
      </w:r>
    </w:p>
    <w:p>
      <w:pPr>
        <w:pStyle w:val="5"/>
        <w:rPr>
          <w:rFonts w:hint="eastAsia" w:ascii="宋体" w:hAnsi="宋体" w:cs="宋体"/>
          <w:szCs w:val="24"/>
          <w:highlight w:val="none"/>
        </w:rPr>
      </w:pPr>
      <w:r>
        <w:rPr>
          <w:rFonts w:hint="eastAsia" w:ascii="宋体" w:hAnsi="宋体" w:cs="宋体"/>
          <w:szCs w:val="24"/>
          <w:highlight w:val="none"/>
        </w:rPr>
        <w:t>2.4.3 知识产权要求</w:t>
      </w:r>
    </w:p>
    <w:p>
      <w:pPr>
        <w:pStyle w:val="259"/>
        <w:spacing w:line="360" w:lineRule="auto"/>
        <w:ind w:firstLine="560"/>
        <w:rPr>
          <w:rFonts w:hint="eastAsia" w:ascii="宋体" w:hAnsi="宋体" w:cs="宋体"/>
          <w:sz w:val="24"/>
          <w:highlight w:val="none"/>
          <w:lang w:eastAsia="zh-CN"/>
        </w:rPr>
      </w:pPr>
      <w:r>
        <w:rPr>
          <w:rFonts w:hint="eastAsia" w:ascii="宋体" w:hAnsi="宋体" w:cs="宋体"/>
          <w:sz w:val="24"/>
          <w:highlight w:val="none"/>
          <w:lang w:eastAsia="zh-CN"/>
        </w:rPr>
        <w:t>投标人应根据项目特点制定知识产权方案，方案内容应包括但不限于本项目涉及的知识产权保障内容、采取的保障措施等。</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(1)采购人在履行合同过程中提供给中标人的全部图纸、文件和其他含有数据和信息的资料，其知识产权属于采购人。</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(2)除专用合同条款另有约定外，采购人不因签署和履行合同而享有中标人在履行合同过程中提供给采购人的图纸、文件、配套软件、电子辅助程序和其他含有数据和信息的资料的知识产权。</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(3)如合同产品涉及知识产权，则中标人保证采购人在使用合同产品过程中免于受到第三方提出的有关知识产权侵权的主张、索赔或诉讼的伤害。</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(4)如果采购人收到任何第三方有关知识产权的主张、索赔或诉讼，中标人在收到采购人通知后，应以采购人名义并在采购人的协助下，自负费用处理与第三方的索赔或诉讼，并赔偿采购人因此发生的费用和遭受的损失。除专用合同条款另有约定外，如果中标人拒绝处理前述索赔或诉讼或在收到采购人通知后 28 日内未作表示，采购人可以自己的名义进行这些索赔或诉讼，因此发生的费用和遭受的损失均应由中标人承担。</w:t>
      </w:r>
    </w:p>
    <w:p>
      <w:pPr>
        <w:pStyle w:val="5"/>
        <w:rPr>
          <w:rFonts w:hint="eastAsia" w:ascii="宋体" w:hAnsi="宋体" w:cs="宋体"/>
          <w:szCs w:val="24"/>
          <w:highlight w:val="none"/>
        </w:rPr>
      </w:pPr>
      <w:r>
        <w:rPr>
          <w:rFonts w:hint="eastAsia" w:ascii="宋体" w:hAnsi="宋体" w:cs="宋体"/>
          <w:szCs w:val="24"/>
          <w:highlight w:val="none"/>
        </w:rPr>
        <w:t>2.4.4 风险管控要求</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风险管控需基于“识别-评估-应对”闭环管理，风险识别覆盖“硬件-流程-人员”全场景；风险评估要量化可能性和后果严重度；风险应对包括事前、事中和事后三种情况的应对。具体管控措施包括如何保障货物质量达标、项目进度不延期、人员操作合规，还应包括应急预案。</w:t>
      </w:r>
    </w:p>
    <w:p>
      <w:pPr>
        <w:pStyle w:val="60"/>
        <w:adjustRightInd w:val="0"/>
        <w:spacing w:line="360" w:lineRule="auto"/>
        <w:ind w:firstLine="424" w:firstLineChars="177"/>
        <w:contextualSpacing/>
        <w:jc w:val="left"/>
        <w:rPr>
          <w:rFonts w:ascii="Times New Roman" w:hAnsi="Times New Roman"/>
          <w:sz w:val="24"/>
          <w:szCs w:val="24"/>
          <w:highlight w:val="none"/>
        </w:rPr>
      </w:pPr>
    </w:p>
    <w:p>
      <w:pPr>
        <w:pStyle w:val="60"/>
        <w:spacing w:line="360" w:lineRule="auto"/>
        <w:ind w:firstLine="0" w:firstLineChars="0"/>
        <w:contextualSpacing/>
        <w:outlineLvl w:val="1"/>
        <w:rPr>
          <w:rFonts w:ascii="Times New Roman" w:hAnsi="Times New Roman"/>
          <w:b/>
          <w:sz w:val="24"/>
          <w:szCs w:val="24"/>
          <w:highlight w:val="none"/>
        </w:rPr>
      </w:pPr>
      <w:r>
        <w:rPr>
          <w:rFonts w:hint="eastAsia" w:ascii="Times New Roman" w:hAnsi="Times New Roman"/>
          <w:b/>
          <w:sz w:val="24"/>
          <w:szCs w:val="24"/>
          <w:highlight w:val="none"/>
        </w:rPr>
        <w:t>3. 验收标准</w:t>
      </w:r>
    </w:p>
    <w:p>
      <w:pPr>
        <w:pStyle w:val="4"/>
        <w:rPr>
          <w:rFonts w:ascii="Arial" w:hAnsi="Arial" w:cs="Arial"/>
          <w:szCs w:val="24"/>
          <w:highlight w:val="none"/>
        </w:rPr>
      </w:pPr>
      <w:r>
        <w:rPr>
          <w:rFonts w:hint="eastAsia" w:ascii="Arial" w:hAnsi="Arial" w:cs="Arial"/>
          <w:szCs w:val="24"/>
          <w:highlight w:val="none"/>
        </w:rPr>
        <w:t>3.1 到货验收</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设备运抵安装现场后，采购人与中标人共同开箱核验并签字形成《到货单》，核验</w:t>
      </w:r>
      <w:r>
        <w:rPr>
          <w:rFonts w:hint="eastAsia" w:ascii="宋体" w:hAnsi="宋体" w:eastAsia="宋体" w:cs="宋体"/>
          <w:sz w:val="24"/>
          <w:highlight w:val="none"/>
        </w:rPr>
        <w:t>内容包括设备的型号、规格、数量、外型、包装及资料、文件（如装箱单、保修单、随箱介质）等。如发现有短缺，损坏或不符合合同规定的情形，应在《到货单》上做详细的记录，中标人须立即补发或更换，并承担相应责任。</w:t>
      </w:r>
    </w:p>
    <w:p>
      <w:pPr>
        <w:pStyle w:val="4"/>
        <w:rPr>
          <w:rFonts w:ascii="Arial" w:hAnsi="Arial" w:cs="Arial"/>
          <w:szCs w:val="24"/>
          <w:highlight w:val="none"/>
        </w:rPr>
      </w:pPr>
      <w:r>
        <w:rPr>
          <w:rFonts w:hint="eastAsia" w:ascii="Arial" w:hAnsi="Arial" w:cs="Arial"/>
          <w:szCs w:val="24"/>
          <w:highlight w:val="none"/>
        </w:rPr>
        <w:t>3.2 初期验收</w:t>
      </w:r>
    </w:p>
    <w:p>
      <w:pPr>
        <w:rPr>
          <w:rFonts w:hint="eastAsia" w:ascii="宋体" w:hAnsi="宋体" w:cs="宋体"/>
          <w:sz w:val="24"/>
          <w:highlight w:val="none"/>
        </w:rPr>
      </w:pPr>
      <w:r>
        <w:rPr>
          <w:rFonts w:ascii="宋体" w:hAnsi="宋体" w:cs="宋体"/>
          <w:sz w:val="24"/>
          <w:highlight w:val="none"/>
        </w:rPr>
        <w:tab/>
      </w:r>
      <w:r>
        <w:rPr>
          <w:rFonts w:hint="eastAsia" w:ascii="宋体" w:hAnsi="宋体" w:cs="宋体"/>
          <w:sz w:val="24"/>
          <w:highlight w:val="none"/>
        </w:rPr>
        <w:t>设备安装和调试达到采购人要求后，投标人向采购人申请初验，并提交初验报告、货物清单、图纸等。</w:t>
      </w:r>
    </w:p>
    <w:p>
      <w:pPr>
        <w:pStyle w:val="4"/>
        <w:rPr>
          <w:rFonts w:ascii="Arial" w:hAnsi="Arial" w:cs="Arial"/>
          <w:szCs w:val="24"/>
          <w:highlight w:val="none"/>
        </w:rPr>
      </w:pPr>
      <w:r>
        <w:rPr>
          <w:rFonts w:hint="eastAsia" w:ascii="Arial" w:hAnsi="Arial" w:cs="Arial"/>
          <w:szCs w:val="24"/>
          <w:highlight w:val="none"/>
        </w:rPr>
        <w:t>3.3 终期验收</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初验通过后，项目进入为期3个月的试运行阶段。试运行结束后，中标人应向采购人提出终验申请，并提交试运行报告、培训记录、项目总结报告等相关文档。采购人可根据招标文件和合同对提交材料的范围进行合理的修订和补充。终验通过之日为质保服务期开始日期。</w:t>
      </w:r>
    </w:p>
    <w:p>
      <w:pPr>
        <w:pStyle w:val="259"/>
        <w:spacing w:line="360" w:lineRule="auto"/>
        <w:ind w:firstLine="560"/>
        <w:rPr>
          <w:rFonts w:hint="eastAsia" w:ascii="宋体" w:hAnsi="宋体" w:cs="宋体"/>
          <w:sz w:val="24"/>
          <w:highlight w:val="none"/>
        </w:rPr>
      </w:pPr>
      <w:r>
        <w:rPr>
          <w:rFonts w:hint="eastAsia" w:ascii="宋体" w:hAnsi="宋体" w:cs="宋体"/>
          <w:sz w:val="24"/>
          <w:highlight w:val="none"/>
        </w:rPr>
        <w:t>验收工作将以招标文件、投标文件以及合同中相关内容为依据，并设置如下考核标准。若考核不达标，采购人有权在第三次付款时，按项（次）扣除合同金额的0.1%。</w:t>
      </w:r>
    </w:p>
    <w:tbl>
      <w:tblPr>
        <w:tblStyle w:val="44"/>
        <w:tblW w:w="9059" w:type="dxa"/>
        <w:tblInd w:w="28"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532"/>
        <w:gridCol w:w="656"/>
        <w:gridCol w:w="5051"/>
        <w:gridCol w:w="1020"/>
        <w:gridCol w:w="1800"/>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b/>
                <w:bCs/>
                <w:color w:val="000000"/>
                <w:szCs w:val="21"/>
                <w:highlight w:val="none"/>
              </w:rPr>
              <w:t>序号</w:t>
            </w:r>
          </w:p>
        </w:tc>
        <w:tc>
          <w:tcPr>
            <w:tcW w:w="656"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b/>
                <w:bCs/>
                <w:color w:val="000000"/>
                <w:szCs w:val="21"/>
                <w:highlight w:val="none"/>
              </w:rPr>
              <w:t>考核内容</w:t>
            </w:r>
          </w:p>
        </w:tc>
        <w:tc>
          <w:tcPr>
            <w:tcW w:w="5051"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b/>
                <w:bCs/>
                <w:color w:val="000000"/>
                <w:szCs w:val="21"/>
                <w:highlight w:val="none"/>
              </w:rPr>
              <w:t>考核标准</w:t>
            </w:r>
          </w:p>
        </w:tc>
        <w:tc>
          <w:tcPr>
            <w:tcW w:w="1020"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b/>
                <w:bCs/>
                <w:color w:val="000000"/>
                <w:szCs w:val="21"/>
                <w:highlight w:val="none"/>
              </w:rPr>
              <w:t>是否达标</w:t>
            </w:r>
          </w:p>
        </w:tc>
        <w:tc>
          <w:tcPr>
            <w:tcW w:w="1800" w:type="dxa"/>
            <w:tcBorders>
              <w:left w:val="inset" w:color="808080" w:sz="6" w:space="0"/>
              <w:bottom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b/>
                <w:bCs/>
                <w:color w:val="000000"/>
                <w:szCs w:val="21"/>
                <w:highlight w:val="none"/>
              </w:rPr>
              <w:t>采购方签字</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color w:val="000000"/>
                <w:szCs w:val="21"/>
                <w:highlight w:val="none"/>
              </w:rPr>
            </w:pPr>
            <w:r>
              <w:rPr>
                <w:rFonts w:hint="eastAsia"/>
                <w:color w:val="000000"/>
                <w:szCs w:val="21"/>
                <w:highlight w:val="none"/>
              </w:rPr>
              <w:t>1</w:t>
            </w:r>
          </w:p>
        </w:tc>
        <w:tc>
          <w:tcPr>
            <w:tcW w:w="65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color w:val="000000"/>
                <w:szCs w:val="21"/>
                <w:highlight w:val="none"/>
              </w:rPr>
              <w:t>到货</w:t>
            </w:r>
            <w:r>
              <w:rPr>
                <w:rFonts w:hint="eastAsia"/>
                <w:color w:val="000000"/>
                <w:szCs w:val="21"/>
                <w:highlight w:val="none"/>
              </w:rPr>
              <w:t>核验</w:t>
            </w:r>
          </w:p>
        </w:tc>
        <w:tc>
          <w:tcPr>
            <w:tcW w:w="505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rPr>
                <w:color w:val="000000"/>
                <w:szCs w:val="21"/>
                <w:highlight w:val="none"/>
              </w:rPr>
            </w:pPr>
            <w:r>
              <w:rPr>
                <w:color w:val="000000"/>
                <w:szCs w:val="21"/>
                <w:highlight w:val="none"/>
              </w:rPr>
              <w:t>能够按照采购人要求，提供满足条件的货物设备。产品无破损、数量无短缺。</w:t>
            </w:r>
          </w:p>
        </w:tc>
        <w:tc>
          <w:tcPr>
            <w:tcW w:w="102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c>
          <w:tcPr>
            <w:tcW w:w="1800"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color w:val="000000"/>
                <w:szCs w:val="21"/>
                <w:highlight w:val="none"/>
              </w:rPr>
            </w:pPr>
            <w:r>
              <w:rPr>
                <w:rFonts w:hint="eastAsia"/>
                <w:color w:val="000000"/>
                <w:szCs w:val="21"/>
                <w:highlight w:val="none"/>
              </w:rPr>
              <w:t>2</w:t>
            </w:r>
          </w:p>
        </w:tc>
        <w:tc>
          <w:tcPr>
            <w:tcW w:w="65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color w:val="000000"/>
                <w:szCs w:val="21"/>
                <w:highlight w:val="none"/>
              </w:rPr>
              <w:t>货物保障要求</w:t>
            </w:r>
          </w:p>
        </w:tc>
        <w:tc>
          <w:tcPr>
            <w:tcW w:w="505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rPr>
                <w:color w:val="000000"/>
                <w:szCs w:val="21"/>
                <w:highlight w:val="none"/>
              </w:rPr>
            </w:pPr>
            <w:r>
              <w:rPr>
                <w:color w:val="000000"/>
                <w:szCs w:val="21"/>
                <w:highlight w:val="none"/>
              </w:rPr>
              <w:t>试运行过程中</w:t>
            </w:r>
            <w:r>
              <w:rPr>
                <w:rFonts w:hint="eastAsia"/>
                <w:color w:val="000000"/>
                <w:szCs w:val="21"/>
                <w:highlight w:val="none"/>
              </w:rPr>
              <w:t>，投标人接到采购人售后通知后，2小时内远程修复或则应在4小时内到达现场。</w:t>
            </w:r>
          </w:p>
        </w:tc>
        <w:tc>
          <w:tcPr>
            <w:tcW w:w="102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rPr>
                <w:color w:val="000000"/>
                <w:szCs w:val="21"/>
                <w:highlight w:val="none"/>
              </w:rPr>
            </w:pPr>
          </w:p>
        </w:tc>
        <w:tc>
          <w:tcPr>
            <w:tcW w:w="1800"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rPr>
                <w:color w:val="000000"/>
                <w:szCs w:val="21"/>
                <w:highlight w:val="none"/>
              </w:rPr>
            </w:pP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color w:val="000000"/>
                <w:szCs w:val="21"/>
                <w:highlight w:val="none"/>
              </w:rPr>
            </w:pPr>
            <w:r>
              <w:rPr>
                <w:rFonts w:hint="eastAsia"/>
                <w:color w:val="000000"/>
                <w:szCs w:val="21"/>
                <w:highlight w:val="none"/>
              </w:rPr>
              <w:t>3</w:t>
            </w:r>
          </w:p>
        </w:tc>
        <w:tc>
          <w:tcPr>
            <w:tcW w:w="65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color w:val="000000"/>
                <w:szCs w:val="21"/>
                <w:highlight w:val="none"/>
              </w:rPr>
              <w:t>货物保障要求</w:t>
            </w:r>
          </w:p>
        </w:tc>
        <w:tc>
          <w:tcPr>
            <w:tcW w:w="505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rPr>
                <w:color w:val="000000"/>
                <w:szCs w:val="21"/>
                <w:highlight w:val="none"/>
              </w:rPr>
            </w:pPr>
            <w:r>
              <w:rPr>
                <w:color w:val="000000"/>
                <w:szCs w:val="21"/>
                <w:highlight w:val="none"/>
              </w:rPr>
              <w:t>试运行过程中，对于由采购人发现或第三方检测服务所发现的设备故障，在</w:t>
            </w:r>
            <w:r>
              <w:rPr>
                <w:rFonts w:hint="eastAsia"/>
                <w:color w:val="000000"/>
                <w:szCs w:val="21"/>
                <w:highlight w:val="none"/>
              </w:rPr>
              <w:t>24小时</w:t>
            </w:r>
            <w:r>
              <w:rPr>
                <w:color w:val="000000"/>
                <w:szCs w:val="21"/>
                <w:highlight w:val="none"/>
              </w:rPr>
              <w:t>内解决。（由于特殊原因暂时无法修复的除外）。</w:t>
            </w:r>
          </w:p>
        </w:tc>
        <w:tc>
          <w:tcPr>
            <w:tcW w:w="102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c>
          <w:tcPr>
            <w:tcW w:w="1800"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color w:val="000000"/>
                <w:szCs w:val="21"/>
                <w:highlight w:val="none"/>
              </w:rPr>
            </w:pPr>
            <w:r>
              <w:rPr>
                <w:rFonts w:hint="eastAsia"/>
                <w:color w:val="000000"/>
                <w:szCs w:val="21"/>
                <w:highlight w:val="none"/>
              </w:rPr>
              <w:t>4</w:t>
            </w:r>
          </w:p>
        </w:tc>
        <w:tc>
          <w:tcPr>
            <w:tcW w:w="65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color w:val="000000"/>
                <w:szCs w:val="21"/>
                <w:highlight w:val="none"/>
              </w:rPr>
              <w:t>安全协议</w:t>
            </w:r>
          </w:p>
        </w:tc>
        <w:tc>
          <w:tcPr>
            <w:tcW w:w="5051"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pStyle w:val="259"/>
              <w:widowControl/>
              <w:rPr>
                <w:color w:val="000000"/>
                <w:szCs w:val="21"/>
                <w:highlight w:val="none"/>
              </w:rPr>
            </w:pPr>
            <w:r>
              <w:rPr>
                <w:rFonts w:hint="eastAsia"/>
                <w:color w:val="000000"/>
                <w:szCs w:val="21"/>
                <w:highlight w:val="none"/>
              </w:rPr>
              <w:t>投标人</w:t>
            </w:r>
            <w:r>
              <w:rPr>
                <w:color w:val="000000"/>
                <w:szCs w:val="21"/>
                <w:highlight w:val="none"/>
              </w:rPr>
              <w:t>需要与采购人签订《保密协议书》。</w:t>
            </w:r>
          </w:p>
        </w:tc>
        <w:tc>
          <w:tcPr>
            <w:tcW w:w="1020"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c>
          <w:tcPr>
            <w:tcW w:w="1800"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23" w:hRule="atLeast"/>
        </w:trPr>
        <w:tc>
          <w:tcPr>
            <w:tcW w:w="532" w:type="dxa"/>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widowControl/>
              <w:jc w:val="center"/>
              <w:rPr>
                <w:color w:val="000000"/>
                <w:szCs w:val="21"/>
                <w:highlight w:val="none"/>
              </w:rPr>
            </w:pPr>
            <w:r>
              <w:rPr>
                <w:rFonts w:hint="eastAsia"/>
                <w:color w:val="000000"/>
                <w:szCs w:val="21"/>
                <w:highlight w:val="none"/>
              </w:rPr>
              <w:t>5</w:t>
            </w:r>
          </w:p>
        </w:tc>
        <w:tc>
          <w:tcPr>
            <w:tcW w:w="656" w:type="dxa"/>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pStyle w:val="259"/>
              <w:widowControl/>
              <w:jc w:val="center"/>
              <w:rPr>
                <w:color w:val="000000"/>
                <w:szCs w:val="21"/>
                <w:highlight w:val="none"/>
              </w:rPr>
            </w:pPr>
            <w:r>
              <w:rPr>
                <w:color w:val="000000"/>
                <w:szCs w:val="21"/>
                <w:highlight w:val="none"/>
              </w:rPr>
              <w:t>文档质量</w:t>
            </w:r>
          </w:p>
        </w:tc>
        <w:tc>
          <w:tcPr>
            <w:tcW w:w="5051" w:type="dxa"/>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pStyle w:val="259"/>
              <w:widowControl/>
              <w:rPr>
                <w:color w:val="000000"/>
                <w:szCs w:val="21"/>
                <w:highlight w:val="none"/>
              </w:rPr>
            </w:pPr>
            <w:r>
              <w:rPr>
                <w:color w:val="000000"/>
                <w:szCs w:val="21"/>
                <w:highlight w:val="none"/>
              </w:rPr>
              <w:t>投标人提供货物的清单、图纸、文档等材料。对于项目过程文档和验收文档能够统一规范管理。</w:t>
            </w:r>
          </w:p>
        </w:tc>
        <w:tc>
          <w:tcPr>
            <w:tcW w:w="1020" w:type="dxa"/>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c>
          <w:tcPr>
            <w:tcW w:w="1800" w:type="dxa"/>
            <w:tcBorders>
              <w:top w:val="inset" w:color="808080" w:sz="6" w:space="0"/>
              <w:left w:val="inset" w:color="808080" w:sz="6" w:space="0"/>
            </w:tcBorders>
            <w:noWrap w:val="0"/>
            <w:tcMar>
              <w:top w:w="22" w:type="dxa"/>
              <w:left w:w="22" w:type="dxa"/>
              <w:bottom w:w="22" w:type="dxa"/>
              <w:right w:w="22" w:type="dxa"/>
            </w:tcMar>
            <w:vAlign w:val="center"/>
          </w:tcPr>
          <w:p>
            <w:pPr>
              <w:widowControl/>
              <w:rPr>
                <w:color w:val="000000"/>
                <w:szCs w:val="21"/>
                <w:highlight w:val="none"/>
              </w:rPr>
            </w:pPr>
            <w:r>
              <w:rPr>
                <w:color w:val="000000"/>
                <w:szCs w:val="21"/>
                <w:highlight w:val="none"/>
              </w:rPr>
              <w:t> </w:t>
            </w:r>
          </w:p>
        </w:tc>
      </w:tr>
    </w:tbl>
    <w:p>
      <w:pPr>
        <w:widowControl/>
        <w:spacing w:line="360" w:lineRule="auto"/>
        <w:ind w:firstLine="482"/>
        <w:contextualSpacing/>
        <w:rPr>
          <w:b/>
          <w:sz w:val="24"/>
          <w:highlight w:val="none"/>
        </w:rPr>
      </w:pPr>
    </w:p>
    <w:bookmarkEnd w:id="15"/>
    <w:bookmarkEnd w:id="16"/>
    <w:p>
      <w:pPr>
        <w:spacing w:line="360" w:lineRule="auto"/>
        <w:contextualSpacing/>
        <w:rPr>
          <w:sz w:val="24"/>
          <w:highlight w:val="none"/>
        </w:rPr>
      </w:pPr>
    </w:p>
    <w:p>
      <w:pPr>
        <w:rPr>
          <w:highlight w:val="none"/>
        </w:rPr>
      </w:pPr>
    </w:p>
    <w:bookmarkEnd w:id="1"/>
    <w:bookmarkEnd w:id="2"/>
    <w:bookmarkEnd w:id="3"/>
    <w:bookmarkEnd w:id="4"/>
    <w:bookmarkEnd w:id="5"/>
    <w:bookmarkEnd w:id="6"/>
    <w:bookmarkEnd w:id="7"/>
    <w:bookmarkEnd w:id="8"/>
    <w:bookmarkEnd w:id="9"/>
    <w:bookmarkEnd w:id="10"/>
    <w:bookmarkEnd w:id="11"/>
    <w:bookmarkEnd w:id="12"/>
    <w:bookmarkEnd w:id="13"/>
    <w:bookmarkEnd w:id="14"/>
    <w:p>
      <w:pPr>
        <w:rPr>
          <w:highlight w:val="none"/>
        </w:rPr>
      </w:pPr>
    </w:p>
    <w:bookmarkEnd w:id="20"/>
    <w:sectPr>
      <w:footerReference r:id="rId3"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ˎ̥">
    <w:altName w:val="Arial Unicode MS"/>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8CF3C52" w:usb2="00000016" w:usb3="00000000" w:csb0="0004001F" w:csb1="00000000"/>
  </w:font>
  <w:font w:name="方正大标宋简体">
    <w:altName w:val="Arial Unicode MS"/>
    <w:panose1 w:val="02010601030101010101"/>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汉仪书宋二S">
    <w:altName w:val="宋体"/>
    <w:panose1 w:val="00020600040101010101"/>
    <w:charset w:val="86"/>
    <w:family w:val="auto"/>
    <w:pitch w:val="default"/>
    <w:sig w:usb0="00000000" w:usb1="00000000" w:usb2="00000000" w:usb3="00000000" w:csb0="00000000" w:csb1="00000000"/>
  </w:font>
  <w:font w:name="方正小标宋简体">
    <w:panose1 w:val="00000600000000000000"/>
    <w:charset w:val="86"/>
    <w:family w:val="script"/>
    <w:pitch w:val="default"/>
    <w:sig w:usb0="800002BF" w:usb1="184F6CF8" w:usb2="00000012" w:usb3="00000000" w:csb0="00160001" w:csb1="1203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31"/>
                    </w:pPr>
                    <w: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tentative="0">
      <w:start w:val="1"/>
      <w:numFmt w:val="decimal"/>
      <w:pStyle w:val="7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5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10"/>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6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6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8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8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9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8"/>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7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169"/>
      <w:lvlText w:val="%1"/>
      <w:lvlJc w:val="left"/>
      <w:pPr>
        <w:ind w:left="680" w:hanging="680"/>
      </w:pPr>
      <w:rPr>
        <w:rFonts w:hint="eastAsia" w:ascii="宋体" w:hAnsi="宋体" w:eastAsia="宋体"/>
      </w:rPr>
    </w:lvl>
    <w:lvl w:ilvl="1" w:tentative="0">
      <w:start w:val="1"/>
      <w:numFmt w:val="decimal"/>
      <w:pStyle w:val="170"/>
      <w:lvlText w:val="%1.%2"/>
      <w:lvlJc w:val="left"/>
      <w:pPr>
        <w:ind w:left="851" w:hanging="851"/>
      </w:pPr>
      <w:rPr>
        <w:rFonts w:hint="eastAsia" w:ascii="宋体" w:hAnsi="宋体" w:eastAsia="宋体"/>
        <w:color w:val="auto"/>
      </w:rPr>
    </w:lvl>
    <w:lvl w:ilvl="2" w:tentative="0">
      <w:start w:val="1"/>
      <w:numFmt w:val="decimal"/>
      <w:pStyle w:val="17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40AD6600"/>
    <w:multiLevelType w:val="singleLevel"/>
    <w:tmpl w:val="40AD6600"/>
    <w:lvl w:ilvl="0" w:tentative="0">
      <w:start w:val="1"/>
      <w:numFmt w:val="decimal"/>
      <w:pStyle w:val="7"/>
      <w:lvlText w:val="%1."/>
      <w:lvlJc w:val="left"/>
      <w:pPr>
        <w:tabs>
          <w:tab w:val="left" w:pos="780"/>
        </w:tabs>
        <w:ind w:left="780" w:hanging="360"/>
      </w:pPr>
    </w:lvl>
  </w:abstractNum>
  <w:num w:numId="1">
    <w:abstractNumId w:val="7"/>
  </w:num>
  <w:num w:numId="2">
    <w:abstractNumId w:val="3"/>
  </w:num>
  <w:num w:numId="3">
    <w:abstractNumId w:val="0"/>
  </w:num>
  <w:num w:numId="4">
    <w:abstractNumId w:val="5"/>
  </w:num>
  <w:num w:numId="5">
    <w:abstractNumId w:val="2"/>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4C5"/>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3F1"/>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04A"/>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57"/>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A4C"/>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175"/>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5E2"/>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8C7"/>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D21"/>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0C"/>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7BD"/>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48"/>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22"/>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23C3D"/>
    <w:rsid w:val="01366E1F"/>
    <w:rsid w:val="021961B8"/>
    <w:rsid w:val="02BF47DD"/>
    <w:rsid w:val="03101AF4"/>
    <w:rsid w:val="03697A6B"/>
    <w:rsid w:val="05130450"/>
    <w:rsid w:val="05655560"/>
    <w:rsid w:val="06FE1855"/>
    <w:rsid w:val="07722DD0"/>
    <w:rsid w:val="07F36417"/>
    <w:rsid w:val="08CD5C19"/>
    <w:rsid w:val="093D50A9"/>
    <w:rsid w:val="09AD06FE"/>
    <w:rsid w:val="09DD1A69"/>
    <w:rsid w:val="0A674C0A"/>
    <w:rsid w:val="0B660C1A"/>
    <w:rsid w:val="0BEC3CCD"/>
    <w:rsid w:val="0C2D252D"/>
    <w:rsid w:val="0C5E084D"/>
    <w:rsid w:val="0D9D24E2"/>
    <w:rsid w:val="0E2D1AB3"/>
    <w:rsid w:val="0E4B42EB"/>
    <w:rsid w:val="0F1522C6"/>
    <w:rsid w:val="0F844E94"/>
    <w:rsid w:val="0FB51D65"/>
    <w:rsid w:val="10DB2AE4"/>
    <w:rsid w:val="10DD6365"/>
    <w:rsid w:val="12B94A30"/>
    <w:rsid w:val="14625AD7"/>
    <w:rsid w:val="17757652"/>
    <w:rsid w:val="17F93E0B"/>
    <w:rsid w:val="194C01AB"/>
    <w:rsid w:val="195C04FC"/>
    <w:rsid w:val="196B04A0"/>
    <w:rsid w:val="1A72763F"/>
    <w:rsid w:val="1C455CA5"/>
    <w:rsid w:val="1CD61307"/>
    <w:rsid w:val="1D2C69D2"/>
    <w:rsid w:val="1D481F98"/>
    <w:rsid w:val="1E3E66DE"/>
    <w:rsid w:val="1F82641D"/>
    <w:rsid w:val="211D2A9C"/>
    <w:rsid w:val="217C0935"/>
    <w:rsid w:val="222641F2"/>
    <w:rsid w:val="227152F0"/>
    <w:rsid w:val="239E00B4"/>
    <w:rsid w:val="244D3318"/>
    <w:rsid w:val="251E74A4"/>
    <w:rsid w:val="26831BBC"/>
    <w:rsid w:val="27843CE5"/>
    <w:rsid w:val="27F160FC"/>
    <w:rsid w:val="282C6766"/>
    <w:rsid w:val="282E4292"/>
    <w:rsid w:val="28A04B09"/>
    <w:rsid w:val="29DE6D29"/>
    <w:rsid w:val="2B6D3D46"/>
    <w:rsid w:val="2B9845BD"/>
    <w:rsid w:val="2C7D3041"/>
    <w:rsid w:val="2ECB0C4A"/>
    <w:rsid w:val="2F0D4758"/>
    <w:rsid w:val="2F2B6CED"/>
    <w:rsid w:val="2F2E6FE6"/>
    <w:rsid w:val="308518E1"/>
    <w:rsid w:val="31754DFF"/>
    <w:rsid w:val="321715DC"/>
    <w:rsid w:val="32EB653A"/>
    <w:rsid w:val="33023CE5"/>
    <w:rsid w:val="33651E65"/>
    <w:rsid w:val="367A6890"/>
    <w:rsid w:val="36B74825"/>
    <w:rsid w:val="380E0F9F"/>
    <w:rsid w:val="38380439"/>
    <w:rsid w:val="384B560A"/>
    <w:rsid w:val="398F586D"/>
    <w:rsid w:val="3AC80521"/>
    <w:rsid w:val="3BA8243D"/>
    <w:rsid w:val="3BCB6780"/>
    <w:rsid w:val="3C37572C"/>
    <w:rsid w:val="3C8E5EB4"/>
    <w:rsid w:val="3CC85B63"/>
    <w:rsid w:val="3EC50E16"/>
    <w:rsid w:val="3FC44B7C"/>
    <w:rsid w:val="3FF31F8C"/>
    <w:rsid w:val="402A14E2"/>
    <w:rsid w:val="419934F7"/>
    <w:rsid w:val="41EE5B2A"/>
    <w:rsid w:val="425A2175"/>
    <w:rsid w:val="42CD0A98"/>
    <w:rsid w:val="430F6060"/>
    <w:rsid w:val="431A0C09"/>
    <w:rsid w:val="451844EB"/>
    <w:rsid w:val="45462543"/>
    <w:rsid w:val="46230002"/>
    <w:rsid w:val="4665137A"/>
    <w:rsid w:val="47541344"/>
    <w:rsid w:val="480E2158"/>
    <w:rsid w:val="488647A0"/>
    <w:rsid w:val="491533EC"/>
    <w:rsid w:val="494C7E52"/>
    <w:rsid w:val="49755CC5"/>
    <w:rsid w:val="4A3D6271"/>
    <w:rsid w:val="4A9E2E1A"/>
    <w:rsid w:val="4B65373A"/>
    <w:rsid w:val="4C327140"/>
    <w:rsid w:val="4D00163A"/>
    <w:rsid w:val="4D3B643D"/>
    <w:rsid w:val="4DE15315"/>
    <w:rsid w:val="4E3A76CE"/>
    <w:rsid w:val="4F0F5BE3"/>
    <w:rsid w:val="50055E16"/>
    <w:rsid w:val="52422029"/>
    <w:rsid w:val="545455E7"/>
    <w:rsid w:val="55040901"/>
    <w:rsid w:val="554273E2"/>
    <w:rsid w:val="555811BE"/>
    <w:rsid w:val="56245862"/>
    <w:rsid w:val="56DF05DE"/>
    <w:rsid w:val="571202BA"/>
    <w:rsid w:val="57FC6189"/>
    <w:rsid w:val="58E00503"/>
    <w:rsid w:val="591C346A"/>
    <w:rsid w:val="59C83A10"/>
    <w:rsid w:val="59CB35ED"/>
    <w:rsid w:val="5A0D7420"/>
    <w:rsid w:val="5AB509ED"/>
    <w:rsid w:val="5B9205D4"/>
    <w:rsid w:val="5C7C18B1"/>
    <w:rsid w:val="5D370EBC"/>
    <w:rsid w:val="5D6F3B63"/>
    <w:rsid w:val="5F073306"/>
    <w:rsid w:val="5F434264"/>
    <w:rsid w:val="5F5F73B9"/>
    <w:rsid w:val="62FFFEAE"/>
    <w:rsid w:val="635F71C4"/>
    <w:rsid w:val="6465428E"/>
    <w:rsid w:val="65BD3FC2"/>
    <w:rsid w:val="67817BD3"/>
    <w:rsid w:val="6838144E"/>
    <w:rsid w:val="68AA7398"/>
    <w:rsid w:val="68B85D45"/>
    <w:rsid w:val="6A687CA0"/>
    <w:rsid w:val="6C5A7C50"/>
    <w:rsid w:val="6DFF0411"/>
    <w:rsid w:val="6EAB6FA9"/>
    <w:rsid w:val="6F134DBC"/>
    <w:rsid w:val="6F237B5A"/>
    <w:rsid w:val="6F352E01"/>
    <w:rsid w:val="6FC62348"/>
    <w:rsid w:val="6FFE6C18"/>
    <w:rsid w:val="70C548D5"/>
    <w:rsid w:val="711342C2"/>
    <w:rsid w:val="72FB6F23"/>
    <w:rsid w:val="73037F0B"/>
    <w:rsid w:val="73A53748"/>
    <w:rsid w:val="742C597A"/>
    <w:rsid w:val="747425F1"/>
    <w:rsid w:val="751A4983"/>
    <w:rsid w:val="75CF57B4"/>
    <w:rsid w:val="77521CC0"/>
    <w:rsid w:val="77A0221F"/>
    <w:rsid w:val="78586FD7"/>
    <w:rsid w:val="7E1800D5"/>
    <w:rsid w:val="9ACFF052"/>
    <w:rsid w:val="DBF3317C"/>
    <w:rsid w:val="DFF75EA0"/>
    <w:rsid w:val="E794E873"/>
    <w:rsid w:val="F5F6956C"/>
    <w:rsid w:val="FE3F645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18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18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190"/>
    <w:qFormat/>
    <w:uiPriority w:val="0"/>
    <w:pPr>
      <w:keepNext/>
      <w:keepLines/>
      <w:adjustRightInd w:val="0"/>
      <w:spacing w:before="280" w:after="290" w:line="376" w:lineRule="atLeast"/>
      <w:textAlignment w:val="baseline"/>
      <w:outlineLvl w:val="3"/>
    </w:pPr>
    <w:rPr>
      <w:kern w:val="0"/>
      <w:sz w:val="24"/>
      <w:szCs w:val="20"/>
    </w:rPr>
  </w:style>
  <w:style w:type="paragraph" w:styleId="6">
    <w:name w:val="heading 5"/>
    <w:basedOn w:val="7"/>
    <w:next w:val="8"/>
    <w:link w:val="191"/>
    <w:qFormat/>
    <w:uiPriority w:val="0"/>
    <w:pPr>
      <w:keepNext/>
      <w:keepLines/>
      <w:tabs>
        <w:tab w:val="left" w:pos="780"/>
      </w:tabs>
      <w:adjustRightInd w:val="0"/>
      <w:spacing w:before="280" w:after="290" w:line="376" w:lineRule="atLeast"/>
      <w:textAlignment w:val="baseline"/>
      <w:outlineLvl w:val="4"/>
    </w:pPr>
    <w:rPr>
      <w:b/>
      <w:kern w:val="0"/>
      <w:sz w:val="28"/>
      <w:szCs w:val="20"/>
    </w:rPr>
  </w:style>
  <w:style w:type="paragraph" w:styleId="9">
    <w:name w:val="heading 6"/>
    <w:basedOn w:val="1"/>
    <w:next w:val="1"/>
    <w:link w:val="19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193"/>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19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19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44">
    <w:name w:val="Normal Table"/>
    <w:unhideWhenUsed/>
    <w:qFormat/>
    <w:uiPriority w:val="99"/>
    <w:tblPr>
      <w:tblLayout w:type="fixed"/>
      <w:tblCellMar>
        <w:top w:w="0" w:type="dxa"/>
        <w:left w:w="108" w:type="dxa"/>
        <w:bottom w:w="0" w:type="dxa"/>
        <w:right w:w="108" w:type="dxa"/>
      </w:tblCellMar>
    </w:tblPr>
  </w:style>
  <w:style w:type="paragraph" w:styleId="7">
    <w:name w:val="List Number 2"/>
    <w:basedOn w:val="1"/>
    <w:qFormat/>
    <w:uiPriority w:val="0"/>
    <w:pPr>
      <w:numPr>
        <w:ilvl w:val="0"/>
        <w:numId w:val="1"/>
      </w:numPr>
    </w:p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3">
    <w:name w:val="toc 7"/>
    <w:basedOn w:val="1"/>
    <w:next w:val="1"/>
    <w:qFormat/>
    <w:uiPriority w:val="0"/>
    <w:pPr>
      <w:ind w:left="2520" w:leftChars="1200"/>
    </w:pPr>
  </w:style>
  <w:style w:type="paragraph" w:styleId="14">
    <w:name w:val="Normal Indent"/>
    <w:basedOn w:val="1"/>
    <w:link w:val="189"/>
    <w:qFormat/>
    <w:uiPriority w:val="0"/>
    <w:pPr>
      <w:autoSpaceDE w:val="0"/>
      <w:autoSpaceDN w:val="0"/>
      <w:adjustRightInd w:val="0"/>
      <w:ind w:firstLine="420"/>
      <w:jc w:val="left"/>
    </w:pPr>
    <w:rPr>
      <w:rFonts w:ascii="宋体"/>
      <w:sz w:val="24"/>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196"/>
    <w:qFormat/>
    <w:uiPriority w:val="0"/>
    <w:pPr>
      <w:shd w:val="clear" w:color="auto" w:fill="000080"/>
    </w:pPr>
  </w:style>
  <w:style w:type="paragraph" w:styleId="17">
    <w:name w:val="annotation text"/>
    <w:basedOn w:val="1"/>
    <w:link w:val="197"/>
    <w:qFormat/>
    <w:uiPriority w:val="99"/>
    <w:pPr>
      <w:jc w:val="left"/>
    </w:pPr>
  </w:style>
  <w:style w:type="paragraph" w:styleId="18">
    <w:name w:val="Body Text 3"/>
    <w:basedOn w:val="1"/>
    <w:link w:val="198"/>
    <w:qFormat/>
    <w:uiPriority w:val="0"/>
    <w:pPr>
      <w:spacing w:after="120"/>
    </w:pPr>
    <w:rPr>
      <w:sz w:val="16"/>
      <w:szCs w:val="16"/>
    </w:rPr>
  </w:style>
  <w:style w:type="paragraph" w:styleId="19">
    <w:name w:val="Body Text"/>
    <w:basedOn w:val="1"/>
    <w:next w:val="20"/>
    <w:link w:val="199"/>
    <w:qFormat/>
    <w:uiPriority w:val="0"/>
    <w:pPr>
      <w:tabs>
        <w:tab w:val="left" w:pos="567"/>
      </w:tabs>
      <w:spacing w:before="120" w:line="22" w:lineRule="atLeast"/>
    </w:pPr>
    <w:rPr>
      <w:rFonts w:ascii="宋体" w:hAnsi="宋体"/>
      <w:sz w:val="24"/>
    </w:rPr>
  </w:style>
  <w:style w:type="paragraph" w:customStyle="1" w:styleId="20">
    <w:name w:val="目录 11"/>
    <w:next w:val="1"/>
    <w:qFormat/>
    <w:uiPriority w:val="0"/>
    <w:pPr>
      <w:wordWrap w:val="0"/>
      <w:jc w:val="both"/>
    </w:pPr>
    <w:rPr>
      <w:rFonts w:ascii="Calibri" w:hAnsi="Calibri" w:eastAsia="宋体" w:cs="Calibri"/>
      <w:sz w:val="21"/>
      <w:szCs w:val="22"/>
      <w:lang w:val="en-US" w:eastAsia="zh-CN" w:bidi="ar-SA"/>
    </w:rPr>
  </w:style>
  <w:style w:type="paragraph" w:styleId="21">
    <w:name w:val="Body Text Indent"/>
    <w:basedOn w:val="1"/>
    <w:link w:val="200"/>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1"/>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02"/>
    <w:qFormat/>
    <w:uiPriority w:val="0"/>
    <w:pPr>
      <w:ind w:left="100" w:leftChars="2500"/>
    </w:pPr>
    <w:rPr>
      <w:rFonts w:ascii="仿宋_GB2312" w:hAnsi="宋体" w:eastAsia="仿宋_GB2312"/>
      <w:color w:val="000000"/>
      <w:sz w:val="24"/>
    </w:rPr>
  </w:style>
  <w:style w:type="paragraph" w:styleId="29">
    <w:name w:val="Body Text Indent 2"/>
    <w:basedOn w:val="1"/>
    <w:link w:val="203"/>
    <w:qFormat/>
    <w:uiPriority w:val="0"/>
    <w:pPr>
      <w:ind w:firstLine="480" w:firstLineChars="200"/>
    </w:pPr>
    <w:rPr>
      <w:rFonts w:ascii="仿宋_GB2312" w:eastAsia="仿宋_GB2312"/>
      <w:sz w:val="24"/>
    </w:rPr>
  </w:style>
  <w:style w:type="paragraph" w:styleId="30">
    <w:name w:val="Balloon Text"/>
    <w:basedOn w:val="1"/>
    <w:link w:val="204"/>
    <w:qFormat/>
    <w:uiPriority w:val="0"/>
    <w:rPr>
      <w:sz w:val="18"/>
      <w:szCs w:val="18"/>
    </w:rPr>
  </w:style>
  <w:style w:type="paragraph" w:styleId="31">
    <w:name w:val="footer"/>
    <w:basedOn w:val="1"/>
    <w:link w:val="205"/>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206"/>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0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209"/>
    <w:qFormat/>
    <w:uiPriority w:val="0"/>
    <w:pPr>
      <w:jc w:val="center"/>
      <w:outlineLvl w:val="0"/>
    </w:pPr>
    <w:rPr>
      <w:b/>
      <w:sz w:val="32"/>
      <w:szCs w:val="20"/>
    </w:rPr>
  </w:style>
  <w:style w:type="paragraph" w:styleId="42">
    <w:name w:val="annotation subject"/>
    <w:basedOn w:val="17"/>
    <w:next w:val="17"/>
    <w:link w:val="210"/>
    <w:qFormat/>
    <w:uiPriority w:val="0"/>
    <w:rPr>
      <w:b/>
      <w:bCs/>
    </w:rPr>
  </w:style>
  <w:style w:type="paragraph" w:styleId="43">
    <w:name w:val="Body Text First Indent 2"/>
    <w:basedOn w:val="21"/>
    <w:link w:val="211"/>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8">
    <w:name w:val="Strong"/>
    <w:qFormat/>
    <w:uiPriority w:val="0"/>
    <w:rPr>
      <w:b/>
      <w:bCs/>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customStyle="1" w:styleId="55">
    <w:name w:val="无间隔1"/>
    <w:basedOn w:val="1"/>
    <w:qFormat/>
    <w:uiPriority w:val="0"/>
    <w:pPr>
      <w:widowControl/>
      <w:spacing w:line="360" w:lineRule="auto"/>
      <w:jc w:val="center"/>
    </w:pPr>
    <w:rPr>
      <w:szCs w:val="21"/>
    </w:rPr>
  </w:style>
  <w:style w:type="paragraph" w:customStyle="1" w:styleId="56">
    <w:name w:val="注释"/>
    <w:basedOn w:val="1"/>
    <w:link w:val="215"/>
    <w:qFormat/>
    <w:uiPriority w:val="0"/>
    <w:pPr>
      <w:adjustRightInd w:val="0"/>
      <w:snapToGrid w:val="0"/>
      <w:ind w:left="420" w:hanging="420" w:hangingChars="200"/>
      <w:jc w:val="left"/>
    </w:pPr>
    <w:rPr>
      <w:rFonts w:ascii="宋体" w:hAnsi="宋体"/>
      <w:szCs w:val="21"/>
    </w:rPr>
  </w:style>
  <w:style w:type="paragraph" w:customStyle="1" w:styleId="57">
    <w:name w:val="正文文本缩进1"/>
    <w:basedOn w:val="1"/>
    <w:link w:val="221"/>
    <w:qFormat/>
    <w:uiPriority w:val="0"/>
    <w:pPr>
      <w:spacing w:line="480" w:lineRule="exact"/>
      <w:ind w:firstLine="480" w:firstLineChars="200"/>
    </w:pPr>
    <w:rPr>
      <w:rFonts w:ascii="宋体" w:hAnsi="宋体"/>
      <w:kern w:val="0"/>
      <w:sz w:val="24"/>
    </w:rPr>
  </w:style>
  <w:style w:type="paragraph" w:customStyle="1" w:styleId="58">
    <w:name w:val="正文大标题"/>
    <w:basedOn w:val="59"/>
    <w:next w:val="14"/>
    <w:link w:val="224"/>
    <w:qFormat/>
    <w:uiPriority w:val="0"/>
    <w:pPr>
      <w:jc w:val="center"/>
    </w:pPr>
    <w:rPr>
      <w:i w:val="0"/>
      <w:color w:val="000000"/>
      <w:sz w:val="28"/>
      <w:szCs w:val="21"/>
    </w:rPr>
  </w:style>
  <w:style w:type="paragraph" w:customStyle="1" w:styleId="59">
    <w:name w:val="正文小标题"/>
    <w:basedOn w:val="1"/>
    <w:next w:val="14"/>
    <w:link w:val="22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paragraph" w:styleId="60">
    <w:name w:val="List Paragraph"/>
    <w:basedOn w:val="1"/>
    <w:link w:val="227"/>
    <w:qFormat/>
    <w:uiPriority w:val="34"/>
    <w:pPr>
      <w:ind w:firstLine="420" w:firstLineChars="200"/>
    </w:pPr>
    <w:rPr>
      <w:rFonts w:ascii="Calibri" w:hAnsi="Calibri"/>
      <w:szCs w:val="22"/>
    </w:rPr>
  </w:style>
  <w:style w:type="paragraph" w:customStyle="1" w:styleId="61">
    <w:name w:val="正文格式"/>
    <w:basedOn w:val="1"/>
    <w:link w:val="228"/>
    <w:qFormat/>
    <w:uiPriority w:val="0"/>
    <w:pPr>
      <w:spacing w:beforeLines="50" w:line="360" w:lineRule="auto"/>
      <w:ind w:firstLine="480" w:firstLineChars="200"/>
    </w:pPr>
    <w:rPr>
      <w:rFonts w:ascii="宋体" w:hAnsi="宋体"/>
      <w:kern w:val="0"/>
      <w:sz w:val="24"/>
      <w:lang w:val="en-GB"/>
    </w:rPr>
  </w:style>
  <w:style w:type="paragraph" w:customStyle="1" w:styleId="62">
    <w:name w:val="正文缩进1"/>
    <w:basedOn w:val="1"/>
    <w:link w:val="236"/>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63">
    <w:name w:val="正文表格"/>
    <w:basedOn w:val="1"/>
    <w:link w:val="239"/>
    <w:qFormat/>
    <w:uiPriority w:val="0"/>
    <w:pPr>
      <w:adjustRightInd w:val="0"/>
      <w:snapToGrid w:val="0"/>
      <w:jc w:val="left"/>
    </w:pPr>
    <w:rPr>
      <w:rFonts w:ascii="宋体" w:hAnsi="宋体"/>
      <w:color w:val="000000"/>
      <w:szCs w:val="21"/>
    </w:rPr>
  </w:style>
  <w:style w:type="paragraph" w:customStyle="1" w:styleId="64">
    <w:name w:val="正文重点"/>
    <w:basedOn w:val="1"/>
    <w:link w:val="240"/>
    <w:qFormat/>
    <w:uiPriority w:val="0"/>
    <w:pPr>
      <w:adjustRightInd w:val="0"/>
      <w:spacing w:line="360" w:lineRule="auto"/>
      <w:ind w:firstLine="482" w:firstLineChars="200"/>
      <w:jc w:val="left"/>
      <w:textAlignment w:val="baseline"/>
    </w:pPr>
    <w:rPr>
      <w:b/>
      <w:kern w:val="0"/>
      <w:sz w:val="24"/>
      <w:szCs w:val="20"/>
    </w:rPr>
  </w:style>
  <w:style w:type="paragraph" w:customStyle="1" w:styleId="65">
    <w:name w:val="1"/>
    <w:link w:val="252"/>
    <w:qFormat/>
    <w:uiPriority w:val="0"/>
    <w:rPr>
      <w:rFonts w:ascii="Times New Roman" w:hAnsi="Times New Roman" w:eastAsia="宋体" w:cs="Times New Roman"/>
      <w:kern w:val="2"/>
      <w:sz w:val="21"/>
      <w:szCs w:val="24"/>
      <w:lang w:val="zh-CN" w:eastAsia="zh-CN" w:bidi="ar-SA"/>
    </w:rPr>
  </w:style>
  <w:style w:type="paragraph" w:customStyle="1" w:styleId="66">
    <w:name w:val="Char Char Char1"/>
    <w:basedOn w:val="1"/>
    <w:qFormat/>
    <w:uiPriority w:val="0"/>
    <w:rPr>
      <w:rFonts w:ascii="Tahoma" w:hAnsi="Tahoma"/>
      <w:sz w:val="24"/>
      <w:szCs w:val="20"/>
    </w:rPr>
  </w:style>
  <w:style w:type="paragraph" w:customStyle="1" w:styleId="67">
    <w:name w:val="Char3 Char Char Char"/>
    <w:basedOn w:val="1"/>
    <w:qFormat/>
    <w:uiPriority w:val="0"/>
    <w:rPr>
      <w:rFonts w:ascii="Tahoma" w:hAnsi="Tahoma"/>
      <w:sz w:val="24"/>
      <w:szCs w:val="20"/>
    </w:rPr>
  </w:style>
  <w:style w:type="paragraph" w:customStyle="1" w:styleId="68">
    <w:name w:val="一级条标题"/>
    <w:basedOn w:val="69"/>
    <w:next w:val="1"/>
    <w:qFormat/>
    <w:uiPriority w:val="0"/>
    <w:pPr>
      <w:numPr>
        <w:ilvl w:val="1"/>
      </w:numPr>
      <w:tabs>
        <w:tab w:val="left" w:pos="360"/>
        <w:tab w:val="left" w:pos="840"/>
      </w:tabs>
      <w:ind w:left="0" w:hanging="840"/>
      <w:outlineLvl w:val="1"/>
    </w:pPr>
  </w:style>
  <w:style w:type="paragraph" w:customStyle="1" w:styleId="69">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7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72">
    <w:name w:val="默认段落字体 Para Char Char Char Char"/>
    <w:basedOn w:val="1"/>
    <w:qFormat/>
    <w:uiPriority w:val="0"/>
    <w:rPr>
      <w:rFonts w:ascii="Arial" w:hAnsi="Arial" w:cs="Arial"/>
      <w:szCs w:val="21"/>
    </w:rPr>
  </w:style>
  <w:style w:type="paragraph" w:customStyle="1" w:styleId="73">
    <w:name w:val="二级条标题"/>
    <w:basedOn w:val="68"/>
    <w:next w:val="1"/>
    <w:qFormat/>
    <w:uiPriority w:val="0"/>
    <w:pPr>
      <w:numPr>
        <w:ilvl w:val="0"/>
        <w:numId w:val="0"/>
      </w:numPr>
      <w:ind w:hanging="840"/>
      <w:outlineLvl w:val="2"/>
    </w:pPr>
    <w:rPr>
      <w:rFonts w:ascii="宋体" w:eastAsia="宋体"/>
      <w:b w:val="0"/>
    </w:rPr>
  </w:style>
  <w:style w:type="paragraph" w:customStyle="1" w:styleId="7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7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7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7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78">
    <w:name w:val="缺省文本"/>
    <w:basedOn w:val="1"/>
    <w:qFormat/>
    <w:uiPriority w:val="0"/>
    <w:pPr>
      <w:autoSpaceDE w:val="0"/>
      <w:autoSpaceDN w:val="0"/>
      <w:adjustRightInd w:val="0"/>
      <w:jc w:val="left"/>
    </w:pPr>
    <w:rPr>
      <w:kern w:val="0"/>
      <w:sz w:val="24"/>
    </w:rPr>
  </w:style>
  <w:style w:type="paragraph" w:customStyle="1" w:styleId="79">
    <w:name w:val="项目编号2"/>
    <w:basedOn w:val="75"/>
    <w:qFormat/>
    <w:uiPriority w:val="0"/>
    <w:pPr>
      <w:numPr>
        <w:numId w:val="4"/>
      </w:numPr>
    </w:pPr>
  </w:style>
  <w:style w:type="paragraph" w:customStyle="1" w:styleId="8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81">
    <w:name w:val="字元 字元"/>
    <w:basedOn w:val="1"/>
    <w:qFormat/>
    <w:uiPriority w:val="0"/>
    <w:rPr>
      <w:rFonts w:ascii="Tahoma" w:hAnsi="Tahoma"/>
      <w:sz w:val="24"/>
      <w:szCs w:val="20"/>
    </w:rPr>
  </w:style>
  <w:style w:type="paragraph" w:customStyle="1" w:styleId="8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83">
    <w:name w:val="图中文字"/>
    <w:basedOn w:val="1"/>
    <w:qFormat/>
    <w:uiPriority w:val="0"/>
    <w:pPr>
      <w:adjustRightInd w:val="0"/>
      <w:snapToGrid w:val="0"/>
      <w:spacing w:line="0" w:lineRule="atLeast"/>
      <w:jc w:val="center"/>
    </w:pPr>
    <w:rPr>
      <w:sz w:val="24"/>
      <w:szCs w:val="20"/>
    </w:rPr>
  </w:style>
  <w:style w:type="paragraph" w:customStyle="1" w:styleId="84">
    <w:name w:val="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四级条标题"/>
    <w:basedOn w:val="87"/>
    <w:next w:val="1"/>
    <w:qFormat/>
    <w:uiPriority w:val="0"/>
    <w:pPr>
      <w:numPr>
        <w:ilvl w:val="4"/>
      </w:numPr>
      <w:tabs>
        <w:tab w:val="left" w:pos="360"/>
        <w:tab w:val="left" w:pos="840"/>
      </w:tabs>
      <w:ind w:left="0" w:hanging="840"/>
      <w:outlineLvl w:val="4"/>
    </w:pPr>
  </w:style>
  <w:style w:type="paragraph" w:customStyle="1" w:styleId="87">
    <w:name w:val="三级条标题"/>
    <w:basedOn w:val="73"/>
    <w:next w:val="1"/>
    <w:qFormat/>
    <w:uiPriority w:val="0"/>
    <w:pPr>
      <w:numPr>
        <w:ilvl w:val="3"/>
        <w:numId w:val="2"/>
      </w:numPr>
      <w:ind w:left="0" w:hanging="840"/>
      <w:outlineLvl w:val="3"/>
    </w:pPr>
  </w:style>
  <w:style w:type="paragraph" w:customStyle="1" w:styleId="8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样式2"/>
    <w:basedOn w:val="40"/>
    <w:qFormat/>
    <w:uiPriority w:val="0"/>
    <w:pPr>
      <w:spacing w:line="360" w:lineRule="auto"/>
      <w:jc w:val="center"/>
    </w:pPr>
    <w:rPr>
      <w:sz w:val="24"/>
    </w:rPr>
  </w:style>
  <w:style w:type="paragraph" w:customStyle="1" w:styleId="9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五级条标题"/>
    <w:basedOn w:val="86"/>
    <w:next w:val="1"/>
    <w:qFormat/>
    <w:uiPriority w:val="0"/>
    <w:pPr>
      <w:numPr>
        <w:ilvl w:val="5"/>
      </w:numPr>
      <w:ind w:left="0" w:hanging="840"/>
      <w:outlineLvl w:val="5"/>
    </w:p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项目符号1"/>
    <w:basedOn w:val="100"/>
    <w:qFormat/>
    <w:uiPriority w:val="0"/>
    <w:pPr>
      <w:ind w:left="-25" w:firstLine="0"/>
    </w:pPr>
  </w:style>
  <w:style w:type="paragraph" w:customStyle="1" w:styleId="100">
    <w:name w:val="正文文本样式"/>
    <w:basedOn w:val="1"/>
    <w:qFormat/>
    <w:uiPriority w:val="0"/>
    <w:pPr>
      <w:spacing w:line="360" w:lineRule="auto"/>
      <w:ind w:firstLine="482"/>
    </w:pPr>
    <w:rPr>
      <w:rFonts w:cs="宋体"/>
      <w:sz w:val="24"/>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08">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1名"/>
    <w:basedOn w:val="1"/>
    <w:qFormat/>
    <w:uiPriority w:val="0"/>
    <w:pPr>
      <w:numPr>
        <w:ilvl w:val="0"/>
        <w:numId w:val="5"/>
      </w:numPr>
      <w:spacing w:before="120"/>
    </w:pPr>
    <w:rPr>
      <w:rFonts w:ascii="宋体"/>
      <w:sz w:val="28"/>
      <w:szCs w:val="20"/>
    </w:rPr>
  </w:style>
  <w:style w:type="paragraph" w:customStyle="1" w:styleId="1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3">
    <w:name w:val="font8"/>
    <w:basedOn w:val="1"/>
    <w:qFormat/>
    <w:uiPriority w:val="0"/>
    <w:pPr>
      <w:widowControl/>
      <w:spacing w:before="100" w:beforeAutospacing="1" w:after="100" w:afterAutospacing="1"/>
      <w:jc w:val="left"/>
    </w:pPr>
    <w:rPr>
      <w:kern w:val="0"/>
      <w:sz w:val="36"/>
      <w:szCs w:val="36"/>
    </w:rPr>
  </w:style>
  <w:style w:type="paragraph" w:customStyle="1" w:styleId="114">
    <w:name w:val="Char Char Char Char Char Char Char Char Char Char"/>
    <w:basedOn w:val="1"/>
    <w:qFormat/>
    <w:uiPriority w:val="0"/>
  </w:style>
  <w:style w:type="paragraph" w:customStyle="1" w:styleId="115">
    <w:name w:val="Char"/>
    <w:basedOn w:val="1"/>
    <w:qFormat/>
    <w:uiPriority w:val="0"/>
    <w:pPr>
      <w:tabs>
        <w:tab w:val="left" w:pos="360"/>
      </w:tabs>
    </w:pPr>
    <w:rPr>
      <w:sz w:val="24"/>
    </w:rPr>
  </w:style>
  <w:style w:type="paragraph" w:customStyle="1" w:styleId="11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8">
    <w:name w:val="Char Char1"/>
    <w:basedOn w:val="16"/>
    <w:qFormat/>
    <w:uiPriority w:val="0"/>
    <w:rPr>
      <w:rFonts w:ascii="Tahoma" w:hAnsi="Tahoma"/>
      <w:sz w:val="24"/>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22">
    <w:name w:val="样式 标题 2 + 宋体 五号 行距: 单倍行距"/>
    <w:basedOn w:val="3"/>
    <w:qFormat/>
    <w:uiPriority w:val="0"/>
    <w:pPr>
      <w:numPr>
        <w:ilvl w:val="1"/>
        <w:numId w:val="6"/>
      </w:numPr>
      <w:autoSpaceDE/>
      <w:autoSpaceDN/>
      <w:spacing w:before="260" w:after="260" w:line="240" w:lineRule="auto"/>
      <w:jc w:val="left"/>
      <w:textAlignment w:val="baseline"/>
    </w:pPr>
    <w:rPr>
      <w:rFonts w:ascii="宋体" w:hAnsi="宋体" w:eastAsia="宋体"/>
      <w:bCs/>
      <w:sz w:val="21"/>
    </w:rPr>
  </w:style>
  <w:style w:type="paragraph" w:customStyle="1" w:styleId="12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Char Char Char1 Char1"/>
    <w:basedOn w:val="1"/>
    <w:qFormat/>
    <w:uiPriority w:val="0"/>
    <w:rPr>
      <w:rFonts w:ascii="Tahoma" w:hAnsi="Tahoma"/>
      <w:sz w:val="24"/>
      <w:szCs w:val="20"/>
    </w:rPr>
  </w:style>
  <w:style w:type="paragraph" w:customStyle="1" w:styleId="132">
    <w:name w:val="Char1"/>
    <w:basedOn w:val="1"/>
    <w:qFormat/>
    <w:uiPriority w:val="0"/>
    <w:pPr>
      <w:tabs>
        <w:tab w:val="left" w:pos="360"/>
      </w:tabs>
    </w:pPr>
    <w:rPr>
      <w:sz w:val="24"/>
    </w:rPr>
  </w:style>
  <w:style w:type="paragraph" w:customStyle="1" w:styleId="133">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3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3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4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1">
    <w:name w:val="正文 + 楷体_GB2312"/>
    <w:basedOn w:val="1"/>
    <w:qFormat/>
    <w:uiPriority w:val="0"/>
    <w:pPr>
      <w:widowControl/>
      <w:jc w:val="left"/>
    </w:pPr>
    <w:rPr>
      <w:rFonts w:ascii="楷体_GB2312" w:eastAsia="楷体_GB2312" w:cs="Arial"/>
      <w:kern w:val="0"/>
      <w:sz w:val="24"/>
    </w:rPr>
  </w:style>
  <w:style w:type="paragraph" w:customStyle="1" w:styleId="14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43">
    <w:name w:val="1 Char Char Char Char"/>
    <w:basedOn w:val="1"/>
    <w:qFormat/>
    <w:uiPriority w:val="0"/>
    <w:rPr>
      <w:rFonts w:ascii="Tahoma" w:hAnsi="Tahoma"/>
      <w:sz w:val="24"/>
      <w:szCs w:val="20"/>
    </w:rPr>
  </w:style>
  <w:style w:type="paragraph" w:customStyle="1" w:styleId="144">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4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46">
    <w:name w:val="列出段落1"/>
    <w:basedOn w:val="1"/>
    <w:qFormat/>
    <w:uiPriority w:val="0"/>
    <w:pPr>
      <w:ind w:firstLine="420" w:firstLineChars="200"/>
    </w:pPr>
    <w:rPr>
      <w:rFonts w:ascii="Calibri" w:hAnsi="Calibri"/>
      <w:szCs w:val="22"/>
    </w:rPr>
  </w:style>
  <w:style w:type="paragraph" w:customStyle="1" w:styleId="147">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8">
    <w:name w:val="字元 字元1"/>
    <w:basedOn w:val="1"/>
    <w:qFormat/>
    <w:uiPriority w:val="0"/>
    <w:rPr>
      <w:rFonts w:ascii="Tahoma" w:hAnsi="Tahoma"/>
      <w:sz w:val="24"/>
      <w:szCs w:val="20"/>
    </w:rPr>
  </w:style>
  <w:style w:type="paragraph" w:customStyle="1" w:styleId="149">
    <w:name w:val="_Style 160"/>
    <w:qFormat/>
    <w:uiPriority w:val="0"/>
    <w:rPr>
      <w:rFonts w:ascii="Times New Roman" w:hAnsi="Times New Roman" w:eastAsia="宋体" w:cs="Times New Roman"/>
      <w:kern w:val="2"/>
      <w:sz w:val="21"/>
      <w:szCs w:val="24"/>
      <w:lang w:val="en-US" w:eastAsia="zh-CN" w:bidi="ar-SA"/>
    </w:rPr>
  </w:style>
  <w:style w:type="paragraph" w:customStyle="1" w:styleId="150">
    <w:name w:val="项目编号3"/>
    <w:basedOn w:val="100"/>
    <w:qFormat/>
    <w:uiPriority w:val="0"/>
    <w:pPr>
      <w:numPr>
        <w:ilvl w:val="0"/>
        <w:numId w:val="7"/>
      </w:numPr>
    </w:pPr>
  </w:style>
  <w:style w:type="paragraph" w:customStyle="1" w:styleId="151">
    <w:name w:val="Char21"/>
    <w:basedOn w:val="1"/>
    <w:qFormat/>
    <w:uiPriority w:val="0"/>
    <w:rPr>
      <w:rFonts w:ascii="Tahoma" w:hAnsi="Tahoma"/>
      <w:sz w:val="24"/>
      <w:szCs w:val="20"/>
    </w:rPr>
  </w:style>
  <w:style w:type="paragraph" w:customStyle="1" w:styleId="15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153">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54">
    <w:name w:val="Char Char Char Char Char Char Char Char Char Char1"/>
    <w:basedOn w:val="1"/>
    <w:qFormat/>
    <w:uiPriority w:val="0"/>
    <w:rPr>
      <w:rFonts w:ascii="宋体" w:hAnsi="宋体" w:cs="Courier New"/>
      <w:sz w:val="32"/>
      <w:szCs w:val="32"/>
    </w:rPr>
  </w:style>
  <w:style w:type="paragraph" w:customStyle="1" w:styleId="155">
    <w:name w:val="正文文本样式 加粗"/>
    <w:basedOn w:val="100"/>
    <w:qFormat/>
    <w:uiPriority w:val="0"/>
    <w:rPr>
      <w:b/>
    </w:rPr>
  </w:style>
  <w:style w:type="paragraph" w:customStyle="1" w:styleId="15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Char2 Char Char Char Char Char Char"/>
    <w:basedOn w:val="1"/>
    <w:qFormat/>
    <w:uiPriority w:val="0"/>
    <w:pPr>
      <w:widowControl/>
      <w:spacing w:line="400" w:lineRule="exact"/>
      <w:jc w:val="center"/>
    </w:pPr>
  </w:style>
  <w:style w:type="paragraph" w:customStyle="1" w:styleId="158">
    <w:name w:val="Char Char4"/>
    <w:basedOn w:val="1"/>
    <w:qFormat/>
    <w:uiPriority w:val="0"/>
    <w:pPr>
      <w:widowControl/>
      <w:spacing w:line="400" w:lineRule="exact"/>
      <w:jc w:val="center"/>
    </w:pPr>
  </w:style>
  <w:style w:type="paragraph" w:customStyle="1" w:styleId="159">
    <w:name w:val="Char3 Char Char Char1"/>
    <w:basedOn w:val="1"/>
    <w:qFormat/>
    <w:uiPriority w:val="0"/>
    <w:rPr>
      <w:rFonts w:ascii="Tahoma" w:hAnsi="Tahoma"/>
      <w:sz w:val="24"/>
      <w:szCs w:val="20"/>
    </w:rPr>
  </w:style>
  <w:style w:type="paragraph" w:styleId="16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62">
    <w:name w:val="图例"/>
    <w:basedOn w:val="1"/>
    <w:qFormat/>
    <w:uiPriority w:val="0"/>
    <w:pPr>
      <w:spacing w:before="120" w:after="120" w:line="360" w:lineRule="auto"/>
      <w:jc w:val="center"/>
    </w:pPr>
    <w:rPr>
      <w:rFonts w:eastAsia="仿宋_GB2312"/>
      <w:b/>
      <w:sz w:val="24"/>
      <w:szCs w:val="20"/>
    </w:rPr>
  </w:style>
  <w:style w:type="paragraph" w:customStyle="1" w:styleId="163">
    <w:name w:val="图文"/>
    <w:basedOn w:val="1"/>
    <w:qFormat/>
    <w:uiPriority w:val="0"/>
    <w:pPr>
      <w:adjustRightInd w:val="0"/>
      <w:snapToGrid w:val="0"/>
      <w:spacing w:after="50" w:line="360" w:lineRule="auto"/>
    </w:pPr>
    <w:rPr>
      <w:sz w:val="24"/>
    </w:rPr>
  </w:style>
  <w:style w:type="paragraph" w:customStyle="1" w:styleId="164">
    <w:name w:val="Char22"/>
    <w:basedOn w:val="1"/>
    <w:qFormat/>
    <w:uiPriority w:val="0"/>
    <w:rPr>
      <w:rFonts w:ascii="Tahoma" w:hAnsi="Tahoma"/>
      <w:sz w:val="24"/>
      <w:szCs w:val="20"/>
    </w:rPr>
  </w:style>
  <w:style w:type="paragraph" w:customStyle="1" w:styleId="1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6">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167">
    <w:name w:val="标题1-附件"/>
    <w:basedOn w:val="2"/>
    <w:qFormat/>
    <w:uiPriority w:val="0"/>
    <w:pPr>
      <w:jc w:val="left"/>
    </w:pPr>
    <w:rPr>
      <w:sz w:val="24"/>
      <w:szCs w:val="24"/>
    </w:rPr>
  </w:style>
  <w:style w:type="paragraph" w:customStyle="1" w:styleId="168">
    <w:name w:val="Char3"/>
    <w:basedOn w:val="1"/>
    <w:qFormat/>
    <w:uiPriority w:val="0"/>
    <w:pPr>
      <w:tabs>
        <w:tab w:val="left" w:pos="360"/>
      </w:tabs>
    </w:pPr>
    <w:rPr>
      <w:sz w:val="24"/>
    </w:rPr>
  </w:style>
  <w:style w:type="paragraph" w:customStyle="1" w:styleId="169">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170">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171">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paragraph" w:customStyle="1" w:styleId="172">
    <w:name w:val="表格1"/>
    <w:basedOn w:val="1"/>
    <w:qFormat/>
    <w:uiPriority w:val="0"/>
    <w:pPr>
      <w:ind w:firstLine="480" w:firstLineChars="200"/>
      <w:jc w:val="center"/>
    </w:pPr>
    <w:rPr>
      <w:sz w:val="24"/>
      <w:szCs w:val="20"/>
    </w:rPr>
  </w:style>
  <w:style w:type="paragraph" w:customStyle="1" w:styleId="173">
    <w:name w:val="字元 字元2"/>
    <w:basedOn w:val="1"/>
    <w:qFormat/>
    <w:uiPriority w:val="0"/>
    <w:rPr>
      <w:rFonts w:ascii="Tahoma" w:hAnsi="Tahoma"/>
      <w:sz w:val="24"/>
      <w:szCs w:val="20"/>
    </w:rPr>
  </w:style>
  <w:style w:type="paragraph" w:customStyle="1" w:styleId="174">
    <w:name w:val="Char3 Char Char Char2"/>
    <w:basedOn w:val="1"/>
    <w:qFormat/>
    <w:uiPriority w:val="0"/>
    <w:rPr>
      <w:rFonts w:ascii="Tahoma" w:hAnsi="Tahoma"/>
      <w:sz w:val="24"/>
      <w:szCs w:val="20"/>
    </w:rPr>
  </w:style>
  <w:style w:type="paragraph" w:customStyle="1" w:styleId="17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6">
    <w:name w:val="列出段落2"/>
    <w:basedOn w:val="1"/>
    <w:qFormat/>
    <w:uiPriority w:val="0"/>
    <w:pPr>
      <w:ind w:firstLine="420" w:firstLineChars="200"/>
    </w:pPr>
    <w:rPr>
      <w:rFonts w:ascii="Calibri" w:hAnsi="Calibri"/>
      <w:szCs w:val="22"/>
    </w:rPr>
  </w:style>
  <w:style w:type="paragraph" w:customStyle="1" w:styleId="177">
    <w:name w:val="Char Char Char1 Char2"/>
    <w:basedOn w:val="1"/>
    <w:qFormat/>
    <w:uiPriority w:val="0"/>
    <w:rPr>
      <w:rFonts w:ascii="Tahoma" w:hAnsi="Tahoma"/>
      <w:sz w:val="24"/>
      <w:szCs w:val="20"/>
    </w:rPr>
  </w:style>
  <w:style w:type="paragraph" w:customStyle="1" w:styleId="178">
    <w:name w:val="Char Char Char2"/>
    <w:basedOn w:val="1"/>
    <w:qFormat/>
    <w:uiPriority w:val="0"/>
    <w:rPr>
      <w:rFonts w:ascii="Tahoma" w:hAnsi="Tahoma"/>
      <w:sz w:val="24"/>
      <w:szCs w:val="20"/>
    </w:rPr>
  </w:style>
  <w:style w:type="paragraph" w:customStyle="1" w:styleId="17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8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181">
    <w:name w:val="Revision"/>
    <w:qFormat/>
    <w:uiPriority w:val="0"/>
    <w:rPr>
      <w:rFonts w:ascii="Times New Roman" w:hAnsi="Times New Roman" w:eastAsia="宋体" w:cs="Times New Roman"/>
      <w:kern w:val="2"/>
      <w:sz w:val="21"/>
      <w:szCs w:val="24"/>
      <w:lang w:val="en-US" w:eastAsia="zh-CN" w:bidi="ar-SA"/>
    </w:rPr>
  </w:style>
  <w:style w:type="paragraph" w:customStyle="1" w:styleId="182">
    <w:name w:val="Char Char Char Char Char Char Char Char Char Char2"/>
    <w:basedOn w:val="1"/>
    <w:qFormat/>
    <w:uiPriority w:val="0"/>
    <w:rPr>
      <w:rFonts w:ascii="宋体" w:hAnsi="宋体" w:cs="Courier New"/>
      <w:sz w:val="32"/>
      <w:szCs w:val="32"/>
    </w:rPr>
  </w:style>
  <w:style w:type="paragraph" w:customStyle="1" w:styleId="183">
    <w:name w:val="Char2 Char Char Char Char Char Char1"/>
    <w:basedOn w:val="1"/>
    <w:qFormat/>
    <w:uiPriority w:val="0"/>
    <w:pPr>
      <w:widowControl/>
      <w:spacing w:line="400" w:lineRule="exact"/>
      <w:jc w:val="center"/>
    </w:pPr>
  </w:style>
  <w:style w:type="paragraph" w:customStyle="1" w:styleId="184">
    <w:name w:val="Char Char41"/>
    <w:basedOn w:val="1"/>
    <w:qFormat/>
    <w:uiPriority w:val="0"/>
    <w:pPr>
      <w:widowControl/>
      <w:spacing w:line="400" w:lineRule="exact"/>
      <w:jc w:val="center"/>
    </w:pPr>
  </w:style>
  <w:style w:type="paragraph" w:customStyle="1" w:styleId="185">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186">
    <w:name w:val="标题 1 Char"/>
    <w:link w:val="2"/>
    <w:qFormat/>
    <w:uiPriority w:val="0"/>
    <w:rPr>
      <w:rFonts w:ascii="宋体"/>
      <w:b/>
      <w:kern w:val="44"/>
      <w:sz w:val="32"/>
    </w:rPr>
  </w:style>
  <w:style w:type="character" w:customStyle="1" w:styleId="187">
    <w:name w:val="标题 2 Char1"/>
    <w:link w:val="3"/>
    <w:qFormat/>
    <w:uiPriority w:val="0"/>
    <w:rPr>
      <w:rFonts w:ascii="Arial" w:hAnsi="Arial" w:eastAsia="黑体"/>
      <w:b/>
      <w:sz w:val="30"/>
      <w:lang w:val="en-US" w:eastAsia="zh-CN" w:bidi="ar-SA"/>
    </w:rPr>
  </w:style>
  <w:style w:type="character" w:customStyle="1" w:styleId="188">
    <w:name w:val="标题 3 Char1"/>
    <w:link w:val="4"/>
    <w:qFormat/>
    <w:uiPriority w:val="0"/>
    <w:rPr>
      <w:rFonts w:ascii="宋体" w:eastAsia="宋体"/>
      <w:b/>
      <w:sz w:val="24"/>
      <w:u w:val="single"/>
      <w:lang w:val="en-US" w:eastAsia="zh-CN" w:bidi="ar-SA"/>
    </w:rPr>
  </w:style>
  <w:style w:type="character" w:customStyle="1" w:styleId="189">
    <w:name w:val="正文缩进 Char1"/>
    <w:link w:val="14"/>
    <w:qFormat/>
    <w:uiPriority w:val="0"/>
    <w:rPr>
      <w:rFonts w:ascii="宋体" w:eastAsia="宋体"/>
      <w:kern w:val="2"/>
      <w:sz w:val="24"/>
      <w:szCs w:val="24"/>
      <w:lang w:val="en-US" w:eastAsia="zh-CN" w:bidi="ar-SA"/>
    </w:rPr>
  </w:style>
  <w:style w:type="character" w:customStyle="1" w:styleId="190">
    <w:name w:val="标题 4 Char"/>
    <w:link w:val="5"/>
    <w:qFormat/>
    <w:uiPriority w:val="0"/>
    <w:rPr>
      <w:sz w:val="24"/>
    </w:rPr>
  </w:style>
  <w:style w:type="character" w:customStyle="1" w:styleId="191">
    <w:name w:val="标题 5 Char"/>
    <w:link w:val="6"/>
    <w:qFormat/>
    <w:uiPriority w:val="0"/>
    <w:rPr>
      <w:b/>
      <w:sz w:val="28"/>
    </w:rPr>
  </w:style>
  <w:style w:type="character" w:customStyle="1" w:styleId="192">
    <w:name w:val="标题 6 Char"/>
    <w:link w:val="9"/>
    <w:qFormat/>
    <w:uiPriority w:val="0"/>
    <w:rPr>
      <w:rFonts w:ascii="Arial" w:hAnsi="Arial" w:eastAsia="黑体"/>
      <w:b/>
      <w:sz w:val="24"/>
    </w:rPr>
  </w:style>
  <w:style w:type="character" w:customStyle="1" w:styleId="193">
    <w:name w:val="标题 7 Char"/>
    <w:link w:val="10"/>
    <w:qFormat/>
    <w:uiPriority w:val="0"/>
    <w:rPr>
      <w:b/>
      <w:sz w:val="24"/>
    </w:rPr>
  </w:style>
  <w:style w:type="character" w:customStyle="1" w:styleId="194">
    <w:name w:val="标题 8 Char"/>
    <w:link w:val="11"/>
    <w:qFormat/>
    <w:uiPriority w:val="0"/>
    <w:rPr>
      <w:rFonts w:ascii="Arial" w:hAnsi="Arial" w:eastAsia="黑体"/>
      <w:sz w:val="24"/>
    </w:rPr>
  </w:style>
  <w:style w:type="character" w:customStyle="1" w:styleId="195">
    <w:name w:val="标题 9 Char"/>
    <w:link w:val="12"/>
    <w:qFormat/>
    <w:uiPriority w:val="0"/>
    <w:rPr>
      <w:rFonts w:ascii="Arial" w:hAnsi="Arial" w:eastAsia="黑体"/>
      <w:sz w:val="21"/>
    </w:rPr>
  </w:style>
  <w:style w:type="character" w:customStyle="1" w:styleId="196">
    <w:name w:val="文档结构图 Char"/>
    <w:link w:val="16"/>
    <w:qFormat/>
    <w:uiPriority w:val="0"/>
    <w:rPr>
      <w:kern w:val="2"/>
      <w:sz w:val="21"/>
      <w:szCs w:val="24"/>
      <w:shd w:val="clear" w:color="auto" w:fill="000080"/>
    </w:rPr>
  </w:style>
  <w:style w:type="character" w:customStyle="1" w:styleId="197">
    <w:name w:val="批注文字 Char1"/>
    <w:link w:val="17"/>
    <w:qFormat/>
    <w:uiPriority w:val="99"/>
    <w:rPr>
      <w:kern w:val="2"/>
      <w:sz w:val="21"/>
      <w:szCs w:val="24"/>
    </w:rPr>
  </w:style>
  <w:style w:type="character" w:customStyle="1" w:styleId="198">
    <w:name w:val="正文文本 3 Char"/>
    <w:link w:val="18"/>
    <w:qFormat/>
    <w:uiPriority w:val="0"/>
    <w:rPr>
      <w:kern w:val="2"/>
      <w:sz w:val="16"/>
      <w:szCs w:val="16"/>
    </w:rPr>
  </w:style>
  <w:style w:type="character" w:customStyle="1" w:styleId="199">
    <w:name w:val="正文文本 Char"/>
    <w:link w:val="19"/>
    <w:qFormat/>
    <w:uiPriority w:val="0"/>
    <w:rPr>
      <w:rFonts w:ascii="宋体" w:hAnsi="宋体"/>
      <w:kern w:val="2"/>
      <w:sz w:val="24"/>
      <w:szCs w:val="24"/>
    </w:rPr>
  </w:style>
  <w:style w:type="character" w:customStyle="1" w:styleId="200">
    <w:name w:val="正文文本缩进 Char2"/>
    <w:link w:val="21"/>
    <w:qFormat/>
    <w:uiPriority w:val="0"/>
    <w:rPr>
      <w:rFonts w:eastAsia="宋体"/>
      <w:kern w:val="2"/>
      <w:sz w:val="24"/>
      <w:szCs w:val="24"/>
      <w:lang w:val="en-US" w:eastAsia="zh-CN" w:bidi="ar-SA"/>
    </w:rPr>
  </w:style>
  <w:style w:type="character" w:customStyle="1" w:styleId="201">
    <w:name w:val="纯文本 Char"/>
    <w:link w:val="26"/>
    <w:qFormat/>
    <w:uiPriority w:val="0"/>
    <w:rPr>
      <w:rFonts w:hint="eastAsia" w:ascii="宋体" w:hAnsi="Courier New" w:eastAsia="宋体" w:cs="宋体"/>
      <w:kern w:val="2"/>
      <w:sz w:val="21"/>
    </w:rPr>
  </w:style>
  <w:style w:type="character" w:customStyle="1" w:styleId="202">
    <w:name w:val="日期 Char"/>
    <w:link w:val="28"/>
    <w:qFormat/>
    <w:uiPriority w:val="0"/>
    <w:rPr>
      <w:rFonts w:ascii="仿宋_GB2312" w:hAnsi="宋体" w:eastAsia="仿宋_GB2312"/>
      <w:color w:val="000000"/>
      <w:kern w:val="2"/>
      <w:sz w:val="24"/>
      <w:szCs w:val="24"/>
    </w:rPr>
  </w:style>
  <w:style w:type="character" w:customStyle="1" w:styleId="203">
    <w:name w:val="正文文本缩进 2 Char"/>
    <w:link w:val="29"/>
    <w:qFormat/>
    <w:uiPriority w:val="0"/>
    <w:rPr>
      <w:rFonts w:ascii="仿宋_GB2312" w:eastAsia="仿宋_GB2312"/>
      <w:kern w:val="2"/>
      <w:sz w:val="24"/>
      <w:szCs w:val="24"/>
    </w:rPr>
  </w:style>
  <w:style w:type="character" w:customStyle="1" w:styleId="204">
    <w:name w:val="批注框文本 Char"/>
    <w:link w:val="30"/>
    <w:qFormat/>
    <w:uiPriority w:val="0"/>
    <w:rPr>
      <w:kern w:val="2"/>
      <w:sz w:val="18"/>
      <w:szCs w:val="18"/>
    </w:rPr>
  </w:style>
  <w:style w:type="character" w:customStyle="1" w:styleId="205">
    <w:name w:val="页脚 Char1"/>
    <w:link w:val="31"/>
    <w:qFormat/>
    <w:uiPriority w:val="99"/>
    <w:rPr>
      <w:rFonts w:ascii="宋体" w:eastAsia="宋体"/>
      <w:sz w:val="18"/>
      <w:lang w:val="en-US" w:eastAsia="zh-CN" w:bidi="ar-SA"/>
    </w:rPr>
  </w:style>
  <w:style w:type="character" w:customStyle="1" w:styleId="206">
    <w:name w:val="页眉 Char1"/>
    <w:link w:val="32"/>
    <w:qFormat/>
    <w:uiPriority w:val="0"/>
    <w:rPr>
      <w:rFonts w:eastAsia="宋体"/>
      <w:kern w:val="2"/>
      <w:sz w:val="18"/>
      <w:szCs w:val="18"/>
      <w:lang w:val="en-US" w:eastAsia="zh-CN" w:bidi="ar-SA"/>
    </w:rPr>
  </w:style>
  <w:style w:type="character" w:customStyle="1" w:styleId="207">
    <w:name w:val="正文文本缩进 3 Char"/>
    <w:link w:val="36"/>
    <w:qFormat/>
    <w:uiPriority w:val="0"/>
    <w:rPr>
      <w:rFonts w:ascii="宋体"/>
      <w:sz w:val="24"/>
    </w:rPr>
  </w:style>
  <w:style w:type="character" w:customStyle="1" w:styleId="208">
    <w:name w:val="HTML 预设格式 Char"/>
    <w:link w:val="39"/>
    <w:qFormat/>
    <w:uiPriority w:val="0"/>
    <w:rPr>
      <w:rFonts w:ascii="宋体" w:hAnsi="宋体" w:cs="宋体"/>
      <w:sz w:val="24"/>
      <w:szCs w:val="24"/>
    </w:rPr>
  </w:style>
  <w:style w:type="character" w:customStyle="1" w:styleId="209">
    <w:name w:val="标题 Char1"/>
    <w:link w:val="41"/>
    <w:qFormat/>
    <w:uiPriority w:val="0"/>
    <w:rPr>
      <w:b/>
      <w:kern w:val="2"/>
      <w:sz w:val="32"/>
    </w:rPr>
  </w:style>
  <w:style w:type="character" w:customStyle="1" w:styleId="210">
    <w:name w:val="批注主题 Char"/>
    <w:link w:val="42"/>
    <w:qFormat/>
    <w:uiPriority w:val="0"/>
    <w:rPr>
      <w:rFonts w:ascii="Times New Roman" w:hAnsi="Times New Roman" w:eastAsia="宋体" w:cs="Times New Roman"/>
      <w:b/>
      <w:bCs/>
      <w:kern w:val="2"/>
      <w:sz w:val="21"/>
      <w:szCs w:val="24"/>
      <w:lang w:val="en-US" w:eastAsia="zh-CN" w:bidi="ar-SA"/>
    </w:rPr>
  </w:style>
  <w:style w:type="character" w:customStyle="1" w:styleId="211">
    <w:name w:val="正文首行缩进 2 Char"/>
    <w:link w:val="43"/>
    <w:qFormat/>
    <w:uiPriority w:val="0"/>
    <w:rPr>
      <w:rFonts w:eastAsia="宋体"/>
      <w:kern w:val="2"/>
      <w:sz w:val="24"/>
      <w:szCs w:val="24"/>
      <w:lang w:val="en-US" w:eastAsia="zh-CN" w:bidi="ar-SA"/>
    </w:rPr>
  </w:style>
  <w:style w:type="character" w:customStyle="1" w:styleId="212">
    <w:name w:val="c21"/>
    <w:qFormat/>
    <w:uiPriority w:val="0"/>
    <w:rPr>
      <w:rFonts w:hint="default" w:ascii="ˎ̥" w:hAnsi="ˎ̥"/>
      <w:color w:val="000000"/>
      <w:sz w:val="20"/>
      <w:szCs w:val="20"/>
      <w:u w:val="none"/>
    </w:rPr>
  </w:style>
  <w:style w:type="character" w:customStyle="1" w:styleId="213">
    <w:name w:val="批注文字 Char"/>
    <w:qFormat/>
    <w:uiPriority w:val="99"/>
    <w:rPr>
      <w:kern w:val="2"/>
      <w:sz w:val="21"/>
      <w:szCs w:val="24"/>
    </w:rPr>
  </w:style>
  <w:style w:type="character" w:customStyle="1" w:styleId="214">
    <w:name w:val="页眉 Char"/>
    <w:qFormat/>
    <w:uiPriority w:val="0"/>
    <w:rPr>
      <w:rFonts w:eastAsia="宋体"/>
      <w:kern w:val="2"/>
      <w:sz w:val="18"/>
      <w:szCs w:val="18"/>
      <w:lang w:val="en-US" w:eastAsia="zh-CN" w:bidi="ar-SA"/>
    </w:rPr>
  </w:style>
  <w:style w:type="character" w:customStyle="1" w:styleId="215">
    <w:name w:val="注释 Char"/>
    <w:link w:val="56"/>
    <w:qFormat/>
    <w:uiPriority w:val="0"/>
    <w:rPr>
      <w:rFonts w:ascii="宋体" w:hAnsi="宋体"/>
      <w:kern w:val="2"/>
      <w:sz w:val="21"/>
      <w:szCs w:val="21"/>
    </w:rPr>
  </w:style>
  <w:style w:type="character" w:customStyle="1" w:styleId="216">
    <w:name w:val="cf01"/>
    <w:qFormat/>
    <w:uiPriority w:val="0"/>
    <w:rPr>
      <w:rFonts w:hint="eastAsia" w:ascii="Microsoft YaHei UI" w:hAnsi="Microsoft YaHei UI" w:eastAsia="Microsoft YaHei UI"/>
      <w:sz w:val="18"/>
      <w:szCs w:val="18"/>
    </w:rPr>
  </w:style>
  <w:style w:type="character" w:customStyle="1" w:styleId="217">
    <w:name w:val="批注文字 字符"/>
    <w:qFormat/>
    <w:uiPriority w:val="99"/>
    <w:rPr>
      <w:rFonts w:ascii="Times New Roman" w:hAnsi="Times New Roman" w:eastAsia="宋体" w:cs="Times New Roman"/>
      <w:sz w:val="24"/>
      <w:lang w:val="en-US" w:eastAsia="zh-CN" w:bidi="ar-SA"/>
    </w:rPr>
  </w:style>
  <w:style w:type="character" w:customStyle="1" w:styleId="218">
    <w:name w:val="标题 2 Char Char"/>
    <w:qFormat/>
    <w:uiPriority w:val="0"/>
    <w:rPr>
      <w:rFonts w:ascii="Arial" w:hAnsi="Arial" w:eastAsia="黑体"/>
      <w:b/>
      <w:bCs/>
      <w:kern w:val="2"/>
      <w:sz w:val="32"/>
      <w:szCs w:val="32"/>
      <w:lang w:val="en-US" w:eastAsia="zh-CN" w:bidi="ar-SA"/>
    </w:rPr>
  </w:style>
  <w:style w:type="character" w:customStyle="1" w:styleId="219">
    <w:name w:val="chanpin1"/>
    <w:qFormat/>
    <w:uiPriority w:val="0"/>
    <w:rPr>
      <w:rFonts w:hint="default" w:ascii="ˎ̥" w:hAnsi="ˎ̥"/>
      <w:color w:val="000000"/>
      <w:sz w:val="20"/>
      <w:szCs w:val="20"/>
      <w:u w:val="none"/>
    </w:rPr>
  </w:style>
  <w:style w:type="character" w:customStyle="1" w:styleId="220">
    <w:name w:val="txt"/>
    <w:qFormat/>
    <w:uiPriority w:val="0"/>
  </w:style>
  <w:style w:type="character" w:customStyle="1" w:styleId="221">
    <w:name w:val="正文文本缩进 Char1"/>
    <w:link w:val="57"/>
    <w:qFormat/>
    <w:uiPriority w:val="0"/>
    <w:rPr>
      <w:rFonts w:ascii="宋体" w:hAnsi="宋体" w:eastAsia="宋体"/>
      <w:sz w:val="24"/>
      <w:szCs w:val="24"/>
      <w:lang w:bidi="ar-SA"/>
    </w:rPr>
  </w:style>
  <w:style w:type="character" w:customStyle="1" w:styleId="222">
    <w:name w:val="普通文字1 Char1"/>
    <w:qFormat/>
    <w:uiPriority w:val="0"/>
    <w:rPr>
      <w:rFonts w:ascii="宋体" w:hAnsi="Courier New" w:eastAsia="宋体"/>
      <w:kern w:val="2"/>
      <w:sz w:val="21"/>
      <w:lang w:val="en-US" w:eastAsia="zh-CN" w:bidi="ar-SA"/>
    </w:rPr>
  </w:style>
  <w:style w:type="character" w:customStyle="1" w:styleId="223">
    <w:name w:val="Char Char111"/>
    <w:qFormat/>
    <w:uiPriority w:val="0"/>
    <w:rPr>
      <w:rFonts w:ascii="宋体" w:eastAsia="宋体"/>
      <w:b/>
      <w:sz w:val="24"/>
      <w:u w:val="single"/>
      <w:lang w:val="en-US" w:eastAsia="zh-CN" w:bidi="ar-SA"/>
    </w:rPr>
  </w:style>
  <w:style w:type="character" w:customStyle="1" w:styleId="224">
    <w:name w:val="正文大标题 Char"/>
    <w:link w:val="58"/>
    <w:qFormat/>
    <w:uiPriority w:val="0"/>
    <w:rPr>
      <w:rFonts w:ascii="宋体" w:hAnsi="宋体"/>
      <w:b/>
      <w:color w:val="000000"/>
      <w:kern w:val="2"/>
      <w:sz w:val="28"/>
      <w:szCs w:val="21"/>
    </w:rPr>
  </w:style>
  <w:style w:type="character" w:customStyle="1" w:styleId="225">
    <w:name w:val="正文小标题 Char"/>
    <w:link w:val="59"/>
    <w:qFormat/>
    <w:uiPriority w:val="0"/>
    <w:rPr>
      <w:rFonts w:ascii="宋体" w:hAnsi="宋体"/>
      <w:b/>
      <w:i/>
      <w:color w:val="FF0000"/>
      <w:kern w:val="2"/>
      <w:sz w:val="24"/>
    </w:rPr>
  </w:style>
  <w:style w:type="character" w:customStyle="1" w:styleId="226">
    <w:name w:val="纯文本 Char1"/>
    <w:qFormat/>
    <w:uiPriority w:val="0"/>
    <w:rPr>
      <w:rFonts w:ascii="宋体" w:hAnsi="Courier New" w:eastAsia="宋体"/>
      <w:kern w:val="2"/>
      <w:sz w:val="21"/>
      <w:lang w:val="en-US" w:eastAsia="zh-CN" w:bidi="ar-SA"/>
    </w:rPr>
  </w:style>
  <w:style w:type="character" w:customStyle="1" w:styleId="227">
    <w:name w:val="列出段落 Char1"/>
    <w:link w:val="60"/>
    <w:qFormat/>
    <w:uiPriority w:val="34"/>
    <w:rPr>
      <w:rFonts w:ascii="Calibri" w:hAnsi="Calibri" w:eastAsia="宋体"/>
      <w:kern w:val="2"/>
      <w:sz w:val="21"/>
      <w:szCs w:val="22"/>
      <w:lang w:val="en-US" w:eastAsia="zh-CN" w:bidi="ar-SA"/>
    </w:rPr>
  </w:style>
  <w:style w:type="character" w:customStyle="1" w:styleId="228">
    <w:name w:val="正文格式 Char"/>
    <w:link w:val="61"/>
    <w:qFormat/>
    <w:locked/>
    <w:uiPriority w:val="0"/>
    <w:rPr>
      <w:rFonts w:ascii="宋体" w:hAnsi="宋体"/>
      <w:sz w:val="24"/>
      <w:szCs w:val="24"/>
      <w:lang w:val="en-GB"/>
    </w:rPr>
  </w:style>
  <w:style w:type="character" w:customStyle="1" w:styleId="229">
    <w:name w:val="纯文本 字符1"/>
    <w:qFormat/>
    <w:uiPriority w:val="0"/>
    <w:rPr>
      <w:rFonts w:ascii="宋体" w:hAnsi="Courier New"/>
    </w:rPr>
  </w:style>
  <w:style w:type="character" w:customStyle="1" w:styleId="230">
    <w:name w:val="bjh-p"/>
    <w:qFormat/>
    <w:uiPriority w:val="0"/>
  </w:style>
  <w:style w:type="character" w:customStyle="1" w:styleId="231">
    <w:name w:val="正文缩进 Char"/>
    <w:qFormat/>
    <w:uiPriority w:val="0"/>
    <w:rPr>
      <w:rFonts w:ascii="宋体" w:eastAsia="宋体"/>
      <w:kern w:val="2"/>
      <w:sz w:val="24"/>
      <w:szCs w:val="24"/>
      <w:lang w:val="en-US" w:eastAsia="zh-CN" w:bidi="ar-SA"/>
    </w:rPr>
  </w:style>
  <w:style w:type="character" w:customStyle="1" w:styleId="232">
    <w:name w:val="正文文本缩进 Char"/>
    <w:qFormat/>
    <w:uiPriority w:val="0"/>
    <w:rPr>
      <w:rFonts w:eastAsia="宋体"/>
      <w:kern w:val="2"/>
      <w:sz w:val="24"/>
      <w:szCs w:val="24"/>
      <w:lang w:val="en-US" w:eastAsia="zh-CN" w:bidi="ar-SA"/>
    </w:rPr>
  </w:style>
  <w:style w:type="character" w:customStyle="1" w:styleId="233">
    <w:name w:val="页脚 Char"/>
    <w:qFormat/>
    <w:uiPriority w:val="0"/>
    <w:rPr>
      <w:rFonts w:ascii="宋体" w:eastAsia="宋体"/>
      <w:sz w:val="18"/>
      <w:lang w:val="en-US" w:eastAsia="zh-CN" w:bidi="ar-SA"/>
    </w:rPr>
  </w:style>
  <w:style w:type="character" w:customStyle="1" w:styleId="234">
    <w:name w:val="cf21"/>
    <w:qFormat/>
    <w:uiPriority w:val="0"/>
    <w:rPr>
      <w:rFonts w:hint="eastAsia" w:ascii="Microsoft YaHei UI" w:hAnsi="Microsoft YaHei UI" w:eastAsia="Microsoft YaHei UI"/>
      <w:sz w:val="18"/>
      <w:szCs w:val="18"/>
      <w:shd w:val="clear" w:color="auto" w:fill="FFFFFF"/>
    </w:rPr>
  </w:style>
  <w:style w:type="character" w:customStyle="1" w:styleId="235">
    <w:name w:val="street-address"/>
    <w:qFormat/>
    <w:uiPriority w:val="0"/>
  </w:style>
  <w:style w:type="character" w:customStyle="1" w:styleId="236">
    <w:name w:val="正文缩进 Char Char"/>
    <w:link w:val="62"/>
    <w:qFormat/>
    <w:uiPriority w:val="0"/>
    <w:rPr>
      <w:rFonts w:ascii="宋体" w:eastAsia="宋体"/>
      <w:snapToGrid w:val="0"/>
      <w:color w:val="000000"/>
      <w:kern w:val="28"/>
      <w:sz w:val="28"/>
      <w:lang w:bidi="ar-SA"/>
    </w:rPr>
  </w:style>
  <w:style w:type="character" w:customStyle="1" w:styleId="237">
    <w:name w:val="Char Char11"/>
    <w:qFormat/>
    <w:uiPriority w:val="0"/>
    <w:rPr>
      <w:rFonts w:ascii="宋体" w:eastAsia="宋体"/>
      <w:b/>
      <w:sz w:val="24"/>
      <w:u w:val="single"/>
      <w:lang w:val="en-US" w:eastAsia="zh-CN" w:bidi="ar-SA"/>
    </w:rPr>
  </w:style>
  <w:style w:type="character" w:customStyle="1" w:styleId="238">
    <w:name w:val="title4"/>
    <w:qFormat/>
    <w:uiPriority w:val="0"/>
    <w:rPr>
      <w:b/>
      <w:bCs/>
      <w:color w:val="1D87B3"/>
      <w:sz w:val="15"/>
      <w:szCs w:val="15"/>
    </w:rPr>
  </w:style>
  <w:style w:type="character" w:customStyle="1" w:styleId="239">
    <w:name w:val="正文表格 Char"/>
    <w:link w:val="63"/>
    <w:qFormat/>
    <w:uiPriority w:val="0"/>
    <w:rPr>
      <w:rFonts w:ascii="宋体" w:hAnsi="宋体"/>
      <w:color w:val="000000"/>
      <w:kern w:val="2"/>
      <w:sz w:val="21"/>
      <w:szCs w:val="21"/>
    </w:rPr>
  </w:style>
  <w:style w:type="character" w:customStyle="1" w:styleId="240">
    <w:name w:val="正文重点 Char"/>
    <w:link w:val="64"/>
    <w:qFormat/>
    <w:uiPriority w:val="0"/>
    <w:rPr>
      <w:b/>
      <w:sz w:val="24"/>
    </w:rPr>
  </w:style>
  <w:style w:type="character" w:customStyle="1" w:styleId="241">
    <w:name w:val="标题 2 Char"/>
    <w:qFormat/>
    <w:uiPriority w:val="0"/>
    <w:rPr>
      <w:rFonts w:ascii="Arial" w:hAnsi="Arial" w:eastAsia="黑体"/>
      <w:b/>
      <w:sz w:val="30"/>
      <w:lang w:val="en-US" w:eastAsia="zh-CN" w:bidi="ar-SA"/>
    </w:rPr>
  </w:style>
  <w:style w:type="character" w:customStyle="1" w:styleId="242">
    <w:name w:val="标题 3 Char"/>
    <w:qFormat/>
    <w:uiPriority w:val="0"/>
    <w:rPr>
      <w:rFonts w:ascii="宋体" w:eastAsia="宋体"/>
      <w:b/>
      <w:sz w:val="24"/>
      <w:u w:val="single"/>
      <w:lang w:val="en-US" w:eastAsia="zh-CN" w:bidi="ar-SA"/>
    </w:rPr>
  </w:style>
  <w:style w:type="character" w:customStyle="1" w:styleId="243">
    <w:name w:val="纯文本 字符"/>
    <w:qFormat/>
    <w:uiPriority w:val="99"/>
    <w:rPr>
      <w:rFonts w:ascii="宋体" w:hAnsi="Courier New" w:eastAsia="宋体" w:cs="Times New Roman"/>
      <w:kern w:val="2"/>
      <w:sz w:val="21"/>
      <w:szCs w:val="21"/>
      <w:lang w:val="en-US" w:eastAsia="zh-CN" w:bidi="ar-SA"/>
    </w:rPr>
  </w:style>
  <w:style w:type="character" w:customStyle="1" w:styleId="244">
    <w:name w:val="列出段落 Char"/>
    <w:qFormat/>
    <w:uiPriority w:val="0"/>
    <w:rPr>
      <w:rFonts w:ascii="Calibri" w:hAnsi="Calibri" w:eastAsia="宋体"/>
      <w:kern w:val="2"/>
      <w:sz w:val="21"/>
      <w:szCs w:val="22"/>
      <w:lang w:val="en-US" w:eastAsia="zh-CN" w:bidi="ar-SA"/>
    </w:rPr>
  </w:style>
  <w:style w:type="character" w:customStyle="1" w:styleId="245">
    <w:name w:val="cf11"/>
    <w:qFormat/>
    <w:uiPriority w:val="0"/>
    <w:rPr>
      <w:rFonts w:hint="eastAsia" w:ascii="Microsoft YaHei UI" w:hAnsi="Microsoft YaHei UI" w:eastAsia="Microsoft YaHei UI"/>
      <w:sz w:val="18"/>
      <w:szCs w:val="18"/>
    </w:rPr>
  </w:style>
  <w:style w:type="character" w:customStyle="1" w:styleId="246">
    <w:name w:val="black1"/>
    <w:qFormat/>
    <w:uiPriority w:val="0"/>
    <w:rPr>
      <w:color w:val="000000"/>
    </w:rPr>
  </w:style>
  <w:style w:type="character" w:customStyle="1" w:styleId="247">
    <w:name w:val="locality"/>
    <w:qFormat/>
    <w:uiPriority w:val="0"/>
  </w:style>
  <w:style w:type="character" w:customStyle="1" w:styleId="248">
    <w:name w:val="标题 3 Char Char"/>
    <w:qFormat/>
    <w:uiPriority w:val="0"/>
    <w:rPr>
      <w:rFonts w:eastAsia="宋体"/>
      <w:b/>
      <w:bCs/>
      <w:kern w:val="2"/>
      <w:sz w:val="32"/>
      <w:szCs w:val="32"/>
      <w:lang w:val="en-US" w:eastAsia="zh-CN" w:bidi="ar-SA"/>
    </w:rPr>
  </w:style>
  <w:style w:type="character" w:customStyle="1" w:styleId="249">
    <w:name w:val="段1 Char"/>
    <w:qFormat/>
    <w:uiPriority w:val="0"/>
    <w:rPr>
      <w:rFonts w:ascii="宋体" w:eastAsia="宋体"/>
      <w:sz w:val="24"/>
      <w:lang w:val="en-US" w:eastAsia="zh-CN" w:bidi="ar-SA"/>
    </w:rPr>
  </w:style>
  <w:style w:type="character" w:customStyle="1" w:styleId="250">
    <w:name w:val="chanpin拷贝"/>
    <w:qFormat/>
    <w:uiPriority w:val="0"/>
  </w:style>
  <w:style w:type="character" w:customStyle="1" w:styleId="251">
    <w:name w:val="apple-style-span"/>
    <w:qFormat/>
    <w:uiPriority w:val="0"/>
    <w:rPr>
      <w:rFonts w:cs="Times New Roman"/>
    </w:rPr>
  </w:style>
  <w:style w:type="character" w:customStyle="1" w:styleId="252">
    <w:name w:val="中等深浅网格 1 - 强调文字颜色 2 Char"/>
    <w:link w:val="65"/>
    <w:qFormat/>
    <w:uiPriority w:val="0"/>
    <w:rPr>
      <w:kern w:val="2"/>
      <w:sz w:val="21"/>
      <w:szCs w:val="24"/>
      <w:lang w:val="zh-CN" w:eastAsia="zh-CN"/>
    </w:rPr>
  </w:style>
  <w:style w:type="character" w:customStyle="1" w:styleId="253">
    <w:name w:val="标题 Char"/>
    <w:qFormat/>
    <w:uiPriority w:val="0"/>
    <w:rPr>
      <w:b/>
      <w:kern w:val="2"/>
      <w:sz w:val="32"/>
    </w:rPr>
  </w:style>
  <w:style w:type="table" w:customStyle="1" w:styleId="254">
    <w:name w:val="Table Normal"/>
    <w:unhideWhenUsed/>
    <w:qFormat/>
    <w:uiPriority w:val="2"/>
    <w:pPr>
      <w:widowControl w:val="0"/>
      <w:autoSpaceDE w:val="0"/>
      <w:autoSpaceDN w:val="0"/>
    </w:pPr>
    <w:rPr>
      <w:rFonts w:ascii="Calibri" w:hAnsi="Calibri"/>
      <w:sz w:val="22"/>
      <w:szCs w:val="22"/>
      <w:lang w:val="en-US" w:eastAsia="en-US" w:bidi="ar-SA"/>
    </w:rPr>
    <w:tblPr>
      <w:tblLayout w:type="fixed"/>
      <w:tblCellMar>
        <w:top w:w="0" w:type="dxa"/>
        <w:left w:w="0" w:type="dxa"/>
        <w:bottom w:w="0" w:type="dxa"/>
        <w:right w:w="0" w:type="dxa"/>
      </w:tblCellMar>
    </w:tblPr>
  </w:style>
  <w:style w:type="paragraph" w:customStyle="1" w:styleId="255">
    <w:name w:val="样式 样式 样式 样式 标题 2 + 宋体 五号 非加粗 黑色 + 段前: 6 磅 段后: 0 磅 行距: 单倍行距 + 段前:..."/>
    <w:basedOn w:val="256"/>
    <w:qFormat/>
    <w:uiPriority w:val="0"/>
    <w:rPr>
      <w:b/>
      <w:bCs/>
    </w:rPr>
  </w:style>
  <w:style w:type="paragraph" w:customStyle="1" w:styleId="256">
    <w:name w:val="样式 样式 样式 标题 2 + 宋体 五号 非加粗 黑色 + 段前: 6 磅 段后: 0 磅 行距: 单倍行距 + 段前: 12..."/>
    <w:basedOn w:val="257"/>
    <w:qFormat/>
    <w:uiPriority w:val="0"/>
    <w:pPr>
      <w:spacing w:before="240"/>
    </w:pPr>
  </w:style>
  <w:style w:type="paragraph" w:customStyle="1" w:styleId="257">
    <w:name w:val="样式 样式 标题 2 + 宋体 五号 非加粗 黑色 + 段前: 6 磅 段后: 0 磅 行距: 单倍行距"/>
    <w:basedOn w:val="258"/>
    <w:qFormat/>
    <w:uiPriority w:val="0"/>
    <w:pPr>
      <w:spacing w:before="120" w:after="0" w:line="240" w:lineRule="auto"/>
    </w:pPr>
    <w:rPr>
      <w:rFonts w:cs="宋体"/>
      <w:szCs w:val="20"/>
    </w:rPr>
  </w:style>
  <w:style w:type="paragraph" w:customStyle="1" w:styleId="258">
    <w:name w:val="样式 标题 2 + 宋体 五号 非加粗 黑色"/>
    <w:basedOn w:val="3"/>
    <w:qFormat/>
    <w:uiPriority w:val="0"/>
    <w:rPr>
      <w:rFonts w:ascii="宋体" w:hAnsi="宋体" w:eastAsia="宋体"/>
      <w:b w:val="0"/>
      <w:color w:val="000000"/>
      <w:sz w:val="21"/>
    </w:rPr>
  </w:style>
  <w:style w:type="paragraph" w:customStyle="1" w:styleId="259">
    <w:name w:val="MsoNormal"/>
    <w:basedOn w:val="1"/>
    <w:qFormat/>
    <w:uiPriority w:val="0"/>
    <w:pPr>
      <w:widowControl/>
      <w:spacing w:after="160" w:line="278" w:lineRule="auto"/>
      <w:jc w:val="left"/>
    </w:pPr>
    <w:rPr>
      <w:rFonts w:eastAsia="宋体"/>
      <w:kern w:val="0"/>
      <w:sz w:val="24"/>
      <w:lang w:eastAsia="en-US"/>
    </w:rPr>
  </w:style>
  <w:style w:type="paragraph" w:customStyle="1" w:styleId="260">
    <w:name w:val="样式1"/>
    <w:basedOn w:val="1"/>
    <w:qFormat/>
    <w:uiPriority w:val="0"/>
    <w:pPr>
      <w:jc w:val="center"/>
    </w:pPr>
    <w:rPr>
      <w:rFonts w:eastAsia="方正大标宋简体"/>
      <w:sz w:val="52"/>
    </w:rPr>
  </w:style>
  <w:style w:type="paragraph" w:customStyle="1" w:styleId="261">
    <w:name w:val="16"/>
    <w:basedOn w:val="1"/>
    <w:qFormat/>
    <w:uiPriority w:val="0"/>
  </w:style>
  <w:style w:type="character" w:customStyle="1" w:styleId="262">
    <w:name w:val="font41"/>
    <w:basedOn w:val="47"/>
    <w:qFormat/>
    <w:uiPriority w:val="0"/>
    <w:rPr>
      <w:rFonts w:hint="eastAsia" w:ascii="宋体" w:hAnsi="宋体" w:eastAsia="宋体" w:cs="宋体"/>
      <w:color w:val="000000"/>
      <w:sz w:val="21"/>
      <w:szCs w:val="21"/>
      <w:u w:val="none"/>
    </w:rPr>
  </w:style>
  <w:style w:type="character" w:customStyle="1" w:styleId="263">
    <w:name w:val="font31"/>
    <w:basedOn w:val="47"/>
    <w:qFormat/>
    <w:uiPriority w:val="0"/>
    <w:rPr>
      <w:rFonts w:ascii="Calibri" w:hAnsi="Calibri" w:cs="Calibri"/>
      <w:color w:val="000000"/>
      <w:sz w:val="21"/>
      <w:szCs w:val="21"/>
      <w:u w:val="none"/>
    </w:rPr>
  </w:style>
  <w:style w:type="character" w:customStyle="1" w:styleId="264">
    <w:name w:val="font11"/>
    <w:basedOn w:val="47"/>
    <w:qFormat/>
    <w:uiPriority w:val="0"/>
    <w:rPr>
      <w:rFonts w:hint="eastAsia" w:ascii="宋体" w:hAnsi="宋体" w:eastAsia="宋体" w:cs="宋体"/>
      <w:color w:val="000000"/>
      <w:sz w:val="22"/>
      <w:szCs w:val="22"/>
      <w:u w:val="none"/>
    </w:rPr>
  </w:style>
  <w:style w:type="paragraph" w:customStyle="1" w:styleId="265">
    <w:name w:val="Normal_0"/>
    <w:next w:val="266"/>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266">
    <w:name w:val="Normal Indent1_0"/>
    <w:next w:val="265"/>
    <w:qFormat/>
    <w:uiPriority w:val="0"/>
    <w:pPr>
      <w:spacing w:after="160" w:line="660" w:lineRule="exact"/>
      <w:ind w:firstLine="720" w:firstLineChars="200"/>
    </w:pPr>
    <w:rPr>
      <w:rFonts w:ascii="Times New Roman" w:hAnsi="Times New Roman" w:eastAsia="楷体_GB2312" w:cs="Times New Roman"/>
      <w:sz w:val="36"/>
      <w:szCs w:val="36"/>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105</Pages>
  <Words>10070</Words>
  <Characters>10608</Characters>
  <Lines>252</Lines>
  <Paragraphs>71</Paragraphs>
  <TotalTime>15</TotalTime>
  <ScaleCrop>false</ScaleCrop>
  <LinksUpToDate>false</LinksUpToDate>
  <CharactersWithSpaces>10759</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2024-06-06T17:36:00Z</dcterms:created>
  <dc:creator>Yin Hao</dc:creator>
  <cp:lastModifiedBy>wanglin</cp:lastModifiedBy>
  <cp:lastPrinted>2020-04-03T11:13:00Z</cp:lastPrinted>
  <dcterms:modified xsi:type="dcterms:W3CDTF">2026-07-29T08:18:34Z</dcterms:modified>
  <dc:title>政府采购示范文本（2023）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y fmtid="{D5CDD505-2E9C-101B-9397-08002B2CF9AE}" pid="3" name="ICV">
    <vt:lpwstr>65126CFEF053ED8D5528636AD66A4D83_43</vt:lpwstr>
  </property>
  <property fmtid="{D5CDD505-2E9C-101B-9397-08002B2CF9AE}" pid="4" name="KSOTemplateDocerSaveRecord">
    <vt:lpwstr>eyJoZGlkIjoiMjk5ZWU2NGIyYTVjZWY3YzcxYzAyZTZmZDQ3ZjQ2MzIiLCJ1c2VySWQiOiI2MDAzODc3MjIifQ==</vt:lpwstr>
  </property>
</Properties>
</file>